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CE9D32" w14:textId="58A5623B" w:rsidR="0045295D" w:rsidRDefault="00273485" w:rsidP="0045295D">
      <w:pPr>
        <w:pStyle w:val="TeThHauorabodytext"/>
        <w:rPr>
          <w:b/>
          <w:bCs/>
        </w:rPr>
      </w:pPr>
      <w:r>
        <w:rPr>
          <w:noProof/>
        </w:rPr>
        <w:drawing>
          <wp:anchor distT="0" distB="0" distL="114300" distR="114300" simplePos="0" relativeHeight="251658240" behindDoc="1" locked="0" layoutInCell="1" allowOverlap="1" wp14:anchorId="5BB64FC4" wp14:editId="360331B9">
            <wp:simplePos x="0" y="0"/>
            <wp:positionH relativeFrom="page">
              <wp:align>left</wp:align>
            </wp:positionH>
            <wp:positionV relativeFrom="paragraph">
              <wp:posOffset>-1424664</wp:posOffset>
            </wp:positionV>
            <wp:extent cx="7560000" cy="1659490"/>
            <wp:effectExtent l="0" t="0" r="3175" b="0"/>
            <wp:wrapNone/>
            <wp:docPr id="315043911" name="Picture 315043911" descr="Tāhū Hauora logo on the right and an orange and blue tessellated pattern made up of the Te Tāhū Hauora logo coveres one third of the left hand side. The pattern is a stylised version of a wharenui in a triangle shape, with the tāhū (ridgepole), heke (rafters) and niho taniwha (triangle pattern ben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043911" name="Picture 315043911" descr="Tāhū Hauora logo on the right and an orange and blue tessellated pattern made up of the Te Tāhū Hauora logo coveres one third of the left hand side. The pattern is a stylised version of a wharenui in a triangle shape, with the tāhū (ridgepole), heke (rafters) and niho taniwha (triangle pattern beneath)."/>
                    <pic:cNvPicPr/>
                  </pic:nvPicPr>
                  <pic:blipFill rotWithShape="1">
                    <a:blip r:embed="rId7"/>
                    <a:srcRect b="84482"/>
                    <a:stretch/>
                  </pic:blipFill>
                  <pic:spPr bwMode="auto">
                    <a:xfrm>
                      <a:off x="0" y="0"/>
                      <a:ext cx="7560000" cy="1659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42BFB2" w14:textId="77777777" w:rsidR="00F250E8" w:rsidRPr="00581B96" w:rsidRDefault="00F250E8" w:rsidP="00F250E8">
      <w:pPr>
        <w:pStyle w:val="TeThHauorabodytext"/>
      </w:pPr>
    </w:p>
    <w:p w14:paraId="55346556" w14:textId="77777777" w:rsidR="003D66C6" w:rsidRDefault="003D66C6" w:rsidP="003D66C6">
      <w:pPr>
        <w:pStyle w:val="Heading1"/>
      </w:pPr>
      <w:r>
        <w:t>Using a self-assessment tool to measure community engagement</w:t>
      </w:r>
    </w:p>
    <w:p w14:paraId="2BFD7B10" w14:textId="77777777" w:rsidR="007F3830" w:rsidRDefault="007F3830" w:rsidP="005221CC">
      <w:pPr>
        <w:pStyle w:val="Heading1"/>
      </w:pPr>
      <w:r>
        <w:t xml:space="preserve">Case study: </w:t>
      </w:r>
      <w:r w:rsidRPr="00993678">
        <w:t>Te Omanga Hospice</w:t>
      </w:r>
    </w:p>
    <w:p w14:paraId="1698E644" w14:textId="01D1B517" w:rsidR="0013475E" w:rsidRPr="002B2179" w:rsidRDefault="0013475E" w:rsidP="005221CC">
      <w:pPr>
        <w:pStyle w:val="TeThHauorabullets"/>
        <w:numPr>
          <w:ilvl w:val="0"/>
          <w:numId w:val="0"/>
        </w:numPr>
        <w:pBdr>
          <w:top w:val="nil"/>
          <w:left w:val="nil"/>
          <w:bottom w:val="nil"/>
          <w:right w:val="nil"/>
          <w:between w:val="nil"/>
          <w:bar w:val="nil"/>
        </w:pBdr>
        <w:spacing w:after="120"/>
        <w:rPr>
          <w:b/>
          <w:bCs/>
        </w:rPr>
      </w:pPr>
      <w:r w:rsidRPr="00671C43">
        <w:rPr>
          <w:b/>
          <w:bCs/>
        </w:rPr>
        <w:t xml:space="preserve">Self-assessment and reporting </w:t>
      </w:r>
      <w:proofErr w:type="gramStart"/>
      <w:r w:rsidRPr="00671C43">
        <w:rPr>
          <w:b/>
          <w:bCs/>
        </w:rPr>
        <w:t>is</w:t>
      </w:r>
      <w:proofErr w:type="gramEnd"/>
      <w:r w:rsidRPr="00671C43">
        <w:rPr>
          <w:b/>
          <w:bCs/>
        </w:rPr>
        <w:t xml:space="preserve"> </w:t>
      </w:r>
      <w:r>
        <w:rPr>
          <w:b/>
          <w:bCs/>
        </w:rPr>
        <w:t xml:space="preserve">an </w:t>
      </w:r>
      <w:r w:rsidRPr="00671C43">
        <w:rPr>
          <w:b/>
          <w:bCs/>
        </w:rPr>
        <w:t xml:space="preserve">important and necessary aspect of enacting the </w:t>
      </w:r>
      <w:r w:rsidRPr="00671C43">
        <w:rPr>
          <w:rFonts w:eastAsia="Arial Unicode MS" w:cs="Arial Unicode MS"/>
          <w:b/>
          <w:bCs/>
          <w:color w:val="000000"/>
          <w:u w:color="000000"/>
          <w:bdr w:val="nil"/>
          <w:lang w:val="en-US" w:eastAsia="en-NZ"/>
        </w:rPr>
        <w:t>Code of expectations for health entities’ engagement with consumers and whānau.</w:t>
      </w:r>
    </w:p>
    <w:p w14:paraId="5056505D" w14:textId="2A8364B6" w:rsidR="00AD3A70" w:rsidRDefault="00AD3A70" w:rsidP="00AD3A70">
      <w:pPr>
        <w:pStyle w:val="TeThHauorabodytext"/>
      </w:pPr>
      <w:r>
        <w:t xml:space="preserve">Following the successful establishment of the </w:t>
      </w:r>
      <w:r w:rsidR="00C84E8D">
        <w:t>consumer advisory group</w:t>
      </w:r>
      <w:r>
        <w:t xml:space="preserve">, </w:t>
      </w:r>
      <w:r w:rsidR="001075F8">
        <w:t>we discussed</w:t>
      </w:r>
      <w:r>
        <w:t xml:space="preserve"> self-assessment using the SURE (supporting, understanding, responding and evaluating) framework.</w:t>
      </w:r>
    </w:p>
    <w:p w14:paraId="1A55DB0D" w14:textId="77777777" w:rsidR="00AD3A70" w:rsidRDefault="00AD3A70" w:rsidP="00AD3A70">
      <w:pPr>
        <w:pStyle w:val="TeThHauorabodytext"/>
      </w:pPr>
      <w:r>
        <w:t>Measuring and reporting implementation of the code of expectations allows for reflection, identifying impact and outcomes, and planning for improvement.</w:t>
      </w:r>
    </w:p>
    <w:p w14:paraId="6AC13E56" w14:textId="67752B4D" w:rsidR="00AD3A70" w:rsidRDefault="00AD3A70" w:rsidP="00AD3A70">
      <w:pPr>
        <w:pStyle w:val="TeThHauorabodytext"/>
      </w:pPr>
      <w:r>
        <w:t xml:space="preserve">Te Omanga Hospice </w:t>
      </w:r>
      <w:r w:rsidR="00C2146D">
        <w:t>completed</w:t>
      </w:r>
      <w:r w:rsidR="00132085">
        <w:t xml:space="preserve"> </w:t>
      </w:r>
      <w:r w:rsidR="00330316">
        <w:t xml:space="preserve">a </w:t>
      </w:r>
      <w:r w:rsidR="00E54390">
        <w:t>self-assessment</w:t>
      </w:r>
      <w:r w:rsidR="00330316">
        <w:t xml:space="preserve"> </w:t>
      </w:r>
      <w:r w:rsidR="00E54390">
        <w:t>process</w:t>
      </w:r>
      <w:r w:rsidR="00BA4063">
        <w:t xml:space="preserve"> </w:t>
      </w:r>
      <w:r w:rsidR="002825EB">
        <w:t xml:space="preserve">using the SURE </w:t>
      </w:r>
      <w:r w:rsidR="006B099A">
        <w:t>framework,</w:t>
      </w:r>
      <w:r w:rsidR="002825EB">
        <w:t xml:space="preserve"> creat</w:t>
      </w:r>
      <w:r w:rsidR="00C2146D">
        <w:t>ing</w:t>
      </w:r>
      <w:r w:rsidR="002825EB">
        <w:t xml:space="preserve"> discussion </w:t>
      </w:r>
      <w:r w:rsidR="00474668">
        <w:t xml:space="preserve">and </w:t>
      </w:r>
      <w:r w:rsidR="00AA17DB">
        <w:t xml:space="preserve">informing the direction </w:t>
      </w:r>
      <w:r w:rsidR="004D78A7">
        <w:t>of</w:t>
      </w:r>
      <w:r w:rsidR="00AA17DB">
        <w:t xml:space="preserve"> the </w:t>
      </w:r>
      <w:proofErr w:type="spellStart"/>
      <w:r w:rsidR="00844836">
        <w:t>organisation</w:t>
      </w:r>
      <w:proofErr w:type="spellEnd"/>
      <w:r w:rsidR="00844836">
        <w:t>.</w:t>
      </w:r>
      <w:r w:rsidR="00F07A32">
        <w:t xml:space="preserve"> </w:t>
      </w:r>
    </w:p>
    <w:p w14:paraId="1281676D" w14:textId="61DBEF2E" w:rsidR="00AD3A70" w:rsidRDefault="00AD3A70" w:rsidP="00AD3A70">
      <w:pPr>
        <w:pStyle w:val="TeThHauorabodytext"/>
      </w:pPr>
      <w:r>
        <w:t>A</w:t>
      </w:r>
      <w:r w:rsidR="004034A9">
        <w:t xml:space="preserve"> </w:t>
      </w:r>
      <w:r>
        <w:t xml:space="preserve">workshop </w:t>
      </w:r>
      <w:r w:rsidR="008A6462">
        <w:t xml:space="preserve">was </w:t>
      </w:r>
      <w:r w:rsidR="00787F41">
        <w:t xml:space="preserve">held </w:t>
      </w:r>
      <w:r>
        <w:t>t</w:t>
      </w:r>
      <w:r w:rsidR="004034A9">
        <w:t>o understand the</w:t>
      </w:r>
      <w:r>
        <w:t xml:space="preserve"> framework domains and measurement lines, </w:t>
      </w:r>
      <w:r w:rsidR="00787F41">
        <w:t>u</w:t>
      </w:r>
      <w:r w:rsidR="00115F9F">
        <w:t>sing the exa</w:t>
      </w:r>
      <w:r w:rsidR="001D08B9">
        <w:t>mple of establishing a consumer advisory group</w:t>
      </w:r>
      <w:r w:rsidR="00787F41">
        <w:t xml:space="preserve"> to inform the discussion.</w:t>
      </w:r>
    </w:p>
    <w:p w14:paraId="37846525" w14:textId="679B77A4" w:rsidR="0066318C" w:rsidRDefault="00324F5E" w:rsidP="00AD3A70">
      <w:pPr>
        <w:pStyle w:val="TeThHauorabodytext"/>
      </w:pPr>
      <w:proofErr w:type="gramStart"/>
      <w:r>
        <w:t>Te Omanga</w:t>
      </w:r>
      <w:proofErr w:type="gramEnd"/>
      <w:r>
        <w:t xml:space="preserve"> </w:t>
      </w:r>
      <w:r w:rsidR="00FD1DC0">
        <w:t xml:space="preserve">brought the SURE framework to </w:t>
      </w:r>
      <w:r w:rsidR="005652E6">
        <w:t>its</w:t>
      </w:r>
      <w:r w:rsidR="00EE50C9">
        <w:t xml:space="preserve"> </w:t>
      </w:r>
      <w:r w:rsidR="00E63A95">
        <w:t>leadership team</w:t>
      </w:r>
      <w:r w:rsidR="00A14567">
        <w:t xml:space="preserve"> in a workshop. Every member had a copy of the framework and </w:t>
      </w:r>
      <w:r w:rsidR="00F677F9">
        <w:t xml:space="preserve">scored where they </w:t>
      </w:r>
      <w:r w:rsidR="001A0488">
        <w:t xml:space="preserve">thought the </w:t>
      </w:r>
      <w:proofErr w:type="spellStart"/>
      <w:r w:rsidR="001A0488">
        <w:t>organisation</w:t>
      </w:r>
      <w:proofErr w:type="spellEnd"/>
      <w:r w:rsidR="001A0488">
        <w:t xml:space="preserve"> </w:t>
      </w:r>
      <w:r w:rsidR="00933CB5">
        <w:t>was</w:t>
      </w:r>
      <w:r w:rsidR="005652E6">
        <w:t>,</w:t>
      </w:r>
      <w:r w:rsidR="00933CB5">
        <w:t xml:space="preserve"> according to each of the measurement lines.</w:t>
      </w:r>
      <w:r w:rsidR="009067F6">
        <w:t xml:space="preserve"> </w:t>
      </w:r>
      <w:r w:rsidR="0066318C">
        <w:t>The</w:t>
      </w:r>
      <w:r w:rsidR="00C775E0">
        <w:t xml:space="preserve"> group then used th</w:t>
      </w:r>
      <w:r w:rsidR="009067F6">
        <w:t>is</w:t>
      </w:r>
      <w:r w:rsidR="00C775E0">
        <w:t xml:space="preserve"> to </w:t>
      </w:r>
      <w:r w:rsidR="00422236">
        <w:t>lead</w:t>
      </w:r>
      <w:r w:rsidR="008720A3">
        <w:t xml:space="preserve"> discussion </w:t>
      </w:r>
      <w:r w:rsidR="008A40D2">
        <w:t>and ultimately inform the direct</w:t>
      </w:r>
      <w:r w:rsidR="00533CD5">
        <w:t>ion</w:t>
      </w:r>
      <w:r w:rsidR="008A40D2">
        <w:t xml:space="preserve"> </w:t>
      </w:r>
      <w:proofErr w:type="gramStart"/>
      <w:r w:rsidR="008A40D2">
        <w:t>for</w:t>
      </w:r>
      <w:proofErr w:type="gramEnd"/>
      <w:r w:rsidR="008A40D2">
        <w:t xml:space="preserve"> the </w:t>
      </w:r>
      <w:proofErr w:type="spellStart"/>
      <w:r w:rsidR="008A40D2">
        <w:t>organisation</w:t>
      </w:r>
      <w:proofErr w:type="spellEnd"/>
      <w:r w:rsidR="008A40D2">
        <w:t>.</w:t>
      </w:r>
    </w:p>
    <w:p w14:paraId="452CB035" w14:textId="1D04E961" w:rsidR="00AD3A70" w:rsidRDefault="008F57A4" w:rsidP="00AD3A70">
      <w:pPr>
        <w:spacing w:after="160" w:line="259" w:lineRule="auto"/>
        <w:rPr>
          <w:rFonts w:cs="Arial"/>
        </w:rPr>
      </w:pPr>
      <w:r>
        <w:rPr>
          <w:rFonts w:cs="Arial"/>
        </w:rPr>
        <w:t>Having the SURE framework a</w:t>
      </w:r>
      <w:r w:rsidR="00BA04FB">
        <w:rPr>
          <w:rFonts w:cs="Arial"/>
        </w:rPr>
        <w:t>s a tool to lead discussion was very valuable for Te Omanga Hospice</w:t>
      </w:r>
      <w:r w:rsidR="00AD73B4">
        <w:rPr>
          <w:rFonts w:cs="Arial"/>
        </w:rPr>
        <w:t>.</w:t>
      </w:r>
    </w:p>
    <w:p w14:paraId="439D840F" w14:textId="7F76FE32" w:rsidR="00AD73B4" w:rsidRDefault="00AD73B4" w:rsidP="00AD3A70">
      <w:pPr>
        <w:spacing w:after="160" w:line="259" w:lineRule="auto"/>
      </w:pPr>
      <w:r>
        <w:rPr>
          <w:rFonts w:cs="Arial"/>
        </w:rPr>
        <w:t xml:space="preserve">You can find the SURE framework here </w:t>
      </w:r>
      <w:hyperlink r:id="rId8" w:history="1">
        <w:r w:rsidR="00C13445" w:rsidRPr="00C24363">
          <w:rPr>
            <w:rStyle w:val="Hyperlink"/>
          </w:rPr>
          <w:t>https://www.hqsc.govt.nz/consumer-hub/engaging-consumers-and-whanau/consumer-engagement-quality-and-safety-marker/</w:t>
        </w:r>
      </w:hyperlink>
    </w:p>
    <w:p w14:paraId="1A81EECB" w14:textId="782983F3" w:rsidR="002C7CBE" w:rsidRDefault="00286421" w:rsidP="00AD3A70">
      <w:pPr>
        <w:spacing w:after="160" w:line="259" w:lineRule="auto"/>
        <w:rPr>
          <w:rFonts w:cs="Arial"/>
        </w:rPr>
      </w:pPr>
      <w:r>
        <w:rPr>
          <w:rFonts w:cs="Arial"/>
        </w:rPr>
        <w:t xml:space="preserve">Examples of </w:t>
      </w:r>
      <w:r w:rsidR="003B67EB">
        <w:rPr>
          <w:rFonts w:cs="Arial"/>
        </w:rPr>
        <w:t>demonstrating</w:t>
      </w:r>
      <w:r>
        <w:rPr>
          <w:rFonts w:cs="Arial"/>
        </w:rPr>
        <w:t xml:space="preserve"> the code </w:t>
      </w:r>
      <w:r w:rsidR="003B67EB">
        <w:rPr>
          <w:rFonts w:cs="Arial"/>
        </w:rPr>
        <w:t xml:space="preserve">of expectation </w:t>
      </w:r>
      <w:r w:rsidR="0019239A">
        <w:rPr>
          <w:rFonts w:cs="Arial"/>
        </w:rPr>
        <w:t>may include</w:t>
      </w:r>
      <w:r>
        <w:rPr>
          <w:rFonts w:cs="Arial"/>
        </w:rPr>
        <w:t xml:space="preserve"> establishing a consumer advisory group</w:t>
      </w:r>
      <w:r w:rsidR="00C01C04">
        <w:rPr>
          <w:rFonts w:cs="Arial"/>
        </w:rPr>
        <w:t xml:space="preserve">, </w:t>
      </w:r>
      <w:r w:rsidR="00230B4D">
        <w:rPr>
          <w:rFonts w:cs="Arial"/>
        </w:rPr>
        <w:t>undertaking consumer experience surveys or development and adoption of a consumer engagement policy</w:t>
      </w:r>
      <w:r w:rsidR="002C7CBE">
        <w:rPr>
          <w:rFonts w:cs="Arial"/>
        </w:rPr>
        <w:t>.</w:t>
      </w:r>
    </w:p>
    <w:p w14:paraId="18868603" w14:textId="722D2FAE" w:rsidR="0093543E" w:rsidRDefault="002C7CBE" w:rsidP="00AD3A70">
      <w:pPr>
        <w:spacing w:after="160" w:line="259" w:lineRule="auto"/>
        <w:rPr>
          <w:rFonts w:cs="Arial"/>
        </w:rPr>
      </w:pPr>
      <w:r>
        <w:rPr>
          <w:rFonts w:cs="Arial"/>
        </w:rPr>
        <w:t xml:space="preserve">These </w:t>
      </w:r>
      <w:r w:rsidR="00C23DD2">
        <w:rPr>
          <w:rFonts w:cs="Arial"/>
        </w:rPr>
        <w:t xml:space="preserve">can be </w:t>
      </w:r>
      <w:r w:rsidR="00444575">
        <w:rPr>
          <w:rFonts w:cs="Arial"/>
        </w:rPr>
        <w:t xml:space="preserve">shared with the health system through different channels including </w:t>
      </w:r>
      <w:r w:rsidR="0014415A">
        <w:rPr>
          <w:rFonts w:cs="Arial"/>
        </w:rPr>
        <w:t>case studies linked to implementation guidance</w:t>
      </w:r>
      <w:r w:rsidR="00520805">
        <w:rPr>
          <w:rFonts w:cs="Arial"/>
        </w:rPr>
        <w:t xml:space="preserve"> or they </w:t>
      </w:r>
      <w:r w:rsidR="00E248F4">
        <w:rPr>
          <w:rFonts w:cs="Arial"/>
        </w:rPr>
        <w:t>can be submitted to the</w:t>
      </w:r>
      <w:r w:rsidR="00C23DD2">
        <w:rPr>
          <w:rFonts w:cs="Arial"/>
        </w:rPr>
        <w:t xml:space="preserve"> consumer engagement quality and safety marker (QSM)</w:t>
      </w:r>
      <w:r w:rsidR="00D21149">
        <w:rPr>
          <w:rFonts w:cs="Arial"/>
        </w:rPr>
        <w:t>.</w:t>
      </w:r>
    </w:p>
    <w:p w14:paraId="40436D3A" w14:textId="19B981E6" w:rsidR="00E248F4" w:rsidRDefault="004006BD" w:rsidP="00AD3A70">
      <w:pPr>
        <w:spacing w:after="160" w:line="259" w:lineRule="auto"/>
        <w:rPr>
          <w:rFonts w:cs="Arial"/>
        </w:rPr>
      </w:pPr>
      <w:r>
        <w:rPr>
          <w:rFonts w:cs="Arial"/>
        </w:rPr>
        <w:t>The QSM is underpinned by the SURE framework</w:t>
      </w:r>
      <w:r w:rsidR="001B3604">
        <w:rPr>
          <w:rFonts w:cs="Arial"/>
        </w:rPr>
        <w:t xml:space="preserve"> </w:t>
      </w:r>
      <w:r w:rsidR="0096552D" w:rsidRPr="0096552D">
        <w:rPr>
          <w:rFonts w:cs="Arial"/>
        </w:rPr>
        <w:t>to highlight examples of how health care organisations engage with consumers, whānau and communities in the design, delivery and evaluation of the Aotearoa New Zealand health system.</w:t>
      </w:r>
    </w:p>
    <w:p w14:paraId="53D60914" w14:textId="7872F16D" w:rsidR="00483CEB" w:rsidRDefault="006F732A" w:rsidP="00AD3A70">
      <w:pPr>
        <w:spacing w:after="160" w:line="259" w:lineRule="auto"/>
        <w:rPr>
          <w:rFonts w:cs="Arial"/>
        </w:rPr>
      </w:pPr>
      <w:r>
        <w:rPr>
          <w:rFonts w:cs="Arial"/>
        </w:rPr>
        <w:t>V</w:t>
      </w:r>
      <w:r w:rsidR="009E5D41">
        <w:rPr>
          <w:rFonts w:cs="Arial"/>
        </w:rPr>
        <w:t>iew the consumer and whānau engagement quality and safety marker</w:t>
      </w:r>
      <w:r>
        <w:rPr>
          <w:rFonts w:cs="Arial"/>
        </w:rPr>
        <w:t xml:space="preserve">: </w:t>
      </w:r>
      <w:hyperlink r:id="rId9" w:anchor="!/" w:history="1">
        <w:r w:rsidR="00483CEB" w:rsidRPr="00C24363">
          <w:rPr>
            <w:rStyle w:val="Hyperlink"/>
            <w:rFonts w:cs="Arial"/>
          </w:rPr>
          <w:t>https://reports.hqsc.govt.nz/content/ce4ea63e-68e6-4ac1-93ae-32ace685bdc6/_w_b40bbe63/#!/</w:t>
        </w:r>
      </w:hyperlink>
    </w:p>
    <w:sectPr w:rsidR="00483CEB" w:rsidSect="00BA5CE6">
      <w:footerReference w:type="even" r:id="rId10"/>
      <w:footerReference w:type="default" r:id="rId11"/>
      <w:headerReference w:type="first" r:id="rId12"/>
      <w:footerReference w:type="first" r:id="rId13"/>
      <w:pgSz w:w="11900" w:h="16840"/>
      <w:pgMar w:top="1440" w:right="1440" w:bottom="1440" w:left="1440" w:header="1417" w:footer="283"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50B1C5" w14:textId="77777777" w:rsidR="00094CC6" w:rsidRDefault="00094CC6">
      <w:pPr>
        <w:spacing w:after="0"/>
      </w:pPr>
      <w:r>
        <w:separator/>
      </w:r>
    </w:p>
  </w:endnote>
  <w:endnote w:type="continuationSeparator" w:id="0">
    <w:p w14:paraId="622DB6CB" w14:textId="77777777" w:rsidR="00094CC6" w:rsidRDefault="00094CC6">
      <w:pPr>
        <w:spacing w:after="0"/>
      </w:pPr>
      <w:r>
        <w:continuationSeparator/>
      </w:r>
    </w:p>
  </w:endnote>
  <w:endnote w:type="continuationNotice" w:id="1">
    <w:p w14:paraId="09017923" w14:textId="77777777" w:rsidR="00094CC6" w:rsidRDefault="00094CC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AvenirLTStd-Roman">
    <w:altName w:val="Cambria"/>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2823A9" w14:textId="77777777" w:rsidR="006041D8" w:rsidRDefault="00774FB3">
    <w:pPr>
      <w:pStyle w:val="Footer"/>
      <w:ind w:left="-567"/>
    </w:pPr>
    <w:r>
      <w:rPr>
        <w:noProof/>
      </w:rPr>
      <w:drawing>
        <wp:anchor distT="0" distB="0" distL="114300" distR="114300" simplePos="0" relativeHeight="251658240" behindDoc="1" locked="0" layoutInCell="1" allowOverlap="1" wp14:anchorId="3A816AB0" wp14:editId="11E6B603">
          <wp:simplePos x="0" y="0"/>
          <wp:positionH relativeFrom="page">
            <wp:posOffset>-53731</wp:posOffset>
          </wp:positionH>
          <wp:positionV relativeFrom="paragraph">
            <wp:posOffset>-356235</wp:posOffset>
          </wp:positionV>
          <wp:extent cx="7948295" cy="534670"/>
          <wp:effectExtent l="0" t="0" r="0" b="0"/>
          <wp:wrapNone/>
          <wp:docPr id="57" name="Picture 57"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8295" cy="5346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52B415" w14:textId="77777777" w:rsidR="00BA5CE6" w:rsidRDefault="00BA5CE6">
    <w:pPr>
      <w:pStyle w:val="Footer"/>
      <w:rPr>
        <w:noProof/>
      </w:rPr>
    </w:pPr>
    <w:r>
      <w:rPr>
        <w:noProof/>
      </w:rPr>
      <w:drawing>
        <wp:anchor distT="0" distB="0" distL="114300" distR="114300" simplePos="0" relativeHeight="251658241" behindDoc="1" locked="0" layoutInCell="1" allowOverlap="1" wp14:anchorId="5AE13CEC" wp14:editId="33975BA0">
          <wp:simplePos x="0" y="0"/>
          <wp:positionH relativeFrom="column">
            <wp:posOffset>-965201</wp:posOffset>
          </wp:positionH>
          <wp:positionV relativeFrom="paragraph">
            <wp:posOffset>-860425</wp:posOffset>
          </wp:positionV>
          <wp:extent cx="7586449" cy="139954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rotWithShape="1">
                  <a:blip r:embed="rId1">
                    <a:extLst>
                      <a:ext uri="{28A0092B-C50C-407E-A947-70E740481C1C}">
                        <a14:useLocalDpi xmlns:a14="http://schemas.microsoft.com/office/drawing/2010/main" val="0"/>
                      </a:ext>
                    </a:extLst>
                  </a:blip>
                  <a:srcRect t="86963"/>
                  <a:stretch/>
                </pic:blipFill>
                <pic:spPr bwMode="auto">
                  <a:xfrm>
                    <a:off x="0" y="0"/>
                    <a:ext cx="7606204" cy="14031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4D344FA" w14:textId="77777777" w:rsidR="00BA5CE6" w:rsidRDefault="00BA5CE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9AC0C" w14:textId="5AF4A2BC" w:rsidR="00BA5CE6" w:rsidRDefault="00BA5CE6">
    <w:pPr>
      <w:pStyle w:val="Footer"/>
      <w:rPr>
        <w:noProof/>
      </w:rPr>
    </w:pPr>
  </w:p>
  <w:p w14:paraId="02EA29FF" w14:textId="73766544" w:rsidR="00BA5CE6" w:rsidRDefault="0045295D" w:rsidP="0045295D">
    <w:pPr>
      <w:pStyle w:val="Footer"/>
      <w:tabs>
        <w:tab w:val="clear" w:pos="4320"/>
        <w:tab w:val="clear" w:pos="8640"/>
        <w:tab w:val="left" w:pos="114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F974FE" w14:textId="77777777" w:rsidR="00094CC6" w:rsidRDefault="00094CC6">
      <w:pPr>
        <w:spacing w:after="0"/>
      </w:pPr>
      <w:r>
        <w:separator/>
      </w:r>
    </w:p>
  </w:footnote>
  <w:footnote w:type="continuationSeparator" w:id="0">
    <w:p w14:paraId="6A20A184" w14:textId="77777777" w:rsidR="00094CC6" w:rsidRDefault="00094CC6">
      <w:pPr>
        <w:spacing w:after="0"/>
      </w:pPr>
      <w:r>
        <w:continuationSeparator/>
      </w:r>
    </w:p>
  </w:footnote>
  <w:footnote w:type="continuationNotice" w:id="1">
    <w:p w14:paraId="58C5D3A4" w14:textId="77777777" w:rsidR="00094CC6" w:rsidRDefault="00094CC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2E497" w14:textId="0F0707B5" w:rsidR="0016068B" w:rsidRDefault="00B21EB1" w:rsidP="00C02A28">
    <w:pPr>
      <w:tabs>
        <w:tab w:val="left" w:pos="3375"/>
      </w:tabs>
      <w:rPr>
        <w:noProof/>
      </w:rPr>
    </w:pPr>
    <w:r>
      <w:rPr>
        <w:noProof/>
      </w:rPr>
      <w:tab/>
    </w:r>
  </w:p>
  <w:p w14:paraId="41986A6B" w14:textId="77777777" w:rsidR="006041D8" w:rsidRDefault="006041D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DD785A"/>
    <w:multiLevelType w:val="hybridMultilevel"/>
    <w:tmpl w:val="A192DC7A"/>
    <w:lvl w:ilvl="0" w:tplc="FFFFFFFF">
      <w:start w:val="1"/>
      <w:numFmt w:val="bullet"/>
      <w:lvlText w:val=""/>
      <w:lvlJc w:val="left"/>
      <w:pPr>
        <w:ind w:left="720" w:hanging="360"/>
      </w:pPr>
      <w:rPr>
        <w:rFonts w:ascii="Symbol" w:hAnsi="Symbol" w:hint="default"/>
      </w:rPr>
    </w:lvl>
    <w:lvl w:ilvl="1" w:tplc="CD360510">
      <w:start w:val="1"/>
      <w:numFmt w:val="bullet"/>
      <w:lvlText w:val="–"/>
      <w:lvlJc w:val="left"/>
      <w:pPr>
        <w:ind w:left="1440" w:hanging="360"/>
      </w:pPr>
      <w:rPr>
        <w:rFonts w:ascii="Calibri" w:hAnsi="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9EE7728"/>
    <w:multiLevelType w:val="hybridMultilevel"/>
    <w:tmpl w:val="290AAEE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3E94665A"/>
    <w:multiLevelType w:val="hybridMultilevel"/>
    <w:tmpl w:val="05443F5A"/>
    <w:numStyleLink w:val="ImportedStyle1"/>
  </w:abstractNum>
  <w:abstractNum w:abstractNumId="3" w15:restartNumberingAfterBreak="0">
    <w:nsid w:val="531E6823"/>
    <w:multiLevelType w:val="hybridMultilevel"/>
    <w:tmpl w:val="8C7627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7DC37DB"/>
    <w:multiLevelType w:val="hybridMultilevel"/>
    <w:tmpl w:val="05443F5A"/>
    <w:styleLink w:val="ImportedStyle1"/>
    <w:lvl w:ilvl="0" w:tplc="ECAAE6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53477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4043E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128461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5DC400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A9031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9E0E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C8094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9F83D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09969A9"/>
    <w:multiLevelType w:val="multilevel"/>
    <w:tmpl w:val="B0E6DA5C"/>
    <w:lvl w:ilvl="0">
      <w:start w:val="1"/>
      <w:numFmt w:val="decimal"/>
      <w:pStyle w:val="TeThHauora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7C7611C8"/>
    <w:multiLevelType w:val="hybridMultilevel"/>
    <w:tmpl w:val="E0F6DED0"/>
    <w:lvl w:ilvl="0" w:tplc="14090001">
      <w:start w:val="1"/>
      <w:numFmt w:val="bullet"/>
      <w:lvlText w:val=""/>
      <w:lvlJc w:val="left"/>
      <w:pPr>
        <w:ind w:left="360" w:hanging="360"/>
      </w:pPr>
      <w:rPr>
        <w:rFonts w:ascii="Symbol" w:hAnsi="Symbol" w:hint="default"/>
      </w:rPr>
    </w:lvl>
    <w:lvl w:ilvl="1" w:tplc="14090003">
      <w:start w:val="1"/>
      <w:numFmt w:val="bullet"/>
      <w:lvlText w:val="o"/>
      <w:lvlJc w:val="left"/>
      <w:pPr>
        <w:ind w:left="1080" w:hanging="360"/>
      </w:pPr>
      <w:rPr>
        <w:rFonts w:ascii="Courier New" w:hAnsi="Courier New" w:cs="Courier New" w:hint="default"/>
      </w:rPr>
    </w:lvl>
    <w:lvl w:ilvl="2" w:tplc="14090005">
      <w:start w:val="1"/>
      <w:numFmt w:val="bullet"/>
      <w:lvlText w:val=""/>
      <w:lvlJc w:val="left"/>
      <w:pPr>
        <w:ind w:left="1800" w:hanging="360"/>
      </w:pPr>
      <w:rPr>
        <w:rFonts w:ascii="Wingdings" w:hAnsi="Wingdings" w:hint="default"/>
      </w:rPr>
    </w:lvl>
    <w:lvl w:ilvl="3" w:tplc="1409000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num w:numId="1" w16cid:durableId="923757789">
    <w:abstractNumId w:val="4"/>
  </w:num>
  <w:num w:numId="2" w16cid:durableId="120270677">
    <w:abstractNumId w:val="2"/>
  </w:num>
  <w:num w:numId="3" w16cid:durableId="1537736995">
    <w:abstractNumId w:val="3"/>
  </w:num>
  <w:num w:numId="4" w16cid:durableId="1245603178">
    <w:abstractNumId w:val="5"/>
  </w:num>
  <w:num w:numId="5" w16cid:durableId="1728144964">
    <w:abstractNumId w:val="6"/>
  </w:num>
  <w:num w:numId="6" w16cid:durableId="815337039">
    <w:abstractNumId w:val="1"/>
  </w:num>
  <w:num w:numId="7" w16cid:durableId="176548864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removePersonalInformation/>
  <w:removeDateAndTime/>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2E92"/>
    <w:rsid w:val="00000CA2"/>
    <w:rsid w:val="000077C8"/>
    <w:rsid w:val="00011C09"/>
    <w:rsid w:val="00012E67"/>
    <w:rsid w:val="00020CCE"/>
    <w:rsid w:val="0002733F"/>
    <w:rsid w:val="00027B71"/>
    <w:rsid w:val="00041878"/>
    <w:rsid w:val="000837BC"/>
    <w:rsid w:val="00094CC6"/>
    <w:rsid w:val="00094DB0"/>
    <w:rsid w:val="000A0616"/>
    <w:rsid w:val="000A0DD7"/>
    <w:rsid w:val="000A5131"/>
    <w:rsid w:val="000B0058"/>
    <w:rsid w:val="000B56F2"/>
    <w:rsid w:val="000D771F"/>
    <w:rsid w:val="000E2CB6"/>
    <w:rsid w:val="000F2285"/>
    <w:rsid w:val="001075F8"/>
    <w:rsid w:val="001157F1"/>
    <w:rsid w:val="00115F9F"/>
    <w:rsid w:val="00124AFD"/>
    <w:rsid w:val="00132085"/>
    <w:rsid w:val="0013251D"/>
    <w:rsid w:val="0013475E"/>
    <w:rsid w:val="0013700D"/>
    <w:rsid w:val="0014173D"/>
    <w:rsid w:val="00143D53"/>
    <w:rsid w:val="0014415A"/>
    <w:rsid w:val="0014621C"/>
    <w:rsid w:val="00146CB9"/>
    <w:rsid w:val="0016068B"/>
    <w:rsid w:val="00164B7B"/>
    <w:rsid w:val="00171077"/>
    <w:rsid w:val="00177A2B"/>
    <w:rsid w:val="0018696E"/>
    <w:rsid w:val="0019239A"/>
    <w:rsid w:val="001A0488"/>
    <w:rsid w:val="001A3F40"/>
    <w:rsid w:val="001A7C72"/>
    <w:rsid w:val="001B0F09"/>
    <w:rsid w:val="001B3604"/>
    <w:rsid w:val="001D08B9"/>
    <w:rsid w:val="00213718"/>
    <w:rsid w:val="00221607"/>
    <w:rsid w:val="00230B4D"/>
    <w:rsid w:val="00231128"/>
    <w:rsid w:val="002367B5"/>
    <w:rsid w:val="00240BF1"/>
    <w:rsid w:val="002413E6"/>
    <w:rsid w:val="0024313A"/>
    <w:rsid w:val="00247D04"/>
    <w:rsid w:val="0025330F"/>
    <w:rsid w:val="00256F29"/>
    <w:rsid w:val="00272C8E"/>
    <w:rsid w:val="00273485"/>
    <w:rsid w:val="00276B9A"/>
    <w:rsid w:val="002825EB"/>
    <w:rsid w:val="00282E2C"/>
    <w:rsid w:val="00285E26"/>
    <w:rsid w:val="00286421"/>
    <w:rsid w:val="00287290"/>
    <w:rsid w:val="002905C2"/>
    <w:rsid w:val="0029520E"/>
    <w:rsid w:val="002A65AD"/>
    <w:rsid w:val="002A740D"/>
    <w:rsid w:val="002A7CFA"/>
    <w:rsid w:val="002B2179"/>
    <w:rsid w:val="002B250C"/>
    <w:rsid w:val="002B44F5"/>
    <w:rsid w:val="002C63FC"/>
    <w:rsid w:val="002C7669"/>
    <w:rsid w:val="002C7CBE"/>
    <w:rsid w:val="002D3DC3"/>
    <w:rsid w:val="002D5BD3"/>
    <w:rsid w:val="002D6FA5"/>
    <w:rsid w:val="002D76F9"/>
    <w:rsid w:val="002E1D54"/>
    <w:rsid w:val="002F10E4"/>
    <w:rsid w:val="003152A5"/>
    <w:rsid w:val="00324F5E"/>
    <w:rsid w:val="00330316"/>
    <w:rsid w:val="00335839"/>
    <w:rsid w:val="0034213F"/>
    <w:rsid w:val="00356932"/>
    <w:rsid w:val="00362D94"/>
    <w:rsid w:val="0036359B"/>
    <w:rsid w:val="00367005"/>
    <w:rsid w:val="0039074B"/>
    <w:rsid w:val="00395BAD"/>
    <w:rsid w:val="00397FDA"/>
    <w:rsid w:val="003A1CB8"/>
    <w:rsid w:val="003B1A0A"/>
    <w:rsid w:val="003B20A8"/>
    <w:rsid w:val="003B566B"/>
    <w:rsid w:val="003B67EB"/>
    <w:rsid w:val="003B7180"/>
    <w:rsid w:val="003C4819"/>
    <w:rsid w:val="003D66C6"/>
    <w:rsid w:val="003D7976"/>
    <w:rsid w:val="003E3651"/>
    <w:rsid w:val="003E5944"/>
    <w:rsid w:val="003F5524"/>
    <w:rsid w:val="003F584B"/>
    <w:rsid w:val="004006BD"/>
    <w:rsid w:val="004034A9"/>
    <w:rsid w:val="00406427"/>
    <w:rsid w:val="00413781"/>
    <w:rsid w:val="00417AF7"/>
    <w:rsid w:val="00422236"/>
    <w:rsid w:val="00423A99"/>
    <w:rsid w:val="004265FA"/>
    <w:rsid w:val="00427ACD"/>
    <w:rsid w:val="00430D7D"/>
    <w:rsid w:val="00444575"/>
    <w:rsid w:val="0045295D"/>
    <w:rsid w:val="00454418"/>
    <w:rsid w:val="00454C23"/>
    <w:rsid w:val="00455280"/>
    <w:rsid w:val="00460759"/>
    <w:rsid w:val="00470F44"/>
    <w:rsid w:val="00474668"/>
    <w:rsid w:val="004777A7"/>
    <w:rsid w:val="00483CEB"/>
    <w:rsid w:val="00492030"/>
    <w:rsid w:val="004975A0"/>
    <w:rsid w:val="004B4847"/>
    <w:rsid w:val="004C7E81"/>
    <w:rsid w:val="004D3EAD"/>
    <w:rsid w:val="004D4268"/>
    <w:rsid w:val="004D5382"/>
    <w:rsid w:val="004D713A"/>
    <w:rsid w:val="004D78A7"/>
    <w:rsid w:val="004E5D7C"/>
    <w:rsid w:val="004F0C35"/>
    <w:rsid w:val="00515722"/>
    <w:rsid w:val="00520805"/>
    <w:rsid w:val="005221CC"/>
    <w:rsid w:val="00533C8E"/>
    <w:rsid w:val="00533CD5"/>
    <w:rsid w:val="00535858"/>
    <w:rsid w:val="005515F5"/>
    <w:rsid w:val="00552F62"/>
    <w:rsid w:val="005652E6"/>
    <w:rsid w:val="005827C6"/>
    <w:rsid w:val="005846D0"/>
    <w:rsid w:val="00594EAE"/>
    <w:rsid w:val="00597294"/>
    <w:rsid w:val="005A66F5"/>
    <w:rsid w:val="005B6173"/>
    <w:rsid w:val="005C005C"/>
    <w:rsid w:val="005C13C8"/>
    <w:rsid w:val="005D174E"/>
    <w:rsid w:val="005D5FE4"/>
    <w:rsid w:val="005D71E5"/>
    <w:rsid w:val="005E0D84"/>
    <w:rsid w:val="005E44DE"/>
    <w:rsid w:val="005E4C89"/>
    <w:rsid w:val="005F1902"/>
    <w:rsid w:val="005F3877"/>
    <w:rsid w:val="005F7452"/>
    <w:rsid w:val="00600D98"/>
    <w:rsid w:val="006041D8"/>
    <w:rsid w:val="00607BB6"/>
    <w:rsid w:val="00617689"/>
    <w:rsid w:val="0063594E"/>
    <w:rsid w:val="00636946"/>
    <w:rsid w:val="00646F78"/>
    <w:rsid w:val="0066318C"/>
    <w:rsid w:val="00671C43"/>
    <w:rsid w:val="00675415"/>
    <w:rsid w:val="00681543"/>
    <w:rsid w:val="00684EC0"/>
    <w:rsid w:val="00691E9F"/>
    <w:rsid w:val="006A123F"/>
    <w:rsid w:val="006B099A"/>
    <w:rsid w:val="006D09BC"/>
    <w:rsid w:val="006D4035"/>
    <w:rsid w:val="006D504E"/>
    <w:rsid w:val="006D59A5"/>
    <w:rsid w:val="006D5C07"/>
    <w:rsid w:val="006E69D5"/>
    <w:rsid w:val="006E7D8E"/>
    <w:rsid w:val="006F732A"/>
    <w:rsid w:val="00702E92"/>
    <w:rsid w:val="007100A6"/>
    <w:rsid w:val="00711A02"/>
    <w:rsid w:val="00717146"/>
    <w:rsid w:val="00720BCA"/>
    <w:rsid w:val="00721C63"/>
    <w:rsid w:val="0072396C"/>
    <w:rsid w:val="00732A29"/>
    <w:rsid w:val="007372AF"/>
    <w:rsid w:val="007475F0"/>
    <w:rsid w:val="007527E5"/>
    <w:rsid w:val="00754A34"/>
    <w:rsid w:val="00754EF6"/>
    <w:rsid w:val="007575BE"/>
    <w:rsid w:val="00764343"/>
    <w:rsid w:val="00764A1B"/>
    <w:rsid w:val="0077016F"/>
    <w:rsid w:val="00774FB3"/>
    <w:rsid w:val="00776123"/>
    <w:rsid w:val="0077794C"/>
    <w:rsid w:val="00787C6B"/>
    <w:rsid w:val="00787F41"/>
    <w:rsid w:val="007A1683"/>
    <w:rsid w:val="007A37C1"/>
    <w:rsid w:val="007A70DE"/>
    <w:rsid w:val="007B3648"/>
    <w:rsid w:val="007B468F"/>
    <w:rsid w:val="007C43F5"/>
    <w:rsid w:val="007C47FD"/>
    <w:rsid w:val="007D0CCA"/>
    <w:rsid w:val="007D443A"/>
    <w:rsid w:val="007E391C"/>
    <w:rsid w:val="007F3830"/>
    <w:rsid w:val="0080196C"/>
    <w:rsid w:val="008166FD"/>
    <w:rsid w:val="008265E2"/>
    <w:rsid w:val="00833C5D"/>
    <w:rsid w:val="00844836"/>
    <w:rsid w:val="00852BFA"/>
    <w:rsid w:val="00854CC4"/>
    <w:rsid w:val="00860359"/>
    <w:rsid w:val="00870EB7"/>
    <w:rsid w:val="008720A3"/>
    <w:rsid w:val="00897921"/>
    <w:rsid w:val="008A2CAD"/>
    <w:rsid w:val="008A40D2"/>
    <w:rsid w:val="008A6462"/>
    <w:rsid w:val="008B1FD3"/>
    <w:rsid w:val="008B2593"/>
    <w:rsid w:val="008D6BFA"/>
    <w:rsid w:val="008E6789"/>
    <w:rsid w:val="008F0933"/>
    <w:rsid w:val="008F57A4"/>
    <w:rsid w:val="0090425C"/>
    <w:rsid w:val="009067F6"/>
    <w:rsid w:val="00913BF0"/>
    <w:rsid w:val="009155FE"/>
    <w:rsid w:val="00933517"/>
    <w:rsid w:val="00933CB5"/>
    <w:rsid w:val="0093543E"/>
    <w:rsid w:val="00935834"/>
    <w:rsid w:val="00954BA9"/>
    <w:rsid w:val="0096552D"/>
    <w:rsid w:val="00965A70"/>
    <w:rsid w:val="00967DCA"/>
    <w:rsid w:val="00973F97"/>
    <w:rsid w:val="00974485"/>
    <w:rsid w:val="009758AC"/>
    <w:rsid w:val="00977C86"/>
    <w:rsid w:val="00981899"/>
    <w:rsid w:val="0098622A"/>
    <w:rsid w:val="009951FC"/>
    <w:rsid w:val="009C21FD"/>
    <w:rsid w:val="009D5DE3"/>
    <w:rsid w:val="009D7E86"/>
    <w:rsid w:val="009E5D41"/>
    <w:rsid w:val="009F4CC1"/>
    <w:rsid w:val="009F4D74"/>
    <w:rsid w:val="00A01F59"/>
    <w:rsid w:val="00A14567"/>
    <w:rsid w:val="00A250C5"/>
    <w:rsid w:val="00A33A58"/>
    <w:rsid w:val="00A36368"/>
    <w:rsid w:val="00A61C47"/>
    <w:rsid w:val="00A66783"/>
    <w:rsid w:val="00A66DEE"/>
    <w:rsid w:val="00A73413"/>
    <w:rsid w:val="00AA06E6"/>
    <w:rsid w:val="00AA17DB"/>
    <w:rsid w:val="00AA1F6A"/>
    <w:rsid w:val="00AA672E"/>
    <w:rsid w:val="00AB581C"/>
    <w:rsid w:val="00AC1503"/>
    <w:rsid w:val="00AC79E4"/>
    <w:rsid w:val="00AD3A70"/>
    <w:rsid w:val="00AD73B4"/>
    <w:rsid w:val="00AF0B5C"/>
    <w:rsid w:val="00B145E5"/>
    <w:rsid w:val="00B14FD4"/>
    <w:rsid w:val="00B21EB1"/>
    <w:rsid w:val="00B2443F"/>
    <w:rsid w:val="00B26847"/>
    <w:rsid w:val="00B35036"/>
    <w:rsid w:val="00B55449"/>
    <w:rsid w:val="00B61D3A"/>
    <w:rsid w:val="00B624EA"/>
    <w:rsid w:val="00B62CF7"/>
    <w:rsid w:val="00B710D9"/>
    <w:rsid w:val="00B71711"/>
    <w:rsid w:val="00B7436B"/>
    <w:rsid w:val="00BA04FB"/>
    <w:rsid w:val="00BA4063"/>
    <w:rsid w:val="00BA5CE6"/>
    <w:rsid w:val="00BB2767"/>
    <w:rsid w:val="00BB5602"/>
    <w:rsid w:val="00BB6C97"/>
    <w:rsid w:val="00BE2B8F"/>
    <w:rsid w:val="00BE4046"/>
    <w:rsid w:val="00C005C6"/>
    <w:rsid w:val="00C01C04"/>
    <w:rsid w:val="00C02A28"/>
    <w:rsid w:val="00C13445"/>
    <w:rsid w:val="00C16A42"/>
    <w:rsid w:val="00C2146D"/>
    <w:rsid w:val="00C2264D"/>
    <w:rsid w:val="00C23DD2"/>
    <w:rsid w:val="00C2610B"/>
    <w:rsid w:val="00C32916"/>
    <w:rsid w:val="00C349CF"/>
    <w:rsid w:val="00C376DB"/>
    <w:rsid w:val="00C465FD"/>
    <w:rsid w:val="00C536EC"/>
    <w:rsid w:val="00C56CB7"/>
    <w:rsid w:val="00C6082A"/>
    <w:rsid w:val="00C6599A"/>
    <w:rsid w:val="00C775E0"/>
    <w:rsid w:val="00C84E8D"/>
    <w:rsid w:val="00C8616D"/>
    <w:rsid w:val="00C87EB8"/>
    <w:rsid w:val="00C97339"/>
    <w:rsid w:val="00CA6CCF"/>
    <w:rsid w:val="00CC0C47"/>
    <w:rsid w:val="00CD34E3"/>
    <w:rsid w:val="00CE26FC"/>
    <w:rsid w:val="00CE3F0A"/>
    <w:rsid w:val="00CF6A4C"/>
    <w:rsid w:val="00D051C2"/>
    <w:rsid w:val="00D12D03"/>
    <w:rsid w:val="00D143F0"/>
    <w:rsid w:val="00D14E1A"/>
    <w:rsid w:val="00D15566"/>
    <w:rsid w:val="00D2105C"/>
    <w:rsid w:val="00D21149"/>
    <w:rsid w:val="00D232BF"/>
    <w:rsid w:val="00D23D0B"/>
    <w:rsid w:val="00D309AC"/>
    <w:rsid w:val="00D34468"/>
    <w:rsid w:val="00D6285F"/>
    <w:rsid w:val="00D67605"/>
    <w:rsid w:val="00D678DF"/>
    <w:rsid w:val="00D75EAB"/>
    <w:rsid w:val="00D8429C"/>
    <w:rsid w:val="00D91F30"/>
    <w:rsid w:val="00DB22D5"/>
    <w:rsid w:val="00DB6065"/>
    <w:rsid w:val="00DB720A"/>
    <w:rsid w:val="00DC288E"/>
    <w:rsid w:val="00DD632F"/>
    <w:rsid w:val="00DD7788"/>
    <w:rsid w:val="00DE3072"/>
    <w:rsid w:val="00DE7489"/>
    <w:rsid w:val="00E248F4"/>
    <w:rsid w:val="00E35A3B"/>
    <w:rsid w:val="00E43A4D"/>
    <w:rsid w:val="00E440B9"/>
    <w:rsid w:val="00E51755"/>
    <w:rsid w:val="00E51F21"/>
    <w:rsid w:val="00E54390"/>
    <w:rsid w:val="00E60FD6"/>
    <w:rsid w:val="00E614BD"/>
    <w:rsid w:val="00E63A95"/>
    <w:rsid w:val="00E668DE"/>
    <w:rsid w:val="00EB6639"/>
    <w:rsid w:val="00EC217B"/>
    <w:rsid w:val="00ED000C"/>
    <w:rsid w:val="00ED7B88"/>
    <w:rsid w:val="00EE50C9"/>
    <w:rsid w:val="00EF4E2A"/>
    <w:rsid w:val="00EF6D8E"/>
    <w:rsid w:val="00F07A32"/>
    <w:rsid w:val="00F108B8"/>
    <w:rsid w:val="00F21111"/>
    <w:rsid w:val="00F250E8"/>
    <w:rsid w:val="00F2744E"/>
    <w:rsid w:val="00F347DC"/>
    <w:rsid w:val="00F354D2"/>
    <w:rsid w:val="00F359A5"/>
    <w:rsid w:val="00F36B6C"/>
    <w:rsid w:val="00F37FA3"/>
    <w:rsid w:val="00F4430B"/>
    <w:rsid w:val="00F47F9F"/>
    <w:rsid w:val="00F677F9"/>
    <w:rsid w:val="00F810B6"/>
    <w:rsid w:val="00F81AD5"/>
    <w:rsid w:val="00F823C8"/>
    <w:rsid w:val="00F90EC6"/>
    <w:rsid w:val="00FA15CA"/>
    <w:rsid w:val="00FA424E"/>
    <w:rsid w:val="00FD1DC0"/>
    <w:rsid w:val="00FD2B96"/>
    <w:rsid w:val="00FD4B6B"/>
    <w:rsid w:val="00FE1721"/>
    <w:rsid w:val="00FF538D"/>
    <w:rsid w:val="00FF6566"/>
    <w:rsid w:val="00FF733B"/>
    <w:rsid w:val="00FF762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F332B3D"/>
  <w14:defaultImageDpi w14:val="3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50E8"/>
    <w:pPr>
      <w:spacing w:after="120" w:line="276" w:lineRule="auto"/>
    </w:pPr>
    <w:rPr>
      <w:rFonts w:ascii="Arial" w:eastAsiaTheme="minorHAnsi" w:hAnsi="Arial" w:cstheme="minorBidi"/>
      <w:sz w:val="22"/>
      <w:szCs w:val="22"/>
      <w:lang w:val="en-NZ"/>
    </w:rPr>
  </w:style>
  <w:style w:type="paragraph" w:styleId="Heading1">
    <w:name w:val="heading 1"/>
    <w:basedOn w:val="Normal"/>
    <w:next w:val="Normal"/>
    <w:link w:val="Heading1Char"/>
    <w:uiPriority w:val="9"/>
    <w:qFormat/>
    <w:rsid w:val="0045295D"/>
    <w:pPr>
      <w:keepNext/>
      <w:keepLines/>
      <w:spacing w:before="240" w:after="0"/>
      <w:outlineLvl w:val="0"/>
    </w:pPr>
    <w:rPr>
      <w:rFonts w:eastAsiaTheme="majorEastAsia" w:cstheme="majorBidi"/>
      <w:b/>
      <w:color w:val="293868"/>
      <w:sz w:val="36"/>
      <w:szCs w:val="32"/>
    </w:rPr>
  </w:style>
  <w:style w:type="paragraph" w:styleId="Heading2">
    <w:name w:val="heading 2"/>
    <w:basedOn w:val="Heading1"/>
    <w:next w:val="Normal"/>
    <w:link w:val="Heading2Char"/>
    <w:uiPriority w:val="9"/>
    <w:unhideWhenUsed/>
    <w:qFormat/>
    <w:rsid w:val="0045295D"/>
    <w:pPr>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pPr>
      <w:widowControl w:val="0"/>
      <w:autoSpaceDE w:val="0"/>
      <w:autoSpaceDN w:val="0"/>
      <w:adjustRightInd w:val="0"/>
      <w:spacing w:after="0" w:line="288" w:lineRule="auto"/>
      <w:textAlignment w:val="center"/>
    </w:pPr>
    <w:rPr>
      <w:rFonts w:ascii="Times-Roman" w:hAnsi="Times-Roman" w:cs="AvenirLTStd-Roman"/>
      <w:color w:val="000000"/>
      <w:lang w:val="en-US"/>
    </w:rPr>
  </w:style>
  <w:style w:type="paragraph" w:styleId="Header">
    <w:name w:val="header"/>
    <w:basedOn w:val="Normal"/>
    <w:unhideWhenUsed/>
    <w:pPr>
      <w:tabs>
        <w:tab w:val="center" w:pos="4320"/>
        <w:tab w:val="right" w:pos="8640"/>
      </w:tabs>
      <w:spacing w:after="0"/>
    </w:pPr>
  </w:style>
  <w:style w:type="character" w:customStyle="1" w:styleId="HeaderChar">
    <w:name w:val="Header Char"/>
    <w:rPr>
      <w:sz w:val="24"/>
      <w:szCs w:val="24"/>
      <w:lang w:val="en-GB"/>
    </w:rPr>
  </w:style>
  <w:style w:type="paragraph" w:styleId="Footer">
    <w:name w:val="footer"/>
    <w:basedOn w:val="Normal"/>
    <w:unhideWhenUsed/>
    <w:pPr>
      <w:tabs>
        <w:tab w:val="center" w:pos="4320"/>
        <w:tab w:val="right" w:pos="8640"/>
      </w:tabs>
      <w:spacing w:after="0"/>
    </w:pPr>
  </w:style>
  <w:style w:type="character" w:customStyle="1" w:styleId="FooterChar">
    <w:name w:val="Footer Char"/>
    <w:semiHidden/>
    <w:rPr>
      <w:sz w:val="24"/>
      <w:szCs w:val="24"/>
      <w:lang w:val="en-GB"/>
    </w:rPr>
  </w:style>
  <w:style w:type="paragraph" w:customStyle="1" w:styleId="contactdetails">
    <w:name w:val="contact details"/>
    <w:basedOn w:val="Normal"/>
    <w:pPr>
      <w:widowControl w:val="0"/>
      <w:tabs>
        <w:tab w:val="left" w:pos="280"/>
        <w:tab w:val="left" w:pos="460"/>
      </w:tabs>
      <w:autoSpaceDE w:val="0"/>
      <w:autoSpaceDN w:val="0"/>
      <w:adjustRightInd w:val="0"/>
      <w:spacing w:after="0" w:line="240" w:lineRule="atLeast"/>
      <w:textAlignment w:val="center"/>
    </w:pPr>
    <w:rPr>
      <w:rFonts w:ascii="AvenirLTStd-Roman" w:eastAsia="Times New Roman" w:hAnsi="AvenirLTStd-Roman" w:cs="AvenirLTStd-Roman"/>
      <w:color w:val="000000"/>
      <w:sz w:val="17"/>
      <w:szCs w:val="17"/>
      <w:lang w:val="en-US" w:bidi="en-US"/>
    </w:rPr>
  </w:style>
  <w:style w:type="paragraph" w:customStyle="1" w:styleId="TeThHauorabodytext">
    <w:name w:val="Te Tāhū Hauora body text"/>
    <w:qFormat/>
    <w:rsid w:val="0045295D"/>
    <w:pPr>
      <w:pBdr>
        <w:top w:val="nil"/>
        <w:left w:val="nil"/>
        <w:bottom w:val="nil"/>
        <w:right w:val="nil"/>
        <w:between w:val="nil"/>
        <w:bar w:val="nil"/>
      </w:pBdr>
      <w:spacing w:after="120" w:line="276" w:lineRule="auto"/>
    </w:pPr>
    <w:rPr>
      <w:rFonts w:ascii="Arial" w:eastAsia="Arial Unicode MS" w:hAnsi="Arial" w:cs="Arial Unicode MS"/>
      <w:color w:val="000000"/>
      <w:sz w:val="22"/>
      <w:szCs w:val="22"/>
      <w:u w:color="000000"/>
      <w:bdr w:val="nil"/>
      <w:lang w:val="en-US" w:eastAsia="en-NZ"/>
    </w:rPr>
  </w:style>
  <w:style w:type="numbering" w:customStyle="1" w:styleId="ImportedStyle1">
    <w:name w:val="Imported Style 1"/>
    <w:rsid w:val="0045295D"/>
    <w:pPr>
      <w:numPr>
        <w:numId w:val="1"/>
      </w:numPr>
    </w:pPr>
  </w:style>
  <w:style w:type="character" w:customStyle="1" w:styleId="Heading1Char">
    <w:name w:val="Heading 1 Char"/>
    <w:basedOn w:val="DefaultParagraphFont"/>
    <w:link w:val="Heading1"/>
    <w:uiPriority w:val="9"/>
    <w:rsid w:val="0045295D"/>
    <w:rPr>
      <w:rFonts w:ascii="Arial" w:eastAsiaTheme="majorEastAsia" w:hAnsi="Arial" w:cstheme="majorBidi"/>
      <w:b/>
      <w:color w:val="293868"/>
      <w:sz w:val="36"/>
      <w:szCs w:val="32"/>
      <w:lang w:val="en-NZ"/>
    </w:rPr>
  </w:style>
  <w:style w:type="paragraph" w:styleId="Revision">
    <w:name w:val="Revision"/>
    <w:hidden/>
    <w:uiPriority w:val="99"/>
    <w:semiHidden/>
    <w:rsid w:val="0045295D"/>
    <w:rPr>
      <w:rFonts w:ascii="Arial" w:hAnsi="Arial"/>
      <w:sz w:val="22"/>
      <w:szCs w:val="24"/>
      <w:lang w:val="en-NZ"/>
    </w:rPr>
  </w:style>
  <w:style w:type="character" w:customStyle="1" w:styleId="Heading2Char">
    <w:name w:val="Heading 2 Char"/>
    <w:basedOn w:val="DefaultParagraphFont"/>
    <w:link w:val="Heading2"/>
    <w:uiPriority w:val="9"/>
    <w:rsid w:val="0045295D"/>
    <w:rPr>
      <w:rFonts w:ascii="Arial" w:eastAsiaTheme="majorEastAsia" w:hAnsi="Arial" w:cstheme="majorBidi"/>
      <w:b/>
      <w:color w:val="293868"/>
      <w:sz w:val="28"/>
      <w:szCs w:val="32"/>
      <w:lang w:val="en-NZ"/>
    </w:rPr>
  </w:style>
  <w:style w:type="character" w:styleId="CommentReference">
    <w:name w:val="annotation reference"/>
    <w:basedOn w:val="DefaultParagraphFont"/>
    <w:uiPriority w:val="99"/>
    <w:semiHidden/>
    <w:unhideWhenUsed/>
    <w:rsid w:val="000A0DD7"/>
    <w:rPr>
      <w:sz w:val="16"/>
      <w:szCs w:val="16"/>
    </w:rPr>
  </w:style>
  <w:style w:type="paragraph" w:styleId="CommentText">
    <w:name w:val="annotation text"/>
    <w:basedOn w:val="Normal"/>
    <w:link w:val="CommentTextChar"/>
    <w:uiPriority w:val="99"/>
    <w:unhideWhenUsed/>
    <w:rsid w:val="000A0DD7"/>
    <w:pPr>
      <w:spacing w:line="240" w:lineRule="auto"/>
    </w:pPr>
    <w:rPr>
      <w:sz w:val="20"/>
      <w:szCs w:val="20"/>
    </w:rPr>
  </w:style>
  <w:style w:type="character" w:customStyle="1" w:styleId="CommentTextChar">
    <w:name w:val="Comment Text Char"/>
    <w:basedOn w:val="DefaultParagraphFont"/>
    <w:link w:val="CommentText"/>
    <w:uiPriority w:val="99"/>
    <w:rsid w:val="000A0DD7"/>
    <w:rPr>
      <w:rFonts w:ascii="Arial" w:hAnsi="Arial"/>
      <w:lang w:val="en-NZ"/>
    </w:rPr>
  </w:style>
  <w:style w:type="paragraph" w:styleId="CommentSubject">
    <w:name w:val="annotation subject"/>
    <w:basedOn w:val="CommentText"/>
    <w:next w:val="CommentText"/>
    <w:link w:val="CommentSubjectChar"/>
    <w:uiPriority w:val="99"/>
    <w:semiHidden/>
    <w:unhideWhenUsed/>
    <w:rsid w:val="000A0DD7"/>
    <w:rPr>
      <w:b/>
      <w:bCs/>
    </w:rPr>
  </w:style>
  <w:style w:type="character" w:customStyle="1" w:styleId="CommentSubjectChar">
    <w:name w:val="Comment Subject Char"/>
    <w:basedOn w:val="CommentTextChar"/>
    <w:link w:val="CommentSubject"/>
    <w:uiPriority w:val="99"/>
    <w:semiHidden/>
    <w:rsid w:val="000A0DD7"/>
    <w:rPr>
      <w:rFonts w:ascii="Arial" w:hAnsi="Arial"/>
      <w:b/>
      <w:bCs/>
      <w:lang w:val="en-NZ"/>
    </w:rPr>
  </w:style>
  <w:style w:type="character" w:styleId="Hyperlink">
    <w:name w:val="Hyperlink"/>
    <w:basedOn w:val="DefaultParagraphFont"/>
    <w:uiPriority w:val="99"/>
    <w:unhideWhenUsed/>
    <w:rsid w:val="003B7180"/>
    <w:rPr>
      <w:color w:val="0000FF" w:themeColor="hyperlink"/>
      <w:u w:val="single"/>
    </w:rPr>
  </w:style>
  <w:style w:type="character" w:styleId="UnresolvedMention">
    <w:name w:val="Unresolved Mention"/>
    <w:basedOn w:val="DefaultParagraphFont"/>
    <w:uiPriority w:val="99"/>
    <w:semiHidden/>
    <w:unhideWhenUsed/>
    <w:rsid w:val="003B7180"/>
    <w:rPr>
      <w:color w:val="605E5C"/>
      <w:shd w:val="clear" w:color="auto" w:fill="E1DFDD"/>
    </w:rPr>
  </w:style>
  <w:style w:type="character" w:styleId="Mention">
    <w:name w:val="Mention"/>
    <w:basedOn w:val="DefaultParagraphFont"/>
    <w:uiPriority w:val="99"/>
    <w:unhideWhenUsed/>
    <w:rsid w:val="007527E5"/>
    <w:rPr>
      <w:color w:val="2B579A"/>
      <w:shd w:val="clear" w:color="auto" w:fill="E1DFDD"/>
    </w:rPr>
  </w:style>
  <w:style w:type="table" w:styleId="TableGrid">
    <w:name w:val="Table Grid"/>
    <w:basedOn w:val="TableNormal"/>
    <w:uiPriority w:val="59"/>
    <w:rsid w:val="00F250E8"/>
    <w:rPr>
      <w:rFonts w:asciiTheme="minorHAnsi" w:eastAsiaTheme="minorHAnsi" w:hAnsiTheme="minorHAnsi" w:cstheme="minorBid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ThHauorahead1">
    <w:name w:val="Te Tāhū Hauora head 1"/>
    <w:basedOn w:val="Heading1"/>
    <w:qFormat/>
    <w:rsid w:val="00F250E8"/>
    <w:pPr>
      <w:spacing w:before="360" w:after="240" w:line="240" w:lineRule="auto"/>
    </w:pPr>
    <w:rPr>
      <w:rFonts w:cs="Arial"/>
    </w:rPr>
  </w:style>
  <w:style w:type="paragraph" w:customStyle="1" w:styleId="TeThHauorabullets">
    <w:name w:val="Te Tāhū Hauora bullets"/>
    <w:basedOn w:val="Normal"/>
    <w:qFormat/>
    <w:rsid w:val="00F250E8"/>
    <w:pPr>
      <w:numPr>
        <w:numId w:val="4"/>
      </w:numPr>
      <w:spacing w:after="60"/>
      <w:ind w:left="357" w:hanging="357"/>
    </w:pPr>
    <w:rPr>
      <w:rFonts w:cs="Arial"/>
    </w:rPr>
  </w:style>
  <w:style w:type="paragraph" w:customStyle="1" w:styleId="TeThHauoratablefigurecaption">
    <w:name w:val="Te Tāhū Hauora table/figure caption"/>
    <w:basedOn w:val="Normal"/>
    <w:qFormat/>
    <w:rsid w:val="00F250E8"/>
    <w:rPr>
      <w:rFonts w:cs="Arial"/>
      <w:b/>
    </w:rPr>
  </w:style>
  <w:style w:type="paragraph" w:customStyle="1" w:styleId="TeThHauorabodytextbold">
    <w:name w:val="Te Tāhū Hauora body text + bold"/>
    <w:basedOn w:val="TeThHauorabodytext"/>
    <w:qFormat/>
    <w:rsid w:val="00F250E8"/>
    <w:pPr>
      <w:pBdr>
        <w:top w:val="none" w:sz="0" w:space="0" w:color="auto"/>
        <w:left w:val="none" w:sz="0" w:space="0" w:color="auto"/>
        <w:bottom w:val="none" w:sz="0" w:space="0" w:color="auto"/>
        <w:right w:val="none" w:sz="0" w:space="0" w:color="auto"/>
        <w:between w:val="none" w:sz="0" w:space="0" w:color="auto"/>
        <w:bar w:val="none" w:sz="0" w:color="auto"/>
      </w:pBdr>
    </w:pPr>
    <w:rPr>
      <w:rFonts w:eastAsiaTheme="minorHAnsi" w:cs="Arial"/>
      <w:b/>
      <w:bCs/>
      <w:color w:val="auto"/>
      <w:bdr w:val="none" w:sz="0" w:space="0" w:color="auto"/>
      <w:lang w:val="en-NZ" w:eastAsia="en-US"/>
    </w:rPr>
  </w:style>
  <w:style w:type="character" w:styleId="FollowedHyperlink">
    <w:name w:val="FollowedHyperlink"/>
    <w:basedOn w:val="DefaultParagraphFont"/>
    <w:uiPriority w:val="99"/>
    <w:semiHidden/>
    <w:unhideWhenUsed/>
    <w:rsid w:val="007C47F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585238">
      <w:bodyDiv w:val="1"/>
      <w:marLeft w:val="0"/>
      <w:marRight w:val="0"/>
      <w:marTop w:val="0"/>
      <w:marBottom w:val="0"/>
      <w:divBdr>
        <w:top w:val="none" w:sz="0" w:space="0" w:color="auto"/>
        <w:left w:val="none" w:sz="0" w:space="0" w:color="auto"/>
        <w:bottom w:val="none" w:sz="0" w:space="0" w:color="auto"/>
        <w:right w:val="none" w:sz="0" w:space="0" w:color="auto"/>
      </w:divBdr>
    </w:div>
    <w:div w:id="874347502">
      <w:bodyDiv w:val="1"/>
      <w:marLeft w:val="0"/>
      <w:marRight w:val="0"/>
      <w:marTop w:val="0"/>
      <w:marBottom w:val="0"/>
      <w:divBdr>
        <w:top w:val="none" w:sz="0" w:space="0" w:color="auto"/>
        <w:left w:val="none" w:sz="0" w:space="0" w:color="auto"/>
        <w:bottom w:val="none" w:sz="0" w:space="0" w:color="auto"/>
        <w:right w:val="none" w:sz="0" w:space="0" w:color="auto"/>
      </w:divBdr>
    </w:div>
    <w:div w:id="1239946197">
      <w:bodyDiv w:val="1"/>
      <w:marLeft w:val="0"/>
      <w:marRight w:val="0"/>
      <w:marTop w:val="0"/>
      <w:marBottom w:val="0"/>
      <w:divBdr>
        <w:top w:val="none" w:sz="0" w:space="0" w:color="auto"/>
        <w:left w:val="none" w:sz="0" w:space="0" w:color="auto"/>
        <w:bottom w:val="none" w:sz="0" w:space="0" w:color="auto"/>
        <w:right w:val="none" w:sz="0" w:space="0" w:color="auto"/>
      </w:divBdr>
    </w:div>
    <w:div w:id="20005700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qsc.govt.nz/consumer-hub/engaging-consumers-and-whanau/consumer-engagement-quality-and-safety-marker/"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reports.hqsc.govt.nz/content/ce4ea63e-68e6-4ac1-93ae-32ace685bdc6/_w_b40bbe63/"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Metadata/LabelInfo.xml><?xml version="1.0" encoding="utf-8"?>
<clbl:labelList xmlns:clbl="http://schemas.microsoft.com/office/2020/mipLabelMetadata">
  <clbl:label id="{701cefdf-35f4-4444-8638-55f0e12ab1c4}" enabled="0" method="" siteId="{701cefdf-35f4-4444-8638-55f0e12ab1c4}"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374</Words>
  <Characters>2134</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2025-06-29T23:03:00Z</dcterms:created>
  <dcterms:modified xsi:type="dcterms:W3CDTF">2025-06-29T23:04:00Z</dcterms:modified>
</cp:coreProperties>
</file>