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AC07" w14:textId="5684ADED" w:rsidR="00F4232D" w:rsidRPr="00F4232D" w:rsidRDefault="007070A5" w:rsidP="00486560">
      <w:pPr>
        <w:spacing w:after="0" w:line="240" w:lineRule="auto"/>
        <w:jc w:val="right"/>
        <w:rPr>
          <w:rFonts w:ascii="Poppins" w:hAnsi="Poppins" w:cs="Poppins"/>
          <w:b/>
          <w:bCs/>
          <w:sz w:val="28"/>
          <w:szCs w:val="28"/>
        </w:rPr>
      </w:pPr>
      <w:r w:rsidRPr="00F4232D">
        <w:rPr>
          <w:rFonts w:ascii="Poppins" w:hAnsi="Poppins" w:cs="Poppins"/>
          <w:b/>
          <w:bCs/>
          <w:noProof/>
          <w:sz w:val="28"/>
          <w:szCs w:val="28"/>
        </w:rPr>
        <mc:AlternateContent>
          <mc:Choice Requires="wps">
            <w:drawing>
              <wp:anchor distT="0" distB="0" distL="114300" distR="114300" simplePos="0" relativeHeight="251658240" behindDoc="0" locked="0" layoutInCell="1" allowOverlap="1" wp14:anchorId="2B01BEAF" wp14:editId="4D3783C9">
                <wp:simplePos x="0" y="0"/>
                <wp:positionH relativeFrom="column">
                  <wp:posOffset>-90805</wp:posOffset>
                </wp:positionH>
                <wp:positionV relativeFrom="paragraph">
                  <wp:posOffset>320040</wp:posOffset>
                </wp:positionV>
                <wp:extent cx="1076325" cy="400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0050"/>
                        </a:xfrm>
                        <a:prstGeom prst="rect">
                          <a:avLst/>
                        </a:prstGeom>
                        <a:solidFill>
                          <a:srgbClr val="FFFFFF"/>
                        </a:solidFill>
                        <a:ln w="9525">
                          <a:noFill/>
                          <a:miter lim="800000"/>
                          <a:headEnd/>
                          <a:tailEnd/>
                        </a:ln>
                      </wps:spPr>
                      <wps:txbx>
                        <w:txbxContent>
                          <w:p w14:paraId="0BE4CC25" w14:textId="67A5821F" w:rsidR="00F4232D" w:rsidRDefault="00F4232D">
                            <w:r>
                              <w:rPr>
                                <w:rFonts w:ascii="Poppins" w:hAnsi="Poppins" w:cs="Poppins"/>
                                <w:sz w:val="28"/>
                                <w:szCs w:val="28"/>
                              </w:rPr>
                              <w:t>April 2024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B01BEAF" id="_x0000_t202" coordsize="21600,21600" o:spt="202" path="m,l,21600r21600,l21600,xe">
                <v:stroke joinstyle="miter"/>
                <v:path gradientshapeok="t" o:connecttype="rect"/>
              </v:shapetype>
              <v:shape id="Text Box 2" o:spid="_x0000_s1026" type="#_x0000_t202" style="position:absolute;left:0;text-align:left;margin-left:-7.15pt;margin-top:25.2pt;width:84.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" stroked="f">
                <v:textbox>
                  <w:txbxContent>
                    <w:p w14:paraId="0BE4CC25" w14:textId="67A5821F" w:rsidR="00F4232D" w:rsidRDefault="00F4232D">
                      <w:r>
                        <w:rPr>
                          <w:rFonts w:ascii="Poppins" w:hAnsi="Poppins" w:cs="Poppins"/>
                          <w:sz w:val="28"/>
                          <w:szCs w:val="28"/>
                        </w:rPr>
                        <w:t>April 2024</w:t>
                      </w:r>
                    </w:p>
                  </w:txbxContent>
                </v:textbox>
                <w10:wrap type="square"/>
              </v:shape>
            </w:pict>
          </mc:Fallback>
        </mc:AlternateContent>
      </w:r>
      <w:r>
        <w:rPr>
          <w:rFonts w:ascii="Poppins" w:hAnsi="Poppins" w:cs="Poppins"/>
          <w:b/>
          <w:bCs/>
          <w:noProof/>
          <w:sz w:val="28"/>
          <w:szCs w:val="28"/>
        </w:rPr>
        <w:drawing>
          <wp:anchor distT="0" distB="0" distL="114300" distR="114300" simplePos="0" relativeHeight="251659264" behindDoc="0" locked="0" layoutInCell="1" allowOverlap="1" wp14:anchorId="00336DE2" wp14:editId="4E2BA80F">
            <wp:simplePos x="0" y="0"/>
            <wp:positionH relativeFrom="column">
              <wp:posOffset>3858895</wp:posOffset>
            </wp:positionH>
            <wp:positionV relativeFrom="paragraph">
              <wp:posOffset>8890</wp:posOffset>
            </wp:positionV>
            <wp:extent cx="2520950" cy="678180"/>
            <wp:effectExtent l="0" t="0" r="0" b="7620"/>
            <wp:wrapSquare wrapText="bothSides"/>
            <wp:docPr id="19029153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678180"/>
                    </a:xfrm>
                    <a:prstGeom prst="rect">
                      <a:avLst/>
                    </a:prstGeom>
                    <a:noFill/>
                  </pic:spPr>
                </pic:pic>
              </a:graphicData>
            </a:graphic>
          </wp:anchor>
        </w:drawing>
      </w:r>
      <w:r w:rsidR="0021483C">
        <w:rPr>
          <w:rFonts w:ascii="Poppins" w:hAnsi="Poppins" w:cs="Poppins"/>
          <w:b/>
          <w:bCs/>
          <w:sz w:val="28"/>
          <w:szCs w:val="28"/>
        </w:rPr>
        <w:t xml:space="preserve">  </w:t>
      </w:r>
      <w:r w:rsidR="0021483C">
        <w:rPr>
          <w:noProof/>
        </w:rPr>
        <mc:AlternateContent>
          <mc:Choice Requires="wps">
            <w:drawing>
              <wp:inline distT="0" distB="0" distL="0" distR="0" wp14:anchorId="58E010C1" wp14:editId="26EFA95C">
                <wp:extent cx="304800" cy="304800"/>
                <wp:effectExtent l="0" t="0" r="0" b="0"/>
                <wp:docPr id="1389716268"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F4E2E"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C467FE3" w14:textId="6F6248D8" w:rsidR="007070A5" w:rsidRDefault="007070A5" w:rsidP="00F4232D">
      <w:pPr>
        <w:spacing w:after="0" w:line="240" w:lineRule="auto"/>
        <w:rPr>
          <w:rFonts w:ascii="Poppins" w:hAnsi="Poppins" w:cs="Poppins"/>
          <w:b/>
          <w:bCs/>
          <w:sz w:val="28"/>
          <w:szCs w:val="28"/>
        </w:rPr>
      </w:pPr>
    </w:p>
    <w:p w14:paraId="33323C59" w14:textId="77777777" w:rsidR="007070A5" w:rsidRPr="007070A5" w:rsidRDefault="007070A5" w:rsidP="00F4232D">
      <w:pPr>
        <w:spacing w:after="0" w:line="240" w:lineRule="auto"/>
        <w:rPr>
          <w:rFonts w:ascii="Poppins" w:hAnsi="Poppins" w:cs="Poppins"/>
          <w:sz w:val="16"/>
          <w:szCs w:val="16"/>
        </w:rPr>
      </w:pPr>
    </w:p>
    <w:p w14:paraId="4325760C" w14:textId="17A51563" w:rsidR="00F4232D" w:rsidRPr="007070A5" w:rsidRDefault="00F4232D" w:rsidP="00F4232D">
      <w:pPr>
        <w:spacing w:after="0" w:line="240" w:lineRule="auto"/>
        <w:rPr>
          <w:rFonts w:ascii="Poppins" w:hAnsi="Poppins" w:cs="Poppins"/>
          <w:b/>
          <w:bCs/>
          <w:color w:val="009999"/>
          <w:sz w:val="28"/>
          <w:szCs w:val="28"/>
        </w:rPr>
      </w:pPr>
      <w:r w:rsidRPr="007070A5">
        <w:rPr>
          <w:rFonts w:ascii="Poppins" w:hAnsi="Poppins" w:cs="Poppins"/>
          <w:b/>
          <w:bCs/>
          <w:color w:val="009999"/>
          <w:sz w:val="28"/>
          <w:szCs w:val="28"/>
        </w:rPr>
        <w:t xml:space="preserve">Ways to participate in the redesign of adult palliative care </w:t>
      </w:r>
      <w:proofErr w:type="gramStart"/>
      <w:r w:rsidRPr="007070A5">
        <w:rPr>
          <w:rFonts w:ascii="Poppins" w:hAnsi="Poppins" w:cs="Poppins"/>
          <w:b/>
          <w:bCs/>
          <w:color w:val="009999"/>
          <w:sz w:val="28"/>
          <w:szCs w:val="28"/>
        </w:rPr>
        <w:t>services</w:t>
      </w:r>
      <w:proofErr w:type="gramEnd"/>
    </w:p>
    <w:p w14:paraId="696D82C2" w14:textId="77777777" w:rsidR="00F4232D" w:rsidRPr="007070A5" w:rsidRDefault="00F4232D" w:rsidP="0021483C">
      <w:pPr>
        <w:spacing w:after="0"/>
        <w:rPr>
          <w:rFonts w:ascii="Poppins" w:hAnsi="Poppins" w:cs="Poppins"/>
          <w:sz w:val="16"/>
          <w:szCs w:val="16"/>
        </w:rPr>
      </w:pPr>
    </w:p>
    <w:p w14:paraId="30901BC9" w14:textId="26A029BA" w:rsidR="0021483C" w:rsidRDefault="0021483C" w:rsidP="0021483C">
      <w:pPr>
        <w:spacing w:after="0"/>
        <w:rPr>
          <w:rFonts w:ascii="Poppins" w:hAnsi="Poppins" w:cs="Poppins"/>
        </w:rPr>
      </w:pPr>
      <w:r w:rsidRPr="00ADF39E">
        <w:rPr>
          <w:rFonts w:ascii="Poppins" w:hAnsi="Poppins" w:cs="Poppins"/>
        </w:rPr>
        <w:t xml:space="preserve">We are redesigning how adult palliative care services and systems work together in </w:t>
      </w:r>
      <w:r>
        <w:rPr>
          <w:rFonts w:ascii="Poppins" w:hAnsi="Poppins" w:cs="Poppins"/>
        </w:rPr>
        <w:t xml:space="preserve">New Zealand </w:t>
      </w:r>
      <w:r w:rsidRPr="00ADF39E">
        <w:rPr>
          <w:rFonts w:ascii="Poppins" w:hAnsi="Poppins" w:cs="Poppins"/>
        </w:rPr>
        <w:t xml:space="preserve">Aotearoa to better meet the palliative and end-of-life care needs of patients, whānau and communities. </w:t>
      </w:r>
    </w:p>
    <w:p w14:paraId="2386C012" w14:textId="77777777" w:rsidR="0021483C" w:rsidRPr="004E35EE" w:rsidRDefault="0021483C" w:rsidP="0021483C">
      <w:pPr>
        <w:spacing w:after="0"/>
        <w:rPr>
          <w:rFonts w:ascii="Poppins" w:hAnsi="Poppins" w:cs="Poppins"/>
          <w:sz w:val="8"/>
          <w:szCs w:val="8"/>
        </w:rPr>
      </w:pPr>
    </w:p>
    <w:p w14:paraId="0383390D" w14:textId="77777777" w:rsidR="0021483C" w:rsidRDefault="0021483C" w:rsidP="0021483C">
      <w:pPr>
        <w:spacing w:after="0"/>
        <w:rPr>
          <w:rFonts w:ascii="Poppins" w:hAnsi="Poppins" w:cs="Poppins"/>
        </w:rPr>
      </w:pPr>
      <w:r>
        <w:rPr>
          <w:rFonts w:ascii="Poppins" w:hAnsi="Poppins" w:cs="Poppins"/>
        </w:rPr>
        <w:t xml:space="preserve">As we would love as many people as possible to be involved and contribute to this work, we </w:t>
      </w:r>
      <w:r w:rsidRPr="4B0E0F2E">
        <w:rPr>
          <w:rFonts w:ascii="Poppins" w:hAnsi="Poppins" w:cs="Poppins"/>
        </w:rPr>
        <w:t>are doing things a bit differently this time round</w:t>
      </w:r>
      <w:r>
        <w:rPr>
          <w:rFonts w:ascii="Poppins" w:hAnsi="Poppins" w:cs="Poppins"/>
        </w:rPr>
        <w:t xml:space="preserve">. </w:t>
      </w:r>
      <w:r w:rsidRPr="4B0E0F2E">
        <w:rPr>
          <w:rFonts w:ascii="Poppins" w:hAnsi="Poppins" w:cs="Poppins"/>
        </w:rPr>
        <w:t xml:space="preserve"> Below outlines the range of ways that people can participate and provide their thoughts and ideas.</w:t>
      </w:r>
    </w:p>
    <w:p w14:paraId="5C305846" w14:textId="77777777" w:rsidR="0021483C" w:rsidRPr="00AB3E5C" w:rsidRDefault="0021483C" w:rsidP="0021483C">
      <w:pPr>
        <w:spacing w:after="0" w:line="240" w:lineRule="auto"/>
        <w:rPr>
          <w:rFonts w:ascii="Poppins" w:hAnsi="Poppins" w:cs="Poppins"/>
          <w:sz w:val="16"/>
          <w:szCs w:val="16"/>
        </w:rPr>
      </w:pPr>
    </w:p>
    <w:p w14:paraId="45B76A3E" w14:textId="77777777" w:rsidR="0021483C" w:rsidRPr="007070A5" w:rsidRDefault="0021483C" w:rsidP="007070A5">
      <w:pPr>
        <w:spacing w:after="0" w:line="240" w:lineRule="auto"/>
        <w:rPr>
          <w:rFonts w:ascii="Poppins" w:hAnsi="Poppins" w:cs="Poppins"/>
          <w:color w:val="009999"/>
        </w:rPr>
      </w:pPr>
      <w:r w:rsidRPr="007070A5">
        <w:rPr>
          <w:rFonts w:ascii="Poppins" w:hAnsi="Poppins" w:cs="Poppins"/>
          <w:b/>
          <w:bCs/>
          <w:color w:val="009999"/>
          <w:sz w:val="24"/>
          <w:szCs w:val="24"/>
        </w:rPr>
        <w:t xml:space="preserve">Ways to </w:t>
      </w:r>
      <w:proofErr w:type="gramStart"/>
      <w:r w:rsidRPr="007070A5">
        <w:rPr>
          <w:rFonts w:ascii="Poppins" w:hAnsi="Poppins" w:cs="Poppins"/>
          <w:b/>
          <w:bCs/>
          <w:color w:val="009999"/>
          <w:sz w:val="24"/>
          <w:szCs w:val="24"/>
        </w:rPr>
        <w:t>participate</w:t>
      </w:r>
      <w:proofErr w:type="gramEnd"/>
      <w:r w:rsidRPr="007070A5">
        <w:rPr>
          <w:rFonts w:ascii="Poppins" w:hAnsi="Poppins" w:cs="Poppins"/>
          <w:b/>
          <w:bCs/>
          <w:color w:val="009999"/>
        </w:rPr>
        <w:t xml:space="preserve"> </w:t>
      </w:r>
    </w:p>
    <w:p w14:paraId="2873AD2F" w14:textId="77777777" w:rsidR="0021483C" w:rsidRPr="004E35EE" w:rsidRDefault="0021483C" w:rsidP="007070A5">
      <w:pPr>
        <w:spacing w:after="0" w:line="240" w:lineRule="auto"/>
        <w:rPr>
          <w:rFonts w:ascii="Poppins" w:hAnsi="Poppins" w:cs="Poppins"/>
          <w:sz w:val="4"/>
          <w:szCs w:val="4"/>
        </w:rPr>
      </w:pPr>
    </w:p>
    <w:p w14:paraId="78C7A3AF" w14:textId="52E4EAEA" w:rsidR="0021483C" w:rsidRDefault="0021483C" w:rsidP="007070A5">
      <w:pPr>
        <w:pStyle w:val="ListParagraph"/>
        <w:numPr>
          <w:ilvl w:val="0"/>
          <w:numId w:val="1"/>
        </w:numPr>
        <w:spacing w:after="0" w:line="240" w:lineRule="auto"/>
        <w:rPr>
          <w:rFonts w:ascii="Poppins" w:hAnsi="Poppins" w:cs="Poppins"/>
        </w:rPr>
      </w:pPr>
      <w:r w:rsidRPr="4B0E0F2E">
        <w:rPr>
          <w:rFonts w:ascii="Poppins" w:hAnsi="Poppins" w:cs="Poppins"/>
          <w:b/>
          <w:bCs/>
        </w:rPr>
        <w:t>Survey of current services, needs and change priorities</w:t>
      </w:r>
      <w:r w:rsidRPr="4B0E0F2E">
        <w:rPr>
          <w:rFonts w:ascii="Poppins" w:hAnsi="Poppins" w:cs="Poppins"/>
        </w:rPr>
        <w:t xml:space="preserve">. </w:t>
      </w:r>
      <w:r w:rsidR="00D12ADE">
        <w:rPr>
          <w:rFonts w:ascii="Poppins" w:hAnsi="Poppins" w:cs="Poppins"/>
        </w:rPr>
        <w:t xml:space="preserve">This is an opportunity for </w:t>
      </w:r>
      <w:r w:rsidR="006B0540" w:rsidRPr="006B0540">
        <w:rPr>
          <w:rFonts w:ascii="Poppins" w:hAnsi="Poppins" w:cs="Poppins"/>
        </w:rPr>
        <w:t>everyone</w:t>
      </w:r>
      <w:r w:rsidR="00D12ADE">
        <w:rPr>
          <w:rFonts w:ascii="Poppins" w:hAnsi="Poppins" w:cs="Poppins"/>
        </w:rPr>
        <w:t xml:space="preserve"> </w:t>
      </w:r>
      <w:r w:rsidR="00344527">
        <w:rPr>
          <w:rFonts w:ascii="Poppins" w:hAnsi="Poppins" w:cs="Poppins"/>
        </w:rPr>
        <w:t xml:space="preserve">to </w:t>
      </w:r>
      <w:r w:rsidR="00344527">
        <w:rPr>
          <w:rFonts w:ascii="Poppins" w:hAnsi="Poppins" w:cs="Poppins"/>
        </w:rPr>
        <w:t xml:space="preserve">share </w:t>
      </w:r>
      <w:r w:rsidR="00344527">
        <w:rPr>
          <w:rFonts w:ascii="Poppins" w:hAnsi="Poppins" w:cs="Poppins"/>
        </w:rPr>
        <w:t>their</w:t>
      </w:r>
      <w:r w:rsidR="00344527">
        <w:rPr>
          <w:rFonts w:ascii="Poppins" w:hAnsi="Poppins" w:cs="Poppins"/>
        </w:rPr>
        <w:t xml:space="preserve"> views</w:t>
      </w:r>
      <w:r w:rsidR="00344527" w:rsidRPr="4B0E0F2E">
        <w:rPr>
          <w:rFonts w:ascii="Poppins" w:hAnsi="Poppins" w:cs="Poppins"/>
        </w:rPr>
        <w:t xml:space="preserve"> </w:t>
      </w:r>
      <w:r w:rsidR="006B0540" w:rsidRPr="006B0540">
        <w:rPr>
          <w:rFonts w:ascii="Poppins" w:hAnsi="Poppins" w:cs="Poppins"/>
        </w:rPr>
        <w:t xml:space="preserve">about palliative care for adults (those aged over 24) in Aotearoa New Zealand, including the services provided by GPs, community services, aged residential care facilities, hospitals, and hospices. </w:t>
      </w:r>
      <w:r w:rsidR="006B0540" w:rsidRPr="007500A6">
        <w:rPr>
          <w:rFonts w:ascii="Poppins" w:hAnsi="Poppins" w:cs="Poppins"/>
          <w:b/>
          <w:bCs/>
          <w:color w:val="009999"/>
        </w:rPr>
        <w:t>This survey is open now and can be accessed here:</w:t>
      </w:r>
      <w:r w:rsidR="006B0540" w:rsidRPr="007500A6">
        <w:rPr>
          <w:rFonts w:ascii="Poppins" w:hAnsi="Poppins" w:cs="Poppins"/>
          <w:color w:val="FF0000"/>
        </w:rPr>
        <w:t xml:space="preserve"> </w:t>
      </w:r>
      <w:hyperlink r:id="rId7" w:history="1">
        <w:r w:rsidR="00EB4A92" w:rsidRPr="00EF465C">
          <w:rPr>
            <w:rStyle w:val="Hyperlink"/>
            <w:rFonts w:ascii="Poppins" w:hAnsi="Poppins" w:cs="Poppins"/>
            <w:b/>
            <w:bCs/>
          </w:rPr>
          <w:t>https://forms.gle/eVEwm4L8WYSUA8H66</w:t>
        </w:r>
      </w:hyperlink>
      <w:r w:rsidR="006B0540">
        <w:rPr>
          <w:rFonts w:ascii="Poppins" w:hAnsi="Poppins" w:cs="Poppins"/>
        </w:rPr>
        <w:t xml:space="preserve"> </w:t>
      </w:r>
      <w:r w:rsidR="006B0540" w:rsidRPr="006B0540">
        <w:rPr>
          <w:rFonts w:ascii="Poppins" w:hAnsi="Poppins" w:cs="Poppins"/>
        </w:rPr>
        <w:t xml:space="preserve">The link will also be available on our website from mid-April. The survey is open to everyone in Aotearoa New Zealand until 31 May 2024. </w:t>
      </w:r>
      <w:r w:rsidR="00FB36D3">
        <w:rPr>
          <w:rFonts w:ascii="Poppins" w:hAnsi="Poppins" w:cs="Poppins"/>
        </w:rPr>
        <w:t>W</w:t>
      </w:r>
      <w:r w:rsidR="006B0540" w:rsidRPr="006B0540">
        <w:rPr>
          <w:rFonts w:ascii="Poppins" w:hAnsi="Poppins" w:cs="Poppins"/>
        </w:rPr>
        <w:t>e will share the general themes of what people have told us on our website from July 2024.</w:t>
      </w:r>
      <w:r>
        <w:rPr>
          <w:rFonts w:ascii="Poppins" w:hAnsi="Poppins" w:cs="Poppins"/>
        </w:rPr>
        <w:t xml:space="preserve">  </w:t>
      </w:r>
    </w:p>
    <w:p w14:paraId="1DDF78F2" w14:textId="77777777" w:rsidR="0021483C" w:rsidRPr="00BB3723" w:rsidRDefault="0021483C" w:rsidP="007070A5">
      <w:pPr>
        <w:spacing w:after="0" w:line="240" w:lineRule="auto"/>
        <w:rPr>
          <w:rFonts w:ascii="Poppins" w:hAnsi="Poppins" w:cs="Poppins"/>
          <w:sz w:val="12"/>
          <w:szCs w:val="12"/>
        </w:rPr>
      </w:pPr>
    </w:p>
    <w:p w14:paraId="212FA5DF" w14:textId="30368E1D" w:rsidR="0021483C" w:rsidRDefault="0021483C" w:rsidP="007070A5">
      <w:pPr>
        <w:pStyle w:val="ListParagraph"/>
        <w:numPr>
          <w:ilvl w:val="0"/>
          <w:numId w:val="1"/>
        </w:numPr>
        <w:spacing w:after="0" w:line="240" w:lineRule="auto"/>
        <w:rPr>
          <w:rFonts w:ascii="Poppins" w:hAnsi="Poppins" w:cs="Poppins"/>
        </w:rPr>
      </w:pPr>
      <w:r w:rsidRPr="4B0E0F2E">
        <w:rPr>
          <w:rFonts w:ascii="Poppins" w:hAnsi="Poppins" w:cs="Poppins"/>
          <w:b/>
          <w:bCs/>
        </w:rPr>
        <w:t>Models of Care – Adult Working Group</w:t>
      </w:r>
      <w:r w:rsidRPr="4B0E0F2E">
        <w:rPr>
          <w:rFonts w:ascii="Poppins" w:hAnsi="Poppins" w:cs="Poppins"/>
        </w:rPr>
        <w:t xml:space="preserve">. This fixed term </w:t>
      </w:r>
      <w:r>
        <w:rPr>
          <w:rFonts w:ascii="Poppins" w:hAnsi="Poppins" w:cs="Poppins"/>
        </w:rPr>
        <w:t xml:space="preserve">small </w:t>
      </w:r>
      <w:r w:rsidRPr="4B0E0F2E">
        <w:rPr>
          <w:rFonts w:ascii="Poppins" w:hAnsi="Poppins" w:cs="Poppins"/>
        </w:rPr>
        <w:t>working group will be responsible for researching</w:t>
      </w:r>
      <w:r w:rsidR="00EB0431">
        <w:rPr>
          <w:rFonts w:ascii="Poppins" w:hAnsi="Poppins" w:cs="Poppins"/>
        </w:rPr>
        <w:t xml:space="preserve"> and</w:t>
      </w:r>
      <w:r w:rsidRPr="4B0E0F2E">
        <w:rPr>
          <w:rFonts w:ascii="Poppins" w:hAnsi="Poppins" w:cs="Poppins"/>
        </w:rPr>
        <w:t xml:space="preserve"> analysing</w:t>
      </w:r>
      <w:r>
        <w:rPr>
          <w:rFonts w:ascii="Poppins" w:hAnsi="Poppins" w:cs="Poppins"/>
        </w:rPr>
        <w:t xml:space="preserve"> </w:t>
      </w:r>
      <w:r w:rsidR="009412A9">
        <w:rPr>
          <w:rFonts w:ascii="Poppins" w:hAnsi="Poppins" w:cs="Poppins"/>
        </w:rPr>
        <w:t>information and</w:t>
      </w:r>
      <w:r w:rsidRPr="4B0E0F2E">
        <w:rPr>
          <w:rFonts w:ascii="Poppins" w:hAnsi="Poppins" w:cs="Poppins"/>
        </w:rPr>
        <w:t xml:space="preserve"> </w:t>
      </w:r>
      <w:r w:rsidR="00EB0431">
        <w:rPr>
          <w:rFonts w:ascii="Poppins" w:hAnsi="Poppins" w:cs="Poppins"/>
        </w:rPr>
        <w:t xml:space="preserve">writing and </w:t>
      </w:r>
      <w:r w:rsidRPr="4B0E0F2E">
        <w:rPr>
          <w:rFonts w:ascii="Poppins" w:hAnsi="Poppins" w:cs="Poppins"/>
        </w:rPr>
        <w:t>proposing recommendations for change in palliative care services</w:t>
      </w:r>
      <w:r w:rsidR="00F4232D">
        <w:rPr>
          <w:rFonts w:ascii="Poppins" w:hAnsi="Poppins" w:cs="Poppins"/>
        </w:rPr>
        <w:t>. Nominations and applications for this working group close on 17 April 2024.</w:t>
      </w:r>
    </w:p>
    <w:p w14:paraId="3BFB1A34" w14:textId="77777777" w:rsidR="0021483C" w:rsidRPr="00BB3723" w:rsidRDefault="0021483C" w:rsidP="007070A5">
      <w:pPr>
        <w:spacing w:after="0" w:line="240" w:lineRule="auto"/>
        <w:rPr>
          <w:rFonts w:ascii="Poppins" w:hAnsi="Poppins" w:cs="Poppins"/>
          <w:sz w:val="12"/>
          <w:szCs w:val="12"/>
        </w:rPr>
      </w:pPr>
    </w:p>
    <w:p w14:paraId="2B290D97" w14:textId="4068BCC5" w:rsidR="0021483C" w:rsidRDefault="0021483C" w:rsidP="007070A5">
      <w:pPr>
        <w:pStyle w:val="ListParagraph"/>
        <w:numPr>
          <w:ilvl w:val="0"/>
          <w:numId w:val="1"/>
        </w:numPr>
        <w:spacing w:after="0" w:line="240" w:lineRule="auto"/>
        <w:rPr>
          <w:rFonts w:ascii="Poppins" w:hAnsi="Poppins" w:cs="Poppins"/>
        </w:rPr>
      </w:pPr>
      <w:r w:rsidRPr="4B0E0F2E">
        <w:rPr>
          <w:rFonts w:ascii="Poppins" w:hAnsi="Poppins" w:cs="Poppins"/>
          <w:b/>
          <w:bCs/>
        </w:rPr>
        <w:t>Webinar update</w:t>
      </w:r>
      <w:r w:rsidRPr="4B0E0F2E">
        <w:rPr>
          <w:rFonts w:ascii="Poppins" w:hAnsi="Poppins" w:cs="Poppins"/>
        </w:rPr>
        <w:t xml:space="preserve">. The Models of Care – Adult Working Group members will present an online webinar to discuss their progress and seek input from the public and health sector on their proposed recommendations. This event is likely to be held </w:t>
      </w:r>
      <w:r>
        <w:rPr>
          <w:rFonts w:ascii="Poppins" w:hAnsi="Poppins" w:cs="Poppins"/>
        </w:rPr>
        <w:t>later in</w:t>
      </w:r>
      <w:r w:rsidR="00F4232D">
        <w:rPr>
          <w:rFonts w:ascii="Poppins" w:hAnsi="Poppins" w:cs="Poppins"/>
        </w:rPr>
        <w:t xml:space="preserve"> 2024</w:t>
      </w:r>
      <w:r>
        <w:rPr>
          <w:rFonts w:ascii="Poppins" w:hAnsi="Poppins" w:cs="Poppins"/>
        </w:rPr>
        <w:t xml:space="preserve">. </w:t>
      </w:r>
    </w:p>
    <w:p w14:paraId="60FB2562" w14:textId="77777777" w:rsidR="0021483C" w:rsidRPr="00BB3723" w:rsidRDefault="0021483C" w:rsidP="007070A5">
      <w:pPr>
        <w:spacing w:after="0" w:line="240" w:lineRule="auto"/>
        <w:rPr>
          <w:rFonts w:ascii="Poppins" w:hAnsi="Poppins" w:cs="Poppins"/>
          <w:sz w:val="12"/>
          <w:szCs w:val="12"/>
        </w:rPr>
      </w:pPr>
    </w:p>
    <w:p w14:paraId="1DD5FE0A" w14:textId="126F9604" w:rsidR="0021483C" w:rsidRDefault="0021483C" w:rsidP="007070A5">
      <w:pPr>
        <w:pStyle w:val="ListParagraph"/>
        <w:numPr>
          <w:ilvl w:val="0"/>
          <w:numId w:val="1"/>
        </w:numPr>
        <w:spacing w:after="0" w:line="240" w:lineRule="auto"/>
        <w:rPr>
          <w:rFonts w:ascii="Poppins" w:hAnsi="Poppins" w:cs="Poppins"/>
        </w:rPr>
      </w:pPr>
      <w:r w:rsidRPr="4B0E0F2E">
        <w:rPr>
          <w:rFonts w:ascii="Poppins" w:hAnsi="Poppins" w:cs="Poppins"/>
          <w:b/>
          <w:bCs/>
        </w:rPr>
        <w:t>Consultation on the recommendations for change</w:t>
      </w:r>
      <w:r w:rsidRPr="4B0E0F2E">
        <w:rPr>
          <w:rFonts w:ascii="Poppins" w:hAnsi="Poppins" w:cs="Poppins"/>
        </w:rPr>
        <w:t>. Once the Models of Care – Adult Working Group has submitted their recommendations to the National Palliative Care Steering Group, a public and targeted consultation process</w:t>
      </w:r>
      <w:r>
        <w:rPr>
          <w:rFonts w:ascii="Poppins" w:hAnsi="Poppins" w:cs="Poppins"/>
        </w:rPr>
        <w:t xml:space="preserve"> on the recommendations</w:t>
      </w:r>
      <w:r w:rsidRPr="4B0E0F2E">
        <w:rPr>
          <w:rFonts w:ascii="Poppins" w:hAnsi="Poppins" w:cs="Poppins"/>
        </w:rPr>
        <w:t xml:space="preserve"> will follow. This </w:t>
      </w:r>
      <w:r>
        <w:rPr>
          <w:rFonts w:ascii="Poppins" w:hAnsi="Poppins" w:cs="Poppins"/>
        </w:rPr>
        <w:t xml:space="preserve">process is </w:t>
      </w:r>
      <w:r w:rsidRPr="4B0E0F2E">
        <w:rPr>
          <w:rFonts w:ascii="Poppins" w:hAnsi="Poppins" w:cs="Poppins"/>
        </w:rPr>
        <w:t xml:space="preserve">likely to </w:t>
      </w:r>
      <w:r>
        <w:rPr>
          <w:rFonts w:ascii="Poppins" w:hAnsi="Poppins" w:cs="Poppins"/>
        </w:rPr>
        <w:t xml:space="preserve">start </w:t>
      </w:r>
      <w:r w:rsidR="00201290">
        <w:rPr>
          <w:rFonts w:ascii="Poppins" w:hAnsi="Poppins" w:cs="Poppins"/>
        </w:rPr>
        <w:t xml:space="preserve">in </w:t>
      </w:r>
      <w:r>
        <w:rPr>
          <w:rFonts w:ascii="Poppins" w:hAnsi="Poppins" w:cs="Poppins"/>
        </w:rPr>
        <w:t>late</w:t>
      </w:r>
      <w:r w:rsidRPr="4B0E0F2E">
        <w:rPr>
          <w:rFonts w:ascii="Poppins" w:hAnsi="Poppins" w:cs="Poppins"/>
        </w:rPr>
        <w:t xml:space="preserve"> 2024</w:t>
      </w:r>
      <w:r>
        <w:rPr>
          <w:rFonts w:ascii="Poppins" w:hAnsi="Poppins" w:cs="Poppins"/>
        </w:rPr>
        <w:t>/early 2025</w:t>
      </w:r>
      <w:r w:rsidRPr="4B0E0F2E">
        <w:rPr>
          <w:rFonts w:ascii="Poppins" w:hAnsi="Poppins" w:cs="Poppins"/>
        </w:rPr>
        <w:t xml:space="preserve"> and will include online presentations, face-to-face meetings, and an online feedback form</w:t>
      </w:r>
      <w:r>
        <w:rPr>
          <w:rFonts w:ascii="Poppins" w:hAnsi="Poppins" w:cs="Poppins"/>
        </w:rPr>
        <w:t>.</w:t>
      </w:r>
      <w:r w:rsidRPr="4B0E0F2E">
        <w:rPr>
          <w:rFonts w:ascii="Poppins" w:hAnsi="Poppins" w:cs="Poppins"/>
        </w:rPr>
        <w:t xml:space="preserve"> </w:t>
      </w:r>
    </w:p>
    <w:p w14:paraId="357F8C84" w14:textId="77777777" w:rsidR="0021483C" w:rsidRPr="00BB3723" w:rsidRDefault="0021483C" w:rsidP="007070A5">
      <w:pPr>
        <w:spacing w:after="0" w:line="240" w:lineRule="auto"/>
        <w:rPr>
          <w:rFonts w:ascii="Poppins" w:hAnsi="Poppins" w:cs="Poppins"/>
          <w:sz w:val="12"/>
          <w:szCs w:val="12"/>
        </w:rPr>
      </w:pPr>
    </w:p>
    <w:p w14:paraId="793E7758" w14:textId="77777777" w:rsidR="0021483C" w:rsidRDefault="0021483C" w:rsidP="007070A5">
      <w:pPr>
        <w:pStyle w:val="ListParagraph"/>
        <w:numPr>
          <w:ilvl w:val="0"/>
          <w:numId w:val="1"/>
        </w:numPr>
        <w:spacing w:after="0" w:line="240" w:lineRule="auto"/>
        <w:rPr>
          <w:rFonts w:ascii="Poppins" w:hAnsi="Poppins" w:cs="Poppins"/>
        </w:rPr>
      </w:pPr>
      <w:r w:rsidRPr="00ADF39E">
        <w:rPr>
          <w:rFonts w:ascii="Poppins" w:hAnsi="Poppins" w:cs="Poppins"/>
          <w:b/>
          <w:bCs/>
        </w:rPr>
        <w:t>Updates on progress</w:t>
      </w:r>
      <w:r w:rsidRPr="00ADF39E">
        <w:rPr>
          <w:rFonts w:ascii="Poppins" w:hAnsi="Poppins" w:cs="Poppins"/>
        </w:rPr>
        <w:t>. For those wanting to keep up to date with this work, regular progress updates will be available on our website and emailed to those on our stakeholder list.</w:t>
      </w:r>
    </w:p>
    <w:p w14:paraId="6C75718A" w14:textId="77777777" w:rsidR="0021483C" w:rsidRDefault="0021483C" w:rsidP="007070A5">
      <w:pPr>
        <w:pStyle w:val="ListParagraph"/>
        <w:spacing w:after="0" w:line="240" w:lineRule="auto"/>
        <w:rPr>
          <w:rFonts w:ascii="Poppins" w:hAnsi="Poppins" w:cs="Poppins"/>
        </w:rPr>
      </w:pPr>
    </w:p>
    <w:p w14:paraId="70919DA9" w14:textId="77777777" w:rsidR="0021483C" w:rsidRPr="009412A9" w:rsidRDefault="0021483C" w:rsidP="0021483C">
      <w:pPr>
        <w:pStyle w:val="ListParagraph"/>
        <w:spacing w:after="0"/>
        <w:ind w:left="0"/>
        <w:rPr>
          <w:rFonts w:ascii="Poppins" w:hAnsi="Poppins" w:cs="Poppins"/>
          <w:b/>
          <w:bCs/>
          <w:color w:val="009999"/>
          <w:sz w:val="24"/>
          <w:szCs w:val="24"/>
        </w:rPr>
      </w:pPr>
      <w:r w:rsidRPr="009412A9">
        <w:rPr>
          <w:rFonts w:ascii="Poppins" w:hAnsi="Poppins" w:cs="Poppins"/>
          <w:b/>
          <w:bCs/>
          <w:color w:val="009999"/>
          <w:sz w:val="24"/>
          <w:szCs w:val="24"/>
        </w:rPr>
        <w:t>Keep up to date!</w:t>
      </w:r>
    </w:p>
    <w:p w14:paraId="1D5A5734" w14:textId="6A49B903" w:rsidR="0021483C" w:rsidRDefault="0021483C" w:rsidP="0021483C">
      <w:pPr>
        <w:pStyle w:val="ListParagraph"/>
        <w:spacing w:after="0"/>
        <w:ind w:left="0"/>
        <w:rPr>
          <w:rFonts w:ascii="Poppins" w:hAnsi="Poppins" w:cs="Poppins"/>
          <w:sz w:val="16"/>
          <w:szCs w:val="16"/>
        </w:rPr>
      </w:pPr>
      <w:r w:rsidRPr="4B0E0F2E">
        <w:rPr>
          <w:rFonts w:ascii="Poppins" w:hAnsi="Poppins" w:cs="Poppins"/>
        </w:rPr>
        <w:t xml:space="preserve">Information about the National Palliative Care </w:t>
      </w:r>
      <w:r w:rsidR="00201290">
        <w:rPr>
          <w:rFonts w:ascii="Poppins" w:hAnsi="Poppins" w:cs="Poppins"/>
        </w:rPr>
        <w:t xml:space="preserve">Work </w:t>
      </w:r>
      <w:r w:rsidRPr="4B0E0F2E">
        <w:rPr>
          <w:rFonts w:ascii="Poppins" w:hAnsi="Poppins" w:cs="Poppins"/>
        </w:rPr>
        <w:t xml:space="preserve">Programme can be found on the </w:t>
      </w:r>
      <w:r>
        <w:rPr>
          <w:rFonts w:ascii="Poppins" w:hAnsi="Poppins" w:cs="Poppins"/>
        </w:rPr>
        <w:t xml:space="preserve">Health New Zealand | </w:t>
      </w:r>
      <w:r w:rsidRPr="4B0E0F2E">
        <w:rPr>
          <w:rFonts w:ascii="Poppins" w:hAnsi="Poppins" w:cs="Poppins"/>
        </w:rPr>
        <w:t xml:space="preserve">Te Whatu Ora website </w:t>
      </w:r>
      <w:hyperlink r:id="rId8">
        <w:r w:rsidRPr="00460452">
          <w:rPr>
            <w:rFonts w:ascii="Poppins" w:eastAsiaTheme="minorEastAsia" w:hAnsi="Poppins" w:cs="Poppins"/>
            <w:color w:val="4472C4" w:themeColor="accent1"/>
            <w:u w:val="single"/>
          </w:rPr>
          <w:t>National Palliative Care Work Programme – Te Whatu Ora - Health New Zealand</w:t>
        </w:r>
      </w:hyperlink>
      <w:r w:rsidRPr="4B0E0F2E">
        <w:rPr>
          <w:rFonts w:eastAsiaTheme="minorEastAsia"/>
          <w:color w:val="4472C4" w:themeColor="accent1"/>
          <w:u w:val="single"/>
        </w:rPr>
        <w:t xml:space="preserve">  </w:t>
      </w:r>
      <w:r w:rsidRPr="4B0E0F2E">
        <w:rPr>
          <w:rFonts w:eastAsiaTheme="minorEastAsia"/>
        </w:rPr>
        <w:t xml:space="preserve"> </w:t>
      </w:r>
    </w:p>
    <w:p w14:paraId="2DD034A4" w14:textId="77777777" w:rsidR="0021483C" w:rsidRPr="004E35EE" w:rsidRDefault="0021483C" w:rsidP="0021483C">
      <w:pPr>
        <w:spacing w:after="0"/>
        <w:rPr>
          <w:rFonts w:ascii="Poppins" w:hAnsi="Poppins" w:cs="Poppins"/>
          <w:sz w:val="8"/>
          <w:szCs w:val="8"/>
        </w:rPr>
      </w:pPr>
    </w:p>
    <w:p w14:paraId="09E8D054" w14:textId="6DC212CA" w:rsidR="000A3F23" w:rsidRDefault="0021483C" w:rsidP="0021483C">
      <w:pPr>
        <w:spacing w:after="0"/>
      </w:pPr>
      <w:r w:rsidRPr="4B0E0F2E">
        <w:rPr>
          <w:rFonts w:ascii="Poppins" w:hAnsi="Poppins" w:cs="Poppins"/>
        </w:rPr>
        <w:t xml:space="preserve">To join our </w:t>
      </w:r>
      <w:r w:rsidRPr="4B0E0F2E">
        <w:rPr>
          <w:rFonts w:ascii="Poppins" w:hAnsi="Poppins" w:cs="Poppins"/>
          <w:b/>
          <w:bCs/>
        </w:rPr>
        <w:t>stakeholder list</w:t>
      </w:r>
      <w:r w:rsidRPr="4B0E0F2E">
        <w:rPr>
          <w:rFonts w:ascii="Poppins" w:hAnsi="Poppins" w:cs="Poppins"/>
        </w:rPr>
        <w:t xml:space="preserve">, email us at </w:t>
      </w:r>
      <w:hyperlink r:id="rId9" w:history="1">
        <w:r w:rsidR="00201290" w:rsidRPr="0079121F">
          <w:rPr>
            <w:rStyle w:val="Hyperlink"/>
            <w:rFonts w:ascii="Poppins" w:hAnsi="Poppins" w:cs="Poppins"/>
          </w:rPr>
          <w:t>palliativecare@TeWhatuOra.govt.nz</w:t>
        </w:r>
      </w:hyperlink>
      <w:r w:rsidRPr="4B0E0F2E">
        <w:rPr>
          <w:rFonts w:ascii="Poppins" w:hAnsi="Poppins" w:cs="Poppins"/>
        </w:rPr>
        <w:t xml:space="preserve"> </w:t>
      </w:r>
    </w:p>
    <w:sectPr w:rsidR="000A3F23" w:rsidSect="00355BC9">
      <w:pgSz w:w="11906" w:h="16838"/>
      <w:pgMar w:top="426"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D96B6"/>
    <w:multiLevelType w:val="hybridMultilevel"/>
    <w:tmpl w:val="FFFFFFFF"/>
    <w:lvl w:ilvl="0" w:tplc="CE58B0CE">
      <w:start w:val="1"/>
      <w:numFmt w:val="bullet"/>
      <w:lvlText w:val=""/>
      <w:lvlJc w:val="left"/>
      <w:pPr>
        <w:ind w:left="720" w:hanging="360"/>
      </w:pPr>
      <w:rPr>
        <w:rFonts w:ascii="Symbol" w:hAnsi="Symbol" w:hint="default"/>
      </w:rPr>
    </w:lvl>
    <w:lvl w:ilvl="1" w:tplc="4A8E9748">
      <w:start w:val="1"/>
      <w:numFmt w:val="bullet"/>
      <w:lvlText w:val="o"/>
      <w:lvlJc w:val="left"/>
      <w:pPr>
        <w:ind w:left="1440" w:hanging="360"/>
      </w:pPr>
      <w:rPr>
        <w:rFonts w:ascii="Courier New" w:hAnsi="Courier New" w:hint="default"/>
      </w:rPr>
    </w:lvl>
    <w:lvl w:ilvl="2" w:tplc="32F08D94">
      <w:start w:val="1"/>
      <w:numFmt w:val="bullet"/>
      <w:lvlText w:val=""/>
      <w:lvlJc w:val="left"/>
      <w:pPr>
        <w:ind w:left="2160" w:hanging="360"/>
      </w:pPr>
      <w:rPr>
        <w:rFonts w:ascii="Wingdings" w:hAnsi="Wingdings" w:hint="default"/>
      </w:rPr>
    </w:lvl>
    <w:lvl w:ilvl="3" w:tplc="09E4B6B6">
      <w:start w:val="1"/>
      <w:numFmt w:val="bullet"/>
      <w:lvlText w:val=""/>
      <w:lvlJc w:val="left"/>
      <w:pPr>
        <w:ind w:left="2880" w:hanging="360"/>
      </w:pPr>
      <w:rPr>
        <w:rFonts w:ascii="Symbol" w:hAnsi="Symbol" w:hint="default"/>
      </w:rPr>
    </w:lvl>
    <w:lvl w:ilvl="4" w:tplc="14A2CE14">
      <w:start w:val="1"/>
      <w:numFmt w:val="bullet"/>
      <w:lvlText w:val="o"/>
      <w:lvlJc w:val="left"/>
      <w:pPr>
        <w:ind w:left="3600" w:hanging="360"/>
      </w:pPr>
      <w:rPr>
        <w:rFonts w:ascii="Courier New" w:hAnsi="Courier New" w:hint="default"/>
      </w:rPr>
    </w:lvl>
    <w:lvl w:ilvl="5" w:tplc="5D9A405E">
      <w:start w:val="1"/>
      <w:numFmt w:val="bullet"/>
      <w:lvlText w:val=""/>
      <w:lvlJc w:val="left"/>
      <w:pPr>
        <w:ind w:left="4320" w:hanging="360"/>
      </w:pPr>
      <w:rPr>
        <w:rFonts w:ascii="Wingdings" w:hAnsi="Wingdings" w:hint="default"/>
      </w:rPr>
    </w:lvl>
    <w:lvl w:ilvl="6" w:tplc="D0A6E5B8">
      <w:start w:val="1"/>
      <w:numFmt w:val="bullet"/>
      <w:lvlText w:val=""/>
      <w:lvlJc w:val="left"/>
      <w:pPr>
        <w:ind w:left="5040" w:hanging="360"/>
      </w:pPr>
      <w:rPr>
        <w:rFonts w:ascii="Symbol" w:hAnsi="Symbol" w:hint="default"/>
      </w:rPr>
    </w:lvl>
    <w:lvl w:ilvl="7" w:tplc="44B653E2">
      <w:start w:val="1"/>
      <w:numFmt w:val="bullet"/>
      <w:lvlText w:val="o"/>
      <w:lvlJc w:val="left"/>
      <w:pPr>
        <w:ind w:left="5760" w:hanging="360"/>
      </w:pPr>
      <w:rPr>
        <w:rFonts w:ascii="Courier New" w:hAnsi="Courier New" w:hint="default"/>
      </w:rPr>
    </w:lvl>
    <w:lvl w:ilvl="8" w:tplc="6DE8D106">
      <w:start w:val="1"/>
      <w:numFmt w:val="bullet"/>
      <w:lvlText w:val=""/>
      <w:lvlJc w:val="left"/>
      <w:pPr>
        <w:ind w:left="6480" w:hanging="360"/>
      </w:pPr>
      <w:rPr>
        <w:rFonts w:ascii="Wingdings" w:hAnsi="Wingdings" w:hint="default"/>
      </w:rPr>
    </w:lvl>
  </w:abstractNum>
  <w:num w:numId="1" w16cid:durableId="705718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3C"/>
    <w:rsid w:val="000321B0"/>
    <w:rsid w:val="000A3F23"/>
    <w:rsid w:val="00201290"/>
    <w:rsid w:val="0021483C"/>
    <w:rsid w:val="00316ABD"/>
    <w:rsid w:val="003351C2"/>
    <w:rsid w:val="00344527"/>
    <w:rsid w:val="00355BC9"/>
    <w:rsid w:val="00486560"/>
    <w:rsid w:val="004E35EE"/>
    <w:rsid w:val="00580C21"/>
    <w:rsid w:val="0058141B"/>
    <w:rsid w:val="006B0540"/>
    <w:rsid w:val="007070A5"/>
    <w:rsid w:val="007500A6"/>
    <w:rsid w:val="009412A9"/>
    <w:rsid w:val="00BB3723"/>
    <w:rsid w:val="00D12ADE"/>
    <w:rsid w:val="00EB0431"/>
    <w:rsid w:val="00EB4A92"/>
    <w:rsid w:val="00F4232D"/>
    <w:rsid w:val="00FB36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9CFF"/>
  <w15:chartTrackingRefBased/>
  <w15:docId w15:val="{A2AFC5BA-336D-4788-8DE7-5087E9B4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83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21483C"/>
    <w:pPr>
      <w:ind w:left="720"/>
      <w:contextualSpacing/>
    </w:pPr>
  </w:style>
  <w:style w:type="character" w:styleId="Hyperlink">
    <w:name w:val="Hyperlink"/>
    <w:basedOn w:val="DefaultParagraphFont"/>
    <w:uiPriority w:val="99"/>
    <w:unhideWhenUsed/>
    <w:rsid w:val="0021483C"/>
    <w:rPr>
      <w:color w:val="0563C1" w:themeColor="hyperlink"/>
      <w:u w:val="single"/>
    </w:r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rsid w:val="0021483C"/>
    <w:rPr>
      <w:kern w:val="0"/>
      <w14:ligatures w14:val="none"/>
    </w:rPr>
  </w:style>
  <w:style w:type="character" w:styleId="UnresolvedMention">
    <w:name w:val="Unresolved Mention"/>
    <w:basedOn w:val="DefaultParagraphFont"/>
    <w:uiPriority w:val="99"/>
    <w:semiHidden/>
    <w:unhideWhenUsed/>
    <w:rsid w:val="00201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whatuora.govt.nz/for-the-health-sector/specific-life-stage-health-information/palliative/national-palliative-care-work-programme/" TargetMode="External"/><Relationship Id="rId3" Type="http://schemas.openxmlformats.org/officeDocument/2006/relationships/styles" Target="styles.xml"/><Relationship Id="rId7" Type="http://schemas.openxmlformats.org/officeDocument/2006/relationships/hyperlink" Target="https://forms.gle/eVEwm4L8WYSUA8H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lliativecare@TeWhatuOr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8EBA-3BB4-4BE6-9AC8-0E1F1744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Dunn</dc:creator>
  <cp:keywords/>
  <dc:description/>
  <cp:lastModifiedBy>Jo Hathaway</cp:lastModifiedBy>
  <cp:revision>2</cp:revision>
  <dcterms:created xsi:type="dcterms:W3CDTF">2024-04-04T00:43:00Z</dcterms:created>
  <dcterms:modified xsi:type="dcterms:W3CDTF">2024-04-04T00:43:00Z</dcterms:modified>
</cp:coreProperties>
</file>