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0D0EC" w14:textId="77777777" w:rsidR="00AF57B3" w:rsidRPr="006D1081" w:rsidRDefault="009C1104" w:rsidP="00A313E6">
      <w:pPr>
        <w:pStyle w:val="HQSChead1"/>
        <w:rPr>
          <w:sz w:val="32"/>
          <w:szCs w:val="28"/>
        </w:rPr>
      </w:pPr>
      <w:r w:rsidRPr="006D1081">
        <w:rPr>
          <w:noProof/>
          <w:sz w:val="32"/>
          <w:szCs w:val="28"/>
        </w:rPr>
        <w:drawing>
          <wp:anchor distT="0" distB="0" distL="114300" distR="114300" simplePos="0" relativeHeight="251658240" behindDoc="1" locked="0" layoutInCell="1" allowOverlap="1" wp14:anchorId="7C78E4AA" wp14:editId="03A1F5E0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41254" cy="1930400"/>
            <wp:effectExtent l="0" t="0" r="3175" b="0"/>
            <wp:wrapNone/>
            <wp:docPr id="5" name="Picture 5" descr="Blue background with a white tohu (Māori design) on the left and a white version of the Health Quality &amp; Safety Commission logo on the right. The logo is made up of the words Health Quality &amp; Safety Commission with the words Te Tāhū Hauora underneath. Alongside is a stylised version of a wharenui in a triangle shape, with the tāhū (ridgepole), heke (rafters) and niho taniwha (triangle pattern) benea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Blue background with a white tohu (Māori design) on the left and a white version of the Health Quality &amp; Safety Commission logo on the right. The logo is made up of the words Health Quality &amp; Safety Commission with the words Te Tāhū Hauora underneath. Alongside is a stylised version of a wharenui in a triangle shape, with the tāhū (ridgepole), heke (rafters) and niho taniwha (triangle pattern) beneath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254" cy="193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6BF14E" w14:textId="77777777" w:rsidR="00AF57B3" w:rsidRPr="006D1081" w:rsidRDefault="00AF57B3" w:rsidP="00A313E6">
      <w:pPr>
        <w:pStyle w:val="HQSChead1"/>
        <w:rPr>
          <w:sz w:val="32"/>
          <w:szCs w:val="28"/>
        </w:rPr>
      </w:pPr>
    </w:p>
    <w:p w14:paraId="5FAD2B77" w14:textId="0B28DF63" w:rsidR="00D12FC1" w:rsidRPr="00A313E6" w:rsidRDefault="00180176" w:rsidP="00A313E6">
      <w:pPr>
        <w:pStyle w:val="HQSChead1"/>
      </w:pPr>
      <w:r>
        <w:t xml:space="preserve">Ō </w:t>
      </w:r>
      <w:proofErr w:type="spellStart"/>
      <w:r>
        <w:t>Mātou</w:t>
      </w:r>
      <w:proofErr w:type="spellEnd"/>
      <w:r>
        <w:t xml:space="preserve"> Reo</w:t>
      </w:r>
      <w:r w:rsidR="28DB89B2">
        <w:t>:</w:t>
      </w:r>
      <w:r>
        <w:t xml:space="preserve"> Our Voices 2025 attendee evaluation report </w:t>
      </w:r>
    </w:p>
    <w:p w14:paraId="11695A49" w14:textId="77777777" w:rsidR="00180176" w:rsidRDefault="00180176" w:rsidP="00180176">
      <w:pPr>
        <w:pStyle w:val="HQSChead2"/>
      </w:pPr>
      <w:bookmarkStart w:id="0" w:name="_Toc494090983"/>
      <w:r>
        <w:t>Introduction</w:t>
      </w:r>
    </w:p>
    <w:p w14:paraId="11B96522" w14:textId="3AF4B07C" w:rsidR="00180176" w:rsidRDefault="00180176" w:rsidP="00180176">
      <w:pPr>
        <w:pStyle w:val="HQSCbodytext"/>
      </w:pPr>
      <w:r>
        <w:t xml:space="preserve">The event Ō </w:t>
      </w:r>
      <w:proofErr w:type="spellStart"/>
      <w:r>
        <w:t>Mātou</w:t>
      </w:r>
      <w:proofErr w:type="spellEnd"/>
      <w:r>
        <w:t xml:space="preserve"> Reo: Our Voices</w:t>
      </w:r>
      <w:r w:rsidR="00EF3071">
        <w:t xml:space="preserve"> 2025</w:t>
      </w:r>
      <w:r w:rsidR="367068D1">
        <w:t xml:space="preserve"> (Ō </w:t>
      </w:r>
      <w:proofErr w:type="spellStart"/>
      <w:r w:rsidR="367068D1">
        <w:t>Mātou</w:t>
      </w:r>
      <w:proofErr w:type="spellEnd"/>
      <w:r w:rsidR="367068D1">
        <w:t xml:space="preserve"> Reo)</w:t>
      </w:r>
      <w:r w:rsidR="00656806">
        <w:t xml:space="preserve">, hosted by the Health Quality &amp; Safety Commission Te Tāhū Hauora (the Commission) was </w:t>
      </w:r>
      <w:r>
        <w:t xml:space="preserve">held on 30 October 2025 at </w:t>
      </w:r>
      <w:proofErr w:type="spellStart"/>
      <w:r>
        <w:t>Tākina</w:t>
      </w:r>
      <w:proofErr w:type="spellEnd"/>
      <w:r>
        <w:t xml:space="preserve"> Convention and Exhibition Centre in Wellington</w:t>
      </w:r>
      <w:r w:rsidR="00656806">
        <w:t>. The event</w:t>
      </w:r>
      <w:r>
        <w:t xml:space="preserve"> brought together consumers, whānau, communities</w:t>
      </w:r>
      <w:r w:rsidR="00560D63">
        <w:t xml:space="preserve"> and</w:t>
      </w:r>
      <w:r>
        <w:t xml:space="preserve"> health providers</w:t>
      </w:r>
      <w:r w:rsidR="009E6E2A">
        <w:t xml:space="preserve"> </w:t>
      </w:r>
      <w:r>
        <w:t>to share</w:t>
      </w:r>
      <w:r w:rsidR="001C4B64">
        <w:t xml:space="preserve">, learn and celebrate examples of positive consumer and whānau engagement practice in the health sector. </w:t>
      </w:r>
    </w:p>
    <w:p w14:paraId="10698F30" w14:textId="77777777" w:rsidR="001C4B64" w:rsidRDefault="001C4B64" w:rsidP="00180176">
      <w:pPr>
        <w:pStyle w:val="HQSCbodytext"/>
      </w:pPr>
      <w:r>
        <w:t xml:space="preserve">The aims of the event were to: </w:t>
      </w:r>
    </w:p>
    <w:p w14:paraId="3CA6E301" w14:textId="04B693BC" w:rsidR="001C4B64" w:rsidRDefault="005C3FA1" w:rsidP="009048A2">
      <w:pPr>
        <w:pStyle w:val="HQSCbullets"/>
      </w:pPr>
      <w:r>
        <w:t>p</w:t>
      </w:r>
      <w:r w:rsidR="001C4B64">
        <w:t>rovide a forum for consumers and whānau to engage with and share perspectives with health and disability service providers and professionals</w:t>
      </w:r>
    </w:p>
    <w:p w14:paraId="695F6A8A" w14:textId="03A5CD38" w:rsidR="001C4B64" w:rsidRDefault="005C3FA1" w:rsidP="009048A2">
      <w:pPr>
        <w:pStyle w:val="HQSCbullets"/>
      </w:pPr>
      <w:r>
        <w:t>f</w:t>
      </w:r>
      <w:r w:rsidR="001C4B64">
        <w:t xml:space="preserve">acilitate dialogue, stimulate ideas and identify opportunities to better involve consumers and whānau in health and disability service delivery </w:t>
      </w:r>
    </w:p>
    <w:p w14:paraId="11E1C261" w14:textId="464192F5" w:rsidR="005C3FA1" w:rsidRDefault="005C3FA1" w:rsidP="009048A2">
      <w:pPr>
        <w:pStyle w:val="HQSCbullets"/>
      </w:pPr>
      <w:r>
        <w:t>c</w:t>
      </w:r>
      <w:r w:rsidR="001C4B64">
        <w:t>ollectively learn more about and celebrate examples of positive consumer and whānau engagement practice</w:t>
      </w:r>
    </w:p>
    <w:p w14:paraId="0C870D6C" w14:textId="515A655C" w:rsidR="00180176" w:rsidRDefault="005C3FA1" w:rsidP="009048A2">
      <w:pPr>
        <w:pStyle w:val="HQSCbullets"/>
      </w:pPr>
      <w:r>
        <w:t>s</w:t>
      </w:r>
      <w:r w:rsidR="001C4B64">
        <w:t>har</w:t>
      </w:r>
      <w:r>
        <w:t>e</w:t>
      </w:r>
      <w:r w:rsidR="001C4B64">
        <w:t xml:space="preserve"> positive examples of implementation of the Code of </w:t>
      </w:r>
      <w:r w:rsidR="0048020E">
        <w:t>e</w:t>
      </w:r>
      <w:r w:rsidR="001C4B64">
        <w:t xml:space="preserve">xpectations </w:t>
      </w:r>
      <w:bookmarkStart w:id="1" w:name="_Hlk216436353"/>
      <w:r w:rsidR="001C4B64">
        <w:t xml:space="preserve">for </w:t>
      </w:r>
      <w:bookmarkEnd w:id="1"/>
      <w:proofErr w:type="spellStart"/>
      <w:r w:rsidR="756A24D5" w:rsidRPr="33A9E3E8">
        <w:rPr>
          <w:rFonts w:eastAsia="Arial"/>
          <w:color w:val="000000"/>
        </w:rPr>
        <w:t>for</w:t>
      </w:r>
      <w:proofErr w:type="spellEnd"/>
      <w:r w:rsidR="756A24D5" w:rsidRPr="33A9E3E8">
        <w:rPr>
          <w:rFonts w:eastAsia="Arial"/>
          <w:color w:val="000000"/>
        </w:rPr>
        <w:t xml:space="preserve"> health entities’ engagement with consumers and whānau.</w:t>
      </w:r>
    </w:p>
    <w:p w14:paraId="341AA12E" w14:textId="5AAC882D" w:rsidR="001C4B64" w:rsidRPr="004846B0" w:rsidRDefault="005C3FA1" w:rsidP="001C4B64">
      <w:pPr>
        <w:pStyle w:val="HQSCbodytext"/>
      </w:pPr>
      <w:r>
        <w:t>We published t</w:t>
      </w:r>
      <w:r w:rsidR="001C4B64">
        <w:t xml:space="preserve">hese aims </w:t>
      </w:r>
      <w:r w:rsidR="0F68364C">
        <w:t>o</w:t>
      </w:r>
      <w:r w:rsidR="001C4B64">
        <w:t xml:space="preserve">n our webpage about the event. </w:t>
      </w:r>
    </w:p>
    <w:p w14:paraId="7969F0BA" w14:textId="69D368A4" w:rsidR="05C51F8D" w:rsidRDefault="05C51F8D" w:rsidP="0304336E">
      <w:pPr>
        <w:pStyle w:val="HQSCbodytext"/>
      </w:pPr>
      <w:r>
        <w:t xml:space="preserve">We would like to thank all attendees of Ō </w:t>
      </w:r>
      <w:proofErr w:type="spellStart"/>
      <w:r>
        <w:t>Mātou</w:t>
      </w:r>
      <w:proofErr w:type="spellEnd"/>
      <w:r>
        <w:t xml:space="preserve"> Reo for being part of the day and for sharing </w:t>
      </w:r>
      <w:r w:rsidR="00E07525">
        <w:t xml:space="preserve">their </w:t>
      </w:r>
      <w:r>
        <w:t xml:space="preserve">time, insights and experiences through this evaluation. </w:t>
      </w:r>
    </w:p>
    <w:p w14:paraId="7CA63D58" w14:textId="77777777" w:rsidR="001C4B64" w:rsidRDefault="001C4B64" w:rsidP="00180176">
      <w:pPr>
        <w:pStyle w:val="HQSChead2"/>
      </w:pPr>
      <w:r>
        <w:t xml:space="preserve">Pre-event insights </w:t>
      </w:r>
    </w:p>
    <w:p w14:paraId="108C5ECB" w14:textId="5F1C2572" w:rsidR="001C4B64" w:rsidRDefault="001C4B64" w:rsidP="001C4B64">
      <w:pPr>
        <w:pStyle w:val="HQSCbodytext"/>
      </w:pPr>
      <w:r>
        <w:t xml:space="preserve">On 17 October, we sent out an event confirmation and attendance check to all registered attendees. In this </w:t>
      </w:r>
      <w:r w:rsidR="00A047D7">
        <w:t xml:space="preserve">confirmation, we asked registered attendees </w:t>
      </w:r>
      <w:r w:rsidR="00E07525">
        <w:t>‘</w:t>
      </w:r>
      <w:r w:rsidR="00A047D7">
        <w:t xml:space="preserve">what </w:t>
      </w:r>
      <w:r w:rsidR="002D3ADB">
        <w:t>you’re</w:t>
      </w:r>
      <w:r w:rsidR="00A047D7">
        <w:t xml:space="preserve"> most looking forward to</w:t>
      </w:r>
      <w:r w:rsidR="00E07525">
        <w:t>’</w:t>
      </w:r>
      <w:r w:rsidR="00A047D7">
        <w:t xml:space="preserve"> and any </w:t>
      </w:r>
      <w:r w:rsidR="00E07525">
        <w:t>‘</w:t>
      </w:r>
      <w:r w:rsidR="00A047D7">
        <w:t>specific questions or areas of interest you have</w:t>
      </w:r>
      <w:r w:rsidR="00E07525">
        <w:t>’</w:t>
      </w:r>
      <w:r w:rsidR="00A047D7">
        <w:t xml:space="preserve"> about Ō </w:t>
      </w:r>
      <w:proofErr w:type="spellStart"/>
      <w:r w:rsidR="00A047D7">
        <w:t>Mātou</w:t>
      </w:r>
      <w:proofErr w:type="spellEnd"/>
      <w:r w:rsidR="00A047D7">
        <w:t xml:space="preserve"> Reo. </w:t>
      </w:r>
    </w:p>
    <w:p w14:paraId="741D551B" w14:textId="76BC09FE" w:rsidR="00A047D7" w:rsidRDefault="00A047D7" w:rsidP="001C4B64">
      <w:pPr>
        <w:pStyle w:val="HQSCbodytext"/>
      </w:pPr>
      <w:r>
        <w:t xml:space="preserve">The purpose of this was to seek insights from registered attendees </w:t>
      </w:r>
      <w:r w:rsidR="00E07525">
        <w:t xml:space="preserve">as to </w:t>
      </w:r>
      <w:r>
        <w:t xml:space="preserve">why they </w:t>
      </w:r>
      <w:r w:rsidR="00E07525">
        <w:t xml:space="preserve">were </w:t>
      </w:r>
      <w:r>
        <w:t xml:space="preserve">attending the event and </w:t>
      </w:r>
      <w:r w:rsidR="00E07525">
        <w:t xml:space="preserve">to ascertain whether </w:t>
      </w:r>
      <w:r>
        <w:t xml:space="preserve">we would be able to respond to insights throughout the event itself.  </w:t>
      </w:r>
    </w:p>
    <w:p w14:paraId="2456D1F7" w14:textId="55849AA7" w:rsidR="0083202F" w:rsidRDefault="00A047D7" w:rsidP="001C4B64">
      <w:pPr>
        <w:pStyle w:val="HQSCbodytext"/>
      </w:pPr>
      <w:r>
        <w:t xml:space="preserve">We received six responses to these questions. Some </w:t>
      </w:r>
      <w:r w:rsidR="00E07525">
        <w:t xml:space="preserve">respondents </w:t>
      </w:r>
      <w:r>
        <w:t xml:space="preserve">noted they were most looking forward to the Code of expectations </w:t>
      </w:r>
      <w:r w:rsidR="0083202F">
        <w:t>workshop and</w:t>
      </w:r>
      <w:r>
        <w:t xml:space="preserve"> learning practical tips for making co-design work for everyone. Some noted they were keen to come away from the day with a strong sense of how well we </w:t>
      </w:r>
      <w:r w:rsidR="00E07525">
        <w:t xml:space="preserve">were </w:t>
      </w:r>
      <w:r>
        <w:t xml:space="preserve">working together, how this </w:t>
      </w:r>
      <w:r w:rsidR="00E07525">
        <w:t xml:space="preserve">could </w:t>
      </w:r>
      <w:r>
        <w:t xml:space="preserve">be improved and what tools </w:t>
      </w:r>
      <w:r w:rsidR="00E07525">
        <w:t xml:space="preserve">could best </w:t>
      </w:r>
      <w:r>
        <w:t xml:space="preserve">support co-design and engagement. </w:t>
      </w:r>
    </w:p>
    <w:p w14:paraId="31C1AC99" w14:textId="56F73034" w:rsidR="0083202F" w:rsidRPr="001C4B64" w:rsidRDefault="0083202F" w:rsidP="001C4B64">
      <w:pPr>
        <w:pStyle w:val="HQSCbodytext"/>
      </w:pPr>
      <w:r>
        <w:t xml:space="preserve">On the day of the event, </w:t>
      </w:r>
      <w:r w:rsidR="001306A1">
        <w:t xml:space="preserve">we provided </w:t>
      </w:r>
      <w:r>
        <w:t xml:space="preserve">these responses to our </w:t>
      </w:r>
      <w:r w:rsidR="001306A1">
        <w:t>m</w:t>
      </w:r>
      <w:r>
        <w:t xml:space="preserve">aster of </w:t>
      </w:r>
      <w:r w:rsidR="001306A1">
        <w:t>c</w:t>
      </w:r>
      <w:r>
        <w:t>eremonies</w:t>
      </w:r>
      <w:r w:rsidR="001306A1">
        <w:t xml:space="preserve">, who provided our </w:t>
      </w:r>
      <w:r>
        <w:t xml:space="preserve">feedback to </w:t>
      </w:r>
      <w:r w:rsidR="001306A1">
        <w:t>them</w:t>
      </w:r>
      <w:r>
        <w:t xml:space="preserve">. This included letting the audience know of the relevant </w:t>
      </w:r>
      <w:r>
        <w:lastRenderedPageBreak/>
        <w:t xml:space="preserve">workshops being held during the event </w:t>
      </w:r>
      <w:r w:rsidR="00656806">
        <w:t>about</w:t>
      </w:r>
      <w:r>
        <w:t xml:space="preserve"> </w:t>
      </w:r>
      <w:r w:rsidR="00662414">
        <w:t>co-design and</w:t>
      </w:r>
      <w:r>
        <w:t xml:space="preserve"> reinforcing that </w:t>
      </w:r>
      <w:r w:rsidR="001306A1">
        <w:t xml:space="preserve">we had designed </w:t>
      </w:r>
      <w:r>
        <w:t xml:space="preserve">the day </w:t>
      </w:r>
      <w:r w:rsidRPr="0083202F">
        <w:t>to shar</w:t>
      </w:r>
      <w:r w:rsidR="001306A1">
        <w:t>e</w:t>
      </w:r>
      <w:r w:rsidRPr="0083202F">
        <w:t xml:space="preserve"> what </w:t>
      </w:r>
      <w:r w:rsidR="001306A1">
        <w:t>‘</w:t>
      </w:r>
      <w:r w:rsidRPr="0083202F">
        <w:t>good</w:t>
      </w:r>
      <w:r w:rsidR="001306A1">
        <w:t>’</w:t>
      </w:r>
      <w:r w:rsidRPr="0083202F">
        <w:t xml:space="preserve"> looks like </w:t>
      </w:r>
      <w:r w:rsidR="001306A1">
        <w:t xml:space="preserve">in the context of </w:t>
      </w:r>
      <w:r w:rsidRPr="0083202F">
        <w:t>engag</w:t>
      </w:r>
      <w:r w:rsidR="001306A1">
        <w:t>ement</w:t>
      </w:r>
      <w:r w:rsidRPr="0083202F">
        <w:t xml:space="preserve"> with consumers and whānau. </w:t>
      </w:r>
      <w:r w:rsidR="00F678CC">
        <w:t xml:space="preserve">The master of ceremonies told attendees </w:t>
      </w:r>
      <w:r>
        <w:t>t</w:t>
      </w:r>
      <w:r w:rsidRPr="0083202F">
        <w:t xml:space="preserve">here </w:t>
      </w:r>
      <w:r w:rsidR="002D3ADB">
        <w:t>would</w:t>
      </w:r>
      <w:r w:rsidRPr="0083202F">
        <w:t xml:space="preserve"> be discussions </w:t>
      </w:r>
      <w:r>
        <w:t xml:space="preserve">throughout the day </w:t>
      </w:r>
      <w:r w:rsidRPr="0083202F">
        <w:t xml:space="preserve">on positive learning and best practice </w:t>
      </w:r>
      <w:proofErr w:type="gramStart"/>
      <w:r w:rsidR="00F678CC">
        <w:t xml:space="preserve">in the area </w:t>
      </w:r>
      <w:r w:rsidRPr="0083202F">
        <w:t>of</w:t>
      </w:r>
      <w:proofErr w:type="gramEnd"/>
      <w:r w:rsidRPr="0083202F">
        <w:t xml:space="preserve"> consumer and whānau engagement, which </w:t>
      </w:r>
      <w:r w:rsidR="00AD6764">
        <w:t xml:space="preserve">would </w:t>
      </w:r>
      <w:r w:rsidRPr="0083202F">
        <w:t>become the resources</w:t>
      </w:r>
      <w:r>
        <w:t xml:space="preserve"> the audience </w:t>
      </w:r>
      <w:r w:rsidR="00AD6764">
        <w:t xml:space="preserve">could </w:t>
      </w:r>
      <w:r>
        <w:t>take away at the end of the day.</w:t>
      </w:r>
    </w:p>
    <w:p w14:paraId="6E074870" w14:textId="77777777" w:rsidR="00180176" w:rsidRDefault="00180176" w:rsidP="00180176">
      <w:pPr>
        <w:pStyle w:val="HQSChead2"/>
      </w:pPr>
      <w:r>
        <w:t>Survey of attendees</w:t>
      </w:r>
    </w:p>
    <w:p w14:paraId="2872EF3E" w14:textId="425D6A64" w:rsidR="00180176" w:rsidRPr="004846B0" w:rsidRDefault="00656806" w:rsidP="00656806">
      <w:pPr>
        <w:pStyle w:val="HQSCbodytext"/>
      </w:pPr>
      <w:r w:rsidRPr="00656806">
        <w:t>To strengthen the quality of future</w:t>
      </w:r>
      <w:r>
        <w:t xml:space="preserve"> consumer health forum events, the Commission carried out an evaluation survey of attendees. </w:t>
      </w:r>
      <w:bookmarkStart w:id="2" w:name="_Hlk214453517"/>
      <w:r w:rsidRPr="00656806">
        <w:t xml:space="preserve">The survey was emailed </w:t>
      </w:r>
      <w:r>
        <w:t xml:space="preserve">on 4 November </w:t>
      </w:r>
      <w:r w:rsidRPr="00656806">
        <w:t xml:space="preserve">to those who participated in the event and remained open for </w:t>
      </w:r>
      <w:r>
        <w:t>two weeks</w:t>
      </w:r>
      <w:r w:rsidRPr="00656806">
        <w:t xml:space="preserve">. Of the </w:t>
      </w:r>
      <w:r>
        <w:t>258</w:t>
      </w:r>
      <w:r w:rsidRPr="00656806">
        <w:t xml:space="preserve"> people invited to take part, </w:t>
      </w:r>
      <w:r>
        <w:t>71</w:t>
      </w:r>
      <w:r w:rsidRPr="00656806">
        <w:t xml:space="preserve"> completed the survey (a response rate of </w:t>
      </w:r>
      <w:r>
        <w:t>27.5</w:t>
      </w:r>
      <w:r w:rsidR="00C06F79">
        <w:t>%</w:t>
      </w:r>
      <w:r w:rsidRPr="00656806">
        <w:t xml:space="preserve">). </w:t>
      </w:r>
      <w:bookmarkEnd w:id="2"/>
      <w:r w:rsidRPr="00656806">
        <w:t xml:space="preserve">The </w:t>
      </w:r>
      <w:r w:rsidR="00AD6764">
        <w:t xml:space="preserve">following section presents </w:t>
      </w:r>
      <w:r w:rsidRPr="00656806">
        <w:t>findings from this survey.</w:t>
      </w:r>
    </w:p>
    <w:p w14:paraId="5C50EF6B" w14:textId="77777777" w:rsidR="00180176" w:rsidRDefault="00180176" w:rsidP="00180176">
      <w:pPr>
        <w:pStyle w:val="HQSChead2"/>
      </w:pPr>
      <w:r>
        <w:t>Survey findings</w:t>
      </w:r>
    </w:p>
    <w:p w14:paraId="328DE35B" w14:textId="4CBFED1C" w:rsidR="00DA5AB9" w:rsidRDefault="00DA5AB9" w:rsidP="004F6951">
      <w:pPr>
        <w:pStyle w:val="HQSCbodytext"/>
      </w:pPr>
      <w:r>
        <w:t>This section provides information on survey responses under subheadings that recreate the actual questions in the survey.</w:t>
      </w:r>
    </w:p>
    <w:p w14:paraId="27FDCA2B" w14:textId="718A3C7E" w:rsidR="004F6951" w:rsidRDefault="00AD6764" w:rsidP="004F6951">
      <w:pPr>
        <w:pStyle w:val="HQSCbodytext"/>
      </w:pPr>
      <w:r>
        <w:t xml:space="preserve">Figure one gives the demographics of those attendees </w:t>
      </w:r>
      <w:r w:rsidR="004F6951">
        <w:t>who completed the survey</w:t>
      </w:r>
      <w:r>
        <w:t>.</w:t>
      </w:r>
      <w:r w:rsidR="004F6951">
        <w:t xml:space="preserve"> </w:t>
      </w:r>
    </w:p>
    <w:p w14:paraId="0D27BE65" w14:textId="6BFF4CF8" w:rsidR="00DA5AB9" w:rsidRDefault="00E96E2E" w:rsidP="002046C4">
      <w:pPr>
        <w:pStyle w:val="HQSChead3"/>
      </w:pPr>
      <w:r>
        <w:t>I attended this event as a</w:t>
      </w:r>
      <w:r w:rsidR="00DA5AB9">
        <w:t>?</w:t>
      </w:r>
    </w:p>
    <w:p w14:paraId="451082EC" w14:textId="142A9EFF" w:rsidR="008659CA" w:rsidRDefault="00AD6764" w:rsidP="009048A2">
      <w:pPr>
        <w:pStyle w:val="HQSCtablefigurecaption"/>
      </w:pPr>
      <w:r>
        <w:t xml:space="preserve">Figure 1: </w:t>
      </w:r>
      <w:r w:rsidR="004F6951">
        <w:t>Attendee demographics</w:t>
      </w:r>
      <w:r w:rsidR="009519D3">
        <w:rPr>
          <w:noProof/>
        </w:rPr>
        <w:drawing>
          <wp:inline distT="0" distB="0" distL="0" distR="0" wp14:anchorId="44B9EF9D" wp14:editId="2C2A433C">
            <wp:extent cx="5486400" cy="3200400"/>
            <wp:effectExtent l="0" t="0" r="0" b="0"/>
            <wp:docPr id="843964594" name="Chart 3" descr="Pie chart showing attendee demographics. Health sector employee is at 45%, Consumer organisation representative is at 22%, Consumer/whānau/community members is at 22% and Other is at 10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73980DD" w14:textId="516FB503" w:rsidR="007E23A7" w:rsidRDefault="006E72F9" w:rsidP="007A2DFA">
      <w:pPr>
        <w:pStyle w:val="HQSChead3"/>
      </w:pPr>
      <w:r>
        <w:t>What Health New Zealand Te Whatu Ora region are you based in</w:t>
      </w:r>
      <w:r w:rsidR="007E23A7">
        <w:t>?</w:t>
      </w:r>
    </w:p>
    <w:p w14:paraId="257B7F83" w14:textId="55158FC6" w:rsidR="00F50111" w:rsidRPr="00F50111" w:rsidRDefault="00AD6764" w:rsidP="00F50111">
      <w:pPr>
        <w:tabs>
          <w:tab w:val="left" w:pos="2554"/>
        </w:tabs>
      </w:pPr>
      <w:r>
        <w:t xml:space="preserve">Figure 2 provides information on the regions in which attendees were based. </w:t>
      </w:r>
    </w:p>
    <w:p w14:paraId="67EC912F" w14:textId="14887539" w:rsidR="005A5366" w:rsidRDefault="00AD6764" w:rsidP="009048A2">
      <w:pPr>
        <w:pStyle w:val="HQSCtablefigurecaption"/>
      </w:pPr>
      <w:r>
        <w:lastRenderedPageBreak/>
        <w:t xml:space="preserve">Figure 2: </w:t>
      </w:r>
      <w:r w:rsidR="004F6951">
        <w:t>Region demographics</w:t>
      </w:r>
      <w:r w:rsidR="00F50111">
        <w:rPr>
          <w:i/>
          <w:iCs/>
        </w:rPr>
        <w:t xml:space="preserve"> </w:t>
      </w:r>
      <w:r w:rsidR="009519D3">
        <w:rPr>
          <w:noProof/>
        </w:rPr>
        <w:drawing>
          <wp:inline distT="0" distB="0" distL="0" distR="0" wp14:anchorId="6C622F88" wp14:editId="0DC67357">
            <wp:extent cx="5486400" cy="3200400"/>
            <wp:effectExtent l="0" t="0" r="0" b="0"/>
            <wp:docPr id="2088854225" name="Chart 3" descr="A pie chart showing region demographics. Central is at 66%, South Island is at 8%, Northland is at 10%, Midland is at 8% and Other is at 7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98AA757" w14:textId="77777777" w:rsidR="00656806" w:rsidRDefault="00C06F79" w:rsidP="00656806">
      <w:pPr>
        <w:pStyle w:val="HQSChead3"/>
      </w:pPr>
      <w:r>
        <w:t>Did the event meet its purpose?</w:t>
      </w:r>
    </w:p>
    <w:p w14:paraId="5742AAB1" w14:textId="47E29648" w:rsidR="00C06F79" w:rsidRDefault="00AD6764" w:rsidP="00180176">
      <w:pPr>
        <w:pStyle w:val="HQSCbodytext"/>
      </w:pPr>
      <w:r>
        <w:t xml:space="preserve">Our </w:t>
      </w:r>
      <w:r w:rsidR="00C06F79">
        <w:t>evaluation survey</w:t>
      </w:r>
      <w:r>
        <w:t xml:space="preserve"> described </w:t>
      </w:r>
      <w:r w:rsidR="00C06F79">
        <w:t>the purpose of the event</w:t>
      </w:r>
      <w:r>
        <w:t xml:space="preserve"> as follows.</w:t>
      </w:r>
    </w:p>
    <w:p w14:paraId="339B2C55" w14:textId="5352F52B" w:rsidR="00C06F79" w:rsidRPr="00D906BB" w:rsidRDefault="00D906BB" w:rsidP="00C06F79">
      <w:pPr>
        <w:pStyle w:val="HQSCbodytext"/>
      </w:pPr>
      <w:r>
        <w:t>‘</w:t>
      </w:r>
      <w:r w:rsidR="00C06F79" w:rsidRPr="00D906BB">
        <w:t>Ō </w:t>
      </w:r>
      <w:proofErr w:type="spellStart"/>
      <w:r w:rsidR="00C06F79" w:rsidRPr="00D906BB">
        <w:t>Mātou</w:t>
      </w:r>
      <w:proofErr w:type="spellEnd"/>
      <w:r w:rsidR="00C06F79" w:rsidRPr="00D906BB">
        <w:t> Reo: Our Voices 2025 provided a forum for consumers, whānau and communities to engage with health service providers and professionals. </w:t>
      </w:r>
      <w:r w:rsidR="00C06F79" w:rsidRPr="00D906BB">
        <w:br/>
        <w:t>It aimed to foster shared learning and celebrate effective examples of consumer, whānau and community engagement, aligned with the principles of the Code of expectations. A key focus was to support consumers, whānau and communities to engage in health service improvement activities, including in primary care</w:t>
      </w:r>
      <w:r>
        <w:t>’</w:t>
      </w:r>
      <w:r w:rsidR="00C06F79" w:rsidRPr="00D906BB">
        <w:t>.  </w:t>
      </w:r>
    </w:p>
    <w:p w14:paraId="33D31ED2" w14:textId="18C92652" w:rsidR="00933E44" w:rsidRDefault="00933E44" w:rsidP="00933E44">
      <w:pPr>
        <w:pStyle w:val="HQSCbodytext"/>
      </w:pPr>
      <w:r>
        <w:t xml:space="preserve">Of those who completed the survey, 88.8% agreed (45.1%) or strongly agreed (43.7%) that the event met its purpose. </w:t>
      </w:r>
    </w:p>
    <w:p w14:paraId="63007F29" w14:textId="34076249" w:rsidR="004F6951" w:rsidRDefault="00933E44" w:rsidP="009048A2">
      <w:pPr>
        <w:pStyle w:val="HQSCtablefigurecaption"/>
      </w:pPr>
      <w:r w:rsidRPr="00933E44">
        <w:lastRenderedPageBreak/>
        <w:t>Figure 3: Response to survey question whether the event met its purpose</w:t>
      </w:r>
      <w:r w:rsidR="001526CC">
        <w:rPr>
          <w:noProof/>
        </w:rPr>
        <w:drawing>
          <wp:inline distT="0" distB="0" distL="0" distR="0" wp14:anchorId="114378B2" wp14:editId="3ADE6B1B">
            <wp:extent cx="5486400" cy="3200400"/>
            <wp:effectExtent l="0" t="0" r="0" b="0"/>
            <wp:docPr id="492721631" name="Chart 4" descr="A stacked bar graph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F17A1E2" w14:textId="16279786" w:rsidR="00610F2E" w:rsidRDefault="00610F2E" w:rsidP="00C06F79">
      <w:pPr>
        <w:pStyle w:val="HQSCbodytext"/>
      </w:pPr>
      <w:r>
        <w:t>The question gave respondents the option of providing additional comments about this statement. Some commented on the organisation of the event and speakers</w:t>
      </w:r>
      <w:r w:rsidR="00C46A63">
        <w:t>, reflecting that it was a well organised event with great speakers</w:t>
      </w:r>
      <w:r w:rsidR="00747C5F">
        <w:t xml:space="preserve">. Some noted </w:t>
      </w:r>
      <w:r w:rsidR="00DB4F11">
        <w:t xml:space="preserve">that </w:t>
      </w:r>
      <w:r w:rsidR="00747C5F">
        <w:t xml:space="preserve">they </w:t>
      </w:r>
      <w:r w:rsidR="00DB4F11">
        <w:t xml:space="preserve">had </w:t>
      </w:r>
      <w:r w:rsidR="00747C5F">
        <w:t xml:space="preserve">enjoyed the stories and content in the workshops, and that </w:t>
      </w:r>
      <w:r w:rsidR="00620847">
        <w:t xml:space="preserve">the event met or </w:t>
      </w:r>
      <w:r w:rsidR="00DB4F11">
        <w:t xml:space="preserve">exceeded </w:t>
      </w:r>
      <w:r w:rsidR="00620847">
        <w:t xml:space="preserve">their expectations. </w:t>
      </w:r>
      <w:r>
        <w:t xml:space="preserve"> </w:t>
      </w:r>
    </w:p>
    <w:p w14:paraId="68AA1445" w14:textId="637D1A29" w:rsidR="00610F2E" w:rsidRDefault="750518FE" w:rsidP="1A772F18">
      <w:pPr>
        <w:pStyle w:val="HQSCbodytext"/>
        <w:rPr>
          <w:rFonts w:eastAsia="Calibri"/>
        </w:rPr>
      </w:pPr>
      <w:r w:rsidRPr="4ED9DE3F">
        <w:rPr>
          <w:rFonts w:eastAsia="Calibri"/>
        </w:rPr>
        <w:t>Conversely, 5.6% disagreed (2.8%) or strongly disagreed (2.8%) with the statement, and 5.6% of respondents were unsure. Some respond</w:t>
      </w:r>
      <w:r w:rsidR="003902B2">
        <w:rPr>
          <w:rFonts w:eastAsia="Calibri"/>
        </w:rPr>
        <w:t>ents</w:t>
      </w:r>
      <w:r w:rsidRPr="4ED9DE3F">
        <w:rPr>
          <w:rFonts w:eastAsia="Calibri"/>
        </w:rPr>
        <w:t xml:space="preserve"> </w:t>
      </w:r>
      <w:r w:rsidR="643094E5" w:rsidRPr="4ED9DE3F">
        <w:rPr>
          <w:rFonts w:eastAsia="Calibri"/>
        </w:rPr>
        <w:t>wanted more networking opportunities between consumers, whānau</w:t>
      </w:r>
      <w:r w:rsidR="4FF88A9D" w:rsidRPr="4ED9DE3F">
        <w:rPr>
          <w:rFonts w:eastAsia="Calibri"/>
        </w:rPr>
        <w:t>, communities</w:t>
      </w:r>
      <w:r w:rsidR="643094E5" w:rsidRPr="4ED9DE3F">
        <w:rPr>
          <w:rFonts w:eastAsia="Calibri"/>
        </w:rPr>
        <w:t xml:space="preserve"> and health providers. </w:t>
      </w:r>
      <w:r w:rsidR="0A748DE6" w:rsidRPr="4ED9DE3F">
        <w:rPr>
          <w:rFonts w:eastAsia="Calibri"/>
        </w:rPr>
        <w:t>T</w:t>
      </w:r>
      <w:r w:rsidRPr="4ED9DE3F">
        <w:rPr>
          <w:rFonts w:eastAsia="Calibri"/>
        </w:rPr>
        <w:t xml:space="preserve">hey </w:t>
      </w:r>
      <w:r w:rsidR="00DA5AB9">
        <w:rPr>
          <w:rFonts w:eastAsia="Calibri"/>
        </w:rPr>
        <w:t xml:space="preserve">expressed uncertainty as to </w:t>
      </w:r>
      <w:r w:rsidRPr="4ED9DE3F">
        <w:rPr>
          <w:rFonts w:eastAsia="Calibri"/>
        </w:rPr>
        <w:t xml:space="preserve">what the day </w:t>
      </w:r>
      <w:r w:rsidR="00DA5AB9">
        <w:rPr>
          <w:rFonts w:eastAsia="Calibri"/>
        </w:rPr>
        <w:t xml:space="preserve">had been </w:t>
      </w:r>
      <w:r w:rsidRPr="4ED9DE3F">
        <w:rPr>
          <w:rFonts w:eastAsia="Calibri"/>
        </w:rPr>
        <w:t xml:space="preserve">meant to achieve and thought the programme </w:t>
      </w:r>
      <w:r w:rsidR="00DA5AB9">
        <w:rPr>
          <w:rFonts w:eastAsia="Calibri"/>
        </w:rPr>
        <w:t xml:space="preserve">had not provided enough </w:t>
      </w:r>
      <w:r w:rsidRPr="4ED9DE3F">
        <w:rPr>
          <w:rFonts w:eastAsia="Calibri"/>
        </w:rPr>
        <w:t xml:space="preserve">interaction with communities. </w:t>
      </w:r>
      <w:r w:rsidR="2FA378C8" w:rsidRPr="4ED9DE3F">
        <w:rPr>
          <w:rFonts w:eastAsia="Calibri"/>
        </w:rPr>
        <w:t>S</w:t>
      </w:r>
      <w:r w:rsidRPr="4ED9DE3F">
        <w:rPr>
          <w:rFonts w:eastAsia="Calibri"/>
        </w:rPr>
        <w:t xml:space="preserve">ome respondents </w:t>
      </w:r>
      <w:r w:rsidR="00DA5AB9">
        <w:rPr>
          <w:rFonts w:eastAsia="Calibri"/>
        </w:rPr>
        <w:t xml:space="preserve">suggested ways in which the </w:t>
      </w:r>
      <w:r w:rsidRPr="4ED9DE3F">
        <w:rPr>
          <w:rFonts w:eastAsia="Calibri"/>
        </w:rPr>
        <w:t xml:space="preserve">event could </w:t>
      </w:r>
      <w:r w:rsidR="00DA5AB9">
        <w:rPr>
          <w:rFonts w:eastAsia="Calibri"/>
        </w:rPr>
        <w:t xml:space="preserve">have </w:t>
      </w:r>
      <w:r w:rsidRPr="4ED9DE3F">
        <w:rPr>
          <w:rFonts w:eastAsia="Calibri"/>
        </w:rPr>
        <w:t>better reflect</w:t>
      </w:r>
      <w:r w:rsidR="00DA5AB9">
        <w:rPr>
          <w:rFonts w:eastAsia="Calibri"/>
        </w:rPr>
        <w:t>ed</w:t>
      </w:r>
      <w:r w:rsidRPr="4ED9DE3F">
        <w:rPr>
          <w:rFonts w:eastAsia="Calibri"/>
        </w:rPr>
        <w:t xml:space="preserve"> its purpose</w:t>
      </w:r>
      <w:r w:rsidR="00DA5AB9">
        <w:rPr>
          <w:rFonts w:eastAsia="Calibri"/>
        </w:rPr>
        <w:t xml:space="preserve">; for example, there was a suggestion that there had been </w:t>
      </w:r>
      <w:r w:rsidRPr="4ED9DE3F">
        <w:rPr>
          <w:rFonts w:eastAsia="Calibri"/>
        </w:rPr>
        <w:t xml:space="preserve">too much sitting, and </w:t>
      </w:r>
      <w:r w:rsidR="00DA5AB9">
        <w:rPr>
          <w:rFonts w:eastAsia="Calibri"/>
        </w:rPr>
        <w:t xml:space="preserve">one that </w:t>
      </w:r>
      <w:r w:rsidRPr="4ED9DE3F">
        <w:rPr>
          <w:rFonts w:eastAsia="Calibri"/>
        </w:rPr>
        <w:t>more interactive sessions should be included in future</w:t>
      </w:r>
      <w:r w:rsidR="00DA5AB9">
        <w:rPr>
          <w:rFonts w:eastAsia="Calibri"/>
        </w:rPr>
        <w:t>.</w:t>
      </w:r>
    </w:p>
    <w:p w14:paraId="5FD88B9B" w14:textId="77777777" w:rsidR="008124E0" w:rsidRDefault="008124E0" w:rsidP="008124E0">
      <w:pPr>
        <w:pStyle w:val="HQSChead3"/>
      </w:pPr>
      <w:bookmarkStart w:id="3" w:name="_Hlk214534797"/>
      <w:r>
        <w:t xml:space="preserve">Did the event increase your confidence to engage with the health system or with consumers? </w:t>
      </w:r>
    </w:p>
    <w:p w14:paraId="1170B2C5" w14:textId="51578764" w:rsidR="008124E0" w:rsidRDefault="008124E0" w:rsidP="008124E0">
      <w:pPr>
        <w:pStyle w:val="HQSCbodytext"/>
      </w:pPr>
      <w:r>
        <w:t xml:space="preserve">This question was </w:t>
      </w:r>
      <w:r w:rsidR="008A6583">
        <w:t xml:space="preserve">put </w:t>
      </w:r>
      <w:r>
        <w:t xml:space="preserve">as a two-part choice. </w:t>
      </w:r>
      <w:r w:rsidR="008A6583">
        <w:t>Respondents could answer the question in terms of their engagement with the health system or in terms of their engagement with consumers, as appropriate</w:t>
      </w:r>
      <w:r>
        <w:t xml:space="preserve">. </w:t>
      </w:r>
      <w:r w:rsidR="00E14CFD">
        <w:t xml:space="preserve">Please note, as the survey included a </w:t>
      </w:r>
      <w:r w:rsidR="008A6583">
        <w:t>‘</w:t>
      </w:r>
      <w:r w:rsidR="00E14CFD">
        <w:t>not applicable</w:t>
      </w:r>
      <w:r w:rsidR="008A6583">
        <w:t>’</w:t>
      </w:r>
      <w:r w:rsidR="00E14CFD">
        <w:t xml:space="preserve"> response option </w:t>
      </w:r>
      <w:r w:rsidR="008A6583">
        <w:t xml:space="preserve">for </w:t>
      </w:r>
      <w:r w:rsidR="00E14CFD">
        <w:t xml:space="preserve">both statements, the percentages reported may not total 100%.  </w:t>
      </w:r>
    </w:p>
    <w:p w14:paraId="2B86F3E7" w14:textId="6346E600" w:rsidR="001526CC" w:rsidRDefault="008A6583" w:rsidP="009048A2">
      <w:pPr>
        <w:pStyle w:val="HQSCtablefigurecaption"/>
      </w:pPr>
      <w:r w:rsidRPr="008A6583">
        <w:lastRenderedPageBreak/>
        <w:t>Figure 4:</w:t>
      </w:r>
      <w:r>
        <w:t xml:space="preserve"> </w:t>
      </w:r>
      <w:r w:rsidRPr="00933E44">
        <w:t>Response to survey question</w:t>
      </w:r>
      <w:r>
        <w:t xml:space="preserve"> whether the event increased confidence to engage with health system or with consumers</w:t>
      </w:r>
      <w:r w:rsidR="001526CC">
        <w:rPr>
          <w:noProof/>
        </w:rPr>
        <w:drawing>
          <wp:inline distT="0" distB="0" distL="0" distR="0" wp14:anchorId="3736E2FB" wp14:editId="0F3F5B6D">
            <wp:extent cx="5486400" cy="3200400"/>
            <wp:effectExtent l="0" t="0" r="0" b="0"/>
            <wp:docPr id="1776248401" name="Chart 5" descr="Two stacked bar graphs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347B191" w14:textId="77777777" w:rsidR="001526CC" w:rsidRDefault="001526CC" w:rsidP="008124E0">
      <w:pPr>
        <w:pStyle w:val="HQSCbodytext"/>
      </w:pPr>
    </w:p>
    <w:p w14:paraId="3DB10ECB" w14:textId="7A415802" w:rsidR="00325C87" w:rsidRDefault="00325C87" w:rsidP="00325C87">
      <w:pPr>
        <w:pStyle w:val="HQSCbodytext"/>
      </w:pPr>
      <w:r>
        <w:t>Of those who responded</w:t>
      </w:r>
      <w:r w:rsidR="00635718">
        <w:t xml:space="preserve"> to the question in terms of engagement with consumers</w:t>
      </w:r>
      <w:r>
        <w:t xml:space="preserve">, 73.3% agreed (46.5%) or strongly agreed (26.8%) the event </w:t>
      </w:r>
      <w:r w:rsidR="00635718">
        <w:t xml:space="preserve">had </w:t>
      </w:r>
      <w:r>
        <w:t>increased their confidence</w:t>
      </w:r>
      <w:r w:rsidR="00635718">
        <w:t xml:space="preserve">, and </w:t>
      </w:r>
      <w:r>
        <w:t>5.6% disagreed with this statement.</w:t>
      </w:r>
      <w:r w:rsidR="001D6010">
        <w:t xml:space="preserve">15.5% selected </w:t>
      </w:r>
      <w:r w:rsidR="00635718">
        <w:t>‘</w:t>
      </w:r>
      <w:r w:rsidR="001D6010">
        <w:t>not applicable</w:t>
      </w:r>
      <w:r w:rsidR="00635718">
        <w:t>’</w:t>
      </w:r>
      <w:r w:rsidR="001D6010">
        <w:t xml:space="preserve">. </w:t>
      </w:r>
      <w:r>
        <w:t xml:space="preserve"> </w:t>
      </w:r>
    </w:p>
    <w:p w14:paraId="207400E9" w14:textId="7606E63E" w:rsidR="00E14CFD" w:rsidRDefault="008124E0" w:rsidP="008124E0">
      <w:pPr>
        <w:pStyle w:val="HQSCbodytext"/>
      </w:pPr>
      <w:r>
        <w:t>Of those who responded</w:t>
      </w:r>
      <w:r w:rsidR="00635718">
        <w:t xml:space="preserve"> to the question in terms of engagement with the health system</w:t>
      </w:r>
      <w:r>
        <w:t xml:space="preserve">, 47.9% agreed (25.4%) or strongly agreed (22.5%) the event </w:t>
      </w:r>
      <w:r w:rsidR="00635718">
        <w:t xml:space="preserve">had </w:t>
      </w:r>
      <w:r>
        <w:t>increased their confidence</w:t>
      </w:r>
      <w:r w:rsidR="00635718">
        <w:t xml:space="preserve">, and </w:t>
      </w:r>
      <w:r>
        <w:t xml:space="preserve">9.9% disagreed (8.5%) or strongly disagreed (1.4%) with this statement. </w:t>
      </w:r>
      <w:r w:rsidR="00F63E56">
        <w:t>26.8%</w:t>
      </w:r>
      <w:r w:rsidR="001D6010">
        <w:t xml:space="preserve"> selected </w:t>
      </w:r>
      <w:r w:rsidR="00635718">
        <w:t>‘</w:t>
      </w:r>
      <w:r w:rsidR="001D6010">
        <w:t>not applicable</w:t>
      </w:r>
      <w:r w:rsidR="00635718">
        <w:t>’</w:t>
      </w:r>
      <w:r w:rsidR="001D6010">
        <w:t xml:space="preserve">. </w:t>
      </w:r>
    </w:p>
    <w:bookmarkEnd w:id="3"/>
    <w:p w14:paraId="31102172" w14:textId="59D103D4" w:rsidR="00E14CFD" w:rsidRDefault="00E14CFD" w:rsidP="008124E0">
      <w:pPr>
        <w:pStyle w:val="HQSCbodytext"/>
      </w:pPr>
      <w:r>
        <w:t xml:space="preserve">There was an option to </w:t>
      </w:r>
      <w:r w:rsidR="00635718">
        <w:t xml:space="preserve">provide </w:t>
      </w:r>
      <w:r>
        <w:t xml:space="preserve">additional </w:t>
      </w:r>
      <w:r w:rsidR="6B2F868F">
        <w:t>comment</w:t>
      </w:r>
      <w:r w:rsidR="00635718">
        <w:t xml:space="preserve"> on this question</w:t>
      </w:r>
      <w:r w:rsidR="6B2F868F">
        <w:t>.</w:t>
      </w:r>
      <w:r w:rsidR="001A643D">
        <w:t xml:space="preserve"> Some attendees </w:t>
      </w:r>
      <w:r w:rsidR="00635718">
        <w:t xml:space="preserve">reflected </w:t>
      </w:r>
      <w:r w:rsidR="0016320C">
        <w:t xml:space="preserve">that the event </w:t>
      </w:r>
      <w:r w:rsidR="00635718">
        <w:t xml:space="preserve">had given </w:t>
      </w:r>
      <w:r w:rsidR="006B2491">
        <w:t>them further insights and highlighted the importance of consumer voices in the sector</w:t>
      </w:r>
      <w:r w:rsidR="55202B63">
        <w:t xml:space="preserve">. Some mentioned the event </w:t>
      </w:r>
      <w:r w:rsidR="00635718">
        <w:t xml:space="preserve">had </w:t>
      </w:r>
      <w:r w:rsidR="55202B63">
        <w:t xml:space="preserve">reignited their interest in and commitment to strengthening the consumer voice in the health sector, and others </w:t>
      </w:r>
      <w:r w:rsidR="00635718">
        <w:t xml:space="preserve">mentioned they had </w:t>
      </w:r>
      <w:r w:rsidR="0121A589">
        <w:t xml:space="preserve">felt empowered </w:t>
      </w:r>
      <w:r w:rsidR="55202B63">
        <w:t>by se</w:t>
      </w:r>
      <w:r w:rsidR="7F9DA7A8">
        <w:t xml:space="preserve">ssions </w:t>
      </w:r>
      <w:r w:rsidR="5B7842C2">
        <w:t xml:space="preserve">on </w:t>
      </w:r>
      <w:proofErr w:type="spellStart"/>
      <w:r w:rsidR="5B7842C2">
        <w:t>r</w:t>
      </w:r>
      <w:r w:rsidR="7F9DA7A8">
        <w:t>ongoā</w:t>
      </w:r>
      <w:proofErr w:type="spellEnd"/>
      <w:r w:rsidR="7F9DA7A8">
        <w:t xml:space="preserve"> Māori and </w:t>
      </w:r>
      <w:r w:rsidR="00C04F32">
        <w:t xml:space="preserve">the creative ways </w:t>
      </w:r>
      <w:r w:rsidR="008C14E4">
        <w:t>of accessing health</w:t>
      </w:r>
      <w:r w:rsidR="006A485D">
        <w:t>care</w:t>
      </w:r>
      <w:r w:rsidR="008C14E4">
        <w:t xml:space="preserve"> such as </w:t>
      </w:r>
      <w:r w:rsidR="006A485D">
        <w:t xml:space="preserve">with </w:t>
      </w:r>
      <w:r w:rsidR="00B02BC5">
        <w:t>t</w:t>
      </w:r>
      <w:r w:rsidR="008C14E4">
        <w:t>elehealth.</w:t>
      </w:r>
      <w:r w:rsidR="55202B63">
        <w:t xml:space="preserve"> </w:t>
      </w:r>
      <w:r>
        <w:t xml:space="preserve"> </w:t>
      </w:r>
    </w:p>
    <w:p w14:paraId="52DFDBEB" w14:textId="77777777" w:rsidR="00656806" w:rsidRDefault="00E14CFD" w:rsidP="00656806">
      <w:pPr>
        <w:pStyle w:val="HQSChead3"/>
      </w:pPr>
      <w:bookmarkStart w:id="4" w:name="_Hlk214534815"/>
      <w:r>
        <w:t xml:space="preserve">Was the event relevant and/or valuable to you? </w:t>
      </w:r>
    </w:p>
    <w:p w14:paraId="7104A77A" w14:textId="429EDB2E" w:rsidR="00D37554" w:rsidRDefault="00635718" w:rsidP="00E14CFD">
      <w:pPr>
        <w:pStyle w:val="HQSCbodytext"/>
      </w:pPr>
      <w:r>
        <w:t xml:space="preserve">The survey asked respondents whether they had found the event to be relevant and/or valuable to them. </w:t>
      </w:r>
      <w:r w:rsidR="00E14CFD">
        <w:t>Of those surveyed, 91.5% agreed (40.8%) or strongly agreed (50.7%).</w:t>
      </w:r>
      <w:r w:rsidR="00D37554">
        <w:t xml:space="preserve"> 2.8% disagreed (1.4%) or strongly disagreed (1.4%), and 5.6% were unsure.</w:t>
      </w:r>
    </w:p>
    <w:p w14:paraId="5A99DCBE" w14:textId="57AE138C" w:rsidR="001526CC" w:rsidRDefault="00635718" w:rsidP="009048A2">
      <w:pPr>
        <w:pStyle w:val="HQSCtablefigurecaption"/>
      </w:pPr>
      <w:r w:rsidRPr="008A6583">
        <w:lastRenderedPageBreak/>
        <w:t xml:space="preserve">Figure </w:t>
      </w:r>
      <w:r>
        <w:t>5</w:t>
      </w:r>
      <w:r w:rsidRPr="008A6583">
        <w:t>:</w:t>
      </w:r>
      <w:r>
        <w:t xml:space="preserve"> </w:t>
      </w:r>
      <w:r w:rsidRPr="00933E44">
        <w:t>Response to survey question</w:t>
      </w:r>
      <w:r>
        <w:t xml:space="preserve"> whether the event was relevant and/or valuable</w:t>
      </w:r>
      <w:r w:rsidR="0062151E">
        <w:rPr>
          <w:noProof/>
        </w:rPr>
        <w:drawing>
          <wp:inline distT="0" distB="0" distL="0" distR="0" wp14:anchorId="7837B6C0" wp14:editId="6DC23E41">
            <wp:extent cx="5486400" cy="3200400"/>
            <wp:effectExtent l="0" t="0" r="0" b="0"/>
            <wp:docPr id="637717122" name="Chart 6" descr="A stacked bar graph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bookmarkEnd w:id="4"/>
    <w:p w14:paraId="5BB654BD" w14:textId="2ACE5C07" w:rsidR="00E14CFD" w:rsidRDefault="00D37554" w:rsidP="00E14CFD">
      <w:pPr>
        <w:pStyle w:val="HQSCbodytext"/>
      </w:pPr>
      <w:r>
        <w:t xml:space="preserve">Some respondents provided an additional comment </w:t>
      </w:r>
      <w:r w:rsidR="00323C56">
        <w:t>on this question</w:t>
      </w:r>
      <w:r>
        <w:t xml:space="preserve">, </w:t>
      </w:r>
      <w:r w:rsidR="00323C56">
        <w:t xml:space="preserve">explaining </w:t>
      </w:r>
      <w:r>
        <w:t xml:space="preserve">why they believed the event </w:t>
      </w:r>
      <w:r w:rsidR="00323C56">
        <w:t xml:space="preserve">had been </w:t>
      </w:r>
      <w:r>
        <w:t>valuable to them</w:t>
      </w:r>
      <w:r w:rsidR="004C36F9">
        <w:t xml:space="preserve"> </w:t>
      </w:r>
      <w:r w:rsidR="00323C56">
        <w:t xml:space="preserve">and </w:t>
      </w:r>
      <w:r w:rsidR="004C36F9">
        <w:t xml:space="preserve">reflecting that the day </w:t>
      </w:r>
      <w:r w:rsidR="00323C56">
        <w:t xml:space="preserve">had been </w:t>
      </w:r>
      <w:r w:rsidR="004C36F9">
        <w:t>educational</w:t>
      </w:r>
      <w:r w:rsidR="009E6EED">
        <w:t xml:space="preserve"> and enjoyable, </w:t>
      </w:r>
      <w:r w:rsidR="00EC035B">
        <w:t xml:space="preserve">allowing </w:t>
      </w:r>
      <w:r w:rsidR="00323C56">
        <w:t xml:space="preserve">them </w:t>
      </w:r>
      <w:r w:rsidR="00EC035B">
        <w:t xml:space="preserve">to meet others across the sector. </w:t>
      </w:r>
      <w:r>
        <w:t xml:space="preserve">Some respondents </w:t>
      </w:r>
      <w:r w:rsidR="00323C56">
        <w:t xml:space="preserve">suggested that </w:t>
      </w:r>
      <w:r w:rsidR="00DC61DA">
        <w:t xml:space="preserve">more time </w:t>
      </w:r>
      <w:r w:rsidR="00323C56">
        <w:t xml:space="preserve">should have been allowed </w:t>
      </w:r>
      <w:r w:rsidR="00DC61DA">
        <w:t xml:space="preserve">for questions and </w:t>
      </w:r>
      <w:r w:rsidR="00323C56">
        <w:t xml:space="preserve">that </w:t>
      </w:r>
      <w:r w:rsidR="00DC61DA">
        <w:t>more opportunities for networking within the workshop sessions</w:t>
      </w:r>
      <w:r w:rsidR="00323C56">
        <w:t xml:space="preserve"> would have been valuable</w:t>
      </w:r>
      <w:r w:rsidR="00DC61DA">
        <w:t xml:space="preserve">, </w:t>
      </w:r>
      <w:r w:rsidR="005E4CCE">
        <w:t>as all content was presentation</w:t>
      </w:r>
      <w:r w:rsidR="00323C56">
        <w:t>-</w:t>
      </w:r>
      <w:r w:rsidR="005E4CCE">
        <w:t xml:space="preserve">based. </w:t>
      </w:r>
    </w:p>
    <w:p w14:paraId="7CDDD031" w14:textId="3B1EDB7E" w:rsidR="009B13AB" w:rsidRDefault="009B13AB" w:rsidP="009B13AB">
      <w:pPr>
        <w:pStyle w:val="HQSChead3"/>
      </w:pPr>
      <w:r>
        <w:t xml:space="preserve">Did the event support your understanding of the Code of expectations? </w:t>
      </w:r>
    </w:p>
    <w:p w14:paraId="6488D977" w14:textId="00E191D9" w:rsidR="009B13AB" w:rsidRDefault="00323C56" w:rsidP="009B13AB">
      <w:pPr>
        <w:pStyle w:val="HQSCbodytext"/>
      </w:pPr>
      <w:r>
        <w:t xml:space="preserve">The survey asked respondents whether the event had supported their understanding of the Code of </w:t>
      </w:r>
      <w:r w:rsidR="001511A1">
        <w:t>e</w:t>
      </w:r>
      <w:r>
        <w:t xml:space="preserve">xpectations. </w:t>
      </w:r>
      <w:r w:rsidR="009B13AB">
        <w:t xml:space="preserve">Of those surveyed, 83.1% agreed (45.1%) or strongly agreed (38%). 4.2% disagreed and 12.7% were unsure. </w:t>
      </w:r>
    </w:p>
    <w:p w14:paraId="710B9932" w14:textId="57635E81" w:rsidR="001526CC" w:rsidRDefault="00323C56" w:rsidP="009048A2">
      <w:pPr>
        <w:pStyle w:val="HQSCtablefigurecaption"/>
      </w:pPr>
      <w:r w:rsidRPr="008A6583">
        <w:lastRenderedPageBreak/>
        <w:t xml:space="preserve">Figure </w:t>
      </w:r>
      <w:r>
        <w:t>6</w:t>
      </w:r>
      <w:r w:rsidRPr="008A6583">
        <w:t>:</w:t>
      </w:r>
      <w:r>
        <w:t xml:space="preserve"> </w:t>
      </w:r>
      <w:r w:rsidRPr="00933E44">
        <w:t>Response to survey question</w:t>
      </w:r>
      <w:r>
        <w:t xml:space="preserve"> whether the event supported understanding of the Code of </w:t>
      </w:r>
      <w:r w:rsidR="001511A1">
        <w:t>e</w:t>
      </w:r>
      <w:r>
        <w:t>xpectations</w:t>
      </w:r>
      <w:r w:rsidR="00032619">
        <w:rPr>
          <w:noProof/>
        </w:rPr>
        <w:drawing>
          <wp:inline distT="0" distB="0" distL="0" distR="0" wp14:anchorId="7D52E6F7" wp14:editId="29020378">
            <wp:extent cx="5848709" cy="3200400"/>
            <wp:effectExtent l="0" t="0" r="0" b="0"/>
            <wp:docPr id="1964675162" name="Chart 7" descr="A stacked bar graph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50113BD" w14:textId="797B05FC" w:rsidR="009B13AB" w:rsidRDefault="00CF295F" w:rsidP="009B13AB">
      <w:pPr>
        <w:pStyle w:val="HQSCbodytext"/>
      </w:pPr>
      <w:r>
        <w:t>S</w:t>
      </w:r>
      <w:r w:rsidR="009B13AB">
        <w:t xml:space="preserve">ome respondents </w:t>
      </w:r>
      <w:r>
        <w:t xml:space="preserve">commented that they </w:t>
      </w:r>
      <w:r w:rsidR="7E8D88A2">
        <w:t xml:space="preserve">felt </w:t>
      </w:r>
      <w:r w:rsidR="00356319">
        <w:t xml:space="preserve">the Code of expectations </w:t>
      </w:r>
      <w:r w:rsidR="00CA6958">
        <w:t xml:space="preserve">workshop </w:t>
      </w:r>
      <w:r>
        <w:t xml:space="preserve">had not been long enough; they </w:t>
      </w:r>
      <w:r w:rsidR="005E4CCE">
        <w:t xml:space="preserve">would have liked more time to go through </w:t>
      </w:r>
      <w:r>
        <w:t>the code</w:t>
      </w:r>
      <w:r w:rsidR="005E4CCE">
        <w:t xml:space="preserve">. </w:t>
      </w:r>
      <w:r w:rsidR="00CE039C">
        <w:t>S</w:t>
      </w:r>
      <w:r w:rsidR="00356319">
        <w:t xml:space="preserve">ome </w:t>
      </w:r>
      <w:r w:rsidR="00CE039C">
        <w:t xml:space="preserve">said </w:t>
      </w:r>
      <w:r w:rsidR="00264405">
        <w:t xml:space="preserve">they would have been interested in hearing </w:t>
      </w:r>
      <w:r w:rsidR="007F2B3F">
        <w:t xml:space="preserve">from consumers about their experiences with the Code. </w:t>
      </w:r>
    </w:p>
    <w:p w14:paraId="755F2E2C" w14:textId="2D4213AE" w:rsidR="00356319" w:rsidRDefault="00356319" w:rsidP="009B13AB">
      <w:pPr>
        <w:pStyle w:val="HQSCbodytext"/>
      </w:pPr>
      <w:r>
        <w:t xml:space="preserve">Some respondents noted </w:t>
      </w:r>
      <w:r w:rsidR="00CE039C">
        <w:t xml:space="preserve">that </w:t>
      </w:r>
      <w:r>
        <w:t xml:space="preserve">they </w:t>
      </w:r>
      <w:r w:rsidR="00CE039C">
        <w:t xml:space="preserve">had </w:t>
      </w:r>
      <w:r>
        <w:t xml:space="preserve">learned about the Code </w:t>
      </w:r>
      <w:r w:rsidR="00CE039C">
        <w:t xml:space="preserve">for the first time </w:t>
      </w:r>
      <w:r>
        <w:t>at the event</w:t>
      </w:r>
      <w:r w:rsidR="00CE039C">
        <w:t>,</w:t>
      </w:r>
      <w:r w:rsidR="07BEA99E">
        <w:t xml:space="preserve"> and felt it </w:t>
      </w:r>
      <w:r w:rsidR="00CE039C">
        <w:t xml:space="preserve">had been </w:t>
      </w:r>
      <w:r w:rsidR="07BEA99E">
        <w:t xml:space="preserve">well </w:t>
      </w:r>
      <w:r w:rsidR="251C9121">
        <w:t>described</w:t>
      </w:r>
      <w:r w:rsidR="00CE039C">
        <w:t>,</w:t>
      </w:r>
      <w:r w:rsidR="251C9121">
        <w:t xml:space="preserve"> which</w:t>
      </w:r>
      <w:r w:rsidR="007F2B3F">
        <w:t xml:space="preserve"> </w:t>
      </w:r>
      <w:r w:rsidR="750ED200">
        <w:t xml:space="preserve">strengthened </w:t>
      </w:r>
      <w:r w:rsidR="00CE039C">
        <w:t xml:space="preserve">their </w:t>
      </w:r>
      <w:r w:rsidR="00F6077F">
        <w:t xml:space="preserve">understanding and interest. </w:t>
      </w:r>
    </w:p>
    <w:p w14:paraId="5B34006A" w14:textId="3E851832" w:rsidR="37255F27" w:rsidRDefault="37255F27" w:rsidP="3CBB4BD8">
      <w:pPr>
        <w:pStyle w:val="HQSCbodytext"/>
      </w:pPr>
      <w:r>
        <w:t xml:space="preserve">Further to this question, we invited attendees on the day to take part in a survey during the </w:t>
      </w:r>
      <w:r w:rsidR="68723B3C">
        <w:t>‘</w:t>
      </w:r>
      <w:r>
        <w:t>Code of expectations: adoption and the SU</w:t>
      </w:r>
      <w:r w:rsidR="224DCF56">
        <w:t>RE framework</w:t>
      </w:r>
      <w:r w:rsidR="6F8504A7">
        <w:t>’</w:t>
      </w:r>
      <w:r w:rsidR="224DCF56">
        <w:t xml:space="preserve"> workshop. </w:t>
      </w:r>
      <w:r w:rsidR="2C232FB7">
        <w:t xml:space="preserve">Of those who participated in this survey </w:t>
      </w:r>
      <w:r w:rsidR="347CF73D">
        <w:t xml:space="preserve">(20 responses), </w:t>
      </w:r>
      <w:r w:rsidR="00C01856">
        <w:t xml:space="preserve">most said </w:t>
      </w:r>
      <w:r w:rsidR="347CF73D">
        <w:t xml:space="preserve">the workshop </w:t>
      </w:r>
      <w:r w:rsidR="00C01856">
        <w:t xml:space="preserve">had been </w:t>
      </w:r>
      <w:r w:rsidR="347CF73D">
        <w:t xml:space="preserve">useful, citing improved understanding of communication, co-design and practical application. </w:t>
      </w:r>
      <w:r w:rsidR="1E0CE0B2">
        <w:t>A</w:t>
      </w:r>
      <w:r w:rsidR="347CF73D">
        <w:t xml:space="preserve"> few respondents suggested </w:t>
      </w:r>
      <w:r w:rsidR="301D47F9">
        <w:t xml:space="preserve">we could have provided </w:t>
      </w:r>
      <w:r w:rsidR="00C01856">
        <w:t xml:space="preserve">a </w:t>
      </w:r>
      <w:r w:rsidR="663E4C0B">
        <w:t xml:space="preserve">clearer rationale and better framing </w:t>
      </w:r>
      <w:r w:rsidR="5336EA50">
        <w:t xml:space="preserve">of the workshop </w:t>
      </w:r>
      <w:r w:rsidR="663E4C0B">
        <w:t xml:space="preserve">for different audiences.  </w:t>
      </w:r>
    </w:p>
    <w:p w14:paraId="17118473" w14:textId="0EDBF822" w:rsidR="663E4C0B" w:rsidRDefault="00D84AF5" w:rsidP="3CBB4BD8">
      <w:pPr>
        <w:pStyle w:val="HQSCbodytext"/>
      </w:pPr>
      <w:r>
        <w:t>We acknowledge that to i</w:t>
      </w:r>
      <w:r w:rsidR="00BA5380">
        <w:t>mprove</w:t>
      </w:r>
      <w:r w:rsidR="663E4C0B">
        <w:t xml:space="preserve"> this workshop </w:t>
      </w:r>
      <w:r>
        <w:t xml:space="preserve">for future events, we </w:t>
      </w:r>
      <w:r w:rsidR="663E4C0B">
        <w:t>will include clearer instructions and purpose upfront, extending the session for deeper discussion</w:t>
      </w:r>
      <w:r w:rsidR="005856F1">
        <w:t xml:space="preserve"> as well as </w:t>
      </w:r>
      <w:r w:rsidR="663E4C0B">
        <w:t xml:space="preserve">translating resources </w:t>
      </w:r>
      <w:r w:rsidR="6DCB8B8E">
        <w:t>and using visuals</w:t>
      </w:r>
      <w:r w:rsidR="005856F1">
        <w:t xml:space="preserve">. </w:t>
      </w:r>
      <w:r w:rsidR="00E11995">
        <w:t>We will ensure t</w:t>
      </w:r>
      <w:r w:rsidR="005856F1">
        <w:t>he workshop provide</w:t>
      </w:r>
      <w:r w:rsidR="00E11995">
        <w:t>s</w:t>
      </w:r>
      <w:r w:rsidR="005856F1">
        <w:t xml:space="preserve"> </w:t>
      </w:r>
      <w:r w:rsidR="6DCB8B8E">
        <w:t>practical examples showing application of the Code and hosting the session with smaller groups for meaningful interaction</w:t>
      </w:r>
      <w:r w:rsidR="00A95AF7">
        <w:t>.</w:t>
      </w:r>
      <w:r w:rsidR="2C232FB7">
        <w:t xml:space="preserve"> </w:t>
      </w:r>
    </w:p>
    <w:p w14:paraId="5F7B3921" w14:textId="09128EED" w:rsidR="009B13AB" w:rsidRDefault="002F617D" w:rsidP="00356319">
      <w:pPr>
        <w:pStyle w:val="HQSChead3"/>
      </w:pPr>
      <w:r>
        <w:t xml:space="preserve">Which three parts of the event did you find </w:t>
      </w:r>
      <w:r w:rsidR="00356319">
        <w:t>most useful</w:t>
      </w:r>
      <w:r>
        <w:t>?</w:t>
      </w:r>
      <w:r w:rsidR="00356319">
        <w:t xml:space="preserve"> </w:t>
      </w:r>
    </w:p>
    <w:p w14:paraId="154B9D9A" w14:textId="11DABAB4" w:rsidR="00356319" w:rsidRDefault="00356319" w:rsidP="00356319">
      <w:pPr>
        <w:pStyle w:val="HQSCbodytext"/>
      </w:pPr>
      <w:r>
        <w:t xml:space="preserve">The survey asked respondents to consider which three parts of the event they </w:t>
      </w:r>
      <w:r w:rsidR="002F617D">
        <w:t xml:space="preserve">had </w:t>
      </w:r>
      <w:r>
        <w:t xml:space="preserve">found most useful. </w:t>
      </w:r>
      <w:r w:rsidR="002F617D">
        <w:t xml:space="preserve">Figure 7 </w:t>
      </w:r>
      <w:r>
        <w:t>gives a visual representation of attendees</w:t>
      </w:r>
      <w:r w:rsidR="00EF3071">
        <w:t>’</w:t>
      </w:r>
      <w:r>
        <w:t xml:space="preserve"> responses</w:t>
      </w:r>
      <w:r w:rsidR="002F617D">
        <w:t xml:space="preserve"> to this question</w:t>
      </w:r>
      <w:r>
        <w:t xml:space="preserve">. </w:t>
      </w:r>
      <w:r w:rsidR="002F617D">
        <w:t>It shows that attendees found t</w:t>
      </w:r>
      <w:r>
        <w:t xml:space="preserve">he keynote speakers to be </w:t>
      </w:r>
      <w:r w:rsidR="5D0CAD79">
        <w:t xml:space="preserve">most </w:t>
      </w:r>
      <w:r>
        <w:t xml:space="preserve">useful, as well as the </w:t>
      </w:r>
      <w:proofErr w:type="spellStart"/>
      <w:r>
        <w:t>Tāpiri</w:t>
      </w:r>
      <w:proofErr w:type="spellEnd"/>
      <w:r>
        <w:t xml:space="preserve"> Mai session</w:t>
      </w:r>
      <w:r w:rsidR="2A947296">
        <w:t xml:space="preserve"> and networking opportunities</w:t>
      </w:r>
      <w:r>
        <w:t xml:space="preserve">. </w:t>
      </w:r>
    </w:p>
    <w:p w14:paraId="04A6275A" w14:textId="77777777" w:rsidR="004310C0" w:rsidRDefault="004310C0" w:rsidP="009048A2">
      <w:pPr>
        <w:pStyle w:val="HQSCtablefigurecaption"/>
      </w:pPr>
    </w:p>
    <w:p w14:paraId="064FA73B" w14:textId="239F50F0" w:rsidR="004310C0" w:rsidRPr="009048A2" w:rsidRDefault="002F617D" w:rsidP="009048A2">
      <w:pPr>
        <w:pStyle w:val="HQSCtablefigurecaption"/>
        <w:rPr>
          <w:b w:val="0"/>
          <w:bCs/>
        </w:rPr>
      </w:pPr>
      <w:r w:rsidRPr="008A6583">
        <w:lastRenderedPageBreak/>
        <w:t xml:space="preserve">Figure </w:t>
      </w:r>
      <w:r>
        <w:t>7</w:t>
      </w:r>
      <w:r w:rsidRPr="008A6583">
        <w:t>:</w:t>
      </w:r>
      <w:r>
        <w:t xml:space="preserve"> </w:t>
      </w:r>
      <w:r w:rsidRPr="00933E44">
        <w:t>Response to survey question</w:t>
      </w:r>
      <w:r>
        <w:t xml:space="preserve"> which three parts of the event were most useful</w:t>
      </w:r>
      <w:r w:rsidR="00EB70FF">
        <w:rPr>
          <w:noProof/>
        </w:rPr>
        <w:drawing>
          <wp:inline distT="0" distB="0" distL="0" distR="0" wp14:anchorId="1CA3F04C" wp14:editId="71B4F2C8">
            <wp:extent cx="5486400" cy="6763109"/>
            <wp:effectExtent l="0" t="0" r="0" b="0"/>
            <wp:docPr id="448835124" name="Chart 8" descr="Bar graph 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9048A2" w:rsidRPr="009048A2">
        <w:rPr>
          <w:b w:val="0"/>
          <w:bCs/>
          <w:sz w:val="18"/>
          <w:szCs w:val="18"/>
        </w:rPr>
        <w:t>Note:</w:t>
      </w:r>
      <w:r w:rsidR="009048A2" w:rsidRPr="009048A2">
        <w:rPr>
          <w:sz w:val="18"/>
          <w:szCs w:val="18"/>
        </w:rPr>
        <w:t xml:space="preserve"> </w:t>
      </w:r>
      <w:r w:rsidR="00C1763B" w:rsidRPr="009048A2">
        <w:rPr>
          <w:b w:val="0"/>
          <w:bCs/>
          <w:sz w:val="18"/>
          <w:szCs w:val="18"/>
        </w:rPr>
        <w:t>Refer to appendix one for f</w:t>
      </w:r>
      <w:r w:rsidR="00B30C16" w:rsidRPr="009048A2">
        <w:rPr>
          <w:b w:val="0"/>
          <w:bCs/>
          <w:sz w:val="18"/>
          <w:szCs w:val="18"/>
        </w:rPr>
        <w:t>ull programme titles and details</w:t>
      </w:r>
      <w:r w:rsidR="00C1763B" w:rsidRPr="009048A2">
        <w:rPr>
          <w:b w:val="0"/>
          <w:bCs/>
          <w:sz w:val="18"/>
          <w:szCs w:val="18"/>
        </w:rPr>
        <w:t>.</w:t>
      </w:r>
      <w:r w:rsidR="00C1763B" w:rsidRPr="009048A2" w:rsidDel="00C1763B">
        <w:rPr>
          <w:b w:val="0"/>
          <w:bCs/>
        </w:rPr>
        <w:t xml:space="preserve"> </w:t>
      </w:r>
    </w:p>
    <w:p w14:paraId="16231843" w14:textId="769BE2BE" w:rsidR="00180176" w:rsidRDefault="00DB2792" w:rsidP="00F85E0E">
      <w:pPr>
        <w:pStyle w:val="HQSChead2"/>
        <w:rPr>
          <w:i/>
          <w:iCs/>
        </w:rPr>
      </w:pPr>
      <w:r>
        <w:t xml:space="preserve">Final reflections </w:t>
      </w:r>
    </w:p>
    <w:p w14:paraId="7679C5F6" w14:textId="708E45BE" w:rsidR="00DB2792" w:rsidRDefault="002571DC" w:rsidP="2766FB3E">
      <w:pPr>
        <w:pStyle w:val="HQSCbullets"/>
        <w:numPr>
          <w:ilvl w:val="0"/>
          <w:numId w:val="0"/>
        </w:numPr>
      </w:pPr>
      <w:r>
        <w:t>In the final section of the survey, w</w:t>
      </w:r>
      <w:r w:rsidR="00DB2792">
        <w:t xml:space="preserve">e asked attendees to tell us what they would like to see </w:t>
      </w:r>
      <w:r w:rsidR="5230E409">
        <w:t>at</w:t>
      </w:r>
      <w:r w:rsidR="00DB2792">
        <w:t xml:space="preserve"> future events and workshops</w:t>
      </w:r>
      <w:r w:rsidR="009620FA">
        <w:t xml:space="preserve">, </w:t>
      </w:r>
      <w:r>
        <w:t xml:space="preserve">and to make </w:t>
      </w:r>
      <w:r w:rsidR="009620FA">
        <w:t xml:space="preserve">comments on the venue and accessibility. </w:t>
      </w:r>
    </w:p>
    <w:p w14:paraId="77802B56" w14:textId="203E6E5D" w:rsidR="00DB2792" w:rsidRDefault="704A7B7E" w:rsidP="2766FB3E">
      <w:pPr>
        <w:pStyle w:val="HQSCbullets"/>
        <w:numPr>
          <w:ilvl w:val="0"/>
          <w:numId w:val="0"/>
        </w:numPr>
      </w:pPr>
      <w:r>
        <w:t xml:space="preserve">We received overwhelmingly positive </w:t>
      </w:r>
      <w:r w:rsidR="002571DC">
        <w:t>responses to these questions.</w:t>
      </w:r>
      <w:r>
        <w:t xml:space="preserve"> </w:t>
      </w:r>
      <w:r w:rsidR="002571DC">
        <w:t>A</w:t>
      </w:r>
      <w:r>
        <w:t>ttendees not</w:t>
      </w:r>
      <w:r w:rsidR="002571DC">
        <w:t>ed</w:t>
      </w:r>
      <w:r>
        <w:t xml:space="preserve"> </w:t>
      </w:r>
      <w:r w:rsidR="002571DC">
        <w:t xml:space="preserve">that the event had been </w:t>
      </w:r>
      <w:r>
        <w:t>a fantastic and well</w:t>
      </w:r>
      <w:r w:rsidR="002571DC">
        <w:t>-</w:t>
      </w:r>
      <w:r>
        <w:t>organised day with engaging spea</w:t>
      </w:r>
      <w:r w:rsidR="51E050CB">
        <w:t>k</w:t>
      </w:r>
      <w:r>
        <w:t xml:space="preserve">ers at an accessible venue. </w:t>
      </w:r>
    </w:p>
    <w:p w14:paraId="03DDCF7A" w14:textId="32D460C2" w:rsidR="00DB2792" w:rsidRDefault="592F0C19" w:rsidP="009048A2">
      <w:pPr>
        <w:pStyle w:val="HQSCbodytext"/>
      </w:pPr>
      <w:r>
        <w:lastRenderedPageBreak/>
        <w:t>Some</w:t>
      </w:r>
      <w:r w:rsidR="13785781">
        <w:t xml:space="preserve"> </w:t>
      </w:r>
      <w:r w:rsidR="00DB2792">
        <w:t>comments</w:t>
      </w:r>
      <w:r w:rsidR="77055562">
        <w:t xml:space="preserve"> provided </w:t>
      </w:r>
      <w:r w:rsidR="002571DC">
        <w:t xml:space="preserve">us with </w:t>
      </w:r>
      <w:r w:rsidR="77055562">
        <w:t>useful feedback that we</w:t>
      </w:r>
      <w:r w:rsidR="002571DC">
        <w:t xml:space="preserve"> </w:t>
      </w:r>
      <w:r w:rsidR="006E5AE4">
        <w:t>will use</w:t>
      </w:r>
      <w:r w:rsidR="002571DC">
        <w:t xml:space="preserve"> to inform our </w:t>
      </w:r>
      <w:r w:rsidR="77055562">
        <w:t>next event</w:t>
      </w:r>
      <w:r w:rsidR="002571DC">
        <w:t>, as follows, under the themes of interactive engagement, consumer voices, Māori and Pacific leadership and format and accessibility, respectively</w:t>
      </w:r>
      <w:r w:rsidR="545616E3">
        <w:t xml:space="preserve">. </w:t>
      </w:r>
    </w:p>
    <w:p w14:paraId="08465C1F" w14:textId="408788F2" w:rsidR="00DB2792" w:rsidRPr="006E5AE4" w:rsidRDefault="00DB2792" w:rsidP="00F85E0E">
      <w:pPr>
        <w:pStyle w:val="HQSCbodytext"/>
      </w:pPr>
      <w:r w:rsidRPr="006E5AE4">
        <w:t>Interactive engagement</w:t>
      </w:r>
      <w:r w:rsidR="002571DC">
        <w:t>:</w:t>
      </w:r>
    </w:p>
    <w:p w14:paraId="0E48D2C1" w14:textId="3ECD2781" w:rsidR="00DB2792" w:rsidRDefault="002571DC" w:rsidP="00F85E0E">
      <w:pPr>
        <w:pStyle w:val="HQSCbullets"/>
      </w:pPr>
      <w:r>
        <w:t>m</w:t>
      </w:r>
      <w:r w:rsidR="00045053">
        <w:t>ore interactive sessions that allow for open kōrero, shared learning and real-life examples of consumer engagement</w:t>
      </w:r>
    </w:p>
    <w:p w14:paraId="1AC9E027" w14:textId="03295E69" w:rsidR="009620FA" w:rsidRDefault="002571DC" w:rsidP="00F85E0E">
      <w:pPr>
        <w:pStyle w:val="HQSCbullets"/>
      </w:pPr>
      <w:r>
        <w:t>s</w:t>
      </w:r>
      <w:r w:rsidR="00045053">
        <w:t>maller breakout sessions</w:t>
      </w:r>
    </w:p>
    <w:p w14:paraId="4DA8E7D2" w14:textId="3130C9F0" w:rsidR="009620FA" w:rsidRDefault="002571DC" w:rsidP="00F85E0E">
      <w:pPr>
        <w:pStyle w:val="HQSCbullets"/>
      </w:pPr>
      <w:r>
        <w:t>g</w:t>
      </w:r>
      <w:r w:rsidR="009620FA">
        <w:t>roup workshops by similar services</w:t>
      </w:r>
      <w:r w:rsidR="0000310F">
        <w:t>,</w:t>
      </w:r>
      <w:r w:rsidR="009620FA">
        <w:t xml:space="preserve"> for targeted learning</w:t>
      </w:r>
    </w:p>
    <w:p w14:paraId="63D25135" w14:textId="3CB9AEF2" w:rsidR="00F322B9" w:rsidRDefault="002571DC" w:rsidP="00F85E0E">
      <w:pPr>
        <w:pStyle w:val="HQSCbullets"/>
      </w:pPr>
      <w:r>
        <w:t>p</w:t>
      </w:r>
      <w:r w:rsidR="00F322B9">
        <w:t>ractical workshops on how we can do better when it comes to engaging with consumers and whānau</w:t>
      </w:r>
    </w:p>
    <w:p w14:paraId="16824A01" w14:textId="2657D0AA" w:rsidR="00045053" w:rsidRPr="006E5AE4" w:rsidRDefault="001304B4" w:rsidP="00F85E0E">
      <w:pPr>
        <w:pStyle w:val="HQSCbodytext"/>
      </w:pPr>
      <w:r w:rsidRPr="006E5AE4">
        <w:t>Consumer voices throughout the event</w:t>
      </w:r>
      <w:r w:rsidR="002571DC" w:rsidRPr="006E5AE4">
        <w:t>:</w:t>
      </w:r>
      <w:r w:rsidRPr="006E5AE4">
        <w:t xml:space="preserve"> </w:t>
      </w:r>
    </w:p>
    <w:p w14:paraId="1F5DC37C" w14:textId="49F559A2" w:rsidR="001304B4" w:rsidRDefault="002571DC" w:rsidP="00F85E0E">
      <w:pPr>
        <w:pStyle w:val="HQSCbullets"/>
      </w:pPr>
      <w:r>
        <w:t>m</w:t>
      </w:r>
      <w:r w:rsidR="001304B4">
        <w:t>ore consumer-led stories and journeys</w:t>
      </w:r>
      <w:r w:rsidR="0000310F">
        <w:t>,</w:t>
      </w:r>
      <w:r w:rsidR="001304B4">
        <w:t xml:space="preserve"> to highlight both positive and negative experiences</w:t>
      </w:r>
    </w:p>
    <w:p w14:paraId="6B212B95" w14:textId="588B93FE" w:rsidR="001304B4" w:rsidRDefault="002571DC" w:rsidP="00F85E0E">
      <w:pPr>
        <w:pStyle w:val="HQSCbullets"/>
      </w:pPr>
      <w:r>
        <w:t>r</w:t>
      </w:r>
      <w:r w:rsidR="001304B4">
        <w:t>epresentation from different consumer groups and communities</w:t>
      </w:r>
    </w:p>
    <w:p w14:paraId="7291F487" w14:textId="6AFD6B9A" w:rsidR="009620FA" w:rsidRDefault="002571DC" w:rsidP="00F85E0E">
      <w:pPr>
        <w:pStyle w:val="HQSCbullets"/>
      </w:pPr>
      <w:r>
        <w:t>c</w:t>
      </w:r>
      <w:r w:rsidR="009620FA">
        <w:t xml:space="preserve">ross-sector panels </w:t>
      </w:r>
      <w:r w:rsidR="0000310F">
        <w:t xml:space="preserve">that </w:t>
      </w:r>
      <w:r w:rsidR="009620FA">
        <w:t>include voices from consumers and communities</w:t>
      </w:r>
    </w:p>
    <w:p w14:paraId="645ED38E" w14:textId="251C5A6F" w:rsidR="001304B4" w:rsidRPr="006E5AE4" w:rsidRDefault="001304B4" w:rsidP="00F85E0E">
      <w:pPr>
        <w:pStyle w:val="HQSCbodytext"/>
      </w:pPr>
      <w:r w:rsidRPr="006E5AE4">
        <w:t>Māori and Pacific leadership</w:t>
      </w:r>
      <w:r w:rsidR="002571DC">
        <w:t>:</w:t>
      </w:r>
    </w:p>
    <w:p w14:paraId="24E6D9CF" w14:textId="67C4C0EC" w:rsidR="001304B4" w:rsidRDefault="002571DC" w:rsidP="00F85E0E">
      <w:pPr>
        <w:pStyle w:val="HQSCbullets"/>
      </w:pPr>
      <w:r>
        <w:t>e</w:t>
      </w:r>
      <w:r w:rsidR="001304B4">
        <w:t>ngagement with Māori and Pacific leadership and health professionals to share whānau-centred engagement models</w:t>
      </w:r>
    </w:p>
    <w:p w14:paraId="473EB144" w14:textId="4BEEC742" w:rsidR="001304B4" w:rsidRDefault="002571DC" w:rsidP="00F85E0E">
      <w:pPr>
        <w:pStyle w:val="HQSCbullets"/>
      </w:pPr>
      <w:r>
        <w:t>i</w:t>
      </w:r>
      <w:r w:rsidR="001304B4">
        <w:t>ntentional spaces and sessions for Māori and Pacific equity discussions and discussions on embedding Te Tiriti o Waitangi throughout</w:t>
      </w:r>
    </w:p>
    <w:p w14:paraId="4B235A17" w14:textId="7831A069" w:rsidR="001304B4" w:rsidRPr="006E5AE4" w:rsidRDefault="001304B4" w:rsidP="00F85E0E">
      <w:pPr>
        <w:pStyle w:val="HQSCbodytext"/>
      </w:pPr>
      <w:r w:rsidRPr="006E5AE4">
        <w:t>Format and accessibility</w:t>
      </w:r>
      <w:r w:rsidR="002571DC" w:rsidRPr="006E5AE4">
        <w:t>:</w:t>
      </w:r>
    </w:p>
    <w:p w14:paraId="2643FCC6" w14:textId="6CDC6C89" w:rsidR="001304B4" w:rsidRPr="001304B4" w:rsidRDefault="002571DC" w:rsidP="00F85E0E">
      <w:pPr>
        <w:pStyle w:val="HQSCbullets"/>
        <w:rPr>
          <w:b/>
          <w:bCs/>
        </w:rPr>
      </w:pPr>
      <w:r>
        <w:t>a h</w:t>
      </w:r>
      <w:r w:rsidR="001304B4">
        <w:t xml:space="preserve">ybrid option for inclusivity (online </w:t>
      </w:r>
      <w:r>
        <w:t xml:space="preserve">and </w:t>
      </w:r>
      <w:r w:rsidR="001304B4">
        <w:t>in-person)</w:t>
      </w:r>
    </w:p>
    <w:p w14:paraId="1944F84C" w14:textId="07C94883" w:rsidR="001304B4" w:rsidRPr="001304B4" w:rsidRDefault="0000310F" w:rsidP="00F85E0E">
      <w:pPr>
        <w:pStyle w:val="HQSCbullets"/>
        <w:rPr>
          <w:b/>
          <w:bCs/>
        </w:rPr>
      </w:pPr>
      <w:r>
        <w:t xml:space="preserve">more </w:t>
      </w:r>
      <w:r w:rsidR="002571DC">
        <w:t>a</w:t>
      </w:r>
      <w:r w:rsidR="001304B4">
        <w:t>ccessib</w:t>
      </w:r>
      <w:r>
        <w:t xml:space="preserve">le </w:t>
      </w:r>
      <w:r w:rsidR="001304B4">
        <w:t xml:space="preserve">presentations </w:t>
      </w:r>
      <w:r w:rsidR="002571DC">
        <w:t>(</w:t>
      </w:r>
      <w:proofErr w:type="spellStart"/>
      <w:r w:rsidR="002571DC">
        <w:t>eg</w:t>
      </w:r>
      <w:proofErr w:type="spellEnd"/>
      <w:r w:rsidR="002571DC">
        <w:t xml:space="preserve">, </w:t>
      </w:r>
      <w:r w:rsidR="002748DD">
        <w:t>using</w:t>
      </w:r>
      <w:r>
        <w:t xml:space="preserve"> </w:t>
      </w:r>
      <w:r w:rsidR="001304B4">
        <w:t>live</w:t>
      </w:r>
      <w:r>
        <w:t xml:space="preserve"> </w:t>
      </w:r>
      <w:r w:rsidR="001304B4">
        <w:t>captioning</w:t>
      </w:r>
      <w:r w:rsidR="0057155C">
        <w:t xml:space="preserve">, </w:t>
      </w:r>
      <w:r>
        <w:t xml:space="preserve">and presenters </w:t>
      </w:r>
      <w:r w:rsidR="0057155C">
        <w:t>not turning away from microphones</w:t>
      </w:r>
      <w:r w:rsidR="002571DC">
        <w:t>)</w:t>
      </w:r>
    </w:p>
    <w:p w14:paraId="4A6CF782" w14:textId="104BEFB5" w:rsidR="00EF3071" w:rsidRPr="002748DD" w:rsidRDefault="002571DC" w:rsidP="00F85E0E">
      <w:pPr>
        <w:pStyle w:val="HQSCbullets"/>
        <w:rPr>
          <w:b/>
          <w:bCs/>
        </w:rPr>
      </w:pPr>
      <w:r>
        <w:t>e</w:t>
      </w:r>
      <w:r w:rsidR="009620FA">
        <w:t xml:space="preserve">xtending the national events over two days. </w:t>
      </w:r>
    </w:p>
    <w:p w14:paraId="04556601" w14:textId="35D90255" w:rsidR="004917EC" w:rsidRDefault="00557462" w:rsidP="00F85E0E">
      <w:pPr>
        <w:pStyle w:val="HQSCbullets"/>
      </w:pPr>
      <w:r>
        <w:rPr>
          <w:noProof/>
        </w:rPr>
        <w:t>We</w:t>
      </w:r>
      <w:r w:rsidRPr="2766FB3E">
        <w:rPr>
          <w:noProof/>
        </w:rPr>
        <w:t xml:space="preserve"> designed this event to be free for all attendees. </w:t>
      </w:r>
      <w:r>
        <w:rPr>
          <w:noProof/>
        </w:rPr>
        <w:t xml:space="preserve">Attendees applauded </w:t>
      </w:r>
      <w:r>
        <w:t>this decision; some said that it had made it possible for them to attend.</w:t>
      </w:r>
    </w:p>
    <w:p w14:paraId="4697D5EE" w14:textId="23CB8E9D" w:rsidR="00180176" w:rsidRPr="004846B0" w:rsidRDefault="00180176" w:rsidP="2766FB3E">
      <w:pPr>
        <w:pStyle w:val="HQSChead2"/>
        <w:rPr>
          <w:i/>
          <w:iCs/>
        </w:rPr>
      </w:pPr>
      <w:r>
        <w:t>Conclusion</w:t>
      </w:r>
    </w:p>
    <w:p w14:paraId="3C22AB37" w14:textId="7E411CCC" w:rsidR="00F50111" w:rsidRDefault="0057155C" w:rsidP="00F50111">
      <w:pPr>
        <w:pStyle w:val="HQSCbodytext"/>
      </w:pPr>
      <w:r>
        <w:t>Overall</w:t>
      </w:r>
      <w:r w:rsidR="0FF4674C">
        <w:t>, s</w:t>
      </w:r>
      <w:r>
        <w:t xml:space="preserve">urvey respondents considered </w:t>
      </w:r>
      <w:r w:rsidR="0000310F">
        <w:t xml:space="preserve">that </w:t>
      </w:r>
      <w:r>
        <w:t xml:space="preserve">Ō </w:t>
      </w:r>
      <w:proofErr w:type="spellStart"/>
      <w:r>
        <w:t>Mātou</w:t>
      </w:r>
      <w:proofErr w:type="spellEnd"/>
      <w:r>
        <w:t xml:space="preserve"> Reo: Our Voices 2025 </w:t>
      </w:r>
      <w:r w:rsidR="007716E9">
        <w:t xml:space="preserve">had been </w:t>
      </w:r>
      <w:r w:rsidR="46EC0A88">
        <w:t>a successful event</w:t>
      </w:r>
      <w:r w:rsidR="43EF0822">
        <w:t>.</w:t>
      </w:r>
      <w:r w:rsidR="305B496C">
        <w:t xml:space="preserve"> </w:t>
      </w:r>
      <w:r w:rsidR="007716E9">
        <w:t xml:space="preserve">Respondents </w:t>
      </w:r>
      <w:r w:rsidR="305B496C">
        <w:t xml:space="preserve">overwhelmingly </w:t>
      </w:r>
      <w:r w:rsidR="007716E9">
        <w:t xml:space="preserve">considered that it had </w:t>
      </w:r>
      <w:r w:rsidR="305B496C">
        <w:t>provide</w:t>
      </w:r>
      <w:r w:rsidR="007716E9">
        <w:t>d</w:t>
      </w:r>
      <w:r w:rsidR="305B496C">
        <w:t xml:space="preserve"> value, </w:t>
      </w:r>
      <w:r w:rsidR="007716E9">
        <w:t xml:space="preserve">that topics had been </w:t>
      </w:r>
      <w:r w:rsidR="305B496C">
        <w:t xml:space="preserve">relevant and </w:t>
      </w:r>
      <w:r w:rsidR="007716E9">
        <w:t xml:space="preserve">that it had </w:t>
      </w:r>
      <w:r w:rsidR="305B496C">
        <w:t xml:space="preserve">improved attendee confidence to engage with the sector and other consumers. Respondents also agreed </w:t>
      </w:r>
      <w:r w:rsidR="007716E9">
        <w:t xml:space="preserve">that </w:t>
      </w:r>
      <w:r w:rsidR="305B496C">
        <w:t xml:space="preserve">Ō </w:t>
      </w:r>
      <w:proofErr w:type="spellStart"/>
      <w:r w:rsidR="305B496C">
        <w:t>M</w:t>
      </w:r>
      <w:r w:rsidR="1D5DE404">
        <w:t>ātou</w:t>
      </w:r>
      <w:proofErr w:type="spellEnd"/>
      <w:r w:rsidR="1D5DE404">
        <w:t xml:space="preserve"> Reo met its intended purpose.</w:t>
      </w:r>
    </w:p>
    <w:p w14:paraId="6B212D5D" w14:textId="4CEFBD5F" w:rsidR="00F50111" w:rsidRDefault="1D5DE404" w:rsidP="00F50111">
      <w:pPr>
        <w:pStyle w:val="HQSCbodytext"/>
      </w:pPr>
      <w:r>
        <w:t xml:space="preserve">The survey </w:t>
      </w:r>
      <w:r w:rsidR="0028256B">
        <w:t xml:space="preserve">provided us with </w:t>
      </w:r>
      <w:r>
        <w:t xml:space="preserve">useful feedback for </w:t>
      </w:r>
      <w:r w:rsidR="00F50111">
        <w:t>future events</w:t>
      </w:r>
      <w:r w:rsidR="0028256B">
        <w:t>,</w:t>
      </w:r>
      <w:r w:rsidR="1C812AA6">
        <w:t xml:space="preserve"> including </w:t>
      </w:r>
      <w:r w:rsidR="0028256B">
        <w:t xml:space="preserve">the fact that we should have </w:t>
      </w:r>
      <w:r w:rsidR="1C812AA6">
        <w:t>allow</w:t>
      </w:r>
      <w:r w:rsidR="0028256B">
        <w:t>ed</w:t>
      </w:r>
      <w:r w:rsidR="1C812AA6">
        <w:t xml:space="preserve"> more time for networking and interactive sessions.</w:t>
      </w:r>
      <w:r w:rsidR="641B0B18">
        <w:t xml:space="preserve"> </w:t>
      </w:r>
    </w:p>
    <w:p w14:paraId="5DB9ACD4" w14:textId="64B662AE" w:rsidR="00F50111" w:rsidRDefault="7A2FA5E3" w:rsidP="00F50111">
      <w:pPr>
        <w:pStyle w:val="HQSCbodytext"/>
      </w:pPr>
      <w:r>
        <w:t xml:space="preserve">The survey </w:t>
      </w:r>
      <w:r w:rsidR="00F50111">
        <w:t>had a 27.5% response rate</w:t>
      </w:r>
      <w:r w:rsidR="0028256B">
        <w:t>,</w:t>
      </w:r>
      <w:r w:rsidR="00F50111">
        <w:t xml:space="preserve"> </w:t>
      </w:r>
      <w:r w:rsidR="49AAD993">
        <w:t>which highlights</w:t>
      </w:r>
      <w:r w:rsidR="00F74DD2">
        <w:t xml:space="preserve"> </w:t>
      </w:r>
      <w:r w:rsidR="4F8252B9">
        <w:t xml:space="preserve">the need </w:t>
      </w:r>
      <w:r w:rsidR="0028256B">
        <w:t xml:space="preserve">for us </w:t>
      </w:r>
      <w:r w:rsidR="4F8252B9">
        <w:t xml:space="preserve">to explore the use of </w:t>
      </w:r>
      <w:r w:rsidR="00F74DD2">
        <w:t xml:space="preserve">alternative </w:t>
      </w:r>
      <w:r w:rsidR="2D60FB8F">
        <w:t xml:space="preserve">feedback tools and methods </w:t>
      </w:r>
      <w:r w:rsidR="739BF081">
        <w:t>in the future</w:t>
      </w:r>
      <w:r w:rsidR="00F74DD2">
        <w:t xml:space="preserve">. </w:t>
      </w:r>
    </w:p>
    <w:p w14:paraId="49F6E932" w14:textId="4B7A1A5C" w:rsidR="00F50111" w:rsidRDefault="00F74DD2" w:rsidP="00F50111">
      <w:pPr>
        <w:pStyle w:val="HQSCbodytext"/>
      </w:pPr>
      <w:r>
        <w:t>There is incredible value in both quantitative and qualitative data as a measure</w:t>
      </w:r>
      <w:r w:rsidR="0028256B">
        <w:t>. The</w:t>
      </w:r>
      <w:r>
        <w:t xml:space="preserve"> </w:t>
      </w:r>
      <w:r w:rsidR="0057155C">
        <w:t xml:space="preserve">feedback </w:t>
      </w:r>
      <w:r w:rsidR="0028256B">
        <w:t xml:space="preserve">we received </w:t>
      </w:r>
      <w:r w:rsidR="0057155C">
        <w:t xml:space="preserve">will shape how </w:t>
      </w:r>
      <w:r w:rsidR="0028256B">
        <w:t xml:space="preserve">we </w:t>
      </w:r>
      <w:r w:rsidR="0057155C">
        <w:t>deliver future events</w:t>
      </w:r>
      <w:r w:rsidR="0028256B">
        <w:t>,</w:t>
      </w:r>
      <w:r w:rsidR="0057155C">
        <w:t xml:space="preserve"> </w:t>
      </w:r>
      <w:bookmarkStart w:id="5" w:name="_Hlk214483007"/>
      <w:r w:rsidR="0057155C">
        <w:t xml:space="preserve">to ensure we are creating </w:t>
      </w:r>
      <w:r w:rsidR="0057155C">
        <w:lastRenderedPageBreak/>
        <w:t xml:space="preserve">inclusive and practical experiences that foster meaningful engagement with </w:t>
      </w:r>
      <w:r w:rsidR="762FB0AF">
        <w:t>consumers, whanau</w:t>
      </w:r>
      <w:r w:rsidR="0A8CC8D0">
        <w:t xml:space="preserve"> </w:t>
      </w:r>
      <w:r w:rsidR="2EFBDF83">
        <w:t>a</w:t>
      </w:r>
      <w:r w:rsidR="0A8CC8D0">
        <w:t>nd communities</w:t>
      </w:r>
      <w:bookmarkEnd w:id="5"/>
      <w:r w:rsidR="007D600F">
        <w:t xml:space="preserve">. </w:t>
      </w:r>
      <w:bookmarkStart w:id="6" w:name="_Hlk214482962"/>
    </w:p>
    <w:p w14:paraId="711B28A5" w14:textId="5D2D7088" w:rsidR="00F322B9" w:rsidRDefault="00EF3071" w:rsidP="00792E41">
      <w:pPr>
        <w:pStyle w:val="HQSCbodytext"/>
      </w:pPr>
      <w:r>
        <w:t>We</w:t>
      </w:r>
      <w:r w:rsidR="00F322B9">
        <w:t xml:space="preserve"> wish to convey our appreciation and gratitude to all speakers, </w:t>
      </w:r>
      <w:bookmarkStart w:id="7" w:name="_Int_tT0QhBN9"/>
      <w:r w:rsidR="5414166F">
        <w:t>presenters</w:t>
      </w:r>
      <w:bookmarkEnd w:id="7"/>
      <w:r w:rsidR="5414166F">
        <w:t xml:space="preserve"> </w:t>
      </w:r>
      <w:r w:rsidR="00F322B9">
        <w:t xml:space="preserve">and organisers for contributing their time and knowledge towards this </w:t>
      </w:r>
      <w:proofErr w:type="spellStart"/>
      <w:r w:rsidR="17BB6472">
        <w:t>kaupapa</w:t>
      </w:r>
      <w:proofErr w:type="spellEnd"/>
      <w:r w:rsidR="00F322B9">
        <w:t xml:space="preserve">. We also extend our thanks to the staff at </w:t>
      </w:r>
      <w:proofErr w:type="spellStart"/>
      <w:r w:rsidR="00F322B9">
        <w:t>Tākina</w:t>
      </w:r>
      <w:proofErr w:type="spellEnd"/>
      <w:r w:rsidR="00F322B9">
        <w:t xml:space="preserve"> Wellington Convention and Exhibition Centre, Twelve Conferences and all those whos</w:t>
      </w:r>
      <w:r>
        <w:t>e</w:t>
      </w:r>
      <w:r w:rsidR="00F322B9">
        <w:t xml:space="preserve"> efforts contributed to the successful delivery of this event. </w:t>
      </w:r>
    </w:p>
    <w:bookmarkEnd w:id="0"/>
    <w:bookmarkEnd w:id="6"/>
    <w:p w14:paraId="176FB78E" w14:textId="77777777" w:rsidR="00064EBE" w:rsidRDefault="00064EBE">
      <w:pPr>
        <w:spacing w:after="200"/>
        <w:rPr>
          <w:rFonts w:eastAsiaTheme="majorEastAsia" w:cs="Arial"/>
          <w:b/>
          <w:color w:val="2C2568"/>
          <w:sz w:val="36"/>
          <w:szCs w:val="32"/>
        </w:rPr>
      </w:pPr>
      <w:r>
        <w:br w:type="page"/>
      </w:r>
    </w:p>
    <w:p w14:paraId="0459B484" w14:textId="23DBFE3B" w:rsidR="00700A6D" w:rsidRPr="004A0CF4" w:rsidRDefault="00700A6D" w:rsidP="00221B0C">
      <w:pPr>
        <w:pStyle w:val="HQSChead1"/>
      </w:pPr>
      <w:r>
        <w:lastRenderedPageBreak/>
        <w:t>Appendix</w:t>
      </w:r>
      <w:r w:rsidR="008E60AD">
        <w:t xml:space="preserve"> </w:t>
      </w:r>
    </w:p>
    <w:p w14:paraId="56CB4964" w14:textId="428AF83A" w:rsidR="00700A6D" w:rsidRPr="004A0CF4" w:rsidRDefault="008E60AD" w:rsidP="46563689">
      <w:pPr>
        <w:pStyle w:val="HQSChead1"/>
        <w:rPr>
          <w:sz w:val="28"/>
          <w:szCs w:val="28"/>
        </w:rPr>
      </w:pPr>
      <w:r w:rsidRPr="46563689">
        <w:rPr>
          <w:sz w:val="28"/>
          <w:szCs w:val="28"/>
        </w:rPr>
        <w:t xml:space="preserve">Ō </w:t>
      </w:r>
      <w:proofErr w:type="spellStart"/>
      <w:r w:rsidRPr="46563689">
        <w:rPr>
          <w:sz w:val="28"/>
          <w:szCs w:val="28"/>
        </w:rPr>
        <w:t>Mātou</w:t>
      </w:r>
      <w:proofErr w:type="spellEnd"/>
      <w:r w:rsidRPr="46563689">
        <w:rPr>
          <w:sz w:val="28"/>
          <w:szCs w:val="28"/>
        </w:rPr>
        <w:t xml:space="preserve"> Reo: Our Voices 2025 programme</w:t>
      </w:r>
    </w:p>
    <w:p w14:paraId="4FCB6847" w14:textId="77777777" w:rsidR="00700A6D" w:rsidRPr="00981E19" w:rsidRDefault="00700A6D" w:rsidP="00064EBE">
      <w:pPr>
        <w:pStyle w:val="HQSCbodytext"/>
      </w:pPr>
      <w:r w:rsidRPr="00981E19">
        <w:t>Thursday 30 October 8.00 – 5.00</w:t>
      </w:r>
    </w:p>
    <w:p w14:paraId="5D054380" w14:textId="3E661928" w:rsidR="00700A6D" w:rsidRPr="001B5EFA" w:rsidRDefault="00700A6D" w:rsidP="00064EBE">
      <w:pPr>
        <w:pStyle w:val="HQSCbodytext"/>
      </w:pPr>
      <w:proofErr w:type="spellStart"/>
      <w:r w:rsidRPr="00981E19">
        <w:t>Tākina</w:t>
      </w:r>
      <w:proofErr w:type="spellEnd"/>
      <w:r w:rsidRPr="00981E19">
        <w:t xml:space="preserve"> Wellington Convention and Exhibition Centre</w:t>
      </w:r>
    </w:p>
    <w:tbl>
      <w:tblPr>
        <w:tblStyle w:val="HQSCdefault"/>
        <w:tblW w:w="0" w:type="auto"/>
        <w:tblLook w:val="04A0" w:firstRow="1" w:lastRow="0" w:firstColumn="1" w:lastColumn="0" w:noHBand="0" w:noVBand="1"/>
      </w:tblPr>
      <w:tblGrid>
        <w:gridCol w:w="1425"/>
        <w:gridCol w:w="4555"/>
        <w:gridCol w:w="3046"/>
      </w:tblGrid>
      <w:tr w:rsidR="00A23400" w:rsidRPr="004846B0" w14:paraId="6216167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14:paraId="515F1FE8" w14:textId="77777777" w:rsidR="00A23400" w:rsidRPr="003913D2" w:rsidRDefault="00A23400">
            <w:pPr>
              <w:pStyle w:val="HQSCtablecolumnhead"/>
              <w:framePr w:hSpace="0" w:wrap="auto" w:vAnchor="margin" w:hAnchor="text" w:yAlign="inline"/>
              <w:rPr>
                <w:b/>
                <w:bCs/>
              </w:rPr>
            </w:pPr>
            <w:r w:rsidRPr="003913D2">
              <w:rPr>
                <w:b/>
                <w:bCs/>
              </w:rPr>
              <w:t>Time</w:t>
            </w:r>
          </w:p>
        </w:tc>
        <w:tc>
          <w:tcPr>
            <w:tcW w:w="4555" w:type="dxa"/>
          </w:tcPr>
          <w:p w14:paraId="4957E1A5" w14:textId="77777777" w:rsidR="00A23400" w:rsidRPr="004846B0" w:rsidRDefault="00A23400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  <w:r>
              <w:rPr>
                <w:rFonts w:cs="Arial"/>
              </w:rPr>
              <w:t>Session</w:t>
            </w:r>
          </w:p>
        </w:tc>
        <w:tc>
          <w:tcPr>
            <w:tcW w:w="3046" w:type="dxa"/>
          </w:tcPr>
          <w:p w14:paraId="4B785307" w14:textId="77777777" w:rsidR="00A23400" w:rsidRPr="004846B0" w:rsidRDefault="00A23400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</w:rPr>
            </w:pPr>
            <w:r>
              <w:rPr>
                <w:rFonts w:cs="Arial"/>
              </w:rPr>
              <w:t>Presenters</w:t>
            </w:r>
          </w:p>
        </w:tc>
      </w:tr>
      <w:tr w:rsidR="00A23400" w:rsidRPr="004846B0" w14:paraId="29E7F70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14:paraId="04680AA1" w14:textId="77777777" w:rsidR="00A23400" w:rsidRPr="004846B0" w:rsidRDefault="00A23400">
            <w:pPr>
              <w:pStyle w:val="HQSCtablecontent"/>
              <w:framePr w:hSpace="0" w:wrap="auto" w:vAnchor="margin" w:hAnchor="text" w:yAlign="inline"/>
            </w:pPr>
            <w:r w:rsidRPr="00274907">
              <w:t>8.00 am</w:t>
            </w:r>
          </w:p>
        </w:tc>
        <w:tc>
          <w:tcPr>
            <w:tcW w:w="7601" w:type="dxa"/>
            <w:gridSpan w:val="2"/>
            <w:shd w:val="clear" w:color="auto" w:fill="F2F2F2" w:themeFill="background1" w:themeFillShade="F2"/>
          </w:tcPr>
          <w:p w14:paraId="266C7597" w14:textId="77777777" w:rsidR="00A23400" w:rsidRPr="004846B0" w:rsidRDefault="00A2340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274907">
              <w:t>Registration opens</w:t>
            </w:r>
          </w:p>
        </w:tc>
      </w:tr>
      <w:tr w:rsidR="00A23400" w:rsidRPr="004846B0" w14:paraId="1149402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  <w:shd w:val="clear" w:color="auto" w:fill="auto"/>
          </w:tcPr>
          <w:p w14:paraId="42FD755B" w14:textId="77777777" w:rsidR="00A23400" w:rsidRPr="00CF5DD1" w:rsidRDefault="00A23400">
            <w:pPr>
              <w:spacing w:after="60"/>
              <w:rPr>
                <w:rFonts w:cs="Arial"/>
                <w:szCs w:val="22"/>
              </w:rPr>
            </w:pPr>
            <w:r w:rsidRPr="00CF5DD1">
              <w:rPr>
                <w:rFonts w:eastAsia="Times New Roman"/>
                <w:color w:val="090909"/>
                <w:szCs w:val="22"/>
              </w:rPr>
              <w:t>9.00 am</w:t>
            </w:r>
          </w:p>
        </w:tc>
        <w:tc>
          <w:tcPr>
            <w:tcW w:w="4555" w:type="dxa"/>
          </w:tcPr>
          <w:p w14:paraId="108BF06A" w14:textId="77777777" w:rsidR="00A23400" w:rsidRPr="00CF5DD1" w:rsidRDefault="00A234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CF5DD1">
              <w:rPr>
                <w:rFonts w:eastAsia="Times New Roman"/>
                <w:b/>
                <w:bCs/>
                <w:color w:val="090909"/>
                <w:szCs w:val="22"/>
              </w:rPr>
              <w:t xml:space="preserve">Mihi </w:t>
            </w:r>
            <w:proofErr w:type="spellStart"/>
            <w:r w:rsidRPr="00CF5DD1">
              <w:rPr>
                <w:rFonts w:eastAsia="Times New Roman"/>
                <w:b/>
                <w:bCs/>
                <w:color w:val="090909"/>
                <w:szCs w:val="22"/>
              </w:rPr>
              <w:t>whakatau</w:t>
            </w:r>
            <w:proofErr w:type="spellEnd"/>
            <w:r w:rsidRPr="00CF5DD1">
              <w:rPr>
                <w:rFonts w:eastAsia="Times New Roman"/>
                <w:b/>
                <w:bCs/>
                <w:color w:val="090909"/>
                <w:szCs w:val="22"/>
              </w:rPr>
              <w:t xml:space="preserve"> </w:t>
            </w:r>
          </w:p>
        </w:tc>
        <w:tc>
          <w:tcPr>
            <w:tcW w:w="3046" w:type="dxa"/>
          </w:tcPr>
          <w:p w14:paraId="6392C981" w14:textId="77777777" w:rsidR="00A23400" w:rsidRPr="00CF5DD1" w:rsidRDefault="00A2340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CF5DD1">
              <w:rPr>
                <w:rFonts w:eastAsia="Times New Roman"/>
                <w:color w:val="090909"/>
                <w:szCs w:val="22"/>
                <w:lang w:val="pt-BR"/>
              </w:rPr>
              <w:t>Mana Whenua, Te Āti Awa</w:t>
            </w:r>
          </w:p>
        </w:tc>
      </w:tr>
      <w:tr w:rsidR="00A23400" w:rsidRPr="004846B0" w14:paraId="2DB097E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  <w:shd w:val="clear" w:color="auto" w:fill="auto"/>
          </w:tcPr>
          <w:p w14:paraId="422E7C98" w14:textId="77777777" w:rsidR="00A23400" w:rsidRPr="00CC47F4" w:rsidRDefault="00A23400">
            <w:pPr>
              <w:spacing w:after="60"/>
              <w:rPr>
                <w:rFonts w:cs="Arial"/>
                <w:szCs w:val="22"/>
              </w:rPr>
            </w:pPr>
            <w:r w:rsidRPr="00CC47F4">
              <w:rPr>
                <w:rFonts w:eastAsia="Times New Roman"/>
                <w:color w:val="090909"/>
                <w:szCs w:val="22"/>
              </w:rPr>
              <w:t>9.30 am</w:t>
            </w:r>
          </w:p>
        </w:tc>
        <w:tc>
          <w:tcPr>
            <w:tcW w:w="4555" w:type="dxa"/>
          </w:tcPr>
          <w:p w14:paraId="0C6EB30E" w14:textId="77777777" w:rsidR="00A23400" w:rsidRPr="00CC47F4" w:rsidRDefault="00A2340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CC47F4">
              <w:rPr>
                <w:rFonts w:eastAsia="Times New Roman"/>
                <w:b/>
                <w:bCs/>
                <w:color w:val="090909"/>
                <w:szCs w:val="22"/>
              </w:rPr>
              <w:t>Welcome and housekeeping</w:t>
            </w:r>
          </w:p>
        </w:tc>
        <w:tc>
          <w:tcPr>
            <w:tcW w:w="3046" w:type="dxa"/>
          </w:tcPr>
          <w:p w14:paraId="0DD7DFC7" w14:textId="77777777" w:rsidR="00A23400" w:rsidRPr="00CC47F4" w:rsidRDefault="00A2340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proofErr w:type="spellStart"/>
            <w:r w:rsidRPr="00CC47F4">
              <w:rPr>
                <w:rFonts w:eastAsia="Times New Roman"/>
                <w:color w:val="090909"/>
                <w:szCs w:val="22"/>
              </w:rPr>
              <w:t>Arrun</w:t>
            </w:r>
            <w:proofErr w:type="spellEnd"/>
            <w:r w:rsidRPr="00CC47F4">
              <w:rPr>
                <w:rFonts w:eastAsia="Times New Roman"/>
                <w:color w:val="090909"/>
                <w:szCs w:val="22"/>
              </w:rPr>
              <w:t xml:space="preserve"> Soma, Master of Ceremonies</w:t>
            </w:r>
          </w:p>
        </w:tc>
      </w:tr>
      <w:tr w:rsidR="00A23400" w:rsidRPr="004846B0" w14:paraId="22852B3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  <w:shd w:val="clear" w:color="auto" w:fill="FFFFFF" w:themeFill="background1"/>
          </w:tcPr>
          <w:p w14:paraId="6AC0651D" w14:textId="77777777" w:rsidR="00A23400" w:rsidRPr="00CC47F4" w:rsidRDefault="00A23400">
            <w:pPr>
              <w:spacing w:after="60"/>
              <w:rPr>
                <w:rFonts w:cs="Arial"/>
                <w:szCs w:val="22"/>
              </w:rPr>
            </w:pPr>
            <w:r w:rsidRPr="00CC47F4">
              <w:rPr>
                <w:rFonts w:eastAsia="Times New Roman"/>
                <w:color w:val="090909"/>
                <w:szCs w:val="22"/>
              </w:rPr>
              <w:t>9.40 am</w:t>
            </w:r>
          </w:p>
        </w:tc>
        <w:tc>
          <w:tcPr>
            <w:tcW w:w="4555" w:type="dxa"/>
          </w:tcPr>
          <w:p w14:paraId="71F3EE76" w14:textId="77777777" w:rsidR="00A23400" w:rsidRPr="00CC47F4" w:rsidRDefault="00A2340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CC47F4">
              <w:rPr>
                <w:rFonts w:eastAsia="Times New Roman"/>
                <w:b/>
                <w:bCs/>
                <w:color w:val="090909"/>
                <w:szCs w:val="22"/>
              </w:rPr>
              <w:t>Welcome video from the Minister of Health</w:t>
            </w:r>
          </w:p>
        </w:tc>
        <w:tc>
          <w:tcPr>
            <w:tcW w:w="3046" w:type="dxa"/>
          </w:tcPr>
          <w:p w14:paraId="36101868" w14:textId="77777777" w:rsidR="00A23400" w:rsidRPr="00CC47F4" w:rsidRDefault="00A2340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CC47F4">
              <w:rPr>
                <w:rFonts w:eastAsia="Times New Roman"/>
                <w:color w:val="090909"/>
                <w:szCs w:val="22"/>
              </w:rPr>
              <w:t xml:space="preserve">Hon Simeon Brown </w:t>
            </w:r>
          </w:p>
        </w:tc>
      </w:tr>
      <w:tr w:rsidR="00A23400" w:rsidRPr="004846B0" w14:paraId="4B83023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  <w:shd w:val="clear" w:color="auto" w:fill="FFFFFF" w:themeFill="background1"/>
          </w:tcPr>
          <w:p w14:paraId="69D7CA39" w14:textId="77777777" w:rsidR="00A23400" w:rsidRPr="00CC47F4" w:rsidRDefault="00A23400">
            <w:pPr>
              <w:spacing w:after="60"/>
              <w:rPr>
                <w:rFonts w:cs="Arial"/>
                <w:szCs w:val="22"/>
              </w:rPr>
            </w:pPr>
            <w:r w:rsidRPr="00CC47F4">
              <w:rPr>
                <w:rFonts w:eastAsia="Times New Roman"/>
                <w:color w:val="090909"/>
                <w:szCs w:val="22"/>
              </w:rPr>
              <w:t>9.45 am</w:t>
            </w:r>
          </w:p>
        </w:tc>
        <w:tc>
          <w:tcPr>
            <w:tcW w:w="4555" w:type="dxa"/>
          </w:tcPr>
          <w:p w14:paraId="1675E678" w14:textId="77777777" w:rsidR="00A23400" w:rsidRPr="00CC47F4" w:rsidRDefault="00A2340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CC47F4">
              <w:rPr>
                <w:rFonts w:eastAsia="Times New Roman"/>
                <w:b/>
                <w:bCs/>
                <w:color w:val="090909"/>
                <w:szCs w:val="22"/>
              </w:rPr>
              <w:t xml:space="preserve">Opening address </w:t>
            </w:r>
          </w:p>
        </w:tc>
        <w:tc>
          <w:tcPr>
            <w:tcW w:w="3046" w:type="dxa"/>
          </w:tcPr>
          <w:p w14:paraId="44174370" w14:textId="77777777" w:rsidR="00A23400" w:rsidRPr="00CC47F4" w:rsidRDefault="00A2340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CC47F4">
              <w:rPr>
                <w:rFonts w:eastAsia="Times New Roman"/>
                <w:color w:val="090909"/>
                <w:szCs w:val="22"/>
              </w:rPr>
              <w:t>Rae Lamb, Chair of the Board, Health Quality and Safety Commission Te Tāhū Hauora</w:t>
            </w:r>
          </w:p>
        </w:tc>
      </w:tr>
      <w:tr w:rsidR="00A23400" w:rsidRPr="004846B0" w14:paraId="15EBCD9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  <w:shd w:val="clear" w:color="auto" w:fill="FFFFFF" w:themeFill="background1"/>
          </w:tcPr>
          <w:p w14:paraId="7BF8F2B6" w14:textId="77777777" w:rsidR="00A23400" w:rsidRPr="00CC47F4" w:rsidRDefault="00A23400">
            <w:pPr>
              <w:spacing w:after="60"/>
              <w:rPr>
                <w:rFonts w:cs="Arial"/>
                <w:szCs w:val="22"/>
              </w:rPr>
            </w:pPr>
            <w:r w:rsidRPr="00CC47F4">
              <w:rPr>
                <w:rFonts w:eastAsia="Times New Roman"/>
                <w:color w:val="090909"/>
                <w:szCs w:val="22"/>
              </w:rPr>
              <w:t>9.55 am</w:t>
            </w:r>
          </w:p>
        </w:tc>
        <w:tc>
          <w:tcPr>
            <w:tcW w:w="4555" w:type="dxa"/>
          </w:tcPr>
          <w:p w14:paraId="18841E31" w14:textId="77777777" w:rsidR="00A23400" w:rsidRPr="00CC47F4" w:rsidRDefault="00A2340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CC47F4">
              <w:rPr>
                <w:rFonts w:eastAsia="Times New Roman"/>
                <w:b/>
                <w:bCs/>
                <w:color w:val="090909"/>
                <w:szCs w:val="22"/>
              </w:rPr>
              <w:t xml:space="preserve">Keynote speaker </w:t>
            </w:r>
          </w:p>
        </w:tc>
        <w:tc>
          <w:tcPr>
            <w:tcW w:w="3046" w:type="dxa"/>
          </w:tcPr>
          <w:p w14:paraId="1F86EAD6" w14:textId="77777777" w:rsidR="00A23400" w:rsidRPr="00CC47F4" w:rsidRDefault="00A2340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 w:rsidRPr="00CC47F4">
              <w:rPr>
                <w:rFonts w:eastAsia="Times New Roman"/>
                <w:color w:val="090909"/>
                <w:szCs w:val="22"/>
              </w:rPr>
              <w:t xml:space="preserve">Sir Ashley Bloomfield </w:t>
            </w:r>
          </w:p>
        </w:tc>
      </w:tr>
      <w:tr w:rsidR="00A23400" w:rsidRPr="004846B0" w14:paraId="62EA80E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14:paraId="123AD607" w14:textId="77777777" w:rsidR="00A23400" w:rsidRPr="00CC47F4" w:rsidRDefault="00A23400">
            <w:pPr>
              <w:spacing w:after="60"/>
              <w:rPr>
                <w:rFonts w:eastAsia="Times New Roman"/>
                <w:color w:val="090909"/>
              </w:rPr>
            </w:pPr>
            <w:r w:rsidRPr="006D433C">
              <w:rPr>
                <w:szCs w:val="22"/>
              </w:rPr>
              <w:t>10.40 am</w:t>
            </w:r>
          </w:p>
        </w:tc>
        <w:tc>
          <w:tcPr>
            <w:tcW w:w="7601" w:type="dxa"/>
            <w:gridSpan w:val="2"/>
            <w:shd w:val="clear" w:color="auto" w:fill="F2F2F2" w:themeFill="background1" w:themeFillShade="F2"/>
          </w:tcPr>
          <w:p w14:paraId="7631788C" w14:textId="77777777" w:rsidR="00A23400" w:rsidRPr="00CC47F4" w:rsidRDefault="00A2340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90909"/>
              </w:rPr>
            </w:pPr>
            <w:r w:rsidRPr="006D433C">
              <w:rPr>
                <w:b/>
                <w:bCs/>
                <w:szCs w:val="22"/>
              </w:rPr>
              <w:t>Morning tea (30 minutes)</w:t>
            </w:r>
          </w:p>
        </w:tc>
      </w:tr>
      <w:tr w:rsidR="00A23400" w:rsidRPr="004846B0" w14:paraId="7C25866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  <w:shd w:val="clear" w:color="auto" w:fill="FFFFFF" w:themeFill="background1"/>
          </w:tcPr>
          <w:p w14:paraId="5960FDDB" w14:textId="77777777" w:rsidR="00A23400" w:rsidRPr="00CC47F4" w:rsidRDefault="00A23400">
            <w:pPr>
              <w:spacing w:after="60"/>
              <w:rPr>
                <w:rFonts w:eastAsia="Times New Roman"/>
                <w:color w:val="090909"/>
              </w:rPr>
            </w:pPr>
            <w:r w:rsidRPr="006D433C">
              <w:rPr>
                <w:rFonts w:eastAsia="Times New Roman"/>
                <w:color w:val="090909"/>
                <w:szCs w:val="22"/>
              </w:rPr>
              <w:t>11.10 am</w:t>
            </w:r>
          </w:p>
        </w:tc>
        <w:tc>
          <w:tcPr>
            <w:tcW w:w="4555" w:type="dxa"/>
          </w:tcPr>
          <w:p w14:paraId="78F79AC3" w14:textId="77777777" w:rsidR="00A23400" w:rsidRPr="006D433C" w:rsidRDefault="00A23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90909"/>
                <w:szCs w:val="22"/>
              </w:rPr>
            </w:pPr>
            <w:r w:rsidRPr="006D433C">
              <w:rPr>
                <w:rFonts w:eastAsia="Times New Roman"/>
                <w:b/>
                <w:bCs/>
                <w:color w:val="090909"/>
                <w:szCs w:val="22"/>
              </w:rPr>
              <w:t xml:space="preserve">He </w:t>
            </w:r>
            <w:proofErr w:type="spellStart"/>
            <w:r w:rsidRPr="006D433C">
              <w:rPr>
                <w:rFonts w:eastAsia="Times New Roman"/>
                <w:b/>
                <w:bCs/>
                <w:color w:val="090909"/>
                <w:szCs w:val="22"/>
              </w:rPr>
              <w:t>Oranga</w:t>
            </w:r>
            <w:proofErr w:type="spellEnd"/>
            <w:r w:rsidRPr="006D433C">
              <w:rPr>
                <w:rFonts w:eastAsia="Times New Roman"/>
                <w:b/>
                <w:bCs/>
                <w:color w:val="090909"/>
                <w:szCs w:val="22"/>
              </w:rPr>
              <w:t xml:space="preserve"> </w:t>
            </w:r>
            <w:proofErr w:type="spellStart"/>
            <w:r w:rsidRPr="006D433C">
              <w:rPr>
                <w:rFonts w:eastAsia="Times New Roman"/>
                <w:b/>
                <w:bCs/>
                <w:color w:val="090909"/>
                <w:szCs w:val="22"/>
              </w:rPr>
              <w:t>Pumau</w:t>
            </w:r>
            <w:proofErr w:type="spellEnd"/>
          </w:p>
          <w:p w14:paraId="4DF933BC" w14:textId="77777777" w:rsidR="00A23400" w:rsidRPr="006D433C" w:rsidRDefault="00A23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90909"/>
                <w:szCs w:val="22"/>
              </w:rPr>
            </w:pPr>
            <w:r w:rsidRPr="006D433C">
              <w:rPr>
                <w:rFonts w:eastAsia="Times New Roman"/>
                <w:color w:val="090909"/>
                <w:szCs w:val="22"/>
              </w:rPr>
              <w:t xml:space="preserve">Tanya Filia had a successful career in education when a serious illness forced her into early retirement. </w:t>
            </w:r>
          </w:p>
          <w:p w14:paraId="6C4287BD" w14:textId="77777777" w:rsidR="00A23400" w:rsidRPr="006D433C" w:rsidRDefault="00A23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90909"/>
                <w:szCs w:val="22"/>
              </w:rPr>
            </w:pPr>
            <w:r w:rsidRPr="006D433C">
              <w:rPr>
                <w:rFonts w:eastAsia="Times New Roman"/>
                <w:color w:val="090909"/>
                <w:szCs w:val="22"/>
              </w:rPr>
              <w:t xml:space="preserve">When doctors gave her just months to live, she turned to </w:t>
            </w:r>
            <w:proofErr w:type="spellStart"/>
            <w:r w:rsidRPr="006D433C">
              <w:rPr>
                <w:rFonts w:eastAsia="Times New Roman"/>
                <w:color w:val="090909"/>
                <w:szCs w:val="22"/>
              </w:rPr>
              <w:t>te</w:t>
            </w:r>
            <w:proofErr w:type="spellEnd"/>
            <w:r w:rsidRPr="006D433C">
              <w:rPr>
                <w:rFonts w:eastAsia="Times New Roman"/>
                <w:color w:val="090909"/>
                <w:szCs w:val="22"/>
              </w:rPr>
              <w:t xml:space="preserve"> </w:t>
            </w:r>
            <w:proofErr w:type="spellStart"/>
            <w:r w:rsidRPr="006D433C">
              <w:rPr>
                <w:rFonts w:eastAsia="Times New Roman"/>
                <w:color w:val="090909"/>
                <w:szCs w:val="22"/>
              </w:rPr>
              <w:t>ao</w:t>
            </w:r>
            <w:proofErr w:type="spellEnd"/>
            <w:r w:rsidRPr="006D433C">
              <w:rPr>
                <w:rFonts w:eastAsia="Times New Roman"/>
                <w:color w:val="090909"/>
                <w:szCs w:val="22"/>
              </w:rPr>
              <w:t xml:space="preserve"> Māori, </w:t>
            </w:r>
            <w:proofErr w:type="spellStart"/>
            <w:r w:rsidRPr="006D433C">
              <w:rPr>
                <w:rFonts w:eastAsia="Times New Roman"/>
                <w:color w:val="090909"/>
                <w:szCs w:val="22"/>
              </w:rPr>
              <w:t>rongoā</w:t>
            </w:r>
            <w:proofErr w:type="spellEnd"/>
            <w:r w:rsidRPr="006D433C">
              <w:rPr>
                <w:rFonts w:eastAsia="Times New Roman"/>
                <w:color w:val="090909"/>
                <w:szCs w:val="22"/>
              </w:rPr>
              <w:t xml:space="preserve"> Māori, and the principles of </w:t>
            </w:r>
            <w:proofErr w:type="spellStart"/>
            <w:r w:rsidRPr="006D433C">
              <w:rPr>
                <w:rFonts w:eastAsia="Times New Roman"/>
                <w:color w:val="090909"/>
                <w:szCs w:val="22"/>
              </w:rPr>
              <w:t>te</w:t>
            </w:r>
            <w:proofErr w:type="spellEnd"/>
            <w:r w:rsidRPr="006D433C">
              <w:rPr>
                <w:rFonts w:eastAsia="Times New Roman"/>
                <w:color w:val="090909"/>
                <w:szCs w:val="22"/>
              </w:rPr>
              <w:t xml:space="preserve"> Whare Tapa </w:t>
            </w:r>
            <w:proofErr w:type="spellStart"/>
            <w:r w:rsidRPr="006D433C">
              <w:rPr>
                <w:rFonts w:eastAsia="Times New Roman"/>
                <w:color w:val="090909"/>
                <w:szCs w:val="22"/>
              </w:rPr>
              <w:t>Whā</w:t>
            </w:r>
            <w:proofErr w:type="spellEnd"/>
            <w:r w:rsidRPr="006D433C">
              <w:rPr>
                <w:rFonts w:eastAsia="Times New Roman"/>
                <w:color w:val="090909"/>
                <w:szCs w:val="22"/>
              </w:rPr>
              <w:t xml:space="preserve">. </w:t>
            </w:r>
          </w:p>
          <w:p w14:paraId="4F5E52B3" w14:textId="77777777" w:rsidR="00A23400" w:rsidRPr="00CC47F4" w:rsidRDefault="00A2340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90909"/>
              </w:rPr>
            </w:pPr>
            <w:r w:rsidRPr="006D433C">
              <w:rPr>
                <w:rFonts w:eastAsia="Times New Roman"/>
                <w:color w:val="090909"/>
                <w:szCs w:val="22"/>
              </w:rPr>
              <w:t>Tanya shares her Hokianga story - an ongoing journey to wellness - a journey that she hopes will influence legislative change to the health system.</w:t>
            </w:r>
          </w:p>
        </w:tc>
        <w:tc>
          <w:tcPr>
            <w:tcW w:w="3046" w:type="dxa"/>
          </w:tcPr>
          <w:p w14:paraId="70976C60" w14:textId="77777777" w:rsidR="00A23400" w:rsidRPr="00CC47F4" w:rsidRDefault="00A2340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90909"/>
              </w:rPr>
            </w:pPr>
            <w:r w:rsidRPr="006D433C">
              <w:rPr>
                <w:rFonts w:eastAsia="Times New Roman"/>
                <w:color w:val="090909"/>
                <w:szCs w:val="22"/>
              </w:rPr>
              <w:t xml:space="preserve">Tanya Filia </w:t>
            </w:r>
          </w:p>
        </w:tc>
      </w:tr>
      <w:tr w:rsidR="00A23400" w:rsidRPr="004846B0" w14:paraId="48F3254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  <w:shd w:val="clear" w:color="auto" w:fill="FFFFFF" w:themeFill="background1"/>
          </w:tcPr>
          <w:p w14:paraId="46A2DEA3" w14:textId="77777777" w:rsidR="00A23400" w:rsidRPr="0094278B" w:rsidRDefault="00A23400">
            <w:pPr>
              <w:spacing w:after="60"/>
              <w:rPr>
                <w:rFonts w:eastAsia="Times New Roman"/>
                <w:color w:val="090909"/>
                <w:szCs w:val="22"/>
              </w:rPr>
            </w:pPr>
            <w:r w:rsidRPr="0094278B">
              <w:rPr>
                <w:rFonts w:eastAsia="Times New Roman"/>
                <w:color w:val="090909"/>
                <w:szCs w:val="22"/>
              </w:rPr>
              <w:t>11.45 am</w:t>
            </w:r>
          </w:p>
        </w:tc>
        <w:tc>
          <w:tcPr>
            <w:tcW w:w="4555" w:type="dxa"/>
          </w:tcPr>
          <w:p w14:paraId="7143E15D" w14:textId="77777777" w:rsidR="00A23400" w:rsidRPr="0094278B" w:rsidRDefault="00A23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90909"/>
                <w:szCs w:val="22"/>
              </w:rPr>
            </w:pPr>
            <w:proofErr w:type="spellStart"/>
            <w:r w:rsidRPr="0094278B">
              <w:rPr>
                <w:rFonts w:eastAsia="Times New Roman"/>
                <w:b/>
                <w:bCs/>
                <w:color w:val="090909"/>
                <w:szCs w:val="22"/>
              </w:rPr>
              <w:t>Tāpiri</w:t>
            </w:r>
            <w:proofErr w:type="spellEnd"/>
            <w:r w:rsidRPr="0094278B">
              <w:rPr>
                <w:rFonts w:eastAsia="Times New Roman"/>
                <w:b/>
                <w:bCs/>
                <w:color w:val="090909"/>
                <w:szCs w:val="22"/>
              </w:rPr>
              <w:t xml:space="preserve"> Mai </w:t>
            </w:r>
          </w:p>
          <w:p w14:paraId="542997EF" w14:textId="77777777" w:rsidR="00A23400" w:rsidRPr="0094278B" w:rsidRDefault="00A23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90909"/>
                <w:szCs w:val="22"/>
              </w:rPr>
            </w:pPr>
            <w:proofErr w:type="spellStart"/>
            <w:r w:rsidRPr="0094278B">
              <w:rPr>
                <w:rFonts w:eastAsia="Times New Roman"/>
                <w:color w:val="090909"/>
                <w:szCs w:val="22"/>
              </w:rPr>
              <w:t>Tāpiri</w:t>
            </w:r>
            <w:proofErr w:type="spellEnd"/>
            <w:r w:rsidRPr="0094278B">
              <w:rPr>
                <w:rFonts w:eastAsia="Times New Roman"/>
                <w:color w:val="090909"/>
                <w:szCs w:val="22"/>
              </w:rPr>
              <w:t xml:space="preserve"> Mai is a whānau-centred distance health project. </w:t>
            </w:r>
          </w:p>
          <w:p w14:paraId="5AB67C12" w14:textId="77777777" w:rsidR="00A23400" w:rsidRPr="0094278B" w:rsidRDefault="00A23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90909"/>
                <w:szCs w:val="22"/>
              </w:rPr>
            </w:pPr>
            <w:r w:rsidRPr="0094278B">
              <w:rPr>
                <w:rFonts w:eastAsia="Times New Roman"/>
                <w:color w:val="090909"/>
                <w:szCs w:val="22"/>
              </w:rPr>
              <w:t xml:space="preserve">It is co-designed with communities on Matakana and Motiti Island to overcome geographic and systemic barriers to </w:t>
            </w:r>
            <w:r w:rsidRPr="0094278B">
              <w:rPr>
                <w:rFonts w:eastAsia="Times New Roman"/>
                <w:color w:val="090909"/>
                <w:szCs w:val="22"/>
              </w:rPr>
              <w:lastRenderedPageBreak/>
              <w:t xml:space="preserve">healthcare, supporting equity and wellbeing for these communities. </w:t>
            </w:r>
          </w:p>
          <w:p w14:paraId="25C2ACFC" w14:textId="77777777" w:rsidR="00A23400" w:rsidRPr="0094278B" w:rsidRDefault="00A23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90909"/>
                <w:szCs w:val="22"/>
              </w:rPr>
            </w:pPr>
            <w:proofErr w:type="spellStart"/>
            <w:r w:rsidRPr="0094278B">
              <w:rPr>
                <w:rFonts w:eastAsia="Times New Roman"/>
                <w:color w:val="090909"/>
                <w:szCs w:val="22"/>
              </w:rPr>
              <w:t>Tāpiri</w:t>
            </w:r>
            <w:proofErr w:type="spellEnd"/>
            <w:r w:rsidRPr="0094278B">
              <w:rPr>
                <w:rFonts w:eastAsia="Times New Roman"/>
                <w:color w:val="090909"/>
                <w:szCs w:val="22"/>
              </w:rPr>
              <w:t xml:space="preserve"> Mai prioritises culturally responsive care, building strong relationships across whānau, clinicians, and providers, and integrates technology with a deep understanding of local needs.</w:t>
            </w:r>
          </w:p>
        </w:tc>
        <w:tc>
          <w:tcPr>
            <w:tcW w:w="3046" w:type="dxa"/>
          </w:tcPr>
          <w:p w14:paraId="38730F59" w14:textId="77777777" w:rsidR="00A23400" w:rsidRPr="0094278B" w:rsidRDefault="00A2340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90909"/>
                <w:szCs w:val="22"/>
              </w:rPr>
            </w:pPr>
            <w:r w:rsidRPr="0094278B">
              <w:rPr>
                <w:rFonts w:eastAsia="Times New Roman"/>
                <w:color w:val="090909"/>
                <w:szCs w:val="22"/>
              </w:rPr>
              <w:lastRenderedPageBreak/>
              <w:t xml:space="preserve">Moira Lomas </w:t>
            </w:r>
          </w:p>
          <w:p w14:paraId="31208DF8" w14:textId="77777777" w:rsidR="00A23400" w:rsidRPr="0094278B" w:rsidRDefault="00A2340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90909"/>
                <w:szCs w:val="22"/>
              </w:rPr>
            </w:pPr>
            <w:r w:rsidRPr="0094278B">
              <w:rPr>
                <w:rFonts w:eastAsia="Times New Roman"/>
                <w:color w:val="090909"/>
                <w:szCs w:val="22"/>
              </w:rPr>
              <w:t>Hera Murray</w:t>
            </w:r>
          </w:p>
        </w:tc>
      </w:tr>
      <w:tr w:rsidR="00A23400" w:rsidRPr="004846B0" w14:paraId="2552243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14:paraId="32E9175D" w14:textId="77777777" w:rsidR="00A23400" w:rsidRPr="00AC0BD4" w:rsidRDefault="00A23400">
            <w:pPr>
              <w:spacing w:after="60"/>
              <w:rPr>
                <w:rFonts w:eastAsia="Times New Roman"/>
                <w:color w:val="090909"/>
                <w:szCs w:val="22"/>
              </w:rPr>
            </w:pPr>
            <w:r w:rsidRPr="00AC0BD4">
              <w:rPr>
                <w:szCs w:val="22"/>
              </w:rPr>
              <w:t>12.20</w:t>
            </w:r>
          </w:p>
        </w:tc>
        <w:tc>
          <w:tcPr>
            <w:tcW w:w="7601" w:type="dxa"/>
            <w:gridSpan w:val="2"/>
            <w:shd w:val="clear" w:color="auto" w:fill="F2F2F2" w:themeFill="background1" w:themeFillShade="F2"/>
          </w:tcPr>
          <w:p w14:paraId="33322214" w14:textId="77777777" w:rsidR="00A23400" w:rsidRPr="00CC47F4" w:rsidRDefault="00A2340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90909"/>
              </w:rPr>
            </w:pPr>
            <w:r w:rsidRPr="00AC0BD4">
              <w:rPr>
                <w:b/>
                <w:bCs/>
                <w:szCs w:val="22"/>
              </w:rPr>
              <w:t>Lunch (55 minutes)</w:t>
            </w:r>
          </w:p>
        </w:tc>
      </w:tr>
      <w:tr w:rsidR="00A23400" w:rsidRPr="004846B0" w14:paraId="42824BD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  <w:gridSpan w:val="3"/>
          </w:tcPr>
          <w:p w14:paraId="5B435E37" w14:textId="77777777" w:rsidR="00A23400" w:rsidRPr="00CC47F4" w:rsidRDefault="00A23400">
            <w:pPr>
              <w:spacing w:after="60"/>
              <w:rPr>
                <w:rFonts w:eastAsia="Times New Roman"/>
                <w:color w:val="090909"/>
              </w:rPr>
            </w:pPr>
            <w:r w:rsidRPr="00AC0BD4">
              <w:rPr>
                <w:szCs w:val="22"/>
              </w:rPr>
              <w:t>Workshop stream one: Main plenary room (A&amp;B)</w:t>
            </w:r>
          </w:p>
        </w:tc>
      </w:tr>
      <w:tr w:rsidR="00A23400" w:rsidRPr="004846B0" w14:paraId="02A4F79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BA3FAC8" w14:textId="77777777" w:rsidR="00A23400" w:rsidRPr="00E44C9E" w:rsidRDefault="00A23400">
            <w:pPr>
              <w:spacing w:after="60"/>
              <w:rPr>
                <w:rFonts w:eastAsia="Times New Roman"/>
                <w:b w:val="0"/>
                <w:bCs/>
                <w:color w:val="090909"/>
                <w:szCs w:val="22"/>
              </w:rPr>
            </w:pPr>
            <w:r w:rsidRPr="00E44C9E">
              <w:rPr>
                <w:rFonts w:eastAsia="Times New Roman"/>
                <w:color w:val="090909"/>
                <w:szCs w:val="22"/>
              </w:rPr>
              <w:t>1.15</w:t>
            </w:r>
            <w:r>
              <w:rPr>
                <w:rFonts w:eastAsia="Times New Roman"/>
                <w:color w:val="090909"/>
                <w:szCs w:val="22"/>
              </w:rPr>
              <w:t>–</w:t>
            </w:r>
            <w:r w:rsidRPr="00E44C9E">
              <w:rPr>
                <w:rFonts w:eastAsia="Times New Roman"/>
                <w:color w:val="090909"/>
                <w:szCs w:val="22"/>
              </w:rPr>
              <w:t>1.55pm</w:t>
            </w:r>
          </w:p>
        </w:tc>
        <w:tc>
          <w:tcPr>
            <w:tcW w:w="455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CD87A4F" w14:textId="77777777" w:rsidR="00A23400" w:rsidRPr="00E44C9E" w:rsidRDefault="00A23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90909"/>
                <w:szCs w:val="22"/>
              </w:rPr>
            </w:pPr>
            <w:r w:rsidRPr="00E44C9E">
              <w:rPr>
                <w:rFonts w:eastAsia="Times New Roman"/>
                <w:b/>
                <w:bCs/>
                <w:color w:val="090909"/>
                <w:szCs w:val="22"/>
              </w:rPr>
              <w:t xml:space="preserve">Young voices panel </w:t>
            </w:r>
          </w:p>
          <w:p w14:paraId="17D9169F" w14:textId="77777777" w:rsidR="00A23400" w:rsidRPr="00E44C9E" w:rsidRDefault="00A23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90909"/>
                <w:szCs w:val="22"/>
              </w:rPr>
            </w:pPr>
            <w:r w:rsidRPr="00E44C9E">
              <w:rPr>
                <w:rFonts w:eastAsia="Times New Roman"/>
                <w:color w:val="090909"/>
                <w:szCs w:val="22"/>
              </w:rPr>
              <w:t xml:space="preserve">This panel session will involve </w:t>
            </w:r>
            <w:proofErr w:type="spellStart"/>
            <w:r w:rsidRPr="00E44C9E">
              <w:rPr>
                <w:rFonts w:eastAsia="Times New Roman"/>
                <w:color w:val="090909"/>
                <w:szCs w:val="22"/>
              </w:rPr>
              <w:t>rangatahi</w:t>
            </w:r>
            <w:proofErr w:type="spellEnd"/>
            <w:r w:rsidRPr="00E44C9E">
              <w:rPr>
                <w:rFonts w:eastAsia="Times New Roman"/>
                <w:color w:val="090909"/>
                <w:szCs w:val="22"/>
              </w:rPr>
              <w:t xml:space="preserve"> and youth perspectives to discuss the importance of young voices within the health system. </w:t>
            </w:r>
          </w:p>
          <w:p w14:paraId="7E459737" w14:textId="77777777" w:rsidR="00A23400" w:rsidRPr="00E44C9E" w:rsidRDefault="00A2340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090909"/>
                <w:szCs w:val="22"/>
              </w:rPr>
            </w:pPr>
            <w:r w:rsidRPr="00E44C9E">
              <w:rPr>
                <w:rFonts w:eastAsia="Times New Roman"/>
                <w:color w:val="090909"/>
                <w:szCs w:val="22"/>
              </w:rPr>
              <w:t>There will be a discussion about how the sector can engage with young people and implement the Code of expectations for health providers’ engagement with consumers and whānau.</w:t>
            </w:r>
          </w:p>
        </w:tc>
        <w:tc>
          <w:tcPr>
            <w:tcW w:w="3046" w:type="dxa"/>
          </w:tcPr>
          <w:p w14:paraId="4EC727CB" w14:textId="77777777" w:rsidR="00A23400" w:rsidRPr="00E44C9E" w:rsidRDefault="00A2340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90909"/>
                <w:szCs w:val="22"/>
              </w:rPr>
            </w:pPr>
            <w:r w:rsidRPr="00E44C9E">
              <w:rPr>
                <w:rFonts w:eastAsia="Times New Roman"/>
                <w:color w:val="090909"/>
                <w:szCs w:val="22"/>
              </w:rPr>
              <w:t>Natasha Astill</w:t>
            </w:r>
          </w:p>
          <w:p w14:paraId="494E78AD" w14:textId="77777777" w:rsidR="00A23400" w:rsidRPr="00E44C9E" w:rsidRDefault="00A2340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90909"/>
                <w:szCs w:val="22"/>
              </w:rPr>
            </w:pPr>
            <w:r w:rsidRPr="00E44C9E">
              <w:rPr>
                <w:rFonts w:eastAsia="Times New Roman"/>
                <w:color w:val="090909"/>
                <w:szCs w:val="22"/>
              </w:rPr>
              <w:t xml:space="preserve">Stanley King </w:t>
            </w:r>
          </w:p>
          <w:p w14:paraId="62786E32" w14:textId="77777777" w:rsidR="00A23400" w:rsidRPr="00E44C9E" w:rsidRDefault="00A2340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90909"/>
                <w:szCs w:val="22"/>
              </w:rPr>
            </w:pPr>
            <w:r w:rsidRPr="00E44C9E">
              <w:rPr>
                <w:rFonts w:eastAsia="Times New Roman"/>
                <w:color w:val="090909"/>
                <w:szCs w:val="22"/>
              </w:rPr>
              <w:t>Eden Li</w:t>
            </w:r>
          </w:p>
          <w:p w14:paraId="41285CD7" w14:textId="77777777" w:rsidR="00A23400" w:rsidRPr="00E44C9E" w:rsidRDefault="00A2340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90909"/>
                <w:szCs w:val="22"/>
              </w:rPr>
            </w:pPr>
            <w:r w:rsidRPr="00E44C9E">
              <w:rPr>
                <w:rFonts w:eastAsia="Times New Roman"/>
                <w:color w:val="090909"/>
                <w:szCs w:val="22"/>
              </w:rPr>
              <w:t>Kim Pollock</w:t>
            </w:r>
          </w:p>
          <w:p w14:paraId="447E746E" w14:textId="77777777" w:rsidR="00A23400" w:rsidRPr="00E44C9E" w:rsidRDefault="00A2340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90909"/>
                <w:szCs w:val="22"/>
              </w:rPr>
            </w:pPr>
          </w:p>
          <w:p w14:paraId="42456F03" w14:textId="77777777" w:rsidR="00A23400" w:rsidRPr="00E44C9E" w:rsidRDefault="00A2340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90909"/>
                <w:szCs w:val="22"/>
              </w:rPr>
            </w:pPr>
            <w:r w:rsidRPr="00E44C9E">
              <w:rPr>
                <w:rFonts w:eastAsia="Times New Roman"/>
                <w:color w:val="090909"/>
                <w:szCs w:val="22"/>
              </w:rPr>
              <w:t>Facilitated by Josh McMillan</w:t>
            </w:r>
          </w:p>
          <w:p w14:paraId="7CC091C4" w14:textId="77777777" w:rsidR="00A23400" w:rsidRPr="00E44C9E" w:rsidRDefault="00A2340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90909"/>
                <w:szCs w:val="22"/>
              </w:rPr>
            </w:pPr>
          </w:p>
        </w:tc>
      </w:tr>
      <w:tr w:rsidR="00A23400" w:rsidRPr="004846B0" w14:paraId="3B8FC4A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DBAA77C" w14:textId="77777777" w:rsidR="00A23400" w:rsidRPr="00561C7D" w:rsidRDefault="00A23400">
            <w:pPr>
              <w:spacing w:after="60"/>
              <w:rPr>
                <w:rFonts w:eastAsia="Times New Roman"/>
                <w:b w:val="0"/>
                <w:bCs/>
                <w:color w:val="090909"/>
                <w:szCs w:val="22"/>
              </w:rPr>
            </w:pPr>
            <w:r w:rsidRPr="00561C7D">
              <w:rPr>
                <w:rFonts w:eastAsia="Times New Roman"/>
                <w:color w:val="090909"/>
                <w:szCs w:val="22"/>
              </w:rPr>
              <w:t>1.55–2.25pm</w:t>
            </w:r>
          </w:p>
        </w:tc>
        <w:tc>
          <w:tcPr>
            <w:tcW w:w="455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CB7F4CC" w14:textId="77777777" w:rsidR="00A23400" w:rsidRPr="00561C7D" w:rsidRDefault="00A23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90909"/>
                <w:szCs w:val="22"/>
              </w:rPr>
            </w:pPr>
            <w:proofErr w:type="spellStart"/>
            <w:r w:rsidRPr="00561C7D">
              <w:rPr>
                <w:rFonts w:eastAsia="Times New Roman"/>
                <w:b/>
                <w:bCs/>
                <w:color w:val="090909"/>
                <w:szCs w:val="22"/>
              </w:rPr>
              <w:t>Whaikaha</w:t>
            </w:r>
            <w:proofErr w:type="spellEnd"/>
            <w:r w:rsidRPr="00561C7D">
              <w:rPr>
                <w:rFonts w:eastAsia="Times New Roman"/>
                <w:b/>
                <w:bCs/>
                <w:color w:val="090909"/>
                <w:szCs w:val="22"/>
              </w:rPr>
              <w:t xml:space="preserve"> discussion</w:t>
            </w:r>
          </w:p>
          <w:p w14:paraId="48372228" w14:textId="77777777" w:rsidR="00A23400" w:rsidRDefault="00A23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90909"/>
                <w:szCs w:val="22"/>
              </w:rPr>
            </w:pPr>
            <w:r w:rsidRPr="00561C7D">
              <w:rPr>
                <w:rFonts w:eastAsia="Times New Roman"/>
                <w:color w:val="090909"/>
                <w:szCs w:val="22"/>
              </w:rPr>
              <w:t xml:space="preserve">This session will cover good practice for engaging with disabled people, tāngata </w:t>
            </w:r>
            <w:proofErr w:type="spellStart"/>
            <w:r w:rsidRPr="00561C7D">
              <w:rPr>
                <w:rFonts w:eastAsia="Times New Roman"/>
                <w:color w:val="090909"/>
                <w:szCs w:val="22"/>
              </w:rPr>
              <w:t>whaikaha</w:t>
            </w:r>
            <w:proofErr w:type="spellEnd"/>
            <w:r w:rsidRPr="00561C7D">
              <w:rPr>
                <w:rFonts w:eastAsia="Times New Roman"/>
                <w:color w:val="090909"/>
                <w:szCs w:val="22"/>
              </w:rPr>
              <w:t xml:space="preserve"> Māori, </w:t>
            </w:r>
            <w:proofErr w:type="spellStart"/>
            <w:r w:rsidRPr="00561C7D">
              <w:rPr>
                <w:rFonts w:eastAsia="Times New Roman"/>
                <w:color w:val="090909"/>
                <w:szCs w:val="22"/>
              </w:rPr>
              <w:t>Tūri</w:t>
            </w:r>
            <w:proofErr w:type="spellEnd"/>
            <w:r w:rsidRPr="00561C7D">
              <w:rPr>
                <w:rFonts w:eastAsia="Times New Roman"/>
                <w:color w:val="090909"/>
                <w:szCs w:val="22"/>
              </w:rPr>
              <w:t xml:space="preserve"> Māori and their whānau.</w:t>
            </w:r>
          </w:p>
          <w:p w14:paraId="06262F87" w14:textId="77777777" w:rsidR="00A23400" w:rsidRPr="00F9372C" w:rsidRDefault="00A23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90909"/>
                <w:szCs w:val="22"/>
              </w:rPr>
            </w:pPr>
            <w:r w:rsidRPr="00F9372C">
              <w:rPr>
                <w:rFonts w:eastAsia="Times New Roman"/>
                <w:color w:val="090909"/>
                <w:szCs w:val="22"/>
              </w:rPr>
              <w:t>In 2024 alone, it served 827 whānau</w:t>
            </w:r>
            <w:r>
              <w:rPr>
                <w:rFonts w:eastAsia="Times New Roman"/>
                <w:color w:val="090909"/>
                <w:szCs w:val="22"/>
              </w:rPr>
              <w:t xml:space="preserve"> – </w:t>
            </w:r>
            <w:r w:rsidRPr="00F9372C">
              <w:rPr>
                <w:rFonts w:eastAsia="Times New Roman"/>
                <w:color w:val="090909"/>
                <w:szCs w:val="22"/>
              </w:rPr>
              <w:t>96</w:t>
            </w:r>
            <w:r>
              <w:rPr>
                <w:rFonts w:eastAsia="Times New Roman"/>
                <w:color w:val="090909"/>
                <w:szCs w:val="22"/>
              </w:rPr>
              <w:t xml:space="preserve"> percent</w:t>
            </w:r>
            <w:r w:rsidRPr="00F9372C">
              <w:rPr>
                <w:rFonts w:eastAsia="Times New Roman"/>
                <w:color w:val="090909"/>
                <w:szCs w:val="22"/>
              </w:rPr>
              <w:t xml:space="preserve"> of whom were Māori</w:t>
            </w:r>
            <w:r>
              <w:rPr>
                <w:rFonts w:eastAsia="Times New Roman"/>
                <w:color w:val="090909"/>
                <w:szCs w:val="22"/>
              </w:rPr>
              <w:t xml:space="preserve"> – </w:t>
            </w:r>
            <w:r w:rsidRPr="00F9372C">
              <w:rPr>
                <w:rFonts w:eastAsia="Times New Roman"/>
                <w:color w:val="090909"/>
                <w:szCs w:val="22"/>
              </w:rPr>
              <w:t xml:space="preserve">with services ranging from diabetes reviews to immunisations. The model has proven effective in building trust, improving access, and reconnecting whānau with primary care. </w:t>
            </w:r>
          </w:p>
          <w:p w14:paraId="01F9FD1A" w14:textId="77777777" w:rsidR="00A23400" w:rsidRPr="00561C7D" w:rsidRDefault="00A23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090909"/>
                <w:szCs w:val="22"/>
              </w:rPr>
            </w:pPr>
            <w:r w:rsidRPr="00F9372C">
              <w:rPr>
                <w:rFonts w:eastAsia="Times New Roman"/>
                <w:color w:val="090909"/>
                <w:szCs w:val="22"/>
              </w:rPr>
              <w:t>The marae is now exploring expansion into preventative services like nutrition and movement.</w:t>
            </w:r>
          </w:p>
        </w:tc>
        <w:tc>
          <w:tcPr>
            <w:tcW w:w="3046" w:type="dxa"/>
          </w:tcPr>
          <w:p w14:paraId="6E6F849E" w14:textId="77777777" w:rsidR="00A23400" w:rsidRPr="00561C7D" w:rsidRDefault="00A2340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90909"/>
                <w:szCs w:val="22"/>
              </w:rPr>
            </w:pPr>
            <w:r w:rsidRPr="00561C7D">
              <w:rPr>
                <w:rFonts w:eastAsia="Times New Roman"/>
                <w:color w:val="090909"/>
                <w:szCs w:val="22"/>
              </w:rPr>
              <w:t>Geneva Hakaraia-Tino</w:t>
            </w:r>
          </w:p>
          <w:p w14:paraId="473F87C1" w14:textId="77777777" w:rsidR="00A23400" w:rsidRPr="00561C7D" w:rsidRDefault="00A2340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90909"/>
                <w:szCs w:val="22"/>
              </w:rPr>
            </w:pPr>
            <w:r w:rsidRPr="00561C7D">
              <w:rPr>
                <w:rFonts w:eastAsia="Times New Roman"/>
                <w:color w:val="090909"/>
                <w:szCs w:val="22"/>
              </w:rPr>
              <w:t xml:space="preserve">Kerrie Morgan </w:t>
            </w:r>
          </w:p>
          <w:p w14:paraId="6B47C64F" w14:textId="77777777" w:rsidR="00A23400" w:rsidRPr="00561C7D" w:rsidRDefault="00A2340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90909"/>
                <w:szCs w:val="22"/>
              </w:rPr>
            </w:pPr>
            <w:r w:rsidRPr="00561C7D">
              <w:rPr>
                <w:rFonts w:eastAsia="Times New Roman"/>
                <w:color w:val="090909"/>
                <w:szCs w:val="22"/>
              </w:rPr>
              <w:t>Kellye Bensley</w:t>
            </w:r>
          </w:p>
        </w:tc>
      </w:tr>
      <w:tr w:rsidR="00A23400" w:rsidRPr="004846B0" w14:paraId="2BCF969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57903FB" w14:textId="77777777" w:rsidR="00A23400" w:rsidRPr="003E659A" w:rsidRDefault="00A23400">
            <w:pPr>
              <w:spacing w:after="60"/>
              <w:rPr>
                <w:rFonts w:eastAsia="Times New Roman"/>
                <w:color w:val="090909"/>
                <w:szCs w:val="22"/>
              </w:rPr>
            </w:pPr>
            <w:r w:rsidRPr="003E659A">
              <w:rPr>
                <w:rFonts w:eastAsia="Times New Roman"/>
                <w:color w:val="090909"/>
                <w:szCs w:val="22"/>
              </w:rPr>
              <w:t>2.25</w:t>
            </w:r>
            <w:r>
              <w:rPr>
                <w:rFonts w:eastAsia="Times New Roman"/>
                <w:color w:val="090909"/>
                <w:szCs w:val="22"/>
              </w:rPr>
              <w:t>–</w:t>
            </w:r>
            <w:r w:rsidRPr="003E659A">
              <w:rPr>
                <w:rFonts w:eastAsia="Times New Roman"/>
                <w:color w:val="090909"/>
                <w:szCs w:val="22"/>
              </w:rPr>
              <w:t>2.55pm</w:t>
            </w:r>
          </w:p>
        </w:tc>
        <w:tc>
          <w:tcPr>
            <w:tcW w:w="455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E9A7392" w14:textId="77777777" w:rsidR="00A23400" w:rsidRPr="003E659A" w:rsidRDefault="00A23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90909"/>
                <w:szCs w:val="22"/>
              </w:rPr>
            </w:pPr>
            <w:r w:rsidRPr="003E659A">
              <w:rPr>
                <w:rFonts w:eastAsia="Times New Roman"/>
                <w:b/>
                <w:bCs/>
                <w:color w:val="090909"/>
                <w:szCs w:val="22"/>
              </w:rPr>
              <w:t>The Code of expectations: adoption and the SURE framework</w:t>
            </w:r>
          </w:p>
          <w:p w14:paraId="66509B80" w14:textId="77777777" w:rsidR="00A23400" w:rsidRPr="003E659A" w:rsidRDefault="00A23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90909"/>
                <w:szCs w:val="22"/>
              </w:rPr>
            </w:pPr>
            <w:r w:rsidRPr="003E659A">
              <w:rPr>
                <w:rFonts w:eastAsia="Times New Roman"/>
                <w:color w:val="090909"/>
                <w:szCs w:val="22"/>
              </w:rPr>
              <w:t xml:space="preserve">This session provides insights for the adoption of the Code of expectations for health entities’ engagement with consumers and whānau, and the SURE framework as a </w:t>
            </w:r>
            <w:r w:rsidRPr="003E659A">
              <w:rPr>
                <w:rFonts w:eastAsia="Times New Roman"/>
                <w:color w:val="090909"/>
                <w:szCs w:val="22"/>
              </w:rPr>
              <w:lastRenderedPageBreak/>
              <w:t xml:space="preserve">tool for measuring and planning consumer engagement activities. </w:t>
            </w:r>
          </w:p>
          <w:p w14:paraId="3D6A7A2E" w14:textId="77777777" w:rsidR="00A23400" w:rsidRPr="003E659A" w:rsidRDefault="00A23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90909"/>
                <w:szCs w:val="22"/>
              </w:rPr>
            </w:pPr>
            <w:r w:rsidRPr="003E659A">
              <w:rPr>
                <w:rFonts w:eastAsia="Times New Roman"/>
                <w:color w:val="090909"/>
                <w:szCs w:val="22"/>
              </w:rPr>
              <w:t>We will share examples from health service providers across primary, community, hospital and specialist care.</w:t>
            </w:r>
          </w:p>
        </w:tc>
        <w:tc>
          <w:tcPr>
            <w:tcW w:w="3046" w:type="dxa"/>
          </w:tcPr>
          <w:p w14:paraId="38DE1A24" w14:textId="77777777" w:rsidR="00A23400" w:rsidRPr="003E659A" w:rsidRDefault="00A2340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90909"/>
                <w:szCs w:val="22"/>
              </w:rPr>
            </w:pPr>
            <w:r w:rsidRPr="003E659A">
              <w:rPr>
                <w:rFonts w:eastAsia="Times New Roman"/>
                <w:color w:val="090909"/>
                <w:szCs w:val="22"/>
              </w:rPr>
              <w:lastRenderedPageBreak/>
              <w:t>DJ Adams, Senior Consumer Advisor, Health Quality and Safety Commission Te Tāhū Hauora</w:t>
            </w:r>
          </w:p>
          <w:p w14:paraId="3B9DB257" w14:textId="77777777" w:rsidR="00A23400" w:rsidRPr="003E659A" w:rsidRDefault="00A2340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90909"/>
                <w:szCs w:val="22"/>
              </w:rPr>
            </w:pPr>
            <w:r w:rsidRPr="003E659A">
              <w:rPr>
                <w:rFonts w:eastAsia="Times New Roman"/>
                <w:color w:val="090909"/>
                <w:szCs w:val="22"/>
              </w:rPr>
              <w:t xml:space="preserve">Carlton Irving, Director Māori Health and Consumer at the </w:t>
            </w:r>
            <w:r w:rsidRPr="003E659A">
              <w:rPr>
                <w:rFonts w:eastAsia="Times New Roman"/>
                <w:color w:val="090909"/>
                <w:szCs w:val="22"/>
              </w:rPr>
              <w:lastRenderedPageBreak/>
              <w:t>Health Quality and Safety Commission Te Tāhū Hauora</w:t>
            </w:r>
          </w:p>
        </w:tc>
      </w:tr>
      <w:tr w:rsidR="00A23400" w:rsidRPr="004846B0" w14:paraId="46D43C0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  <w:gridSpan w:val="3"/>
          </w:tcPr>
          <w:p w14:paraId="55D0D04F" w14:textId="77777777" w:rsidR="00A23400" w:rsidRPr="008546E1" w:rsidRDefault="00A23400">
            <w:pPr>
              <w:spacing w:line="240" w:lineRule="auto"/>
              <w:rPr>
                <w:rFonts w:eastAsia="Times New Roman"/>
                <w:color w:val="090909"/>
                <w:szCs w:val="22"/>
              </w:rPr>
            </w:pPr>
            <w:r w:rsidRPr="008546E1">
              <w:rPr>
                <w:szCs w:val="22"/>
              </w:rPr>
              <w:lastRenderedPageBreak/>
              <w:t>Workshop stream two: Room C&amp;D</w:t>
            </w:r>
          </w:p>
        </w:tc>
      </w:tr>
      <w:tr w:rsidR="00A23400" w:rsidRPr="004846B0" w14:paraId="5EDDF13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7104790" w14:textId="77777777" w:rsidR="00A23400" w:rsidRPr="005F4597" w:rsidRDefault="00A23400">
            <w:pPr>
              <w:spacing w:after="60"/>
              <w:rPr>
                <w:rFonts w:eastAsia="Times New Roman"/>
                <w:color w:val="090909"/>
                <w:szCs w:val="22"/>
              </w:rPr>
            </w:pPr>
            <w:r w:rsidRPr="005F4597">
              <w:rPr>
                <w:rFonts w:eastAsia="Times New Roman"/>
                <w:color w:val="090909"/>
                <w:szCs w:val="22"/>
              </w:rPr>
              <w:t>1.15</w:t>
            </w:r>
            <w:r>
              <w:rPr>
                <w:rFonts w:eastAsia="Times New Roman"/>
                <w:color w:val="090909"/>
                <w:szCs w:val="22"/>
              </w:rPr>
              <w:t>–</w:t>
            </w:r>
            <w:r w:rsidRPr="005F4597">
              <w:rPr>
                <w:rFonts w:eastAsia="Times New Roman"/>
                <w:color w:val="090909"/>
                <w:szCs w:val="22"/>
              </w:rPr>
              <w:t>1.55pm</w:t>
            </w:r>
          </w:p>
        </w:tc>
        <w:tc>
          <w:tcPr>
            <w:tcW w:w="455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69649CA" w14:textId="77777777" w:rsidR="00A23400" w:rsidRPr="005F4597" w:rsidRDefault="00A234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90909"/>
                <w:szCs w:val="22"/>
              </w:rPr>
            </w:pPr>
            <w:r w:rsidRPr="005F4597">
              <w:rPr>
                <w:rFonts w:eastAsia="Times New Roman"/>
                <w:b/>
                <w:bCs/>
                <w:color w:val="090909"/>
                <w:szCs w:val="22"/>
              </w:rPr>
              <w:t>Listening to our communities – model of consumer-focused storytelling regarding gout diagnosis/medication</w:t>
            </w:r>
          </w:p>
          <w:p w14:paraId="6E998220" w14:textId="77777777" w:rsidR="00A23400" w:rsidRPr="005F4597" w:rsidRDefault="00A234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90909"/>
                <w:szCs w:val="22"/>
              </w:rPr>
            </w:pPr>
          </w:p>
          <w:p w14:paraId="12220B3A" w14:textId="77777777" w:rsidR="00A23400" w:rsidRPr="005F4597" w:rsidRDefault="00A2340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90909"/>
                <w:szCs w:val="22"/>
              </w:rPr>
            </w:pPr>
            <w:r w:rsidRPr="005F4597">
              <w:rPr>
                <w:rFonts w:eastAsia="Times New Roman"/>
                <w:color w:val="090909"/>
                <w:szCs w:val="22"/>
              </w:rPr>
              <w:t>This session is about consumer-focussed storytelling, co-design and listening to communities and whānau.</w:t>
            </w:r>
          </w:p>
        </w:tc>
        <w:tc>
          <w:tcPr>
            <w:tcW w:w="3046" w:type="dxa"/>
          </w:tcPr>
          <w:p w14:paraId="3F155E74" w14:textId="77777777" w:rsidR="00A23400" w:rsidRPr="005F4597" w:rsidRDefault="00A2340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90909"/>
                <w:szCs w:val="22"/>
              </w:rPr>
            </w:pPr>
            <w:r w:rsidRPr="005F4597">
              <w:rPr>
                <w:rFonts w:eastAsia="Times New Roman"/>
                <w:color w:val="090909"/>
                <w:szCs w:val="22"/>
              </w:rPr>
              <w:t xml:space="preserve">Zechariah </w:t>
            </w:r>
            <w:proofErr w:type="spellStart"/>
            <w:r w:rsidRPr="005F4597">
              <w:rPr>
                <w:rFonts w:eastAsia="Times New Roman"/>
                <w:color w:val="090909"/>
                <w:szCs w:val="22"/>
              </w:rPr>
              <w:t>Reuelu</w:t>
            </w:r>
            <w:proofErr w:type="spellEnd"/>
            <w:r w:rsidRPr="005F4597">
              <w:rPr>
                <w:rFonts w:eastAsia="Times New Roman"/>
                <w:color w:val="090909"/>
                <w:szCs w:val="22"/>
              </w:rPr>
              <w:t xml:space="preserve"> </w:t>
            </w:r>
          </w:p>
          <w:p w14:paraId="31D54C54" w14:textId="77777777" w:rsidR="00A23400" w:rsidRPr="005F4597" w:rsidRDefault="00A2340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90909"/>
                <w:szCs w:val="22"/>
              </w:rPr>
            </w:pPr>
            <w:r w:rsidRPr="005F4597">
              <w:rPr>
                <w:rFonts w:eastAsia="Times New Roman"/>
                <w:color w:val="090909"/>
                <w:szCs w:val="22"/>
              </w:rPr>
              <w:t>Cherie Seamark</w:t>
            </w:r>
          </w:p>
        </w:tc>
      </w:tr>
      <w:tr w:rsidR="00A23400" w:rsidRPr="004846B0" w14:paraId="52AFAF0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37C3F8D" w14:textId="77777777" w:rsidR="00A23400" w:rsidRPr="00613BC2" w:rsidRDefault="00A23400">
            <w:pPr>
              <w:spacing w:after="60"/>
              <w:rPr>
                <w:rFonts w:eastAsia="Times New Roman"/>
                <w:color w:val="090909"/>
                <w:szCs w:val="22"/>
              </w:rPr>
            </w:pPr>
            <w:r w:rsidRPr="00613BC2">
              <w:rPr>
                <w:rFonts w:eastAsia="Times New Roman"/>
                <w:color w:val="090909"/>
                <w:szCs w:val="22"/>
              </w:rPr>
              <w:t>1.55</w:t>
            </w:r>
            <w:r>
              <w:rPr>
                <w:rFonts w:eastAsia="Times New Roman"/>
                <w:color w:val="090909"/>
                <w:szCs w:val="22"/>
              </w:rPr>
              <w:t>–</w:t>
            </w:r>
            <w:r w:rsidRPr="00613BC2">
              <w:rPr>
                <w:rFonts w:eastAsia="Times New Roman"/>
                <w:color w:val="090909"/>
                <w:szCs w:val="22"/>
              </w:rPr>
              <w:t>2.25pm</w:t>
            </w:r>
          </w:p>
        </w:tc>
        <w:tc>
          <w:tcPr>
            <w:tcW w:w="455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09EB2E7" w14:textId="77777777" w:rsidR="00A23400" w:rsidRPr="00613BC2" w:rsidRDefault="00A23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90909"/>
                <w:szCs w:val="22"/>
              </w:rPr>
            </w:pPr>
            <w:r w:rsidRPr="00613BC2">
              <w:rPr>
                <w:rFonts w:eastAsia="Times New Roman"/>
                <w:b/>
                <w:bCs/>
                <w:color w:val="090909"/>
                <w:szCs w:val="22"/>
              </w:rPr>
              <w:t xml:space="preserve">Marae based clinics – a sustainable, whānau focused approach to empowering equity </w:t>
            </w:r>
          </w:p>
          <w:p w14:paraId="734227F9" w14:textId="77777777" w:rsidR="00A23400" w:rsidRPr="00613BC2" w:rsidRDefault="00A23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90909"/>
                <w:szCs w:val="22"/>
              </w:rPr>
            </w:pPr>
            <w:r w:rsidRPr="00613BC2">
              <w:rPr>
                <w:rFonts w:eastAsia="Times New Roman"/>
                <w:color w:val="090909"/>
                <w:szCs w:val="22"/>
              </w:rPr>
              <w:t xml:space="preserve">Te Whare Hauora o </w:t>
            </w:r>
            <w:proofErr w:type="spellStart"/>
            <w:r w:rsidRPr="00613BC2">
              <w:rPr>
                <w:rFonts w:eastAsia="Times New Roman"/>
                <w:color w:val="090909"/>
                <w:szCs w:val="22"/>
              </w:rPr>
              <w:t>Mangatoatoa</w:t>
            </w:r>
            <w:proofErr w:type="spellEnd"/>
            <w:r w:rsidRPr="00613BC2">
              <w:rPr>
                <w:rFonts w:eastAsia="Times New Roman"/>
                <w:color w:val="090909"/>
                <w:szCs w:val="22"/>
              </w:rPr>
              <w:t xml:space="preserve"> Paa is a whānau-led, marae-based clinic near Kihikihi that exemplifies how culturally grounded care can address persistent health inequities for Māori. </w:t>
            </w:r>
          </w:p>
          <w:p w14:paraId="4C04766A" w14:textId="77777777" w:rsidR="00A23400" w:rsidRPr="00613BC2" w:rsidRDefault="00A23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90909"/>
                <w:szCs w:val="22"/>
              </w:rPr>
            </w:pPr>
            <w:r w:rsidRPr="00613BC2">
              <w:rPr>
                <w:rFonts w:eastAsia="Times New Roman"/>
                <w:color w:val="090909"/>
                <w:szCs w:val="22"/>
              </w:rPr>
              <w:t xml:space="preserve">Since its pilot in 2022, the clinic has grown into a weekly service supported by Te Awamutu and Mahoe Medical Centres, offering free health and wellbeing services in a familiar, </w:t>
            </w:r>
            <w:proofErr w:type="spellStart"/>
            <w:r w:rsidRPr="00613BC2">
              <w:rPr>
                <w:rFonts w:eastAsia="Times New Roman"/>
                <w:color w:val="090909"/>
                <w:szCs w:val="22"/>
              </w:rPr>
              <w:t>kaupapa</w:t>
            </w:r>
            <w:proofErr w:type="spellEnd"/>
            <w:r w:rsidRPr="00613BC2">
              <w:rPr>
                <w:rFonts w:eastAsia="Times New Roman"/>
                <w:color w:val="090909"/>
                <w:szCs w:val="22"/>
              </w:rPr>
              <w:t xml:space="preserve"> Māori setting. </w:t>
            </w:r>
          </w:p>
          <w:p w14:paraId="623F9D31" w14:textId="77777777" w:rsidR="00A23400" w:rsidRPr="00613BC2" w:rsidRDefault="00A23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90909"/>
                <w:szCs w:val="22"/>
              </w:rPr>
            </w:pPr>
            <w:r w:rsidRPr="00613BC2">
              <w:rPr>
                <w:rFonts w:eastAsia="Times New Roman"/>
                <w:color w:val="090909"/>
                <w:szCs w:val="22"/>
              </w:rPr>
              <w:t xml:space="preserve">In 2024 alone, it served 827 whānau—96% of whom were Māori—with services ranging from diabetes reviews to immunisations. The model has proven effective in building trust, improving access, and reconnecting whānau with primary care. </w:t>
            </w:r>
          </w:p>
          <w:p w14:paraId="3D7E5517" w14:textId="77777777" w:rsidR="00A23400" w:rsidRPr="00613BC2" w:rsidRDefault="00A23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90909"/>
                <w:szCs w:val="22"/>
              </w:rPr>
            </w:pPr>
            <w:r w:rsidRPr="00613BC2">
              <w:rPr>
                <w:rFonts w:eastAsia="Times New Roman"/>
                <w:color w:val="090909"/>
                <w:szCs w:val="22"/>
              </w:rPr>
              <w:t>The marae is now exploring expansion into preventative services like nutrition and movement.</w:t>
            </w:r>
          </w:p>
        </w:tc>
        <w:tc>
          <w:tcPr>
            <w:tcW w:w="3046" w:type="dxa"/>
          </w:tcPr>
          <w:p w14:paraId="32932999" w14:textId="77777777" w:rsidR="00A23400" w:rsidRPr="00613BC2" w:rsidRDefault="00A2340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90909"/>
                <w:szCs w:val="22"/>
              </w:rPr>
            </w:pPr>
            <w:r w:rsidRPr="00613BC2">
              <w:rPr>
                <w:rFonts w:eastAsia="Times New Roman"/>
                <w:color w:val="090909"/>
                <w:szCs w:val="22"/>
              </w:rPr>
              <w:t>Justin Butcher</w:t>
            </w:r>
          </w:p>
        </w:tc>
      </w:tr>
      <w:tr w:rsidR="00A23400" w:rsidRPr="004846B0" w14:paraId="0240BF5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8DB1861" w14:textId="77777777" w:rsidR="00A23400" w:rsidRPr="001F27AE" w:rsidRDefault="00A23400">
            <w:pPr>
              <w:spacing w:after="60"/>
              <w:rPr>
                <w:rFonts w:eastAsia="Times New Roman"/>
                <w:b w:val="0"/>
                <w:bCs/>
                <w:color w:val="090909"/>
                <w:szCs w:val="22"/>
              </w:rPr>
            </w:pPr>
            <w:r w:rsidRPr="001F27AE">
              <w:rPr>
                <w:rFonts w:eastAsia="Times New Roman"/>
                <w:color w:val="090909"/>
                <w:szCs w:val="22"/>
              </w:rPr>
              <w:t>2.25</w:t>
            </w:r>
            <w:r>
              <w:rPr>
                <w:rFonts w:eastAsia="Times New Roman"/>
                <w:color w:val="090909"/>
                <w:szCs w:val="22"/>
              </w:rPr>
              <w:t>–</w:t>
            </w:r>
            <w:r w:rsidRPr="001F27AE">
              <w:rPr>
                <w:rFonts w:eastAsia="Times New Roman"/>
                <w:color w:val="090909"/>
                <w:szCs w:val="22"/>
              </w:rPr>
              <w:t>2.55pm</w:t>
            </w:r>
          </w:p>
        </w:tc>
        <w:tc>
          <w:tcPr>
            <w:tcW w:w="455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84323D8" w14:textId="77777777" w:rsidR="00A23400" w:rsidRPr="001F27AE" w:rsidRDefault="00A23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90909"/>
                <w:szCs w:val="22"/>
              </w:rPr>
            </w:pPr>
            <w:r w:rsidRPr="001F27AE">
              <w:rPr>
                <w:rFonts w:eastAsia="Times New Roman"/>
                <w:b/>
                <w:bCs/>
                <w:color w:val="090909"/>
                <w:szCs w:val="22"/>
              </w:rPr>
              <w:t xml:space="preserve">Getting back on track </w:t>
            </w:r>
            <w:r>
              <w:rPr>
                <w:rFonts w:eastAsia="Times New Roman"/>
                <w:b/>
                <w:bCs/>
                <w:color w:val="090909"/>
                <w:szCs w:val="22"/>
              </w:rPr>
              <w:t>–</w:t>
            </w:r>
            <w:r w:rsidRPr="001F27AE">
              <w:rPr>
                <w:rFonts w:eastAsia="Times New Roman"/>
                <w:b/>
                <w:bCs/>
                <w:color w:val="090909"/>
                <w:szCs w:val="22"/>
              </w:rPr>
              <w:t xml:space="preserve"> process and resolution in a research project exploring ‘codesign’ and lived experience</w:t>
            </w:r>
          </w:p>
          <w:p w14:paraId="52C2F0CE" w14:textId="77777777" w:rsidR="00A23400" w:rsidRPr="001F27AE" w:rsidRDefault="00A23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90909"/>
                <w:szCs w:val="22"/>
              </w:rPr>
            </w:pPr>
            <w:r w:rsidRPr="001F27AE">
              <w:rPr>
                <w:rFonts w:eastAsia="Times New Roman"/>
                <w:color w:val="090909"/>
                <w:szCs w:val="22"/>
              </w:rPr>
              <w:lastRenderedPageBreak/>
              <w:t xml:space="preserve">Forming strong relationships and agreeing on shared values at the start of a project can help navigate challenging periods. </w:t>
            </w:r>
          </w:p>
          <w:p w14:paraId="1B9CF8C9" w14:textId="77777777" w:rsidR="00A23400" w:rsidRPr="001F27AE" w:rsidRDefault="00A2340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color w:val="090909"/>
                <w:szCs w:val="22"/>
              </w:rPr>
            </w:pPr>
            <w:r w:rsidRPr="001F27AE">
              <w:rPr>
                <w:rFonts w:eastAsia="Times New Roman"/>
                <w:color w:val="090909"/>
                <w:szCs w:val="22"/>
              </w:rPr>
              <w:t xml:space="preserve">The presenters will describe a collaborative research project on the design and delivery of mental health care in </w:t>
            </w:r>
            <w:proofErr w:type="spellStart"/>
            <w:r w:rsidRPr="001F27AE">
              <w:rPr>
                <w:rFonts w:eastAsia="Times New Roman"/>
                <w:color w:val="090909"/>
                <w:szCs w:val="22"/>
              </w:rPr>
              <w:t>te</w:t>
            </w:r>
            <w:proofErr w:type="spellEnd"/>
            <w:r w:rsidRPr="001F27AE">
              <w:rPr>
                <w:rFonts w:eastAsia="Times New Roman"/>
                <w:color w:val="090909"/>
                <w:szCs w:val="22"/>
              </w:rPr>
              <w:t xml:space="preserve"> Wai Pounamu South Island, and the processes they used when an event challenged agreed values.</w:t>
            </w:r>
          </w:p>
        </w:tc>
        <w:tc>
          <w:tcPr>
            <w:tcW w:w="3046" w:type="dxa"/>
          </w:tcPr>
          <w:p w14:paraId="70010AB6" w14:textId="77777777" w:rsidR="00A23400" w:rsidRPr="001F27AE" w:rsidRDefault="00A2340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90909"/>
                <w:szCs w:val="22"/>
              </w:rPr>
            </w:pPr>
            <w:r w:rsidRPr="001F27AE">
              <w:rPr>
                <w:rFonts w:eastAsia="Times New Roman"/>
                <w:color w:val="090909"/>
                <w:szCs w:val="22"/>
              </w:rPr>
              <w:lastRenderedPageBreak/>
              <w:t xml:space="preserve">Kaaren Mathias </w:t>
            </w:r>
          </w:p>
          <w:p w14:paraId="7304E432" w14:textId="77777777" w:rsidR="00A23400" w:rsidRPr="001F27AE" w:rsidRDefault="00A2340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90909"/>
                <w:szCs w:val="22"/>
              </w:rPr>
            </w:pPr>
            <w:r w:rsidRPr="001F27AE">
              <w:rPr>
                <w:rFonts w:eastAsia="Times New Roman"/>
                <w:color w:val="090909"/>
                <w:szCs w:val="22"/>
              </w:rPr>
              <w:t>Martin Burke</w:t>
            </w:r>
          </w:p>
          <w:p w14:paraId="1DB34A94" w14:textId="77777777" w:rsidR="00A23400" w:rsidRPr="001F27AE" w:rsidRDefault="00A2340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90909"/>
                <w:szCs w:val="22"/>
              </w:rPr>
            </w:pPr>
            <w:r w:rsidRPr="001F27AE">
              <w:rPr>
                <w:rFonts w:eastAsia="Times New Roman"/>
                <w:color w:val="090909"/>
                <w:szCs w:val="22"/>
              </w:rPr>
              <w:t xml:space="preserve"> </w:t>
            </w:r>
          </w:p>
        </w:tc>
      </w:tr>
      <w:tr w:rsidR="00A23400" w:rsidRPr="004846B0" w14:paraId="2293484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14:paraId="08F979ED" w14:textId="77777777" w:rsidR="00A23400" w:rsidRPr="00FC4357" w:rsidRDefault="00A23400">
            <w:pPr>
              <w:spacing w:after="60"/>
              <w:rPr>
                <w:rFonts w:eastAsia="Times New Roman"/>
                <w:color w:val="090909"/>
                <w:szCs w:val="22"/>
              </w:rPr>
            </w:pPr>
            <w:r w:rsidRPr="00FC4357">
              <w:rPr>
                <w:szCs w:val="22"/>
              </w:rPr>
              <w:t>3.00 pm</w:t>
            </w:r>
          </w:p>
        </w:tc>
        <w:tc>
          <w:tcPr>
            <w:tcW w:w="7601" w:type="dxa"/>
            <w:gridSpan w:val="2"/>
            <w:shd w:val="clear" w:color="auto" w:fill="F2F2F2" w:themeFill="background1" w:themeFillShade="F2"/>
          </w:tcPr>
          <w:p w14:paraId="65C71C3D" w14:textId="77777777" w:rsidR="00A23400" w:rsidRPr="00CC47F4" w:rsidRDefault="00A23400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90909"/>
              </w:rPr>
            </w:pPr>
            <w:r w:rsidRPr="00FC4357">
              <w:rPr>
                <w:b/>
                <w:bCs/>
                <w:szCs w:val="22"/>
              </w:rPr>
              <w:t>Afternoon tea (35 minutes)</w:t>
            </w:r>
          </w:p>
        </w:tc>
      </w:tr>
      <w:tr w:rsidR="00A23400" w:rsidRPr="004846B0" w14:paraId="0705A32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  <w:shd w:val="clear" w:color="auto" w:fill="FFFFFF" w:themeFill="background1"/>
          </w:tcPr>
          <w:p w14:paraId="0748036B" w14:textId="77777777" w:rsidR="00A23400" w:rsidRPr="00791FC0" w:rsidRDefault="00A23400">
            <w:pPr>
              <w:spacing w:after="60"/>
              <w:rPr>
                <w:rFonts w:eastAsia="Times New Roman"/>
                <w:color w:val="090909"/>
                <w:szCs w:val="22"/>
              </w:rPr>
            </w:pPr>
            <w:r w:rsidRPr="00791FC0">
              <w:rPr>
                <w:rFonts w:eastAsia="Times New Roman"/>
                <w:color w:val="090909"/>
                <w:szCs w:val="22"/>
              </w:rPr>
              <w:t xml:space="preserve">3.35pm </w:t>
            </w:r>
          </w:p>
        </w:tc>
        <w:tc>
          <w:tcPr>
            <w:tcW w:w="4555" w:type="dxa"/>
          </w:tcPr>
          <w:p w14:paraId="70B7C183" w14:textId="77777777" w:rsidR="00A23400" w:rsidRPr="00791FC0" w:rsidRDefault="00A2340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90909"/>
                <w:szCs w:val="22"/>
              </w:rPr>
            </w:pPr>
            <w:r w:rsidRPr="00791FC0">
              <w:rPr>
                <w:rFonts w:eastAsia="Times New Roman"/>
                <w:b/>
                <w:bCs/>
                <w:color w:val="090909"/>
                <w:szCs w:val="22"/>
              </w:rPr>
              <w:t xml:space="preserve">Health agency panel </w:t>
            </w:r>
          </w:p>
          <w:p w14:paraId="5487ADC8" w14:textId="77777777" w:rsidR="00A23400" w:rsidRPr="00791FC0" w:rsidRDefault="00A23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90909"/>
                <w:szCs w:val="22"/>
              </w:rPr>
            </w:pPr>
            <w:r w:rsidRPr="00791FC0">
              <w:rPr>
                <w:rFonts w:eastAsia="Times New Roman"/>
                <w:color w:val="090909"/>
                <w:szCs w:val="22"/>
              </w:rPr>
              <w:t xml:space="preserve">This session will focus on the theme of ‘Future of health’, with a particular emphasis on the positive implementation of the Code of expectations. </w:t>
            </w:r>
          </w:p>
          <w:p w14:paraId="7422C0C6" w14:textId="77777777" w:rsidR="00A23400" w:rsidRPr="00791FC0" w:rsidRDefault="00A234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90909"/>
                <w:szCs w:val="22"/>
              </w:rPr>
            </w:pPr>
            <w:r w:rsidRPr="00791FC0">
              <w:rPr>
                <w:rFonts w:eastAsia="Times New Roman"/>
                <w:color w:val="090909"/>
                <w:szCs w:val="22"/>
              </w:rPr>
              <w:t xml:space="preserve">Panellists will offer insights into how their organisations are embedding consumer and whānau engagement into their work and what this means for the future of health in New Zealand. </w:t>
            </w:r>
          </w:p>
        </w:tc>
        <w:tc>
          <w:tcPr>
            <w:tcW w:w="3046" w:type="dxa"/>
          </w:tcPr>
          <w:p w14:paraId="744A5414" w14:textId="77777777" w:rsidR="00A23400" w:rsidRPr="00791FC0" w:rsidRDefault="00A2340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90909"/>
                <w:szCs w:val="22"/>
              </w:rPr>
            </w:pPr>
            <w:r w:rsidRPr="00791FC0">
              <w:rPr>
                <w:rFonts w:eastAsia="Times New Roman"/>
                <w:color w:val="090909"/>
                <w:szCs w:val="22"/>
              </w:rPr>
              <w:t>Sarah Jackson, National Chief, Quality &amp; Patient safety, Health New Zealand Te Whatu Ora</w:t>
            </w:r>
          </w:p>
          <w:p w14:paraId="62886FAF" w14:textId="77777777" w:rsidR="00A23400" w:rsidRPr="00791FC0" w:rsidRDefault="00A2340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90909"/>
                <w:szCs w:val="22"/>
              </w:rPr>
            </w:pPr>
            <w:r w:rsidRPr="00791FC0">
              <w:rPr>
                <w:rFonts w:eastAsia="Times New Roman"/>
                <w:color w:val="090909"/>
                <w:szCs w:val="22"/>
              </w:rPr>
              <w:t>Norma Lane, Clinical Governance Development manager, New Zealand Blood Service</w:t>
            </w:r>
          </w:p>
          <w:p w14:paraId="2731867C" w14:textId="77777777" w:rsidR="00A23400" w:rsidRPr="00791FC0" w:rsidRDefault="00A2340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90909"/>
                <w:szCs w:val="22"/>
              </w:rPr>
            </w:pPr>
            <w:r w:rsidRPr="00791FC0">
              <w:rPr>
                <w:rFonts w:eastAsia="Times New Roman"/>
                <w:color w:val="090909"/>
                <w:szCs w:val="22"/>
              </w:rPr>
              <w:t xml:space="preserve">Dr Nicola Ngawati, Director Equity and Engagement, </w:t>
            </w:r>
            <w:proofErr w:type="spellStart"/>
            <w:r w:rsidRPr="00791FC0">
              <w:rPr>
                <w:rFonts w:eastAsia="Times New Roman"/>
                <w:color w:val="090909"/>
                <w:szCs w:val="22"/>
              </w:rPr>
              <w:t>Pharmac</w:t>
            </w:r>
            <w:proofErr w:type="spellEnd"/>
          </w:p>
          <w:p w14:paraId="32010AD4" w14:textId="77777777" w:rsidR="00A23400" w:rsidRPr="00791FC0" w:rsidRDefault="00A2340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90909"/>
                <w:szCs w:val="22"/>
              </w:rPr>
            </w:pPr>
            <w:r w:rsidRPr="00791FC0">
              <w:rPr>
                <w:rFonts w:eastAsia="Times New Roman"/>
                <w:color w:val="090909"/>
                <w:szCs w:val="22"/>
              </w:rPr>
              <w:t>Rose Wall, Deputy Commissioner Disability, Health and Disability Commissioner</w:t>
            </w:r>
          </w:p>
          <w:p w14:paraId="6D09414D" w14:textId="77777777" w:rsidR="00A23400" w:rsidRPr="00791FC0" w:rsidRDefault="00A2340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90909"/>
                <w:szCs w:val="22"/>
              </w:rPr>
            </w:pPr>
            <w:r w:rsidRPr="00791FC0">
              <w:rPr>
                <w:rFonts w:eastAsia="Times New Roman"/>
                <w:color w:val="090909"/>
                <w:szCs w:val="22"/>
              </w:rPr>
              <w:t xml:space="preserve">Carlton Irving, Director of Māori Health and Consumer, Health Quality and Safety </w:t>
            </w:r>
            <w:proofErr w:type="gramStart"/>
            <w:r w:rsidRPr="00791FC0">
              <w:rPr>
                <w:rFonts w:eastAsia="Times New Roman"/>
                <w:color w:val="090909"/>
                <w:szCs w:val="22"/>
              </w:rPr>
              <w:t>Commission  Te</w:t>
            </w:r>
            <w:proofErr w:type="gramEnd"/>
            <w:r w:rsidRPr="00791FC0">
              <w:rPr>
                <w:rFonts w:eastAsia="Times New Roman"/>
                <w:color w:val="090909"/>
                <w:szCs w:val="22"/>
              </w:rPr>
              <w:t xml:space="preserve"> Tāhū Hauora</w:t>
            </w:r>
          </w:p>
          <w:p w14:paraId="171B2275" w14:textId="77777777" w:rsidR="00A23400" w:rsidRPr="00791FC0" w:rsidRDefault="00A2340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90909"/>
                <w:szCs w:val="22"/>
              </w:rPr>
            </w:pPr>
            <w:r w:rsidRPr="00791FC0">
              <w:rPr>
                <w:rFonts w:eastAsia="Times New Roman"/>
                <w:color w:val="090909"/>
                <w:szCs w:val="22"/>
              </w:rPr>
              <w:t xml:space="preserve">Ronelle Baker, </w:t>
            </w:r>
            <w:proofErr w:type="spellStart"/>
            <w:r w:rsidRPr="00791FC0">
              <w:rPr>
                <w:rFonts w:eastAsia="Times New Roman"/>
                <w:color w:val="090909"/>
                <w:szCs w:val="22"/>
              </w:rPr>
              <w:t>Kaihautū</w:t>
            </w:r>
            <w:proofErr w:type="spellEnd"/>
            <w:r w:rsidRPr="00791FC0">
              <w:rPr>
                <w:rFonts w:eastAsia="Times New Roman"/>
                <w:color w:val="090909"/>
                <w:szCs w:val="22"/>
              </w:rPr>
              <w:t xml:space="preserve"> Chief Advisor Māori, </w:t>
            </w:r>
            <w:proofErr w:type="spellStart"/>
            <w:r w:rsidRPr="00791FC0">
              <w:rPr>
                <w:rFonts w:eastAsia="Times New Roman"/>
                <w:color w:val="090909"/>
                <w:szCs w:val="22"/>
              </w:rPr>
              <w:t>Whaikaha</w:t>
            </w:r>
            <w:proofErr w:type="spellEnd"/>
            <w:r w:rsidRPr="00791FC0">
              <w:rPr>
                <w:rFonts w:eastAsia="Times New Roman"/>
                <w:color w:val="090909"/>
                <w:szCs w:val="22"/>
              </w:rPr>
              <w:t xml:space="preserve"> Ministry of Disabled People</w:t>
            </w:r>
          </w:p>
        </w:tc>
      </w:tr>
      <w:tr w:rsidR="00A23400" w:rsidRPr="004846B0" w14:paraId="6EB2AE6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  <w:shd w:val="clear" w:color="auto" w:fill="FFFFFF" w:themeFill="background1"/>
          </w:tcPr>
          <w:p w14:paraId="7E517917" w14:textId="77777777" w:rsidR="00A23400" w:rsidRPr="00835300" w:rsidRDefault="00A23400">
            <w:pPr>
              <w:spacing w:after="60"/>
              <w:rPr>
                <w:rFonts w:eastAsia="Times New Roman"/>
                <w:color w:val="090909"/>
                <w:szCs w:val="22"/>
              </w:rPr>
            </w:pPr>
            <w:r w:rsidRPr="00835300">
              <w:rPr>
                <w:rFonts w:eastAsia="Times New Roman"/>
                <w:color w:val="090909"/>
                <w:szCs w:val="22"/>
              </w:rPr>
              <w:t xml:space="preserve">4.15pm </w:t>
            </w:r>
          </w:p>
        </w:tc>
        <w:tc>
          <w:tcPr>
            <w:tcW w:w="4555" w:type="dxa"/>
          </w:tcPr>
          <w:p w14:paraId="169F6AB5" w14:textId="77777777" w:rsidR="00A23400" w:rsidRPr="00835300" w:rsidRDefault="00A2340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90909"/>
                <w:szCs w:val="22"/>
              </w:rPr>
            </w:pPr>
            <w:r w:rsidRPr="00835300">
              <w:rPr>
                <w:rFonts w:eastAsia="Times New Roman"/>
                <w:b/>
                <w:bCs/>
                <w:color w:val="090909"/>
                <w:szCs w:val="22"/>
              </w:rPr>
              <w:t>Keynote speaker</w:t>
            </w:r>
          </w:p>
        </w:tc>
        <w:tc>
          <w:tcPr>
            <w:tcW w:w="3046" w:type="dxa"/>
          </w:tcPr>
          <w:p w14:paraId="7CCD6543" w14:textId="77777777" w:rsidR="00A23400" w:rsidRPr="00835300" w:rsidRDefault="00A2340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90909"/>
                <w:szCs w:val="22"/>
              </w:rPr>
            </w:pPr>
            <w:r w:rsidRPr="00835300">
              <w:rPr>
                <w:rFonts w:eastAsia="Times New Roman"/>
                <w:color w:val="090909"/>
                <w:szCs w:val="22"/>
              </w:rPr>
              <w:t>Dave Letele</w:t>
            </w:r>
          </w:p>
        </w:tc>
      </w:tr>
      <w:tr w:rsidR="00A23400" w:rsidRPr="004846B0" w14:paraId="0EE788A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  <w:shd w:val="clear" w:color="auto" w:fill="FFFFFF" w:themeFill="background1"/>
          </w:tcPr>
          <w:p w14:paraId="57DA8BCD" w14:textId="77777777" w:rsidR="00A23400" w:rsidRPr="00835300" w:rsidRDefault="00A23400">
            <w:pPr>
              <w:spacing w:after="60"/>
              <w:rPr>
                <w:rFonts w:eastAsia="Times New Roman"/>
                <w:color w:val="090909"/>
                <w:szCs w:val="22"/>
              </w:rPr>
            </w:pPr>
            <w:r w:rsidRPr="00835300">
              <w:rPr>
                <w:rFonts w:eastAsia="Times New Roman"/>
                <w:color w:val="090909"/>
                <w:szCs w:val="22"/>
              </w:rPr>
              <w:t>4.50pm</w:t>
            </w:r>
          </w:p>
        </w:tc>
        <w:tc>
          <w:tcPr>
            <w:tcW w:w="4555" w:type="dxa"/>
          </w:tcPr>
          <w:p w14:paraId="76320937" w14:textId="77777777" w:rsidR="00A23400" w:rsidRPr="00835300" w:rsidRDefault="00A2340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90909"/>
                <w:szCs w:val="22"/>
              </w:rPr>
            </w:pPr>
            <w:r w:rsidRPr="00835300">
              <w:rPr>
                <w:rFonts w:eastAsia="Times New Roman"/>
                <w:b/>
                <w:bCs/>
                <w:color w:val="090909"/>
                <w:szCs w:val="22"/>
              </w:rPr>
              <w:t>Closing remarks</w:t>
            </w:r>
          </w:p>
        </w:tc>
        <w:tc>
          <w:tcPr>
            <w:tcW w:w="3046" w:type="dxa"/>
          </w:tcPr>
          <w:p w14:paraId="789889B3" w14:textId="77777777" w:rsidR="00A23400" w:rsidRPr="00835300" w:rsidRDefault="00A2340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90909"/>
                <w:szCs w:val="22"/>
              </w:rPr>
            </w:pPr>
            <w:r w:rsidRPr="00835300">
              <w:rPr>
                <w:rFonts w:eastAsia="Times New Roman"/>
                <w:color w:val="090909"/>
                <w:szCs w:val="22"/>
              </w:rPr>
              <w:t>Sunny Collings, Chief Executive, Health Quality and Safety Commission Te Tāhū Hauora</w:t>
            </w:r>
          </w:p>
        </w:tc>
      </w:tr>
      <w:tr w:rsidR="00A23400" w:rsidRPr="004846B0" w14:paraId="0C878C7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</w:tcPr>
          <w:p w14:paraId="6371FC14" w14:textId="77777777" w:rsidR="00A23400" w:rsidRPr="00835300" w:rsidRDefault="00A23400">
            <w:pPr>
              <w:spacing w:after="60"/>
              <w:rPr>
                <w:rFonts w:eastAsia="Times New Roman"/>
                <w:color w:val="090909"/>
                <w:szCs w:val="22"/>
              </w:rPr>
            </w:pPr>
            <w:r w:rsidRPr="00835300">
              <w:rPr>
                <w:szCs w:val="22"/>
              </w:rPr>
              <w:t>5.00 pm</w:t>
            </w:r>
          </w:p>
        </w:tc>
        <w:tc>
          <w:tcPr>
            <w:tcW w:w="7601" w:type="dxa"/>
            <w:gridSpan w:val="2"/>
            <w:shd w:val="clear" w:color="auto" w:fill="F2F2F2" w:themeFill="background1" w:themeFillShade="F2"/>
          </w:tcPr>
          <w:p w14:paraId="26E078D0" w14:textId="77777777" w:rsidR="00A23400" w:rsidRPr="00835300" w:rsidRDefault="00A2340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90909"/>
                <w:szCs w:val="22"/>
              </w:rPr>
            </w:pPr>
            <w:r w:rsidRPr="00835300">
              <w:rPr>
                <w:b/>
                <w:bCs/>
                <w:szCs w:val="22"/>
              </w:rPr>
              <w:t>Karakia and close</w:t>
            </w:r>
          </w:p>
        </w:tc>
      </w:tr>
    </w:tbl>
    <w:p w14:paraId="6DAE7C22" w14:textId="77777777" w:rsidR="00700A6D" w:rsidRDefault="00700A6D" w:rsidP="00F85E0E">
      <w:pPr>
        <w:pStyle w:val="HQSCbodytext"/>
      </w:pPr>
    </w:p>
    <w:p w14:paraId="01B37D6F" w14:textId="3F51FF8D" w:rsidR="00700A6D" w:rsidRPr="004846B0" w:rsidRDefault="00F85E0E" w:rsidP="00F85E0E">
      <w:pPr>
        <w:pStyle w:val="HQSCbodytext"/>
      </w:pPr>
      <w:r w:rsidRPr="00052E86">
        <w:lastRenderedPageBreak/>
        <w:t xml:space="preserve">Published </w:t>
      </w:r>
      <w:proofErr w:type="gramStart"/>
      <w:r w:rsidR="00D71F07">
        <w:t>December,</w:t>
      </w:r>
      <w:proofErr w:type="gramEnd"/>
      <w:r w:rsidR="00D71F07">
        <w:t xml:space="preserve"> 2025</w:t>
      </w:r>
      <w:r>
        <w:t xml:space="preserve"> by Health Quality &amp; Safety Commission Te Tāhū Hauora, PO Box 25496, Wellington, 6146. </w:t>
      </w:r>
      <w:r w:rsidRPr="00052E86">
        <w:t xml:space="preserve">Available online at </w:t>
      </w:r>
      <w:hyperlink r:id="rId16" w:history="1">
        <w:r w:rsidRPr="00052E86">
          <w:rPr>
            <w:rStyle w:val="Hyperlink"/>
          </w:rPr>
          <w:t>www.hqsc.govt.nz</w:t>
        </w:r>
      </w:hyperlink>
      <w:r>
        <w:t>.</w:t>
      </w:r>
      <w:r>
        <w:rPr>
          <w:rStyle w:val="Hyperlink"/>
        </w:rPr>
        <w:t xml:space="preserve"> </w:t>
      </w:r>
      <w:r w:rsidRPr="00052E86">
        <w:t xml:space="preserve">Enquiries to: </w:t>
      </w:r>
      <w:hyperlink r:id="rId17" w:history="1">
        <w:r w:rsidRPr="00A45102">
          <w:rPr>
            <w:rStyle w:val="Hyperlink"/>
          </w:rPr>
          <w:t>info@hqsc.govt.nz</w:t>
        </w:r>
      </w:hyperlink>
    </w:p>
    <w:sectPr w:rsidR="00700A6D" w:rsidRPr="004846B0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5EDB7" w14:textId="77777777" w:rsidR="003E5799" w:rsidRDefault="003E5799" w:rsidP="003C45E1">
      <w:pPr>
        <w:spacing w:after="0" w:line="240" w:lineRule="auto"/>
      </w:pPr>
      <w:r>
        <w:separator/>
      </w:r>
    </w:p>
  </w:endnote>
  <w:endnote w:type="continuationSeparator" w:id="0">
    <w:p w14:paraId="65C9ABF7" w14:textId="77777777" w:rsidR="003E5799" w:rsidRDefault="003E5799" w:rsidP="003C4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860358055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F757B79" w14:textId="1374DD3E" w:rsidR="004907D7" w:rsidRPr="004A752B" w:rsidRDefault="2766FB3E" w:rsidP="6B193530">
            <w:pPr>
              <w:pStyle w:val="Footer"/>
              <w:spacing w:after="120" w:line="276" w:lineRule="auto"/>
              <w:rPr>
                <w:sz w:val="20"/>
                <w:szCs w:val="20"/>
              </w:rPr>
            </w:pPr>
            <w:r w:rsidRPr="2766FB3E">
              <w:rPr>
                <w:sz w:val="20"/>
                <w:szCs w:val="20"/>
              </w:rPr>
              <w:t xml:space="preserve">Ō </w:t>
            </w:r>
            <w:proofErr w:type="spellStart"/>
            <w:r w:rsidRPr="2766FB3E">
              <w:rPr>
                <w:sz w:val="20"/>
                <w:szCs w:val="20"/>
              </w:rPr>
              <w:t>Mātou</w:t>
            </w:r>
            <w:proofErr w:type="spellEnd"/>
            <w:r w:rsidRPr="2766FB3E">
              <w:rPr>
                <w:sz w:val="20"/>
                <w:szCs w:val="20"/>
              </w:rPr>
              <w:t xml:space="preserve"> Reo: Our Voices 2025 attendee evaluation report</w:t>
            </w:r>
            <w:r w:rsidR="009048A2">
              <w:rPr>
                <w:sz w:val="20"/>
                <w:szCs w:val="20"/>
              </w:rPr>
              <w:tab/>
              <w:t xml:space="preserve"> </w:t>
            </w:r>
            <w:r w:rsidR="004A752B" w:rsidRPr="6B193530">
              <w:rPr>
                <w:noProof/>
                <w:sz w:val="20"/>
                <w:szCs w:val="20"/>
              </w:rPr>
              <w:fldChar w:fldCharType="begin"/>
            </w:r>
            <w:r w:rsidR="004A752B" w:rsidRPr="6B193530">
              <w:rPr>
                <w:sz w:val="20"/>
                <w:szCs w:val="20"/>
              </w:rPr>
              <w:instrText xml:space="preserve"> PAGE </w:instrText>
            </w:r>
            <w:r w:rsidR="004A752B" w:rsidRPr="6B193530">
              <w:rPr>
                <w:sz w:val="20"/>
                <w:szCs w:val="20"/>
              </w:rPr>
              <w:fldChar w:fldCharType="separate"/>
            </w:r>
            <w:r w:rsidR="6B193530" w:rsidRPr="6B193530">
              <w:rPr>
                <w:noProof/>
                <w:sz w:val="20"/>
                <w:szCs w:val="20"/>
              </w:rPr>
              <w:t>2</w:t>
            </w:r>
            <w:r w:rsidR="004A752B" w:rsidRPr="6B193530">
              <w:rPr>
                <w:noProof/>
                <w:sz w:val="20"/>
                <w:szCs w:val="20"/>
              </w:rPr>
              <w:fldChar w:fldCharType="end"/>
            </w:r>
            <w:r w:rsidR="6B193530" w:rsidRPr="6B193530">
              <w:rPr>
                <w:sz w:val="20"/>
                <w:szCs w:val="20"/>
              </w:rPr>
              <w:t xml:space="preserve"> of </w:t>
            </w:r>
            <w:r w:rsidR="004A752B" w:rsidRPr="6B193530">
              <w:rPr>
                <w:noProof/>
                <w:sz w:val="20"/>
                <w:szCs w:val="20"/>
              </w:rPr>
              <w:fldChar w:fldCharType="begin"/>
            </w:r>
            <w:r w:rsidR="004A752B" w:rsidRPr="6B193530">
              <w:rPr>
                <w:sz w:val="20"/>
                <w:szCs w:val="20"/>
              </w:rPr>
              <w:instrText xml:space="preserve"> NUMPAGES  </w:instrText>
            </w:r>
            <w:r w:rsidR="004A752B" w:rsidRPr="6B193530">
              <w:rPr>
                <w:sz w:val="20"/>
                <w:szCs w:val="20"/>
              </w:rPr>
              <w:fldChar w:fldCharType="separate"/>
            </w:r>
            <w:r w:rsidR="6B193530" w:rsidRPr="6B193530">
              <w:rPr>
                <w:noProof/>
                <w:sz w:val="20"/>
                <w:szCs w:val="20"/>
              </w:rPr>
              <w:t>2</w:t>
            </w:r>
            <w:r w:rsidR="004A752B" w:rsidRPr="6B193530">
              <w:rPr>
                <w:noProof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59202" w14:textId="77777777" w:rsidR="003E5799" w:rsidRDefault="003E5799" w:rsidP="003C45E1">
      <w:pPr>
        <w:spacing w:after="0" w:line="240" w:lineRule="auto"/>
      </w:pPr>
      <w:r>
        <w:separator/>
      </w:r>
    </w:p>
  </w:footnote>
  <w:footnote w:type="continuationSeparator" w:id="0">
    <w:p w14:paraId="7971C362" w14:textId="77777777" w:rsidR="003E5799" w:rsidRDefault="003E5799" w:rsidP="003C4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48A0D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D554B7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134035"/>
    <w:multiLevelType w:val="multilevel"/>
    <w:tmpl w:val="2090BD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53561FD"/>
    <w:multiLevelType w:val="hybridMultilevel"/>
    <w:tmpl w:val="F98AB65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73933"/>
    <w:multiLevelType w:val="hybridMultilevel"/>
    <w:tmpl w:val="0FD82E44"/>
    <w:lvl w:ilvl="0" w:tplc="1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A90D44"/>
    <w:multiLevelType w:val="hybridMultilevel"/>
    <w:tmpl w:val="F808FC2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87844"/>
    <w:multiLevelType w:val="hybridMultilevel"/>
    <w:tmpl w:val="7C86928C"/>
    <w:lvl w:ilvl="0" w:tplc="6CB282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906E0"/>
    <w:multiLevelType w:val="hybridMultilevel"/>
    <w:tmpl w:val="E6D63B6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E3E3A"/>
    <w:multiLevelType w:val="hybridMultilevel"/>
    <w:tmpl w:val="D74617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58454B"/>
    <w:multiLevelType w:val="hybridMultilevel"/>
    <w:tmpl w:val="2BEA10B4"/>
    <w:lvl w:ilvl="0" w:tplc="140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3E361D1"/>
    <w:multiLevelType w:val="hybridMultilevel"/>
    <w:tmpl w:val="390AAC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7CD3DE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9109C"/>
    <w:multiLevelType w:val="hybridMultilevel"/>
    <w:tmpl w:val="CC4AF280"/>
    <w:styleLink w:val="Dash"/>
    <w:lvl w:ilvl="0" w:tplc="A5D216C6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64A48DA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8FA2A36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B002358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DD21FE0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C70F854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8B05962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8A4DEF6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E442160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41360167"/>
    <w:multiLevelType w:val="hybridMultilevel"/>
    <w:tmpl w:val="9A900A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41FA8"/>
    <w:multiLevelType w:val="hybridMultilevel"/>
    <w:tmpl w:val="7398F3AC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B4637"/>
    <w:multiLevelType w:val="hybridMultilevel"/>
    <w:tmpl w:val="DC24D8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74499"/>
    <w:multiLevelType w:val="hybridMultilevel"/>
    <w:tmpl w:val="B17674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758FD"/>
    <w:multiLevelType w:val="multilevel"/>
    <w:tmpl w:val="2090BD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501453E9"/>
    <w:multiLevelType w:val="hybridMultilevel"/>
    <w:tmpl w:val="D42E7B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A0759"/>
    <w:multiLevelType w:val="hybridMultilevel"/>
    <w:tmpl w:val="345AC78A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8265C"/>
    <w:multiLevelType w:val="hybridMultilevel"/>
    <w:tmpl w:val="DB60834A"/>
    <w:lvl w:ilvl="0" w:tplc="1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991FA4"/>
    <w:multiLevelType w:val="hybridMultilevel"/>
    <w:tmpl w:val="FFFC2D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30230B"/>
    <w:multiLevelType w:val="hybridMultilevel"/>
    <w:tmpl w:val="50AC4CE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03831"/>
    <w:multiLevelType w:val="hybridMultilevel"/>
    <w:tmpl w:val="E80EE0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7B2711"/>
    <w:multiLevelType w:val="hybridMultilevel"/>
    <w:tmpl w:val="04D838B4"/>
    <w:lvl w:ilvl="0" w:tplc="1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CF5ACB"/>
    <w:multiLevelType w:val="hybridMultilevel"/>
    <w:tmpl w:val="B17420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C3B95"/>
    <w:multiLevelType w:val="hybridMultilevel"/>
    <w:tmpl w:val="FB6014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437056"/>
    <w:multiLevelType w:val="hybridMultilevel"/>
    <w:tmpl w:val="D35028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B6656"/>
    <w:multiLevelType w:val="hybridMultilevel"/>
    <w:tmpl w:val="600ADA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9D03B7"/>
    <w:multiLevelType w:val="hybridMultilevel"/>
    <w:tmpl w:val="613814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813112">
    <w:abstractNumId w:val="10"/>
  </w:num>
  <w:num w:numId="2" w16cid:durableId="1664695360">
    <w:abstractNumId w:val="14"/>
  </w:num>
  <w:num w:numId="3" w16cid:durableId="86075489">
    <w:abstractNumId w:val="21"/>
  </w:num>
  <w:num w:numId="4" w16cid:durableId="961226629">
    <w:abstractNumId w:val="16"/>
  </w:num>
  <w:num w:numId="5" w16cid:durableId="810247892">
    <w:abstractNumId w:val="24"/>
  </w:num>
  <w:num w:numId="6" w16cid:durableId="199098544">
    <w:abstractNumId w:val="11"/>
  </w:num>
  <w:num w:numId="7" w16cid:durableId="1829781319">
    <w:abstractNumId w:val="27"/>
  </w:num>
  <w:num w:numId="8" w16cid:durableId="534579980">
    <w:abstractNumId w:val="17"/>
  </w:num>
  <w:num w:numId="9" w16cid:durableId="1863742993">
    <w:abstractNumId w:val="8"/>
  </w:num>
  <w:num w:numId="10" w16cid:durableId="50538599">
    <w:abstractNumId w:val="7"/>
  </w:num>
  <w:num w:numId="11" w16cid:durableId="1131828693">
    <w:abstractNumId w:val="5"/>
  </w:num>
  <w:num w:numId="12" w16cid:durableId="1093433892">
    <w:abstractNumId w:val="26"/>
  </w:num>
  <w:num w:numId="13" w16cid:durableId="272787516">
    <w:abstractNumId w:val="25"/>
  </w:num>
  <w:num w:numId="14" w16cid:durableId="1390617373">
    <w:abstractNumId w:val="6"/>
  </w:num>
  <w:num w:numId="15" w16cid:durableId="761143986">
    <w:abstractNumId w:val="2"/>
  </w:num>
  <w:num w:numId="16" w16cid:durableId="1515728625">
    <w:abstractNumId w:val="1"/>
  </w:num>
  <w:num w:numId="17" w16cid:durableId="999843847">
    <w:abstractNumId w:val="0"/>
  </w:num>
  <w:num w:numId="18" w16cid:durableId="1301568591">
    <w:abstractNumId w:val="0"/>
    <w:lvlOverride w:ilvl="0">
      <w:startOverride w:val="1"/>
    </w:lvlOverride>
  </w:num>
  <w:num w:numId="19" w16cid:durableId="363408749">
    <w:abstractNumId w:val="20"/>
  </w:num>
  <w:num w:numId="20" w16cid:durableId="1905990889">
    <w:abstractNumId w:val="19"/>
  </w:num>
  <w:num w:numId="21" w16cid:durableId="637616101">
    <w:abstractNumId w:val="23"/>
  </w:num>
  <w:num w:numId="22" w16cid:durableId="1704984712">
    <w:abstractNumId w:val="4"/>
  </w:num>
  <w:num w:numId="23" w16cid:durableId="1611620285">
    <w:abstractNumId w:val="9"/>
  </w:num>
  <w:num w:numId="24" w16cid:durableId="482770760">
    <w:abstractNumId w:val="18"/>
  </w:num>
  <w:num w:numId="25" w16cid:durableId="1195507829">
    <w:abstractNumId w:val="13"/>
  </w:num>
  <w:num w:numId="26" w16cid:durableId="1788617494">
    <w:abstractNumId w:val="12"/>
  </w:num>
  <w:num w:numId="27" w16cid:durableId="56557939">
    <w:abstractNumId w:val="15"/>
  </w:num>
  <w:num w:numId="28" w16cid:durableId="122432573">
    <w:abstractNumId w:val="22"/>
  </w:num>
  <w:num w:numId="29" w16cid:durableId="1847984824">
    <w:abstractNumId w:val="3"/>
  </w:num>
  <w:num w:numId="30" w16cid:durableId="1978610510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A5"/>
    <w:rsid w:val="00000224"/>
    <w:rsid w:val="00000973"/>
    <w:rsid w:val="0000310F"/>
    <w:rsid w:val="00003978"/>
    <w:rsid w:val="00005986"/>
    <w:rsid w:val="000072B5"/>
    <w:rsid w:val="00012CD3"/>
    <w:rsid w:val="00014BDF"/>
    <w:rsid w:val="000154D5"/>
    <w:rsid w:val="00015F44"/>
    <w:rsid w:val="00017216"/>
    <w:rsid w:val="00021A1A"/>
    <w:rsid w:val="000235D4"/>
    <w:rsid w:val="000257D7"/>
    <w:rsid w:val="00026401"/>
    <w:rsid w:val="00027B48"/>
    <w:rsid w:val="00030D8C"/>
    <w:rsid w:val="00031979"/>
    <w:rsid w:val="00032619"/>
    <w:rsid w:val="00043083"/>
    <w:rsid w:val="00045053"/>
    <w:rsid w:val="00051C4D"/>
    <w:rsid w:val="00051CC0"/>
    <w:rsid w:val="0005287A"/>
    <w:rsid w:val="00052B4C"/>
    <w:rsid w:val="00054517"/>
    <w:rsid w:val="0005504C"/>
    <w:rsid w:val="00055685"/>
    <w:rsid w:val="00057F11"/>
    <w:rsid w:val="00062B82"/>
    <w:rsid w:val="00064CFD"/>
    <w:rsid w:val="00064EBE"/>
    <w:rsid w:val="00067C54"/>
    <w:rsid w:val="00067C71"/>
    <w:rsid w:val="00067DD8"/>
    <w:rsid w:val="000703C1"/>
    <w:rsid w:val="00071CE6"/>
    <w:rsid w:val="00072B90"/>
    <w:rsid w:val="000751EF"/>
    <w:rsid w:val="00077897"/>
    <w:rsid w:val="00081524"/>
    <w:rsid w:val="00081E3B"/>
    <w:rsid w:val="00083C26"/>
    <w:rsid w:val="00084B8C"/>
    <w:rsid w:val="0008726B"/>
    <w:rsid w:val="00091C3C"/>
    <w:rsid w:val="00092A37"/>
    <w:rsid w:val="00096C19"/>
    <w:rsid w:val="000A395F"/>
    <w:rsid w:val="000A53FD"/>
    <w:rsid w:val="000A5622"/>
    <w:rsid w:val="000B111C"/>
    <w:rsid w:val="000B765F"/>
    <w:rsid w:val="000C1227"/>
    <w:rsid w:val="000C2BD7"/>
    <w:rsid w:val="000C71F5"/>
    <w:rsid w:val="000D4CD1"/>
    <w:rsid w:val="000D7E4B"/>
    <w:rsid w:val="000E3F31"/>
    <w:rsid w:val="000E5B30"/>
    <w:rsid w:val="000F083C"/>
    <w:rsid w:val="000F32D0"/>
    <w:rsid w:val="000F3AF0"/>
    <w:rsid w:val="000F6766"/>
    <w:rsid w:val="000F7471"/>
    <w:rsid w:val="00101038"/>
    <w:rsid w:val="00101302"/>
    <w:rsid w:val="001013A2"/>
    <w:rsid w:val="00102C55"/>
    <w:rsid w:val="00104BBC"/>
    <w:rsid w:val="00105E23"/>
    <w:rsid w:val="00106ECE"/>
    <w:rsid w:val="001111D6"/>
    <w:rsid w:val="001123E1"/>
    <w:rsid w:val="00115489"/>
    <w:rsid w:val="00115AEB"/>
    <w:rsid w:val="00121DBC"/>
    <w:rsid w:val="001249E2"/>
    <w:rsid w:val="00124E94"/>
    <w:rsid w:val="001251BD"/>
    <w:rsid w:val="00125A76"/>
    <w:rsid w:val="001304B4"/>
    <w:rsid w:val="001306A1"/>
    <w:rsid w:val="0013118C"/>
    <w:rsid w:val="00131595"/>
    <w:rsid w:val="001318B6"/>
    <w:rsid w:val="00131E3D"/>
    <w:rsid w:val="00133F6A"/>
    <w:rsid w:val="00134F5C"/>
    <w:rsid w:val="001378CA"/>
    <w:rsid w:val="00140AAC"/>
    <w:rsid w:val="001418D8"/>
    <w:rsid w:val="00143651"/>
    <w:rsid w:val="00147145"/>
    <w:rsid w:val="00150EC1"/>
    <w:rsid w:val="00150EE7"/>
    <w:rsid w:val="00150F2F"/>
    <w:rsid w:val="001511A1"/>
    <w:rsid w:val="001526CC"/>
    <w:rsid w:val="00153C73"/>
    <w:rsid w:val="001545A2"/>
    <w:rsid w:val="00154BBA"/>
    <w:rsid w:val="0016320C"/>
    <w:rsid w:val="001639FA"/>
    <w:rsid w:val="00164036"/>
    <w:rsid w:val="00165B6D"/>
    <w:rsid w:val="00165D05"/>
    <w:rsid w:val="0016676D"/>
    <w:rsid w:val="00166D4B"/>
    <w:rsid w:val="00173B88"/>
    <w:rsid w:val="00180176"/>
    <w:rsid w:val="00183219"/>
    <w:rsid w:val="0018377C"/>
    <w:rsid w:val="00183F98"/>
    <w:rsid w:val="001855EA"/>
    <w:rsid w:val="00185F52"/>
    <w:rsid w:val="00190E74"/>
    <w:rsid w:val="00193093"/>
    <w:rsid w:val="00193951"/>
    <w:rsid w:val="0019407B"/>
    <w:rsid w:val="001943D4"/>
    <w:rsid w:val="00194867"/>
    <w:rsid w:val="001A02AD"/>
    <w:rsid w:val="001A0899"/>
    <w:rsid w:val="001A132C"/>
    <w:rsid w:val="001A24A4"/>
    <w:rsid w:val="001A44E7"/>
    <w:rsid w:val="001A6068"/>
    <w:rsid w:val="001A643D"/>
    <w:rsid w:val="001A6553"/>
    <w:rsid w:val="001A6657"/>
    <w:rsid w:val="001B08A9"/>
    <w:rsid w:val="001B161C"/>
    <w:rsid w:val="001B4656"/>
    <w:rsid w:val="001B6AEC"/>
    <w:rsid w:val="001B77AF"/>
    <w:rsid w:val="001C031F"/>
    <w:rsid w:val="001C2409"/>
    <w:rsid w:val="001C4B64"/>
    <w:rsid w:val="001D0822"/>
    <w:rsid w:val="001D0F43"/>
    <w:rsid w:val="001D13DB"/>
    <w:rsid w:val="001D6010"/>
    <w:rsid w:val="001D6AAD"/>
    <w:rsid w:val="001E06DF"/>
    <w:rsid w:val="001E0B57"/>
    <w:rsid w:val="001E6A9F"/>
    <w:rsid w:val="001F14E1"/>
    <w:rsid w:val="001F1896"/>
    <w:rsid w:val="001F3461"/>
    <w:rsid w:val="0020107E"/>
    <w:rsid w:val="00203EA2"/>
    <w:rsid w:val="002046C4"/>
    <w:rsid w:val="00205657"/>
    <w:rsid w:val="00205AD6"/>
    <w:rsid w:val="002121B9"/>
    <w:rsid w:val="0021261B"/>
    <w:rsid w:val="002201B7"/>
    <w:rsid w:val="002201CB"/>
    <w:rsid w:val="00220A33"/>
    <w:rsid w:val="00221B0C"/>
    <w:rsid w:val="00225BC0"/>
    <w:rsid w:val="00225DAA"/>
    <w:rsid w:val="002272EE"/>
    <w:rsid w:val="0023054B"/>
    <w:rsid w:val="0023132B"/>
    <w:rsid w:val="002339EA"/>
    <w:rsid w:val="00234E5B"/>
    <w:rsid w:val="002358C1"/>
    <w:rsid w:val="002371B4"/>
    <w:rsid w:val="00237533"/>
    <w:rsid w:val="00244839"/>
    <w:rsid w:val="00244F46"/>
    <w:rsid w:val="00245178"/>
    <w:rsid w:val="0024748C"/>
    <w:rsid w:val="002514A1"/>
    <w:rsid w:val="00252B7B"/>
    <w:rsid w:val="002571DC"/>
    <w:rsid w:val="00257DA8"/>
    <w:rsid w:val="00264405"/>
    <w:rsid w:val="002665C5"/>
    <w:rsid w:val="0027152B"/>
    <w:rsid w:val="00272AA4"/>
    <w:rsid w:val="002748DD"/>
    <w:rsid w:val="00281B52"/>
    <w:rsid w:val="0028256B"/>
    <w:rsid w:val="0028518E"/>
    <w:rsid w:val="00287D53"/>
    <w:rsid w:val="0029029C"/>
    <w:rsid w:val="00291E66"/>
    <w:rsid w:val="0029676C"/>
    <w:rsid w:val="002969D8"/>
    <w:rsid w:val="00297582"/>
    <w:rsid w:val="00297676"/>
    <w:rsid w:val="00297B4B"/>
    <w:rsid w:val="00297DA1"/>
    <w:rsid w:val="002A55C9"/>
    <w:rsid w:val="002B3B54"/>
    <w:rsid w:val="002B4CFD"/>
    <w:rsid w:val="002B4FF6"/>
    <w:rsid w:val="002C04BA"/>
    <w:rsid w:val="002D111A"/>
    <w:rsid w:val="002D22C7"/>
    <w:rsid w:val="002D3ADB"/>
    <w:rsid w:val="002E1666"/>
    <w:rsid w:val="002E2CCF"/>
    <w:rsid w:val="002E547C"/>
    <w:rsid w:val="002E7831"/>
    <w:rsid w:val="002F617D"/>
    <w:rsid w:val="002F6704"/>
    <w:rsid w:val="00300830"/>
    <w:rsid w:val="0030109F"/>
    <w:rsid w:val="00301AB6"/>
    <w:rsid w:val="00303EF1"/>
    <w:rsid w:val="00310A90"/>
    <w:rsid w:val="00323C56"/>
    <w:rsid w:val="00325C11"/>
    <w:rsid w:val="00325C87"/>
    <w:rsid w:val="00331D2C"/>
    <w:rsid w:val="003362F8"/>
    <w:rsid w:val="00336DF8"/>
    <w:rsid w:val="00336E70"/>
    <w:rsid w:val="00340841"/>
    <w:rsid w:val="00341194"/>
    <w:rsid w:val="0034255E"/>
    <w:rsid w:val="003451B3"/>
    <w:rsid w:val="00345201"/>
    <w:rsid w:val="00345ACC"/>
    <w:rsid w:val="003470AA"/>
    <w:rsid w:val="00350934"/>
    <w:rsid w:val="00351589"/>
    <w:rsid w:val="003537B3"/>
    <w:rsid w:val="003557A9"/>
    <w:rsid w:val="003558C2"/>
    <w:rsid w:val="00356319"/>
    <w:rsid w:val="00356454"/>
    <w:rsid w:val="0035680A"/>
    <w:rsid w:val="00360B8E"/>
    <w:rsid w:val="00360D18"/>
    <w:rsid w:val="0036225A"/>
    <w:rsid w:val="00363F3B"/>
    <w:rsid w:val="00370C0F"/>
    <w:rsid w:val="003720D9"/>
    <w:rsid w:val="00372989"/>
    <w:rsid w:val="00374EB2"/>
    <w:rsid w:val="003751B1"/>
    <w:rsid w:val="00375BB2"/>
    <w:rsid w:val="00380044"/>
    <w:rsid w:val="0038042C"/>
    <w:rsid w:val="003835EB"/>
    <w:rsid w:val="00386712"/>
    <w:rsid w:val="00386774"/>
    <w:rsid w:val="00386C9E"/>
    <w:rsid w:val="003902B2"/>
    <w:rsid w:val="00390A08"/>
    <w:rsid w:val="00392C96"/>
    <w:rsid w:val="00393170"/>
    <w:rsid w:val="00394374"/>
    <w:rsid w:val="003A1838"/>
    <w:rsid w:val="003A2DD2"/>
    <w:rsid w:val="003A3D1C"/>
    <w:rsid w:val="003A606A"/>
    <w:rsid w:val="003A76AB"/>
    <w:rsid w:val="003B13D7"/>
    <w:rsid w:val="003B2535"/>
    <w:rsid w:val="003B47E4"/>
    <w:rsid w:val="003B6C8D"/>
    <w:rsid w:val="003B784D"/>
    <w:rsid w:val="003C45E1"/>
    <w:rsid w:val="003C597F"/>
    <w:rsid w:val="003C6280"/>
    <w:rsid w:val="003D19E6"/>
    <w:rsid w:val="003D2230"/>
    <w:rsid w:val="003D3588"/>
    <w:rsid w:val="003D60ED"/>
    <w:rsid w:val="003D66DA"/>
    <w:rsid w:val="003D6844"/>
    <w:rsid w:val="003E1978"/>
    <w:rsid w:val="003E2238"/>
    <w:rsid w:val="003E2290"/>
    <w:rsid w:val="003E38E3"/>
    <w:rsid w:val="003E52D6"/>
    <w:rsid w:val="003E5799"/>
    <w:rsid w:val="003F0791"/>
    <w:rsid w:val="003F1E78"/>
    <w:rsid w:val="003F330A"/>
    <w:rsid w:val="003F5A26"/>
    <w:rsid w:val="00402A50"/>
    <w:rsid w:val="00402AB9"/>
    <w:rsid w:val="00404973"/>
    <w:rsid w:val="0040657D"/>
    <w:rsid w:val="00406BC0"/>
    <w:rsid w:val="00406DCF"/>
    <w:rsid w:val="00407CA8"/>
    <w:rsid w:val="00410D2D"/>
    <w:rsid w:val="004114BA"/>
    <w:rsid w:val="00411BBC"/>
    <w:rsid w:val="00416629"/>
    <w:rsid w:val="004201E0"/>
    <w:rsid w:val="00421BBA"/>
    <w:rsid w:val="004241B9"/>
    <w:rsid w:val="004258F9"/>
    <w:rsid w:val="00425AA0"/>
    <w:rsid w:val="004310C0"/>
    <w:rsid w:val="00432DE0"/>
    <w:rsid w:val="00433D6F"/>
    <w:rsid w:val="004363F2"/>
    <w:rsid w:val="0043743D"/>
    <w:rsid w:val="00442819"/>
    <w:rsid w:val="00442889"/>
    <w:rsid w:val="004458DE"/>
    <w:rsid w:val="004466EF"/>
    <w:rsid w:val="00447327"/>
    <w:rsid w:val="0045000E"/>
    <w:rsid w:val="00451A17"/>
    <w:rsid w:val="004553D1"/>
    <w:rsid w:val="0045730F"/>
    <w:rsid w:val="00461A9A"/>
    <w:rsid w:val="00461AE6"/>
    <w:rsid w:val="004624C1"/>
    <w:rsid w:val="00462D7A"/>
    <w:rsid w:val="004639D3"/>
    <w:rsid w:val="00470861"/>
    <w:rsid w:val="0047638D"/>
    <w:rsid w:val="0047654C"/>
    <w:rsid w:val="0048020E"/>
    <w:rsid w:val="0048247F"/>
    <w:rsid w:val="004846B0"/>
    <w:rsid w:val="004857E1"/>
    <w:rsid w:val="004863EB"/>
    <w:rsid w:val="004907D7"/>
    <w:rsid w:val="004917EC"/>
    <w:rsid w:val="004947A0"/>
    <w:rsid w:val="004964C6"/>
    <w:rsid w:val="0049681B"/>
    <w:rsid w:val="004968AD"/>
    <w:rsid w:val="004A0DE8"/>
    <w:rsid w:val="004A182F"/>
    <w:rsid w:val="004A1ACA"/>
    <w:rsid w:val="004A1E32"/>
    <w:rsid w:val="004A4063"/>
    <w:rsid w:val="004A54CE"/>
    <w:rsid w:val="004A6075"/>
    <w:rsid w:val="004A752B"/>
    <w:rsid w:val="004B0E7D"/>
    <w:rsid w:val="004B387A"/>
    <w:rsid w:val="004B7369"/>
    <w:rsid w:val="004B7CE3"/>
    <w:rsid w:val="004C1C68"/>
    <w:rsid w:val="004C24CF"/>
    <w:rsid w:val="004C36F9"/>
    <w:rsid w:val="004C6CC9"/>
    <w:rsid w:val="004D0AD0"/>
    <w:rsid w:val="004D123A"/>
    <w:rsid w:val="004D3FDB"/>
    <w:rsid w:val="004D441C"/>
    <w:rsid w:val="004D6696"/>
    <w:rsid w:val="004E0317"/>
    <w:rsid w:val="004E04D9"/>
    <w:rsid w:val="004E1DD4"/>
    <w:rsid w:val="004E4BE9"/>
    <w:rsid w:val="004E65B3"/>
    <w:rsid w:val="004E6CE7"/>
    <w:rsid w:val="004F0CFB"/>
    <w:rsid w:val="004F0FC6"/>
    <w:rsid w:val="004F4898"/>
    <w:rsid w:val="004F6329"/>
    <w:rsid w:val="004F6871"/>
    <w:rsid w:val="004F6951"/>
    <w:rsid w:val="00502263"/>
    <w:rsid w:val="005025A1"/>
    <w:rsid w:val="00505999"/>
    <w:rsid w:val="0051488D"/>
    <w:rsid w:val="005166FD"/>
    <w:rsid w:val="0052409E"/>
    <w:rsid w:val="005240E9"/>
    <w:rsid w:val="005267A2"/>
    <w:rsid w:val="00530F66"/>
    <w:rsid w:val="00533F38"/>
    <w:rsid w:val="005351ED"/>
    <w:rsid w:val="005369FF"/>
    <w:rsid w:val="00540003"/>
    <w:rsid w:val="00540A5B"/>
    <w:rsid w:val="00543C6F"/>
    <w:rsid w:val="00551DD8"/>
    <w:rsid w:val="005557C1"/>
    <w:rsid w:val="00555C13"/>
    <w:rsid w:val="00557462"/>
    <w:rsid w:val="005577A9"/>
    <w:rsid w:val="00560875"/>
    <w:rsid w:val="00560D63"/>
    <w:rsid w:val="00561028"/>
    <w:rsid w:val="00565D5A"/>
    <w:rsid w:val="00566A3D"/>
    <w:rsid w:val="005678BB"/>
    <w:rsid w:val="005709A6"/>
    <w:rsid w:val="0057155C"/>
    <w:rsid w:val="00571619"/>
    <w:rsid w:val="00572C53"/>
    <w:rsid w:val="005772F0"/>
    <w:rsid w:val="0058070B"/>
    <w:rsid w:val="00580F29"/>
    <w:rsid w:val="005820DB"/>
    <w:rsid w:val="005825AC"/>
    <w:rsid w:val="0058260A"/>
    <w:rsid w:val="0058455D"/>
    <w:rsid w:val="00584623"/>
    <w:rsid w:val="00584CD8"/>
    <w:rsid w:val="005856F1"/>
    <w:rsid w:val="005858BD"/>
    <w:rsid w:val="00594523"/>
    <w:rsid w:val="005A5366"/>
    <w:rsid w:val="005A5B29"/>
    <w:rsid w:val="005A6D47"/>
    <w:rsid w:val="005B033F"/>
    <w:rsid w:val="005B3376"/>
    <w:rsid w:val="005B59BC"/>
    <w:rsid w:val="005B68AE"/>
    <w:rsid w:val="005B7C03"/>
    <w:rsid w:val="005C3FA1"/>
    <w:rsid w:val="005C48F2"/>
    <w:rsid w:val="005C4DDE"/>
    <w:rsid w:val="005D3284"/>
    <w:rsid w:val="005D3787"/>
    <w:rsid w:val="005D689B"/>
    <w:rsid w:val="005D736C"/>
    <w:rsid w:val="005D7AEC"/>
    <w:rsid w:val="005E1C29"/>
    <w:rsid w:val="005E3A56"/>
    <w:rsid w:val="005E4CCE"/>
    <w:rsid w:val="005F0345"/>
    <w:rsid w:val="005F2B44"/>
    <w:rsid w:val="005F4F38"/>
    <w:rsid w:val="005F5F15"/>
    <w:rsid w:val="006012F0"/>
    <w:rsid w:val="00606E99"/>
    <w:rsid w:val="00610563"/>
    <w:rsid w:val="006107EF"/>
    <w:rsid w:val="00610F2E"/>
    <w:rsid w:val="00613A3A"/>
    <w:rsid w:val="00615DBF"/>
    <w:rsid w:val="00620847"/>
    <w:rsid w:val="0062151E"/>
    <w:rsid w:val="0062308A"/>
    <w:rsid w:val="00627AF9"/>
    <w:rsid w:val="00630927"/>
    <w:rsid w:val="00630A1A"/>
    <w:rsid w:val="00632295"/>
    <w:rsid w:val="00632461"/>
    <w:rsid w:val="00635718"/>
    <w:rsid w:val="00635F6B"/>
    <w:rsid w:val="00640803"/>
    <w:rsid w:val="00640F2D"/>
    <w:rsid w:val="00641AC2"/>
    <w:rsid w:val="00645914"/>
    <w:rsid w:val="006469DF"/>
    <w:rsid w:val="00646AB1"/>
    <w:rsid w:val="006501CA"/>
    <w:rsid w:val="00651EE8"/>
    <w:rsid w:val="00652552"/>
    <w:rsid w:val="00652E45"/>
    <w:rsid w:val="0065374E"/>
    <w:rsid w:val="0065535B"/>
    <w:rsid w:val="00656806"/>
    <w:rsid w:val="00656AA1"/>
    <w:rsid w:val="00662414"/>
    <w:rsid w:val="00662F45"/>
    <w:rsid w:val="00663133"/>
    <w:rsid w:val="006647BF"/>
    <w:rsid w:val="006657D7"/>
    <w:rsid w:val="00665D22"/>
    <w:rsid w:val="00666274"/>
    <w:rsid w:val="00666CEE"/>
    <w:rsid w:val="00667DD9"/>
    <w:rsid w:val="006701A2"/>
    <w:rsid w:val="00672126"/>
    <w:rsid w:val="0067432D"/>
    <w:rsid w:val="0067534A"/>
    <w:rsid w:val="00675B7E"/>
    <w:rsid w:val="00676EF8"/>
    <w:rsid w:val="006777BE"/>
    <w:rsid w:val="00677DF6"/>
    <w:rsid w:val="00680240"/>
    <w:rsid w:val="00681781"/>
    <w:rsid w:val="006821D2"/>
    <w:rsid w:val="006838BC"/>
    <w:rsid w:val="0068435B"/>
    <w:rsid w:val="00685328"/>
    <w:rsid w:val="0069060A"/>
    <w:rsid w:val="006907DA"/>
    <w:rsid w:val="00691F5B"/>
    <w:rsid w:val="00695C2D"/>
    <w:rsid w:val="00696DEB"/>
    <w:rsid w:val="00697C79"/>
    <w:rsid w:val="006A3910"/>
    <w:rsid w:val="006A473A"/>
    <w:rsid w:val="006A485D"/>
    <w:rsid w:val="006A4E3B"/>
    <w:rsid w:val="006A5DFC"/>
    <w:rsid w:val="006A6F8D"/>
    <w:rsid w:val="006A7E69"/>
    <w:rsid w:val="006A7EE1"/>
    <w:rsid w:val="006B1EDE"/>
    <w:rsid w:val="006B2491"/>
    <w:rsid w:val="006B2F4A"/>
    <w:rsid w:val="006B4B65"/>
    <w:rsid w:val="006B4E4A"/>
    <w:rsid w:val="006B5450"/>
    <w:rsid w:val="006B6789"/>
    <w:rsid w:val="006B7508"/>
    <w:rsid w:val="006C5435"/>
    <w:rsid w:val="006C6809"/>
    <w:rsid w:val="006D0434"/>
    <w:rsid w:val="006D1081"/>
    <w:rsid w:val="006D19C9"/>
    <w:rsid w:val="006D2995"/>
    <w:rsid w:val="006D2CCB"/>
    <w:rsid w:val="006D341B"/>
    <w:rsid w:val="006D3D27"/>
    <w:rsid w:val="006D4188"/>
    <w:rsid w:val="006D4BD1"/>
    <w:rsid w:val="006D666D"/>
    <w:rsid w:val="006E00EE"/>
    <w:rsid w:val="006E0CBC"/>
    <w:rsid w:val="006E0E04"/>
    <w:rsid w:val="006E0FFF"/>
    <w:rsid w:val="006E1EC2"/>
    <w:rsid w:val="006E3D7B"/>
    <w:rsid w:val="006E4525"/>
    <w:rsid w:val="006E48AF"/>
    <w:rsid w:val="006E5039"/>
    <w:rsid w:val="006E5AE4"/>
    <w:rsid w:val="006E6E1A"/>
    <w:rsid w:val="006E706A"/>
    <w:rsid w:val="006E72F9"/>
    <w:rsid w:val="006F4F4B"/>
    <w:rsid w:val="00700A6D"/>
    <w:rsid w:val="00701C73"/>
    <w:rsid w:val="00702438"/>
    <w:rsid w:val="007025F4"/>
    <w:rsid w:val="00703375"/>
    <w:rsid w:val="00707E7B"/>
    <w:rsid w:val="00716634"/>
    <w:rsid w:val="00722C09"/>
    <w:rsid w:val="007248A2"/>
    <w:rsid w:val="00732FBC"/>
    <w:rsid w:val="007347F0"/>
    <w:rsid w:val="007351D5"/>
    <w:rsid w:val="00737AA0"/>
    <w:rsid w:val="00740542"/>
    <w:rsid w:val="007415A2"/>
    <w:rsid w:val="007428F9"/>
    <w:rsid w:val="007467F8"/>
    <w:rsid w:val="00747C5F"/>
    <w:rsid w:val="00752144"/>
    <w:rsid w:val="00757FD8"/>
    <w:rsid w:val="00760894"/>
    <w:rsid w:val="00762438"/>
    <w:rsid w:val="00763715"/>
    <w:rsid w:val="00764327"/>
    <w:rsid w:val="00764E9F"/>
    <w:rsid w:val="007653D8"/>
    <w:rsid w:val="00770D2E"/>
    <w:rsid w:val="007716E9"/>
    <w:rsid w:val="00771E61"/>
    <w:rsid w:val="00774054"/>
    <w:rsid w:val="007852F8"/>
    <w:rsid w:val="00786552"/>
    <w:rsid w:val="00790B45"/>
    <w:rsid w:val="007922E7"/>
    <w:rsid w:val="00792E41"/>
    <w:rsid w:val="00792E4C"/>
    <w:rsid w:val="00793E3A"/>
    <w:rsid w:val="00797213"/>
    <w:rsid w:val="007A0445"/>
    <w:rsid w:val="007A13D0"/>
    <w:rsid w:val="007A2DFA"/>
    <w:rsid w:val="007A570B"/>
    <w:rsid w:val="007A7EF3"/>
    <w:rsid w:val="007B151D"/>
    <w:rsid w:val="007B2E6E"/>
    <w:rsid w:val="007B3AB5"/>
    <w:rsid w:val="007B60C6"/>
    <w:rsid w:val="007C13AC"/>
    <w:rsid w:val="007C2BB7"/>
    <w:rsid w:val="007C2E58"/>
    <w:rsid w:val="007C3522"/>
    <w:rsid w:val="007C454E"/>
    <w:rsid w:val="007C7ED1"/>
    <w:rsid w:val="007D0459"/>
    <w:rsid w:val="007D219A"/>
    <w:rsid w:val="007D24B0"/>
    <w:rsid w:val="007D34AD"/>
    <w:rsid w:val="007D600F"/>
    <w:rsid w:val="007D7385"/>
    <w:rsid w:val="007E0634"/>
    <w:rsid w:val="007E120E"/>
    <w:rsid w:val="007E23A7"/>
    <w:rsid w:val="007E4501"/>
    <w:rsid w:val="007E5241"/>
    <w:rsid w:val="007E6454"/>
    <w:rsid w:val="007F2B3F"/>
    <w:rsid w:val="007F2D3B"/>
    <w:rsid w:val="007F2EA4"/>
    <w:rsid w:val="007F33E1"/>
    <w:rsid w:val="007F43C4"/>
    <w:rsid w:val="007F694F"/>
    <w:rsid w:val="007F7612"/>
    <w:rsid w:val="007F7876"/>
    <w:rsid w:val="007F79FC"/>
    <w:rsid w:val="00801A1F"/>
    <w:rsid w:val="0080238B"/>
    <w:rsid w:val="00802A41"/>
    <w:rsid w:val="00803339"/>
    <w:rsid w:val="008036BA"/>
    <w:rsid w:val="0080549C"/>
    <w:rsid w:val="00806A50"/>
    <w:rsid w:val="008071E1"/>
    <w:rsid w:val="00811357"/>
    <w:rsid w:val="008115CF"/>
    <w:rsid w:val="008124E0"/>
    <w:rsid w:val="008131B0"/>
    <w:rsid w:val="00813D42"/>
    <w:rsid w:val="00816A83"/>
    <w:rsid w:val="008248A9"/>
    <w:rsid w:val="00827508"/>
    <w:rsid w:val="00830C38"/>
    <w:rsid w:val="0083202F"/>
    <w:rsid w:val="008332F5"/>
    <w:rsid w:val="00833405"/>
    <w:rsid w:val="008339D8"/>
    <w:rsid w:val="00836C24"/>
    <w:rsid w:val="00841260"/>
    <w:rsid w:val="00844565"/>
    <w:rsid w:val="00845529"/>
    <w:rsid w:val="00845953"/>
    <w:rsid w:val="00845F20"/>
    <w:rsid w:val="0084633E"/>
    <w:rsid w:val="00846740"/>
    <w:rsid w:val="00846C16"/>
    <w:rsid w:val="00847E02"/>
    <w:rsid w:val="0085071D"/>
    <w:rsid w:val="00851329"/>
    <w:rsid w:val="00851905"/>
    <w:rsid w:val="0085597F"/>
    <w:rsid w:val="0085766C"/>
    <w:rsid w:val="008601B0"/>
    <w:rsid w:val="00860D20"/>
    <w:rsid w:val="00861C08"/>
    <w:rsid w:val="00865172"/>
    <w:rsid w:val="008659CA"/>
    <w:rsid w:val="0087040B"/>
    <w:rsid w:val="008739C8"/>
    <w:rsid w:val="00875747"/>
    <w:rsid w:val="00881869"/>
    <w:rsid w:val="008831E1"/>
    <w:rsid w:val="008917AD"/>
    <w:rsid w:val="008946E7"/>
    <w:rsid w:val="008960B0"/>
    <w:rsid w:val="008A3B3E"/>
    <w:rsid w:val="008A58D2"/>
    <w:rsid w:val="008A60AE"/>
    <w:rsid w:val="008A6583"/>
    <w:rsid w:val="008A68AB"/>
    <w:rsid w:val="008B0E06"/>
    <w:rsid w:val="008B4E25"/>
    <w:rsid w:val="008B7FB9"/>
    <w:rsid w:val="008C14E4"/>
    <w:rsid w:val="008C329A"/>
    <w:rsid w:val="008C4218"/>
    <w:rsid w:val="008C4411"/>
    <w:rsid w:val="008C5E97"/>
    <w:rsid w:val="008D1E6C"/>
    <w:rsid w:val="008D25BD"/>
    <w:rsid w:val="008D7ACA"/>
    <w:rsid w:val="008D7B48"/>
    <w:rsid w:val="008E1024"/>
    <w:rsid w:val="008E5A1D"/>
    <w:rsid w:val="008E60AD"/>
    <w:rsid w:val="008F0563"/>
    <w:rsid w:val="008F12DC"/>
    <w:rsid w:val="008F19F7"/>
    <w:rsid w:val="008F6B3D"/>
    <w:rsid w:val="008F6ECF"/>
    <w:rsid w:val="008F701F"/>
    <w:rsid w:val="008F749A"/>
    <w:rsid w:val="008F7E81"/>
    <w:rsid w:val="00900AFF"/>
    <w:rsid w:val="009048A2"/>
    <w:rsid w:val="009051D9"/>
    <w:rsid w:val="00905630"/>
    <w:rsid w:val="00906793"/>
    <w:rsid w:val="00911920"/>
    <w:rsid w:val="00914500"/>
    <w:rsid w:val="00915960"/>
    <w:rsid w:val="00915D2C"/>
    <w:rsid w:val="009200C0"/>
    <w:rsid w:val="0092294D"/>
    <w:rsid w:val="00923481"/>
    <w:rsid w:val="009258D9"/>
    <w:rsid w:val="00930B7A"/>
    <w:rsid w:val="00930BF3"/>
    <w:rsid w:val="00933E44"/>
    <w:rsid w:val="009350E4"/>
    <w:rsid w:val="00937189"/>
    <w:rsid w:val="0094131A"/>
    <w:rsid w:val="00944659"/>
    <w:rsid w:val="00945CC2"/>
    <w:rsid w:val="00945F63"/>
    <w:rsid w:val="00951121"/>
    <w:rsid w:val="009519D3"/>
    <w:rsid w:val="009522ED"/>
    <w:rsid w:val="00952FE6"/>
    <w:rsid w:val="009538DA"/>
    <w:rsid w:val="009566EE"/>
    <w:rsid w:val="00957A38"/>
    <w:rsid w:val="00957B9E"/>
    <w:rsid w:val="00960486"/>
    <w:rsid w:val="0096081E"/>
    <w:rsid w:val="009609C4"/>
    <w:rsid w:val="009620FA"/>
    <w:rsid w:val="00962138"/>
    <w:rsid w:val="009660EB"/>
    <w:rsid w:val="00966410"/>
    <w:rsid w:val="009727E5"/>
    <w:rsid w:val="009740A1"/>
    <w:rsid w:val="0097679C"/>
    <w:rsid w:val="00980E85"/>
    <w:rsid w:val="00984936"/>
    <w:rsid w:val="009860B1"/>
    <w:rsid w:val="00987573"/>
    <w:rsid w:val="00987D1B"/>
    <w:rsid w:val="00991FC7"/>
    <w:rsid w:val="00993CB9"/>
    <w:rsid w:val="00994889"/>
    <w:rsid w:val="00995BAE"/>
    <w:rsid w:val="009A0136"/>
    <w:rsid w:val="009A0BDB"/>
    <w:rsid w:val="009A0EF7"/>
    <w:rsid w:val="009A0EFC"/>
    <w:rsid w:val="009A15FC"/>
    <w:rsid w:val="009A270D"/>
    <w:rsid w:val="009A4476"/>
    <w:rsid w:val="009A4F53"/>
    <w:rsid w:val="009A5930"/>
    <w:rsid w:val="009A65BA"/>
    <w:rsid w:val="009A7126"/>
    <w:rsid w:val="009B0A87"/>
    <w:rsid w:val="009B1229"/>
    <w:rsid w:val="009B13AB"/>
    <w:rsid w:val="009B25F5"/>
    <w:rsid w:val="009B4E57"/>
    <w:rsid w:val="009B5C4F"/>
    <w:rsid w:val="009B60E1"/>
    <w:rsid w:val="009B6390"/>
    <w:rsid w:val="009B64BE"/>
    <w:rsid w:val="009B6DBE"/>
    <w:rsid w:val="009C107F"/>
    <w:rsid w:val="009C1104"/>
    <w:rsid w:val="009C22A0"/>
    <w:rsid w:val="009C6E7A"/>
    <w:rsid w:val="009D4AF8"/>
    <w:rsid w:val="009D4CBA"/>
    <w:rsid w:val="009D56D9"/>
    <w:rsid w:val="009D622E"/>
    <w:rsid w:val="009D79CD"/>
    <w:rsid w:val="009D7DF4"/>
    <w:rsid w:val="009E1ED9"/>
    <w:rsid w:val="009E2620"/>
    <w:rsid w:val="009E52B6"/>
    <w:rsid w:val="009E5660"/>
    <w:rsid w:val="009E6E2A"/>
    <w:rsid w:val="009E6EED"/>
    <w:rsid w:val="009F0316"/>
    <w:rsid w:val="009F4817"/>
    <w:rsid w:val="009F713A"/>
    <w:rsid w:val="00A001B1"/>
    <w:rsid w:val="00A00662"/>
    <w:rsid w:val="00A03AF2"/>
    <w:rsid w:val="00A047D7"/>
    <w:rsid w:val="00A0512B"/>
    <w:rsid w:val="00A052F6"/>
    <w:rsid w:val="00A13A94"/>
    <w:rsid w:val="00A15E7C"/>
    <w:rsid w:val="00A203DB"/>
    <w:rsid w:val="00A20550"/>
    <w:rsid w:val="00A225AF"/>
    <w:rsid w:val="00A23400"/>
    <w:rsid w:val="00A2381C"/>
    <w:rsid w:val="00A23F96"/>
    <w:rsid w:val="00A278C8"/>
    <w:rsid w:val="00A313E6"/>
    <w:rsid w:val="00A322BB"/>
    <w:rsid w:val="00A32B11"/>
    <w:rsid w:val="00A33D32"/>
    <w:rsid w:val="00A35035"/>
    <w:rsid w:val="00A36AA7"/>
    <w:rsid w:val="00A36D5F"/>
    <w:rsid w:val="00A37EAA"/>
    <w:rsid w:val="00A41608"/>
    <w:rsid w:val="00A4348A"/>
    <w:rsid w:val="00A44379"/>
    <w:rsid w:val="00A52E6A"/>
    <w:rsid w:val="00A53296"/>
    <w:rsid w:val="00A533FF"/>
    <w:rsid w:val="00A54C80"/>
    <w:rsid w:val="00A54CFC"/>
    <w:rsid w:val="00A56191"/>
    <w:rsid w:val="00A56998"/>
    <w:rsid w:val="00A57261"/>
    <w:rsid w:val="00A6040B"/>
    <w:rsid w:val="00A61E49"/>
    <w:rsid w:val="00A627C3"/>
    <w:rsid w:val="00A64FAA"/>
    <w:rsid w:val="00A66C36"/>
    <w:rsid w:val="00A67C26"/>
    <w:rsid w:val="00A70B1C"/>
    <w:rsid w:val="00A7257A"/>
    <w:rsid w:val="00A72FEB"/>
    <w:rsid w:val="00A7328E"/>
    <w:rsid w:val="00A747F7"/>
    <w:rsid w:val="00A75C6B"/>
    <w:rsid w:val="00A7698C"/>
    <w:rsid w:val="00A80094"/>
    <w:rsid w:val="00A818A5"/>
    <w:rsid w:val="00A85637"/>
    <w:rsid w:val="00A87041"/>
    <w:rsid w:val="00A879F7"/>
    <w:rsid w:val="00A87AEA"/>
    <w:rsid w:val="00A87DD9"/>
    <w:rsid w:val="00A90976"/>
    <w:rsid w:val="00A9188E"/>
    <w:rsid w:val="00A9198C"/>
    <w:rsid w:val="00A92C02"/>
    <w:rsid w:val="00A93AD6"/>
    <w:rsid w:val="00A94A67"/>
    <w:rsid w:val="00A959BB"/>
    <w:rsid w:val="00A95AF7"/>
    <w:rsid w:val="00A95C29"/>
    <w:rsid w:val="00A97B76"/>
    <w:rsid w:val="00A97BD0"/>
    <w:rsid w:val="00AA407D"/>
    <w:rsid w:val="00AA7B08"/>
    <w:rsid w:val="00AA7B43"/>
    <w:rsid w:val="00AC0387"/>
    <w:rsid w:val="00AC1F59"/>
    <w:rsid w:val="00AC3D8C"/>
    <w:rsid w:val="00AC637F"/>
    <w:rsid w:val="00AD52B8"/>
    <w:rsid w:val="00AD6764"/>
    <w:rsid w:val="00AD7D55"/>
    <w:rsid w:val="00AE117F"/>
    <w:rsid w:val="00AE330D"/>
    <w:rsid w:val="00AE534E"/>
    <w:rsid w:val="00AE5FB6"/>
    <w:rsid w:val="00AE6DB1"/>
    <w:rsid w:val="00AE7F4C"/>
    <w:rsid w:val="00AF29E6"/>
    <w:rsid w:val="00AF54FB"/>
    <w:rsid w:val="00AF57B3"/>
    <w:rsid w:val="00AF5894"/>
    <w:rsid w:val="00AF6D8E"/>
    <w:rsid w:val="00AF7217"/>
    <w:rsid w:val="00B02BC5"/>
    <w:rsid w:val="00B0744F"/>
    <w:rsid w:val="00B10CC1"/>
    <w:rsid w:val="00B15285"/>
    <w:rsid w:val="00B20E20"/>
    <w:rsid w:val="00B23E77"/>
    <w:rsid w:val="00B23EF3"/>
    <w:rsid w:val="00B26C04"/>
    <w:rsid w:val="00B30C16"/>
    <w:rsid w:val="00B33B6D"/>
    <w:rsid w:val="00B347E2"/>
    <w:rsid w:val="00B36433"/>
    <w:rsid w:val="00B42FDE"/>
    <w:rsid w:val="00B43090"/>
    <w:rsid w:val="00B45489"/>
    <w:rsid w:val="00B4731B"/>
    <w:rsid w:val="00B504BB"/>
    <w:rsid w:val="00B51A14"/>
    <w:rsid w:val="00B52509"/>
    <w:rsid w:val="00B57804"/>
    <w:rsid w:val="00B57F3B"/>
    <w:rsid w:val="00B61DF2"/>
    <w:rsid w:val="00B6254E"/>
    <w:rsid w:val="00B660B9"/>
    <w:rsid w:val="00B673CF"/>
    <w:rsid w:val="00B74276"/>
    <w:rsid w:val="00B74933"/>
    <w:rsid w:val="00B75087"/>
    <w:rsid w:val="00B7606A"/>
    <w:rsid w:val="00B77C73"/>
    <w:rsid w:val="00B82C23"/>
    <w:rsid w:val="00B8392C"/>
    <w:rsid w:val="00B8576A"/>
    <w:rsid w:val="00B86B40"/>
    <w:rsid w:val="00B871B0"/>
    <w:rsid w:val="00B91E46"/>
    <w:rsid w:val="00B94C3B"/>
    <w:rsid w:val="00B94E9E"/>
    <w:rsid w:val="00B96A41"/>
    <w:rsid w:val="00B97AD4"/>
    <w:rsid w:val="00BA1ECC"/>
    <w:rsid w:val="00BA37BF"/>
    <w:rsid w:val="00BA3851"/>
    <w:rsid w:val="00BA3F77"/>
    <w:rsid w:val="00BA4413"/>
    <w:rsid w:val="00BA5380"/>
    <w:rsid w:val="00BA7986"/>
    <w:rsid w:val="00BA7FA4"/>
    <w:rsid w:val="00BA99D0"/>
    <w:rsid w:val="00BB0865"/>
    <w:rsid w:val="00BB145B"/>
    <w:rsid w:val="00BB18D0"/>
    <w:rsid w:val="00BB51D5"/>
    <w:rsid w:val="00BB7084"/>
    <w:rsid w:val="00BB7FC7"/>
    <w:rsid w:val="00BC1F1C"/>
    <w:rsid w:val="00BC43A4"/>
    <w:rsid w:val="00BC6D43"/>
    <w:rsid w:val="00BD1AA4"/>
    <w:rsid w:val="00BD305F"/>
    <w:rsid w:val="00BD3899"/>
    <w:rsid w:val="00BD6DB4"/>
    <w:rsid w:val="00BD75C0"/>
    <w:rsid w:val="00BD7F74"/>
    <w:rsid w:val="00BE162D"/>
    <w:rsid w:val="00BE2A2D"/>
    <w:rsid w:val="00BE3307"/>
    <w:rsid w:val="00BE52A6"/>
    <w:rsid w:val="00BF08F7"/>
    <w:rsid w:val="00BF36BC"/>
    <w:rsid w:val="00BF386C"/>
    <w:rsid w:val="00C01856"/>
    <w:rsid w:val="00C045B2"/>
    <w:rsid w:val="00C04F32"/>
    <w:rsid w:val="00C06F79"/>
    <w:rsid w:val="00C07928"/>
    <w:rsid w:val="00C109D3"/>
    <w:rsid w:val="00C11053"/>
    <w:rsid w:val="00C137BC"/>
    <w:rsid w:val="00C1691A"/>
    <w:rsid w:val="00C1717A"/>
    <w:rsid w:val="00C1763B"/>
    <w:rsid w:val="00C1781F"/>
    <w:rsid w:val="00C23346"/>
    <w:rsid w:val="00C27859"/>
    <w:rsid w:val="00C30A9D"/>
    <w:rsid w:val="00C31730"/>
    <w:rsid w:val="00C3455F"/>
    <w:rsid w:val="00C3545E"/>
    <w:rsid w:val="00C45C92"/>
    <w:rsid w:val="00C45EC0"/>
    <w:rsid w:val="00C46A63"/>
    <w:rsid w:val="00C51579"/>
    <w:rsid w:val="00C56CDE"/>
    <w:rsid w:val="00C61DB7"/>
    <w:rsid w:val="00C63B7F"/>
    <w:rsid w:val="00C66822"/>
    <w:rsid w:val="00C6752C"/>
    <w:rsid w:val="00C678D4"/>
    <w:rsid w:val="00C714A1"/>
    <w:rsid w:val="00C73020"/>
    <w:rsid w:val="00C73021"/>
    <w:rsid w:val="00C761F8"/>
    <w:rsid w:val="00C764B2"/>
    <w:rsid w:val="00C813A1"/>
    <w:rsid w:val="00C83077"/>
    <w:rsid w:val="00C8315E"/>
    <w:rsid w:val="00C865CE"/>
    <w:rsid w:val="00C9095C"/>
    <w:rsid w:val="00C9132A"/>
    <w:rsid w:val="00C91763"/>
    <w:rsid w:val="00C92A79"/>
    <w:rsid w:val="00C92BEA"/>
    <w:rsid w:val="00C954AC"/>
    <w:rsid w:val="00C96F56"/>
    <w:rsid w:val="00CA34D7"/>
    <w:rsid w:val="00CA4AD9"/>
    <w:rsid w:val="00CA6958"/>
    <w:rsid w:val="00CA7F3D"/>
    <w:rsid w:val="00CB02E0"/>
    <w:rsid w:val="00CB187D"/>
    <w:rsid w:val="00CB524A"/>
    <w:rsid w:val="00CB7865"/>
    <w:rsid w:val="00CB7C9E"/>
    <w:rsid w:val="00CC30F0"/>
    <w:rsid w:val="00CC32F3"/>
    <w:rsid w:val="00CD1784"/>
    <w:rsid w:val="00CD1AAF"/>
    <w:rsid w:val="00CD6333"/>
    <w:rsid w:val="00CD67A5"/>
    <w:rsid w:val="00CE039C"/>
    <w:rsid w:val="00CE0FC3"/>
    <w:rsid w:val="00CE13F7"/>
    <w:rsid w:val="00CE24F8"/>
    <w:rsid w:val="00CE468C"/>
    <w:rsid w:val="00CE5124"/>
    <w:rsid w:val="00CF220E"/>
    <w:rsid w:val="00CF295F"/>
    <w:rsid w:val="00D02530"/>
    <w:rsid w:val="00D02CC6"/>
    <w:rsid w:val="00D0524D"/>
    <w:rsid w:val="00D105CA"/>
    <w:rsid w:val="00D10D67"/>
    <w:rsid w:val="00D116BA"/>
    <w:rsid w:val="00D12FC1"/>
    <w:rsid w:val="00D132F2"/>
    <w:rsid w:val="00D20568"/>
    <w:rsid w:val="00D229A8"/>
    <w:rsid w:val="00D230FD"/>
    <w:rsid w:val="00D23541"/>
    <w:rsid w:val="00D23DEF"/>
    <w:rsid w:val="00D241F5"/>
    <w:rsid w:val="00D25A5D"/>
    <w:rsid w:val="00D271E6"/>
    <w:rsid w:val="00D32ECD"/>
    <w:rsid w:val="00D35F0D"/>
    <w:rsid w:val="00D37168"/>
    <w:rsid w:val="00D37554"/>
    <w:rsid w:val="00D417FC"/>
    <w:rsid w:val="00D41B94"/>
    <w:rsid w:val="00D44EB1"/>
    <w:rsid w:val="00D459C8"/>
    <w:rsid w:val="00D50662"/>
    <w:rsid w:val="00D518E7"/>
    <w:rsid w:val="00D53C5D"/>
    <w:rsid w:val="00D563C5"/>
    <w:rsid w:val="00D627A8"/>
    <w:rsid w:val="00D64D6E"/>
    <w:rsid w:val="00D6540B"/>
    <w:rsid w:val="00D70DF9"/>
    <w:rsid w:val="00D71F07"/>
    <w:rsid w:val="00D746CE"/>
    <w:rsid w:val="00D74DFB"/>
    <w:rsid w:val="00D76C8D"/>
    <w:rsid w:val="00D76D56"/>
    <w:rsid w:val="00D81314"/>
    <w:rsid w:val="00D81D1A"/>
    <w:rsid w:val="00D8248F"/>
    <w:rsid w:val="00D82520"/>
    <w:rsid w:val="00D83ACB"/>
    <w:rsid w:val="00D83DCB"/>
    <w:rsid w:val="00D83F43"/>
    <w:rsid w:val="00D83F70"/>
    <w:rsid w:val="00D8406B"/>
    <w:rsid w:val="00D84AF5"/>
    <w:rsid w:val="00D86B58"/>
    <w:rsid w:val="00D906BB"/>
    <w:rsid w:val="00D90747"/>
    <w:rsid w:val="00D927B8"/>
    <w:rsid w:val="00D927E7"/>
    <w:rsid w:val="00D933BC"/>
    <w:rsid w:val="00D9394D"/>
    <w:rsid w:val="00D93B27"/>
    <w:rsid w:val="00DA3AF1"/>
    <w:rsid w:val="00DA5AB9"/>
    <w:rsid w:val="00DA60DF"/>
    <w:rsid w:val="00DB10A5"/>
    <w:rsid w:val="00DB2792"/>
    <w:rsid w:val="00DB3901"/>
    <w:rsid w:val="00DB4F11"/>
    <w:rsid w:val="00DB5C50"/>
    <w:rsid w:val="00DB7060"/>
    <w:rsid w:val="00DB7F7B"/>
    <w:rsid w:val="00DC1D67"/>
    <w:rsid w:val="00DC47C0"/>
    <w:rsid w:val="00DC61DA"/>
    <w:rsid w:val="00DD14DA"/>
    <w:rsid w:val="00DD3430"/>
    <w:rsid w:val="00DD3D3C"/>
    <w:rsid w:val="00DD3F10"/>
    <w:rsid w:val="00DD708A"/>
    <w:rsid w:val="00DD7DD4"/>
    <w:rsid w:val="00DE0E3A"/>
    <w:rsid w:val="00DE102A"/>
    <w:rsid w:val="00DE26FF"/>
    <w:rsid w:val="00DE2E17"/>
    <w:rsid w:val="00DE30F3"/>
    <w:rsid w:val="00DE3C40"/>
    <w:rsid w:val="00DE63EF"/>
    <w:rsid w:val="00DE6FFF"/>
    <w:rsid w:val="00DF35A3"/>
    <w:rsid w:val="00DF539A"/>
    <w:rsid w:val="00DF7671"/>
    <w:rsid w:val="00E016F1"/>
    <w:rsid w:val="00E0234F"/>
    <w:rsid w:val="00E03530"/>
    <w:rsid w:val="00E03981"/>
    <w:rsid w:val="00E04D7E"/>
    <w:rsid w:val="00E07049"/>
    <w:rsid w:val="00E07525"/>
    <w:rsid w:val="00E11995"/>
    <w:rsid w:val="00E11A1F"/>
    <w:rsid w:val="00E123F7"/>
    <w:rsid w:val="00E1323D"/>
    <w:rsid w:val="00E14CFD"/>
    <w:rsid w:val="00E16359"/>
    <w:rsid w:val="00E166FE"/>
    <w:rsid w:val="00E3095C"/>
    <w:rsid w:val="00E34D4A"/>
    <w:rsid w:val="00E35475"/>
    <w:rsid w:val="00E355BB"/>
    <w:rsid w:val="00E36E61"/>
    <w:rsid w:val="00E36FF7"/>
    <w:rsid w:val="00E426BD"/>
    <w:rsid w:val="00E4339E"/>
    <w:rsid w:val="00E462D4"/>
    <w:rsid w:val="00E47131"/>
    <w:rsid w:val="00E473C4"/>
    <w:rsid w:val="00E5420C"/>
    <w:rsid w:val="00E55963"/>
    <w:rsid w:val="00E56485"/>
    <w:rsid w:val="00E60914"/>
    <w:rsid w:val="00E65439"/>
    <w:rsid w:val="00E6626F"/>
    <w:rsid w:val="00E66736"/>
    <w:rsid w:val="00E67508"/>
    <w:rsid w:val="00E805A4"/>
    <w:rsid w:val="00E81591"/>
    <w:rsid w:val="00E83591"/>
    <w:rsid w:val="00E84572"/>
    <w:rsid w:val="00E867F7"/>
    <w:rsid w:val="00E87782"/>
    <w:rsid w:val="00E95A46"/>
    <w:rsid w:val="00E96E2E"/>
    <w:rsid w:val="00EA184C"/>
    <w:rsid w:val="00EA1FEE"/>
    <w:rsid w:val="00EA3D4F"/>
    <w:rsid w:val="00EA5532"/>
    <w:rsid w:val="00EA5F51"/>
    <w:rsid w:val="00EA6F68"/>
    <w:rsid w:val="00EA796F"/>
    <w:rsid w:val="00EB026B"/>
    <w:rsid w:val="00EB09BF"/>
    <w:rsid w:val="00EB21BE"/>
    <w:rsid w:val="00EB21E0"/>
    <w:rsid w:val="00EB25CD"/>
    <w:rsid w:val="00EB2B83"/>
    <w:rsid w:val="00EB49AD"/>
    <w:rsid w:val="00EB5095"/>
    <w:rsid w:val="00EB5B6C"/>
    <w:rsid w:val="00EB5FDA"/>
    <w:rsid w:val="00EB6194"/>
    <w:rsid w:val="00EB6D9B"/>
    <w:rsid w:val="00EB70FF"/>
    <w:rsid w:val="00EC035B"/>
    <w:rsid w:val="00EC12F2"/>
    <w:rsid w:val="00EC1B96"/>
    <w:rsid w:val="00EC2147"/>
    <w:rsid w:val="00EC4023"/>
    <w:rsid w:val="00EC4242"/>
    <w:rsid w:val="00EC6B9A"/>
    <w:rsid w:val="00EC6DCD"/>
    <w:rsid w:val="00ED15C1"/>
    <w:rsid w:val="00ED181E"/>
    <w:rsid w:val="00ED72F9"/>
    <w:rsid w:val="00EE69F8"/>
    <w:rsid w:val="00EE761D"/>
    <w:rsid w:val="00EF1065"/>
    <w:rsid w:val="00EF2B11"/>
    <w:rsid w:val="00EF3071"/>
    <w:rsid w:val="00EF581A"/>
    <w:rsid w:val="00EF5C78"/>
    <w:rsid w:val="00EF5E85"/>
    <w:rsid w:val="00EF6B01"/>
    <w:rsid w:val="00EF6E77"/>
    <w:rsid w:val="00EF7332"/>
    <w:rsid w:val="00F00CB3"/>
    <w:rsid w:val="00F0331E"/>
    <w:rsid w:val="00F0456A"/>
    <w:rsid w:val="00F07515"/>
    <w:rsid w:val="00F078EB"/>
    <w:rsid w:val="00F116A5"/>
    <w:rsid w:val="00F122AF"/>
    <w:rsid w:val="00F13190"/>
    <w:rsid w:val="00F16122"/>
    <w:rsid w:val="00F20B5F"/>
    <w:rsid w:val="00F23E5D"/>
    <w:rsid w:val="00F248BD"/>
    <w:rsid w:val="00F320C2"/>
    <w:rsid w:val="00F322B9"/>
    <w:rsid w:val="00F34739"/>
    <w:rsid w:val="00F408BF"/>
    <w:rsid w:val="00F41CE1"/>
    <w:rsid w:val="00F43049"/>
    <w:rsid w:val="00F4325E"/>
    <w:rsid w:val="00F45D90"/>
    <w:rsid w:val="00F47A01"/>
    <w:rsid w:val="00F50111"/>
    <w:rsid w:val="00F5417A"/>
    <w:rsid w:val="00F56DC1"/>
    <w:rsid w:val="00F56E9F"/>
    <w:rsid w:val="00F574B2"/>
    <w:rsid w:val="00F6077F"/>
    <w:rsid w:val="00F61D1E"/>
    <w:rsid w:val="00F6331A"/>
    <w:rsid w:val="00F63852"/>
    <w:rsid w:val="00F63A38"/>
    <w:rsid w:val="00F63C5E"/>
    <w:rsid w:val="00F63E56"/>
    <w:rsid w:val="00F64542"/>
    <w:rsid w:val="00F65321"/>
    <w:rsid w:val="00F65643"/>
    <w:rsid w:val="00F678CC"/>
    <w:rsid w:val="00F70ABE"/>
    <w:rsid w:val="00F7226A"/>
    <w:rsid w:val="00F73265"/>
    <w:rsid w:val="00F73289"/>
    <w:rsid w:val="00F748D4"/>
    <w:rsid w:val="00F74DD2"/>
    <w:rsid w:val="00F77A3D"/>
    <w:rsid w:val="00F77E7A"/>
    <w:rsid w:val="00F83DB3"/>
    <w:rsid w:val="00F85C21"/>
    <w:rsid w:val="00F85E0E"/>
    <w:rsid w:val="00F87366"/>
    <w:rsid w:val="00F877C8"/>
    <w:rsid w:val="00F9430D"/>
    <w:rsid w:val="00F94DE8"/>
    <w:rsid w:val="00F97891"/>
    <w:rsid w:val="00FA159A"/>
    <w:rsid w:val="00FA37F8"/>
    <w:rsid w:val="00FA50C7"/>
    <w:rsid w:val="00FA5A33"/>
    <w:rsid w:val="00FB5B33"/>
    <w:rsid w:val="00FB6DBA"/>
    <w:rsid w:val="00FC3B90"/>
    <w:rsid w:val="00FC74A5"/>
    <w:rsid w:val="00FD2107"/>
    <w:rsid w:val="00FD4119"/>
    <w:rsid w:val="00FD49D8"/>
    <w:rsid w:val="00FD5821"/>
    <w:rsid w:val="00FD5DB7"/>
    <w:rsid w:val="00FD5E12"/>
    <w:rsid w:val="00FE0228"/>
    <w:rsid w:val="00FE24DE"/>
    <w:rsid w:val="00FE72E6"/>
    <w:rsid w:val="00FF109D"/>
    <w:rsid w:val="00FF2C85"/>
    <w:rsid w:val="00FF2D04"/>
    <w:rsid w:val="00FF5AAE"/>
    <w:rsid w:val="0121A589"/>
    <w:rsid w:val="0304336E"/>
    <w:rsid w:val="05C51F8D"/>
    <w:rsid w:val="068EF683"/>
    <w:rsid w:val="071E64AA"/>
    <w:rsid w:val="07638D03"/>
    <w:rsid w:val="07BEA99E"/>
    <w:rsid w:val="081C9B7D"/>
    <w:rsid w:val="09CF83F7"/>
    <w:rsid w:val="0A14F2CF"/>
    <w:rsid w:val="0A748DE6"/>
    <w:rsid w:val="0A8CC8D0"/>
    <w:rsid w:val="0DA45271"/>
    <w:rsid w:val="0F5CF2EB"/>
    <w:rsid w:val="0F68364C"/>
    <w:rsid w:val="0F98089A"/>
    <w:rsid w:val="0FF4674C"/>
    <w:rsid w:val="10784FF2"/>
    <w:rsid w:val="10C3E274"/>
    <w:rsid w:val="1135EE64"/>
    <w:rsid w:val="11997EE6"/>
    <w:rsid w:val="11DB7675"/>
    <w:rsid w:val="1284C397"/>
    <w:rsid w:val="12EE91C0"/>
    <w:rsid w:val="13472CE4"/>
    <w:rsid w:val="13785781"/>
    <w:rsid w:val="13B172B6"/>
    <w:rsid w:val="141A17D7"/>
    <w:rsid w:val="151B9D4C"/>
    <w:rsid w:val="15EED133"/>
    <w:rsid w:val="15F6687B"/>
    <w:rsid w:val="17BB6472"/>
    <w:rsid w:val="18728DCF"/>
    <w:rsid w:val="1A280EB6"/>
    <w:rsid w:val="1A772F18"/>
    <w:rsid w:val="1C2094C0"/>
    <w:rsid w:val="1C79A5B1"/>
    <w:rsid w:val="1C812AA6"/>
    <w:rsid w:val="1D5DE404"/>
    <w:rsid w:val="1E0CE0B2"/>
    <w:rsid w:val="20406FEB"/>
    <w:rsid w:val="20EA5538"/>
    <w:rsid w:val="224DCF56"/>
    <w:rsid w:val="227BD33D"/>
    <w:rsid w:val="236AC3FE"/>
    <w:rsid w:val="251C9121"/>
    <w:rsid w:val="2551FCEC"/>
    <w:rsid w:val="25FB3679"/>
    <w:rsid w:val="27563703"/>
    <w:rsid w:val="2766FB3E"/>
    <w:rsid w:val="28DB89B2"/>
    <w:rsid w:val="2A8AAC94"/>
    <w:rsid w:val="2A947296"/>
    <w:rsid w:val="2B1236FE"/>
    <w:rsid w:val="2C232FB7"/>
    <w:rsid w:val="2C768522"/>
    <w:rsid w:val="2C9ED3DD"/>
    <w:rsid w:val="2CBD0816"/>
    <w:rsid w:val="2D60FB8F"/>
    <w:rsid w:val="2E710619"/>
    <w:rsid w:val="2EFBDF83"/>
    <w:rsid w:val="2FA378C8"/>
    <w:rsid w:val="301D47F9"/>
    <w:rsid w:val="30282FE5"/>
    <w:rsid w:val="30346371"/>
    <w:rsid w:val="305B496C"/>
    <w:rsid w:val="3141AE15"/>
    <w:rsid w:val="3190F350"/>
    <w:rsid w:val="33A9E3E8"/>
    <w:rsid w:val="33E0C512"/>
    <w:rsid w:val="347CF73D"/>
    <w:rsid w:val="351B02B0"/>
    <w:rsid w:val="367068D1"/>
    <w:rsid w:val="37255F27"/>
    <w:rsid w:val="37DD79FD"/>
    <w:rsid w:val="3AFAC2BB"/>
    <w:rsid w:val="3B35576B"/>
    <w:rsid w:val="3B696441"/>
    <w:rsid w:val="3CBB4BD8"/>
    <w:rsid w:val="3E0194AD"/>
    <w:rsid w:val="3F087862"/>
    <w:rsid w:val="4007D416"/>
    <w:rsid w:val="40162265"/>
    <w:rsid w:val="40BCD70C"/>
    <w:rsid w:val="41BA3C83"/>
    <w:rsid w:val="43EF0822"/>
    <w:rsid w:val="446A2504"/>
    <w:rsid w:val="46563689"/>
    <w:rsid w:val="46B46EE8"/>
    <w:rsid w:val="46EC0A88"/>
    <w:rsid w:val="47080979"/>
    <w:rsid w:val="47BA028E"/>
    <w:rsid w:val="49AAD993"/>
    <w:rsid w:val="4A815CD5"/>
    <w:rsid w:val="4B655137"/>
    <w:rsid w:val="4B880161"/>
    <w:rsid w:val="4C91F778"/>
    <w:rsid w:val="4EBB5808"/>
    <w:rsid w:val="4ED9DE3F"/>
    <w:rsid w:val="4F6B0E73"/>
    <w:rsid w:val="4F8252B9"/>
    <w:rsid w:val="4FF88A9D"/>
    <w:rsid w:val="50A3D3DB"/>
    <w:rsid w:val="51E050CB"/>
    <w:rsid w:val="5223D64F"/>
    <w:rsid w:val="5230E409"/>
    <w:rsid w:val="5271643E"/>
    <w:rsid w:val="5336EA50"/>
    <w:rsid w:val="5414166F"/>
    <w:rsid w:val="545616E3"/>
    <w:rsid w:val="54CE4983"/>
    <w:rsid w:val="55202B63"/>
    <w:rsid w:val="55DD64C7"/>
    <w:rsid w:val="55F623B7"/>
    <w:rsid w:val="56D979FE"/>
    <w:rsid w:val="58E425F2"/>
    <w:rsid w:val="592F0C19"/>
    <w:rsid w:val="59D3C85C"/>
    <w:rsid w:val="5A87C4F9"/>
    <w:rsid w:val="5B7842C2"/>
    <w:rsid w:val="5D0CAD79"/>
    <w:rsid w:val="5D2B40A0"/>
    <w:rsid w:val="5DC8ECB0"/>
    <w:rsid w:val="5DEF797B"/>
    <w:rsid w:val="5F6154F2"/>
    <w:rsid w:val="608E2DDB"/>
    <w:rsid w:val="618A76AD"/>
    <w:rsid w:val="6201EB8D"/>
    <w:rsid w:val="6237A1F2"/>
    <w:rsid w:val="6285339E"/>
    <w:rsid w:val="641B0B18"/>
    <w:rsid w:val="641B9264"/>
    <w:rsid w:val="643094E5"/>
    <w:rsid w:val="66381E51"/>
    <w:rsid w:val="6639731B"/>
    <w:rsid w:val="663E4C0B"/>
    <w:rsid w:val="67BED0F9"/>
    <w:rsid w:val="68723B3C"/>
    <w:rsid w:val="6A17FB63"/>
    <w:rsid w:val="6A5FAFDB"/>
    <w:rsid w:val="6B193530"/>
    <w:rsid w:val="6B2F868F"/>
    <w:rsid w:val="6B413FE5"/>
    <w:rsid w:val="6BAFBB47"/>
    <w:rsid w:val="6C0E602B"/>
    <w:rsid w:val="6D7D3666"/>
    <w:rsid w:val="6DAA5453"/>
    <w:rsid w:val="6DCB8B8E"/>
    <w:rsid w:val="6E72C6E9"/>
    <w:rsid w:val="6F8504A7"/>
    <w:rsid w:val="704A7B7E"/>
    <w:rsid w:val="70511B3A"/>
    <w:rsid w:val="712CD8E2"/>
    <w:rsid w:val="725469C5"/>
    <w:rsid w:val="72F5CCF1"/>
    <w:rsid w:val="739BF081"/>
    <w:rsid w:val="750518FE"/>
    <w:rsid w:val="750ED200"/>
    <w:rsid w:val="756A24D5"/>
    <w:rsid w:val="7570FEDF"/>
    <w:rsid w:val="762FB0AF"/>
    <w:rsid w:val="76351947"/>
    <w:rsid w:val="77055562"/>
    <w:rsid w:val="773487CE"/>
    <w:rsid w:val="77BEC3ED"/>
    <w:rsid w:val="788FFD69"/>
    <w:rsid w:val="794E19FD"/>
    <w:rsid w:val="7A2FA5E3"/>
    <w:rsid w:val="7AB748E3"/>
    <w:rsid w:val="7C14B3B8"/>
    <w:rsid w:val="7C1E0C13"/>
    <w:rsid w:val="7C7CBCC6"/>
    <w:rsid w:val="7E15CF9D"/>
    <w:rsid w:val="7E531236"/>
    <w:rsid w:val="7E8D88A2"/>
    <w:rsid w:val="7F9DA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8A9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51589"/>
    <w:pPr>
      <w:spacing w:after="12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4846B0"/>
    <w:pPr>
      <w:keepNext/>
      <w:keepLines/>
      <w:spacing w:before="360" w:after="240" w:line="240" w:lineRule="auto"/>
      <w:outlineLvl w:val="0"/>
    </w:pPr>
    <w:rPr>
      <w:rFonts w:eastAsiaTheme="majorEastAsia" w:cstheme="majorBidi"/>
      <w:b/>
      <w:color w:val="121212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6A473A"/>
    <w:pPr>
      <w:keepNext/>
      <w:keepLines/>
      <w:spacing w:before="360" w:line="240" w:lineRule="auto"/>
      <w:outlineLvl w:val="1"/>
    </w:pPr>
    <w:rPr>
      <w:rFonts w:eastAsiaTheme="majorEastAsia" w:cstheme="majorBidi"/>
      <w:b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4242"/>
    <w:pPr>
      <w:keepNext/>
      <w:keepLines/>
      <w:spacing w:before="280" w:after="200" w:line="240" w:lineRule="auto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80E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01B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61A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01B4D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473A"/>
    <w:rPr>
      <w:rFonts w:ascii="Arial" w:eastAsiaTheme="majorEastAsia" w:hAnsi="Arial" w:cstheme="majorBidi"/>
      <w:b/>
      <w:i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846B0"/>
    <w:rPr>
      <w:rFonts w:ascii="Arial" w:eastAsiaTheme="majorEastAsia" w:hAnsi="Arial" w:cstheme="majorBidi"/>
      <w:b/>
      <w:color w:val="121212" w:themeColor="text1"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rsid w:val="00BB7FC7"/>
    <w:pPr>
      <w:spacing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D0822"/>
    <w:pPr>
      <w:tabs>
        <w:tab w:val="left" w:pos="880"/>
        <w:tab w:val="right" w:leader="dot" w:pos="9016"/>
      </w:tabs>
      <w:spacing w:after="60"/>
      <w:ind w:left="425"/>
    </w:pPr>
  </w:style>
  <w:style w:type="character" w:styleId="Hyperlink">
    <w:name w:val="Hyperlink"/>
    <w:basedOn w:val="DefaultParagraphFont"/>
    <w:uiPriority w:val="99"/>
    <w:unhideWhenUsed/>
    <w:rsid w:val="00EF6B01"/>
    <w:rPr>
      <w:color w:val="2C2568"/>
      <w:u w:val="single"/>
    </w:rPr>
  </w:style>
  <w:style w:type="table" w:styleId="TableGrid">
    <w:name w:val="Table Grid"/>
    <w:basedOn w:val="TableNormal"/>
    <w:uiPriority w:val="59"/>
    <w:rsid w:val="00BB7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BB7FC7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rsid w:val="004D0AD0"/>
    <w:pPr>
      <w:spacing w:line="240" w:lineRule="auto"/>
    </w:pPr>
    <w:rPr>
      <w:i/>
      <w:iCs/>
      <w:color w:val="2C2568" w:themeColor="text2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C4242"/>
    <w:rPr>
      <w:rFonts w:ascii="Arial" w:eastAsiaTheme="majorEastAsia" w:hAnsi="Arial" w:cstheme="majorBidi"/>
      <w:b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rsid w:val="007351D5"/>
    <w:pPr>
      <w:spacing w:before="240" w:after="60"/>
      <w:ind w:left="709" w:right="709"/>
    </w:pPr>
    <w:rPr>
      <w:iCs/>
      <w:color w:val="646464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7351D5"/>
    <w:rPr>
      <w:iCs/>
      <w:color w:val="646464" w:themeColor="text1" w:themeTint="A6"/>
    </w:rPr>
  </w:style>
  <w:style w:type="paragraph" w:styleId="TOC3">
    <w:name w:val="toc 3"/>
    <w:basedOn w:val="Normal"/>
    <w:next w:val="Normal"/>
    <w:autoRedefine/>
    <w:uiPriority w:val="39"/>
    <w:unhideWhenUsed/>
    <w:rsid w:val="004C24CF"/>
    <w:pPr>
      <w:tabs>
        <w:tab w:val="right" w:leader="dot" w:pos="9016"/>
      </w:tabs>
      <w:spacing w:after="40"/>
      <w:ind w:left="851"/>
    </w:pPr>
  </w:style>
  <w:style w:type="paragraph" w:customStyle="1" w:styleId="Body">
    <w:name w:val="Body"/>
    <w:rsid w:val="00CC32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NZ"/>
    </w:rPr>
  </w:style>
  <w:style w:type="numbering" w:customStyle="1" w:styleId="Dash">
    <w:name w:val="Dash"/>
    <w:rsid w:val="00CC32F3"/>
    <w:pPr>
      <w:numPr>
        <w:numId w:val="6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980E85"/>
    <w:rPr>
      <w:rFonts w:asciiTheme="majorHAnsi" w:eastAsiaTheme="majorEastAsia" w:hAnsiTheme="majorHAnsi" w:cstheme="majorBidi"/>
      <w:i/>
      <w:iCs/>
      <w:color w:val="201B4D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EC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61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1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1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DB7"/>
    <w:rPr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461A9A"/>
    <w:rPr>
      <w:rFonts w:asciiTheme="majorHAnsi" w:eastAsiaTheme="majorEastAsia" w:hAnsiTheme="majorHAnsi" w:cstheme="majorBidi"/>
      <w:color w:val="201B4D" w:themeColor="accent1" w:themeShade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C45E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45E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C45E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92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E7"/>
  </w:style>
  <w:style w:type="paragraph" w:styleId="Footer">
    <w:name w:val="footer"/>
    <w:basedOn w:val="Normal"/>
    <w:link w:val="FooterChar"/>
    <w:uiPriority w:val="99"/>
    <w:unhideWhenUsed/>
    <w:rsid w:val="00792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E7"/>
  </w:style>
  <w:style w:type="paragraph" w:styleId="Revision">
    <w:name w:val="Revision"/>
    <w:hidden/>
    <w:uiPriority w:val="99"/>
    <w:semiHidden/>
    <w:rsid w:val="00356454"/>
    <w:pPr>
      <w:spacing w:after="0" w:line="240" w:lineRule="auto"/>
    </w:pPr>
  </w:style>
  <w:style w:type="paragraph" w:styleId="NormalIndent">
    <w:name w:val="Normal Indent"/>
    <w:basedOn w:val="Normal"/>
    <w:uiPriority w:val="99"/>
    <w:unhideWhenUsed/>
    <w:rsid w:val="00851905"/>
    <w:pPr>
      <w:ind w:left="720"/>
    </w:pPr>
  </w:style>
  <w:style w:type="paragraph" w:styleId="ListContinue">
    <w:name w:val="List Continue"/>
    <w:basedOn w:val="Normal"/>
    <w:uiPriority w:val="99"/>
    <w:unhideWhenUsed/>
    <w:rsid w:val="002665C5"/>
    <w:pPr>
      <w:ind w:left="283"/>
      <w:contextualSpacing/>
    </w:pPr>
  </w:style>
  <w:style w:type="paragraph" w:styleId="List">
    <w:name w:val="List"/>
    <w:basedOn w:val="Normal"/>
    <w:uiPriority w:val="99"/>
    <w:unhideWhenUsed/>
    <w:rsid w:val="00FD5821"/>
    <w:pPr>
      <w:ind w:left="283" w:hanging="283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4C24CF"/>
    <w:pPr>
      <w:tabs>
        <w:tab w:val="left" w:pos="425"/>
      </w:tabs>
      <w:spacing w:after="100"/>
    </w:pPr>
  </w:style>
  <w:style w:type="paragraph" w:styleId="ListBullet">
    <w:name w:val="List Bullet"/>
    <w:basedOn w:val="Normal"/>
    <w:link w:val="ListBulletChar"/>
    <w:uiPriority w:val="99"/>
    <w:unhideWhenUsed/>
    <w:rsid w:val="00205AD6"/>
    <w:pPr>
      <w:numPr>
        <w:numId w:val="16"/>
      </w:numPr>
      <w:contextualSpacing/>
    </w:pPr>
  </w:style>
  <w:style w:type="paragraph" w:styleId="ListNumber">
    <w:name w:val="List Number"/>
    <w:basedOn w:val="Normal"/>
    <w:uiPriority w:val="99"/>
    <w:unhideWhenUsed/>
    <w:rsid w:val="00A54CFC"/>
    <w:pPr>
      <w:numPr>
        <w:numId w:val="17"/>
      </w:numPr>
      <w:contextualSpacing/>
    </w:pPr>
  </w:style>
  <w:style w:type="paragraph" w:styleId="BodyText">
    <w:name w:val="Body Text"/>
    <w:basedOn w:val="Normal"/>
    <w:link w:val="BodyTextChar"/>
    <w:uiPriority w:val="1"/>
    <w:rsid w:val="007E0634"/>
    <w:pPr>
      <w:widowControl w:val="0"/>
    </w:pPr>
    <w:rPr>
      <w:rFonts w:eastAsia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7E0634"/>
    <w:rPr>
      <w:rFonts w:ascii="Arial" w:eastAsia="Arial" w:hAnsi="Arial" w:cs="Arial"/>
    </w:rPr>
  </w:style>
  <w:style w:type="paragraph" w:customStyle="1" w:styleId="Figuretableheading">
    <w:name w:val="Figure table heading"/>
    <w:basedOn w:val="Normal"/>
    <w:link w:val="FiguretableheadingChar"/>
    <w:rsid w:val="006A473A"/>
    <w:rPr>
      <w:rFonts w:cs="Arial"/>
      <w:b/>
    </w:rPr>
  </w:style>
  <w:style w:type="character" w:customStyle="1" w:styleId="FiguretableheadingChar">
    <w:name w:val="Figure table heading Char"/>
    <w:basedOn w:val="DefaultParagraphFont"/>
    <w:link w:val="Figuretableheading"/>
    <w:rsid w:val="006A473A"/>
    <w:rPr>
      <w:rFonts w:ascii="Arial" w:hAnsi="Arial" w:cs="Arial"/>
      <w:b/>
    </w:rPr>
  </w:style>
  <w:style w:type="paragraph" w:customStyle="1" w:styleId="Bullets">
    <w:name w:val="Bullets"/>
    <w:basedOn w:val="ListBullet"/>
    <w:link w:val="BulletsChar"/>
    <w:rsid w:val="008D7ACA"/>
    <w:pPr>
      <w:spacing w:after="60"/>
      <w:ind w:left="357" w:hanging="357"/>
      <w:contextualSpacing w:val="0"/>
    </w:pPr>
    <w:rPr>
      <w:rFonts w:cs="Arial"/>
    </w:rPr>
  </w:style>
  <w:style w:type="character" w:customStyle="1" w:styleId="ListBulletChar">
    <w:name w:val="List Bullet Char"/>
    <w:basedOn w:val="DefaultParagraphFont"/>
    <w:link w:val="ListBullet"/>
    <w:uiPriority w:val="99"/>
    <w:rsid w:val="008D7ACA"/>
    <w:rPr>
      <w:rFonts w:ascii="Arial" w:hAnsi="Arial"/>
    </w:rPr>
  </w:style>
  <w:style w:type="character" w:customStyle="1" w:styleId="BulletsChar">
    <w:name w:val="Bullets Char"/>
    <w:basedOn w:val="ListBulletChar"/>
    <w:link w:val="Bullets"/>
    <w:rsid w:val="008D7ACA"/>
    <w:rPr>
      <w:rFonts w:ascii="Arial" w:hAnsi="Arial" w:cs="Arial"/>
    </w:rPr>
  </w:style>
  <w:style w:type="paragraph" w:customStyle="1" w:styleId="HQSChead1">
    <w:name w:val="HQSC head 1"/>
    <w:basedOn w:val="Heading1"/>
    <w:qFormat/>
    <w:rsid w:val="00EF6B01"/>
    <w:rPr>
      <w:rFonts w:cs="Arial"/>
      <w:color w:val="2C2568"/>
    </w:rPr>
  </w:style>
  <w:style w:type="paragraph" w:customStyle="1" w:styleId="HQSCbodytext">
    <w:name w:val="HQSC body text"/>
    <w:basedOn w:val="Normal"/>
    <w:qFormat/>
    <w:rsid w:val="00D8248F"/>
    <w:rPr>
      <w:rFonts w:cs="Arial"/>
    </w:rPr>
  </w:style>
  <w:style w:type="paragraph" w:customStyle="1" w:styleId="HQSCbullets">
    <w:name w:val="HQSC bullets"/>
    <w:basedOn w:val="Bullets"/>
    <w:qFormat/>
    <w:rsid w:val="00792E41"/>
  </w:style>
  <w:style w:type="paragraph" w:customStyle="1" w:styleId="HQSCindentedquote">
    <w:name w:val="HQSC indented quote"/>
    <w:basedOn w:val="Quote"/>
    <w:qFormat/>
    <w:rsid w:val="009B60E1"/>
    <w:rPr>
      <w:rFonts w:cs="Arial"/>
      <w:color w:val="auto"/>
    </w:rPr>
  </w:style>
  <w:style w:type="paragraph" w:customStyle="1" w:styleId="HQSCsource">
    <w:name w:val="HQSC source"/>
    <w:basedOn w:val="NormalIndent"/>
    <w:qFormat/>
    <w:rsid w:val="00792E41"/>
    <w:rPr>
      <w:rFonts w:cs="Arial"/>
    </w:rPr>
  </w:style>
  <w:style w:type="paragraph" w:customStyle="1" w:styleId="HQSChead2">
    <w:name w:val="HQSC head 2"/>
    <w:basedOn w:val="Heading2"/>
    <w:qFormat/>
    <w:rsid w:val="00EF6B01"/>
    <w:rPr>
      <w:rFonts w:cs="Arial"/>
      <w:i w:val="0"/>
      <w:color w:val="2C2568"/>
    </w:rPr>
  </w:style>
  <w:style w:type="paragraph" w:customStyle="1" w:styleId="HQSChead3">
    <w:name w:val="HQSC head 3"/>
    <w:basedOn w:val="Heading3"/>
    <w:qFormat/>
    <w:rsid w:val="00792E41"/>
    <w:rPr>
      <w:rFonts w:cs="Arial"/>
    </w:rPr>
  </w:style>
  <w:style w:type="paragraph" w:customStyle="1" w:styleId="HQSCtablefigurecaption">
    <w:name w:val="HQSC table/figure caption"/>
    <w:basedOn w:val="Figuretableheading"/>
    <w:qFormat/>
    <w:rsid w:val="00792E41"/>
  </w:style>
  <w:style w:type="paragraph" w:customStyle="1" w:styleId="HQSCtablecolumnhead">
    <w:name w:val="HQSC table column head"/>
    <w:basedOn w:val="Normal"/>
    <w:qFormat/>
    <w:rsid w:val="00792E41"/>
    <w:pPr>
      <w:framePr w:hSpace="180" w:wrap="around" w:vAnchor="text" w:hAnchor="margin" w:y="2"/>
      <w:spacing w:before="60" w:after="60" w:line="240" w:lineRule="auto"/>
    </w:pPr>
    <w:rPr>
      <w:rFonts w:cs="Arial"/>
      <w:b/>
    </w:rPr>
  </w:style>
  <w:style w:type="paragraph" w:customStyle="1" w:styleId="HQSCtablecontent">
    <w:name w:val="HQSC table content"/>
    <w:basedOn w:val="Normal"/>
    <w:qFormat/>
    <w:rsid w:val="00792E41"/>
    <w:pPr>
      <w:framePr w:hSpace="180" w:wrap="around" w:vAnchor="text" w:hAnchor="margin" w:y="2"/>
      <w:spacing w:before="60" w:after="60" w:line="240" w:lineRule="auto"/>
    </w:pPr>
    <w:rPr>
      <w:rFonts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9B60E1"/>
    <w:rPr>
      <w:color w:val="605E5C"/>
      <w:shd w:val="clear" w:color="auto" w:fill="E1DFDD"/>
    </w:rPr>
  </w:style>
  <w:style w:type="table" w:customStyle="1" w:styleId="TeThHauoratable">
    <w:name w:val="Te Tāhū Hauora table"/>
    <w:basedOn w:val="TableNormal"/>
    <w:uiPriority w:val="99"/>
    <w:rsid w:val="004D6696"/>
    <w:pPr>
      <w:spacing w:after="0" w:line="240" w:lineRule="auto"/>
    </w:pPr>
    <w:rPr>
      <w:rFonts w:ascii="Arial" w:hAnsi="Arial"/>
    </w:rPr>
    <w:tblPr/>
  </w:style>
  <w:style w:type="paragraph" w:styleId="Subtitle">
    <w:name w:val="Subtitle"/>
    <w:basedOn w:val="Normal"/>
    <w:next w:val="Normal"/>
    <w:link w:val="SubtitleChar"/>
    <w:uiPriority w:val="11"/>
    <w:rsid w:val="007653D8"/>
    <w:pPr>
      <w:numPr>
        <w:ilvl w:val="1"/>
      </w:numPr>
      <w:spacing w:after="160"/>
    </w:pPr>
    <w:rPr>
      <w:rFonts w:asciiTheme="minorHAnsi" w:eastAsiaTheme="minorEastAsia" w:hAnsiTheme="minorHAnsi"/>
      <w:color w:val="656565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653D8"/>
    <w:rPr>
      <w:rFonts w:eastAsiaTheme="minorEastAsia"/>
      <w:color w:val="656565" w:themeColor="text1" w:themeTint="A5"/>
      <w:spacing w:val="1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45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4517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4517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666CEE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6844"/>
    <w:rPr>
      <w:color w:val="2C2568" w:themeColor="followedHyperlink"/>
      <w:u w:val="single"/>
    </w:rPr>
  </w:style>
  <w:style w:type="table" w:customStyle="1" w:styleId="HQSCdefault">
    <w:name w:val="HQSC default"/>
    <w:basedOn w:val="TableNormal"/>
    <w:uiPriority w:val="99"/>
    <w:rsid w:val="00700A6D"/>
    <w:pPr>
      <w:spacing w:before="60" w:after="60"/>
    </w:pPr>
    <w:rPr>
      <w:rFonts w:ascii="Arial" w:eastAsia="Cambria" w:hAnsi="Arial" w:cs="Times New Roman"/>
      <w:szCs w:val="20"/>
      <w:lang w:eastAsia="en-NZ"/>
    </w:rPr>
    <w:tblPr>
      <w:tblBorders>
        <w:top w:val="single" w:sz="4" w:space="0" w:color="888888" w:themeColor="text1" w:themeTint="80"/>
        <w:bottom w:val="single" w:sz="4" w:space="0" w:color="888888" w:themeColor="text1" w:themeTint="80"/>
        <w:insideH w:val="single" w:sz="4" w:space="0" w:color="888888" w:themeColor="text1" w:themeTint="80"/>
        <w:insideV w:val="single" w:sz="4" w:space="0" w:color="888888" w:themeColor="text1" w:themeTint="80"/>
      </w:tblBorders>
    </w:tblPr>
    <w:tcPr>
      <w:shd w:val="clear" w:color="auto" w:fill="auto"/>
      <w:tcMar>
        <w:top w:w="57" w:type="dxa"/>
      </w:tcMar>
    </w:tcPr>
    <w:tblStylePr w:type="firstRow">
      <w:rPr>
        <w:b/>
      </w:rPr>
      <w:tblPr/>
      <w:tcPr>
        <w:shd w:val="clear" w:color="auto" w:fill="F2F2F2" w:themeFill="background1" w:themeFillShade="F2"/>
      </w:tcPr>
    </w:tblStylePr>
    <w:tblStylePr w:type="lastRow">
      <w:rPr>
        <w:rFonts w:ascii="Arial" w:hAnsi="Arial"/>
        <w:b/>
        <w:color w:val="121212" w:themeColor="text1"/>
        <w:sz w:val="22"/>
      </w:rPr>
      <w:tblPr/>
      <w:tcPr>
        <w:shd w:val="clear" w:color="auto" w:fill="F2F2F2" w:themeFill="background1" w:themeFillShade="F2"/>
      </w:tcPr>
    </w:tblStylePr>
    <w:tblStylePr w:type="firstCol">
      <w:rPr>
        <w:rFonts w:ascii="Arial" w:hAnsi="Arial"/>
        <w:b/>
        <w:color w:val="121212" w:themeColor="text1"/>
        <w:sz w:val="22"/>
      </w:rPr>
      <w:tblPr/>
      <w:tcPr>
        <w:shd w:val="clear" w:color="auto" w:fill="F2F2F2" w:themeFill="background1" w:themeFillShade="F2"/>
      </w:tcPr>
    </w:tblStylePr>
  </w:style>
  <w:style w:type="paragraph" w:customStyle="1" w:styleId="Memotitle">
    <w:name w:val="Memo title"/>
    <w:qFormat/>
    <w:rsid w:val="00700A6D"/>
    <w:pPr>
      <w:pBdr>
        <w:bottom w:val="single" w:sz="4" w:space="1" w:color="293868"/>
      </w:pBdr>
      <w:spacing w:after="240"/>
    </w:pPr>
    <w:rPr>
      <w:rFonts w:ascii="Arial" w:hAnsi="Arial" w:cs="Arial"/>
      <w:b/>
      <w:bCs/>
      <w:color w:val="2C2568"/>
      <w:sz w:val="44"/>
      <w:szCs w:val="44"/>
    </w:rPr>
  </w:style>
  <w:style w:type="paragraph" w:customStyle="1" w:styleId="Normalintable">
    <w:name w:val="Normal in table"/>
    <w:basedOn w:val="Normal"/>
    <w:qFormat/>
    <w:rsid w:val="00700A6D"/>
    <w:pPr>
      <w:autoSpaceDE w:val="0"/>
      <w:autoSpaceDN w:val="0"/>
      <w:adjustRightInd w:val="0"/>
      <w:spacing w:before="60" w:after="60"/>
    </w:pPr>
    <w:rPr>
      <w:rFonts w:cs="Arial"/>
      <w:color w:val="121212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1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yperlink" Target="mailto:info@hqsc.govt.n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hqsc.govt.n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Attendee demographics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541-402C-BE34-550B3F8D61F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541-402C-BE34-550B3F8D61F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541-402C-BE34-550B3F8D61F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541-402C-BE34-550B3F8D61F4}"/>
              </c:ext>
            </c:extLst>
          </c:dPt>
          <c:dLbls>
            <c:dLbl>
              <c:idx val="0"/>
              <c:layout>
                <c:manualLayout>
                  <c:x val="-4.8611111111111195E-2"/>
                  <c:y val="4.365079365079363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401629483814524"/>
                      <c:h val="0.1426787276590426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B541-402C-BE34-550B3F8D61F4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786E7F69-869B-44F8-87AF-6E06B0E49CD1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10%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B541-402C-BE34-550B3F8D61F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Consumer/whānau/community member</c:v>
                </c:pt>
                <c:pt idx="1">
                  <c:v>Consumer organisation representative</c:v>
                </c:pt>
                <c:pt idx="2">
                  <c:v>Health sector employee</c:v>
                </c:pt>
                <c:pt idx="3">
                  <c:v>Other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19</c:v>
                </c:pt>
                <c:pt idx="1">
                  <c:v>19</c:v>
                </c:pt>
                <c:pt idx="2">
                  <c:v>39</c:v>
                </c:pt>
                <c:pt idx="3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541-402C-BE34-550B3F8D61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Region demographics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435-45F7-9B6E-0C6EC9FB757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435-45F7-9B6E-0C6EC9FB757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435-45F7-9B6E-0C6EC9FB757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435-45F7-9B6E-0C6EC9FB757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A93-4DE2-9EA5-985292003742}"/>
              </c:ext>
            </c:extLst>
          </c:dPt>
          <c:dLbls>
            <c:dLbl>
              <c:idx val="0"/>
              <c:layout>
                <c:manualLayout>
                  <c:x val="-0.1111111111111111"/>
                  <c:y val="0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299777631962672"/>
                      <c:h val="0.1109326959130108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1435-45F7-9B6E-0C6EC9FB757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C323FFA4-D189-49E7-AF82-30FC7DBDE98A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8%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1435-45F7-9B6E-0C6EC9FB757B}"/>
                </c:ext>
              </c:extLst>
            </c:dLbl>
            <c:dLbl>
              <c:idx val="2"/>
              <c:layout>
                <c:manualLayout>
                  <c:x val="4.1666666666666664E-2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435-45F7-9B6E-0C6EC9FB757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Northland</c:v>
                </c:pt>
                <c:pt idx="1">
                  <c:v>Midland</c:v>
                </c:pt>
                <c:pt idx="2">
                  <c:v>Central</c:v>
                </c:pt>
                <c:pt idx="3">
                  <c:v>South Island</c:v>
                </c:pt>
                <c:pt idx="4">
                  <c:v>Other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7</c:v>
                </c:pt>
                <c:pt idx="1">
                  <c:v>6</c:v>
                </c:pt>
                <c:pt idx="2">
                  <c:v>47</c:v>
                </c:pt>
                <c:pt idx="3">
                  <c:v>6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435-45F7-9B6E-0C6EC9FB75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Strongly agree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The event met its purpose</c:v>
                </c:pt>
              </c:strCache>
            </c:strRef>
          </c:cat>
          <c:val>
            <c:numRef>
              <c:f>Sheet1!$B$2</c:f>
              <c:numCache>
                <c:formatCode>0.00%</c:formatCode>
                <c:ptCount val="1"/>
                <c:pt idx="0">
                  <c:v>0.437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74-4250-B98D-B09E172D838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Agree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The event met its purpose</c:v>
                </c:pt>
              </c:strCache>
            </c:strRef>
          </c:cat>
          <c:val>
            <c:numRef>
              <c:f>Sheet1!$C$2</c:f>
              <c:numCache>
                <c:formatCode>0.00%</c:formatCode>
                <c:ptCount val="1"/>
                <c:pt idx="0">
                  <c:v>0.45100000000000001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74-4250-B98D-B09E172D8388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Unsure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The event met its purpose</c:v>
                </c:pt>
              </c:strCache>
            </c:strRef>
          </c:cat>
          <c:val>
            <c:numRef>
              <c:f>Sheet1!$D$2</c:f>
              <c:numCache>
                <c:formatCode>0.00%</c:formatCode>
                <c:ptCount val="1"/>
                <c:pt idx="0">
                  <c:v>5.6000000000000001E-2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674-4250-B98D-B09E172D8388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Disagree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The event met its purpose</c:v>
                </c:pt>
              </c:strCache>
            </c:strRef>
          </c:cat>
          <c:val>
            <c:numRef>
              <c:f>Sheet1!$E$2</c:f>
              <c:numCache>
                <c:formatCode>0.00%</c:formatCode>
                <c:ptCount val="1"/>
                <c:pt idx="0">
                  <c:v>2.8000000000000001E-2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674-4250-B98D-B09E172D8388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Strongly disagree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The event met its purpose</c:v>
                </c:pt>
              </c:strCache>
            </c:strRef>
          </c:cat>
          <c:val>
            <c:numRef>
              <c:f>Sheet1!$F$2</c:f>
              <c:numCache>
                <c:formatCode>0.00%</c:formatCode>
                <c:ptCount val="1"/>
                <c:pt idx="0">
                  <c:v>2.8000000000000001E-2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674-4250-B98D-B09E172D83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1345456"/>
        <c:axId val="791353616"/>
      </c:barChart>
      <c:catAx>
        <c:axId val="7913454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91353616"/>
        <c:crosses val="autoZero"/>
        <c:auto val="1"/>
        <c:lblAlgn val="ctr"/>
        <c:lblOffset val="100"/>
        <c:noMultiLvlLbl val="0"/>
      </c:catAx>
      <c:valAx>
        <c:axId val="791353616"/>
        <c:scaling>
          <c:orientation val="minMax"/>
          <c:max val="1"/>
        </c:scaling>
        <c:delete val="0"/>
        <c:axPos val="b"/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91345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Strongly agree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The event increased my confidence to engage with the health system</c:v>
                </c:pt>
                <c:pt idx="1">
                  <c:v>The event increased my confidence to engage with consumers</c:v>
                </c:pt>
              </c:strCache>
            </c:strRef>
          </c:cat>
          <c:val>
            <c:numRef>
              <c:f>Sheet1!$B$2:$B$3</c:f>
              <c:numCache>
                <c:formatCode>0.00%</c:formatCode>
                <c:ptCount val="2"/>
                <c:pt idx="0">
                  <c:v>0.22500000000000001</c:v>
                </c:pt>
                <c:pt idx="1">
                  <c:v>0.26800000000000002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B8-4F87-B664-5A1C4A71260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Agree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The event increased my confidence to engage with the health system</c:v>
                </c:pt>
                <c:pt idx="1">
                  <c:v>The event increased my confidence to engage with consumers</c:v>
                </c:pt>
              </c:strCache>
            </c:strRef>
          </c:cat>
          <c:val>
            <c:numRef>
              <c:f>Sheet1!$C$2:$C$3</c:f>
              <c:numCache>
                <c:formatCode>0.00%</c:formatCode>
                <c:ptCount val="2"/>
                <c:pt idx="0">
                  <c:v>0.254</c:v>
                </c:pt>
                <c:pt idx="1">
                  <c:v>0.46500000000000002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2B8-4F87-B664-5A1C4A71260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Unsure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The event increased my confidence to engage with the health system</c:v>
                </c:pt>
                <c:pt idx="1">
                  <c:v>The event increased my confidence to engage with consumers</c:v>
                </c:pt>
              </c:strCache>
            </c:strRef>
          </c:cat>
          <c:val>
            <c:numRef>
              <c:f>Sheet1!$D$2:$D$3</c:f>
              <c:numCache>
                <c:formatCode>0.00%</c:formatCode>
                <c:ptCount val="2"/>
                <c:pt idx="0">
                  <c:v>0.155</c:v>
                </c:pt>
                <c:pt idx="1">
                  <c:v>5.6000000000000001E-2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2B8-4F87-B664-5A1C4A712606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Disagree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The event increased my confidence to engage with the health system</c:v>
                </c:pt>
                <c:pt idx="1">
                  <c:v>The event increased my confidence to engage with consumers</c:v>
                </c:pt>
              </c:strCache>
            </c:strRef>
          </c:cat>
          <c:val>
            <c:numRef>
              <c:f>Sheet1!$E$2:$E$3</c:f>
              <c:numCache>
                <c:formatCode>0.00%</c:formatCode>
                <c:ptCount val="2"/>
                <c:pt idx="0">
                  <c:v>8.5000000000000006E-2</c:v>
                </c:pt>
                <c:pt idx="1">
                  <c:v>5.6000000000000001E-2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2B8-4F87-B664-5A1C4A712606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Strongly disagree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The event increased my confidence to engage with the health system</c:v>
                </c:pt>
                <c:pt idx="1">
                  <c:v>The event increased my confidence to engage with consumers</c:v>
                </c:pt>
              </c:strCache>
            </c:strRef>
          </c:cat>
          <c:val>
            <c:numRef>
              <c:f>Sheet1!$F$2:$F$3</c:f>
              <c:numCache>
                <c:formatCode>0.00%</c:formatCode>
                <c:ptCount val="2"/>
                <c:pt idx="0">
                  <c:v>1.4E-2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2B8-4F87-B664-5A1C4A712606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Sheet1!$A$2:$A$3</c:f>
              <c:strCache>
                <c:ptCount val="2"/>
                <c:pt idx="0">
                  <c:v>The event increased my confidence to engage with the health system</c:v>
                </c:pt>
                <c:pt idx="1">
                  <c:v>The event increased my confidence to engage with consumers</c:v>
                </c:pt>
              </c:strCache>
            </c:strRef>
          </c:cat>
          <c:val>
            <c:numRef>
              <c:f>Sheet1!$G$2:$G$3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5-12B8-4F87-B664-5A1C4A7126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9002176"/>
        <c:axId val="69003136"/>
      </c:barChart>
      <c:catAx>
        <c:axId val="690021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9003136"/>
        <c:crosses val="autoZero"/>
        <c:auto val="1"/>
        <c:lblAlgn val="ctr"/>
        <c:lblOffset val="100"/>
        <c:noMultiLvlLbl val="0"/>
      </c:catAx>
      <c:valAx>
        <c:axId val="69003136"/>
        <c:scaling>
          <c:orientation val="minMax"/>
        </c:scaling>
        <c:delete val="0"/>
        <c:axPos val="b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9002176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legendEntry>
        <c:idx val="5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2436333479148441"/>
          <c:y val="4.3650793650793648E-2"/>
          <c:w val="0.53846657188684743"/>
          <c:h val="0.7735183102112236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Strongly agree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The event was relevant and/or valuable to me</c:v>
                </c:pt>
              </c:strCache>
            </c:strRef>
          </c:cat>
          <c:val>
            <c:numRef>
              <c:f>Sheet1!$B$2</c:f>
              <c:numCache>
                <c:formatCode>0.00%</c:formatCode>
                <c:ptCount val="1"/>
                <c:pt idx="0">
                  <c:v>0.50700000000000001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25-4CC8-898F-AB4BC4AEFF3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Agree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The event was relevant and/or valuable to me</c:v>
                </c:pt>
              </c:strCache>
            </c:strRef>
          </c:cat>
          <c:val>
            <c:numRef>
              <c:f>Sheet1!$C$2</c:f>
              <c:numCache>
                <c:formatCode>0.00%</c:formatCode>
                <c:ptCount val="1"/>
                <c:pt idx="0">
                  <c:v>0.40799999999999997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525-4CC8-898F-AB4BC4AEFF3F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Unsure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The event was relevant and/or valuable to me</c:v>
                </c:pt>
              </c:strCache>
            </c:strRef>
          </c:cat>
          <c:val>
            <c:numRef>
              <c:f>Sheet1!$D$2</c:f>
              <c:numCache>
                <c:formatCode>0.00%</c:formatCode>
                <c:ptCount val="1"/>
                <c:pt idx="0">
                  <c:v>5.6000000000000001E-2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525-4CC8-898F-AB4BC4AEFF3F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Disagree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The event was relevant and/or valuable to me</c:v>
                </c:pt>
              </c:strCache>
            </c:strRef>
          </c:cat>
          <c:val>
            <c:numRef>
              <c:f>Sheet1!$E$2</c:f>
              <c:numCache>
                <c:formatCode>0.00%</c:formatCode>
                <c:ptCount val="1"/>
                <c:pt idx="0">
                  <c:v>1.4E-2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525-4CC8-898F-AB4BC4AEFF3F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Strongly disagree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The event was relevant and/or valuable to me</c:v>
                </c:pt>
              </c:strCache>
            </c:strRef>
          </c:cat>
          <c:val>
            <c:numRef>
              <c:f>Sheet1!$F$2</c:f>
              <c:numCache>
                <c:formatCode>0.00%</c:formatCode>
                <c:ptCount val="1"/>
                <c:pt idx="0">
                  <c:v>1.4E-2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525-4CC8-898F-AB4BC4AEFF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075378304"/>
        <c:axId val="48739504"/>
      </c:barChart>
      <c:catAx>
        <c:axId val="20753783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739504"/>
        <c:crosses val="autoZero"/>
        <c:auto val="1"/>
        <c:lblAlgn val="ctr"/>
        <c:lblOffset val="100"/>
        <c:noMultiLvlLbl val="0"/>
      </c:catAx>
      <c:valAx>
        <c:axId val="487395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75378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Strongly agree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The event supported my understanding of the Code of expectations</c:v>
                </c:pt>
              </c:strCache>
            </c:strRef>
          </c:cat>
          <c:val>
            <c:numRef>
              <c:f>Sheet1!$B$2</c:f>
              <c:numCache>
                <c:formatCode>0%</c:formatCode>
                <c:ptCount val="1"/>
                <c:pt idx="0">
                  <c:v>0.38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BA1-4416-9A4C-762F8630E8B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Agree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The event supported my understanding of the Code of expectations</c:v>
                </c:pt>
              </c:strCache>
            </c:strRef>
          </c:cat>
          <c:val>
            <c:numRef>
              <c:f>Sheet1!$C$2</c:f>
              <c:numCache>
                <c:formatCode>0.00%</c:formatCode>
                <c:ptCount val="1"/>
                <c:pt idx="0">
                  <c:v>0.45100000000000001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BA1-4416-9A4C-762F8630E8B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Unsure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The event supported my understanding of the Code of expectations</c:v>
                </c:pt>
              </c:strCache>
            </c:strRef>
          </c:cat>
          <c:val>
            <c:numRef>
              <c:f>Sheet1!$D$2</c:f>
              <c:numCache>
                <c:formatCode>0.00%</c:formatCode>
                <c:ptCount val="1"/>
                <c:pt idx="0">
                  <c:v>0.127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BA1-4416-9A4C-762F8630E8BA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Disagree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The event supported my understanding of the Code of expectations</c:v>
                </c:pt>
              </c:strCache>
            </c:strRef>
          </c:cat>
          <c:val>
            <c:numRef>
              <c:f>Sheet1!$E$2</c:f>
              <c:numCache>
                <c:formatCode>0.00%</c:formatCode>
                <c:ptCount val="1"/>
                <c:pt idx="0">
                  <c:v>4.2000000000000003E-2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BA1-4416-9A4C-762F8630E8BA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Strongly disagree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Sheet1!$A$2</c:f>
              <c:strCache>
                <c:ptCount val="1"/>
                <c:pt idx="0">
                  <c:v>The event supported my understanding of the Code of expectations</c:v>
                </c:pt>
              </c:strCache>
            </c:strRef>
          </c:cat>
          <c:val>
            <c:numRef>
              <c:f>Sheet1!$F$2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5-DBA1-4416-9A4C-762F8630E8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00513616"/>
        <c:axId val="291096704"/>
      </c:barChart>
      <c:catAx>
        <c:axId val="7005136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91096704"/>
        <c:crosses val="autoZero"/>
        <c:auto val="1"/>
        <c:lblAlgn val="ctr"/>
        <c:lblOffset val="100"/>
        <c:noMultiLvlLbl val="0"/>
      </c:catAx>
      <c:valAx>
        <c:axId val="2910967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00513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Sheet1!$A$3:$A$21</c:f>
              <c:strCache>
                <c:ptCount val="18"/>
                <c:pt idx="0">
                  <c:v>Minister of Health's video message</c:v>
                </c:pt>
                <c:pt idx="1">
                  <c:v>Opening address</c:v>
                </c:pt>
                <c:pt idx="2">
                  <c:v>Closing message</c:v>
                </c:pt>
                <c:pt idx="3">
                  <c:v>Morning keynote</c:v>
                </c:pt>
                <c:pt idx="4">
                  <c:v>Afternoon keynote</c:v>
                </c:pt>
                <c:pt idx="5">
                  <c:v>Master of ceremonies</c:v>
                </c:pt>
                <c:pt idx="6">
                  <c:v>He Oranga Pumau</c:v>
                </c:pt>
                <c:pt idx="7">
                  <c:v>Tāpiri Mai session</c:v>
                </c:pt>
                <c:pt idx="8">
                  <c:v>Panel discussion: Young Voices</c:v>
                </c:pt>
                <c:pt idx="9">
                  <c:v>Panel discussion: Health agency</c:v>
                </c:pt>
                <c:pt idx="10">
                  <c:v>Whaikaha discussion workshop</c:v>
                </c:pt>
                <c:pt idx="11">
                  <c:v>The Code of expectations</c:v>
                </c:pt>
                <c:pt idx="12">
                  <c:v>Listening to our communities</c:v>
                </c:pt>
                <c:pt idx="13">
                  <c:v>Marae-based clinics</c:v>
                </c:pt>
                <c:pt idx="14">
                  <c:v>Getting back on track</c:v>
                </c:pt>
                <c:pt idx="15">
                  <c:v>Informal networking opportunities</c:v>
                </c:pt>
                <c:pt idx="16">
                  <c:v>Accessibility of the event and venue</c:v>
                </c:pt>
                <c:pt idx="17">
                  <c:v>Other</c:v>
                </c:pt>
              </c:strCache>
            </c:strRef>
          </c:cat>
          <c:val>
            <c:numRef>
              <c:f>Sheet1!$B$3:$B$21</c:f>
              <c:numCache>
                <c:formatCode>General</c:formatCode>
                <c:ptCount val="19"/>
                <c:pt idx="0">
                  <c:v>2</c:v>
                </c:pt>
                <c:pt idx="1">
                  <c:v>3</c:v>
                </c:pt>
                <c:pt idx="2">
                  <c:v>1</c:v>
                </c:pt>
                <c:pt idx="3">
                  <c:v>45</c:v>
                </c:pt>
                <c:pt idx="4">
                  <c:v>17</c:v>
                </c:pt>
                <c:pt idx="5">
                  <c:v>7</c:v>
                </c:pt>
                <c:pt idx="6">
                  <c:v>6</c:v>
                </c:pt>
                <c:pt idx="7">
                  <c:v>25</c:v>
                </c:pt>
                <c:pt idx="8">
                  <c:v>12</c:v>
                </c:pt>
                <c:pt idx="9">
                  <c:v>10</c:v>
                </c:pt>
                <c:pt idx="10">
                  <c:v>12</c:v>
                </c:pt>
                <c:pt idx="11">
                  <c:v>8</c:v>
                </c:pt>
                <c:pt idx="12">
                  <c:v>11</c:v>
                </c:pt>
                <c:pt idx="13">
                  <c:v>13</c:v>
                </c:pt>
                <c:pt idx="14">
                  <c:v>5</c:v>
                </c:pt>
                <c:pt idx="15">
                  <c:v>20</c:v>
                </c:pt>
                <c:pt idx="16">
                  <c:v>2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A4-4FD1-A8BE-53A23C7257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867439120"/>
        <c:axId val="1867440560"/>
      </c:barChart>
      <c:catAx>
        <c:axId val="1867439120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67440560"/>
        <c:crosses val="autoZero"/>
        <c:auto val="1"/>
        <c:lblAlgn val="ctr"/>
        <c:lblOffset val="100"/>
        <c:noMultiLvlLbl val="0"/>
      </c:catAx>
      <c:valAx>
        <c:axId val="1867440560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674391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Te Tāhū Hauora">
      <a:dk1>
        <a:srgbClr val="121212"/>
      </a:dk1>
      <a:lt1>
        <a:srgbClr val="FFFFFF"/>
      </a:lt1>
      <a:dk2>
        <a:srgbClr val="2C2568"/>
      </a:dk2>
      <a:lt2>
        <a:srgbClr val="E8E5E5"/>
      </a:lt2>
      <a:accent1>
        <a:srgbClr val="2C2568"/>
      </a:accent1>
      <a:accent2>
        <a:srgbClr val="107383"/>
      </a:accent2>
      <a:accent3>
        <a:srgbClr val="37B0A8"/>
      </a:accent3>
      <a:accent4>
        <a:srgbClr val="904281"/>
      </a:accent4>
      <a:accent5>
        <a:srgbClr val="BB7CB3"/>
      </a:accent5>
      <a:accent6>
        <a:srgbClr val="FF4F2D"/>
      </a:accent6>
      <a:hlink>
        <a:srgbClr val="2C2568"/>
      </a:hlink>
      <a:folHlink>
        <a:srgbClr val="2C25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B09B2-7A23-42CB-B1EC-F5F8DED665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1cefdf-35f4-4444-8638-55f0e12ab1c4}" enabled="0" method="" siteId="{701cefdf-35f4-4444-8638-55f0e12ab1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3277</Words>
  <Characters>15928</Characters>
  <Application>Microsoft Office Word</Application>
  <DocSecurity>0</DocSecurity>
  <Lines>637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2025-12-19T00:17:00Z</dcterms:created>
  <dcterms:modified xsi:type="dcterms:W3CDTF">2025-12-19T00:26:00Z</dcterms:modified>
</cp:coreProperties>
</file>