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01E7C" w14:textId="77777777" w:rsidR="00AF57B3" w:rsidRPr="006D1081" w:rsidRDefault="009C1104" w:rsidP="00A313E6">
      <w:pPr>
        <w:pStyle w:val="HQSChead1"/>
        <w:rPr>
          <w:sz w:val="32"/>
          <w:szCs w:val="28"/>
        </w:rPr>
      </w:pPr>
      <w:r w:rsidRPr="006D1081">
        <w:rPr>
          <w:noProof/>
          <w:sz w:val="32"/>
          <w:szCs w:val="28"/>
        </w:rPr>
        <w:drawing>
          <wp:anchor distT="0" distB="0" distL="114300" distR="114300" simplePos="0" relativeHeight="251659264" behindDoc="1" locked="0" layoutInCell="1" allowOverlap="1" wp14:anchorId="2A88C58E" wp14:editId="1C417840">
            <wp:simplePos x="0" y="0"/>
            <wp:positionH relativeFrom="page">
              <wp:align>right</wp:align>
            </wp:positionH>
            <wp:positionV relativeFrom="paragraph">
              <wp:posOffset>-914400</wp:posOffset>
            </wp:positionV>
            <wp:extent cx="7541254" cy="1930400"/>
            <wp:effectExtent l="0" t="0" r="3175" b="0"/>
            <wp:wrapNone/>
            <wp:docPr id="5" name="Picture 5" descr="Dark blue background with the Health Quality &amp; Safety Commission Te Tāhū Hauora logo at the top right, and a tohu (Māori pattern) at the top left both in white. The Health Quality &amp; Safety Commission Te Tāhū Hauora logo is made up of the words Health Quality &amp; Safety Commission with the words Te Tāhū Hauora underneath. Alongside is a stylised version of a wharenui in a triangle shape, with the tāhū (ridgepole), heke (rafters) and niho taniwha (triangle pattern) be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ark blue background with the Health Quality &amp; Safety Commission Te Tāhū Hauora logo at the top right, and a tohu (Māori pattern) at the top left both in white. The Health Quality &amp; Safety Commission Te Tāhū Hauora logo is made up of the words Health Quality &amp; Safety Commission with the words Te Tāhū Hauora underneath. Alongside is a stylised version of a wharenui in a triangle shape, with the tāhū (ridgepole), heke (rafters) and niho taniwha (triangle pattern) beneath."/>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1254" cy="1930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9EE6764" w14:textId="77777777" w:rsidR="00AF57B3" w:rsidRPr="006D1081" w:rsidRDefault="00AF57B3" w:rsidP="00A313E6">
      <w:pPr>
        <w:pStyle w:val="HQSChead1"/>
        <w:rPr>
          <w:sz w:val="32"/>
          <w:szCs w:val="28"/>
        </w:rPr>
      </w:pPr>
    </w:p>
    <w:p w14:paraId="088D8329" w14:textId="77777777" w:rsidR="004F7BC0" w:rsidRDefault="004F7BC0" w:rsidP="000F493A">
      <w:pPr>
        <w:pStyle w:val="HQSChead1"/>
      </w:pPr>
    </w:p>
    <w:p w14:paraId="2C3659A5" w14:textId="010A7094" w:rsidR="000F493A" w:rsidRPr="000F493A" w:rsidRDefault="000F493A" w:rsidP="000F493A">
      <w:pPr>
        <w:pStyle w:val="HQSChead1"/>
      </w:pPr>
      <w:r w:rsidRPr="000F493A">
        <w:t>Lived experience is real world knowledge about what works in practice, not just on paper</w:t>
      </w:r>
    </w:p>
    <w:p w14:paraId="3C19CD5B" w14:textId="77777777" w:rsidR="000F493A" w:rsidRPr="000F493A" w:rsidRDefault="000F493A" w:rsidP="000F493A">
      <w:pPr>
        <w:rPr>
          <w:color w:val="2C2568" w:themeColor="accent1"/>
          <w:sz w:val="24"/>
          <w:szCs w:val="24"/>
        </w:rPr>
      </w:pPr>
    </w:p>
    <w:p w14:paraId="44E801A9" w14:textId="77777777" w:rsidR="000F493A" w:rsidRPr="000F493A" w:rsidRDefault="000F493A" w:rsidP="000F493A">
      <w:pPr>
        <w:rPr>
          <w:color w:val="2C2568" w:themeColor="accent1"/>
          <w:sz w:val="24"/>
          <w:szCs w:val="24"/>
        </w:rPr>
      </w:pPr>
      <w:r w:rsidRPr="000F493A">
        <w:rPr>
          <w:color w:val="2C2568" w:themeColor="accent1"/>
          <w:sz w:val="24"/>
          <w:szCs w:val="24"/>
        </w:rPr>
        <w:t xml:space="preserve">This case study shows how consumers’ contributions to reviews of the Australasian Health Facility Guidelines help shape better health environments. </w:t>
      </w:r>
    </w:p>
    <w:p w14:paraId="139495ED" w14:textId="77777777" w:rsidR="000F493A" w:rsidRPr="00EB1535" w:rsidRDefault="000F493A" w:rsidP="000F493A">
      <w:pPr>
        <w:rPr>
          <w:rFonts w:cs="Arial"/>
        </w:rPr>
      </w:pPr>
      <w:r>
        <w:rPr>
          <w:rFonts w:cs="Arial"/>
        </w:rPr>
        <w:t xml:space="preserve">It </w:t>
      </w:r>
      <w:r w:rsidRPr="16B06E73">
        <w:rPr>
          <w:rFonts w:cs="Arial"/>
        </w:rPr>
        <w:t xml:space="preserve">examines how consumer members experienced being engaged in </w:t>
      </w:r>
      <w:r>
        <w:rPr>
          <w:rFonts w:cs="Arial"/>
        </w:rPr>
        <w:t>the review</w:t>
      </w:r>
      <w:r w:rsidRPr="16B06E73">
        <w:rPr>
          <w:rFonts w:cs="Arial"/>
        </w:rPr>
        <w:t xml:space="preserve"> process, and what helped or limited their ability to contribute based on their lived experience of using health services.</w:t>
      </w:r>
      <w:r>
        <w:rPr>
          <w:rFonts w:cs="Arial"/>
        </w:rPr>
        <w:t xml:space="preserve"> It </w:t>
      </w:r>
      <w:r w:rsidRPr="16B06E73">
        <w:rPr>
          <w:rFonts w:cs="Arial"/>
        </w:rPr>
        <w:t>does not evaluate the Australasian Health Facility Guidelines or the technical quality of the guideline review process</w:t>
      </w:r>
      <w:r>
        <w:rPr>
          <w:rFonts w:cs="Arial"/>
        </w:rPr>
        <w:t>.</w:t>
      </w:r>
    </w:p>
    <w:p w14:paraId="46485D4B" w14:textId="77777777" w:rsidR="000F493A" w:rsidRPr="00033AD2" w:rsidRDefault="000F493A" w:rsidP="000F493A">
      <w:pPr>
        <w:rPr>
          <w:rFonts w:cs="Arial"/>
        </w:rPr>
      </w:pPr>
      <w:r w:rsidRPr="00033AD2">
        <w:rPr>
          <w:rFonts w:cs="Arial"/>
        </w:rPr>
        <w:t>Sharing lived experience while navigating acute life events</w:t>
      </w:r>
      <w:r>
        <w:rPr>
          <w:rFonts w:cs="Arial"/>
        </w:rPr>
        <w:t xml:space="preserve"> – </w:t>
      </w:r>
      <w:r w:rsidRPr="00033AD2">
        <w:rPr>
          <w:rFonts w:cs="Arial"/>
        </w:rPr>
        <w:t>such as childbirth, critical care, or serious illness</w:t>
      </w:r>
      <w:r>
        <w:rPr>
          <w:rFonts w:cs="Arial"/>
        </w:rPr>
        <w:t xml:space="preserve"> – </w:t>
      </w:r>
      <w:r w:rsidRPr="00033AD2">
        <w:rPr>
          <w:rFonts w:cs="Arial"/>
        </w:rPr>
        <w:t xml:space="preserve">can be challenging. It can also be deeply meaningful. By sharing what worked and what didn’t, these </w:t>
      </w:r>
      <w:r w:rsidRPr="00A721AA">
        <w:rPr>
          <w:rFonts w:cs="Arial"/>
        </w:rPr>
        <w:t>people</w:t>
      </w:r>
      <w:r w:rsidRPr="00033AD2">
        <w:rPr>
          <w:rFonts w:cs="Arial"/>
        </w:rPr>
        <w:t xml:space="preserve"> helped shape better health environments for others.</w:t>
      </w:r>
      <w:r>
        <w:rPr>
          <w:rFonts w:cs="Arial"/>
        </w:rPr>
        <w:t xml:space="preserve"> </w:t>
      </w:r>
    </w:p>
    <w:p w14:paraId="612FE8ED" w14:textId="77777777" w:rsidR="000F493A" w:rsidRPr="00A721AA" w:rsidRDefault="000F493A" w:rsidP="000F493A">
      <w:pPr>
        <w:rPr>
          <w:rFonts w:cs="Arial"/>
        </w:rPr>
      </w:pPr>
      <w:r w:rsidRPr="00033AD2">
        <w:rPr>
          <w:rFonts w:cs="Arial"/>
        </w:rPr>
        <w:t>We thank everyone who shared their experience. This case study is intended as a practical learning tool for health services and programme teams, and as encouragement for other consumers who may be considering participating in design work.</w:t>
      </w:r>
    </w:p>
    <w:p w14:paraId="0607AE68" w14:textId="77777777" w:rsidR="000F493A" w:rsidRPr="00A721AA" w:rsidRDefault="000F493A" w:rsidP="000F493A">
      <w:pPr>
        <w:rPr>
          <w:rFonts w:cs="Arial"/>
          <w:b/>
          <w:bCs/>
        </w:rPr>
      </w:pPr>
      <w:r w:rsidRPr="000F493A">
        <w:rPr>
          <w:color w:val="2C2568" w:themeColor="accent1"/>
          <w:sz w:val="24"/>
          <w:szCs w:val="24"/>
        </w:rPr>
        <w:t>Background</w:t>
      </w:r>
    </w:p>
    <w:p w14:paraId="6FBA8B3E" w14:textId="77777777" w:rsidR="000F493A" w:rsidRPr="00033AD2" w:rsidRDefault="000F493A" w:rsidP="000F493A">
      <w:pPr>
        <w:rPr>
          <w:rFonts w:cs="Arial"/>
        </w:rPr>
      </w:pPr>
      <w:r w:rsidRPr="00033AD2">
        <w:rPr>
          <w:rFonts w:cs="Arial"/>
        </w:rPr>
        <w:t xml:space="preserve">In 2004, </w:t>
      </w:r>
      <w:r>
        <w:rPr>
          <w:rFonts w:cs="Arial"/>
        </w:rPr>
        <w:t>Health New Zealand | Te Whatu Ora (</w:t>
      </w:r>
      <w:r w:rsidRPr="00033AD2">
        <w:rPr>
          <w:rFonts w:cs="Arial"/>
        </w:rPr>
        <w:t>Health NZ</w:t>
      </w:r>
      <w:r>
        <w:rPr>
          <w:rFonts w:cs="Arial"/>
        </w:rPr>
        <w:t>)</w:t>
      </w:r>
      <w:r w:rsidRPr="00033AD2">
        <w:rPr>
          <w:rFonts w:cs="Arial"/>
        </w:rPr>
        <w:t xml:space="preserve"> joined the Australasian Health Infrastructure Alliance (AHIA), a partnership between Australian and New Zealand public health organisations. Together, they develop the Australasian Health Facility Guidelines</w:t>
      </w:r>
      <w:r w:rsidRPr="00A721AA">
        <w:rPr>
          <w:rStyle w:val="FootnoteReference"/>
          <w:rFonts w:cs="Arial"/>
          <w:lang w:val="en-US"/>
        </w:rPr>
        <w:footnoteReference w:id="1"/>
      </w:r>
      <w:r w:rsidRPr="00033AD2">
        <w:rPr>
          <w:rFonts w:cs="Arial"/>
        </w:rPr>
        <w:t xml:space="preserve"> </w:t>
      </w:r>
      <w:r>
        <w:rPr>
          <w:rFonts w:cs="Arial"/>
        </w:rPr>
        <w:t>–</w:t>
      </w:r>
      <w:r w:rsidRPr="00A721AA">
        <w:rPr>
          <w:rFonts w:cs="Arial"/>
        </w:rPr>
        <w:t xml:space="preserve"> </w:t>
      </w:r>
      <w:r w:rsidRPr="00033AD2">
        <w:rPr>
          <w:rFonts w:cs="Arial"/>
        </w:rPr>
        <w:t xml:space="preserve">detailed guidance that shapes how health spaces are designed, </w:t>
      </w:r>
      <w:r w:rsidRPr="00A721AA">
        <w:rPr>
          <w:rFonts w:cs="Arial"/>
        </w:rPr>
        <w:t xml:space="preserve">everything </w:t>
      </w:r>
      <w:r w:rsidRPr="00033AD2">
        <w:rPr>
          <w:rFonts w:cs="Arial"/>
        </w:rPr>
        <w:t>from layout and room size to lighting, power outlets, and bathroom fittings.</w:t>
      </w:r>
    </w:p>
    <w:p w14:paraId="627CC3F4" w14:textId="77777777" w:rsidR="000F493A" w:rsidRPr="00033AD2" w:rsidRDefault="000F493A" w:rsidP="000F493A">
      <w:pPr>
        <w:rPr>
          <w:rFonts w:cs="Arial"/>
        </w:rPr>
      </w:pPr>
      <w:r w:rsidRPr="16B06E73">
        <w:rPr>
          <w:rFonts w:cs="Arial"/>
        </w:rPr>
        <w:t>Guidelines are reviewed every three to five years through research, consultation, and collaboration between clinicians, technical experts and consumers. Opportunities to participate are advertised through Health NZ and the Consumer Health Forum Aotearoa. W</w:t>
      </w:r>
      <w:r w:rsidRPr="16B06E73">
        <w:rPr>
          <w:rFonts w:cs="Arial"/>
          <w:lang w:val="en-US"/>
        </w:rPr>
        <w:t>hat we found through these interviews was that consumer networks are tight and word of mouth plays a powerful role in recruiting to roles such as these.</w:t>
      </w:r>
    </w:p>
    <w:p w14:paraId="67766059" w14:textId="77777777" w:rsidR="000F493A" w:rsidRPr="00A721AA" w:rsidRDefault="000F493A" w:rsidP="000F493A">
      <w:pPr>
        <w:rPr>
          <w:rFonts w:cs="Arial"/>
        </w:rPr>
      </w:pPr>
      <w:r w:rsidRPr="00A721AA">
        <w:rPr>
          <w:rFonts w:cs="Arial"/>
        </w:rPr>
        <w:t>E</w:t>
      </w:r>
      <w:r w:rsidRPr="00C37284">
        <w:rPr>
          <w:rFonts w:cs="Arial"/>
        </w:rPr>
        <w:t>ach interviewee contributed to a different guideline review</w:t>
      </w:r>
      <w:r w:rsidRPr="00A721AA">
        <w:rPr>
          <w:rFonts w:cs="Arial"/>
        </w:rPr>
        <w:t>. While</w:t>
      </w:r>
      <w:r w:rsidRPr="00C37284">
        <w:rPr>
          <w:rFonts w:cs="Arial"/>
        </w:rPr>
        <w:t xml:space="preserve"> their experiences varied</w:t>
      </w:r>
      <w:r w:rsidRPr="00A721AA">
        <w:rPr>
          <w:rFonts w:cs="Arial"/>
        </w:rPr>
        <w:t xml:space="preserve">, </w:t>
      </w:r>
      <w:r w:rsidRPr="00C37284">
        <w:rPr>
          <w:rFonts w:cs="Arial"/>
        </w:rPr>
        <w:t>what they valued was consistent.</w:t>
      </w:r>
    </w:p>
    <w:p w14:paraId="10288C42" w14:textId="77777777" w:rsidR="00762517" w:rsidRDefault="00762517">
      <w:pPr>
        <w:spacing w:after="200"/>
        <w:rPr>
          <w:color w:val="2C2568" w:themeColor="accent1"/>
          <w:sz w:val="24"/>
          <w:szCs w:val="24"/>
        </w:rPr>
      </w:pPr>
      <w:r>
        <w:rPr>
          <w:color w:val="2C2568" w:themeColor="accent1"/>
          <w:sz w:val="24"/>
          <w:szCs w:val="24"/>
        </w:rPr>
        <w:br w:type="page"/>
      </w:r>
    </w:p>
    <w:p w14:paraId="435B2813" w14:textId="7C7E30F1" w:rsidR="000F493A" w:rsidRPr="000F493A" w:rsidRDefault="000F493A" w:rsidP="000F493A">
      <w:pPr>
        <w:rPr>
          <w:color w:val="2C2568" w:themeColor="accent1"/>
          <w:sz w:val="24"/>
          <w:szCs w:val="24"/>
        </w:rPr>
      </w:pPr>
      <w:r w:rsidRPr="000F493A">
        <w:rPr>
          <w:color w:val="2C2568" w:themeColor="accent1"/>
          <w:sz w:val="24"/>
          <w:szCs w:val="24"/>
        </w:rPr>
        <w:lastRenderedPageBreak/>
        <w:t>Why people got involved</w:t>
      </w:r>
    </w:p>
    <w:p w14:paraId="1B1D3067" w14:textId="77777777" w:rsidR="000F493A" w:rsidRPr="00AF5BB8" w:rsidRDefault="000F493A" w:rsidP="000F493A">
      <w:pPr>
        <w:rPr>
          <w:rFonts w:cs="Arial"/>
        </w:rPr>
      </w:pPr>
      <w:r w:rsidRPr="00AF5BB8">
        <w:rPr>
          <w:rFonts w:cs="Arial"/>
        </w:rPr>
        <w:t>Across multiple interviews, contributors were motivated by their own experiences of gaps or shortcomings and by a belief that those experiences gave them insights that could help improve things for others.</w:t>
      </w:r>
    </w:p>
    <w:p w14:paraId="49D6AE8B" w14:textId="77777777" w:rsidR="000F493A" w:rsidRPr="00A721AA" w:rsidRDefault="000F493A" w:rsidP="000F493A">
      <w:pPr>
        <w:rPr>
          <w:rFonts w:cs="Arial"/>
          <w:i/>
          <w:iCs/>
          <w:lang w:val="en-US"/>
        </w:rPr>
      </w:pPr>
      <w:r w:rsidRPr="00020FDD">
        <w:rPr>
          <w:rFonts w:cs="Arial"/>
          <w:i/>
          <w:iCs/>
        </w:rPr>
        <w:t>“</w:t>
      </w:r>
      <w:r w:rsidRPr="00020FDD">
        <w:rPr>
          <w:rFonts w:cs="Arial"/>
          <w:i/>
          <w:iCs/>
          <w:lang w:val="en-US"/>
        </w:rPr>
        <w:t>There are things built into health spaces that just don’t work for people like me</w:t>
      </w:r>
      <w:r>
        <w:rPr>
          <w:rFonts w:cs="Arial"/>
          <w:i/>
          <w:iCs/>
          <w:lang w:val="en-US"/>
        </w:rPr>
        <w:t xml:space="preserve"> – </w:t>
      </w:r>
      <w:r w:rsidRPr="00020FDD">
        <w:rPr>
          <w:rFonts w:cs="Arial"/>
          <w:i/>
          <w:iCs/>
          <w:lang w:val="en-US"/>
        </w:rPr>
        <w:t>and unless we’re in the room, no one notices.”</w:t>
      </w:r>
    </w:p>
    <w:p w14:paraId="4BF2DD24" w14:textId="77777777" w:rsidR="000F493A" w:rsidRPr="00A721AA" w:rsidRDefault="000F493A" w:rsidP="000F493A">
      <w:pPr>
        <w:rPr>
          <w:rFonts w:cs="Arial"/>
          <w:i/>
          <w:iCs/>
        </w:rPr>
      </w:pPr>
      <w:r w:rsidRPr="16B06E73">
        <w:rPr>
          <w:rFonts w:cs="Arial"/>
          <w:i/>
          <w:iCs/>
        </w:rPr>
        <w:t xml:space="preserve">“I wanted to use my experience to create positive change for other whānau. Knowing that something good came from a very difficult experience </w:t>
      </w:r>
      <w:r>
        <w:rPr>
          <w:rFonts w:cs="Arial"/>
          <w:i/>
          <w:iCs/>
        </w:rPr>
        <w:t>–</w:t>
      </w:r>
      <w:r w:rsidRPr="16B06E73">
        <w:rPr>
          <w:rFonts w:cs="Arial"/>
          <w:i/>
          <w:iCs/>
        </w:rPr>
        <w:t xml:space="preserve"> beyond my children </w:t>
      </w:r>
      <w:r>
        <w:rPr>
          <w:rFonts w:cs="Arial"/>
          <w:i/>
          <w:iCs/>
        </w:rPr>
        <w:t>–</w:t>
      </w:r>
      <w:r w:rsidRPr="16B06E73">
        <w:rPr>
          <w:rFonts w:cs="Arial"/>
          <w:i/>
          <w:iCs/>
        </w:rPr>
        <w:t xml:space="preserve"> and that others may have less traumatic journeys because of it, matters to me.”</w:t>
      </w:r>
    </w:p>
    <w:p w14:paraId="3F1A9554" w14:textId="77777777" w:rsidR="000F493A" w:rsidRPr="005F1381" w:rsidRDefault="000F493A" w:rsidP="000F493A">
      <w:pPr>
        <w:rPr>
          <w:rFonts w:cs="Arial"/>
        </w:rPr>
      </w:pPr>
      <w:r w:rsidRPr="005F1381">
        <w:rPr>
          <w:rFonts w:cs="Arial"/>
        </w:rPr>
        <w:t>Their motivation was practical: make health spaces safer, more dignified, and more usable for real people.</w:t>
      </w:r>
    </w:p>
    <w:p w14:paraId="79DF9CE4" w14:textId="77777777" w:rsidR="000F493A" w:rsidRPr="00A721AA" w:rsidRDefault="000F493A" w:rsidP="000F493A">
      <w:pPr>
        <w:rPr>
          <w:rFonts w:cs="Arial"/>
          <w:b/>
          <w:bCs/>
        </w:rPr>
      </w:pPr>
      <w:r w:rsidRPr="000F493A">
        <w:rPr>
          <w:color w:val="2C2568" w:themeColor="accent1"/>
          <w:sz w:val="24"/>
          <w:szCs w:val="24"/>
        </w:rPr>
        <w:t>What consumer representatives valued</w:t>
      </w:r>
    </w:p>
    <w:p w14:paraId="1292CDD1" w14:textId="77777777" w:rsidR="000F493A" w:rsidRPr="005F1381" w:rsidRDefault="000F493A" w:rsidP="000F493A">
      <w:pPr>
        <w:rPr>
          <w:rFonts w:cs="Arial"/>
        </w:rPr>
      </w:pPr>
      <w:r w:rsidRPr="005F1381">
        <w:rPr>
          <w:rFonts w:cs="Arial"/>
        </w:rPr>
        <w:t>Participants consistently valued:</w:t>
      </w:r>
    </w:p>
    <w:p w14:paraId="24EE8F7D" w14:textId="77777777" w:rsidR="000F493A" w:rsidRPr="00A721AA" w:rsidRDefault="000F493A" w:rsidP="000F493A">
      <w:pPr>
        <w:pStyle w:val="ListParagraph"/>
        <w:numPr>
          <w:ilvl w:val="0"/>
          <w:numId w:val="22"/>
        </w:numPr>
        <w:spacing w:after="0"/>
        <w:ind w:left="714" w:hanging="357"/>
        <w:rPr>
          <w:rFonts w:cs="Arial"/>
        </w:rPr>
      </w:pPr>
      <w:r>
        <w:rPr>
          <w:rFonts w:cs="Arial"/>
        </w:rPr>
        <w:t>a</w:t>
      </w:r>
      <w:r w:rsidRPr="16B06E73">
        <w:rPr>
          <w:rFonts w:cs="Arial"/>
        </w:rPr>
        <w:t xml:space="preserve"> clear purpose and structure</w:t>
      </w:r>
    </w:p>
    <w:p w14:paraId="6F03699A" w14:textId="77777777" w:rsidR="000F493A" w:rsidRPr="00A721AA" w:rsidRDefault="000F493A" w:rsidP="000F493A">
      <w:pPr>
        <w:pStyle w:val="ListParagraph"/>
        <w:numPr>
          <w:ilvl w:val="0"/>
          <w:numId w:val="22"/>
        </w:numPr>
        <w:spacing w:after="0"/>
        <w:ind w:left="714" w:hanging="357"/>
        <w:rPr>
          <w:rFonts w:cs="Arial"/>
        </w:rPr>
      </w:pPr>
      <w:r>
        <w:rPr>
          <w:rFonts w:cs="Arial"/>
        </w:rPr>
        <w:t>getting i</w:t>
      </w:r>
      <w:r w:rsidRPr="16B06E73">
        <w:rPr>
          <w:rFonts w:cs="Arial"/>
        </w:rPr>
        <w:t>nformation early – and updates along the way</w:t>
      </w:r>
    </w:p>
    <w:p w14:paraId="70F725D0" w14:textId="77777777" w:rsidR="000F493A" w:rsidRPr="00A721AA" w:rsidRDefault="000F493A" w:rsidP="000F493A">
      <w:pPr>
        <w:pStyle w:val="ListParagraph"/>
        <w:numPr>
          <w:ilvl w:val="0"/>
          <w:numId w:val="22"/>
        </w:numPr>
        <w:spacing w:after="0"/>
        <w:ind w:left="714" w:hanging="357"/>
        <w:rPr>
          <w:rFonts w:cs="Arial"/>
        </w:rPr>
      </w:pPr>
      <w:r>
        <w:rPr>
          <w:rFonts w:cs="Arial"/>
        </w:rPr>
        <w:t>e</w:t>
      </w:r>
      <w:r w:rsidRPr="00A721AA">
        <w:rPr>
          <w:rFonts w:cs="Arial"/>
        </w:rPr>
        <w:t>nough time to read, think and respond</w:t>
      </w:r>
    </w:p>
    <w:p w14:paraId="547299EB" w14:textId="77777777" w:rsidR="000F493A" w:rsidRPr="00A721AA" w:rsidRDefault="000F493A" w:rsidP="000F493A">
      <w:pPr>
        <w:pStyle w:val="ListParagraph"/>
        <w:numPr>
          <w:ilvl w:val="0"/>
          <w:numId w:val="22"/>
        </w:numPr>
        <w:spacing w:after="0"/>
        <w:ind w:left="714" w:hanging="357"/>
        <w:rPr>
          <w:rFonts w:cs="Arial"/>
        </w:rPr>
      </w:pPr>
      <w:r>
        <w:rPr>
          <w:rFonts w:cs="Arial"/>
        </w:rPr>
        <w:t>m</w:t>
      </w:r>
      <w:r w:rsidRPr="16B06E73">
        <w:rPr>
          <w:rFonts w:cs="Arial"/>
        </w:rPr>
        <w:t>eaningful engagement</w:t>
      </w:r>
    </w:p>
    <w:p w14:paraId="4B87A1DD" w14:textId="77777777" w:rsidR="000F493A" w:rsidRPr="00A721AA" w:rsidRDefault="000F493A" w:rsidP="000F493A">
      <w:pPr>
        <w:pStyle w:val="ListParagraph"/>
        <w:numPr>
          <w:ilvl w:val="0"/>
          <w:numId w:val="22"/>
        </w:numPr>
        <w:spacing w:after="0"/>
        <w:ind w:left="714" w:hanging="357"/>
        <w:rPr>
          <w:rFonts w:cs="Arial"/>
        </w:rPr>
      </w:pPr>
      <w:r>
        <w:rPr>
          <w:rFonts w:cs="Arial"/>
        </w:rPr>
        <w:t>s</w:t>
      </w:r>
      <w:r w:rsidRPr="16B06E73">
        <w:rPr>
          <w:rFonts w:cs="Arial"/>
        </w:rPr>
        <w:t>killed facilitation that balanced quieter and louder voices</w:t>
      </w:r>
    </w:p>
    <w:p w14:paraId="2D597ECB" w14:textId="77777777" w:rsidR="000F493A" w:rsidRPr="00430F3E" w:rsidRDefault="000F493A" w:rsidP="000F493A">
      <w:pPr>
        <w:numPr>
          <w:ilvl w:val="0"/>
          <w:numId w:val="22"/>
        </w:numPr>
        <w:spacing w:after="0"/>
        <w:ind w:left="714" w:hanging="357"/>
        <w:rPr>
          <w:rFonts w:cs="Arial"/>
        </w:rPr>
      </w:pPr>
      <w:r>
        <w:rPr>
          <w:rFonts w:cs="Arial"/>
        </w:rPr>
        <w:t>r</w:t>
      </w:r>
      <w:r w:rsidRPr="16B06E73">
        <w:rPr>
          <w:rFonts w:cs="Arial"/>
        </w:rPr>
        <w:t>espectful, emotionally and culturally safe environments</w:t>
      </w:r>
    </w:p>
    <w:p w14:paraId="5D61ED9D" w14:textId="77777777" w:rsidR="000F493A" w:rsidRPr="00A721AA" w:rsidRDefault="000F493A" w:rsidP="000F493A">
      <w:pPr>
        <w:pStyle w:val="ListParagraph"/>
        <w:numPr>
          <w:ilvl w:val="0"/>
          <w:numId w:val="22"/>
        </w:numPr>
        <w:spacing w:after="0"/>
        <w:ind w:left="714" w:hanging="357"/>
        <w:rPr>
          <w:rFonts w:cs="Arial"/>
        </w:rPr>
      </w:pPr>
      <w:r>
        <w:rPr>
          <w:rFonts w:cs="Arial"/>
        </w:rPr>
        <w:t>e</w:t>
      </w:r>
      <w:r w:rsidRPr="00A721AA">
        <w:rPr>
          <w:rFonts w:cs="Arial"/>
        </w:rPr>
        <w:t>mpathy of the experience that led people to this work</w:t>
      </w:r>
    </w:p>
    <w:p w14:paraId="10E57EE6" w14:textId="77777777" w:rsidR="000F493A" w:rsidRDefault="000F493A" w:rsidP="000F493A">
      <w:pPr>
        <w:pStyle w:val="ListParagraph"/>
        <w:numPr>
          <w:ilvl w:val="0"/>
          <w:numId w:val="22"/>
        </w:numPr>
        <w:spacing w:after="0"/>
        <w:ind w:left="714" w:hanging="357"/>
        <w:rPr>
          <w:rFonts w:cs="Arial"/>
        </w:rPr>
      </w:pPr>
      <w:r>
        <w:rPr>
          <w:rFonts w:cs="Arial"/>
        </w:rPr>
        <w:t>r</w:t>
      </w:r>
      <w:r w:rsidRPr="00A721AA">
        <w:rPr>
          <w:rFonts w:cs="Arial"/>
        </w:rPr>
        <w:t>esponsiveness and closing loops</w:t>
      </w:r>
      <w:r>
        <w:rPr>
          <w:rFonts w:cs="Arial"/>
        </w:rPr>
        <w:t>.</w:t>
      </w:r>
    </w:p>
    <w:p w14:paraId="645AC13F" w14:textId="77777777" w:rsidR="004C2548" w:rsidRDefault="004C2548" w:rsidP="004C2548">
      <w:pPr>
        <w:pStyle w:val="ListParagraph"/>
        <w:spacing w:after="0"/>
        <w:ind w:left="714"/>
        <w:rPr>
          <w:rFonts w:cs="Arial"/>
        </w:rPr>
      </w:pPr>
    </w:p>
    <w:tbl>
      <w:tblPr>
        <w:tblStyle w:val="TableGrid"/>
        <w:tblW w:w="0" w:type="auto"/>
        <w:tblLook w:val="04A0" w:firstRow="1" w:lastRow="0" w:firstColumn="1" w:lastColumn="0" w:noHBand="0" w:noVBand="1"/>
      </w:tblPr>
      <w:tblGrid>
        <w:gridCol w:w="9016"/>
      </w:tblGrid>
      <w:tr w:rsidR="004C2548" w14:paraId="47B9F72A" w14:textId="77777777" w:rsidTr="004C2548">
        <w:tc>
          <w:tcPr>
            <w:tcW w:w="9016" w:type="dxa"/>
          </w:tcPr>
          <w:p w14:paraId="00AB0457" w14:textId="77777777" w:rsidR="004C2548" w:rsidRDefault="004C2548" w:rsidP="004C2548">
            <w:pPr>
              <w:spacing w:after="0" w:line="300" w:lineRule="atLeast"/>
              <w:rPr>
                <w:rFonts w:ascii="Segoe UI" w:eastAsia="Times New Roman" w:hAnsi="Segoe UI" w:cs="Segoe UI"/>
                <w:b/>
                <w:bCs/>
                <w:sz w:val="21"/>
                <w:szCs w:val="21"/>
                <w:lang w:eastAsia="en-NZ"/>
              </w:rPr>
            </w:pPr>
          </w:p>
          <w:p w14:paraId="0FC1F0CB" w14:textId="77777777" w:rsidR="004C2548" w:rsidRDefault="004C2548" w:rsidP="004C2548">
            <w:pPr>
              <w:spacing w:line="276" w:lineRule="auto"/>
              <w:rPr>
                <w:rFonts w:cs="Arial"/>
                <w:b/>
                <w:bCs/>
              </w:rPr>
            </w:pPr>
            <w:r w:rsidRPr="004C2548">
              <w:rPr>
                <w:rFonts w:cs="Arial"/>
                <w:b/>
                <w:bCs/>
              </w:rPr>
              <w:t>Designing the conditions for meaningful consumer input</w:t>
            </w:r>
          </w:p>
          <w:p w14:paraId="71EAC129" w14:textId="66444C24" w:rsidR="004C2548" w:rsidRPr="004C2548" w:rsidRDefault="004C2548" w:rsidP="004C2548">
            <w:pPr>
              <w:pStyle w:val="ListParagraph"/>
              <w:numPr>
                <w:ilvl w:val="0"/>
                <w:numId w:val="27"/>
              </w:numPr>
              <w:rPr>
                <w:rFonts w:cs="Arial"/>
                <w:b/>
                <w:bCs/>
              </w:rPr>
            </w:pPr>
            <w:r>
              <w:rPr>
                <w:rFonts w:cs="Arial"/>
              </w:rPr>
              <w:t>Be clear about the purpose, scope and expectations from the outset.</w:t>
            </w:r>
          </w:p>
          <w:p w14:paraId="13164BA8" w14:textId="1BE8BE18" w:rsidR="004C2548" w:rsidRPr="0025180B" w:rsidRDefault="0025180B" w:rsidP="004C2548">
            <w:pPr>
              <w:pStyle w:val="ListParagraph"/>
              <w:numPr>
                <w:ilvl w:val="0"/>
                <w:numId w:val="27"/>
              </w:numPr>
              <w:rPr>
                <w:rFonts w:cs="Arial"/>
                <w:b/>
                <w:bCs/>
              </w:rPr>
            </w:pPr>
            <w:r>
              <w:rPr>
                <w:rFonts w:cs="Arial"/>
              </w:rPr>
              <w:t>Provide information early and allow time for people to prepare, reflect and contribute.</w:t>
            </w:r>
          </w:p>
          <w:p w14:paraId="7AB7A610" w14:textId="4870AF56" w:rsidR="004C2548" w:rsidRPr="0025180B" w:rsidRDefault="0025180B" w:rsidP="004C2548">
            <w:pPr>
              <w:pStyle w:val="ListParagraph"/>
              <w:numPr>
                <w:ilvl w:val="0"/>
                <w:numId w:val="27"/>
              </w:numPr>
              <w:rPr>
                <w:rFonts w:cs="Arial"/>
              </w:rPr>
            </w:pPr>
            <w:r w:rsidRPr="0025180B">
              <w:rPr>
                <w:rFonts w:cs="Arial"/>
              </w:rPr>
              <w:t>Use skilled facilitation to balance different voices and create a respectful, culturally safe environment.</w:t>
            </w:r>
          </w:p>
          <w:p w14:paraId="531E2D3A" w14:textId="77777777" w:rsidR="004C2548" w:rsidRPr="004C2548" w:rsidRDefault="004C2548" w:rsidP="004C2548">
            <w:pPr>
              <w:pStyle w:val="ListParagraph"/>
              <w:spacing w:after="0"/>
              <w:rPr>
                <w:rFonts w:cs="Arial"/>
              </w:rPr>
            </w:pPr>
          </w:p>
        </w:tc>
      </w:tr>
    </w:tbl>
    <w:p w14:paraId="55496816" w14:textId="77777777" w:rsidR="004C2548" w:rsidRPr="004C2548" w:rsidRDefault="004C2548" w:rsidP="004C2548">
      <w:pPr>
        <w:spacing w:after="0"/>
        <w:rPr>
          <w:rFonts w:cs="Arial"/>
        </w:rPr>
      </w:pPr>
    </w:p>
    <w:p w14:paraId="2F89546D" w14:textId="77777777" w:rsidR="000F493A" w:rsidRPr="000F493A" w:rsidRDefault="000F493A" w:rsidP="000F493A">
      <w:pPr>
        <w:rPr>
          <w:color w:val="2C2568" w:themeColor="accent1"/>
          <w:sz w:val="24"/>
          <w:szCs w:val="24"/>
        </w:rPr>
      </w:pPr>
      <w:r w:rsidRPr="000F493A">
        <w:rPr>
          <w:color w:val="2C2568" w:themeColor="accent1"/>
          <w:sz w:val="24"/>
          <w:szCs w:val="24"/>
        </w:rPr>
        <w:t xml:space="preserve">Challenges and what made a difference </w:t>
      </w:r>
    </w:p>
    <w:p w14:paraId="42789A90" w14:textId="77777777" w:rsidR="000F493A" w:rsidRPr="005F1381" w:rsidRDefault="000F493A" w:rsidP="000F493A">
      <w:pPr>
        <w:rPr>
          <w:rFonts w:cs="Arial"/>
        </w:rPr>
      </w:pPr>
      <w:r w:rsidRPr="005F1381">
        <w:rPr>
          <w:rFonts w:cs="Arial"/>
        </w:rPr>
        <w:t>Not all experiences were the same. For some, this work felt familiar and accessible. For others, it felt clinical, fast</w:t>
      </w:r>
      <w:r w:rsidRPr="005F1381">
        <w:rPr>
          <w:rFonts w:cs="Arial"/>
        </w:rPr>
        <w:noBreakHyphen/>
        <w:t>paced, and unclear.</w:t>
      </w:r>
    </w:p>
    <w:p w14:paraId="27CE4C4C" w14:textId="77777777" w:rsidR="000F493A" w:rsidRPr="005F1381" w:rsidRDefault="000F493A" w:rsidP="000F493A">
      <w:pPr>
        <w:rPr>
          <w:rFonts w:cs="Arial"/>
        </w:rPr>
      </w:pPr>
      <w:r w:rsidRPr="005F1381">
        <w:rPr>
          <w:rFonts w:cs="Arial"/>
          <w:i/>
          <w:iCs/>
        </w:rPr>
        <w:t>“The project didn’t quite seem clear. An information session would’ve helped us prepare and build relationships.”</w:t>
      </w:r>
    </w:p>
    <w:p w14:paraId="3051CC1D" w14:textId="77777777" w:rsidR="000F493A" w:rsidRPr="005F1381" w:rsidRDefault="000F493A" w:rsidP="000F493A">
      <w:pPr>
        <w:rPr>
          <w:rFonts w:cs="Arial"/>
        </w:rPr>
      </w:pPr>
      <w:r w:rsidRPr="005F1381">
        <w:rPr>
          <w:rFonts w:cs="Arial"/>
        </w:rPr>
        <w:t xml:space="preserve">Early engagement sessions included both consumers and clinicians in large groups. </w:t>
      </w:r>
      <w:r>
        <w:rPr>
          <w:rFonts w:cs="Arial"/>
        </w:rPr>
        <w:t xml:space="preserve">These settings worked well for some, and not so well for others. </w:t>
      </w:r>
    </w:p>
    <w:p w14:paraId="4D103978" w14:textId="77777777" w:rsidR="000F493A" w:rsidRDefault="000F493A" w:rsidP="000F493A">
      <w:pPr>
        <w:rPr>
          <w:rFonts w:cs="Arial"/>
        </w:rPr>
      </w:pPr>
      <w:r w:rsidRPr="3EDBE9A0">
        <w:rPr>
          <w:rFonts w:cs="Arial"/>
        </w:rPr>
        <w:t xml:space="preserve">To address this, the project shifted to add a separate consumer only group session with focused facilitation in addition to the larger group meetings, and people had multiple forums to contribute. </w:t>
      </w:r>
    </w:p>
    <w:p w14:paraId="6876A799" w14:textId="77777777" w:rsidR="00677C5F" w:rsidRDefault="00677C5F" w:rsidP="000F493A">
      <w:pPr>
        <w:rPr>
          <w:rFonts w:cs="Arial"/>
        </w:rPr>
      </w:pPr>
    </w:p>
    <w:p w14:paraId="004DD190" w14:textId="77777777" w:rsidR="00677C5F" w:rsidRDefault="00677C5F" w:rsidP="000F493A">
      <w:pPr>
        <w:rPr>
          <w:rFonts w:cs="Arial"/>
        </w:rPr>
      </w:pPr>
    </w:p>
    <w:tbl>
      <w:tblPr>
        <w:tblStyle w:val="TableGrid"/>
        <w:tblW w:w="0" w:type="auto"/>
        <w:tblLook w:val="04A0" w:firstRow="1" w:lastRow="0" w:firstColumn="1" w:lastColumn="0" w:noHBand="0" w:noVBand="1"/>
      </w:tblPr>
      <w:tblGrid>
        <w:gridCol w:w="9016"/>
      </w:tblGrid>
      <w:tr w:rsidR="00677C5F" w14:paraId="24572692" w14:textId="77777777" w:rsidTr="00677C5F">
        <w:tc>
          <w:tcPr>
            <w:tcW w:w="9016" w:type="dxa"/>
          </w:tcPr>
          <w:p w14:paraId="1CC9541B" w14:textId="77777777" w:rsidR="00677C5F" w:rsidRDefault="00677C5F" w:rsidP="00677C5F">
            <w:pPr>
              <w:rPr>
                <w:rFonts w:cs="Arial"/>
                <w:b/>
                <w:bCs/>
              </w:rPr>
            </w:pPr>
          </w:p>
          <w:p w14:paraId="2C2D3F74" w14:textId="31261390" w:rsidR="00677C5F" w:rsidRPr="00677C5F" w:rsidRDefault="00677C5F" w:rsidP="00677C5F">
            <w:pPr>
              <w:rPr>
                <w:rFonts w:cs="Arial"/>
                <w:b/>
                <w:bCs/>
              </w:rPr>
            </w:pPr>
            <w:r w:rsidRPr="00677C5F">
              <w:rPr>
                <w:rFonts w:cs="Arial"/>
                <w:b/>
                <w:bCs/>
              </w:rPr>
              <w:t>Adapting the process improves participation</w:t>
            </w:r>
          </w:p>
          <w:p w14:paraId="0DAA25C2" w14:textId="77777777" w:rsidR="00677C5F" w:rsidRDefault="00677C5F" w:rsidP="00677C5F">
            <w:pPr>
              <w:pStyle w:val="ListParagraph"/>
              <w:numPr>
                <w:ilvl w:val="0"/>
                <w:numId w:val="28"/>
              </w:numPr>
              <w:rPr>
                <w:rFonts w:cs="Arial"/>
              </w:rPr>
            </w:pPr>
            <w:r>
              <w:rPr>
                <w:rFonts w:cs="Arial"/>
              </w:rPr>
              <w:t>One approach will not work for everyone.</w:t>
            </w:r>
          </w:p>
          <w:p w14:paraId="6FE5B793" w14:textId="77777777" w:rsidR="00677C5F" w:rsidRDefault="00677C5F" w:rsidP="00677C5F">
            <w:pPr>
              <w:pStyle w:val="ListParagraph"/>
              <w:numPr>
                <w:ilvl w:val="0"/>
                <w:numId w:val="28"/>
              </w:numPr>
              <w:rPr>
                <w:rFonts w:cs="Arial"/>
              </w:rPr>
            </w:pPr>
            <w:r>
              <w:rPr>
                <w:rFonts w:cs="Arial"/>
              </w:rPr>
              <w:t>Offering different ways to engage, such as smaller or consumer-only sessions alongside larger group discussions can improve confidence, clarity and contribution</w:t>
            </w:r>
          </w:p>
          <w:p w14:paraId="42A73989" w14:textId="3E67D34F" w:rsidR="00677C5F" w:rsidRDefault="00677C5F" w:rsidP="00677C5F">
            <w:pPr>
              <w:pStyle w:val="ListParagraph"/>
              <w:numPr>
                <w:ilvl w:val="0"/>
                <w:numId w:val="28"/>
              </w:numPr>
              <w:rPr>
                <w:rFonts w:cs="Arial"/>
              </w:rPr>
            </w:pPr>
            <w:r>
              <w:rPr>
                <w:rFonts w:cs="Arial"/>
              </w:rPr>
              <w:t xml:space="preserve">Iterating the process in response to feedback is a key part of meaningful engagement. </w:t>
            </w:r>
            <w:r w:rsidRPr="00677C5F">
              <w:rPr>
                <w:rFonts w:cs="Arial"/>
              </w:rPr>
              <w:br/>
            </w:r>
          </w:p>
        </w:tc>
      </w:tr>
    </w:tbl>
    <w:p w14:paraId="1096CED0" w14:textId="77777777" w:rsidR="00677C5F" w:rsidRPr="005F1381" w:rsidRDefault="00677C5F" w:rsidP="000F493A">
      <w:pPr>
        <w:rPr>
          <w:rFonts w:cs="Arial"/>
        </w:rPr>
      </w:pPr>
    </w:p>
    <w:p w14:paraId="02798EA2" w14:textId="77777777" w:rsidR="000F493A" w:rsidRPr="000F493A" w:rsidRDefault="000F493A" w:rsidP="000F493A">
      <w:pPr>
        <w:rPr>
          <w:color w:val="2C2568" w:themeColor="accent1"/>
          <w:sz w:val="24"/>
          <w:szCs w:val="24"/>
        </w:rPr>
      </w:pPr>
      <w:r w:rsidRPr="000F493A">
        <w:rPr>
          <w:color w:val="2C2568" w:themeColor="accent1"/>
          <w:sz w:val="24"/>
          <w:szCs w:val="24"/>
        </w:rPr>
        <w:t xml:space="preserve">Impact on design decisions </w:t>
      </w:r>
    </w:p>
    <w:p w14:paraId="0C618EC2" w14:textId="77777777" w:rsidR="000F493A" w:rsidRPr="00A721AA" w:rsidRDefault="000F493A" w:rsidP="000F493A">
      <w:pPr>
        <w:spacing w:after="0" w:line="300" w:lineRule="atLeast"/>
        <w:rPr>
          <w:rFonts w:cs="Arial"/>
        </w:rPr>
      </w:pPr>
      <w:r w:rsidRPr="16B06E73">
        <w:rPr>
          <w:rFonts w:cs="Arial"/>
        </w:rPr>
        <w:t xml:space="preserve">Consumer input shifted assumptions and directly influenced design choices </w:t>
      </w:r>
      <w:r>
        <w:rPr>
          <w:rFonts w:cs="Arial"/>
        </w:rPr>
        <w:t>–</w:t>
      </w:r>
      <w:r w:rsidRPr="16B06E73">
        <w:rPr>
          <w:rFonts w:cs="Arial"/>
        </w:rPr>
        <w:t xml:space="preserve"> particularly around dignity, independence and everyday usability.</w:t>
      </w:r>
    </w:p>
    <w:p w14:paraId="15AE5AE9" w14:textId="77777777" w:rsidR="000F493A" w:rsidRPr="005F1381" w:rsidRDefault="000F493A" w:rsidP="000F493A">
      <w:pPr>
        <w:spacing w:after="0" w:line="300" w:lineRule="atLeast"/>
        <w:rPr>
          <w:rFonts w:cs="Arial"/>
        </w:rPr>
      </w:pPr>
      <w:r w:rsidRPr="005F1381">
        <w:rPr>
          <w:rFonts w:cs="Arial"/>
        </w:rPr>
        <w:t>Examples included:</w:t>
      </w:r>
    </w:p>
    <w:p w14:paraId="5CE24A1D" w14:textId="7AF7B371" w:rsidR="000F493A" w:rsidRPr="005F1381" w:rsidRDefault="000F493A" w:rsidP="000F493A">
      <w:pPr>
        <w:numPr>
          <w:ilvl w:val="0"/>
          <w:numId w:val="24"/>
        </w:numPr>
        <w:spacing w:after="0" w:line="300" w:lineRule="atLeast"/>
        <w:rPr>
          <w:rFonts w:cs="Arial"/>
        </w:rPr>
      </w:pPr>
      <w:r>
        <w:rPr>
          <w:rFonts w:cs="Arial"/>
        </w:rPr>
        <w:t>a</w:t>
      </w:r>
      <w:r w:rsidRPr="005F1381">
        <w:rPr>
          <w:rFonts w:cs="Arial"/>
        </w:rPr>
        <w:t xml:space="preserve">dding grab rails </w:t>
      </w:r>
    </w:p>
    <w:p w14:paraId="7042354D" w14:textId="77777777" w:rsidR="000F493A" w:rsidRPr="005F1381" w:rsidRDefault="000F493A" w:rsidP="000F493A">
      <w:pPr>
        <w:numPr>
          <w:ilvl w:val="0"/>
          <w:numId w:val="24"/>
        </w:numPr>
        <w:spacing w:after="0" w:line="300" w:lineRule="atLeast"/>
        <w:rPr>
          <w:rFonts w:cs="Arial"/>
        </w:rPr>
      </w:pPr>
      <w:r>
        <w:rPr>
          <w:rFonts w:cs="Arial"/>
        </w:rPr>
        <w:t>installing</w:t>
      </w:r>
      <w:r w:rsidRPr="16B06E73">
        <w:rPr>
          <w:rFonts w:cs="Arial"/>
        </w:rPr>
        <w:t xml:space="preserve"> overbed tables</w:t>
      </w:r>
      <w:r>
        <w:rPr>
          <w:rFonts w:cs="Arial"/>
        </w:rPr>
        <w:t xml:space="preserve">, </w:t>
      </w:r>
      <w:r w:rsidRPr="16B06E73">
        <w:rPr>
          <w:rFonts w:cs="Arial"/>
        </w:rPr>
        <w:t xml:space="preserve">power and </w:t>
      </w:r>
      <w:r>
        <w:rPr>
          <w:rFonts w:cs="Arial"/>
        </w:rPr>
        <w:t>wifi</w:t>
      </w:r>
      <w:r w:rsidRPr="16B06E73">
        <w:rPr>
          <w:rFonts w:cs="Arial"/>
        </w:rPr>
        <w:t xml:space="preserve"> so patients could work or stay connected</w:t>
      </w:r>
      <w:r>
        <w:rPr>
          <w:rFonts w:cs="Arial"/>
        </w:rPr>
        <w:t>.</w:t>
      </w:r>
    </w:p>
    <w:p w14:paraId="3703CFBF" w14:textId="77777777" w:rsidR="000F493A" w:rsidRDefault="000F493A" w:rsidP="000F493A">
      <w:pPr>
        <w:spacing w:after="0" w:line="300" w:lineRule="atLeast"/>
        <w:rPr>
          <w:rFonts w:eastAsia="Times New Roman" w:cs="Arial"/>
          <w:i/>
          <w:iCs/>
          <w:lang w:eastAsia="en-NZ"/>
        </w:rPr>
      </w:pPr>
    </w:p>
    <w:p w14:paraId="2845A722" w14:textId="77777777" w:rsidR="000F493A" w:rsidRDefault="000F493A" w:rsidP="000F493A">
      <w:pPr>
        <w:spacing w:after="0" w:line="300" w:lineRule="atLeast"/>
        <w:rPr>
          <w:rFonts w:eastAsia="Arial" w:cs="Arial"/>
          <w:lang w:val="en-US"/>
        </w:rPr>
      </w:pPr>
      <w:r w:rsidRPr="16B06E73">
        <w:rPr>
          <w:rFonts w:eastAsia="Arial" w:cs="Arial"/>
          <w:i/>
          <w:iCs/>
          <w:color w:val="000000"/>
        </w:rPr>
        <w:t>“</w:t>
      </w:r>
      <w:r w:rsidRPr="16B06E73">
        <w:rPr>
          <w:rFonts w:eastAsia="Arial" w:cs="Arial"/>
          <w:i/>
          <w:iCs/>
          <w:color w:val="000000"/>
          <w:lang w:val="en-US"/>
        </w:rPr>
        <w:t>The ward I was in, I couldn't toilet independently. There weren’t grab rails</w:t>
      </w:r>
      <w:r>
        <w:rPr>
          <w:rFonts w:eastAsia="Arial" w:cs="Arial"/>
          <w:i/>
          <w:iCs/>
          <w:color w:val="000000"/>
          <w:lang w:val="en-US"/>
        </w:rPr>
        <w:t>.</w:t>
      </w:r>
      <w:r w:rsidRPr="16B06E73">
        <w:rPr>
          <w:rFonts w:eastAsia="Arial" w:cs="Arial"/>
          <w:i/>
          <w:iCs/>
          <w:color w:val="000000"/>
          <w:lang w:val="en-US"/>
        </w:rPr>
        <w:t>”</w:t>
      </w:r>
    </w:p>
    <w:p w14:paraId="1329878A" w14:textId="77777777" w:rsidR="000F493A" w:rsidRPr="00A721AA" w:rsidRDefault="000F493A" w:rsidP="000F493A">
      <w:pPr>
        <w:spacing w:after="0" w:line="300" w:lineRule="atLeast"/>
        <w:rPr>
          <w:rFonts w:eastAsia="Times New Roman" w:cs="Arial"/>
          <w:i/>
          <w:iCs/>
          <w:lang w:eastAsia="en-NZ"/>
        </w:rPr>
      </w:pPr>
    </w:p>
    <w:p w14:paraId="3B4177D9" w14:textId="77777777" w:rsidR="000F493A" w:rsidRPr="00A721AA" w:rsidRDefault="000F493A" w:rsidP="000F493A">
      <w:pPr>
        <w:spacing w:after="0" w:line="300" w:lineRule="atLeast"/>
        <w:rPr>
          <w:rFonts w:eastAsia="Times New Roman" w:cs="Arial"/>
          <w:i/>
          <w:iCs/>
          <w:lang w:eastAsia="en-NZ"/>
        </w:rPr>
      </w:pPr>
      <w:r w:rsidRPr="00A721AA">
        <w:rPr>
          <w:rFonts w:eastAsia="Times New Roman" w:cs="Arial"/>
          <w:i/>
          <w:iCs/>
          <w:lang w:eastAsia="en-NZ"/>
        </w:rPr>
        <w:t>“I suggested an overbed table and somewhere where they could plug both</w:t>
      </w:r>
      <w:r>
        <w:rPr>
          <w:rFonts w:eastAsia="Times New Roman" w:cs="Arial"/>
          <w:i/>
          <w:iCs/>
          <w:lang w:eastAsia="en-NZ"/>
        </w:rPr>
        <w:t xml:space="preserve"> </w:t>
      </w:r>
      <w:r w:rsidRPr="00A721AA">
        <w:rPr>
          <w:rFonts w:eastAsia="Times New Roman" w:cs="Arial"/>
          <w:i/>
          <w:iCs/>
          <w:lang w:eastAsia="en-NZ"/>
        </w:rPr>
        <w:t>power</w:t>
      </w:r>
      <w:r>
        <w:rPr>
          <w:rFonts w:eastAsia="Times New Roman" w:cs="Arial"/>
          <w:i/>
          <w:iCs/>
          <w:lang w:eastAsia="en-NZ"/>
        </w:rPr>
        <w:t xml:space="preserve"> </w:t>
      </w:r>
      <w:r w:rsidRPr="00A721AA">
        <w:rPr>
          <w:rFonts w:eastAsia="Times New Roman" w:cs="Arial"/>
          <w:i/>
          <w:iCs/>
          <w:lang w:eastAsia="en-NZ"/>
        </w:rPr>
        <w:t xml:space="preserve">and </w:t>
      </w:r>
      <w:r>
        <w:rPr>
          <w:rFonts w:eastAsia="Times New Roman" w:cs="Arial"/>
          <w:i/>
          <w:iCs/>
          <w:lang w:eastAsia="en-NZ"/>
        </w:rPr>
        <w:t>wifi</w:t>
      </w:r>
      <w:r w:rsidRPr="00A721AA">
        <w:rPr>
          <w:rFonts w:eastAsia="Times New Roman" w:cs="Arial"/>
          <w:i/>
          <w:iCs/>
          <w:lang w:eastAsia="en-NZ"/>
        </w:rPr>
        <w:t xml:space="preserve"> in. Patients who are stuck </w:t>
      </w:r>
      <w:r>
        <w:rPr>
          <w:rFonts w:eastAsia="Times New Roman" w:cs="Arial"/>
          <w:i/>
          <w:iCs/>
          <w:lang w:eastAsia="en-NZ"/>
        </w:rPr>
        <w:t xml:space="preserve">on dialysis </w:t>
      </w:r>
      <w:r w:rsidRPr="00A721AA">
        <w:rPr>
          <w:rFonts w:eastAsia="Times New Roman" w:cs="Arial"/>
          <w:i/>
          <w:iCs/>
          <w:lang w:eastAsia="en-NZ"/>
        </w:rPr>
        <w:t>5 or 6 hours</w:t>
      </w:r>
      <w:r>
        <w:rPr>
          <w:rFonts w:eastAsia="Times New Roman" w:cs="Arial"/>
          <w:i/>
          <w:iCs/>
          <w:lang w:eastAsia="en-NZ"/>
        </w:rPr>
        <w:t xml:space="preserve">, three days a week </w:t>
      </w:r>
      <w:r w:rsidRPr="00A721AA">
        <w:rPr>
          <w:rFonts w:eastAsia="Times New Roman" w:cs="Arial"/>
          <w:i/>
          <w:iCs/>
          <w:lang w:eastAsia="en-NZ"/>
        </w:rPr>
        <w:t>sitting in that chair, it's</w:t>
      </w:r>
      <w:r>
        <w:rPr>
          <w:rFonts w:eastAsia="Times New Roman" w:cs="Arial"/>
          <w:i/>
          <w:iCs/>
          <w:lang w:eastAsia="en-NZ"/>
        </w:rPr>
        <w:t xml:space="preserve"> </w:t>
      </w:r>
      <w:r w:rsidRPr="00A721AA">
        <w:rPr>
          <w:rFonts w:eastAsia="Times New Roman" w:cs="Arial"/>
          <w:i/>
          <w:iCs/>
          <w:lang w:eastAsia="en-NZ"/>
        </w:rPr>
        <w:t>going to be hugely useful if those people especially if they're employed, they can actually work</w:t>
      </w:r>
      <w:r>
        <w:rPr>
          <w:rFonts w:eastAsia="Times New Roman" w:cs="Arial"/>
          <w:i/>
          <w:iCs/>
          <w:lang w:eastAsia="en-NZ"/>
        </w:rPr>
        <w:t>.</w:t>
      </w:r>
      <w:r w:rsidRPr="00A721AA">
        <w:rPr>
          <w:rFonts w:eastAsia="Times New Roman" w:cs="Arial"/>
          <w:i/>
          <w:iCs/>
          <w:lang w:eastAsia="en-NZ"/>
        </w:rPr>
        <w:t>”</w:t>
      </w:r>
    </w:p>
    <w:p w14:paraId="599F9AF2" w14:textId="77777777" w:rsidR="000F493A" w:rsidRPr="00A721AA" w:rsidRDefault="000F493A" w:rsidP="000F493A">
      <w:pPr>
        <w:spacing w:after="0" w:line="300" w:lineRule="atLeast"/>
        <w:rPr>
          <w:rFonts w:eastAsia="Times New Roman" w:cs="Arial"/>
          <w:i/>
          <w:iCs/>
          <w:lang w:eastAsia="en-NZ"/>
        </w:rPr>
      </w:pPr>
    </w:p>
    <w:p w14:paraId="5B080AF5" w14:textId="77777777" w:rsidR="000F493A" w:rsidRDefault="000F493A" w:rsidP="000F493A">
      <w:pPr>
        <w:spacing w:after="0" w:line="300" w:lineRule="atLeast"/>
        <w:rPr>
          <w:rFonts w:eastAsia="Times New Roman" w:cs="Arial"/>
          <w:lang w:eastAsia="en-NZ"/>
        </w:rPr>
      </w:pPr>
      <w:r w:rsidRPr="16B06E73">
        <w:rPr>
          <w:rFonts w:eastAsia="Times New Roman" w:cs="Arial"/>
          <w:lang w:eastAsia="en-NZ"/>
        </w:rPr>
        <w:t>Some examples drew on experiences of much older facilities, highlighting why design guidance has continued to evolve over time and helped reinforce the importance of infection prevention principles that are now routinely embedded in contemporary Intensive Care Unit (ICU) design.</w:t>
      </w:r>
    </w:p>
    <w:p w14:paraId="5E99390F" w14:textId="77777777" w:rsidR="000F493A" w:rsidRPr="00B72126" w:rsidRDefault="000F493A" w:rsidP="000F493A">
      <w:pPr>
        <w:spacing w:after="0" w:line="300" w:lineRule="atLeast"/>
        <w:rPr>
          <w:rFonts w:eastAsia="Times New Roman" w:cs="Arial"/>
          <w:lang w:eastAsia="en-NZ"/>
        </w:rPr>
      </w:pPr>
    </w:p>
    <w:p w14:paraId="372EEF68" w14:textId="77777777" w:rsidR="000F493A" w:rsidRDefault="000F493A" w:rsidP="000F493A">
      <w:pPr>
        <w:spacing w:after="0" w:line="300" w:lineRule="atLeast"/>
        <w:rPr>
          <w:rFonts w:eastAsia="Times New Roman" w:cs="Arial"/>
          <w:i/>
          <w:iCs/>
          <w:lang w:eastAsia="en-NZ"/>
        </w:rPr>
      </w:pPr>
      <w:r w:rsidRPr="00B72126">
        <w:rPr>
          <w:rFonts w:eastAsia="Times New Roman" w:cs="Arial"/>
          <w:i/>
          <w:iCs/>
          <w:lang w:eastAsia="en-NZ"/>
        </w:rPr>
        <w:t>“They had carpet all through most of the ICU and it was a terrible idea.”</w:t>
      </w:r>
    </w:p>
    <w:p w14:paraId="1EA34565" w14:textId="77777777" w:rsidR="000F493A" w:rsidRPr="00B72126" w:rsidRDefault="000F493A" w:rsidP="000F493A">
      <w:pPr>
        <w:spacing w:after="0" w:line="300" w:lineRule="atLeast"/>
        <w:rPr>
          <w:rFonts w:eastAsia="Times New Roman" w:cs="Arial"/>
          <w:lang w:eastAsia="en-NZ"/>
        </w:rPr>
      </w:pPr>
    </w:p>
    <w:p w14:paraId="78A9FAA5" w14:textId="77777777" w:rsidR="000F493A" w:rsidRPr="005F1381" w:rsidRDefault="000F493A" w:rsidP="000F493A">
      <w:pPr>
        <w:spacing w:after="0" w:line="300" w:lineRule="atLeast"/>
        <w:rPr>
          <w:rFonts w:eastAsia="Times New Roman" w:cs="Arial"/>
          <w:lang w:eastAsia="en-NZ"/>
        </w:rPr>
      </w:pPr>
      <w:r w:rsidRPr="16B06E73">
        <w:rPr>
          <w:rFonts w:eastAsia="Times New Roman" w:cs="Arial"/>
          <w:lang w:eastAsia="en-NZ"/>
        </w:rPr>
        <w:t xml:space="preserve">These were not abstract ideas </w:t>
      </w:r>
      <w:r>
        <w:rPr>
          <w:rFonts w:eastAsia="Times New Roman" w:cs="Arial"/>
          <w:lang w:eastAsia="en-NZ"/>
        </w:rPr>
        <w:t>–</w:t>
      </w:r>
      <w:r w:rsidRPr="16B06E73">
        <w:rPr>
          <w:rFonts w:eastAsia="Times New Roman" w:cs="Arial"/>
          <w:lang w:eastAsia="en-NZ"/>
        </w:rPr>
        <w:t xml:space="preserve"> they were practical, experience-based insights that reshaped outcomes. </w:t>
      </w:r>
    </w:p>
    <w:p w14:paraId="2C018CAB" w14:textId="77777777" w:rsidR="000F493A" w:rsidRPr="00A721AA" w:rsidRDefault="000F493A" w:rsidP="000F493A">
      <w:pPr>
        <w:spacing w:after="0" w:line="300" w:lineRule="atLeast"/>
        <w:rPr>
          <w:rFonts w:eastAsia="Times New Roman" w:cs="Arial"/>
          <w:i/>
          <w:iCs/>
          <w:lang w:eastAsia="en-NZ"/>
        </w:rPr>
      </w:pPr>
    </w:p>
    <w:p w14:paraId="527E585B" w14:textId="77777777" w:rsidR="000F493A" w:rsidRPr="000F493A" w:rsidRDefault="000F493A" w:rsidP="000F493A">
      <w:pPr>
        <w:rPr>
          <w:color w:val="2C2568" w:themeColor="accent1"/>
          <w:sz w:val="24"/>
          <w:szCs w:val="24"/>
        </w:rPr>
      </w:pPr>
      <w:r w:rsidRPr="000F493A">
        <w:rPr>
          <w:color w:val="2C2568" w:themeColor="accent1"/>
          <w:sz w:val="24"/>
          <w:szCs w:val="24"/>
        </w:rPr>
        <w:t>What health services can learn from this</w:t>
      </w:r>
    </w:p>
    <w:p w14:paraId="54108BE6" w14:textId="77777777" w:rsidR="000F493A" w:rsidRPr="00A721AA" w:rsidRDefault="000F493A" w:rsidP="000F493A">
      <w:pPr>
        <w:numPr>
          <w:ilvl w:val="0"/>
          <w:numId w:val="23"/>
        </w:numPr>
        <w:rPr>
          <w:rFonts w:cs="Arial"/>
        </w:rPr>
      </w:pPr>
      <w:r w:rsidRPr="00A721AA">
        <w:rPr>
          <w:rFonts w:cs="Arial"/>
        </w:rPr>
        <w:t xml:space="preserve">Be clear about </w:t>
      </w:r>
      <w:r>
        <w:rPr>
          <w:rFonts w:cs="Arial"/>
        </w:rPr>
        <w:t xml:space="preserve">the </w:t>
      </w:r>
      <w:r w:rsidRPr="00A721AA">
        <w:rPr>
          <w:rFonts w:cs="Arial"/>
        </w:rPr>
        <w:t>purpose and expectations from the start</w:t>
      </w:r>
      <w:r>
        <w:rPr>
          <w:rFonts w:cs="Arial"/>
        </w:rPr>
        <w:t>.</w:t>
      </w:r>
    </w:p>
    <w:p w14:paraId="19D3E587" w14:textId="77777777" w:rsidR="000F493A" w:rsidRDefault="000F493A" w:rsidP="000F493A">
      <w:pPr>
        <w:numPr>
          <w:ilvl w:val="0"/>
          <w:numId w:val="23"/>
        </w:numPr>
        <w:rPr>
          <w:rFonts w:cs="Arial"/>
        </w:rPr>
      </w:pPr>
      <w:r w:rsidRPr="003D599F">
        <w:rPr>
          <w:rFonts w:cs="Arial"/>
        </w:rPr>
        <w:t>Recrui</w:t>
      </w:r>
      <w:r w:rsidRPr="00A721AA">
        <w:rPr>
          <w:rFonts w:cs="Arial"/>
        </w:rPr>
        <w:t xml:space="preserve">t </w:t>
      </w:r>
      <w:r w:rsidRPr="003D599F">
        <w:rPr>
          <w:rFonts w:cs="Arial"/>
        </w:rPr>
        <w:t xml:space="preserve">when the </w:t>
      </w:r>
      <w:r w:rsidRPr="00A721AA">
        <w:rPr>
          <w:rFonts w:cs="Arial"/>
        </w:rPr>
        <w:t xml:space="preserve">work is </w:t>
      </w:r>
      <w:r w:rsidRPr="003D599F">
        <w:rPr>
          <w:rFonts w:cs="Arial"/>
        </w:rPr>
        <w:t xml:space="preserve">tangible and </w:t>
      </w:r>
      <w:r w:rsidRPr="00A721AA">
        <w:rPr>
          <w:rFonts w:cs="Arial"/>
        </w:rPr>
        <w:t>meaningful</w:t>
      </w:r>
      <w:r>
        <w:rPr>
          <w:rFonts w:cs="Arial"/>
        </w:rPr>
        <w:t>.</w:t>
      </w:r>
    </w:p>
    <w:p w14:paraId="71191FE4" w14:textId="77777777" w:rsidR="000F493A" w:rsidRPr="00F15D1F" w:rsidRDefault="000F493A" w:rsidP="000F493A">
      <w:pPr>
        <w:numPr>
          <w:ilvl w:val="0"/>
          <w:numId w:val="23"/>
        </w:numPr>
        <w:rPr>
          <w:rFonts w:eastAsia="Calibri" w:cs="Arial"/>
          <w:color w:val="000000"/>
        </w:rPr>
      </w:pPr>
      <w:r w:rsidRPr="00F15D1F">
        <w:rPr>
          <w:rFonts w:cs="Arial"/>
        </w:rPr>
        <w:t xml:space="preserve">Remember: </w:t>
      </w:r>
      <w:r w:rsidRPr="00F15D1F">
        <w:rPr>
          <w:rFonts w:eastAsia="Calibri" w:cs="Arial"/>
          <w:color w:val="000000"/>
        </w:rPr>
        <w:t>Embed lived experience and whānau voice at the earliest stages of service planning, design, and evaluation</w:t>
      </w:r>
      <w:r>
        <w:rPr>
          <w:rFonts w:eastAsia="Calibri" w:cs="Arial"/>
          <w:color w:val="000000"/>
        </w:rPr>
        <w:t>.</w:t>
      </w:r>
    </w:p>
    <w:p w14:paraId="6BE96257" w14:textId="77777777" w:rsidR="000F493A" w:rsidRPr="003D599F" w:rsidRDefault="000F493A" w:rsidP="000F493A">
      <w:pPr>
        <w:numPr>
          <w:ilvl w:val="0"/>
          <w:numId w:val="23"/>
        </w:numPr>
        <w:rPr>
          <w:rFonts w:cs="Arial"/>
        </w:rPr>
      </w:pPr>
      <w:r w:rsidRPr="003D599F">
        <w:rPr>
          <w:rFonts w:cs="Arial"/>
        </w:rPr>
        <w:t xml:space="preserve">Skilled facilitation and pre-briefing are </w:t>
      </w:r>
      <w:r w:rsidRPr="00A721AA">
        <w:rPr>
          <w:rFonts w:cs="Arial"/>
        </w:rPr>
        <w:t>key</w:t>
      </w:r>
      <w:r>
        <w:rPr>
          <w:rFonts w:cs="Arial"/>
        </w:rPr>
        <w:t>.</w:t>
      </w:r>
    </w:p>
    <w:p w14:paraId="736E8ED3" w14:textId="77777777" w:rsidR="000F493A" w:rsidRPr="00A721AA" w:rsidRDefault="000F493A" w:rsidP="000F493A">
      <w:pPr>
        <w:numPr>
          <w:ilvl w:val="0"/>
          <w:numId w:val="23"/>
        </w:numPr>
        <w:rPr>
          <w:rFonts w:cs="Arial"/>
        </w:rPr>
      </w:pPr>
      <w:r w:rsidRPr="003D599F">
        <w:rPr>
          <w:rFonts w:cs="Arial"/>
        </w:rPr>
        <w:t>Clos</w:t>
      </w:r>
      <w:r w:rsidRPr="00A721AA">
        <w:rPr>
          <w:rFonts w:cs="Arial"/>
        </w:rPr>
        <w:t>e</w:t>
      </w:r>
      <w:r w:rsidRPr="003D599F">
        <w:rPr>
          <w:rFonts w:cs="Arial"/>
        </w:rPr>
        <w:t xml:space="preserve"> feedback loop</w:t>
      </w:r>
      <w:r w:rsidRPr="00A721AA">
        <w:rPr>
          <w:rFonts w:cs="Arial"/>
        </w:rPr>
        <w:t>s and respond in real time where possible</w:t>
      </w:r>
      <w:r>
        <w:rPr>
          <w:rFonts w:cs="Arial"/>
        </w:rPr>
        <w:t>.</w:t>
      </w:r>
      <w:r w:rsidRPr="00A721AA">
        <w:rPr>
          <w:rFonts w:cs="Arial"/>
        </w:rPr>
        <w:t xml:space="preserve"> </w:t>
      </w:r>
    </w:p>
    <w:p w14:paraId="736A3228" w14:textId="77777777" w:rsidR="000F493A" w:rsidRPr="003D599F" w:rsidRDefault="000F493A" w:rsidP="000F493A">
      <w:pPr>
        <w:numPr>
          <w:ilvl w:val="0"/>
          <w:numId w:val="23"/>
        </w:numPr>
        <w:rPr>
          <w:rFonts w:cs="Arial"/>
        </w:rPr>
      </w:pPr>
      <w:r w:rsidRPr="00A721AA">
        <w:rPr>
          <w:rFonts w:cs="Arial"/>
        </w:rPr>
        <w:t>Make c</w:t>
      </w:r>
      <w:r w:rsidRPr="003D599F">
        <w:rPr>
          <w:rFonts w:cs="Arial"/>
        </w:rPr>
        <w:t>onflict of interest and safety checks explicit</w:t>
      </w:r>
      <w:r>
        <w:rPr>
          <w:rFonts w:cs="Arial"/>
        </w:rPr>
        <w:t>.</w:t>
      </w:r>
    </w:p>
    <w:p w14:paraId="4C130BF6" w14:textId="77777777" w:rsidR="000F493A" w:rsidRDefault="000F493A" w:rsidP="000F493A">
      <w:pPr>
        <w:numPr>
          <w:ilvl w:val="0"/>
          <w:numId w:val="23"/>
        </w:numPr>
        <w:rPr>
          <w:rFonts w:cs="Arial"/>
        </w:rPr>
      </w:pPr>
      <w:r>
        <w:rPr>
          <w:rFonts w:cs="Arial"/>
        </w:rPr>
        <w:lastRenderedPageBreak/>
        <w:t>Remember the context in which people are contributing from.</w:t>
      </w:r>
    </w:p>
    <w:p w14:paraId="11BEB7B5" w14:textId="77777777" w:rsidR="000F493A" w:rsidRDefault="000F493A" w:rsidP="000F493A">
      <w:pPr>
        <w:rPr>
          <w:rFonts w:cs="Arial"/>
          <w:i/>
          <w:iCs/>
        </w:rPr>
      </w:pPr>
      <w:r w:rsidRPr="16B06E73">
        <w:rPr>
          <w:rFonts w:cs="Arial"/>
          <w:i/>
          <w:iCs/>
        </w:rPr>
        <w:t>“I had just arrived home with my baby after leaving Neonatal Intensive Care Unit (NICU). That was the context I was contributing from.”</w:t>
      </w:r>
    </w:p>
    <w:tbl>
      <w:tblPr>
        <w:tblStyle w:val="TableGrid"/>
        <w:tblW w:w="0" w:type="auto"/>
        <w:tblLook w:val="04A0" w:firstRow="1" w:lastRow="0" w:firstColumn="1" w:lastColumn="0" w:noHBand="0" w:noVBand="1"/>
      </w:tblPr>
      <w:tblGrid>
        <w:gridCol w:w="9016"/>
      </w:tblGrid>
      <w:tr w:rsidR="00171BDB" w14:paraId="46C1E330" w14:textId="77777777" w:rsidTr="00171BDB">
        <w:tc>
          <w:tcPr>
            <w:tcW w:w="9016" w:type="dxa"/>
          </w:tcPr>
          <w:p w14:paraId="1888FA0F" w14:textId="77777777" w:rsidR="00920720" w:rsidRDefault="00920720" w:rsidP="00171BDB">
            <w:pPr>
              <w:rPr>
                <w:rFonts w:cs="Arial"/>
                <w:b/>
                <w:bCs/>
              </w:rPr>
            </w:pPr>
          </w:p>
          <w:p w14:paraId="10BDFE7A" w14:textId="6CE49730" w:rsidR="00171BDB" w:rsidRPr="00171BDB" w:rsidRDefault="00171BDB" w:rsidP="00171BDB">
            <w:pPr>
              <w:rPr>
                <w:rFonts w:cs="Arial"/>
              </w:rPr>
            </w:pPr>
            <w:r w:rsidRPr="00171BDB">
              <w:rPr>
                <w:rFonts w:cs="Arial"/>
                <w:b/>
                <w:bCs/>
              </w:rPr>
              <w:t>Applying these insights in practice</w:t>
            </w:r>
            <w:r w:rsidRPr="00171BDB">
              <w:rPr>
                <w:rFonts w:cs="Arial"/>
              </w:rPr>
              <w:br/>
              <w:t>Embed lived experience early — not as an add-on, but as part of core design and planning.</w:t>
            </w:r>
            <w:r w:rsidRPr="00171BDB">
              <w:rPr>
                <w:rFonts w:cs="Arial"/>
              </w:rPr>
              <w:br/>
              <w:t>Recruit consumers when the work is meaningful and clearly defined.</w:t>
            </w:r>
            <w:r w:rsidRPr="00171BDB">
              <w:rPr>
                <w:rFonts w:cs="Arial"/>
              </w:rPr>
              <w:br/>
              <w:t>Invest in facilitation, preparation and ongoing communication.</w:t>
            </w:r>
            <w:r w:rsidRPr="00171BDB">
              <w:rPr>
                <w:rFonts w:cs="Arial"/>
              </w:rPr>
              <w:br/>
              <w:t>Make expectations, roles and safety processes explicit.</w:t>
            </w:r>
            <w:r w:rsidRPr="00171BDB">
              <w:rPr>
                <w:rFonts w:cs="Arial"/>
              </w:rPr>
              <w:br/>
              <w:t>Close the loop by showing how input has influenced decisions</w:t>
            </w:r>
          </w:p>
          <w:p w14:paraId="30D06BBC" w14:textId="77777777" w:rsidR="00171BDB" w:rsidRDefault="00171BDB" w:rsidP="000F493A">
            <w:pPr>
              <w:rPr>
                <w:rFonts w:cs="Arial"/>
              </w:rPr>
            </w:pPr>
          </w:p>
        </w:tc>
      </w:tr>
    </w:tbl>
    <w:p w14:paraId="5474E0AA" w14:textId="77777777" w:rsidR="00171BDB" w:rsidRPr="003D599F" w:rsidRDefault="00171BDB" w:rsidP="000F493A">
      <w:pPr>
        <w:rPr>
          <w:rFonts w:cs="Arial"/>
        </w:rPr>
      </w:pPr>
    </w:p>
    <w:p w14:paraId="5C9A5E56" w14:textId="77777777" w:rsidR="000F493A" w:rsidRPr="000F493A" w:rsidRDefault="000F493A" w:rsidP="000F493A">
      <w:pPr>
        <w:rPr>
          <w:color w:val="2C2568" w:themeColor="accent1"/>
          <w:sz w:val="24"/>
          <w:szCs w:val="24"/>
        </w:rPr>
      </w:pPr>
      <w:r w:rsidRPr="000F493A">
        <w:rPr>
          <w:color w:val="2C2568" w:themeColor="accent1"/>
          <w:sz w:val="24"/>
          <w:szCs w:val="24"/>
        </w:rPr>
        <w:t>What consumers can learn from this</w:t>
      </w:r>
    </w:p>
    <w:p w14:paraId="2922034D" w14:textId="77777777" w:rsidR="000F493A" w:rsidRPr="00A721AA" w:rsidRDefault="000F493A" w:rsidP="000F493A">
      <w:pPr>
        <w:numPr>
          <w:ilvl w:val="0"/>
          <w:numId w:val="25"/>
        </w:numPr>
        <w:spacing w:after="0" w:line="300" w:lineRule="atLeast"/>
        <w:rPr>
          <w:rFonts w:cs="Arial"/>
        </w:rPr>
      </w:pPr>
      <w:r w:rsidRPr="00A721AA">
        <w:rPr>
          <w:rFonts w:cs="Arial"/>
        </w:rPr>
        <w:t>You don’t need to speak for everyone</w:t>
      </w:r>
      <w:r>
        <w:rPr>
          <w:rFonts w:cs="Arial"/>
        </w:rPr>
        <w:t>.</w:t>
      </w:r>
    </w:p>
    <w:p w14:paraId="18E576B1" w14:textId="77777777" w:rsidR="000F493A" w:rsidRPr="00A721AA" w:rsidRDefault="000F493A" w:rsidP="000F493A">
      <w:pPr>
        <w:numPr>
          <w:ilvl w:val="0"/>
          <w:numId w:val="25"/>
        </w:numPr>
        <w:spacing w:after="0" w:line="300" w:lineRule="atLeast"/>
        <w:rPr>
          <w:rFonts w:cs="Arial"/>
        </w:rPr>
      </w:pPr>
      <w:r w:rsidRPr="00A721AA">
        <w:rPr>
          <w:rFonts w:cs="Arial"/>
        </w:rPr>
        <w:t>Your value lies in what you notice that others don’t</w:t>
      </w:r>
      <w:r>
        <w:rPr>
          <w:rFonts w:cs="Arial"/>
        </w:rPr>
        <w:t>.</w:t>
      </w:r>
    </w:p>
    <w:p w14:paraId="36073659" w14:textId="77777777" w:rsidR="000F493A" w:rsidRPr="00A721AA" w:rsidRDefault="000F493A" w:rsidP="000F493A">
      <w:pPr>
        <w:numPr>
          <w:ilvl w:val="0"/>
          <w:numId w:val="25"/>
        </w:numPr>
        <w:spacing w:after="0" w:line="300" w:lineRule="atLeast"/>
        <w:rPr>
          <w:rFonts w:cs="Arial"/>
        </w:rPr>
      </w:pPr>
      <w:r w:rsidRPr="00A721AA">
        <w:rPr>
          <w:rFonts w:cs="Arial"/>
        </w:rPr>
        <w:t>It’s okay to ask for context, clarity and time</w:t>
      </w:r>
      <w:r>
        <w:rPr>
          <w:rFonts w:cs="Arial"/>
        </w:rPr>
        <w:t>.</w:t>
      </w:r>
    </w:p>
    <w:p w14:paraId="4DBCCA33" w14:textId="77777777" w:rsidR="000F493A" w:rsidRPr="00A721AA" w:rsidRDefault="000F493A" w:rsidP="000F493A">
      <w:pPr>
        <w:numPr>
          <w:ilvl w:val="0"/>
          <w:numId w:val="25"/>
        </w:numPr>
        <w:spacing w:after="0" w:line="300" w:lineRule="atLeast"/>
        <w:rPr>
          <w:rFonts w:cs="Arial"/>
        </w:rPr>
      </w:pPr>
      <w:r w:rsidRPr="00A721AA">
        <w:rPr>
          <w:rFonts w:cs="Arial"/>
        </w:rPr>
        <w:t xml:space="preserve">You may not see every suggestion land </w:t>
      </w:r>
      <w:r>
        <w:rPr>
          <w:rFonts w:cs="Arial"/>
        </w:rPr>
        <w:t>–</w:t>
      </w:r>
      <w:r w:rsidRPr="00A721AA">
        <w:rPr>
          <w:rFonts w:cs="Arial"/>
        </w:rPr>
        <w:t xml:space="preserve"> but your input can still shift thinking</w:t>
      </w:r>
      <w:r>
        <w:rPr>
          <w:rFonts w:cs="Arial"/>
        </w:rPr>
        <w:t>.</w:t>
      </w:r>
    </w:p>
    <w:p w14:paraId="5EA5E682" w14:textId="77777777" w:rsidR="000F493A" w:rsidRPr="00A721AA" w:rsidRDefault="000F493A" w:rsidP="000F493A">
      <w:pPr>
        <w:numPr>
          <w:ilvl w:val="0"/>
          <w:numId w:val="25"/>
        </w:numPr>
        <w:spacing w:after="0" w:line="300" w:lineRule="atLeast"/>
        <w:rPr>
          <w:rFonts w:cs="Arial"/>
        </w:rPr>
      </w:pPr>
      <w:r w:rsidRPr="16B06E73">
        <w:rPr>
          <w:rFonts w:cs="Arial"/>
        </w:rPr>
        <w:t>Small observations often lead to systemwide improvements</w:t>
      </w:r>
      <w:r>
        <w:rPr>
          <w:rFonts w:cs="Arial"/>
        </w:rPr>
        <w:t>.</w:t>
      </w:r>
    </w:p>
    <w:p w14:paraId="1D88FD38" w14:textId="77777777" w:rsidR="000F493A" w:rsidRPr="00A721AA" w:rsidRDefault="000F493A" w:rsidP="000F493A">
      <w:pPr>
        <w:spacing w:after="0" w:line="300" w:lineRule="atLeast"/>
        <w:rPr>
          <w:rFonts w:cs="Arial"/>
        </w:rPr>
      </w:pPr>
    </w:p>
    <w:p w14:paraId="2B6707B7" w14:textId="77777777" w:rsidR="000F493A" w:rsidRPr="00A721AA" w:rsidRDefault="000F493A" w:rsidP="000F493A">
      <w:pPr>
        <w:spacing w:after="0" w:line="300" w:lineRule="atLeast"/>
        <w:rPr>
          <w:rFonts w:eastAsia="Times New Roman" w:cs="Arial"/>
          <w:lang w:eastAsia="en-NZ"/>
        </w:rPr>
      </w:pPr>
      <w:r w:rsidRPr="16B06E73">
        <w:rPr>
          <w:rFonts w:cs="Arial"/>
        </w:rPr>
        <w:t xml:space="preserve">Consumers are not expected to represent everyone nor should they. </w:t>
      </w:r>
      <w:r w:rsidRPr="16B06E73">
        <w:rPr>
          <w:rFonts w:eastAsia="Times New Roman" w:cs="Arial"/>
          <w:lang w:eastAsia="en-NZ"/>
        </w:rPr>
        <w:t>What matters is the insight they bring from where they sit and how that fits into the wider system.</w:t>
      </w:r>
    </w:p>
    <w:p w14:paraId="2A9FBE11" w14:textId="77777777" w:rsidR="000F493A" w:rsidRPr="00A721AA" w:rsidRDefault="000F493A" w:rsidP="000F493A">
      <w:pPr>
        <w:spacing w:after="0" w:line="300" w:lineRule="atLeast"/>
        <w:rPr>
          <w:rFonts w:eastAsia="Times New Roman" w:cs="Arial"/>
          <w:lang w:eastAsia="en-NZ"/>
        </w:rPr>
      </w:pPr>
    </w:p>
    <w:p w14:paraId="43597495" w14:textId="77777777" w:rsidR="00B11180" w:rsidRDefault="00B11180" w:rsidP="006838BC">
      <w:pPr>
        <w:pStyle w:val="HQSCbodytext"/>
      </w:pPr>
    </w:p>
    <w:p w14:paraId="5E639C07" w14:textId="77777777" w:rsidR="00920720" w:rsidRDefault="00920720" w:rsidP="006838BC">
      <w:pPr>
        <w:pStyle w:val="HQSCbodytext"/>
      </w:pPr>
    </w:p>
    <w:p w14:paraId="0D7EDF4E" w14:textId="77777777" w:rsidR="00920720" w:rsidRDefault="00920720" w:rsidP="006838BC">
      <w:pPr>
        <w:pStyle w:val="HQSCbodytext"/>
      </w:pPr>
    </w:p>
    <w:p w14:paraId="38A62C75" w14:textId="77777777" w:rsidR="00920720" w:rsidRDefault="00920720" w:rsidP="006838BC">
      <w:pPr>
        <w:pStyle w:val="HQSCbodytext"/>
      </w:pPr>
    </w:p>
    <w:p w14:paraId="71514DEB" w14:textId="77777777" w:rsidR="00920720" w:rsidRDefault="00920720" w:rsidP="006838BC">
      <w:pPr>
        <w:pStyle w:val="HQSCbodytext"/>
      </w:pPr>
    </w:p>
    <w:p w14:paraId="14431761" w14:textId="77777777" w:rsidR="00920720" w:rsidRDefault="00920720" w:rsidP="006838BC">
      <w:pPr>
        <w:pStyle w:val="HQSCbodytext"/>
      </w:pPr>
    </w:p>
    <w:p w14:paraId="3D4B8465" w14:textId="1D3C4D88" w:rsidR="00AF57B3" w:rsidRDefault="00AF57B3" w:rsidP="006838BC">
      <w:pPr>
        <w:pStyle w:val="HQSCbodytext"/>
      </w:pPr>
      <w:r w:rsidRPr="00052E86">
        <w:t xml:space="preserve">Published </w:t>
      </w:r>
      <w:r w:rsidR="00633898">
        <w:t xml:space="preserve">June 2026 </w:t>
      </w:r>
      <w:r>
        <w:t>by Health Quality &amp; Safety Commission</w:t>
      </w:r>
      <w:r w:rsidR="00DC0A53">
        <w:t xml:space="preserve"> Te Tāhū Hauora</w:t>
      </w:r>
      <w:r>
        <w:t xml:space="preserve">, PO Box 25496, Wellington, 6146. </w:t>
      </w:r>
      <w:r w:rsidRPr="00052E86">
        <w:t xml:space="preserve">Available online at </w:t>
      </w:r>
      <w:hyperlink r:id="rId9" w:history="1">
        <w:r w:rsidRPr="00052E86">
          <w:rPr>
            <w:rStyle w:val="Hyperlink"/>
          </w:rPr>
          <w:t>www.hqsc.govt.nz</w:t>
        </w:r>
      </w:hyperlink>
      <w:r>
        <w:t>.</w:t>
      </w:r>
      <w:r>
        <w:rPr>
          <w:rStyle w:val="Hyperlink"/>
        </w:rPr>
        <w:t xml:space="preserve"> </w:t>
      </w:r>
      <w:r w:rsidRPr="00052E86">
        <w:t xml:space="preserve">Enquiries to: </w:t>
      </w:r>
      <w:hyperlink r:id="rId10" w:history="1">
        <w:r w:rsidRPr="00A45102">
          <w:rPr>
            <w:rStyle w:val="Hyperlink"/>
          </w:rPr>
          <w:t>info@hqsc.govt.nz</w:t>
        </w:r>
      </w:hyperlink>
    </w:p>
    <w:p w14:paraId="44B20CDE" w14:textId="77777777" w:rsidR="00155A86" w:rsidRDefault="00155A86" w:rsidP="006838BC">
      <w:pPr>
        <w:pStyle w:val="HQSCbodytext"/>
      </w:pPr>
    </w:p>
    <w:p w14:paraId="1522E106" w14:textId="77777777" w:rsidR="00AF57B3" w:rsidRPr="004846B0" w:rsidRDefault="00685328" w:rsidP="00155A86">
      <w:pPr>
        <w:pStyle w:val="HQSCbodytext"/>
      </w:pPr>
      <w:r>
        <w:rPr>
          <w:noProof/>
        </w:rPr>
        <w:drawing>
          <wp:inline distT="0" distB="0" distL="0" distR="0" wp14:anchorId="609BD883" wp14:editId="082205B4">
            <wp:extent cx="2571141" cy="590550"/>
            <wp:effectExtent l="0" t="0" r="635" b="0"/>
            <wp:docPr id="9" name="Picture 9" descr="The New Zealand Government logo is made up of the coat of arms of New Zealand on the left and the words New Zealand Government in bold letters alongside it, with Te Kāwanatanga o Aotearoa written be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he New Zealand Government logo is made up of the coat of arms of New Zealand on the left and the words New Zealand Government in bold letters alongside it, with Te Kāwanatanga o Aotearoa written beneath."/>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82471" cy="593152"/>
                    </a:xfrm>
                    <a:prstGeom prst="rect">
                      <a:avLst/>
                    </a:prstGeom>
                  </pic:spPr>
                </pic:pic>
              </a:graphicData>
            </a:graphic>
          </wp:inline>
        </w:drawing>
      </w:r>
    </w:p>
    <w:sectPr w:rsidR="00AF57B3" w:rsidRPr="004846B0">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59E18" w14:textId="77777777" w:rsidR="003148A5" w:rsidRDefault="003148A5" w:rsidP="003C45E1">
      <w:pPr>
        <w:spacing w:after="0" w:line="240" w:lineRule="auto"/>
      </w:pPr>
      <w:r>
        <w:separator/>
      </w:r>
    </w:p>
  </w:endnote>
  <w:endnote w:type="continuationSeparator" w:id="0">
    <w:p w14:paraId="2F6A5A57" w14:textId="77777777" w:rsidR="003148A5" w:rsidRDefault="003148A5" w:rsidP="003C4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860358055"/>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48012153" w14:textId="033AB340" w:rsidR="004907D7" w:rsidRPr="004A752B" w:rsidRDefault="00BF2194" w:rsidP="004A752B">
            <w:pPr>
              <w:pStyle w:val="Footer"/>
              <w:spacing w:after="120" w:line="276" w:lineRule="auto"/>
              <w:rPr>
                <w:sz w:val="20"/>
                <w:szCs w:val="20"/>
              </w:rPr>
            </w:pPr>
            <w:r w:rsidRPr="00BF2194">
              <w:rPr>
                <w:sz w:val="20"/>
                <w:szCs w:val="20"/>
              </w:rPr>
              <w:t>Lived experience is real world knowledge about what works in practice, not just on paper</w:t>
            </w:r>
            <w:r w:rsidR="004A752B" w:rsidRPr="004A752B">
              <w:rPr>
                <w:sz w:val="20"/>
                <w:szCs w:val="20"/>
              </w:rPr>
              <w:tab/>
            </w:r>
            <w:r w:rsidR="004A752B" w:rsidRPr="004A752B">
              <w:rPr>
                <w:sz w:val="20"/>
                <w:szCs w:val="20"/>
              </w:rPr>
              <w:tab/>
            </w:r>
            <w:r w:rsidR="004A752B" w:rsidRPr="004A752B">
              <w:rPr>
                <w:sz w:val="20"/>
                <w:szCs w:val="20"/>
              </w:rPr>
              <w:fldChar w:fldCharType="begin"/>
            </w:r>
            <w:r w:rsidR="004A752B" w:rsidRPr="004A752B">
              <w:rPr>
                <w:sz w:val="20"/>
                <w:szCs w:val="20"/>
              </w:rPr>
              <w:instrText xml:space="preserve"> PAGE </w:instrText>
            </w:r>
            <w:r w:rsidR="004A752B" w:rsidRPr="004A752B">
              <w:rPr>
                <w:sz w:val="20"/>
                <w:szCs w:val="20"/>
              </w:rPr>
              <w:fldChar w:fldCharType="separate"/>
            </w:r>
            <w:r w:rsidR="004A752B" w:rsidRPr="004A752B">
              <w:rPr>
                <w:noProof/>
                <w:sz w:val="20"/>
                <w:szCs w:val="20"/>
              </w:rPr>
              <w:t>2</w:t>
            </w:r>
            <w:r w:rsidR="004A752B" w:rsidRPr="004A752B">
              <w:rPr>
                <w:sz w:val="20"/>
                <w:szCs w:val="20"/>
              </w:rPr>
              <w:fldChar w:fldCharType="end"/>
            </w:r>
            <w:r w:rsidR="004A752B" w:rsidRPr="004A752B">
              <w:rPr>
                <w:sz w:val="20"/>
                <w:szCs w:val="20"/>
              </w:rPr>
              <w:t xml:space="preserve"> of </w:t>
            </w:r>
            <w:r w:rsidR="004A752B" w:rsidRPr="004A752B">
              <w:rPr>
                <w:sz w:val="20"/>
                <w:szCs w:val="20"/>
              </w:rPr>
              <w:fldChar w:fldCharType="begin"/>
            </w:r>
            <w:r w:rsidR="004A752B" w:rsidRPr="004A752B">
              <w:rPr>
                <w:sz w:val="20"/>
                <w:szCs w:val="20"/>
              </w:rPr>
              <w:instrText xml:space="preserve"> NUMPAGES  </w:instrText>
            </w:r>
            <w:r w:rsidR="004A752B" w:rsidRPr="004A752B">
              <w:rPr>
                <w:sz w:val="20"/>
                <w:szCs w:val="20"/>
              </w:rPr>
              <w:fldChar w:fldCharType="separate"/>
            </w:r>
            <w:r w:rsidR="004A752B" w:rsidRPr="004A752B">
              <w:rPr>
                <w:noProof/>
                <w:sz w:val="20"/>
                <w:szCs w:val="20"/>
              </w:rPr>
              <w:t>2</w:t>
            </w:r>
            <w:r w:rsidR="004A752B" w:rsidRPr="004A752B">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13757" w14:textId="77777777" w:rsidR="003148A5" w:rsidRDefault="003148A5" w:rsidP="003C45E1">
      <w:pPr>
        <w:spacing w:after="0" w:line="240" w:lineRule="auto"/>
      </w:pPr>
      <w:r>
        <w:separator/>
      </w:r>
    </w:p>
  </w:footnote>
  <w:footnote w:type="continuationSeparator" w:id="0">
    <w:p w14:paraId="066CCF5C" w14:textId="77777777" w:rsidR="003148A5" w:rsidRDefault="003148A5" w:rsidP="003C45E1">
      <w:pPr>
        <w:spacing w:after="0" w:line="240" w:lineRule="auto"/>
      </w:pPr>
      <w:r>
        <w:continuationSeparator/>
      </w:r>
    </w:p>
  </w:footnote>
  <w:footnote w:id="1">
    <w:p w14:paraId="4D4B49B2" w14:textId="77777777" w:rsidR="000F493A" w:rsidRDefault="000F493A" w:rsidP="000F493A">
      <w:pPr>
        <w:pStyle w:val="FootnoteText"/>
      </w:pPr>
      <w:r>
        <w:rPr>
          <w:rStyle w:val="FootnoteReference"/>
        </w:rPr>
        <w:footnoteRef/>
      </w:r>
      <w:r>
        <w:t xml:space="preserve"> </w:t>
      </w:r>
      <w:hyperlink r:id="rId1" w:history="1">
        <w:r w:rsidRPr="005C2A13">
          <w:rPr>
            <w:rStyle w:val="Hyperlink"/>
          </w:rPr>
          <w:t>https://healthfacilityguidelines.com.au/australasian-health-facility-guidelines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48A0D3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D554B7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134035"/>
    <w:multiLevelType w:val="multilevel"/>
    <w:tmpl w:val="2090BD38"/>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6F81427"/>
    <w:multiLevelType w:val="hybridMultilevel"/>
    <w:tmpl w:val="A7AABDD2"/>
    <w:lvl w:ilvl="0" w:tplc="B50C45BE">
      <w:start w:val="1"/>
      <w:numFmt w:val="bullet"/>
      <w:lvlText w:val="•"/>
      <w:lvlJc w:val="left"/>
      <w:pPr>
        <w:tabs>
          <w:tab w:val="num" w:pos="720"/>
        </w:tabs>
        <w:ind w:left="720" w:hanging="360"/>
      </w:pPr>
      <w:rPr>
        <w:rFonts w:ascii="Arial" w:hAnsi="Arial" w:hint="default"/>
      </w:rPr>
    </w:lvl>
    <w:lvl w:ilvl="1" w:tplc="09067FF8" w:tentative="1">
      <w:start w:val="1"/>
      <w:numFmt w:val="bullet"/>
      <w:lvlText w:val="•"/>
      <w:lvlJc w:val="left"/>
      <w:pPr>
        <w:tabs>
          <w:tab w:val="num" w:pos="1440"/>
        </w:tabs>
        <w:ind w:left="1440" w:hanging="360"/>
      </w:pPr>
      <w:rPr>
        <w:rFonts w:ascii="Arial" w:hAnsi="Arial" w:hint="default"/>
      </w:rPr>
    </w:lvl>
    <w:lvl w:ilvl="2" w:tplc="C9043132" w:tentative="1">
      <w:start w:val="1"/>
      <w:numFmt w:val="bullet"/>
      <w:lvlText w:val="•"/>
      <w:lvlJc w:val="left"/>
      <w:pPr>
        <w:tabs>
          <w:tab w:val="num" w:pos="2160"/>
        </w:tabs>
        <w:ind w:left="2160" w:hanging="360"/>
      </w:pPr>
      <w:rPr>
        <w:rFonts w:ascii="Arial" w:hAnsi="Arial" w:hint="default"/>
      </w:rPr>
    </w:lvl>
    <w:lvl w:ilvl="3" w:tplc="98F2F36C" w:tentative="1">
      <w:start w:val="1"/>
      <w:numFmt w:val="bullet"/>
      <w:lvlText w:val="•"/>
      <w:lvlJc w:val="left"/>
      <w:pPr>
        <w:tabs>
          <w:tab w:val="num" w:pos="2880"/>
        </w:tabs>
        <w:ind w:left="2880" w:hanging="360"/>
      </w:pPr>
      <w:rPr>
        <w:rFonts w:ascii="Arial" w:hAnsi="Arial" w:hint="default"/>
      </w:rPr>
    </w:lvl>
    <w:lvl w:ilvl="4" w:tplc="17B6009E" w:tentative="1">
      <w:start w:val="1"/>
      <w:numFmt w:val="bullet"/>
      <w:lvlText w:val="•"/>
      <w:lvlJc w:val="left"/>
      <w:pPr>
        <w:tabs>
          <w:tab w:val="num" w:pos="3600"/>
        </w:tabs>
        <w:ind w:left="3600" w:hanging="360"/>
      </w:pPr>
      <w:rPr>
        <w:rFonts w:ascii="Arial" w:hAnsi="Arial" w:hint="default"/>
      </w:rPr>
    </w:lvl>
    <w:lvl w:ilvl="5" w:tplc="EB56E2C4" w:tentative="1">
      <w:start w:val="1"/>
      <w:numFmt w:val="bullet"/>
      <w:lvlText w:val="•"/>
      <w:lvlJc w:val="left"/>
      <w:pPr>
        <w:tabs>
          <w:tab w:val="num" w:pos="4320"/>
        </w:tabs>
        <w:ind w:left="4320" w:hanging="360"/>
      </w:pPr>
      <w:rPr>
        <w:rFonts w:ascii="Arial" w:hAnsi="Arial" w:hint="default"/>
      </w:rPr>
    </w:lvl>
    <w:lvl w:ilvl="6" w:tplc="2F74FA20" w:tentative="1">
      <w:start w:val="1"/>
      <w:numFmt w:val="bullet"/>
      <w:lvlText w:val="•"/>
      <w:lvlJc w:val="left"/>
      <w:pPr>
        <w:tabs>
          <w:tab w:val="num" w:pos="5040"/>
        </w:tabs>
        <w:ind w:left="5040" w:hanging="360"/>
      </w:pPr>
      <w:rPr>
        <w:rFonts w:ascii="Arial" w:hAnsi="Arial" w:hint="default"/>
      </w:rPr>
    </w:lvl>
    <w:lvl w:ilvl="7" w:tplc="4D80BD66" w:tentative="1">
      <w:start w:val="1"/>
      <w:numFmt w:val="bullet"/>
      <w:lvlText w:val="•"/>
      <w:lvlJc w:val="left"/>
      <w:pPr>
        <w:tabs>
          <w:tab w:val="num" w:pos="5760"/>
        </w:tabs>
        <w:ind w:left="5760" w:hanging="360"/>
      </w:pPr>
      <w:rPr>
        <w:rFonts w:ascii="Arial" w:hAnsi="Arial" w:hint="default"/>
      </w:rPr>
    </w:lvl>
    <w:lvl w:ilvl="8" w:tplc="61380B3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A90D44"/>
    <w:multiLevelType w:val="hybridMultilevel"/>
    <w:tmpl w:val="F808FC2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1B87844"/>
    <w:multiLevelType w:val="hybridMultilevel"/>
    <w:tmpl w:val="7C86928C"/>
    <w:lvl w:ilvl="0" w:tplc="6CB2829E">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6A906E0"/>
    <w:multiLevelType w:val="hybridMultilevel"/>
    <w:tmpl w:val="E6D63B6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B8E3E3A"/>
    <w:multiLevelType w:val="hybridMultilevel"/>
    <w:tmpl w:val="D74617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3E361D1"/>
    <w:multiLevelType w:val="hybridMultilevel"/>
    <w:tmpl w:val="390AAC1A"/>
    <w:lvl w:ilvl="0" w:tplc="14090001">
      <w:start w:val="1"/>
      <w:numFmt w:val="bullet"/>
      <w:lvlText w:val=""/>
      <w:lvlJc w:val="left"/>
      <w:pPr>
        <w:ind w:left="720" w:hanging="360"/>
      </w:pPr>
      <w:rPr>
        <w:rFonts w:ascii="Symbol" w:hAnsi="Symbol" w:hint="default"/>
      </w:rPr>
    </w:lvl>
    <w:lvl w:ilvl="1" w:tplc="107CD3DE">
      <w:numFmt w:val="bullet"/>
      <w:lvlText w:val="•"/>
      <w:lvlJc w:val="left"/>
      <w:pPr>
        <w:ind w:left="1440" w:hanging="360"/>
      </w:pPr>
      <w:rPr>
        <w:rFonts w:ascii="Calibri" w:eastAsiaTheme="minorHAnsi" w:hAnsi="Calibri" w:cstheme="minorBid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9C63DD8"/>
    <w:multiLevelType w:val="multilevel"/>
    <w:tmpl w:val="742C5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3C3150"/>
    <w:multiLevelType w:val="hybridMultilevel"/>
    <w:tmpl w:val="F712F3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BB30A57"/>
    <w:multiLevelType w:val="hybridMultilevel"/>
    <w:tmpl w:val="B178DA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BE3459F"/>
    <w:multiLevelType w:val="hybridMultilevel"/>
    <w:tmpl w:val="6664A4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D29109C"/>
    <w:multiLevelType w:val="hybridMultilevel"/>
    <w:tmpl w:val="CC4AF280"/>
    <w:styleLink w:val="Dash"/>
    <w:lvl w:ilvl="0" w:tplc="A5D216C6">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4A48DA">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FA2A36">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002358">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DD21FE0">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70F854">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B05962">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A4DEF6">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442160">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74B4637"/>
    <w:multiLevelType w:val="hybridMultilevel"/>
    <w:tmpl w:val="DC24D8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BB814F1"/>
    <w:multiLevelType w:val="multilevel"/>
    <w:tmpl w:val="3E188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F758FD"/>
    <w:multiLevelType w:val="multilevel"/>
    <w:tmpl w:val="2090BD38"/>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01453E9"/>
    <w:multiLevelType w:val="hybridMultilevel"/>
    <w:tmpl w:val="D42E7B0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4260FBA"/>
    <w:multiLevelType w:val="hybridMultilevel"/>
    <w:tmpl w:val="2FF2CB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9165B52"/>
    <w:multiLevelType w:val="multilevel"/>
    <w:tmpl w:val="3BE2A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30230B"/>
    <w:multiLevelType w:val="hybridMultilevel"/>
    <w:tmpl w:val="50AC4CE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66CF5ACB"/>
    <w:multiLevelType w:val="hybridMultilevel"/>
    <w:tmpl w:val="B17420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D9C3B95"/>
    <w:multiLevelType w:val="hybridMultilevel"/>
    <w:tmpl w:val="FB6014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13A1C71"/>
    <w:multiLevelType w:val="multilevel"/>
    <w:tmpl w:val="7F22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437056"/>
    <w:multiLevelType w:val="hybridMultilevel"/>
    <w:tmpl w:val="D35028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86B6656"/>
    <w:multiLevelType w:val="hybridMultilevel"/>
    <w:tmpl w:val="600ADAA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C4B1D56"/>
    <w:multiLevelType w:val="multilevel"/>
    <w:tmpl w:val="6420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0813112">
    <w:abstractNumId w:val="8"/>
  </w:num>
  <w:num w:numId="2" w16cid:durableId="1664695360">
    <w:abstractNumId w:val="14"/>
  </w:num>
  <w:num w:numId="3" w16cid:durableId="86075489">
    <w:abstractNumId w:val="20"/>
  </w:num>
  <w:num w:numId="4" w16cid:durableId="961226629">
    <w:abstractNumId w:val="16"/>
  </w:num>
  <w:num w:numId="5" w16cid:durableId="810247892">
    <w:abstractNumId w:val="21"/>
  </w:num>
  <w:num w:numId="6" w16cid:durableId="199098544">
    <w:abstractNumId w:val="13"/>
  </w:num>
  <w:num w:numId="7" w16cid:durableId="1829781319">
    <w:abstractNumId w:val="25"/>
  </w:num>
  <w:num w:numId="8" w16cid:durableId="534579980">
    <w:abstractNumId w:val="17"/>
  </w:num>
  <w:num w:numId="9" w16cid:durableId="1863742993">
    <w:abstractNumId w:val="7"/>
  </w:num>
  <w:num w:numId="10" w16cid:durableId="50538599">
    <w:abstractNumId w:val="6"/>
  </w:num>
  <w:num w:numId="11" w16cid:durableId="1131828693">
    <w:abstractNumId w:val="4"/>
  </w:num>
  <w:num w:numId="12" w16cid:durableId="1093433892">
    <w:abstractNumId w:val="24"/>
  </w:num>
  <w:num w:numId="13" w16cid:durableId="272787516">
    <w:abstractNumId w:val="22"/>
  </w:num>
  <w:num w:numId="14" w16cid:durableId="1390617373">
    <w:abstractNumId w:val="5"/>
  </w:num>
  <w:num w:numId="15" w16cid:durableId="761143986">
    <w:abstractNumId w:val="2"/>
  </w:num>
  <w:num w:numId="16" w16cid:durableId="1515728625">
    <w:abstractNumId w:val="1"/>
  </w:num>
  <w:num w:numId="17" w16cid:durableId="999843847">
    <w:abstractNumId w:val="0"/>
  </w:num>
  <w:num w:numId="18" w16cid:durableId="1301568591">
    <w:abstractNumId w:val="0"/>
    <w:lvlOverride w:ilvl="0">
      <w:startOverride w:val="1"/>
    </w:lvlOverride>
  </w:num>
  <w:num w:numId="19" w16cid:durableId="1114863352">
    <w:abstractNumId w:val="26"/>
  </w:num>
  <w:num w:numId="20" w16cid:durableId="369575828">
    <w:abstractNumId w:val="15"/>
  </w:num>
  <w:num w:numId="21" w16cid:durableId="1971279621">
    <w:abstractNumId w:val="9"/>
  </w:num>
  <w:num w:numId="22" w16cid:durableId="1199510750">
    <w:abstractNumId w:val="10"/>
  </w:num>
  <w:num w:numId="23" w16cid:durableId="2085446470">
    <w:abstractNumId w:val="3"/>
  </w:num>
  <w:num w:numId="24" w16cid:durableId="402801302">
    <w:abstractNumId w:val="23"/>
  </w:num>
  <w:num w:numId="25" w16cid:durableId="90782725">
    <w:abstractNumId w:val="19"/>
  </w:num>
  <w:num w:numId="26" w16cid:durableId="2064870748">
    <w:abstractNumId w:val="11"/>
  </w:num>
  <w:num w:numId="27" w16cid:durableId="1650670783">
    <w:abstractNumId w:val="12"/>
  </w:num>
  <w:num w:numId="28" w16cid:durableId="303589151">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93A"/>
    <w:rsid w:val="00000224"/>
    <w:rsid w:val="00003978"/>
    <w:rsid w:val="00005986"/>
    <w:rsid w:val="000072B5"/>
    <w:rsid w:val="00012CD3"/>
    <w:rsid w:val="00014BDF"/>
    <w:rsid w:val="000154D5"/>
    <w:rsid w:val="00015F44"/>
    <w:rsid w:val="00017216"/>
    <w:rsid w:val="00021A1A"/>
    <w:rsid w:val="000235D4"/>
    <w:rsid w:val="000257D7"/>
    <w:rsid w:val="00026401"/>
    <w:rsid w:val="00043083"/>
    <w:rsid w:val="000434D2"/>
    <w:rsid w:val="00046D07"/>
    <w:rsid w:val="00051CC0"/>
    <w:rsid w:val="0005287A"/>
    <w:rsid w:val="00052B4C"/>
    <w:rsid w:val="0005504C"/>
    <w:rsid w:val="00057F11"/>
    <w:rsid w:val="00062B82"/>
    <w:rsid w:val="00067C71"/>
    <w:rsid w:val="00071CE6"/>
    <w:rsid w:val="00072B90"/>
    <w:rsid w:val="00077897"/>
    <w:rsid w:val="00081524"/>
    <w:rsid w:val="00081E3B"/>
    <w:rsid w:val="00083C26"/>
    <w:rsid w:val="0008726B"/>
    <w:rsid w:val="00092A37"/>
    <w:rsid w:val="00096C19"/>
    <w:rsid w:val="000A5622"/>
    <w:rsid w:val="000B111C"/>
    <w:rsid w:val="000C1227"/>
    <w:rsid w:val="000C3D4F"/>
    <w:rsid w:val="000C71F5"/>
    <w:rsid w:val="000D7E4B"/>
    <w:rsid w:val="000E5B30"/>
    <w:rsid w:val="000F32D0"/>
    <w:rsid w:val="000F493A"/>
    <w:rsid w:val="000F7471"/>
    <w:rsid w:val="00101302"/>
    <w:rsid w:val="00104BBC"/>
    <w:rsid w:val="00105E23"/>
    <w:rsid w:val="00106ECE"/>
    <w:rsid w:val="001111D6"/>
    <w:rsid w:val="001123E1"/>
    <w:rsid w:val="00115489"/>
    <w:rsid w:val="00115AEB"/>
    <w:rsid w:val="001249E2"/>
    <w:rsid w:val="00124E94"/>
    <w:rsid w:val="0013118C"/>
    <w:rsid w:val="00131E3D"/>
    <w:rsid w:val="00133F6A"/>
    <w:rsid w:val="00134F5C"/>
    <w:rsid w:val="001378CA"/>
    <w:rsid w:val="00140AAC"/>
    <w:rsid w:val="00143651"/>
    <w:rsid w:val="00147145"/>
    <w:rsid w:val="00150EC1"/>
    <w:rsid w:val="00150EE7"/>
    <w:rsid w:val="00150F2F"/>
    <w:rsid w:val="00153C73"/>
    <w:rsid w:val="00155A86"/>
    <w:rsid w:val="001639FA"/>
    <w:rsid w:val="00164036"/>
    <w:rsid w:val="00165B6D"/>
    <w:rsid w:val="00171BDB"/>
    <w:rsid w:val="00173B88"/>
    <w:rsid w:val="00183219"/>
    <w:rsid w:val="00183F98"/>
    <w:rsid w:val="001855EA"/>
    <w:rsid w:val="00185F52"/>
    <w:rsid w:val="00193951"/>
    <w:rsid w:val="0019407B"/>
    <w:rsid w:val="001A02AD"/>
    <w:rsid w:val="001A132C"/>
    <w:rsid w:val="001A2A4E"/>
    <w:rsid w:val="001A44E7"/>
    <w:rsid w:val="001A6068"/>
    <w:rsid w:val="001A6553"/>
    <w:rsid w:val="001B161C"/>
    <w:rsid w:val="001B6AEC"/>
    <w:rsid w:val="001C2409"/>
    <w:rsid w:val="001D0822"/>
    <w:rsid w:val="001D6AAD"/>
    <w:rsid w:val="001D7FB6"/>
    <w:rsid w:val="001E06DF"/>
    <w:rsid w:val="001E0B57"/>
    <w:rsid w:val="001E6A9F"/>
    <w:rsid w:val="001F1896"/>
    <w:rsid w:val="001F3461"/>
    <w:rsid w:val="0020107E"/>
    <w:rsid w:val="00203EA2"/>
    <w:rsid w:val="00205657"/>
    <w:rsid w:val="00205AD6"/>
    <w:rsid w:val="002121B9"/>
    <w:rsid w:val="0021261B"/>
    <w:rsid w:val="002201B7"/>
    <w:rsid w:val="00225BC0"/>
    <w:rsid w:val="0023054B"/>
    <w:rsid w:val="002339EA"/>
    <w:rsid w:val="002371B4"/>
    <w:rsid w:val="00237533"/>
    <w:rsid w:val="00244839"/>
    <w:rsid w:val="00245178"/>
    <w:rsid w:val="002514A1"/>
    <w:rsid w:val="0025180B"/>
    <w:rsid w:val="00252B7B"/>
    <w:rsid w:val="0026090F"/>
    <w:rsid w:val="002665C5"/>
    <w:rsid w:val="0027152B"/>
    <w:rsid w:val="00272AA4"/>
    <w:rsid w:val="00287D53"/>
    <w:rsid w:val="0029029C"/>
    <w:rsid w:val="00291E66"/>
    <w:rsid w:val="0029676C"/>
    <w:rsid w:val="002969D8"/>
    <w:rsid w:val="00297582"/>
    <w:rsid w:val="00297676"/>
    <w:rsid w:val="00297B4B"/>
    <w:rsid w:val="00297DA1"/>
    <w:rsid w:val="002B4FF6"/>
    <w:rsid w:val="002C3DF2"/>
    <w:rsid w:val="002D22C7"/>
    <w:rsid w:val="002E1666"/>
    <w:rsid w:val="002E2CCF"/>
    <w:rsid w:val="002E547C"/>
    <w:rsid w:val="002E7831"/>
    <w:rsid w:val="002F6704"/>
    <w:rsid w:val="00300830"/>
    <w:rsid w:val="0030109F"/>
    <w:rsid w:val="00301AB6"/>
    <w:rsid w:val="00303EF1"/>
    <w:rsid w:val="00305B8D"/>
    <w:rsid w:val="00310A90"/>
    <w:rsid w:val="003148A5"/>
    <w:rsid w:val="00331D2C"/>
    <w:rsid w:val="003362F8"/>
    <w:rsid w:val="00340841"/>
    <w:rsid w:val="0034255E"/>
    <w:rsid w:val="00345103"/>
    <w:rsid w:val="003451B3"/>
    <w:rsid w:val="00345201"/>
    <w:rsid w:val="00345ACC"/>
    <w:rsid w:val="003470AA"/>
    <w:rsid w:val="00350934"/>
    <w:rsid w:val="00351589"/>
    <w:rsid w:val="003557A9"/>
    <w:rsid w:val="003558C2"/>
    <w:rsid w:val="00356454"/>
    <w:rsid w:val="0035680A"/>
    <w:rsid w:val="0036225A"/>
    <w:rsid w:val="00370C0F"/>
    <w:rsid w:val="003720D9"/>
    <w:rsid w:val="00372989"/>
    <w:rsid w:val="00374EB2"/>
    <w:rsid w:val="003751B1"/>
    <w:rsid w:val="00380044"/>
    <w:rsid w:val="0038042C"/>
    <w:rsid w:val="00386712"/>
    <w:rsid w:val="00390A08"/>
    <w:rsid w:val="00392C96"/>
    <w:rsid w:val="00393170"/>
    <w:rsid w:val="003A1838"/>
    <w:rsid w:val="003A3D1C"/>
    <w:rsid w:val="003B13D7"/>
    <w:rsid w:val="003B2535"/>
    <w:rsid w:val="003B6C8D"/>
    <w:rsid w:val="003B784D"/>
    <w:rsid w:val="003C45E1"/>
    <w:rsid w:val="003C597F"/>
    <w:rsid w:val="003D19E6"/>
    <w:rsid w:val="003D6914"/>
    <w:rsid w:val="003E1978"/>
    <w:rsid w:val="003E2238"/>
    <w:rsid w:val="003E38E3"/>
    <w:rsid w:val="003E52D6"/>
    <w:rsid w:val="003F0791"/>
    <w:rsid w:val="003F330A"/>
    <w:rsid w:val="003F5A26"/>
    <w:rsid w:val="00402A50"/>
    <w:rsid w:val="0040657D"/>
    <w:rsid w:val="00407CA8"/>
    <w:rsid w:val="00410D2D"/>
    <w:rsid w:val="004114BA"/>
    <w:rsid w:val="00411BBC"/>
    <w:rsid w:val="00416629"/>
    <w:rsid w:val="004201E0"/>
    <w:rsid w:val="004241B9"/>
    <w:rsid w:val="004258F9"/>
    <w:rsid w:val="00425AA0"/>
    <w:rsid w:val="00432DE0"/>
    <w:rsid w:val="00433D6F"/>
    <w:rsid w:val="004363F2"/>
    <w:rsid w:val="0043743D"/>
    <w:rsid w:val="00442819"/>
    <w:rsid w:val="00442889"/>
    <w:rsid w:val="004458DE"/>
    <w:rsid w:val="004466EF"/>
    <w:rsid w:val="00447327"/>
    <w:rsid w:val="0045000E"/>
    <w:rsid w:val="0045730F"/>
    <w:rsid w:val="00461A9A"/>
    <w:rsid w:val="00461AE6"/>
    <w:rsid w:val="00462D7A"/>
    <w:rsid w:val="004639D3"/>
    <w:rsid w:val="00470861"/>
    <w:rsid w:val="0047638D"/>
    <w:rsid w:val="0047654C"/>
    <w:rsid w:val="0048247F"/>
    <w:rsid w:val="004846B0"/>
    <w:rsid w:val="004857E1"/>
    <w:rsid w:val="004863EB"/>
    <w:rsid w:val="004907D7"/>
    <w:rsid w:val="004947A0"/>
    <w:rsid w:val="0049681B"/>
    <w:rsid w:val="004968AD"/>
    <w:rsid w:val="004A0DE8"/>
    <w:rsid w:val="004A182F"/>
    <w:rsid w:val="004A1ACA"/>
    <w:rsid w:val="004A1E32"/>
    <w:rsid w:val="004A54CE"/>
    <w:rsid w:val="004A6075"/>
    <w:rsid w:val="004A752B"/>
    <w:rsid w:val="004B0E7D"/>
    <w:rsid w:val="004B387A"/>
    <w:rsid w:val="004B7369"/>
    <w:rsid w:val="004B7CE3"/>
    <w:rsid w:val="004C24CF"/>
    <w:rsid w:val="004C2548"/>
    <w:rsid w:val="004C6CC9"/>
    <w:rsid w:val="004D0AD0"/>
    <w:rsid w:val="004D441C"/>
    <w:rsid w:val="004D6696"/>
    <w:rsid w:val="004E0317"/>
    <w:rsid w:val="004E04D9"/>
    <w:rsid w:val="004E1DD4"/>
    <w:rsid w:val="004E1FCD"/>
    <w:rsid w:val="004E4BE9"/>
    <w:rsid w:val="004E6CE7"/>
    <w:rsid w:val="004F0CFB"/>
    <w:rsid w:val="004F6871"/>
    <w:rsid w:val="004F7BC0"/>
    <w:rsid w:val="005025A1"/>
    <w:rsid w:val="00505999"/>
    <w:rsid w:val="005166FD"/>
    <w:rsid w:val="005240E9"/>
    <w:rsid w:val="005267A2"/>
    <w:rsid w:val="00530F66"/>
    <w:rsid w:val="00533F38"/>
    <w:rsid w:val="005351ED"/>
    <w:rsid w:val="005369FF"/>
    <w:rsid w:val="00540003"/>
    <w:rsid w:val="00551DD8"/>
    <w:rsid w:val="005557C1"/>
    <w:rsid w:val="00555C13"/>
    <w:rsid w:val="00561028"/>
    <w:rsid w:val="00566A3D"/>
    <w:rsid w:val="005678BB"/>
    <w:rsid w:val="00572C53"/>
    <w:rsid w:val="005777D7"/>
    <w:rsid w:val="00580F29"/>
    <w:rsid w:val="005820DB"/>
    <w:rsid w:val="005825AC"/>
    <w:rsid w:val="0058260A"/>
    <w:rsid w:val="0058455D"/>
    <w:rsid w:val="00584623"/>
    <w:rsid w:val="00594523"/>
    <w:rsid w:val="005A5B29"/>
    <w:rsid w:val="005A6D47"/>
    <w:rsid w:val="005B033F"/>
    <w:rsid w:val="005B59BC"/>
    <w:rsid w:val="005B68AE"/>
    <w:rsid w:val="005C48F2"/>
    <w:rsid w:val="005E1C29"/>
    <w:rsid w:val="005E3A56"/>
    <w:rsid w:val="005F2B44"/>
    <w:rsid w:val="005F4F38"/>
    <w:rsid w:val="0060118D"/>
    <w:rsid w:val="00606E99"/>
    <w:rsid w:val="00610563"/>
    <w:rsid w:val="006107EF"/>
    <w:rsid w:val="0062308A"/>
    <w:rsid w:val="00630927"/>
    <w:rsid w:val="00630A1A"/>
    <w:rsid w:val="00632295"/>
    <w:rsid w:val="00632461"/>
    <w:rsid w:val="00633898"/>
    <w:rsid w:val="00635F6B"/>
    <w:rsid w:val="00640803"/>
    <w:rsid w:val="00640F2D"/>
    <w:rsid w:val="00641AC2"/>
    <w:rsid w:val="006469DF"/>
    <w:rsid w:val="00646AB1"/>
    <w:rsid w:val="006501CA"/>
    <w:rsid w:val="00651EE8"/>
    <w:rsid w:val="0065374E"/>
    <w:rsid w:val="0065535B"/>
    <w:rsid w:val="00662F45"/>
    <w:rsid w:val="006657D7"/>
    <w:rsid w:val="00665D22"/>
    <w:rsid w:val="00666274"/>
    <w:rsid w:val="00672126"/>
    <w:rsid w:val="0067432D"/>
    <w:rsid w:val="00675B7E"/>
    <w:rsid w:val="00677C5F"/>
    <w:rsid w:val="00677DF6"/>
    <w:rsid w:val="00680240"/>
    <w:rsid w:val="006821D2"/>
    <w:rsid w:val="006838BC"/>
    <w:rsid w:val="0068435B"/>
    <w:rsid w:val="00685328"/>
    <w:rsid w:val="0069060A"/>
    <w:rsid w:val="006907DA"/>
    <w:rsid w:val="00691F5B"/>
    <w:rsid w:val="00695C2D"/>
    <w:rsid w:val="00696DEB"/>
    <w:rsid w:val="00697C79"/>
    <w:rsid w:val="006A3910"/>
    <w:rsid w:val="006A473A"/>
    <w:rsid w:val="006A4E3B"/>
    <w:rsid w:val="006A6F8D"/>
    <w:rsid w:val="006A7E69"/>
    <w:rsid w:val="006B2F4A"/>
    <w:rsid w:val="006B4B65"/>
    <w:rsid w:val="006B4E4A"/>
    <w:rsid w:val="006B50AD"/>
    <w:rsid w:val="006B7508"/>
    <w:rsid w:val="006C6809"/>
    <w:rsid w:val="006D1081"/>
    <w:rsid w:val="006D2995"/>
    <w:rsid w:val="006D2CCB"/>
    <w:rsid w:val="006D341B"/>
    <w:rsid w:val="006D3D27"/>
    <w:rsid w:val="006D4188"/>
    <w:rsid w:val="006D4BD1"/>
    <w:rsid w:val="006D666D"/>
    <w:rsid w:val="006E00EE"/>
    <w:rsid w:val="006E0CBC"/>
    <w:rsid w:val="006E1EC2"/>
    <w:rsid w:val="006E3D7B"/>
    <w:rsid w:val="006E4525"/>
    <w:rsid w:val="006E4928"/>
    <w:rsid w:val="006E5039"/>
    <w:rsid w:val="006E706A"/>
    <w:rsid w:val="006F4F4B"/>
    <w:rsid w:val="00702438"/>
    <w:rsid w:val="00703375"/>
    <w:rsid w:val="00707E7B"/>
    <w:rsid w:val="00716634"/>
    <w:rsid w:val="00722C09"/>
    <w:rsid w:val="007248A2"/>
    <w:rsid w:val="00732FBC"/>
    <w:rsid w:val="007347F0"/>
    <w:rsid w:val="007351D5"/>
    <w:rsid w:val="00740542"/>
    <w:rsid w:val="007415A2"/>
    <w:rsid w:val="00752144"/>
    <w:rsid w:val="00757FD8"/>
    <w:rsid w:val="00760894"/>
    <w:rsid w:val="00761821"/>
    <w:rsid w:val="00762438"/>
    <w:rsid w:val="00762517"/>
    <w:rsid w:val="00763715"/>
    <w:rsid w:val="00764327"/>
    <w:rsid w:val="00764E9F"/>
    <w:rsid w:val="007653D8"/>
    <w:rsid w:val="00770D2E"/>
    <w:rsid w:val="00771E61"/>
    <w:rsid w:val="007852F8"/>
    <w:rsid w:val="00786552"/>
    <w:rsid w:val="00790B45"/>
    <w:rsid w:val="007922E7"/>
    <w:rsid w:val="00792E41"/>
    <w:rsid w:val="00792E4C"/>
    <w:rsid w:val="00797213"/>
    <w:rsid w:val="007A0445"/>
    <w:rsid w:val="007A13D0"/>
    <w:rsid w:val="007A570B"/>
    <w:rsid w:val="007B151D"/>
    <w:rsid w:val="007B2E6E"/>
    <w:rsid w:val="007B45CB"/>
    <w:rsid w:val="007C13AC"/>
    <w:rsid w:val="007C2E58"/>
    <w:rsid w:val="007C3522"/>
    <w:rsid w:val="007C454E"/>
    <w:rsid w:val="007C7ED1"/>
    <w:rsid w:val="007D219A"/>
    <w:rsid w:val="007D34AD"/>
    <w:rsid w:val="007E0634"/>
    <w:rsid w:val="007E5241"/>
    <w:rsid w:val="007F2D3B"/>
    <w:rsid w:val="007F694F"/>
    <w:rsid w:val="007F7612"/>
    <w:rsid w:val="007F79FC"/>
    <w:rsid w:val="00801A1F"/>
    <w:rsid w:val="0080238B"/>
    <w:rsid w:val="00802A41"/>
    <w:rsid w:val="00803339"/>
    <w:rsid w:val="008036BA"/>
    <w:rsid w:val="0080549C"/>
    <w:rsid w:val="00806A50"/>
    <w:rsid w:val="00811357"/>
    <w:rsid w:val="008115CF"/>
    <w:rsid w:val="008131B0"/>
    <w:rsid w:val="00813D42"/>
    <w:rsid w:val="00816A83"/>
    <w:rsid w:val="008332F5"/>
    <w:rsid w:val="00833405"/>
    <w:rsid w:val="00836C24"/>
    <w:rsid w:val="00841260"/>
    <w:rsid w:val="00845529"/>
    <w:rsid w:val="00845F20"/>
    <w:rsid w:val="0084633E"/>
    <w:rsid w:val="00846C16"/>
    <w:rsid w:val="0085071D"/>
    <w:rsid w:val="00851905"/>
    <w:rsid w:val="0085597F"/>
    <w:rsid w:val="008601B0"/>
    <w:rsid w:val="00861C08"/>
    <w:rsid w:val="00865172"/>
    <w:rsid w:val="0087040B"/>
    <w:rsid w:val="008739C8"/>
    <w:rsid w:val="00875747"/>
    <w:rsid w:val="00881869"/>
    <w:rsid w:val="008917AD"/>
    <w:rsid w:val="008946E7"/>
    <w:rsid w:val="008960B0"/>
    <w:rsid w:val="008A58D2"/>
    <w:rsid w:val="008A60AE"/>
    <w:rsid w:val="008B0E06"/>
    <w:rsid w:val="008B4E25"/>
    <w:rsid w:val="008C329A"/>
    <w:rsid w:val="008C4218"/>
    <w:rsid w:val="008C5E97"/>
    <w:rsid w:val="008D1E6C"/>
    <w:rsid w:val="008D7ACA"/>
    <w:rsid w:val="008D7B48"/>
    <w:rsid w:val="008E1024"/>
    <w:rsid w:val="008F0563"/>
    <w:rsid w:val="008F12DC"/>
    <w:rsid w:val="008F6B3D"/>
    <w:rsid w:val="008F6ECF"/>
    <w:rsid w:val="008F749A"/>
    <w:rsid w:val="008F7E81"/>
    <w:rsid w:val="00900AFF"/>
    <w:rsid w:val="00905630"/>
    <w:rsid w:val="00906793"/>
    <w:rsid w:val="00911920"/>
    <w:rsid w:val="00914500"/>
    <w:rsid w:val="00915D2C"/>
    <w:rsid w:val="009200C0"/>
    <w:rsid w:val="00920720"/>
    <w:rsid w:val="0092294D"/>
    <w:rsid w:val="00923481"/>
    <w:rsid w:val="00930B7A"/>
    <w:rsid w:val="00930BF3"/>
    <w:rsid w:val="009350E4"/>
    <w:rsid w:val="0094131A"/>
    <w:rsid w:val="00944659"/>
    <w:rsid w:val="00945CC2"/>
    <w:rsid w:val="00951121"/>
    <w:rsid w:val="009522ED"/>
    <w:rsid w:val="00952FE6"/>
    <w:rsid w:val="009538DA"/>
    <w:rsid w:val="00960486"/>
    <w:rsid w:val="0096081E"/>
    <w:rsid w:val="00962138"/>
    <w:rsid w:val="009727E5"/>
    <w:rsid w:val="009740A1"/>
    <w:rsid w:val="0097679C"/>
    <w:rsid w:val="00980E85"/>
    <w:rsid w:val="00984936"/>
    <w:rsid w:val="009860B1"/>
    <w:rsid w:val="00987573"/>
    <w:rsid w:val="00987D1B"/>
    <w:rsid w:val="009901FF"/>
    <w:rsid w:val="00991FC7"/>
    <w:rsid w:val="00994889"/>
    <w:rsid w:val="00995BAE"/>
    <w:rsid w:val="009A0136"/>
    <w:rsid w:val="009A0EF7"/>
    <w:rsid w:val="009A0EFC"/>
    <w:rsid w:val="009A15FC"/>
    <w:rsid w:val="009A270D"/>
    <w:rsid w:val="009A4F53"/>
    <w:rsid w:val="009A5930"/>
    <w:rsid w:val="009A65BA"/>
    <w:rsid w:val="009A7126"/>
    <w:rsid w:val="009B0A87"/>
    <w:rsid w:val="009B1229"/>
    <w:rsid w:val="009B25F5"/>
    <w:rsid w:val="009B4E57"/>
    <w:rsid w:val="009B5C4F"/>
    <w:rsid w:val="009B60E1"/>
    <w:rsid w:val="009B6390"/>
    <w:rsid w:val="009B64BE"/>
    <w:rsid w:val="009B6DBE"/>
    <w:rsid w:val="009C107F"/>
    <w:rsid w:val="009C1104"/>
    <w:rsid w:val="009C22A0"/>
    <w:rsid w:val="009D4AF8"/>
    <w:rsid w:val="009D56D9"/>
    <w:rsid w:val="009D622E"/>
    <w:rsid w:val="009D79CD"/>
    <w:rsid w:val="009E1ED9"/>
    <w:rsid w:val="009E2620"/>
    <w:rsid w:val="009E52B6"/>
    <w:rsid w:val="009E5660"/>
    <w:rsid w:val="009F4817"/>
    <w:rsid w:val="009F713A"/>
    <w:rsid w:val="00A001B1"/>
    <w:rsid w:val="00A00662"/>
    <w:rsid w:val="00A03AF2"/>
    <w:rsid w:val="00A0512B"/>
    <w:rsid w:val="00A052F6"/>
    <w:rsid w:val="00A13A94"/>
    <w:rsid w:val="00A203DB"/>
    <w:rsid w:val="00A225AF"/>
    <w:rsid w:val="00A2381C"/>
    <w:rsid w:val="00A23F96"/>
    <w:rsid w:val="00A278C8"/>
    <w:rsid w:val="00A313E6"/>
    <w:rsid w:val="00A322BB"/>
    <w:rsid w:val="00A32B11"/>
    <w:rsid w:val="00A41608"/>
    <w:rsid w:val="00A44379"/>
    <w:rsid w:val="00A53296"/>
    <w:rsid w:val="00A533FF"/>
    <w:rsid w:val="00A54C80"/>
    <w:rsid w:val="00A54CFC"/>
    <w:rsid w:val="00A56998"/>
    <w:rsid w:val="00A57261"/>
    <w:rsid w:val="00A6040B"/>
    <w:rsid w:val="00A627C3"/>
    <w:rsid w:val="00A64FAA"/>
    <w:rsid w:val="00A66C36"/>
    <w:rsid w:val="00A67C26"/>
    <w:rsid w:val="00A70B1C"/>
    <w:rsid w:val="00A7257A"/>
    <w:rsid w:val="00A7328E"/>
    <w:rsid w:val="00A75C6B"/>
    <w:rsid w:val="00A7698C"/>
    <w:rsid w:val="00A80094"/>
    <w:rsid w:val="00A87AEA"/>
    <w:rsid w:val="00A9188E"/>
    <w:rsid w:val="00A9198C"/>
    <w:rsid w:val="00A92C02"/>
    <w:rsid w:val="00A93AD6"/>
    <w:rsid w:val="00A94A67"/>
    <w:rsid w:val="00A959BB"/>
    <w:rsid w:val="00A95C29"/>
    <w:rsid w:val="00A97B76"/>
    <w:rsid w:val="00AA7B43"/>
    <w:rsid w:val="00AC0387"/>
    <w:rsid w:val="00AC1F59"/>
    <w:rsid w:val="00AC3D8C"/>
    <w:rsid w:val="00AC637F"/>
    <w:rsid w:val="00AD52B8"/>
    <w:rsid w:val="00AE117F"/>
    <w:rsid w:val="00AE330D"/>
    <w:rsid w:val="00AE7F4C"/>
    <w:rsid w:val="00AF29E6"/>
    <w:rsid w:val="00AF57B3"/>
    <w:rsid w:val="00B0744F"/>
    <w:rsid w:val="00B10CC1"/>
    <w:rsid w:val="00B11180"/>
    <w:rsid w:val="00B20E20"/>
    <w:rsid w:val="00B23E77"/>
    <w:rsid w:val="00B23EF3"/>
    <w:rsid w:val="00B26C04"/>
    <w:rsid w:val="00B33B6D"/>
    <w:rsid w:val="00B347E2"/>
    <w:rsid w:val="00B36433"/>
    <w:rsid w:val="00B42FDE"/>
    <w:rsid w:val="00B43090"/>
    <w:rsid w:val="00B4731B"/>
    <w:rsid w:val="00B51A14"/>
    <w:rsid w:val="00B57804"/>
    <w:rsid w:val="00B57F3B"/>
    <w:rsid w:val="00B61DF2"/>
    <w:rsid w:val="00B660B9"/>
    <w:rsid w:val="00B673CF"/>
    <w:rsid w:val="00B74276"/>
    <w:rsid w:val="00B7606A"/>
    <w:rsid w:val="00B86B40"/>
    <w:rsid w:val="00B94E9E"/>
    <w:rsid w:val="00B95935"/>
    <w:rsid w:val="00B96A41"/>
    <w:rsid w:val="00B97AD4"/>
    <w:rsid w:val="00BA1ECC"/>
    <w:rsid w:val="00BA37BF"/>
    <w:rsid w:val="00BA3F77"/>
    <w:rsid w:val="00BA7FA4"/>
    <w:rsid w:val="00BB145B"/>
    <w:rsid w:val="00BB18D0"/>
    <w:rsid w:val="00BB51D5"/>
    <w:rsid w:val="00BB7084"/>
    <w:rsid w:val="00BB7FC7"/>
    <w:rsid w:val="00BC1F1C"/>
    <w:rsid w:val="00BD1AA4"/>
    <w:rsid w:val="00BD305F"/>
    <w:rsid w:val="00BD3899"/>
    <w:rsid w:val="00BD7F74"/>
    <w:rsid w:val="00BE162D"/>
    <w:rsid w:val="00BE2A2D"/>
    <w:rsid w:val="00BE3307"/>
    <w:rsid w:val="00BE52A6"/>
    <w:rsid w:val="00BF08F7"/>
    <w:rsid w:val="00BF2194"/>
    <w:rsid w:val="00C07928"/>
    <w:rsid w:val="00C109D3"/>
    <w:rsid w:val="00C11053"/>
    <w:rsid w:val="00C1557F"/>
    <w:rsid w:val="00C1691A"/>
    <w:rsid w:val="00C1717A"/>
    <w:rsid w:val="00C1781F"/>
    <w:rsid w:val="00C23346"/>
    <w:rsid w:val="00C27859"/>
    <w:rsid w:val="00C31730"/>
    <w:rsid w:val="00C51579"/>
    <w:rsid w:val="00C56CDE"/>
    <w:rsid w:val="00C61DB7"/>
    <w:rsid w:val="00C6752C"/>
    <w:rsid w:val="00C678D4"/>
    <w:rsid w:val="00C73020"/>
    <w:rsid w:val="00C761F8"/>
    <w:rsid w:val="00C764B2"/>
    <w:rsid w:val="00C83077"/>
    <w:rsid w:val="00C8315E"/>
    <w:rsid w:val="00C865CE"/>
    <w:rsid w:val="00C9095C"/>
    <w:rsid w:val="00C92BEA"/>
    <w:rsid w:val="00C954AC"/>
    <w:rsid w:val="00CA34D7"/>
    <w:rsid w:val="00CA4AD9"/>
    <w:rsid w:val="00CA7F3D"/>
    <w:rsid w:val="00CB02E0"/>
    <w:rsid w:val="00CB187D"/>
    <w:rsid w:val="00CB7C9E"/>
    <w:rsid w:val="00CC30F0"/>
    <w:rsid w:val="00CC32F3"/>
    <w:rsid w:val="00CD1784"/>
    <w:rsid w:val="00CD1AAF"/>
    <w:rsid w:val="00CD6333"/>
    <w:rsid w:val="00CD67A5"/>
    <w:rsid w:val="00CE0FC3"/>
    <w:rsid w:val="00CE13F7"/>
    <w:rsid w:val="00CE24F8"/>
    <w:rsid w:val="00CE468C"/>
    <w:rsid w:val="00CF220E"/>
    <w:rsid w:val="00D02530"/>
    <w:rsid w:val="00D02CC6"/>
    <w:rsid w:val="00D105CA"/>
    <w:rsid w:val="00D10D67"/>
    <w:rsid w:val="00D116BA"/>
    <w:rsid w:val="00D12FC1"/>
    <w:rsid w:val="00D132F2"/>
    <w:rsid w:val="00D20568"/>
    <w:rsid w:val="00D229A8"/>
    <w:rsid w:val="00D230FD"/>
    <w:rsid w:val="00D23541"/>
    <w:rsid w:val="00D23DEF"/>
    <w:rsid w:val="00D241F5"/>
    <w:rsid w:val="00D25A5D"/>
    <w:rsid w:val="00D271E6"/>
    <w:rsid w:val="00D32ECD"/>
    <w:rsid w:val="00D37168"/>
    <w:rsid w:val="00D41B94"/>
    <w:rsid w:val="00D44EB1"/>
    <w:rsid w:val="00D50662"/>
    <w:rsid w:val="00D518E7"/>
    <w:rsid w:val="00D627A8"/>
    <w:rsid w:val="00D64D6E"/>
    <w:rsid w:val="00D6540B"/>
    <w:rsid w:val="00D74DFB"/>
    <w:rsid w:val="00D76C8D"/>
    <w:rsid w:val="00D76D56"/>
    <w:rsid w:val="00D81314"/>
    <w:rsid w:val="00D81D1A"/>
    <w:rsid w:val="00D8248F"/>
    <w:rsid w:val="00D82520"/>
    <w:rsid w:val="00D83ACB"/>
    <w:rsid w:val="00D83DCB"/>
    <w:rsid w:val="00D83F43"/>
    <w:rsid w:val="00D86B58"/>
    <w:rsid w:val="00D9141D"/>
    <w:rsid w:val="00D927B8"/>
    <w:rsid w:val="00D933BC"/>
    <w:rsid w:val="00D9394D"/>
    <w:rsid w:val="00DA608E"/>
    <w:rsid w:val="00DA60DF"/>
    <w:rsid w:val="00DB10A5"/>
    <w:rsid w:val="00DB3901"/>
    <w:rsid w:val="00DB7060"/>
    <w:rsid w:val="00DB7F7B"/>
    <w:rsid w:val="00DC0A53"/>
    <w:rsid w:val="00DC1D67"/>
    <w:rsid w:val="00DC47C0"/>
    <w:rsid w:val="00DD3430"/>
    <w:rsid w:val="00DD3D3C"/>
    <w:rsid w:val="00DD3F10"/>
    <w:rsid w:val="00DD708A"/>
    <w:rsid w:val="00DE0E3A"/>
    <w:rsid w:val="00DE102A"/>
    <w:rsid w:val="00DE26FF"/>
    <w:rsid w:val="00DE3C40"/>
    <w:rsid w:val="00DF539A"/>
    <w:rsid w:val="00DF7671"/>
    <w:rsid w:val="00E0234F"/>
    <w:rsid w:val="00E03981"/>
    <w:rsid w:val="00E04D7E"/>
    <w:rsid w:val="00E07049"/>
    <w:rsid w:val="00E11A1F"/>
    <w:rsid w:val="00E1323D"/>
    <w:rsid w:val="00E16359"/>
    <w:rsid w:val="00E166FE"/>
    <w:rsid w:val="00E34D4A"/>
    <w:rsid w:val="00E355BB"/>
    <w:rsid w:val="00E36E61"/>
    <w:rsid w:val="00E36FF7"/>
    <w:rsid w:val="00E426BD"/>
    <w:rsid w:val="00E4339E"/>
    <w:rsid w:val="00E462D4"/>
    <w:rsid w:val="00E473C4"/>
    <w:rsid w:val="00E5420C"/>
    <w:rsid w:val="00E56485"/>
    <w:rsid w:val="00E60914"/>
    <w:rsid w:val="00E65439"/>
    <w:rsid w:val="00E6626F"/>
    <w:rsid w:val="00E66736"/>
    <w:rsid w:val="00E81591"/>
    <w:rsid w:val="00E83591"/>
    <w:rsid w:val="00E95A46"/>
    <w:rsid w:val="00EA184C"/>
    <w:rsid w:val="00EA1FEE"/>
    <w:rsid w:val="00EA3D4F"/>
    <w:rsid w:val="00EA5F51"/>
    <w:rsid w:val="00EA6F68"/>
    <w:rsid w:val="00EB026B"/>
    <w:rsid w:val="00EB21BE"/>
    <w:rsid w:val="00EB21E0"/>
    <w:rsid w:val="00EB25CD"/>
    <w:rsid w:val="00EB2B83"/>
    <w:rsid w:val="00EB5095"/>
    <w:rsid w:val="00EB5FDA"/>
    <w:rsid w:val="00EB6194"/>
    <w:rsid w:val="00EB6D9B"/>
    <w:rsid w:val="00EC12F2"/>
    <w:rsid w:val="00EC2147"/>
    <w:rsid w:val="00EC4023"/>
    <w:rsid w:val="00EC4242"/>
    <w:rsid w:val="00EC6DCD"/>
    <w:rsid w:val="00ED72F9"/>
    <w:rsid w:val="00EE69F8"/>
    <w:rsid w:val="00EF2B11"/>
    <w:rsid w:val="00EF581A"/>
    <w:rsid w:val="00EF6B01"/>
    <w:rsid w:val="00EF6E77"/>
    <w:rsid w:val="00EF7332"/>
    <w:rsid w:val="00F00CB3"/>
    <w:rsid w:val="00F0456A"/>
    <w:rsid w:val="00F078EB"/>
    <w:rsid w:val="00F13190"/>
    <w:rsid w:val="00F20B5F"/>
    <w:rsid w:val="00F23E5D"/>
    <w:rsid w:val="00F248BD"/>
    <w:rsid w:val="00F320C2"/>
    <w:rsid w:val="00F34739"/>
    <w:rsid w:val="00F35B0B"/>
    <w:rsid w:val="00F408BF"/>
    <w:rsid w:val="00F43049"/>
    <w:rsid w:val="00F4325E"/>
    <w:rsid w:val="00F45D90"/>
    <w:rsid w:val="00F47A01"/>
    <w:rsid w:val="00F5417A"/>
    <w:rsid w:val="00F56E9F"/>
    <w:rsid w:val="00F61D1E"/>
    <w:rsid w:val="00F63852"/>
    <w:rsid w:val="00F63A38"/>
    <w:rsid w:val="00F63C5E"/>
    <w:rsid w:val="00F64542"/>
    <w:rsid w:val="00F65321"/>
    <w:rsid w:val="00F65643"/>
    <w:rsid w:val="00F70ABE"/>
    <w:rsid w:val="00F7226A"/>
    <w:rsid w:val="00F73289"/>
    <w:rsid w:val="00F748D4"/>
    <w:rsid w:val="00F77A3D"/>
    <w:rsid w:val="00F83DB3"/>
    <w:rsid w:val="00F85C21"/>
    <w:rsid w:val="00F87366"/>
    <w:rsid w:val="00F877C8"/>
    <w:rsid w:val="00F94DE8"/>
    <w:rsid w:val="00F97891"/>
    <w:rsid w:val="00FA159A"/>
    <w:rsid w:val="00FA37F8"/>
    <w:rsid w:val="00FA50C7"/>
    <w:rsid w:val="00FA5A33"/>
    <w:rsid w:val="00FB5B33"/>
    <w:rsid w:val="00FC26B0"/>
    <w:rsid w:val="00FD4119"/>
    <w:rsid w:val="00FD5821"/>
    <w:rsid w:val="00FD5DB7"/>
    <w:rsid w:val="00FD5E12"/>
    <w:rsid w:val="00FE0228"/>
    <w:rsid w:val="00FE24DE"/>
    <w:rsid w:val="00FF109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46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1589"/>
    <w:pPr>
      <w:spacing w:after="120"/>
    </w:pPr>
    <w:rPr>
      <w:rFonts w:ascii="Arial" w:hAnsi="Arial"/>
    </w:rPr>
  </w:style>
  <w:style w:type="paragraph" w:styleId="Heading1">
    <w:name w:val="heading 1"/>
    <w:basedOn w:val="Normal"/>
    <w:next w:val="Normal"/>
    <w:link w:val="Heading1Char"/>
    <w:uiPriority w:val="9"/>
    <w:rsid w:val="004846B0"/>
    <w:pPr>
      <w:keepNext/>
      <w:keepLines/>
      <w:spacing w:before="360" w:after="240" w:line="240" w:lineRule="auto"/>
      <w:outlineLvl w:val="0"/>
    </w:pPr>
    <w:rPr>
      <w:rFonts w:eastAsiaTheme="majorEastAsia" w:cstheme="majorBidi"/>
      <w:b/>
      <w:color w:val="121212" w:themeColor="text1"/>
      <w:sz w:val="36"/>
      <w:szCs w:val="32"/>
    </w:rPr>
  </w:style>
  <w:style w:type="paragraph" w:styleId="Heading2">
    <w:name w:val="heading 2"/>
    <w:basedOn w:val="Normal"/>
    <w:next w:val="Normal"/>
    <w:link w:val="Heading2Char"/>
    <w:uiPriority w:val="9"/>
    <w:unhideWhenUsed/>
    <w:rsid w:val="006A473A"/>
    <w:pPr>
      <w:keepNext/>
      <w:keepLines/>
      <w:spacing w:before="360" w:line="240" w:lineRule="auto"/>
      <w:outlineLvl w:val="1"/>
    </w:pPr>
    <w:rPr>
      <w:rFonts w:eastAsiaTheme="majorEastAsia" w:cstheme="majorBidi"/>
      <w:b/>
      <w:i/>
      <w:sz w:val="28"/>
      <w:szCs w:val="26"/>
    </w:rPr>
  </w:style>
  <w:style w:type="paragraph" w:styleId="Heading3">
    <w:name w:val="heading 3"/>
    <w:basedOn w:val="Normal"/>
    <w:next w:val="Normal"/>
    <w:link w:val="Heading3Char"/>
    <w:uiPriority w:val="9"/>
    <w:unhideWhenUsed/>
    <w:rsid w:val="00EC4242"/>
    <w:pPr>
      <w:keepNext/>
      <w:keepLines/>
      <w:spacing w:before="280" w:after="200" w:line="240" w:lineRule="auto"/>
      <w:outlineLvl w:val="2"/>
    </w:pPr>
    <w:rPr>
      <w:rFonts w:eastAsiaTheme="majorEastAsia" w:cstheme="majorBidi"/>
      <w:b/>
      <w:sz w:val="24"/>
      <w:szCs w:val="24"/>
    </w:rPr>
  </w:style>
  <w:style w:type="paragraph" w:styleId="Heading4">
    <w:name w:val="heading 4"/>
    <w:basedOn w:val="Normal"/>
    <w:next w:val="Normal"/>
    <w:link w:val="Heading4Char"/>
    <w:uiPriority w:val="9"/>
    <w:unhideWhenUsed/>
    <w:rsid w:val="00980E85"/>
    <w:pPr>
      <w:keepNext/>
      <w:keepLines/>
      <w:spacing w:before="40" w:after="0"/>
      <w:outlineLvl w:val="3"/>
    </w:pPr>
    <w:rPr>
      <w:rFonts w:asciiTheme="majorHAnsi" w:eastAsiaTheme="majorEastAsia" w:hAnsiTheme="majorHAnsi" w:cstheme="majorBidi"/>
      <w:i/>
      <w:iCs/>
      <w:color w:val="201B4D" w:themeColor="accent1" w:themeShade="BF"/>
    </w:rPr>
  </w:style>
  <w:style w:type="paragraph" w:styleId="Heading5">
    <w:name w:val="heading 5"/>
    <w:basedOn w:val="Normal"/>
    <w:next w:val="Normal"/>
    <w:link w:val="Heading5Char"/>
    <w:uiPriority w:val="9"/>
    <w:unhideWhenUsed/>
    <w:rsid w:val="00461A9A"/>
    <w:pPr>
      <w:keepNext/>
      <w:keepLines/>
      <w:spacing w:before="40" w:after="0"/>
      <w:outlineLvl w:val="4"/>
    </w:pPr>
    <w:rPr>
      <w:rFonts w:asciiTheme="majorHAnsi" w:eastAsiaTheme="majorEastAsia" w:hAnsiTheme="majorHAnsi" w:cstheme="majorBidi"/>
      <w:color w:val="201B4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473A"/>
    <w:rPr>
      <w:rFonts w:ascii="Arial" w:eastAsiaTheme="majorEastAsia" w:hAnsi="Arial" w:cstheme="majorBidi"/>
      <w:b/>
      <w:i/>
      <w:sz w:val="28"/>
      <w:szCs w:val="26"/>
    </w:rPr>
  </w:style>
  <w:style w:type="character" w:customStyle="1" w:styleId="Heading1Char">
    <w:name w:val="Heading 1 Char"/>
    <w:basedOn w:val="DefaultParagraphFont"/>
    <w:link w:val="Heading1"/>
    <w:uiPriority w:val="9"/>
    <w:rsid w:val="004846B0"/>
    <w:rPr>
      <w:rFonts w:ascii="Arial" w:eastAsiaTheme="majorEastAsia" w:hAnsi="Arial" w:cstheme="majorBidi"/>
      <w:b/>
      <w:color w:val="121212" w:themeColor="text1"/>
      <w:sz w:val="36"/>
      <w:szCs w:val="32"/>
    </w:rPr>
  </w:style>
  <w:style w:type="paragraph" w:styleId="TOCHeading">
    <w:name w:val="TOC Heading"/>
    <w:basedOn w:val="Heading1"/>
    <w:next w:val="Normal"/>
    <w:uiPriority w:val="39"/>
    <w:unhideWhenUsed/>
    <w:rsid w:val="00BB7FC7"/>
    <w:pPr>
      <w:spacing w:line="259" w:lineRule="auto"/>
      <w:outlineLvl w:val="9"/>
    </w:pPr>
    <w:rPr>
      <w:lang w:val="en-US"/>
    </w:rPr>
  </w:style>
  <w:style w:type="paragraph" w:styleId="TOC2">
    <w:name w:val="toc 2"/>
    <w:basedOn w:val="Normal"/>
    <w:next w:val="Normal"/>
    <w:autoRedefine/>
    <w:uiPriority w:val="39"/>
    <w:unhideWhenUsed/>
    <w:rsid w:val="001D0822"/>
    <w:pPr>
      <w:tabs>
        <w:tab w:val="left" w:pos="880"/>
        <w:tab w:val="right" w:leader="dot" w:pos="9016"/>
      </w:tabs>
      <w:spacing w:after="60"/>
      <w:ind w:left="425"/>
    </w:pPr>
  </w:style>
  <w:style w:type="character" w:styleId="Hyperlink">
    <w:name w:val="Hyperlink"/>
    <w:basedOn w:val="DefaultParagraphFont"/>
    <w:uiPriority w:val="99"/>
    <w:unhideWhenUsed/>
    <w:rsid w:val="00EF6B01"/>
    <w:rPr>
      <w:color w:val="2C2568"/>
      <w:u w:val="single"/>
    </w:rPr>
  </w:style>
  <w:style w:type="table" w:styleId="TableGrid">
    <w:name w:val="Table Grid"/>
    <w:basedOn w:val="TableNormal"/>
    <w:uiPriority w:val="59"/>
    <w:rsid w:val="00BB7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BB7FC7"/>
    <w:pPr>
      <w:ind w:left="720"/>
      <w:contextualSpacing/>
    </w:pPr>
  </w:style>
  <w:style w:type="paragraph" w:styleId="Caption">
    <w:name w:val="caption"/>
    <w:basedOn w:val="Normal"/>
    <w:next w:val="Normal"/>
    <w:uiPriority w:val="35"/>
    <w:unhideWhenUsed/>
    <w:rsid w:val="004D0AD0"/>
    <w:pPr>
      <w:spacing w:line="240" w:lineRule="auto"/>
    </w:pPr>
    <w:rPr>
      <w:i/>
      <w:iCs/>
      <w:color w:val="2C2568" w:themeColor="text2"/>
      <w:sz w:val="18"/>
      <w:szCs w:val="18"/>
    </w:rPr>
  </w:style>
  <w:style w:type="character" w:customStyle="1" w:styleId="Heading3Char">
    <w:name w:val="Heading 3 Char"/>
    <w:basedOn w:val="DefaultParagraphFont"/>
    <w:link w:val="Heading3"/>
    <w:uiPriority w:val="9"/>
    <w:rsid w:val="00EC4242"/>
    <w:rPr>
      <w:rFonts w:ascii="Arial" w:eastAsiaTheme="majorEastAsia" w:hAnsi="Arial" w:cstheme="majorBidi"/>
      <w:b/>
      <w:sz w:val="24"/>
      <w:szCs w:val="24"/>
    </w:rPr>
  </w:style>
  <w:style w:type="paragraph" w:styleId="Quote">
    <w:name w:val="Quote"/>
    <w:basedOn w:val="Normal"/>
    <w:next w:val="Normal"/>
    <w:link w:val="QuoteChar"/>
    <w:uiPriority w:val="29"/>
    <w:rsid w:val="007351D5"/>
    <w:pPr>
      <w:spacing w:before="240" w:after="60"/>
      <w:ind w:left="709" w:right="709"/>
    </w:pPr>
    <w:rPr>
      <w:iCs/>
      <w:color w:val="646464" w:themeColor="text1" w:themeTint="A6"/>
    </w:rPr>
  </w:style>
  <w:style w:type="character" w:customStyle="1" w:styleId="QuoteChar">
    <w:name w:val="Quote Char"/>
    <w:basedOn w:val="DefaultParagraphFont"/>
    <w:link w:val="Quote"/>
    <w:uiPriority w:val="29"/>
    <w:rsid w:val="007351D5"/>
    <w:rPr>
      <w:iCs/>
      <w:color w:val="646464" w:themeColor="text1" w:themeTint="A6"/>
    </w:rPr>
  </w:style>
  <w:style w:type="paragraph" w:styleId="TOC3">
    <w:name w:val="toc 3"/>
    <w:basedOn w:val="Normal"/>
    <w:next w:val="Normal"/>
    <w:autoRedefine/>
    <w:uiPriority w:val="39"/>
    <w:unhideWhenUsed/>
    <w:rsid w:val="004C24CF"/>
    <w:pPr>
      <w:tabs>
        <w:tab w:val="right" w:leader="dot" w:pos="9016"/>
      </w:tabs>
      <w:spacing w:after="40"/>
      <w:ind w:left="851"/>
    </w:pPr>
  </w:style>
  <w:style w:type="paragraph" w:customStyle="1" w:styleId="Body">
    <w:name w:val="Body"/>
    <w:rsid w:val="00CC32F3"/>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NZ"/>
    </w:rPr>
  </w:style>
  <w:style w:type="numbering" w:customStyle="1" w:styleId="Dash">
    <w:name w:val="Dash"/>
    <w:rsid w:val="00CC32F3"/>
    <w:pPr>
      <w:numPr>
        <w:numId w:val="6"/>
      </w:numPr>
    </w:pPr>
  </w:style>
  <w:style w:type="character" w:customStyle="1" w:styleId="Heading4Char">
    <w:name w:val="Heading 4 Char"/>
    <w:basedOn w:val="DefaultParagraphFont"/>
    <w:link w:val="Heading4"/>
    <w:uiPriority w:val="9"/>
    <w:rsid w:val="00980E85"/>
    <w:rPr>
      <w:rFonts w:asciiTheme="majorHAnsi" w:eastAsiaTheme="majorEastAsia" w:hAnsiTheme="majorHAnsi" w:cstheme="majorBidi"/>
      <w:i/>
      <w:iCs/>
      <w:color w:val="201B4D" w:themeColor="accent1" w:themeShade="BF"/>
    </w:rPr>
  </w:style>
  <w:style w:type="paragraph" w:styleId="BalloonText">
    <w:name w:val="Balloon Text"/>
    <w:basedOn w:val="Normal"/>
    <w:link w:val="BalloonTextChar"/>
    <w:uiPriority w:val="99"/>
    <w:semiHidden/>
    <w:unhideWhenUsed/>
    <w:rsid w:val="006E1E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EC2"/>
    <w:rPr>
      <w:rFonts w:ascii="Segoe UI" w:hAnsi="Segoe UI" w:cs="Segoe UI"/>
      <w:sz w:val="18"/>
      <w:szCs w:val="18"/>
    </w:rPr>
  </w:style>
  <w:style w:type="character" w:styleId="CommentReference">
    <w:name w:val="annotation reference"/>
    <w:basedOn w:val="DefaultParagraphFont"/>
    <w:uiPriority w:val="99"/>
    <w:semiHidden/>
    <w:unhideWhenUsed/>
    <w:rsid w:val="00C61DB7"/>
    <w:rPr>
      <w:sz w:val="16"/>
      <w:szCs w:val="16"/>
    </w:rPr>
  </w:style>
  <w:style w:type="paragraph" w:styleId="CommentText">
    <w:name w:val="annotation text"/>
    <w:basedOn w:val="Normal"/>
    <w:link w:val="CommentTextChar"/>
    <w:uiPriority w:val="99"/>
    <w:unhideWhenUsed/>
    <w:rsid w:val="00C61DB7"/>
    <w:pPr>
      <w:spacing w:line="240" w:lineRule="auto"/>
    </w:pPr>
    <w:rPr>
      <w:sz w:val="20"/>
      <w:szCs w:val="20"/>
    </w:rPr>
  </w:style>
  <w:style w:type="character" w:customStyle="1" w:styleId="CommentTextChar">
    <w:name w:val="Comment Text Char"/>
    <w:basedOn w:val="DefaultParagraphFont"/>
    <w:link w:val="CommentText"/>
    <w:uiPriority w:val="99"/>
    <w:rsid w:val="00C61DB7"/>
    <w:rPr>
      <w:sz w:val="20"/>
      <w:szCs w:val="20"/>
    </w:rPr>
  </w:style>
  <w:style w:type="paragraph" w:styleId="CommentSubject">
    <w:name w:val="annotation subject"/>
    <w:basedOn w:val="CommentText"/>
    <w:next w:val="CommentText"/>
    <w:link w:val="CommentSubjectChar"/>
    <w:uiPriority w:val="99"/>
    <w:semiHidden/>
    <w:unhideWhenUsed/>
    <w:rsid w:val="00C61DB7"/>
    <w:rPr>
      <w:b/>
      <w:bCs/>
    </w:rPr>
  </w:style>
  <w:style w:type="character" w:customStyle="1" w:styleId="CommentSubjectChar">
    <w:name w:val="Comment Subject Char"/>
    <w:basedOn w:val="CommentTextChar"/>
    <w:link w:val="CommentSubject"/>
    <w:uiPriority w:val="99"/>
    <w:semiHidden/>
    <w:rsid w:val="00C61DB7"/>
    <w:rPr>
      <w:b/>
      <w:bCs/>
      <w:sz w:val="20"/>
      <w:szCs w:val="20"/>
    </w:rPr>
  </w:style>
  <w:style w:type="character" w:customStyle="1" w:styleId="Heading5Char">
    <w:name w:val="Heading 5 Char"/>
    <w:basedOn w:val="DefaultParagraphFont"/>
    <w:link w:val="Heading5"/>
    <w:uiPriority w:val="9"/>
    <w:rsid w:val="00461A9A"/>
    <w:rPr>
      <w:rFonts w:asciiTheme="majorHAnsi" w:eastAsiaTheme="majorEastAsia" w:hAnsiTheme="majorHAnsi" w:cstheme="majorBidi"/>
      <w:color w:val="201B4D" w:themeColor="accent1" w:themeShade="BF"/>
    </w:rPr>
  </w:style>
  <w:style w:type="paragraph" w:styleId="EndnoteText">
    <w:name w:val="endnote text"/>
    <w:basedOn w:val="Normal"/>
    <w:link w:val="EndnoteTextChar"/>
    <w:uiPriority w:val="99"/>
    <w:semiHidden/>
    <w:unhideWhenUsed/>
    <w:rsid w:val="003C45E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45E1"/>
    <w:rPr>
      <w:sz w:val="20"/>
      <w:szCs w:val="20"/>
    </w:rPr>
  </w:style>
  <w:style w:type="character" w:styleId="EndnoteReference">
    <w:name w:val="endnote reference"/>
    <w:basedOn w:val="DefaultParagraphFont"/>
    <w:uiPriority w:val="99"/>
    <w:semiHidden/>
    <w:unhideWhenUsed/>
    <w:rsid w:val="003C45E1"/>
    <w:rPr>
      <w:vertAlign w:val="superscript"/>
    </w:rPr>
  </w:style>
  <w:style w:type="paragraph" w:styleId="Header">
    <w:name w:val="header"/>
    <w:basedOn w:val="Normal"/>
    <w:link w:val="HeaderChar"/>
    <w:uiPriority w:val="99"/>
    <w:unhideWhenUsed/>
    <w:rsid w:val="007922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22E7"/>
  </w:style>
  <w:style w:type="paragraph" w:styleId="Footer">
    <w:name w:val="footer"/>
    <w:basedOn w:val="Normal"/>
    <w:link w:val="FooterChar"/>
    <w:uiPriority w:val="99"/>
    <w:unhideWhenUsed/>
    <w:rsid w:val="007922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2E7"/>
  </w:style>
  <w:style w:type="paragraph" w:styleId="Revision">
    <w:name w:val="Revision"/>
    <w:hidden/>
    <w:uiPriority w:val="99"/>
    <w:semiHidden/>
    <w:rsid w:val="00356454"/>
    <w:pPr>
      <w:spacing w:after="0" w:line="240" w:lineRule="auto"/>
    </w:pPr>
  </w:style>
  <w:style w:type="paragraph" w:styleId="NormalIndent">
    <w:name w:val="Normal Indent"/>
    <w:basedOn w:val="Normal"/>
    <w:uiPriority w:val="99"/>
    <w:unhideWhenUsed/>
    <w:rsid w:val="00851905"/>
    <w:pPr>
      <w:ind w:left="720"/>
    </w:pPr>
  </w:style>
  <w:style w:type="paragraph" w:styleId="ListContinue">
    <w:name w:val="List Continue"/>
    <w:basedOn w:val="Normal"/>
    <w:uiPriority w:val="99"/>
    <w:unhideWhenUsed/>
    <w:rsid w:val="002665C5"/>
    <w:pPr>
      <w:ind w:left="283"/>
      <w:contextualSpacing/>
    </w:pPr>
  </w:style>
  <w:style w:type="paragraph" w:styleId="List">
    <w:name w:val="List"/>
    <w:basedOn w:val="Normal"/>
    <w:uiPriority w:val="99"/>
    <w:unhideWhenUsed/>
    <w:rsid w:val="00FD5821"/>
    <w:pPr>
      <w:ind w:left="283" w:hanging="283"/>
      <w:contextualSpacing/>
    </w:pPr>
  </w:style>
  <w:style w:type="paragraph" w:styleId="TOC1">
    <w:name w:val="toc 1"/>
    <w:basedOn w:val="Normal"/>
    <w:next w:val="Normal"/>
    <w:autoRedefine/>
    <w:uiPriority w:val="39"/>
    <w:unhideWhenUsed/>
    <w:rsid w:val="004C24CF"/>
    <w:pPr>
      <w:tabs>
        <w:tab w:val="left" w:pos="425"/>
      </w:tabs>
      <w:spacing w:after="100"/>
    </w:pPr>
  </w:style>
  <w:style w:type="paragraph" w:styleId="ListBullet">
    <w:name w:val="List Bullet"/>
    <w:basedOn w:val="Normal"/>
    <w:link w:val="ListBulletChar"/>
    <w:uiPriority w:val="99"/>
    <w:unhideWhenUsed/>
    <w:rsid w:val="00205AD6"/>
    <w:pPr>
      <w:numPr>
        <w:numId w:val="16"/>
      </w:numPr>
      <w:contextualSpacing/>
    </w:pPr>
  </w:style>
  <w:style w:type="paragraph" w:styleId="ListNumber">
    <w:name w:val="List Number"/>
    <w:basedOn w:val="Normal"/>
    <w:uiPriority w:val="99"/>
    <w:unhideWhenUsed/>
    <w:rsid w:val="00A54CFC"/>
    <w:pPr>
      <w:numPr>
        <w:numId w:val="17"/>
      </w:numPr>
      <w:contextualSpacing/>
    </w:pPr>
  </w:style>
  <w:style w:type="paragraph" w:styleId="BodyText">
    <w:name w:val="Body Text"/>
    <w:basedOn w:val="Normal"/>
    <w:link w:val="BodyTextChar"/>
    <w:uiPriority w:val="1"/>
    <w:rsid w:val="007E0634"/>
    <w:pPr>
      <w:widowControl w:val="0"/>
    </w:pPr>
    <w:rPr>
      <w:rFonts w:eastAsia="Arial" w:cs="Arial"/>
    </w:rPr>
  </w:style>
  <w:style w:type="character" w:customStyle="1" w:styleId="BodyTextChar">
    <w:name w:val="Body Text Char"/>
    <w:basedOn w:val="DefaultParagraphFont"/>
    <w:link w:val="BodyText"/>
    <w:uiPriority w:val="1"/>
    <w:rsid w:val="007E0634"/>
    <w:rPr>
      <w:rFonts w:ascii="Arial" w:eastAsia="Arial" w:hAnsi="Arial" w:cs="Arial"/>
    </w:rPr>
  </w:style>
  <w:style w:type="paragraph" w:customStyle="1" w:styleId="Figuretableheading">
    <w:name w:val="Figure table heading"/>
    <w:basedOn w:val="Normal"/>
    <w:link w:val="FiguretableheadingChar"/>
    <w:rsid w:val="006A473A"/>
    <w:rPr>
      <w:rFonts w:cs="Arial"/>
      <w:b/>
    </w:rPr>
  </w:style>
  <w:style w:type="character" w:customStyle="1" w:styleId="FiguretableheadingChar">
    <w:name w:val="Figure table heading Char"/>
    <w:basedOn w:val="DefaultParagraphFont"/>
    <w:link w:val="Figuretableheading"/>
    <w:rsid w:val="006A473A"/>
    <w:rPr>
      <w:rFonts w:ascii="Arial" w:hAnsi="Arial" w:cs="Arial"/>
      <w:b/>
    </w:rPr>
  </w:style>
  <w:style w:type="paragraph" w:customStyle="1" w:styleId="Bullets">
    <w:name w:val="Bullets"/>
    <w:basedOn w:val="ListBullet"/>
    <w:link w:val="BulletsChar"/>
    <w:rsid w:val="008D7ACA"/>
    <w:pPr>
      <w:spacing w:after="60"/>
      <w:ind w:left="357" w:hanging="357"/>
      <w:contextualSpacing w:val="0"/>
    </w:pPr>
    <w:rPr>
      <w:rFonts w:cs="Arial"/>
    </w:rPr>
  </w:style>
  <w:style w:type="character" w:customStyle="1" w:styleId="ListBulletChar">
    <w:name w:val="List Bullet Char"/>
    <w:basedOn w:val="DefaultParagraphFont"/>
    <w:link w:val="ListBullet"/>
    <w:uiPriority w:val="99"/>
    <w:rsid w:val="008D7ACA"/>
    <w:rPr>
      <w:rFonts w:ascii="Arial" w:hAnsi="Arial"/>
    </w:rPr>
  </w:style>
  <w:style w:type="character" w:customStyle="1" w:styleId="BulletsChar">
    <w:name w:val="Bullets Char"/>
    <w:basedOn w:val="ListBulletChar"/>
    <w:link w:val="Bullets"/>
    <w:rsid w:val="008D7ACA"/>
    <w:rPr>
      <w:rFonts w:ascii="Arial" w:hAnsi="Arial" w:cs="Arial"/>
    </w:rPr>
  </w:style>
  <w:style w:type="paragraph" w:customStyle="1" w:styleId="HQSChead1">
    <w:name w:val="HQSC head 1"/>
    <w:basedOn w:val="Heading1"/>
    <w:qFormat/>
    <w:rsid w:val="00EF6B01"/>
    <w:rPr>
      <w:rFonts w:cs="Arial"/>
      <w:color w:val="2C2568"/>
    </w:rPr>
  </w:style>
  <w:style w:type="paragraph" w:customStyle="1" w:styleId="HQSCbodytext">
    <w:name w:val="HQSC body text"/>
    <w:basedOn w:val="Normal"/>
    <w:qFormat/>
    <w:rsid w:val="00D8248F"/>
    <w:rPr>
      <w:rFonts w:cs="Arial"/>
    </w:rPr>
  </w:style>
  <w:style w:type="paragraph" w:customStyle="1" w:styleId="HQSCbullets">
    <w:name w:val="HQSC bullets"/>
    <w:basedOn w:val="Bullets"/>
    <w:qFormat/>
    <w:rsid w:val="00792E41"/>
  </w:style>
  <w:style w:type="paragraph" w:customStyle="1" w:styleId="HQSCindentedquote">
    <w:name w:val="HQSC indented quote"/>
    <w:basedOn w:val="Quote"/>
    <w:qFormat/>
    <w:rsid w:val="009B60E1"/>
    <w:rPr>
      <w:rFonts w:cs="Arial"/>
      <w:color w:val="auto"/>
    </w:rPr>
  </w:style>
  <w:style w:type="paragraph" w:customStyle="1" w:styleId="HQSCsource">
    <w:name w:val="HQSC source"/>
    <w:basedOn w:val="NormalIndent"/>
    <w:qFormat/>
    <w:rsid w:val="00792E41"/>
    <w:rPr>
      <w:rFonts w:cs="Arial"/>
    </w:rPr>
  </w:style>
  <w:style w:type="paragraph" w:customStyle="1" w:styleId="HQSChead2">
    <w:name w:val="HQSC head 2"/>
    <w:basedOn w:val="Heading2"/>
    <w:qFormat/>
    <w:rsid w:val="00EF6B01"/>
    <w:rPr>
      <w:rFonts w:cs="Arial"/>
      <w:i w:val="0"/>
      <w:color w:val="2C2568"/>
    </w:rPr>
  </w:style>
  <w:style w:type="paragraph" w:customStyle="1" w:styleId="HQSChead3">
    <w:name w:val="HQSC head 3"/>
    <w:basedOn w:val="Heading3"/>
    <w:qFormat/>
    <w:rsid w:val="00792E41"/>
    <w:rPr>
      <w:rFonts w:cs="Arial"/>
    </w:rPr>
  </w:style>
  <w:style w:type="paragraph" w:customStyle="1" w:styleId="HQSCtablefigurecaption">
    <w:name w:val="HQSC table/figure caption"/>
    <w:basedOn w:val="Figuretableheading"/>
    <w:qFormat/>
    <w:rsid w:val="00792E41"/>
  </w:style>
  <w:style w:type="paragraph" w:customStyle="1" w:styleId="HQSCtablecolumnhead">
    <w:name w:val="HQSC table column head"/>
    <w:basedOn w:val="Normal"/>
    <w:qFormat/>
    <w:rsid w:val="00792E41"/>
    <w:pPr>
      <w:framePr w:hSpace="180" w:wrap="around" w:vAnchor="text" w:hAnchor="margin" w:y="2"/>
      <w:spacing w:before="60" w:after="60" w:line="240" w:lineRule="auto"/>
    </w:pPr>
    <w:rPr>
      <w:rFonts w:cs="Arial"/>
      <w:b/>
    </w:rPr>
  </w:style>
  <w:style w:type="paragraph" w:customStyle="1" w:styleId="HQSCtablecontent">
    <w:name w:val="HQSC table content"/>
    <w:basedOn w:val="Normal"/>
    <w:qFormat/>
    <w:rsid w:val="00792E41"/>
    <w:pPr>
      <w:framePr w:hSpace="180" w:wrap="around" w:vAnchor="text" w:hAnchor="margin" w:y="2"/>
      <w:spacing w:before="60" w:after="60" w:line="240" w:lineRule="auto"/>
    </w:pPr>
    <w:rPr>
      <w:rFonts w:cs="Arial"/>
    </w:rPr>
  </w:style>
  <w:style w:type="character" w:styleId="UnresolvedMention">
    <w:name w:val="Unresolved Mention"/>
    <w:basedOn w:val="DefaultParagraphFont"/>
    <w:uiPriority w:val="99"/>
    <w:semiHidden/>
    <w:unhideWhenUsed/>
    <w:rsid w:val="009B60E1"/>
    <w:rPr>
      <w:color w:val="605E5C"/>
      <w:shd w:val="clear" w:color="auto" w:fill="E1DFDD"/>
    </w:rPr>
  </w:style>
  <w:style w:type="table" w:customStyle="1" w:styleId="TeThHauoratable">
    <w:name w:val="Te Tāhū Hauora table"/>
    <w:basedOn w:val="TableNormal"/>
    <w:uiPriority w:val="99"/>
    <w:rsid w:val="004D6696"/>
    <w:pPr>
      <w:spacing w:after="0" w:line="240" w:lineRule="auto"/>
    </w:pPr>
    <w:rPr>
      <w:rFonts w:ascii="Arial" w:hAnsi="Arial"/>
    </w:rPr>
    <w:tblPr/>
  </w:style>
  <w:style w:type="paragraph" w:styleId="Subtitle">
    <w:name w:val="Subtitle"/>
    <w:basedOn w:val="Normal"/>
    <w:next w:val="Normal"/>
    <w:link w:val="SubtitleChar"/>
    <w:uiPriority w:val="11"/>
    <w:rsid w:val="007653D8"/>
    <w:pPr>
      <w:numPr>
        <w:ilvl w:val="1"/>
      </w:numPr>
      <w:spacing w:after="160"/>
    </w:pPr>
    <w:rPr>
      <w:rFonts w:asciiTheme="minorHAnsi" w:eastAsiaTheme="minorEastAsia" w:hAnsiTheme="minorHAnsi"/>
      <w:color w:val="656565" w:themeColor="text1" w:themeTint="A5"/>
      <w:spacing w:val="15"/>
    </w:rPr>
  </w:style>
  <w:style w:type="character" w:customStyle="1" w:styleId="SubtitleChar">
    <w:name w:val="Subtitle Char"/>
    <w:basedOn w:val="DefaultParagraphFont"/>
    <w:link w:val="Subtitle"/>
    <w:uiPriority w:val="11"/>
    <w:rsid w:val="007653D8"/>
    <w:rPr>
      <w:rFonts w:eastAsiaTheme="minorEastAsia"/>
      <w:color w:val="656565" w:themeColor="text1" w:themeTint="A5"/>
      <w:spacing w:val="15"/>
    </w:rPr>
  </w:style>
  <w:style w:type="paragraph" w:styleId="FootnoteText">
    <w:name w:val="footnote text"/>
    <w:basedOn w:val="Normal"/>
    <w:link w:val="FootnoteTextChar"/>
    <w:uiPriority w:val="99"/>
    <w:semiHidden/>
    <w:unhideWhenUsed/>
    <w:rsid w:val="00B111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1180"/>
    <w:rPr>
      <w:rFonts w:ascii="Arial" w:hAnsi="Arial"/>
      <w:sz w:val="20"/>
      <w:szCs w:val="20"/>
    </w:rPr>
  </w:style>
  <w:style w:type="character" w:styleId="FootnoteReference">
    <w:name w:val="footnote reference"/>
    <w:basedOn w:val="DefaultParagraphFont"/>
    <w:uiPriority w:val="99"/>
    <w:semiHidden/>
    <w:unhideWhenUsed/>
    <w:rsid w:val="00B11180"/>
    <w:rPr>
      <w:vertAlign w:val="superscript"/>
    </w:rPr>
  </w:style>
  <w:style w:type="character" w:styleId="Strong">
    <w:name w:val="Strong"/>
    <w:basedOn w:val="DefaultParagraphFont"/>
    <w:uiPriority w:val="22"/>
    <w:qFormat/>
    <w:rsid w:val="004C25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72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info@hqsc.govt.nz" TargetMode="External"/><Relationship Id="rId4" Type="http://schemas.openxmlformats.org/officeDocument/2006/relationships/settings" Target="settings.xml"/><Relationship Id="rId9" Type="http://schemas.openxmlformats.org/officeDocument/2006/relationships/hyperlink" Target="http://www.hqsc.govt.nz"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healthfacilityguidelines.com.au/australasian-health-facility-guidelines" TargetMode="External"/></Relationships>
</file>

<file path=word/theme/theme1.xml><?xml version="1.0" encoding="utf-8"?>
<a:theme xmlns:a="http://schemas.openxmlformats.org/drawingml/2006/main" name="Office Theme">
  <a:themeElements>
    <a:clrScheme name="Te Tāhū Hauora">
      <a:dk1>
        <a:srgbClr val="121212"/>
      </a:dk1>
      <a:lt1>
        <a:srgbClr val="FFFFFF"/>
      </a:lt1>
      <a:dk2>
        <a:srgbClr val="2C2568"/>
      </a:dk2>
      <a:lt2>
        <a:srgbClr val="E8E5E5"/>
      </a:lt2>
      <a:accent1>
        <a:srgbClr val="2C2568"/>
      </a:accent1>
      <a:accent2>
        <a:srgbClr val="107383"/>
      </a:accent2>
      <a:accent3>
        <a:srgbClr val="37B0A8"/>
      </a:accent3>
      <a:accent4>
        <a:srgbClr val="904281"/>
      </a:accent4>
      <a:accent5>
        <a:srgbClr val="BB7CB3"/>
      </a:accent5>
      <a:accent6>
        <a:srgbClr val="FF4F2D"/>
      </a:accent6>
      <a:hlink>
        <a:srgbClr val="2C2568"/>
      </a:hlink>
      <a:folHlink>
        <a:srgbClr val="2C25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8836F-804C-4752-B95E-240C58450E62}">
  <ds:schemaRefs>
    <ds:schemaRef ds:uri="http://schemas.openxmlformats.org/officeDocument/2006/bibliography"/>
  </ds:schemaRefs>
</ds:datastoreItem>
</file>

<file path=docMetadata/LabelInfo.xml><?xml version="1.0" encoding="utf-8"?>
<clbl:labelList xmlns:clbl="http://schemas.microsoft.com/office/2020/mipLabelMetadata">
  <clbl:label id="{701cefdf-35f4-4444-8638-55f0e12ab1c4}" enabled="0" method="" siteId="{701cefdf-35f4-4444-8638-55f0e12ab1c4}"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1097</Words>
  <Characters>6255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2026-06-11T22:14:00Z</dcterms:created>
  <dcterms:modified xsi:type="dcterms:W3CDTF">2026-06-12T02:59:00Z</dcterms:modified>
</cp:coreProperties>
</file>