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E321F" w14:textId="77777777" w:rsidR="00AF57B3" w:rsidRPr="006D1081" w:rsidRDefault="009C1104" w:rsidP="00A313E6">
      <w:pPr>
        <w:pStyle w:val="HQSChead1"/>
        <w:rPr>
          <w:sz w:val="32"/>
          <w:szCs w:val="28"/>
        </w:rPr>
      </w:pPr>
      <w:r w:rsidRPr="006D1081">
        <w:rPr>
          <w:noProof/>
          <w:sz w:val="32"/>
          <w:szCs w:val="28"/>
        </w:rPr>
        <w:drawing>
          <wp:anchor distT="0" distB="0" distL="114300" distR="114300" simplePos="0" relativeHeight="251659264" behindDoc="1" locked="0" layoutInCell="1" allowOverlap="1" wp14:anchorId="2A88C58E" wp14:editId="6638D0EE">
            <wp:simplePos x="0" y="0"/>
            <wp:positionH relativeFrom="page">
              <wp:align>right</wp:align>
            </wp:positionH>
            <wp:positionV relativeFrom="paragraph">
              <wp:posOffset>-914400</wp:posOffset>
            </wp:positionV>
            <wp:extent cx="7541254" cy="1930400"/>
            <wp:effectExtent l="0" t="0" r="3175" b="0"/>
            <wp:wrapNone/>
            <wp:docPr id="5" name="Picture 5" descr="Dark blue background with the Health Quality &amp; Safety Commission Te Tāhū Hauora logo at the top right, and a tohu (Māori pattern) at the top left both in white. The Health Quality &amp; Safety Commission Te Tāhū Hauora logo is made up of the words Health Quality &amp; Safety Commission with the words Te Tāhū Hauora underneath. Alongside is a stylised version of a wharenui in a triangle shape, with the tāhū (ridgepole), heke (rafters) and niho taniwha (triangle pattern) be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ark blue background with the Health Quality &amp; Safety Commission Te Tāhū Hauora logo at the top right, and a tohu (Māori pattern) at the top left both in white. The Health Quality &amp; Safety Commission Te Tāhū Hauora logo is made up of the words Health Quality &amp; Safety Commission with the words Te Tāhū Hauora underneath. Alongside is a stylised version of a wharenui in a triangle shape, with the tāhū (ridgepole), heke (rafters) and niho taniwha (triangle pattern) beneath."/>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1254" cy="193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C5BE3B" w14:textId="77777777" w:rsidR="00AF57B3" w:rsidRPr="006D1081" w:rsidRDefault="00AF57B3" w:rsidP="00A313E6">
      <w:pPr>
        <w:pStyle w:val="HQSChead1"/>
        <w:rPr>
          <w:sz w:val="32"/>
          <w:szCs w:val="28"/>
        </w:rPr>
      </w:pPr>
    </w:p>
    <w:p w14:paraId="1D911A23" w14:textId="77777777" w:rsidR="000404A8" w:rsidRDefault="000404A8" w:rsidP="00B11180">
      <w:pPr>
        <w:pStyle w:val="HQSChead1"/>
      </w:pPr>
    </w:p>
    <w:p w14:paraId="77D52974" w14:textId="5A0F71E4" w:rsidR="00B11180" w:rsidRPr="00B11180" w:rsidRDefault="00B11180" w:rsidP="00B11180">
      <w:pPr>
        <w:pStyle w:val="HQSChead1"/>
      </w:pPr>
      <w:r w:rsidRPr="00B11180">
        <w:t>When experience becomes expertise: Influencing national palliative care</w:t>
      </w:r>
    </w:p>
    <w:p w14:paraId="47A4324A" w14:textId="77777777" w:rsidR="007D4639" w:rsidRPr="007D4639" w:rsidRDefault="00B11180" w:rsidP="00B11180">
      <w:pPr>
        <w:rPr>
          <w:color w:val="2C2568" w:themeColor="accent1"/>
          <w:sz w:val="24"/>
          <w:szCs w:val="24"/>
        </w:rPr>
      </w:pPr>
      <w:r w:rsidRPr="004E0E0D">
        <w:rPr>
          <w:color w:val="2C2568" w:themeColor="accent1"/>
          <w:sz w:val="24"/>
          <w:szCs w:val="24"/>
        </w:rPr>
        <w:t>Reflections from consumer members of New Zealand’s National Palliative Care Steering Group</w:t>
      </w:r>
      <w:r>
        <w:rPr>
          <w:rStyle w:val="FootnoteReference"/>
          <w:color w:val="2C2568" w:themeColor="accent1"/>
          <w:sz w:val="24"/>
          <w:szCs w:val="24"/>
        </w:rPr>
        <w:footnoteReference w:id="1"/>
      </w:r>
      <w:r>
        <w:rPr>
          <w:color w:val="2C2568" w:themeColor="accent1"/>
          <w:sz w:val="24"/>
          <w:szCs w:val="24"/>
        </w:rPr>
        <w:t xml:space="preserve"> (steering group) show how consumer and whānau engagement can help shape national palliative care, and the experiences of consumer involvement with the steering group.</w:t>
      </w:r>
    </w:p>
    <w:p w14:paraId="012A1123" w14:textId="77777777" w:rsidR="00731FEA" w:rsidRPr="007117BB" w:rsidRDefault="00731FEA" w:rsidP="00731FEA">
      <w:pPr>
        <w:rPr>
          <w:rFonts w:cs="Arial"/>
        </w:rPr>
      </w:pPr>
      <w:r w:rsidRPr="007117BB">
        <w:rPr>
          <w:rFonts w:cs="Arial"/>
        </w:rPr>
        <w:t xml:space="preserve">This case study has been informed by the perspectives of </w:t>
      </w:r>
      <w:r w:rsidRPr="00956B22">
        <w:rPr>
          <w:rFonts w:cs="Arial"/>
        </w:rPr>
        <w:t>VH and GJ</w:t>
      </w:r>
      <w:r>
        <w:rPr>
          <w:rStyle w:val="FootnoteReference"/>
          <w:rFonts w:cs="Arial"/>
        </w:rPr>
        <w:footnoteReference w:id="2"/>
      </w:r>
      <w:r w:rsidRPr="007117BB">
        <w:rPr>
          <w:rFonts w:cs="Arial"/>
        </w:rPr>
        <w:t xml:space="preserve">, who generously shared their experiences as consumer members of the </w:t>
      </w:r>
      <w:r>
        <w:rPr>
          <w:rFonts w:cs="Arial"/>
        </w:rPr>
        <w:t>s</w:t>
      </w:r>
      <w:r w:rsidRPr="007117BB">
        <w:rPr>
          <w:rFonts w:cs="Arial"/>
        </w:rPr>
        <w:t xml:space="preserve">teering </w:t>
      </w:r>
      <w:r>
        <w:rPr>
          <w:rFonts w:cs="Arial"/>
        </w:rPr>
        <w:t>g</w:t>
      </w:r>
      <w:r w:rsidRPr="007117BB">
        <w:rPr>
          <w:rFonts w:cs="Arial"/>
        </w:rPr>
        <w:t>roup. We are grateful for their openness and willingness to reflect on their involvement.</w:t>
      </w:r>
    </w:p>
    <w:p w14:paraId="45E00D6F" w14:textId="77777777" w:rsidR="00731FEA" w:rsidRPr="007117BB" w:rsidRDefault="00731FEA" w:rsidP="00731FEA">
      <w:pPr>
        <w:rPr>
          <w:rFonts w:cs="Arial"/>
        </w:rPr>
      </w:pPr>
      <w:r w:rsidRPr="007117BB">
        <w:rPr>
          <w:rFonts w:cs="Arial"/>
        </w:rPr>
        <w:t xml:space="preserve">This case study does not evaluate the </w:t>
      </w:r>
      <w:r>
        <w:rPr>
          <w:rFonts w:cs="Arial"/>
        </w:rPr>
        <w:t>s</w:t>
      </w:r>
      <w:r w:rsidRPr="007117BB">
        <w:rPr>
          <w:rFonts w:cs="Arial"/>
        </w:rPr>
        <w:t xml:space="preserve">teering </w:t>
      </w:r>
      <w:r>
        <w:rPr>
          <w:rFonts w:cs="Arial"/>
        </w:rPr>
        <w:t>g</w:t>
      </w:r>
      <w:r w:rsidRPr="007117BB">
        <w:rPr>
          <w:rFonts w:cs="Arial"/>
        </w:rPr>
        <w:t>roup or the technical quality of its work. Instead, it focuses on how consumer members experience being engaged in the process.</w:t>
      </w:r>
    </w:p>
    <w:p w14:paraId="3F702B20" w14:textId="77777777" w:rsidR="00731FEA" w:rsidRPr="00B11180" w:rsidRDefault="00731FEA" w:rsidP="00731FEA">
      <w:pPr>
        <w:rPr>
          <w:rFonts w:eastAsiaTheme="majorEastAsia" w:cs="Arial"/>
          <w:b/>
          <w:color w:val="2C2568"/>
          <w:sz w:val="28"/>
          <w:szCs w:val="26"/>
        </w:rPr>
      </w:pPr>
      <w:r w:rsidRPr="00B11180">
        <w:rPr>
          <w:color w:val="2C2568" w:themeColor="accent1"/>
          <w:sz w:val="24"/>
          <w:szCs w:val="24"/>
        </w:rPr>
        <w:t>Purpose of this case study</w:t>
      </w:r>
    </w:p>
    <w:p w14:paraId="4D333AB9" w14:textId="77777777" w:rsidR="00731FEA" w:rsidRPr="000736B6" w:rsidRDefault="00731FEA" w:rsidP="00731FEA">
      <w:r w:rsidRPr="000736B6">
        <w:t>This case study is designed as a practical learning tool for:</w:t>
      </w:r>
    </w:p>
    <w:p w14:paraId="4160ABB7" w14:textId="77777777" w:rsidR="00731FEA" w:rsidRPr="000736B6" w:rsidRDefault="00731FEA" w:rsidP="00731FEA">
      <w:pPr>
        <w:pStyle w:val="HQSCbullets"/>
      </w:pPr>
      <w:r w:rsidRPr="000736B6">
        <w:t>health services or programme teams wanting to partner meaningfully with consumers</w:t>
      </w:r>
      <w:r>
        <w:t xml:space="preserve"> and whānau</w:t>
      </w:r>
    </w:p>
    <w:p w14:paraId="34A86386" w14:textId="77777777" w:rsidR="00731FEA" w:rsidRPr="000736B6" w:rsidRDefault="00731FEA" w:rsidP="00731FEA">
      <w:pPr>
        <w:pStyle w:val="HQSCbullets"/>
      </w:pPr>
      <w:r>
        <w:t>consumers thinking about engaging in health system improvement activities.</w:t>
      </w:r>
    </w:p>
    <w:p w14:paraId="3AFECF91" w14:textId="77777777" w:rsidR="00731FEA" w:rsidRDefault="00731FEA" w:rsidP="00731FEA">
      <w:r w:rsidRPr="000736B6">
        <w:t xml:space="preserve">It describes what worked well, what was challenging, and what consumer engagement looked like in practice in the </w:t>
      </w:r>
      <w:r>
        <w:t>s</w:t>
      </w:r>
      <w:r w:rsidRPr="000736B6">
        <w:t xml:space="preserve">teering </w:t>
      </w:r>
      <w:r>
        <w:t>g</w:t>
      </w:r>
      <w:r w:rsidRPr="000736B6">
        <w:t xml:space="preserve">roup. </w:t>
      </w:r>
    </w:p>
    <w:p w14:paraId="5C6DB6E1" w14:textId="77777777" w:rsidR="00731FEA" w:rsidRDefault="00731FEA" w:rsidP="00731FEA">
      <w:pPr>
        <w:pStyle w:val="ListParagraph"/>
        <w:spacing w:line="240" w:lineRule="auto"/>
        <w:ind w:left="0"/>
        <w:rPr>
          <w:b/>
          <w:bCs/>
          <w:color w:val="121212" w:themeColor="text1"/>
          <w:lang w:val="en-US"/>
        </w:rPr>
      </w:pPr>
      <w:r w:rsidRPr="000736B6">
        <w:rPr>
          <w:color w:val="2C2568" w:themeColor="text2"/>
          <w:sz w:val="24"/>
          <w:szCs w:val="24"/>
        </w:rPr>
        <w:t>What worked well in practice</w:t>
      </w:r>
    </w:p>
    <w:p w14:paraId="780DC155" w14:textId="77777777" w:rsidR="00731FEA" w:rsidRPr="002A517B" w:rsidRDefault="00731FEA" w:rsidP="00731FEA">
      <w:pPr>
        <w:pStyle w:val="ListParagraph"/>
        <w:spacing w:line="240" w:lineRule="auto"/>
        <w:ind w:left="0"/>
        <w:rPr>
          <w:b/>
          <w:bCs/>
          <w:color w:val="121212" w:themeColor="text1"/>
          <w:lang w:val="en-US"/>
        </w:rPr>
      </w:pPr>
    </w:p>
    <w:p w14:paraId="42BED3CA" w14:textId="77777777" w:rsidR="00731FEA" w:rsidRPr="002A517B" w:rsidRDefault="00731FEA" w:rsidP="00731FEA">
      <w:pPr>
        <w:pStyle w:val="ListParagraph"/>
        <w:spacing w:line="240" w:lineRule="auto"/>
        <w:ind w:left="0"/>
        <w:rPr>
          <w:b/>
          <w:bCs/>
          <w:color w:val="121212" w:themeColor="text1"/>
        </w:rPr>
      </w:pPr>
      <w:r w:rsidRPr="002A517B">
        <w:rPr>
          <w:b/>
          <w:bCs/>
          <w:color w:val="121212" w:themeColor="text1"/>
        </w:rPr>
        <w:t>Setting clear parameters: purpose, scope and accountabilities</w:t>
      </w:r>
    </w:p>
    <w:p w14:paraId="2DCFB43E" w14:textId="77777777" w:rsidR="00731FEA" w:rsidRDefault="00731FEA" w:rsidP="00731FEA">
      <w:r w:rsidRPr="005B45B4">
        <w:t xml:space="preserve">A critical foundation for </w:t>
      </w:r>
      <w:r>
        <w:t>the success of this work was being clear</w:t>
      </w:r>
      <w:r w:rsidRPr="005B45B4">
        <w:t xml:space="preserve"> about what the group is there to do – and what it is not. </w:t>
      </w:r>
    </w:p>
    <w:p w14:paraId="1442696C" w14:textId="77777777" w:rsidR="00731FEA" w:rsidRPr="002A517B" w:rsidRDefault="00731FEA" w:rsidP="00731FEA">
      <w:pPr>
        <w:ind w:left="360"/>
        <w:rPr>
          <w:i/>
          <w:iCs/>
          <w:lang w:val="en-US"/>
        </w:rPr>
      </w:pPr>
      <w:r w:rsidRPr="002A517B">
        <w:rPr>
          <w:i/>
          <w:iCs/>
          <w:lang w:val="en-US"/>
        </w:rPr>
        <w:t xml:space="preserve">“We </w:t>
      </w:r>
      <w:proofErr w:type="gramStart"/>
      <w:r w:rsidRPr="002A517B">
        <w:rPr>
          <w:i/>
          <w:iCs/>
          <w:lang w:val="en-US"/>
        </w:rPr>
        <w:t>have to</w:t>
      </w:r>
      <w:proofErr w:type="gramEnd"/>
      <w:r w:rsidRPr="002A517B">
        <w:rPr>
          <w:i/>
          <w:iCs/>
          <w:lang w:val="en-US"/>
        </w:rPr>
        <w:t xml:space="preserve"> remind ourselves </w:t>
      </w:r>
      <w:r>
        <w:rPr>
          <w:i/>
          <w:iCs/>
          <w:lang w:val="en-US"/>
        </w:rPr>
        <w:t>–</w:t>
      </w:r>
      <w:r w:rsidRPr="002A517B">
        <w:rPr>
          <w:i/>
          <w:iCs/>
          <w:lang w:val="en-US"/>
        </w:rPr>
        <w:t xml:space="preserve"> what’s our purpose? Why are we here</w:t>
      </w:r>
      <w:r>
        <w:rPr>
          <w:i/>
          <w:iCs/>
          <w:lang w:val="en-US"/>
        </w:rPr>
        <w:t>?</w:t>
      </w:r>
      <w:r w:rsidRPr="002A517B">
        <w:rPr>
          <w:i/>
          <w:iCs/>
          <w:lang w:val="en-US"/>
        </w:rPr>
        <w:t xml:space="preserve">” </w:t>
      </w:r>
    </w:p>
    <w:p w14:paraId="52D2FEDE" w14:textId="77777777" w:rsidR="00731FEA" w:rsidRPr="000736B6" w:rsidRDefault="00731FEA" w:rsidP="00731FEA">
      <w:r w:rsidRPr="000736B6">
        <w:lastRenderedPageBreak/>
        <w:t xml:space="preserve">The </w:t>
      </w:r>
      <w:r>
        <w:t>s</w:t>
      </w:r>
      <w:r w:rsidRPr="000736B6">
        <w:t xml:space="preserve">teering </w:t>
      </w:r>
      <w:r>
        <w:t>g</w:t>
      </w:r>
      <w:r w:rsidRPr="000736B6">
        <w:t>roup provides advice and oversight for the National Palliative Care Work Programme</w:t>
      </w:r>
      <w:r w:rsidR="00497F35">
        <w:t xml:space="preserve"> </w:t>
      </w:r>
      <w:r w:rsidR="00497F35" w:rsidRPr="00497F35">
        <w:t>and recommendations to Health New Zealand - Te Whatu Ora - for national service improvements</w:t>
      </w:r>
      <w:r w:rsidRPr="000736B6">
        <w:t xml:space="preserve">. It operates at a </w:t>
      </w:r>
      <w:r w:rsidRPr="004E0E0D">
        <w:t>system level</w:t>
      </w:r>
      <w:r w:rsidRPr="000736B6">
        <w:t>, focusing on:</w:t>
      </w:r>
    </w:p>
    <w:p w14:paraId="0388720E" w14:textId="77777777" w:rsidR="00731FEA" w:rsidRPr="000736B6" w:rsidRDefault="00731FEA" w:rsidP="00731FEA">
      <w:pPr>
        <w:numPr>
          <w:ilvl w:val="0"/>
          <w:numId w:val="19"/>
        </w:numPr>
        <w:spacing w:line="240" w:lineRule="auto"/>
      </w:pPr>
      <w:r w:rsidRPr="000736B6">
        <w:t>models of care</w:t>
      </w:r>
    </w:p>
    <w:p w14:paraId="248C29AD" w14:textId="77777777" w:rsidR="00497F35" w:rsidRDefault="00497F35" w:rsidP="00731FEA">
      <w:pPr>
        <w:numPr>
          <w:ilvl w:val="0"/>
          <w:numId w:val="19"/>
        </w:numPr>
        <w:spacing w:line="240" w:lineRule="auto"/>
      </w:pPr>
      <w:r>
        <w:t xml:space="preserve">equity in the </w:t>
      </w:r>
      <w:r w:rsidRPr="00497F35">
        <w:t>provision and outcomes from palliative care services in Aotearoa</w:t>
      </w:r>
    </w:p>
    <w:p w14:paraId="30279A3B" w14:textId="77777777" w:rsidR="00731FEA" w:rsidRPr="000736B6" w:rsidRDefault="00731FEA" w:rsidP="00731FEA">
      <w:pPr>
        <w:numPr>
          <w:ilvl w:val="0"/>
          <w:numId w:val="19"/>
        </w:numPr>
        <w:spacing w:line="240" w:lineRule="auto"/>
      </w:pPr>
      <w:r w:rsidRPr="000736B6">
        <w:t>workforce issues</w:t>
      </w:r>
    </w:p>
    <w:p w14:paraId="7A548EBD" w14:textId="77777777" w:rsidR="00731FEA" w:rsidRPr="000736B6" w:rsidRDefault="00731FEA" w:rsidP="00731FEA">
      <w:pPr>
        <w:numPr>
          <w:ilvl w:val="0"/>
          <w:numId w:val="19"/>
        </w:numPr>
        <w:spacing w:line="240" w:lineRule="auto"/>
      </w:pPr>
      <w:r w:rsidRPr="000736B6">
        <w:t>outcomes for patients and whānau.</w:t>
      </w:r>
    </w:p>
    <w:p w14:paraId="18F4E98A" w14:textId="77777777" w:rsidR="00731FEA" w:rsidRPr="000736B6" w:rsidRDefault="00731FEA" w:rsidP="00731FEA">
      <w:r w:rsidRPr="000736B6">
        <w:t xml:space="preserve">It does </w:t>
      </w:r>
      <w:r w:rsidRPr="004E0E0D">
        <w:t>not</w:t>
      </w:r>
      <w:r w:rsidRPr="000736B6">
        <w:t>:</w:t>
      </w:r>
    </w:p>
    <w:p w14:paraId="06B016CC" w14:textId="77777777" w:rsidR="00731FEA" w:rsidRPr="000736B6" w:rsidRDefault="00731FEA" w:rsidP="00731FEA">
      <w:pPr>
        <w:numPr>
          <w:ilvl w:val="0"/>
          <w:numId w:val="20"/>
        </w:numPr>
        <w:spacing w:line="240" w:lineRule="auto"/>
      </w:pPr>
      <w:r w:rsidRPr="000736B6">
        <w:t>make funding decisions</w:t>
      </w:r>
    </w:p>
    <w:p w14:paraId="2C674469" w14:textId="77777777" w:rsidR="00731FEA" w:rsidRPr="000736B6" w:rsidRDefault="00731FEA" w:rsidP="00731FEA">
      <w:pPr>
        <w:numPr>
          <w:ilvl w:val="0"/>
          <w:numId w:val="20"/>
        </w:numPr>
        <w:spacing w:line="240" w:lineRule="auto"/>
      </w:pPr>
      <w:r w:rsidRPr="000736B6">
        <w:t>design individual clinical pathways</w:t>
      </w:r>
    </w:p>
    <w:p w14:paraId="10B841BF" w14:textId="77777777" w:rsidR="00731FEA" w:rsidRPr="000736B6" w:rsidRDefault="00731FEA" w:rsidP="00731FEA">
      <w:pPr>
        <w:numPr>
          <w:ilvl w:val="0"/>
          <w:numId w:val="20"/>
        </w:numPr>
        <w:spacing w:line="240" w:lineRule="auto"/>
      </w:pPr>
      <w:r w:rsidRPr="000736B6">
        <w:t>resolve local service delivery issues.</w:t>
      </w:r>
    </w:p>
    <w:p w14:paraId="07BEE873" w14:textId="77777777" w:rsidR="00731FEA" w:rsidRPr="000736B6" w:rsidRDefault="00731FEA" w:rsidP="00731FEA">
      <w:r w:rsidRPr="000736B6">
        <w:t xml:space="preserve">Being clear about this scope from the outset was critical. Consumer </w:t>
      </w:r>
      <w:r>
        <w:t xml:space="preserve">steering group </w:t>
      </w:r>
      <w:r w:rsidRPr="000736B6">
        <w:t>members understood where their influence sat, which helped avoid frustration or unrealistic expectations.</w:t>
      </w:r>
    </w:p>
    <w:p w14:paraId="41E82FC3" w14:textId="77777777" w:rsidR="00731FEA" w:rsidRPr="002A517B" w:rsidRDefault="00731FEA" w:rsidP="00731FEA">
      <w:pPr>
        <w:ind w:left="720"/>
        <w:rPr>
          <w:i/>
          <w:iCs/>
          <w:lang w:val="en-US"/>
        </w:rPr>
      </w:pPr>
      <w:r w:rsidRPr="002A517B">
        <w:rPr>
          <w:i/>
          <w:iCs/>
          <w:lang w:val="en-US"/>
        </w:rPr>
        <w:t xml:space="preserve">“We always bring it back to our purpose and our terms of reference. </w:t>
      </w:r>
      <w:proofErr w:type="gramStart"/>
      <w:r w:rsidRPr="002A517B">
        <w:rPr>
          <w:i/>
          <w:iCs/>
          <w:lang w:val="en-US"/>
        </w:rPr>
        <w:t>Actually, the</w:t>
      </w:r>
      <w:proofErr w:type="gramEnd"/>
      <w:r w:rsidRPr="002A517B">
        <w:rPr>
          <w:i/>
          <w:iCs/>
          <w:lang w:val="en-US"/>
        </w:rPr>
        <w:t xml:space="preserve"> whole team redirects us back to why we are here.” </w:t>
      </w:r>
    </w:p>
    <w:p w14:paraId="037D1739" w14:textId="77777777" w:rsidR="00731FEA" w:rsidRPr="002A517B" w:rsidRDefault="00731FEA" w:rsidP="00731FEA">
      <w:pPr>
        <w:rPr>
          <w:b/>
          <w:bCs/>
        </w:rPr>
      </w:pPr>
      <w:r w:rsidRPr="002A517B">
        <w:rPr>
          <w:b/>
          <w:bCs/>
        </w:rPr>
        <w:t>Strong facilitation and chairing</w:t>
      </w:r>
    </w:p>
    <w:p w14:paraId="70F08ED7" w14:textId="77777777" w:rsidR="00731FEA" w:rsidRPr="000736B6" w:rsidRDefault="00731FEA" w:rsidP="00731FEA">
      <w:r w:rsidRPr="000736B6">
        <w:t xml:space="preserve">Good chairing ensured that all voices were heard, not just </w:t>
      </w:r>
      <w:r>
        <w:t xml:space="preserve">from </w:t>
      </w:r>
      <w:r w:rsidRPr="000736B6">
        <w:t>the most confident or senior</w:t>
      </w:r>
      <w:r>
        <w:t xml:space="preserve"> people</w:t>
      </w:r>
      <w:r w:rsidRPr="000736B6">
        <w:t>.</w:t>
      </w:r>
    </w:p>
    <w:p w14:paraId="57A4C398" w14:textId="77777777" w:rsidR="00731FEA" w:rsidRPr="002A517B" w:rsidRDefault="00731FEA" w:rsidP="00731FEA">
      <w:pPr>
        <w:ind w:left="720"/>
        <w:rPr>
          <w:i/>
          <w:iCs/>
          <w:lang w:val="en-US"/>
        </w:rPr>
      </w:pPr>
      <w:r w:rsidRPr="002A517B">
        <w:rPr>
          <w:i/>
          <w:iCs/>
          <w:lang w:val="en-US"/>
        </w:rPr>
        <w:t>“There can be dominating voices. A good chair, or co</w:t>
      </w:r>
      <w:r w:rsidRPr="002A517B">
        <w:rPr>
          <w:i/>
          <w:iCs/>
          <w:lang w:val="en-US"/>
        </w:rPr>
        <w:noBreakHyphen/>
        <w:t xml:space="preserve">chairs, want to hear every voice around the table.” </w:t>
      </w:r>
    </w:p>
    <w:p w14:paraId="66F070DD" w14:textId="77777777" w:rsidR="00731FEA" w:rsidRPr="000736B6" w:rsidRDefault="00731FEA" w:rsidP="00731FEA">
      <w:pPr>
        <w:rPr>
          <w:b/>
          <w:bCs/>
        </w:rPr>
      </w:pPr>
      <w:r w:rsidRPr="000736B6">
        <w:rPr>
          <w:b/>
          <w:bCs/>
        </w:rPr>
        <w:t>Values</w:t>
      </w:r>
      <w:r w:rsidRPr="000736B6">
        <w:rPr>
          <w:b/>
          <w:bCs/>
        </w:rPr>
        <w:noBreakHyphen/>
        <w:t>based ways of working</w:t>
      </w:r>
    </w:p>
    <w:p w14:paraId="3126B58A" w14:textId="77777777" w:rsidR="00731FEA" w:rsidRPr="000736B6" w:rsidRDefault="00731FEA" w:rsidP="00731FEA">
      <w:r w:rsidRPr="000736B6">
        <w:t xml:space="preserve">The </w:t>
      </w:r>
      <w:r>
        <w:t>s</w:t>
      </w:r>
      <w:r w:rsidRPr="000736B6">
        <w:t xml:space="preserve">teering </w:t>
      </w:r>
      <w:r>
        <w:t>g</w:t>
      </w:r>
      <w:r w:rsidRPr="000736B6">
        <w:t>roup intentionally used values such as whanaungatanga</w:t>
      </w:r>
      <w:r w:rsidR="00497F35">
        <w:rPr>
          <w:rStyle w:val="FootnoteReference"/>
        </w:rPr>
        <w:footnoteReference w:id="3"/>
      </w:r>
      <w:r w:rsidRPr="000736B6">
        <w:t>, manaakitanga</w:t>
      </w:r>
      <w:r w:rsidR="00497F35">
        <w:rPr>
          <w:rStyle w:val="FootnoteReference"/>
        </w:rPr>
        <w:footnoteReference w:id="4"/>
      </w:r>
      <w:r w:rsidRPr="000736B6">
        <w:t xml:space="preserve">, compassion and shared accountability. This created </w:t>
      </w:r>
      <w:r>
        <w:t xml:space="preserve">trust, </w:t>
      </w:r>
      <w:r w:rsidRPr="000736B6">
        <w:t>psychological safety and supported honest conversations.</w:t>
      </w:r>
    </w:p>
    <w:p w14:paraId="350F2E26" w14:textId="77777777" w:rsidR="00731FEA" w:rsidRPr="002A517B" w:rsidRDefault="00731FEA" w:rsidP="00731FEA">
      <w:pPr>
        <w:ind w:left="720"/>
        <w:rPr>
          <w:i/>
          <w:iCs/>
          <w:lang w:val="en-US"/>
        </w:rPr>
      </w:pPr>
      <w:r w:rsidRPr="002A517B">
        <w:rPr>
          <w:i/>
          <w:iCs/>
          <w:lang w:val="en-US"/>
        </w:rPr>
        <w:t xml:space="preserve">“Seeing genuine openness to consumer voice has been the most rewarding part. I felt that consumer perspectives were treated as essential rather than optional.” </w:t>
      </w:r>
    </w:p>
    <w:p w14:paraId="226A386E" w14:textId="77777777" w:rsidR="00731FEA" w:rsidRDefault="00731FEA" w:rsidP="00731FEA">
      <w:pPr>
        <w:ind w:left="720"/>
        <w:rPr>
          <w:i/>
          <w:iCs/>
          <w:lang w:val="en-US"/>
        </w:rPr>
      </w:pPr>
      <w:r w:rsidRPr="1061E94F">
        <w:rPr>
          <w:i/>
          <w:iCs/>
          <w:lang w:val="en-US"/>
        </w:rPr>
        <w:t xml:space="preserve">“Being able to ground the kōrero in values </w:t>
      </w:r>
      <w:r>
        <w:rPr>
          <w:i/>
          <w:iCs/>
          <w:lang w:val="en-US"/>
        </w:rPr>
        <w:t>–</w:t>
      </w:r>
      <w:r w:rsidRPr="1061E94F">
        <w:rPr>
          <w:i/>
          <w:iCs/>
          <w:lang w:val="en-US"/>
        </w:rPr>
        <w:t xml:space="preserve"> compassion, dignity, manaakitanga </w:t>
      </w:r>
      <w:r>
        <w:rPr>
          <w:i/>
          <w:iCs/>
          <w:lang w:val="en-US"/>
        </w:rPr>
        <w:t>–</w:t>
      </w:r>
      <w:r w:rsidRPr="1061E94F">
        <w:rPr>
          <w:i/>
          <w:iCs/>
          <w:lang w:val="en-US"/>
        </w:rPr>
        <w:t xml:space="preserve"> made the work feel safer and more human.” </w:t>
      </w:r>
    </w:p>
    <w:p w14:paraId="597068C7" w14:textId="77777777" w:rsidR="000404A8" w:rsidRDefault="000404A8" w:rsidP="00731FEA">
      <w:pPr>
        <w:ind w:left="720"/>
        <w:rPr>
          <w:i/>
          <w:iCs/>
          <w:lang w:val="en-US"/>
        </w:rPr>
      </w:pPr>
    </w:p>
    <w:tbl>
      <w:tblPr>
        <w:tblStyle w:val="TableGrid"/>
        <w:tblW w:w="0" w:type="auto"/>
        <w:tblLook w:val="04A0" w:firstRow="1" w:lastRow="0" w:firstColumn="1" w:lastColumn="0" w:noHBand="0" w:noVBand="1"/>
      </w:tblPr>
      <w:tblGrid>
        <w:gridCol w:w="9016"/>
      </w:tblGrid>
      <w:tr w:rsidR="00731FEA" w14:paraId="7BF3C143" w14:textId="77777777" w:rsidTr="002D558B">
        <w:tc>
          <w:tcPr>
            <w:tcW w:w="9016" w:type="dxa"/>
          </w:tcPr>
          <w:p w14:paraId="60039885" w14:textId="77777777" w:rsidR="00731FEA" w:rsidRPr="00467895" w:rsidRDefault="00731FEA" w:rsidP="002D558B">
            <w:pPr>
              <w:rPr>
                <w:b/>
                <w:bCs/>
              </w:rPr>
            </w:pPr>
            <w:r w:rsidRPr="00467895">
              <w:rPr>
                <w:b/>
                <w:bCs/>
              </w:rPr>
              <w:t>Designing the conditions for meaningful consumer engagement</w:t>
            </w:r>
          </w:p>
          <w:p w14:paraId="04FF07E1" w14:textId="77777777" w:rsidR="00731FEA" w:rsidRDefault="00731FEA" w:rsidP="002D558B">
            <w:pPr>
              <w:pStyle w:val="HQSCbullets"/>
            </w:pPr>
            <w:r w:rsidRPr="00054CF2">
              <w:t>Be explicit about why consumers are being engaged, what influence they can reasonably expect to have, and what decisions sit outside the group’s role.</w:t>
            </w:r>
          </w:p>
          <w:p w14:paraId="46DDE2E2" w14:textId="77777777" w:rsidR="00731FEA" w:rsidRPr="00054CF2" w:rsidRDefault="00731FEA" w:rsidP="002D558B">
            <w:pPr>
              <w:pStyle w:val="HQSCbullets"/>
            </w:pPr>
            <w:r w:rsidRPr="00054CF2">
              <w:t xml:space="preserve">Revisit </w:t>
            </w:r>
            <w:r>
              <w:t xml:space="preserve">the </w:t>
            </w:r>
            <w:r w:rsidRPr="00054CF2">
              <w:t xml:space="preserve">purpose and </w:t>
            </w:r>
            <w:r>
              <w:t xml:space="preserve">what the </w:t>
            </w:r>
            <w:r w:rsidRPr="00054CF2">
              <w:t xml:space="preserve">limits </w:t>
            </w:r>
            <w:r>
              <w:t xml:space="preserve">are </w:t>
            </w:r>
            <w:r w:rsidRPr="00054CF2">
              <w:t>regularly, especially when tensions arise.</w:t>
            </w:r>
          </w:p>
          <w:p w14:paraId="4955CF05" w14:textId="77777777" w:rsidR="00731FEA" w:rsidRPr="002828C7" w:rsidRDefault="00731FEA" w:rsidP="002D558B">
            <w:pPr>
              <w:pStyle w:val="HQSCbullets"/>
            </w:pPr>
            <w:r w:rsidRPr="00B56D73">
              <w:t>Invest in strong, values</w:t>
            </w:r>
            <w:r w:rsidRPr="00B56D73">
              <w:noBreakHyphen/>
              <w:t>based leadership. Skilled facilitation helps balance power, foster respect and ensure all voices are heard.</w:t>
            </w:r>
          </w:p>
        </w:tc>
      </w:tr>
    </w:tbl>
    <w:p w14:paraId="514A2E5C" w14:textId="77777777" w:rsidR="00731FEA" w:rsidRDefault="00731FEA" w:rsidP="00731FEA">
      <w:pPr>
        <w:rPr>
          <w:color w:val="2C2568" w:themeColor="text2"/>
          <w:sz w:val="24"/>
          <w:szCs w:val="24"/>
        </w:rPr>
      </w:pPr>
    </w:p>
    <w:p w14:paraId="25E1658D" w14:textId="77777777" w:rsidR="00731FEA" w:rsidRPr="005B45B4" w:rsidRDefault="00731FEA" w:rsidP="00731FEA">
      <w:pPr>
        <w:rPr>
          <w:color w:val="2C2568" w:themeColor="text2"/>
          <w:sz w:val="24"/>
          <w:szCs w:val="24"/>
        </w:rPr>
      </w:pPr>
      <w:r w:rsidRPr="005B45B4">
        <w:rPr>
          <w:color w:val="2C2568" w:themeColor="text2"/>
          <w:sz w:val="24"/>
          <w:szCs w:val="24"/>
        </w:rPr>
        <w:lastRenderedPageBreak/>
        <w:t>Support</w:t>
      </w:r>
      <w:r>
        <w:rPr>
          <w:color w:val="2C2568" w:themeColor="text2"/>
          <w:sz w:val="24"/>
          <w:szCs w:val="24"/>
        </w:rPr>
        <w:t>ing</w:t>
      </w:r>
      <w:r w:rsidRPr="005B45B4">
        <w:rPr>
          <w:color w:val="2C2568" w:themeColor="text2"/>
          <w:sz w:val="24"/>
          <w:szCs w:val="24"/>
        </w:rPr>
        <w:t xml:space="preserve"> </w:t>
      </w:r>
      <w:r>
        <w:rPr>
          <w:color w:val="2C2568" w:themeColor="text2"/>
          <w:sz w:val="24"/>
          <w:szCs w:val="24"/>
        </w:rPr>
        <w:t>c</w:t>
      </w:r>
      <w:r w:rsidRPr="005B45B4">
        <w:rPr>
          <w:color w:val="2C2568" w:themeColor="text2"/>
          <w:sz w:val="24"/>
          <w:szCs w:val="24"/>
        </w:rPr>
        <w:t xml:space="preserve">onsumer </w:t>
      </w:r>
      <w:r>
        <w:rPr>
          <w:color w:val="2C2568" w:themeColor="text2"/>
          <w:sz w:val="24"/>
          <w:szCs w:val="24"/>
        </w:rPr>
        <w:t>m</w:t>
      </w:r>
      <w:r w:rsidRPr="005B45B4">
        <w:rPr>
          <w:color w:val="2C2568" w:themeColor="text2"/>
          <w:sz w:val="24"/>
          <w:szCs w:val="24"/>
        </w:rPr>
        <w:t>embers</w:t>
      </w:r>
    </w:p>
    <w:p w14:paraId="53019BCD" w14:textId="77777777" w:rsidR="00731FEA" w:rsidRDefault="00731FEA" w:rsidP="00731FEA">
      <w:r w:rsidRPr="005B45B4">
        <w:t xml:space="preserve">Effective consumer engagement requires more than simply inviting </w:t>
      </w:r>
      <w:r>
        <w:t>consumers</w:t>
      </w:r>
      <w:r w:rsidRPr="005B45B4">
        <w:t xml:space="preserve"> to the table.</w:t>
      </w:r>
    </w:p>
    <w:p w14:paraId="7FC2EF8B" w14:textId="77777777" w:rsidR="00731FEA" w:rsidRPr="000736B6" w:rsidRDefault="00731FEA" w:rsidP="00731FEA">
      <w:pPr>
        <w:rPr>
          <w:b/>
          <w:bCs/>
        </w:rPr>
      </w:pPr>
      <w:r w:rsidRPr="000736B6">
        <w:rPr>
          <w:b/>
          <w:bCs/>
        </w:rPr>
        <w:t>Emotional and relational support</w:t>
      </w:r>
    </w:p>
    <w:p w14:paraId="746CB329" w14:textId="77777777" w:rsidR="00731FEA" w:rsidRPr="00253272" w:rsidRDefault="00731FEA" w:rsidP="00731FEA">
      <w:r w:rsidRPr="00253272">
        <w:t>In response to the emotional weight described above, the group deliberately created space for relational support, shared responsibility and informal check</w:t>
      </w:r>
      <w:r w:rsidRPr="00253272">
        <w:noBreakHyphen/>
        <w:t>ins.</w:t>
      </w:r>
    </w:p>
    <w:p w14:paraId="09221BEA" w14:textId="77777777" w:rsidR="00731FEA" w:rsidRPr="000736B6" w:rsidRDefault="00731FEA" w:rsidP="00731FEA">
      <w:pPr>
        <w:rPr>
          <w:b/>
          <w:bCs/>
        </w:rPr>
      </w:pPr>
      <w:r w:rsidRPr="000736B6">
        <w:rPr>
          <w:b/>
          <w:bCs/>
        </w:rPr>
        <w:t>Resourcing and recognition</w:t>
      </w:r>
    </w:p>
    <w:p w14:paraId="7C95A8C3" w14:textId="77777777" w:rsidR="00731FEA" w:rsidRDefault="00731FEA" w:rsidP="00731FEA">
      <w:pPr>
        <w:rPr>
          <w:b/>
          <w:bCs/>
        </w:rPr>
      </w:pPr>
      <w:r w:rsidRPr="000736B6">
        <w:t xml:space="preserve">Consumer members were remunerated and reimbursed for expenses, in line with </w:t>
      </w:r>
      <w:r>
        <w:t xml:space="preserve">the </w:t>
      </w:r>
      <w:r w:rsidRPr="005B45B4">
        <w:t xml:space="preserve">Health Quality </w:t>
      </w:r>
      <w:r>
        <w:t>&amp;</w:t>
      </w:r>
      <w:r w:rsidRPr="005B45B4">
        <w:t xml:space="preserve"> Safety Commission</w:t>
      </w:r>
      <w:r>
        <w:t xml:space="preserve"> Te Tāhū Hauora</w:t>
      </w:r>
      <w:r w:rsidRPr="005B45B4">
        <w:t xml:space="preserve"> </w:t>
      </w:r>
      <w:r>
        <w:t>p</w:t>
      </w:r>
      <w:r w:rsidRPr="002A517B">
        <w:t>olicy for consumer and whānau engagement, fees and reimbursement</w:t>
      </w:r>
      <w:r>
        <w:rPr>
          <w:rStyle w:val="FootnoteReference"/>
        </w:rPr>
        <w:footnoteReference w:id="5"/>
      </w:r>
      <w:r>
        <w:rPr>
          <w:b/>
          <w:bCs/>
        </w:rPr>
        <w:t>.</w:t>
      </w:r>
      <w:r w:rsidRPr="000736B6">
        <w:t xml:space="preserve"> This recognise</w:t>
      </w:r>
      <w:r>
        <w:t>s</w:t>
      </w:r>
      <w:r w:rsidRPr="000736B6">
        <w:t xml:space="preserve"> lived experience as skilled work, not voluntary goodwill.</w:t>
      </w:r>
      <w:r w:rsidRPr="00B716DF">
        <w:rPr>
          <w:b/>
          <w:bCs/>
        </w:rPr>
        <w:t xml:space="preserve"> </w:t>
      </w:r>
    </w:p>
    <w:p w14:paraId="147828FE" w14:textId="77777777" w:rsidR="00731FEA" w:rsidRPr="00D65B30" w:rsidRDefault="00731FEA" w:rsidP="00731FEA">
      <w:pPr>
        <w:rPr>
          <w:b/>
          <w:bCs/>
        </w:rPr>
      </w:pPr>
      <w:r w:rsidRPr="00D65B30">
        <w:rPr>
          <w:b/>
          <w:bCs/>
        </w:rPr>
        <w:t>Feedback loops</w:t>
      </w:r>
    </w:p>
    <w:p w14:paraId="60C95E54" w14:textId="77777777" w:rsidR="00731FEA" w:rsidRPr="000736B6" w:rsidRDefault="00731FEA" w:rsidP="00731FEA">
      <w:r w:rsidRPr="000736B6">
        <w:t xml:space="preserve">The </w:t>
      </w:r>
      <w:r>
        <w:t xml:space="preserve">steering </w:t>
      </w:r>
      <w:r w:rsidRPr="000736B6">
        <w:t>group actively fed back on how consumer input shaped decisions, which helped reduce fatigue and cynicism.</w:t>
      </w:r>
    </w:p>
    <w:p w14:paraId="2834B65A" w14:textId="77777777" w:rsidR="00731FEA" w:rsidRPr="002A517B" w:rsidRDefault="00731FEA" w:rsidP="00731FEA">
      <w:pPr>
        <w:rPr>
          <w:b/>
          <w:bCs/>
          <w:color w:val="121212" w:themeColor="text1"/>
        </w:rPr>
      </w:pPr>
      <w:r w:rsidRPr="002A517B">
        <w:rPr>
          <w:b/>
          <w:bCs/>
          <w:color w:val="121212" w:themeColor="text1"/>
        </w:rPr>
        <w:t>Induction and ongoing learning</w:t>
      </w:r>
    </w:p>
    <w:p w14:paraId="09445B83" w14:textId="77777777" w:rsidR="00731FEA" w:rsidRPr="000736B6" w:rsidRDefault="00731FEA" w:rsidP="00731FEA">
      <w:r w:rsidRPr="000736B6">
        <w:t>Orientation was treated as an ongoing process, not a one</w:t>
      </w:r>
      <w:r w:rsidRPr="000736B6">
        <w:noBreakHyphen/>
        <w:t>off event.</w:t>
      </w:r>
    </w:p>
    <w:p w14:paraId="1E7768A3" w14:textId="77777777" w:rsidR="00731FEA" w:rsidRPr="000736B6" w:rsidRDefault="00731FEA" w:rsidP="00731FEA">
      <w:pPr>
        <w:numPr>
          <w:ilvl w:val="0"/>
          <w:numId w:val="21"/>
        </w:numPr>
        <w:spacing w:line="240" w:lineRule="auto"/>
      </w:pPr>
      <w:r w:rsidRPr="000736B6">
        <w:t xml:space="preserve">Terms of </w:t>
      </w:r>
      <w:r>
        <w:t>r</w:t>
      </w:r>
      <w:r w:rsidRPr="000736B6">
        <w:t>eference clarified roles, expectations and values.</w:t>
      </w:r>
    </w:p>
    <w:p w14:paraId="65F609F5" w14:textId="77777777" w:rsidR="00731FEA" w:rsidRPr="000736B6" w:rsidRDefault="00731FEA" w:rsidP="00731FEA">
      <w:pPr>
        <w:numPr>
          <w:ilvl w:val="0"/>
          <w:numId w:val="21"/>
        </w:numPr>
        <w:spacing w:line="240" w:lineRule="auto"/>
      </w:pPr>
      <w:r w:rsidRPr="000736B6">
        <w:t xml:space="preserve">A </w:t>
      </w:r>
      <w:proofErr w:type="spellStart"/>
      <w:r w:rsidRPr="004E0E0D">
        <w:t>tuakana</w:t>
      </w:r>
      <w:proofErr w:type="spellEnd"/>
      <w:r w:rsidRPr="004E0E0D">
        <w:t>–</w:t>
      </w:r>
      <w:proofErr w:type="spellStart"/>
      <w:r w:rsidRPr="004E0E0D">
        <w:t>teina</w:t>
      </w:r>
      <w:proofErr w:type="spellEnd"/>
      <w:r w:rsidRPr="004E0E0D">
        <w:t xml:space="preserve"> approach</w:t>
      </w:r>
      <w:r>
        <w:rPr>
          <w:rStyle w:val="FootnoteReference"/>
        </w:rPr>
        <w:footnoteReference w:id="6"/>
      </w:r>
      <w:r>
        <w:rPr>
          <w:b/>
          <w:bCs/>
        </w:rPr>
        <w:t xml:space="preserve"> </w:t>
      </w:r>
      <w:r w:rsidRPr="000736B6">
        <w:t xml:space="preserve">supported learning within the </w:t>
      </w:r>
      <w:r>
        <w:t xml:space="preserve">steering </w:t>
      </w:r>
      <w:r w:rsidRPr="000736B6">
        <w:t>group, allowing people to both teach and learn from one another over time.</w:t>
      </w:r>
    </w:p>
    <w:p w14:paraId="2AE8E68E" w14:textId="77777777" w:rsidR="00731FEA" w:rsidRPr="000404A8" w:rsidRDefault="00731FEA" w:rsidP="00731FEA">
      <w:pPr>
        <w:numPr>
          <w:ilvl w:val="0"/>
          <w:numId w:val="21"/>
        </w:numPr>
        <w:spacing w:line="240" w:lineRule="auto"/>
        <w:rPr>
          <w:i/>
          <w:iCs/>
        </w:rPr>
      </w:pPr>
      <w:r w:rsidRPr="000736B6">
        <w:t xml:space="preserve">Programme staff </w:t>
      </w:r>
      <w:r>
        <w:t>provided the opportunity to support</w:t>
      </w:r>
      <w:r w:rsidRPr="000736B6">
        <w:t xml:space="preserve"> consumer members to engage with technical information between meetings</w:t>
      </w:r>
      <w:r>
        <w:t xml:space="preserve"> if needed</w:t>
      </w:r>
      <w:r w:rsidRPr="000736B6">
        <w:t>.</w:t>
      </w:r>
    </w:p>
    <w:p w14:paraId="3F7CCB74" w14:textId="77777777" w:rsidR="000404A8" w:rsidRPr="003227AF" w:rsidRDefault="000404A8" w:rsidP="000404A8">
      <w:pPr>
        <w:spacing w:line="240" w:lineRule="auto"/>
        <w:ind w:left="720"/>
        <w:rPr>
          <w:i/>
          <w:iCs/>
        </w:rPr>
      </w:pPr>
    </w:p>
    <w:tbl>
      <w:tblPr>
        <w:tblStyle w:val="TableGrid"/>
        <w:tblW w:w="0" w:type="auto"/>
        <w:tblLook w:val="04A0" w:firstRow="1" w:lastRow="0" w:firstColumn="1" w:lastColumn="0" w:noHBand="0" w:noVBand="1"/>
      </w:tblPr>
      <w:tblGrid>
        <w:gridCol w:w="9016"/>
      </w:tblGrid>
      <w:tr w:rsidR="00731FEA" w14:paraId="7A9ACCC8" w14:textId="77777777" w:rsidTr="007C70F0">
        <w:tc>
          <w:tcPr>
            <w:tcW w:w="9016" w:type="dxa"/>
          </w:tcPr>
          <w:p w14:paraId="43E1944D" w14:textId="77777777" w:rsidR="00731FEA" w:rsidRPr="00681DB2" w:rsidRDefault="00731FEA" w:rsidP="007C70F0">
            <w:pPr>
              <w:rPr>
                <w:b/>
                <w:bCs/>
              </w:rPr>
            </w:pPr>
            <w:r w:rsidRPr="00681DB2">
              <w:rPr>
                <w:b/>
                <w:bCs/>
              </w:rPr>
              <w:t xml:space="preserve">What </w:t>
            </w:r>
            <w:r>
              <w:rPr>
                <w:b/>
                <w:bCs/>
              </w:rPr>
              <w:t xml:space="preserve">is required to </w:t>
            </w:r>
            <w:r w:rsidRPr="00681DB2">
              <w:rPr>
                <w:b/>
                <w:bCs/>
              </w:rPr>
              <w:t xml:space="preserve">sustain engagement </w:t>
            </w:r>
          </w:p>
          <w:p w14:paraId="40032916" w14:textId="77777777" w:rsidR="00731FEA" w:rsidRPr="00D25274" w:rsidRDefault="00731FEA" w:rsidP="007C70F0">
            <w:pPr>
              <w:pStyle w:val="HQSCbullets"/>
            </w:pPr>
            <w:r w:rsidRPr="00D25274">
              <w:t xml:space="preserve">Consumer engagement requires time, energy, and preparation </w:t>
            </w:r>
            <w:r>
              <w:t>–</w:t>
            </w:r>
            <w:r w:rsidRPr="00D25274">
              <w:t xml:space="preserve"> support must extend beyond </w:t>
            </w:r>
            <w:r>
              <w:t xml:space="preserve">attending </w:t>
            </w:r>
            <w:r w:rsidRPr="00D25274">
              <w:t>meeting</w:t>
            </w:r>
            <w:r>
              <w:t>s</w:t>
            </w:r>
            <w:r w:rsidRPr="00D25274">
              <w:t>.</w:t>
            </w:r>
          </w:p>
          <w:p w14:paraId="544C0609" w14:textId="77777777" w:rsidR="00731FEA" w:rsidRPr="00D25274" w:rsidRDefault="00731FEA" w:rsidP="007C70F0">
            <w:pPr>
              <w:pStyle w:val="HQSCbullets"/>
            </w:pPr>
            <w:r w:rsidRPr="00D25274">
              <w:t>Induction is not a one</w:t>
            </w:r>
            <w:r w:rsidRPr="00D25274">
              <w:noBreakHyphen/>
              <w:t>off activity. Ongoing orientation and context</w:t>
            </w:r>
            <w:r w:rsidRPr="00D25274">
              <w:noBreakHyphen/>
              <w:t xml:space="preserve">setting help consumer members participate </w:t>
            </w:r>
            <w:r w:rsidRPr="00E16045">
              <w:t>effectively</w:t>
            </w:r>
            <w:r w:rsidRPr="00D25274">
              <w:t>.</w:t>
            </w:r>
          </w:p>
          <w:p w14:paraId="03906755" w14:textId="77777777" w:rsidR="00731FEA" w:rsidRPr="00D25274" w:rsidRDefault="00731FEA" w:rsidP="007C70F0">
            <w:pPr>
              <w:pStyle w:val="HQSCbullets"/>
            </w:pPr>
            <w:r w:rsidRPr="00D25274">
              <w:t>Remuneration, practical support and flexibility are essential for participation.</w:t>
            </w:r>
          </w:p>
          <w:p w14:paraId="55D8D61C" w14:textId="77777777" w:rsidR="00731FEA" w:rsidRPr="003227AF" w:rsidRDefault="00731FEA" w:rsidP="007C70F0">
            <w:pPr>
              <w:pStyle w:val="HQSCbullets"/>
            </w:pPr>
            <w:r w:rsidRPr="00D25274">
              <w:t>Close the feedback loop</w:t>
            </w:r>
            <w:r w:rsidRPr="00E16045">
              <w:t xml:space="preserve"> </w:t>
            </w:r>
            <w:r>
              <w:t>–</w:t>
            </w:r>
            <w:r w:rsidRPr="00D25274">
              <w:t xml:space="preserve"> show how input has shaped decisions, even when not all recommendations are adopted.</w:t>
            </w:r>
          </w:p>
        </w:tc>
      </w:tr>
    </w:tbl>
    <w:p w14:paraId="122EDE98" w14:textId="77777777" w:rsidR="000404A8" w:rsidRDefault="000404A8" w:rsidP="00731FEA">
      <w:pPr>
        <w:rPr>
          <w:color w:val="2C2568" w:themeColor="text2"/>
          <w:sz w:val="24"/>
          <w:szCs w:val="24"/>
        </w:rPr>
      </w:pPr>
    </w:p>
    <w:p w14:paraId="1FAF01FB" w14:textId="552F49CB" w:rsidR="00731FEA" w:rsidRPr="000736B6" w:rsidRDefault="00731FEA" w:rsidP="00731FEA">
      <w:pPr>
        <w:rPr>
          <w:color w:val="2C2568" w:themeColor="text2"/>
          <w:sz w:val="24"/>
          <w:szCs w:val="24"/>
        </w:rPr>
      </w:pPr>
      <w:r>
        <w:rPr>
          <w:color w:val="2C2568" w:themeColor="text2"/>
          <w:sz w:val="24"/>
          <w:szCs w:val="24"/>
        </w:rPr>
        <w:t>A</w:t>
      </w:r>
      <w:r w:rsidRPr="000736B6">
        <w:rPr>
          <w:color w:val="2C2568" w:themeColor="text2"/>
          <w:sz w:val="24"/>
          <w:szCs w:val="24"/>
        </w:rPr>
        <w:t xml:space="preserve">dvice for </w:t>
      </w:r>
      <w:r w:rsidRPr="00D65B30">
        <w:rPr>
          <w:color w:val="2C2568" w:themeColor="text2"/>
          <w:sz w:val="24"/>
          <w:szCs w:val="24"/>
        </w:rPr>
        <w:t>consumers</w:t>
      </w:r>
    </w:p>
    <w:p w14:paraId="17EBAE43" w14:textId="77777777" w:rsidR="00731FEA" w:rsidRPr="002A517B" w:rsidRDefault="00731FEA" w:rsidP="00731FEA">
      <w:pPr>
        <w:ind w:left="720"/>
        <w:rPr>
          <w:i/>
          <w:iCs/>
          <w:lang w:val="en-US"/>
        </w:rPr>
      </w:pPr>
      <w:r w:rsidRPr="002A517B">
        <w:rPr>
          <w:i/>
          <w:iCs/>
          <w:lang w:val="en-US"/>
        </w:rPr>
        <w:lastRenderedPageBreak/>
        <w:t xml:space="preserve">“Bring your whole self </w:t>
      </w:r>
      <w:r>
        <w:rPr>
          <w:i/>
          <w:iCs/>
          <w:lang w:val="en-US"/>
        </w:rPr>
        <w:t>–</w:t>
      </w:r>
      <w:r w:rsidRPr="002A517B">
        <w:rPr>
          <w:i/>
          <w:iCs/>
          <w:lang w:val="en-US"/>
        </w:rPr>
        <w:t xml:space="preserve"> your lived experience, your cultural grounding, your compassion. Be present. Don’t underestimate the value of your voice, and remember that this work, while heavy</w:t>
      </w:r>
      <w:r>
        <w:rPr>
          <w:i/>
          <w:iCs/>
          <w:lang w:val="en-US"/>
        </w:rPr>
        <w:t>,</w:t>
      </w:r>
      <w:r w:rsidRPr="002A517B">
        <w:rPr>
          <w:i/>
          <w:iCs/>
          <w:lang w:val="en-US"/>
        </w:rPr>
        <w:t xml:space="preserve"> is also a privilege: we are shaping the care people receive at one of the most important moments of their lives</w:t>
      </w:r>
      <w:r>
        <w:rPr>
          <w:i/>
          <w:iCs/>
          <w:lang w:val="en-US"/>
        </w:rPr>
        <w:t>.</w:t>
      </w:r>
      <w:r w:rsidRPr="002A517B">
        <w:rPr>
          <w:i/>
          <w:iCs/>
          <w:lang w:val="en-US"/>
        </w:rPr>
        <w:t xml:space="preserve">” </w:t>
      </w:r>
    </w:p>
    <w:p w14:paraId="4788FD08" w14:textId="77777777" w:rsidR="00731FEA" w:rsidRPr="005B45B4" w:rsidRDefault="00731FEA" w:rsidP="00731FEA">
      <w:pPr>
        <w:rPr>
          <w:color w:val="2C2568" w:themeColor="text2"/>
          <w:sz w:val="24"/>
          <w:szCs w:val="24"/>
        </w:rPr>
      </w:pPr>
      <w:r w:rsidRPr="00620D3F">
        <w:rPr>
          <w:color w:val="2C2568" w:themeColor="text2"/>
          <w:sz w:val="24"/>
          <w:szCs w:val="24"/>
        </w:rPr>
        <w:t xml:space="preserve">Where the challenges </w:t>
      </w:r>
      <w:r>
        <w:rPr>
          <w:color w:val="2C2568" w:themeColor="text2"/>
          <w:sz w:val="24"/>
          <w:szCs w:val="24"/>
        </w:rPr>
        <w:t>were</w:t>
      </w:r>
    </w:p>
    <w:p w14:paraId="6D5FFAB0" w14:textId="77777777" w:rsidR="00731FEA" w:rsidRPr="000736B6" w:rsidRDefault="00731FEA" w:rsidP="00731FEA">
      <w:r w:rsidRPr="000736B6">
        <w:t>Even with strong intent, challenges were unavoidable.</w:t>
      </w:r>
    </w:p>
    <w:p w14:paraId="16212987" w14:textId="77777777" w:rsidR="00731FEA" w:rsidRPr="000736B6" w:rsidRDefault="00731FEA" w:rsidP="00731FEA">
      <w:pPr>
        <w:rPr>
          <w:b/>
          <w:bCs/>
        </w:rPr>
      </w:pPr>
      <w:r w:rsidRPr="000736B6">
        <w:rPr>
          <w:b/>
          <w:bCs/>
        </w:rPr>
        <w:t>System thinking versus lived experience</w:t>
      </w:r>
    </w:p>
    <w:p w14:paraId="1142CFA0" w14:textId="77777777" w:rsidR="00731FEA" w:rsidRPr="000736B6" w:rsidRDefault="00731FEA" w:rsidP="00731FEA">
      <w:r w:rsidRPr="000736B6">
        <w:t>Tension sometimes arose between system</w:t>
      </w:r>
      <w:r w:rsidRPr="000736B6">
        <w:noBreakHyphen/>
        <w:t>level models and what consumers knew from lived experience.</w:t>
      </w:r>
    </w:p>
    <w:p w14:paraId="4B23EDB6" w14:textId="77777777" w:rsidR="00731FEA" w:rsidRPr="002A517B" w:rsidRDefault="00731FEA" w:rsidP="00731FEA">
      <w:pPr>
        <w:ind w:left="720"/>
        <w:rPr>
          <w:i/>
          <w:iCs/>
          <w:lang w:val="en-US"/>
        </w:rPr>
      </w:pPr>
      <w:r w:rsidRPr="6551FE2E">
        <w:rPr>
          <w:i/>
          <w:iCs/>
          <w:lang w:val="en-US"/>
        </w:rPr>
        <w:t xml:space="preserve">“There was system thinking </w:t>
      </w:r>
      <w:r>
        <w:rPr>
          <w:i/>
          <w:iCs/>
          <w:lang w:val="en-US"/>
        </w:rPr>
        <w:t>–</w:t>
      </w:r>
      <w:r w:rsidRPr="6551FE2E">
        <w:rPr>
          <w:i/>
          <w:iCs/>
          <w:lang w:val="en-US"/>
        </w:rPr>
        <w:t xml:space="preserve"> how the model should work</w:t>
      </w:r>
      <w:r>
        <w:rPr>
          <w:i/>
          <w:iCs/>
          <w:lang w:val="en-US"/>
        </w:rPr>
        <w:t xml:space="preserve"> –</w:t>
      </w:r>
      <w:r w:rsidRPr="6551FE2E">
        <w:rPr>
          <w:i/>
          <w:iCs/>
          <w:lang w:val="en-US"/>
        </w:rPr>
        <w:t xml:space="preserve"> but the lived experience was actually quite different.” </w:t>
      </w:r>
    </w:p>
    <w:p w14:paraId="3C634EFC" w14:textId="77777777" w:rsidR="00731FEA" w:rsidRPr="002A517B" w:rsidRDefault="00731FEA" w:rsidP="00731FEA">
      <w:pPr>
        <w:ind w:left="720"/>
        <w:rPr>
          <w:i/>
          <w:iCs/>
          <w:lang w:val="en-US"/>
        </w:rPr>
      </w:pPr>
      <w:r w:rsidRPr="002A517B">
        <w:rPr>
          <w:i/>
          <w:iCs/>
          <w:lang w:val="en-US"/>
        </w:rPr>
        <w:t xml:space="preserve">“Sometimes I’d be sitting there thinking, have you actually ever looked after somebody?” </w:t>
      </w:r>
    </w:p>
    <w:p w14:paraId="48D9FAA7" w14:textId="77777777" w:rsidR="00731FEA" w:rsidRPr="000736B6" w:rsidRDefault="00731FEA" w:rsidP="00731FEA">
      <w:r>
        <w:t>The steering group used a consensus-based decision</w:t>
      </w:r>
      <w:r>
        <w:noBreakHyphen/>
        <w:t>making model, where differing views could be discussed openly and formally recorded rather than smoothed over.</w:t>
      </w:r>
    </w:p>
    <w:p w14:paraId="6D71C217" w14:textId="77777777" w:rsidR="00731FEA" w:rsidRPr="002A517B" w:rsidRDefault="00731FEA" w:rsidP="00731FEA">
      <w:pPr>
        <w:ind w:left="720"/>
        <w:rPr>
          <w:i/>
          <w:iCs/>
          <w:lang w:val="en-US"/>
        </w:rPr>
      </w:pPr>
      <w:r w:rsidRPr="002A517B">
        <w:rPr>
          <w:i/>
          <w:iCs/>
          <w:lang w:val="en-US"/>
        </w:rPr>
        <w:t xml:space="preserve">“People weren’t happy at times. But we worked through it with open dialogue and a shared commitment to doing better for our </w:t>
      </w:r>
      <w:proofErr w:type="gramStart"/>
      <w:r w:rsidRPr="002A517B">
        <w:rPr>
          <w:i/>
          <w:iCs/>
          <w:lang w:val="en-US"/>
        </w:rPr>
        <w:t>whānau.”</w:t>
      </w:r>
      <w:proofErr w:type="gramEnd"/>
    </w:p>
    <w:p w14:paraId="402FDC00" w14:textId="77777777" w:rsidR="00731FEA" w:rsidRPr="002A517B" w:rsidRDefault="00731FEA" w:rsidP="00731FEA">
      <w:pPr>
        <w:ind w:left="720"/>
        <w:rPr>
          <w:i/>
          <w:iCs/>
          <w:lang w:val="en-US"/>
        </w:rPr>
      </w:pPr>
      <w:r w:rsidRPr="002A517B">
        <w:rPr>
          <w:i/>
          <w:iCs/>
          <w:lang w:val="en-US"/>
        </w:rPr>
        <w:t>“What helped most was having space to speak honestly without judgement</w:t>
      </w:r>
      <w:r>
        <w:rPr>
          <w:i/>
          <w:iCs/>
          <w:lang w:val="en-US"/>
        </w:rPr>
        <w:t>.</w:t>
      </w:r>
      <w:r w:rsidRPr="002A517B">
        <w:rPr>
          <w:i/>
          <w:iCs/>
          <w:lang w:val="en-US"/>
        </w:rPr>
        <w:t>”</w:t>
      </w:r>
    </w:p>
    <w:p w14:paraId="0717B85B" w14:textId="77777777" w:rsidR="00731FEA" w:rsidRPr="000736B6" w:rsidRDefault="00731FEA" w:rsidP="00731FEA">
      <w:pPr>
        <w:rPr>
          <w:b/>
          <w:bCs/>
        </w:rPr>
      </w:pPr>
      <w:r w:rsidRPr="000736B6">
        <w:rPr>
          <w:b/>
          <w:bCs/>
        </w:rPr>
        <w:t>Emotional weight of the work</w:t>
      </w:r>
    </w:p>
    <w:p w14:paraId="3408320F" w14:textId="77777777" w:rsidR="00731FEA" w:rsidRPr="000736B6" w:rsidRDefault="00731FEA" w:rsidP="00731FEA">
      <w:r w:rsidRPr="000736B6">
        <w:t xml:space="preserve">Palliative care, especially paediatric palliative care, can be emotionally heavy. </w:t>
      </w:r>
      <w:r>
        <w:t>VH and GJ</w:t>
      </w:r>
      <w:r w:rsidRPr="000736B6">
        <w:t xml:space="preserve"> spoke about the </w:t>
      </w:r>
      <w:r>
        <w:t>challenge</w:t>
      </w:r>
      <w:r w:rsidRPr="000736B6">
        <w:t xml:space="preserve"> of repeatedly engaging with deeply personal material.</w:t>
      </w:r>
    </w:p>
    <w:p w14:paraId="3975295D" w14:textId="77777777" w:rsidR="00731FEA" w:rsidRPr="002A517B" w:rsidRDefault="00731FEA" w:rsidP="00731FEA">
      <w:pPr>
        <w:ind w:left="720"/>
        <w:rPr>
          <w:i/>
          <w:iCs/>
          <w:lang w:val="en-US"/>
        </w:rPr>
      </w:pPr>
      <w:r w:rsidRPr="002A517B">
        <w:rPr>
          <w:i/>
          <w:iCs/>
          <w:lang w:val="en-US"/>
        </w:rPr>
        <w:t xml:space="preserve">“It was the emotional heaviness of the </w:t>
      </w:r>
      <w:proofErr w:type="spellStart"/>
      <w:r>
        <w:rPr>
          <w:i/>
          <w:iCs/>
          <w:lang w:val="en-US"/>
        </w:rPr>
        <w:t>k</w:t>
      </w:r>
      <w:r w:rsidRPr="0073455F">
        <w:rPr>
          <w:i/>
          <w:iCs/>
          <w:lang w:val="en-US"/>
        </w:rPr>
        <w:t>aupapa</w:t>
      </w:r>
      <w:proofErr w:type="spellEnd"/>
      <w:r w:rsidRPr="002A517B">
        <w:rPr>
          <w:i/>
          <w:iCs/>
          <w:lang w:val="en-US"/>
        </w:rPr>
        <w:t xml:space="preserve">, particularly around </w:t>
      </w:r>
      <w:proofErr w:type="spellStart"/>
      <w:r w:rsidRPr="002A517B">
        <w:rPr>
          <w:i/>
          <w:iCs/>
          <w:lang w:val="en-US"/>
        </w:rPr>
        <w:t>paediatric</w:t>
      </w:r>
      <w:proofErr w:type="spellEnd"/>
      <w:r w:rsidRPr="002A517B">
        <w:rPr>
          <w:i/>
          <w:iCs/>
          <w:lang w:val="en-US"/>
        </w:rPr>
        <w:t xml:space="preserve"> palliative care.” </w:t>
      </w:r>
    </w:p>
    <w:p w14:paraId="5EC0AC4D" w14:textId="77777777" w:rsidR="00731FEA" w:rsidRDefault="00731FEA" w:rsidP="00731FEA">
      <w:r w:rsidRPr="00253272">
        <w:t>Th</w:t>
      </w:r>
      <w:r>
        <w:t>is</w:t>
      </w:r>
      <w:r w:rsidRPr="00253272">
        <w:t xml:space="preserve"> underscored the importance of deliberate emotional and relational support, described below.</w:t>
      </w:r>
    </w:p>
    <w:tbl>
      <w:tblPr>
        <w:tblStyle w:val="TableGrid"/>
        <w:tblW w:w="0" w:type="auto"/>
        <w:tblLook w:val="04A0" w:firstRow="1" w:lastRow="0" w:firstColumn="1" w:lastColumn="0" w:noHBand="0" w:noVBand="1"/>
      </w:tblPr>
      <w:tblGrid>
        <w:gridCol w:w="9016"/>
      </w:tblGrid>
      <w:tr w:rsidR="00731FEA" w14:paraId="586B2AE2" w14:textId="77777777" w:rsidTr="006B75BF">
        <w:tc>
          <w:tcPr>
            <w:tcW w:w="9016" w:type="dxa"/>
          </w:tcPr>
          <w:p w14:paraId="209EE5CF" w14:textId="77777777" w:rsidR="00731FEA" w:rsidRPr="004B04CE" w:rsidRDefault="00731FEA" w:rsidP="006B75BF">
            <w:pPr>
              <w:rPr>
                <w:b/>
                <w:bCs/>
                <w:lang w:val="en-US"/>
              </w:rPr>
            </w:pPr>
            <w:proofErr w:type="spellStart"/>
            <w:r w:rsidRPr="004B04CE">
              <w:rPr>
                <w:b/>
                <w:bCs/>
                <w:lang w:val="en-US"/>
              </w:rPr>
              <w:t>Normalising</w:t>
            </w:r>
            <w:proofErr w:type="spellEnd"/>
            <w:r w:rsidRPr="004B04CE">
              <w:rPr>
                <w:b/>
                <w:bCs/>
                <w:lang w:val="en-US"/>
              </w:rPr>
              <w:t xml:space="preserve"> tension and emotional load</w:t>
            </w:r>
          </w:p>
          <w:p w14:paraId="0AE2F5E4" w14:textId="77777777" w:rsidR="00731FEA" w:rsidRPr="00311C3D" w:rsidRDefault="00731FEA" w:rsidP="006B75BF">
            <w:pPr>
              <w:pStyle w:val="HQSCbullets"/>
            </w:pPr>
            <w:r w:rsidRPr="00311C3D">
              <w:t>Many tensions occur because of limited resources and system complexity</w:t>
            </w:r>
            <w:r>
              <w:t xml:space="preserve">, </w:t>
            </w:r>
            <w:r w:rsidRPr="00311C3D">
              <w:t>not because of disagreement on values. Transparency about constraints builds trust, even when outcomes are imperfect.</w:t>
            </w:r>
          </w:p>
          <w:p w14:paraId="3FFFEE71" w14:textId="77777777" w:rsidR="00731FEA" w:rsidRPr="00606FF5" w:rsidRDefault="00731FEA" w:rsidP="006B75BF">
            <w:pPr>
              <w:pStyle w:val="HQSCbullets"/>
            </w:pPr>
            <w:r w:rsidRPr="00311C3D">
              <w:t xml:space="preserve">Build expectation that differing views </w:t>
            </w:r>
            <w:r>
              <w:t>–</w:t>
            </w:r>
            <w:r w:rsidRPr="00311C3D">
              <w:t xml:space="preserve"> especially between lived experience and technical perspectives </w:t>
            </w:r>
            <w:r>
              <w:t xml:space="preserve">– </w:t>
            </w:r>
            <w:r w:rsidRPr="00311C3D">
              <w:t xml:space="preserve">are normal and valuable. Disagreement is not a failure of consumer </w:t>
            </w:r>
            <w:proofErr w:type="gramStart"/>
            <w:r w:rsidRPr="00311C3D">
              <w:t>engagement</w:t>
            </w:r>
            <w:r>
              <w:t>,</w:t>
            </w:r>
            <w:proofErr w:type="gramEnd"/>
            <w:r w:rsidRPr="00311C3D">
              <w:t xml:space="preserve"> it is a sign that real perspectives are being brought to the table.</w:t>
            </w:r>
          </w:p>
        </w:tc>
      </w:tr>
    </w:tbl>
    <w:p w14:paraId="5B6BBF4C" w14:textId="77777777" w:rsidR="000404A8" w:rsidRDefault="000404A8" w:rsidP="00B11180">
      <w:pPr>
        <w:rPr>
          <w:color w:val="2C2568" w:themeColor="text2"/>
          <w:sz w:val="24"/>
          <w:szCs w:val="24"/>
        </w:rPr>
      </w:pPr>
    </w:p>
    <w:p w14:paraId="22590508" w14:textId="68F6B432" w:rsidR="00B11180" w:rsidRPr="000736B6" w:rsidRDefault="00B11180" w:rsidP="00B11180">
      <w:pPr>
        <w:rPr>
          <w:color w:val="2C2568" w:themeColor="text2"/>
          <w:sz w:val="24"/>
          <w:szCs w:val="24"/>
        </w:rPr>
      </w:pPr>
      <w:r w:rsidRPr="000736B6">
        <w:rPr>
          <w:color w:val="2C2568" w:themeColor="text2"/>
          <w:sz w:val="24"/>
          <w:szCs w:val="24"/>
        </w:rPr>
        <w:t>Why consumers wanted to be involved</w:t>
      </w:r>
    </w:p>
    <w:p w14:paraId="4C22D115" w14:textId="77777777" w:rsidR="00B11180" w:rsidRPr="004D078D" w:rsidRDefault="00B11180" w:rsidP="00B11180">
      <w:pPr>
        <w:rPr>
          <w:rFonts w:cs="Arial"/>
        </w:rPr>
      </w:pPr>
      <w:r>
        <w:rPr>
          <w:rFonts w:cs="Arial"/>
        </w:rPr>
        <w:t xml:space="preserve">It is often a connection with the </w:t>
      </w:r>
      <w:r w:rsidR="00731FEA">
        <w:rPr>
          <w:rFonts w:cs="Arial"/>
        </w:rPr>
        <w:t>purpose</w:t>
      </w:r>
      <w:r>
        <w:rPr>
          <w:rFonts w:cs="Arial"/>
        </w:rPr>
        <w:t xml:space="preserve"> that catches people’s attention. Both VH and GJ had been closely involved with and looked after whānau when they were at the end of their life. </w:t>
      </w:r>
    </w:p>
    <w:p w14:paraId="6EBBEFE9" w14:textId="77777777" w:rsidR="00B11180" w:rsidRPr="002A517B" w:rsidRDefault="00B11180" w:rsidP="00B11180">
      <w:pPr>
        <w:ind w:left="720"/>
        <w:rPr>
          <w:i/>
          <w:iCs/>
          <w:lang w:val="en-US"/>
        </w:rPr>
      </w:pPr>
      <w:r w:rsidRPr="002A517B">
        <w:rPr>
          <w:i/>
          <w:iCs/>
          <w:lang w:val="en-US"/>
        </w:rPr>
        <w:lastRenderedPageBreak/>
        <w:t xml:space="preserve">“My interest was about families and having been in that position… We nursed our dad for a whole month, and it was an amazing experience. But we were lucky. We were a family who could do that.” </w:t>
      </w:r>
    </w:p>
    <w:p w14:paraId="3AEFC351" w14:textId="77777777" w:rsidR="00B11180" w:rsidRDefault="00B11180" w:rsidP="00B11180">
      <w:pPr>
        <w:rPr>
          <w:rFonts w:cs="Arial"/>
        </w:rPr>
      </w:pPr>
      <w:r w:rsidRPr="1061E94F">
        <w:rPr>
          <w:rFonts w:cs="Arial"/>
        </w:rPr>
        <w:t>The opportunity to participate in this work was advertised through Health New Zealand | Te Whatu Ora (Health NZ) and the Consumer Health Forum Aotearoa. While these networks reach well over 1,000 people, interviews highlighted that consumer networks are close</w:t>
      </w:r>
      <w:r>
        <w:t xml:space="preserve"> </w:t>
      </w:r>
      <w:r w:rsidRPr="1061E94F">
        <w:rPr>
          <w:rFonts w:cs="Arial"/>
        </w:rPr>
        <w:t xml:space="preserve">knit, and word of mouth plays a strong role in recruiting people into roles such as this. </w:t>
      </w:r>
    </w:p>
    <w:p w14:paraId="1B24D611" w14:textId="77777777" w:rsidR="00B11180" w:rsidRPr="000736B6" w:rsidRDefault="00B11180" w:rsidP="00B11180">
      <w:pPr>
        <w:rPr>
          <w:color w:val="2C2568" w:themeColor="text2"/>
          <w:sz w:val="24"/>
          <w:szCs w:val="24"/>
        </w:rPr>
      </w:pPr>
      <w:r w:rsidRPr="000736B6">
        <w:rPr>
          <w:color w:val="2C2568" w:themeColor="text2"/>
          <w:sz w:val="24"/>
          <w:szCs w:val="24"/>
        </w:rPr>
        <w:t>Why consumer involvement matters</w:t>
      </w:r>
    </w:p>
    <w:p w14:paraId="6F350345" w14:textId="77777777" w:rsidR="00B11180" w:rsidRPr="000736B6" w:rsidRDefault="00B11180" w:rsidP="00B11180">
      <w:r>
        <w:t>P</w:t>
      </w:r>
      <w:r w:rsidRPr="000736B6">
        <w:t xml:space="preserve">alliative care is not just a clinical service </w:t>
      </w:r>
      <w:r>
        <w:t>–</w:t>
      </w:r>
      <w:r w:rsidRPr="000736B6">
        <w:t xml:space="preserve"> it is deeply personal, cultural and relational.</w:t>
      </w:r>
    </w:p>
    <w:p w14:paraId="5FCB57A4" w14:textId="77777777" w:rsidR="00B11180" w:rsidRPr="00054CF2" w:rsidRDefault="00B11180" w:rsidP="00B11180">
      <w:pPr>
        <w:ind w:left="720"/>
        <w:rPr>
          <w:i/>
          <w:iCs/>
          <w:lang w:val="en-US"/>
        </w:rPr>
      </w:pPr>
      <w:r w:rsidRPr="00054CF2">
        <w:rPr>
          <w:i/>
          <w:iCs/>
          <w:lang w:val="en-US"/>
        </w:rPr>
        <w:t xml:space="preserve">“Without consumer involvement, the system risks being designed around </w:t>
      </w:r>
      <w:proofErr w:type="spellStart"/>
      <w:r w:rsidRPr="00054CF2">
        <w:rPr>
          <w:i/>
          <w:iCs/>
          <w:lang w:val="en-US"/>
        </w:rPr>
        <w:t>organisational</w:t>
      </w:r>
      <w:proofErr w:type="spellEnd"/>
      <w:r w:rsidRPr="00054CF2">
        <w:rPr>
          <w:i/>
          <w:iCs/>
          <w:lang w:val="en-US"/>
        </w:rPr>
        <w:t xml:space="preserve"> convenience rather than human need. We bring the lived truth of what </w:t>
      </w:r>
      <w:proofErr w:type="gramStart"/>
      <w:r w:rsidRPr="00054CF2">
        <w:rPr>
          <w:i/>
          <w:iCs/>
          <w:lang w:val="en-US"/>
        </w:rPr>
        <w:t>actually matters</w:t>
      </w:r>
      <w:proofErr w:type="gramEnd"/>
      <w:r w:rsidRPr="00054CF2">
        <w:rPr>
          <w:i/>
          <w:iCs/>
          <w:lang w:val="en-US"/>
        </w:rPr>
        <w:t xml:space="preserve"> to whānau.” </w:t>
      </w:r>
    </w:p>
    <w:p w14:paraId="16EE05DF" w14:textId="77777777" w:rsidR="00B11180" w:rsidRPr="00731FEA" w:rsidRDefault="00B11180" w:rsidP="00B11180">
      <w:pPr>
        <w:rPr>
          <w:rFonts w:cs="Arial"/>
        </w:rPr>
      </w:pPr>
      <w:r w:rsidRPr="007117BB">
        <w:rPr>
          <w:rFonts w:cs="Arial"/>
        </w:rPr>
        <w:t>Sharing perspectives grounded in lived experience, particularly while navigating acute life events, can be both challenging and deeply meaningful.</w:t>
      </w:r>
    </w:p>
    <w:p w14:paraId="446406F1" w14:textId="77777777" w:rsidR="00B11180" w:rsidRDefault="00B11180" w:rsidP="00B11180">
      <w:r>
        <w:t xml:space="preserve">For more information on the </w:t>
      </w:r>
      <w:r w:rsidRPr="000736B6">
        <w:t xml:space="preserve">National Palliative Care </w:t>
      </w:r>
      <w:r>
        <w:t xml:space="preserve">Steering Group and the wider National Palliative Care Work Programme: </w:t>
      </w:r>
      <w:hyperlink r:id="rId9" w:history="1">
        <w:r w:rsidRPr="001B2917">
          <w:rPr>
            <w:rStyle w:val="Hyperlink"/>
          </w:rPr>
          <w:t>www.healthnz.govt.nz/about-us/who-we-are/expert-groups-and-networks/expert-groups/national-palliative-care-steering-group</w:t>
        </w:r>
      </w:hyperlink>
      <w:r>
        <w:t xml:space="preserve">   </w:t>
      </w:r>
    </w:p>
    <w:p w14:paraId="4C6B179A" w14:textId="77777777" w:rsidR="00B11180" w:rsidRDefault="00B11180" w:rsidP="006838BC">
      <w:pPr>
        <w:pStyle w:val="HQSCbodytext"/>
      </w:pPr>
    </w:p>
    <w:p w14:paraId="437556CC" w14:textId="77777777" w:rsidR="00B11180" w:rsidRDefault="00B11180" w:rsidP="006838BC">
      <w:pPr>
        <w:pStyle w:val="HQSCbodytext"/>
      </w:pPr>
    </w:p>
    <w:p w14:paraId="078FA083" w14:textId="77777777" w:rsidR="00B11180" w:rsidRDefault="00B11180" w:rsidP="006838BC">
      <w:pPr>
        <w:pStyle w:val="HQSCbodytext"/>
      </w:pPr>
    </w:p>
    <w:p w14:paraId="2C0D713F" w14:textId="77777777" w:rsidR="00B11180" w:rsidRDefault="00B11180" w:rsidP="006838BC">
      <w:pPr>
        <w:pStyle w:val="HQSCbodytext"/>
      </w:pPr>
    </w:p>
    <w:p w14:paraId="1ABE4572" w14:textId="77777777" w:rsidR="00B11180" w:rsidRDefault="00B11180" w:rsidP="006838BC">
      <w:pPr>
        <w:pStyle w:val="HQSCbodytext"/>
      </w:pPr>
    </w:p>
    <w:p w14:paraId="107AEBCD" w14:textId="77777777" w:rsidR="00B11180" w:rsidRDefault="00B11180" w:rsidP="006838BC">
      <w:pPr>
        <w:pStyle w:val="HQSCbodytext"/>
      </w:pPr>
    </w:p>
    <w:p w14:paraId="56B4D297" w14:textId="77777777" w:rsidR="00B11180" w:rsidRDefault="00B11180" w:rsidP="006838BC">
      <w:pPr>
        <w:pStyle w:val="HQSCbodytext"/>
      </w:pPr>
    </w:p>
    <w:p w14:paraId="71FFD0C1" w14:textId="77777777" w:rsidR="00B11180" w:rsidRDefault="00B11180" w:rsidP="006838BC">
      <w:pPr>
        <w:pStyle w:val="HQSCbodytext"/>
      </w:pPr>
    </w:p>
    <w:p w14:paraId="4241CD9C" w14:textId="77777777" w:rsidR="00B11180" w:rsidRDefault="00B11180" w:rsidP="006838BC">
      <w:pPr>
        <w:pStyle w:val="HQSCbodytext"/>
      </w:pPr>
    </w:p>
    <w:p w14:paraId="7179BC5A" w14:textId="77777777" w:rsidR="00B11180" w:rsidRDefault="00B11180" w:rsidP="006838BC">
      <w:pPr>
        <w:pStyle w:val="HQSCbodytext"/>
      </w:pPr>
    </w:p>
    <w:p w14:paraId="663BAB00" w14:textId="77777777" w:rsidR="00B11180" w:rsidRDefault="00B11180" w:rsidP="006838BC">
      <w:pPr>
        <w:pStyle w:val="HQSCbodytext"/>
      </w:pPr>
    </w:p>
    <w:p w14:paraId="1A1C04D5" w14:textId="77777777" w:rsidR="00B11180" w:rsidRDefault="00B11180" w:rsidP="006838BC">
      <w:pPr>
        <w:pStyle w:val="HQSCbodytext"/>
      </w:pPr>
    </w:p>
    <w:p w14:paraId="3FF20D16" w14:textId="2A2F3F2B" w:rsidR="00AF57B3" w:rsidRDefault="00AF57B3" w:rsidP="006838BC">
      <w:pPr>
        <w:pStyle w:val="HQSCbodytext"/>
      </w:pPr>
      <w:r w:rsidRPr="00052E86">
        <w:t xml:space="preserve">Published </w:t>
      </w:r>
      <w:r w:rsidR="002A7FBA">
        <w:t>June 2026</w:t>
      </w:r>
      <w:r>
        <w:t xml:space="preserve"> by Health Quality &amp; Safety Commission</w:t>
      </w:r>
      <w:r w:rsidR="00DC0A53">
        <w:t xml:space="preserve"> Te Tāhū Hauora</w:t>
      </w:r>
      <w:r>
        <w:t xml:space="preserve">, PO Box 25496, Wellington, 6146. </w:t>
      </w:r>
      <w:r w:rsidRPr="00052E86">
        <w:t xml:space="preserve">Available online at </w:t>
      </w:r>
      <w:hyperlink r:id="rId10" w:history="1">
        <w:r w:rsidRPr="00052E86">
          <w:rPr>
            <w:rStyle w:val="Hyperlink"/>
          </w:rPr>
          <w:t>www.hqsc.govt.nz</w:t>
        </w:r>
      </w:hyperlink>
      <w:r>
        <w:t>.</w:t>
      </w:r>
      <w:r>
        <w:rPr>
          <w:rStyle w:val="Hyperlink"/>
        </w:rPr>
        <w:t xml:space="preserve"> </w:t>
      </w:r>
      <w:r w:rsidRPr="00052E86">
        <w:t xml:space="preserve">Enquiries to: </w:t>
      </w:r>
      <w:hyperlink r:id="rId11" w:history="1">
        <w:r w:rsidRPr="00A45102">
          <w:rPr>
            <w:rStyle w:val="Hyperlink"/>
          </w:rPr>
          <w:t>info@hqsc.govt.nz</w:t>
        </w:r>
      </w:hyperlink>
    </w:p>
    <w:p w14:paraId="43ECD730" w14:textId="77777777" w:rsidR="00AF57B3" w:rsidRPr="004846B0" w:rsidRDefault="00685328" w:rsidP="00BF1BA6">
      <w:pPr>
        <w:pStyle w:val="HQSCbodytext"/>
      </w:pPr>
      <w:r>
        <w:rPr>
          <w:noProof/>
        </w:rPr>
        <w:drawing>
          <wp:inline distT="0" distB="0" distL="0" distR="0" wp14:anchorId="609BD883" wp14:editId="17C4713C">
            <wp:extent cx="2197911" cy="504825"/>
            <wp:effectExtent l="0" t="0" r="0" b="0"/>
            <wp:docPr id="9" name="Picture 9" descr="The New Zealand Government logo is made up of the coat of arms of New Zealand on the left and the words New Zealand Government in bold letters alongside it, with Te Kāwanatanga o Aotearoa written be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e New Zealand Government logo is made up of the coat of arms of New Zealand on the left and the words New Zealand Government in bold letters alongside it, with Te Kāwanatanga o Aotearoa written beneath."/>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4071" cy="506240"/>
                    </a:xfrm>
                    <a:prstGeom prst="rect">
                      <a:avLst/>
                    </a:prstGeom>
                  </pic:spPr>
                </pic:pic>
              </a:graphicData>
            </a:graphic>
          </wp:inline>
        </w:drawing>
      </w:r>
    </w:p>
    <w:sectPr w:rsidR="00AF57B3" w:rsidRPr="004846B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F212A" w14:textId="77777777" w:rsidR="009A06A7" w:rsidRDefault="009A06A7" w:rsidP="003C45E1">
      <w:pPr>
        <w:spacing w:after="0" w:line="240" w:lineRule="auto"/>
      </w:pPr>
      <w:r>
        <w:separator/>
      </w:r>
    </w:p>
  </w:endnote>
  <w:endnote w:type="continuationSeparator" w:id="0">
    <w:p w14:paraId="531840BD" w14:textId="77777777" w:rsidR="009A06A7" w:rsidRDefault="009A06A7" w:rsidP="003C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60358055"/>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5501ECDD" w14:textId="03E5EE17" w:rsidR="004907D7" w:rsidRPr="004A752B" w:rsidRDefault="00FC7F1B" w:rsidP="00FC7F1B">
            <w:pPr>
              <w:pStyle w:val="Footer"/>
              <w:spacing w:after="120" w:line="276" w:lineRule="auto"/>
              <w:jc w:val="right"/>
              <w:rPr>
                <w:sz w:val="20"/>
                <w:szCs w:val="20"/>
              </w:rPr>
            </w:pPr>
            <w:r w:rsidRPr="00FC7F1B">
              <w:rPr>
                <w:sz w:val="20"/>
                <w:szCs w:val="20"/>
              </w:rPr>
              <w:t>When experience becomes expertise: Influencing national palliative care</w:t>
            </w:r>
            <w:r w:rsidR="004A752B" w:rsidRPr="004A752B">
              <w:rPr>
                <w:sz w:val="20"/>
                <w:szCs w:val="20"/>
              </w:rPr>
              <w:tab/>
            </w:r>
            <w:r w:rsidR="004A752B" w:rsidRPr="004A752B">
              <w:rPr>
                <w:sz w:val="20"/>
                <w:szCs w:val="20"/>
              </w:rPr>
              <w:fldChar w:fldCharType="begin"/>
            </w:r>
            <w:r w:rsidR="004A752B" w:rsidRPr="004A752B">
              <w:rPr>
                <w:sz w:val="20"/>
                <w:szCs w:val="20"/>
              </w:rPr>
              <w:instrText xml:space="preserve"> PAGE </w:instrText>
            </w:r>
            <w:r w:rsidR="004A752B" w:rsidRPr="004A752B">
              <w:rPr>
                <w:sz w:val="20"/>
                <w:szCs w:val="20"/>
              </w:rPr>
              <w:fldChar w:fldCharType="separate"/>
            </w:r>
            <w:r w:rsidR="004A752B" w:rsidRPr="004A752B">
              <w:rPr>
                <w:noProof/>
                <w:sz w:val="20"/>
                <w:szCs w:val="20"/>
              </w:rPr>
              <w:t>2</w:t>
            </w:r>
            <w:r w:rsidR="004A752B" w:rsidRPr="004A752B">
              <w:rPr>
                <w:sz w:val="20"/>
                <w:szCs w:val="20"/>
              </w:rPr>
              <w:fldChar w:fldCharType="end"/>
            </w:r>
            <w:r w:rsidR="004A752B" w:rsidRPr="004A752B">
              <w:rPr>
                <w:sz w:val="20"/>
                <w:szCs w:val="20"/>
              </w:rPr>
              <w:t xml:space="preserve"> of </w:t>
            </w:r>
            <w:r w:rsidR="004A752B" w:rsidRPr="004A752B">
              <w:rPr>
                <w:sz w:val="20"/>
                <w:szCs w:val="20"/>
              </w:rPr>
              <w:fldChar w:fldCharType="begin"/>
            </w:r>
            <w:r w:rsidR="004A752B" w:rsidRPr="004A752B">
              <w:rPr>
                <w:sz w:val="20"/>
                <w:szCs w:val="20"/>
              </w:rPr>
              <w:instrText xml:space="preserve"> NUMPAGES  </w:instrText>
            </w:r>
            <w:r w:rsidR="004A752B" w:rsidRPr="004A752B">
              <w:rPr>
                <w:sz w:val="20"/>
                <w:szCs w:val="20"/>
              </w:rPr>
              <w:fldChar w:fldCharType="separate"/>
            </w:r>
            <w:r w:rsidR="004A752B" w:rsidRPr="004A752B">
              <w:rPr>
                <w:noProof/>
                <w:sz w:val="20"/>
                <w:szCs w:val="20"/>
              </w:rPr>
              <w:t>2</w:t>
            </w:r>
            <w:r w:rsidR="004A752B" w:rsidRPr="004A752B">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688A7" w14:textId="77777777" w:rsidR="009A06A7" w:rsidRDefault="009A06A7" w:rsidP="003C45E1">
      <w:pPr>
        <w:spacing w:after="0" w:line="240" w:lineRule="auto"/>
      </w:pPr>
      <w:r>
        <w:separator/>
      </w:r>
    </w:p>
  </w:footnote>
  <w:footnote w:type="continuationSeparator" w:id="0">
    <w:p w14:paraId="4053050C" w14:textId="77777777" w:rsidR="009A06A7" w:rsidRDefault="009A06A7" w:rsidP="003C45E1">
      <w:pPr>
        <w:spacing w:after="0" w:line="240" w:lineRule="auto"/>
      </w:pPr>
      <w:r>
        <w:continuationSeparator/>
      </w:r>
    </w:p>
  </w:footnote>
  <w:footnote w:id="1">
    <w:p w14:paraId="4EC97CD6" w14:textId="77777777" w:rsidR="00B11180" w:rsidRPr="004E0E0D" w:rsidRDefault="00B11180" w:rsidP="00B11180">
      <w:pPr>
        <w:pStyle w:val="FootnoteText"/>
        <w:rPr>
          <w:i/>
          <w:iCs/>
        </w:rPr>
      </w:pPr>
      <w:r>
        <w:rPr>
          <w:rStyle w:val="FootnoteReference"/>
        </w:rPr>
        <w:footnoteRef/>
      </w:r>
      <w:r>
        <w:t xml:space="preserve"> </w:t>
      </w:r>
      <w:r w:rsidRPr="006E18D8">
        <w:rPr>
          <w:i/>
          <w:iCs/>
        </w:rPr>
        <w:t>Note: The National Palliative Care Steering Group is part of a much larger Palliative Care Work Programme which includes five working groups, an equity steering group and multiple ways that people can contribute including surveys, webinars and consultation on recommendations for change.</w:t>
      </w:r>
    </w:p>
    <w:p w14:paraId="22C70A04" w14:textId="77777777" w:rsidR="00B11180" w:rsidRDefault="00B11180" w:rsidP="00B11180">
      <w:pPr>
        <w:pStyle w:val="FootnoteText"/>
      </w:pPr>
    </w:p>
  </w:footnote>
  <w:footnote w:id="2">
    <w:p w14:paraId="48D800FD" w14:textId="77777777" w:rsidR="00731FEA" w:rsidRDefault="00731FEA" w:rsidP="00731FEA">
      <w:pPr>
        <w:pStyle w:val="FootnoteText"/>
        <w:rPr>
          <w:i/>
          <w:iCs/>
        </w:rPr>
      </w:pPr>
      <w:r w:rsidRPr="002A517B">
        <w:rPr>
          <w:rStyle w:val="FootnoteReference"/>
          <w:i/>
          <w:iCs/>
        </w:rPr>
        <w:footnoteRef/>
      </w:r>
      <w:r w:rsidRPr="002A517B">
        <w:rPr>
          <w:i/>
          <w:iCs/>
        </w:rPr>
        <w:t xml:space="preserve"> The consumer members that contributed to this case study are referred to throughout the document as VH and GJ</w:t>
      </w:r>
      <w:r>
        <w:rPr>
          <w:i/>
          <w:iCs/>
        </w:rPr>
        <w:t>.</w:t>
      </w:r>
    </w:p>
    <w:p w14:paraId="21AAB2F8" w14:textId="77777777" w:rsidR="00731FEA" w:rsidRPr="002A517B" w:rsidRDefault="00731FEA" w:rsidP="00731FEA">
      <w:pPr>
        <w:pStyle w:val="FootnoteText"/>
        <w:rPr>
          <w:i/>
          <w:iCs/>
        </w:rPr>
      </w:pPr>
    </w:p>
  </w:footnote>
  <w:footnote w:id="3">
    <w:p w14:paraId="2CA08B64" w14:textId="77777777" w:rsidR="00497F35" w:rsidRDefault="00497F35">
      <w:pPr>
        <w:pStyle w:val="FootnoteText"/>
      </w:pPr>
      <w:r>
        <w:rPr>
          <w:rStyle w:val="FootnoteReference"/>
        </w:rPr>
        <w:footnoteRef/>
      </w:r>
      <w:r>
        <w:t xml:space="preserve"> R</w:t>
      </w:r>
      <w:r w:rsidRPr="00497F35">
        <w:t>elationship</w:t>
      </w:r>
      <w:r>
        <w:t>s</w:t>
      </w:r>
      <w:r w:rsidRPr="00497F35">
        <w:t xml:space="preserve"> and </w:t>
      </w:r>
      <w:r>
        <w:t>c</w:t>
      </w:r>
      <w:r w:rsidRPr="00497F35">
        <w:t>onnection</w:t>
      </w:r>
      <w:r>
        <w:t xml:space="preserve"> that are respectful and reciprocal</w:t>
      </w:r>
    </w:p>
  </w:footnote>
  <w:footnote w:id="4">
    <w:p w14:paraId="2610571E" w14:textId="77777777" w:rsidR="00497F35" w:rsidRDefault="00497F35">
      <w:pPr>
        <w:pStyle w:val="FootnoteText"/>
      </w:pPr>
      <w:r>
        <w:rPr>
          <w:rStyle w:val="FootnoteReference"/>
        </w:rPr>
        <w:footnoteRef/>
      </w:r>
      <w:r>
        <w:t xml:space="preserve"> H</w:t>
      </w:r>
      <w:r w:rsidRPr="00497F35">
        <w:t>ospitality, kindness, and generosity</w:t>
      </w:r>
    </w:p>
  </w:footnote>
  <w:footnote w:id="5">
    <w:p w14:paraId="5BEAE0EE" w14:textId="77777777" w:rsidR="00731FEA" w:rsidRDefault="00731FEA" w:rsidP="00731FEA">
      <w:pPr>
        <w:pStyle w:val="FootnoteText"/>
      </w:pPr>
      <w:r>
        <w:rPr>
          <w:rStyle w:val="FootnoteReference"/>
        </w:rPr>
        <w:footnoteRef/>
      </w:r>
      <w:r>
        <w:t xml:space="preserve"> </w:t>
      </w:r>
      <w:hyperlink r:id="rId1" w:history="1">
        <w:r w:rsidRPr="00E24730">
          <w:rPr>
            <w:rStyle w:val="Hyperlink"/>
          </w:rPr>
          <w:t>https://www.hqsc.govt.nz/resources/resource-library/policy-for-paying-consumers-who-are-involved-health-quality-and-safety-commission-work/</w:t>
        </w:r>
      </w:hyperlink>
      <w:r>
        <w:t xml:space="preserve"> </w:t>
      </w:r>
    </w:p>
  </w:footnote>
  <w:footnote w:id="6">
    <w:p w14:paraId="5CC3EBCB" w14:textId="77777777" w:rsidR="00731FEA" w:rsidRDefault="00731FEA" w:rsidP="00731FEA">
      <w:r>
        <w:rPr>
          <w:rStyle w:val="FootnoteReference"/>
        </w:rPr>
        <w:footnoteRef/>
      </w:r>
      <w:r>
        <w:t xml:space="preserve"> </w:t>
      </w:r>
      <w:r w:rsidRPr="004E0E0D">
        <w:rPr>
          <w:sz w:val="20"/>
          <w:szCs w:val="20"/>
        </w:rPr>
        <w:t xml:space="preserve">The concept of </w:t>
      </w:r>
      <w:proofErr w:type="spellStart"/>
      <w:r w:rsidRPr="004E0E0D">
        <w:rPr>
          <w:sz w:val="20"/>
          <w:szCs w:val="20"/>
        </w:rPr>
        <w:t>tuakana</w:t>
      </w:r>
      <w:proofErr w:type="spellEnd"/>
      <w:r w:rsidRPr="004E0E0D">
        <w:rPr>
          <w:sz w:val="20"/>
          <w:szCs w:val="20"/>
        </w:rPr>
        <w:t>–</w:t>
      </w:r>
      <w:proofErr w:type="spellStart"/>
      <w:r w:rsidRPr="004E0E0D">
        <w:rPr>
          <w:sz w:val="20"/>
          <w:szCs w:val="20"/>
        </w:rPr>
        <w:t>teina</w:t>
      </w:r>
      <w:proofErr w:type="spellEnd"/>
      <w:r w:rsidRPr="004E0E0D">
        <w:rPr>
          <w:sz w:val="20"/>
          <w:szCs w:val="20"/>
        </w:rPr>
        <w:t xml:space="preserve">, is an integral part of Māori society and offers a strong framework for buddy or peer-support systems. In this approach, a </w:t>
      </w:r>
      <w:proofErr w:type="spellStart"/>
      <w:r w:rsidRPr="004E0E0D">
        <w:rPr>
          <w:sz w:val="20"/>
          <w:szCs w:val="20"/>
        </w:rPr>
        <w:t>tuakana</w:t>
      </w:r>
      <w:proofErr w:type="spellEnd"/>
      <w:r w:rsidRPr="004E0E0D">
        <w:rPr>
          <w:sz w:val="20"/>
          <w:szCs w:val="20"/>
        </w:rPr>
        <w:t xml:space="preserve"> – someone with greater experience or knowledge – supports and guides a </w:t>
      </w:r>
      <w:proofErr w:type="spellStart"/>
      <w:r w:rsidRPr="004E0E0D">
        <w:rPr>
          <w:sz w:val="20"/>
          <w:szCs w:val="20"/>
        </w:rPr>
        <w:t>teina</w:t>
      </w:r>
      <w:proofErr w:type="spellEnd"/>
      <w:r w:rsidRPr="004E0E0D">
        <w:rPr>
          <w:sz w:val="20"/>
          <w:szCs w:val="20"/>
        </w:rPr>
        <w:t xml:space="preserve"> who is still learning. Importantly, these roles may reverse at any time/any given situation. For example, a long-standing member of a palliative care steering group may act as </w:t>
      </w:r>
      <w:proofErr w:type="spellStart"/>
      <w:r w:rsidRPr="004E0E0D">
        <w:rPr>
          <w:sz w:val="20"/>
          <w:szCs w:val="20"/>
        </w:rPr>
        <w:t>tuakana</w:t>
      </w:r>
      <w:proofErr w:type="spellEnd"/>
      <w:r w:rsidRPr="004E0E0D">
        <w:rPr>
          <w:sz w:val="20"/>
          <w:szCs w:val="20"/>
        </w:rPr>
        <w:t xml:space="preserve">, guiding a new member through key processes and relationships. At the same time, the newer member may take on the </w:t>
      </w:r>
      <w:proofErr w:type="spellStart"/>
      <w:r w:rsidRPr="004E0E0D">
        <w:rPr>
          <w:sz w:val="20"/>
          <w:szCs w:val="20"/>
        </w:rPr>
        <w:t>tuakana</w:t>
      </w:r>
      <w:proofErr w:type="spellEnd"/>
      <w:r w:rsidRPr="004E0E0D">
        <w:rPr>
          <w:sz w:val="20"/>
          <w:szCs w:val="20"/>
        </w:rPr>
        <w:t xml:space="preserve"> role by contributing lived experience that enriches the group’s collective understanding</w:t>
      </w:r>
      <w:r w:rsidRPr="00620D3F">
        <w:rPr>
          <w:i/>
          <w:iCs/>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48A0D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554B7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134035"/>
    <w:multiLevelType w:val="multilevel"/>
    <w:tmpl w:val="2090B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A90D44"/>
    <w:multiLevelType w:val="hybridMultilevel"/>
    <w:tmpl w:val="F808FC2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B87844"/>
    <w:multiLevelType w:val="hybridMultilevel"/>
    <w:tmpl w:val="7C86928C"/>
    <w:lvl w:ilvl="0" w:tplc="6CB2829E">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6A906E0"/>
    <w:multiLevelType w:val="hybridMultilevel"/>
    <w:tmpl w:val="E6D63B6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B8E3E3A"/>
    <w:multiLevelType w:val="hybridMultilevel"/>
    <w:tmpl w:val="D74617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3E361D1"/>
    <w:multiLevelType w:val="hybridMultilevel"/>
    <w:tmpl w:val="390AAC1A"/>
    <w:lvl w:ilvl="0" w:tplc="14090001">
      <w:start w:val="1"/>
      <w:numFmt w:val="bullet"/>
      <w:lvlText w:val=""/>
      <w:lvlJc w:val="left"/>
      <w:pPr>
        <w:ind w:left="720" w:hanging="360"/>
      </w:pPr>
      <w:rPr>
        <w:rFonts w:ascii="Symbol" w:hAnsi="Symbol" w:hint="default"/>
      </w:rPr>
    </w:lvl>
    <w:lvl w:ilvl="1" w:tplc="107CD3DE">
      <w:numFmt w:val="bullet"/>
      <w:lvlText w:val="•"/>
      <w:lvlJc w:val="left"/>
      <w:pPr>
        <w:ind w:left="1440" w:hanging="360"/>
      </w:pPr>
      <w:rPr>
        <w:rFonts w:ascii="Calibri" w:eastAsiaTheme="minorHAnsi" w:hAnsi="Calibri"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9C63DD8"/>
    <w:multiLevelType w:val="multilevel"/>
    <w:tmpl w:val="742C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29109C"/>
    <w:multiLevelType w:val="hybridMultilevel"/>
    <w:tmpl w:val="CC4AF280"/>
    <w:styleLink w:val="Dash"/>
    <w:lvl w:ilvl="0" w:tplc="A5D216C6">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4A48D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FA2A3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002358">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D21FE0">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70F854">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B05962">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A4DEF6">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44216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74B4637"/>
    <w:multiLevelType w:val="hybridMultilevel"/>
    <w:tmpl w:val="DC24D8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BB814F1"/>
    <w:multiLevelType w:val="multilevel"/>
    <w:tmpl w:val="3E18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F758FD"/>
    <w:multiLevelType w:val="multilevel"/>
    <w:tmpl w:val="2090B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01453E9"/>
    <w:multiLevelType w:val="hybridMultilevel"/>
    <w:tmpl w:val="D42E7B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E30230B"/>
    <w:multiLevelType w:val="hybridMultilevel"/>
    <w:tmpl w:val="50AC4C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6CF5ACB"/>
    <w:multiLevelType w:val="hybridMultilevel"/>
    <w:tmpl w:val="B17420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D9C3B95"/>
    <w:multiLevelType w:val="hybridMultilevel"/>
    <w:tmpl w:val="FB6014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4437056"/>
    <w:multiLevelType w:val="hybridMultilevel"/>
    <w:tmpl w:val="D35028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86B6656"/>
    <w:multiLevelType w:val="hybridMultilevel"/>
    <w:tmpl w:val="600ADAA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C4B1D56"/>
    <w:multiLevelType w:val="multilevel"/>
    <w:tmpl w:val="6420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0813112">
    <w:abstractNumId w:val="7"/>
  </w:num>
  <w:num w:numId="2" w16cid:durableId="1664695360">
    <w:abstractNumId w:val="10"/>
  </w:num>
  <w:num w:numId="3" w16cid:durableId="86075489">
    <w:abstractNumId w:val="14"/>
  </w:num>
  <w:num w:numId="4" w16cid:durableId="961226629">
    <w:abstractNumId w:val="12"/>
  </w:num>
  <w:num w:numId="5" w16cid:durableId="810247892">
    <w:abstractNumId w:val="15"/>
  </w:num>
  <w:num w:numId="6" w16cid:durableId="199098544">
    <w:abstractNumId w:val="9"/>
  </w:num>
  <w:num w:numId="7" w16cid:durableId="1829781319">
    <w:abstractNumId w:val="18"/>
  </w:num>
  <w:num w:numId="8" w16cid:durableId="534579980">
    <w:abstractNumId w:val="13"/>
  </w:num>
  <w:num w:numId="9" w16cid:durableId="1863742993">
    <w:abstractNumId w:val="6"/>
  </w:num>
  <w:num w:numId="10" w16cid:durableId="50538599">
    <w:abstractNumId w:val="5"/>
  </w:num>
  <w:num w:numId="11" w16cid:durableId="1131828693">
    <w:abstractNumId w:val="3"/>
  </w:num>
  <w:num w:numId="12" w16cid:durableId="1093433892">
    <w:abstractNumId w:val="17"/>
  </w:num>
  <w:num w:numId="13" w16cid:durableId="272787516">
    <w:abstractNumId w:val="16"/>
  </w:num>
  <w:num w:numId="14" w16cid:durableId="1390617373">
    <w:abstractNumId w:val="4"/>
  </w:num>
  <w:num w:numId="15" w16cid:durableId="761143986">
    <w:abstractNumId w:val="2"/>
  </w:num>
  <w:num w:numId="16" w16cid:durableId="1515728625">
    <w:abstractNumId w:val="1"/>
  </w:num>
  <w:num w:numId="17" w16cid:durableId="999843847">
    <w:abstractNumId w:val="0"/>
  </w:num>
  <w:num w:numId="18" w16cid:durableId="1301568591">
    <w:abstractNumId w:val="0"/>
    <w:lvlOverride w:ilvl="0">
      <w:startOverride w:val="1"/>
    </w:lvlOverride>
  </w:num>
  <w:num w:numId="19" w16cid:durableId="1114863352">
    <w:abstractNumId w:val="19"/>
  </w:num>
  <w:num w:numId="20" w16cid:durableId="369575828">
    <w:abstractNumId w:val="11"/>
  </w:num>
  <w:num w:numId="21" w16cid:durableId="197127962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BD7"/>
    <w:rsid w:val="00000224"/>
    <w:rsid w:val="00003978"/>
    <w:rsid w:val="00005986"/>
    <w:rsid w:val="000072B5"/>
    <w:rsid w:val="00012CD3"/>
    <w:rsid w:val="00014BDF"/>
    <w:rsid w:val="000154D5"/>
    <w:rsid w:val="00015F44"/>
    <w:rsid w:val="00017216"/>
    <w:rsid w:val="00021A1A"/>
    <w:rsid w:val="000235D4"/>
    <w:rsid w:val="000257D7"/>
    <w:rsid w:val="00026401"/>
    <w:rsid w:val="000404A8"/>
    <w:rsid w:val="00043083"/>
    <w:rsid w:val="00051CC0"/>
    <w:rsid w:val="0005287A"/>
    <w:rsid w:val="00052B4C"/>
    <w:rsid w:val="0005504C"/>
    <w:rsid w:val="00057F11"/>
    <w:rsid w:val="00062B82"/>
    <w:rsid w:val="00067C71"/>
    <w:rsid w:val="00071CE6"/>
    <w:rsid w:val="00072B90"/>
    <w:rsid w:val="00077897"/>
    <w:rsid w:val="00081524"/>
    <w:rsid w:val="00081E3B"/>
    <w:rsid w:val="00083C26"/>
    <w:rsid w:val="0008726B"/>
    <w:rsid w:val="00092A37"/>
    <w:rsid w:val="00096C19"/>
    <w:rsid w:val="000A5622"/>
    <w:rsid w:val="000B111C"/>
    <w:rsid w:val="000C1227"/>
    <w:rsid w:val="000C71F5"/>
    <w:rsid w:val="000D7E4B"/>
    <w:rsid w:val="000E5B30"/>
    <w:rsid w:val="000F32D0"/>
    <w:rsid w:val="000F7471"/>
    <w:rsid w:val="00101302"/>
    <w:rsid w:val="00104BBC"/>
    <w:rsid w:val="00105E23"/>
    <w:rsid w:val="00106ECE"/>
    <w:rsid w:val="001111D6"/>
    <w:rsid w:val="001123E1"/>
    <w:rsid w:val="00115489"/>
    <w:rsid w:val="00115AEB"/>
    <w:rsid w:val="001249E2"/>
    <w:rsid w:val="00124E94"/>
    <w:rsid w:val="0013118C"/>
    <w:rsid w:val="00131E3D"/>
    <w:rsid w:val="00133F6A"/>
    <w:rsid w:val="00134F5C"/>
    <w:rsid w:val="001378CA"/>
    <w:rsid w:val="00140AAC"/>
    <w:rsid w:val="00143651"/>
    <w:rsid w:val="00147145"/>
    <w:rsid w:val="00150EC1"/>
    <w:rsid w:val="00150EE7"/>
    <w:rsid w:val="00150F2F"/>
    <w:rsid w:val="00153C73"/>
    <w:rsid w:val="001639FA"/>
    <w:rsid w:val="00164036"/>
    <w:rsid w:val="00165B6D"/>
    <w:rsid w:val="00173B88"/>
    <w:rsid w:val="00183219"/>
    <w:rsid w:val="00183F98"/>
    <w:rsid w:val="001855EA"/>
    <w:rsid w:val="00185F52"/>
    <w:rsid w:val="00193951"/>
    <w:rsid w:val="0019407B"/>
    <w:rsid w:val="001A02AD"/>
    <w:rsid w:val="001A132C"/>
    <w:rsid w:val="001A2A4E"/>
    <w:rsid w:val="001A44E7"/>
    <w:rsid w:val="001A6068"/>
    <w:rsid w:val="001A6553"/>
    <w:rsid w:val="001B161C"/>
    <w:rsid w:val="001B6AEC"/>
    <w:rsid w:val="001C2409"/>
    <w:rsid w:val="001D0822"/>
    <w:rsid w:val="001D6AAD"/>
    <w:rsid w:val="001E06DF"/>
    <w:rsid w:val="001E0B57"/>
    <w:rsid w:val="001E6A9F"/>
    <w:rsid w:val="001F1896"/>
    <w:rsid w:val="001F3461"/>
    <w:rsid w:val="0020107E"/>
    <w:rsid w:val="00203EA2"/>
    <w:rsid w:val="00205657"/>
    <w:rsid w:val="00205AD6"/>
    <w:rsid w:val="002121B9"/>
    <w:rsid w:val="0021261B"/>
    <w:rsid w:val="002201B7"/>
    <w:rsid w:val="00225A02"/>
    <w:rsid w:val="00225BC0"/>
    <w:rsid w:val="0023054B"/>
    <w:rsid w:val="002339EA"/>
    <w:rsid w:val="002371B4"/>
    <w:rsid w:val="00237533"/>
    <w:rsid w:val="00244839"/>
    <w:rsid w:val="00245178"/>
    <w:rsid w:val="002514A1"/>
    <w:rsid w:val="00252B7B"/>
    <w:rsid w:val="002665C5"/>
    <w:rsid w:val="0027152B"/>
    <w:rsid w:val="00272AA4"/>
    <w:rsid w:val="00287D53"/>
    <w:rsid w:val="0029029C"/>
    <w:rsid w:val="00291E66"/>
    <w:rsid w:val="0029676C"/>
    <w:rsid w:val="002969D8"/>
    <w:rsid w:val="00296A62"/>
    <w:rsid w:val="00297582"/>
    <w:rsid w:val="00297676"/>
    <w:rsid w:val="00297B4B"/>
    <w:rsid w:val="00297DA1"/>
    <w:rsid w:val="002A7FBA"/>
    <w:rsid w:val="002B4FF6"/>
    <w:rsid w:val="002D22C7"/>
    <w:rsid w:val="002E1666"/>
    <w:rsid w:val="002E2CCF"/>
    <w:rsid w:val="002E547C"/>
    <w:rsid w:val="002E7831"/>
    <w:rsid w:val="002F6704"/>
    <w:rsid w:val="00300830"/>
    <w:rsid w:val="0030109F"/>
    <w:rsid w:val="00301AB6"/>
    <w:rsid w:val="00303EF1"/>
    <w:rsid w:val="00310A90"/>
    <w:rsid w:val="00331D2C"/>
    <w:rsid w:val="003362F8"/>
    <w:rsid w:val="00340841"/>
    <w:rsid w:val="0034255E"/>
    <w:rsid w:val="003451B3"/>
    <w:rsid w:val="00345201"/>
    <w:rsid w:val="00345ACC"/>
    <w:rsid w:val="003470AA"/>
    <w:rsid w:val="00350934"/>
    <w:rsid w:val="00351589"/>
    <w:rsid w:val="003557A9"/>
    <w:rsid w:val="003558C2"/>
    <w:rsid w:val="00356454"/>
    <w:rsid w:val="0035680A"/>
    <w:rsid w:val="0036225A"/>
    <w:rsid w:val="00370C0F"/>
    <w:rsid w:val="003720D9"/>
    <w:rsid w:val="00372989"/>
    <w:rsid w:val="00374EB2"/>
    <w:rsid w:val="003751B1"/>
    <w:rsid w:val="00380044"/>
    <w:rsid w:val="0038042C"/>
    <w:rsid w:val="00386712"/>
    <w:rsid w:val="00390A08"/>
    <w:rsid w:val="00392C96"/>
    <w:rsid w:val="00393170"/>
    <w:rsid w:val="003A1838"/>
    <w:rsid w:val="003A3D1C"/>
    <w:rsid w:val="003B13D7"/>
    <w:rsid w:val="003B2535"/>
    <w:rsid w:val="003B6C8D"/>
    <w:rsid w:val="003B784D"/>
    <w:rsid w:val="003C45E1"/>
    <w:rsid w:val="003C597F"/>
    <w:rsid w:val="003D19E6"/>
    <w:rsid w:val="003E1978"/>
    <w:rsid w:val="003E2238"/>
    <w:rsid w:val="003E38E3"/>
    <w:rsid w:val="003E52D6"/>
    <w:rsid w:val="003F0791"/>
    <w:rsid w:val="003F330A"/>
    <w:rsid w:val="003F5A26"/>
    <w:rsid w:val="00402A50"/>
    <w:rsid w:val="0040657D"/>
    <w:rsid w:val="00407CA8"/>
    <w:rsid w:val="00410D2D"/>
    <w:rsid w:val="004114BA"/>
    <w:rsid w:val="00411BBC"/>
    <w:rsid w:val="00416629"/>
    <w:rsid w:val="004201E0"/>
    <w:rsid w:val="004241B9"/>
    <w:rsid w:val="004258F9"/>
    <w:rsid w:val="00425AA0"/>
    <w:rsid w:val="00432DE0"/>
    <w:rsid w:val="00433D6F"/>
    <w:rsid w:val="004363F2"/>
    <w:rsid w:val="0043743D"/>
    <w:rsid w:val="00442819"/>
    <w:rsid w:val="00442889"/>
    <w:rsid w:val="004458DE"/>
    <w:rsid w:val="004466EF"/>
    <w:rsid w:val="00447327"/>
    <w:rsid w:val="0045000E"/>
    <w:rsid w:val="0045730F"/>
    <w:rsid w:val="00461A9A"/>
    <w:rsid w:val="00461AE6"/>
    <w:rsid w:val="00462D7A"/>
    <w:rsid w:val="004639D3"/>
    <w:rsid w:val="00470861"/>
    <w:rsid w:val="0047638D"/>
    <w:rsid w:val="0047654C"/>
    <w:rsid w:val="0048247F"/>
    <w:rsid w:val="004846B0"/>
    <w:rsid w:val="004857E1"/>
    <w:rsid w:val="004863EB"/>
    <w:rsid w:val="004907D7"/>
    <w:rsid w:val="004947A0"/>
    <w:rsid w:val="0049681B"/>
    <w:rsid w:val="004968AD"/>
    <w:rsid w:val="00497F35"/>
    <w:rsid w:val="004A0DE8"/>
    <w:rsid w:val="004A182F"/>
    <w:rsid w:val="004A1ACA"/>
    <w:rsid w:val="004A1E32"/>
    <w:rsid w:val="004A54CE"/>
    <w:rsid w:val="004A6075"/>
    <w:rsid w:val="004A752B"/>
    <w:rsid w:val="004B0E7D"/>
    <w:rsid w:val="004B387A"/>
    <w:rsid w:val="004B7369"/>
    <w:rsid w:val="004B7CE3"/>
    <w:rsid w:val="004C24CF"/>
    <w:rsid w:val="004C6CC9"/>
    <w:rsid w:val="004D0AD0"/>
    <w:rsid w:val="004D441C"/>
    <w:rsid w:val="004D6696"/>
    <w:rsid w:val="004E0317"/>
    <w:rsid w:val="004E04D9"/>
    <w:rsid w:val="004E1DD4"/>
    <w:rsid w:val="004E4BE9"/>
    <w:rsid w:val="004E6CE7"/>
    <w:rsid w:val="004F0CFB"/>
    <w:rsid w:val="004F6871"/>
    <w:rsid w:val="005025A1"/>
    <w:rsid w:val="00505999"/>
    <w:rsid w:val="005166FD"/>
    <w:rsid w:val="005240E9"/>
    <w:rsid w:val="005267A2"/>
    <w:rsid w:val="00530F66"/>
    <w:rsid w:val="00533F38"/>
    <w:rsid w:val="005351ED"/>
    <w:rsid w:val="005369FF"/>
    <w:rsid w:val="00540003"/>
    <w:rsid w:val="00551DD8"/>
    <w:rsid w:val="005557C1"/>
    <w:rsid w:val="00555C13"/>
    <w:rsid w:val="00561028"/>
    <w:rsid w:val="00564C26"/>
    <w:rsid w:val="00566A3D"/>
    <w:rsid w:val="005678BB"/>
    <w:rsid w:val="00572C53"/>
    <w:rsid w:val="00580F29"/>
    <w:rsid w:val="005820DB"/>
    <w:rsid w:val="005825AC"/>
    <w:rsid w:val="0058260A"/>
    <w:rsid w:val="00583A06"/>
    <w:rsid w:val="0058455D"/>
    <w:rsid w:val="00584623"/>
    <w:rsid w:val="00591638"/>
    <w:rsid w:val="00594523"/>
    <w:rsid w:val="005A5B29"/>
    <w:rsid w:val="005A6D47"/>
    <w:rsid w:val="005B033F"/>
    <w:rsid w:val="005B59BC"/>
    <w:rsid w:val="005B68AE"/>
    <w:rsid w:val="005C48F2"/>
    <w:rsid w:val="005C616A"/>
    <w:rsid w:val="005D0D9F"/>
    <w:rsid w:val="005E1C29"/>
    <w:rsid w:val="005E3A56"/>
    <w:rsid w:val="005F2B44"/>
    <w:rsid w:val="005F4F38"/>
    <w:rsid w:val="00606E99"/>
    <w:rsid w:val="00610563"/>
    <w:rsid w:val="006107EF"/>
    <w:rsid w:val="0062308A"/>
    <w:rsid w:val="00630927"/>
    <w:rsid w:val="00630A1A"/>
    <w:rsid w:val="00632295"/>
    <w:rsid w:val="00632461"/>
    <w:rsid w:val="00635F6B"/>
    <w:rsid w:val="00640803"/>
    <w:rsid w:val="00640F2D"/>
    <w:rsid w:val="00641AC2"/>
    <w:rsid w:val="00646911"/>
    <w:rsid w:val="006469DF"/>
    <w:rsid w:val="00646AB1"/>
    <w:rsid w:val="006501CA"/>
    <w:rsid w:val="00651EE8"/>
    <w:rsid w:val="0065374E"/>
    <w:rsid w:val="0065535B"/>
    <w:rsid w:val="00662F45"/>
    <w:rsid w:val="006657D7"/>
    <w:rsid w:val="00665D22"/>
    <w:rsid w:val="00666274"/>
    <w:rsid w:val="00672126"/>
    <w:rsid w:val="0067432D"/>
    <w:rsid w:val="00675B7E"/>
    <w:rsid w:val="00677DF6"/>
    <w:rsid w:val="00680240"/>
    <w:rsid w:val="006821D2"/>
    <w:rsid w:val="006838BC"/>
    <w:rsid w:val="0068435B"/>
    <w:rsid w:val="00685328"/>
    <w:rsid w:val="0069060A"/>
    <w:rsid w:val="006907DA"/>
    <w:rsid w:val="00691F5B"/>
    <w:rsid w:val="00695C2D"/>
    <w:rsid w:val="00696DEB"/>
    <w:rsid w:val="00697C79"/>
    <w:rsid w:val="006A3910"/>
    <w:rsid w:val="006A473A"/>
    <w:rsid w:val="006A4E3B"/>
    <w:rsid w:val="006A6F8D"/>
    <w:rsid w:val="006A7E69"/>
    <w:rsid w:val="006B2F4A"/>
    <w:rsid w:val="006B4B65"/>
    <w:rsid w:val="006B4E4A"/>
    <w:rsid w:val="006B50AD"/>
    <w:rsid w:val="006B5887"/>
    <w:rsid w:val="006B7508"/>
    <w:rsid w:val="006C6270"/>
    <w:rsid w:val="006C6809"/>
    <w:rsid w:val="006D1081"/>
    <w:rsid w:val="006D2995"/>
    <w:rsid w:val="006D2CCB"/>
    <w:rsid w:val="006D341B"/>
    <w:rsid w:val="006D3D27"/>
    <w:rsid w:val="006D4188"/>
    <w:rsid w:val="006D4BD1"/>
    <w:rsid w:val="006D666D"/>
    <w:rsid w:val="006E00EE"/>
    <w:rsid w:val="006E0CBC"/>
    <w:rsid w:val="006E1EC2"/>
    <w:rsid w:val="006E3D7B"/>
    <w:rsid w:val="006E4525"/>
    <w:rsid w:val="006E5039"/>
    <w:rsid w:val="006E706A"/>
    <w:rsid w:val="006F4F4B"/>
    <w:rsid w:val="00702438"/>
    <w:rsid w:val="00703375"/>
    <w:rsid w:val="00707E7B"/>
    <w:rsid w:val="00713092"/>
    <w:rsid w:val="00716634"/>
    <w:rsid w:val="00722C09"/>
    <w:rsid w:val="007248A2"/>
    <w:rsid w:val="00731FEA"/>
    <w:rsid w:val="00732FBC"/>
    <w:rsid w:val="007347F0"/>
    <w:rsid w:val="007351D5"/>
    <w:rsid w:val="00740542"/>
    <w:rsid w:val="007415A2"/>
    <w:rsid w:val="00752144"/>
    <w:rsid w:val="00757FD8"/>
    <w:rsid w:val="00760894"/>
    <w:rsid w:val="00761821"/>
    <w:rsid w:val="00762438"/>
    <w:rsid w:val="00763715"/>
    <w:rsid w:val="00764327"/>
    <w:rsid w:val="00764E9F"/>
    <w:rsid w:val="007653D8"/>
    <w:rsid w:val="00770D2E"/>
    <w:rsid w:val="00771E61"/>
    <w:rsid w:val="007852F8"/>
    <w:rsid w:val="00786552"/>
    <w:rsid w:val="00790B45"/>
    <w:rsid w:val="007922E7"/>
    <w:rsid w:val="00792E41"/>
    <w:rsid w:val="00792E4C"/>
    <w:rsid w:val="00797213"/>
    <w:rsid w:val="007A0445"/>
    <w:rsid w:val="007A13D0"/>
    <w:rsid w:val="007A570B"/>
    <w:rsid w:val="007B151D"/>
    <w:rsid w:val="007B2E6E"/>
    <w:rsid w:val="007C13AC"/>
    <w:rsid w:val="007C2E58"/>
    <w:rsid w:val="007C3522"/>
    <w:rsid w:val="007C454E"/>
    <w:rsid w:val="007C7ED1"/>
    <w:rsid w:val="007D219A"/>
    <w:rsid w:val="007D34AD"/>
    <w:rsid w:val="007D4639"/>
    <w:rsid w:val="007E0634"/>
    <w:rsid w:val="007E5241"/>
    <w:rsid w:val="007F2D3B"/>
    <w:rsid w:val="007F694F"/>
    <w:rsid w:val="007F7612"/>
    <w:rsid w:val="007F79FC"/>
    <w:rsid w:val="00801A1F"/>
    <w:rsid w:val="0080238B"/>
    <w:rsid w:val="00802A41"/>
    <w:rsid w:val="00803339"/>
    <w:rsid w:val="008036BA"/>
    <w:rsid w:val="0080549C"/>
    <w:rsid w:val="00806A50"/>
    <w:rsid w:val="00811357"/>
    <w:rsid w:val="008115CF"/>
    <w:rsid w:val="008131B0"/>
    <w:rsid w:val="00813D42"/>
    <w:rsid w:val="00816A83"/>
    <w:rsid w:val="008332F5"/>
    <w:rsid w:val="00833405"/>
    <w:rsid w:val="00836C24"/>
    <w:rsid w:val="00841260"/>
    <w:rsid w:val="00845529"/>
    <w:rsid w:val="00845F20"/>
    <w:rsid w:val="0084633E"/>
    <w:rsid w:val="00846C16"/>
    <w:rsid w:val="0085071D"/>
    <w:rsid w:val="00851905"/>
    <w:rsid w:val="0085597F"/>
    <w:rsid w:val="008601B0"/>
    <w:rsid w:val="00861C08"/>
    <w:rsid w:val="00865172"/>
    <w:rsid w:val="0087040B"/>
    <w:rsid w:val="008739C8"/>
    <w:rsid w:val="00875747"/>
    <w:rsid w:val="00881869"/>
    <w:rsid w:val="008917AD"/>
    <w:rsid w:val="008946E7"/>
    <w:rsid w:val="008946EA"/>
    <w:rsid w:val="008960B0"/>
    <w:rsid w:val="008A58D2"/>
    <w:rsid w:val="008A60AE"/>
    <w:rsid w:val="008B0E06"/>
    <w:rsid w:val="008B4E25"/>
    <w:rsid w:val="008C329A"/>
    <w:rsid w:val="008C4218"/>
    <w:rsid w:val="008C5E97"/>
    <w:rsid w:val="008D1E6C"/>
    <w:rsid w:val="008D329C"/>
    <w:rsid w:val="008D7ACA"/>
    <w:rsid w:val="008D7B48"/>
    <w:rsid w:val="008E1024"/>
    <w:rsid w:val="008F0563"/>
    <w:rsid w:val="008F12DC"/>
    <w:rsid w:val="008F6B3D"/>
    <w:rsid w:val="008F6ECF"/>
    <w:rsid w:val="008F749A"/>
    <w:rsid w:val="008F7E81"/>
    <w:rsid w:val="00900AFF"/>
    <w:rsid w:val="00905630"/>
    <w:rsid w:val="00906793"/>
    <w:rsid w:val="00911920"/>
    <w:rsid w:val="00914500"/>
    <w:rsid w:val="00915D2C"/>
    <w:rsid w:val="009200C0"/>
    <w:rsid w:val="0092294D"/>
    <w:rsid w:val="00923481"/>
    <w:rsid w:val="00930B7A"/>
    <w:rsid w:val="00930BF3"/>
    <w:rsid w:val="009350E4"/>
    <w:rsid w:val="0094131A"/>
    <w:rsid w:val="00944659"/>
    <w:rsid w:val="00945CC2"/>
    <w:rsid w:val="00951121"/>
    <w:rsid w:val="009522ED"/>
    <w:rsid w:val="00952FE6"/>
    <w:rsid w:val="009538DA"/>
    <w:rsid w:val="00960486"/>
    <w:rsid w:val="0096081E"/>
    <w:rsid w:val="00962138"/>
    <w:rsid w:val="009727E5"/>
    <w:rsid w:val="009740A1"/>
    <w:rsid w:val="0097679C"/>
    <w:rsid w:val="00980E85"/>
    <w:rsid w:val="00984936"/>
    <w:rsid w:val="009860B1"/>
    <w:rsid w:val="00987573"/>
    <w:rsid w:val="00987D1B"/>
    <w:rsid w:val="00991FC7"/>
    <w:rsid w:val="00994889"/>
    <w:rsid w:val="00995BAE"/>
    <w:rsid w:val="009A0136"/>
    <w:rsid w:val="009A06A7"/>
    <w:rsid w:val="009A0EF7"/>
    <w:rsid w:val="009A0EFC"/>
    <w:rsid w:val="009A15FC"/>
    <w:rsid w:val="009A270D"/>
    <w:rsid w:val="009A2C93"/>
    <w:rsid w:val="009A4F53"/>
    <w:rsid w:val="009A5930"/>
    <w:rsid w:val="009A65BA"/>
    <w:rsid w:val="009A7126"/>
    <w:rsid w:val="009B0A87"/>
    <w:rsid w:val="009B1229"/>
    <w:rsid w:val="009B25F5"/>
    <w:rsid w:val="009B4E57"/>
    <w:rsid w:val="009B5C4F"/>
    <w:rsid w:val="009B60E1"/>
    <w:rsid w:val="009B6390"/>
    <w:rsid w:val="009B64BE"/>
    <w:rsid w:val="009B6DBE"/>
    <w:rsid w:val="009C107F"/>
    <w:rsid w:val="009C1104"/>
    <w:rsid w:val="009C22A0"/>
    <w:rsid w:val="009D4AF8"/>
    <w:rsid w:val="009D56D9"/>
    <w:rsid w:val="009D622E"/>
    <w:rsid w:val="009D79CD"/>
    <w:rsid w:val="009E1ED9"/>
    <w:rsid w:val="009E2620"/>
    <w:rsid w:val="009E52B6"/>
    <w:rsid w:val="009E5660"/>
    <w:rsid w:val="009F4817"/>
    <w:rsid w:val="009F713A"/>
    <w:rsid w:val="00A001B1"/>
    <w:rsid w:val="00A00662"/>
    <w:rsid w:val="00A03AF2"/>
    <w:rsid w:val="00A0512B"/>
    <w:rsid w:val="00A052F6"/>
    <w:rsid w:val="00A06D59"/>
    <w:rsid w:val="00A13A94"/>
    <w:rsid w:val="00A203DB"/>
    <w:rsid w:val="00A225AF"/>
    <w:rsid w:val="00A2381C"/>
    <w:rsid w:val="00A23F96"/>
    <w:rsid w:val="00A278C8"/>
    <w:rsid w:val="00A313E6"/>
    <w:rsid w:val="00A322BB"/>
    <w:rsid w:val="00A32B11"/>
    <w:rsid w:val="00A41608"/>
    <w:rsid w:val="00A44379"/>
    <w:rsid w:val="00A53296"/>
    <w:rsid w:val="00A533FF"/>
    <w:rsid w:val="00A54C80"/>
    <w:rsid w:val="00A54CFC"/>
    <w:rsid w:val="00A56998"/>
    <w:rsid w:val="00A57261"/>
    <w:rsid w:val="00A6040B"/>
    <w:rsid w:val="00A627C3"/>
    <w:rsid w:val="00A64FAA"/>
    <w:rsid w:val="00A66C36"/>
    <w:rsid w:val="00A67C26"/>
    <w:rsid w:val="00A70B1C"/>
    <w:rsid w:val="00A7257A"/>
    <w:rsid w:val="00A7328E"/>
    <w:rsid w:val="00A75C6B"/>
    <w:rsid w:val="00A7698C"/>
    <w:rsid w:val="00A80094"/>
    <w:rsid w:val="00A87AEA"/>
    <w:rsid w:val="00A9188E"/>
    <w:rsid w:val="00A9198C"/>
    <w:rsid w:val="00A92C02"/>
    <w:rsid w:val="00A93AD6"/>
    <w:rsid w:val="00A94A67"/>
    <w:rsid w:val="00A959BB"/>
    <w:rsid w:val="00A95C29"/>
    <w:rsid w:val="00A97B76"/>
    <w:rsid w:val="00AA7B43"/>
    <w:rsid w:val="00AB1BD7"/>
    <w:rsid w:val="00AC0387"/>
    <w:rsid w:val="00AC1F59"/>
    <w:rsid w:val="00AC3D8C"/>
    <w:rsid w:val="00AC637F"/>
    <w:rsid w:val="00AD52B8"/>
    <w:rsid w:val="00AE117F"/>
    <w:rsid w:val="00AE330D"/>
    <w:rsid w:val="00AE7F4C"/>
    <w:rsid w:val="00AF29E6"/>
    <w:rsid w:val="00AF57B3"/>
    <w:rsid w:val="00B0744F"/>
    <w:rsid w:val="00B10CC1"/>
    <w:rsid w:val="00B11180"/>
    <w:rsid w:val="00B20E20"/>
    <w:rsid w:val="00B23E77"/>
    <w:rsid w:val="00B23EF3"/>
    <w:rsid w:val="00B26C04"/>
    <w:rsid w:val="00B33B6D"/>
    <w:rsid w:val="00B347E2"/>
    <w:rsid w:val="00B36433"/>
    <w:rsid w:val="00B40660"/>
    <w:rsid w:val="00B42FDE"/>
    <w:rsid w:val="00B43090"/>
    <w:rsid w:val="00B4731B"/>
    <w:rsid w:val="00B51A14"/>
    <w:rsid w:val="00B57804"/>
    <w:rsid w:val="00B57F3B"/>
    <w:rsid w:val="00B61DF2"/>
    <w:rsid w:val="00B660B9"/>
    <w:rsid w:val="00B673CF"/>
    <w:rsid w:val="00B74276"/>
    <w:rsid w:val="00B7606A"/>
    <w:rsid w:val="00B8554B"/>
    <w:rsid w:val="00B86B40"/>
    <w:rsid w:val="00B94E9E"/>
    <w:rsid w:val="00B96A41"/>
    <w:rsid w:val="00B97AD4"/>
    <w:rsid w:val="00BA1ECC"/>
    <w:rsid w:val="00BA37BF"/>
    <w:rsid w:val="00BA3F77"/>
    <w:rsid w:val="00BA7FA4"/>
    <w:rsid w:val="00BB145B"/>
    <w:rsid w:val="00BB18D0"/>
    <w:rsid w:val="00BB51D5"/>
    <w:rsid w:val="00BB7084"/>
    <w:rsid w:val="00BB7FC7"/>
    <w:rsid w:val="00BC1F1C"/>
    <w:rsid w:val="00BD1AA4"/>
    <w:rsid w:val="00BD305F"/>
    <w:rsid w:val="00BD3899"/>
    <w:rsid w:val="00BD7F74"/>
    <w:rsid w:val="00BE162D"/>
    <w:rsid w:val="00BE2A2D"/>
    <w:rsid w:val="00BE3307"/>
    <w:rsid w:val="00BE52A6"/>
    <w:rsid w:val="00BF08F7"/>
    <w:rsid w:val="00BF1BA6"/>
    <w:rsid w:val="00C07928"/>
    <w:rsid w:val="00C109D3"/>
    <w:rsid w:val="00C11053"/>
    <w:rsid w:val="00C1691A"/>
    <w:rsid w:val="00C1717A"/>
    <w:rsid w:val="00C1781F"/>
    <w:rsid w:val="00C23346"/>
    <w:rsid w:val="00C27859"/>
    <w:rsid w:val="00C31730"/>
    <w:rsid w:val="00C51579"/>
    <w:rsid w:val="00C56CDE"/>
    <w:rsid w:val="00C61DB7"/>
    <w:rsid w:val="00C6752C"/>
    <w:rsid w:val="00C678D4"/>
    <w:rsid w:val="00C73020"/>
    <w:rsid w:val="00C761F8"/>
    <w:rsid w:val="00C764B2"/>
    <w:rsid w:val="00C83077"/>
    <w:rsid w:val="00C8315E"/>
    <w:rsid w:val="00C865CE"/>
    <w:rsid w:val="00C9095C"/>
    <w:rsid w:val="00C92BEA"/>
    <w:rsid w:val="00C954AC"/>
    <w:rsid w:val="00CA34D7"/>
    <w:rsid w:val="00CA4AD9"/>
    <w:rsid w:val="00CA7F3D"/>
    <w:rsid w:val="00CB02E0"/>
    <w:rsid w:val="00CB187D"/>
    <w:rsid w:val="00CB7C9E"/>
    <w:rsid w:val="00CC30F0"/>
    <w:rsid w:val="00CC32F3"/>
    <w:rsid w:val="00CD1784"/>
    <w:rsid w:val="00CD1AAF"/>
    <w:rsid w:val="00CD40A2"/>
    <w:rsid w:val="00CD6333"/>
    <w:rsid w:val="00CD67A5"/>
    <w:rsid w:val="00CE0FC3"/>
    <w:rsid w:val="00CE13F7"/>
    <w:rsid w:val="00CE24F8"/>
    <w:rsid w:val="00CE468C"/>
    <w:rsid w:val="00CF220E"/>
    <w:rsid w:val="00CF28BD"/>
    <w:rsid w:val="00D02530"/>
    <w:rsid w:val="00D02CC6"/>
    <w:rsid w:val="00D105CA"/>
    <w:rsid w:val="00D10D67"/>
    <w:rsid w:val="00D116BA"/>
    <w:rsid w:val="00D12FC1"/>
    <w:rsid w:val="00D132F2"/>
    <w:rsid w:val="00D20568"/>
    <w:rsid w:val="00D229A8"/>
    <w:rsid w:val="00D230FD"/>
    <w:rsid w:val="00D23541"/>
    <w:rsid w:val="00D23DEF"/>
    <w:rsid w:val="00D241F5"/>
    <w:rsid w:val="00D25A5D"/>
    <w:rsid w:val="00D271E6"/>
    <w:rsid w:val="00D32ECD"/>
    <w:rsid w:val="00D37168"/>
    <w:rsid w:val="00D41B94"/>
    <w:rsid w:val="00D44EB1"/>
    <w:rsid w:val="00D50662"/>
    <w:rsid w:val="00D518E7"/>
    <w:rsid w:val="00D6193C"/>
    <w:rsid w:val="00D627A8"/>
    <w:rsid w:val="00D64D6E"/>
    <w:rsid w:val="00D6540B"/>
    <w:rsid w:val="00D74DFB"/>
    <w:rsid w:val="00D76C8D"/>
    <w:rsid w:val="00D76D56"/>
    <w:rsid w:val="00D81314"/>
    <w:rsid w:val="00D81D1A"/>
    <w:rsid w:val="00D8248F"/>
    <w:rsid w:val="00D82520"/>
    <w:rsid w:val="00D83ACB"/>
    <w:rsid w:val="00D83DCB"/>
    <w:rsid w:val="00D83F43"/>
    <w:rsid w:val="00D86B58"/>
    <w:rsid w:val="00D9141D"/>
    <w:rsid w:val="00D927B8"/>
    <w:rsid w:val="00D933BC"/>
    <w:rsid w:val="00D9394D"/>
    <w:rsid w:val="00DA60DF"/>
    <w:rsid w:val="00DB10A5"/>
    <w:rsid w:val="00DB3901"/>
    <w:rsid w:val="00DB7060"/>
    <w:rsid w:val="00DB7F7B"/>
    <w:rsid w:val="00DC0A53"/>
    <w:rsid w:val="00DC1D67"/>
    <w:rsid w:val="00DC47C0"/>
    <w:rsid w:val="00DD3430"/>
    <w:rsid w:val="00DD3D3C"/>
    <w:rsid w:val="00DD3F10"/>
    <w:rsid w:val="00DD708A"/>
    <w:rsid w:val="00DE0E3A"/>
    <w:rsid w:val="00DE102A"/>
    <w:rsid w:val="00DE26FF"/>
    <w:rsid w:val="00DE3C40"/>
    <w:rsid w:val="00DF539A"/>
    <w:rsid w:val="00DF7671"/>
    <w:rsid w:val="00E0234F"/>
    <w:rsid w:val="00E03981"/>
    <w:rsid w:val="00E04D7E"/>
    <w:rsid w:val="00E07049"/>
    <w:rsid w:val="00E11A1F"/>
    <w:rsid w:val="00E1323D"/>
    <w:rsid w:val="00E16359"/>
    <w:rsid w:val="00E166FE"/>
    <w:rsid w:val="00E34D4A"/>
    <w:rsid w:val="00E355BB"/>
    <w:rsid w:val="00E36E61"/>
    <w:rsid w:val="00E36FF7"/>
    <w:rsid w:val="00E426BD"/>
    <w:rsid w:val="00E4339E"/>
    <w:rsid w:val="00E462D4"/>
    <w:rsid w:val="00E473C4"/>
    <w:rsid w:val="00E5420C"/>
    <w:rsid w:val="00E56485"/>
    <w:rsid w:val="00E60914"/>
    <w:rsid w:val="00E62476"/>
    <w:rsid w:val="00E65439"/>
    <w:rsid w:val="00E6626F"/>
    <w:rsid w:val="00E66736"/>
    <w:rsid w:val="00E81591"/>
    <w:rsid w:val="00E83591"/>
    <w:rsid w:val="00E95A46"/>
    <w:rsid w:val="00EA184C"/>
    <w:rsid w:val="00EA1FEE"/>
    <w:rsid w:val="00EA3D4F"/>
    <w:rsid w:val="00EA4B09"/>
    <w:rsid w:val="00EA5F51"/>
    <w:rsid w:val="00EA6F68"/>
    <w:rsid w:val="00EB026B"/>
    <w:rsid w:val="00EB21BE"/>
    <w:rsid w:val="00EB21E0"/>
    <w:rsid w:val="00EB25CD"/>
    <w:rsid w:val="00EB2B83"/>
    <w:rsid w:val="00EB5095"/>
    <w:rsid w:val="00EB5FDA"/>
    <w:rsid w:val="00EB6194"/>
    <w:rsid w:val="00EB6D9B"/>
    <w:rsid w:val="00EC12F2"/>
    <w:rsid w:val="00EC2147"/>
    <w:rsid w:val="00EC4023"/>
    <w:rsid w:val="00EC4242"/>
    <w:rsid w:val="00EC6DCD"/>
    <w:rsid w:val="00ED72F9"/>
    <w:rsid w:val="00EE69F8"/>
    <w:rsid w:val="00EF2B11"/>
    <w:rsid w:val="00EF581A"/>
    <w:rsid w:val="00EF6B01"/>
    <w:rsid w:val="00EF6E77"/>
    <w:rsid w:val="00EF7332"/>
    <w:rsid w:val="00F00CB3"/>
    <w:rsid w:val="00F0456A"/>
    <w:rsid w:val="00F078EB"/>
    <w:rsid w:val="00F13190"/>
    <w:rsid w:val="00F20B5F"/>
    <w:rsid w:val="00F23E5D"/>
    <w:rsid w:val="00F248BD"/>
    <w:rsid w:val="00F320C2"/>
    <w:rsid w:val="00F34739"/>
    <w:rsid w:val="00F408BF"/>
    <w:rsid w:val="00F43049"/>
    <w:rsid w:val="00F4325E"/>
    <w:rsid w:val="00F45D90"/>
    <w:rsid w:val="00F47A01"/>
    <w:rsid w:val="00F5417A"/>
    <w:rsid w:val="00F56E9F"/>
    <w:rsid w:val="00F61D1E"/>
    <w:rsid w:val="00F63852"/>
    <w:rsid w:val="00F63A38"/>
    <w:rsid w:val="00F63C5E"/>
    <w:rsid w:val="00F64542"/>
    <w:rsid w:val="00F65321"/>
    <w:rsid w:val="00F65643"/>
    <w:rsid w:val="00F70ABE"/>
    <w:rsid w:val="00F7226A"/>
    <w:rsid w:val="00F73289"/>
    <w:rsid w:val="00F748D4"/>
    <w:rsid w:val="00F77A3D"/>
    <w:rsid w:val="00F83DB3"/>
    <w:rsid w:val="00F85C21"/>
    <w:rsid w:val="00F87366"/>
    <w:rsid w:val="00F877C8"/>
    <w:rsid w:val="00F94DE8"/>
    <w:rsid w:val="00F97891"/>
    <w:rsid w:val="00FA159A"/>
    <w:rsid w:val="00FA1BA2"/>
    <w:rsid w:val="00FA37F8"/>
    <w:rsid w:val="00FA50C7"/>
    <w:rsid w:val="00FA5A33"/>
    <w:rsid w:val="00FB5B33"/>
    <w:rsid w:val="00FC7F1B"/>
    <w:rsid w:val="00FD4119"/>
    <w:rsid w:val="00FD5821"/>
    <w:rsid w:val="00FD5DB7"/>
    <w:rsid w:val="00FD5E12"/>
    <w:rsid w:val="00FE0228"/>
    <w:rsid w:val="00FE24DE"/>
    <w:rsid w:val="00FE3243"/>
    <w:rsid w:val="00FF10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32D62"/>
  <w15:docId w15:val="{C7315154-DFDC-4AC2-A228-5A6430009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1589"/>
    <w:pPr>
      <w:spacing w:after="120"/>
    </w:pPr>
    <w:rPr>
      <w:rFonts w:ascii="Arial" w:hAnsi="Arial"/>
    </w:rPr>
  </w:style>
  <w:style w:type="paragraph" w:styleId="Heading1">
    <w:name w:val="heading 1"/>
    <w:basedOn w:val="Normal"/>
    <w:next w:val="Normal"/>
    <w:link w:val="Heading1Char"/>
    <w:uiPriority w:val="9"/>
    <w:rsid w:val="004846B0"/>
    <w:pPr>
      <w:keepNext/>
      <w:keepLines/>
      <w:spacing w:before="360" w:after="240" w:line="240" w:lineRule="auto"/>
      <w:outlineLvl w:val="0"/>
    </w:pPr>
    <w:rPr>
      <w:rFonts w:eastAsiaTheme="majorEastAsia" w:cstheme="majorBidi"/>
      <w:b/>
      <w:color w:val="121212" w:themeColor="text1"/>
      <w:sz w:val="36"/>
      <w:szCs w:val="32"/>
    </w:rPr>
  </w:style>
  <w:style w:type="paragraph" w:styleId="Heading2">
    <w:name w:val="heading 2"/>
    <w:basedOn w:val="Normal"/>
    <w:next w:val="Normal"/>
    <w:link w:val="Heading2Char"/>
    <w:uiPriority w:val="9"/>
    <w:unhideWhenUsed/>
    <w:rsid w:val="006A473A"/>
    <w:pPr>
      <w:keepNext/>
      <w:keepLines/>
      <w:spacing w:before="360" w:line="240" w:lineRule="auto"/>
      <w:outlineLvl w:val="1"/>
    </w:pPr>
    <w:rPr>
      <w:rFonts w:eastAsiaTheme="majorEastAsia" w:cstheme="majorBidi"/>
      <w:b/>
      <w:i/>
      <w:sz w:val="28"/>
      <w:szCs w:val="26"/>
    </w:rPr>
  </w:style>
  <w:style w:type="paragraph" w:styleId="Heading3">
    <w:name w:val="heading 3"/>
    <w:basedOn w:val="Normal"/>
    <w:next w:val="Normal"/>
    <w:link w:val="Heading3Char"/>
    <w:uiPriority w:val="9"/>
    <w:unhideWhenUsed/>
    <w:rsid w:val="00EC4242"/>
    <w:pPr>
      <w:keepNext/>
      <w:keepLines/>
      <w:spacing w:before="280" w:after="200" w:line="240" w:lineRule="auto"/>
      <w:outlineLvl w:val="2"/>
    </w:pPr>
    <w:rPr>
      <w:rFonts w:eastAsiaTheme="majorEastAsia" w:cstheme="majorBidi"/>
      <w:b/>
      <w:sz w:val="24"/>
      <w:szCs w:val="24"/>
    </w:rPr>
  </w:style>
  <w:style w:type="paragraph" w:styleId="Heading4">
    <w:name w:val="heading 4"/>
    <w:basedOn w:val="Normal"/>
    <w:next w:val="Normal"/>
    <w:link w:val="Heading4Char"/>
    <w:uiPriority w:val="9"/>
    <w:unhideWhenUsed/>
    <w:rsid w:val="00980E85"/>
    <w:pPr>
      <w:keepNext/>
      <w:keepLines/>
      <w:spacing w:before="40" w:after="0"/>
      <w:outlineLvl w:val="3"/>
    </w:pPr>
    <w:rPr>
      <w:rFonts w:asciiTheme="majorHAnsi" w:eastAsiaTheme="majorEastAsia" w:hAnsiTheme="majorHAnsi" w:cstheme="majorBidi"/>
      <w:i/>
      <w:iCs/>
      <w:color w:val="201B4D" w:themeColor="accent1" w:themeShade="BF"/>
    </w:rPr>
  </w:style>
  <w:style w:type="paragraph" w:styleId="Heading5">
    <w:name w:val="heading 5"/>
    <w:basedOn w:val="Normal"/>
    <w:next w:val="Normal"/>
    <w:link w:val="Heading5Char"/>
    <w:uiPriority w:val="9"/>
    <w:unhideWhenUsed/>
    <w:rsid w:val="00461A9A"/>
    <w:pPr>
      <w:keepNext/>
      <w:keepLines/>
      <w:spacing w:before="40" w:after="0"/>
      <w:outlineLvl w:val="4"/>
    </w:pPr>
    <w:rPr>
      <w:rFonts w:asciiTheme="majorHAnsi" w:eastAsiaTheme="majorEastAsia" w:hAnsiTheme="majorHAnsi" w:cstheme="majorBidi"/>
      <w:color w:val="201B4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473A"/>
    <w:rPr>
      <w:rFonts w:ascii="Arial" w:eastAsiaTheme="majorEastAsia" w:hAnsi="Arial" w:cstheme="majorBidi"/>
      <w:b/>
      <w:i/>
      <w:sz w:val="28"/>
      <w:szCs w:val="26"/>
    </w:rPr>
  </w:style>
  <w:style w:type="character" w:customStyle="1" w:styleId="Heading1Char">
    <w:name w:val="Heading 1 Char"/>
    <w:basedOn w:val="DefaultParagraphFont"/>
    <w:link w:val="Heading1"/>
    <w:uiPriority w:val="9"/>
    <w:rsid w:val="004846B0"/>
    <w:rPr>
      <w:rFonts w:ascii="Arial" w:eastAsiaTheme="majorEastAsia" w:hAnsi="Arial" w:cstheme="majorBidi"/>
      <w:b/>
      <w:color w:val="121212" w:themeColor="text1"/>
      <w:sz w:val="36"/>
      <w:szCs w:val="32"/>
    </w:rPr>
  </w:style>
  <w:style w:type="paragraph" w:styleId="TOCHeading">
    <w:name w:val="TOC Heading"/>
    <w:basedOn w:val="Heading1"/>
    <w:next w:val="Normal"/>
    <w:uiPriority w:val="39"/>
    <w:unhideWhenUsed/>
    <w:rsid w:val="00BB7FC7"/>
    <w:pPr>
      <w:spacing w:line="259" w:lineRule="auto"/>
      <w:outlineLvl w:val="9"/>
    </w:pPr>
    <w:rPr>
      <w:lang w:val="en-US"/>
    </w:rPr>
  </w:style>
  <w:style w:type="paragraph" w:styleId="TOC2">
    <w:name w:val="toc 2"/>
    <w:basedOn w:val="Normal"/>
    <w:next w:val="Normal"/>
    <w:autoRedefine/>
    <w:uiPriority w:val="39"/>
    <w:unhideWhenUsed/>
    <w:rsid w:val="001D0822"/>
    <w:pPr>
      <w:tabs>
        <w:tab w:val="left" w:pos="880"/>
        <w:tab w:val="right" w:leader="dot" w:pos="9016"/>
      </w:tabs>
      <w:spacing w:after="60"/>
      <w:ind w:left="425"/>
    </w:pPr>
  </w:style>
  <w:style w:type="character" w:styleId="Hyperlink">
    <w:name w:val="Hyperlink"/>
    <w:basedOn w:val="DefaultParagraphFont"/>
    <w:uiPriority w:val="99"/>
    <w:unhideWhenUsed/>
    <w:rsid w:val="00EF6B01"/>
    <w:rPr>
      <w:color w:val="2C2568"/>
      <w:u w:val="single"/>
    </w:rPr>
  </w:style>
  <w:style w:type="table" w:styleId="TableGrid">
    <w:name w:val="Table Grid"/>
    <w:basedOn w:val="TableNormal"/>
    <w:uiPriority w:val="59"/>
    <w:rsid w:val="00BB7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BB7FC7"/>
    <w:pPr>
      <w:ind w:left="720"/>
      <w:contextualSpacing/>
    </w:pPr>
  </w:style>
  <w:style w:type="paragraph" w:styleId="Caption">
    <w:name w:val="caption"/>
    <w:basedOn w:val="Normal"/>
    <w:next w:val="Normal"/>
    <w:uiPriority w:val="35"/>
    <w:unhideWhenUsed/>
    <w:rsid w:val="004D0AD0"/>
    <w:pPr>
      <w:spacing w:line="240" w:lineRule="auto"/>
    </w:pPr>
    <w:rPr>
      <w:i/>
      <w:iCs/>
      <w:color w:val="2C2568" w:themeColor="text2"/>
      <w:sz w:val="18"/>
      <w:szCs w:val="18"/>
    </w:rPr>
  </w:style>
  <w:style w:type="character" w:customStyle="1" w:styleId="Heading3Char">
    <w:name w:val="Heading 3 Char"/>
    <w:basedOn w:val="DefaultParagraphFont"/>
    <w:link w:val="Heading3"/>
    <w:uiPriority w:val="9"/>
    <w:rsid w:val="00EC4242"/>
    <w:rPr>
      <w:rFonts w:ascii="Arial" w:eastAsiaTheme="majorEastAsia" w:hAnsi="Arial" w:cstheme="majorBidi"/>
      <w:b/>
      <w:sz w:val="24"/>
      <w:szCs w:val="24"/>
    </w:rPr>
  </w:style>
  <w:style w:type="paragraph" w:styleId="Quote">
    <w:name w:val="Quote"/>
    <w:basedOn w:val="Normal"/>
    <w:next w:val="Normal"/>
    <w:link w:val="QuoteChar"/>
    <w:uiPriority w:val="29"/>
    <w:rsid w:val="007351D5"/>
    <w:pPr>
      <w:spacing w:before="240" w:after="60"/>
      <w:ind w:left="709" w:right="709"/>
    </w:pPr>
    <w:rPr>
      <w:iCs/>
      <w:color w:val="646464" w:themeColor="text1" w:themeTint="A6"/>
    </w:rPr>
  </w:style>
  <w:style w:type="character" w:customStyle="1" w:styleId="QuoteChar">
    <w:name w:val="Quote Char"/>
    <w:basedOn w:val="DefaultParagraphFont"/>
    <w:link w:val="Quote"/>
    <w:uiPriority w:val="29"/>
    <w:rsid w:val="007351D5"/>
    <w:rPr>
      <w:iCs/>
      <w:color w:val="646464" w:themeColor="text1" w:themeTint="A6"/>
    </w:rPr>
  </w:style>
  <w:style w:type="paragraph" w:styleId="TOC3">
    <w:name w:val="toc 3"/>
    <w:basedOn w:val="Normal"/>
    <w:next w:val="Normal"/>
    <w:autoRedefine/>
    <w:uiPriority w:val="39"/>
    <w:unhideWhenUsed/>
    <w:rsid w:val="004C24CF"/>
    <w:pPr>
      <w:tabs>
        <w:tab w:val="right" w:leader="dot" w:pos="9016"/>
      </w:tabs>
      <w:spacing w:after="40"/>
      <w:ind w:left="851"/>
    </w:pPr>
  </w:style>
  <w:style w:type="paragraph" w:customStyle="1" w:styleId="Body">
    <w:name w:val="Body"/>
    <w:rsid w:val="00CC32F3"/>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NZ"/>
    </w:rPr>
  </w:style>
  <w:style w:type="numbering" w:customStyle="1" w:styleId="Dash">
    <w:name w:val="Dash"/>
    <w:rsid w:val="00CC32F3"/>
    <w:pPr>
      <w:numPr>
        <w:numId w:val="6"/>
      </w:numPr>
    </w:pPr>
  </w:style>
  <w:style w:type="character" w:customStyle="1" w:styleId="Heading4Char">
    <w:name w:val="Heading 4 Char"/>
    <w:basedOn w:val="DefaultParagraphFont"/>
    <w:link w:val="Heading4"/>
    <w:uiPriority w:val="9"/>
    <w:rsid w:val="00980E85"/>
    <w:rPr>
      <w:rFonts w:asciiTheme="majorHAnsi" w:eastAsiaTheme="majorEastAsia" w:hAnsiTheme="majorHAnsi" w:cstheme="majorBidi"/>
      <w:i/>
      <w:iCs/>
      <w:color w:val="201B4D" w:themeColor="accent1" w:themeShade="BF"/>
    </w:rPr>
  </w:style>
  <w:style w:type="paragraph" w:styleId="BalloonText">
    <w:name w:val="Balloon Text"/>
    <w:basedOn w:val="Normal"/>
    <w:link w:val="BalloonTextChar"/>
    <w:uiPriority w:val="99"/>
    <w:semiHidden/>
    <w:unhideWhenUsed/>
    <w:rsid w:val="006E1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EC2"/>
    <w:rPr>
      <w:rFonts w:ascii="Segoe UI" w:hAnsi="Segoe UI" w:cs="Segoe UI"/>
      <w:sz w:val="18"/>
      <w:szCs w:val="18"/>
    </w:rPr>
  </w:style>
  <w:style w:type="character" w:styleId="CommentReference">
    <w:name w:val="annotation reference"/>
    <w:basedOn w:val="DefaultParagraphFont"/>
    <w:uiPriority w:val="99"/>
    <w:semiHidden/>
    <w:unhideWhenUsed/>
    <w:rsid w:val="00C61DB7"/>
    <w:rPr>
      <w:sz w:val="16"/>
      <w:szCs w:val="16"/>
    </w:rPr>
  </w:style>
  <w:style w:type="paragraph" w:styleId="CommentText">
    <w:name w:val="annotation text"/>
    <w:basedOn w:val="Normal"/>
    <w:link w:val="CommentTextChar"/>
    <w:uiPriority w:val="99"/>
    <w:unhideWhenUsed/>
    <w:rsid w:val="00C61DB7"/>
    <w:pPr>
      <w:spacing w:line="240" w:lineRule="auto"/>
    </w:pPr>
    <w:rPr>
      <w:sz w:val="20"/>
      <w:szCs w:val="20"/>
    </w:rPr>
  </w:style>
  <w:style w:type="character" w:customStyle="1" w:styleId="CommentTextChar">
    <w:name w:val="Comment Text Char"/>
    <w:basedOn w:val="DefaultParagraphFont"/>
    <w:link w:val="CommentText"/>
    <w:uiPriority w:val="99"/>
    <w:rsid w:val="00C61DB7"/>
    <w:rPr>
      <w:sz w:val="20"/>
      <w:szCs w:val="20"/>
    </w:rPr>
  </w:style>
  <w:style w:type="paragraph" w:styleId="CommentSubject">
    <w:name w:val="annotation subject"/>
    <w:basedOn w:val="CommentText"/>
    <w:next w:val="CommentText"/>
    <w:link w:val="CommentSubjectChar"/>
    <w:uiPriority w:val="99"/>
    <w:semiHidden/>
    <w:unhideWhenUsed/>
    <w:rsid w:val="00C61DB7"/>
    <w:rPr>
      <w:b/>
      <w:bCs/>
    </w:rPr>
  </w:style>
  <w:style w:type="character" w:customStyle="1" w:styleId="CommentSubjectChar">
    <w:name w:val="Comment Subject Char"/>
    <w:basedOn w:val="CommentTextChar"/>
    <w:link w:val="CommentSubject"/>
    <w:uiPriority w:val="99"/>
    <w:semiHidden/>
    <w:rsid w:val="00C61DB7"/>
    <w:rPr>
      <w:b/>
      <w:bCs/>
      <w:sz w:val="20"/>
      <w:szCs w:val="20"/>
    </w:rPr>
  </w:style>
  <w:style w:type="character" w:customStyle="1" w:styleId="Heading5Char">
    <w:name w:val="Heading 5 Char"/>
    <w:basedOn w:val="DefaultParagraphFont"/>
    <w:link w:val="Heading5"/>
    <w:uiPriority w:val="9"/>
    <w:rsid w:val="00461A9A"/>
    <w:rPr>
      <w:rFonts w:asciiTheme="majorHAnsi" w:eastAsiaTheme="majorEastAsia" w:hAnsiTheme="majorHAnsi" w:cstheme="majorBidi"/>
      <w:color w:val="201B4D" w:themeColor="accent1" w:themeShade="BF"/>
    </w:rPr>
  </w:style>
  <w:style w:type="paragraph" w:styleId="EndnoteText">
    <w:name w:val="endnote text"/>
    <w:basedOn w:val="Normal"/>
    <w:link w:val="EndnoteTextChar"/>
    <w:uiPriority w:val="99"/>
    <w:semiHidden/>
    <w:unhideWhenUsed/>
    <w:rsid w:val="003C45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45E1"/>
    <w:rPr>
      <w:sz w:val="20"/>
      <w:szCs w:val="20"/>
    </w:rPr>
  </w:style>
  <w:style w:type="character" w:styleId="EndnoteReference">
    <w:name w:val="endnote reference"/>
    <w:basedOn w:val="DefaultParagraphFont"/>
    <w:uiPriority w:val="99"/>
    <w:semiHidden/>
    <w:unhideWhenUsed/>
    <w:rsid w:val="003C45E1"/>
    <w:rPr>
      <w:vertAlign w:val="superscript"/>
    </w:rPr>
  </w:style>
  <w:style w:type="paragraph" w:styleId="Header">
    <w:name w:val="header"/>
    <w:basedOn w:val="Normal"/>
    <w:link w:val="HeaderChar"/>
    <w:uiPriority w:val="99"/>
    <w:unhideWhenUsed/>
    <w:rsid w:val="00792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2E7"/>
  </w:style>
  <w:style w:type="paragraph" w:styleId="Footer">
    <w:name w:val="footer"/>
    <w:basedOn w:val="Normal"/>
    <w:link w:val="FooterChar"/>
    <w:uiPriority w:val="99"/>
    <w:unhideWhenUsed/>
    <w:rsid w:val="00792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2E7"/>
  </w:style>
  <w:style w:type="paragraph" w:styleId="Revision">
    <w:name w:val="Revision"/>
    <w:hidden/>
    <w:uiPriority w:val="99"/>
    <w:semiHidden/>
    <w:rsid w:val="00356454"/>
    <w:pPr>
      <w:spacing w:after="0" w:line="240" w:lineRule="auto"/>
    </w:pPr>
  </w:style>
  <w:style w:type="paragraph" w:styleId="NormalIndent">
    <w:name w:val="Normal Indent"/>
    <w:basedOn w:val="Normal"/>
    <w:uiPriority w:val="99"/>
    <w:unhideWhenUsed/>
    <w:rsid w:val="00851905"/>
    <w:pPr>
      <w:ind w:left="720"/>
    </w:pPr>
  </w:style>
  <w:style w:type="paragraph" w:styleId="ListContinue">
    <w:name w:val="List Continue"/>
    <w:basedOn w:val="Normal"/>
    <w:uiPriority w:val="99"/>
    <w:unhideWhenUsed/>
    <w:rsid w:val="002665C5"/>
    <w:pPr>
      <w:ind w:left="283"/>
      <w:contextualSpacing/>
    </w:pPr>
  </w:style>
  <w:style w:type="paragraph" w:styleId="List">
    <w:name w:val="List"/>
    <w:basedOn w:val="Normal"/>
    <w:uiPriority w:val="99"/>
    <w:unhideWhenUsed/>
    <w:rsid w:val="00FD5821"/>
    <w:pPr>
      <w:ind w:left="283" w:hanging="283"/>
      <w:contextualSpacing/>
    </w:pPr>
  </w:style>
  <w:style w:type="paragraph" w:styleId="TOC1">
    <w:name w:val="toc 1"/>
    <w:basedOn w:val="Normal"/>
    <w:next w:val="Normal"/>
    <w:autoRedefine/>
    <w:uiPriority w:val="39"/>
    <w:unhideWhenUsed/>
    <w:rsid w:val="004C24CF"/>
    <w:pPr>
      <w:tabs>
        <w:tab w:val="left" w:pos="425"/>
      </w:tabs>
      <w:spacing w:after="100"/>
    </w:pPr>
  </w:style>
  <w:style w:type="paragraph" w:styleId="ListBullet">
    <w:name w:val="List Bullet"/>
    <w:basedOn w:val="Normal"/>
    <w:link w:val="ListBulletChar"/>
    <w:uiPriority w:val="99"/>
    <w:unhideWhenUsed/>
    <w:rsid w:val="00205AD6"/>
    <w:pPr>
      <w:numPr>
        <w:numId w:val="16"/>
      </w:numPr>
      <w:contextualSpacing/>
    </w:pPr>
  </w:style>
  <w:style w:type="paragraph" w:styleId="ListNumber">
    <w:name w:val="List Number"/>
    <w:basedOn w:val="Normal"/>
    <w:uiPriority w:val="99"/>
    <w:unhideWhenUsed/>
    <w:rsid w:val="00A54CFC"/>
    <w:pPr>
      <w:numPr>
        <w:numId w:val="17"/>
      </w:numPr>
      <w:contextualSpacing/>
    </w:pPr>
  </w:style>
  <w:style w:type="paragraph" w:styleId="BodyText">
    <w:name w:val="Body Text"/>
    <w:basedOn w:val="Normal"/>
    <w:link w:val="BodyTextChar"/>
    <w:uiPriority w:val="1"/>
    <w:rsid w:val="007E0634"/>
    <w:pPr>
      <w:widowControl w:val="0"/>
    </w:pPr>
    <w:rPr>
      <w:rFonts w:eastAsia="Arial" w:cs="Arial"/>
    </w:rPr>
  </w:style>
  <w:style w:type="character" w:customStyle="1" w:styleId="BodyTextChar">
    <w:name w:val="Body Text Char"/>
    <w:basedOn w:val="DefaultParagraphFont"/>
    <w:link w:val="BodyText"/>
    <w:uiPriority w:val="1"/>
    <w:rsid w:val="007E0634"/>
    <w:rPr>
      <w:rFonts w:ascii="Arial" w:eastAsia="Arial" w:hAnsi="Arial" w:cs="Arial"/>
    </w:rPr>
  </w:style>
  <w:style w:type="paragraph" w:customStyle="1" w:styleId="Figuretableheading">
    <w:name w:val="Figure table heading"/>
    <w:basedOn w:val="Normal"/>
    <w:link w:val="FiguretableheadingChar"/>
    <w:rsid w:val="006A473A"/>
    <w:rPr>
      <w:rFonts w:cs="Arial"/>
      <w:b/>
    </w:rPr>
  </w:style>
  <w:style w:type="character" w:customStyle="1" w:styleId="FiguretableheadingChar">
    <w:name w:val="Figure table heading Char"/>
    <w:basedOn w:val="DefaultParagraphFont"/>
    <w:link w:val="Figuretableheading"/>
    <w:rsid w:val="006A473A"/>
    <w:rPr>
      <w:rFonts w:ascii="Arial" w:hAnsi="Arial" w:cs="Arial"/>
      <w:b/>
    </w:rPr>
  </w:style>
  <w:style w:type="paragraph" w:customStyle="1" w:styleId="Bullets">
    <w:name w:val="Bullets"/>
    <w:basedOn w:val="ListBullet"/>
    <w:link w:val="BulletsChar"/>
    <w:rsid w:val="008D7ACA"/>
    <w:pPr>
      <w:spacing w:after="60"/>
      <w:ind w:left="357" w:hanging="357"/>
      <w:contextualSpacing w:val="0"/>
    </w:pPr>
    <w:rPr>
      <w:rFonts w:cs="Arial"/>
    </w:rPr>
  </w:style>
  <w:style w:type="character" w:customStyle="1" w:styleId="ListBulletChar">
    <w:name w:val="List Bullet Char"/>
    <w:basedOn w:val="DefaultParagraphFont"/>
    <w:link w:val="ListBullet"/>
    <w:uiPriority w:val="99"/>
    <w:rsid w:val="008D7ACA"/>
    <w:rPr>
      <w:rFonts w:ascii="Arial" w:hAnsi="Arial"/>
    </w:rPr>
  </w:style>
  <w:style w:type="character" w:customStyle="1" w:styleId="BulletsChar">
    <w:name w:val="Bullets Char"/>
    <w:basedOn w:val="ListBulletChar"/>
    <w:link w:val="Bullets"/>
    <w:rsid w:val="008D7ACA"/>
    <w:rPr>
      <w:rFonts w:ascii="Arial" w:hAnsi="Arial" w:cs="Arial"/>
    </w:rPr>
  </w:style>
  <w:style w:type="paragraph" w:customStyle="1" w:styleId="HQSChead1">
    <w:name w:val="HQSC head 1"/>
    <w:basedOn w:val="Heading1"/>
    <w:qFormat/>
    <w:rsid w:val="00EF6B01"/>
    <w:rPr>
      <w:rFonts w:cs="Arial"/>
      <w:color w:val="2C2568"/>
    </w:rPr>
  </w:style>
  <w:style w:type="paragraph" w:customStyle="1" w:styleId="HQSCbodytext">
    <w:name w:val="HQSC body text"/>
    <w:basedOn w:val="Normal"/>
    <w:qFormat/>
    <w:rsid w:val="00D8248F"/>
    <w:rPr>
      <w:rFonts w:cs="Arial"/>
    </w:rPr>
  </w:style>
  <w:style w:type="paragraph" w:customStyle="1" w:styleId="HQSCbullets">
    <w:name w:val="HQSC bullets"/>
    <w:basedOn w:val="Bullets"/>
    <w:qFormat/>
    <w:rsid w:val="00792E41"/>
  </w:style>
  <w:style w:type="paragraph" w:customStyle="1" w:styleId="HQSCindentedquote">
    <w:name w:val="HQSC indented quote"/>
    <w:basedOn w:val="Quote"/>
    <w:qFormat/>
    <w:rsid w:val="009B60E1"/>
    <w:rPr>
      <w:rFonts w:cs="Arial"/>
      <w:color w:val="auto"/>
    </w:rPr>
  </w:style>
  <w:style w:type="paragraph" w:customStyle="1" w:styleId="HQSCsource">
    <w:name w:val="HQSC source"/>
    <w:basedOn w:val="NormalIndent"/>
    <w:qFormat/>
    <w:rsid w:val="00792E41"/>
    <w:rPr>
      <w:rFonts w:cs="Arial"/>
    </w:rPr>
  </w:style>
  <w:style w:type="paragraph" w:customStyle="1" w:styleId="HQSChead2">
    <w:name w:val="HQSC head 2"/>
    <w:basedOn w:val="Heading2"/>
    <w:qFormat/>
    <w:rsid w:val="00EF6B01"/>
    <w:rPr>
      <w:rFonts w:cs="Arial"/>
      <w:i w:val="0"/>
      <w:color w:val="2C2568"/>
    </w:rPr>
  </w:style>
  <w:style w:type="paragraph" w:customStyle="1" w:styleId="HQSChead3">
    <w:name w:val="HQSC head 3"/>
    <w:basedOn w:val="Heading3"/>
    <w:qFormat/>
    <w:rsid w:val="00792E41"/>
    <w:rPr>
      <w:rFonts w:cs="Arial"/>
    </w:rPr>
  </w:style>
  <w:style w:type="paragraph" w:customStyle="1" w:styleId="HQSCtablefigurecaption">
    <w:name w:val="HQSC table/figure caption"/>
    <w:basedOn w:val="Figuretableheading"/>
    <w:qFormat/>
    <w:rsid w:val="00792E41"/>
  </w:style>
  <w:style w:type="paragraph" w:customStyle="1" w:styleId="HQSCtablecolumnhead">
    <w:name w:val="HQSC table column head"/>
    <w:basedOn w:val="Normal"/>
    <w:qFormat/>
    <w:rsid w:val="00792E41"/>
    <w:pPr>
      <w:framePr w:hSpace="180" w:wrap="around" w:vAnchor="text" w:hAnchor="margin" w:y="2"/>
      <w:spacing w:before="60" w:after="60" w:line="240" w:lineRule="auto"/>
    </w:pPr>
    <w:rPr>
      <w:rFonts w:cs="Arial"/>
      <w:b/>
    </w:rPr>
  </w:style>
  <w:style w:type="paragraph" w:customStyle="1" w:styleId="HQSCtablecontent">
    <w:name w:val="HQSC table content"/>
    <w:basedOn w:val="Normal"/>
    <w:qFormat/>
    <w:rsid w:val="00792E41"/>
    <w:pPr>
      <w:framePr w:hSpace="180" w:wrap="around" w:vAnchor="text" w:hAnchor="margin" w:y="2"/>
      <w:spacing w:before="60" w:after="60" w:line="240" w:lineRule="auto"/>
    </w:pPr>
    <w:rPr>
      <w:rFonts w:cs="Arial"/>
    </w:rPr>
  </w:style>
  <w:style w:type="character" w:styleId="UnresolvedMention">
    <w:name w:val="Unresolved Mention"/>
    <w:basedOn w:val="DefaultParagraphFont"/>
    <w:uiPriority w:val="99"/>
    <w:semiHidden/>
    <w:unhideWhenUsed/>
    <w:rsid w:val="009B60E1"/>
    <w:rPr>
      <w:color w:val="605E5C"/>
      <w:shd w:val="clear" w:color="auto" w:fill="E1DFDD"/>
    </w:rPr>
  </w:style>
  <w:style w:type="table" w:customStyle="1" w:styleId="TeThHauoratable">
    <w:name w:val="Te Tāhū Hauora table"/>
    <w:basedOn w:val="TableNormal"/>
    <w:uiPriority w:val="99"/>
    <w:rsid w:val="004D6696"/>
    <w:pPr>
      <w:spacing w:after="0" w:line="240" w:lineRule="auto"/>
    </w:pPr>
    <w:rPr>
      <w:rFonts w:ascii="Arial" w:hAnsi="Arial"/>
    </w:rPr>
    <w:tblPr/>
  </w:style>
  <w:style w:type="paragraph" w:styleId="Subtitle">
    <w:name w:val="Subtitle"/>
    <w:basedOn w:val="Normal"/>
    <w:next w:val="Normal"/>
    <w:link w:val="SubtitleChar"/>
    <w:uiPriority w:val="11"/>
    <w:rsid w:val="007653D8"/>
    <w:pPr>
      <w:numPr>
        <w:ilvl w:val="1"/>
      </w:numPr>
      <w:spacing w:after="160"/>
    </w:pPr>
    <w:rPr>
      <w:rFonts w:asciiTheme="minorHAnsi" w:eastAsiaTheme="minorEastAsia" w:hAnsiTheme="minorHAnsi"/>
      <w:color w:val="656565" w:themeColor="text1" w:themeTint="A5"/>
      <w:spacing w:val="15"/>
    </w:rPr>
  </w:style>
  <w:style w:type="character" w:customStyle="1" w:styleId="SubtitleChar">
    <w:name w:val="Subtitle Char"/>
    <w:basedOn w:val="DefaultParagraphFont"/>
    <w:link w:val="Subtitle"/>
    <w:uiPriority w:val="11"/>
    <w:rsid w:val="007653D8"/>
    <w:rPr>
      <w:rFonts w:eastAsiaTheme="minorEastAsia"/>
      <w:color w:val="656565" w:themeColor="text1" w:themeTint="A5"/>
      <w:spacing w:val="15"/>
    </w:rPr>
  </w:style>
  <w:style w:type="paragraph" w:styleId="FootnoteText">
    <w:name w:val="footnote text"/>
    <w:basedOn w:val="Normal"/>
    <w:link w:val="FootnoteTextChar"/>
    <w:uiPriority w:val="99"/>
    <w:semiHidden/>
    <w:unhideWhenUsed/>
    <w:rsid w:val="00B111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1180"/>
    <w:rPr>
      <w:rFonts w:ascii="Arial" w:hAnsi="Arial"/>
      <w:sz w:val="20"/>
      <w:szCs w:val="20"/>
    </w:rPr>
  </w:style>
  <w:style w:type="character" w:styleId="FootnoteReference">
    <w:name w:val="footnote reference"/>
    <w:basedOn w:val="DefaultParagraphFont"/>
    <w:uiPriority w:val="99"/>
    <w:semiHidden/>
    <w:unhideWhenUsed/>
    <w:rsid w:val="00B111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72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qsc.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qsc.govt.nz" TargetMode="External"/><Relationship Id="rId4" Type="http://schemas.openxmlformats.org/officeDocument/2006/relationships/settings" Target="settings.xml"/><Relationship Id="rId9" Type="http://schemas.openxmlformats.org/officeDocument/2006/relationships/hyperlink" Target="http://www.healthnz.govt.nz/about-us/who-we-are/expert-groups-and-networks/expert-groups/national-palliative-care-steering-group"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hqsc.govt.nz/resources/resource-library/policy-for-paying-consumers-who-are-involved-health-quality-and-safety-commission-work/" TargetMode="External"/></Relationships>
</file>

<file path=word/theme/theme1.xml><?xml version="1.0" encoding="utf-8"?>
<a:theme xmlns:a="http://schemas.openxmlformats.org/drawingml/2006/main" name="Office Theme">
  <a:themeElements>
    <a:clrScheme name="Te Tāhū Hauora">
      <a:dk1>
        <a:srgbClr val="121212"/>
      </a:dk1>
      <a:lt1>
        <a:srgbClr val="FFFFFF"/>
      </a:lt1>
      <a:dk2>
        <a:srgbClr val="2C2568"/>
      </a:dk2>
      <a:lt2>
        <a:srgbClr val="E8E5E5"/>
      </a:lt2>
      <a:accent1>
        <a:srgbClr val="2C2568"/>
      </a:accent1>
      <a:accent2>
        <a:srgbClr val="107383"/>
      </a:accent2>
      <a:accent3>
        <a:srgbClr val="37B0A8"/>
      </a:accent3>
      <a:accent4>
        <a:srgbClr val="904281"/>
      </a:accent4>
      <a:accent5>
        <a:srgbClr val="BB7CB3"/>
      </a:accent5>
      <a:accent6>
        <a:srgbClr val="FF4F2D"/>
      </a:accent6>
      <a:hlink>
        <a:srgbClr val="2C2568"/>
      </a:hlink>
      <a:folHlink>
        <a:srgbClr val="2C25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5490B-B142-4E9F-880B-8D112B1D7E39}">
  <ds:schemaRefs>
    <ds:schemaRef ds:uri="http://schemas.openxmlformats.org/officeDocument/2006/bibliography"/>
  </ds:schemaRefs>
</ds:datastoreItem>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1310</Words>
  <Characters>7643</Characters>
  <Application>Microsoft Office Word</Application>
  <DocSecurity>0</DocSecurity>
  <Lines>173</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Health Quality &amp; Safety Commission</dc:creator>
  <cp:keywords/>
  <dc:description/>
  <cp:lastModifiedBy>Aimee Barton</cp:lastModifiedBy>
  <cp:revision>4</cp:revision>
  <cp:lastPrinted>2026-06-11T23:34:00Z</cp:lastPrinted>
  <dcterms:created xsi:type="dcterms:W3CDTF">2026-06-11T23:32:00Z</dcterms:created>
  <dcterms:modified xsi:type="dcterms:W3CDTF">2026-06-11T23:34:00Z</dcterms:modified>
</cp:coreProperties>
</file>