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8EBF" w14:textId="77777777" w:rsidR="00AF57B3" w:rsidRPr="006D1081" w:rsidRDefault="009C1104" w:rsidP="00A313E6">
      <w:pPr>
        <w:pStyle w:val="HQSChead1"/>
        <w:rPr>
          <w:sz w:val="32"/>
          <w:szCs w:val="28"/>
        </w:rPr>
      </w:pPr>
      <w:r w:rsidRPr="006D1081">
        <w:rPr>
          <w:noProof/>
          <w:sz w:val="32"/>
          <w:szCs w:val="28"/>
        </w:rPr>
        <w:drawing>
          <wp:anchor distT="0" distB="0" distL="114300" distR="114300" simplePos="0" relativeHeight="251659264" behindDoc="1" locked="0" layoutInCell="1" allowOverlap="1" wp14:anchorId="2A88C58E" wp14:editId="487E4B40">
            <wp:simplePos x="0" y="0"/>
            <wp:positionH relativeFrom="page">
              <wp:align>right</wp:align>
            </wp:positionH>
            <wp:positionV relativeFrom="paragraph">
              <wp:posOffset>-914400</wp:posOffset>
            </wp:positionV>
            <wp:extent cx="7541254" cy="1930400"/>
            <wp:effectExtent l="0" t="0" r="3175" b="0"/>
            <wp:wrapNone/>
            <wp:docPr id="5" name="Picture 5" descr="Dark blue background with the Health Quality &amp; Safety Commission Te Tāhū Hauora logo at the top right, and a tohu (Māori pattern) at the top left both in white. The pattern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ark blue background with the Health Quality &amp; Safety Commission Te Tāhū Hauora logo at the top right, and a tohu (Māori pattern) at the top left both in white. The pattern is a stylised version of a wharenui in a triangle shape, with the tāhū (ridgepole), heke (rafters) and niho taniwha (triangle pattern beneat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254" cy="193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95EE2F" w14:textId="77777777" w:rsidR="00AF57B3" w:rsidRPr="006D1081" w:rsidRDefault="00AF57B3" w:rsidP="00A313E6">
      <w:pPr>
        <w:pStyle w:val="HQSChead1"/>
        <w:rPr>
          <w:sz w:val="32"/>
          <w:szCs w:val="28"/>
        </w:rPr>
      </w:pPr>
    </w:p>
    <w:p w14:paraId="46B2577E" w14:textId="77777777" w:rsidR="008341A9" w:rsidRDefault="008341A9" w:rsidP="008341A9">
      <w:pPr>
        <w:pStyle w:val="HQSChead1"/>
      </w:pPr>
    </w:p>
    <w:p w14:paraId="4CD59278" w14:textId="023502A0" w:rsidR="008341A9" w:rsidRPr="009A6DA8" w:rsidRDefault="008341A9" w:rsidP="008341A9">
      <w:pPr>
        <w:pStyle w:val="HQSChead1"/>
      </w:pPr>
      <w:r>
        <w:t>‘</w:t>
      </w:r>
      <w:r w:rsidRPr="007E3CE5">
        <w:t>I know what an outcome looks like when it honours our culture and values</w:t>
      </w:r>
      <w:r>
        <w:t xml:space="preserve">’: </w:t>
      </w:r>
      <w:r w:rsidRPr="009A6DA8">
        <w:t>One consumer’s experience of trying to change the system from within</w:t>
      </w:r>
    </w:p>
    <w:p w14:paraId="4F83C82E" w14:textId="77777777" w:rsidR="008341A9" w:rsidRPr="00812CF2" w:rsidRDefault="008341A9" w:rsidP="008341A9">
      <w:pPr>
        <w:pStyle w:val="HQSChead2"/>
      </w:pPr>
      <w:r w:rsidRPr="00812CF2">
        <w:t>Ngā mihi</w:t>
      </w:r>
    </w:p>
    <w:p w14:paraId="0DA36F05" w14:textId="77777777" w:rsidR="008341A9" w:rsidRPr="006E3BBC" w:rsidRDefault="008341A9" w:rsidP="008341A9">
      <w:r w:rsidRPr="006E3BBC">
        <w:t xml:space="preserve">This case study shares the experience of </w:t>
      </w:r>
      <w:r w:rsidRPr="00787925">
        <w:t>Ata</w:t>
      </w:r>
      <w:r w:rsidRPr="006E3BBC">
        <w:t xml:space="preserve"> (</w:t>
      </w:r>
      <w:r>
        <w:t>not their real name</w:t>
      </w:r>
      <w:r w:rsidRPr="006E3BBC">
        <w:t xml:space="preserve">), a </w:t>
      </w:r>
      <w:r>
        <w:t>Pacific</w:t>
      </w:r>
      <w:r w:rsidRPr="006E3BBC">
        <w:t xml:space="preserve"> consumer member of the Northern Regional Consumer Council (</w:t>
      </w:r>
      <w:r>
        <w:t>N</w:t>
      </w:r>
      <w:r w:rsidRPr="006E3BBC">
        <w:t>RCC).</w:t>
      </w:r>
      <w:r>
        <w:rPr>
          <w:rStyle w:val="FootnoteReference"/>
        </w:rPr>
        <w:footnoteReference w:id="1"/>
      </w:r>
      <w:r>
        <w:t xml:space="preserve"> It</w:t>
      </w:r>
      <w:r w:rsidRPr="006E3BBC">
        <w:t xml:space="preserve"> is not an </w:t>
      </w:r>
      <w:r w:rsidRPr="009A6DA8">
        <w:rPr>
          <w:sz w:val="24"/>
          <w:szCs w:val="24"/>
        </w:rPr>
        <w:t>evaluation</w:t>
      </w:r>
      <w:r w:rsidRPr="006E3BBC">
        <w:t xml:space="preserve"> of the </w:t>
      </w:r>
      <w:r>
        <w:t>c</w:t>
      </w:r>
      <w:r w:rsidRPr="006E3BBC">
        <w:t>ouncil</w:t>
      </w:r>
      <w:r>
        <w:t>; i</w:t>
      </w:r>
      <w:r w:rsidRPr="006E3BBC">
        <w:t>t is a reflection on what it feels like to sit at the table</w:t>
      </w:r>
      <w:r>
        <w:t xml:space="preserve"> </w:t>
      </w:r>
      <w:r w:rsidRPr="006E3BBC">
        <w:t>and what happens when you care deeply</w:t>
      </w:r>
      <w:r>
        <w:t>,</w:t>
      </w:r>
      <w:r w:rsidRPr="006E3BBC">
        <w:t xml:space="preserve"> but aren’t always sure </w:t>
      </w:r>
      <w:r>
        <w:t>you’re making a</w:t>
      </w:r>
      <w:r w:rsidRPr="006E3BBC">
        <w:t xml:space="preserve"> difference</w:t>
      </w:r>
      <w:r>
        <w:t>.</w:t>
      </w:r>
    </w:p>
    <w:p w14:paraId="51E6D248" w14:textId="77777777" w:rsidR="008341A9" w:rsidRPr="006E3BBC" w:rsidRDefault="008341A9" w:rsidP="008341A9">
      <w:r w:rsidRPr="0036725E">
        <w:t xml:space="preserve">We are grateful </w:t>
      </w:r>
      <w:r>
        <w:t xml:space="preserve">to Ata </w:t>
      </w:r>
      <w:r w:rsidRPr="0036725E">
        <w:t xml:space="preserve">for </w:t>
      </w:r>
      <w:r>
        <w:t>their</w:t>
      </w:r>
      <w:r w:rsidRPr="0036725E">
        <w:t xml:space="preserve"> openness and willingness to </w:t>
      </w:r>
      <w:r>
        <w:t xml:space="preserve">share their experience and </w:t>
      </w:r>
      <w:r w:rsidRPr="0036725E">
        <w:t xml:space="preserve">reflect on </w:t>
      </w:r>
      <w:r>
        <w:t>their</w:t>
      </w:r>
      <w:r w:rsidRPr="0036725E">
        <w:t xml:space="preserve"> involvement</w:t>
      </w:r>
      <w:r>
        <w:t xml:space="preserve"> of being a member of the NRCC.</w:t>
      </w:r>
    </w:p>
    <w:p w14:paraId="1F1DE83A" w14:textId="77777777" w:rsidR="008341A9" w:rsidRDefault="008341A9" w:rsidP="008341A9">
      <w:r w:rsidRPr="006E3BBC">
        <w:t>This story is shared as a practical lens for clinicians, service designers and programme teams seeking to strengthen how they work with consumers</w:t>
      </w:r>
      <w:r>
        <w:t>, whānau and those with lived experience</w:t>
      </w:r>
      <w:r w:rsidRPr="006E3BBC">
        <w:t>.</w:t>
      </w:r>
    </w:p>
    <w:p w14:paraId="5962CB44" w14:textId="099DAC73" w:rsidR="008341A9" w:rsidRPr="001C5762" w:rsidRDefault="008341A9" w:rsidP="008341A9">
      <w:pPr>
        <w:pStyle w:val="HQSChead2"/>
      </w:pPr>
      <w:r w:rsidRPr="001C5762">
        <w:t xml:space="preserve">Key </w:t>
      </w:r>
      <w:r w:rsidR="007B600E">
        <w:t>lessons</w:t>
      </w:r>
      <w:r w:rsidRPr="001C5762">
        <w:t xml:space="preserve"> </w:t>
      </w:r>
    </w:p>
    <w:p w14:paraId="3E1CD382" w14:textId="77777777" w:rsidR="008341A9" w:rsidRPr="001C5762" w:rsidRDefault="008341A9" w:rsidP="008341A9">
      <w:r w:rsidRPr="001C5762">
        <w:t>This case study highlights several factors that help strengthen meaningful consumer engagement</w:t>
      </w:r>
      <w:r>
        <w:t>.</w:t>
      </w:r>
    </w:p>
    <w:p w14:paraId="72EAF9F7" w14:textId="77777777" w:rsidR="008341A9" w:rsidRPr="001C5762" w:rsidRDefault="008341A9" w:rsidP="008341A9">
      <w:pPr>
        <w:pStyle w:val="HQSCbullets"/>
      </w:pPr>
      <w:r w:rsidRPr="001C5762">
        <w:t>Early engagement creates greater opportunity for lived experience to shape decisions</w:t>
      </w:r>
      <w:r>
        <w:t>.</w:t>
      </w:r>
    </w:p>
    <w:p w14:paraId="3B846D78" w14:textId="77777777" w:rsidR="008341A9" w:rsidRPr="001C5762" w:rsidRDefault="008341A9" w:rsidP="008341A9">
      <w:pPr>
        <w:pStyle w:val="HQSCbullets"/>
      </w:pPr>
      <w:r w:rsidRPr="001C5762">
        <w:t>Diverse consumer perspectives help identify barriers and cultural safety considerations</w:t>
      </w:r>
      <w:r>
        <w:t>.</w:t>
      </w:r>
    </w:p>
    <w:p w14:paraId="62686E6E" w14:textId="77777777" w:rsidR="008341A9" w:rsidRPr="001C5762" w:rsidRDefault="008341A9" w:rsidP="008341A9">
      <w:pPr>
        <w:pStyle w:val="HQSCbullets"/>
      </w:pPr>
      <w:r w:rsidRPr="001C5762">
        <w:t xml:space="preserve">Time </w:t>
      </w:r>
      <w:r>
        <w:t>for</w:t>
      </w:r>
      <w:r w:rsidRPr="001C5762">
        <w:t xml:space="preserve"> discussion </w:t>
      </w:r>
      <w:r>
        <w:t>is</w:t>
      </w:r>
      <w:r w:rsidRPr="001C5762">
        <w:t xml:space="preserve"> essential for thoughtful and meaningful contribution</w:t>
      </w:r>
      <w:r>
        <w:t>.</w:t>
      </w:r>
    </w:p>
    <w:p w14:paraId="5B6169FF" w14:textId="77777777" w:rsidR="008341A9" w:rsidRPr="001C5762" w:rsidRDefault="008341A9" w:rsidP="008341A9">
      <w:pPr>
        <w:pStyle w:val="HQSCbullets"/>
      </w:pPr>
      <w:r w:rsidRPr="001C5762">
        <w:t xml:space="preserve">Consumers value understanding how their feedback </w:t>
      </w:r>
      <w:r>
        <w:t xml:space="preserve">has </w:t>
      </w:r>
      <w:r w:rsidRPr="001C5762">
        <w:t>influenced decisions and outcomes</w:t>
      </w:r>
      <w:r>
        <w:t>.</w:t>
      </w:r>
    </w:p>
    <w:p w14:paraId="432C3507" w14:textId="77777777" w:rsidR="008341A9" w:rsidRPr="001C5762" w:rsidRDefault="008341A9" w:rsidP="008341A9">
      <w:pPr>
        <w:pStyle w:val="HQSCbullets"/>
      </w:pPr>
      <w:r w:rsidRPr="001C5762">
        <w:lastRenderedPageBreak/>
        <w:t xml:space="preserve">Lived experience provides a form of expertise that strengthens </w:t>
      </w:r>
      <w:r>
        <w:t xml:space="preserve">care centred around the </w:t>
      </w:r>
      <w:r w:rsidRPr="001C5762">
        <w:t>whānau</w:t>
      </w:r>
      <w:r>
        <w:t>.</w:t>
      </w:r>
    </w:p>
    <w:p w14:paraId="11FB1BC5" w14:textId="77777777" w:rsidR="008341A9" w:rsidRPr="00812CF2" w:rsidRDefault="008341A9" w:rsidP="008341A9">
      <w:pPr>
        <w:pStyle w:val="HQSChead2"/>
      </w:pPr>
      <w:r>
        <w:t>Lived experience of the health system</w:t>
      </w:r>
    </w:p>
    <w:p w14:paraId="69652051" w14:textId="77777777" w:rsidR="008341A9" w:rsidRPr="006E3BBC" w:rsidRDefault="008341A9" w:rsidP="008341A9">
      <w:r>
        <w:t>Ata</w:t>
      </w:r>
      <w:r w:rsidRPr="006E3BBC">
        <w:t xml:space="preserve"> brings lived experience shaped by loss, inequity and contrast </w:t>
      </w:r>
      <w:r>
        <w:t>–</w:t>
      </w:r>
      <w:r w:rsidRPr="006E3BBC">
        <w:t xml:space="preserve"> having seen both when the system works well, and when it does not.</w:t>
      </w:r>
    </w:p>
    <w:p w14:paraId="6795B5C4" w14:textId="77777777" w:rsidR="008341A9" w:rsidRPr="00787925" w:rsidRDefault="008341A9" w:rsidP="008341A9">
      <w:r w:rsidRPr="00787925">
        <w:t>‘Through personal experience with family navigating major health crises (terminal illness), I’ve seen just how vastly support can differ from one person to the next. That disparity is something you only truly understand when you live through it.’</w:t>
      </w:r>
    </w:p>
    <w:p w14:paraId="756B0115" w14:textId="00ED78E5" w:rsidR="008341A9" w:rsidRPr="006E3BBC" w:rsidRDefault="008341A9" w:rsidP="008341A9">
      <w:r w:rsidRPr="006E3BBC">
        <w:t>One experience felt coordinated, compassionate and responsive</w:t>
      </w:r>
      <w:r>
        <w:t xml:space="preserve">. </w:t>
      </w:r>
      <w:r w:rsidRPr="006E3BBC">
        <w:t>The other did not.</w:t>
      </w:r>
    </w:p>
    <w:p w14:paraId="25157D83" w14:textId="77777777" w:rsidR="008341A9" w:rsidRPr="006E3BBC" w:rsidRDefault="008341A9" w:rsidP="008341A9">
      <w:r w:rsidRPr="006E3BBC">
        <w:t xml:space="preserve">That contrast continues to shape how </w:t>
      </w:r>
      <w:r>
        <w:t>Ata</w:t>
      </w:r>
      <w:r w:rsidRPr="006E3BBC">
        <w:t xml:space="preserve"> sees the system</w:t>
      </w:r>
      <w:r>
        <w:t>,</w:t>
      </w:r>
      <w:r w:rsidRPr="006E3BBC">
        <w:t xml:space="preserve"> and why </w:t>
      </w:r>
      <w:r>
        <w:t>they see consumer</w:t>
      </w:r>
      <w:r w:rsidRPr="006E3BBC">
        <w:t xml:space="preserve"> contribut</w:t>
      </w:r>
      <w:r>
        <w:t>ion as being key</w:t>
      </w:r>
      <w:r w:rsidRPr="006E3BBC">
        <w:t xml:space="preserve"> to improving it.</w:t>
      </w:r>
    </w:p>
    <w:p w14:paraId="447CE03C" w14:textId="77777777" w:rsidR="008341A9" w:rsidRPr="004E169B" w:rsidRDefault="008341A9" w:rsidP="008341A9">
      <w:r w:rsidRPr="00787925">
        <w:t xml:space="preserve">‘As Pasifika, the system can be really hard </w:t>
      </w:r>
      <w:r>
        <w:t>–</w:t>
      </w:r>
      <w:r w:rsidRPr="00787925">
        <w:t xml:space="preserve"> around language, around cultural safety… all of that.’</w:t>
      </w:r>
    </w:p>
    <w:p w14:paraId="05B328E1" w14:textId="77777777" w:rsidR="008341A9" w:rsidRDefault="008341A9" w:rsidP="008341A9">
      <w:r w:rsidRPr="006E3BBC">
        <w:t xml:space="preserve">For </w:t>
      </w:r>
      <w:r>
        <w:t>Ata</w:t>
      </w:r>
      <w:r w:rsidRPr="006E3BBC">
        <w:t>, this is not abstract.</w:t>
      </w:r>
      <w:r>
        <w:t xml:space="preserve"> </w:t>
      </w:r>
      <w:r w:rsidRPr="006E3BBC">
        <w:t>It is about ensuring other whānau do not encounter the same gaps.</w:t>
      </w:r>
    </w:p>
    <w:tbl>
      <w:tblPr>
        <w:tblStyle w:val="TableGrid"/>
        <w:tblW w:w="0" w:type="auto"/>
        <w:tblLook w:val="04A0" w:firstRow="1" w:lastRow="0" w:firstColumn="1" w:lastColumn="0" w:noHBand="0" w:noVBand="1"/>
      </w:tblPr>
      <w:tblGrid>
        <w:gridCol w:w="9016"/>
      </w:tblGrid>
      <w:tr w:rsidR="00030673" w14:paraId="779DE0FA" w14:textId="77777777" w:rsidTr="00030673">
        <w:tc>
          <w:tcPr>
            <w:tcW w:w="9016" w:type="dxa"/>
          </w:tcPr>
          <w:p w14:paraId="09B20D32" w14:textId="42A3FE80" w:rsidR="00030673" w:rsidRPr="00287984" w:rsidRDefault="00E80E75" w:rsidP="008E075F">
            <w:pPr>
              <w:pStyle w:val="HQSChead3"/>
            </w:pPr>
            <w:r>
              <w:t>Lived experience is expertise</w:t>
            </w:r>
          </w:p>
          <w:p w14:paraId="0EB0E792" w14:textId="77777777" w:rsidR="00030673" w:rsidRPr="008D65A2" w:rsidRDefault="00030673" w:rsidP="00030673">
            <w:pPr>
              <w:spacing w:line="276" w:lineRule="auto"/>
            </w:pPr>
            <w:r w:rsidRPr="008D65A2">
              <w:t>Consumers bring expertise that cannot be gathered through data alone.</w:t>
            </w:r>
            <w:r>
              <w:t xml:space="preserve"> </w:t>
            </w:r>
            <w:r w:rsidRPr="008D65A2">
              <w:t>Lived experience helps organisations understand:</w:t>
            </w:r>
          </w:p>
          <w:p w14:paraId="33B08C8E" w14:textId="77777777" w:rsidR="00030673" w:rsidRPr="008D65A2" w:rsidRDefault="00030673" w:rsidP="00030673">
            <w:pPr>
              <w:pStyle w:val="HQSCbullets"/>
              <w:ind w:left="357" w:hanging="357"/>
            </w:pPr>
            <w:r w:rsidRPr="008D65A2">
              <w:t>how services are experienced in real life</w:t>
            </w:r>
          </w:p>
          <w:p w14:paraId="170CE620" w14:textId="77777777" w:rsidR="00030673" w:rsidRPr="008D65A2" w:rsidRDefault="00030673" w:rsidP="00030673">
            <w:pPr>
              <w:pStyle w:val="HQSCbullets"/>
              <w:ind w:left="357" w:hanging="357"/>
            </w:pPr>
            <w:r w:rsidRPr="008D65A2">
              <w:t xml:space="preserve">where </w:t>
            </w:r>
            <w:r>
              <w:t xml:space="preserve">there are </w:t>
            </w:r>
            <w:r w:rsidRPr="008D65A2">
              <w:t xml:space="preserve">barriers to access </w:t>
            </w:r>
          </w:p>
          <w:p w14:paraId="64E5187D" w14:textId="77777777" w:rsidR="00030673" w:rsidRPr="008D65A2" w:rsidRDefault="00030673" w:rsidP="00030673">
            <w:pPr>
              <w:pStyle w:val="HQSCbullets"/>
              <w:ind w:left="357" w:hanging="357"/>
            </w:pPr>
            <w:r w:rsidRPr="008D65A2">
              <w:t>how culture and communication affect care</w:t>
            </w:r>
          </w:p>
          <w:p w14:paraId="43E95C76" w14:textId="77777777" w:rsidR="00030673" w:rsidRDefault="00030673" w:rsidP="00030673">
            <w:pPr>
              <w:pStyle w:val="HQSCbullets"/>
              <w:spacing w:after="0"/>
            </w:pPr>
            <w:r w:rsidRPr="008D65A2">
              <w:t>what safe and responsive services feel like for communities</w:t>
            </w:r>
            <w:r>
              <w:t>.</w:t>
            </w:r>
          </w:p>
          <w:p w14:paraId="6A8CE7AB" w14:textId="77777777" w:rsidR="00030673" w:rsidRDefault="00030673" w:rsidP="00030673">
            <w:pPr>
              <w:spacing w:after="0"/>
            </w:pPr>
          </w:p>
          <w:p w14:paraId="35A4354F" w14:textId="24E01322" w:rsidR="00030673" w:rsidRDefault="00030673" w:rsidP="008E075F">
            <w:pPr>
              <w:spacing w:line="360" w:lineRule="auto"/>
            </w:pPr>
            <w:r w:rsidRPr="008D65A2">
              <w:t>These perspectives help strengthen service design and support more equitable outcomes.</w:t>
            </w:r>
          </w:p>
        </w:tc>
      </w:tr>
    </w:tbl>
    <w:p w14:paraId="77B45A8A" w14:textId="77777777" w:rsidR="008341A9" w:rsidRPr="00812CF2" w:rsidRDefault="008341A9" w:rsidP="008341A9">
      <w:pPr>
        <w:pStyle w:val="HQSChead2"/>
      </w:pPr>
      <w:r w:rsidRPr="00812CF2">
        <w:t>From experience to engagement</w:t>
      </w:r>
    </w:p>
    <w:p w14:paraId="5D0260A2" w14:textId="77777777" w:rsidR="008341A9" w:rsidRPr="006E3BBC" w:rsidRDefault="008341A9" w:rsidP="008341A9">
      <w:r w:rsidRPr="006E3BBC">
        <w:t xml:space="preserve">The </w:t>
      </w:r>
      <w:r>
        <w:t>NRCC</w:t>
      </w:r>
      <w:r w:rsidRPr="006E3BBC">
        <w:t xml:space="preserve"> provides a formal mechanism for lived experience to inform regional decision-making.</w:t>
      </w:r>
    </w:p>
    <w:p w14:paraId="3F421479" w14:textId="77777777" w:rsidR="008341A9" w:rsidRPr="006E3BBC" w:rsidRDefault="008341A9" w:rsidP="008341A9">
      <w:r w:rsidRPr="006E3BBC">
        <w:t xml:space="preserve">Members meet regularly and provide feedback on </w:t>
      </w:r>
      <w:r>
        <w:t>projects</w:t>
      </w:r>
      <w:r w:rsidRPr="006E3BBC">
        <w:t xml:space="preserve"> and service design.</w:t>
      </w:r>
    </w:p>
    <w:p w14:paraId="651835D4" w14:textId="77777777" w:rsidR="008341A9" w:rsidRPr="00E9574D" w:rsidRDefault="008341A9" w:rsidP="008341A9">
      <w:r w:rsidRPr="00E9574D">
        <w:t xml:space="preserve">For </w:t>
      </w:r>
      <w:r>
        <w:t>Ata</w:t>
      </w:r>
      <w:r w:rsidRPr="00E9574D">
        <w:t>, participation is about contributing insight grounded in real-world experience and making sense of how that insight fits within system processes and timelines.</w:t>
      </w:r>
    </w:p>
    <w:p w14:paraId="6CD5F7FB" w14:textId="77777777" w:rsidR="008341A9" w:rsidRPr="00E9574D" w:rsidRDefault="008341A9" w:rsidP="008341A9">
      <w:r w:rsidRPr="00E9574D">
        <w:t>Projects often come with significant complexity, and time is limited.</w:t>
      </w:r>
    </w:p>
    <w:p w14:paraId="67973C96" w14:textId="77777777" w:rsidR="008341A9" w:rsidRPr="004E169B" w:rsidRDefault="008341A9" w:rsidP="008341A9">
      <w:r w:rsidRPr="00787925">
        <w:t>‘…</w:t>
      </w:r>
      <w:r>
        <w:t xml:space="preserve"> </w:t>
      </w:r>
      <w:r w:rsidRPr="00787925">
        <w:t>there’s a lot in here that</w:t>
      </w:r>
      <w:r>
        <w:t>,</w:t>
      </w:r>
      <w:r w:rsidRPr="00787925">
        <w:t xml:space="preserve"> sometimes</w:t>
      </w:r>
      <w:r>
        <w:t>,</w:t>
      </w:r>
      <w:r w:rsidRPr="00787925">
        <w:t xml:space="preserve"> we would have to unpack</w:t>
      </w:r>
      <w:r>
        <w:t xml:space="preserve"> </w:t>
      </w:r>
      <w:r w:rsidRPr="00787925">
        <w:t xml:space="preserve">… and with a limited amount of time, there’s </w:t>
      </w:r>
      <w:r>
        <w:t xml:space="preserve">[only] </w:t>
      </w:r>
      <w:r w:rsidRPr="00787925">
        <w:t>so much you can do.’</w:t>
      </w:r>
    </w:p>
    <w:p w14:paraId="2FFC2F9E" w14:textId="77777777" w:rsidR="008341A9" w:rsidRDefault="008341A9" w:rsidP="008341A9">
      <w:r w:rsidRPr="00281D80">
        <w:lastRenderedPageBreak/>
        <w:t>There is an ongoing tension between wanting to contribute meaningfully and the practical constraints of how engagement is structured</w:t>
      </w:r>
      <w:r>
        <w:t>.</w:t>
      </w:r>
    </w:p>
    <w:p w14:paraId="27F56D6F" w14:textId="77777777" w:rsidR="008341A9" w:rsidRPr="00812CF2" w:rsidRDefault="008341A9" w:rsidP="008341A9">
      <w:pPr>
        <w:pStyle w:val="HQSChead2"/>
      </w:pPr>
      <w:r w:rsidRPr="00812CF2">
        <w:t xml:space="preserve">What works </w:t>
      </w:r>
      <w:r>
        <w:t>well</w:t>
      </w:r>
    </w:p>
    <w:p w14:paraId="0D74165E" w14:textId="77777777" w:rsidR="008341A9" w:rsidRPr="00E9574D" w:rsidRDefault="008341A9" w:rsidP="008341A9">
      <w:r>
        <w:t>Ata</w:t>
      </w:r>
      <w:r w:rsidRPr="00E9574D">
        <w:t xml:space="preserve"> continues to contribute because there are important aspects of the experience that are working well and the overall purpose remains meaningful.</w:t>
      </w:r>
    </w:p>
    <w:p w14:paraId="398ABBDC" w14:textId="77777777" w:rsidR="008341A9" w:rsidRPr="00812CF2" w:rsidRDefault="008341A9" w:rsidP="008341A9">
      <w:pPr>
        <w:pStyle w:val="HQSChead3"/>
      </w:pPr>
      <w:r w:rsidRPr="00812CF2">
        <w:t>Diverse voices around the table</w:t>
      </w:r>
    </w:p>
    <w:p w14:paraId="1A55CB1B" w14:textId="77777777" w:rsidR="008341A9" w:rsidRPr="00FE65DB" w:rsidRDefault="008341A9" w:rsidP="008341A9">
      <w:r w:rsidRPr="00787925">
        <w:t xml:space="preserve">‘Hearing everyone’s perspectives </w:t>
      </w:r>
      <w:r>
        <w:t>–</w:t>
      </w:r>
      <w:r w:rsidRPr="00787925">
        <w:t xml:space="preserve"> it opens your eyes.’</w:t>
      </w:r>
    </w:p>
    <w:p w14:paraId="685D78AA" w14:textId="089B36AA" w:rsidR="008341A9" w:rsidRDefault="008341A9" w:rsidP="008341A9">
      <w:r w:rsidRPr="006E3BBC">
        <w:t xml:space="preserve">Different lived experiences broaden understanding and </w:t>
      </w:r>
      <w:r>
        <w:t>raise</w:t>
      </w:r>
      <w:r w:rsidRPr="006E3BBC">
        <w:t xml:space="preserve"> issues that might otherwise go unseen.</w:t>
      </w:r>
      <w:r>
        <w:t xml:space="preserve"> Members of the NRCC have a unique form of expertise that offers insightful perspectives and solutions to the projects that are presented to them.</w:t>
      </w:r>
    </w:p>
    <w:tbl>
      <w:tblPr>
        <w:tblStyle w:val="TableGrid"/>
        <w:tblW w:w="0" w:type="auto"/>
        <w:tblLook w:val="04A0" w:firstRow="1" w:lastRow="0" w:firstColumn="1" w:lastColumn="0" w:noHBand="0" w:noVBand="1"/>
      </w:tblPr>
      <w:tblGrid>
        <w:gridCol w:w="9016"/>
      </w:tblGrid>
      <w:tr w:rsidR="006F0C6F" w14:paraId="64B9022F" w14:textId="77777777" w:rsidTr="006F0C6F">
        <w:tc>
          <w:tcPr>
            <w:tcW w:w="9016" w:type="dxa"/>
          </w:tcPr>
          <w:p w14:paraId="3F45EBF7" w14:textId="3B80C88B" w:rsidR="006F0C6F" w:rsidRPr="006F0C6F" w:rsidRDefault="006F0C6F" w:rsidP="008E075F">
            <w:pPr>
              <w:pStyle w:val="HQSChead3"/>
              <w:rPr>
                <w:bCs/>
              </w:rPr>
            </w:pPr>
            <w:r w:rsidRPr="006F0C6F">
              <w:rPr>
                <w:bCs/>
              </w:rPr>
              <w:t>Diversity strengthens insight</w:t>
            </w:r>
          </w:p>
          <w:p w14:paraId="05DF8E4A" w14:textId="74E2C9C3" w:rsidR="006F0C6F" w:rsidRDefault="006F0C6F" w:rsidP="008E075F">
            <w:pPr>
              <w:spacing w:line="276" w:lineRule="auto"/>
            </w:pPr>
            <w:r>
              <w:t>Different lived experiences surface issues that may otherwise be missed. Diversity helps organisations understand:</w:t>
            </w:r>
          </w:p>
          <w:p w14:paraId="6C626DB2" w14:textId="77777777" w:rsidR="006F0C6F" w:rsidRDefault="006F0C6F" w:rsidP="006F0C6F">
            <w:pPr>
              <w:pStyle w:val="HQSCbullets"/>
            </w:pPr>
            <w:r>
              <w:t>Barriers effecting different communities</w:t>
            </w:r>
          </w:p>
          <w:p w14:paraId="17172414" w14:textId="77777777" w:rsidR="006F0C6F" w:rsidRDefault="006F0C6F" w:rsidP="006F0C6F">
            <w:pPr>
              <w:pStyle w:val="HQSCbullets"/>
            </w:pPr>
            <w:r>
              <w:t>Cultural safety considerations</w:t>
            </w:r>
          </w:p>
          <w:p w14:paraId="7A3880FA" w14:textId="35279992" w:rsidR="006F0C6F" w:rsidRDefault="006F0C6F" w:rsidP="008E075F">
            <w:pPr>
              <w:pStyle w:val="HQSCbullets"/>
              <w:spacing w:after="120" w:line="360" w:lineRule="auto"/>
              <w:ind w:left="357" w:hanging="357"/>
            </w:pPr>
            <w:r>
              <w:t>How services are experienced across contexts</w:t>
            </w:r>
          </w:p>
        </w:tc>
      </w:tr>
    </w:tbl>
    <w:p w14:paraId="64EAF1E4" w14:textId="77777777" w:rsidR="008341A9" w:rsidRPr="00812CF2" w:rsidRDefault="008341A9" w:rsidP="008341A9">
      <w:pPr>
        <w:pStyle w:val="HQSChead3"/>
      </w:pPr>
      <w:r w:rsidRPr="00812CF2">
        <w:t>A platform to name inequity</w:t>
      </w:r>
    </w:p>
    <w:p w14:paraId="244E9364" w14:textId="77777777" w:rsidR="008341A9" w:rsidRPr="00787925" w:rsidRDefault="008341A9" w:rsidP="008341A9">
      <w:r w:rsidRPr="00787925">
        <w:t>‘Being able to look at something with the community eyes, especially around inequities, what could be missing and then having input.’</w:t>
      </w:r>
    </w:p>
    <w:p w14:paraId="75793BD1" w14:textId="77777777" w:rsidR="008341A9" w:rsidRPr="006E3BBC" w:rsidRDefault="008341A9" w:rsidP="008341A9">
      <w:r>
        <w:t xml:space="preserve">The NRCC provides space to raise cultural safety concerns and identify access barriers. These conversations are not always easy, but for Ata, an excellent outcome is one where the community’s </w:t>
      </w:r>
      <w:r w:rsidRPr="008E6869">
        <w:t xml:space="preserve">perspective </w:t>
      </w:r>
      <w:r>
        <w:t xml:space="preserve">is valued and utilised and the cultural safety of the people is preserved.  </w:t>
      </w:r>
    </w:p>
    <w:p w14:paraId="46F8AE9F" w14:textId="77777777" w:rsidR="008341A9" w:rsidRDefault="008341A9" w:rsidP="008341A9">
      <w:pPr>
        <w:pStyle w:val="HQSChead2"/>
      </w:pPr>
      <w:r w:rsidRPr="313D64ED">
        <w:t>Identifying opportunities for strengthened focus</w:t>
      </w:r>
    </w:p>
    <w:p w14:paraId="4D4FE09A" w14:textId="77777777" w:rsidR="008341A9" w:rsidRPr="006E3BBC" w:rsidRDefault="008341A9" w:rsidP="008341A9">
      <w:r>
        <w:t>Ata</w:t>
      </w:r>
      <w:r w:rsidRPr="006E3BBC">
        <w:t xml:space="preserve"> is clear that this work has value</w:t>
      </w:r>
      <w:r>
        <w:t xml:space="preserve"> and</w:t>
      </w:r>
      <w:r w:rsidRPr="00E9574D">
        <w:t xml:space="preserve"> about the conditions that </w:t>
      </w:r>
      <w:r>
        <w:t xml:space="preserve">would </w:t>
      </w:r>
      <w:r w:rsidRPr="00E9574D">
        <w:t>help it have the greatest impact.</w:t>
      </w:r>
    </w:p>
    <w:p w14:paraId="0C6861CB" w14:textId="77777777" w:rsidR="008341A9" w:rsidRPr="004C6F52" w:rsidRDefault="008341A9" w:rsidP="008341A9">
      <w:pPr>
        <w:pStyle w:val="HQSChead3"/>
      </w:pPr>
      <w:r w:rsidRPr="004C6F52">
        <w:t>Engage early</w:t>
      </w:r>
    </w:p>
    <w:p w14:paraId="1B7C672A" w14:textId="77777777" w:rsidR="008341A9" w:rsidRPr="00787925" w:rsidRDefault="008341A9" w:rsidP="008341A9">
      <w:r w:rsidRPr="00787925">
        <w:t xml:space="preserve">‘Projects have already started </w:t>
      </w:r>
      <w:r>
        <w:t xml:space="preserve">[before] </w:t>
      </w:r>
      <w:r w:rsidRPr="00787925">
        <w:t>our input. If we’re coming in after it’s already started</w:t>
      </w:r>
      <w:r>
        <w:t xml:space="preserve"> </w:t>
      </w:r>
      <w:r w:rsidRPr="00787925">
        <w:t>… it’s hard to shift things</w:t>
      </w:r>
      <w:r>
        <w:t>.</w:t>
      </w:r>
      <w:r w:rsidRPr="00787925">
        <w:t>’</w:t>
      </w:r>
    </w:p>
    <w:p w14:paraId="561B9D9D" w14:textId="78247C41" w:rsidR="006F0C6F" w:rsidRDefault="008341A9" w:rsidP="008341A9">
      <w:r w:rsidRPr="006E3BBC">
        <w:t>Early engagement allows lived experience to shape direction, not just respond to it.</w:t>
      </w:r>
    </w:p>
    <w:p w14:paraId="32BB1B74" w14:textId="77777777" w:rsidR="00E80E75" w:rsidRDefault="00E80E75" w:rsidP="008341A9"/>
    <w:tbl>
      <w:tblPr>
        <w:tblStyle w:val="TableGrid"/>
        <w:tblW w:w="0" w:type="auto"/>
        <w:tblLook w:val="04A0" w:firstRow="1" w:lastRow="0" w:firstColumn="1" w:lastColumn="0" w:noHBand="0" w:noVBand="1"/>
      </w:tblPr>
      <w:tblGrid>
        <w:gridCol w:w="9016"/>
      </w:tblGrid>
      <w:tr w:rsidR="003F26BE" w14:paraId="21A2C25D" w14:textId="77777777" w:rsidTr="003F26BE">
        <w:tc>
          <w:tcPr>
            <w:tcW w:w="9016" w:type="dxa"/>
          </w:tcPr>
          <w:p w14:paraId="2BCE615E" w14:textId="59F61DA4" w:rsidR="003F26BE" w:rsidRPr="004B318C" w:rsidRDefault="003F26BE" w:rsidP="008E075F">
            <w:pPr>
              <w:spacing w:before="280" w:after="200"/>
              <w:rPr>
                <w:rFonts w:eastAsiaTheme="majorEastAsia" w:cs="Arial"/>
                <w:b/>
                <w:bCs/>
                <w:sz w:val="24"/>
                <w:szCs w:val="24"/>
              </w:rPr>
            </w:pPr>
            <w:r w:rsidRPr="004B318C">
              <w:rPr>
                <w:rFonts w:eastAsiaTheme="majorEastAsia" w:cs="Arial"/>
                <w:b/>
                <w:bCs/>
                <w:sz w:val="24"/>
                <w:szCs w:val="24"/>
              </w:rPr>
              <w:lastRenderedPageBreak/>
              <w:t>Early engagement shapes decisions</w:t>
            </w:r>
          </w:p>
          <w:p w14:paraId="59783A3F" w14:textId="76EE95CF" w:rsidR="003F26BE" w:rsidRDefault="003F26BE" w:rsidP="008341A9">
            <w:r>
              <w:t>Consumers need to be involved at the beginning of projects to influence direction, not just respond to decisions made. Early engagement enables:</w:t>
            </w:r>
          </w:p>
          <w:p w14:paraId="0C90B562" w14:textId="77777777" w:rsidR="003F26BE" w:rsidRDefault="004B318C" w:rsidP="004B318C">
            <w:pPr>
              <w:pStyle w:val="HQSCbullets"/>
            </w:pPr>
            <w:r>
              <w:t>Shaping priorities and design before they are fixed</w:t>
            </w:r>
          </w:p>
          <w:p w14:paraId="3F17E787" w14:textId="77777777" w:rsidR="004B318C" w:rsidRDefault="004B318C" w:rsidP="004B318C">
            <w:pPr>
              <w:pStyle w:val="HQSCbullets"/>
            </w:pPr>
            <w:r>
              <w:t>Identifying risks and unintended impacts early</w:t>
            </w:r>
          </w:p>
          <w:p w14:paraId="111FAB30" w14:textId="77777777" w:rsidR="004B318C" w:rsidRDefault="004B318C" w:rsidP="008E075F">
            <w:pPr>
              <w:pStyle w:val="HQSCbullets"/>
              <w:spacing w:after="120" w:line="360" w:lineRule="auto"/>
              <w:ind w:left="357" w:hanging="357"/>
            </w:pPr>
            <w:r>
              <w:t>Stronger alignment with community needs and values</w:t>
            </w:r>
          </w:p>
          <w:p w14:paraId="67F79F2F" w14:textId="0B506279" w:rsidR="004B318C" w:rsidRDefault="004B318C" w:rsidP="008E075F">
            <w:pPr>
              <w:spacing w:line="360" w:lineRule="auto"/>
            </w:pPr>
            <w:r>
              <w:t>When engagement happens late, opportunities to influence outcomes are limited.</w:t>
            </w:r>
          </w:p>
        </w:tc>
      </w:tr>
    </w:tbl>
    <w:p w14:paraId="0A3E6EAB" w14:textId="77777777" w:rsidR="008341A9" w:rsidRPr="004C6F52" w:rsidRDefault="008341A9" w:rsidP="008341A9">
      <w:pPr>
        <w:pStyle w:val="HQSChead3"/>
      </w:pPr>
      <w:r w:rsidRPr="004C6F52">
        <w:t>Make time for real conversation</w:t>
      </w:r>
    </w:p>
    <w:p w14:paraId="18284E52" w14:textId="77777777" w:rsidR="008341A9" w:rsidRDefault="008341A9" w:rsidP="008341A9">
      <w:r w:rsidRPr="00812CF2">
        <w:t xml:space="preserve">Across </w:t>
      </w:r>
      <w:r>
        <w:t>Ata</w:t>
      </w:r>
      <w:r w:rsidRPr="00812CF2">
        <w:t>’s experience, time is the most persistent constraint</w:t>
      </w:r>
      <w:r>
        <w:t>.</w:t>
      </w:r>
    </w:p>
    <w:p w14:paraId="5D515C1B" w14:textId="27068B3A" w:rsidR="008341A9" w:rsidRPr="00812CF2" w:rsidRDefault="008341A9" w:rsidP="008341A9">
      <w:r>
        <w:t xml:space="preserve">Time in and around meetings is important. The dialogue is what really starts to </w:t>
      </w:r>
      <w:proofErr w:type="gramStart"/>
      <w:r>
        <w:t>open up</w:t>
      </w:r>
      <w:proofErr w:type="gramEnd"/>
      <w:r>
        <w:t xml:space="preserve"> the thought-provoking conversations and </w:t>
      </w:r>
      <w:r w:rsidRPr="00D36F9C">
        <w:t xml:space="preserve">ultimately </w:t>
      </w:r>
      <w:r>
        <w:t xml:space="preserve">useful </w:t>
      </w:r>
      <w:r w:rsidRPr="00D36F9C">
        <w:t xml:space="preserve">feedback on the </w:t>
      </w:r>
      <w:r w:rsidRPr="00812CF2">
        <w:t>various projects and programmes</w:t>
      </w:r>
      <w:r>
        <w:t>.</w:t>
      </w:r>
    </w:p>
    <w:p w14:paraId="15475A1E" w14:textId="77777777" w:rsidR="008341A9" w:rsidRPr="002D3E76" w:rsidRDefault="008341A9" w:rsidP="008341A9">
      <w:r w:rsidRPr="00787925">
        <w:t>‘The conversation is where the real insight comes through.’</w:t>
      </w:r>
    </w:p>
    <w:p w14:paraId="40205EC8" w14:textId="77777777" w:rsidR="008341A9" w:rsidRDefault="008341A9" w:rsidP="008341A9">
      <w:r w:rsidRPr="00E9574D">
        <w:t>There is an understanding that the system itself operates within constraints</w:t>
      </w:r>
      <w:r>
        <w:t>. T</w:t>
      </w:r>
      <w:r w:rsidRPr="00E9574D">
        <w:t>he pressure is shared but still felt.</w:t>
      </w:r>
    </w:p>
    <w:tbl>
      <w:tblPr>
        <w:tblStyle w:val="TableGrid"/>
        <w:tblW w:w="0" w:type="auto"/>
        <w:tblLook w:val="04A0" w:firstRow="1" w:lastRow="0" w:firstColumn="1" w:lastColumn="0" w:noHBand="0" w:noVBand="1"/>
      </w:tblPr>
      <w:tblGrid>
        <w:gridCol w:w="9016"/>
      </w:tblGrid>
      <w:tr w:rsidR="00030673" w14:paraId="6983188A" w14:textId="77777777" w:rsidTr="00030673">
        <w:tc>
          <w:tcPr>
            <w:tcW w:w="9016" w:type="dxa"/>
          </w:tcPr>
          <w:p w14:paraId="6176AF3D" w14:textId="41180258" w:rsidR="00030673" w:rsidRPr="00030673" w:rsidRDefault="00030673" w:rsidP="008E075F">
            <w:pPr>
              <w:spacing w:before="280" w:after="200"/>
              <w:rPr>
                <w:rFonts w:eastAsiaTheme="majorEastAsia" w:cs="Arial"/>
                <w:b/>
                <w:bCs/>
                <w:sz w:val="24"/>
                <w:szCs w:val="24"/>
              </w:rPr>
            </w:pPr>
            <w:r w:rsidRPr="00030673">
              <w:rPr>
                <w:rFonts w:eastAsiaTheme="majorEastAsia" w:cs="Arial"/>
                <w:b/>
                <w:bCs/>
                <w:sz w:val="24"/>
                <w:szCs w:val="24"/>
              </w:rPr>
              <w:t>Time enables meaningful contribution</w:t>
            </w:r>
          </w:p>
          <w:p w14:paraId="34EBF9C0" w14:textId="77777777" w:rsidR="00030673" w:rsidRDefault="00030673" w:rsidP="008341A9">
            <w:r>
              <w:t>Meaningful engagement requires enough time to:</w:t>
            </w:r>
          </w:p>
          <w:p w14:paraId="57AB8CEE" w14:textId="2188988A" w:rsidR="00030673" w:rsidRDefault="00030673" w:rsidP="00030673">
            <w:pPr>
              <w:pStyle w:val="HQSCbullets"/>
            </w:pPr>
            <w:r>
              <w:t>Read and understand material</w:t>
            </w:r>
          </w:p>
          <w:p w14:paraId="5F90507A" w14:textId="77777777" w:rsidR="00030673" w:rsidRDefault="00030673" w:rsidP="00030673">
            <w:pPr>
              <w:pStyle w:val="HQSCbullets"/>
            </w:pPr>
            <w:r>
              <w:t>Unpack complex information</w:t>
            </w:r>
          </w:p>
          <w:p w14:paraId="68A4792F" w14:textId="77777777" w:rsidR="00030673" w:rsidRDefault="00030673" w:rsidP="00030673">
            <w:pPr>
              <w:pStyle w:val="HQSCbullets"/>
            </w:pPr>
            <w:r>
              <w:t>Ask questions</w:t>
            </w:r>
          </w:p>
          <w:p w14:paraId="4B38FADD" w14:textId="77777777" w:rsidR="00030673" w:rsidRDefault="00030673" w:rsidP="00030673">
            <w:pPr>
              <w:pStyle w:val="HQSCbullets"/>
            </w:pPr>
            <w:r>
              <w:t xml:space="preserve">Connect lived experience to system design </w:t>
            </w:r>
          </w:p>
          <w:p w14:paraId="04EADA3B" w14:textId="03134A87" w:rsidR="00030673" w:rsidRDefault="00030673" w:rsidP="008E075F">
            <w:pPr>
              <w:pStyle w:val="HQSCbullets"/>
              <w:spacing w:after="120" w:line="360" w:lineRule="auto"/>
              <w:ind w:left="357" w:hanging="357"/>
            </w:pPr>
            <w:r>
              <w:t xml:space="preserve">Contribute thoughtfully </w:t>
            </w:r>
          </w:p>
          <w:p w14:paraId="6B45A2CA" w14:textId="7F7ACD37" w:rsidR="00E80E75" w:rsidRDefault="00030673" w:rsidP="008E075F">
            <w:pPr>
              <w:spacing w:line="360" w:lineRule="auto"/>
            </w:pPr>
            <w:r>
              <w:t xml:space="preserve">The most valuable insights often emerge through discussion. not just written feedback. </w:t>
            </w:r>
          </w:p>
        </w:tc>
      </w:tr>
    </w:tbl>
    <w:p w14:paraId="34E0E949" w14:textId="77777777" w:rsidR="008341A9" w:rsidRPr="00812CF2" w:rsidRDefault="008341A9" w:rsidP="008341A9">
      <w:pPr>
        <w:pStyle w:val="HQSChead3"/>
      </w:pPr>
      <w:r w:rsidRPr="00812CF2">
        <w:t>Close the loop</w:t>
      </w:r>
    </w:p>
    <w:p w14:paraId="33626C10" w14:textId="77777777" w:rsidR="008341A9" w:rsidRPr="00E9574D" w:rsidRDefault="008341A9" w:rsidP="008341A9">
      <w:r w:rsidRPr="00E9574D">
        <w:t xml:space="preserve">Being included matters, but for </w:t>
      </w:r>
      <w:r>
        <w:t>Ata</w:t>
      </w:r>
      <w:r w:rsidRPr="00E9574D">
        <w:t>, impact matters</w:t>
      </w:r>
      <w:r>
        <w:t>,</w:t>
      </w:r>
      <w:r w:rsidRPr="00E9574D">
        <w:t xml:space="preserve"> too.</w:t>
      </w:r>
    </w:p>
    <w:p w14:paraId="61D873C8" w14:textId="77777777" w:rsidR="008341A9" w:rsidRPr="002D3E76" w:rsidRDefault="008341A9" w:rsidP="008341A9">
      <w:r w:rsidRPr="00787925">
        <w:t>‘Having a seat is one thing</w:t>
      </w:r>
      <w:r>
        <w:t xml:space="preserve"> </w:t>
      </w:r>
      <w:r w:rsidRPr="00787925">
        <w:t>… but you want to know what happened because of what we said?’</w:t>
      </w:r>
    </w:p>
    <w:p w14:paraId="2128348B" w14:textId="39D5C11E" w:rsidR="00E80E75" w:rsidRDefault="008341A9" w:rsidP="00E80E75">
      <w:r>
        <w:t>Understanding is important to Ata.</w:t>
      </w:r>
    </w:p>
    <w:p w14:paraId="0AED1D38" w14:textId="77777777" w:rsidR="00E80E75" w:rsidRDefault="00E80E75" w:rsidP="00E80E75"/>
    <w:tbl>
      <w:tblPr>
        <w:tblStyle w:val="TableGrid"/>
        <w:tblW w:w="0" w:type="auto"/>
        <w:tblLook w:val="04A0" w:firstRow="1" w:lastRow="0" w:firstColumn="1" w:lastColumn="0" w:noHBand="0" w:noVBand="1"/>
      </w:tblPr>
      <w:tblGrid>
        <w:gridCol w:w="9016"/>
      </w:tblGrid>
      <w:tr w:rsidR="00030673" w14:paraId="7FC92377" w14:textId="77777777" w:rsidTr="00030673">
        <w:tc>
          <w:tcPr>
            <w:tcW w:w="9016" w:type="dxa"/>
          </w:tcPr>
          <w:p w14:paraId="0D32839F" w14:textId="77777777" w:rsidR="00030673" w:rsidRPr="00E80E75" w:rsidRDefault="00030673" w:rsidP="008E075F">
            <w:pPr>
              <w:spacing w:before="280" w:after="200"/>
              <w:rPr>
                <w:rFonts w:eastAsiaTheme="majorEastAsia" w:cs="Arial"/>
                <w:b/>
                <w:bCs/>
                <w:sz w:val="24"/>
                <w:szCs w:val="24"/>
              </w:rPr>
            </w:pPr>
            <w:r w:rsidRPr="00E80E75">
              <w:rPr>
                <w:rFonts w:eastAsiaTheme="majorEastAsia" w:cs="Arial"/>
                <w:b/>
                <w:bCs/>
                <w:sz w:val="24"/>
                <w:szCs w:val="24"/>
              </w:rPr>
              <w:lastRenderedPageBreak/>
              <w:t>Closing the loop builds trust and impact</w:t>
            </w:r>
          </w:p>
          <w:p w14:paraId="04A576C8" w14:textId="77777777" w:rsidR="00030673" w:rsidRDefault="00030673" w:rsidP="008341A9">
            <w:r>
              <w:t>Consumers need to see how their input is used. This includes:</w:t>
            </w:r>
          </w:p>
          <w:p w14:paraId="2DF4FEF9" w14:textId="77777777" w:rsidR="00030673" w:rsidRDefault="00030673" w:rsidP="00E80E75">
            <w:pPr>
              <w:pStyle w:val="HQSCbullets"/>
            </w:pPr>
            <w:r>
              <w:t>Clarity on how feedback informed decisions</w:t>
            </w:r>
          </w:p>
          <w:p w14:paraId="0958F69B" w14:textId="77777777" w:rsidR="00030673" w:rsidRDefault="00030673" w:rsidP="00E80E75">
            <w:pPr>
              <w:pStyle w:val="HQSCbullets"/>
            </w:pPr>
            <w:r>
              <w:t>Visibility of what changed (or didn’t, and why)</w:t>
            </w:r>
          </w:p>
          <w:p w14:paraId="6363A144" w14:textId="77777777" w:rsidR="00030673" w:rsidRDefault="00030673" w:rsidP="008E075F">
            <w:pPr>
              <w:pStyle w:val="HQSCbullets"/>
              <w:spacing w:after="120" w:line="360" w:lineRule="auto"/>
              <w:ind w:left="357" w:hanging="357"/>
            </w:pPr>
            <w:r>
              <w:t>Ongoing communication across project stages</w:t>
            </w:r>
          </w:p>
          <w:p w14:paraId="26936652" w14:textId="75177C76" w:rsidR="00E80E75" w:rsidRDefault="00E80E75" w:rsidP="008E075F">
            <w:pPr>
              <w:spacing w:line="276" w:lineRule="auto"/>
            </w:pPr>
            <w:r w:rsidRPr="00E9574D">
              <w:t xml:space="preserve">Closing the loop helps consumers understand where their voice makes a difference and how </w:t>
            </w:r>
            <w:r>
              <w:t>consumer input</w:t>
            </w:r>
            <w:r w:rsidRPr="00E9574D">
              <w:t xml:space="preserve"> contributes over time.</w:t>
            </w:r>
            <w:r>
              <w:t xml:space="preserve"> Understanding these things helps strengthen the work and the visibility of impact.</w:t>
            </w:r>
            <w:r w:rsidR="00030673">
              <w:t xml:space="preserve"> </w:t>
            </w:r>
          </w:p>
        </w:tc>
      </w:tr>
    </w:tbl>
    <w:p w14:paraId="2E25A16F" w14:textId="77777777" w:rsidR="008341A9" w:rsidRPr="00287984" w:rsidRDefault="008341A9" w:rsidP="008341A9">
      <w:pPr>
        <w:pStyle w:val="HQSChead2"/>
      </w:pPr>
      <w:r>
        <w:t xml:space="preserve">The inspiration that guides </w:t>
      </w:r>
      <w:r w:rsidRPr="00287984">
        <w:t>Ata</w:t>
      </w:r>
    </w:p>
    <w:p w14:paraId="74AEFB55" w14:textId="77777777" w:rsidR="008341A9" w:rsidRPr="007E3CE5" w:rsidRDefault="008341A9" w:rsidP="008341A9">
      <w:r w:rsidRPr="007E3CE5">
        <w:t xml:space="preserve">Seeing what’s possible has inspired </w:t>
      </w:r>
      <w:r>
        <w:t>Ata</w:t>
      </w:r>
      <w:r w:rsidRPr="007E3CE5">
        <w:t xml:space="preserve"> to stay involved.</w:t>
      </w:r>
    </w:p>
    <w:p w14:paraId="77ECEE2D" w14:textId="77777777" w:rsidR="008341A9" w:rsidRPr="00787925" w:rsidRDefault="008341A9" w:rsidP="008341A9">
      <w:r w:rsidRPr="00787925">
        <w:t>‘I know what an outcome looks like when it honours our culture and values.’</w:t>
      </w:r>
    </w:p>
    <w:p w14:paraId="577A2FC1" w14:textId="77777777" w:rsidR="008341A9" w:rsidRPr="004C6F52" w:rsidRDefault="008341A9" w:rsidP="008341A9">
      <w:r w:rsidRPr="006E3BBC">
        <w:t>That belief creates</w:t>
      </w:r>
      <w:r>
        <w:t xml:space="preserve"> </w:t>
      </w:r>
      <w:r w:rsidRPr="00E9574D">
        <w:t>a strong sense of what is possible</w:t>
      </w:r>
      <w:r>
        <w:t xml:space="preserve"> as well as </w:t>
      </w:r>
      <w:r w:rsidRPr="006E3BBC">
        <w:t>frustration when the system falls short</w:t>
      </w:r>
      <w:r>
        <w:t>. Knowing what is possible is what keeps Ata motivated to keep contributing.</w:t>
      </w:r>
    </w:p>
    <w:p w14:paraId="0586DF40" w14:textId="77777777" w:rsidR="008341A9" w:rsidRPr="004C6F52" w:rsidRDefault="008341A9" w:rsidP="008341A9">
      <w:pPr>
        <w:pStyle w:val="HQSChead2"/>
      </w:pPr>
      <w:r w:rsidRPr="004C6F52">
        <w:t>A final reflection</w:t>
      </w:r>
    </w:p>
    <w:p w14:paraId="222F4F74" w14:textId="77777777" w:rsidR="008341A9" w:rsidRDefault="008341A9" w:rsidP="008341A9">
      <w:r w:rsidRPr="006E3BBC">
        <w:t>Behind every piece of feedback is not just an opinion but an experience, and a hope that things can be different for someone else.</w:t>
      </w:r>
    </w:p>
    <w:p w14:paraId="0C07C745" w14:textId="77777777" w:rsidR="008341A9" w:rsidRPr="00A65F36" w:rsidRDefault="008341A9" w:rsidP="008341A9">
      <w:r>
        <w:t xml:space="preserve">Health New Zealand is continually seeking feedback from those involved in this work and improving based on the evidence presented </w:t>
      </w:r>
      <w:proofErr w:type="gramStart"/>
      <w:r>
        <w:t>in an effort to</w:t>
      </w:r>
      <w:proofErr w:type="gramEnd"/>
      <w:r>
        <w:t xml:space="preserve"> strengthen the NRCC’s effectiveness. This case study contributes to that evidence. By continuing to build on what works well and responding thoughtfully to consumer experience, it is well positioned to deepen its impact and strengthen consumer involvement across the Northern Region.</w:t>
      </w:r>
    </w:p>
    <w:p w14:paraId="4ABB1C3E" w14:textId="77777777" w:rsidR="006A473A" w:rsidRDefault="006A473A" w:rsidP="00351589">
      <w:pPr>
        <w:pStyle w:val="HQSCbodytext"/>
      </w:pPr>
    </w:p>
    <w:p w14:paraId="266D0DDA" w14:textId="77777777" w:rsidR="00E80E75" w:rsidRDefault="00E80E75" w:rsidP="00351589">
      <w:pPr>
        <w:pStyle w:val="HQSCbodytext"/>
      </w:pPr>
    </w:p>
    <w:p w14:paraId="1D121681" w14:textId="77777777" w:rsidR="00E80E75" w:rsidRDefault="00E80E75" w:rsidP="00351589">
      <w:pPr>
        <w:pStyle w:val="HQSCbodytext"/>
      </w:pPr>
    </w:p>
    <w:p w14:paraId="1CDEE398" w14:textId="77777777" w:rsidR="003F26B3" w:rsidRDefault="00AF57B3" w:rsidP="006838BC">
      <w:pPr>
        <w:pStyle w:val="HQSCbodytext"/>
      </w:pPr>
      <w:r w:rsidRPr="00052E86">
        <w:t>Published</w:t>
      </w:r>
      <w:r w:rsidR="003F26B3">
        <w:t xml:space="preserve"> June 2026</w:t>
      </w:r>
      <w:r>
        <w:t xml:space="preserve"> by Health Quality &amp; Safety Commission</w:t>
      </w:r>
      <w:r w:rsidR="00DC0A53">
        <w:t xml:space="preserve"> Te Tāhū Hauora</w:t>
      </w:r>
      <w:r>
        <w:t xml:space="preserve">, PO Box 25496, Wellington, 6146. </w:t>
      </w:r>
      <w:r w:rsidRPr="00052E86">
        <w:t xml:space="preserve">Available online at </w:t>
      </w:r>
      <w:hyperlink r:id="rId9" w:history="1">
        <w:r w:rsidRPr="00052E86">
          <w:rPr>
            <w:rStyle w:val="Hyperlink"/>
          </w:rPr>
          <w:t>www.hqsc.govt.nz</w:t>
        </w:r>
      </w:hyperlink>
      <w:r>
        <w:t>.</w:t>
      </w:r>
    </w:p>
    <w:p w14:paraId="07375982" w14:textId="09690484" w:rsidR="00AF57B3" w:rsidRDefault="00AF57B3" w:rsidP="006838BC">
      <w:pPr>
        <w:pStyle w:val="HQSCbodytext"/>
      </w:pPr>
      <w:r w:rsidRPr="00052E86">
        <w:t xml:space="preserve">Enquiries to: </w:t>
      </w:r>
      <w:hyperlink r:id="rId10" w:history="1">
        <w:r w:rsidRPr="00A45102">
          <w:rPr>
            <w:rStyle w:val="Hyperlink"/>
          </w:rPr>
          <w:t>info@hqsc.govt.nz</w:t>
        </w:r>
      </w:hyperlink>
    </w:p>
    <w:p w14:paraId="6649AA04" w14:textId="77777777" w:rsidR="001E225F" w:rsidRDefault="001E225F" w:rsidP="006838BC">
      <w:pPr>
        <w:pStyle w:val="HQSCbodytext"/>
      </w:pPr>
    </w:p>
    <w:p w14:paraId="717181AD" w14:textId="7B4D7766" w:rsidR="00AF57B3" w:rsidRPr="004846B0" w:rsidRDefault="001E225F" w:rsidP="00C06646">
      <w:pPr>
        <w:pStyle w:val="HQSCbodytext"/>
        <w:rPr>
          <w:noProof/>
        </w:rPr>
      </w:pPr>
      <w:r w:rsidRPr="001E225F">
        <w:rPr>
          <w:noProof/>
        </w:rPr>
        <w:drawing>
          <wp:anchor distT="0" distB="0" distL="114300" distR="114300" simplePos="0" relativeHeight="251660288" behindDoc="0" locked="0" layoutInCell="1" allowOverlap="1" wp14:anchorId="0305ED86" wp14:editId="60C4D0D5">
            <wp:simplePos x="0" y="0"/>
            <wp:positionH relativeFrom="column">
              <wp:posOffset>0</wp:posOffset>
            </wp:positionH>
            <wp:positionV relativeFrom="paragraph">
              <wp:posOffset>-3175</wp:posOffset>
            </wp:positionV>
            <wp:extent cx="2440800" cy="561600"/>
            <wp:effectExtent l="0" t="0" r="0" b="0"/>
            <wp:wrapSquare wrapText="bothSides"/>
            <wp:docPr id="1684609659" name="Picture 2" descr="The New Zealand Government logo is made up of the coat of arms of New Zealand on the left and the words New Zealand Government in bold letters alongside it, with Te Kāwanatanga o Aotearoa writte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09659" name="Picture 2" descr="The New Zealand Government logo is made up of the coat of arms of New Zealand on the left and the words New Zealand Government in bold letters alongside it, with Te Kāwanatanga o Aotearoa written beneat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08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F57B3" w:rsidRPr="004846B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06E0" w14:textId="77777777" w:rsidR="007A14E9" w:rsidRDefault="007A14E9" w:rsidP="003C45E1">
      <w:pPr>
        <w:spacing w:after="0" w:line="240" w:lineRule="auto"/>
      </w:pPr>
      <w:r>
        <w:separator/>
      </w:r>
    </w:p>
  </w:endnote>
  <w:endnote w:type="continuationSeparator" w:id="0">
    <w:p w14:paraId="58E2C7E2" w14:textId="77777777" w:rsidR="007A14E9" w:rsidRDefault="007A14E9"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b w:val="0"/>
        <w:color w:val="auto"/>
        <w:sz w:val="20"/>
        <w:szCs w:val="20"/>
      </w:rPr>
      <w:id w:val="-860358055"/>
      <w:docPartObj>
        <w:docPartGallery w:val="Page Numbers (Bottom of Page)"/>
        <w:docPartUnique/>
      </w:docPartObj>
    </w:sdtPr>
    <w:sdtContent>
      <w:sdt>
        <w:sdtPr>
          <w:rPr>
            <w:rFonts w:eastAsiaTheme="minorHAnsi" w:cstheme="minorBidi"/>
            <w:b w:val="0"/>
            <w:color w:val="auto"/>
            <w:sz w:val="20"/>
            <w:szCs w:val="20"/>
          </w:rPr>
          <w:id w:val="-1769616900"/>
          <w:docPartObj>
            <w:docPartGallery w:val="Page Numbers (Top of Page)"/>
            <w:docPartUnique/>
          </w:docPartObj>
        </w:sdtPr>
        <w:sdtContent>
          <w:p w14:paraId="2B0B57C7" w14:textId="77777777" w:rsidR="00945BE2" w:rsidRPr="00945BE2" w:rsidRDefault="00945BE2" w:rsidP="00945BE2">
            <w:pPr>
              <w:pStyle w:val="HQSChead1"/>
              <w:rPr>
                <w:b w:val="0"/>
                <w:bCs/>
                <w:color w:val="auto"/>
                <w:sz w:val="20"/>
                <w:szCs w:val="20"/>
              </w:rPr>
            </w:pPr>
            <w:r w:rsidRPr="00945BE2">
              <w:rPr>
                <w:b w:val="0"/>
                <w:bCs/>
                <w:color w:val="auto"/>
                <w:sz w:val="20"/>
                <w:szCs w:val="20"/>
              </w:rPr>
              <w:t>‘I know what an outcome looks like when it honours our culture and values’: One consumer’s experience of trying to change the system from within</w:t>
            </w:r>
          </w:p>
          <w:p w14:paraId="7776F90E" w14:textId="6D33245D" w:rsidR="004907D7" w:rsidRPr="004A752B" w:rsidRDefault="004A752B" w:rsidP="004A752B">
            <w:pPr>
              <w:pStyle w:val="Footer"/>
              <w:spacing w:after="120" w:line="276" w:lineRule="auto"/>
              <w:rPr>
                <w:sz w:val="20"/>
                <w:szCs w:val="20"/>
              </w:rPr>
            </w:pPr>
            <w:r w:rsidRPr="004A752B">
              <w:rPr>
                <w:sz w:val="20"/>
                <w:szCs w:val="20"/>
              </w:rPr>
              <w:tab/>
            </w:r>
            <w:r w:rsidRPr="004A752B">
              <w:rPr>
                <w:sz w:val="20"/>
                <w:szCs w:val="20"/>
              </w:rPr>
              <w:tab/>
            </w:r>
            <w:r w:rsidRPr="004A752B">
              <w:rPr>
                <w:sz w:val="20"/>
                <w:szCs w:val="20"/>
              </w:rPr>
              <w:fldChar w:fldCharType="begin"/>
            </w:r>
            <w:r w:rsidRPr="004A752B">
              <w:rPr>
                <w:sz w:val="20"/>
                <w:szCs w:val="20"/>
              </w:rPr>
              <w:instrText xml:space="preserve"> PAGE </w:instrText>
            </w:r>
            <w:r w:rsidRPr="004A752B">
              <w:rPr>
                <w:sz w:val="20"/>
                <w:szCs w:val="20"/>
              </w:rPr>
              <w:fldChar w:fldCharType="separate"/>
            </w:r>
            <w:r w:rsidRPr="004A752B">
              <w:rPr>
                <w:noProof/>
                <w:sz w:val="20"/>
                <w:szCs w:val="20"/>
              </w:rPr>
              <w:t>2</w:t>
            </w:r>
            <w:r w:rsidRPr="004A752B">
              <w:rPr>
                <w:sz w:val="20"/>
                <w:szCs w:val="20"/>
              </w:rPr>
              <w:fldChar w:fldCharType="end"/>
            </w:r>
            <w:r w:rsidRPr="004A752B">
              <w:rPr>
                <w:sz w:val="20"/>
                <w:szCs w:val="20"/>
              </w:rPr>
              <w:t xml:space="preserve"> of </w:t>
            </w:r>
            <w:r w:rsidRPr="004A752B">
              <w:rPr>
                <w:sz w:val="20"/>
                <w:szCs w:val="20"/>
              </w:rPr>
              <w:fldChar w:fldCharType="begin"/>
            </w:r>
            <w:r w:rsidRPr="004A752B">
              <w:rPr>
                <w:sz w:val="20"/>
                <w:szCs w:val="20"/>
              </w:rPr>
              <w:instrText xml:space="preserve"> NUMPAGES  </w:instrText>
            </w:r>
            <w:r w:rsidRPr="004A752B">
              <w:rPr>
                <w:sz w:val="20"/>
                <w:szCs w:val="20"/>
              </w:rPr>
              <w:fldChar w:fldCharType="separate"/>
            </w:r>
            <w:r w:rsidRPr="004A752B">
              <w:rPr>
                <w:noProof/>
                <w:sz w:val="20"/>
                <w:szCs w:val="20"/>
              </w:rPr>
              <w:t>2</w:t>
            </w:r>
            <w:r w:rsidRPr="004A752B">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86FC" w14:textId="77777777" w:rsidR="007A14E9" w:rsidRDefault="007A14E9" w:rsidP="003C45E1">
      <w:pPr>
        <w:spacing w:after="0" w:line="240" w:lineRule="auto"/>
      </w:pPr>
      <w:r>
        <w:separator/>
      </w:r>
    </w:p>
  </w:footnote>
  <w:footnote w:type="continuationSeparator" w:id="0">
    <w:p w14:paraId="2436800B" w14:textId="77777777" w:rsidR="007A14E9" w:rsidRDefault="007A14E9" w:rsidP="003C45E1">
      <w:pPr>
        <w:spacing w:after="0" w:line="240" w:lineRule="auto"/>
      </w:pPr>
      <w:r>
        <w:continuationSeparator/>
      </w:r>
    </w:p>
  </w:footnote>
  <w:footnote w:id="1">
    <w:p w14:paraId="21746966" w14:textId="77777777" w:rsidR="008341A9" w:rsidRPr="00812CF2" w:rsidRDefault="008341A9" w:rsidP="008341A9">
      <w:pPr>
        <w:rPr>
          <w:lang w:val="en-US"/>
        </w:rPr>
      </w:pPr>
      <w:r>
        <w:rPr>
          <w:rStyle w:val="FootnoteReference"/>
        </w:rPr>
        <w:footnoteRef/>
      </w:r>
      <w:r>
        <w:t xml:space="preserve"> </w:t>
      </w:r>
      <w:r w:rsidRPr="00812CF2">
        <w:t xml:space="preserve">The </w:t>
      </w:r>
      <w:r>
        <w:t>NRCC</w:t>
      </w:r>
      <w:r w:rsidRPr="00812CF2">
        <w:t>, established in 2024, brings together diverse consumer members from across the Northern Region to provide consistent engagement in the health system. Meeting regularly</w:t>
      </w:r>
      <w:r>
        <w:t xml:space="preserve"> and operating in an advisory capacity</w:t>
      </w:r>
      <w:r w:rsidRPr="00812CF2">
        <w:t xml:space="preserve">, the </w:t>
      </w:r>
      <w:r>
        <w:t>NRCC</w:t>
      </w:r>
      <w:r w:rsidRPr="00812CF2">
        <w:t xml:space="preserve"> engages with Health N</w:t>
      </w:r>
      <w:r>
        <w:t xml:space="preserve">ew </w:t>
      </w:r>
      <w:r w:rsidRPr="00812CF2">
        <w:t>Z</w:t>
      </w:r>
      <w:r>
        <w:t>ealand</w:t>
      </w:r>
      <w:r w:rsidRPr="00812CF2">
        <w:t xml:space="preserve"> teams on various projects and programmes</w:t>
      </w:r>
      <w:r>
        <w:t>. It offers</w:t>
      </w:r>
      <w:r w:rsidRPr="00812CF2">
        <w:t xml:space="preserve"> feedback grounded in lived experience</w:t>
      </w:r>
      <w:r>
        <w:t>,</w:t>
      </w:r>
      <w:r w:rsidRPr="00812CF2">
        <w:t xml:space="preserve"> with a strong emphasis on equity</w:t>
      </w:r>
      <w:r>
        <w:t xml:space="preserve"> of</w:t>
      </w:r>
      <w:r w:rsidRPr="00812CF2">
        <w:t xml:space="preserve"> access</w:t>
      </w:r>
      <w:r>
        <w:t xml:space="preserve"> and outcomes</w:t>
      </w:r>
      <w:r w:rsidRPr="00812CF2">
        <w:t>, and care</w:t>
      </w:r>
      <w:r w:rsidRPr="004E169B">
        <w:t xml:space="preserve"> </w:t>
      </w:r>
      <w:r w:rsidRPr="00812CF2">
        <w:t>centred</w:t>
      </w:r>
      <w:r w:rsidRPr="004E169B">
        <w:t xml:space="preserve"> </w:t>
      </w:r>
      <w:r>
        <w:t xml:space="preserve">around </w:t>
      </w:r>
      <w:r w:rsidRPr="00812CF2">
        <w:t>whānau.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0813112">
    <w:abstractNumId w:val="7"/>
  </w:num>
  <w:num w:numId="2" w16cid:durableId="1664695360">
    <w:abstractNumId w:val="9"/>
  </w:num>
  <w:num w:numId="3" w16cid:durableId="86075489">
    <w:abstractNumId w:val="12"/>
  </w:num>
  <w:num w:numId="4" w16cid:durableId="961226629">
    <w:abstractNumId w:val="10"/>
  </w:num>
  <w:num w:numId="5" w16cid:durableId="810247892">
    <w:abstractNumId w:val="13"/>
  </w:num>
  <w:num w:numId="6" w16cid:durableId="199098544">
    <w:abstractNumId w:val="8"/>
  </w:num>
  <w:num w:numId="7" w16cid:durableId="1829781319">
    <w:abstractNumId w:val="16"/>
  </w:num>
  <w:num w:numId="8" w16cid:durableId="534579980">
    <w:abstractNumId w:val="11"/>
  </w:num>
  <w:num w:numId="9" w16cid:durableId="1863742993">
    <w:abstractNumId w:val="6"/>
  </w:num>
  <w:num w:numId="10" w16cid:durableId="50538599">
    <w:abstractNumId w:val="5"/>
  </w:num>
  <w:num w:numId="11" w16cid:durableId="1131828693">
    <w:abstractNumId w:val="3"/>
  </w:num>
  <w:num w:numId="12" w16cid:durableId="1093433892">
    <w:abstractNumId w:val="15"/>
  </w:num>
  <w:num w:numId="13" w16cid:durableId="272787516">
    <w:abstractNumId w:val="14"/>
  </w:num>
  <w:num w:numId="14" w16cid:durableId="1390617373">
    <w:abstractNumId w:val="4"/>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391001755">
    <w:abstractNumId w:val="1"/>
  </w:num>
  <w:num w:numId="20" w16cid:durableId="723681056">
    <w:abstractNumId w:val="1"/>
  </w:num>
  <w:num w:numId="21" w16cid:durableId="1648318475">
    <w:abstractNumId w:val="1"/>
  </w:num>
  <w:num w:numId="22" w16cid:durableId="1997296217">
    <w:abstractNumId w:val="1"/>
  </w:num>
  <w:num w:numId="23" w16cid:durableId="440874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42"/>
    <w:rsid w:val="00000224"/>
    <w:rsid w:val="00003978"/>
    <w:rsid w:val="00005986"/>
    <w:rsid w:val="000072B5"/>
    <w:rsid w:val="00012CD3"/>
    <w:rsid w:val="00014BDF"/>
    <w:rsid w:val="000154D5"/>
    <w:rsid w:val="00015F44"/>
    <w:rsid w:val="00017216"/>
    <w:rsid w:val="00021A1A"/>
    <w:rsid w:val="000235D4"/>
    <w:rsid w:val="000257D7"/>
    <w:rsid w:val="00026401"/>
    <w:rsid w:val="00030673"/>
    <w:rsid w:val="00043083"/>
    <w:rsid w:val="00051CC0"/>
    <w:rsid w:val="0005287A"/>
    <w:rsid w:val="00052B4C"/>
    <w:rsid w:val="0005504C"/>
    <w:rsid w:val="00057F11"/>
    <w:rsid w:val="00062B82"/>
    <w:rsid w:val="00067C71"/>
    <w:rsid w:val="00071CE6"/>
    <w:rsid w:val="00072B90"/>
    <w:rsid w:val="00077897"/>
    <w:rsid w:val="00081524"/>
    <w:rsid w:val="00081E3B"/>
    <w:rsid w:val="00083C26"/>
    <w:rsid w:val="0008726B"/>
    <w:rsid w:val="00092A37"/>
    <w:rsid w:val="00096C19"/>
    <w:rsid w:val="000A5622"/>
    <w:rsid w:val="000B111C"/>
    <w:rsid w:val="000C1227"/>
    <w:rsid w:val="000C71F5"/>
    <w:rsid w:val="000D7E4B"/>
    <w:rsid w:val="000E5B30"/>
    <w:rsid w:val="000F32D0"/>
    <w:rsid w:val="000F7471"/>
    <w:rsid w:val="00101302"/>
    <w:rsid w:val="00104BBC"/>
    <w:rsid w:val="00105E23"/>
    <w:rsid w:val="00106ECE"/>
    <w:rsid w:val="001111D6"/>
    <w:rsid w:val="001123E1"/>
    <w:rsid w:val="00115489"/>
    <w:rsid w:val="00115AEB"/>
    <w:rsid w:val="001249E2"/>
    <w:rsid w:val="00124E94"/>
    <w:rsid w:val="0013118C"/>
    <w:rsid w:val="00131E3D"/>
    <w:rsid w:val="00133F6A"/>
    <w:rsid w:val="00134F5C"/>
    <w:rsid w:val="001378CA"/>
    <w:rsid w:val="00140AAC"/>
    <w:rsid w:val="00143651"/>
    <w:rsid w:val="00147145"/>
    <w:rsid w:val="00150EC1"/>
    <w:rsid w:val="00150EE7"/>
    <w:rsid w:val="00150F2F"/>
    <w:rsid w:val="00153C73"/>
    <w:rsid w:val="001639FA"/>
    <w:rsid w:val="00164036"/>
    <w:rsid w:val="00165B6D"/>
    <w:rsid w:val="00173B88"/>
    <w:rsid w:val="00183047"/>
    <w:rsid w:val="00183219"/>
    <w:rsid w:val="00183F98"/>
    <w:rsid w:val="001855EA"/>
    <w:rsid w:val="00185F52"/>
    <w:rsid w:val="00193951"/>
    <w:rsid w:val="0019407B"/>
    <w:rsid w:val="001A02AD"/>
    <w:rsid w:val="001A132C"/>
    <w:rsid w:val="001A2A4E"/>
    <w:rsid w:val="001A44E7"/>
    <w:rsid w:val="001A6068"/>
    <w:rsid w:val="001A6553"/>
    <w:rsid w:val="001B161C"/>
    <w:rsid w:val="001B6AEC"/>
    <w:rsid w:val="001C2409"/>
    <w:rsid w:val="001D0822"/>
    <w:rsid w:val="001D6AAD"/>
    <w:rsid w:val="001E06DF"/>
    <w:rsid w:val="001E0B57"/>
    <w:rsid w:val="001E225F"/>
    <w:rsid w:val="001E6A9F"/>
    <w:rsid w:val="001F1896"/>
    <w:rsid w:val="001F3461"/>
    <w:rsid w:val="0020107E"/>
    <w:rsid w:val="002035ED"/>
    <w:rsid w:val="00203EA2"/>
    <w:rsid w:val="00205657"/>
    <w:rsid w:val="00205AD6"/>
    <w:rsid w:val="00207222"/>
    <w:rsid w:val="002121B9"/>
    <w:rsid w:val="0021261B"/>
    <w:rsid w:val="002201B7"/>
    <w:rsid w:val="00225BC0"/>
    <w:rsid w:val="0023054B"/>
    <w:rsid w:val="002339EA"/>
    <w:rsid w:val="002371B4"/>
    <w:rsid w:val="00237533"/>
    <w:rsid w:val="00244839"/>
    <w:rsid w:val="00245178"/>
    <w:rsid w:val="002514A1"/>
    <w:rsid w:val="00252B7B"/>
    <w:rsid w:val="002665C5"/>
    <w:rsid w:val="0027152B"/>
    <w:rsid w:val="00272AA4"/>
    <w:rsid w:val="002855ED"/>
    <w:rsid w:val="00287D53"/>
    <w:rsid w:val="0029029C"/>
    <w:rsid w:val="00291E66"/>
    <w:rsid w:val="0029676C"/>
    <w:rsid w:val="002969D8"/>
    <w:rsid w:val="00297582"/>
    <w:rsid w:val="00297676"/>
    <w:rsid w:val="00297B4B"/>
    <w:rsid w:val="00297DA1"/>
    <w:rsid w:val="002B4FF6"/>
    <w:rsid w:val="002D22C7"/>
    <w:rsid w:val="002E1666"/>
    <w:rsid w:val="002E2CCF"/>
    <w:rsid w:val="002E547C"/>
    <w:rsid w:val="002E7831"/>
    <w:rsid w:val="002F1778"/>
    <w:rsid w:val="002F6704"/>
    <w:rsid w:val="00300830"/>
    <w:rsid w:val="0030109F"/>
    <w:rsid w:val="00301AB6"/>
    <w:rsid w:val="00303EF1"/>
    <w:rsid w:val="00310A90"/>
    <w:rsid w:val="00331D2C"/>
    <w:rsid w:val="003362F8"/>
    <w:rsid w:val="00340841"/>
    <w:rsid w:val="0034255E"/>
    <w:rsid w:val="003451B3"/>
    <w:rsid w:val="00345201"/>
    <w:rsid w:val="00345ACC"/>
    <w:rsid w:val="003470AA"/>
    <w:rsid w:val="00350934"/>
    <w:rsid w:val="00351589"/>
    <w:rsid w:val="003557A9"/>
    <w:rsid w:val="003558C2"/>
    <w:rsid w:val="00356454"/>
    <w:rsid w:val="0035680A"/>
    <w:rsid w:val="0036225A"/>
    <w:rsid w:val="00370C0F"/>
    <w:rsid w:val="003720D9"/>
    <w:rsid w:val="00372989"/>
    <w:rsid w:val="00374EB2"/>
    <w:rsid w:val="003751B1"/>
    <w:rsid w:val="00380044"/>
    <w:rsid w:val="0038042C"/>
    <w:rsid w:val="00386712"/>
    <w:rsid w:val="00390A08"/>
    <w:rsid w:val="00392C96"/>
    <w:rsid w:val="00393170"/>
    <w:rsid w:val="00395DE2"/>
    <w:rsid w:val="003A1838"/>
    <w:rsid w:val="003A3D1C"/>
    <w:rsid w:val="003B13D7"/>
    <w:rsid w:val="003B2535"/>
    <w:rsid w:val="003B6C8D"/>
    <w:rsid w:val="003B784D"/>
    <w:rsid w:val="003C45E1"/>
    <w:rsid w:val="003C597F"/>
    <w:rsid w:val="003D19E6"/>
    <w:rsid w:val="003E1978"/>
    <w:rsid w:val="003E2238"/>
    <w:rsid w:val="003E38E3"/>
    <w:rsid w:val="003E52D6"/>
    <w:rsid w:val="003F0791"/>
    <w:rsid w:val="003F26B3"/>
    <w:rsid w:val="003F26BE"/>
    <w:rsid w:val="003F330A"/>
    <w:rsid w:val="003F5A26"/>
    <w:rsid w:val="00402A50"/>
    <w:rsid w:val="0040657D"/>
    <w:rsid w:val="00407CA8"/>
    <w:rsid w:val="00410D2D"/>
    <w:rsid w:val="004114BA"/>
    <w:rsid w:val="00411BBC"/>
    <w:rsid w:val="00416629"/>
    <w:rsid w:val="004201E0"/>
    <w:rsid w:val="004241B9"/>
    <w:rsid w:val="004258F9"/>
    <w:rsid w:val="00425AA0"/>
    <w:rsid w:val="00426CB8"/>
    <w:rsid w:val="00432DE0"/>
    <w:rsid w:val="00433D6F"/>
    <w:rsid w:val="004363F2"/>
    <w:rsid w:val="0043743D"/>
    <w:rsid w:val="00442819"/>
    <w:rsid w:val="00442889"/>
    <w:rsid w:val="004458DE"/>
    <w:rsid w:val="004466EF"/>
    <w:rsid w:val="00447327"/>
    <w:rsid w:val="0045000E"/>
    <w:rsid w:val="0045730F"/>
    <w:rsid w:val="00461A9A"/>
    <w:rsid w:val="00461AE6"/>
    <w:rsid w:val="00462D7A"/>
    <w:rsid w:val="004639D3"/>
    <w:rsid w:val="00470861"/>
    <w:rsid w:val="0047638D"/>
    <w:rsid w:val="0047654C"/>
    <w:rsid w:val="0048247F"/>
    <w:rsid w:val="004846B0"/>
    <w:rsid w:val="004857E1"/>
    <w:rsid w:val="004863EB"/>
    <w:rsid w:val="004907D7"/>
    <w:rsid w:val="004947A0"/>
    <w:rsid w:val="0049681B"/>
    <w:rsid w:val="004968AD"/>
    <w:rsid w:val="004A0DE8"/>
    <w:rsid w:val="004A182F"/>
    <w:rsid w:val="004A1ACA"/>
    <w:rsid w:val="004A1E32"/>
    <w:rsid w:val="004A54CE"/>
    <w:rsid w:val="004A6075"/>
    <w:rsid w:val="004A752B"/>
    <w:rsid w:val="004B0E7D"/>
    <w:rsid w:val="004B318C"/>
    <w:rsid w:val="004B387A"/>
    <w:rsid w:val="004B7369"/>
    <w:rsid w:val="004B7CE3"/>
    <w:rsid w:val="004C24CF"/>
    <w:rsid w:val="004C6CC9"/>
    <w:rsid w:val="004D0AD0"/>
    <w:rsid w:val="004D441C"/>
    <w:rsid w:val="004D6696"/>
    <w:rsid w:val="004E0317"/>
    <w:rsid w:val="004E04D9"/>
    <w:rsid w:val="004E1DD4"/>
    <w:rsid w:val="004E4BE9"/>
    <w:rsid w:val="004E6CE7"/>
    <w:rsid w:val="004F0CFB"/>
    <w:rsid w:val="004F6871"/>
    <w:rsid w:val="005025A1"/>
    <w:rsid w:val="00505999"/>
    <w:rsid w:val="005166FD"/>
    <w:rsid w:val="005240E9"/>
    <w:rsid w:val="005267A2"/>
    <w:rsid w:val="00530F66"/>
    <w:rsid w:val="00533F38"/>
    <w:rsid w:val="005351ED"/>
    <w:rsid w:val="005369FF"/>
    <w:rsid w:val="00540003"/>
    <w:rsid w:val="00551DD8"/>
    <w:rsid w:val="005557C1"/>
    <w:rsid w:val="00555C13"/>
    <w:rsid w:val="00561028"/>
    <w:rsid w:val="00566A3D"/>
    <w:rsid w:val="005678BB"/>
    <w:rsid w:val="00572C53"/>
    <w:rsid w:val="00580F29"/>
    <w:rsid w:val="005820DB"/>
    <w:rsid w:val="005825AC"/>
    <w:rsid w:val="0058260A"/>
    <w:rsid w:val="0058455D"/>
    <w:rsid w:val="00584623"/>
    <w:rsid w:val="00594523"/>
    <w:rsid w:val="005A5B29"/>
    <w:rsid w:val="005A6D47"/>
    <w:rsid w:val="005B033F"/>
    <w:rsid w:val="005B59BC"/>
    <w:rsid w:val="005B68AE"/>
    <w:rsid w:val="005C48F2"/>
    <w:rsid w:val="005E1C29"/>
    <w:rsid w:val="005E3A56"/>
    <w:rsid w:val="005F2B44"/>
    <w:rsid w:val="005F4F38"/>
    <w:rsid w:val="00606E99"/>
    <w:rsid w:val="00610563"/>
    <w:rsid w:val="006107EF"/>
    <w:rsid w:val="00614AC0"/>
    <w:rsid w:val="0062308A"/>
    <w:rsid w:val="00630927"/>
    <w:rsid w:val="00630A1A"/>
    <w:rsid w:val="00632295"/>
    <w:rsid w:val="00632461"/>
    <w:rsid w:val="00635F6B"/>
    <w:rsid w:val="00640803"/>
    <w:rsid w:val="00640F2D"/>
    <w:rsid w:val="00641AC2"/>
    <w:rsid w:val="006469DF"/>
    <w:rsid w:val="00646AB1"/>
    <w:rsid w:val="006501CA"/>
    <w:rsid w:val="00651EE8"/>
    <w:rsid w:val="0065374E"/>
    <w:rsid w:val="0065535B"/>
    <w:rsid w:val="00662F45"/>
    <w:rsid w:val="006657D7"/>
    <w:rsid w:val="00665D22"/>
    <w:rsid w:val="00666274"/>
    <w:rsid w:val="00672126"/>
    <w:rsid w:val="0067432D"/>
    <w:rsid w:val="00675B7E"/>
    <w:rsid w:val="00677DF6"/>
    <w:rsid w:val="00680240"/>
    <w:rsid w:val="006821D2"/>
    <w:rsid w:val="006838BC"/>
    <w:rsid w:val="0068435B"/>
    <w:rsid w:val="00685328"/>
    <w:rsid w:val="0069060A"/>
    <w:rsid w:val="006907DA"/>
    <w:rsid w:val="00691F5B"/>
    <w:rsid w:val="00695C2D"/>
    <w:rsid w:val="00696DEB"/>
    <w:rsid w:val="00697C79"/>
    <w:rsid w:val="006A3910"/>
    <w:rsid w:val="006A473A"/>
    <w:rsid w:val="006A4E3B"/>
    <w:rsid w:val="006A6F8D"/>
    <w:rsid w:val="006A7E69"/>
    <w:rsid w:val="006B2F4A"/>
    <w:rsid w:val="006B4B65"/>
    <w:rsid w:val="006B4E4A"/>
    <w:rsid w:val="006B7508"/>
    <w:rsid w:val="006C6809"/>
    <w:rsid w:val="006D1081"/>
    <w:rsid w:val="006D2995"/>
    <w:rsid w:val="006D2CCB"/>
    <w:rsid w:val="006D341B"/>
    <w:rsid w:val="006D3D27"/>
    <w:rsid w:val="006D4188"/>
    <w:rsid w:val="006D4BD1"/>
    <w:rsid w:val="006D666D"/>
    <w:rsid w:val="006E00EE"/>
    <w:rsid w:val="006E0CBC"/>
    <w:rsid w:val="006E1EC2"/>
    <w:rsid w:val="006E3D7B"/>
    <w:rsid w:val="006E4525"/>
    <w:rsid w:val="006E5039"/>
    <w:rsid w:val="006E706A"/>
    <w:rsid w:val="006F0C6F"/>
    <w:rsid w:val="006F4F4B"/>
    <w:rsid w:val="00702438"/>
    <w:rsid w:val="00703375"/>
    <w:rsid w:val="00704C18"/>
    <w:rsid w:val="00707E7B"/>
    <w:rsid w:val="00716634"/>
    <w:rsid w:val="00722C09"/>
    <w:rsid w:val="007248A2"/>
    <w:rsid w:val="00732FBC"/>
    <w:rsid w:val="007347F0"/>
    <w:rsid w:val="007351D5"/>
    <w:rsid w:val="00740542"/>
    <w:rsid w:val="007415A2"/>
    <w:rsid w:val="00752144"/>
    <w:rsid w:val="00756968"/>
    <w:rsid w:val="00757FD8"/>
    <w:rsid w:val="00760894"/>
    <w:rsid w:val="00762438"/>
    <w:rsid w:val="00763715"/>
    <w:rsid w:val="00764327"/>
    <w:rsid w:val="00764E9F"/>
    <w:rsid w:val="007653D8"/>
    <w:rsid w:val="00770D2E"/>
    <w:rsid w:val="00771E61"/>
    <w:rsid w:val="007852F8"/>
    <w:rsid w:val="00786552"/>
    <w:rsid w:val="00790B45"/>
    <w:rsid w:val="007922E7"/>
    <w:rsid w:val="00792E41"/>
    <w:rsid w:val="00792E4C"/>
    <w:rsid w:val="00797213"/>
    <w:rsid w:val="007A0445"/>
    <w:rsid w:val="007A13D0"/>
    <w:rsid w:val="007A14E9"/>
    <w:rsid w:val="007A570B"/>
    <w:rsid w:val="007B151D"/>
    <w:rsid w:val="007B2E6E"/>
    <w:rsid w:val="007B600E"/>
    <w:rsid w:val="007C13AC"/>
    <w:rsid w:val="007C2E58"/>
    <w:rsid w:val="007C3522"/>
    <w:rsid w:val="007C454E"/>
    <w:rsid w:val="007C7ED1"/>
    <w:rsid w:val="007D219A"/>
    <w:rsid w:val="007D34AD"/>
    <w:rsid w:val="007E0634"/>
    <w:rsid w:val="007E3381"/>
    <w:rsid w:val="007E5241"/>
    <w:rsid w:val="007F2D3B"/>
    <w:rsid w:val="007F694F"/>
    <w:rsid w:val="007F7612"/>
    <w:rsid w:val="007F79FC"/>
    <w:rsid w:val="00801A1F"/>
    <w:rsid w:val="0080238B"/>
    <w:rsid w:val="00802A41"/>
    <w:rsid w:val="00803339"/>
    <w:rsid w:val="008036BA"/>
    <w:rsid w:val="0080549C"/>
    <w:rsid w:val="00806A50"/>
    <w:rsid w:val="00811357"/>
    <w:rsid w:val="008115CF"/>
    <w:rsid w:val="008131B0"/>
    <w:rsid w:val="00813D42"/>
    <w:rsid w:val="00816A83"/>
    <w:rsid w:val="00822740"/>
    <w:rsid w:val="008332F5"/>
    <w:rsid w:val="00833405"/>
    <w:rsid w:val="008341A9"/>
    <w:rsid w:val="00836C24"/>
    <w:rsid w:val="00836D47"/>
    <w:rsid w:val="00841260"/>
    <w:rsid w:val="00845529"/>
    <w:rsid w:val="00845F20"/>
    <w:rsid w:val="0084633E"/>
    <w:rsid w:val="00846C16"/>
    <w:rsid w:val="0085071D"/>
    <w:rsid w:val="00851905"/>
    <w:rsid w:val="0085597F"/>
    <w:rsid w:val="00856C9E"/>
    <w:rsid w:val="008601B0"/>
    <w:rsid w:val="00861C08"/>
    <w:rsid w:val="00865172"/>
    <w:rsid w:val="0087040B"/>
    <w:rsid w:val="008739C8"/>
    <w:rsid w:val="00875747"/>
    <w:rsid w:val="00881869"/>
    <w:rsid w:val="008917AD"/>
    <w:rsid w:val="008946E7"/>
    <w:rsid w:val="008960B0"/>
    <w:rsid w:val="008A58D2"/>
    <w:rsid w:val="008A60AE"/>
    <w:rsid w:val="008B0E06"/>
    <w:rsid w:val="008B4E25"/>
    <w:rsid w:val="008B6904"/>
    <w:rsid w:val="008C329A"/>
    <w:rsid w:val="008C4218"/>
    <w:rsid w:val="008C5E97"/>
    <w:rsid w:val="008D1E6C"/>
    <w:rsid w:val="008D7ACA"/>
    <w:rsid w:val="008D7B48"/>
    <w:rsid w:val="008E075F"/>
    <w:rsid w:val="008E1024"/>
    <w:rsid w:val="008F0563"/>
    <w:rsid w:val="008F12DC"/>
    <w:rsid w:val="008F6B3D"/>
    <w:rsid w:val="008F6ECF"/>
    <w:rsid w:val="008F749A"/>
    <w:rsid w:val="008F7E81"/>
    <w:rsid w:val="00900AFF"/>
    <w:rsid w:val="00905630"/>
    <w:rsid w:val="00906793"/>
    <w:rsid w:val="00911920"/>
    <w:rsid w:val="00914500"/>
    <w:rsid w:val="00915D2C"/>
    <w:rsid w:val="009200C0"/>
    <w:rsid w:val="0092294D"/>
    <w:rsid w:val="00923481"/>
    <w:rsid w:val="00930B7A"/>
    <w:rsid w:val="00930BF3"/>
    <w:rsid w:val="009350E4"/>
    <w:rsid w:val="009365CF"/>
    <w:rsid w:val="0094131A"/>
    <w:rsid w:val="00944659"/>
    <w:rsid w:val="00945BE2"/>
    <w:rsid w:val="00945CC2"/>
    <w:rsid w:val="00951121"/>
    <w:rsid w:val="009522ED"/>
    <w:rsid w:val="00952FE6"/>
    <w:rsid w:val="009538DA"/>
    <w:rsid w:val="00960486"/>
    <w:rsid w:val="0096081E"/>
    <w:rsid w:val="00962138"/>
    <w:rsid w:val="009727E5"/>
    <w:rsid w:val="009740A1"/>
    <w:rsid w:val="0097679C"/>
    <w:rsid w:val="00980E85"/>
    <w:rsid w:val="00984936"/>
    <w:rsid w:val="009860B1"/>
    <w:rsid w:val="00987573"/>
    <w:rsid w:val="00987D1B"/>
    <w:rsid w:val="00991FC7"/>
    <w:rsid w:val="00994889"/>
    <w:rsid w:val="00995BAE"/>
    <w:rsid w:val="009A0136"/>
    <w:rsid w:val="009A0612"/>
    <w:rsid w:val="009A0EF7"/>
    <w:rsid w:val="009A0EFC"/>
    <w:rsid w:val="009A15FC"/>
    <w:rsid w:val="009A270D"/>
    <w:rsid w:val="009A412F"/>
    <w:rsid w:val="009A4F53"/>
    <w:rsid w:val="009A5930"/>
    <w:rsid w:val="009A65BA"/>
    <w:rsid w:val="009A7126"/>
    <w:rsid w:val="009B0A87"/>
    <w:rsid w:val="009B1229"/>
    <w:rsid w:val="009B25F5"/>
    <w:rsid w:val="009B4E57"/>
    <w:rsid w:val="009B5C4F"/>
    <w:rsid w:val="009B60E1"/>
    <w:rsid w:val="009B6390"/>
    <w:rsid w:val="009B64BE"/>
    <w:rsid w:val="009B6DBE"/>
    <w:rsid w:val="009C107F"/>
    <w:rsid w:val="009C1104"/>
    <w:rsid w:val="009C22A0"/>
    <w:rsid w:val="009D4AF8"/>
    <w:rsid w:val="009D56D9"/>
    <w:rsid w:val="009D622E"/>
    <w:rsid w:val="009D79CD"/>
    <w:rsid w:val="009E1ED9"/>
    <w:rsid w:val="009E2620"/>
    <w:rsid w:val="009E52B6"/>
    <w:rsid w:val="009E5660"/>
    <w:rsid w:val="009F4817"/>
    <w:rsid w:val="009F70AC"/>
    <w:rsid w:val="009F713A"/>
    <w:rsid w:val="00A001B1"/>
    <w:rsid w:val="00A00662"/>
    <w:rsid w:val="00A03AF2"/>
    <w:rsid w:val="00A0512B"/>
    <w:rsid w:val="00A052F6"/>
    <w:rsid w:val="00A13A94"/>
    <w:rsid w:val="00A203DB"/>
    <w:rsid w:val="00A225AF"/>
    <w:rsid w:val="00A2381C"/>
    <w:rsid w:val="00A23F96"/>
    <w:rsid w:val="00A278C8"/>
    <w:rsid w:val="00A313E6"/>
    <w:rsid w:val="00A322BB"/>
    <w:rsid w:val="00A32B11"/>
    <w:rsid w:val="00A41608"/>
    <w:rsid w:val="00A44379"/>
    <w:rsid w:val="00A53296"/>
    <w:rsid w:val="00A533FF"/>
    <w:rsid w:val="00A54C80"/>
    <w:rsid w:val="00A54CFC"/>
    <w:rsid w:val="00A56998"/>
    <w:rsid w:val="00A57261"/>
    <w:rsid w:val="00A6040B"/>
    <w:rsid w:val="00A627C3"/>
    <w:rsid w:val="00A64FAA"/>
    <w:rsid w:val="00A66C36"/>
    <w:rsid w:val="00A67C26"/>
    <w:rsid w:val="00A70B1C"/>
    <w:rsid w:val="00A7257A"/>
    <w:rsid w:val="00A7328E"/>
    <w:rsid w:val="00A75C6B"/>
    <w:rsid w:val="00A7698C"/>
    <w:rsid w:val="00A80094"/>
    <w:rsid w:val="00A87AEA"/>
    <w:rsid w:val="00A9188E"/>
    <w:rsid w:val="00A9198C"/>
    <w:rsid w:val="00A92C02"/>
    <w:rsid w:val="00A93AD6"/>
    <w:rsid w:val="00A94A67"/>
    <w:rsid w:val="00A959BB"/>
    <w:rsid w:val="00A95C29"/>
    <w:rsid w:val="00A9756D"/>
    <w:rsid w:val="00A97B76"/>
    <w:rsid w:val="00AA7B43"/>
    <w:rsid w:val="00AC0387"/>
    <w:rsid w:val="00AC1F59"/>
    <w:rsid w:val="00AC3D8C"/>
    <w:rsid w:val="00AC637F"/>
    <w:rsid w:val="00AD52B8"/>
    <w:rsid w:val="00AE117F"/>
    <w:rsid w:val="00AE330D"/>
    <w:rsid w:val="00AE7F4C"/>
    <w:rsid w:val="00AF29E6"/>
    <w:rsid w:val="00AF57B3"/>
    <w:rsid w:val="00B0744F"/>
    <w:rsid w:val="00B10CC1"/>
    <w:rsid w:val="00B20E20"/>
    <w:rsid w:val="00B23E77"/>
    <w:rsid w:val="00B23EF3"/>
    <w:rsid w:val="00B26C04"/>
    <w:rsid w:val="00B33B6D"/>
    <w:rsid w:val="00B347E2"/>
    <w:rsid w:val="00B36433"/>
    <w:rsid w:val="00B42FDE"/>
    <w:rsid w:val="00B43090"/>
    <w:rsid w:val="00B4731B"/>
    <w:rsid w:val="00B51A14"/>
    <w:rsid w:val="00B57804"/>
    <w:rsid w:val="00B57F3B"/>
    <w:rsid w:val="00B61DF2"/>
    <w:rsid w:val="00B660B9"/>
    <w:rsid w:val="00B673CF"/>
    <w:rsid w:val="00B74276"/>
    <w:rsid w:val="00B7606A"/>
    <w:rsid w:val="00B86B40"/>
    <w:rsid w:val="00B94E9E"/>
    <w:rsid w:val="00B96A41"/>
    <w:rsid w:val="00B97AD4"/>
    <w:rsid w:val="00BA1ECC"/>
    <w:rsid w:val="00BA37BF"/>
    <w:rsid w:val="00BA3F77"/>
    <w:rsid w:val="00BA7FA4"/>
    <w:rsid w:val="00BB145B"/>
    <w:rsid w:val="00BB18D0"/>
    <w:rsid w:val="00BB51D5"/>
    <w:rsid w:val="00BB7084"/>
    <w:rsid w:val="00BB7FC7"/>
    <w:rsid w:val="00BC1F1C"/>
    <w:rsid w:val="00BD1AA4"/>
    <w:rsid w:val="00BD305F"/>
    <w:rsid w:val="00BD3899"/>
    <w:rsid w:val="00BD7F74"/>
    <w:rsid w:val="00BE162D"/>
    <w:rsid w:val="00BE2A2D"/>
    <w:rsid w:val="00BE3307"/>
    <w:rsid w:val="00BE52A6"/>
    <w:rsid w:val="00BF08F7"/>
    <w:rsid w:val="00C06646"/>
    <w:rsid w:val="00C07928"/>
    <w:rsid w:val="00C109D3"/>
    <w:rsid w:val="00C11053"/>
    <w:rsid w:val="00C1691A"/>
    <w:rsid w:val="00C1717A"/>
    <w:rsid w:val="00C1781F"/>
    <w:rsid w:val="00C23346"/>
    <w:rsid w:val="00C27859"/>
    <w:rsid w:val="00C31730"/>
    <w:rsid w:val="00C51579"/>
    <w:rsid w:val="00C56CDE"/>
    <w:rsid w:val="00C61DB7"/>
    <w:rsid w:val="00C6752C"/>
    <w:rsid w:val="00C678D4"/>
    <w:rsid w:val="00C73020"/>
    <w:rsid w:val="00C761F8"/>
    <w:rsid w:val="00C764B2"/>
    <w:rsid w:val="00C83077"/>
    <w:rsid w:val="00C8315E"/>
    <w:rsid w:val="00C865CE"/>
    <w:rsid w:val="00C9095C"/>
    <w:rsid w:val="00C92BEA"/>
    <w:rsid w:val="00C954AC"/>
    <w:rsid w:val="00CA34D7"/>
    <w:rsid w:val="00CA4AD9"/>
    <w:rsid w:val="00CA7F3D"/>
    <w:rsid w:val="00CB02E0"/>
    <w:rsid w:val="00CB187D"/>
    <w:rsid w:val="00CB1906"/>
    <w:rsid w:val="00CB7C9E"/>
    <w:rsid w:val="00CC30F0"/>
    <w:rsid w:val="00CC32F3"/>
    <w:rsid w:val="00CD1784"/>
    <w:rsid w:val="00CD1AAF"/>
    <w:rsid w:val="00CD6333"/>
    <w:rsid w:val="00CD67A5"/>
    <w:rsid w:val="00CE0FC3"/>
    <w:rsid w:val="00CE13F7"/>
    <w:rsid w:val="00CE24F8"/>
    <w:rsid w:val="00CE468C"/>
    <w:rsid w:val="00CF220E"/>
    <w:rsid w:val="00D02530"/>
    <w:rsid w:val="00D02CC6"/>
    <w:rsid w:val="00D05E46"/>
    <w:rsid w:val="00D105CA"/>
    <w:rsid w:val="00D10D67"/>
    <w:rsid w:val="00D116BA"/>
    <w:rsid w:val="00D12FC1"/>
    <w:rsid w:val="00D132F2"/>
    <w:rsid w:val="00D20568"/>
    <w:rsid w:val="00D229A8"/>
    <w:rsid w:val="00D230FD"/>
    <w:rsid w:val="00D23541"/>
    <w:rsid w:val="00D23DEF"/>
    <w:rsid w:val="00D241F5"/>
    <w:rsid w:val="00D25A5D"/>
    <w:rsid w:val="00D271E6"/>
    <w:rsid w:val="00D32ECD"/>
    <w:rsid w:val="00D37168"/>
    <w:rsid w:val="00D41B94"/>
    <w:rsid w:val="00D44EB1"/>
    <w:rsid w:val="00D50662"/>
    <w:rsid w:val="00D518E7"/>
    <w:rsid w:val="00D627A8"/>
    <w:rsid w:val="00D64D6E"/>
    <w:rsid w:val="00D6540B"/>
    <w:rsid w:val="00D74DFB"/>
    <w:rsid w:val="00D76C8D"/>
    <w:rsid w:val="00D76D56"/>
    <w:rsid w:val="00D774DC"/>
    <w:rsid w:val="00D81314"/>
    <w:rsid w:val="00D81D1A"/>
    <w:rsid w:val="00D8248F"/>
    <w:rsid w:val="00D82520"/>
    <w:rsid w:val="00D83ACB"/>
    <w:rsid w:val="00D83DCB"/>
    <w:rsid w:val="00D83F43"/>
    <w:rsid w:val="00D86B58"/>
    <w:rsid w:val="00D927B8"/>
    <w:rsid w:val="00D933BC"/>
    <w:rsid w:val="00D9394D"/>
    <w:rsid w:val="00DA60DF"/>
    <w:rsid w:val="00DB10A5"/>
    <w:rsid w:val="00DB3901"/>
    <w:rsid w:val="00DB7060"/>
    <w:rsid w:val="00DB7F7B"/>
    <w:rsid w:val="00DC0A53"/>
    <w:rsid w:val="00DC1D67"/>
    <w:rsid w:val="00DC47C0"/>
    <w:rsid w:val="00DD3430"/>
    <w:rsid w:val="00DD3D3C"/>
    <w:rsid w:val="00DD3F10"/>
    <w:rsid w:val="00DD708A"/>
    <w:rsid w:val="00DE0E3A"/>
    <w:rsid w:val="00DE102A"/>
    <w:rsid w:val="00DE26FF"/>
    <w:rsid w:val="00DE3C40"/>
    <w:rsid w:val="00DF539A"/>
    <w:rsid w:val="00DF7671"/>
    <w:rsid w:val="00E0234F"/>
    <w:rsid w:val="00E03981"/>
    <w:rsid w:val="00E04D7E"/>
    <w:rsid w:val="00E07049"/>
    <w:rsid w:val="00E11A1F"/>
    <w:rsid w:val="00E1323D"/>
    <w:rsid w:val="00E16359"/>
    <w:rsid w:val="00E166FE"/>
    <w:rsid w:val="00E16BEB"/>
    <w:rsid w:val="00E34D4A"/>
    <w:rsid w:val="00E355BB"/>
    <w:rsid w:val="00E36E61"/>
    <w:rsid w:val="00E36FF7"/>
    <w:rsid w:val="00E426BD"/>
    <w:rsid w:val="00E4339E"/>
    <w:rsid w:val="00E462D4"/>
    <w:rsid w:val="00E473C4"/>
    <w:rsid w:val="00E5420C"/>
    <w:rsid w:val="00E56485"/>
    <w:rsid w:val="00E60914"/>
    <w:rsid w:val="00E65439"/>
    <w:rsid w:val="00E6626F"/>
    <w:rsid w:val="00E66736"/>
    <w:rsid w:val="00E80E75"/>
    <w:rsid w:val="00E81591"/>
    <w:rsid w:val="00E83591"/>
    <w:rsid w:val="00E92C4D"/>
    <w:rsid w:val="00E95A46"/>
    <w:rsid w:val="00EA184C"/>
    <w:rsid w:val="00EA1FEE"/>
    <w:rsid w:val="00EA3D4F"/>
    <w:rsid w:val="00EA5F51"/>
    <w:rsid w:val="00EA6F68"/>
    <w:rsid w:val="00EB026B"/>
    <w:rsid w:val="00EB21BE"/>
    <w:rsid w:val="00EB21E0"/>
    <w:rsid w:val="00EB25CD"/>
    <w:rsid w:val="00EB2B83"/>
    <w:rsid w:val="00EB5095"/>
    <w:rsid w:val="00EB5FDA"/>
    <w:rsid w:val="00EB6194"/>
    <w:rsid w:val="00EB6D9B"/>
    <w:rsid w:val="00EC12F2"/>
    <w:rsid w:val="00EC2147"/>
    <w:rsid w:val="00EC4023"/>
    <w:rsid w:val="00EC4242"/>
    <w:rsid w:val="00EC6DCD"/>
    <w:rsid w:val="00ED72F9"/>
    <w:rsid w:val="00EE69F8"/>
    <w:rsid w:val="00EF2B11"/>
    <w:rsid w:val="00EF581A"/>
    <w:rsid w:val="00EF6B01"/>
    <w:rsid w:val="00EF6E77"/>
    <w:rsid w:val="00EF7332"/>
    <w:rsid w:val="00F00CB3"/>
    <w:rsid w:val="00F0456A"/>
    <w:rsid w:val="00F078EB"/>
    <w:rsid w:val="00F13190"/>
    <w:rsid w:val="00F20B5F"/>
    <w:rsid w:val="00F23E5D"/>
    <w:rsid w:val="00F248BD"/>
    <w:rsid w:val="00F320C2"/>
    <w:rsid w:val="00F341A9"/>
    <w:rsid w:val="00F34739"/>
    <w:rsid w:val="00F408BF"/>
    <w:rsid w:val="00F43049"/>
    <w:rsid w:val="00F4325E"/>
    <w:rsid w:val="00F45D90"/>
    <w:rsid w:val="00F47A01"/>
    <w:rsid w:val="00F5417A"/>
    <w:rsid w:val="00F56E9F"/>
    <w:rsid w:val="00F61D1E"/>
    <w:rsid w:val="00F63852"/>
    <w:rsid w:val="00F63A38"/>
    <w:rsid w:val="00F63C5E"/>
    <w:rsid w:val="00F64542"/>
    <w:rsid w:val="00F65321"/>
    <w:rsid w:val="00F65643"/>
    <w:rsid w:val="00F70ABE"/>
    <w:rsid w:val="00F7226A"/>
    <w:rsid w:val="00F73289"/>
    <w:rsid w:val="00F748D4"/>
    <w:rsid w:val="00F77A3D"/>
    <w:rsid w:val="00F83DB3"/>
    <w:rsid w:val="00F85C21"/>
    <w:rsid w:val="00F87366"/>
    <w:rsid w:val="00F877C8"/>
    <w:rsid w:val="00F94DE8"/>
    <w:rsid w:val="00F97891"/>
    <w:rsid w:val="00FA159A"/>
    <w:rsid w:val="00FA37F8"/>
    <w:rsid w:val="00FA50C7"/>
    <w:rsid w:val="00FA5A33"/>
    <w:rsid w:val="00FB5B33"/>
    <w:rsid w:val="00FC354D"/>
    <w:rsid w:val="00FD4119"/>
    <w:rsid w:val="00FD5821"/>
    <w:rsid w:val="00FD5DB7"/>
    <w:rsid w:val="00FD5E12"/>
    <w:rsid w:val="00FE0228"/>
    <w:rsid w:val="00FE24DE"/>
    <w:rsid w:val="00FF10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6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0C6F"/>
    <w:pPr>
      <w:spacing w:after="120"/>
    </w:pPr>
    <w:rPr>
      <w:rFonts w:ascii="Arial" w:hAnsi="Arial"/>
    </w:rPr>
  </w:style>
  <w:style w:type="paragraph" w:styleId="Heading1">
    <w:name w:val="heading 1"/>
    <w:basedOn w:val="Normal"/>
    <w:next w:val="Normal"/>
    <w:link w:val="Heading1Char"/>
    <w:uiPriority w:val="9"/>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EF6B01"/>
    <w:rPr>
      <w:color w:val="2C2568"/>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B7FC7"/>
    <w:pPr>
      <w:ind w:left="720"/>
      <w:contextualSpacing/>
    </w:pPr>
  </w:style>
  <w:style w:type="paragraph" w:styleId="Caption">
    <w:name w:val="caption"/>
    <w:basedOn w:val="Normal"/>
    <w:next w:val="Normal"/>
    <w:uiPriority w:val="35"/>
    <w:unhideWhenUsed/>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6"/>
      </w:numPr>
      <w:contextualSpacing/>
    </w:pPr>
  </w:style>
  <w:style w:type="paragraph" w:styleId="ListNumber">
    <w:name w:val="List Number"/>
    <w:basedOn w:val="Normal"/>
    <w:uiPriority w:val="99"/>
    <w:unhideWhenUsed/>
    <w:rsid w:val="00A54CFC"/>
    <w:pPr>
      <w:numPr>
        <w:numId w:val="17"/>
      </w:numPr>
      <w:contextualSpacing/>
    </w:pPr>
  </w:style>
  <w:style w:type="paragraph" w:styleId="BodyText">
    <w:name w:val="Body Text"/>
    <w:basedOn w:val="Normal"/>
    <w:link w:val="BodyTextChar"/>
    <w:uiPriority w:val="1"/>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HQSChead1">
    <w:name w:val="HQSC head 1"/>
    <w:basedOn w:val="Heading1"/>
    <w:qFormat/>
    <w:rsid w:val="00EF6B01"/>
    <w:rPr>
      <w:rFonts w:cs="Arial"/>
      <w:color w:val="2C2568"/>
    </w:rPr>
  </w:style>
  <w:style w:type="paragraph" w:customStyle="1" w:styleId="HQSCbodytext">
    <w:name w:val="HQSC body text"/>
    <w:basedOn w:val="Normal"/>
    <w:qFormat/>
    <w:rsid w:val="00D8248F"/>
    <w:rPr>
      <w:rFonts w:cs="Arial"/>
    </w:rPr>
  </w:style>
  <w:style w:type="paragraph" w:customStyle="1" w:styleId="HQSCbullets">
    <w:name w:val="HQSC bullets"/>
    <w:basedOn w:val="Bullets"/>
    <w:qFormat/>
    <w:rsid w:val="00792E41"/>
    <w:pPr>
      <w:ind w:left="360" w:hanging="360"/>
    </w:pPr>
  </w:style>
  <w:style w:type="paragraph" w:customStyle="1" w:styleId="HQSCindentedquote">
    <w:name w:val="HQSC indented quote"/>
    <w:basedOn w:val="Quote"/>
    <w:qFormat/>
    <w:rsid w:val="009B60E1"/>
    <w:rPr>
      <w:rFonts w:cs="Arial"/>
      <w:color w:val="auto"/>
    </w:rPr>
  </w:style>
  <w:style w:type="paragraph" w:customStyle="1" w:styleId="HQSCsource">
    <w:name w:val="HQSC source"/>
    <w:basedOn w:val="NormalIndent"/>
    <w:qFormat/>
    <w:rsid w:val="00792E41"/>
    <w:rPr>
      <w:rFonts w:cs="Arial"/>
    </w:rPr>
  </w:style>
  <w:style w:type="paragraph" w:customStyle="1" w:styleId="HQSChead2">
    <w:name w:val="HQSC head 2"/>
    <w:basedOn w:val="Heading2"/>
    <w:qFormat/>
    <w:rsid w:val="00EF6B01"/>
    <w:rPr>
      <w:rFonts w:cs="Arial"/>
      <w:i w:val="0"/>
      <w:color w:val="2C2568"/>
    </w:rPr>
  </w:style>
  <w:style w:type="paragraph" w:customStyle="1" w:styleId="HQSChead3">
    <w:name w:val="HQSC head 3"/>
    <w:basedOn w:val="Heading3"/>
    <w:qFormat/>
    <w:rsid w:val="00792E41"/>
    <w:rPr>
      <w:rFonts w:cs="Arial"/>
    </w:rPr>
  </w:style>
  <w:style w:type="paragraph" w:customStyle="1" w:styleId="HQSCtablefigurecaption">
    <w:name w:val="HQSC table/figure caption"/>
    <w:basedOn w:val="Figuretableheading"/>
    <w:qFormat/>
    <w:rsid w:val="00792E41"/>
  </w:style>
  <w:style w:type="paragraph" w:customStyle="1" w:styleId="HQSCtablecolumnhead">
    <w:name w:val="HQSC table column head"/>
    <w:basedOn w:val="Normal"/>
    <w:qFormat/>
    <w:rsid w:val="00792E41"/>
    <w:pPr>
      <w:framePr w:hSpace="180" w:wrap="around" w:vAnchor="text" w:hAnchor="margin" w:y="2"/>
      <w:spacing w:before="60" w:after="60" w:line="240" w:lineRule="auto"/>
    </w:pPr>
    <w:rPr>
      <w:rFonts w:cs="Arial"/>
      <w:b/>
    </w:rPr>
  </w:style>
  <w:style w:type="paragraph" w:customStyle="1" w:styleId="HQSCtablecontent">
    <w:name w:val="HQSC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Subtitle">
    <w:name w:val="Subtitle"/>
    <w:basedOn w:val="Normal"/>
    <w:next w:val="Normal"/>
    <w:link w:val="SubtitleChar"/>
    <w:uiPriority w:val="11"/>
    <w:rsid w:val="007653D8"/>
    <w:pPr>
      <w:numPr>
        <w:ilvl w:val="1"/>
      </w:numPr>
      <w:spacing w:after="160"/>
    </w:pPr>
    <w:rPr>
      <w:rFonts w:asciiTheme="minorHAnsi" w:eastAsiaTheme="minorEastAsia" w:hAnsiTheme="minorHAnsi"/>
      <w:color w:val="656565" w:themeColor="text1" w:themeTint="A5"/>
      <w:spacing w:val="15"/>
    </w:rPr>
  </w:style>
  <w:style w:type="character" w:customStyle="1" w:styleId="SubtitleChar">
    <w:name w:val="Subtitle Char"/>
    <w:basedOn w:val="DefaultParagraphFont"/>
    <w:link w:val="Subtitle"/>
    <w:uiPriority w:val="11"/>
    <w:rsid w:val="007653D8"/>
    <w:rPr>
      <w:rFonts w:eastAsiaTheme="minorEastAsia"/>
      <w:color w:val="656565" w:themeColor="text1" w:themeTint="A5"/>
      <w:spacing w:val="15"/>
    </w:rPr>
  </w:style>
  <w:style w:type="character" w:styleId="FootnoteReference">
    <w:name w:val="footnote reference"/>
    <w:basedOn w:val="DefaultParagraphFont"/>
    <w:uiPriority w:val="99"/>
    <w:semiHidden/>
    <w:unhideWhenUsed/>
    <w:rsid w:val="008341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info@hqsc.govt.nz" TargetMode="External"/><Relationship Id="rId4" Type="http://schemas.openxmlformats.org/officeDocument/2006/relationships/settings" Target="settings.xml"/><Relationship Id="rId9" Type="http://schemas.openxmlformats.org/officeDocument/2006/relationships/hyperlink" Target="http://www.hqs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9A852-592C-48E9-8D2C-5F661F4D4208}">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6596</Characters>
  <Application>Microsoft Office Word</Application>
  <DocSecurity>0</DocSecurity>
  <Lines>263</Lines>
  <Paragraphs>54</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2026-06-18T00:44:00Z</dcterms:created>
  <dcterms:modified xsi:type="dcterms:W3CDTF">2026-06-18T00:45:00Z</dcterms:modified>
</cp:coreProperties>
</file>