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4D74" w14:textId="731CE4A1" w:rsidR="00F80DF9" w:rsidRDefault="005E69BD" w:rsidP="00D71F23">
      <w:r>
        <w:rPr>
          <w:noProof/>
        </w:rPr>
        <w:drawing>
          <wp:inline distT="0" distB="0" distL="0" distR="0" wp14:anchorId="4A4544B8" wp14:editId="360565F8">
            <wp:extent cx="2880000" cy="852672"/>
            <wp:effectExtent l="0" t="0" r="0" b="5080"/>
            <wp:docPr id="6" name="Picture 6" descr="The Health Quality &amp; Safety Commission logo and the words Hauora kounga mō te katoa Quality health for all in black. The Commission logo is made up of the words HEALTH QUALITY &amp; SAFETY COMMISSION NEW ZEALAND in capital letters with the words Kupu Taurangi Hauora o Aotearoa in smaller italic text underneath alongside three wedges of Swiss 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Health Quality &amp; Safety Commission logo and the words Hauora kounga mō te katoa Quality health for all in black. The Commission logo is made up of the words HEALTH QUALITY &amp; SAFETY COMMISSION NEW ZEALAND in capital letters with the words Kupu Taurangi Hauora o Aotearoa in smaller italic text underneath alongside three wedges of Swiss chee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852672"/>
                    </a:xfrm>
                    <a:prstGeom prst="rect">
                      <a:avLst/>
                    </a:prstGeom>
                    <a:noFill/>
                  </pic:spPr>
                </pic:pic>
              </a:graphicData>
            </a:graphic>
          </wp:inline>
        </w:drawing>
      </w:r>
      <w:r w:rsidR="00634301">
        <w:rPr>
          <w:noProof/>
        </w:rPr>
        <mc:AlternateContent>
          <mc:Choice Requires="wps">
            <w:drawing>
              <wp:inline distT="0" distB="0" distL="0" distR="0" wp14:anchorId="5E875120" wp14:editId="55FD1EF6">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D0959"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71F23">
        <w:t xml:space="preserve">   </w:t>
      </w:r>
      <w:r w:rsidR="00AF7A63">
        <w:rPr>
          <w:noProof/>
        </w:rPr>
        <w:drawing>
          <wp:inline distT="0" distB="0" distL="0" distR="0" wp14:anchorId="0BF2B400" wp14:editId="00B297D0">
            <wp:extent cx="2520000" cy="783872"/>
            <wp:effectExtent l="0" t="0" r="0" b="0"/>
            <wp:docPr id="7" name="Picture 7" descr="The New Zealand Government logo is made up of the words Te Kāwanatanga o Aotearoa and New Zealand Government in black text alongside the New Zealand Coat of Arms which represents the sovereign nature of New Zealand and the Government'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New Zealand Government logo is made up of the words Te Kāwanatanga o Aotearoa and New Zealand Government in black text alongside the New Zealand Coat of Arms which represents the sovereign nature of New Zealand and the Government's author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783872"/>
                    </a:xfrm>
                    <a:prstGeom prst="rect">
                      <a:avLst/>
                    </a:prstGeom>
                    <a:noFill/>
                    <a:ln>
                      <a:noFill/>
                    </a:ln>
                  </pic:spPr>
                </pic:pic>
              </a:graphicData>
            </a:graphic>
          </wp:inline>
        </w:drawing>
      </w:r>
    </w:p>
    <w:p w14:paraId="4A8837A5" w14:textId="6546DCAC" w:rsidR="001C0C6A" w:rsidRPr="00D71F23" w:rsidRDefault="001C0C6A" w:rsidP="00E92175">
      <w:pPr>
        <w:pStyle w:val="Heading1"/>
      </w:pPr>
      <w:r w:rsidRPr="00D71F23">
        <w:t xml:space="preserve">Code of expectations for health entities’ engagement with consumers and </w:t>
      </w:r>
      <w:r w:rsidRPr="00E92175">
        <w:t>whānau</w:t>
      </w:r>
      <w:r w:rsidRPr="00D71F23">
        <w:t xml:space="preserve"> </w:t>
      </w:r>
    </w:p>
    <w:p w14:paraId="10328B72" w14:textId="35F8E110" w:rsidR="00D71F23" w:rsidRPr="00D71F23" w:rsidRDefault="001C0C6A" w:rsidP="00D71F23">
      <w:pPr>
        <w:pStyle w:val="Heading2"/>
      </w:pPr>
      <w:r w:rsidRPr="00D71F23">
        <w:t>Context</w:t>
      </w:r>
    </w:p>
    <w:p w14:paraId="09D25106" w14:textId="7E1C5BD1" w:rsidR="001C0C6A" w:rsidRPr="00D71F23" w:rsidRDefault="001C0C6A" w:rsidP="00D71F23">
      <w:r w:rsidRPr="00D71F23">
        <w:t xml:space="preserve">The code of expectations for health entities’ engagement with consumers and whānau (the code) sets the expectations for how health entities must work with consumers, whānau and communities in the planning, design, delivery, and evaluation of health services. </w:t>
      </w:r>
    </w:p>
    <w:p w14:paraId="647B1C3C" w14:textId="27DEE25A" w:rsidR="001C0C6A" w:rsidRPr="00B47898" w:rsidRDefault="001C0C6A" w:rsidP="00D71F23">
      <w:r w:rsidRPr="00B47898">
        <w:t>This code is required by the Pae Ora (Healthy Futures) Act 2022 and is underpinned by the health sector principles. All health entities must act in accordance with the code and are required to report annually on how the code has been applied.</w:t>
      </w:r>
    </w:p>
    <w:p w14:paraId="29F8B08C" w14:textId="77777777" w:rsidR="00E92175" w:rsidRDefault="001C0C6A" w:rsidP="00D71F23">
      <w:r w:rsidRPr="00B47898">
        <w:t xml:space="preserve">The health sector principles incorporate Te Tiriti o Waitangi (the Treaty of Waitangi) principles identified by the Waitangi Tribunal in its Hauora Inquiry. </w:t>
      </w:r>
    </w:p>
    <w:p w14:paraId="34D803BF" w14:textId="77777777" w:rsidR="00E92175" w:rsidRDefault="00E92175">
      <w:pPr>
        <w:tabs>
          <w:tab w:val="clear" w:pos="4513"/>
          <w:tab w:val="clear" w:pos="9026"/>
        </w:tabs>
        <w:spacing w:after="160" w:line="259" w:lineRule="auto"/>
      </w:pPr>
      <w:r>
        <w:br w:type="page"/>
      </w:r>
    </w:p>
    <w:p w14:paraId="61F70775" w14:textId="5AD191EC" w:rsidR="001C0C6A" w:rsidRPr="00B47898" w:rsidRDefault="001C0C6A" w:rsidP="00D71F23">
      <w:r w:rsidRPr="00B47898">
        <w:lastRenderedPageBreak/>
        <w:t xml:space="preserve">These include the principles of </w:t>
      </w:r>
      <w:proofErr w:type="spellStart"/>
      <w:r w:rsidRPr="00B47898">
        <w:t>tino</w:t>
      </w:r>
      <w:proofErr w:type="spellEnd"/>
      <w:r w:rsidRPr="00B47898">
        <w:t xml:space="preserve"> rangatiratanga (self-determination); </w:t>
      </w:r>
      <w:proofErr w:type="spellStart"/>
      <w:r w:rsidRPr="00B47898">
        <w:t>ōritetanga</w:t>
      </w:r>
      <w:proofErr w:type="spellEnd"/>
      <w:r w:rsidRPr="00B47898">
        <w:t xml:space="preserve"> (equity); </w:t>
      </w:r>
      <w:proofErr w:type="spellStart"/>
      <w:r w:rsidRPr="00B47898">
        <w:t>whakamaru</w:t>
      </w:r>
      <w:proofErr w:type="spellEnd"/>
      <w:r w:rsidRPr="00B47898">
        <w:t xml:space="preserve"> (active protection); </w:t>
      </w:r>
      <w:proofErr w:type="spellStart"/>
      <w:r w:rsidRPr="00B47898">
        <w:t>kōwhiringa</w:t>
      </w:r>
      <w:proofErr w:type="spellEnd"/>
      <w:r w:rsidRPr="00B47898">
        <w:t xml:space="preserve"> (options); and </w:t>
      </w:r>
      <w:proofErr w:type="spellStart"/>
      <w:r w:rsidRPr="00B47898">
        <w:t>pātuitanga</w:t>
      </w:r>
      <w:proofErr w:type="spellEnd"/>
      <w:r w:rsidRPr="00B47898">
        <w:t xml:space="preserve"> (partnership).</w:t>
      </w:r>
      <w:bookmarkStart w:id="0" w:name="_Hlk101253392"/>
      <w:r w:rsidRPr="00B47898">
        <w:rPr>
          <w:vertAlign w:val="superscript"/>
        </w:rPr>
        <w:footnoteReference w:id="1"/>
      </w:r>
    </w:p>
    <w:bookmarkEnd w:id="0"/>
    <w:p w14:paraId="5CE5EF4A" w14:textId="77777777" w:rsidR="001C0C6A" w:rsidRPr="00B47898" w:rsidRDefault="001C0C6A" w:rsidP="00D71F23">
      <w:r w:rsidRPr="00B47898">
        <w:t>This code does not replace the Code of Health and Disability Services Consumers’ Rights (Code of Rights).</w:t>
      </w:r>
      <w:r w:rsidRPr="00B47898">
        <w:rPr>
          <w:vertAlign w:val="superscript"/>
        </w:rPr>
        <w:footnoteReference w:id="2"/>
      </w:r>
      <w:r w:rsidRPr="00B47898">
        <w:t xml:space="preserve"> The Code of Rights specifies important rights that providers must uphold when delivering services directly to consumers, whereas this code sets requirements for how health entities must work with consumers, whānau and communities in the planning, design, delivery, and evaluation of health services.</w:t>
      </w:r>
    </w:p>
    <w:p w14:paraId="7C19D746" w14:textId="6EEAD1C3" w:rsidR="001C0C6A" w:rsidRDefault="001C0C6A" w:rsidP="00CE7EE7">
      <w:pPr>
        <w:pStyle w:val="Heading2"/>
      </w:pPr>
      <w:r w:rsidRPr="00B47898">
        <w:t>Engagement expectations</w:t>
      </w:r>
    </w:p>
    <w:p w14:paraId="7BB68553" w14:textId="42F3B42E" w:rsidR="00CE7EE7" w:rsidRDefault="00CE7EE7" w:rsidP="00CE7EE7">
      <w:pPr>
        <w:ind w:left="720" w:hanging="720"/>
        <w:rPr>
          <w:lang w:eastAsia="en-GB"/>
        </w:rPr>
      </w:pPr>
      <w:r>
        <w:rPr>
          <w:b/>
        </w:rPr>
        <w:t>1.</w:t>
      </w:r>
      <w:r>
        <w:rPr>
          <w:b/>
        </w:rPr>
        <w:tab/>
      </w:r>
      <w:r w:rsidRPr="007E7131">
        <w:rPr>
          <w:b/>
        </w:rPr>
        <w:t>When engaging with consumers, whānau and communities, health entities must:</w:t>
      </w:r>
    </w:p>
    <w:p w14:paraId="56C86FB1" w14:textId="77777777" w:rsidR="00CE7EE7" w:rsidRDefault="00CE7EE7" w:rsidP="00CE7EE7">
      <w:pPr>
        <w:ind w:left="1440" w:hanging="720"/>
      </w:pPr>
      <w:r>
        <w:rPr>
          <w:b/>
        </w:rPr>
        <w:t>1.1</w:t>
      </w:r>
      <w:r>
        <w:rPr>
          <w:b/>
        </w:rPr>
        <w:tab/>
      </w:r>
      <w:r w:rsidRPr="00B47898">
        <w:t>be guided by the health sector principles contained in section 7 of the Pae Ora (Healthy Futures) Act 2022</w:t>
      </w:r>
      <w:r>
        <w:t>;</w:t>
      </w:r>
    </w:p>
    <w:p w14:paraId="013E8A10" w14:textId="48462290" w:rsidR="001C0C6A" w:rsidRDefault="00CE7EE7" w:rsidP="00CE7EE7">
      <w:pPr>
        <w:ind w:left="1440" w:hanging="720"/>
      </w:pPr>
      <w:r w:rsidRPr="00CE7EE7">
        <w:rPr>
          <w:b/>
        </w:rPr>
        <w:lastRenderedPageBreak/>
        <w:t>1.2</w:t>
      </w:r>
      <w:r w:rsidRPr="00CE7EE7">
        <w:rPr>
          <w:b/>
        </w:rPr>
        <w:tab/>
      </w:r>
      <w:r w:rsidR="001C0C6A" w:rsidRPr="00B47898">
        <w:t>value and recognise the centrality and importance of whānau in te ao Māori and provide opportunities for Māori to exercise decision-making authority</w:t>
      </w:r>
      <w:r w:rsidR="007E7131">
        <w:t>;</w:t>
      </w:r>
    </w:p>
    <w:p w14:paraId="79FBD057" w14:textId="2D8CE7C5" w:rsidR="007E7131" w:rsidRDefault="007E7131" w:rsidP="007E7131">
      <w:pPr>
        <w:ind w:left="1440" w:hanging="720"/>
        <w:rPr>
          <w:lang w:eastAsia="en-GB"/>
        </w:rPr>
      </w:pPr>
      <w:r>
        <w:rPr>
          <w:b/>
        </w:rPr>
        <w:t>1.3</w:t>
      </w:r>
      <w:r>
        <w:rPr>
          <w:b/>
        </w:rPr>
        <w:tab/>
      </w:r>
      <w:r w:rsidRPr="00B47898">
        <w:t xml:space="preserve">value engagement: engagement is built on trust, authenticity, reciprocity, transparency, and a willingness to share and learn from each other. It is inclusive of all population groups and those with </w:t>
      </w:r>
      <w:r w:rsidRPr="00D71F23">
        <w:rPr>
          <w:lang w:val="mi-NZ"/>
        </w:rPr>
        <w:t>specific needs</w:t>
      </w:r>
      <w:r>
        <w:rPr>
          <w:lang w:val="mi-NZ"/>
        </w:rPr>
        <w:t>;</w:t>
      </w:r>
    </w:p>
    <w:p w14:paraId="10DE3529" w14:textId="38B92A73" w:rsidR="007E7131" w:rsidRPr="00B47898" w:rsidRDefault="007E7131" w:rsidP="007E7131">
      <w:pPr>
        <w:ind w:left="1440" w:hanging="720"/>
      </w:pPr>
      <w:r>
        <w:rPr>
          <w:b/>
        </w:rPr>
        <w:t>1.4</w:t>
      </w:r>
      <w:r>
        <w:rPr>
          <w:b/>
        </w:rPr>
        <w:tab/>
      </w:r>
      <w:r>
        <w:t xml:space="preserve">share </w:t>
      </w:r>
      <w:r w:rsidRPr="00B47898">
        <w:t>leadership: knowledge and expertise drawn from lived experience are valued equally alongside clinical and other knowledge. Consumers, whānau and communities are experts by experience, often holding solutions to make improvements to the health system</w:t>
      </w:r>
      <w:r>
        <w:t>;</w:t>
      </w:r>
    </w:p>
    <w:p w14:paraId="273BDA05" w14:textId="329E56B8" w:rsidR="007E7131" w:rsidRDefault="007E7131" w:rsidP="007E7131">
      <w:pPr>
        <w:ind w:left="1440" w:hanging="720"/>
        <w:rPr>
          <w:lang w:eastAsia="en-GB"/>
        </w:rPr>
      </w:pPr>
      <w:r>
        <w:rPr>
          <w:b/>
        </w:rPr>
        <w:t>1.5</w:t>
      </w:r>
      <w:r>
        <w:rPr>
          <w:b/>
        </w:rPr>
        <w:tab/>
      </w:r>
      <w:r w:rsidRPr="00B47898">
        <w:t>promote quality and safety: the experience of consumers, whānau and communities underpin health quality and safety, including cultural safety</w:t>
      </w:r>
      <w:r>
        <w:t>;</w:t>
      </w:r>
    </w:p>
    <w:p w14:paraId="0F81ED3D" w14:textId="275D701B" w:rsidR="007E7131" w:rsidRDefault="007E7131" w:rsidP="007E7131">
      <w:pPr>
        <w:ind w:left="1440" w:hanging="720"/>
      </w:pPr>
      <w:r>
        <w:rPr>
          <w:b/>
        </w:rPr>
        <w:t>1.6</w:t>
      </w:r>
      <w:r>
        <w:rPr>
          <w:b/>
        </w:rPr>
        <w:tab/>
      </w:r>
      <w:r w:rsidRPr="00B47898">
        <w:t xml:space="preserve">promote equity: there is an imperative to engage with those with greater health needs, particularly Māori, Pacific peoples, and disabled people. This recognises that addressing equity is best achieved through involving consumers, whānau and communities. </w:t>
      </w:r>
    </w:p>
    <w:p w14:paraId="07897682" w14:textId="77777777" w:rsidR="00E92175" w:rsidRDefault="00E92175">
      <w:pPr>
        <w:tabs>
          <w:tab w:val="clear" w:pos="4513"/>
          <w:tab w:val="clear" w:pos="9026"/>
        </w:tabs>
        <w:spacing w:after="160" w:line="259" w:lineRule="auto"/>
        <w:rPr>
          <w:b/>
        </w:rPr>
      </w:pPr>
      <w:r>
        <w:rPr>
          <w:b/>
        </w:rPr>
        <w:br w:type="page"/>
      </w:r>
    </w:p>
    <w:p w14:paraId="68056FD2" w14:textId="4502627F" w:rsidR="001C0C6A" w:rsidRPr="00E92175" w:rsidRDefault="007E7131" w:rsidP="00E92175">
      <w:pPr>
        <w:pStyle w:val="Heading3"/>
      </w:pPr>
      <w:r>
        <w:lastRenderedPageBreak/>
        <w:t>2.</w:t>
      </w:r>
      <w:r>
        <w:tab/>
      </w:r>
      <w:r w:rsidRPr="007E7131">
        <w:tab/>
      </w:r>
      <w:r w:rsidR="001C0C6A" w:rsidRPr="007E7131">
        <w:t>Health entities must apply these expectations by:</w:t>
      </w:r>
    </w:p>
    <w:p w14:paraId="00BD694C" w14:textId="208B94C7" w:rsidR="007E7131" w:rsidRPr="00B47898" w:rsidRDefault="007E7131" w:rsidP="007E7131">
      <w:pPr>
        <w:ind w:left="1440" w:hanging="720"/>
        <w:rPr>
          <w:lang w:eastAsia="en-GB"/>
        </w:rPr>
      </w:pPr>
      <w:r>
        <w:rPr>
          <w:b/>
        </w:rPr>
        <w:t>2.1</w:t>
      </w:r>
      <w:r>
        <w:rPr>
          <w:b/>
        </w:rPr>
        <w:tab/>
      </w:r>
      <w:r w:rsidRPr="00B47898">
        <w:t>co-designing with consumers, whānau and communities so there is collective development of organisational priorities, processes and evaluation, and consumers, whānau and communities are involved at all levels</w:t>
      </w:r>
      <w:r>
        <w:t>;</w:t>
      </w:r>
    </w:p>
    <w:p w14:paraId="43313E2E" w14:textId="0183B761" w:rsidR="007E7131" w:rsidRDefault="007E7131" w:rsidP="007E7131">
      <w:pPr>
        <w:ind w:left="1440" w:hanging="720"/>
      </w:pPr>
      <w:r>
        <w:rPr>
          <w:b/>
        </w:rPr>
        <w:t>2.2</w:t>
      </w:r>
      <w:r>
        <w:rPr>
          <w:b/>
        </w:rPr>
        <w:tab/>
      </w:r>
      <w:r w:rsidRPr="00B47898">
        <w:t>using lived experience, including consumer experience data to inform improvements in health services with a focus on reducing health inequities, particularly for Māori, Pacific peoples, and disabled people</w:t>
      </w:r>
      <w:r>
        <w:t>;</w:t>
      </w:r>
    </w:p>
    <w:p w14:paraId="09BF8612" w14:textId="649238A4" w:rsidR="007E7131" w:rsidRPr="00B47898" w:rsidRDefault="007E7131" w:rsidP="007E7131">
      <w:pPr>
        <w:ind w:left="1440" w:hanging="720"/>
      </w:pPr>
      <w:r>
        <w:rPr>
          <w:b/>
        </w:rPr>
        <w:t>2.3</w:t>
      </w:r>
      <w:r>
        <w:rPr>
          <w:b/>
        </w:rPr>
        <w:tab/>
      </w:r>
      <w:r w:rsidRPr="00B47898">
        <w:t>addressing the reduction of health inequities through cross-sector collaboration with other agencies and in partnership with consumers, whānau and communities</w:t>
      </w:r>
    </w:p>
    <w:p w14:paraId="5F84AFD7" w14:textId="6FE2F385" w:rsidR="007E7131" w:rsidRDefault="007E7131" w:rsidP="007E7131">
      <w:pPr>
        <w:ind w:left="1440" w:hanging="720"/>
      </w:pPr>
      <w:r>
        <w:rPr>
          <w:b/>
        </w:rPr>
        <w:t>2.4</w:t>
      </w:r>
      <w:r>
        <w:rPr>
          <w:b/>
        </w:rPr>
        <w:tab/>
      </w:r>
      <w:r w:rsidRPr="00B47898">
        <w:t>ensuring that information, resources, and engagement opportunities are accessible to all consumers, whānau and communities, and remove any barriers that may hinder full and effective participation and engagement</w:t>
      </w:r>
      <w:r w:rsidRPr="00B47898">
        <w:rPr>
          <w:vertAlign w:val="superscript"/>
        </w:rPr>
        <w:footnoteReference w:id="3"/>
      </w:r>
      <w:r>
        <w:t>;</w:t>
      </w:r>
    </w:p>
    <w:p w14:paraId="38A19E58" w14:textId="5B374347" w:rsidR="007E7131" w:rsidRPr="00B47898" w:rsidRDefault="007E7131" w:rsidP="007E7131">
      <w:pPr>
        <w:ind w:left="1440" w:hanging="720"/>
      </w:pPr>
      <w:r>
        <w:rPr>
          <w:b/>
        </w:rPr>
        <w:lastRenderedPageBreak/>
        <w:t>2.5</w:t>
      </w:r>
      <w:r>
        <w:rPr>
          <w:b/>
        </w:rPr>
        <w:tab/>
      </w:r>
      <w:r w:rsidRPr="00B47898">
        <w:t>resourcing consumers, whānau and communities to contribute and engage meaningfully and having policies to reflect this</w:t>
      </w:r>
      <w:r>
        <w:t>;</w:t>
      </w:r>
    </w:p>
    <w:p w14:paraId="4F8F95E7" w14:textId="067B7571" w:rsidR="00E92175" w:rsidRPr="00E92175" w:rsidRDefault="007E7131" w:rsidP="00E92175">
      <w:pPr>
        <w:ind w:left="1440" w:hanging="720"/>
        <w:rPr>
          <w:b/>
        </w:rPr>
      </w:pPr>
      <w:r>
        <w:rPr>
          <w:b/>
        </w:rPr>
        <w:t>2.6</w:t>
      </w:r>
      <w:r>
        <w:rPr>
          <w:b/>
        </w:rPr>
        <w:tab/>
      </w:r>
      <w:r w:rsidR="00E92175" w:rsidRPr="00B47898">
        <w:t>ensuring that, when services are commissioned, they are set up to enable consumers, whānau and communities to engage at all levels as determined by the code.</w:t>
      </w:r>
    </w:p>
    <w:p w14:paraId="1AEE300A" w14:textId="4A1548CF" w:rsidR="001C0C6A" w:rsidRPr="00E92175" w:rsidRDefault="00E92175" w:rsidP="00E92175">
      <w:pPr>
        <w:pStyle w:val="Heading3"/>
      </w:pPr>
      <w:r w:rsidRPr="00E92175">
        <w:t>3.</w:t>
      </w:r>
      <w:r w:rsidRPr="00E92175">
        <w:tab/>
      </w:r>
      <w:r w:rsidR="001C0C6A" w:rsidRPr="00E92175">
        <w:t>Review date</w:t>
      </w:r>
    </w:p>
    <w:p w14:paraId="540AC5A1" w14:textId="109A4BB8" w:rsidR="00E92175" w:rsidRDefault="00E92175" w:rsidP="00E92175">
      <w:pPr>
        <w:ind w:left="1440" w:hanging="720"/>
      </w:pPr>
      <w:r>
        <w:rPr>
          <w:b/>
        </w:rPr>
        <w:t>3</w:t>
      </w:r>
      <w:r w:rsidR="007E7131">
        <w:rPr>
          <w:b/>
        </w:rPr>
        <w:t>.</w:t>
      </w:r>
      <w:r>
        <w:rPr>
          <w:b/>
        </w:rPr>
        <w:t>1</w:t>
      </w:r>
      <w:r w:rsidR="007E7131">
        <w:rPr>
          <w:b/>
        </w:rPr>
        <w:tab/>
      </w:r>
      <w:r w:rsidRPr="00E92175">
        <w:t>July 2024</w:t>
      </w:r>
      <w:r>
        <w:t>.</w:t>
      </w:r>
    </w:p>
    <w:sectPr w:rsidR="00E92175" w:rsidSect="00E92175">
      <w:pgSz w:w="11906" w:h="16838"/>
      <w:pgMar w:top="1134" w:right="1134" w:bottom="851" w:left="1134" w:header="510" w:footer="34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A844" w14:textId="77777777" w:rsidR="00826ECA" w:rsidRDefault="00826ECA" w:rsidP="00D71F23">
      <w:r>
        <w:separator/>
      </w:r>
    </w:p>
  </w:endnote>
  <w:endnote w:type="continuationSeparator" w:id="0">
    <w:p w14:paraId="5694707B" w14:textId="77777777" w:rsidR="00826ECA" w:rsidRDefault="00826ECA" w:rsidP="00D7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DE01" w14:textId="77777777" w:rsidR="00826ECA" w:rsidRDefault="00826ECA" w:rsidP="00D71F23">
      <w:r>
        <w:separator/>
      </w:r>
    </w:p>
  </w:footnote>
  <w:footnote w:type="continuationSeparator" w:id="0">
    <w:p w14:paraId="235A2B03" w14:textId="77777777" w:rsidR="00826ECA" w:rsidRDefault="00826ECA" w:rsidP="00D71F23">
      <w:r>
        <w:continuationSeparator/>
      </w:r>
    </w:p>
  </w:footnote>
  <w:footnote w:id="1">
    <w:p w14:paraId="35DFDA0F" w14:textId="77777777" w:rsidR="001C0C6A" w:rsidRPr="00E92175" w:rsidRDefault="001C0C6A" w:rsidP="00D71F23">
      <w:pPr>
        <w:pStyle w:val="FootnoteText"/>
        <w:rPr>
          <w:sz w:val="28"/>
        </w:rPr>
      </w:pPr>
      <w:r w:rsidRPr="00E92175">
        <w:rPr>
          <w:rStyle w:val="FootnoteReference"/>
          <w:rFonts w:cs="Arial"/>
          <w:sz w:val="28"/>
          <w:szCs w:val="16"/>
        </w:rPr>
        <w:footnoteRef/>
      </w:r>
      <w:r w:rsidRPr="00E92175">
        <w:rPr>
          <w:sz w:val="28"/>
        </w:rPr>
        <w:t xml:space="preserve"> Principles described in: Waitangi Tribunal. 2019. </w:t>
      </w:r>
      <w:r w:rsidRPr="00E92175">
        <w:rPr>
          <w:i/>
          <w:iCs/>
          <w:sz w:val="28"/>
        </w:rPr>
        <w:t>Hauora: Report on Stage One of the Health Services and Outcomes Kaupapa Inquiry</w:t>
      </w:r>
      <w:r w:rsidRPr="00E92175">
        <w:rPr>
          <w:sz w:val="28"/>
        </w:rPr>
        <w:t xml:space="preserve"> (Wai 2575). URL: https://waitangitribunal.govt.nz/inquiries/kaupapa-inquiries/health-services-and-outcomes-inquiry. </w:t>
      </w:r>
    </w:p>
  </w:footnote>
  <w:footnote w:id="2">
    <w:p w14:paraId="6570F6DF" w14:textId="2482B264" w:rsidR="001C0C6A" w:rsidRPr="006B3F67" w:rsidRDefault="001C0C6A" w:rsidP="00D71F23">
      <w:pPr>
        <w:pStyle w:val="FootnoteText"/>
      </w:pPr>
      <w:r w:rsidRPr="00E92175">
        <w:rPr>
          <w:rStyle w:val="FootnoteReference"/>
          <w:rFonts w:cs="Arial"/>
          <w:sz w:val="28"/>
          <w:szCs w:val="16"/>
        </w:rPr>
        <w:footnoteRef/>
      </w:r>
      <w:r w:rsidRPr="00E92175">
        <w:rPr>
          <w:sz w:val="28"/>
        </w:rPr>
        <w:t xml:space="preserve"> Health and Disability Commissioner. 1996. Code of Health and Disability Services Consumers' Rights. Wellington: Health and Disability Commissioner. URL: </w:t>
      </w:r>
      <w:hyperlink r:id="rId1" w:history="1">
        <w:r w:rsidRPr="00E92175">
          <w:rPr>
            <w:rStyle w:val="Hyperlink"/>
            <w:rFonts w:cs="Arial"/>
            <w:sz w:val="28"/>
            <w:szCs w:val="16"/>
          </w:rPr>
          <w:t>www.hdc.org.nz/your-rights/about-the-code/code-of-health-and-disability-services-consumers-rights/</w:t>
        </w:r>
      </w:hyperlink>
      <w:r w:rsidRPr="00E92175">
        <w:rPr>
          <w:sz w:val="28"/>
        </w:rPr>
        <w:t xml:space="preserve"> (accessed 12 April 2022).</w:t>
      </w:r>
    </w:p>
  </w:footnote>
  <w:footnote w:id="3">
    <w:p w14:paraId="30822912" w14:textId="247E6756" w:rsidR="007E7131" w:rsidRPr="00E92175" w:rsidRDefault="007E7131" w:rsidP="007E7131">
      <w:pPr>
        <w:pStyle w:val="FootnoteText"/>
        <w:rPr>
          <w:sz w:val="28"/>
        </w:rPr>
      </w:pPr>
      <w:r w:rsidRPr="00E92175">
        <w:rPr>
          <w:rStyle w:val="FootnoteReference"/>
          <w:rFonts w:cs="Arial"/>
          <w:sz w:val="28"/>
          <w:szCs w:val="16"/>
        </w:rPr>
        <w:footnoteRef/>
      </w:r>
      <w:r w:rsidRPr="00E92175">
        <w:rPr>
          <w:sz w:val="28"/>
        </w:rPr>
        <w:t xml:space="preserve"> United Nations. 2006. United Nations Convention on the Rights of Persons with Disabilities. URL: </w:t>
      </w:r>
      <w:hyperlink r:id="rId2" w:history="1">
        <w:r w:rsidRPr="00E92175">
          <w:rPr>
            <w:rStyle w:val="Hyperlink"/>
            <w:rFonts w:cs="Arial"/>
            <w:sz w:val="28"/>
            <w:szCs w:val="16"/>
          </w:rPr>
          <w:t>www.un.org/development/desa/disabilities/convention-on-the-rights-of-persons-with-disabilities.html</w:t>
        </w:r>
      </w:hyperlink>
      <w:r w:rsidRPr="00E92175">
        <w:rPr>
          <w:sz w:val="2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5EB"/>
    <w:multiLevelType w:val="multilevel"/>
    <w:tmpl w:val="3FDC36FE"/>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97043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1"/>
    <w:rsid w:val="00066BFE"/>
    <w:rsid w:val="00173931"/>
    <w:rsid w:val="001C0C6A"/>
    <w:rsid w:val="003B4352"/>
    <w:rsid w:val="003B4F9A"/>
    <w:rsid w:val="003C03C9"/>
    <w:rsid w:val="004149F0"/>
    <w:rsid w:val="00477F48"/>
    <w:rsid w:val="0048467E"/>
    <w:rsid w:val="004A6D1A"/>
    <w:rsid w:val="004F67D5"/>
    <w:rsid w:val="00583071"/>
    <w:rsid w:val="005E69BD"/>
    <w:rsid w:val="00634301"/>
    <w:rsid w:val="00646429"/>
    <w:rsid w:val="00722631"/>
    <w:rsid w:val="007509CC"/>
    <w:rsid w:val="007E7131"/>
    <w:rsid w:val="00810A0F"/>
    <w:rsid w:val="00826ECA"/>
    <w:rsid w:val="00980752"/>
    <w:rsid w:val="009B39AA"/>
    <w:rsid w:val="00A027AE"/>
    <w:rsid w:val="00AA1458"/>
    <w:rsid w:val="00AF7A63"/>
    <w:rsid w:val="00B11D6D"/>
    <w:rsid w:val="00B47898"/>
    <w:rsid w:val="00C127D1"/>
    <w:rsid w:val="00C51E0D"/>
    <w:rsid w:val="00C6581E"/>
    <w:rsid w:val="00C84DE4"/>
    <w:rsid w:val="00CB5ED7"/>
    <w:rsid w:val="00CE7EE7"/>
    <w:rsid w:val="00D05F60"/>
    <w:rsid w:val="00D71F23"/>
    <w:rsid w:val="00DB1999"/>
    <w:rsid w:val="00DD358D"/>
    <w:rsid w:val="00E278B4"/>
    <w:rsid w:val="00E92175"/>
    <w:rsid w:val="00F17E1B"/>
    <w:rsid w:val="00F80DF9"/>
    <w:rsid w:val="00FB1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954C"/>
  <w15:chartTrackingRefBased/>
  <w15:docId w15:val="{D4F3FC34-8333-4DE5-B2BF-091C5765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23"/>
    <w:pPr>
      <w:tabs>
        <w:tab w:val="center" w:pos="4513"/>
        <w:tab w:val="right" w:pos="9026"/>
      </w:tabs>
      <w:spacing w:after="280" w:line="288" w:lineRule="auto"/>
    </w:pPr>
    <w:rPr>
      <w:rFonts w:ascii="Arial" w:eastAsia="Times New Roman" w:hAnsi="Arial" w:cs="Arial"/>
      <w:sz w:val="36"/>
      <w:szCs w:val="20"/>
    </w:rPr>
  </w:style>
  <w:style w:type="paragraph" w:styleId="Heading1">
    <w:name w:val="heading 1"/>
    <w:basedOn w:val="Normal"/>
    <w:next w:val="Normal"/>
    <w:link w:val="Heading1Char"/>
    <w:uiPriority w:val="9"/>
    <w:qFormat/>
    <w:rsid w:val="00E92175"/>
    <w:pPr>
      <w:spacing w:before="200"/>
      <w:outlineLvl w:val="0"/>
    </w:pPr>
    <w:rPr>
      <w:rFonts w:ascii="Arial Bold" w:hAnsi="Arial Bold"/>
      <w:b/>
      <w:bCs/>
      <w:sz w:val="48"/>
      <w:szCs w:val="24"/>
    </w:rPr>
  </w:style>
  <w:style w:type="paragraph" w:styleId="Heading2">
    <w:name w:val="heading 2"/>
    <w:basedOn w:val="Normal"/>
    <w:next w:val="Normal"/>
    <w:link w:val="Heading2Char"/>
    <w:uiPriority w:val="9"/>
    <w:unhideWhenUsed/>
    <w:qFormat/>
    <w:rsid w:val="00D71F23"/>
    <w:pPr>
      <w:spacing w:before="560" w:after="160" w:line="276" w:lineRule="auto"/>
      <w:outlineLvl w:val="1"/>
    </w:pPr>
    <w:rPr>
      <w:rFonts w:ascii="Arial Bold" w:hAnsi="Arial Bold"/>
      <w:b/>
      <w:bCs/>
      <w:sz w:val="44"/>
      <w:szCs w:val="24"/>
    </w:rPr>
  </w:style>
  <w:style w:type="paragraph" w:styleId="Heading3">
    <w:name w:val="heading 3"/>
    <w:basedOn w:val="Normal"/>
    <w:next w:val="Normal"/>
    <w:link w:val="Heading3Char"/>
    <w:uiPriority w:val="9"/>
    <w:unhideWhenUsed/>
    <w:qFormat/>
    <w:rsid w:val="00E92175"/>
    <w:pPr>
      <w:spacing w:before="520" w:after="160"/>
      <w:ind w:left="720" w:hanging="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
    <w:rsid w:val="00173931"/>
    <w:rPr>
      <w:sz w:val="20"/>
    </w:rPr>
  </w:style>
  <w:style w:type="character" w:customStyle="1" w:styleId="FootnoteTextChar">
    <w:name w:val="Footnote Text Char"/>
    <w:aliases w:val="Footnote Text Char Char Char"/>
    <w:basedOn w:val="DefaultParagraphFont"/>
    <w:link w:val="FootnoteText"/>
    <w:rsid w:val="00173931"/>
    <w:rPr>
      <w:rFonts w:ascii="Arial" w:eastAsia="Times New Roman" w:hAnsi="Arial" w:cs="Times New Roman"/>
      <w:sz w:val="20"/>
      <w:szCs w:val="20"/>
      <w:lang w:eastAsia="en-GB"/>
    </w:rPr>
  </w:style>
  <w:style w:type="character" w:styleId="FootnoteReference">
    <w:name w:val="footnote reference"/>
    <w:basedOn w:val="DefaultParagraphFont"/>
    <w:rsid w:val="00173931"/>
    <w:rPr>
      <w:rFonts w:cs="Times New Roman"/>
      <w:vertAlign w:val="superscript"/>
    </w:rPr>
  </w:style>
  <w:style w:type="character" w:styleId="Hyperlink">
    <w:name w:val="Hyperlink"/>
    <w:basedOn w:val="DefaultParagraphFont"/>
    <w:rsid w:val="00173931"/>
    <w:rPr>
      <w:rFonts w:cs="Times New Roman"/>
      <w:color w:val="0000FF"/>
      <w:u w:val="single"/>
    </w:rPr>
  </w:style>
  <w:style w:type="paragraph" w:styleId="Header">
    <w:name w:val="header"/>
    <w:basedOn w:val="Normal"/>
    <w:link w:val="HeaderChar"/>
    <w:uiPriority w:val="99"/>
    <w:unhideWhenUsed/>
    <w:rsid w:val="00F80DF9"/>
  </w:style>
  <w:style w:type="character" w:customStyle="1" w:styleId="HeaderChar">
    <w:name w:val="Header Char"/>
    <w:basedOn w:val="DefaultParagraphFont"/>
    <w:link w:val="Header"/>
    <w:uiPriority w:val="99"/>
    <w:rsid w:val="00F80DF9"/>
    <w:rPr>
      <w:rFonts w:ascii="Arial" w:eastAsia="Times New Roman" w:hAnsi="Arial" w:cs="Times New Roman"/>
      <w:szCs w:val="20"/>
      <w:lang w:eastAsia="en-GB"/>
    </w:rPr>
  </w:style>
  <w:style w:type="paragraph" w:styleId="Footer">
    <w:name w:val="footer"/>
    <w:basedOn w:val="Normal"/>
    <w:link w:val="FooterChar"/>
    <w:uiPriority w:val="99"/>
    <w:unhideWhenUsed/>
    <w:rsid w:val="00F80DF9"/>
  </w:style>
  <w:style w:type="character" w:customStyle="1" w:styleId="FooterChar">
    <w:name w:val="Footer Char"/>
    <w:basedOn w:val="DefaultParagraphFont"/>
    <w:link w:val="Footer"/>
    <w:uiPriority w:val="99"/>
    <w:rsid w:val="00F80DF9"/>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E92175"/>
    <w:rPr>
      <w:rFonts w:ascii="Arial Bold" w:eastAsia="Times New Roman" w:hAnsi="Arial Bold" w:cs="Arial"/>
      <w:b/>
      <w:bCs/>
      <w:sz w:val="48"/>
      <w:szCs w:val="24"/>
    </w:rPr>
  </w:style>
  <w:style w:type="character" w:customStyle="1" w:styleId="Heading2Char">
    <w:name w:val="Heading 2 Char"/>
    <w:basedOn w:val="DefaultParagraphFont"/>
    <w:link w:val="Heading2"/>
    <w:uiPriority w:val="9"/>
    <w:rsid w:val="00D71F23"/>
    <w:rPr>
      <w:rFonts w:ascii="Arial Bold" w:eastAsia="Times New Roman" w:hAnsi="Arial Bold" w:cs="Arial"/>
      <w:b/>
      <w:bCs/>
      <w:sz w:val="44"/>
      <w:szCs w:val="24"/>
    </w:rPr>
  </w:style>
  <w:style w:type="paragraph" w:styleId="ListParagraph">
    <w:name w:val="List Paragraph"/>
    <w:basedOn w:val="Normal"/>
    <w:uiPriority w:val="34"/>
    <w:qFormat/>
    <w:rsid w:val="00D71F23"/>
    <w:pPr>
      <w:ind w:left="720"/>
      <w:contextualSpacing/>
    </w:pPr>
  </w:style>
  <w:style w:type="character" w:customStyle="1" w:styleId="Heading3Char">
    <w:name w:val="Heading 3 Char"/>
    <w:basedOn w:val="DefaultParagraphFont"/>
    <w:link w:val="Heading3"/>
    <w:uiPriority w:val="9"/>
    <w:rsid w:val="00E92175"/>
    <w:rPr>
      <w:rFonts w:ascii="Arial" w:eastAsia="Times New Roman" w:hAnsi="Arial" w:cs="Arial"/>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evelopment/desa/disabilities/convention-on-the-rights-of-persons-with-disabilities.html" TargetMode="External"/><Relationship Id="rId1" Type="http://schemas.openxmlformats.org/officeDocument/2006/relationships/hyperlink" Target="http://www.hdc.org.nz/your-rights/about-the-code/code-of-health-and-disability-services-consumers-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bfa117-4026-4c03-9e88-a6efd0e006fb">
      <Terms xmlns="http://schemas.microsoft.com/office/infopath/2007/PartnerControls"/>
    </lcf76f155ced4ddcb4097134ff3c332f>
    <TaxCatchAll xmlns="bef9904b-9bca-4a1b-aca3-78dad2044d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5589ed337679e81ecae9f4700d486a0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31fb31558d721f89ad6eb25fd8a02e61"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9AC793FA-F231-4EB1-A4F3-D9634DEB4CEC}">
  <ds:schemaRefs>
    <ds:schemaRef ds:uri="http://schemas.microsoft.com/sharepoint/v3/contenttype/forms"/>
  </ds:schemaRefs>
</ds:datastoreItem>
</file>

<file path=customXml/itemProps2.xml><?xml version="1.0" encoding="utf-8"?>
<ds:datastoreItem xmlns:ds="http://schemas.openxmlformats.org/officeDocument/2006/customXml" ds:itemID="{A559616A-7779-484C-974C-50F3273D3B79}">
  <ds:schemaRefs>
    <ds:schemaRef ds:uri="http://schemas.microsoft.com/office/infopath/2007/PartnerControls"/>
    <ds:schemaRef ds:uri="http://schemas.microsoft.com/office/2006/documentManagement/types"/>
    <ds:schemaRef ds:uri="http://purl.org/dc/dcmitype/"/>
    <ds:schemaRef ds:uri="http://purl.org/dc/elements/1.1/"/>
    <ds:schemaRef ds:uri="0c8419a8-0969-48de-a896-901fe0661d3e"/>
    <ds:schemaRef ds:uri="http://purl.org/dc/terms/"/>
    <ds:schemaRef ds:uri="http://schemas.microsoft.com/office/2006/metadata/properties"/>
    <ds:schemaRef ds:uri="http://schemas.openxmlformats.org/package/2006/metadata/core-properties"/>
    <ds:schemaRef ds:uri="6a7f7810-7080-4eb4-b66c-c41c6fc69d87"/>
    <ds:schemaRef ds:uri="http://www.w3.org/XML/1998/namespace"/>
  </ds:schemaRefs>
</ds:datastoreItem>
</file>

<file path=customXml/itemProps3.xml><?xml version="1.0" encoding="utf-8"?>
<ds:datastoreItem xmlns:ds="http://schemas.openxmlformats.org/officeDocument/2006/customXml" ds:itemID="{F2881333-FDF8-4BA8-9B9B-E9D2E49429AA}"/>
</file>

<file path=customXml/itemProps4.xml><?xml version="1.0" encoding="utf-8"?>
<ds:datastoreItem xmlns:ds="http://schemas.openxmlformats.org/officeDocument/2006/customXml" ds:itemID="{448AFB60-A27B-429A-B10C-D8B4EB23A65D}"/>
</file>

<file path=docProps/app.xml><?xml version="1.0" encoding="utf-8"?>
<Properties xmlns="http://schemas.openxmlformats.org/officeDocument/2006/extended-properties" xmlns:vt="http://schemas.openxmlformats.org/officeDocument/2006/docPropsVTypes">
  <Template>Normal.dotm</Template>
  <TotalTime>55</TotalTime>
  <Pages>5</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Health Quality Safety Commission</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York</dc:creator>
  <cp:keywords/>
  <dc:description/>
  <cp:lastModifiedBy>Zelda Edwards</cp:lastModifiedBy>
  <cp:revision>18</cp:revision>
  <dcterms:created xsi:type="dcterms:W3CDTF">2022-11-03T01:41:00Z</dcterms:created>
  <dcterms:modified xsi:type="dcterms:W3CDTF">2022-11-03T02:17:00Z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y fmtid="{D5CDD505-2E9C-101B-9397-08002B2CF9AE}" pid="3" name="MediaServiceImageTags">
    <vt:lpwstr/>
  </property>
</Properties>
</file>