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A32" w14:textId="60080CBB" w:rsidR="00AF57B3" w:rsidRPr="006D1081" w:rsidRDefault="009C1104" w:rsidP="00782F8B">
      <w:pPr>
        <w:pStyle w:val="HQSChead1"/>
        <w:tabs>
          <w:tab w:val="right" w:pos="9026"/>
        </w:tabs>
        <w:rPr>
          <w:sz w:val="32"/>
          <w:szCs w:val="28"/>
        </w:rPr>
      </w:pPr>
      <w:r w:rsidRPr="006D1081">
        <w:rPr>
          <w:noProof/>
          <w:sz w:val="32"/>
          <w:szCs w:val="28"/>
        </w:rPr>
        <w:drawing>
          <wp:anchor distT="0" distB="0" distL="114300" distR="114300" simplePos="0" relativeHeight="251658240" behindDoc="1" locked="0" layoutInCell="1" allowOverlap="1" wp14:anchorId="152885C4" wp14:editId="6D20D0F8">
            <wp:simplePos x="0" y="0"/>
            <wp:positionH relativeFrom="page">
              <wp:align>right</wp:align>
            </wp:positionH>
            <wp:positionV relativeFrom="paragraph">
              <wp:posOffset>-914400</wp:posOffset>
            </wp:positionV>
            <wp:extent cx="7541254"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2F8B">
        <w:rPr>
          <w:sz w:val="32"/>
          <w:szCs w:val="28"/>
        </w:rPr>
        <w:tab/>
      </w:r>
    </w:p>
    <w:p w14:paraId="34491E51" w14:textId="77777777" w:rsidR="00AF57B3" w:rsidRPr="006D1081" w:rsidRDefault="00AF57B3" w:rsidP="00A313E6">
      <w:pPr>
        <w:pStyle w:val="HQSChead1"/>
        <w:rPr>
          <w:sz w:val="32"/>
          <w:szCs w:val="28"/>
        </w:rPr>
      </w:pPr>
    </w:p>
    <w:p w14:paraId="101FBDB8" w14:textId="608ED779" w:rsidR="00D12FC1" w:rsidRPr="00A313E6" w:rsidRDefault="45CCC8AB" w:rsidP="00A313E6">
      <w:pPr>
        <w:pStyle w:val="HQSChead1"/>
      </w:pPr>
      <w:r w:rsidDel="008A3ACC">
        <w:t>C</w:t>
      </w:r>
      <w:r>
        <w:t xml:space="preserve">onsumer and </w:t>
      </w:r>
      <w:r w:rsidR="00EE4317">
        <w:t>whānau engagement workshop</w:t>
      </w:r>
      <w:r w:rsidR="003338C1">
        <w:t xml:space="preserve"> </w:t>
      </w:r>
      <w:r w:rsidR="00A56DD1" w:rsidRPr="0000567A">
        <w:rPr>
          <w:bCs/>
        </w:rPr>
        <w:t>December 2025</w:t>
      </w:r>
      <w:r w:rsidR="009533C2" w:rsidRPr="0000567A">
        <w:t xml:space="preserve"> </w:t>
      </w:r>
      <w:r w:rsidR="003338C1">
        <w:t>evaluation report</w:t>
      </w:r>
    </w:p>
    <w:p w14:paraId="2CBDF611" w14:textId="77777777" w:rsidR="008A0F7B" w:rsidRPr="004846B0" w:rsidRDefault="00960B3F" w:rsidP="008A0F7B">
      <w:pPr>
        <w:pStyle w:val="HQSChead2"/>
      </w:pPr>
      <w:bookmarkStart w:id="0" w:name="_Toc494090983"/>
      <w:r>
        <w:t>Summary</w:t>
      </w:r>
    </w:p>
    <w:p w14:paraId="39A2FE8F" w14:textId="3DFF9329" w:rsidR="00D53237" w:rsidRPr="00D53237" w:rsidRDefault="00BF230B" w:rsidP="00D53237">
      <w:pPr>
        <w:pStyle w:val="HQSCbodytext"/>
      </w:pPr>
      <w:r>
        <w:t>The Health Quality &amp; Safety Commission Te Tāhū Hauora (the Commission) hosted</w:t>
      </w:r>
      <w:r w:rsidR="00960B3F">
        <w:t xml:space="preserve"> </w:t>
      </w:r>
      <w:r w:rsidR="00176115">
        <w:t xml:space="preserve">a consumer and whānau engagement workshop on 16 December 2025 at </w:t>
      </w:r>
      <w:proofErr w:type="spellStart"/>
      <w:r w:rsidR="00176115">
        <w:t>Rydges</w:t>
      </w:r>
      <w:proofErr w:type="spellEnd"/>
      <w:r w:rsidR="00176115">
        <w:t xml:space="preserve"> Wellington Airport. </w:t>
      </w:r>
      <w:r w:rsidR="00015F2B">
        <w:t xml:space="preserve">The </w:t>
      </w:r>
      <w:r w:rsidR="00176115">
        <w:t xml:space="preserve">workshop </w:t>
      </w:r>
      <w:r w:rsidR="00015F2B">
        <w:t xml:space="preserve">brought together </w:t>
      </w:r>
      <w:r w:rsidR="00D53237" w:rsidRPr="00D53237">
        <w:t xml:space="preserve">members of </w:t>
      </w:r>
      <w:r w:rsidR="008E7CFF">
        <w:t xml:space="preserve">the </w:t>
      </w:r>
      <w:r w:rsidR="00D53237" w:rsidRPr="00D53237">
        <w:t xml:space="preserve">Health </w:t>
      </w:r>
      <w:r w:rsidR="008E7CFF">
        <w:t>New Zealand | Te Whatu Ora (</w:t>
      </w:r>
      <w:r w:rsidR="00D53237" w:rsidRPr="00D53237">
        <w:t>Health NZ</w:t>
      </w:r>
      <w:r w:rsidR="008E7CFF">
        <w:t>)</w:t>
      </w:r>
      <w:r w:rsidR="00D53237" w:rsidRPr="00D53237">
        <w:t xml:space="preserve"> national, regional and district consumer staff, their Patient Safety and Quality team, members of the regional consumer councils and representatives from the Ministry</w:t>
      </w:r>
      <w:r w:rsidR="002643C0">
        <w:t xml:space="preserve"> of Health </w:t>
      </w:r>
      <w:r w:rsidR="00B30C31">
        <w:t>–</w:t>
      </w:r>
      <w:r w:rsidR="002643C0">
        <w:t xml:space="preserve"> </w:t>
      </w:r>
      <w:proofErr w:type="spellStart"/>
      <w:r w:rsidR="002643C0">
        <w:t>Manatū</w:t>
      </w:r>
      <w:proofErr w:type="spellEnd"/>
      <w:r w:rsidR="00B30C31">
        <w:t xml:space="preserve"> </w:t>
      </w:r>
      <w:r w:rsidR="002643C0">
        <w:t>Hauora (the Ministry)</w:t>
      </w:r>
      <w:r w:rsidR="00D53237" w:rsidRPr="00D53237">
        <w:t xml:space="preserve"> Health System Monitoring, Performance and Governance group.</w:t>
      </w:r>
    </w:p>
    <w:p w14:paraId="0E95A2D3" w14:textId="0FF80384" w:rsidR="00960B3F" w:rsidRDefault="00D53237" w:rsidP="00960B3F">
      <w:pPr>
        <w:pStyle w:val="HQSCbodytext"/>
      </w:pPr>
      <w:r>
        <w:t xml:space="preserve">The workshop focused on the </w:t>
      </w:r>
      <w:r w:rsidR="00D149AF">
        <w:t>c</w:t>
      </w:r>
      <w:r>
        <w:t xml:space="preserve">onsumer and </w:t>
      </w:r>
      <w:r w:rsidR="00EA4B28">
        <w:t>w</w:t>
      </w:r>
      <w:r>
        <w:t xml:space="preserve">hānau </w:t>
      </w:r>
      <w:r w:rsidR="00EA4B28">
        <w:t>e</w:t>
      </w:r>
      <w:r>
        <w:t xml:space="preserve">ngagement </w:t>
      </w:r>
      <w:r w:rsidR="00682B66">
        <w:t>q</w:t>
      </w:r>
      <w:r>
        <w:t xml:space="preserve">uality and </w:t>
      </w:r>
      <w:r w:rsidR="00682B66">
        <w:t>s</w:t>
      </w:r>
      <w:r>
        <w:t xml:space="preserve">afety </w:t>
      </w:r>
      <w:r w:rsidR="00682B66">
        <w:t>m</w:t>
      </w:r>
      <w:r>
        <w:t>arker (QSM), the</w:t>
      </w:r>
      <w:r w:rsidR="00290731">
        <w:t xml:space="preserve"> </w:t>
      </w:r>
      <w:r w:rsidR="00564860">
        <w:t>c</w:t>
      </w:r>
      <w:r>
        <w:t>ode of expectations for health entities’ engagement with consumers and whānau</w:t>
      </w:r>
      <w:r w:rsidR="009615F4">
        <w:t xml:space="preserve"> (the </w:t>
      </w:r>
      <w:r w:rsidR="00564860">
        <w:t>c</w:t>
      </w:r>
      <w:r w:rsidR="009615F4">
        <w:t>ode</w:t>
      </w:r>
      <w:r w:rsidR="00354A87">
        <w:t xml:space="preserve"> of expectations</w:t>
      </w:r>
      <w:r w:rsidR="009615F4">
        <w:t>)</w:t>
      </w:r>
      <w:r>
        <w:t xml:space="preserve"> and the SURE</w:t>
      </w:r>
      <w:r w:rsidR="00290731">
        <w:t xml:space="preserve"> </w:t>
      </w:r>
      <w:r>
        <w:t>(Supporting, Understanding, Responding and Evaluating)</w:t>
      </w:r>
      <w:r w:rsidR="00290731">
        <w:t xml:space="preserve"> </w:t>
      </w:r>
      <w:r>
        <w:t>framework.</w:t>
      </w:r>
      <w:r w:rsidR="008100BC">
        <w:t xml:space="preserve"> </w:t>
      </w:r>
      <w:r w:rsidR="00564860">
        <w:t>You can f</w:t>
      </w:r>
      <w:r w:rsidR="008100BC">
        <w:t xml:space="preserve">ind the links to these resources on our website </w:t>
      </w:r>
      <w:r w:rsidR="004772D3">
        <w:t>at</w:t>
      </w:r>
      <w:r w:rsidR="008100BC">
        <w:t xml:space="preserve">: </w:t>
      </w:r>
    </w:p>
    <w:p w14:paraId="52FC074E" w14:textId="4F723E9D" w:rsidR="352CA45A" w:rsidRDefault="008100BC" w:rsidP="00721924">
      <w:pPr>
        <w:pStyle w:val="HQSCbullets"/>
      </w:pPr>
      <w:hyperlink r:id="rId9" w:anchor="!/" w:history="1">
        <w:r w:rsidRPr="008B299F">
          <w:rPr>
            <w:rStyle w:val="Hyperlink"/>
          </w:rPr>
          <w:t xml:space="preserve">Consumer and </w:t>
        </w:r>
        <w:r w:rsidR="00EA4B28">
          <w:rPr>
            <w:rStyle w:val="Hyperlink"/>
          </w:rPr>
          <w:t>w</w:t>
        </w:r>
        <w:r w:rsidRPr="008B299F">
          <w:rPr>
            <w:rStyle w:val="Hyperlink"/>
          </w:rPr>
          <w:t xml:space="preserve">hānau </w:t>
        </w:r>
        <w:r w:rsidR="00EA4B28">
          <w:rPr>
            <w:rStyle w:val="Hyperlink"/>
          </w:rPr>
          <w:t>e</w:t>
        </w:r>
        <w:r w:rsidRPr="008B299F">
          <w:rPr>
            <w:rStyle w:val="Hyperlink"/>
          </w:rPr>
          <w:t>ngagement Quality and Safety Marker</w:t>
        </w:r>
      </w:hyperlink>
    </w:p>
    <w:p w14:paraId="33DC6064" w14:textId="26134292" w:rsidR="008100BC" w:rsidRPr="00566600" w:rsidRDefault="00566600" w:rsidP="00721924">
      <w:pPr>
        <w:pStyle w:val="HQSCbullets"/>
        <w:rPr>
          <w:rStyle w:val="Hyperlink"/>
        </w:rPr>
      </w:pPr>
      <w:r>
        <w:fldChar w:fldCharType="begin"/>
      </w:r>
      <w:r>
        <w:instrText>HYPERLINK "https://www.hqsc.govt.nz/assets/Consumer-hub/Publications-resources/HQSC_Code-of-expectations_English_20230515-v2.pdf?hash=73230f39e4c83a6f735a6388afa6da31e2dd6507"</w:instrText>
      </w:r>
      <w:r>
        <w:fldChar w:fldCharType="separate"/>
      </w:r>
      <w:r w:rsidR="008B299F" w:rsidRPr="00566600">
        <w:rPr>
          <w:rStyle w:val="Hyperlink"/>
        </w:rPr>
        <w:t>C</w:t>
      </w:r>
      <w:r w:rsidR="008100BC" w:rsidRPr="00566600">
        <w:rPr>
          <w:rStyle w:val="Hyperlink"/>
        </w:rPr>
        <w:t>ode of expectations for health entities’ engagement with consumers and whānau</w:t>
      </w:r>
    </w:p>
    <w:p w14:paraId="5CC5A12B" w14:textId="32FE146E" w:rsidR="008B299F" w:rsidRDefault="00566600" w:rsidP="00721924">
      <w:pPr>
        <w:pStyle w:val="HQSCbullets"/>
      </w:pPr>
      <w:r>
        <w:fldChar w:fldCharType="end"/>
      </w:r>
      <w:hyperlink r:id="rId10" w:history="1">
        <w:r w:rsidR="008B299F" w:rsidRPr="0015459B">
          <w:rPr>
            <w:rStyle w:val="Hyperlink"/>
          </w:rPr>
          <w:t>SURE (Supporting, Understanding, Responding and Evaluating) framework</w:t>
        </w:r>
      </w:hyperlink>
    </w:p>
    <w:p w14:paraId="4FB79527" w14:textId="0FC1963C" w:rsidR="002A07B2" w:rsidRDefault="20D6E3C9" w:rsidP="00F16FC8">
      <w:pPr>
        <w:pStyle w:val="HQSCbullets"/>
        <w:numPr>
          <w:ilvl w:val="0"/>
          <w:numId w:val="0"/>
        </w:numPr>
      </w:pPr>
      <w:r>
        <w:t>T</w:t>
      </w:r>
      <w:r w:rsidR="71CC57D1">
        <w:t>his report</w:t>
      </w:r>
      <w:r>
        <w:t xml:space="preserve"> outlines </w:t>
      </w:r>
      <w:r w:rsidR="00FA79F6">
        <w:t xml:space="preserve">our </w:t>
      </w:r>
      <w:r w:rsidR="71CC57D1">
        <w:t>key learning</w:t>
      </w:r>
      <w:r w:rsidR="00D94CCB">
        <w:t>s</w:t>
      </w:r>
      <w:r w:rsidR="0579C412">
        <w:t xml:space="preserve"> from </w:t>
      </w:r>
      <w:r w:rsidR="000B2BAC">
        <w:t xml:space="preserve">holding and evaluating </w:t>
      </w:r>
      <w:r w:rsidR="0579C412">
        <w:t xml:space="preserve">the </w:t>
      </w:r>
      <w:r w:rsidR="70B1F1EB">
        <w:t>event</w:t>
      </w:r>
      <w:r w:rsidR="71CC57D1">
        <w:t xml:space="preserve"> </w:t>
      </w:r>
      <w:r w:rsidR="000B2BAC">
        <w:t xml:space="preserve">and summarises </w:t>
      </w:r>
      <w:r w:rsidR="71CC57D1">
        <w:t xml:space="preserve">how the day went for attendees, staff and organisers. </w:t>
      </w:r>
      <w:r w:rsidR="46ADBA0C" w:rsidRPr="39B63DE9">
        <w:rPr>
          <w:rFonts w:eastAsia="Arial"/>
        </w:rPr>
        <w:t xml:space="preserve">We would like to thank all attendees for being part of the day and for sharing </w:t>
      </w:r>
      <w:r w:rsidR="00821525" w:rsidRPr="39B63DE9">
        <w:rPr>
          <w:rFonts w:eastAsia="Arial"/>
        </w:rPr>
        <w:t xml:space="preserve">their </w:t>
      </w:r>
      <w:r w:rsidR="46ADBA0C" w:rsidRPr="39B63DE9">
        <w:rPr>
          <w:rFonts w:eastAsia="Arial"/>
        </w:rPr>
        <w:t>time, insights and experiences.</w:t>
      </w:r>
    </w:p>
    <w:p w14:paraId="7A074400" w14:textId="48BB5A32" w:rsidR="009B6293" w:rsidRDefault="71CC57D1" w:rsidP="008A0F7B">
      <w:pPr>
        <w:pStyle w:val="HQSCbodytext"/>
      </w:pPr>
      <w:r>
        <w:t xml:space="preserve">Overall, </w:t>
      </w:r>
      <w:r w:rsidR="00F16FC8">
        <w:t>the workshop</w:t>
      </w:r>
      <w:r>
        <w:t xml:space="preserve"> was </w:t>
      </w:r>
      <w:r w:rsidR="00F16FC8">
        <w:t>successful</w:t>
      </w:r>
      <w:r w:rsidR="00315BEE">
        <w:t xml:space="preserve">. It </w:t>
      </w:r>
      <w:r>
        <w:t xml:space="preserve">provided </w:t>
      </w:r>
      <w:r w:rsidR="58349FEE">
        <w:t>opportunities to</w:t>
      </w:r>
      <w:r w:rsidR="00A93306">
        <w:t>:</w:t>
      </w:r>
    </w:p>
    <w:p w14:paraId="3641DCBC" w14:textId="51C83B37" w:rsidR="00A93306" w:rsidRDefault="0067108E" w:rsidP="00721924">
      <w:pPr>
        <w:pStyle w:val="HQSCbullets"/>
        <w:rPr>
          <w:rStyle w:val="eop"/>
        </w:rPr>
      </w:pPr>
      <w:r>
        <w:rPr>
          <w:rStyle w:val="normaltextrun"/>
        </w:rPr>
        <w:t>strengthen understanding of</w:t>
      </w:r>
      <w:r w:rsidR="00A93306" w:rsidRPr="00A93306">
        <w:rPr>
          <w:rStyle w:val="normaltextrun"/>
        </w:rPr>
        <w:t xml:space="preserve"> the</w:t>
      </w:r>
      <w:r w:rsidR="00FB7956">
        <w:rPr>
          <w:rStyle w:val="normaltextrun"/>
        </w:rPr>
        <w:t xml:space="preserve"> </w:t>
      </w:r>
      <w:r w:rsidR="00D94CCB">
        <w:rPr>
          <w:rStyle w:val="normaltextrun"/>
        </w:rPr>
        <w:t>c</w:t>
      </w:r>
      <w:r w:rsidR="00A93306" w:rsidRPr="00A93306">
        <w:rPr>
          <w:rStyle w:val="normaltextrun"/>
        </w:rPr>
        <w:t>ode of expectations for health entities’ engagement with consumers and</w:t>
      </w:r>
      <w:r w:rsidR="00A93306">
        <w:rPr>
          <w:rStyle w:val="normaltextrun"/>
        </w:rPr>
        <w:t xml:space="preserve"> whānau</w:t>
      </w:r>
    </w:p>
    <w:p w14:paraId="66E2F711" w14:textId="19C60C9E" w:rsidR="00A93306" w:rsidRDefault="00A93306" w:rsidP="00721924">
      <w:pPr>
        <w:pStyle w:val="HQSCbullets"/>
      </w:pPr>
      <w:r>
        <w:rPr>
          <w:rStyle w:val="normaltextrun"/>
        </w:rPr>
        <w:t xml:space="preserve">clarify </w:t>
      </w:r>
      <w:r w:rsidR="00315BEE">
        <w:rPr>
          <w:rStyle w:val="normaltextrun"/>
        </w:rPr>
        <w:t xml:space="preserve">the </w:t>
      </w:r>
      <w:r>
        <w:rPr>
          <w:rStyle w:val="normaltextrun"/>
        </w:rPr>
        <w:t xml:space="preserve">purpose </w:t>
      </w:r>
      <w:r w:rsidR="00315BEE">
        <w:rPr>
          <w:rStyle w:val="normaltextrun"/>
        </w:rPr>
        <w:t xml:space="preserve">of the SURE framework </w:t>
      </w:r>
      <w:r>
        <w:rPr>
          <w:rStyle w:val="normaltextrun"/>
        </w:rPr>
        <w:t xml:space="preserve">and how to use </w:t>
      </w:r>
      <w:r w:rsidR="00315BEE">
        <w:rPr>
          <w:rStyle w:val="normaltextrun"/>
        </w:rPr>
        <w:t xml:space="preserve">it </w:t>
      </w:r>
      <w:r>
        <w:rPr>
          <w:rStyle w:val="normaltextrun"/>
        </w:rPr>
        <w:t>as a planning and improvement tool</w:t>
      </w:r>
    </w:p>
    <w:p w14:paraId="2C2D35EC" w14:textId="5FE00A66" w:rsidR="00A93306" w:rsidRDefault="00A93306" w:rsidP="00721924">
      <w:pPr>
        <w:pStyle w:val="HQSCbullets"/>
      </w:pPr>
      <w:r>
        <w:rPr>
          <w:rStyle w:val="normaltextrun"/>
        </w:rPr>
        <w:t>share best</w:t>
      </w:r>
      <w:r w:rsidR="00315BEE">
        <w:rPr>
          <w:rStyle w:val="normaltextrun"/>
        </w:rPr>
        <w:t>-</w:t>
      </w:r>
      <w:r>
        <w:rPr>
          <w:rStyle w:val="normaltextrun"/>
        </w:rPr>
        <w:t>practice examples through reporting to the</w:t>
      </w:r>
      <w:r w:rsidR="00FB7956">
        <w:rPr>
          <w:rStyle w:val="normaltextrun"/>
        </w:rPr>
        <w:t xml:space="preserve"> </w:t>
      </w:r>
      <w:r>
        <w:rPr>
          <w:rStyle w:val="normaltextrun"/>
        </w:rPr>
        <w:t>QSM</w:t>
      </w:r>
      <w:r w:rsidR="006F3C89">
        <w:rPr>
          <w:rStyle w:val="normaltextrun"/>
        </w:rPr>
        <w:t>.</w:t>
      </w:r>
    </w:p>
    <w:p w14:paraId="0BCC9C54" w14:textId="5C83CD88" w:rsidR="00960B3F" w:rsidRDefault="00960B3F" w:rsidP="00960B3F">
      <w:pPr>
        <w:pStyle w:val="HQSChead2"/>
      </w:pPr>
      <w:r>
        <w:t>Introduction</w:t>
      </w:r>
    </w:p>
    <w:p w14:paraId="4395F8EA" w14:textId="7D27923A" w:rsidR="00960B3F" w:rsidRPr="00960B3F" w:rsidRDefault="00F16FC8" w:rsidP="00960B3F">
      <w:pPr>
        <w:pStyle w:val="HQSCbodytext"/>
        <w:rPr>
          <w:color w:val="121212" w:themeColor="text1"/>
        </w:rPr>
      </w:pPr>
      <w:r>
        <w:rPr>
          <w:color w:val="121212" w:themeColor="text1"/>
        </w:rPr>
        <w:t>The consumer and whānau engagement workshop</w:t>
      </w:r>
      <w:r w:rsidR="47B3BB6E" w:rsidRPr="39B63DE9">
        <w:rPr>
          <w:color w:val="121212" w:themeColor="text1"/>
        </w:rPr>
        <w:t xml:space="preserve"> </w:t>
      </w:r>
      <w:proofErr w:type="gramStart"/>
      <w:r>
        <w:rPr>
          <w:color w:val="121212" w:themeColor="text1"/>
        </w:rPr>
        <w:t>was</w:t>
      </w:r>
      <w:proofErr w:type="gramEnd"/>
      <w:r>
        <w:rPr>
          <w:color w:val="121212" w:themeColor="text1"/>
        </w:rPr>
        <w:t xml:space="preserve"> </w:t>
      </w:r>
      <w:r w:rsidR="47B3BB6E" w:rsidRPr="39B63DE9">
        <w:rPr>
          <w:color w:val="121212" w:themeColor="text1"/>
        </w:rPr>
        <w:t xml:space="preserve">a </w:t>
      </w:r>
      <w:r>
        <w:rPr>
          <w:color w:val="121212" w:themeColor="text1"/>
        </w:rPr>
        <w:t>regional</w:t>
      </w:r>
      <w:r w:rsidR="47B3BB6E" w:rsidRPr="39B63DE9">
        <w:rPr>
          <w:color w:val="121212" w:themeColor="text1"/>
        </w:rPr>
        <w:t xml:space="preserve"> event hosted by the Commission.</w:t>
      </w:r>
    </w:p>
    <w:p w14:paraId="713FB0DD" w14:textId="4E140DE5" w:rsidR="00E30208" w:rsidRDefault="00A278A0" w:rsidP="00960B3F">
      <w:pPr>
        <w:pStyle w:val="HQSCbodytext"/>
        <w:rPr>
          <w:color w:val="121212" w:themeColor="text1"/>
        </w:rPr>
      </w:pPr>
      <w:r>
        <w:rPr>
          <w:color w:val="121212" w:themeColor="text1"/>
        </w:rPr>
        <w:t>The</w:t>
      </w:r>
      <w:r w:rsidR="00F16FC8">
        <w:rPr>
          <w:color w:val="121212" w:themeColor="text1"/>
        </w:rPr>
        <w:t xml:space="preserve"> workshop </w:t>
      </w:r>
      <w:r w:rsidR="451E8638" w:rsidRPr="39B63DE9">
        <w:rPr>
          <w:color w:val="121212" w:themeColor="text1"/>
        </w:rPr>
        <w:t>is a</w:t>
      </w:r>
      <w:r w:rsidR="47B3BB6E" w:rsidRPr="39B63DE9">
        <w:rPr>
          <w:color w:val="121212" w:themeColor="text1"/>
        </w:rPr>
        <w:t xml:space="preserve"> </w:t>
      </w:r>
      <w:r w:rsidR="007B40D5">
        <w:rPr>
          <w:color w:val="121212" w:themeColor="text1"/>
        </w:rPr>
        <w:t>key deliverable</w:t>
      </w:r>
      <w:r w:rsidR="47B3BB6E" w:rsidRPr="39B63DE9">
        <w:rPr>
          <w:color w:val="121212" w:themeColor="text1"/>
        </w:rPr>
        <w:t xml:space="preserve"> </w:t>
      </w:r>
      <w:r>
        <w:rPr>
          <w:color w:val="121212" w:themeColor="text1"/>
        </w:rPr>
        <w:t>for our</w:t>
      </w:r>
      <w:r w:rsidR="007B40D5">
        <w:rPr>
          <w:color w:val="121212" w:themeColor="text1"/>
        </w:rPr>
        <w:t xml:space="preserve"> 2025/26 </w:t>
      </w:r>
      <w:r w:rsidR="00E25E2E">
        <w:rPr>
          <w:color w:val="121212" w:themeColor="text1"/>
        </w:rPr>
        <w:t>s</w:t>
      </w:r>
      <w:r w:rsidR="007B40D5">
        <w:rPr>
          <w:color w:val="121212" w:themeColor="text1"/>
        </w:rPr>
        <w:t xml:space="preserve">tatement of </w:t>
      </w:r>
      <w:r w:rsidR="00294F52">
        <w:rPr>
          <w:color w:val="121212" w:themeColor="text1"/>
        </w:rPr>
        <w:t>p</w:t>
      </w:r>
      <w:r w:rsidR="007B40D5">
        <w:rPr>
          <w:color w:val="121212" w:themeColor="text1"/>
        </w:rPr>
        <w:t xml:space="preserve">erformance </w:t>
      </w:r>
      <w:r w:rsidR="00294F52">
        <w:rPr>
          <w:color w:val="121212" w:themeColor="text1"/>
        </w:rPr>
        <w:t>e</w:t>
      </w:r>
      <w:r w:rsidR="007B40D5">
        <w:rPr>
          <w:color w:val="121212" w:themeColor="text1"/>
        </w:rPr>
        <w:t>xpectation</w:t>
      </w:r>
      <w:r w:rsidR="002728C5">
        <w:rPr>
          <w:color w:val="121212" w:themeColor="text1"/>
        </w:rPr>
        <w:t>s</w:t>
      </w:r>
      <w:r w:rsidR="007B40D5">
        <w:rPr>
          <w:color w:val="121212" w:themeColor="text1"/>
        </w:rPr>
        <w:t>,</w:t>
      </w:r>
      <w:r w:rsidR="00635D19" w:rsidRPr="39B63DE9">
        <w:rPr>
          <w:color w:val="121212" w:themeColor="text1"/>
        </w:rPr>
        <w:t xml:space="preserve"> which</w:t>
      </w:r>
      <w:r w:rsidR="007815AC">
        <w:rPr>
          <w:color w:val="121212" w:themeColor="text1"/>
        </w:rPr>
        <w:t xml:space="preserve"> </w:t>
      </w:r>
      <w:r w:rsidR="0004146C">
        <w:rPr>
          <w:color w:val="121212" w:themeColor="text1"/>
        </w:rPr>
        <w:t xml:space="preserve">is to plan and facilitate consumer </w:t>
      </w:r>
      <w:r w:rsidR="00E30208">
        <w:rPr>
          <w:color w:val="121212" w:themeColor="text1"/>
        </w:rPr>
        <w:t>forums</w:t>
      </w:r>
      <w:r w:rsidR="0004146C">
        <w:rPr>
          <w:color w:val="121212" w:themeColor="text1"/>
        </w:rPr>
        <w:t xml:space="preserve"> that support consumers to engage in health service improvement activities, including in primary </w:t>
      </w:r>
      <w:r w:rsidR="00E25E2E">
        <w:rPr>
          <w:color w:val="121212" w:themeColor="text1"/>
        </w:rPr>
        <w:t xml:space="preserve">health </w:t>
      </w:r>
      <w:r w:rsidR="0004146C">
        <w:rPr>
          <w:color w:val="121212" w:themeColor="text1"/>
        </w:rPr>
        <w:t>care.</w:t>
      </w:r>
    </w:p>
    <w:p w14:paraId="1B55CAFA" w14:textId="2F4B01A7" w:rsidR="00E30208" w:rsidRDefault="00E30208" w:rsidP="00E30208">
      <w:pPr>
        <w:pStyle w:val="HQSCbodytext"/>
        <w:rPr>
          <w:color w:val="121212" w:themeColor="text1"/>
        </w:rPr>
      </w:pPr>
      <w:r w:rsidRPr="39B63DE9">
        <w:rPr>
          <w:color w:val="121212" w:themeColor="text1"/>
        </w:rPr>
        <w:lastRenderedPageBreak/>
        <w:t xml:space="preserve">We </w:t>
      </w:r>
      <w:r w:rsidR="00D82702">
        <w:rPr>
          <w:color w:val="121212" w:themeColor="text1"/>
        </w:rPr>
        <w:t xml:space="preserve">collaborated with Health NZ and </w:t>
      </w:r>
      <w:r w:rsidR="00294F52">
        <w:rPr>
          <w:color w:val="121212" w:themeColor="text1"/>
        </w:rPr>
        <w:t>r</w:t>
      </w:r>
      <w:r w:rsidR="00D82702">
        <w:rPr>
          <w:color w:val="121212" w:themeColor="text1"/>
        </w:rPr>
        <w:t xml:space="preserve">egional </w:t>
      </w:r>
      <w:r w:rsidR="00294F52">
        <w:rPr>
          <w:color w:val="121212" w:themeColor="text1"/>
        </w:rPr>
        <w:t>c</w:t>
      </w:r>
      <w:r w:rsidR="00D82702">
        <w:rPr>
          <w:color w:val="121212" w:themeColor="text1"/>
        </w:rPr>
        <w:t xml:space="preserve">onsumer </w:t>
      </w:r>
      <w:r w:rsidR="00294F52">
        <w:rPr>
          <w:color w:val="121212" w:themeColor="text1"/>
        </w:rPr>
        <w:t>c</w:t>
      </w:r>
      <w:r w:rsidR="00D82702">
        <w:rPr>
          <w:color w:val="121212" w:themeColor="text1"/>
        </w:rPr>
        <w:t>ouncils in planning the programm</w:t>
      </w:r>
      <w:r w:rsidR="005273C7">
        <w:rPr>
          <w:color w:val="121212" w:themeColor="text1"/>
        </w:rPr>
        <w:t xml:space="preserve">e for the workshop, reflecting </w:t>
      </w:r>
      <w:r w:rsidR="00410871">
        <w:rPr>
          <w:color w:val="121212" w:themeColor="text1"/>
        </w:rPr>
        <w:t>co-design and</w:t>
      </w:r>
      <w:r w:rsidR="005273C7">
        <w:rPr>
          <w:color w:val="121212" w:themeColor="text1"/>
        </w:rPr>
        <w:t xml:space="preserve"> align</w:t>
      </w:r>
      <w:r w:rsidR="00814661">
        <w:rPr>
          <w:color w:val="121212" w:themeColor="text1"/>
        </w:rPr>
        <w:t xml:space="preserve">ment </w:t>
      </w:r>
      <w:r w:rsidR="005273C7">
        <w:rPr>
          <w:color w:val="121212" w:themeColor="text1"/>
        </w:rPr>
        <w:t xml:space="preserve">with the </w:t>
      </w:r>
      <w:r w:rsidR="009A3AF3">
        <w:rPr>
          <w:color w:val="121212" w:themeColor="text1"/>
        </w:rPr>
        <w:t>c</w:t>
      </w:r>
      <w:r w:rsidR="005273C7">
        <w:rPr>
          <w:color w:val="121212" w:themeColor="text1"/>
        </w:rPr>
        <w:t xml:space="preserve">ode of expectations. </w:t>
      </w:r>
    </w:p>
    <w:p w14:paraId="6B7AFDE6" w14:textId="46F9BB23" w:rsidR="00960B3F" w:rsidRPr="00960B3F" w:rsidRDefault="00D56E16" w:rsidP="00960B3F">
      <w:pPr>
        <w:pStyle w:val="HQSCbodytext"/>
        <w:rPr>
          <w:color w:val="121212" w:themeColor="text1"/>
        </w:rPr>
      </w:pPr>
      <w:r>
        <w:rPr>
          <w:color w:val="121212" w:themeColor="text1"/>
        </w:rPr>
        <w:t xml:space="preserve">The </w:t>
      </w:r>
      <w:r w:rsidR="00294F52">
        <w:rPr>
          <w:color w:val="121212" w:themeColor="text1"/>
        </w:rPr>
        <w:t xml:space="preserve">Commission developed the </w:t>
      </w:r>
      <w:r w:rsidR="009A3AF3">
        <w:rPr>
          <w:color w:val="121212" w:themeColor="text1"/>
        </w:rPr>
        <w:t>c</w:t>
      </w:r>
      <w:r>
        <w:rPr>
          <w:color w:val="121212" w:themeColor="text1"/>
        </w:rPr>
        <w:t xml:space="preserve">ode of expectations </w:t>
      </w:r>
      <w:r w:rsidR="00294F52">
        <w:rPr>
          <w:color w:val="121212" w:themeColor="text1"/>
        </w:rPr>
        <w:t xml:space="preserve">under </w:t>
      </w:r>
      <w:r w:rsidR="001B324A">
        <w:rPr>
          <w:color w:val="121212" w:themeColor="text1"/>
        </w:rPr>
        <w:t xml:space="preserve">the Pae Ora (Healthy Futures) Act </w:t>
      </w:r>
      <w:r w:rsidR="00584221">
        <w:rPr>
          <w:color w:val="121212" w:themeColor="text1"/>
        </w:rPr>
        <w:t>2022</w:t>
      </w:r>
      <w:r w:rsidR="00294F52">
        <w:rPr>
          <w:color w:val="121212" w:themeColor="text1"/>
        </w:rPr>
        <w:t xml:space="preserve">. </w:t>
      </w:r>
      <w:r w:rsidR="009A3AF3">
        <w:rPr>
          <w:color w:val="121212" w:themeColor="text1"/>
        </w:rPr>
        <w:t>Under the code</w:t>
      </w:r>
      <w:r w:rsidR="00294F52">
        <w:rPr>
          <w:color w:val="121212" w:themeColor="text1"/>
        </w:rPr>
        <w:t xml:space="preserve">, </w:t>
      </w:r>
      <w:r w:rsidR="0092305C">
        <w:rPr>
          <w:color w:val="121212" w:themeColor="text1"/>
        </w:rPr>
        <w:t>all health entities must</w:t>
      </w:r>
      <w:r w:rsidR="008416C9">
        <w:rPr>
          <w:color w:val="121212" w:themeColor="text1"/>
        </w:rPr>
        <w:t>:</w:t>
      </w:r>
    </w:p>
    <w:p w14:paraId="686B590A" w14:textId="2DD1633B" w:rsidR="00960B3F" w:rsidRPr="007F1898" w:rsidRDefault="47B3BB6E" w:rsidP="00D74509">
      <w:pPr>
        <w:pStyle w:val="HQSCbullets"/>
      </w:pPr>
      <w:r w:rsidRPr="39B63DE9">
        <w:t>plan, design, deliver and evaluate health services</w:t>
      </w:r>
      <w:r w:rsidR="00AC4106">
        <w:t xml:space="preserve"> with consumers, whānau and communities</w:t>
      </w:r>
    </w:p>
    <w:p w14:paraId="7943B177" w14:textId="4DE2B448" w:rsidR="00960B3F" w:rsidRDefault="47B3BB6E" w:rsidP="00D74509">
      <w:pPr>
        <w:pStyle w:val="HQSCbullets"/>
      </w:pPr>
      <w:r w:rsidRPr="39B63DE9">
        <w:t xml:space="preserve">report annually on how they have applied the </w:t>
      </w:r>
      <w:r w:rsidR="009A3AF3">
        <w:t>c</w:t>
      </w:r>
      <w:r w:rsidRPr="39B63DE9">
        <w:t>ode</w:t>
      </w:r>
      <w:r w:rsidR="5971F2BA" w:rsidRPr="39B63DE9">
        <w:t>.</w:t>
      </w:r>
    </w:p>
    <w:p w14:paraId="5A8E16FA" w14:textId="77777777" w:rsidR="005F7921" w:rsidRDefault="005F7921" w:rsidP="008A0F7B">
      <w:pPr>
        <w:pStyle w:val="HQSChead2"/>
      </w:pPr>
      <w:r>
        <w:t xml:space="preserve">Programme planning </w:t>
      </w:r>
    </w:p>
    <w:p w14:paraId="18145F25" w14:textId="5772C65C" w:rsidR="003C4339" w:rsidRDefault="54423154" w:rsidP="005F7921">
      <w:pPr>
        <w:pStyle w:val="HQSCbodytext"/>
      </w:pPr>
      <w:r>
        <w:t xml:space="preserve">Planning for the event began </w:t>
      </w:r>
      <w:r w:rsidR="00C43C0A">
        <w:t>in November</w:t>
      </w:r>
      <w:r>
        <w:t xml:space="preserve">. The focus was on </w:t>
      </w:r>
      <w:r w:rsidR="00C43C0A">
        <w:t>bringing together Health NZ</w:t>
      </w:r>
      <w:r w:rsidR="00BA73DB">
        <w:t xml:space="preserve"> and the </w:t>
      </w:r>
      <w:r w:rsidR="00294F52">
        <w:t>r</w:t>
      </w:r>
      <w:r w:rsidR="00BA73DB">
        <w:t xml:space="preserve">egional </w:t>
      </w:r>
      <w:r w:rsidR="00294F52">
        <w:t>c</w:t>
      </w:r>
      <w:r w:rsidR="00BA73DB">
        <w:t xml:space="preserve">onsumer </w:t>
      </w:r>
      <w:r w:rsidR="00294F52">
        <w:t>c</w:t>
      </w:r>
      <w:r w:rsidR="00BA73DB">
        <w:t xml:space="preserve">ouncils to </w:t>
      </w:r>
      <w:r w:rsidR="005F755E">
        <w:t xml:space="preserve">anchor discussions </w:t>
      </w:r>
      <w:r w:rsidR="00840A9F">
        <w:t xml:space="preserve">about the </w:t>
      </w:r>
      <w:r w:rsidR="00240CC1">
        <w:t>c</w:t>
      </w:r>
      <w:r w:rsidR="00840A9F">
        <w:t xml:space="preserve">ode, </w:t>
      </w:r>
      <w:r w:rsidR="00EB7549">
        <w:t xml:space="preserve">the </w:t>
      </w:r>
      <w:r w:rsidR="00240CC1">
        <w:t>c</w:t>
      </w:r>
      <w:r w:rsidR="00EB7549">
        <w:t xml:space="preserve">onsumer and whānau engagement QSM and the </w:t>
      </w:r>
      <w:r w:rsidR="00DA3F7C">
        <w:t xml:space="preserve">SURE framework. </w:t>
      </w:r>
    </w:p>
    <w:p w14:paraId="42E6B982" w14:textId="4F4B4570" w:rsidR="003C4339" w:rsidRDefault="00FA6702" w:rsidP="003C4339">
      <w:pPr>
        <w:pStyle w:val="HQSChead3"/>
      </w:pPr>
      <w:r>
        <w:t xml:space="preserve">Collaboration </w:t>
      </w:r>
    </w:p>
    <w:p w14:paraId="2211AC94" w14:textId="00142EDA" w:rsidR="006E56A9" w:rsidRDefault="00B65535" w:rsidP="00B65535">
      <w:pPr>
        <w:pStyle w:val="HQSCbodytext"/>
      </w:pPr>
      <w:r w:rsidRPr="00B65535">
        <w:t xml:space="preserve">To ensure the workshop was relevant and responsive to the </w:t>
      </w:r>
      <w:r>
        <w:t>purpose and aims of the workshop</w:t>
      </w:r>
      <w:r w:rsidRPr="00B65535">
        <w:t xml:space="preserve">, we adopted a collaborative planning approach. </w:t>
      </w:r>
      <w:r w:rsidR="00240CC1">
        <w:t>Before</w:t>
      </w:r>
      <w:r w:rsidRPr="00B65535">
        <w:t xml:space="preserve"> the event, </w:t>
      </w:r>
      <w:r w:rsidR="00377E87">
        <w:t xml:space="preserve">we sent </w:t>
      </w:r>
      <w:r w:rsidRPr="00B65535">
        <w:t xml:space="preserve">a consumer brief to attendees outlining the purpose of the workshop, key discussion areas and the role of participants in shaping the day. </w:t>
      </w:r>
    </w:p>
    <w:p w14:paraId="5FD102FD" w14:textId="09F6E8F7" w:rsidR="006E56A9" w:rsidRDefault="00B65535" w:rsidP="00B65535">
      <w:pPr>
        <w:pStyle w:val="HQSCbodytext"/>
      </w:pPr>
      <w:r w:rsidRPr="00B65535">
        <w:t>The brief asked</w:t>
      </w:r>
      <w:r w:rsidR="00B27EB9" w:rsidRPr="00B65535">
        <w:t>:</w:t>
      </w:r>
      <w:r w:rsidR="00B27EB9">
        <w:t xml:space="preserve"> </w:t>
      </w:r>
      <w:r w:rsidR="00B27EB9" w:rsidRPr="00B65535" w:rsidDel="00377E87">
        <w:t>‘</w:t>
      </w:r>
      <w:r w:rsidRPr="00B65535">
        <w:t xml:space="preserve">What would you like to take away from this workshop </w:t>
      </w:r>
      <w:proofErr w:type="gramStart"/>
      <w:r w:rsidRPr="00B65535">
        <w:t>in regards to</w:t>
      </w:r>
      <w:proofErr w:type="gramEnd"/>
      <w:r w:rsidRPr="00B65535">
        <w:t xml:space="preserve"> the workshop activities discussed in this brief?</w:t>
      </w:r>
      <w:r w:rsidR="00377E87">
        <w:t>’</w:t>
      </w:r>
    </w:p>
    <w:p w14:paraId="76CABDA3" w14:textId="7F849B6B" w:rsidR="00B55189" w:rsidRDefault="00B65535" w:rsidP="00B65535">
      <w:pPr>
        <w:pStyle w:val="HQSCbodytext"/>
      </w:pPr>
      <w:r w:rsidRPr="00B65535">
        <w:t>This question invited</w:t>
      </w:r>
      <w:r w:rsidR="00B55189">
        <w:t xml:space="preserve"> attendees</w:t>
      </w:r>
      <w:r w:rsidRPr="00B65535">
        <w:t xml:space="preserve"> to share their expectations and priorities, helping us tailor the agenda and activities to reflect consumer </w:t>
      </w:r>
      <w:r w:rsidR="00B55189">
        <w:t>and whānau engagement practice</w:t>
      </w:r>
      <w:r w:rsidR="00017370">
        <w:t>s</w:t>
      </w:r>
      <w:r w:rsidRPr="00B65535">
        <w:t xml:space="preserve">. </w:t>
      </w:r>
      <w:r w:rsidR="00017370">
        <w:t>You can r</w:t>
      </w:r>
      <w:r w:rsidR="00F47A43">
        <w:t xml:space="preserve">ead the full consumer </w:t>
      </w:r>
      <w:r w:rsidR="00F47A43" w:rsidRPr="00345535">
        <w:t xml:space="preserve">brief in </w:t>
      </w:r>
      <w:r w:rsidR="000F52B4">
        <w:t>a</w:t>
      </w:r>
      <w:r w:rsidR="00F47A43" w:rsidRPr="00345535">
        <w:t xml:space="preserve">ppendix </w:t>
      </w:r>
      <w:r w:rsidR="003F3380">
        <w:t>1</w:t>
      </w:r>
      <w:r w:rsidR="00F47A43" w:rsidRPr="00345535">
        <w:t>.</w:t>
      </w:r>
      <w:r w:rsidR="00F47A43">
        <w:t xml:space="preserve"> </w:t>
      </w:r>
    </w:p>
    <w:p w14:paraId="3C8F366C" w14:textId="412407CC" w:rsidR="00D75FD2" w:rsidRDefault="00377E87" w:rsidP="00CF4C11">
      <w:pPr>
        <w:pStyle w:val="HQSCbodytext"/>
      </w:pPr>
      <w:r>
        <w:t xml:space="preserve">We integrated the </w:t>
      </w:r>
      <w:r w:rsidR="00D75FD2">
        <w:t>f</w:t>
      </w:r>
      <w:r w:rsidR="00B65535" w:rsidRPr="00B65535">
        <w:t xml:space="preserve">eedback </w:t>
      </w:r>
      <w:r w:rsidR="00D75FD2">
        <w:t xml:space="preserve">into the agenda and activities on the day. </w:t>
      </w:r>
      <w:r w:rsidR="00E02EB2">
        <w:t>Key themes included</w:t>
      </w:r>
      <w:r w:rsidR="001279E7">
        <w:t xml:space="preserve"> the following.</w:t>
      </w:r>
      <w:r w:rsidR="00E02EB2">
        <w:t xml:space="preserve"> </w:t>
      </w:r>
    </w:p>
    <w:p w14:paraId="3B2B6B53" w14:textId="6C10C0D0" w:rsidR="001B720E" w:rsidRPr="00B27EB9" w:rsidRDefault="001B720E" w:rsidP="001B720E">
      <w:pPr>
        <w:pStyle w:val="HQSCbodytext"/>
      </w:pPr>
      <w:r w:rsidRPr="00B27EB9">
        <w:t xml:space="preserve">Clarity and </w:t>
      </w:r>
      <w:r w:rsidR="001279E7" w:rsidRPr="00B27EB9">
        <w:t>c</w:t>
      </w:r>
      <w:r w:rsidRPr="00B27EB9">
        <w:t>ommunication</w:t>
      </w:r>
      <w:r w:rsidR="00733369">
        <w:t>, including:</w:t>
      </w:r>
      <w:r w:rsidRPr="00B27EB9">
        <w:t> </w:t>
      </w:r>
    </w:p>
    <w:p w14:paraId="0BC13582" w14:textId="7D65E5CD" w:rsidR="001B720E" w:rsidRPr="001B720E" w:rsidRDefault="00C3743E" w:rsidP="005633B6">
      <w:pPr>
        <w:pStyle w:val="HQSCbullets"/>
      </w:pPr>
      <w:r>
        <w:t xml:space="preserve">the </w:t>
      </w:r>
      <w:r w:rsidR="001B720E" w:rsidRPr="001B720E">
        <w:t xml:space="preserve">need </w:t>
      </w:r>
      <w:r>
        <w:t xml:space="preserve">for a </w:t>
      </w:r>
      <w:r w:rsidR="001B720E" w:rsidRPr="001B720E">
        <w:t>clear distinction and explanation</w:t>
      </w:r>
      <w:r w:rsidR="00574D4B" w:rsidRPr="00574D4B">
        <w:t xml:space="preserve"> </w:t>
      </w:r>
      <w:r w:rsidR="00203D19">
        <w:t xml:space="preserve">to resolve </w:t>
      </w:r>
      <w:r w:rsidR="00574D4B">
        <w:t>c</w:t>
      </w:r>
      <w:r w:rsidR="00574D4B" w:rsidRPr="00C3743E">
        <w:t>onfusion</w:t>
      </w:r>
      <w:r w:rsidR="00574D4B" w:rsidRPr="001B720E">
        <w:t xml:space="preserve"> between </w:t>
      </w:r>
      <w:r w:rsidR="00574D4B">
        <w:t xml:space="preserve">the </w:t>
      </w:r>
      <w:r w:rsidR="00574D4B" w:rsidRPr="001B720E">
        <w:t xml:space="preserve">SURE framework and </w:t>
      </w:r>
      <w:r w:rsidR="00574D4B">
        <w:t xml:space="preserve">the </w:t>
      </w:r>
      <w:r w:rsidR="00574D4B" w:rsidRPr="001B720E">
        <w:t>QSM</w:t>
      </w:r>
    </w:p>
    <w:p w14:paraId="0E2E745A" w14:textId="660A7D12" w:rsidR="001B720E" w:rsidRPr="001B720E" w:rsidRDefault="00C3743E" w:rsidP="005633B6">
      <w:pPr>
        <w:pStyle w:val="HQSCbullets"/>
      </w:pPr>
      <w:r>
        <w:t xml:space="preserve">the need for a </w:t>
      </w:r>
      <w:r w:rsidR="001B720E" w:rsidRPr="001B720E">
        <w:t>summary of focus areas and desired outcomes before the hui</w:t>
      </w:r>
    </w:p>
    <w:p w14:paraId="2732560C" w14:textId="63DE99EE" w:rsidR="001B720E" w:rsidRPr="001B720E" w:rsidRDefault="00203D19" w:rsidP="005633B6">
      <w:pPr>
        <w:pStyle w:val="HQSCbullets"/>
      </w:pPr>
      <w:r>
        <w:t xml:space="preserve">the </w:t>
      </w:r>
      <w:r w:rsidR="00671B67">
        <w:t xml:space="preserve">need for </w:t>
      </w:r>
      <w:r w:rsidR="001B720E" w:rsidRPr="001B720E">
        <w:t>specific questions and conversation starters to keep discussions on track</w:t>
      </w:r>
      <w:r w:rsidR="00733369">
        <w:t>.</w:t>
      </w:r>
    </w:p>
    <w:p w14:paraId="511BCA6C" w14:textId="366D8C09" w:rsidR="001B720E" w:rsidRPr="00B27EB9" w:rsidRDefault="001B720E" w:rsidP="001B720E">
      <w:pPr>
        <w:pStyle w:val="HQSCbodytext"/>
      </w:pPr>
      <w:r w:rsidRPr="00B27EB9">
        <w:t xml:space="preserve">Practical </w:t>
      </w:r>
      <w:r w:rsidR="001279E7" w:rsidRPr="00B27EB9">
        <w:t>c</w:t>
      </w:r>
      <w:r w:rsidRPr="00B27EB9">
        <w:t>onsiderations</w:t>
      </w:r>
      <w:r w:rsidR="00733369">
        <w:t>, including</w:t>
      </w:r>
      <w:r w:rsidR="00C3743E" w:rsidRPr="00B27EB9">
        <w:t>:</w:t>
      </w:r>
      <w:r w:rsidRPr="00B27EB9">
        <w:t> </w:t>
      </w:r>
    </w:p>
    <w:p w14:paraId="323176B0" w14:textId="21194CC0" w:rsidR="001B720E" w:rsidRPr="001B720E" w:rsidRDefault="00C3743E" w:rsidP="005633B6">
      <w:pPr>
        <w:pStyle w:val="HQSCbullets"/>
      </w:pPr>
      <w:r>
        <w:t xml:space="preserve">a </w:t>
      </w:r>
      <w:r w:rsidR="00443CCC">
        <w:t>n</w:t>
      </w:r>
      <w:r w:rsidR="001B720E" w:rsidRPr="001B720E">
        <w:t xml:space="preserve">eed for </w:t>
      </w:r>
      <w:r>
        <w:t xml:space="preserve">a </w:t>
      </w:r>
      <w:r w:rsidR="001B720E" w:rsidRPr="001B720E">
        <w:t>run sheet and timings</w:t>
      </w:r>
    </w:p>
    <w:p w14:paraId="2EA31588" w14:textId="74CCEA95" w:rsidR="001B720E" w:rsidRPr="001B720E" w:rsidRDefault="00443CCC" w:rsidP="005633B6">
      <w:pPr>
        <w:pStyle w:val="HQSCbullets"/>
      </w:pPr>
      <w:r>
        <w:t>c</w:t>
      </w:r>
      <w:r w:rsidR="001B720E" w:rsidRPr="001B720E">
        <w:t>larif</w:t>
      </w:r>
      <w:r w:rsidR="00C3743E">
        <w:t>ication on whether</w:t>
      </w:r>
      <w:r w:rsidR="001B720E" w:rsidRPr="001B720E">
        <w:t xml:space="preserve"> laptops are required</w:t>
      </w:r>
    </w:p>
    <w:p w14:paraId="417DC2D8" w14:textId="3ABEB024" w:rsidR="001B720E" w:rsidRPr="001B720E" w:rsidRDefault="00C3743E" w:rsidP="005633B6">
      <w:pPr>
        <w:pStyle w:val="HQSCbullets"/>
      </w:pPr>
      <w:r>
        <w:t xml:space="preserve">the potential usefulness of </w:t>
      </w:r>
      <w:r w:rsidR="001B720E" w:rsidRPr="001B720E">
        <w:t>additional information packs</w:t>
      </w:r>
      <w:r w:rsidR="00733369">
        <w:t>.</w:t>
      </w:r>
    </w:p>
    <w:p w14:paraId="10A8BA67" w14:textId="4456C32B" w:rsidR="001B720E" w:rsidRPr="00B27EB9" w:rsidRDefault="001B720E" w:rsidP="001B720E">
      <w:pPr>
        <w:pStyle w:val="HQSCbodytext"/>
      </w:pPr>
      <w:r w:rsidRPr="00B27EB9">
        <w:t xml:space="preserve">Framework and </w:t>
      </w:r>
      <w:r w:rsidR="005633B6" w:rsidRPr="00B27EB9">
        <w:t>t</w:t>
      </w:r>
      <w:r w:rsidRPr="00B27EB9">
        <w:t>ools</w:t>
      </w:r>
      <w:r w:rsidR="00733369">
        <w:t>, including</w:t>
      </w:r>
      <w:r w:rsidR="00C3743E" w:rsidRPr="00B27EB9">
        <w:t>:</w:t>
      </w:r>
      <w:r w:rsidRPr="00B27EB9">
        <w:t> </w:t>
      </w:r>
    </w:p>
    <w:p w14:paraId="3403C468" w14:textId="2D292028" w:rsidR="001B720E" w:rsidRPr="001B720E" w:rsidRDefault="00C3743E" w:rsidP="005633B6">
      <w:pPr>
        <w:pStyle w:val="HQSCbullets"/>
      </w:pPr>
      <w:r>
        <w:t xml:space="preserve">a perception that the </w:t>
      </w:r>
      <w:r w:rsidR="001B720E" w:rsidRPr="001B720E">
        <w:t xml:space="preserve">SURE framework </w:t>
      </w:r>
      <w:r>
        <w:t xml:space="preserve">is </w:t>
      </w:r>
      <w:r w:rsidR="001B720E" w:rsidRPr="001B720E">
        <w:t>wordy and not user</w:t>
      </w:r>
      <w:r w:rsidR="00733369">
        <w:t xml:space="preserve"> </w:t>
      </w:r>
      <w:r w:rsidR="001B720E" w:rsidRPr="001B720E">
        <w:t xml:space="preserve">friendly; </w:t>
      </w:r>
      <w:r>
        <w:t xml:space="preserve">the </w:t>
      </w:r>
      <w:r w:rsidR="001B720E" w:rsidRPr="001B720E">
        <w:t>opportunity to simplify</w:t>
      </w:r>
      <w:r>
        <w:t xml:space="preserve"> it</w:t>
      </w:r>
    </w:p>
    <w:p w14:paraId="0F928C19" w14:textId="0D6B1791" w:rsidR="001B720E" w:rsidRPr="001B720E" w:rsidRDefault="00C3743E" w:rsidP="005633B6">
      <w:pPr>
        <w:pStyle w:val="HQSCbullets"/>
      </w:pPr>
      <w:r>
        <w:t xml:space="preserve">an opinion that </w:t>
      </w:r>
      <w:r w:rsidR="001B720E" w:rsidRPr="001B720E">
        <w:t>QSM reporting should focus on genuine consumer engagement, not internal staff representation</w:t>
      </w:r>
    </w:p>
    <w:p w14:paraId="0415450C" w14:textId="4EF6D48E" w:rsidR="001B720E" w:rsidRPr="001B720E" w:rsidRDefault="00C3743E" w:rsidP="005633B6">
      <w:pPr>
        <w:pStyle w:val="HQSCbullets"/>
      </w:pPr>
      <w:r>
        <w:lastRenderedPageBreak/>
        <w:t>a n</w:t>
      </w:r>
      <w:r w:rsidR="001B720E">
        <w:t xml:space="preserve">eed to capture lived experience voices, especially in </w:t>
      </w:r>
      <w:r>
        <w:t xml:space="preserve">the context of </w:t>
      </w:r>
      <w:r w:rsidR="00DE60FA">
        <w:t>mental h</w:t>
      </w:r>
      <w:r w:rsidR="001B720E">
        <w:t xml:space="preserve">ealth, </w:t>
      </w:r>
      <w:r w:rsidR="00DE60FA">
        <w:t>addiction</w:t>
      </w:r>
      <w:r w:rsidR="001B720E">
        <w:t xml:space="preserve"> and </w:t>
      </w:r>
      <w:r w:rsidR="00DE60FA">
        <w:t>i</w:t>
      </w:r>
      <w:r w:rsidR="001B720E">
        <w:t xml:space="preserve">ntellectual </w:t>
      </w:r>
      <w:r w:rsidR="00DE60FA">
        <w:t>d</w:t>
      </w:r>
      <w:r w:rsidR="001B720E">
        <w:t>isability</w:t>
      </w:r>
    </w:p>
    <w:p w14:paraId="2C6E2B09" w14:textId="1E442B47" w:rsidR="68E57485" w:rsidRDefault="00C3743E" w:rsidP="005633B6">
      <w:pPr>
        <w:pStyle w:val="HQSCbullets"/>
      </w:pPr>
      <w:r>
        <w:t>r</w:t>
      </w:r>
      <w:r w:rsidR="68E57485">
        <w:t xml:space="preserve">eporting issues </w:t>
      </w:r>
      <w:r w:rsidR="3FFC9341">
        <w:t xml:space="preserve">due to </w:t>
      </w:r>
      <w:r w:rsidR="68E57485">
        <w:t>changes to district</w:t>
      </w:r>
      <w:r w:rsidR="1F9BE6FE">
        <w:t>s, regions and national functions</w:t>
      </w:r>
      <w:r>
        <w:t xml:space="preserve"> and c</w:t>
      </w:r>
      <w:r w:rsidR="1F9BE6FE">
        <w:t>oncerns around bi-annual reporting</w:t>
      </w:r>
      <w:r w:rsidR="00733369">
        <w:t>.</w:t>
      </w:r>
    </w:p>
    <w:p w14:paraId="3F06860C" w14:textId="34EA000C" w:rsidR="001B720E" w:rsidRPr="00B27EB9" w:rsidRDefault="001B720E" w:rsidP="001B720E">
      <w:pPr>
        <w:pStyle w:val="HQSCbodytext"/>
      </w:pPr>
      <w:r w:rsidRPr="00B27EB9">
        <w:t xml:space="preserve">Workshop </w:t>
      </w:r>
      <w:r w:rsidR="00DE60FA" w:rsidRPr="00B27EB9">
        <w:t>activities</w:t>
      </w:r>
      <w:r w:rsidR="00733369">
        <w:t>, including</w:t>
      </w:r>
      <w:r w:rsidR="00C3743E" w:rsidRPr="00B27EB9">
        <w:t>:</w:t>
      </w:r>
      <w:r w:rsidR="00DE60FA" w:rsidRPr="00B27EB9">
        <w:t> </w:t>
      </w:r>
    </w:p>
    <w:p w14:paraId="78514609" w14:textId="675E4A91" w:rsidR="001B720E" w:rsidRPr="001B720E" w:rsidRDefault="00C3743E" w:rsidP="00DE60FA">
      <w:pPr>
        <w:pStyle w:val="HQSCbullets"/>
      </w:pPr>
      <w:r>
        <w:t>e</w:t>
      </w:r>
      <w:r w:rsidR="001B720E" w:rsidRPr="001B720E">
        <w:t>mpower</w:t>
      </w:r>
      <w:r>
        <w:t>ing</w:t>
      </w:r>
      <w:r w:rsidR="001B720E" w:rsidRPr="001B720E">
        <w:t xml:space="preserve"> consumer councils to fund initiatives</w:t>
      </w:r>
    </w:p>
    <w:p w14:paraId="60F8B2A4" w14:textId="18FF415E" w:rsidR="001B720E" w:rsidRPr="001B720E" w:rsidRDefault="00C3743E" w:rsidP="00DE60FA">
      <w:pPr>
        <w:pStyle w:val="HQSCbullets"/>
      </w:pPr>
      <w:r>
        <w:t>c</w:t>
      </w:r>
      <w:r w:rsidR="001B720E" w:rsidRPr="001B720E">
        <w:t>larif</w:t>
      </w:r>
      <w:r>
        <w:t>ication of the</w:t>
      </w:r>
      <w:r w:rsidR="001B720E" w:rsidRPr="001B720E">
        <w:t xml:space="preserve"> workflow chart decision tree </w:t>
      </w:r>
    </w:p>
    <w:p w14:paraId="3FEA22A8" w14:textId="367FA679" w:rsidR="001B720E" w:rsidRPr="001B720E" w:rsidRDefault="00C3743E" w:rsidP="00DE60FA">
      <w:pPr>
        <w:pStyle w:val="HQSCbullets"/>
      </w:pPr>
      <w:r>
        <w:t>an i</w:t>
      </w:r>
      <w:r w:rsidR="001B720E" w:rsidRPr="001B720E">
        <w:t>nterest in consumer opportunities and flexible engagement options</w:t>
      </w:r>
      <w:r w:rsidR="00733369">
        <w:t>.</w:t>
      </w:r>
    </w:p>
    <w:p w14:paraId="14406226" w14:textId="48DF9880" w:rsidR="001B720E" w:rsidRPr="00B27EB9" w:rsidRDefault="001B720E" w:rsidP="001B720E">
      <w:pPr>
        <w:pStyle w:val="HQSCbodytext"/>
      </w:pPr>
      <w:r w:rsidRPr="00B27EB9">
        <w:t xml:space="preserve">Governance and </w:t>
      </w:r>
      <w:r w:rsidR="00845C8D" w:rsidRPr="00B27EB9">
        <w:t>facilitation</w:t>
      </w:r>
      <w:r w:rsidR="00733369">
        <w:t>, including</w:t>
      </w:r>
      <w:r w:rsidR="00C3743E" w:rsidRPr="00B27EB9">
        <w:t>:</w:t>
      </w:r>
      <w:r w:rsidR="00845C8D" w:rsidRPr="00B27EB9">
        <w:t> </w:t>
      </w:r>
    </w:p>
    <w:p w14:paraId="0FA2442D" w14:textId="0DB84CCB" w:rsidR="00584221" w:rsidRDefault="00C3743E" w:rsidP="00DE60FA">
      <w:pPr>
        <w:pStyle w:val="HQSCbullets"/>
      </w:pPr>
      <w:r>
        <w:t>the need for the c</w:t>
      </w:r>
      <w:r w:rsidR="001B720E" w:rsidRPr="001B720E">
        <w:t xml:space="preserve">hair </w:t>
      </w:r>
      <w:r>
        <w:t xml:space="preserve">to work to </w:t>
      </w:r>
      <w:r w:rsidR="001B720E" w:rsidRPr="001B720E">
        <w:t>a clear structure to manage sensitive discussions and ensure all voices are heard. </w:t>
      </w:r>
    </w:p>
    <w:p w14:paraId="280BEADE" w14:textId="5314BEAB" w:rsidR="001A4AE4" w:rsidRDefault="00D84D0E" w:rsidP="00584221">
      <w:pPr>
        <w:pStyle w:val="HQSCbodytext"/>
      </w:pPr>
      <w:r w:rsidRPr="00D84D0E">
        <w:t xml:space="preserve">Following the feedback </w:t>
      </w:r>
      <w:r w:rsidR="009125D0">
        <w:t xml:space="preserve">we </w:t>
      </w:r>
      <w:r w:rsidRPr="00D84D0E">
        <w:t xml:space="preserve">received through the consumer brief, we worked closely with Health NZ to finalise the workshop agenda. This collaboration ensured the programme reflected priorities and expectations shared by consumers and whānau while aligning with sector objectives. Together, we reviewed suggested topics, refined activities and confirmed the flow of the day to create a balanced and meaningful experience for all participants. </w:t>
      </w:r>
    </w:p>
    <w:p w14:paraId="56BC5D93" w14:textId="4C756461" w:rsidR="00D84D0E" w:rsidRPr="001B4211" w:rsidRDefault="00D84D0E" w:rsidP="00584221">
      <w:pPr>
        <w:pStyle w:val="HQSCbodytext"/>
      </w:pPr>
      <w:r w:rsidRPr="00D84D0E">
        <w:t>It was agreed the Commission would host the workshop, providing a neutral and supportive environment for open dialogue and partnership.</w:t>
      </w:r>
    </w:p>
    <w:p w14:paraId="56724B18" w14:textId="56902139" w:rsidR="003462DC" w:rsidRPr="00BD1F3F" w:rsidRDefault="3335788A" w:rsidP="001323AA">
      <w:pPr>
        <w:pStyle w:val="HQSCbodytext"/>
      </w:pPr>
      <w:r w:rsidRPr="001B4211">
        <w:t xml:space="preserve">Read the full </w:t>
      </w:r>
      <w:r w:rsidR="00584221">
        <w:t>agenda</w:t>
      </w:r>
      <w:r w:rsidRPr="001B4211">
        <w:t xml:space="preserve"> </w:t>
      </w:r>
      <w:r w:rsidR="001323AA">
        <w:t xml:space="preserve">in </w:t>
      </w:r>
      <w:r w:rsidR="00733369">
        <w:t>a</w:t>
      </w:r>
      <w:r w:rsidR="001323AA">
        <w:t xml:space="preserve">ppendix </w:t>
      </w:r>
      <w:r w:rsidR="003F3380">
        <w:t>2</w:t>
      </w:r>
      <w:r w:rsidR="001323AA">
        <w:t>.</w:t>
      </w:r>
      <w:r w:rsidR="001323AA" w:rsidRPr="001B4211" w:rsidDel="001323AA">
        <w:t xml:space="preserve"> </w:t>
      </w:r>
    </w:p>
    <w:p w14:paraId="0A18EB99" w14:textId="332FF100" w:rsidR="002D0D0B" w:rsidRDefault="00C20E81" w:rsidP="00BE3E16">
      <w:pPr>
        <w:pStyle w:val="HQSChead3"/>
      </w:pPr>
      <w:r>
        <w:t xml:space="preserve">Consumer inclusion </w:t>
      </w:r>
    </w:p>
    <w:p w14:paraId="166C5FBD" w14:textId="3B3BD3D9" w:rsidR="00BE3E16" w:rsidRDefault="00C20E81" w:rsidP="00C20E81">
      <w:pPr>
        <w:pStyle w:val="HQSCbodytext"/>
      </w:pPr>
      <w:r w:rsidRPr="00C20E81">
        <w:t xml:space="preserve">To ensure strong consumer voice within the workshop, we issued an </w:t>
      </w:r>
      <w:r w:rsidR="00FF5CB9">
        <w:rPr>
          <w:bCs/>
        </w:rPr>
        <w:t>e</w:t>
      </w:r>
      <w:r w:rsidRPr="00C20E81">
        <w:rPr>
          <w:bCs/>
        </w:rPr>
        <w:t xml:space="preserve">xpression of </w:t>
      </w:r>
      <w:r w:rsidR="00FF5CB9">
        <w:rPr>
          <w:bCs/>
        </w:rPr>
        <w:t>i</w:t>
      </w:r>
      <w:r w:rsidRPr="00C20E81">
        <w:rPr>
          <w:bCs/>
        </w:rPr>
        <w:t xml:space="preserve">nterest </w:t>
      </w:r>
      <w:r w:rsidRPr="00C20E81">
        <w:t xml:space="preserve">to our </w:t>
      </w:r>
      <w:r w:rsidR="00FF5CB9">
        <w:t>c</w:t>
      </w:r>
      <w:r>
        <w:t xml:space="preserve">onsumer </w:t>
      </w:r>
      <w:r w:rsidR="00FF5CB9">
        <w:t>n</w:t>
      </w:r>
      <w:r>
        <w:t xml:space="preserve">etwork </w:t>
      </w:r>
      <w:proofErr w:type="spellStart"/>
      <w:r>
        <w:t>Kōtuinga</w:t>
      </w:r>
      <w:proofErr w:type="spellEnd"/>
      <w:r>
        <w:t xml:space="preserve"> </w:t>
      </w:r>
      <w:proofErr w:type="spellStart"/>
      <w:r>
        <w:t>Kiritaki</w:t>
      </w:r>
      <w:proofErr w:type="spellEnd"/>
      <w:r>
        <w:t xml:space="preserve"> and </w:t>
      </w:r>
      <w:r w:rsidR="002D4937">
        <w:t xml:space="preserve">Young Voices </w:t>
      </w:r>
      <w:r w:rsidR="00FF5CB9">
        <w:t>Advisory G</w:t>
      </w:r>
      <w:r w:rsidR="002D4937">
        <w:t>roup Ngā Reo Māhuri,</w:t>
      </w:r>
      <w:r w:rsidRPr="00C20E81">
        <w:t xml:space="preserve"> seeking two representatives to participate on the day. </w:t>
      </w:r>
      <w:r w:rsidR="00730740">
        <w:t>We selected t</w:t>
      </w:r>
      <w:r w:rsidRPr="00C20E81">
        <w:t xml:space="preserve">hese consumers for their ability to bring diverse insights and contribute meaningfully to discussions </w:t>
      </w:r>
      <w:r w:rsidR="00730740">
        <w:t xml:space="preserve">about </w:t>
      </w:r>
      <w:r w:rsidRPr="00C20E81">
        <w:t xml:space="preserve">the </w:t>
      </w:r>
      <w:r w:rsidR="00733369">
        <w:t>c</w:t>
      </w:r>
      <w:r w:rsidRPr="00C20E81">
        <w:t xml:space="preserve">ode of </w:t>
      </w:r>
      <w:r w:rsidR="00BD43D0">
        <w:t>e</w:t>
      </w:r>
      <w:r w:rsidR="00BD43D0" w:rsidRPr="00C20E81">
        <w:t xml:space="preserve">xpectations </w:t>
      </w:r>
      <w:r w:rsidRPr="00C20E81">
        <w:t xml:space="preserve">and the SURE framework. Their involvement helped ground the workshop in </w:t>
      </w:r>
      <w:r w:rsidR="002D4937">
        <w:t>consumer perspectives</w:t>
      </w:r>
      <w:r w:rsidRPr="00C20E81">
        <w:t xml:space="preserve"> and ensured planning and decision-making reflected the values of partnership and equity.</w:t>
      </w:r>
    </w:p>
    <w:p w14:paraId="2225154D" w14:textId="2088FEDF" w:rsidR="00AA368D" w:rsidRDefault="00AA368D" w:rsidP="00D675E2">
      <w:pPr>
        <w:pStyle w:val="HQSChead2"/>
      </w:pPr>
      <w:r>
        <w:t>Workshop content and</w:t>
      </w:r>
      <w:r w:rsidR="00DB2205">
        <w:t xml:space="preserve"> </w:t>
      </w:r>
      <w:r w:rsidR="00057FB0">
        <w:t>outputs</w:t>
      </w:r>
    </w:p>
    <w:p w14:paraId="2263AC41" w14:textId="741E1B0E" w:rsidR="00EF7426" w:rsidRDefault="0063396C" w:rsidP="0063396C">
      <w:pPr>
        <w:pStyle w:val="HQSCbodytext"/>
      </w:pPr>
      <w:r>
        <w:t xml:space="preserve">The regional consumer workshop featured three focused sessions that created space for attendees to connect and engage with key topics. </w:t>
      </w:r>
      <w:r w:rsidR="00945A6B">
        <w:t xml:space="preserve">It </w:t>
      </w:r>
      <w:r>
        <w:t xml:space="preserve">also provided a supportive environment </w:t>
      </w:r>
      <w:r w:rsidR="00945A6B">
        <w:t xml:space="preserve">in which </w:t>
      </w:r>
      <w:r>
        <w:t xml:space="preserve">participants </w:t>
      </w:r>
      <w:r w:rsidR="00945A6B">
        <w:t xml:space="preserve">could </w:t>
      </w:r>
      <w:r>
        <w:t xml:space="preserve">share their perspectives and </w:t>
      </w:r>
      <w:r w:rsidR="00945A6B">
        <w:t xml:space="preserve">plan </w:t>
      </w:r>
      <w:r>
        <w:t xml:space="preserve">further actions </w:t>
      </w:r>
      <w:r w:rsidR="00945A6B">
        <w:t xml:space="preserve">on </w:t>
      </w:r>
      <w:r>
        <w:t xml:space="preserve">proposed decisions. </w:t>
      </w:r>
    </w:p>
    <w:p w14:paraId="618E4289" w14:textId="5BD952CB" w:rsidR="00D675E2" w:rsidRDefault="0063396C" w:rsidP="0063396C">
      <w:pPr>
        <w:pStyle w:val="HQSCbodytext"/>
      </w:pPr>
      <w:r>
        <w:t>The workshop</w:t>
      </w:r>
      <w:r w:rsidR="004C0870">
        <w:t xml:space="preserve">s </w:t>
      </w:r>
      <w:r>
        <w:t>centred on the QSM</w:t>
      </w:r>
      <w:r w:rsidR="00C118C4">
        <w:t xml:space="preserve"> </w:t>
      </w:r>
      <w:r>
        <w:t>and the SURE framework</w:t>
      </w:r>
      <w:r w:rsidR="00945A6B">
        <w:t>;</w:t>
      </w:r>
      <w:r>
        <w:t xml:space="preserve"> </w:t>
      </w:r>
      <w:r w:rsidR="00C118C4">
        <w:t xml:space="preserve">attendees </w:t>
      </w:r>
      <w:r>
        <w:t>offer</w:t>
      </w:r>
      <w:r w:rsidR="00945A6B">
        <w:t>ed</w:t>
      </w:r>
      <w:r>
        <w:t xml:space="preserve"> detailed feedback on both. While each session included its own set of guiding questions, attendees naturally explored broader considerations across all topics. As a result, the feedback </w:t>
      </w:r>
      <w:r w:rsidR="00945A6B">
        <w:t xml:space="preserve">we </w:t>
      </w:r>
      <w:r>
        <w:t>gathered showed strong thematic alignment, highlighting common priorities, shared challenges and opportunities for improvement.</w:t>
      </w:r>
      <w:r w:rsidR="00D675E2">
        <w:t xml:space="preserve"> </w:t>
      </w:r>
    </w:p>
    <w:p w14:paraId="62DA1003" w14:textId="495F5CEF" w:rsidR="0063396C" w:rsidRDefault="00D675E2" w:rsidP="000E73B7">
      <w:pPr>
        <w:pStyle w:val="HQSChead3"/>
      </w:pPr>
      <w:r>
        <w:lastRenderedPageBreak/>
        <w:t>Key themes</w:t>
      </w:r>
    </w:p>
    <w:p w14:paraId="3A8428D6" w14:textId="2824AF76" w:rsidR="00945A6B" w:rsidRPr="00945A6B" w:rsidRDefault="00945A6B" w:rsidP="00F57C09">
      <w:pPr>
        <w:pStyle w:val="HQSCbodytext"/>
        <w:keepNext/>
      </w:pPr>
      <w:r w:rsidRPr="00945A6B">
        <w:t>Key themes were as follows.</w:t>
      </w:r>
    </w:p>
    <w:p w14:paraId="0EAD37FA" w14:textId="623D3B8C" w:rsidR="3FCA3532" w:rsidRPr="00B27EB9" w:rsidRDefault="3FCA3532" w:rsidP="00F57C09">
      <w:pPr>
        <w:pStyle w:val="HQSCbodytext"/>
        <w:keepNext/>
        <w:rPr>
          <w:rFonts w:eastAsia="Calibri"/>
        </w:rPr>
      </w:pPr>
      <w:r w:rsidRPr="00B27EB9">
        <w:rPr>
          <w:rFonts w:eastAsia="Calibri"/>
        </w:rPr>
        <w:t xml:space="preserve">1. </w:t>
      </w:r>
      <w:r w:rsidR="00945A6B" w:rsidRPr="00B27EB9">
        <w:rPr>
          <w:rFonts w:eastAsia="Calibri"/>
        </w:rPr>
        <w:t>Requirements for n</w:t>
      </w:r>
      <w:r w:rsidRPr="00B27EB9">
        <w:rPr>
          <w:rFonts w:eastAsia="Calibri"/>
        </w:rPr>
        <w:t xml:space="preserve">ational consistency </w:t>
      </w:r>
      <w:r w:rsidR="00063B0A" w:rsidRPr="00B27EB9">
        <w:rPr>
          <w:rFonts w:eastAsia="Calibri"/>
        </w:rPr>
        <w:t xml:space="preserve">and </w:t>
      </w:r>
      <w:r w:rsidRPr="00B27EB9">
        <w:rPr>
          <w:rFonts w:eastAsia="Calibri"/>
        </w:rPr>
        <w:t>system alignment</w:t>
      </w:r>
      <w:r w:rsidR="00945A6B" w:rsidRPr="00B27EB9">
        <w:rPr>
          <w:rFonts w:eastAsia="Calibri"/>
        </w:rPr>
        <w:t>:</w:t>
      </w:r>
    </w:p>
    <w:p w14:paraId="02851849" w14:textId="393C1532" w:rsidR="3FCA3532" w:rsidRDefault="00945A6B" w:rsidP="00063B0A">
      <w:pPr>
        <w:pStyle w:val="HQSCbullets"/>
      </w:pPr>
      <w:r>
        <w:t>s</w:t>
      </w:r>
      <w:r w:rsidR="3FCA3532" w:rsidRPr="5DB10B0A">
        <w:t>hared reporting timeframes and expectations (QSM)</w:t>
      </w:r>
    </w:p>
    <w:p w14:paraId="74FDDF94" w14:textId="22C0AD8E" w:rsidR="3FCA3532" w:rsidRDefault="00945A6B" w:rsidP="00063B0A">
      <w:pPr>
        <w:pStyle w:val="HQSCbullets"/>
      </w:pPr>
      <w:r>
        <w:t>n</w:t>
      </w:r>
      <w:r w:rsidR="3FCA3532" w:rsidRPr="5DB10B0A">
        <w:t>ational and regional hui to align priorities and share learning</w:t>
      </w:r>
    </w:p>
    <w:p w14:paraId="1A08B7F5" w14:textId="718D6CBA" w:rsidR="3FCA3532" w:rsidRDefault="00945A6B" w:rsidP="00063B0A">
      <w:pPr>
        <w:pStyle w:val="HQSCbullets"/>
      </w:pPr>
      <w:r>
        <w:t>a c</w:t>
      </w:r>
      <w:r w:rsidR="3FCA3532" w:rsidRPr="5DB10B0A">
        <w:t>lear roadmap of progress and visibility of all projects</w:t>
      </w:r>
    </w:p>
    <w:p w14:paraId="1EE02D6F" w14:textId="11D76F10" w:rsidR="3FCA3532" w:rsidRDefault="00945A6B" w:rsidP="00063B0A">
      <w:pPr>
        <w:pStyle w:val="HQSCbullets"/>
      </w:pPr>
      <w:r>
        <w:t>a r</w:t>
      </w:r>
      <w:r w:rsidR="3FCA3532" w:rsidRPr="5DB10B0A">
        <w:t xml:space="preserve">epository library of good practice </w:t>
      </w:r>
      <w:r w:rsidR="63C3680D" w:rsidRPr="5DB10B0A">
        <w:t>to show excellence in data and stories</w:t>
      </w:r>
    </w:p>
    <w:p w14:paraId="0F4B4F0E" w14:textId="2CA19E59" w:rsidR="3FCA3532" w:rsidRDefault="00945A6B" w:rsidP="00063B0A">
      <w:pPr>
        <w:pStyle w:val="HQSCbullets"/>
      </w:pPr>
      <w:r>
        <w:t>a f</w:t>
      </w:r>
      <w:r w:rsidR="3FCA3532" w:rsidRPr="5DB10B0A">
        <w:t>orm to capture funding opportunities linked to key milestones</w:t>
      </w:r>
    </w:p>
    <w:p w14:paraId="71FD6F05" w14:textId="6B68C075" w:rsidR="3FCA3532" w:rsidRDefault="00945A6B" w:rsidP="00063B0A">
      <w:pPr>
        <w:pStyle w:val="HQSCbullets"/>
      </w:pPr>
      <w:r>
        <w:t>c</w:t>
      </w:r>
      <w:r w:rsidR="3FCA3532" w:rsidRPr="5DB10B0A">
        <w:t>onsistent messaging and communication across agencies</w:t>
      </w:r>
      <w:r w:rsidR="006B189F">
        <w:t>.</w:t>
      </w:r>
    </w:p>
    <w:p w14:paraId="28F56341" w14:textId="11F0AB50" w:rsidR="3FCA3532" w:rsidRPr="00B27EB9" w:rsidRDefault="3FCA3532" w:rsidP="5DB10B0A">
      <w:pPr>
        <w:pStyle w:val="HQSCbodytext"/>
        <w:rPr>
          <w:rFonts w:eastAsia="Calibri"/>
        </w:rPr>
      </w:pPr>
      <w:r w:rsidRPr="00B27EB9">
        <w:rPr>
          <w:rFonts w:eastAsia="Calibri"/>
        </w:rPr>
        <w:t xml:space="preserve">2. </w:t>
      </w:r>
      <w:r w:rsidR="00945A6B" w:rsidRPr="00B27EB9">
        <w:rPr>
          <w:rFonts w:eastAsia="Calibri"/>
        </w:rPr>
        <w:t>Requirements in the context of a</w:t>
      </w:r>
      <w:r w:rsidRPr="00B27EB9">
        <w:rPr>
          <w:rFonts w:eastAsia="Calibri"/>
        </w:rPr>
        <w:t xml:space="preserve">ccountability, </w:t>
      </w:r>
      <w:r w:rsidR="3732EF42" w:rsidRPr="00B27EB9">
        <w:rPr>
          <w:rFonts w:eastAsia="Calibri"/>
        </w:rPr>
        <w:t>a</w:t>
      </w:r>
      <w:r w:rsidRPr="00B27EB9">
        <w:rPr>
          <w:rFonts w:eastAsia="Calibri"/>
        </w:rPr>
        <w:t xml:space="preserve">ssurance </w:t>
      </w:r>
      <w:r w:rsidR="00C10C36" w:rsidRPr="00B27EB9">
        <w:rPr>
          <w:rFonts w:eastAsia="Calibri"/>
        </w:rPr>
        <w:t xml:space="preserve">and </w:t>
      </w:r>
      <w:r w:rsidR="5CAC3ECE" w:rsidRPr="00B27EB9">
        <w:rPr>
          <w:rFonts w:eastAsia="Calibri"/>
        </w:rPr>
        <w:t>u</w:t>
      </w:r>
      <w:r w:rsidRPr="00B27EB9">
        <w:rPr>
          <w:rFonts w:eastAsia="Calibri"/>
        </w:rPr>
        <w:t xml:space="preserve">sing the </w:t>
      </w:r>
      <w:r w:rsidR="773FE074" w:rsidRPr="00B27EB9">
        <w:rPr>
          <w:rFonts w:eastAsia="Calibri"/>
        </w:rPr>
        <w:t>f</w:t>
      </w:r>
      <w:r w:rsidRPr="00B27EB9">
        <w:rPr>
          <w:rFonts w:eastAsia="Calibri"/>
        </w:rPr>
        <w:t xml:space="preserve">rameworks </w:t>
      </w:r>
      <w:r w:rsidR="58300421" w:rsidRPr="00B27EB9">
        <w:rPr>
          <w:rFonts w:eastAsia="Calibri"/>
        </w:rPr>
        <w:t>w</w:t>
      </w:r>
      <w:r w:rsidRPr="00B27EB9">
        <w:rPr>
          <w:rFonts w:eastAsia="Calibri"/>
        </w:rPr>
        <w:t>ell</w:t>
      </w:r>
      <w:r w:rsidR="00945A6B" w:rsidRPr="00B27EB9">
        <w:rPr>
          <w:rFonts w:eastAsia="Calibri"/>
        </w:rPr>
        <w:t>:</w:t>
      </w:r>
    </w:p>
    <w:p w14:paraId="71192D2E" w14:textId="454872AF" w:rsidR="3FCA3532" w:rsidRDefault="00945A6B" w:rsidP="00063B0A">
      <w:pPr>
        <w:pStyle w:val="HQSCbullets"/>
      </w:pPr>
      <w:r>
        <w:t>s</w:t>
      </w:r>
      <w:r w:rsidR="3FCA3532" w:rsidRPr="5DB10B0A">
        <w:t>tronger assurance</w:t>
      </w:r>
      <w:r w:rsidR="554A6D05" w:rsidRPr="5DB10B0A">
        <w:t xml:space="preserve"> and</w:t>
      </w:r>
      <w:r w:rsidR="3FCA3532" w:rsidRPr="5DB10B0A">
        <w:t xml:space="preserve"> </w:t>
      </w:r>
      <w:r>
        <w:t xml:space="preserve">a </w:t>
      </w:r>
      <w:r w:rsidR="3FCA3532" w:rsidRPr="5DB10B0A">
        <w:t>move beyond self</w:t>
      </w:r>
      <w:r w:rsidR="3FCA3532" w:rsidRPr="5DB10B0A">
        <w:rPr>
          <w:rFonts w:ascii="Cambria Math" w:hAnsi="Cambria Math" w:cs="Cambria Math"/>
        </w:rPr>
        <w:t>‑</w:t>
      </w:r>
      <w:r w:rsidR="3FCA3532" w:rsidRPr="5DB10B0A">
        <w:t>assessment where needed</w:t>
      </w:r>
    </w:p>
    <w:p w14:paraId="11F698B2" w14:textId="3473BB91" w:rsidR="3FCA3532" w:rsidRDefault="00945A6B" w:rsidP="00063B0A">
      <w:pPr>
        <w:pStyle w:val="HQSCbullets"/>
      </w:pPr>
      <w:r>
        <w:t>u</w:t>
      </w:r>
      <w:r w:rsidR="3FCA3532" w:rsidRPr="5DB10B0A">
        <w:t xml:space="preserve">se </w:t>
      </w:r>
      <w:r>
        <w:t xml:space="preserve">of </w:t>
      </w:r>
      <w:r w:rsidR="3FCA3532" w:rsidRPr="5DB10B0A">
        <w:t xml:space="preserve">the </w:t>
      </w:r>
      <w:r w:rsidR="002836C0">
        <w:t>c</w:t>
      </w:r>
      <w:r w:rsidR="3FCA3532" w:rsidRPr="5DB10B0A">
        <w:t xml:space="preserve">ode of </w:t>
      </w:r>
      <w:r w:rsidR="00F44586">
        <w:t>e</w:t>
      </w:r>
      <w:r w:rsidR="3FCA3532" w:rsidRPr="5DB10B0A">
        <w:t>xpectations and QSM as core measures</w:t>
      </w:r>
    </w:p>
    <w:p w14:paraId="416C0A1A" w14:textId="6F0A46DE" w:rsidR="3FCA3532" w:rsidRDefault="00945A6B" w:rsidP="00063B0A">
      <w:pPr>
        <w:pStyle w:val="HQSCbullets"/>
      </w:pPr>
      <w:r>
        <w:t>s</w:t>
      </w:r>
      <w:r w:rsidR="3FCA3532" w:rsidRPr="5DB10B0A">
        <w:t>ix</w:t>
      </w:r>
      <w:r w:rsidR="3FCA3532" w:rsidRPr="5DB10B0A">
        <w:rPr>
          <w:rFonts w:ascii="Cambria Math" w:hAnsi="Cambria Math" w:cs="Cambria Math"/>
        </w:rPr>
        <w:t>‑</w:t>
      </w:r>
      <w:r w:rsidR="3FCA3532" w:rsidRPr="5DB10B0A">
        <w:t>monthly reporting with simple cost</w:t>
      </w:r>
      <w:r w:rsidR="1D386559" w:rsidRPr="5DB10B0A">
        <w:t>-</w:t>
      </w:r>
      <w:r w:rsidR="3FCA3532" w:rsidRPr="5DB10B0A">
        <w:t>benefit insights</w:t>
      </w:r>
    </w:p>
    <w:p w14:paraId="442B83CD" w14:textId="041F12C2" w:rsidR="3FCA3532" w:rsidRDefault="00FF5CB9" w:rsidP="00063B0A">
      <w:pPr>
        <w:pStyle w:val="HQSCbullets"/>
      </w:pPr>
      <w:r>
        <w:t xml:space="preserve">expressions of interest </w:t>
      </w:r>
      <w:r w:rsidR="00945A6B">
        <w:t xml:space="preserve">that </w:t>
      </w:r>
      <w:r w:rsidR="3FCA3532" w:rsidRPr="5DB10B0A">
        <w:t>show how consumer feedback will be used</w:t>
      </w:r>
    </w:p>
    <w:p w14:paraId="076004A7" w14:textId="4562EC7B" w:rsidR="3FCA3532" w:rsidRDefault="3FCA3532" w:rsidP="00063B0A">
      <w:pPr>
        <w:pStyle w:val="HQSCbullets"/>
      </w:pPr>
      <w:r w:rsidRPr="5DB10B0A">
        <w:t xml:space="preserve">consumer engagement </w:t>
      </w:r>
      <w:r w:rsidR="00945A6B">
        <w:t xml:space="preserve">being embedded </w:t>
      </w:r>
      <w:r w:rsidRPr="5DB10B0A">
        <w:t>into clinical governance</w:t>
      </w:r>
    </w:p>
    <w:p w14:paraId="3D0ED8DF" w14:textId="752209D5" w:rsidR="3FCA3532" w:rsidRDefault="00945A6B" w:rsidP="00063B0A">
      <w:pPr>
        <w:pStyle w:val="HQSCbullets"/>
      </w:pPr>
      <w:r>
        <w:t>t</w:t>
      </w:r>
      <w:r w:rsidR="3FCA3532" w:rsidRPr="5DB10B0A">
        <w:t>rack</w:t>
      </w:r>
      <w:r>
        <w:t>ing of</w:t>
      </w:r>
      <w:r w:rsidR="3FCA3532" w:rsidRPr="5DB10B0A">
        <w:t xml:space="preserve"> actions from mandated submissions and follow through</w:t>
      </w:r>
    </w:p>
    <w:p w14:paraId="66C9D365" w14:textId="77F061C2" w:rsidR="3FCA3532" w:rsidRDefault="00945A6B" w:rsidP="00063B0A">
      <w:pPr>
        <w:pStyle w:val="HQSCbullets"/>
      </w:pPr>
      <w:r>
        <w:t>a r</w:t>
      </w:r>
      <w:r w:rsidR="3FCA3532" w:rsidRPr="5DB10B0A">
        <w:t xml:space="preserve">efresh </w:t>
      </w:r>
      <w:r>
        <w:t xml:space="preserve">of </w:t>
      </w:r>
      <w:r w:rsidR="3FCA3532" w:rsidRPr="5DB10B0A">
        <w:t>SURE so it fits projects, districts and different contexts</w:t>
      </w:r>
    </w:p>
    <w:p w14:paraId="0B406C29" w14:textId="09484F9B" w:rsidR="3FCA3532" w:rsidRDefault="00945A6B" w:rsidP="00063B0A">
      <w:pPr>
        <w:pStyle w:val="HQSCbullets"/>
      </w:pPr>
      <w:r>
        <w:t>the u</w:t>
      </w:r>
      <w:r w:rsidR="3FCA3532" w:rsidRPr="5DB10B0A">
        <w:t xml:space="preserve">se </w:t>
      </w:r>
      <w:r>
        <w:t xml:space="preserve">of </w:t>
      </w:r>
      <w:r w:rsidR="3FCA3532" w:rsidRPr="5DB10B0A">
        <w:t>SURE to clearly define consumer roles, safety</w:t>
      </w:r>
      <w:r w:rsidR="5DC59486" w:rsidRPr="5DB10B0A">
        <w:t xml:space="preserve"> and </w:t>
      </w:r>
      <w:r w:rsidR="3FCA3532" w:rsidRPr="5DB10B0A">
        <w:t>expectations</w:t>
      </w:r>
      <w:r w:rsidR="006B189F">
        <w:t>.</w:t>
      </w:r>
    </w:p>
    <w:p w14:paraId="1F3B9EEC" w14:textId="43EB4E7A" w:rsidR="3FCA3532" w:rsidRPr="00B27EB9" w:rsidRDefault="3FCA3532" w:rsidP="5DB10B0A">
      <w:pPr>
        <w:pStyle w:val="HQSCbodytext"/>
        <w:rPr>
          <w:rFonts w:eastAsia="Calibri"/>
        </w:rPr>
      </w:pPr>
      <w:r w:rsidRPr="00B27EB9">
        <w:rPr>
          <w:rFonts w:eastAsia="Calibri"/>
        </w:rPr>
        <w:t xml:space="preserve">3. </w:t>
      </w:r>
      <w:r w:rsidR="00945A6B" w:rsidRPr="00B27EB9">
        <w:rPr>
          <w:rFonts w:eastAsia="Calibri"/>
        </w:rPr>
        <w:t>Requirements in the context of c</w:t>
      </w:r>
      <w:r w:rsidRPr="00B27EB9">
        <w:rPr>
          <w:rFonts w:eastAsia="Calibri"/>
        </w:rPr>
        <w:t xml:space="preserve">apability, </w:t>
      </w:r>
      <w:r w:rsidR="623634B2" w:rsidRPr="00B27EB9">
        <w:rPr>
          <w:rFonts w:eastAsia="Calibri"/>
        </w:rPr>
        <w:t>s</w:t>
      </w:r>
      <w:r w:rsidRPr="00B27EB9">
        <w:rPr>
          <w:rFonts w:eastAsia="Calibri"/>
        </w:rPr>
        <w:t xml:space="preserve">upport </w:t>
      </w:r>
      <w:r w:rsidR="00C10C36" w:rsidRPr="00B27EB9">
        <w:rPr>
          <w:rFonts w:eastAsia="Calibri"/>
        </w:rPr>
        <w:t xml:space="preserve">and </w:t>
      </w:r>
      <w:r w:rsidR="07A6141E" w:rsidRPr="00B27EB9">
        <w:rPr>
          <w:rFonts w:eastAsia="Calibri"/>
        </w:rPr>
        <w:t>s</w:t>
      </w:r>
      <w:r w:rsidRPr="00B27EB9">
        <w:rPr>
          <w:rFonts w:eastAsia="Calibri"/>
        </w:rPr>
        <w:t xml:space="preserve">afe </w:t>
      </w:r>
      <w:r w:rsidR="3EC4334D" w:rsidRPr="00B27EB9">
        <w:rPr>
          <w:rFonts w:eastAsia="Calibri"/>
        </w:rPr>
        <w:t>p</w:t>
      </w:r>
      <w:r w:rsidRPr="00B27EB9">
        <w:rPr>
          <w:rFonts w:eastAsia="Calibri"/>
        </w:rPr>
        <w:t>articipation</w:t>
      </w:r>
      <w:r w:rsidR="00945A6B" w:rsidRPr="00B27EB9">
        <w:rPr>
          <w:rFonts w:eastAsia="Calibri"/>
        </w:rPr>
        <w:t>:</w:t>
      </w:r>
    </w:p>
    <w:p w14:paraId="6649A2F3" w14:textId="149CFF9A" w:rsidR="3FCA3532" w:rsidRDefault="3FCA3532" w:rsidP="00063B0A">
      <w:pPr>
        <w:pStyle w:val="HQSCbullets"/>
      </w:pPr>
      <w:r w:rsidRPr="5DB10B0A">
        <w:t>a consumer</w:t>
      </w:r>
      <w:r w:rsidR="0495EFA9" w:rsidRPr="5DB10B0A">
        <w:t xml:space="preserve"> and </w:t>
      </w:r>
      <w:r w:rsidRPr="5DB10B0A">
        <w:t>staff strengthening toolkit</w:t>
      </w:r>
    </w:p>
    <w:p w14:paraId="141A1826" w14:textId="1A60B89F" w:rsidR="3FCA3532" w:rsidRDefault="00945A6B" w:rsidP="0053768B">
      <w:pPr>
        <w:pStyle w:val="ListBullet"/>
      </w:pPr>
      <w:r>
        <w:t>f</w:t>
      </w:r>
      <w:r w:rsidR="3FCA3532">
        <w:t xml:space="preserve">ull onboarding </w:t>
      </w:r>
    </w:p>
    <w:p w14:paraId="4E76D8D0" w14:textId="42FB6007" w:rsidR="3FCA3532" w:rsidRDefault="00945A6B" w:rsidP="0053768B">
      <w:pPr>
        <w:pStyle w:val="ListBullet"/>
      </w:pPr>
      <w:r>
        <w:t>r</w:t>
      </w:r>
      <w:r w:rsidR="3FCA3532" w:rsidRPr="5DB10B0A">
        <w:t xml:space="preserve">emuneration </w:t>
      </w:r>
      <w:r>
        <w:t xml:space="preserve">of </w:t>
      </w:r>
      <w:r w:rsidR="3FCA3532" w:rsidRPr="5DB10B0A">
        <w:t>consumer</w:t>
      </w:r>
      <w:r>
        <w:t>s</w:t>
      </w:r>
      <w:r w:rsidR="3FCA3532" w:rsidRPr="5DB10B0A">
        <w:t xml:space="preserve"> </w:t>
      </w:r>
      <w:r>
        <w:t xml:space="preserve">for their </w:t>
      </w:r>
      <w:r w:rsidR="3FCA3532" w:rsidRPr="5DB10B0A">
        <w:t>time</w:t>
      </w:r>
    </w:p>
    <w:p w14:paraId="0D13A68E" w14:textId="0DC39B9D" w:rsidR="3FCA3532" w:rsidRDefault="3FCA3532" w:rsidP="00063B0A">
      <w:pPr>
        <w:pStyle w:val="HQSCbullets"/>
      </w:pPr>
      <w:r w:rsidRPr="5DB10B0A">
        <w:t>consumer</w:t>
      </w:r>
      <w:r w:rsidRPr="5DB10B0A">
        <w:rPr>
          <w:rFonts w:ascii="Cambria Math" w:hAnsi="Cambria Math" w:cs="Cambria Math"/>
        </w:rPr>
        <w:t>‑</w:t>
      </w:r>
      <w:r w:rsidRPr="5DB10B0A">
        <w:t>only space</w:t>
      </w:r>
      <w:r w:rsidR="00945A6B">
        <w:t>s</w:t>
      </w:r>
      <w:r w:rsidRPr="5DB10B0A">
        <w:t xml:space="preserve">, reflection time </w:t>
      </w:r>
      <w:r w:rsidR="00945A6B">
        <w:t xml:space="preserve">and </w:t>
      </w:r>
      <w:r w:rsidRPr="5DB10B0A">
        <w:t>wellbeing checks</w:t>
      </w:r>
    </w:p>
    <w:p w14:paraId="0807216F" w14:textId="15FC79EE" w:rsidR="3FCA3532" w:rsidRDefault="00945A6B" w:rsidP="0053768B">
      <w:pPr>
        <w:pStyle w:val="ListBullet"/>
      </w:pPr>
      <w:r>
        <w:t>t</w:t>
      </w:r>
      <w:r w:rsidR="3FCA3532">
        <w:t xml:space="preserve">raining for consumers </w:t>
      </w:r>
    </w:p>
    <w:p w14:paraId="6B94D4B9" w14:textId="57479009" w:rsidR="3FCA3532" w:rsidRDefault="00945A6B" w:rsidP="00063B0A">
      <w:pPr>
        <w:pStyle w:val="HQSCbullets"/>
      </w:pPr>
      <w:r>
        <w:t>g</w:t>
      </w:r>
      <w:r w:rsidR="3FCA3532" w:rsidRPr="5DB10B0A">
        <w:t>row</w:t>
      </w:r>
      <w:r>
        <w:t>th of</w:t>
      </w:r>
      <w:r w:rsidR="3FCA3532" w:rsidRPr="5DB10B0A">
        <w:t xml:space="preserve"> the pool of consumers through development pathways</w:t>
      </w:r>
    </w:p>
    <w:p w14:paraId="60BAB0D2" w14:textId="7341552E" w:rsidR="3FCA3532" w:rsidRDefault="00945A6B" w:rsidP="00063B0A">
      <w:pPr>
        <w:pStyle w:val="HQSCbullets"/>
      </w:pPr>
      <w:r>
        <w:t>d</w:t>
      </w:r>
      <w:r w:rsidR="3FCA3532" w:rsidRPr="5DB10B0A">
        <w:t>ifferent ways to communicate</w:t>
      </w:r>
      <w:r>
        <w:t>,</w:t>
      </w:r>
      <w:r w:rsidR="3FCA3532" w:rsidRPr="5DB10B0A">
        <w:t xml:space="preserve"> online</w:t>
      </w:r>
      <w:r>
        <w:t xml:space="preserve"> and </w:t>
      </w:r>
      <w:r w:rsidR="3FCA3532" w:rsidRPr="5DB10B0A">
        <w:t>offline</w:t>
      </w:r>
    </w:p>
    <w:p w14:paraId="66EFD277" w14:textId="65390BA1" w:rsidR="3FCA3532" w:rsidRDefault="00945A6B" w:rsidP="00063B0A">
      <w:pPr>
        <w:pStyle w:val="HQSCbullets"/>
      </w:pPr>
      <w:r>
        <w:t>m</w:t>
      </w:r>
      <w:r w:rsidR="3FCA3532" w:rsidRPr="5DB10B0A">
        <w:t>atch</w:t>
      </w:r>
      <w:r>
        <w:t>ing</w:t>
      </w:r>
      <w:r w:rsidR="3FCA3532" w:rsidRPr="5DB10B0A">
        <w:t xml:space="preserve"> consumers to the right groups/topics</w:t>
      </w:r>
    </w:p>
    <w:p w14:paraId="748C42E0" w14:textId="705452BF" w:rsidR="3FCA3532" w:rsidRDefault="00945A6B" w:rsidP="00063B0A">
      <w:pPr>
        <w:pStyle w:val="HQSCbullets"/>
      </w:pPr>
      <w:r>
        <w:t>c</w:t>
      </w:r>
      <w:r w:rsidR="3FCA3532" w:rsidRPr="5DB10B0A">
        <w:t>lear pre</w:t>
      </w:r>
      <w:r w:rsidR="3FCA3532" w:rsidRPr="5DB10B0A">
        <w:rPr>
          <w:rFonts w:ascii="Cambria Math" w:hAnsi="Cambria Math" w:cs="Cambria Math"/>
        </w:rPr>
        <w:t>‑</w:t>
      </w:r>
      <w:r w:rsidR="3FCA3532" w:rsidRPr="5DB10B0A">
        <w:t>engagement communication from a consumer lens</w:t>
      </w:r>
    </w:p>
    <w:p w14:paraId="418B22A8" w14:textId="6DC3B954" w:rsidR="3FCA3532" w:rsidRDefault="00945A6B" w:rsidP="00063B0A">
      <w:pPr>
        <w:pStyle w:val="HQSCbullets"/>
      </w:pPr>
      <w:r>
        <w:t xml:space="preserve">a view of the </w:t>
      </w:r>
      <w:r w:rsidR="3FCA3532" w:rsidRPr="5DB10B0A">
        <w:t xml:space="preserve">consumer voice as </w:t>
      </w:r>
      <w:r>
        <w:t xml:space="preserve">a </w:t>
      </w:r>
      <w:r w:rsidR="3FCA3532" w:rsidRPr="5DB10B0A">
        <w:t>taonga</w:t>
      </w:r>
      <w:r w:rsidR="00A134D8">
        <w:t>.</w:t>
      </w:r>
    </w:p>
    <w:p w14:paraId="2304FB94" w14:textId="02A470F3" w:rsidR="3FCA3532" w:rsidRPr="00C1457C" w:rsidRDefault="3FCA3532" w:rsidP="5DB10B0A">
      <w:pPr>
        <w:pStyle w:val="HQSCbodytext"/>
        <w:rPr>
          <w:rFonts w:eastAsia="Calibri"/>
        </w:rPr>
      </w:pPr>
      <w:r w:rsidRPr="00C1457C">
        <w:rPr>
          <w:rFonts w:eastAsia="Calibri"/>
        </w:rPr>
        <w:t>4. R</w:t>
      </w:r>
      <w:r w:rsidR="00945A6B">
        <w:rPr>
          <w:rFonts w:eastAsia="Calibri"/>
        </w:rPr>
        <w:t>equirements in the context of r</w:t>
      </w:r>
      <w:r w:rsidRPr="00C1457C">
        <w:rPr>
          <w:rFonts w:eastAsia="Calibri"/>
        </w:rPr>
        <w:t xml:space="preserve">elationships, </w:t>
      </w:r>
      <w:r w:rsidR="70AA3756" w:rsidRPr="00C1457C">
        <w:rPr>
          <w:rFonts w:eastAsia="Calibri"/>
        </w:rPr>
        <w:t>c</w:t>
      </w:r>
      <w:r w:rsidRPr="00C1457C">
        <w:rPr>
          <w:rFonts w:eastAsia="Calibri"/>
        </w:rPr>
        <w:t xml:space="preserve">ulture, </w:t>
      </w:r>
      <w:r w:rsidR="3F67715C" w:rsidRPr="00C1457C">
        <w:rPr>
          <w:rFonts w:eastAsia="Calibri"/>
        </w:rPr>
        <w:t>tr</w:t>
      </w:r>
      <w:r w:rsidRPr="00C1457C">
        <w:rPr>
          <w:rFonts w:eastAsia="Calibri"/>
        </w:rPr>
        <w:t xml:space="preserve">ust </w:t>
      </w:r>
      <w:r w:rsidR="00B834D9" w:rsidRPr="00C1457C">
        <w:rPr>
          <w:rFonts w:eastAsia="Calibri"/>
        </w:rPr>
        <w:t xml:space="preserve">and </w:t>
      </w:r>
      <w:r w:rsidR="0CC16ABD" w:rsidRPr="00C1457C">
        <w:rPr>
          <w:rFonts w:eastAsia="Calibri"/>
        </w:rPr>
        <w:t>p</w:t>
      </w:r>
      <w:r w:rsidRPr="00C1457C">
        <w:rPr>
          <w:rFonts w:eastAsia="Calibri"/>
        </w:rPr>
        <w:t>artnership</w:t>
      </w:r>
      <w:r w:rsidR="002838D0">
        <w:rPr>
          <w:rFonts w:eastAsia="Calibri"/>
        </w:rPr>
        <w:t>:</w:t>
      </w:r>
    </w:p>
    <w:p w14:paraId="50273054" w14:textId="7C0F746E" w:rsidR="3FCA3532" w:rsidRDefault="00945A6B" w:rsidP="00063B0A">
      <w:pPr>
        <w:pStyle w:val="HQSCbullets"/>
      </w:pPr>
      <w:r>
        <w:t>l</w:t>
      </w:r>
      <w:r w:rsidR="3FCA3532" w:rsidRPr="5DB10B0A">
        <w:t xml:space="preserve">eadership </w:t>
      </w:r>
      <w:r>
        <w:t xml:space="preserve">that </w:t>
      </w:r>
      <w:r w:rsidR="3FCA3532" w:rsidRPr="5DB10B0A">
        <w:t>champion</w:t>
      </w:r>
      <w:r>
        <w:t>s</w:t>
      </w:r>
      <w:r w:rsidR="3FCA3532" w:rsidRPr="5DB10B0A">
        <w:t xml:space="preserve"> </w:t>
      </w:r>
      <w:r>
        <w:t xml:space="preserve">the </w:t>
      </w:r>
      <w:r w:rsidR="3FCA3532" w:rsidRPr="5DB10B0A">
        <w:t>consumer voice and resource</w:t>
      </w:r>
      <w:r>
        <w:t>s</w:t>
      </w:r>
      <w:r w:rsidR="3FCA3532" w:rsidRPr="5DB10B0A">
        <w:t xml:space="preserve"> it</w:t>
      </w:r>
    </w:p>
    <w:p w14:paraId="636EE10A" w14:textId="7687FC21" w:rsidR="3FCA3532" w:rsidRDefault="00945A6B" w:rsidP="00063B0A">
      <w:pPr>
        <w:pStyle w:val="HQSCbullets"/>
      </w:pPr>
      <w:r>
        <w:t>l</w:t>
      </w:r>
      <w:r w:rsidR="3FCA3532" w:rsidRPr="5DB10B0A">
        <w:t xml:space="preserve">eaders </w:t>
      </w:r>
      <w:r>
        <w:t xml:space="preserve">who </w:t>
      </w:r>
      <w:r w:rsidR="00377E87">
        <w:t>‘</w:t>
      </w:r>
      <w:r w:rsidR="3FCA3532" w:rsidRPr="5DB10B0A">
        <w:t>flip the script</w:t>
      </w:r>
      <w:r w:rsidR="00377E87">
        <w:t>’</w:t>
      </w:r>
      <w:r w:rsidR="3FCA3532" w:rsidRPr="5DB10B0A">
        <w:t xml:space="preserve"> by entering consumer spaces</w:t>
      </w:r>
    </w:p>
    <w:p w14:paraId="4D24438F" w14:textId="7947C816" w:rsidR="3FCA3532" w:rsidRDefault="00945A6B" w:rsidP="00063B0A">
      <w:pPr>
        <w:pStyle w:val="HQSCbullets"/>
      </w:pPr>
      <w:r>
        <w:t>a r</w:t>
      </w:r>
      <w:r w:rsidR="3FCA3532" w:rsidRPr="5DB10B0A">
        <w:t>educ</w:t>
      </w:r>
      <w:r>
        <w:t>tion of</w:t>
      </w:r>
      <w:r w:rsidR="3FCA3532" w:rsidRPr="5DB10B0A">
        <w:t xml:space="preserve"> hierarchy and </w:t>
      </w:r>
      <w:r>
        <w:t xml:space="preserve">the </w:t>
      </w:r>
      <w:r w:rsidR="3FCA3532" w:rsidRPr="5DB10B0A">
        <w:t>creat</w:t>
      </w:r>
      <w:r>
        <w:t>ion of</w:t>
      </w:r>
      <w:r w:rsidR="3FCA3532" w:rsidRPr="5DB10B0A">
        <w:t xml:space="preserve"> welcoming, inclusive environments</w:t>
      </w:r>
    </w:p>
    <w:p w14:paraId="46D94002" w14:textId="02E4C027" w:rsidR="3FCA3532" w:rsidRDefault="00945A6B" w:rsidP="00063B0A">
      <w:pPr>
        <w:pStyle w:val="HQSCbullets"/>
      </w:pPr>
      <w:r>
        <w:t>u</w:t>
      </w:r>
      <w:r w:rsidR="3FCA3532" w:rsidRPr="5DB10B0A">
        <w:t>phold</w:t>
      </w:r>
      <w:r>
        <w:t>ing</w:t>
      </w:r>
      <w:r w:rsidR="3FCA3532" w:rsidRPr="5DB10B0A">
        <w:t xml:space="preserve"> tikanga, safety and whakawhanaungatanga</w:t>
      </w:r>
    </w:p>
    <w:p w14:paraId="36F1CB79" w14:textId="0BEC0FF1" w:rsidR="3FCA3532" w:rsidRDefault="00945A6B" w:rsidP="00063B0A">
      <w:pPr>
        <w:pStyle w:val="HQSCbullets"/>
      </w:pPr>
      <w:r>
        <w:t>b</w:t>
      </w:r>
      <w:r w:rsidR="3FCA3532" w:rsidRPr="5DB10B0A">
        <w:t xml:space="preserve">alanced presentations </w:t>
      </w:r>
      <w:r w:rsidR="1C61F40B" w:rsidRPr="5DB10B0A">
        <w:t>between consumer</w:t>
      </w:r>
      <w:r>
        <w:t>s</w:t>
      </w:r>
      <w:r w:rsidR="1C61F40B" w:rsidRPr="5DB10B0A">
        <w:t xml:space="preserve"> and clinical</w:t>
      </w:r>
      <w:r>
        <w:t xml:space="preserve"> staff</w:t>
      </w:r>
    </w:p>
    <w:p w14:paraId="39CFF0D3" w14:textId="7F0E6BEA" w:rsidR="3FCA3532" w:rsidRDefault="00945A6B" w:rsidP="00063B0A">
      <w:pPr>
        <w:pStyle w:val="HQSCbullets"/>
      </w:pPr>
      <w:r>
        <w:t>f</w:t>
      </w:r>
      <w:r w:rsidR="3FCA3532" w:rsidRPr="5DB10B0A">
        <w:t>orums focus</w:t>
      </w:r>
      <w:r w:rsidR="7AE301F3" w:rsidRPr="5DB10B0A">
        <w:t>ed</w:t>
      </w:r>
      <w:r w:rsidR="3FCA3532" w:rsidRPr="5DB10B0A">
        <w:t xml:space="preserve"> on system</w:t>
      </w:r>
      <w:r w:rsidR="3FCA3532" w:rsidRPr="5DB10B0A">
        <w:rPr>
          <w:rFonts w:ascii="Cambria Math" w:hAnsi="Cambria Math" w:cs="Cambria Math"/>
        </w:rPr>
        <w:t>‑</w:t>
      </w:r>
      <w:r w:rsidR="3FCA3532" w:rsidRPr="5DB10B0A">
        <w:t>level issues</w:t>
      </w:r>
    </w:p>
    <w:p w14:paraId="01C2AD3F" w14:textId="53FD2782" w:rsidR="3FCA3532" w:rsidRDefault="00945A6B" w:rsidP="00063B0A">
      <w:pPr>
        <w:pStyle w:val="HQSCbullets"/>
      </w:pPr>
      <w:r>
        <w:t>s</w:t>
      </w:r>
      <w:r w:rsidR="3FCA3532" w:rsidRPr="5DB10B0A">
        <w:t xml:space="preserve">afe networking spaces </w:t>
      </w:r>
      <w:r>
        <w:t xml:space="preserve">for </w:t>
      </w:r>
      <w:r w:rsidR="3FCA3532" w:rsidRPr="5DB10B0A">
        <w:t>leaders, peers and influencers</w:t>
      </w:r>
    </w:p>
    <w:p w14:paraId="4D9D15EA" w14:textId="4E92722D" w:rsidR="3FCA3532" w:rsidRDefault="3FCA3532" w:rsidP="00063B0A">
      <w:pPr>
        <w:pStyle w:val="HQSCbullets"/>
      </w:pPr>
      <w:r w:rsidRPr="5DB10B0A">
        <w:lastRenderedPageBreak/>
        <w:t xml:space="preserve">trust </w:t>
      </w:r>
      <w:r w:rsidR="00945A6B">
        <w:t xml:space="preserve">built </w:t>
      </w:r>
      <w:r w:rsidRPr="5DB10B0A">
        <w:t>through transparency</w:t>
      </w:r>
      <w:r w:rsidR="066B870A" w:rsidRPr="5DB10B0A">
        <w:t xml:space="preserve"> and</w:t>
      </w:r>
      <w:r w:rsidRPr="5DB10B0A">
        <w:t xml:space="preserve"> cultural safety</w:t>
      </w:r>
      <w:r w:rsidR="00A134D8">
        <w:t>.</w:t>
      </w:r>
    </w:p>
    <w:p w14:paraId="5863946B" w14:textId="54D60396" w:rsidR="3FCA3532" w:rsidRPr="00B36FFA" w:rsidRDefault="3FCA3532" w:rsidP="5DB10B0A">
      <w:pPr>
        <w:pStyle w:val="HQSCbodytext"/>
        <w:rPr>
          <w:rFonts w:eastAsia="Calibri"/>
        </w:rPr>
      </w:pPr>
      <w:r w:rsidRPr="00563D2B">
        <w:rPr>
          <w:rFonts w:eastAsia="Calibri"/>
        </w:rPr>
        <w:t xml:space="preserve">5. </w:t>
      </w:r>
      <w:r w:rsidR="00945A6B" w:rsidRPr="00563D2B">
        <w:rPr>
          <w:rFonts w:eastAsia="Calibri"/>
        </w:rPr>
        <w:t xml:space="preserve">Requirements for </w:t>
      </w:r>
      <w:r w:rsidR="00582FE5" w:rsidRPr="00563D2B">
        <w:rPr>
          <w:rFonts w:eastAsia="Calibri"/>
        </w:rPr>
        <w:t>m</w:t>
      </w:r>
      <w:r w:rsidRPr="00563D2B">
        <w:rPr>
          <w:rFonts w:eastAsia="Calibri"/>
        </w:rPr>
        <w:t xml:space="preserve">eaningful </w:t>
      </w:r>
      <w:r w:rsidR="7DE6347E" w:rsidRPr="00563D2B">
        <w:rPr>
          <w:rFonts w:eastAsia="Calibri"/>
        </w:rPr>
        <w:t>i</w:t>
      </w:r>
      <w:r w:rsidRPr="00563D2B">
        <w:rPr>
          <w:rFonts w:eastAsia="Calibri"/>
        </w:rPr>
        <w:t xml:space="preserve">nsights, </w:t>
      </w:r>
      <w:r w:rsidR="02C67866" w:rsidRPr="00563D2B">
        <w:rPr>
          <w:rFonts w:eastAsia="Calibri"/>
        </w:rPr>
        <w:t>e</w:t>
      </w:r>
      <w:r w:rsidRPr="00563D2B">
        <w:rPr>
          <w:rFonts w:eastAsia="Calibri"/>
        </w:rPr>
        <w:t xml:space="preserve">vidence </w:t>
      </w:r>
      <w:r w:rsidR="003D3802" w:rsidRPr="00563D2B">
        <w:rPr>
          <w:rFonts w:eastAsia="Calibri"/>
        </w:rPr>
        <w:t xml:space="preserve">and </w:t>
      </w:r>
      <w:r w:rsidR="6D59E619" w:rsidRPr="00563D2B">
        <w:rPr>
          <w:rFonts w:eastAsia="Calibri"/>
        </w:rPr>
        <w:t>c</w:t>
      </w:r>
      <w:r w:rsidRPr="00563D2B">
        <w:rPr>
          <w:rFonts w:eastAsia="Calibri"/>
        </w:rPr>
        <w:t xml:space="preserve">losing the </w:t>
      </w:r>
      <w:r w:rsidR="24C06CBD" w:rsidRPr="00563D2B">
        <w:rPr>
          <w:rFonts w:eastAsia="Calibri"/>
        </w:rPr>
        <w:t>l</w:t>
      </w:r>
      <w:r w:rsidRPr="00563D2B">
        <w:rPr>
          <w:rFonts w:eastAsia="Calibri"/>
        </w:rPr>
        <w:t>oop</w:t>
      </w:r>
      <w:r w:rsidR="002838D0">
        <w:rPr>
          <w:rFonts w:eastAsia="Calibri"/>
        </w:rPr>
        <w:t>:</w:t>
      </w:r>
    </w:p>
    <w:p w14:paraId="7DD5D342" w14:textId="41BC87F8" w:rsidR="1E3B233A" w:rsidRDefault="1E3B233A" w:rsidP="0053768B">
      <w:pPr>
        <w:pStyle w:val="ListBullet"/>
      </w:pPr>
      <w:r w:rsidRPr="5DB10B0A">
        <w:t xml:space="preserve">data </w:t>
      </w:r>
      <w:r w:rsidR="00582FE5">
        <w:t xml:space="preserve">with a </w:t>
      </w:r>
      <w:r w:rsidRPr="5DB10B0A">
        <w:t xml:space="preserve">narrative </w:t>
      </w:r>
      <w:r w:rsidR="00582FE5">
        <w:t xml:space="preserve">that </w:t>
      </w:r>
      <w:r w:rsidR="0BA7BAF8" w:rsidRPr="5DB10B0A">
        <w:t>reflect</w:t>
      </w:r>
      <w:r w:rsidR="00582FE5">
        <w:t>s</w:t>
      </w:r>
      <w:r w:rsidR="0BA7BAF8" w:rsidRPr="5DB10B0A">
        <w:t xml:space="preserve"> impact</w:t>
      </w:r>
    </w:p>
    <w:p w14:paraId="1446A0B2" w14:textId="6BE1AAD7" w:rsidR="3FCA3532" w:rsidRDefault="00582FE5" w:rsidP="0053768B">
      <w:pPr>
        <w:pStyle w:val="ListBullet"/>
      </w:pPr>
      <w:r>
        <w:t>collection of evidence that g</w:t>
      </w:r>
      <w:r w:rsidR="3FCA3532">
        <w:t>o</w:t>
      </w:r>
      <w:r>
        <w:t>es</w:t>
      </w:r>
      <w:r w:rsidR="3FCA3532" w:rsidRPr="5DB10B0A">
        <w:t xml:space="preserve"> deeper than surveys</w:t>
      </w:r>
      <w:r>
        <w:t>:</w:t>
      </w:r>
      <w:r w:rsidR="3FCA3532" w:rsidRPr="5DB10B0A">
        <w:t xml:space="preserve"> focus groups, kōrero, qualitative stories</w:t>
      </w:r>
    </w:p>
    <w:p w14:paraId="4B8D38F8" w14:textId="586DBD97" w:rsidR="3FCA3532" w:rsidRDefault="00582FE5" w:rsidP="0053768B">
      <w:pPr>
        <w:pStyle w:val="ListBullet"/>
      </w:pPr>
      <w:r>
        <w:t>the u</w:t>
      </w:r>
      <w:r w:rsidR="3FCA3532">
        <w:t>se</w:t>
      </w:r>
      <w:r w:rsidR="3FCA3532" w:rsidRPr="5DB10B0A">
        <w:t xml:space="preserve"> </w:t>
      </w:r>
      <w:r>
        <w:t xml:space="preserve">of </w:t>
      </w:r>
      <w:r w:rsidR="3FCA3532" w:rsidRPr="5DB10B0A">
        <w:t>short videos and story tiles in dashboards</w:t>
      </w:r>
    </w:p>
    <w:p w14:paraId="345755C1" w14:textId="04D70BDC" w:rsidR="3FCA3532" w:rsidRDefault="00582FE5" w:rsidP="0053768B">
      <w:pPr>
        <w:pStyle w:val="ListBullet"/>
      </w:pPr>
      <w:r>
        <w:t>a m</w:t>
      </w:r>
      <w:r w:rsidR="3FCA3532">
        <w:t>ap</w:t>
      </w:r>
      <w:r w:rsidR="3FCA3532" w:rsidRPr="5DB10B0A">
        <w:t xml:space="preserve"> </w:t>
      </w:r>
      <w:r>
        <w:t xml:space="preserve">of </w:t>
      </w:r>
      <w:r w:rsidR="3FCA3532" w:rsidRPr="5DB10B0A">
        <w:t xml:space="preserve">what’s working and what isn’t </w:t>
      </w:r>
      <w:r w:rsidR="3FCA3532">
        <w:t>(</w:t>
      </w:r>
      <w:r w:rsidR="00377E87">
        <w:t>‘</w:t>
      </w:r>
      <w:r w:rsidR="3FCA3532" w:rsidRPr="5DB10B0A">
        <w:t xml:space="preserve">dilated picture of the </w:t>
      </w:r>
      <w:r w:rsidR="3FCA3532">
        <w:t>system</w:t>
      </w:r>
      <w:r w:rsidR="00377E87">
        <w:t>’</w:t>
      </w:r>
      <w:r w:rsidR="3FCA3532">
        <w:t>)</w:t>
      </w:r>
    </w:p>
    <w:p w14:paraId="574EA5CD" w14:textId="38B038E1" w:rsidR="3FCA3532" w:rsidRDefault="00582FE5" w:rsidP="0053768B">
      <w:pPr>
        <w:pStyle w:val="ListBullet"/>
      </w:pPr>
      <w:r>
        <w:t>e</w:t>
      </w:r>
      <w:r w:rsidR="3FCA3532">
        <w:t>arly</w:t>
      </w:r>
      <w:r w:rsidR="3FCA3532" w:rsidRPr="5DB10B0A">
        <w:t xml:space="preserve"> impact check</w:t>
      </w:r>
      <w:r w:rsidR="52E08F44" w:rsidRPr="5DB10B0A">
        <w:t>-ins</w:t>
      </w:r>
      <w:r w:rsidR="2AC8882B" w:rsidRPr="5DB10B0A">
        <w:t xml:space="preserve"> and support</w:t>
      </w:r>
    </w:p>
    <w:p w14:paraId="40AC4F99" w14:textId="26AEC7BB" w:rsidR="3FCA3532" w:rsidRDefault="00582FE5" w:rsidP="0053768B">
      <w:pPr>
        <w:pStyle w:val="ListBullet"/>
      </w:pPr>
      <w:r>
        <w:t>s</w:t>
      </w:r>
      <w:r w:rsidR="3FCA3532">
        <w:t>har</w:t>
      </w:r>
      <w:r>
        <w:t>ing</w:t>
      </w:r>
      <w:r w:rsidR="3FCA3532" w:rsidRPr="5DB10B0A">
        <w:t xml:space="preserve"> back with consumers regularly</w:t>
      </w:r>
      <w:r w:rsidR="2BDE6A92" w:rsidRPr="5DB10B0A">
        <w:t xml:space="preserve">, </w:t>
      </w:r>
      <w:r w:rsidR="3FCA3532" w:rsidRPr="5DB10B0A">
        <w:t>even when nothing has changed</w:t>
      </w:r>
    </w:p>
    <w:p w14:paraId="5A728861" w14:textId="3BADFBCB" w:rsidR="3FCA3532" w:rsidRDefault="3FCA3532" w:rsidP="0053768B">
      <w:pPr>
        <w:pStyle w:val="ListBullet"/>
      </w:pPr>
      <w:r w:rsidRPr="5DB10B0A">
        <w:t>clear</w:t>
      </w:r>
      <w:r w:rsidR="00582FE5">
        <w:t xml:space="preserve"> evidence of</w:t>
      </w:r>
      <w:r w:rsidRPr="5DB10B0A">
        <w:t xml:space="preserve"> where feedback </w:t>
      </w:r>
      <w:r w:rsidR="00582FE5">
        <w:t xml:space="preserve">has </w:t>
      </w:r>
      <w:r w:rsidRPr="5DB10B0A">
        <w:t>influenced decisions</w:t>
      </w:r>
    </w:p>
    <w:p w14:paraId="46C04C5A" w14:textId="61274BD5" w:rsidR="3FCA3532" w:rsidRDefault="00582FE5" w:rsidP="0053768B">
      <w:pPr>
        <w:pStyle w:val="ListBullet"/>
      </w:pPr>
      <w:r>
        <w:t>s</w:t>
      </w:r>
      <w:r w:rsidR="3FCA3532">
        <w:t>afe</w:t>
      </w:r>
      <w:r w:rsidR="3FCA3532" w:rsidRPr="5DB10B0A">
        <w:t xml:space="preserve"> processes for sharing information across national</w:t>
      </w:r>
      <w:r w:rsidR="66579145" w:rsidRPr="5DB10B0A">
        <w:t xml:space="preserve"> and r</w:t>
      </w:r>
      <w:r w:rsidR="3FCA3532" w:rsidRPr="5DB10B0A">
        <w:t>egional spaces</w:t>
      </w:r>
      <w:r w:rsidR="003D3802">
        <w:t>.</w:t>
      </w:r>
    </w:p>
    <w:p w14:paraId="718EF6CF" w14:textId="77777777" w:rsidR="008A0F7B" w:rsidRDefault="007A0397" w:rsidP="008A0F7B">
      <w:pPr>
        <w:pStyle w:val="HQSChead2"/>
      </w:pPr>
      <w:r>
        <w:t xml:space="preserve">Event analytics </w:t>
      </w:r>
    </w:p>
    <w:p w14:paraId="54EED335" w14:textId="2AA17EEB" w:rsidR="00437C18" w:rsidRDefault="00441600" w:rsidP="005561AF">
      <w:pPr>
        <w:pStyle w:val="HQSCtablefigurecaption"/>
        <w:rPr>
          <w:b w:val="0"/>
        </w:rPr>
      </w:pPr>
      <w:bookmarkStart w:id="1" w:name="_Hlk216695149"/>
      <w:r w:rsidRPr="00441600">
        <w:rPr>
          <w:b w:val="0"/>
        </w:rPr>
        <w:t xml:space="preserve">To capture perspectives and assess the effectiveness of the workshop, we distributed an evaluation survey to all attendees following the event. The survey invited feedback on </w:t>
      </w:r>
      <w:r w:rsidR="00995931">
        <w:rPr>
          <w:b w:val="0"/>
        </w:rPr>
        <w:t xml:space="preserve">attendees’ </w:t>
      </w:r>
      <w:r w:rsidRPr="00441600">
        <w:rPr>
          <w:b w:val="0"/>
        </w:rPr>
        <w:t xml:space="preserve">overall experience </w:t>
      </w:r>
      <w:r w:rsidR="00995931">
        <w:rPr>
          <w:b w:val="0"/>
        </w:rPr>
        <w:t xml:space="preserve">and </w:t>
      </w:r>
      <w:r w:rsidRPr="00441600">
        <w:rPr>
          <w:b w:val="0"/>
        </w:rPr>
        <w:t>the relevance and clarity of the content</w:t>
      </w:r>
      <w:r w:rsidR="00437C18">
        <w:rPr>
          <w:b w:val="0"/>
        </w:rPr>
        <w:t>.</w:t>
      </w:r>
      <w:r w:rsidRPr="00441600">
        <w:rPr>
          <w:b w:val="0"/>
        </w:rPr>
        <w:t xml:space="preserve"> Responses provided valuable insights into what worked well, areas for improvement and suggestions for future engagement activities, ensuring consumer and whānau voices continue to shape our approach.</w:t>
      </w:r>
    </w:p>
    <w:p w14:paraId="71B0E4A8" w14:textId="6AA3BFAF" w:rsidR="00957C94" w:rsidRDefault="00957C94" w:rsidP="005561AF">
      <w:pPr>
        <w:pStyle w:val="HQSCtablefigurecaption"/>
        <w:rPr>
          <w:b w:val="0"/>
        </w:rPr>
      </w:pPr>
      <w:r>
        <w:rPr>
          <w:b w:val="0"/>
        </w:rPr>
        <w:t>Th</w:t>
      </w:r>
      <w:r w:rsidR="004549EE">
        <w:rPr>
          <w:b w:val="0"/>
        </w:rPr>
        <w:t>irty people attended th</w:t>
      </w:r>
      <w:r>
        <w:rPr>
          <w:b w:val="0"/>
        </w:rPr>
        <w:t>e workshop</w:t>
      </w:r>
      <w:r w:rsidR="0065685B">
        <w:rPr>
          <w:b w:val="0"/>
        </w:rPr>
        <w:t>,</w:t>
      </w:r>
      <w:r w:rsidR="00EF5A9C">
        <w:rPr>
          <w:b w:val="0"/>
        </w:rPr>
        <w:t xml:space="preserve"> </w:t>
      </w:r>
      <w:r w:rsidR="0065685B">
        <w:rPr>
          <w:b w:val="0"/>
        </w:rPr>
        <w:t>and</w:t>
      </w:r>
      <w:r w:rsidR="00980B46">
        <w:rPr>
          <w:b w:val="0"/>
        </w:rPr>
        <w:t xml:space="preserve"> the evaluation </w:t>
      </w:r>
      <w:r w:rsidR="007719C3">
        <w:rPr>
          <w:b w:val="0"/>
        </w:rPr>
        <w:t xml:space="preserve">survey </w:t>
      </w:r>
      <w:r w:rsidR="006001CE">
        <w:rPr>
          <w:b w:val="0"/>
        </w:rPr>
        <w:t xml:space="preserve">had a </w:t>
      </w:r>
      <w:r w:rsidR="0065685B">
        <w:rPr>
          <w:b w:val="0"/>
        </w:rPr>
        <w:t>66.7</w:t>
      </w:r>
      <w:r w:rsidR="003D3802">
        <w:rPr>
          <w:b w:val="0"/>
        </w:rPr>
        <w:t xml:space="preserve"> percent</w:t>
      </w:r>
      <w:r w:rsidR="0065685B">
        <w:rPr>
          <w:b w:val="0"/>
        </w:rPr>
        <w:t xml:space="preserve"> </w:t>
      </w:r>
      <w:r w:rsidR="0073579F">
        <w:rPr>
          <w:b w:val="0"/>
        </w:rPr>
        <w:t>response rate</w:t>
      </w:r>
      <w:r w:rsidR="00C670DA">
        <w:rPr>
          <w:b w:val="0"/>
        </w:rPr>
        <w:t>:</w:t>
      </w:r>
      <w:r w:rsidR="0073579F">
        <w:rPr>
          <w:b w:val="0"/>
        </w:rPr>
        <w:t xml:space="preserve"> 20 attendees. </w:t>
      </w:r>
    </w:p>
    <w:p w14:paraId="5D53D2CD" w14:textId="3E801EB7" w:rsidR="35BBEF77" w:rsidRDefault="00135A77" w:rsidP="005561AF">
      <w:pPr>
        <w:pStyle w:val="HQSCtablefigurecaption"/>
      </w:pPr>
      <w:r w:rsidRPr="39B63DE9">
        <w:t xml:space="preserve">Figure 1: </w:t>
      </w:r>
      <w:r w:rsidR="00743794">
        <w:t>Attendee</w:t>
      </w:r>
      <w:r w:rsidRPr="39B63DE9">
        <w:t xml:space="preserve"> demographics</w:t>
      </w:r>
      <w:bookmarkEnd w:id="1"/>
      <w:r w:rsidR="00752AB9">
        <w:rPr>
          <w:noProof/>
        </w:rPr>
        <w:drawing>
          <wp:inline distT="0" distB="0" distL="0" distR="0" wp14:anchorId="4A267564" wp14:editId="63285644">
            <wp:extent cx="5486400" cy="3200400"/>
            <wp:effectExtent l="0" t="0" r="0" b="0"/>
            <wp:docPr id="593904551" name="Chart 1" descr="Bar graph showing attendee demographics for the workshop. The vertical axis is divided into the four groups of: consumer/whānau/community member, consumer organisation representative, health sector employee and other, and the horizontal axis shows percentage of attendance from 0 percent to 100 percent.&#10;&#10;The graph shows that 55 percent of attendees were health sector employees. 14 percent were consumer organisation representative. 32 percent  represented consumer/whānau/community members. &#1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1FD5C8" w14:textId="712F4096" w:rsidR="005C68AB" w:rsidRDefault="00C670DA" w:rsidP="00FF46FA">
      <w:pPr>
        <w:pStyle w:val="HQSCbodytext"/>
      </w:pPr>
      <w:r>
        <w:t xml:space="preserve">Figure 1 </w:t>
      </w:r>
      <w:r w:rsidR="00AD620F">
        <w:t xml:space="preserve">shows there was </w:t>
      </w:r>
      <w:r w:rsidR="00546F0C">
        <w:t>a close</w:t>
      </w:r>
      <w:r w:rsidR="00AD620F">
        <w:t xml:space="preserve"> split </w:t>
      </w:r>
      <w:r>
        <w:t xml:space="preserve">among attendees, </w:t>
      </w:r>
      <w:r w:rsidR="00AD620F">
        <w:t>between health sector employees and consumer</w:t>
      </w:r>
      <w:r w:rsidR="00087CC2">
        <w:t xml:space="preserve"> representatives. </w:t>
      </w:r>
    </w:p>
    <w:p w14:paraId="234FE10C" w14:textId="6454E944" w:rsidR="001003C9" w:rsidRDefault="00135A77" w:rsidP="00132E7B">
      <w:pPr>
        <w:pStyle w:val="HQSCtablefigurecaption"/>
      </w:pPr>
      <w:r w:rsidRPr="00135A77">
        <w:lastRenderedPageBreak/>
        <w:t xml:space="preserve">Figure </w:t>
      </w:r>
      <w:r>
        <w:t>2</w:t>
      </w:r>
      <w:r w:rsidRPr="00135A77">
        <w:t xml:space="preserve">: </w:t>
      </w:r>
      <w:r w:rsidR="00F10F91">
        <w:t xml:space="preserve">Attendee demographics </w:t>
      </w:r>
      <w:r w:rsidR="003A4CBA">
        <w:t xml:space="preserve">by </w:t>
      </w:r>
      <w:r w:rsidR="00F10F91">
        <w:t>region</w:t>
      </w:r>
      <w:r w:rsidR="001003C9">
        <w:rPr>
          <w:noProof/>
        </w:rPr>
        <w:drawing>
          <wp:inline distT="0" distB="0" distL="0" distR="0" wp14:anchorId="292263C7" wp14:editId="1913EE5E">
            <wp:extent cx="5486400" cy="3200400"/>
            <wp:effectExtent l="0" t="0" r="0" b="0"/>
            <wp:docPr id="928772017" name="Chart 1" descr="A bar graph showing attendee demographics by region. The vertical axis lists Northland, Midland (Te Manawa Taki), Central (Te Ikaroa), South Island (Te Waipounamu) and Other and the horizontal axis shows the percentage from 0 percent to 100 percent.&#10;&#10;20 percent of attendees are from the South Island Te Waipounamu. 20 percent are from the central region Te Ikaroa. 10 percent of attendees are from Midland region Te Manawa Taki. 30 percent of attendees are from Northland region. and 20 percent of attendees selected oth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0B6F26" w14:textId="542A6772" w:rsidR="00FF46FA" w:rsidRPr="00132E7B" w:rsidRDefault="0060257E" w:rsidP="00A511ED">
      <w:pPr>
        <w:pStyle w:val="HQSCbodytext"/>
        <w:rPr>
          <w:sz w:val="18"/>
          <w:szCs w:val="18"/>
        </w:rPr>
      </w:pPr>
      <w:r w:rsidRPr="00132E7B">
        <w:rPr>
          <w:sz w:val="18"/>
          <w:szCs w:val="18"/>
        </w:rPr>
        <w:t xml:space="preserve">Note: </w:t>
      </w:r>
      <w:r w:rsidR="00135A77" w:rsidRPr="00132E7B">
        <w:rPr>
          <w:sz w:val="18"/>
          <w:szCs w:val="18"/>
        </w:rPr>
        <w:t>‘</w:t>
      </w:r>
      <w:r w:rsidRPr="00132E7B">
        <w:rPr>
          <w:sz w:val="18"/>
          <w:szCs w:val="18"/>
        </w:rPr>
        <w:t>Other</w:t>
      </w:r>
      <w:r w:rsidR="00135A77" w:rsidRPr="00132E7B">
        <w:rPr>
          <w:sz w:val="18"/>
          <w:szCs w:val="18"/>
        </w:rPr>
        <w:t>’</w:t>
      </w:r>
      <w:r w:rsidRPr="00132E7B">
        <w:rPr>
          <w:sz w:val="18"/>
          <w:szCs w:val="18"/>
        </w:rPr>
        <w:t xml:space="preserve"> </w:t>
      </w:r>
      <w:r w:rsidR="00B54553">
        <w:rPr>
          <w:sz w:val="18"/>
          <w:szCs w:val="18"/>
        </w:rPr>
        <w:t>includes individuals who represented ‘national</w:t>
      </w:r>
      <w:r w:rsidR="003E4B7D">
        <w:rPr>
          <w:sz w:val="18"/>
          <w:szCs w:val="18"/>
        </w:rPr>
        <w:t xml:space="preserve">ly’. </w:t>
      </w:r>
    </w:p>
    <w:p w14:paraId="777BD2E3" w14:textId="2CA82912" w:rsidR="00763BF9" w:rsidRDefault="00763BF9" w:rsidP="00A21448">
      <w:pPr>
        <w:pStyle w:val="HQSChead2"/>
      </w:pPr>
      <w:r>
        <w:t xml:space="preserve">Reflections from </w:t>
      </w:r>
      <w:r w:rsidR="00EA746F">
        <w:t xml:space="preserve">the </w:t>
      </w:r>
      <w:r>
        <w:t>evaluation survey and attendees</w:t>
      </w:r>
    </w:p>
    <w:p w14:paraId="261EF065" w14:textId="6AE0A080" w:rsidR="00A7671E" w:rsidRDefault="00F902B4" w:rsidP="009C3DD1">
      <w:pPr>
        <w:pStyle w:val="HQSCbodytext"/>
      </w:pPr>
      <w:r>
        <w:t xml:space="preserve">We </w:t>
      </w:r>
      <w:r w:rsidR="00E64A8E">
        <w:t>engaged</w:t>
      </w:r>
      <w:r>
        <w:t xml:space="preserve"> with the workshop attendees </w:t>
      </w:r>
      <w:r w:rsidR="008508BE">
        <w:t xml:space="preserve">using </w:t>
      </w:r>
      <w:r>
        <w:t xml:space="preserve">an evaluation survey </w:t>
      </w:r>
      <w:r w:rsidR="00C670DA">
        <w:t xml:space="preserve">that </w:t>
      </w:r>
      <w:r>
        <w:t>ensure</w:t>
      </w:r>
      <w:r w:rsidR="00C670DA">
        <w:t>d</w:t>
      </w:r>
      <w:r>
        <w:t xml:space="preserve"> anonymity </w:t>
      </w:r>
      <w:r w:rsidR="00C670DA">
        <w:t xml:space="preserve">(as the </w:t>
      </w:r>
      <w:r>
        <w:t>group</w:t>
      </w:r>
      <w:r w:rsidR="00C670DA">
        <w:t xml:space="preserve"> was small)</w:t>
      </w:r>
      <w:r>
        <w:t xml:space="preserve">, allowing attendees to </w:t>
      </w:r>
      <w:r w:rsidR="00AC144F">
        <w:t xml:space="preserve">provide honest feedback on the day. </w:t>
      </w:r>
    </w:p>
    <w:p w14:paraId="5EBA4056" w14:textId="190236F3" w:rsidR="00AC144F" w:rsidRDefault="00BB34C3" w:rsidP="009C3DD1">
      <w:pPr>
        <w:pStyle w:val="HQSCbodytext"/>
      </w:pPr>
      <w:r>
        <w:t xml:space="preserve">The </w:t>
      </w:r>
      <w:r w:rsidR="00C670DA">
        <w:t xml:space="preserve">survey described the </w:t>
      </w:r>
      <w:r>
        <w:t xml:space="preserve">purpose of the day </w:t>
      </w:r>
      <w:r w:rsidR="00C670DA">
        <w:t>as follows.</w:t>
      </w:r>
    </w:p>
    <w:p w14:paraId="2A504417" w14:textId="5EBC68EC" w:rsidR="00B268BE" w:rsidRDefault="00946DDB" w:rsidP="00F5321C">
      <w:pPr>
        <w:pStyle w:val="HQSCindentedquote"/>
      </w:pPr>
      <w:r w:rsidRPr="00946DDB">
        <w:t>The consumer and whānau engagement workshop </w:t>
      </w:r>
      <w:proofErr w:type="gramStart"/>
      <w:r w:rsidRPr="00946DDB">
        <w:t>is</w:t>
      </w:r>
      <w:proofErr w:type="gramEnd"/>
      <w:r w:rsidRPr="00946DDB">
        <w:t> a forum for regional consumer councils to engage with health entities</w:t>
      </w:r>
      <w:r w:rsidR="00A92EB1">
        <w:t>,</w:t>
      </w:r>
      <w:r w:rsidRPr="00946DDB">
        <w:t xml:space="preserve"> such as Health NZ, Ministry of Health </w:t>
      </w:r>
      <w:r w:rsidR="00BD458D">
        <w:t xml:space="preserve">– </w:t>
      </w:r>
      <w:proofErr w:type="spellStart"/>
      <w:r w:rsidRPr="00946DDB">
        <w:t>Manatū</w:t>
      </w:r>
      <w:proofErr w:type="spellEnd"/>
      <w:r w:rsidRPr="00946DDB">
        <w:t> Hauora and the Health Quality &amp; Safety Commission Te Tāhū Hauora.</w:t>
      </w:r>
      <w:r w:rsidR="00B268BE">
        <w:t xml:space="preserve"> </w:t>
      </w:r>
    </w:p>
    <w:p w14:paraId="71F5FED2" w14:textId="44B863C4" w:rsidR="00BB34C3" w:rsidRPr="00B268BE" w:rsidRDefault="00946DDB" w:rsidP="00F5321C">
      <w:pPr>
        <w:pStyle w:val="HQSCindentedquote"/>
      </w:pPr>
      <w:r w:rsidRPr="00B268BE">
        <w:t xml:space="preserve">The workshop fosters shared learning on the </w:t>
      </w:r>
      <w:r w:rsidR="00A92EB1">
        <w:t>c</w:t>
      </w:r>
      <w:r w:rsidRPr="00B268BE">
        <w:t xml:space="preserve">ode of expectations, SURE (Supporting, Understanding, Responding and Evaluating) framework and the </w:t>
      </w:r>
      <w:r w:rsidR="00A92EB1">
        <w:t>c</w:t>
      </w:r>
      <w:r w:rsidRPr="00B268BE">
        <w:t>onsumer and whānau engagement quality &amp; safety marker</w:t>
      </w:r>
      <w:r>
        <w:t>.</w:t>
      </w:r>
    </w:p>
    <w:p w14:paraId="3B87D5B6" w14:textId="77777777" w:rsidR="00FB05AE" w:rsidRDefault="00FB05AE" w:rsidP="00C546EA">
      <w:pPr>
        <w:pStyle w:val="HQSCbodytext"/>
      </w:pPr>
      <w:r>
        <w:t>The remainder of this section sets out the survey questions and attendees’ responses.</w:t>
      </w:r>
    </w:p>
    <w:p w14:paraId="3186C45B" w14:textId="03610C5B" w:rsidR="00B268BE" w:rsidRPr="005115C2" w:rsidRDefault="00FB05AE" w:rsidP="00FB05AE">
      <w:pPr>
        <w:pStyle w:val="HQSChead3"/>
      </w:pPr>
      <w:r>
        <w:t>‘</w:t>
      </w:r>
      <w:r w:rsidR="00261D7C" w:rsidRPr="005115C2">
        <w:t>With this purpose in mind, what did you gain from the day?</w:t>
      </w:r>
      <w:r w:rsidR="005A054D">
        <w:t>’</w:t>
      </w:r>
      <w:r w:rsidR="00261D7C" w:rsidRPr="005115C2">
        <w:t xml:space="preserve"> </w:t>
      </w:r>
    </w:p>
    <w:p w14:paraId="7C647FA2" w14:textId="66D3556E" w:rsidR="00B268BE" w:rsidRDefault="005A054D" w:rsidP="00552EEB">
      <w:pPr>
        <w:pStyle w:val="HQSCbodytext"/>
      </w:pPr>
      <w:r>
        <w:t>R</w:t>
      </w:r>
      <w:r w:rsidR="00ED2B80">
        <w:t xml:space="preserve">esponses reflected </w:t>
      </w:r>
      <w:r>
        <w:t xml:space="preserve">attendees’ appreciation for </w:t>
      </w:r>
      <w:r w:rsidR="00ED2B80">
        <w:t xml:space="preserve">the strong networking </w:t>
      </w:r>
      <w:r>
        <w:t>opportunities the even</w:t>
      </w:r>
      <w:r w:rsidR="008E4798">
        <w:t>t</w:t>
      </w:r>
      <w:r>
        <w:t xml:space="preserve"> had provided </w:t>
      </w:r>
      <w:r w:rsidR="00ED2B80">
        <w:t xml:space="preserve">and </w:t>
      </w:r>
      <w:r w:rsidR="003F0DCE">
        <w:t xml:space="preserve">great </w:t>
      </w:r>
      <w:r w:rsidR="00ED2B80">
        <w:t xml:space="preserve">interaction between attendees. </w:t>
      </w:r>
      <w:r>
        <w:t>Comments included</w:t>
      </w:r>
      <w:r w:rsidR="001D1DA9">
        <w:t>:</w:t>
      </w:r>
      <w:r>
        <w:t xml:space="preserve"> </w:t>
      </w:r>
    </w:p>
    <w:p w14:paraId="4B5CA727" w14:textId="75796713" w:rsidR="00552EEB" w:rsidRDefault="008E4798" w:rsidP="00552EEB">
      <w:pPr>
        <w:pStyle w:val="HQSCindentedquote"/>
      </w:pPr>
      <w:r>
        <w:t>‘</w:t>
      </w:r>
      <w:r w:rsidR="007129F0">
        <w:t>Good connections</w:t>
      </w:r>
      <w:r w:rsidR="00552EEB">
        <w:t>.</w:t>
      </w:r>
      <w:r>
        <w:t>’</w:t>
      </w:r>
      <w:r w:rsidR="007407E0">
        <w:t xml:space="preserve"> </w:t>
      </w:r>
    </w:p>
    <w:p w14:paraId="204B5EBD" w14:textId="6D4D7067" w:rsidR="00B62679" w:rsidRDefault="008E4798" w:rsidP="00552EEB">
      <w:pPr>
        <w:pStyle w:val="HQSCindentedquote"/>
      </w:pPr>
      <w:r>
        <w:t>‘</w:t>
      </w:r>
      <w:r w:rsidR="00552EEB">
        <w:t>G</w:t>
      </w:r>
      <w:r w:rsidR="007407E0">
        <w:t>reater insights and perspectives</w:t>
      </w:r>
      <w:r w:rsidR="00552EEB">
        <w:t>.</w:t>
      </w:r>
      <w:r>
        <w:t>’</w:t>
      </w:r>
      <w:r w:rsidR="005A054D">
        <w:t xml:space="preserve"> </w:t>
      </w:r>
    </w:p>
    <w:p w14:paraId="05963438" w14:textId="4AB04D96" w:rsidR="00152AF1" w:rsidRDefault="008E4798" w:rsidP="00552EEB">
      <w:pPr>
        <w:pStyle w:val="HQSCindentedquote"/>
      </w:pPr>
      <w:r>
        <w:t>‘</w:t>
      </w:r>
      <w:r w:rsidR="00152AF1">
        <w:t>It was very good having all people in the room and shared discussion from all angles</w:t>
      </w:r>
      <w:r w:rsidR="001D1DA9">
        <w:t>.</w:t>
      </w:r>
      <w:r>
        <w:t>’</w:t>
      </w:r>
      <w:r w:rsidR="00152AF1">
        <w:t xml:space="preserve"> </w:t>
      </w:r>
    </w:p>
    <w:p w14:paraId="1D7A28E5" w14:textId="77777777" w:rsidR="00FB05AE" w:rsidRDefault="005A054D" w:rsidP="00FB05AE">
      <w:pPr>
        <w:pStyle w:val="HQSChead3"/>
      </w:pPr>
      <w:r>
        <w:lastRenderedPageBreak/>
        <w:t>‘</w:t>
      </w:r>
      <w:r w:rsidR="00A21448" w:rsidRPr="00A21448">
        <w:t>Did the event meet its purpose?</w:t>
      </w:r>
      <w:r>
        <w:t xml:space="preserve">’ </w:t>
      </w:r>
    </w:p>
    <w:p w14:paraId="552A8A26" w14:textId="3190B87D" w:rsidR="00AC7690" w:rsidRDefault="005A054D" w:rsidP="00FB05AE">
      <w:pPr>
        <w:pStyle w:val="HQSCbodytext"/>
      </w:pPr>
      <w:r>
        <w:t>Figure 3 shows attendees’ responses</w:t>
      </w:r>
      <w:r w:rsidR="00552EEB">
        <w:t xml:space="preserve"> to this question</w:t>
      </w:r>
      <w:r>
        <w:t>.</w:t>
      </w:r>
    </w:p>
    <w:p w14:paraId="7A02635C" w14:textId="4449F3C2" w:rsidR="008B53E2" w:rsidRDefault="00F43CFD" w:rsidP="00A503FC">
      <w:pPr>
        <w:pStyle w:val="HQSCtablefigurecaption"/>
      </w:pPr>
      <w:r>
        <w:rPr>
          <w:b w:val="0"/>
          <w:noProof/>
        </w:rPr>
        <w:drawing>
          <wp:anchor distT="0" distB="0" distL="114300" distR="114300" simplePos="0" relativeHeight="251658241" behindDoc="0" locked="0" layoutInCell="1" allowOverlap="1" wp14:anchorId="478F0544" wp14:editId="63D610FC">
            <wp:simplePos x="0" y="0"/>
            <wp:positionH relativeFrom="margin">
              <wp:align>left</wp:align>
            </wp:positionH>
            <wp:positionV relativeFrom="paragraph">
              <wp:posOffset>214686</wp:posOffset>
            </wp:positionV>
            <wp:extent cx="5486400" cy="3200400"/>
            <wp:effectExtent l="0" t="0" r="0" b="0"/>
            <wp:wrapSquare wrapText="bothSides"/>
            <wp:docPr id="1323476082" name="Chart 2" descr="A bar chart showing attendees responses to the question, 'did the event meet its purpose?'. &#10;&#10;The vertical axis shows one row: 'The event met its purpose'. The horizontal axis covers the sections: strongly agree, agree, unsure, disagree or strongly agree as different colours along the bar. &#10;&#10;10 percent of attendees strongly agreed to this question. 55 percent of attendees agreed. Finally, 10 percent were unsur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C7690">
        <w:t xml:space="preserve">Figure 3: </w:t>
      </w:r>
      <w:r w:rsidR="00E43077">
        <w:t>Attendees</w:t>
      </w:r>
      <w:r w:rsidR="00374898">
        <w:t>’</w:t>
      </w:r>
      <w:r w:rsidR="00E43077">
        <w:t xml:space="preserve"> responses to </w:t>
      </w:r>
      <w:r w:rsidR="005A054D">
        <w:t xml:space="preserve">‘Did </w:t>
      </w:r>
      <w:r w:rsidR="00E43077">
        <w:t>the event me</w:t>
      </w:r>
      <w:r w:rsidR="005A054D">
        <w:t>e</w:t>
      </w:r>
      <w:r w:rsidR="00E43077">
        <w:t>t its purpose</w:t>
      </w:r>
      <w:r w:rsidR="005A054D">
        <w:t>?’</w:t>
      </w:r>
    </w:p>
    <w:p w14:paraId="5417E97F" w14:textId="357F1FD9" w:rsidR="00152AF1" w:rsidRDefault="00340C9E" w:rsidP="00F57C09">
      <w:pPr>
        <w:pStyle w:val="HQSCbodytext"/>
        <w:spacing w:before="240"/>
      </w:pPr>
      <w:r>
        <w:t xml:space="preserve">Of those who completed the survey, </w:t>
      </w:r>
      <w:r w:rsidR="00372AAB">
        <w:t>65</w:t>
      </w:r>
      <w:r w:rsidR="00F5321C">
        <w:t xml:space="preserve"> percent</w:t>
      </w:r>
      <w:r w:rsidR="00206E23">
        <w:t xml:space="preserve"> agreed (55</w:t>
      </w:r>
      <w:r w:rsidR="00901389">
        <w:t xml:space="preserve"> percent</w:t>
      </w:r>
      <w:r w:rsidR="00206E23">
        <w:t>) or strongly agreed (</w:t>
      </w:r>
      <w:r w:rsidR="00E00D7C">
        <w:t>10 </w:t>
      </w:r>
      <w:r w:rsidR="00901389">
        <w:t>percent</w:t>
      </w:r>
      <w:r w:rsidR="00206E23">
        <w:t>) that the event met its purpose</w:t>
      </w:r>
      <w:r w:rsidR="00BC0A5A">
        <w:t>, and 35 </w:t>
      </w:r>
      <w:r w:rsidR="00F5321C">
        <w:t>percent</w:t>
      </w:r>
      <w:r w:rsidR="00206E23">
        <w:t xml:space="preserve"> selected ‘unsure’. </w:t>
      </w:r>
    </w:p>
    <w:p w14:paraId="03E73330" w14:textId="41752B6D" w:rsidR="00206E23" w:rsidRDefault="00BC0A5A" w:rsidP="009C3DD1">
      <w:pPr>
        <w:pStyle w:val="HQSCbodytext"/>
      </w:pPr>
      <w:r>
        <w:t>C</w:t>
      </w:r>
      <w:r w:rsidR="00B279E3">
        <w:t>omments</w:t>
      </w:r>
      <w:r>
        <w:t xml:space="preserve"> included the following.</w:t>
      </w:r>
      <w:r w:rsidR="00B279E3">
        <w:t xml:space="preserve"> </w:t>
      </w:r>
    </w:p>
    <w:p w14:paraId="4F76051E" w14:textId="792E2EB3" w:rsidR="00B279E3" w:rsidRDefault="00E00D7C" w:rsidP="000A0C5E">
      <w:pPr>
        <w:pStyle w:val="HQSCindentedquote"/>
      </w:pPr>
      <w:r>
        <w:t>‘</w:t>
      </w:r>
      <w:r w:rsidR="00B279E3">
        <w:t>Great conversation but partial only</w:t>
      </w:r>
      <w:r w:rsidR="00BC0A5A">
        <w:t>.</w:t>
      </w:r>
      <w:r>
        <w:t>’</w:t>
      </w:r>
      <w:r w:rsidR="00B279E3">
        <w:t xml:space="preserve"> </w:t>
      </w:r>
    </w:p>
    <w:p w14:paraId="79C078C2" w14:textId="32B973E8" w:rsidR="00D4190D" w:rsidRPr="00956669" w:rsidRDefault="00E00D7C" w:rsidP="00956669">
      <w:pPr>
        <w:pStyle w:val="HQSCindentedquote"/>
      </w:pPr>
      <w:r>
        <w:t>‘</w:t>
      </w:r>
      <w:r w:rsidR="000A0C5E">
        <w:t xml:space="preserve">There was a lot of </w:t>
      </w:r>
      <w:r w:rsidR="0032176D">
        <w:t>k</w:t>
      </w:r>
      <w:r w:rsidR="00BC0A5A">
        <w:t>ō</w:t>
      </w:r>
      <w:r w:rsidR="0032176D">
        <w:t>rero,</w:t>
      </w:r>
      <w:r w:rsidR="000A0C5E">
        <w:t xml:space="preserve"> but I think it didn’t get to the heart of the issue</w:t>
      </w:r>
      <w:r w:rsidR="00BC0A5A">
        <w:t>.</w:t>
      </w:r>
      <w:r>
        <w:t>’</w:t>
      </w:r>
    </w:p>
    <w:p w14:paraId="3E2B9D2B" w14:textId="36605915" w:rsidR="003E2AD9" w:rsidRDefault="00BC0A5A" w:rsidP="00FB05AE">
      <w:pPr>
        <w:pStyle w:val="HQSChead3"/>
      </w:pPr>
      <w:r>
        <w:t>‘</w:t>
      </w:r>
      <w:r w:rsidR="00F652C8">
        <w:t>Did the</w:t>
      </w:r>
      <w:r w:rsidR="00D4190D">
        <w:t xml:space="preserve"> event increase</w:t>
      </w:r>
      <w:r w:rsidR="00F652C8">
        <w:t xml:space="preserve"> your</w:t>
      </w:r>
      <w:r w:rsidR="00D4190D">
        <w:t xml:space="preserve"> confidence to engage with the health system</w:t>
      </w:r>
      <w:r w:rsidR="00F652C8">
        <w:t xml:space="preserve"> or with </w:t>
      </w:r>
      <w:r w:rsidR="003E2AD9">
        <w:t>consumers</w:t>
      </w:r>
      <w:r w:rsidR="00F652C8">
        <w:t>?</w:t>
      </w:r>
      <w:r>
        <w:t xml:space="preserve">’ </w:t>
      </w:r>
    </w:p>
    <w:p w14:paraId="125FA1E6" w14:textId="786C4A15" w:rsidR="003E2AD9" w:rsidRDefault="003E2AD9" w:rsidP="00BC0A5A">
      <w:pPr>
        <w:pStyle w:val="HQSCbodytext"/>
      </w:pPr>
      <w:r w:rsidRPr="003E2AD9">
        <w:t>This question was put </w:t>
      </w:r>
      <w:r w:rsidR="00885255">
        <w:t xml:space="preserve">to respondents </w:t>
      </w:r>
      <w:r w:rsidRPr="003E2AD9">
        <w:t>as a two-part choice. </w:t>
      </w:r>
      <w:r w:rsidR="00885255">
        <w:t>They</w:t>
      </w:r>
      <w:r w:rsidR="00885255" w:rsidRPr="003E2AD9">
        <w:t xml:space="preserve"> </w:t>
      </w:r>
      <w:r w:rsidRPr="003E2AD9">
        <w:t>could answer the question in terms of their engagement with the health system or in terms of their engagement with consumers, as appropriate. </w:t>
      </w:r>
      <w:r w:rsidR="00374898">
        <w:t>N</w:t>
      </w:r>
      <w:r>
        <w:t>ote</w:t>
      </w:r>
      <w:r w:rsidR="00374898">
        <w:t xml:space="preserve"> that</w:t>
      </w:r>
      <w:r w:rsidRPr="003E2AD9">
        <w:t>, as the survey included a ‘not applicable’ response option for both statements, the percentages reported may not total 100</w:t>
      </w:r>
      <w:r w:rsidR="006F1EC4">
        <w:t xml:space="preserve"> percent</w:t>
      </w:r>
      <w:r w:rsidRPr="003E2AD9">
        <w:t>.  </w:t>
      </w:r>
    </w:p>
    <w:p w14:paraId="18374B16" w14:textId="169D9C1B" w:rsidR="00E43077" w:rsidRPr="003E2AD9" w:rsidRDefault="00E43077" w:rsidP="009A2E62">
      <w:pPr>
        <w:pStyle w:val="HQSCtablefigurecaption"/>
        <w:keepNext/>
      </w:pPr>
      <w:r>
        <w:lastRenderedPageBreak/>
        <w:t xml:space="preserve">Figure 4: </w:t>
      </w:r>
      <w:r w:rsidR="00ED52FE">
        <w:t>Attendees</w:t>
      </w:r>
      <w:r w:rsidR="00374898">
        <w:t>’</w:t>
      </w:r>
      <w:r w:rsidR="00ED52FE">
        <w:t xml:space="preserve"> responses to </w:t>
      </w:r>
      <w:r w:rsidR="00374898">
        <w:t xml:space="preserve">‘Did </w:t>
      </w:r>
      <w:r w:rsidR="00ED52FE">
        <w:t>the event increase</w:t>
      </w:r>
      <w:r w:rsidR="00ED52FE" w:rsidDel="00374898">
        <w:t xml:space="preserve"> </w:t>
      </w:r>
      <w:r w:rsidR="00374898">
        <w:t xml:space="preserve">your </w:t>
      </w:r>
      <w:r w:rsidR="00ED52FE">
        <w:t>confidence to engage with the health system or with consumers</w:t>
      </w:r>
      <w:r w:rsidR="00374898">
        <w:t>?’</w:t>
      </w:r>
    </w:p>
    <w:p w14:paraId="4C9B2324" w14:textId="76A00A72" w:rsidR="00F56095" w:rsidRDefault="00F56095" w:rsidP="009A2E62">
      <w:pPr>
        <w:pStyle w:val="HQSCbodytext"/>
        <w:keepNext/>
      </w:pPr>
      <w:r>
        <w:rPr>
          <w:noProof/>
        </w:rPr>
        <w:drawing>
          <wp:inline distT="0" distB="0" distL="0" distR="0" wp14:anchorId="74BDA69B" wp14:editId="03B18642">
            <wp:extent cx="5486400" cy="3200400"/>
            <wp:effectExtent l="0" t="0" r="0" b="0"/>
            <wp:docPr id="1073620446" name="Chart 2" descr="There are two rows in this bar chart in the vertical axis showing 'The event increased my confidence to engage with consumers' and 'The event increased my confidence to engage with the health system'. The horizontal axis lists the options as: strongly agree, agree, unsure, disagree or strongly agree (provided as a different colour in the bar chart. &#10;&#10;In the first row 'The event increased my confidence to engage with consumers'. 70 percent agreed (60 percent) or strongly agreed (10 percent) the event increased their confidence. Five percent were unsure and 25 percent selected this statement was not applicable to them. &#10;&#10;In the second row 'The event increased my confidence to engage with the health system', 40 percent agreed (25 percent) or 'strongly agreed (15 per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621DA0" w14:textId="2C976D63" w:rsidR="00303E67" w:rsidRDefault="00E83A7E" w:rsidP="00303E67">
      <w:pPr>
        <w:pStyle w:val="HQSCbodytext"/>
      </w:pPr>
      <w:r w:rsidRPr="00E83A7E">
        <w:t>Of those who responded to the question in terms of engagement with consumers,</w:t>
      </w:r>
      <w:r>
        <w:t xml:space="preserve"> </w:t>
      </w:r>
      <w:r w:rsidR="00303E67">
        <w:t>70</w:t>
      </w:r>
      <w:r w:rsidR="008463A9">
        <w:t xml:space="preserve"> perc</w:t>
      </w:r>
      <w:r w:rsidR="00D10DF2">
        <w:t>ent</w:t>
      </w:r>
      <w:r w:rsidR="00303E67">
        <w:t xml:space="preserve"> agreed (60</w:t>
      </w:r>
      <w:r w:rsidR="00901389">
        <w:t xml:space="preserve"> percent</w:t>
      </w:r>
      <w:r w:rsidR="00303E67">
        <w:t>) or strongly agreed (10</w:t>
      </w:r>
      <w:r w:rsidR="00901389">
        <w:t xml:space="preserve"> percent</w:t>
      </w:r>
      <w:r w:rsidR="00303E67">
        <w:t xml:space="preserve">) </w:t>
      </w:r>
      <w:r w:rsidR="00E22330">
        <w:t xml:space="preserve">the event </w:t>
      </w:r>
      <w:r w:rsidR="00921A90">
        <w:t xml:space="preserve">had </w:t>
      </w:r>
      <w:r w:rsidR="00E22330">
        <w:t>increased their confidence</w:t>
      </w:r>
      <w:r w:rsidR="00921A90">
        <w:t>; 5 </w:t>
      </w:r>
      <w:r w:rsidR="00D10DF2">
        <w:t>percent</w:t>
      </w:r>
      <w:r w:rsidR="00303E67">
        <w:t xml:space="preserve"> were unsure and 25</w:t>
      </w:r>
      <w:r w:rsidR="00D10DF2">
        <w:t xml:space="preserve"> percent</w:t>
      </w:r>
      <w:r w:rsidR="00303E67">
        <w:t xml:space="preserve"> selected </w:t>
      </w:r>
      <w:r w:rsidR="00921A90">
        <w:t xml:space="preserve">the </w:t>
      </w:r>
      <w:r w:rsidR="00303E67">
        <w:t xml:space="preserve">statement was not applicable. </w:t>
      </w:r>
    </w:p>
    <w:p w14:paraId="148D729B" w14:textId="0190D712" w:rsidR="00D4190D" w:rsidRDefault="002D2B3A" w:rsidP="009C3DD1">
      <w:pPr>
        <w:pStyle w:val="HQSCbodytext"/>
      </w:pPr>
      <w:r>
        <w:t>O</w:t>
      </w:r>
      <w:r w:rsidRPr="002D2B3A">
        <w:t>f those who responded to the question in terms of engagement with the health system</w:t>
      </w:r>
      <w:r>
        <w:t xml:space="preserve">, </w:t>
      </w:r>
      <w:r w:rsidR="00D7206F">
        <w:t>40</w:t>
      </w:r>
      <w:r w:rsidR="00B47A1C">
        <w:t xml:space="preserve"> percent</w:t>
      </w:r>
      <w:r w:rsidR="00D7206F">
        <w:t xml:space="preserve"> </w:t>
      </w:r>
      <w:r w:rsidR="00FA04F4">
        <w:t>agreed (</w:t>
      </w:r>
      <w:r w:rsidR="001052D9">
        <w:t>25</w:t>
      </w:r>
      <w:r w:rsidR="00901389">
        <w:t xml:space="preserve"> percent</w:t>
      </w:r>
      <w:r w:rsidR="001052D9">
        <w:t>) or strongly agreed (15</w:t>
      </w:r>
      <w:r w:rsidR="00901389">
        <w:t xml:space="preserve"> percent</w:t>
      </w:r>
      <w:r w:rsidR="001052D9">
        <w:t xml:space="preserve">) </w:t>
      </w:r>
      <w:r>
        <w:t>the event had increased their confidence</w:t>
      </w:r>
      <w:r w:rsidR="00921A90">
        <w:t>; 10 </w:t>
      </w:r>
      <w:r w:rsidR="00B47A1C">
        <w:t>percent</w:t>
      </w:r>
      <w:r w:rsidR="001052D9">
        <w:t xml:space="preserve"> were unsure and 50</w:t>
      </w:r>
      <w:r w:rsidR="00B47A1C">
        <w:t xml:space="preserve"> percent</w:t>
      </w:r>
      <w:r w:rsidR="001052D9">
        <w:t xml:space="preserve"> selected </w:t>
      </w:r>
      <w:r w:rsidR="00921A90">
        <w:t xml:space="preserve">the </w:t>
      </w:r>
      <w:r w:rsidR="001052D9">
        <w:t xml:space="preserve">statement was not applicable. </w:t>
      </w:r>
    </w:p>
    <w:p w14:paraId="6490BFA5" w14:textId="391C7682" w:rsidR="00284EA6" w:rsidRDefault="00284EA6" w:rsidP="009C3DD1">
      <w:pPr>
        <w:pStyle w:val="HQSCbodytext"/>
      </w:pPr>
      <w:r w:rsidRPr="00284EA6">
        <w:t>There was an option to provide additional comment on this question. Some attendees </w:t>
      </w:r>
      <w:r w:rsidR="009F5010" w:rsidRPr="00284EA6">
        <w:t>reflected they</w:t>
      </w:r>
      <w:r w:rsidR="004F7111">
        <w:t xml:space="preserve"> </w:t>
      </w:r>
      <w:r w:rsidR="00921A90">
        <w:t xml:space="preserve">had </w:t>
      </w:r>
      <w:r w:rsidR="004F7111">
        <w:t>appreciated the time to connec</w:t>
      </w:r>
      <w:r w:rsidR="003B20F5">
        <w:t xml:space="preserve">t and </w:t>
      </w:r>
      <w:r w:rsidR="00921A90">
        <w:t xml:space="preserve">had </w:t>
      </w:r>
      <w:r w:rsidR="00E72BF8">
        <w:t xml:space="preserve">gained </w:t>
      </w:r>
      <w:r w:rsidR="008E50F0">
        <w:t xml:space="preserve">insights on </w:t>
      </w:r>
      <w:r w:rsidR="00CB028B">
        <w:t xml:space="preserve">how </w:t>
      </w:r>
      <w:r w:rsidR="00921A90">
        <w:t xml:space="preserve">they could </w:t>
      </w:r>
      <w:r w:rsidR="00B95897">
        <w:t xml:space="preserve">keep consumers safe and </w:t>
      </w:r>
      <w:r w:rsidR="00CB028B">
        <w:t>enable participation</w:t>
      </w:r>
      <w:r w:rsidR="00B95897">
        <w:t xml:space="preserve">. </w:t>
      </w:r>
    </w:p>
    <w:p w14:paraId="55221716" w14:textId="3EA1A02B" w:rsidR="009343FE" w:rsidRDefault="00FB05AE" w:rsidP="005115C2">
      <w:pPr>
        <w:pStyle w:val="HQSChead3"/>
      </w:pPr>
      <w:r>
        <w:t>‘</w:t>
      </w:r>
      <w:r w:rsidR="009343FE" w:rsidRPr="009343FE">
        <w:t>Was the event relevant and/or valuable to you?</w:t>
      </w:r>
      <w:r>
        <w:t>’</w:t>
      </w:r>
      <w:r w:rsidR="009343FE" w:rsidRPr="009343FE">
        <w:t>  </w:t>
      </w:r>
    </w:p>
    <w:p w14:paraId="71BF20E3" w14:textId="4CEAC555" w:rsidR="00D4190D" w:rsidRDefault="001A3218" w:rsidP="009C3DD1">
      <w:pPr>
        <w:pStyle w:val="HQSCbodytext"/>
      </w:pPr>
      <w:r>
        <w:t>Of those who completed the survey, 90</w:t>
      </w:r>
      <w:r w:rsidR="00901389">
        <w:t xml:space="preserve"> percent</w:t>
      </w:r>
      <w:r>
        <w:t xml:space="preserve"> agreed (50</w:t>
      </w:r>
      <w:r w:rsidR="00901389">
        <w:t xml:space="preserve"> percent</w:t>
      </w:r>
      <w:r>
        <w:t>) or strongly agreed (40</w:t>
      </w:r>
      <w:r w:rsidR="00C71C97">
        <w:t> </w:t>
      </w:r>
      <w:r w:rsidR="00901389">
        <w:t>percent</w:t>
      </w:r>
      <w:r>
        <w:t xml:space="preserve">) the event </w:t>
      </w:r>
      <w:r w:rsidR="00FB05AE">
        <w:t xml:space="preserve">had been </w:t>
      </w:r>
      <w:r>
        <w:t>relevant and/or valuable to them</w:t>
      </w:r>
      <w:r w:rsidR="00921A90">
        <w:t>, and 10 </w:t>
      </w:r>
      <w:r w:rsidR="00901389">
        <w:t>percent</w:t>
      </w:r>
      <w:r>
        <w:t xml:space="preserve"> felt unsure. </w:t>
      </w:r>
    </w:p>
    <w:p w14:paraId="73368EA8" w14:textId="140CC3A3" w:rsidR="004E41A5" w:rsidRDefault="004E41A5" w:rsidP="00C71C97">
      <w:pPr>
        <w:pStyle w:val="HQSCtablefigurecaption"/>
        <w:keepNext/>
      </w:pPr>
      <w:r>
        <w:lastRenderedPageBreak/>
        <w:t>Figure 5: Attendees</w:t>
      </w:r>
      <w:r w:rsidR="00921A90">
        <w:t>’</w:t>
      </w:r>
      <w:r>
        <w:t xml:space="preserve"> responses to </w:t>
      </w:r>
      <w:r w:rsidR="00921A90">
        <w:t xml:space="preserve">‘Was </w:t>
      </w:r>
      <w:r>
        <w:t xml:space="preserve">the event relevant and/or valuable to </w:t>
      </w:r>
      <w:r w:rsidR="00921A90">
        <w:t>you?’</w:t>
      </w:r>
    </w:p>
    <w:p w14:paraId="7F93AF86" w14:textId="0C950915" w:rsidR="001A3218" w:rsidRPr="001A3218" w:rsidRDefault="00895044" w:rsidP="00C71C97">
      <w:pPr>
        <w:pStyle w:val="HQSCbodytext"/>
        <w:keepNext/>
      </w:pPr>
      <w:r>
        <w:rPr>
          <w:noProof/>
        </w:rPr>
        <w:drawing>
          <wp:inline distT="0" distB="0" distL="0" distR="0" wp14:anchorId="4C8A206D" wp14:editId="088FF476">
            <wp:extent cx="5486400" cy="3200400"/>
            <wp:effectExtent l="0" t="0" r="0" b="0"/>
            <wp:docPr id="1938824479" name="Chart 2" descr="A bar chart showing attendees responses to if the event was relevant and/or valuable to them. &#10;&#10;There is one row in this bar chart in the vertical axis showing 'The event was relevant and/or valuable to me'. In the horizontal axis, the sections are strongly agree, agree, unsure, disagree or strongly agree. Each of these choices provide a different colour gradient in the bar chart to show responses from attendees. &#10;&#10;90 percent agreed (50 percent) or strongly agreed (40 percent) the event was relevant and/or valuable to them. Ten percent felt unsur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8AA527" w14:textId="4CCE03B4" w:rsidR="002703DC" w:rsidRDefault="002703DC" w:rsidP="009C3DD1">
      <w:pPr>
        <w:pStyle w:val="HQSCbodytext"/>
      </w:pPr>
      <w:r w:rsidRPr="002703DC">
        <w:t>Some respondents provided an additional comment on this question, explaining why they believed the event had been valuable to them</w:t>
      </w:r>
      <w:r w:rsidR="00FB05AE">
        <w:t>. Responses included the following.</w:t>
      </w:r>
    </w:p>
    <w:p w14:paraId="6A4E6CCD" w14:textId="6190009D" w:rsidR="005F012F" w:rsidRDefault="005A4B22" w:rsidP="005F012F">
      <w:pPr>
        <w:pStyle w:val="HQSCindentedquote"/>
      </w:pPr>
      <w:r>
        <w:t>‘</w:t>
      </w:r>
      <w:r w:rsidR="00A648D4">
        <w:t>Thoroughly enjoyed meeting other consumers and hearing their point of views.</w:t>
      </w:r>
      <w:r>
        <w:t>’</w:t>
      </w:r>
      <w:r w:rsidR="00A648D4">
        <w:t xml:space="preserve"> </w:t>
      </w:r>
    </w:p>
    <w:p w14:paraId="4788147E" w14:textId="751368C4" w:rsidR="002703DC" w:rsidRDefault="005A4B22" w:rsidP="00A503FC">
      <w:pPr>
        <w:pStyle w:val="HQSCindentedquote"/>
      </w:pPr>
      <w:r>
        <w:t>‘</w:t>
      </w:r>
      <w:r w:rsidR="00BF38A0">
        <w:t>Think there should be more events where leaders, clini</w:t>
      </w:r>
      <w:r w:rsidR="00A40AF8">
        <w:t>cian, Māori health and consumers meet as partners.</w:t>
      </w:r>
      <w:r>
        <w:t>’</w:t>
      </w:r>
      <w:r w:rsidR="00A40AF8">
        <w:t xml:space="preserve"> </w:t>
      </w:r>
    </w:p>
    <w:p w14:paraId="7357E532" w14:textId="15269436" w:rsidR="000E0F3C" w:rsidRDefault="00FB05AE" w:rsidP="005A4B22">
      <w:pPr>
        <w:pStyle w:val="HQSChead3"/>
      </w:pPr>
      <w:r>
        <w:lastRenderedPageBreak/>
        <w:t>‘</w:t>
      </w:r>
      <w:r w:rsidR="00DC04D3">
        <w:t>Did the</w:t>
      </w:r>
      <w:r w:rsidR="00D4190D">
        <w:t xml:space="preserve"> event support </w:t>
      </w:r>
      <w:r w:rsidR="00DC04D3">
        <w:t>your</w:t>
      </w:r>
      <w:r w:rsidR="00D4190D">
        <w:t xml:space="preserve"> understanding of the </w:t>
      </w:r>
      <w:r w:rsidR="002446A8">
        <w:t xml:space="preserve">code </w:t>
      </w:r>
      <w:r w:rsidR="00D4190D">
        <w:t xml:space="preserve">of expectations and its application in </w:t>
      </w:r>
      <w:r w:rsidR="00C806A1">
        <w:t>your</w:t>
      </w:r>
      <w:r w:rsidR="00D4190D">
        <w:t xml:space="preserve"> organisation</w:t>
      </w:r>
      <w:r w:rsidR="008D2791">
        <w:t>?</w:t>
      </w:r>
      <w:r>
        <w:t xml:space="preserve">’ </w:t>
      </w:r>
    </w:p>
    <w:p w14:paraId="3A192F31" w14:textId="091E8819" w:rsidR="004E41A5" w:rsidRDefault="00FB05AE" w:rsidP="005A4B22">
      <w:pPr>
        <w:pStyle w:val="HQSCbodytext"/>
        <w:keepNext/>
      </w:pPr>
      <w:r>
        <w:t>Figure 6 shows responses.</w:t>
      </w:r>
    </w:p>
    <w:p w14:paraId="7CBE4AD9" w14:textId="09236AD8" w:rsidR="004E41A5" w:rsidRPr="004E41A5" w:rsidRDefault="004E41A5" w:rsidP="005A4B22">
      <w:pPr>
        <w:pStyle w:val="HQSCtablefigurecaption"/>
        <w:keepNext/>
      </w:pPr>
      <w:r>
        <w:t>Figure 6: Attendees</w:t>
      </w:r>
      <w:r w:rsidR="00FB05AE">
        <w:t>’</w:t>
      </w:r>
      <w:r>
        <w:t xml:space="preserve"> responses to </w:t>
      </w:r>
      <w:r w:rsidR="00FB05AE">
        <w:t xml:space="preserve">‘Did </w:t>
      </w:r>
      <w:r>
        <w:t>the event support</w:t>
      </w:r>
      <w:r w:rsidDel="00FB05AE">
        <w:t xml:space="preserve"> </w:t>
      </w:r>
      <w:r w:rsidR="00FB05AE">
        <w:t xml:space="preserve">your </w:t>
      </w:r>
      <w:r>
        <w:t xml:space="preserve">understanding of the </w:t>
      </w:r>
      <w:r w:rsidR="002446A8">
        <w:t xml:space="preserve">code </w:t>
      </w:r>
      <w:r>
        <w:t xml:space="preserve">of expectations and its application in </w:t>
      </w:r>
      <w:r w:rsidR="00FB05AE">
        <w:t xml:space="preserve">your </w:t>
      </w:r>
      <w:r>
        <w:t>organisation</w:t>
      </w:r>
      <w:r w:rsidR="00FB05AE">
        <w:t>?’</w:t>
      </w:r>
    </w:p>
    <w:p w14:paraId="4324C835" w14:textId="145FCBC6" w:rsidR="002703DC" w:rsidRDefault="002703DC" w:rsidP="005A4B22">
      <w:pPr>
        <w:pStyle w:val="HQSCtablefigurecaption"/>
        <w:keepNext/>
      </w:pPr>
      <w:r>
        <w:rPr>
          <w:noProof/>
        </w:rPr>
        <w:drawing>
          <wp:inline distT="0" distB="0" distL="0" distR="0" wp14:anchorId="59C4ABB4" wp14:editId="5A71B713">
            <wp:extent cx="5486400" cy="3200400"/>
            <wp:effectExtent l="0" t="0" r="0" b="0"/>
            <wp:docPr id="1229450992" name="Chart 2" descr="A bar chart with the vertical axis showing 'The event supported my understanding of the Code of expectations and its application in my organisation'. In the horizontal axis, the sections are strongly agree, agree, unsure, disagree or strongly agree. Each of these choices provide a different colour gradient in the bar chart to show responses from attendees. &#10;&#10;80 percent agreed (55 percent) or strongly agreed (25 percent). Whereas 15 percent disagreed with the state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9DBE0F" w14:textId="0561F1DD" w:rsidR="000E1E30" w:rsidRPr="00785374" w:rsidRDefault="00785374" w:rsidP="009C3DD1">
      <w:pPr>
        <w:pStyle w:val="HQSCbodytext"/>
      </w:pPr>
      <w:r>
        <w:t xml:space="preserve">Of those who completed the survey, </w:t>
      </w:r>
      <w:r w:rsidR="00CD14B1">
        <w:t>80</w:t>
      </w:r>
      <w:r w:rsidR="00901389">
        <w:t xml:space="preserve"> percent</w:t>
      </w:r>
      <w:r w:rsidR="00CD14B1">
        <w:t xml:space="preserve"> agreed (55</w:t>
      </w:r>
      <w:r w:rsidR="00901389">
        <w:t xml:space="preserve"> percent</w:t>
      </w:r>
      <w:r w:rsidR="00CD14B1">
        <w:t>) or strongly agreed (25</w:t>
      </w:r>
      <w:r w:rsidR="006846DF">
        <w:t> </w:t>
      </w:r>
      <w:r w:rsidR="00901389">
        <w:t>percent</w:t>
      </w:r>
      <w:r w:rsidR="00480A22">
        <w:t>)</w:t>
      </w:r>
      <w:r w:rsidR="00FB05AE">
        <w:t xml:space="preserve"> and </w:t>
      </w:r>
      <w:r w:rsidR="000E1E30">
        <w:t>15</w:t>
      </w:r>
      <w:r w:rsidR="00901389">
        <w:t xml:space="preserve"> percent</w:t>
      </w:r>
      <w:r w:rsidR="000E1E30">
        <w:t xml:space="preserve"> disagreed. </w:t>
      </w:r>
    </w:p>
    <w:p w14:paraId="35760D75" w14:textId="0F5CD5D2" w:rsidR="00FD659C" w:rsidRDefault="000E0F3C" w:rsidP="006846DF">
      <w:pPr>
        <w:pStyle w:val="HQSChead3"/>
      </w:pPr>
      <w:r>
        <w:lastRenderedPageBreak/>
        <w:t>‘</w:t>
      </w:r>
      <w:r w:rsidR="00C806A1">
        <w:t>Did t</w:t>
      </w:r>
      <w:r w:rsidR="00D4190D">
        <w:t>he event support</w:t>
      </w:r>
      <w:r w:rsidR="00C806A1">
        <w:t xml:space="preserve"> your</w:t>
      </w:r>
      <w:r w:rsidR="00D4190D">
        <w:t xml:space="preserve"> understanding of the SURE framework and its application in </w:t>
      </w:r>
      <w:r w:rsidR="00C806A1">
        <w:t>your</w:t>
      </w:r>
      <w:r w:rsidR="00D4190D">
        <w:t xml:space="preserve"> organisation</w:t>
      </w:r>
      <w:r w:rsidR="008D2791">
        <w:t>?</w:t>
      </w:r>
      <w:r>
        <w:t>’</w:t>
      </w:r>
    </w:p>
    <w:p w14:paraId="7656365B" w14:textId="2143FFD2" w:rsidR="000E0F3C" w:rsidRDefault="000E0F3C" w:rsidP="006846DF">
      <w:pPr>
        <w:pStyle w:val="HQSCbodytext"/>
        <w:keepNext/>
      </w:pPr>
      <w:r>
        <w:t>Figure 7 shows attendees’ responses.</w:t>
      </w:r>
    </w:p>
    <w:p w14:paraId="4D1563D6" w14:textId="22D91770" w:rsidR="00FD659C" w:rsidRPr="00B464B0" w:rsidRDefault="00B464B0" w:rsidP="006846DF">
      <w:pPr>
        <w:pStyle w:val="HQSCtablefigurecaption"/>
        <w:keepNext/>
      </w:pPr>
      <w:r>
        <w:t>Figure 7: Attendees</w:t>
      </w:r>
      <w:r w:rsidR="000E0F3C">
        <w:t>’</w:t>
      </w:r>
      <w:r>
        <w:t xml:space="preserve"> responses to </w:t>
      </w:r>
      <w:r w:rsidR="000E0F3C">
        <w:t xml:space="preserve">‘Did </w:t>
      </w:r>
      <w:r>
        <w:t>the event support</w:t>
      </w:r>
      <w:r w:rsidDel="000E0F3C">
        <w:t xml:space="preserve"> </w:t>
      </w:r>
      <w:r w:rsidR="000E0F3C">
        <w:t xml:space="preserve">your </w:t>
      </w:r>
      <w:r>
        <w:t xml:space="preserve">understanding of the SURE framework and its application in </w:t>
      </w:r>
      <w:r w:rsidR="000E0F3C">
        <w:t xml:space="preserve">your </w:t>
      </w:r>
      <w:r>
        <w:t>organisation</w:t>
      </w:r>
      <w:r w:rsidR="000E0F3C">
        <w:t>?’</w:t>
      </w:r>
    </w:p>
    <w:p w14:paraId="419D9E50" w14:textId="422F8E62" w:rsidR="009B0709" w:rsidRDefault="009B0709" w:rsidP="006846DF">
      <w:pPr>
        <w:pStyle w:val="HQSCtablefigurecaption"/>
        <w:keepNext/>
        <w:rPr>
          <w:bCs/>
        </w:rPr>
      </w:pPr>
      <w:r>
        <w:rPr>
          <w:noProof/>
        </w:rPr>
        <w:drawing>
          <wp:inline distT="0" distB="0" distL="0" distR="0" wp14:anchorId="12B1433D" wp14:editId="6DF7A8F7">
            <wp:extent cx="5486400" cy="3200400"/>
            <wp:effectExtent l="0" t="0" r="0" b="0"/>
            <wp:docPr id="198526776" name="Chart 2" descr="There is one row in this bar chart in the vertical axis showing 'The event supported my understanding of the Code of expectations and its application in my organisation'. In the horizontal axis, the sections are strongly agree, agree, unsure, disagree or strongly agree. Each of these choices provide a different colour gradient in the bar chart to show responses from attendees. &#10;&#10;80 percent agreed (55 percent) or strongly agreed (25 percent). Whereas 15 percent disagreed with the state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48F9C9" w14:textId="4B1109A8" w:rsidR="00107F61" w:rsidRPr="007039D1" w:rsidRDefault="007039D1" w:rsidP="009C3DD1">
      <w:pPr>
        <w:pStyle w:val="HQSCbodytext"/>
      </w:pPr>
      <w:r>
        <w:t xml:space="preserve">Of those who completed the survey, </w:t>
      </w:r>
      <w:r w:rsidR="00821733">
        <w:t>80</w:t>
      </w:r>
      <w:r w:rsidR="00901389">
        <w:t xml:space="preserve"> percent</w:t>
      </w:r>
      <w:r w:rsidR="00821733">
        <w:t xml:space="preserve"> agreed (</w:t>
      </w:r>
      <w:r w:rsidR="00107F61">
        <w:t>50</w:t>
      </w:r>
      <w:r w:rsidR="00901389">
        <w:t xml:space="preserve"> percent</w:t>
      </w:r>
      <w:r w:rsidR="00107F61">
        <w:t>) or strongly agreed (30</w:t>
      </w:r>
      <w:r w:rsidR="00065C66">
        <w:t> </w:t>
      </w:r>
      <w:r w:rsidR="00901389">
        <w:t>percent</w:t>
      </w:r>
      <w:r w:rsidR="00107F61">
        <w:t>)</w:t>
      </w:r>
      <w:r w:rsidR="00F225D3">
        <w:t xml:space="preserve"> and </w:t>
      </w:r>
      <w:r w:rsidR="00107F61">
        <w:t>10</w:t>
      </w:r>
      <w:r w:rsidR="00901389">
        <w:t xml:space="preserve"> percent</w:t>
      </w:r>
      <w:r w:rsidR="00107F61">
        <w:t xml:space="preserve"> disagreed. </w:t>
      </w:r>
    </w:p>
    <w:p w14:paraId="4726190F" w14:textId="574B07A3" w:rsidR="00D610B3" w:rsidRDefault="00F225D3" w:rsidP="00065C66">
      <w:pPr>
        <w:pStyle w:val="HQSChead3"/>
      </w:pPr>
      <w:r>
        <w:lastRenderedPageBreak/>
        <w:t>‘</w:t>
      </w:r>
      <w:r w:rsidR="00C806A1">
        <w:t>Did the</w:t>
      </w:r>
      <w:r w:rsidR="00D4190D">
        <w:t xml:space="preserve"> event support </w:t>
      </w:r>
      <w:r w:rsidR="00C806A1">
        <w:t>your</w:t>
      </w:r>
      <w:r w:rsidR="00D4190D">
        <w:t xml:space="preserve"> understanding of the consumer and whānau engagement QSM and its application in </w:t>
      </w:r>
      <w:r w:rsidR="00C806A1">
        <w:t>your</w:t>
      </w:r>
      <w:r w:rsidR="00D4190D">
        <w:t xml:space="preserve"> organisation</w:t>
      </w:r>
      <w:r w:rsidR="008D2791">
        <w:t>?</w:t>
      </w:r>
      <w:r>
        <w:t>’</w:t>
      </w:r>
    </w:p>
    <w:p w14:paraId="7C5AB3E7" w14:textId="661E8DDF" w:rsidR="00F225D3" w:rsidRDefault="00F225D3" w:rsidP="00065C66">
      <w:pPr>
        <w:pStyle w:val="HQSCbodytext"/>
        <w:keepNext/>
      </w:pPr>
      <w:r>
        <w:t>Figure 8 shows attendees’ responses.</w:t>
      </w:r>
    </w:p>
    <w:p w14:paraId="77D46FFA" w14:textId="27D59A8A" w:rsidR="00D610B3" w:rsidRDefault="00D610B3" w:rsidP="00065C66">
      <w:pPr>
        <w:pStyle w:val="HQSCtablefigurecaption"/>
        <w:keepNext/>
      </w:pPr>
      <w:r>
        <w:t xml:space="preserve">Figure 8: </w:t>
      </w:r>
      <w:r w:rsidR="007F04E7">
        <w:t>Attendees</w:t>
      </w:r>
      <w:r w:rsidR="00DD1EF4">
        <w:t>’</w:t>
      </w:r>
      <w:r w:rsidR="007F04E7">
        <w:t xml:space="preserve"> responses to </w:t>
      </w:r>
      <w:r w:rsidR="00DD1EF4">
        <w:t xml:space="preserve">‘Did </w:t>
      </w:r>
      <w:r w:rsidR="007F04E7">
        <w:t>the event support</w:t>
      </w:r>
      <w:r w:rsidR="007F04E7" w:rsidDel="00DD1EF4">
        <w:t xml:space="preserve"> </w:t>
      </w:r>
      <w:r w:rsidR="00DD1EF4">
        <w:t xml:space="preserve">your </w:t>
      </w:r>
      <w:r w:rsidR="007F04E7">
        <w:t xml:space="preserve">understanding of the consumer and whānau engagement QSM and its application in </w:t>
      </w:r>
      <w:r w:rsidR="00DD1EF4">
        <w:t xml:space="preserve">your </w:t>
      </w:r>
      <w:r w:rsidR="007F04E7">
        <w:t>organisation</w:t>
      </w:r>
      <w:r w:rsidR="00DD1EF4">
        <w:t>?’</w:t>
      </w:r>
    </w:p>
    <w:p w14:paraId="7A9674D2" w14:textId="7074AD37" w:rsidR="00B83839" w:rsidRDefault="00B83839" w:rsidP="00065C66">
      <w:pPr>
        <w:pStyle w:val="HQSCtablefigurecaption"/>
        <w:keepNext/>
      </w:pPr>
      <w:r>
        <w:rPr>
          <w:noProof/>
        </w:rPr>
        <w:drawing>
          <wp:inline distT="0" distB="0" distL="0" distR="0" wp14:anchorId="72892EC7" wp14:editId="3A53F3E7">
            <wp:extent cx="5486400" cy="3200400"/>
            <wp:effectExtent l="0" t="0" r="0" b="0"/>
            <wp:docPr id="2144924262" name="Chart 2" descr="This is a bar chart with one row in the vertical axis showing 'The event supported my understanding of the consumer and whānau QSM and its application in my organisation'. In the horizontal axis, the sections are strongly agree, agree, unsure, disagree or strongly agree. Each of these choices provide a different colour gradient in the bar chart to show responses from attendees. &#10;&#10;60 percent agreed (40 percent) or strongly agreed (20 percent). Whereas 20 percent disagre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561116" w14:textId="2F1941A3" w:rsidR="00D4190D" w:rsidRPr="00107F61" w:rsidRDefault="00107F61" w:rsidP="009C3DD1">
      <w:pPr>
        <w:pStyle w:val="HQSCbodytext"/>
      </w:pPr>
      <w:r>
        <w:t xml:space="preserve">Of those who completed the survey, </w:t>
      </w:r>
      <w:r w:rsidR="00C604D0">
        <w:t>60</w:t>
      </w:r>
      <w:r w:rsidR="00901389">
        <w:t xml:space="preserve"> percent</w:t>
      </w:r>
      <w:r w:rsidR="00C604D0">
        <w:t xml:space="preserve"> agreed (40</w:t>
      </w:r>
      <w:r w:rsidR="00901389">
        <w:t xml:space="preserve"> percent</w:t>
      </w:r>
      <w:r w:rsidR="00C604D0">
        <w:t>) or strongly agreed (20</w:t>
      </w:r>
      <w:r w:rsidR="00065C66">
        <w:t> </w:t>
      </w:r>
      <w:r w:rsidR="00901389">
        <w:t>percent</w:t>
      </w:r>
      <w:r w:rsidR="00C604D0">
        <w:t>)</w:t>
      </w:r>
      <w:r w:rsidR="0087652D">
        <w:t xml:space="preserve"> and </w:t>
      </w:r>
      <w:r w:rsidR="00C604D0">
        <w:t>20</w:t>
      </w:r>
      <w:r w:rsidR="00901389">
        <w:t xml:space="preserve"> percent</w:t>
      </w:r>
      <w:r w:rsidR="00C604D0">
        <w:t xml:space="preserve"> disagreed. </w:t>
      </w:r>
    </w:p>
    <w:p w14:paraId="793D3313" w14:textId="77777777" w:rsidR="0087652D" w:rsidRDefault="0087652D" w:rsidP="00065C66">
      <w:pPr>
        <w:pStyle w:val="HQSChead3"/>
      </w:pPr>
      <w:r>
        <w:lastRenderedPageBreak/>
        <w:t>‘</w:t>
      </w:r>
      <w:r w:rsidR="00033069">
        <w:t>Which three parts of the event did you find most useful?</w:t>
      </w:r>
      <w:r>
        <w:t>’</w:t>
      </w:r>
    </w:p>
    <w:p w14:paraId="7CEE2FE7" w14:textId="7BC14DDB" w:rsidR="003160F6" w:rsidRDefault="0087652D" w:rsidP="00065C66">
      <w:pPr>
        <w:pStyle w:val="HQSCbodytext"/>
        <w:keepNext/>
      </w:pPr>
      <w:r>
        <w:t>Figure 9 shows attendees’ responses.</w:t>
      </w:r>
      <w:r w:rsidR="00033069">
        <w:t xml:space="preserve"> </w:t>
      </w:r>
    </w:p>
    <w:p w14:paraId="0F7BED82" w14:textId="564F1D3D" w:rsidR="003160F6" w:rsidRPr="003160F6" w:rsidRDefault="003160F6" w:rsidP="00065C66">
      <w:pPr>
        <w:pStyle w:val="HQSCtablefigurecaption"/>
        <w:keepNext/>
      </w:pPr>
      <w:r>
        <w:t>Figure 9: Attendees</w:t>
      </w:r>
      <w:r w:rsidR="0087652D">
        <w:t>’</w:t>
      </w:r>
      <w:r>
        <w:t xml:space="preserve"> responses to </w:t>
      </w:r>
      <w:r w:rsidR="0087652D">
        <w:t xml:space="preserve">‘Which </w:t>
      </w:r>
      <w:r>
        <w:t xml:space="preserve">three parts of the event </w:t>
      </w:r>
      <w:r w:rsidR="0087652D">
        <w:t xml:space="preserve">did you </w:t>
      </w:r>
      <w:r>
        <w:t>f</w:t>
      </w:r>
      <w:r w:rsidR="0087652D">
        <w:t>i</w:t>
      </w:r>
      <w:r>
        <w:t>nd most useful</w:t>
      </w:r>
      <w:r w:rsidR="0087652D">
        <w:t>?’</w:t>
      </w:r>
    </w:p>
    <w:p w14:paraId="4ECA98B6" w14:textId="3B426374" w:rsidR="0081208B" w:rsidRDefault="00C604D0" w:rsidP="00065C66">
      <w:pPr>
        <w:pStyle w:val="HQSCtablefigurecaption"/>
        <w:keepNext/>
        <w:rPr>
          <w:bCs/>
        </w:rPr>
      </w:pPr>
      <w:r>
        <w:rPr>
          <w:b w:val="0"/>
          <w:bCs/>
          <w:noProof/>
        </w:rPr>
        <w:drawing>
          <wp:inline distT="0" distB="0" distL="0" distR="0" wp14:anchorId="35C7AC00" wp14:editId="7CBB855C">
            <wp:extent cx="5486400" cy="3200400"/>
            <wp:effectExtent l="0" t="0" r="0" b="0"/>
            <wp:docPr id="603631307" name="Chart 1" descr="In this bar chart, the vertical axis has nine rows for: whakawhanaungatanga, connecting relationships, code of expectations review, brief history of the QSM and SURE framework, Application of the SURE framework, Workshop 1: Propose decisions for key morning takeaways, Workshop 2: Explore opportunities to apply the frameworks, Workshop 3: Explore practical enablers to enhance application of frameworks and other. In the horizontal axis, the number line is from 0 to 12. &#10;&#10;The part of the event that was found most useful was the Connecting relationships for integrated approach with 11 attendees selecting this. Secondly was whakawhanaungatanga with 8 attendees selecting this. Thirdly was a tie between Workshop 1 and Workshop 2 with 9 attendees selecting these option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F2FDDB" w14:textId="70E148D2" w:rsidR="0032176D" w:rsidRDefault="000F1AA0" w:rsidP="009C3DD1">
      <w:pPr>
        <w:pStyle w:val="HQSCbodytext"/>
        <w:rPr>
          <w:b/>
          <w:bCs/>
        </w:rPr>
      </w:pPr>
      <w:r>
        <w:rPr>
          <w:rStyle w:val="normaltextrun"/>
          <w:color w:val="000000"/>
          <w:sz w:val="18"/>
          <w:szCs w:val="18"/>
          <w:shd w:val="clear" w:color="auto" w:fill="FFFFFF"/>
        </w:rPr>
        <w:t>Note:</w:t>
      </w:r>
      <w:r>
        <w:rPr>
          <w:rStyle w:val="normaltextrun"/>
          <w:b/>
          <w:bCs/>
          <w:color w:val="000000"/>
          <w:sz w:val="18"/>
          <w:szCs w:val="18"/>
          <w:shd w:val="clear" w:color="auto" w:fill="FFFFFF"/>
        </w:rPr>
        <w:t> </w:t>
      </w:r>
      <w:r w:rsidR="00216FEC">
        <w:rPr>
          <w:rStyle w:val="normaltextrun"/>
          <w:color w:val="000000"/>
          <w:sz w:val="18"/>
          <w:szCs w:val="18"/>
          <w:shd w:val="clear" w:color="auto" w:fill="FFFFFF"/>
        </w:rPr>
        <w:t xml:space="preserve">See </w:t>
      </w:r>
      <w:r w:rsidR="003F3380">
        <w:rPr>
          <w:rStyle w:val="normaltextrun"/>
          <w:color w:val="000000"/>
          <w:sz w:val="18"/>
          <w:szCs w:val="18"/>
          <w:shd w:val="clear" w:color="auto" w:fill="FFFFFF"/>
        </w:rPr>
        <w:t>a</w:t>
      </w:r>
      <w:r>
        <w:rPr>
          <w:rStyle w:val="normaltextrun"/>
          <w:color w:val="000000"/>
          <w:sz w:val="18"/>
          <w:szCs w:val="18"/>
          <w:shd w:val="clear" w:color="auto" w:fill="FFFFFF"/>
        </w:rPr>
        <w:t xml:space="preserve">ppendix </w:t>
      </w:r>
      <w:r w:rsidR="003F3380">
        <w:rPr>
          <w:rStyle w:val="normaltextrun"/>
          <w:color w:val="000000"/>
          <w:sz w:val="18"/>
          <w:szCs w:val="18"/>
          <w:shd w:val="clear" w:color="auto" w:fill="FFFFFF"/>
        </w:rPr>
        <w:t>2</w:t>
      </w:r>
      <w:r>
        <w:rPr>
          <w:rStyle w:val="normaltextrun"/>
          <w:color w:val="000000"/>
          <w:sz w:val="18"/>
          <w:szCs w:val="18"/>
          <w:shd w:val="clear" w:color="auto" w:fill="FFFFFF"/>
        </w:rPr>
        <w:t xml:space="preserve"> for full programme titles and details.</w:t>
      </w:r>
    </w:p>
    <w:p w14:paraId="440A0ACA" w14:textId="34492971" w:rsidR="0081208B" w:rsidRDefault="0081208B" w:rsidP="00D1393B">
      <w:pPr>
        <w:pStyle w:val="HQSChead2"/>
      </w:pPr>
      <w:r>
        <w:t xml:space="preserve">Final comments </w:t>
      </w:r>
    </w:p>
    <w:p w14:paraId="3728983E" w14:textId="26CC7DB3" w:rsidR="00D1393B" w:rsidRDefault="00337E89" w:rsidP="00E6639E">
      <w:pPr>
        <w:pStyle w:val="HQSCbodytext"/>
      </w:pPr>
      <w:r w:rsidRPr="00337E89">
        <w:t>In the final section of the survey, we asked attendees to tell us what they would like to see at future events and workshops and to make comments on the venue and accessibility.  </w:t>
      </w:r>
    </w:p>
    <w:p w14:paraId="219BB039" w14:textId="790D52D0" w:rsidR="00330477" w:rsidRDefault="000B7A7E" w:rsidP="00E6639E">
      <w:pPr>
        <w:pStyle w:val="HQSCbodytext"/>
      </w:pPr>
      <w:r>
        <w:t xml:space="preserve">We had </w:t>
      </w:r>
      <w:r w:rsidR="0024168F">
        <w:t xml:space="preserve">some </w:t>
      </w:r>
      <w:r>
        <w:t>positive responses</w:t>
      </w:r>
      <w:r w:rsidR="00216FEC">
        <w:t>; for example, the following.</w:t>
      </w:r>
    </w:p>
    <w:p w14:paraId="3E033A7A" w14:textId="6B0E2FFF" w:rsidR="00330477" w:rsidRDefault="00EB08C9" w:rsidP="00330477">
      <w:pPr>
        <w:pStyle w:val="HQSCindentedquote"/>
      </w:pPr>
      <w:r>
        <w:t>‘</w:t>
      </w:r>
      <w:r w:rsidR="00216FEC">
        <w:t>G</w:t>
      </w:r>
      <w:r w:rsidR="00B12FEE">
        <w:t>reat venue, so useful to be together with MoH, HQSC, consumers and HNZ</w:t>
      </w:r>
      <w:r w:rsidR="00216FEC">
        <w:t>.</w:t>
      </w:r>
      <w:r>
        <w:t>’</w:t>
      </w:r>
    </w:p>
    <w:p w14:paraId="50612A52" w14:textId="52D8CF9D" w:rsidR="00337E89" w:rsidRDefault="00EB08C9" w:rsidP="00330477">
      <w:pPr>
        <w:pStyle w:val="HQSCindentedquote"/>
      </w:pPr>
      <w:r>
        <w:t>‘</w:t>
      </w:r>
      <w:r w:rsidR="00216FEC">
        <w:t>G</w:t>
      </w:r>
      <w:r w:rsidR="001A4ECA">
        <w:t>reat environment</w:t>
      </w:r>
      <w:r w:rsidR="00216FEC">
        <w:t>.</w:t>
      </w:r>
      <w:r>
        <w:t>’</w:t>
      </w:r>
    </w:p>
    <w:p w14:paraId="220B068D" w14:textId="3D99689F" w:rsidR="0024168F" w:rsidRDefault="00EB08C9" w:rsidP="0024168F">
      <w:pPr>
        <w:pStyle w:val="HQSCindentedquote"/>
      </w:pPr>
      <w:r>
        <w:t>‘</w:t>
      </w:r>
      <w:r w:rsidR="00216FEC">
        <w:t>B</w:t>
      </w:r>
      <w:r w:rsidR="00517FA2">
        <w:t xml:space="preserve">eautiful day </w:t>
      </w:r>
      <w:r w:rsidR="009176C0">
        <w:t>–</w:t>
      </w:r>
      <w:r w:rsidR="00517FA2">
        <w:t xml:space="preserve"> </w:t>
      </w:r>
      <w:r w:rsidR="0024168F">
        <w:t>particularly</w:t>
      </w:r>
      <w:r w:rsidR="009176C0">
        <w:t xml:space="preserve"> for better understanding of SURE and </w:t>
      </w:r>
      <w:r>
        <w:t>c</w:t>
      </w:r>
      <w:r w:rsidR="009176C0">
        <w:t>ode of expectation</w:t>
      </w:r>
      <w:r w:rsidR="009B06FE">
        <w:t>s</w:t>
      </w:r>
      <w:r w:rsidR="001B0661" w:rsidDel="00216FEC">
        <w:t>.</w:t>
      </w:r>
      <w:r>
        <w:t>’</w:t>
      </w:r>
    </w:p>
    <w:p w14:paraId="515CE53E" w14:textId="3E208B95" w:rsidR="0024168F" w:rsidRDefault="009A663D" w:rsidP="00E6639E">
      <w:pPr>
        <w:pStyle w:val="HQSCbodytext"/>
      </w:pPr>
      <w:r>
        <w:t>W</w:t>
      </w:r>
      <w:r w:rsidR="0099782F">
        <w:t xml:space="preserve">e heard </w:t>
      </w:r>
      <w:r w:rsidR="00A65576">
        <w:t xml:space="preserve">valuable insights on </w:t>
      </w:r>
      <w:r w:rsidR="00817A87">
        <w:t xml:space="preserve">how we could </w:t>
      </w:r>
      <w:r w:rsidR="00A65576">
        <w:t>improv</w:t>
      </w:r>
      <w:r w:rsidR="00817A87">
        <w:t>e</w:t>
      </w:r>
      <w:r w:rsidR="00A65576">
        <w:t xml:space="preserve"> these workshops</w:t>
      </w:r>
      <w:r w:rsidR="00EE7104">
        <w:t xml:space="preserve">, including bringing together other organisations </w:t>
      </w:r>
      <w:r w:rsidR="00506388">
        <w:t>fulfilling the QSM</w:t>
      </w:r>
      <w:r w:rsidR="00817A87">
        <w:t>,</w:t>
      </w:r>
      <w:r w:rsidR="00506388">
        <w:t xml:space="preserve"> to further share </w:t>
      </w:r>
      <w:r w:rsidR="00E35C5B">
        <w:t>experiences</w:t>
      </w:r>
      <w:r w:rsidR="00105817">
        <w:t xml:space="preserve"> with consumer and whānau engagement.</w:t>
      </w:r>
      <w:r>
        <w:t xml:space="preserve"> </w:t>
      </w:r>
      <w:r w:rsidR="00817A87">
        <w:t>C</w:t>
      </w:r>
      <w:r>
        <w:t xml:space="preserve">omments </w:t>
      </w:r>
      <w:r w:rsidR="00817A87">
        <w:t xml:space="preserve">included the following. </w:t>
      </w:r>
    </w:p>
    <w:p w14:paraId="7E8A552E" w14:textId="1EA5357F" w:rsidR="0024168F" w:rsidRDefault="003318A3" w:rsidP="0024168F">
      <w:pPr>
        <w:pStyle w:val="HQSCindentedquote"/>
      </w:pPr>
      <w:r>
        <w:t>‘</w:t>
      </w:r>
      <w:r w:rsidR="00817A87">
        <w:t>N</w:t>
      </w:r>
      <w:r w:rsidR="00F51079">
        <w:t>eeds more time to fully land consensus</w:t>
      </w:r>
      <w:r w:rsidR="00817A87">
        <w:t>.</w:t>
      </w:r>
      <w:r>
        <w:t>’</w:t>
      </w:r>
      <w:r w:rsidR="00817A87">
        <w:rPr>
          <w:rStyle w:val="CommentReference"/>
          <w:sz w:val="22"/>
          <w:szCs w:val="22"/>
        </w:rPr>
        <w:t xml:space="preserve"> </w:t>
      </w:r>
    </w:p>
    <w:p w14:paraId="4ED7FBB3" w14:textId="543B6A09" w:rsidR="00261D7C" w:rsidRDefault="003318A3" w:rsidP="000803EF">
      <w:pPr>
        <w:pStyle w:val="HQSCindentedquote"/>
      </w:pPr>
      <w:r>
        <w:t>‘</w:t>
      </w:r>
      <w:r w:rsidR="00817A87">
        <w:t>M</w:t>
      </w:r>
      <w:r w:rsidR="008B6C60">
        <w:t>ore targeted and tailored discussions that focus on each region specifically</w:t>
      </w:r>
      <w:r w:rsidR="001B0661">
        <w:t>.</w:t>
      </w:r>
      <w:r>
        <w:t>’</w:t>
      </w:r>
    </w:p>
    <w:p w14:paraId="71DFC546" w14:textId="1DB5FFAC" w:rsidR="61DDD94C" w:rsidRDefault="61DDD94C" w:rsidP="58D5B018">
      <w:pPr>
        <w:pStyle w:val="HQSChead3"/>
      </w:pPr>
      <w:r>
        <w:lastRenderedPageBreak/>
        <w:t xml:space="preserve">New Consumer </w:t>
      </w:r>
      <w:r w:rsidR="003318A3">
        <w:t xml:space="preserve">Health Forum </w:t>
      </w:r>
      <w:r>
        <w:t>Aotearoa members</w:t>
      </w:r>
    </w:p>
    <w:p w14:paraId="35789A68" w14:textId="241B2F12" w:rsidR="61DDD94C" w:rsidRDefault="00EF225E" w:rsidP="05929FE5">
      <w:pPr>
        <w:pStyle w:val="HQSCbodytext"/>
      </w:pPr>
      <w:r>
        <w:t xml:space="preserve">During the workshop, </w:t>
      </w:r>
      <w:r w:rsidR="001C4AA6">
        <w:t xml:space="preserve">we promoted </w:t>
      </w:r>
      <w:r w:rsidR="61DDD94C">
        <w:t xml:space="preserve">the Consumer </w:t>
      </w:r>
      <w:r w:rsidR="003318A3">
        <w:t xml:space="preserve">Health Forum </w:t>
      </w:r>
      <w:r w:rsidR="61DDD94C">
        <w:t xml:space="preserve">Aotearoa </w:t>
      </w:r>
      <w:r w:rsidR="001C4AA6">
        <w:t xml:space="preserve">and encouraged </w:t>
      </w:r>
      <w:r w:rsidR="61DDD94C">
        <w:t>attendees to join</w:t>
      </w:r>
      <w:r w:rsidR="001C4AA6">
        <w:t xml:space="preserve">, using QR codes and a shortened URL on display </w:t>
      </w:r>
      <w:r>
        <w:t xml:space="preserve">on the presentation slides. </w:t>
      </w:r>
      <w:r w:rsidR="00317B74">
        <w:t xml:space="preserve">From this workshop, we had </w:t>
      </w:r>
      <w:r w:rsidR="00274765">
        <w:t xml:space="preserve">one new registration to the forum. </w:t>
      </w:r>
    </w:p>
    <w:p w14:paraId="1A04DA13" w14:textId="6F4388AB" w:rsidR="008A0F7B" w:rsidRPr="004846B0" w:rsidRDefault="008A0F7B" w:rsidP="53F101C3">
      <w:pPr>
        <w:pStyle w:val="HQSChead2"/>
        <w:rPr>
          <w:i/>
          <w:iCs/>
        </w:rPr>
      </w:pPr>
      <w:r>
        <w:t>Conclusion and recommendations</w:t>
      </w:r>
    </w:p>
    <w:p w14:paraId="13549D22" w14:textId="0C5563F2" w:rsidR="00011847" w:rsidRPr="00D610B3" w:rsidRDefault="009F51A4" w:rsidP="5FE3D5FE">
      <w:pPr>
        <w:pStyle w:val="HQSCbodytext"/>
        <w:rPr>
          <w:rFonts w:eastAsia="Calibri"/>
        </w:rPr>
      </w:pPr>
      <w:r>
        <w:t xml:space="preserve">Overall, feedback from all evaluations </w:t>
      </w:r>
      <w:r w:rsidR="00770D64">
        <w:t xml:space="preserve">suggests </w:t>
      </w:r>
      <w:r w:rsidR="00C43C0A">
        <w:t>the consumer and whānau engagement workshop</w:t>
      </w:r>
      <w:r>
        <w:t xml:space="preserve"> was successful. </w:t>
      </w:r>
      <w:r w:rsidR="00C149B8">
        <w:t xml:space="preserve">This feedback will inform how we design and deliver future events and workshops, helping us ensure </w:t>
      </w:r>
      <w:r w:rsidR="00C149B8" w:rsidRPr="00D610B3">
        <w:t xml:space="preserve">they are inclusive </w:t>
      </w:r>
      <w:r w:rsidR="00B82856">
        <w:t xml:space="preserve">and </w:t>
      </w:r>
      <w:r w:rsidR="00C149B8" w:rsidRPr="00D610B3">
        <w:t xml:space="preserve">practical and support meaningful engagement with consumers, their whānau and communities. The insights </w:t>
      </w:r>
      <w:r w:rsidR="00B82856">
        <w:t xml:space="preserve">attendees </w:t>
      </w:r>
      <w:r w:rsidR="00C149B8" w:rsidRPr="00D610B3">
        <w:t xml:space="preserve">shared on the day also </w:t>
      </w:r>
      <w:r w:rsidR="5A45CE70" w:rsidRPr="00D610B3">
        <w:t>encourage more</w:t>
      </w:r>
      <w:r w:rsidR="00C149B8" w:rsidRPr="00D610B3">
        <w:t xml:space="preserve"> </w:t>
      </w:r>
      <w:r w:rsidR="5C6AE1A3" w:rsidRPr="00D610B3">
        <w:rPr>
          <w:rFonts w:eastAsia="Calibri"/>
        </w:rPr>
        <w:t>structured conversations with H</w:t>
      </w:r>
      <w:r w:rsidR="58B2A6CF" w:rsidRPr="00D610B3">
        <w:rPr>
          <w:rFonts w:eastAsia="Calibri"/>
        </w:rPr>
        <w:t xml:space="preserve">ealth </w:t>
      </w:r>
      <w:r w:rsidR="003F3380">
        <w:rPr>
          <w:rFonts w:eastAsia="Calibri"/>
        </w:rPr>
        <w:t>NZ</w:t>
      </w:r>
      <w:r w:rsidR="5C6AE1A3" w:rsidRPr="00D610B3">
        <w:rPr>
          <w:rFonts w:eastAsia="Calibri"/>
        </w:rPr>
        <w:t>, the Ministry of Health and other key partners to ensure our implementation and reporting processes reflect the current health system environment</w:t>
      </w:r>
      <w:r w:rsidR="15989F3B" w:rsidRPr="00D610B3">
        <w:rPr>
          <w:rFonts w:eastAsia="Calibri"/>
        </w:rPr>
        <w:t>,</w:t>
      </w:r>
      <w:r w:rsidR="5C6AE1A3" w:rsidRPr="00D610B3">
        <w:rPr>
          <w:rFonts w:eastAsia="Calibri"/>
        </w:rPr>
        <w:t xml:space="preserve"> including the shift from </w:t>
      </w:r>
      <w:r w:rsidR="4BEE5D89" w:rsidRPr="00D610B3">
        <w:rPr>
          <w:rFonts w:eastAsia="Calibri"/>
        </w:rPr>
        <w:t>district</w:t>
      </w:r>
      <w:r w:rsidR="5C6AE1A3" w:rsidRPr="00D610B3">
        <w:rPr>
          <w:rFonts w:eastAsia="Calibri"/>
        </w:rPr>
        <w:t xml:space="preserve">s to a single national structure with district, regional and national functions. As part of this, </w:t>
      </w:r>
      <w:r w:rsidR="007417D9">
        <w:rPr>
          <w:rFonts w:eastAsia="Calibri"/>
        </w:rPr>
        <w:t xml:space="preserve">we plan to </w:t>
      </w:r>
      <w:r w:rsidR="5C6AE1A3" w:rsidRPr="00D610B3">
        <w:rPr>
          <w:rFonts w:eastAsia="Calibri"/>
        </w:rPr>
        <w:t xml:space="preserve">refine our reporting approach using the SURE </w:t>
      </w:r>
      <w:proofErr w:type="gramStart"/>
      <w:r w:rsidR="5C6AE1A3" w:rsidRPr="00D610B3">
        <w:rPr>
          <w:rFonts w:eastAsia="Calibri"/>
        </w:rPr>
        <w:t>framework</w:t>
      </w:r>
      <w:proofErr w:type="gramEnd"/>
      <w:r w:rsidR="5C6AE1A3" w:rsidRPr="00D610B3">
        <w:rPr>
          <w:rFonts w:eastAsia="Calibri"/>
        </w:rPr>
        <w:t xml:space="preserve"> so it aligns with the new system roles and responsibilities.</w:t>
      </w:r>
    </w:p>
    <w:p w14:paraId="472ECAF7" w14:textId="16C98C4F" w:rsidR="002A07B2" w:rsidRPr="0032176D" w:rsidRDefault="3CD09267" w:rsidP="5FE3D5FE">
      <w:pPr>
        <w:pStyle w:val="HQSCbodytext"/>
        <w:rPr>
          <w:rFonts w:eastAsia="Calibri"/>
          <w:highlight w:val="yellow"/>
        </w:rPr>
      </w:pPr>
      <w:r w:rsidRPr="00D610B3">
        <w:rPr>
          <w:rFonts w:eastAsia="Calibri"/>
        </w:rPr>
        <w:t>W</w:t>
      </w:r>
      <w:r w:rsidR="00C149B8" w:rsidRPr="00D610B3">
        <w:t>e recognise</w:t>
      </w:r>
      <w:r w:rsidR="00C149B8">
        <w:t xml:space="preserve"> there are areas </w:t>
      </w:r>
      <w:r w:rsidR="003F3380">
        <w:t>where</w:t>
      </w:r>
      <w:r w:rsidR="007417D9">
        <w:t xml:space="preserve"> </w:t>
      </w:r>
      <w:r w:rsidR="00C149B8">
        <w:t>we can do better</w:t>
      </w:r>
      <w:r w:rsidR="007417D9">
        <w:t>,</w:t>
      </w:r>
      <w:r w:rsidR="00843749">
        <w:t xml:space="preserve"> such as </w:t>
      </w:r>
      <w:r w:rsidR="00991E02">
        <w:t>improving the format and process of the QSM.</w:t>
      </w:r>
    </w:p>
    <w:p w14:paraId="09AA21AB" w14:textId="76B4680B" w:rsidR="009F51A4" w:rsidRDefault="009F51A4" w:rsidP="009F51A4">
      <w:pPr>
        <w:pStyle w:val="HQSCbodytext"/>
        <w:rPr>
          <w:b/>
          <w:bCs/>
        </w:rPr>
      </w:pPr>
      <w:r w:rsidRPr="009F51A4">
        <w:rPr>
          <w:b/>
          <w:bCs/>
        </w:rPr>
        <w:t>Recommendations</w:t>
      </w:r>
    </w:p>
    <w:p w14:paraId="5EDA5D8F" w14:textId="056FB9D7" w:rsidR="001711B9" w:rsidRPr="00B42A7D" w:rsidRDefault="001711B9" w:rsidP="009F51A4">
      <w:pPr>
        <w:pStyle w:val="HQSCbodytext"/>
      </w:pPr>
      <w:r>
        <w:t>In response to the feedback</w:t>
      </w:r>
      <w:r w:rsidR="00144910">
        <w:t xml:space="preserve"> and to follow-up with attendees</w:t>
      </w:r>
      <w:r w:rsidR="007417D9">
        <w:t>, we undertake to do the following.</w:t>
      </w:r>
    </w:p>
    <w:p w14:paraId="1E0A7EDF" w14:textId="129A8374" w:rsidR="00D11094" w:rsidRPr="003F3380" w:rsidRDefault="007417D9" w:rsidP="003F3380">
      <w:pPr>
        <w:pStyle w:val="HQSCbullets"/>
      </w:pPr>
      <w:bookmarkStart w:id="2" w:name="_Hlk214482962"/>
      <w:r w:rsidRPr="003F3380">
        <w:t>W</w:t>
      </w:r>
      <w:r w:rsidR="001B452A" w:rsidRPr="003F3380">
        <w:t xml:space="preserve">e will collate </w:t>
      </w:r>
      <w:r w:rsidR="00A65299" w:rsidRPr="003F3380">
        <w:t>information from the day and close the loop with attendees</w:t>
      </w:r>
      <w:r w:rsidRPr="003F3380">
        <w:t>.</w:t>
      </w:r>
    </w:p>
    <w:p w14:paraId="5B2D3ECB" w14:textId="7026E928" w:rsidR="001D466A" w:rsidRPr="003F3380" w:rsidRDefault="007417D9" w:rsidP="003F3380">
      <w:pPr>
        <w:pStyle w:val="HQSCbullets"/>
      </w:pPr>
      <w:r w:rsidRPr="003F3380">
        <w:t>W</w:t>
      </w:r>
      <w:r w:rsidR="00C96837" w:rsidRPr="003F3380">
        <w:t xml:space="preserve">e </w:t>
      </w:r>
      <w:r w:rsidR="00123962" w:rsidRPr="003F3380">
        <w:t xml:space="preserve">will </w:t>
      </w:r>
      <w:r w:rsidR="00C96837" w:rsidRPr="003F3380">
        <w:t>include other organisations</w:t>
      </w:r>
      <w:r w:rsidR="001D466A" w:rsidRPr="003F3380">
        <w:t xml:space="preserve"> in future events regarding QSM reporting</w:t>
      </w:r>
      <w:r w:rsidR="00123962" w:rsidRPr="003F3380">
        <w:t>.</w:t>
      </w:r>
    </w:p>
    <w:p w14:paraId="1A5D5144" w14:textId="77777777" w:rsidR="004503A0" w:rsidRDefault="004503A0" w:rsidP="004503A0">
      <w:pPr>
        <w:pStyle w:val="HQSCbullets"/>
        <w:numPr>
          <w:ilvl w:val="0"/>
          <w:numId w:val="0"/>
        </w:numPr>
        <w:ind w:left="360"/>
      </w:pPr>
    </w:p>
    <w:p w14:paraId="790A4A0B" w14:textId="4932FC9D" w:rsidR="00BF230B" w:rsidRPr="0032176D" w:rsidRDefault="00BF230B" w:rsidP="00D11094">
      <w:pPr>
        <w:pStyle w:val="HQSCbullets"/>
        <w:numPr>
          <w:ilvl w:val="0"/>
          <w:numId w:val="0"/>
        </w:numPr>
      </w:pPr>
      <w:r>
        <w:t>We</w:t>
      </w:r>
      <w:r w:rsidR="009311E9">
        <w:t xml:space="preserve"> wish to convey our appreciation and gratitude to all speakers, presenters and organisers for contributing their time and knowledge towards this </w:t>
      </w:r>
      <w:proofErr w:type="spellStart"/>
      <w:r w:rsidR="009311E9">
        <w:t>kaupapa</w:t>
      </w:r>
      <w:proofErr w:type="spellEnd"/>
      <w:r w:rsidR="009311E9">
        <w:t xml:space="preserve">. </w:t>
      </w:r>
    </w:p>
    <w:bookmarkEnd w:id="0"/>
    <w:bookmarkEnd w:id="2"/>
    <w:p w14:paraId="3D875D7F" w14:textId="108D70B4" w:rsidR="48D2DD7F" w:rsidRDefault="48D2DD7F" w:rsidP="48D2DD7F">
      <w:pPr>
        <w:pStyle w:val="HQSCbodytext"/>
      </w:pPr>
    </w:p>
    <w:p w14:paraId="37452B0B" w14:textId="77777777" w:rsidR="009D62E2" w:rsidRDefault="009D62E2">
      <w:pPr>
        <w:spacing w:after="200"/>
        <w:rPr>
          <w:rFonts w:eastAsiaTheme="majorEastAsia" w:cs="Arial"/>
          <w:b/>
          <w:color w:val="2C2568"/>
          <w:sz w:val="36"/>
          <w:szCs w:val="32"/>
        </w:rPr>
      </w:pPr>
      <w:r>
        <w:br w:type="page"/>
      </w:r>
    </w:p>
    <w:p w14:paraId="0B907FCA" w14:textId="2A122E0E" w:rsidR="008205DD" w:rsidRDefault="008205DD" w:rsidP="008205DD">
      <w:pPr>
        <w:pStyle w:val="HQSChead1"/>
      </w:pPr>
      <w:r>
        <w:lastRenderedPageBreak/>
        <w:t>Appendi</w:t>
      </w:r>
      <w:r w:rsidR="00816A4D">
        <w:t>ces</w:t>
      </w:r>
    </w:p>
    <w:p w14:paraId="4159B689" w14:textId="02484FB8" w:rsidR="00584221" w:rsidRDefault="00584221" w:rsidP="00584221">
      <w:pPr>
        <w:pStyle w:val="HQSChead2"/>
      </w:pPr>
      <w:r>
        <w:t xml:space="preserve">Appendix </w:t>
      </w:r>
      <w:r w:rsidR="003F3380">
        <w:t>1</w:t>
      </w:r>
      <w:r>
        <w:t>: Consumer brief</w:t>
      </w:r>
    </w:p>
    <w:p w14:paraId="5D2C370F" w14:textId="09026B76" w:rsidR="008D7246" w:rsidRPr="00584221" w:rsidRDefault="008D7246">
      <w:pPr>
        <w:pStyle w:val="Memotitle"/>
        <w:rPr>
          <w:sz w:val="22"/>
          <w:szCs w:val="22"/>
        </w:rPr>
      </w:pPr>
      <w:r w:rsidRPr="00584221">
        <w:rPr>
          <w:sz w:val="22"/>
          <w:szCs w:val="22"/>
        </w:rPr>
        <w:t xml:space="preserve">Health New Zealand </w:t>
      </w:r>
      <w:r w:rsidR="0004360F">
        <w:rPr>
          <w:sz w:val="22"/>
          <w:szCs w:val="22"/>
        </w:rPr>
        <w:t xml:space="preserve">I </w:t>
      </w:r>
      <w:r w:rsidRPr="00584221">
        <w:rPr>
          <w:sz w:val="22"/>
          <w:szCs w:val="22"/>
        </w:rPr>
        <w:t>Te Whatu Ora and Health Quality &amp; Safety Commission Te Tāhū Hauora collaborative consumer workshop</w:t>
      </w:r>
    </w:p>
    <w:p w14:paraId="04491531" w14:textId="77777777" w:rsidR="008D7246" w:rsidRDefault="008D7246" w:rsidP="48D2DD7F">
      <w:pPr>
        <w:pStyle w:val="TeThHauorabodytext"/>
        <w:rPr>
          <w:sz w:val="20"/>
          <w:szCs w:val="20"/>
        </w:rPr>
      </w:pPr>
      <w:r w:rsidRPr="48D2DD7F">
        <w:rPr>
          <w:sz w:val="20"/>
          <w:szCs w:val="20"/>
        </w:rPr>
        <w:t xml:space="preserve">Thank you for confirming your attendance and willingness to contribute to the workshop on Tuesday 16 December 2025, at </w:t>
      </w:r>
      <w:proofErr w:type="spellStart"/>
      <w:r w:rsidRPr="48D2DD7F">
        <w:rPr>
          <w:sz w:val="20"/>
          <w:szCs w:val="20"/>
        </w:rPr>
        <w:t>Rydges</w:t>
      </w:r>
      <w:proofErr w:type="spellEnd"/>
      <w:r w:rsidRPr="48D2DD7F">
        <w:rPr>
          <w:sz w:val="20"/>
          <w:szCs w:val="20"/>
        </w:rPr>
        <w:t xml:space="preserve"> Wellington Airport.</w:t>
      </w:r>
    </w:p>
    <w:p w14:paraId="02BEAB02" w14:textId="77777777" w:rsidR="008D7246" w:rsidRDefault="008D7246" w:rsidP="48D2DD7F">
      <w:pPr>
        <w:pStyle w:val="TeThHauorahead2"/>
        <w:rPr>
          <w:sz w:val="20"/>
          <w:szCs w:val="20"/>
        </w:rPr>
      </w:pPr>
      <w:r w:rsidRPr="48D2DD7F">
        <w:rPr>
          <w:sz w:val="20"/>
          <w:szCs w:val="20"/>
        </w:rPr>
        <w:t>Purpose</w:t>
      </w:r>
    </w:p>
    <w:p w14:paraId="67B313A9" w14:textId="2C10CB8F" w:rsidR="008D7246" w:rsidRDefault="008D7246" w:rsidP="48D2DD7F">
      <w:pPr>
        <w:pStyle w:val="TeThHauorabodytext"/>
        <w:rPr>
          <w:sz w:val="20"/>
          <w:szCs w:val="20"/>
        </w:rPr>
      </w:pPr>
      <w:r w:rsidRPr="48D2DD7F">
        <w:rPr>
          <w:sz w:val="20"/>
          <w:szCs w:val="20"/>
        </w:rPr>
        <w:t xml:space="preserve">This workshop is an opportunity for Health New Zealand Te Whatu Ora (Health NZ) in collaboration with the Health Quality &amp; Safety Commission Te Tāhū Hauora (the Commission), the Ministry of Health </w:t>
      </w:r>
      <w:r w:rsidR="00B67EBE" w:rsidRPr="48D2DD7F">
        <w:rPr>
          <w:sz w:val="20"/>
          <w:szCs w:val="20"/>
        </w:rPr>
        <w:t>–</w:t>
      </w:r>
      <w:r w:rsidRPr="48D2DD7F">
        <w:rPr>
          <w:sz w:val="20"/>
          <w:szCs w:val="20"/>
        </w:rPr>
        <w:t xml:space="preserve"> </w:t>
      </w:r>
      <w:proofErr w:type="spellStart"/>
      <w:r w:rsidRPr="48D2DD7F">
        <w:rPr>
          <w:sz w:val="20"/>
          <w:szCs w:val="20"/>
        </w:rPr>
        <w:t>Manatū</w:t>
      </w:r>
      <w:proofErr w:type="spellEnd"/>
      <w:r w:rsidRPr="48D2DD7F">
        <w:rPr>
          <w:sz w:val="20"/>
          <w:szCs w:val="20"/>
        </w:rPr>
        <w:t xml:space="preserve"> Hauora (the Ministry) and consumer advisors to:</w:t>
      </w:r>
    </w:p>
    <w:p w14:paraId="5C06337B" w14:textId="1CA89CAA" w:rsidR="008D7246" w:rsidRDefault="008D7246" w:rsidP="48D2DD7F">
      <w:pPr>
        <w:pStyle w:val="TeThHauorabodytext"/>
        <w:numPr>
          <w:ilvl w:val="0"/>
          <w:numId w:val="14"/>
        </w:numPr>
        <w:rPr>
          <w:sz w:val="20"/>
          <w:szCs w:val="20"/>
        </w:rPr>
      </w:pPr>
      <w:r w:rsidRPr="48D2DD7F">
        <w:rPr>
          <w:sz w:val="20"/>
          <w:szCs w:val="20"/>
        </w:rPr>
        <w:t>Understand the Code of expectations for health entities’ engagement with consumers and whānau (the Code</w:t>
      </w:r>
      <w:r w:rsidR="00AF5BBF" w:rsidRPr="48D2DD7F">
        <w:rPr>
          <w:sz w:val="20"/>
          <w:szCs w:val="20"/>
        </w:rPr>
        <w:t xml:space="preserve"> of expectations</w:t>
      </w:r>
      <w:r w:rsidRPr="48D2DD7F">
        <w:rPr>
          <w:sz w:val="20"/>
          <w:szCs w:val="20"/>
        </w:rPr>
        <w:t>), including the recent review.</w:t>
      </w:r>
    </w:p>
    <w:p w14:paraId="74F1D48A" w14:textId="77777777" w:rsidR="008D7246" w:rsidRDefault="008D7246" w:rsidP="48D2DD7F">
      <w:pPr>
        <w:pStyle w:val="TeThHauorabodytext"/>
        <w:numPr>
          <w:ilvl w:val="0"/>
          <w:numId w:val="14"/>
        </w:numPr>
        <w:rPr>
          <w:sz w:val="20"/>
          <w:szCs w:val="20"/>
        </w:rPr>
      </w:pPr>
      <w:r w:rsidRPr="48D2DD7F">
        <w:rPr>
          <w:sz w:val="20"/>
          <w:szCs w:val="20"/>
        </w:rPr>
        <w:t>Clarify purpose and how to use the SURE framework as a planning and improvement tool.</w:t>
      </w:r>
    </w:p>
    <w:p w14:paraId="7C73B0AF" w14:textId="1A63EAF6" w:rsidR="008D7246" w:rsidRDefault="008D7246" w:rsidP="48D2DD7F">
      <w:pPr>
        <w:pStyle w:val="TeThHauorabodytext"/>
        <w:numPr>
          <w:ilvl w:val="0"/>
          <w:numId w:val="14"/>
        </w:numPr>
        <w:rPr>
          <w:sz w:val="20"/>
          <w:szCs w:val="20"/>
        </w:rPr>
      </w:pPr>
      <w:r w:rsidRPr="48D2DD7F">
        <w:rPr>
          <w:sz w:val="20"/>
          <w:szCs w:val="20"/>
        </w:rPr>
        <w:t xml:space="preserve">Share best practice examples through reporting to the Consumer and whānau engagement </w:t>
      </w:r>
      <w:r w:rsidR="00AF2447" w:rsidRPr="48D2DD7F">
        <w:rPr>
          <w:sz w:val="20"/>
          <w:szCs w:val="20"/>
        </w:rPr>
        <w:t>Q</w:t>
      </w:r>
      <w:r w:rsidRPr="48D2DD7F">
        <w:rPr>
          <w:sz w:val="20"/>
          <w:szCs w:val="20"/>
        </w:rPr>
        <w:t xml:space="preserve">uality and </w:t>
      </w:r>
      <w:r w:rsidR="00AF2447" w:rsidRPr="48D2DD7F">
        <w:rPr>
          <w:sz w:val="20"/>
          <w:szCs w:val="20"/>
        </w:rPr>
        <w:t>S</w:t>
      </w:r>
      <w:r w:rsidRPr="48D2DD7F">
        <w:rPr>
          <w:sz w:val="20"/>
          <w:szCs w:val="20"/>
        </w:rPr>
        <w:t xml:space="preserve">afety </w:t>
      </w:r>
      <w:r w:rsidR="00AF2447" w:rsidRPr="48D2DD7F">
        <w:rPr>
          <w:sz w:val="20"/>
          <w:szCs w:val="20"/>
        </w:rPr>
        <w:t>M</w:t>
      </w:r>
      <w:r w:rsidRPr="48D2DD7F">
        <w:rPr>
          <w:sz w:val="20"/>
          <w:szCs w:val="20"/>
        </w:rPr>
        <w:t>arker (QSM)</w:t>
      </w:r>
    </w:p>
    <w:p w14:paraId="7D4E21D5" w14:textId="550006A9" w:rsidR="008D7246" w:rsidRDefault="008D7246" w:rsidP="48D2DD7F">
      <w:pPr>
        <w:pStyle w:val="TeThHauorabodytext"/>
        <w:rPr>
          <w:sz w:val="20"/>
          <w:szCs w:val="20"/>
        </w:rPr>
      </w:pPr>
      <w:r w:rsidRPr="48D2DD7F">
        <w:rPr>
          <w:sz w:val="20"/>
          <w:szCs w:val="20"/>
        </w:rPr>
        <w:t>Note: please see more information below about the Code</w:t>
      </w:r>
      <w:r w:rsidR="00AF5BBF" w:rsidRPr="48D2DD7F">
        <w:rPr>
          <w:sz w:val="20"/>
          <w:szCs w:val="20"/>
        </w:rPr>
        <w:t xml:space="preserve"> of expectations</w:t>
      </w:r>
      <w:r w:rsidRPr="48D2DD7F">
        <w:rPr>
          <w:sz w:val="20"/>
          <w:szCs w:val="20"/>
        </w:rPr>
        <w:t>, SURE framework and QSM.</w:t>
      </w:r>
    </w:p>
    <w:p w14:paraId="3974D6C0" w14:textId="77777777" w:rsidR="008D7246" w:rsidRDefault="008D7246" w:rsidP="48D2DD7F">
      <w:pPr>
        <w:pStyle w:val="TeThHauorabodytext"/>
        <w:rPr>
          <w:sz w:val="20"/>
          <w:szCs w:val="20"/>
        </w:rPr>
      </w:pPr>
      <w:r w:rsidRPr="48D2DD7F">
        <w:rPr>
          <w:sz w:val="20"/>
          <w:szCs w:val="20"/>
        </w:rPr>
        <w:t>To ensure that you can contribute to the design of the programme for the day we are sharing this brief and an invitation to provide feedback, questions and ideas for the agenda.</w:t>
      </w:r>
    </w:p>
    <w:p w14:paraId="525F4CA8" w14:textId="5A13F3E6" w:rsidR="008D7246" w:rsidRDefault="008D7246" w:rsidP="48D2DD7F">
      <w:pPr>
        <w:pStyle w:val="TeThHauorabodytext"/>
        <w:rPr>
          <w:b/>
          <w:bCs/>
          <w:sz w:val="20"/>
          <w:szCs w:val="20"/>
        </w:rPr>
      </w:pPr>
      <w:r w:rsidRPr="48D2DD7F">
        <w:rPr>
          <w:sz w:val="20"/>
          <w:szCs w:val="20"/>
        </w:rPr>
        <w:t xml:space="preserve">We appreciate your contribution. Please note the short timeframe for responding to </w:t>
      </w:r>
      <w:hyperlink r:id="rId20">
        <w:r w:rsidRPr="48D2DD7F">
          <w:rPr>
            <w:rStyle w:val="Hyperlink"/>
            <w:sz w:val="20"/>
            <w:szCs w:val="20"/>
          </w:rPr>
          <w:t>consumers@hqsc.govt.nz</w:t>
        </w:r>
      </w:hyperlink>
      <w:r w:rsidRPr="48D2DD7F">
        <w:rPr>
          <w:sz w:val="20"/>
          <w:szCs w:val="20"/>
        </w:rPr>
        <w:t xml:space="preserve"> </w:t>
      </w:r>
      <w:r w:rsidR="009D1472" w:rsidRPr="6B43301B">
        <w:rPr>
          <w:sz w:val="20"/>
          <w:szCs w:val="20"/>
        </w:rPr>
        <w:t>:</w:t>
      </w:r>
      <w:r w:rsidRPr="48D2DD7F">
        <w:rPr>
          <w:sz w:val="20"/>
          <w:szCs w:val="20"/>
        </w:rPr>
        <w:t xml:space="preserve"> the closing time for submitting feedback is </w:t>
      </w:r>
      <w:r w:rsidRPr="48D2DD7F">
        <w:rPr>
          <w:b/>
          <w:bCs/>
          <w:sz w:val="20"/>
          <w:szCs w:val="20"/>
        </w:rPr>
        <w:t>12 noon,</w:t>
      </w:r>
      <w:r w:rsidRPr="48D2DD7F">
        <w:rPr>
          <w:sz w:val="20"/>
          <w:szCs w:val="20"/>
        </w:rPr>
        <w:t xml:space="preserve"> </w:t>
      </w:r>
      <w:r w:rsidRPr="48D2DD7F">
        <w:rPr>
          <w:b/>
          <w:bCs/>
          <w:sz w:val="20"/>
          <w:szCs w:val="20"/>
        </w:rPr>
        <w:t>Wednesday 3 December 2025.</w:t>
      </w:r>
    </w:p>
    <w:p w14:paraId="2D0C98C2" w14:textId="77777777" w:rsidR="008D7246" w:rsidRDefault="008D7246" w:rsidP="48D2DD7F">
      <w:pPr>
        <w:pStyle w:val="TeThHauorahead2"/>
        <w:rPr>
          <w:sz w:val="20"/>
          <w:szCs w:val="20"/>
        </w:rPr>
      </w:pPr>
      <w:r w:rsidRPr="48D2DD7F">
        <w:rPr>
          <w:sz w:val="20"/>
          <w:szCs w:val="20"/>
        </w:rPr>
        <w:t>Attendees</w:t>
      </w:r>
    </w:p>
    <w:p w14:paraId="574D0824" w14:textId="77777777" w:rsidR="008D7246" w:rsidRDefault="008D7246" w:rsidP="48D2DD7F">
      <w:pPr>
        <w:pStyle w:val="TeThHauorahead3"/>
        <w:rPr>
          <w:sz w:val="20"/>
          <w:szCs w:val="20"/>
        </w:rPr>
      </w:pPr>
      <w:r w:rsidRPr="48D2DD7F">
        <w:rPr>
          <w:sz w:val="20"/>
          <w:szCs w:val="20"/>
        </w:rPr>
        <w:t>Consumers</w:t>
      </w:r>
    </w:p>
    <w:p w14:paraId="413E39B9" w14:textId="77777777" w:rsidR="008D7246" w:rsidRDefault="008D7246" w:rsidP="48D2DD7F">
      <w:pPr>
        <w:pStyle w:val="TeThHauorabodytext"/>
        <w:rPr>
          <w:sz w:val="20"/>
          <w:szCs w:val="20"/>
        </w:rPr>
      </w:pPr>
      <w:r w:rsidRPr="48D2DD7F">
        <w:rPr>
          <w:sz w:val="20"/>
          <w:szCs w:val="20"/>
        </w:rPr>
        <w:t xml:space="preserve">At this stage, nine consumers from Health NZ Regional Consumer Councils (RCC) are attending. </w:t>
      </w:r>
    </w:p>
    <w:p w14:paraId="0B395696" w14:textId="77777777" w:rsidR="008D7246" w:rsidRDefault="008D7246" w:rsidP="48D2DD7F">
      <w:pPr>
        <w:pStyle w:val="TeThHauorabodytext"/>
        <w:rPr>
          <w:sz w:val="20"/>
          <w:szCs w:val="20"/>
        </w:rPr>
      </w:pPr>
      <w:r w:rsidRPr="48D2DD7F">
        <w:rPr>
          <w:sz w:val="20"/>
          <w:szCs w:val="20"/>
        </w:rPr>
        <w:t xml:space="preserve">Two consumers from the Commission are attending – one each from the Consumer Advisory Group Te </w:t>
      </w:r>
      <w:proofErr w:type="spellStart"/>
      <w:r w:rsidRPr="48D2DD7F">
        <w:rPr>
          <w:sz w:val="20"/>
          <w:szCs w:val="20"/>
        </w:rPr>
        <w:t>Kāhui</w:t>
      </w:r>
      <w:proofErr w:type="spellEnd"/>
      <w:r w:rsidRPr="48D2DD7F">
        <w:rPr>
          <w:sz w:val="20"/>
          <w:szCs w:val="20"/>
        </w:rPr>
        <w:t xml:space="preserve"> Mahi </w:t>
      </w:r>
      <w:proofErr w:type="spellStart"/>
      <w:r w:rsidRPr="48D2DD7F">
        <w:rPr>
          <w:sz w:val="20"/>
          <w:szCs w:val="20"/>
        </w:rPr>
        <w:t>Ngātahi</w:t>
      </w:r>
      <w:proofErr w:type="spellEnd"/>
      <w:r w:rsidRPr="48D2DD7F">
        <w:rPr>
          <w:sz w:val="20"/>
          <w:szCs w:val="20"/>
        </w:rPr>
        <w:t xml:space="preserve"> and the Consumer Network </w:t>
      </w:r>
      <w:proofErr w:type="spellStart"/>
      <w:r w:rsidRPr="48D2DD7F">
        <w:rPr>
          <w:sz w:val="20"/>
          <w:szCs w:val="20"/>
        </w:rPr>
        <w:t>Kōtuinga</w:t>
      </w:r>
      <w:proofErr w:type="spellEnd"/>
      <w:r w:rsidRPr="48D2DD7F">
        <w:rPr>
          <w:sz w:val="20"/>
          <w:szCs w:val="20"/>
        </w:rPr>
        <w:t xml:space="preserve"> </w:t>
      </w:r>
      <w:proofErr w:type="spellStart"/>
      <w:r w:rsidRPr="48D2DD7F">
        <w:rPr>
          <w:sz w:val="20"/>
          <w:szCs w:val="20"/>
        </w:rPr>
        <w:t>Kiritaki</w:t>
      </w:r>
      <w:proofErr w:type="spellEnd"/>
      <w:r w:rsidRPr="48D2DD7F">
        <w:rPr>
          <w:sz w:val="20"/>
          <w:szCs w:val="20"/>
        </w:rPr>
        <w:t>.</w:t>
      </w:r>
    </w:p>
    <w:p w14:paraId="31BB6CF1" w14:textId="77777777" w:rsidR="008D7246" w:rsidRDefault="008D7246" w:rsidP="48D2DD7F">
      <w:pPr>
        <w:pStyle w:val="TeThHauorabodytext"/>
        <w:rPr>
          <w:sz w:val="20"/>
          <w:szCs w:val="20"/>
        </w:rPr>
      </w:pPr>
      <w:r w:rsidRPr="48D2DD7F">
        <w:rPr>
          <w:sz w:val="20"/>
          <w:szCs w:val="20"/>
        </w:rPr>
        <w:t xml:space="preserve">Consumers’ experience includes lived and living experience of mental health and addictions, disability, youth and </w:t>
      </w:r>
      <w:proofErr w:type="spellStart"/>
      <w:r w:rsidRPr="48D2DD7F">
        <w:rPr>
          <w:sz w:val="20"/>
          <w:szCs w:val="20"/>
        </w:rPr>
        <w:t>rangatahi</w:t>
      </w:r>
      <w:proofErr w:type="spellEnd"/>
      <w:r w:rsidRPr="48D2DD7F">
        <w:rPr>
          <w:sz w:val="20"/>
          <w:szCs w:val="20"/>
        </w:rPr>
        <w:t xml:space="preserve"> health, older people’s health, rural health, LGBT+ health, Māori health, Pacific health, ethnic and migrant health.</w:t>
      </w:r>
    </w:p>
    <w:p w14:paraId="7E4F3915" w14:textId="3738593C" w:rsidR="008D7246" w:rsidRDefault="008D7246" w:rsidP="48D2DD7F">
      <w:pPr>
        <w:pStyle w:val="TeThHauorahead3"/>
        <w:rPr>
          <w:sz w:val="20"/>
          <w:szCs w:val="20"/>
        </w:rPr>
      </w:pPr>
      <w:r w:rsidRPr="48D2DD7F">
        <w:rPr>
          <w:sz w:val="20"/>
          <w:szCs w:val="20"/>
        </w:rPr>
        <w:t>Health Sector</w:t>
      </w:r>
    </w:p>
    <w:p w14:paraId="404DCB2C" w14:textId="77777777" w:rsidR="008D7246" w:rsidRDefault="008D7246" w:rsidP="48D2DD7F">
      <w:pPr>
        <w:pStyle w:val="TeThHauorabodytext"/>
        <w:rPr>
          <w:sz w:val="20"/>
          <w:szCs w:val="20"/>
        </w:rPr>
      </w:pPr>
      <w:r w:rsidRPr="48D2DD7F">
        <w:rPr>
          <w:sz w:val="20"/>
          <w:szCs w:val="20"/>
        </w:rPr>
        <w:t>To ensure a consistent approach across organisations, Health NZ staff from the following teams are represented:</w:t>
      </w:r>
    </w:p>
    <w:p w14:paraId="03782A3C" w14:textId="77777777" w:rsidR="008D7246" w:rsidRDefault="008D7246" w:rsidP="48D2DD7F">
      <w:pPr>
        <w:pStyle w:val="TeThHauorabodytext"/>
        <w:numPr>
          <w:ilvl w:val="0"/>
          <w:numId w:val="11"/>
        </w:numPr>
        <w:rPr>
          <w:sz w:val="20"/>
          <w:szCs w:val="20"/>
        </w:rPr>
      </w:pPr>
      <w:r w:rsidRPr="48D2DD7F">
        <w:rPr>
          <w:sz w:val="20"/>
          <w:szCs w:val="20"/>
        </w:rPr>
        <w:t>Hauora Māori Services (HMS)</w:t>
      </w:r>
    </w:p>
    <w:p w14:paraId="33F8EBB5" w14:textId="77777777" w:rsidR="008D7246" w:rsidRDefault="008D7246" w:rsidP="48D2DD7F">
      <w:pPr>
        <w:pStyle w:val="TeThHauorabodytext"/>
        <w:numPr>
          <w:ilvl w:val="0"/>
          <w:numId w:val="11"/>
        </w:numPr>
        <w:rPr>
          <w:sz w:val="20"/>
          <w:szCs w:val="20"/>
        </w:rPr>
      </w:pPr>
      <w:r w:rsidRPr="48D2DD7F">
        <w:rPr>
          <w:sz w:val="20"/>
          <w:szCs w:val="20"/>
        </w:rPr>
        <w:t xml:space="preserve">Consumer Engagement and Whānau Voice (CEWV), Planning, Funding and Outcomes (PFO) </w:t>
      </w:r>
    </w:p>
    <w:p w14:paraId="6F774329" w14:textId="77777777" w:rsidR="008D7246" w:rsidRDefault="008D7246" w:rsidP="48D2DD7F">
      <w:pPr>
        <w:pStyle w:val="TeThHauorabodytext"/>
        <w:numPr>
          <w:ilvl w:val="0"/>
          <w:numId w:val="11"/>
        </w:numPr>
        <w:rPr>
          <w:sz w:val="20"/>
          <w:szCs w:val="20"/>
        </w:rPr>
      </w:pPr>
      <w:r w:rsidRPr="48D2DD7F">
        <w:rPr>
          <w:sz w:val="20"/>
          <w:szCs w:val="20"/>
        </w:rPr>
        <w:t>Office of Chief Clinical Officers (OCCO)</w:t>
      </w:r>
    </w:p>
    <w:p w14:paraId="4D5875E1" w14:textId="77777777" w:rsidR="008D7246" w:rsidRDefault="008D7246" w:rsidP="48D2DD7F">
      <w:pPr>
        <w:pStyle w:val="TeThHauorabodytext"/>
        <w:numPr>
          <w:ilvl w:val="0"/>
          <w:numId w:val="11"/>
        </w:numPr>
        <w:rPr>
          <w:sz w:val="20"/>
          <w:szCs w:val="20"/>
        </w:rPr>
      </w:pPr>
      <w:r w:rsidRPr="48D2DD7F">
        <w:rPr>
          <w:sz w:val="20"/>
          <w:szCs w:val="20"/>
        </w:rPr>
        <w:lastRenderedPageBreak/>
        <w:t>Population Health, Planning Funding and Outcomes (PFO)</w:t>
      </w:r>
    </w:p>
    <w:p w14:paraId="55AF077D" w14:textId="77777777" w:rsidR="008D7246" w:rsidRDefault="008D7246" w:rsidP="48D2DD7F">
      <w:pPr>
        <w:pStyle w:val="TeThHauorabodytext"/>
        <w:numPr>
          <w:ilvl w:val="0"/>
          <w:numId w:val="11"/>
        </w:numPr>
        <w:rPr>
          <w:sz w:val="20"/>
          <w:szCs w:val="20"/>
        </w:rPr>
      </w:pPr>
      <w:r w:rsidRPr="48D2DD7F">
        <w:rPr>
          <w:sz w:val="20"/>
          <w:szCs w:val="20"/>
        </w:rPr>
        <w:t>Te Waipounamu Regional Governance Office</w:t>
      </w:r>
    </w:p>
    <w:p w14:paraId="36BF1C94" w14:textId="77777777" w:rsidR="008D7246" w:rsidRDefault="008D7246" w:rsidP="48D2DD7F">
      <w:pPr>
        <w:pStyle w:val="TeThHauorabodytext"/>
        <w:numPr>
          <w:ilvl w:val="0"/>
          <w:numId w:val="11"/>
        </w:numPr>
        <w:rPr>
          <w:sz w:val="20"/>
          <w:szCs w:val="20"/>
        </w:rPr>
      </w:pPr>
      <w:r w:rsidRPr="48D2DD7F">
        <w:rPr>
          <w:sz w:val="20"/>
          <w:szCs w:val="20"/>
        </w:rPr>
        <w:t xml:space="preserve">Te Ikaroa Central Region, Consumer Engagement and Whānau Voice and Quality and Safety </w:t>
      </w:r>
    </w:p>
    <w:p w14:paraId="5CB82F42" w14:textId="77777777" w:rsidR="008D7246" w:rsidRDefault="008D7246" w:rsidP="48D2DD7F">
      <w:pPr>
        <w:pStyle w:val="TeThHauorabodytext"/>
        <w:numPr>
          <w:ilvl w:val="0"/>
          <w:numId w:val="11"/>
        </w:numPr>
        <w:rPr>
          <w:sz w:val="20"/>
          <w:szCs w:val="20"/>
        </w:rPr>
      </w:pPr>
      <w:proofErr w:type="spellStart"/>
      <w:r w:rsidRPr="48D2DD7F">
        <w:rPr>
          <w:sz w:val="20"/>
          <w:szCs w:val="20"/>
        </w:rPr>
        <w:t>Waitaha</w:t>
      </w:r>
      <w:proofErr w:type="spellEnd"/>
      <w:r w:rsidRPr="48D2DD7F">
        <w:rPr>
          <w:sz w:val="20"/>
          <w:szCs w:val="20"/>
        </w:rPr>
        <w:t xml:space="preserve"> Canterbury Quality and Safety Consumer Engagement Whānau Voice</w:t>
      </w:r>
    </w:p>
    <w:p w14:paraId="20F9DA7C" w14:textId="77777777" w:rsidR="008D7246" w:rsidRDefault="008D7246" w:rsidP="48D2DD7F">
      <w:pPr>
        <w:pStyle w:val="TeThHauorabodytext"/>
        <w:rPr>
          <w:sz w:val="20"/>
          <w:szCs w:val="20"/>
        </w:rPr>
      </w:pPr>
      <w:r w:rsidRPr="48D2DD7F">
        <w:rPr>
          <w:sz w:val="20"/>
          <w:szCs w:val="20"/>
        </w:rPr>
        <w:t>The Commission staff in attendance include:</w:t>
      </w:r>
    </w:p>
    <w:p w14:paraId="2C3F82EB" w14:textId="77777777" w:rsidR="008D7246" w:rsidRDefault="008D7246" w:rsidP="48D2DD7F">
      <w:pPr>
        <w:pStyle w:val="TeThHauorabodytext"/>
        <w:numPr>
          <w:ilvl w:val="0"/>
          <w:numId w:val="10"/>
        </w:numPr>
        <w:rPr>
          <w:sz w:val="20"/>
          <w:szCs w:val="20"/>
        </w:rPr>
      </w:pPr>
      <w:r w:rsidRPr="48D2DD7F">
        <w:rPr>
          <w:sz w:val="20"/>
          <w:szCs w:val="20"/>
        </w:rPr>
        <w:t>Te Pūkāea Matatika Māori Health and Consumer</w:t>
      </w:r>
    </w:p>
    <w:p w14:paraId="1B8E29DF" w14:textId="77777777" w:rsidR="008D7246" w:rsidRDefault="008D7246" w:rsidP="48D2DD7F">
      <w:pPr>
        <w:pStyle w:val="TeThHauorabodytext"/>
        <w:numPr>
          <w:ilvl w:val="0"/>
          <w:numId w:val="10"/>
        </w:numPr>
        <w:rPr>
          <w:sz w:val="20"/>
          <w:szCs w:val="20"/>
        </w:rPr>
      </w:pPr>
      <w:r w:rsidRPr="48D2DD7F">
        <w:rPr>
          <w:sz w:val="20"/>
          <w:szCs w:val="20"/>
        </w:rPr>
        <w:t>Health Quality Intelligence (HQI)</w:t>
      </w:r>
    </w:p>
    <w:p w14:paraId="37E901D7" w14:textId="77777777" w:rsidR="008D7246" w:rsidRDefault="008D7246" w:rsidP="48D2DD7F">
      <w:pPr>
        <w:pStyle w:val="TeThHauorabodytext"/>
        <w:numPr>
          <w:ilvl w:val="0"/>
          <w:numId w:val="10"/>
        </w:numPr>
        <w:rPr>
          <w:sz w:val="20"/>
          <w:szCs w:val="20"/>
        </w:rPr>
      </w:pPr>
      <w:r w:rsidRPr="48D2DD7F">
        <w:rPr>
          <w:sz w:val="20"/>
          <w:szCs w:val="20"/>
        </w:rPr>
        <w:t>Strategic Support and Accountability (SS&amp;A)</w:t>
      </w:r>
    </w:p>
    <w:p w14:paraId="00F866EE" w14:textId="77777777" w:rsidR="008D7246" w:rsidRDefault="008D7246" w:rsidP="48D2DD7F">
      <w:pPr>
        <w:pStyle w:val="TeThHauorabodytext"/>
        <w:rPr>
          <w:sz w:val="20"/>
          <w:szCs w:val="20"/>
        </w:rPr>
      </w:pPr>
      <w:r w:rsidRPr="48D2DD7F">
        <w:rPr>
          <w:sz w:val="20"/>
          <w:szCs w:val="20"/>
        </w:rPr>
        <w:t>The Ministry’s Health System Monitoring, Performance and Governance group will have staff in attendance.</w:t>
      </w:r>
    </w:p>
    <w:p w14:paraId="5491796C" w14:textId="77777777" w:rsidR="008D7246" w:rsidRDefault="008D7246" w:rsidP="48D2DD7F">
      <w:pPr>
        <w:pStyle w:val="TeThHauorahead2"/>
        <w:rPr>
          <w:sz w:val="20"/>
          <w:szCs w:val="20"/>
        </w:rPr>
      </w:pPr>
      <w:r w:rsidRPr="48D2DD7F">
        <w:rPr>
          <w:sz w:val="20"/>
          <w:szCs w:val="20"/>
        </w:rPr>
        <w:t>The Code of expectations for health entities’ engagement with consumers and whānau</w:t>
      </w:r>
    </w:p>
    <w:p w14:paraId="6BEC1094" w14:textId="77777777" w:rsidR="008D7246" w:rsidRDefault="008D7246" w:rsidP="48D2DD7F">
      <w:pPr>
        <w:pStyle w:val="TeThHauoraindentedquote"/>
        <w:ind w:left="0"/>
        <w:rPr>
          <w:sz w:val="20"/>
          <w:szCs w:val="20"/>
        </w:rPr>
      </w:pPr>
      <w:r w:rsidRPr="48D2DD7F">
        <w:rPr>
          <w:sz w:val="20"/>
          <w:szCs w:val="20"/>
        </w:rPr>
        <w:t>The Code was launched in August 2022 and sets the expectations for health entities’ engagement with the communities they serve. The recent review of the Code identified the need and opportunities to improve awareness, understanding and accountability.</w:t>
      </w:r>
    </w:p>
    <w:p w14:paraId="5A44FC18" w14:textId="77777777" w:rsidR="008D7246" w:rsidRDefault="008D7246" w:rsidP="48D2DD7F">
      <w:pPr>
        <w:pStyle w:val="TeThHauorahead3"/>
        <w:rPr>
          <w:sz w:val="20"/>
          <w:szCs w:val="20"/>
        </w:rPr>
      </w:pPr>
      <w:r w:rsidRPr="48D2DD7F">
        <w:rPr>
          <w:sz w:val="20"/>
          <w:szCs w:val="20"/>
        </w:rPr>
        <w:t xml:space="preserve">In the workshop </w:t>
      </w:r>
    </w:p>
    <w:p w14:paraId="23880827" w14:textId="77777777" w:rsidR="008D7246" w:rsidRDefault="008D7246" w:rsidP="48D2DD7F">
      <w:pPr>
        <w:pStyle w:val="TeThHauoraindentedquote"/>
        <w:ind w:left="0"/>
        <w:rPr>
          <w:sz w:val="20"/>
          <w:szCs w:val="20"/>
        </w:rPr>
      </w:pPr>
      <w:r w:rsidRPr="48D2DD7F">
        <w:rPr>
          <w:sz w:val="20"/>
          <w:szCs w:val="20"/>
        </w:rPr>
        <w:t>We will discuss the shared intent and practical implications to enact the Code.</w:t>
      </w:r>
    </w:p>
    <w:p w14:paraId="34AD7512" w14:textId="77777777" w:rsidR="008D7246" w:rsidRDefault="008D7246" w:rsidP="48D2DD7F">
      <w:pPr>
        <w:pStyle w:val="TeThHauoraindentedquote"/>
        <w:ind w:left="0"/>
        <w:rPr>
          <w:sz w:val="20"/>
          <w:szCs w:val="20"/>
        </w:rPr>
      </w:pPr>
      <w:hyperlink r:id="rId21">
        <w:r w:rsidRPr="48D2DD7F">
          <w:rPr>
            <w:rStyle w:val="Hyperlink"/>
            <w:sz w:val="20"/>
            <w:szCs w:val="20"/>
          </w:rPr>
          <w:t>Read more about the Code on the Commission’s website</w:t>
        </w:r>
      </w:hyperlink>
      <w:r w:rsidRPr="48D2DD7F">
        <w:rPr>
          <w:sz w:val="20"/>
          <w:szCs w:val="20"/>
        </w:rPr>
        <w:t xml:space="preserve">.  </w:t>
      </w:r>
    </w:p>
    <w:p w14:paraId="7D70F027" w14:textId="77777777" w:rsidR="008D7246" w:rsidRDefault="008D7246" w:rsidP="48D2DD7F">
      <w:pPr>
        <w:pStyle w:val="TeThHauoraindentedquote"/>
        <w:ind w:left="0"/>
        <w:rPr>
          <w:sz w:val="20"/>
          <w:szCs w:val="20"/>
        </w:rPr>
      </w:pPr>
      <w:hyperlink r:id="rId22">
        <w:r w:rsidRPr="48D2DD7F">
          <w:rPr>
            <w:rStyle w:val="Hyperlink"/>
            <w:sz w:val="20"/>
            <w:szCs w:val="20"/>
          </w:rPr>
          <w:t>Download copies of the Code in multiple formats</w:t>
        </w:r>
      </w:hyperlink>
      <w:r w:rsidRPr="48D2DD7F">
        <w:rPr>
          <w:sz w:val="20"/>
          <w:szCs w:val="20"/>
        </w:rPr>
        <w:t xml:space="preserve">. </w:t>
      </w:r>
    </w:p>
    <w:p w14:paraId="70BA0658" w14:textId="77777777" w:rsidR="008D7246" w:rsidRDefault="008D7246" w:rsidP="48D2DD7F">
      <w:pPr>
        <w:pStyle w:val="TeThHauorahead2"/>
        <w:rPr>
          <w:sz w:val="20"/>
          <w:szCs w:val="20"/>
        </w:rPr>
      </w:pPr>
      <w:r w:rsidRPr="48D2DD7F">
        <w:rPr>
          <w:sz w:val="20"/>
          <w:szCs w:val="20"/>
        </w:rPr>
        <w:t>The SURE framework</w:t>
      </w:r>
    </w:p>
    <w:p w14:paraId="2B9259AD" w14:textId="77777777" w:rsidR="008D7246" w:rsidRDefault="008D7246" w:rsidP="48D2DD7F">
      <w:pPr>
        <w:pStyle w:val="TeThHauorabodytext"/>
        <w:rPr>
          <w:sz w:val="20"/>
          <w:szCs w:val="20"/>
        </w:rPr>
      </w:pPr>
      <w:proofErr w:type="gramStart"/>
      <w:r w:rsidRPr="48D2DD7F">
        <w:rPr>
          <w:sz w:val="20"/>
          <w:szCs w:val="20"/>
        </w:rPr>
        <w:t>SURE</w:t>
      </w:r>
      <w:proofErr w:type="gramEnd"/>
      <w:r w:rsidRPr="48D2DD7F">
        <w:rPr>
          <w:sz w:val="20"/>
          <w:szCs w:val="20"/>
        </w:rPr>
        <w:t xml:space="preserve"> stands for Supporting, Understanding, Responding and Evaluating. The SURE framework was developed in 2019 as a measurement tool for consumer and whānau engagement at District Health Boards. The SURE framework was updated to align with the Code following its launch</w:t>
      </w:r>
    </w:p>
    <w:p w14:paraId="2887177E" w14:textId="77777777" w:rsidR="008D7246" w:rsidRDefault="008D7246" w:rsidP="48D2DD7F">
      <w:pPr>
        <w:pStyle w:val="TeThHauorahead3"/>
        <w:rPr>
          <w:sz w:val="20"/>
          <w:szCs w:val="20"/>
        </w:rPr>
      </w:pPr>
      <w:r w:rsidRPr="48D2DD7F">
        <w:rPr>
          <w:sz w:val="20"/>
          <w:szCs w:val="20"/>
        </w:rPr>
        <w:t xml:space="preserve">In the workshop </w:t>
      </w:r>
    </w:p>
    <w:p w14:paraId="619D07DA" w14:textId="77777777" w:rsidR="008D7246" w:rsidRDefault="008D7246" w:rsidP="48D2DD7F">
      <w:pPr>
        <w:pStyle w:val="TeThHauoraindentedquote"/>
        <w:ind w:left="0"/>
        <w:rPr>
          <w:sz w:val="20"/>
          <w:szCs w:val="20"/>
        </w:rPr>
      </w:pPr>
      <w:r w:rsidRPr="48D2DD7F">
        <w:rPr>
          <w:sz w:val="20"/>
          <w:szCs w:val="20"/>
        </w:rPr>
        <w:t>We will look at how the SURE framework can be used in planning and measurement of consumer engagement and adaptation of the framework to better suit Health NZ and Commission requirements.</w:t>
      </w:r>
    </w:p>
    <w:p w14:paraId="6043102F" w14:textId="77777777" w:rsidR="008D7246" w:rsidRDefault="008D7246" w:rsidP="48D2DD7F">
      <w:pPr>
        <w:pStyle w:val="TeThHauoraindentedquote"/>
        <w:ind w:left="0"/>
        <w:rPr>
          <w:sz w:val="20"/>
          <w:szCs w:val="20"/>
        </w:rPr>
      </w:pPr>
      <w:r w:rsidRPr="48D2DD7F">
        <w:rPr>
          <w:sz w:val="20"/>
          <w:szCs w:val="20"/>
        </w:rPr>
        <w:t>You can download the SURE framework in different formats:</w:t>
      </w:r>
    </w:p>
    <w:p w14:paraId="07D0BAB0" w14:textId="77777777" w:rsidR="008D7246" w:rsidRDefault="008D7246" w:rsidP="48D2DD7F">
      <w:pPr>
        <w:pStyle w:val="TeThHauoraindentedquote"/>
        <w:ind w:left="0"/>
        <w:rPr>
          <w:sz w:val="20"/>
          <w:szCs w:val="20"/>
        </w:rPr>
      </w:pPr>
      <w:hyperlink r:id="rId23">
        <w:r w:rsidRPr="48D2DD7F">
          <w:rPr>
            <w:rStyle w:val="Hyperlink"/>
            <w:sz w:val="20"/>
            <w:szCs w:val="20"/>
          </w:rPr>
          <w:t>SURE framework: Accessible web pages</w:t>
        </w:r>
      </w:hyperlink>
    </w:p>
    <w:p w14:paraId="6D969CB8" w14:textId="77777777" w:rsidR="008D7246" w:rsidRDefault="008D7246" w:rsidP="48D2DD7F">
      <w:pPr>
        <w:pStyle w:val="TeThHauoraindentedquote"/>
        <w:ind w:left="0"/>
        <w:rPr>
          <w:sz w:val="20"/>
          <w:szCs w:val="20"/>
        </w:rPr>
      </w:pPr>
      <w:hyperlink r:id="rId24">
        <w:r w:rsidRPr="48D2DD7F">
          <w:rPr>
            <w:rStyle w:val="Hyperlink"/>
            <w:sz w:val="20"/>
            <w:szCs w:val="20"/>
          </w:rPr>
          <w:t>SURE framework: Print-ready PDF</w:t>
        </w:r>
      </w:hyperlink>
    </w:p>
    <w:p w14:paraId="4607342E" w14:textId="77777777" w:rsidR="008D7246" w:rsidRDefault="008D7246" w:rsidP="48D2DD7F">
      <w:pPr>
        <w:pStyle w:val="TeThHauoraindentedquote"/>
        <w:ind w:left="0"/>
        <w:rPr>
          <w:sz w:val="20"/>
          <w:szCs w:val="20"/>
        </w:rPr>
      </w:pPr>
      <w:hyperlink r:id="rId25">
        <w:r w:rsidRPr="48D2DD7F">
          <w:rPr>
            <w:rStyle w:val="Hyperlink"/>
            <w:sz w:val="20"/>
            <w:szCs w:val="20"/>
          </w:rPr>
          <w:t>Sure framework: MS Word format</w:t>
        </w:r>
      </w:hyperlink>
    </w:p>
    <w:p w14:paraId="1D69B3F0" w14:textId="77777777" w:rsidR="008D7246" w:rsidRDefault="008D7246" w:rsidP="48D2DD7F">
      <w:pPr>
        <w:pStyle w:val="TeThHauorahead2"/>
        <w:rPr>
          <w:sz w:val="20"/>
          <w:szCs w:val="20"/>
        </w:rPr>
      </w:pPr>
      <w:r w:rsidRPr="48D2DD7F">
        <w:rPr>
          <w:sz w:val="20"/>
          <w:szCs w:val="20"/>
        </w:rPr>
        <w:t>Consumer and Whānau Engagement Quality and Safety Marker</w:t>
      </w:r>
    </w:p>
    <w:p w14:paraId="7B28AEE3" w14:textId="77777777" w:rsidR="008D7246" w:rsidRDefault="008D7246" w:rsidP="48D2DD7F">
      <w:pPr>
        <w:pStyle w:val="TeThHauorabodytext"/>
        <w:rPr>
          <w:sz w:val="20"/>
          <w:szCs w:val="20"/>
        </w:rPr>
      </w:pPr>
      <w:r w:rsidRPr="48D2DD7F">
        <w:rPr>
          <w:sz w:val="20"/>
          <w:szCs w:val="20"/>
        </w:rPr>
        <w:t xml:space="preserve">The Consumer and Whānau Engagement Quality and Safety Marker (QSM) is a self-assessment tool that Health NZ and the Commission are required to submit examples of consumer and whānau engagement to. </w:t>
      </w:r>
    </w:p>
    <w:p w14:paraId="62CA3D37" w14:textId="77777777" w:rsidR="008D7246" w:rsidRPr="00581B96" w:rsidRDefault="008D7246" w:rsidP="48D2DD7F">
      <w:pPr>
        <w:pStyle w:val="TeThHauorabodytext"/>
        <w:rPr>
          <w:sz w:val="20"/>
          <w:szCs w:val="20"/>
        </w:rPr>
      </w:pPr>
      <w:r w:rsidRPr="48D2DD7F">
        <w:rPr>
          <w:sz w:val="20"/>
          <w:szCs w:val="20"/>
        </w:rPr>
        <w:lastRenderedPageBreak/>
        <w:t>The SURE fram</w:t>
      </w:r>
      <w:r w:rsidRPr="003B74EA">
        <w:rPr>
          <w:sz w:val="20"/>
          <w:szCs w:val="20"/>
        </w:rPr>
        <w:t>ewor</w:t>
      </w:r>
      <w:r w:rsidRPr="48D2DD7F">
        <w:rPr>
          <w:sz w:val="20"/>
          <w:szCs w:val="20"/>
        </w:rPr>
        <w:t>k is used as the measurement guidance for scoring against the three domains – Experience, Engagement and Responsiveness.</w:t>
      </w:r>
    </w:p>
    <w:p w14:paraId="039B3F7A" w14:textId="15B6B5A6" w:rsidR="008D7246" w:rsidRDefault="008D7246" w:rsidP="48D2DD7F">
      <w:pPr>
        <w:pStyle w:val="TeThHauorabodytext"/>
        <w:rPr>
          <w:sz w:val="20"/>
          <w:szCs w:val="20"/>
        </w:rPr>
      </w:pPr>
      <w:r w:rsidRPr="48D2DD7F">
        <w:rPr>
          <w:sz w:val="20"/>
          <w:szCs w:val="20"/>
        </w:rPr>
        <w:t xml:space="preserve">Submissions are received twice each year </w:t>
      </w:r>
      <w:r w:rsidR="009707A4" w:rsidRPr="6B43301B">
        <w:rPr>
          <w:sz w:val="20"/>
          <w:szCs w:val="20"/>
        </w:rPr>
        <w:t>–</w:t>
      </w:r>
      <w:r w:rsidRPr="48D2DD7F">
        <w:rPr>
          <w:sz w:val="20"/>
          <w:szCs w:val="20"/>
        </w:rPr>
        <w:t xml:space="preserve"> at the end of September and March. They are received by the Commission, and a moderation and feedback process is undertaken. The submissions are then shared on a public dashboard hosted by the Commission, and a summary report provided to the Ministry of Health.</w:t>
      </w:r>
    </w:p>
    <w:p w14:paraId="75DECC49" w14:textId="77777777" w:rsidR="008D7246" w:rsidRDefault="008D7246" w:rsidP="48D2DD7F">
      <w:pPr>
        <w:pStyle w:val="TeThHauorahead3"/>
        <w:rPr>
          <w:sz w:val="20"/>
          <w:szCs w:val="20"/>
        </w:rPr>
      </w:pPr>
      <w:r w:rsidRPr="48D2DD7F">
        <w:rPr>
          <w:sz w:val="20"/>
          <w:szCs w:val="20"/>
        </w:rPr>
        <w:t xml:space="preserve">In the workshop </w:t>
      </w:r>
    </w:p>
    <w:p w14:paraId="7F5009B9" w14:textId="77777777" w:rsidR="008D7246" w:rsidRDefault="008D7246" w:rsidP="48D2DD7F">
      <w:pPr>
        <w:pStyle w:val="TeThHauorabodytext"/>
        <w:rPr>
          <w:sz w:val="20"/>
          <w:szCs w:val="20"/>
        </w:rPr>
      </w:pPr>
      <w:r w:rsidRPr="48D2DD7F">
        <w:rPr>
          <w:sz w:val="20"/>
          <w:szCs w:val="20"/>
        </w:rPr>
        <w:t>We will discuss how to use the QSM to:</w:t>
      </w:r>
    </w:p>
    <w:p w14:paraId="3C91EC21" w14:textId="77777777" w:rsidR="008D7246" w:rsidRDefault="008D7246" w:rsidP="48D2DD7F">
      <w:pPr>
        <w:pStyle w:val="TeThHauorabodytext"/>
        <w:numPr>
          <w:ilvl w:val="0"/>
          <w:numId w:val="12"/>
        </w:numPr>
        <w:rPr>
          <w:sz w:val="20"/>
          <w:szCs w:val="20"/>
        </w:rPr>
      </w:pPr>
      <w:r w:rsidRPr="48D2DD7F">
        <w:rPr>
          <w:sz w:val="20"/>
          <w:szCs w:val="20"/>
        </w:rPr>
        <w:t>strengthen connections across the patient journey</w:t>
      </w:r>
    </w:p>
    <w:p w14:paraId="451C7372" w14:textId="77777777" w:rsidR="008D7246" w:rsidRDefault="008D7246" w:rsidP="48D2DD7F">
      <w:pPr>
        <w:pStyle w:val="TeThHauorabodytext"/>
        <w:numPr>
          <w:ilvl w:val="0"/>
          <w:numId w:val="12"/>
        </w:numPr>
        <w:rPr>
          <w:sz w:val="20"/>
          <w:szCs w:val="20"/>
        </w:rPr>
      </w:pPr>
      <w:r w:rsidRPr="48D2DD7F">
        <w:rPr>
          <w:sz w:val="20"/>
          <w:szCs w:val="20"/>
        </w:rPr>
        <w:t xml:space="preserve">promote best practice examples </w:t>
      </w:r>
    </w:p>
    <w:p w14:paraId="6F85C4DD" w14:textId="77777777" w:rsidR="008D7246" w:rsidRDefault="008D7246" w:rsidP="48D2DD7F">
      <w:pPr>
        <w:pStyle w:val="TeThHauorabodytext"/>
        <w:numPr>
          <w:ilvl w:val="0"/>
          <w:numId w:val="12"/>
        </w:numPr>
        <w:rPr>
          <w:sz w:val="20"/>
          <w:szCs w:val="20"/>
        </w:rPr>
      </w:pPr>
      <w:r w:rsidRPr="48D2DD7F">
        <w:rPr>
          <w:sz w:val="20"/>
          <w:szCs w:val="20"/>
        </w:rPr>
        <w:t xml:space="preserve">identify opportunities and plan for improvement </w:t>
      </w:r>
    </w:p>
    <w:p w14:paraId="79DE3410" w14:textId="21B778E2" w:rsidR="008D7246" w:rsidRDefault="008D7246" w:rsidP="48D2DD7F">
      <w:pPr>
        <w:pStyle w:val="TeThHauorabodytext"/>
        <w:numPr>
          <w:ilvl w:val="0"/>
          <w:numId w:val="12"/>
        </w:numPr>
        <w:rPr>
          <w:sz w:val="20"/>
          <w:szCs w:val="20"/>
        </w:rPr>
      </w:pPr>
      <w:r w:rsidRPr="48D2DD7F">
        <w:rPr>
          <w:sz w:val="20"/>
          <w:szCs w:val="20"/>
        </w:rPr>
        <w:t>inform and inspire consumers, whānau and communities</w:t>
      </w:r>
      <w:r w:rsidR="00F84F62">
        <w:rPr>
          <w:sz w:val="20"/>
          <w:szCs w:val="20"/>
        </w:rPr>
        <w:t>.</w:t>
      </w:r>
      <w:r w:rsidRPr="48D2DD7F">
        <w:rPr>
          <w:sz w:val="20"/>
          <w:szCs w:val="20"/>
        </w:rPr>
        <w:t xml:space="preserve"> </w:t>
      </w:r>
    </w:p>
    <w:p w14:paraId="5C804BA9" w14:textId="77777777" w:rsidR="008D7246" w:rsidRDefault="008D7246" w:rsidP="48D2DD7F">
      <w:pPr>
        <w:pStyle w:val="TeThHauorabodytext"/>
        <w:rPr>
          <w:sz w:val="20"/>
          <w:szCs w:val="20"/>
        </w:rPr>
      </w:pPr>
      <w:hyperlink r:id="rId26">
        <w:r w:rsidRPr="48D2DD7F">
          <w:rPr>
            <w:rStyle w:val="Hyperlink"/>
            <w:sz w:val="20"/>
            <w:szCs w:val="20"/>
          </w:rPr>
          <w:t>Read more about the QSM</w:t>
        </w:r>
      </w:hyperlink>
      <w:r w:rsidRPr="48D2DD7F">
        <w:rPr>
          <w:sz w:val="20"/>
          <w:szCs w:val="20"/>
        </w:rPr>
        <w:t xml:space="preserve">  </w:t>
      </w:r>
    </w:p>
    <w:p w14:paraId="40E38A5B" w14:textId="77777777" w:rsidR="008D7246" w:rsidRDefault="008D7246" w:rsidP="48D2DD7F">
      <w:pPr>
        <w:pStyle w:val="TeThHauorabodytext"/>
        <w:rPr>
          <w:sz w:val="20"/>
          <w:szCs w:val="20"/>
        </w:rPr>
      </w:pPr>
      <w:hyperlink r:id="rId27">
        <w:r w:rsidRPr="48D2DD7F">
          <w:rPr>
            <w:rStyle w:val="Hyperlink"/>
            <w:sz w:val="20"/>
            <w:szCs w:val="20"/>
          </w:rPr>
          <w:t>View the dashboard including the March 2025 submissions</w:t>
        </w:r>
      </w:hyperlink>
      <w:r w:rsidRPr="48D2DD7F">
        <w:rPr>
          <w:sz w:val="20"/>
          <w:szCs w:val="20"/>
        </w:rPr>
        <w:t xml:space="preserve">. </w:t>
      </w:r>
    </w:p>
    <w:p w14:paraId="743F977A" w14:textId="77777777" w:rsidR="008D7246" w:rsidRDefault="008D7246" w:rsidP="48D2DD7F">
      <w:pPr>
        <w:pStyle w:val="TeThHauorahead2"/>
        <w:rPr>
          <w:sz w:val="20"/>
          <w:szCs w:val="20"/>
        </w:rPr>
      </w:pPr>
      <w:r w:rsidRPr="48D2DD7F">
        <w:rPr>
          <w:sz w:val="20"/>
          <w:szCs w:val="20"/>
        </w:rPr>
        <w:t>Workshop activities</w:t>
      </w:r>
    </w:p>
    <w:p w14:paraId="46A31C08" w14:textId="77777777" w:rsidR="008D7246" w:rsidRDefault="008D7246" w:rsidP="48D2DD7F">
      <w:pPr>
        <w:pStyle w:val="TeThHauorabodytext"/>
        <w:rPr>
          <w:sz w:val="20"/>
          <w:szCs w:val="20"/>
        </w:rPr>
      </w:pPr>
      <w:r w:rsidRPr="48D2DD7F">
        <w:rPr>
          <w:sz w:val="20"/>
          <w:szCs w:val="20"/>
        </w:rPr>
        <w:t>We can consider some activities to improve practices, tools and resources to reinforce consumer engagement experience which may include:</w:t>
      </w:r>
    </w:p>
    <w:p w14:paraId="7A772A5B" w14:textId="77777777" w:rsidR="008D7246" w:rsidRDefault="008D7246" w:rsidP="48D2DD7F">
      <w:pPr>
        <w:pStyle w:val="TeThHauorabodytext"/>
        <w:numPr>
          <w:ilvl w:val="0"/>
          <w:numId w:val="13"/>
        </w:numPr>
        <w:rPr>
          <w:sz w:val="20"/>
          <w:szCs w:val="20"/>
        </w:rPr>
      </w:pPr>
      <w:r w:rsidRPr="48D2DD7F">
        <w:rPr>
          <w:sz w:val="20"/>
          <w:szCs w:val="20"/>
        </w:rPr>
        <w:t>Workflow chart decision tree</w:t>
      </w:r>
    </w:p>
    <w:p w14:paraId="48A0E1E4" w14:textId="77777777" w:rsidR="008D7246" w:rsidRDefault="008D7246" w:rsidP="48D2DD7F">
      <w:pPr>
        <w:pStyle w:val="TeThHauorabodytext"/>
        <w:numPr>
          <w:ilvl w:val="0"/>
          <w:numId w:val="13"/>
        </w:numPr>
        <w:rPr>
          <w:sz w:val="20"/>
          <w:szCs w:val="20"/>
        </w:rPr>
      </w:pPr>
      <w:r w:rsidRPr="48D2DD7F">
        <w:rPr>
          <w:sz w:val="20"/>
          <w:szCs w:val="20"/>
        </w:rPr>
        <w:t>Consumer opportunities expressions of interest (EOI)</w:t>
      </w:r>
    </w:p>
    <w:p w14:paraId="5F06B2FB" w14:textId="77777777" w:rsidR="008D7246" w:rsidRDefault="008D7246" w:rsidP="48D2DD7F">
      <w:pPr>
        <w:pStyle w:val="TeThHauorabodytext"/>
        <w:numPr>
          <w:ilvl w:val="0"/>
          <w:numId w:val="13"/>
        </w:numPr>
        <w:rPr>
          <w:sz w:val="20"/>
          <w:szCs w:val="20"/>
        </w:rPr>
      </w:pPr>
      <w:r w:rsidRPr="48D2DD7F">
        <w:rPr>
          <w:sz w:val="20"/>
          <w:szCs w:val="20"/>
        </w:rPr>
        <w:t>Consumer onboarding and induction processes and recommendations</w:t>
      </w:r>
    </w:p>
    <w:p w14:paraId="1F0D2825" w14:textId="77777777" w:rsidR="008D7246" w:rsidRDefault="008D7246" w:rsidP="48D2DD7F">
      <w:pPr>
        <w:pStyle w:val="TeThHauorahead2"/>
        <w:rPr>
          <w:sz w:val="20"/>
          <w:szCs w:val="20"/>
        </w:rPr>
      </w:pPr>
      <w:r w:rsidRPr="48D2DD7F">
        <w:rPr>
          <w:sz w:val="20"/>
          <w:szCs w:val="20"/>
        </w:rPr>
        <w:t>What are your expectations?</w:t>
      </w:r>
    </w:p>
    <w:p w14:paraId="56C9C891" w14:textId="77777777" w:rsidR="008D7246" w:rsidRDefault="008D7246" w:rsidP="48D2DD7F">
      <w:pPr>
        <w:pStyle w:val="TeThHauorabodytext"/>
        <w:rPr>
          <w:sz w:val="20"/>
          <w:szCs w:val="20"/>
        </w:rPr>
      </w:pPr>
      <w:r w:rsidRPr="48D2DD7F">
        <w:rPr>
          <w:sz w:val="20"/>
          <w:szCs w:val="20"/>
        </w:rPr>
        <w:t>Please review the brief and let us know your feedback based on the purpose and three key areas – the Code of expectations, the SURE framework and the QSM in this brief.</w:t>
      </w:r>
    </w:p>
    <w:p w14:paraId="16203433" w14:textId="77777777" w:rsidR="008D7246" w:rsidRPr="00581B96" w:rsidRDefault="008D7246" w:rsidP="48D2DD7F">
      <w:pPr>
        <w:pStyle w:val="TeThHauorabodytext"/>
        <w:rPr>
          <w:sz w:val="20"/>
          <w:szCs w:val="20"/>
        </w:rPr>
      </w:pPr>
      <w:r w:rsidRPr="48D2DD7F">
        <w:rPr>
          <w:sz w:val="20"/>
          <w:szCs w:val="20"/>
        </w:rPr>
        <w:t>We want your feedback on agenda items or discussions you'd like to have about the Code, the SURE Framework and QSM.</w:t>
      </w:r>
    </w:p>
    <w:p w14:paraId="6C7F53FA" w14:textId="77777777" w:rsidR="008D7246" w:rsidRDefault="008D7246" w:rsidP="48D2DD7F">
      <w:pPr>
        <w:pStyle w:val="TeThHauorabodytext"/>
        <w:rPr>
          <w:sz w:val="20"/>
          <w:szCs w:val="20"/>
        </w:rPr>
      </w:pPr>
      <w:r w:rsidRPr="48D2DD7F">
        <w:rPr>
          <w:sz w:val="20"/>
          <w:szCs w:val="20"/>
        </w:rPr>
        <w:t xml:space="preserve">What would you like to take away from this workshop </w:t>
      </w:r>
      <w:proofErr w:type="gramStart"/>
      <w:r w:rsidRPr="48D2DD7F">
        <w:rPr>
          <w:sz w:val="20"/>
          <w:szCs w:val="20"/>
        </w:rPr>
        <w:t>in regards to</w:t>
      </w:r>
      <w:proofErr w:type="gramEnd"/>
      <w:r w:rsidRPr="48D2DD7F">
        <w:rPr>
          <w:sz w:val="20"/>
          <w:szCs w:val="20"/>
        </w:rPr>
        <w:t xml:space="preserve"> the workshop activities discussed in this brief? </w:t>
      </w:r>
    </w:p>
    <w:p w14:paraId="06B01586" w14:textId="6FD856A2" w:rsidR="00316844" w:rsidRDefault="008D7246" w:rsidP="48D2DD7F">
      <w:pPr>
        <w:pStyle w:val="TeThHauorabodytext"/>
        <w:rPr>
          <w:b/>
          <w:bCs/>
          <w:sz w:val="20"/>
          <w:szCs w:val="20"/>
        </w:rPr>
      </w:pPr>
      <w:r w:rsidRPr="48D2DD7F">
        <w:rPr>
          <w:b/>
          <w:bCs/>
          <w:sz w:val="20"/>
          <w:szCs w:val="20"/>
        </w:rPr>
        <w:t xml:space="preserve">Send your feedback to </w:t>
      </w:r>
      <w:hyperlink r:id="rId28">
        <w:r w:rsidRPr="48D2DD7F">
          <w:rPr>
            <w:rStyle w:val="Hyperlink"/>
            <w:b/>
            <w:bCs/>
            <w:sz w:val="20"/>
            <w:szCs w:val="20"/>
          </w:rPr>
          <w:t>consumers@hqsc.govt.nz</w:t>
        </w:r>
      </w:hyperlink>
      <w:r w:rsidRPr="48D2DD7F">
        <w:rPr>
          <w:b/>
          <w:bCs/>
          <w:sz w:val="20"/>
          <w:szCs w:val="20"/>
        </w:rPr>
        <w:t xml:space="preserve"> by 12 noon, Wednesday 3 December.</w:t>
      </w:r>
    </w:p>
    <w:p w14:paraId="115629B6" w14:textId="77777777" w:rsidR="00316844" w:rsidRDefault="00316844">
      <w:pPr>
        <w:spacing w:after="200"/>
        <w:rPr>
          <w:rFonts w:cs="Arial"/>
        </w:rPr>
      </w:pPr>
      <w:r>
        <w:br w:type="page"/>
      </w:r>
    </w:p>
    <w:p w14:paraId="6C7A36A8" w14:textId="3ED336F0" w:rsidR="00345535" w:rsidRPr="004A0CF4" w:rsidRDefault="00345535" w:rsidP="00345535">
      <w:pPr>
        <w:pStyle w:val="HQSChead2"/>
      </w:pPr>
      <w:r>
        <w:lastRenderedPageBreak/>
        <w:t xml:space="preserve">Appendix </w:t>
      </w:r>
      <w:r w:rsidR="003F3380">
        <w:t>2</w:t>
      </w:r>
      <w:r>
        <w:t>: Consumer and whānau engagement workshop agenda</w:t>
      </w:r>
      <w:bookmarkStart w:id="3" w:name="_Hlk215038589"/>
      <w:bookmarkStart w:id="4" w:name="_Hlk215125440"/>
    </w:p>
    <w:tbl>
      <w:tblPr>
        <w:tblStyle w:val="HQSCdefault"/>
        <w:tblW w:w="5000" w:type="pct"/>
        <w:tblLayout w:type="fixed"/>
        <w:tblLook w:val="0680" w:firstRow="0" w:lastRow="0" w:firstColumn="1" w:lastColumn="0" w:noHBand="1" w:noVBand="1"/>
      </w:tblPr>
      <w:tblGrid>
        <w:gridCol w:w="2683"/>
        <w:gridCol w:w="6343"/>
      </w:tblGrid>
      <w:tr w:rsidR="00345535" w:rsidRPr="005C7770" w14:paraId="20224F98"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bookmarkEnd w:id="3"/>
          <w:bookmarkEnd w:id="4"/>
          <w:p w14:paraId="278FB20F" w14:textId="77777777" w:rsidR="00345535" w:rsidRPr="005C7770" w:rsidRDefault="00345535">
            <w:pPr>
              <w:pStyle w:val="Normalintable"/>
            </w:pPr>
            <w:r>
              <w:t>Date</w:t>
            </w:r>
          </w:p>
        </w:tc>
        <w:tc>
          <w:tcPr>
            <w:tcW w:w="6369" w:type="dxa"/>
          </w:tcPr>
          <w:p w14:paraId="4EAEB9FF" w14:textId="77777777" w:rsidR="00345535" w:rsidRPr="005C7770" w:rsidRDefault="00345535">
            <w:pPr>
              <w:pStyle w:val="Normalintable"/>
              <w:cnfStyle w:val="000000000000" w:firstRow="0" w:lastRow="0" w:firstColumn="0" w:lastColumn="0" w:oddVBand="0" w:evenVBand="0" w:oddHBand="0" w:evenHBand="0" w:firstRowFirstColumn="0" w:firstRowLastColumn="0" w:lastRowFirstColumn="0" w:lastRowLastColumn="0"/>
            </w:pPr>
            <w:r>
              <w:t>Tuesday 16 December 2025</w:t>
            </w:r>
          </w:p>
        </w:tc>
      </w:tr>
      <w:tr w:rsidR="00345535" w:rsidRPr="005C7770" w14:paraId="75EC325A"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5F543988" w14:textId="77777777" w:rsidR="00345535" w:rsidRDefault="00345535">
            <w:pPr>
              <w:pStyle w:val="Normalintable"/>
            </w:pPr>
            <w:r>
              <w:t>Time</w:t>
            </w:r>
          </w:p>
        </w:tc>
        <w:tc>
          <w:tcPr>
            <w:tcW w:w="6369" w:type="dxa"/>
          </w:tcPr>
          <w:p w14:paraId="3D3002E7" w14:textId="36EA277C" w:rsidR="00345535" w:rsidRPr="005C7770"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9.00 am to </w:t>
            </w:r>
            <w:r w:rsidRPr="00676DD4">
              <w:rPr>
                <w:color w:val="auto"/>
              </w:rPr>
              <w:t>3.30</w:t>
            </w:r>
            <w:r w:rsidR="00CF6E6A">
              <w:rPr>
                <w:color w:val="auto"/>
              </w:rPr>
              <w:t> </w:t>
            </w:r>
            <w:r w:rsidRPr="00676DD4">
              <w:rPr>
                <w:color w:val="auto"/>
              </w:rPr>
              <w:t xml:space="preserve">pm </w:t>
            </w:r>
          </w:p>
        </w:tc>
      </w:tr>
      <w:tr w:rsidR="00345535" w:rsidRPr="005C7770" w14:paraId="5FF805C1"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0154B01E" w14:textId="77777777" w:rsidR="00345535" w:rsidRDefault="00345535">
            <w:pPr>
              <w:pStyle w:val="Normalintable"/>
            </w:pPr>
            <w:r>
              <w:t>Venue</w:t>
            </w:r>
          </w:p>
        </w:tc>
        <w:tc>
          <w:tcPr>
            <w:tcW w:w="6369" w:type="dxa"/>
          </w:tcPr>
          <w:p w14:paraId="28F52779" w14:textId="77777777" w:rsidR="00345535" w:rsidRPr="005C7770" w:rsidRDefault="00345535">
            <w:pPr>
              <w:pStyle w:val="Normalintable"/>
              <w:cnfStyle w:val="000000000000" w:firstRow="0" w:lastRow="0" w:firstColumn="0" w:lastColumn="0" w:oddVBand="0" w:evenVBand="0" w:oddHBand="0" w:evenHBand="0" w:firstRowFirstColumn="0" w:firstRowLastColumn="0" w:lastRowFirstColumn="0" w:lastRowLastColumn="0"/>
            </w:pPr>
            <w:proofErr w:type="spellStart"/>
            <w:r>
              <w:t>Rydges</w:t>
            </w:r>
            <w:proofErr w:type="spellEnd"/>
            <w:r>
              <w:t xml:space="preserve"> Wellington Airport</w:t>
            </w:r>
          </w:p>
        </w:tc>
      </w:tr>
      <w:tr w:rsidR="00345535" w:rsidRPr="00A8083E" w14:paraId="487317E0"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49019651" w14:textId="77777777" w:rsidR="00345535" w:rsidRPr="005C7770" w:rsidRDefault="00345535">
            <w:pPr>
              <w:pStyle w:val="Normalintable"/>
            </w:pPr>
            <w:r>
              <w:t>Health New Zealand consumers</w:t>
            </w:r>
          </w:p>
        </w:tc>
        <w:tc>
          <w:tcPr>
            <w:tcW w:w="6369" w:type="dxa"/>
          </w:tcPr>
          <w:p w14:paraId="5CF07173" w14:textId="5DBCA37B" w:rsidR="00345535"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Northern </w:t>
            </w:r>
            <w:r w:rsidR="00294F52">
              <w:t>R</w:t>
            </w:r>
            <w:r w:rsidR="5D402176">
              <w:t>CC</w:t>
            </w:r>
          </w:p>
          <w:p w14:paraId="0F3D2252" w14:textId="60EE7A96" w:rsidR="00345535"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Te Manawa Taki </w:t>
            </w:r>
            <w:r w:rsidR="5D402176">
              <w:t>RCC</w:t>
            </w:r>
          </w:p>
          <w:p w14:paraId="375A5997" w14:textId="16B9EEE1" w:rsidR="00345535" w:rsidRPr="00A8083E" w:rsidRDefault="00345535">
            <w:pPr>
              <w:pStyle w:val="Normalintable"/>
              <w:cnfStyle w:val="000000000000" w:firstRow="0" w:lastRow="0" w:firstColumn="0" w:lastColumn="0" w:oddVBand="0" w:evenVBand="0" w:oddHBand="0" w:evenHBand="0" w:firstRowFirstColumn="0" w:firstRowLastColumn="0" w:lastRowFirstColumn="0" w:lastRowLastColumn="0"/>
              <w:rPr>
                <w:lang w:val="pt-BR"/>
              </w:rPr>
            </w:pPr>
            <w:r w:rsidRPr="00A8083E">
              <w:rPr>
                <w:lang w:val="pt-BR"/>
              </w:rPr>
              <w:t xml:space="preserve">Te Ikaroa Central </w:t>
            </w:r>
            <w:r w:rsidR="5D402176">
              <w:t>RCC</w:t>
            </w:r>
          </w:p>
          <w:p w14:paraId="202BB95E" w14:textId="1EE83BD5" w:rsidR="00345535" w:rsidRPr="00A8083E" w:rsidRDefault="00345535">
            <w:pPr>
              <w:pStyle w:val="Normalintable"/>
              <w:cnfStyle w:val="000000000000" w:firstRow="0" w:lastRow="0" w:firstColumn="0" w:lastColumn="0" w:oddVBand="0" w:evenVBand="0" w:oddHBand="0" w:evenHBand="0" w:firstRowFirstColumn="0" w:firstRowLastColumn="0" w:lastRowFirstColumn="0" w:lastRowLastColumn="0"/>
              <w:rPr>
                <w:lang w:val="pt-BR"/>
              </w:rPr>
            </w:pPr>
            <w:r w:rsidRPr="00A8083E">
              <w:rPr>
                <w:lang w:val="pt-BR"/>
              </w:rPr>
              <w:t xml:space="preserve">Te Waipounamu </w:t>
            </w:r>
            <w:r w:rsidR="5D402176">
              <w:t>RCC</w:t>
            </w:r>
          </w:p>
        </w:tc>
      </w:tr>
      <w:tr w:rsidR="00345535" w:rsidRPr="005C7770" w14:paraId="4CAEC90F"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0267C638" w14:textId="77777777" w:rsidR="00345535" w:rsidRDefault="00345535">
            <w:pPr>
              <w:pStyle w:val="Normalintable"/>
            </w:pPr>
            <w:r>
              <w:t>Health New Zealand staff</w:t>
            </w:r>
          </w:p>
        </w:tc>
        <w:tc>
          <w:tcPr>
            <w:tcW w:w="6369" w:type="dxa"/>
          </w:tcPr>
          <w:p w14:paraId="35FDB5D8" w14:textId="127CF1CF"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Northern </w:t>
            </w:r>
            <w:r w:rsidR="1BF4F790">
              <w:t>RCC</w:t>
            </w:r>
            <w:r>
              <w:t xml:space="preserve"> Chair; Regional Manager</w:t>
            </w:r>
          </w:p>
          <w:p w14:paraId="7330BC60" w14:textId="561E3752"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CEWV Central Region</w:t>
            </w:r>
          </w:p>
          <w:p w14:paraId="79F750F7" w14:textId="26B556AB"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Quality and Patient Safety Lead Central Region</w:t>
            </w:r>
          </w:p>
          <w:p w14:paraId="740854A5" w14:textId="1834C144"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Interim Director Quality and Patient Safety, </w:t>
            </w:r>
            <w:proofErr w:type="spellStart"/>
            <w:r>
              <w:t>Waitaha</w:t>
            </w:r>
            <w:proofErr w:type="spellEnd"/>
          </w:p>
          <w:p w14:paraId="01FA58E3" w14:textId="7C30B7CE"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 xml:space="preserve">Regional Governance Officer, Te Waipounamu </w:t>
            </w:r>
          </w:p>
          <w:p w14:paraId="76513DF8"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rsidRPr="0034614E">
              <w:t xml:space="preserve">National Chief, Quality and Patient Safety, </w:t>
            </w:r>
            <w:r>
              <w:t>OCCO</w:t>
            </w:r>
          </w:p>
          <w:p w14:paraId="5AD586B7"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CEWV Strategy and Implementation Lead, PFO</w:t>
            </w:r>
          </w:p>
          <w:p w14:paraId="1694F9BE"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rsidRPr="0034614E">
              <w:t>Director Delivery Services</w:t>
            </w:r>
            <w:r>
              <w:t>, PFO</w:t>
            </w:r>
          </w:p>
          <w:p w14:paraId="32C1F4EA"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rsidRPr="000E716E">
              <w:t>Senior Advisor Priority Populations</w:t>
            </w:r>
            <w:r>
              <w:t>,</w:t>
            </w:r>
            <w:r w:rsidRPr="000E716E">
              <w:t xml:space="preserve"> </w:t>
            </w:r>
            <w:r>
              <w:t>CEWV,</w:t>
            </w:r>
            <w:r w:rsidRPr="000E716E">
              <w:t xml:space="preserve"> </w:t>
            </w:r>
            <w:r>
              <w:t>PFO</w:t>
            </w:r>
          </w:p>
          <w:p w14:paraId="660FFEDA"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Group Manager Iwi Māori Relationships, Performance and Funding, Hauora Māori Service</w:t>
            </w:r>
          </w:p>
          <w:p w14:paraId="622BFDA7" w14:textId="7C43F96C" w:rsidR="00345535" w:rsidRDefault="00345535">
            <w:pPr>
              <w:pStyle w:val="Normalintable"/>
              <w:cnfStyle w:val="000000000000" w:firstRow="0" w:lastRow="0" w:firstColumn="0" w:lastColumn="0" w:oddVBand="0" w:evenVBand="0" w:oddHBand="0" w:evenHBand="0" w:firstRowFirstColumn="0" w:firstRowLastColumn="0" w:lastRowFirstColumn="0" w:lastRowLastColumn="0"/>
            </w:pPr>
            <w:r>
              <w:t>Public Health Physician, Population Health PFO</w:t>
            </w:r>
          </w:p>
        </w:tc>
      </w:tr>
      <w:tr w:rsidR="00345535" w:rsidRPr="005C7770" w14:paraId="7C1941DD"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686429AD" w14:textId="01BF30B3" w:rsidR="00345535" w:rsidRPr="005C7770" w:rsidRDefault="00B67EBE">
            <w:pPr>
              <w:pStyle w:val="Normalintable"/>
            </w:pPr>
            <w:r>
              <w:t>Commission</w:t>
            </w:r>
            <w:r w:rsidR="00345535">
              <w:t xml:space="preserve"> consumers</w:t>
            </w:r>
          </w:p>
        </w:tc>
        <w:tc>
          <w:tcPr>
            <w:tcW w:w="6369" w:type="dxa"/>
          </w:tcPr>
          <w:p w14:paraId="659FBAE5" w14:textId="2DEBC83C" w:rsidR="00345535" w:rsidRDefault="00287BE4">
            <w:pPr>
              <w:pStyle w:val="Normalintable"/>
              <w:cnfStyle w:val="000000000000" w:firstRow="0" w:lastRow="0" w:firstColumn="0" w:lastColumn="0" w:oddVBand="0" w:evenVBand="0" w:oddHBand="0" w:evenHBand="0" w:firstRowFirstColumn="0" w:firstRowLastColumn="0" w:lastRowFirstColumn="0" w:lastRowLastColumn="0"/>
            </w:pPr>
            <w:r>
              <w:t xml:space="preserve">Member from </w:t>
            </w:r>
            <w:r w:rsidR="00345535">
              <w:t xml:space="preserve">Consumer Advisory Group Te </w:t>
            </w:r>
            <w:proofErr w:type="spellStart"/>
            <w:r w:rsidR="00345535">
              <w:t>Kāhui</w:t>
            </w:r>
            <w:proofErr w:type="spellEnd"/>
            <w:r w:rsidR="00345535">
              <w:t xml:space="preserve"> Mahi </w:t>
            </w:r>
            <w:proofErr w:type="spellStart"/>
            <w:r w:rsidR="00345535">
              <w:t>Ngātahi</w:t>
            </w:r>
            <w:proofErr w:type="spellEnd"/>
          </w:p>
          <w:p w14:paraId="3BD1D65B" w14:textId="43E33196" w:rsidR="00345535" w:rsidRPr="005C7770" w:rsidRDefault="00287BE4">
            <w:pPr>
              <w:pStyle w:val="Normalintable"/>
              <w:cnfStyle w:val="000000000000" w:firstRow="0" w:lastRow="0" w:firstColumn="0" w:lastColumn="0" w:oddVBand="0" w:evenVBand="0" w:oddHBand="0" w:evenHBand="0" w:firstRowFirstColumn="0" w:firstRowLastColumn="0" w:lastRowFirstColumn="0" w:lastRowLastColumn="0"/>
            </w:pPr>
            <w:r>
              <w:t xml:space="preserve">Member from </w:t>
            </w:r>
            <w:r w:rsidR="00345535">
              <w:t xml:space="preserve">Consumer Network </w:t>
            </w:r>
            <w:proofErr w:type="spellStart"/>
            <w:r w:rsidR="00345535">
              <w:t>Kōtuinga</w:t>
            </w:r>
            <w:proofErr w:type="spellEnd"/>
            <w:r w:rsidR="00345535">
              <w:t xml:space="preserve"> </w:t>
            </w:r>
            <w:proofErr w:type="spellStart"/>
            <w:r w:rsidR="00345535">
              <w:t>Kiritak</w:t>
            </w:r>
            <w:r w:rsidR="007F413E">
              <w:t>i</w:t>
            </w:r>
            <w:proofErr w:type="spellEnd"/>
          </w:p>
        </w:tc>
      </w:tr>
      <w:tr w:rsidR="00345535" w:rsidRPr="005C7770" w14:paraId="7EFD14E4"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7000AF32" w14:textId="550A917D" w:rsidR="00345535" w:rsidRDefault="00B67EBE">
            <w:pPr>
              <w:pStyle w:val="Normalintable"/>
            </w:pPr>
            <w:r>
              <w:t>Commission</w:t>
            </w:r>
            <w:r w:rsidR="00345535">
              <w:t xml:space="preserve"> staff</w:t>
            </w:r>
          </w:p>
        </w:tc>
        <w:tc>
          <w:tcPr>
            <w:tcW w:w="6369" w:type="dxa"/>
          </w:tcPr>
          <w:p w14:paraId="70F1F397"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Director Māori Health and Consumer</w:t>
            </w:r>
          </w:p>
          <w:p w14:paraId="0C0F8D56"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Senior Consumer Advisor</w:t>
            </w:r>
          </w:p>
          <w:p w14:paraId="3C6346B5"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Māori Health and Consumer Advisor</w:t>
            </w:r>
          </w:p>
          <w:p w14:paraId="40E3CABF" w14:textId="77777777" w:rsidR="007F413E" w:rsidRDefault="00345535">
            <w:pPr>
              <w:pStyle w:val="Normalintable"/>
              <w:cnfStyle w:val="000000000000" w:firstRow="0" w:lastRow="0" w:firstColumn="0" w:lastColumn="0" w:oddVBand="0" w:evenVBand="0" w:oddHBand="0" w:evenHBand="0" w:firstRowFirstColumn="0" w:firstRowLastColumn="0" w:lastRowFirstColumn="0" w:lastRowLastColumn="0"/>
            </w:pPr>
            <w:r>
              <w:t>Data Analyst (QSM Lead)</w:t>
            </w:r>
            <w:r w:rsidR="007F413E">
              <w:t xml:space="preserve"> </w:t>
            </w:r>
            <w:r>
              <w:t>Health Quality Intelligence</w:t>
            </w:r>
          </w:p>
          <w:p w14:paraId="75F1EDAA" w14:textId="77777777" w:rsidR="007356E6" w:rsidRDefault="00345535">
            <w:pPr>
              <w:pStyle w:val="Normalintable"/>
              <w:cnfStyle w:val="000000000000" w:firstRow="0" w:lastRow="0" w:firstColumn="0" w:lastColumn="0" w:oddVBand="0" w:evenVBand="0" w:oddHBand="0" w:evenHBand="0" w:firstRowFirstColumn="0" w:firstRowLastColumn="0" w:lastRowFirstColumn="0" w:lastRowLastColumn="0"/>
            </w:pPr>
            <w:r>
              <w:t>Principal Advisor, Strategic Support and Accountability</w:t>
            </w:r>
          </w:p>
          <w:p w14:paraId="4A6ADA00" w14:textId="77777777" w:rsidR="007356E6" w:rsidRDefault="00B12475">
            <w:pPr>
              <w:pStyle w:val="Normalintable"/>
              <w:cnfStyle w:val="000000000000" w:firstRow="0" w:lastRow="0" w:firstColumn="0" w:lastColumn="0" w:oddVBand="0" w:evenVBand="0" w:oddHBand="0" w:evenHBand="0" w:firstRowFirstColumn="0" w:firstRowLastColumn="0" w:lastRowFirstColumn="0" w:lastRowLastColumn="0"/>
            </w:pPr>
            <w:r>
              <w:t xml:space="preserve">Programme </w:t>
            </w:r>
            <w:r w:rsidR="00345535">
              <w:t>Coordinator</w:t>
            </w:r>
          </w:p>
          <w:p w14:paraId="654E115D" w14:textId="783CAAA1" w:rsidR="00345535" w:rsidRPr="005C7770" w:rsidRDefault="00345535">
            <w:pPr>
              <w:pStyle w:val="Normalintable"/>
              <w:cnfStyle w:val="000000000000" w:firstRow="0" w:lastRow="0" w:firstColumn="0" w:lastColumn="0" w:oddVBand="0" w:evenVBand="0" w:oddHBand="0" w:evenHBand="0" w:firstRowFirstColumn="0" w:firstRowLastColumn="0" w:lastRowFirstColumn="0" w:lastRowLastColumn="0"/>
            </w:pPr>
            <w:r>
              <w:t>Principal Communications Advisor, Communications.</w:t>
            </w:r>
          </w:p>
        </w:tc>
      </w:tr>
      <w:tr w:rsidR="00345535" w:rsidRPr="005C7770" w14:paraId="6C1F5E62"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4E17758C" w14:textId="77777777" w:rsidR="00345535" w:rsidRDefault="00345535">
            <w:pPr>
              <w:pStyle w:val="Normalintable"/>
            </w:pPr>
            <w:r>
              <w:t>Ministry of Health</w:t>
            </w:r>
          </w:p>
        </w:tc>
        <w:tc>
          <w:tcPr>
            <w:tcW w:w="6369" w:type="dxa"/>
          </w:tcPr>
          <w:p w14:paraId="126B0A78" w14:textId="77777777" w:rsidR="007356E6" w:rsidRDefault="00345535">
            <w:pPr>
              <w:cnfStyle w:val="000000000000" w:firstRow="0" w:lastRow="0" w:firstColumn="0" w:lastColumn="0" w:oddVBand="0" w:evenVBand="0" w:oddHBand="0" w:evenHBand="0" w:firstRowFirstColumn="0" w:firstRowLastColumn="0" w:lastRowFirstColumn="0" w:lastRowLastColumn="0"/>
            </w:pPr>
            <w:r>
              <w:t>Principal Advisor, Health System Monitoring, Performance and Governance Group</w:t>
            </w:r>
          </w:p>
          <w:p w14:paraId="4DCB9E2B" w14:textId="77777777" w:rsidR="007356E6" w:rsidRDefault="00345535">
            <w:pPr>
              <w:cnfStyle w:val="000000000000" w:firstRow="0" w:lastRow="0" w:firstColumn="0" w:lastColumn="0" w:oddVBand="0" w:evenVBand="0" w:oddHBand="0" w:evenHBand="0" w:firstRowFirstColumn="0" w:firstRowLastColumn="0" w:lastRowFirstColumn="0" w:lastRowLastColumn="0"/>
            </w:pPr>
            <w:r>
              <w:t xml:space="preserve">Senior Advisor, </w:t>
            </w:r>
            <w:r w:rsidRPr="00CB6ED8">
              <w:t>Crown Entity Monitoring</w:t>
            </w:r>
          </w:p>
          <w:p w14:paraId="75056C79" w14:textId="055CA251" w:rsidR="00345535" w:rsidRPr="007356E6" w:rsidRDefault="00345535">
            <w:pPr>
              <w:cnfStyle w:val="000000000000" w:firstRow="0" w:lastRow="0" w:firstColumn="0" w:lastColumn="0" w:oddVBand="0" w:evenVBand="0" w:oddHBand="0" w:evenHBand="0" w:firstRowFirstColumn="0" w:firstRowLastColumn="0" w:lastRowFirstColumn="0" w:lastRowLastColumn="0"/>
            </w:pPr>
            <w:r w:rsidRPr="00CB6ED8">
              <w:t>Group Manager, Health System Monitoring</w:t>
            </w:r>
          </w:p>
        </w:tc>
      </w:tr>
      <w:tr w:rsidR="00345535" w:rsidRPr="005C7770" w14:paraId="6299BEA9" w14:textId="77777777">
        <w:trPr>
          <w:trHeight w:val="397"/>
        </w:trPr>
        <w:tc>
          <w:tcPr>
            <w:cnfStyle w:val="001000000000" w:firstRow="0" w:lastRow="0" w:firstColumn="1" w:lastColumn="0" w:oddVBand="0" w:evenVBand="0" w:oddHBand="0" w:evenHBand="0" w:firstRowFirstColumn="0" w:firstRowLastColumn="0" w:lastRowFirstColumn="0" w:lastRowLastColumn="0"/>
            <w:tcW w:w="2694" w:type="dxa"/>
          </w:tcPr>
          <w:p w14:paraId="0A74BC55" w14:textId="77777777" w:rsidR="00345535" w:rsidRDefault="00345535">
            <w:pPr>
              <w:pStyle w:val="Normalintable"/>
            </w:pPr>
            <w:r>
              <w:t>Apologies</w:t>
            </w:r>
          </w:p>
        </w:tc>
        <w:tc>
          <w:tcPr>
            <w:tcW w:w="6369" w:type="dxa"/>
          </w:tcPr>
          <w:p w14:paraId="3B69BD8E" w14:textId="77777777" w:rsidR="00345535" w:rsidRPr="005C7770" w:rsidRDefault="00345535">
            <w:pPr>
              <w:pStyle w:val="Normalintable"/>
              <w:cnfStyle w:val="000000000000" w:firstRow="0" w:lastRow="0" w:firstColumn="0" w:lastColumn="0" w:oddVBand="0" w:evenVBand="0" w:oddHBand="0" w:evenHBand="0" w:firstRowFirstColumn="0" w:firstRowLastColumn="0" w:lastRowFirstColumn="0" w:lastRowLastColumn="0"/>
            </w:pPr>
          </w:p>
        </w:tc>
      </w:tr>
    </w:tbl>
    <w:p w14:paraId="3F343D93" w14:textId="77777777" w:rsidR="00345535" w:rsidRDefault="00345535"/>
    <w:tbl>
      <w:tblPr>
        <w:tblStyle w:val="HQSCdefault"/>
        <w:tblW w:w="5000" w:type="pct"/>
        <w:tblLook w:val="0680" w:firstRow="0" w:lastRow="0" w:firstColumn="1" w:lastColumn="0" w:noHBand="1" w:noVBand="1"/>
      </w:tblPr>
      <w:tblGrid>
        <w:gridCol w:w="899"/>
        <w:gridCol w:w="1608"/>
        <w:gridCol w:w="6519"/>
      </w:tblGrid>
      <w:tr w:rsidR="007356E6" w:rsidRPr="005C7770" w14:paraId="2BD057C1" w14:textId="77777777" w:rsidTr="007356E6">
        <w:tc>
          <w:tcPr>
            <w:cnfStyle w:val="001000000000" w:firstRow="0" w:lastRow="0" w:firstColumn="1" w:lastColumn="0" w:oddVBand="0" w:evenVBand="0" w:oddHBand="0" w:evenHBand="0" w:firstRowFirstColumn="0" w:firstRowLastColumn="0" w:lastRowFirstColumn="0" w:lastRowLastColumn="0"/>
            <w:tcW w:w="5000" w:type="pct"/>
            <w:gridSpan w:val="3"/>
          </w:tcPr>
          <w:p w14:paraId="522B049F" w14:textId="77777777" w:rsidR="007356E6" w:rsidRPr="004C2DFE" w:rsidRDefault="007356E6">
            <w:pPr>
              <w:pStyle w:val="Normalintable"/>
              <w:rPr>
                <w:b w:val="0"/>
              </w:rPr>
            </w:pPr>
            <w:r>
              <w:lastRenderedPageBreak/>
              <w:t>Item</w:t>
            </w:r>
          </w:p>
        </w:tc>
      </w:tr>
      <w:tr w:rsidR="007356E6" w:rsidRPr="005C7770" w14:paraId="6F097D42"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72C35F9A" w14:textId="77777777" w:rsidR="007356E6" w:rsidRPr="005C7770" w:rsidRDefault="007356E6">
            <w:pPr>
              <w:pStyle w:val="Normalintable"/>
              <w:ind w:left="720"/>
            </w:pPr>
          </w:p>
        </w:tc>
        <w:tc>
          <w:tcPr>
            <w:tcW w:w="891" w:type="pct"/>
            <w:shd w:val="clear" w:color="auto" w:fill="FFFFFF" w:themeFill="background1"/>
          </w:tcPr>
          <w:p w14:paraId="4C3784A4" w14:textId="419CB7BE"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t>8.45</w:t>
            </w:r>
            <w:r w:rsidR="00F804A2">
              <w:t> </w:t>
            </w:r>
            <w:r>
              <w:t xml:space="preserve">am </w:t>
            </w:r>
          </w:p>
        </w:tc>
        <w:tc>
          <w:tcPr>
            <w:tcW w:w="3611" w:type="pct"/>
            <w:shd w:val="clear" w:color="auto" w:fill="FFFFFF" w:themeFill="background1"/>
          </w:tcPr>
          <w:p w14:paraId="08E85E6C" w14:textId="77777777"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t>Arrival coffee/tea – please find your seats in your allocated groups</w:t>
            </w:r>
          </w:p>
        </w:tc>
      </w:tr>
      <w:tr w:rsidR="007356E6" w:rsidRPr="005C7770" w14:paraId="1F1168CE"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5A173294" w14:textId="77777777" w:rsidR="007356E6" w:rsidRPr="005C7770" w:rsidRDefault="007356E6" w:rsidP="00332EDB">
            <w:pPr>
              <w:pStyle w:val="Normalintable"/>
              <w:numPr>
                <w:ilvl w:val="0"/>
                <w:numId w:val="16"/>
              </w:numPr>
            </w:pPr>
          </w:p>
        </w:tc>
        <w:tc>
          <w:tcPr>
            <w:tcW w:w="891" w:type="pct"/>
            <w:shd w:val="clear" w:color="auto" w:fill="FFFFFF" w:themeFill="background1"/>
          </w:tcPr>
          <w:p w14:paraId="46FC3D4B"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 xml:space="preserve">9.00 am </w:t>
            </w:r>
          </w:p>
          <w:p w14:paraId="55C844CE"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(30 mins)</w:t>
            </w:r>
          </w:p>
        </w:tc>
        <w:tc>
          <w:tcPr>
            <w:tcW w:w="3611" w:type="pct"/>
            <w:shd w:val="clear" w:color="auto" w:fill="FFFFFF" w:themeFill="background1"/>
          </w:tcPr>
          <w:p w14:paraId="7F047583"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 xml:space="preserve">Mihi, </w:t>
            </w:r>
            <w:proofErr w:type="spellStart"/>
            <w:r>
              <w:t>karakia</w:t>
            </w:r>
            <w:proofErr w:type="spellEnd"/>
            <w:r>
              <w:t xml:space="preserve"> </w:t>
            </w:r>
            <w:proofErr w:type="spellStart"/>
            <w:r>
              <w:t>timatanga</w:t>
            </w:r>
            <w:proofErr w:type="spellEnd"/>
            <w:r>
              <w:t xml:space="preserve"> me </w:t>
            </w:r>
            <w:proofErr w:type="spellStart"/>
            <w:r>
              <w:t>te</w:t>
            </w:r>
            <w:proofErr w:type="spellEnd"/>
            <w:r>
              <w:t xml:space="preserve"> </w:t>
            </w:r>
            <w:proofErr w:type="spellStart"/>
            <w:r>
              <w:t>whakawhanaungatanga</w:t>
            </w:r>
            <w:proofErr w:type="spellEnd"/>
            <w:r>
              <w:t xml:space="preserve"> (in groups)</w:t>
            </w:r>
          </w:p>
        </w:tc>
      </w:tr>
      <w:tr w:rsidR="007356E6" w:rsidRPr="005C7770" w14:paraId="04C85193"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79EE7AE7" w14:textId="77777777" w:rsidR="007356E6" w:rsidRPr="005C7770" w:rsidRDefault="007356E6" w:rsidP="00332EDB">
            <w:pPr>
              <w:pStyle w:val="Normalintable"/>
              <w:numPr>
                <w:ilvl w:val="0"/>
                <w:numId w:val="16"/>
              </w:numPr>
            </w:pPr>
          </w:p>
        </w:tc>
        <w:tc>
          <w:tcPr>
            <w:tcW w:w="891" w:type="pct"/>
            <w:shd w:val="clear" w:color="auto" w:fill="FFFFFF" w:themeFill="background1"/>
          </w:tcPr>
          <w:p w14:paraId="4CEDE87A"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9.</w:t>
            </w:r>
            <w:r>
              <w:rPr>
                <w:color w:val="auto"/>
              </w:rPr>
              <w:t>3</w:t>
            </w:r>
            <w:r w:rsidRPr="00676DD4">
              <w:rPr>
                <w:color w:val="auto"/>
              </w:rPr>
              <w:t>0 am</w:t>
            </w:r>
          </w:p>
          <w:p w14:paraId="5DFC7433"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(10 mins)</w:t>
            </w:r>
          </w:p>
        </w:tc>
        <w:tc>
          <w:tcPr>
            <w:tcW w:w="3611" w:type="pct"/>
            <w:shd w:val="clear" w:color="auto" w:fill="FFFFFF" w:themeFill="background1"/>
          </w:tcPr>
          <w:p w14:paraId="3902A73D"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Purpose and structure of the day and expected outcomes</w:t>
            </w:r>
          </w:p>
        </w:tc>
      </w:tr>
      <w:tr w:rsidR="007356E6" w:rsidRPr="005C7770" w14:paraId="05F68A67"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13EE349E" w14:textId="77777777" w:rsidR="007356E6" w:rsidRPr="005C7770" w:rsidRDefault="007356E6" w:rsidP="00332EDB">
            <w:pPr>
              <w:pStyle w:val="Normalintable"/>
              <w:numPr>
                <w:ilvl w:val="0"/>
                <w:numId w:val="16"/>
              </w:numPr>
            </w:pPr>
          </w:p>
        </w:tc>
        <w:tc>
          <w:tcPr>
            <w:tcW w:w="891" w:type="pct"/>
            <w:shd w:val="clear" w:color="auto" w:fill="FFFFFF" w:themeFill="background1"/>
          </w:tcPr>
          <w:p w14:paraId="34655E6D" w14:textId="01A459AD" w:rsidR="007356E6" w:rsidRDefault="007356E6">
            <w:pPr>
              <w:pStyle w:val="Normalintable"/>
              <w:spacing w:after="0"/>
              <w:cnfStyle w:val="000000000000" w:firstRow="0" w:lastRow="0" w:firstColumn="0" w:lastColumn="0" w:oddVBand="0" w:evenVBand="0" w:oddHBand="0" w:evenHBand="0" w:firstRowFirstColumn="0" w:firstRowLastColumn="0" w:lastRowFirstColumn="0" w:lastRowLastColumn="0"/>
            </w:pPr>
            <w:r>
              <w:t>9.40</w:t>
            </w:r>
            <w:r w:rsidR="00F804A2">
              <w:t> </w:t>
            </w:r>
            <w:r>
              <w:t>am</w:t>
            </w:r>
          </w:p>
          <w:p w14:paraId="2FE44AF3" w14:textId="77777777"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t>(15 mins)</w:t>
            </w:r>
          </w:p>
        </w:tc>
        <w:tc>
          <w:tcPr>
            <w:tcW w:w="3611" w:type="pct"/>
            <w:shd w:val="clear" w:color="auto" w:fill="FFFFFF" w:themeFill="background1"/>
          </w:tcPr>
          <w:p w14:paraId="641C0D77" w14:textId="77777777"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t>C</w:t>
            </w:r>
            <w:r w:rsidRPr="003253B6">
              <w:t xml:space="preserve">onnecting relationships </w:t>
            </w:r>
            <w:r>
              <w:t>for an integrated consumer and whānau engagement approach</w:t>
            </w:r>
          </w:p>
        </w:tc>
      </w:tr>
      <w:tr w:rsidR="007356E6" w:rsidRPr="005C7770" w14:paraId="5730041F"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5E285779" w14:textId="77777777" w:rsidR="007356E6" w:rsidRPr="005C7770" w:rsidRDefault="007356E6" w:rsidP="00332EDB">
            <w:pPr>
              <w:pStyle w:val="Normalintable"/>
              <w:numPr>
                <w:ilvl w:val="0"/>
                <w:numId w:val="16"/>
              </w:numPr>
            </w:pPr>
          </w:p>
        </w:tc>
        <w:tc>
          <w:tcPr>
            <w:tcW w:w="891" w:type="pct"/>
            <w:shd w:val="clear" w:color="auto" w:fill="FFFFFF" w:themeFill="background1"/>
          </w:tcPr>
          <w:p w14:paraId="4CB0B6CA"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9.</w:t>
            </w:r>
            <w:r>
              <w:rPr>
                <w:color w:val="auto"/>
              </w:rPr>
              <w:t>5</w:t>
            </w:r>
            <w:r w:rsidRPr="00676DD4">
              <w:rPr>
                <w:color w:val="auto"/>
              </w:rPr>
              <w:t>5 am</w:t>
            </w:r>
          </w:p>
          <w:p w14:paraId="32614A8F"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(15 mins)</w:t>
            </w:r>
          </w:p>
        </w:tc>
        <w:tc>
          <w:tcPr>
            <w:tcW w:w="3611" w:type="pct"/>
            <w:shd w:val="clear" w:color="auto" w:fill="FFFFFF" w:themeFill="background1"/>
          </w:tcPr>
          <w:p w14:paraId="59762E5C"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w:t>
            </w:r>
            <w:r w:rsidRPr="00676DD4">
              <w:rPr>
                <w:color w:val="auto"/>
              </w:rPr>
              <w:t>Code of expectations</w:t>
            </w:r>
            <w:r>
              <w:rPr>
                <w:color w:val="auto"/>
              </w:rPr>
              <w:t xml:space="preserve"> – outcomes of the review</w:t>
            </w:r>
            <w:r w:rsidRPr="00676DD4">
              <w:rPr>
                <w:color w:val="auto"/>
              </w:rPr>
              <w:t xml:space="preserve"> </w:t>
            </w:r>
          </w:p>
          <w:p w14:paraId="25DD542B"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Pr>
                <w:color w:val="auto"/>
              </w:rPr>
              <w:t>A b</w:t>
            </w:r>
            <w:r w:rsidRPr="00676DD4">
              <w:rPr>
                <w:color w:val="auto"/>
              </w:rPr>
              <w:t xml:space="preserve">rief history of the </w:t>
            </w:r>
            <w:r>
              <w:rPr>
                <w:color w:val="auto"/>
              </w:rPr>
              <w:t xml:space="preserve">QSM and the </w:t>
            </w:r>
            <w:r w:rsidRPr="00676DD4">
              <w:rPr>
                <w:color w:val="auto"/>
              </w:rPr>
              <w:t>SURE framework</w:t>
            </w:r>
          </w:p>
          <w:p w14:paraId="36F2B9CF"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Shared intent and practical implications</w:t>
            </w:r>
          </w:p>
        </w:tc>
      </w:tr>
      <w:tr w:rsidR="007356E6" w:rsidRPr="005C7770" w14:paraId="7E982C19"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681AEE4E" w14:textId="77777777" w:rsidR="007356E6" w:rsidRPr="005C7770" w:rsidRDefault="007356E6" w:rsidP="00332EDB">
            <w:pPr>
              <w:pStyle w:val="Normalintable"/>
              <w:numPr>
                <w:ilvl w:val="0"/>
                <w:numId w:val="16"/>
              </w:numPr>
            </w:pPr>
          </w:p>
        </w:tc>
        <w:tc>
          <w:tcPr>
            <w:tcW w:w="891" w:type="pct"/>
            <w:shd w:val="clear" w:color="auto" w:fill="FFFFFF" w:themeFill="background1"/>
          </w:tcPr>
          <w:p w14:paraId="6C350664"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10.</w:t>
            </w:r>
            <w:r>
              <w:rPr>
                <w:color w:val="auto"/>
              </w:rPr>
              <w:t>1</w:t>
            </w:r>
            <w:r w:rsidRPr="00676DD4">
              <w:rPr>
                <w:color w:val="auto"/>
              </w:rPr>
              <w:t>0 am</w:t>
            </w:r>
          </w:p>
          <w:p w14:paraId="49432549"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(20 mins)</w:t>
            </w:r>
          </w:p>
        </w:tc>
        <w:tc>
          <w:tcPr>
            <w:tcW w:w="3611" w:type="pct"/>
            <w:shd w:val="clear" w:color="auto" w:fill="FFFFFF" w:themeFill="background1"/>
          </w:tcPr>
          <w:p w14:paraId="2FFA3E35"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Application of the SURE framework</w:t>
            </w:r>
            <w:r>
              <w:rPr>
                <w:color w:val="auto"/>
              </w:rPr>
              <w:t xml:space="preserve"> – a </w:t>
            </w:r>
            <w:r w:rsidRPr="00676DD4">
              <w:rPr>
                <w:color w:val="auto"/>
              </w:rPr>
              <w:t>regional perspective to guide improvement</w:t>
            </w:r>
          </w:p>
        </w:tc>
      </w:tr>
      <w:tr w:rsidR="007356E6" w:rsidRPr="005C7770" w14:paraId="15C1222F"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2EE0C0D5" w14:textId="77777777" w:rsidR="007356E6" w:rsidRPr="005C7770" w:rsidRDefault="007356E6" w:rsidP="00332EDB">
            <w:pPr>
              <w:pStyle w:val="Normalintable"/>
              <w:numPr>
                <w:ilvl w:val="0"/>
                <w:numId w:val="16"/>
              </w:numPr>
            </w:pPr>
          </w:p>
        </w:tc>
        <w:tc>
          <w:tcPr>
            <w:tcW w:w="891" w:type="pct"/>
            <w:shd w:val="clear" w:color="auto" w:fill="FFFFFF" w:themeFill="background1"/>
          </w:tcPr>
          <w:p w14:paraId="7F5267B1"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10.</w:t>
            </w:r>
            <w:r>
              <w:rPr>
                <w:color w:val="auto"/>
              </w:rPr>
              <w:t>3</w:t>
            </w:r>
            <w:r w:rsidRPr="00676DD4">
              <w:rPr>
                <w:color w:val="auto"/>
              </w:rPr>
              <w:t>0 am</w:t>
            </w:r>
          </w:p>
          <w:p w14:paraId="1760F9F9"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(10 mins)</w:t>
            </w:r>
          </w:p>
        </w:tc>
        <w:tc>
          <w:tcPr>
            <w:tcW w:w="3611" w:type="pct"/>
            <w:shd w:val="clear" w:color="auto" w:fill="FFFFFF" w:themeFill="background1"/>
          </w:tcPr>
          <w:p w14:paraId="7E6284EB" w14:textId="4B59E3E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Recap – key takeaways from the presentations</w:t>
            </w:r>
          </w:p>
        </w:tc>
      </w:tr>
      <w:tr w:rsidR="007356E6" w:rsidRPr="005C7770" w14:paraId="546E7385" w14:textId="77777777" w:rsidTr="007356E6">
        <w:trPr>
          <w:gridAfter w:val="1"/>
          <w:wAfter w:w="3611" w:type="pct"/>
        </w:trPr>
        <w:tc>
          <w:tcPr>
            <w:cnfStyle w:val="001000000000" w:firstRow="0" w:lastRow="0" w:firstColumn="1" w:lastColumn="0" w:oddVBand="0" w:evenVBand="0" w:oddHBand="0" w:evenHBand="0" w:firstRowFirstColumn="0" w:firstRowLastColumn="0" w:lastRowFirstColumn="0" w:lastRowLastColumn="0"/>
            <w:tcW w:w="498" w:type="pct"/>
          </w:tcPr>
          <w:p w14:paraId="2D493074" w14:textId="77777777" w:rsidR="007356E6" w:rsidRDefault="007356E6">
            <w:pPr>
              <w:pStyle w:val="Normalintable"/>
            </w:pPr>
          </w:p>
        </w:tc>
        <w:tc>
          <w:tcPr>
            <w:tcW w:w="891" w:type="pct"/>
            <w:shd w:val="clear" w:color="auto" w:fill="F2F2F2" w:themeFill="background1" w:themeFillShade="F2"/>
          </w:tcPr>
          <w:p w14:paraId="6BD4A1A3"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10.40 TBC</w:t>
            </w:r>
          </w:p>
          <w:p w14:paraId="5749DFB4" w14:textId="77777777"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rsidRPr="00676DD4">
              <w:rPr>
                <w:color w:val="auto"/>
              </w:rPr>
              <w:t>(20 mins)</w:t>
            </w:r>
          </w:p>
        </w:tc>
      </w:tr>
      <w:tr w:rsidR="007356E6" w:rsidRPr="005C7770" w14:paraId="6016321C"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2C529AB2" w14:textId="77777777" w:rsidR="007356E6" w:rsidRDefault="007356E6" w:rsidP="00332EDB">
            <w:pPr>
              <w:pStyle w:val="Normalintable"/>
              <w:numPr>
                <w:ilvl w:val="0"/>
                <w:numId w:val="16"/>
              </w:numPr>
            </w:pPr>
          </w:p>
        </w:tc>
        <w:tc>
          <w:tcPr>
            <w:tcW w:w="891" w:type="pct"/>
            <w:shd w:val="clear" w:color="auto" w:fill="FFFFFF" w:themeFill="background1"/>
          </w:tcPr>
          <w:p w14:paraId="78056F49"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w:t>
            </w:r>
            <w:r>
              <w:rPr>
                <w:color w:val="auto"/>
              </w:rPr>
              <w:t>1</w:t>
            </w:r>
            <w:r w:rsidRPr="00676DD4">
              <w:rPr>
                <w:color w:val="auto"/>
              </w:rPr>
              <w:t>.</w:t>
            </w:r>
            <w:r>
              <w:rPr>
                <w:color w:val="auto"/>
              </w:rPr>
              <w:t>0</w:t>
            </w:r>
            <w:r w:rsidRPr="00676DD4">
              <w:rPr>
                <w:color w:val="auto"/>
              </w:rPr>
              <w:t>0 am</w:t>
            </w:r>
          </w:p>
          <w:p w14:paraId="038B2E72"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w:t>
            </w:r>
            <w:r>
              <w:rPr>
                <w:color w:val="auto"/>
              </w:rPr>
              <w:t>6</w:t>
            </w:r>
            <w:r w:rsidRPr="00676DD4">
              <w:rPr>
                <w:color w:val="auto"/>
              </w:rPr>
              <w:t>0 mins)</w:t>
            </w:r>
          </w:p>
        </w:tc>
        <w:tc>
          <w:tcPr>
            <w:tcW w:w="3611" w:type="pct"/>
            <w:shd w:val="clear" w:color="auto" w:fill="FFFFFF" w:themeFill="background1"/>
          </w:tcPr>
          <w:p w14:paraId="0D8186B0" w14:textId="77777777" w:rsidR="007356E6" w:rsidRPr="00500D4B" w:rsidRDefault="007356E6">
            <w:pPr>
              <w:pStyle w:val="Normalintable"/>
              <w:cnfStyle w:val="000000000000" w:firstRow="0" w:lastRow="0" w:firstColumn="0" w:lastColumn="0" w:oddVBand="0" w:evenVBand="0" w:oddHBand="0" w:evenHBand="0" w:firstRowFirstColumn="0" w:firstRowLastColumn="0" w:lastRowFirstColumn="0" w:lastRowLastColumn="0"/>
              <w:rPr>
                <w:b/>
                <w:bCs/>
                <w:color w:val="auto"/>
              </w:rPr>
            </w:pPr>
            <w:r w:rsidRPr="00500D4B">
              <w:rPr>
                <w:b/>
                <w:bCs/>
                <w:color w:val="auto"/>
              </w:rPr>
              <w:t xml:space="preserve">Workshop 1: </w:t>
            </w:r>
          </w:p>
          <w:p w14:paraId="3D18B50D"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 xml:space="preserve">Propose decisions and actions in response to key morning takeaways </w:t>
            </w:r>
          </w:p>
          <w:p w14:paraId="77E68684" w14:textId="77777777" w:rsidR="007356E6" w:rsidRDefault="007356E6" w:rsidP="00332EDB">
            <w:pPr>
              <w:pStyle w:val="Normalintable"/>
              <w:numPr>
                <w:ilvl w:val="0"/>
                <w:numId w:val="17"/>
              </w:numPr>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 xml:space="preserve">Applying the SURE framework to a new national health system </w:t>
            </w:r>
          </w:p>
          <w:p w14:paraId="61C36B24" w14:textId="77777777" w:rsidR="007356E6" w:rsidRDefault="007356E6" w:rsidP="00332EDB">
            <w:pPr>
              <w:pStyle w:val="Normalintable"/>
              <w:numPr>
                <w:ilvl w:val="0"/>
                <w:numId w:val="17"/>
              </w:numPr>
              <w:cnfStyle w:val="000000000000" w:firstRow="0" w:lastRow="0" w:firstColumn="0" w:lastColumn="0" w:oddVBand="0" w:evenVBand="0" w:oddHBand="0" w:evenHBand="0" w:firstRowFirstColumn="0" w:firstRowLastColumn="0" w:lastRowFirstColumn="0" w:lastRowLastColumn="0"/>
              <w:rPr>
                <w:color w:val="auto"/>
              </w:rPr>
            </w:pPr>
            <w:r>
              <w:rPr>
                <w:color w:val="auto"/>
              </w:rPr>
              <w:t>O</w:t>
            </w:r>
            <w:r w:rsidRPr="00676DD4">
              <w:rPr>
                <w:color w:val="auto"/>
              </w:rPr>
              <w:t>utlining opportunities to strengthen connection across the consumer journey using the QSM</w:t>
            </w:r>
          </w:p>
          <w:p w14:paraId="20F22137" w14:textId="798E0D10" w:rsidR="007356E6" w:rsidRPr="00676DD4" w:rsidRDefault="007356E6" w:rsidP="00332EDB">
            <w:pPr>
              <w:pStyle w:val="Normalintable"/>
              <w:numPr>
                <w:ilvl w:val="0"/>
                <w:numId w:val="17"/>
              </w:numPr>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 xml:space="preserve">Proposing a QSM reporting approach and responsibilities for the current Health context </w:t>
            </w:r>
            <w:r w:rsidR="799E85C0" w:rsidRPr="6B43301B">
              <w:rPr>
                <w:color w:val="auto"/>
              </w:rPr>
              <w:t>–</w:t>
            </w:r>
            <w:r w:rsidRPr="00676DD4">
              <w:rPr>
                <w:color w:val="auto"/>
              </w:rPr>
              <w:t xml:space="preserve"> district, regional, national and other services across a </w:t>
            </w:r>
            <w:r w:rsidR="00520057">
              <w:rPr>
                <w:color w:val="auto"/>
              </w:rPr>
              <w:t>‘</w:t>
            </w:r>
            <w:r w:rsidR="4D27B50B" w:rsidRPr="6B43301B">
              <w:rPr>
                <w:color w:val="auto"/>
              </w:rPr>
              <w:t>whole</w:t>
            </w:r>
            <w:r w:rsidRPr="00676DD4">
              <w:rPr>
                <w:color w:val="auto"/>
              </w:rPr>
              <w:t xml:space="preserve"> system’ approach </w:t>
            </w:r>
          </w:p>
          <w:p w14:paraId="03F10C5B" w14:textId="73078E3A" w:rsidR="007356E6" w:rsidRPr="00676DD4" w:rsidRDefault="007356E6" w:rsidP="00332EDB">
            <w:pPr>
              <w:pStyle w:val="Normalintable"/>
              <w:numPr>
                <w:ilvl w:val="0"/>
                <w:numId w:val="17"/>
              </w:numPr>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 xml:space="preserve">Agreeing </w:t>
            </w:r>
            <w:r>
              <w:rPr>
                <w:color w:val="auto"/>
              </w:rPr>
              <w:t xml:space="preserve">the </w:t>
            </w:r>
            <w:r w:rsidRPr="00676DD4">
              <w:rPr>
                <w:color w:val="auto"/>
              </w:rPr>
              <w:t>expect</w:t>
            </w:r>
            <w:r>
              <w:rPr>
                <w:color w:val="auto"/>
              </w:rPr>
              <w:t xml:space="preserve">ations </w:t>
            </w:r>
            <w:r w:rsidR="799E85C0" w:rsidRPr="6B43301B">
              <w:rPr>
                <w:color w:val="auto"/>
              </w:rPr>
              <w:t>–</w:t>
            </w:r>
            <w:r>
              <w:rPr>
                <w:color w:val="auto"/>
              </w:rPr>
              <w:t xml:space="preserve"> what we hope</w:t>
            </w:r>
            <w:r w:rsidRPr="00676DD4">
              <w:rPr>
                <w:color w:val="auto"/>
              </w:rPr>
              <w:t xml:space="preserve"> to see</w:t>
            </w:r>
            <w:r>
              <w:rPr>
                <w:color w:val="auto"/>
              </w:rPr>
              <w:t xml:space="preserve"> and the timeframe,</w:t>
            </w:r>
            <w:r w:rsidRPr="00676DD4">
              <w:rPr>
                <w:color w:val="auto"/>
              </w:rPr>
              <w:t xml:space="preserve"> as the impact of the SURE framework and QSM on meeting the Code in the current health context? </w:t>
            </w:r>
          </w:p>
        </w:tc>
      </w:tr>
      <w:tr w:rsidR="007356E6" w:rsidRPr="005C7770" w14:paraId="3C3A9D57"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4E8D4CCA" w14:textId="77777777" w:rsidR="007356E6" w:rsidRDefault="007356E6" w:rsidP="00332EDB">
            <w:pPr>
              <w:pStyle w:val="Normalintable"/>
              <w:numPr>
                <w:ilvl w:val="0"/>
                <w:numId w:val="16"/>
              </w:numPr>
            </w:pPr>
          </w:p>
        </w:tc>
        <w:tc>
          <w:tcPr>
            <w:tcW w:w="891" w:type="pct"/>
            <w:shd w:val="clear" w:color="auto" w:fill="FFFFFF" w:themeFill="background1"/>
          </w:tcPr>
          <w:p w14:paraId="1DC7BB73"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12.00 pm</w:t>
            </w:r>
          </w:p>
          <w:p w14:paraId="126EEAFE"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(45 mins)</w:t>
            </w:r>
          </w:p>
        </w:tc>
        <w:tc>
          <w:tcPr>
            <w:tcW w:w="3611" w:type="pct"/>
            <w:shd w:val="clear" w:color="auto" w:fill="FFFFFF" w:themeFill="background1"/>
          </w:tcPr>
          <w:p w14:paraId="4439DF4D" w14:textId="77777777" w:rsidR="007356E6" w:rsidRPr="00676DD4"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676DD4">
              <w:rPr>
                <w:color w:val="auto"/>
              </w:rPr>
              <w:t>Feedback and discussion to broader group and agree decision and actions as a summary of recommendations</w:t>
            </w:r>
          </w:p>
        </w:tc>
      </w:tr>
      <w:tr w:rsidR="007356E6" w:rsidRPr="005C7770" w14:paraId="7C1FED24" w14:textId="77777777" w:rsidTr="007356E6">
        <w:trPr>
          <w:gridAfter w:val="1"/>
          <w:wAfter w:w="3611" w:type="pct"/>
        </w:trPr>
        <w:tc>
          <w:tcPr>
            <w:cnfStyle w:val="001000000000" w:firstRow="0" w:lastRow="0" w:firstColumn="1" w:lastColumn="0" w:oddVBand="0" w:evenVBand="0" w:oddHBand="0" w:evenHBand="0" w:firstRowFirstColumn="0" w:firstRowLastColumn="0" w:lastRowFirstColumn="0" w:lastRowLastColumn="0"/>
            <w:tcW w:w="498" w:type="pct"/>
          </w:tcPr>
          <w:p w14:paraId="2FB2EDA5" w14:textId="77777777" w:rsidR="007356E6" w:rsidRDefault="007356E6">
            <w:pPr>
              <w:pStyle w:val="Normalintable"/>
            </w:pPr>
          </w:p>
        </w:tc>
        <w:tc>
          <w:tcPr>
            <w:tcW w:w="891" w:type="pct"/>
            <w:shd w:val="clear" w:color="auto" w:fill="F2F2F2" w:themeFill="background1" w:themeFillShade="F2"/>
          </w:tcPr>
          <w:p w14:paraId="7E53A103" w14:textId="073315BB" w:rsidR="007356E6" w:rsidRPr="005C7770" w:rsidRDefault="007356E6">
            <w:pPr>
              <w:pStyle w:val="Normalintable"/>
              <w:cnfStyle w:val="000000000000" w:firstRow="0" w:lastRow="0" w:firstColumn="0" w:lastColumn="0" w:oddVBand="0" w:evenVBand="0" w:oddHBand="0" w:evenHBand="0" w:firstRowFirstColumn="0" w:firstRowLastColumn="0" w:lastRowFirstColumn="0" w:lastRowLastColumn="0"/>
            </w:pPr>
            <w:r>
              <w:t>12.45 to 1.25</w:t>
            </w:r>
            <w:r w:rsidR="00F804A2">
              <w:t> </w:t>
            </w:r>
            <w:r>
              <w:t>pm (40</w:t>
            </w:r>
            <w:r w:rsidR="007816DE">
              <w:t> </w:t>
            </w:r>
            <w:r>
              <w:t>mins)</w:t>
            </w:r>
          </w:p>
        </w:tc>
      </w:tr>
      <w:tr w:rsidR="007356E6" w:rsidRPr="005C7770" w14:paraId="3AB79214"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183B1221" w14:textId="77777777" w:rsidR="007356E6" w:rsidRDefault="007356E6" w:rsidP="00332EDB">
            <w:pPr>
              <w:pStyle w:val="Normalintable"/>
              <w:numPr>
                <w:ilvl w:val="0"/>
                <w:numId w:val="16"/>
              </w:numPr>
            </w:pPr>
          </w:p>
        </w:tc>
        <w:tc>
          <w:tcPr>
            <w:tcW w:w="891" w:type="pct"/>
            <w:shd w:val="clear" w:color="auto" w:fill="FFFFFF" w:themeFill="background1"/>
          </w:tcPr>
          <w:p w14:paraId="2D3346C5" w14:textId="02E503EA"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1.25</w:t>
            </w:r>
            <w:r w:rsidR="00F804A2">
              <w:rPr>
                <w:color w:val="auto"/>
              </w:rPr>
              <w:t> </w:t>
            </w:r>
            <w:r w:rsidRPr="0022640C">
              <w:rPr>
                <w:color w:val="auto"/>
              </w:rPr>
              <w:t>pm</w:t>
            </w:r>
          </w:p>
          <w:p w14:paraId="232EB1AF" w14:textId="0F13E575" w:rsidR="007356E6" w:rsidRPr="0022640C" w:rsidRDefault="007356E6">
            <w:pPr>
              <w:pStyle w:val="Normalintable"/>
              <w:spacing w:before="0"/>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 xml:space="preserve">(30 mins workshop – 15 </w:t>
            </w:r>
            <w:r w:rsidR="4D27B50B" w:rsidRPr="6B43301B">
              <w:rPr>
                <w:color w:val="auto"/>
              </w:rPr>
              <w:t>mins</w:t>
            </w:r>
            <w:r w:rsidRPr="0022640C">
              <w:rPr>
                <w:color w:val="auto"/>
              </w:rPr>
              <w:t xml:space="preserve"> feedback)</w:t>
            </w:r>
          </w:p>
        </w:tc>
        <w:tc>
          <w:tcPr>
            <w:tcW w:w="3611" w:type="pct"/>
            <w:shd w:val="clear" w:color="auto" w:fill="FFFFFF" w:themeFill="background1"/>
          </w:tcPr>
          <w:p w14:paraId="5163504E"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E75207">
              <w:rPr>
                <w:b/>
                <w:bCs/>
                <w:color w:val="auto"/>
              </w:rPr>
              <w:t>Workshop 2:</w:t>
            </w:r>
            <w:r w:rsidRPr="0022640C">
              <w:rPr>
                <w:color w:val="auto"/>
              </w:rPr>
              <w:t xml:space="preserve"> </w:t>
            </w:r>
          </w:p>
          <w:p w14:paraId="6A0C8FFC"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 xml:space="preserve">Exploring opportunities to share and apply the learning from the SURE framework and QSMs across health entities </w:t>
            </w:r>
          </w:p>
        </w:tc>
      </w:tr>
      <w:tr w:rsidR="007356E6" w:rsidRPr="005C7770" w14:paraId="035C47EF"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2F6BCAFB" w14:textId="77777777" w:rsidR="007356E6" w:rsidRDefault="007356E6" w:rsidP="00332EDB">
            <w:pPr>
              <w:pStyle w:val="Normalintable"/>
              <w:numPr>
                <w:ilvl w:val="0"/>
                <w:numId w:val="16"/>
              </w:numPr>
            </w:pPr>
          </w:p>
        </w:tc>
        <w:tc>
          <w:tcPr>
            <w:tcW w:w="891" w:type="pct"/>
            <w:shd w:val="clear" w:color="auto" w:fill="FFFFFF" w:themeFill="background1"/>
          </w:tcPr>
          <w:p w14:paraId="5556BE1F" w14:textId="7D5E181D"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2.10</w:t>
            </w:r>
            <w:r w:rsidR="00F804A2">
              <w:rPr>
                <w:color w:val="auto"/>
              </w:rPr>
              <w:t> </w:t>
            </w:r>
            <w:r w:rsidRPr="0022640C">
              <w:rPr>
                <w:color w:val="auto"/>
              </w:rPr>
              <w:t>pm</w:t>
            </w:r>
          </w:p>
          <w:p w14:paraId="7BC89B47" w14:textId="33C0A43F" w:rsidR="007356E6" w:rsidRPr="0022640C" w:rsidRDefault="007356E6">
            <w:pPr>
              <w:pStyle w:val="Normalintable"/>
              <w:spacing w:before="0"/>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 xml:space="preserve">(30 mins workshop – 15 </w:t>
            </w:r>
            <w:r w:rsidR="4D27B50B" w:rsidRPr="6B43301B">
              <w:rPr>
                <w:color w:val="auto"/>
              </w:rPr>
              <w:t>mins</w:t>
            </w:r>
            <w:r w:rsidRPr="0022640C">
              <w:rPr>
                <w:color w:val="auto"/>
              </w:rPr>
              <w:t xml:space="preserve"> feedback)</w:t>
            </w:r>
          </w:p>
        </w:tc>
        <w:tc>
          <w:tcPr>
            <w:tcW w:w="3611" w:type="pct"/>
            <w:shd w:val="clear" w:color="auto" w:fill="FFFFFF" w:themeFill="background1"/>
          </w:tcPr>
          <w:p w14:paraId="59F9E1D6"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E75207">
              <w:rPr>
                <w:b/>
                <w:bCs/>
                <w:color w:val="auto"/>
              </w:rPr>
              <w:t>Workshop 3:</w:t>
            </w:r>
            <w:r w:rsidRPr="0022640C">
              <w:rPr>
                <w:color w:val="auto"/>
              </w:rPr>
              <w:t xml:space="preserve"> </w:t>
            </w:r>
          </w:p>
          <w:p w14:paraId="6259B013"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Exploring practical enablers to enhance the application of the SURE framework in supporting consumer engagement within the current health context (</w:t>
            </w:r>
            <w:r>
              <w:rPr>
                <w:color w:val="auto"/>
              </w:rPr>
              <w:t>e.g.</w:t>
            </w:r>
            <w:r w:rsidRPr="0022640C">
              <w:rPr>
                <w:color w:val="auto"/>
              </w:rPr>
              <w:t xml:space="preserve"> the decision tree)</w:t>
            </w:r>
          </w:p>
        </w:tc>
      </w:tr>
      <w:tr w:rsidR="007356E6" w:rsidRPr="005C7770" w14:paraId="26318AFC"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064042CA" w14:textId="77777777" w:rsidR="007356E6" w:rsidRDefault="007356E6" w:rsidP="00332EDB">
            <w:pPr>
              <w:pStyle w:val="Normalintable"/>
              <w:numPr>
                <w:ilvl w:val="0"/>
                <w:numId w:val="16"/>
              </w:numPr>
            </w:pPr>
          </w:p>
        </w:tc>
        <w:tc>
          <w:tcPr>
            <w:tcW w:w="891" w:type="pct"/>
            <w:shd w:val="clear" w:color="auto" w:fill="FFFFFF" w:themeFill="background1"/>
          </w:tcPr>
          <w:p w14:paraId="6A4F043D"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2.55 pm</w:t>
            </w:r>
          </w:p>
          <w:p w14:paraId="74629596"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(30 mins)</w:t>
            </w:r>
          </w:p>
        </w:tc>
        <w:tc>
          <w:tcPr>
            <w:tcW w:w="3611" w:type="pct"/>
            <w:shd w:val="clear" w:color="auto" w:fill="FFFFFF" w:themeFill="background1"/>
          </w:tcPr>
          <w:p w14:paraId="05119E3F"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b/>
                <w:bCs/>
                <w:color w:val="auto"/>
              </w:rPr>
            </w:pPr>
            <w:r w:rsidRPr="0022640C">
              <w:rPr>
                <w:b/>
                <w:bCs/>
                <w:color w:val="auto"/>
              </w:rPr>
              <w:t>Our way forward</w:t>
            </w:r>
          </w:p>
          <w:p w14:paraId="0FF08904"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 xml:space="preserve">Recap of expectations of the day – where did we land? </w:t>
            </w:r>
          </w:p>
          <w:p w14:paraId="19C525CA"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Next steps and shared commitments</w:t>
            </w:r>
          </w:p>
          <w:p w14:paraId="3B4766DD" w14:textId="77777777" w:rsidR="007356E6" w:rsidRPr="0022640C" w:rsidRDefault="007356E6">
            <w:pPr>
              <w:pStyle w:val="Normalintable"/>
              <w:cnfStyle w:val="000000000000" w:firstRow="0" w:lastRow="0" w:firstColumn="0" w:lastColumn="0" w:oddVBand="0" w:evenVBand="0" w:oddHBand="0" w:evenHBand="0" w:firstRowFirstColumn="0" w:firstRowLastColumn="0" w:lastRowFirstColumn="0" w:lastRowLastColumn="0"/>
              <w:rPr>
                <w:color w:val="auto"/>
              </w:rPr>
            </w:pPr>
            <w:r w:rsidRPr="0022640C">
              <w:rPr>
                <w:color w:val="auto"/>
              </w:rPr>
              <w:t>Workshop review, feedback and evaluation</w:t>
            </w:r>
          </w:p>
        </w:tc>
      </w:tr>
      <w:tr w:rsidR="007356E6" w:rsidRPr="005C7770" w14:paraId="3003C708" w14:textId="77777777" w:rsidTr="007356E6">
        <w:tc>
          <w:tcPr>
            <w:cnfStyle w:val="001000000000" w:firstRow="0" w:lastRow="0" w:firstColumn="1" w:lastColumn="0" w:oddVBand="0" w:evenVBand="0" w:oddHBand="0" w:evenHBand="0" w:firstRowFirstColumn="0" w:firstRowLastColumn="0" w:lastRowFirstColumn="0" w:lastRowLastColumn="0"/>
            <w:tcW w:w="498" w:type="pct"/>
            <w:shd w:val="clear" w:color="auto" w:fill="FFFFFF" w:themeFill="background1"/>
          </w:tcPr>
          <w:p w14:paraId="55ADA4C9" w14:textId="77777777" w:rsidR="007356E6" w:rsidRDefault="007356E6" w:rsidP="00332EDB">
            <w:pPr>
              <w:pStyle w:val="Normalintable"/>
              <w:numPr>
                <w:ilvl w:val="0"/>
                <w:numId w:val="16"/>
              </w:numPr>
            </w:pPr>
          </w:p>
        </w:tc>
        <w:tc>
          <w:tcPr>
            <w:tcW w:w="891" w:type="pct"/>
            <w:shd w:val="clear" w:color="auto" w:fill="FFFFFF" w:themeFill="background1"/>
          </w:tcPr>
          <w:p w14:paraId="0197988D" w14:textId="7224D3AD"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3.25</w:t>
            </w:r>
            <w:r w:rsidR="00F804A2">
              <w:t> </w:t>
            </w:r>
            <w:r>
              <w:t>pm</w:t>
            </w:r>
          </w:p>
        </w:tc>
        <w:tc>
          <w:tcPr>
            <w:tcW w:w="3611" w:type="pct"/>
            <w:shd w:val="clear" w:color="auto" w:fill="FFFFFF" w:themeFill="background1"/>
          </w:tcPr>
          <w:p w14:paraId="2FC4116C" w14:textId="77777777"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proofErr w:type="spellStart"/>
            <w:r>
              <w:rPr>
                <w:b/>
                <w:bCs/>
              </w:rPr>
              <w:t>Whakakapi</w:t>
            </w:r>
            <w:proofErr w:type="spellEnd"/>
            <w:r>
              <w:rPr>
                <w:b/>
                <w:bCs/>
              </w:rPr>
              <w:t xml:space="preserve"> me </w:t>
            </w:r>
            <w:proofErr w:type="spellStart"/>
            <w:r>
              <w:rPr>
                <w:b/>
                <w:bCs/>
              </w:rPr>
              <w:t>te</w:t>
            </w:r>
            <w:proofErr w:type="spellEnd"/>
            <w:r>
              <w:rPr>
                <w:b/>
                <w:bCs/>
              </w:rPr>
              <w:t xml:space="preserve"> </w:t>
            </w:r>
            <w:proofErr w:type="spellStart"/>
            <w:r>
              <w:rPr>
                <w:b/>
                <w:bCs/>
              </w:rPr>
              <w:t>karakia</w:t>
            </w:r>
            <w:proofErr w:type="spellEnd"/>
            <w:r>
              <w:rPr>
                <w:b/>
                <w:bCs/>
              </w:rPr>
              <w:t xml:space="preserve"> </w:t>
            </w:r>
            <w:proofErr w:type="spellStart"/>
            <w:r>
              <w:rPr>
                <w:b/>
                <w:bCs/>
              </w:rPr>
              <w:t>whakamutunga</w:t>
            </w:r>
            <w:proofErr w:type="spellEnd"/>
          </w:p>
        </w:tc>
      </w:tr>
      <w:tr w:rsidR="007356E6" w:rsidRPr="005C7770" w14:paraId="20D522B6" w14:textId="77777777" w:rsidTr="007356E6">
        <w:trPr>
          <w:gridAfter w:val="1"/>
          <w:wAfter w:w="3611" w:type="pct"/>
        </w:trPr>
        <w:tc>
          <w:tcPr>
            <w:cnfStyle w:val="001000000000" w:firstRow="0" w:lastRow="0" w:firstColumn="1" w:lastColumn="0" w:oddVBand="0" w:evenVBand="0" w:oddHBand="0" w:evenHBand="0" w:firstRowFirstColumn="0" w:firstRowLastColumn="0" w:lastRowFirstColumn="0" w:lastRowLastColumn="0"/>
            <w:tcW w:w="498" w:type="pct"/>
          </w:tcPr>
          <w:p w14:paraId="1BF74C06" w14:textId="77777777" w:rsidR="007356E6" w:rsidRDefault="007356E6">
            <w:pPr>
              <w:pStyle w:val="Normalintable"/>
              <w:ind w:left="720"/>
            </w:pPr>
          </w:p>
        </w:tc>
        <w:tc>
          <w:tcPr>
            <w:tcW w:w="891" w:type="pct"/>
            <w:shd w:val="clear" w:color="auto" w:fill="F2F2F2" w:themeFill="background1" w:themeFillShade="F2"/>
          </w:tcPr>
          <w:p w14:paraId="792C304B" w14:textId="75DFD97A" w:rsidR="007356E6" w:rsidRDefault="007356E6">
            <w:pPr>
              <w:pStyle w:val="Normalintable"/>
              <w:cnfStyle w:val="000000000000" w:firstRow="0" w:lastRow="0" w:firstColumn="0" w:lastColumn="0" w:oddVBand="0" w:evenVBand="0" w:oddHBand="0" w:evenHBand="0" w:firstRowFirstColumn="0" w:firstRowLastColumn="0" w:lastRowFirstColumn="0" w:lastRowLastColumn="0"/>
            </w:pPr>
            <w:r>
              <w:t>3.30</w:t>
            </w:r>
            <w:r w:rsidR="00F804A2">
              <w:t> </w:t>
            </w:r>
            <w:r>
              <w:t xml:space="preserve">pm </w:t>
            </w:r>
          </w:p>
        </w:tc>
      </w:tr>
    </w:tbl>
    <w:p w14:paraId="2BA17131" w14:textId="77777777" w:rsidR="00345535" w:rsidRPr="00A10500" w:rsidRDefault="00345535"/>
    <w:p w14:paraId="6B802CCE" w14:textId="36BEF32B" w:rsidR="00345535" w:rsidDel="00520057" w:rsidRDefault="00345535">
      <w:pPr>
        <w:pStyle w:val="Heading1"/>
      </w:pPr>
    </w:p>
    <w:p w14:paraId="163D737E" w14:textId="0A4EA7C0" w:rsidR="6B43301B" w:rsidRDefault="6B43301B"/>
    <w:p w14:paraId="4E4C9578" w14:textId="2C2EB9B0" w:rsidR="6B43301B" w:rsidRDefault="6B43301B"/>
    <w:p w14:paraId="08262438" w14:textId="215D9F86" w:rsidR="6B43301B" w:rsidRDefault="6B43301B"/>
    <w:p w14:paraId="7AD80034" w14:textId="29A7BD71" w:rsidR="6B43301B" w:rsidRDefault="6B43301B"/>
    <w:p w14:paraId="385C2BA3" w14:textId="61EF8A09" w:rsidR="6B43301B" w:rsidRDefault="6B43301B"/>
    <w:p w14:paraId="5AF967EE" w14:textId="4FE261CC" w:rsidR="6B43301B" w:rsidRDefault="6B43301B"/>
    <w:p w14:paraId="2A871CE1" w14:textId="442FA8AA" w:rsidR="6B43301B" w:rsidRDefault="6B43301B"/>
    <w:p w14:paraId="7F7BDF81" w14:textId="7DBB2F2D" w:rsidR="6B43301B" w:rsidRDefault="6B43301B"/>
    <w:p w14:paraId="33C2E290" w14:textId="2FAF0482" w:rsidR="6B43301B" w:rsidRDefault="6B43301B"/>
    <w:p w14:paraId="5CF81B07" w14:textId="3F943E7C" w:rsidR="6B43301B" w:rsidRDefault="6B43301B"/>
    <w:p w14:paraId="40566263" w14:textId="00316143" w:rsidR="004414ED" w:rsidRDefault="004414ED" w:rsidP="004414ED">
      <w:pPr>
        <w:pStyle w:val="HQSCbodytext"/>
      </w:pPr>
      <w:r w:rsidRPr="00052E86">
        <w:t xml:space="preserve">Published </w:t>
      </w:r>
      <w:r>
        <w:t xml:space="preserve">June 2026 by Health Quality &amp; Safety Commission Te Tāhū Hauora, PO Box 25496, Wellington, 6146. </w:t>
      </w:r>
      <w:r w:rsidRPr="00052E86">
        <w:t xml:space="preserve">Available online at </w:t>
      </w:r>
      <w:hyperlink r:id="rId29" w:history="1">
        <w:r w:rsidRPr="00052E86">
          <w:rPr>
            <w:rStyle w:val="Hyperlink"/>
          </w:rPr>
          <w:t>www.hqsc.govt.nz</w:t>
        </w:r>
      </w:hyperlink>
      <w:r>
        <w:t>.</w:t>
      </w:r>
      <w:r>
        <w:rPr>
          <w:rStyle w:val="Hyperlink"/>
        </w:rPr>
        <w:t xml:space="preserve"> </w:t>
      </w:r>
      <w:r w:rsidRPr="00052E86">
        <w:t xml:space="preserve">Enquiries to: </w:t>
      </w:r>
      <w:hyperlink r:id="rId30" w:history="1">
        <w:r w:rsidRPr="00A45102">
          <w:rPr>
            <w:rStyle w:val="Hyperlink"/>
          </w:rPr>
          <w:t>info@hqsc.govt.nz</w:t>
        </w:r>
      </w:hyperlink>
    </w:p>
    <w:p w14:paraId="4D094755" w14:textId="77777777" w:rsidR="004414ED" w:rsidRDefault="004414ED" w:rsidP="004414ED">
      <w:pPr>
        <w:pStyle w:val="HQSCbodytext"/>
      </w:pPr>
    </w:p>
    <w:p w14:paraId="780270C7" w14:textId="77777777" w:rsidR="004414ED" w:rsidRPr="004846B0" w:rsidRDefault="004414ED" w:rsidP="004414ED">
      <w:pPr>
        <w:pStyle w:val="HQSCbodytext"/>
        <w:rPr>
          <w:noProof/>
        </w:rPr>
      </w:pPr>
      <w:r w:rsidRPr="001E225F">
        <w:rPr>
          <w:noProof/>
        </w:rPr>
        <w:drawing>
          <wp:anchor distT="0" distB="0" distL="114300" distR="114300" simplePos="0" relativeHeight="251658242" behindDoc="0" locked="0" layoutInCell="1" allowOverlap="1" wp14:anchorId="10AD6786" wp14:editId="0B1AFB18">
            <wp:simplePos x="0" y="0"/>
            <wp:positionH relativeFrom="column">
              <wp:posOffset>0</wp:posOffset>
            </wp:positionH>
            <wp:positionV relativeFrom="paragraph">
              <wp:posOffset>-3175</wp:posOffset>
            </wp:positionV>
            <wp:extent cx="2440800" cy="561600"/>
            <wp:effectExtent l="0" t="0" r="0" b="0"/>
            <wp:wrapSquare wrapText="bothSides"/>
            <wp:docPr id="1684609659" name="Picture 2" descr="The New Zealand Government logo is made up of the coat of arms of New Zealand on the left and the words Te Kāwanatanga o Aotearoa in bold letters alongside it, with New Zealand Government written beneat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09659" name="Picture 2" descr="The New Zealand Government logo is made up of the coat of arms of New Zealand on the left and the words Te Kāwanatanga o Aotearoa in bold letters alongside it, with New Zealand Government written beneath.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4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1F4C3" w14:textId="6DD5D559" w:rsidR="009B2C97" w:rsidRPr="009924E4" w:rsidRDefault="009B2C97" w:rsidP="004414ED">
      <w:pPr>
        <w:pStyle w:val="HQSCbodytext"/>
      </w:pPr>
    </w:p>
    <w:sectPr w:rsidR="009B2C97" w:rsidRPr="009924E4">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8B0E" w14:textId="77777777" w:rsidR="00951C5D" w:rsidRDefault="00951C5D" w:rsidP="003C45E1">
      <w:pPr>
        <w:spacing w:after="0" w:line="240" w:lineRule="auto"/>
      </w:pPr>
      <w:r>
        <w:separator/>
      </w:r>
    </w:p>
  </w:endnote>
  <w:endnote w:type="continuationSeparator" w:id="0">
    <w:p w14:paraId="5A0C62B6" w14:textId="77777777" w:rsidR="00951C5D" w:rsidRDefault="00951C5D"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6021369"/>
      <w:docPartObj>
        <w:docPartGallery w:val="Page Numbers (Bottom of Page)"/>
        <w:docPartUnique/>
      </w:docPartObj>
    </w:sdtPr>
    <w:sdtContent>
      <w:sdt>
        <w:sdtPr>
          <w:rPr>
            <w:sz w:val="20"/>
            <w:szCs w:val="20"/>
          </w:rPr>
          <w:id w:val="-315963803"/>
          <w:docPartObj>
            <w:docPartGallery w:val="Page Numbers (Top of Page)"/>
            <w:docPartUnique/>
          </w:docPartObj>
        </w:sdtPr>
        <w:sdtContent>
          <w:p w14:paraId="2389CB16" w14:textId="6988D72F" w:rsidR="004907D7" w:rsidRPr="004A752B" w:rsidRDefault="00345535" w:rsidP="01504087">
            <w:pPr>
              <w:pStyle w:val="Footer"/>
              <w:spacing w:after="120" w:line="276" w:lineRule="auto"/>
              <w:rPr>
                <w:sz w:val="20"/>
                <w:szCs w:val="20"/>
              </w:rPr>
            </w:pPr>
            <w:r>
              <w:rPr>
                <w:sz w:val="20"/>
                <w:szCs w:val="20"/>
              </w:rPr>
              <w:t>Consumer and whānau engagement workshop</w:t>
            </w:r>
            <w:r w:rsidR="006A77BD">
              <w:rPr>
                <w:sz w:val="20"/>
                <w:szCs w:val="20"/>
              </w:rPr>
              <w:t xml:space="preserve"> December 2025</w:t>
            </w:r>
            <w:r w:rsidR="53F101C3" w:rsidRPr="53F101C3">
              <w:rPr>
                <w:sz w:val="20"/>
                <w:szCs w:val="20"/>
              </w:rPr>
              <w:t xml:space="preserve"> evaluation report</w:t>
            </w:r>
            <w:r w:rsidR="01504087">
              <w:tab/>
            </w:r>
            <w:r w:rsidR="01504087" w:rsidRPr="53F101C3">
              <w:rPr>
                <w:noProof/>
                <w:sz w:val="20"/>
                <w:szCs w:val="20"/>
              </w:rPr>
              <w:fldChar w:fldCharType="begin"/>
            </w:r>
            <w:r w:rsidR="01504087" w:rsidRPr="53F101C3">
              <w:rPr>
                <w:sz w:val="20"/>
                <w:szCs w:val="20"/>
              </w:rPr>
              <w:instrText xml:space="preserve"> PAGE </w:instrText>
            </w:r>
            <w:r w:rsidR="01504087" w:rsidRPr="53F101C3">
              <w:rPr>
                <w:sz w:val="20"/>
                <w:szCs w:val="20"/>
              </w:rPr>
              <w:fldChar w:fldCharType="separate"/>
            </w:r>
            <w:r w:rsidR="53F101C3" w:rsidRPr="53F101C3">
              <w:rPr>
                <w:noProof/>
                <w:sz w:val="20"/>
                <w:szCs w:val="20"/>
              </w:rPr>
              <w:t>2</w:t>
            </w:r>
            <w:r w:rsidR="01504087" w:rsidRPr="53F101C3">
              <w:rPr>
                <w:noProof/>
                <w:sz w:val="20"/>
                <w:szCs w:val="20"/>
              </w:rPr>
              <w:fldChar w:fldCharType="end"/>
            </w:r>
            <w:r w:rsidR="53F101C3" w:rsidRPr="53F101C3">
              <w:rPr>
                <w:sz w:val="20"/>
                <w:szCs w:val="20"/>
              </w:rPr>
              <w:t xml:space="preserve"> of </w:t>
            </w:r>
            <w:r w:rsidR="01504087" w:rsidRPr="53F101C3">
              <w:rPr>
                <w:noProof/>
                <w:sz w:val="20"/>
                <w:szCs w:val="20"/>
              </w:rPr>
              <w:fldChar w:fldCharType="begin"/>
            </w:r>
            <w:r w:rsidR="01504087" w:rsidRPr="53F101C3">
              <w:rPr>
                <w:sz w:val="20"/>
                <w:szCs w:val="20"/>
              </w:rPr>
              <w:instrText xml:space="preserve"> NUMPAGES  </w:instrText>
            </w:r>
            <w:r w:rsidR="01504087" w:rsidRPr="53F101C3">
              <w:rPr>
                <w:sz w:val="20"/>
                <w:szCs w:val="20"/>
              </w:rPr>
              <w:fldChar w:fldCharType="separate"/>
            </w:r>
            <w:r w:rsidR="53F101C3" w:rsidRPr="53F101C3">
              <w:rPr>
                <w:noProof/>
                <w:sz w:val="20"/>
                <w:szCs w:val="20"/>
              </w:rPr>
              <w:t>2</w:t>
            </w:r>
            <w:r w:rsidR="01504087" w:rsidRPr="53F101C3">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433D" w14:textId="77777777" w:rsidR="00951C5D" w:rsidRDefault="00951C5D" w:rsidP="003C45E1">
      <w:pPr>
        <w:spacing w:after="0" w:line="240" w:lineRule="auto"/>
      </w:pPr>
      <w:r>
        <w:separator/>
      </w:r>
    </w:p>
  </w:footnote>
  <w:footnote w:type="continuationSeparator" w:id="0">
    <w:p w14:paraId="7954C450" w14:textId="77777777" w:rsidR="00951C5D" w:rsidRDefault="00951C5D"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3D16"/>
    <w:multiLevelType w:val="hybridMultilevel"/>
    <w:tmpl w:val="8AB81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2A6FFC"/>
    <w:multiLevelType w:val="hybridMultilevel"/>
    <w:tmpl w:val="B4E42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3E4E08"/>
    <w:multiLevelType w:val="hybridMultilevel"/>
    <w:tmpl w:val="A546E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0E77C5"/>
    <w:multiLevelType w:val="multilevel"/>
    <w:tmpl w:val="2B9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E3821"/>
    <w:multiLevelType w:val="multilevel"/>
    <w:tmpl w:val="328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A2442"/>
    <w:multiLevelType w:val="hybridMultilevel"/>
    <w:tmpl w:val="57C6A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D8541E"/>
    <w:multiLevelType w:val="hybridMultilevel"/>
    <w:tmpl w:val="E092C0C6"/>
    <w:lvl w:ilvl="0" w:tplc="2762527C">
      <w:start w:val="1"/>
      <w:numFmt w:val="bullet"/>
      <w:lvlText w:val=""/>
      <w:lvlJc w:val="left"/>
      <w:pPr>
        <w:ind w:left="720" w:hanging="360"/>
      </w:pPr>
      <w:rPr>
        <w:rFonts w:ascii="Symbol" w:hAnsi="Symbol" w:hint="default"/>
      </w:rPr>
    </w:lvl>
    <w:lvl w:ilvl="1" w:tplc="B1742FB2">
      <w:start w:val="1"/>
      <w:numFmt w:val="bullet"/>
      <w:lvlText w:val="o"/>
      <w:lvlJc w:val="left"/>
      <w:pPr>
        <w:ind w:left="1440" w:hanging="360"/>
      </w:pPr>
      <w:rPr>
        <w:rFonts w:ascii="Courier New" w:hAnsi="Courier New" w:hint="default"/>
      </w:rPr>
    </w:lvl>
    <w:lvl w:ilvl="2" w:tplc="282A25A6">
      <w:start w:val="1"/>
      <w:numFmt w:val="bullet"/>
      <w:lvlText w:val=""/>
      <w:lvlJc w:val="left"/>
      <w:pPr>
        <w:ind w:left="2160" w:hanging="360"/>
      </w:pPr>
      <w:rPr>
        <w:rFonts w:ascii="Wingdings" w:hAnsi="Wingdings" w:hint="default"/>
      </w:rPr>
    </w:lvl>
    <w:lvl w:ilvl="3" w:tplc="A0C42F26">
      <w:start w:val="1"/>
      <w:numFmt w:val="bullet"/>
      <w:lvlText w:val=""/>
      <w:lvlJc w:val="left"/>
      <w:pPr>
        <w:ind w:left="2880" w:hanging="360"/>
      </w:pPr>
      <w:rPr>
        <w:rFonts w:ascii="Symbol" w:hAnsi="Symbol" w:hint="default"/>
      </w:rPr>
    </w:lvl>
    <w:lvl w:ilvl="4" w:tplc="379831D4">
      <w:start w:val="1"/>
      <w:numFmt w:val="bullet"/>
      <w:lvlText w:val="o"/>
      <w:lvlJc w:val="left"/>
      <w:pPr>
        <w:ind w:left="3600" w:hanging="360"/>
      </w:pPr>
      <w:rPr>
        <w:rFonts w:ascii="Courier New" w:hAnsi="Courier New" w:hint="default"/>
      </w:rPr>
    </w:lvl>
    <w:lvl w:ilvl="5" w:tplc="17B608C4">
      <w:start w:val="1"/>
      <w:numFmt w:val="bullet"/>
      <w:lvlText w:val=""/>
      <w:lvlJc w:val="left"/>
      <w:pPr>
        <w:ind w:left="4320" w:hanging="360"/>
      </w:pPr>
      <w:rPr>
        <w:rFonts w:ascii="Wingdings" w:hAnsi="Wingdings" w:hint="default"/>
      </w:rPr>
    </w:lvl>
    <w:lvl w:ilvl="6" w:tplc="81C01C04">
      <w:start w:val="1"/>
      <w:numFmt w:val="bullet"/>
      <w:lvlText w:val=""/>
      <w:lvlJc w:val="left"/>
      <w:pPr>
        <w:ind w:left="5040" w:hanging="360"/>
      </w:pPr>
      <w:rPr>
        <w:rFonts w:ascii="Symbol" w:hAnsi="Symbol" w:hint="default"/>
      </w:rPr>
    </w:lvl>
    <w:lvl w:ilvl="7" w:tplc="35E851E4">
      <w:start w:val="1"/>
      <w:numFmt w:val="bullet"/>
      <w:lvlText w:val="o"/>
      <w:lvlJc w:val="left"/>
      <w:pPr>
        <w:ind w:left="5760" w:hanging="360"/>
      </w:pPr>
      <w:rPr>
        <w:rFonts w:ascii="Courier New" w:hAnsi="Courier New" w:hint="default"/>
      </w:rPr>
    </w:lvl>
    <w:lvl w:ilvl="8" w:tplc="25F69120">
      <w:start w:val="1"/>
      <w:numFmt w:val="bullet"/>
      <w:lvlText w:val=""/>
      <w:lvlJc w:val="left"/>
      <w:pPr>
        <w:ind w:left="6480" w:hanging="360"/>
      </w:pPr>
      <w:rPr>
        <w:rFonts w:ascii="Wingdings" w:hAnsi="Wingdings" w:hint="default"/>
      </w:rPr>
    </w:lvl>
  </w:abstractNum>
  <w:abstractNum w:abstractNumId="9" w15:restartNumberingAfterBreak="0">
    <w:nsid w:val="10AD5EE0"/>
    <w:multiLevelType w:val="multilevel"/>
    <w:tmpl w:val="1B7A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15145"/>
    <w:multiLevelType w:val="hybridMultilevel"/>
    <w:tmpl w:val="6B8672B0"/>
    <w:lvl w:ilvl="0" w:tplc="62DE50BA">
      <w:start w:val="1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58A777A"/>
    <w:multiLevelType w:val="hybridMultilevel"/>
    <w:tmpl w:val="8D988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7C0687F"/>
    <w:multiLevelType w:val="hybridMultilevel"/>
    <w:tmpl w:val="171CEA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BAA0785"/>
    <w:multiLevelType w:val="multilevel"/>
    <w:tmpl w:val="572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BAD834"/>
    <w:multiLevelType w:val="hybridMultilevel"/>
    <w:tmpl w:val="F39E9D30"/>
    <w:lvl w:ilvl="0" w:tplc="B2B41DA2">
      <w:start w:val="1"/>
      <w:numFmt w:val="bullet"/>
      <w:lvlText w:val=""/>
      <w:lvlJc w:val="left"/>
      <w:pPr>
        <w:ind w:left="720" w:hanging="360"/>
      </w:pPr>
      <w:rPr>
        <w:rFonts w:ascii="Symbol" w:hAnsi="Symbol" w:hint="default"/>
      </w:rPr>
    </w:lvl>
    <w:lvl w:ilvl="1" w:tplc="0F988E38">
      <w:start w:val="1"/>
      <w:numFmt w:val="bullet"/>
      <w:lvlText w:val="o"/>
      <w:lvlJc w:val="left"/>
      <w:pPr>
        <w:ind w:left="1440" w:hanging="360"/>
      </w:pPr>
      <w:rPr>
        <w:rFonts w:ascii="Courier New" w:hAnsi="Courier New" w:hint="default"/>
      </w:rPr>
    </w:lvl>
    <w:lvl w:ilvl="2" w:tplc="9518303A">
      <w:start w:val="1"/>
      <w:numFmt w:val="bullet"/>
      <w:lvlText w:val=""/>
      <w:lvlJc w:val="left"/>
      <w:pPr>
        <w:ind w:left="2160" w:hanging="360"/>
      </w:pPr>
      <w:rPr>
        <w:rFonts w:ascii="Wingdings" w:hAnsi="Wingdings" w:hint="default"/>
      </w:rPr>
    </w:lvl>
    <w:lvl w:ilvl="3" w:tplc="B0A40F96">
      <w:start w:val="1"/>
      <w:numFmt w:val="bullet"/>
      <w:lvlText w:val=""/>
      <w:lvlJc w:val="left"/>
      <w:pPr>
        <w:ind w:left="2880" w:hanging="360"/>
      </w:pPr>
      <w:rPr>
        <w:rFonts w:ascii="Symbol" w:hAnsi="Symbol" w:hint="default"/>
      </w:rPr>
    </w:lvl>
    <w:lvl w:ilvl="4" w:tplc="3D10E152">
      <w:start w:val="1"/>
      <w:numFmt w:val="bullet"/>
      <w:lvlText w:val="o"/>
      <w:lvlJc w:val="left"/>
      <w:pPr>
        <w:ind w:left="3600" w:hanging="360"/>
      </w:pPr>
      <w:rPr>
        <w:rFonts w:ascii="Courier New" w:hAnsi="Courier New" w:hint="default"/>
      </w:rPr>
    </w:lvl>
    <w:lvl w:ilvl="5" w:tplc="C18803EA">
      <w:start w:val="1"/>
      <w:numFmt w:val="bullet"/>
      <w:lvlText w:val=""/>
      <w:lvlJc w:val="left"/>
      <w:pPr>
        <w:ind w:left="4320" w:hanging="360"/>
      </w:pPr>
      <w:rPr>
        <w:rFonts w:ascii="Wingdings" w:hAnsi="Wingdings" w:hint="default"/>
      </w:rPr>
    </w:lvl>
    <w:lvl w:ilvl="6" w:tplc="67F4880A">
      <w:start w:val="1"/>
      <w:numFmt w:val="bullet"/>
      <w:lvlText w:val=""/>
      <w:lvlJc w:val="left"/>
      <w:pPr>
        <w:ind w:left="5040" w:hanging="360"/>
      </w:pPr>
      <w:rPr>
        <w:rFonts w:ascii="Symbol" w:hAnsi="Symbol" w:hint="default"/>
      </w:rPr>
    </w:lvl>
    <w:lvl w:ilvl="7" w:tplc="80E2C460">
      <w:start w:val="1"/>
      <w:numFmt w:val="bullet"/>
      <w:lvlText w:val="o"/>
      <w:lvlJc w:val="left"/>
      <w:pPr>
        <w:ind w:left="5760" w:hanging="360"/>
      </w:pPr>
      <w:rPr>
        <w:rFonts w:ascii="Courier New" w:hAnsi="Courier New" w:hint="default"/>
      </w:rPr>
    </w:lvl>
    <w:lvl w:ilvl="8" w:tplc="4D4A751A">
      <w:start w:val="1"/>
      <w:numFmt w:val="bullet"/>
      <w:lvlText w:val=""/>
      <w:lvlJc w:val="left"/>
      <w:pPr>
        <w:ind w:left="6480" w:hanging="360"/>
      </w:pPr>
      <w:rPr>
        <w:rFonts w:ascii="Wingdings" w:hAnsi="Wingdings" w:hint="default"/>
      </w:rPr>
    </w:lvl>
  </w:abstractNum>
  <w:abstractNum w:abstractNumId="15" w15:restartNumberingAfterBreak="0">
    <w:nsid w:val="23AC38F2"/>
    <w:multiLevelType w:val="multilevel"/>
    <w:tmpl w:val="D04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60F85"/>
    <w:multiLevelType w:val="multilevel"/>
    <w:tmpl w:val="17B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86686D"/>
    <w:multiLevelType w:val="multilevel"/>
    <w:tmpl w:val="DCB2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72AAC"/>
    <w:multiLevelType w:val="hybridMultilevel"/>
    <w:tmpl w:val="7DCA4A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D846C7B"/>
    <w:multiLevelType w:val="multilevel"/>
    <w:tmpl w:val="0F74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1228F"/>
    <w:multiLevelType w:val="hybridMultilevel"/>
    <w:tmpl w:val="23780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535B10"/>
    <w:multiLevelType w:val="hybridMultilevel"/>
    <w:tmpl w:val="03DECB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062B08"/>
    <w:multiLevelType w:val="hybridMultilevel"/>
    <w:tmpl w:val="214CC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6106E8"/>
    <w:multiLevelType w:val="hybridMultilevel"/>
    <w:tmpl w:val="29621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A1271F6"/>
    <w:multiLevelType w:val="hybridMultilevel"/>
    <w:tmpl w:val="941C99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DCE512B"/>
    <w:multiLevelType w:val="multilevel"/>
    <w:tmpl w:val="5982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0593A"/>
    <w:multiLevelType w:val="hybridMultilevel"/>
    <w:tmpl w:val="7BE0E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4522E6B"/>
    <w:multiLevelType w:val="multilevel"/>
    <w:tmpl w:val="0BC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63233"/>
    <w:multiLevelType w:val="multilevel"/>
    <w:tmpl w:val="19A4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533108"/>
    <w:multiLevelType w:val="hybridMultilevel"/>
    <w:tmpl w:val="53ECF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AC370CE"/>
    <w:multiLevelType w:val="multilevel"/>
    <w:tmpl w:val="CC0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BBDF0"/>
    <w:multiLevelType w:val="hybridMultilevel"/>
    <w:tmpl w:val="23BEA29E"/>
    <w:lvl w:ilvl="0" w:tplc="343A12EC">
      <w:start w:val="1"/>
      <w:numFmt w:val="bullet"/>
      <w:lvlText w:val=""/>
      <w:lvlJc w:val="left"/>
      <w:pPr>
        <w:ind w:left="720" w:hanging="360"/>
      </w:pPr>
      <w:rPr>
        <w:rFonts w:ascii="Symbol" w:hAnsi="Symbol" w:hint="default"/>
      </w:rPr>
    </w:lvl>
    <w:lvl w:ilvl="1" w:tplc="47DEA5BE">
      <w:start w:val="1"/>
      <w:numFmt w:val="bullet"/>
      <w:lvlText w:val="o"/>
      <w:lvlJc w:val="left"/>
      <w:pPr>
        <w:ind w:left="1440" w:hanging="360"/>
      </w:pPr>
      <w:rPr>
        <w:rFonts w:ascii="Courier New" w:hAnsi="Courier New" w:hint="default"/>
      </w:rPr>
    </w:lvl>
    <w:lvl w:ilvl="2" w:tplc="E138DB50">
      <w:start w:val="1"/>
      <w:numFmt w:val="bullet"/>
      <w:lvlText w:val=""/>
      <w:lvlJc w:val="left"/>
      <w:pPr>
        <w:ind w:left="2160" w:hanging="360"/>
      </w:pPr>
      <w:rPr>
        <w:rFonts w:ascii="Wingdings" w:hAnsi="Wingdings" w:hint="default"/>
      </w:rPr>
    </w:lvl>
    <w:lvl w:ilvl="3" w:tplc="4102379E">
      <w:start w:val="1"/>
      <w:numFmt w:val="bullet"/>
      <w:lvlText w:val=""/>
      <w:lvlJc w:val="left"/>
      <w:pPr>
        <w:ind w:left="2880" w:hanging="360"/>
      </w:pPr>
      <w:rPr>
        <w:rFonts w:ascii="Symbol" w:hAnsi="Symbol" w:hint="default"/>
      </w:rPr>
    </w:lvl>
    <w:lvl w:ilvl="4" w:tplc="F6E42AFA">
      <w:start w:val="1"/>
      <w:numFmt w:val="bullet"/>
      <w:lvlText w:val="o"/>
      <w:lvlJc w:val="left"/>
      <w:pPr>
        <w:ind w:left="3600" w:hanging="360"/>
      </w:pPr>
      <w:rPr>
        <w:rFonts w:ascii="Courier New" w:hAnsi="Courier New" w:hint="default"/>
      </w:rPr>
    </w:lvl>
    <w:lvl w:ilvl="5" w:tplc="0218A8C6">
      <w:start w:val="1"/>
      <w:numFmt w:val="bullet"/>
      <w:lvlText w:val=""/>
      <w:lvlJc w:val="left"/>
      <w:pPr>
        <w:ind w:left="4320" w:hanging="360"/>
      </w:pPr>
      <w:rPr>
        <w:rFonts w:ascii="Wingdings" w:hAnsi="Wingdings" w:hint="default"/>
      </w:rPr>
    </w:lvl>
    <w:lvl w:ilvl="6" w:tplc="610EB1BC">
      <w:start w:val="1"/>
      <w:numFmt w:val="bullet"/>
      <w:lvlText w:val=""/>
      <w:lvlJc w:val="left"/>
      <w:pPr>
        <w:ind w:left="5040" w:hanging="360"/>
      </w:pPr>
      <w:rPr>
        <w:rFonts w:ascii="Symbol" w:hAnsi="Symbol" w:hint="default"/>
      </w:rPr>
    </w:lvl>
    <w:lvl w:ilvl="7" w:tplc="11289D7C">
      <w:start w:val="1"/>
      <w:numFmt w:val="bullet"/>
      <w:lvlText w:val="o"/>
      <w:lvlJc w:val="left"/>
      <w:pPr>
        <w:ind w:left="5760" w:hanging="360"/>
      </w:pPr>
      <w:rPr>
        <w:rFonts w:ascii="Courier New" w:hAnsi="Courier New" w:hint="default"/>
      </w:rPr>
    </w:lvl>
    <w:lvl w:ilvl="8" w:tplc="21CA8CE6">
      <w:start w:val="1"/>
      <w:numFmt w:val="bullet"/>
      <w:lvlText w:val=""/>
      <w:lvlJc w:val="left"/>
      <w:pPr>
        <w:ind w:left="6480" w:hanging="360"/>
      </w:pPr>
      <w:rPr>
        <w:rFonts w:ascii="Wingdings" w:hAnsi="Wingdings" w:hint="default"/>
      </w:rPr>
    </w:lvl>
  </w:abstractNum>
  <w:abstractNum w:abstractNumId="33" w15:restartNumberingAfterBreak="0">
    <w:nsid w:val="4FD43BBC"/>
    <w:multiLevelType w:val="multilevel"/>
    <w:tmpl w:val="C26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40622"/>
    <w:multiLevelType w:val="multilevel"/>
    <w:tmpl w:val="FAE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5665D"/>
    <w:multiLevelType w:val="hybridMultilevel"/>
    <w:tmpl w:val="88C0CB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691318A"/>
    <w:multiLevelType w:val="multilevel"/>
    <w:tmpl w:val="51C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EC5149"/>
    <w:multiLevelType w:val="hybridMultilevel"/>
    <w:tmpl w:val="97840B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7B5E4C8"/>
    <w:multiLevelType w:val="hybridMultilevel"/>
    <w:tmpl w:val="1B387320"/>
    <w:lvl w:ilvl="0" w:tplc="3146D70C">
      <w:start w:val="1"/>
      <w:numFmt w:val="bullet"/>
      <w:lvlText w:val=""/>
      <w:lvlJc w:val="left"/>
      <w:pPr>
        <w:ind w:left="720" w:hanging="360"/>
      </w:pPr>
      <w:rPr>
        <w:rFonts w:ascii="Symbol" w:hAnsi="Symbol" w:hint="default"/>
      </w:rPr>
    </w:lvl>
    <w:lvl w:ilvl="1" w:tplc="624C5B62">
      <w:start w:val="1"/>
      <w:numFmt w:val="bullet"/>
      <w:lvlText w:val="o"/>
      <w:lvlJc w:val="left"/>
      <w:pPr>
        <w:ind w:left="1440" w:hanging="360"/>
      </w:pPr>
      <w:rPr>
        <w:rFonts w:ascii="Courier New" w:hAnsi="Courier New" w:hint="default"/>
      </w:rPr>
    </w:lvl>
    <w:lvl w:ilvl="2" w:tplc="52C0F72C">
      <w:start w:val="1"/>
      <w:numFmt w:val="bullet"/>
      <w:lvlText w:val=""/>
      <w:lvlJc w:val="left"/>
      <w:pPr>
        <w:ind w:left="2160" w:hanging="360"/>
      </w:pPr>
      <w:rPr>
        <w:rFonts w:ascii="Wingdings" w:hAnsi="Wingdings" w:hint="default"/>
      </w:rPr>
    </w:lvl>
    <w:lvl w:ilvl="3" w:tplc="F064DBAC">
      <w:start w:val="1"/>
      <w:numFmt w:val="bullet"/>
      <w:lvlText w:val=""/>
      <w:lvlJc w:val="left"/>
      <w:pPr>
        <w:ind w:left="2880" w:hanging="360"/>
      </w:pPr>
      <w:rPr>
        <w:rFonts w:ascii="Symbol" w:hAnsi="Symbol" w:hint="default"/>
      </w:rPr>
    </w:lvl>
    <w:lvl w:ilvl="4" w:tplc="E5B63C3E">
      <w:start w:val="1"/>
      <w:numFmt w:val="bullet"/>
      <w:lvlText w:val="o"/>
      <w:lvlJc w:val="left"/>
      <w:pPr>
        <w:ind w:left="3600" w:hanging="360"/>
      </w:pPr>
      <w:rPr>
        <w:rFonts w:ascii="Courier New" w:hAnsi="Courier New" w:hint="default"/>
      </w:rPr>
    </w:lvl>
    <w:lvl w:ilvl="5" w:tplc="8B0CEDD4">
      <w:start w:val="1"/>
      <w:numFmt w:val="bullet"/>
      <w:lvlText w:val=""/>
      <w:lvlJc w:val="left"/>
      <w:pPr>
        <w:ind w:left="4320" w:hanging="360"/>
      </w:pPr>
      <w:rPr>
        <w:rFonts w:ascii="Wingdings" w:hAnsi="Wingdings" w:hint="default"/>
      </w:rPr>
    </w:lvl>
    <w:lvl w:ilvl="6" w:tplc="5EB82AAC">
      <w:start w:val="1"/>
      <w:numFmt w:val="bullet"/>
      <w:lvlText w:val=""/>
      <w:lvlJc w:val="left"/>
      <w:pPr>
        <w:ind w:left="5040" w:hanging="360"/>
      </w:pPr>
      <w:rPr>
        <w:rFonts w:ascii="Symbol" w:hAnsi="Symbol" w:hint="default"/>
      </w:rPr>
    </w:lvl>
    <w:lvl w:ilvl="7" w:tplc="8A8CBFE0">
      <w:start w:val="1"/>
      <w:numFmt w:val="bullet"/>
      <w:lvlText w:val="o"/>
      <w:lvlJc w:val="left"/>
      <w:pPr>
        <w:ind w:left="5760" w:hanging="360"/>
      </w:pPr>
      <w:rPr>
        <w:rFonts w:ascii="Courier New" w:hAnsi="Courier New" w:hint="default"/>
      </w:rPr>
    </w:lvl>
    <w:lvl w:ilvl="8" w:tplc="ABC2BC42">
      <w:start w:val="1"/>
      <w:numFmt w:val="bullet"/>
      <w:lvlText w:val=""/>
      <w:lvlJc w:val="left"/>
      <w:pPr>
        <w:ind w:left="6480" w:hanging="360"/>
      </w:pPr>
      <w:rPr>
        <w:rFonts w:ascii="Wingdings" w:hAnsi="Wingdings" w:hint="default"/>
      </w:rPr>
    </w:lvl>
  </w:abstractNum>
  <w:abstractNum w:abstractNumId="39" w15:restartNumberingAfterBreak="0">
    <w:nsid w:val="586013F5"/>
    <w:multiLevelType w:val="hybridMultilevel"/>
    <w:tmpl w:val="C9820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A4A1F3F"/>
    <w:multiLevelType w:val="multilevel"/>
    <w:tmpl w:val="C45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C62DF2"/>
    <w:multiLevelType w:val="hybridMultilevel"/>
    <w:tmpl w:val="A2648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D13E1D6"/>
    <w:multiLevelType w:val="hybridMultilevel"/>
    <w:tmpl w:val="393ABE52"/>
    <w:lvl w:ilvl="0" w:tplc="DD465852">
      <w:start w:val="1"/>
      <w:numFmt w:val="bullet"/>
      <w:lvlText w:val=""/>
      <w:lvlJc w:val="left"/>
      <w:pPr>
        <w:ind w:left="720" w:hanging="360"/>
      </w:pPr>
      <w:rPr>
        <w:rFonts w:ascii="Symbol" w:hAnsi="Symbol" w:hint="default"/>
      </w:rPr>
    </w:lvl>
    <w:lvl w:ilvl="1" w:tplc="DAE05CA6">
      <w:start w:val="1"/>
      <w:numFmt w:val="bullet"/>
      <w:lvlText w:val="o"/>
      <w:lvlJc w:val="left"/>
      <w:pPr>
        <w:ind w:left="1440" w:hanging="360"/>
      </w:pPr>
      <w:rPr>
        <w:rFonts w:ascii="Courier New" w:hAnsi="Courier New" w:hint="default"/>
      </w:rPr>
    </w:lvl>
    <w:lvl w:ilvl="2" w:tplc="AA644550">
      <w:start w:val="1"/>
      <w:numFmt w:val="bullet"/>
      <w:lvlText w:val=""/>
      <w:lvlJc w:val="left"/>
      <w:pPr>
        <w:ind w:left="2160" w:hanging="360"/>
      </w:pPr>
      <w:rPr>
        <w:rFonts w:ascii="Wingdings" w:hAnsi="Wingdings" w:hint="default"/>
      </w:rPr>
    </w:lvl>
    <w:lvl w:ilvl="3" w:tplc="9C54C73E">
      <w:start w:val="1"/>
      <w:numFmt w:val="bullet"/>
      <w:lvlText w:val=""/>
      <w:lvlJc w:val="left"/>
      <w:pPr>
        <w:ind w:left="2880" w:hanging="360"/>
      </w:pPr>
      <w:rPr>
        <w:rFonts w:ascii="Symbol" w:hAnsi="Symbol" w:hint="default"/>
      </w:rPr>
    </w:lvl>
    <w:lvl w:ilvl="4" w:tplc="50E00378">
      <w:start w:val="1"/>
      <w:numFmt w:val="bullet"/>
      <w:lvlText w:val="o"/>
      <w:lvlJc w:val="left"/>
      <w:pPr>
        <w:ind w:left="3600" w:hanging="360"/>
      </w:pPr>
      <w:rPr>
        <w:rFonts w:ascii="Courier New" w:hAnsi="Courier New" w:hint="default"/>
      </w:rPr>
    </w:lvl>
    <w:lvl w:ilvl="5" w:tplc="72AA50A4">
      <w:start w:val="1"/>
      <w:numFmt w:val="bullet"/>
      <w:lvlText w:val=""/>
      <w:lvlJc w:val="left"/>
      <w:pPr>
        <w:ind w:left="4320" w:hanging="360"/>
      </w:pPr>
      <w:rPr>
        <w:rFonts w:ascii="Wingdings" w:hAnsi="Wingdings" w:hint="default"/>
      </w:rPr>
    </w:lvl>
    <w:lvl w:ilvl="6" w:tplc="06740A9E">
      <w:start w:val="1"/>
      <w:numFmt w:val="bullet"/>
      <w:lvlText w:val=""/>
      <w:lvlJc w:val="left"/>
      <w:pPr>
        <w:ind w:left="5040" w:hanging="360"/>
      </w:pPr>
      <w:rPr>
        <w:rFonts w:ascii="Symbol" w:hAnsi="Symbol" w:hint="default"/>
      </w:rPr>
    </w:lvl>
    <w:lvl w:ilvl="7" w:tplc="D3C85778">
      <w:start w:val="1"/>
      <w:numFmt w:val="bullet"/>
      <w:lvlText w:val="o"/>
      <w:lvlJc w:val="left"/>
      <w:pPr>
        <w:ind w:left="5760" w:hanging="360"/>
      </w:pPr>
      <w:rPr>
        <w:rFonts w:ascii="Courier New" w:hAnsi="Courier New" w:hint="default"/>
      </w:rPr>
    </w:lvl>
    <w:lvl w:ilvl="8" w:tplc="01601BCE">
      <w:start w:val="1"/>
      <w:numFmt w:val="bullet"/>
      <w:lvlText w:val=""/>
      <w:lvlJc w:val="left"/>
      <w:pPr>
        <w:ind w:left="6480" w:hanging="360"/>
      </w:pPr>
      <w:rPr>
        <w:rFonts w:ascii="Wingdings" w:hAnsi="Wingdings" w:hint="default"/>
      </w:rPr>
    </w:lvl>
  </w:abstractNum>
  <w:abstractNum w:abstractNumId="43" w15:restartNumberingAfterBreak="0">
    <w:nsid w:val="5E6C11EE"/>
    <w:multiLevelType w:val="hybridMultilevel"/>
    <w:tmpl w:val="C3588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0294D9A"/>
    <w:multiLevelType w:val="hybridMultilevel"/>
    <w:tmpl w:val="AFDE8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FA55CCD"/>
    <w:multiLevelType w:val="multilevel"/>
    <w:tmpl w:val="D354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20366"/>
    <w:multiLevelType w:val="multilevel"/>
    <w:tmpl w:val="083E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83CB5"/>
    <w:multiLevelType w:val="hybridMultilevel"/>
    <w:tmpl w:val="7DF24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B7F0E79"/>
    <w:multiLevelType w:val="hybridMultilevel"/>
    <w:tmpl w:val="C89A4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DCB29AF"/>
    <w:multiLevelType w:val="multilevel"/>
    <w:tmpl w:val="9D3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10342">
    <w:abstractNumId w:val="32"/>
  </w:num>
  <w:num w:numId="2" w16cid:durableId="1607348128">
    <w:abstractNumId w:val="42"/>
  </w:num>
  <w:num w:numId="3" w16cid:durableId="126708581">
    <w:abstractNumId w:val="38"/>
  </w:num>
  <w:num w:numId="4" w16cid:durableId="2021857514">
    <w:abstractNumId w:val="8"/>
  </w:num>
  <w:num w:numId="5" w16cid:durableId="10646847">
    <w:abstractNumId w:val="14"/>
  </w:num>
  <w:num w:numId="6" w16cid:durableId="199098544">
    <w:abstractNumId w:val="25"/>
  </w:num>
  <w:num w:numId="7" w16cid:durableId="1515728625">
    <w:abstractNumId w:val="1"/>
  </w:num>
  <w:num w:numId="8" w16cid:durableId="999843847">
    <w:abstractNumId w:val="0"/>
  </w:num>
  <w:num w:numId="9" w16cid:durableId="646787132">
    <w:abstractNumId w:val="18"/>
  </w:num>
  <w:num w:numId="10" w16cid:durableId="1608660723">
    <w:abstractNumId w:val="23"/>
  </w:num>
  <w:num w:numId="11" w16cid:durableId="2050179244">
    <w:abstractNumId w:val="27"/>
  </w:num>
  <w:num w:numId="12" w16cid:durableId="2092969202">
    <w:abstractNumId w:val="3"/>
  </w:num>
  <w:num w:numId="13" w16cid:durableId="875431782">
    <w:abstractNumId w:val="4"/>
  </w:num>
  <w:num w:numId="14" w16cid:durableId="958993355">
    <w:abstractNumId w:val="12"/>
  </w:num>
  <w:num w:numId="15" w16cid:durableId="1675303972">
    <w:abstractNumId w:val="21"/>
  </w:num>
  <w:num w:numId="16" w16cid:durableId="1000811217">
    <w:abstractNumId w:val="37"/>
  </w:num>
  <w:num w:numId="17" w16cid:durableId="1333146031">
    <w:abstractNumId w:val="10"/>
  </w:num>
  <w:num w:numId="18" w16cid:durableId="1463887384">
    <w:abstractNumId w:val="36"/>
  </w:num>
  <w:num w:numId="19" w16cid:durableId="587424224">
    <w:abstractNumId w:val="16"/>
  </w:num>
  <w:num w:numId="20" w16cid:durableId="1121917221">
    <w:abstractNumId w:val="13"/>
  </w:num>
  <w:num w:numId="21" w16cid:durableId="402795478">
    <w:abstractNumId w:val="43"/>
  </w:num>
  <w:num w:numId="22" w16cid:durableId="1230268914">
    <w:abstractNumId w:val="20"/>
  </w:num>
  <w:num w:numId="23" w16cid:durableId="1245914266">
    <w:abstractNumId w:val="39"/>
  </w:num>
  <w:num w:numId="24" w16cid:durableId="2067486435">
    <w:abstractNumId w:val="49"/>
  </w:num>
  <w:num w:numId="25" w16cid:durableId="264653984">
    <w:abstractNumId w:val="6"/>
  </w:num>
  <w:num w:numId="26" w16cid:durableId="286738419">
    <w:abstractNumId w:val="31"/>
  </w:num>
  <w:num w:numId="27" w16cid:durableId="2042389316">
    <w:abstractNumId w:val="46"/>
  </w:num>
  <w:num w:numId="28" w16cid:durableId="673996203">
    <w:abstractNumId w:val="45"/>
  </w:num>
  <w:num w:numId="29" w16cid:durableId="494031778">
    <w:abstractNumId w:val="22"/>
  </w:num>
  <w:num w:numId="30" w16cid:durableId="2006320388">
    <w:abstractNumId w:val="11"/>
  </w:num>
  <w:num w:numId="31" w16cid:durableId="905144336">
    <w:abstractNumId w:val="2"/>
  </w:num>
  <w:num w:numId="32" w16cid:durableId="509222436">
    <w:abstractNumId w:val="47"/>
  </w:num>
  <w:num w:numId="33" w16cid:durableId="1172066687">
    <w:abstractNumId w:val="24"/>
  </w:num>
  <w:num w:numId="34" w16cid:durableId="862672372">
    <w:abstractNumId w:val="30"/>
  </w:num>
  <w:num w:numId="35" w16cid:durableId="704601337">
    <w:abstractNumId w:val="7"/>
  </w:num>
  <w:num w:numId="36" w16cid:durableId="1411540467">
    <w:abstractNumId w:val="44"/>
  </w:num>
  <w:num w:numId="37" w16cid:durableId="1907718637">
    <w:abstractNumId w:val="35"/>
  </w:num>
  <w:num w:numId="38" w16cid:durableId="349265111">
    <w:abstractNumId w:val="48"/>
  </w:num>
  <w:num w:numId="39" w16cid:durableId="1748305955">
    <w:abstractNumId w:val="41"/>
  </w:num>
  <w:num w:numId="40" w16cid:durableId="527331866">
    <w:abstractNumId w:val="5"/>
  </w:num>
  <w:num w:numId="41" w16cid:durableId="1137724419">
    <w:abstractNumId w:val="9"/>
  </w:num>
  <w:num w:numId="42" w16cid:durableId="1244488655">
    <w:abstractNumId w:val="28"/>
  </w:num>
  <w:num w:numId="43" w16cid:durableId="1659460479">
    <w:abstractNumId w:val="26"/>
  </w:num>
  <w:num w:numId="44" w16cid:durableId="1420178407">
    <w:abstractNumId w:val="40"/>
  </w:num>
  <w:num w:numId="45" w16cid:durableId="51278256">
    <w:abstractNumId w:val="33"/>
  </w:num>
  <w:num w:numId="46" w16cid:durableId="46997503">
    <w:abstractNumId w:val="29"/>
  </w:num>
  <w:num w:numId="47" w16cid:durableId="1401371729">
    <w:abstractNumId w:val="19"/>
  </w:num>
  <w:num w:numId="48" w16cid:durableId="869270124">
    <w:abstractNumId w:val="17"/>
  </w:num>
  <w:num w:numId="49" w16cid:durableId="2111775407">
    <w:abstractNumId w:val="15"/>
  </w:num>
  <w:num w:numId="50" w16cid:durableId="98247030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94"/>
    <w:rsid w:val="00000224"/>
    <w:rsid w:val="00000E55"/>
    <w:rsid w:val="00001961"/>
    <w:rsid w:val="00001FC5"/>
    <w:rsid w:val="00003102"/>
    <w:rsid w:val="00003218"/>
    <w:rsid w:val="00003978"/>
    <w:rsid w:val="0000567A"/>
    <w:rsid w:val="00005891"/>
    <w:rsid w:val="00005986"/>
    <w:rsid w:val="00005FD2"/>
    <w:rsid w:val="000072B5"/>
    <w:rsid w:val="00011847"/>
    <w:rsid w:val="0001266C"/>
    <w:rsid w:val="00012CD3"/>
    <w:rsid w:val="00014BDF"/>
    <w:rsid w:val="00014DEA"/>
    <w:rsid w:val="000154D5"/>
    <w:rsid w:val="00015F2B"/>
    <w:rsid w:val="00015F44"/>
    <w:rsid w:val="00016C06"/>
    <w:rsid w:val="000171AA"/>
    <w:rsid w:val="00017216"/>
    <w:rsid w:val="00017370"/>
    <w:rsid w:val="00021A1A"/>
    <w:rsid w:val="00021A88"/>
    <w:rsid w:val="000235D4"/>
    <w:rsid w:val="00024619"/>
    <w:rsid w:val="000253AE"/>
    <w:rsid w:val="000257D7"/>
    <w:rsid w:val="00025E79"/>
    <w:rsid w:val="00026126"/>
    <w:rsid w:val="00026401"/>
    <w:rsid w:val="00027724"/>
    <w:rsid w:val="00030919"/>
    <w:rsid w:val="00031AEE"/>
    <w:rsid w:val="00033069"/>
    <w:rsid w:val="0003629B"/>
    <w:rsid w:val="000364F2"/>
    <w:rsid w:val="0004146C"/>
    <w:rsid w:val="00043083"/>
    <w:rsid w:val="00043576"/>
    <w:rsid w:val="0004360F"/>
    <w:rsid w:val="000438CB"/>
    <w:rsid w:val="0004704D"/>
    <w:rsid w:val="00050C33"/>
    <w:rsid w:val="00051CC0"/>
    <w:rsid w:val="000526EA"/>
    <w:rsid w:val="0005287A"/>
    <w:rsid w:val="00052B4C"/>
    <w:rsid w:val="0005504C"/>
    <w:rsid w:val="00055D69"/>
    <w:rsid w:val="00056FAA"/>
    <w:rsid w:val="00057F11"/>
    <w:rsid w:val="00057FB0"/>
    <w:rsid w:val="00062B82"/>
    <w:rsid w:val="00063B0A"/>
    <w:rsid w:val="00064886"/>
    <w:rsid w:val="00065C66"/>
    <w:rsid w:val="00066F24"/>
    <w:rsid w:val="00067A6B"/>
    <w:rsid w:val="00067C71"/>
    <w:rsid w:val="000710F3"/>
    <w:rsid w:val="00071CE6"/>
    <w:rsid w:val="000723C1"/>
    <w:rsid w:val="00072B90"/>
    <w:rsid w:val="00073169"/>
    <w:rsid w:val="00077897"/>
    <w:rsid w:val="000779A6"/>
    <w:rsid w:val="00077B29"/>
    <w:rsid w:val="000803EF"/>
    <w:rsid w:val="00081524"/>
    <w:rsid w:val="000817A0"/>
    <w:rsid w:val="00081E3B"/>
    <w:rsid w:val="000823E7"/>
    <w:rsid w:val="000833D5"/>
    <w:rsid w:val="00083C26"/>
    <w:rsid w:val="00084973"/>
    <w:rsid w:val="0008726B"/>
    <w:rsid w:val="00087CC2"/>
    <w:rsid w:val="00090FDB"/>
    <w:rsid w:val="00092A37"/>
    <w:rsid w:val="00093FFE"/>
    <w:rsid w:val="0009442D"/>
    <w:rsid w:val="00094E01"/>
    <w:rsid w:val="000957E1"/>
    <w:rsid w:val="000959FA"/>
    <w:rsid w:val="00096C19"/>
    <w:rsid w:val="00097C2F"/>
    <w:rsid w:val="000A0C5E"/>
    <w:rsid w:val="000A0E8E"/>
    <w:rsid w:val="000A21FE"/>
    <w:rsid w:val="000A2C0A"/>
    <w:rsid w:val="000A3260"/>
    <w:rsid w:val="000A5622"/>
    <w:rsid w:val="000A79DE"/>
    <w:rsid w:val="000B111C"/>
    <w:rsid w:val="000B1435"/>
    <w:rsid w:val="000B2BAC"/>
    <w:rsid w:val="000B3FE4"/>
    <w:rsid w:val="000B5632"/>
    <w:rsid w:val="000B682C"/>
    <w:rsid w:val="000B7A7E"/>
    <w:rsid w:val="000C07AD"/>
    <w:rsid w:val="000C0877"/>
    <w:rsid w:val="000C1227"/>
    <w:rsid w:val="000C130D"/>
    <w:rsid w:val="000C17BD"/>
    <w:rsid w:val="000C1BFC"/>
    <w:rsid w:val="000C1D18"/>
    <w:rsid w:val="000C27AA"/>
    <w:rsid w:val="000C2868"/>
    <w:rsid w:val="000C2A08"/>
    <w:rsid w:val="000C5920"/>
    <w:rsid w:val="000C71F5"/>
    <w:rsid w:val="000C78C2"/>
    <w:rsid w:val="000D15E4"/>
    <w:rsid w:val="000D1FC3"/>
    <w:rsid w:val="000D36C2"/>
    <w:rsid w:val="000D3EF2"/>
    <w:rsid w:val="000D7E4B"/>
    <w:rsid w:val="000E0F3C"/>
    <w:rsid w:val="000E1382"/>
    <w:rsid w:val="000E1E30"/>
    <w:rsid w:val="000E5415"/>
    <w:rsid w:val="000E5B30"/>
    <w:rsid w:val="000E6D29"/>
    <w:rsid w:val="000E73B7"/>
    <w:rsid w:val="000E7987"/>
    <w:rsid w:val="000F14B7"/>
    <w:rsid w:val="000F1AA0"/>
    <w:rsid w:val="000F1F4F"/>
    <w:rsid w:val="000F32D0"/>
    <w:rsid w:val="000F3F93"/>
    <w:rsid w:val="000F492E"/>
    <w:rsid w:val="000F4B00"/>
    <w:rsid w:val="000F52B4"/>
    <w:rsid w:val="000F595F"/>
    <w:rsid w:val="000F5BFA"/>
    <w:rsid w:val="000F7471"/>
    <w:rsid w:val="000F7DE0"/>
    <w:rsid w:val="001003C9"/>
    <w:rsid w:val="00100431"/>
    <w:rsid w:val="00101302"/>
    <w:rsid w:val="00101962"/>
    <w:rsid w:val="00101A87"/>
    <w:rsid w:val="00101EEB"/>
    <w:rsid w:val="00102798"/>
    <w:rsid w:val="00104BBC"/>
    <w:rsid w:val="001052D9"/>
    <w:rsid w:val="00105817"/>
    <w:rsid w:val="00105E23"/>
    <w:rsid w:val="00106ECE"/>
    <w:rsid w:val="00107F61"/>
    <w:rsid w:val="001111D6"/>
    <w:rsid w:val="001116FB"/>
    <w:rsid w:val="00111D10"/>
    <w:rsid w:val="001122B0"/>
    <w:rsid w:val="001123E1"/>
    <w:rsid w:val="001125D7"/>
    <w:rsid w:val="001128CC"/>
    <w:rsid w:val="00114CF9"/>
    <w:rsid w:val="00115489"/>
    <w:rsid w:val="0011566B"/>
    <w:rsid w:val="0011580E"/>
    <w:rsid w:val="00115AEB"/>
    <w:rsid w:val="00116AAF"/>
    <w:rsid w:val="001177BC"/>
    <w:rsid w:val="00120DEA"/>
    <w:rsid w:val="001218B4"/>
    <w:rsid w:val="00121B2D"/>
    <w:rsid w:val="00122657"/>
    <w:rsid w:val="00122AA6"/>
    <w:rsid w:val="00123962"/>
    <w:rsid w:val="00124382"/>
    <w:rsid w:val="001249E2"/>
    <w:rsid w:val="00124E94"/>
    <w:rsid w:val="00125B2C"/>
    <w:rsid w:val="0012698C"/>
    <w:rsid w:val="00126FB4"/>
    <w:rsid w:val="00127445"/>
    <w:rsid w:val="001279E7"/>
    <w:rsid w:val="00127E15"/>
    <w:rsid w:val="0013036A"/>
    <w:rsid w:val="0013118C"/>
    <w:rsid w:val="00131E3D"/>
    <w:rsid w:val="001323AA"/>
    <w:rsid w:val="00132E7B"/>
    <w:rsid w:val="001333D1"/>
    <w:rsid w:val="00133993"/>
    <w:rsid w:val="00133F6A"/>
    <w:rsid w:val="00133F9B"/>
    <w:rsid w:val="001347BE"/>
    <w:rsid w:val="00134991"/>
    <w:rsid w:val="00134F5C"/>
    <w:rsid w:val="00135A77"/>
    <w:rsid w:val="00135E55"/>
    <w:rsid w:val="00136B05"/>
    <w:rsid w:val="001378CA"/>
    <w:rsid w:val="00140824"/>
    <w:rsid w:val="00140885"/>
    <w:rsid w:val="00140AAC"/>
    <w:rsid w:val="00140DB1"/>
    <w:rsid w:val="00142B89"/>
    <w:rsid w:val="00142BC3"/>
    <w:rsid w:val="00143651"/>
    <w:rsid w:val="00143E2A"/>
    <w:rsid w:val="00143EDE"/>
    <w:rsid w:val="00144910"/>
    <w:rsid w:val="0014513A"/>
    <w:rsid w:val="001464B9"/>
    <w:rsid w:val="00146A3E"/>
    <w:rsid w:val="00147145"/>
    <w:rsid w:val="00150080"/>
    <w:rsid w:val="00150EC1"/>
    <w:rsid w:val="00150EE7"/>
    <w:rsid w:val="00150F2F"/>
    <w:rsid w:val="0015148B"/>
    <w:rsid w:val="001525D6"/>
    <w:rsid w:val="00152AF1"/>
    <w:rsid w:val="00153C5A"/>
    <w:rsid w:val="00153C73"/>
    <w:rsid w:val="0015459B"/>
    <w:rsid w:val="00157539"/>
    <w:rsid w:val="0015796A"/>
    <w:rsid w:val="001619DC"/>
    <w:rsid w:val="001622CE"/>
    <w:rsid w:val="00162490"/>
    <w:rsid w:val="00162B77"/>
    <w:rsid w:val="00163043"/>
    <w:rsid w:val="001639FA"/>
    <w:rsid w:val="00163C1B"/>
    <w:rsid w:val="00164036"/>
    <w:rsid w:val="001640C2"/>
    <w:rsid w:val="00165B6D"/>
    <w:rsid w:val="00170443"/>
    <w:rsid w:val="00170CBF"/>
    <w:rsid w:val="001711B9"/>
    <w:rsid w:val="00172551"/>
    <w:rsid w:val="00173B88"/>
    <w:rsid w:val="00173F3E"/>
    <w:rsid w:val="0017532F"/>
    <w:rsid w:val="00176115"/>
    <w:rsid w:val="001776EA"/>
    <w:rsid w:val="00180062"/>
    <w:rsid w:val="0018319C"/>
    <w:rsid w:val="00183219"/>
    <w:rsid w:val="0018377C"/>
    <w:rsid w:val="00183F98"/>
    <w:rsid w:val="00184443"/>
    <w:rsid w:val="00185165"/>
    <w:rsid w:val="0018523F"/>
    <w:rsid w:val="001855EA"/>
    <w:rsid w:val="001857B8"/>
    <w:rsid w:val="00185F52"/>
    <w:rsid w:val="001926B6"/>
    <w:rsid w:val="00193951"/>
    <w:rsid w:val="0019407B"/>
    <w:rsid w:val="0019469F"/>
    <w:rsid w:val="0019504A"/>
    <w:rsid w:val="00196620"/>
    <w:rsid w:val="001969DA"/>
    <w:rsid w:val="001A003F"/>
    <w:rsid w:val="001A02AD"/>
    <w:rsid w:val="001A0BAB"/>
    <w:rsid w:val="001A132C"/>
    <w:rsid w:val="001A2A4E"/>
    <w:rsid w:val="001A314D"/>
    <w:rsid w:val="001A31F7"/>
    <w:rsid w:val="001A3218"/>
    <w:rsid w:val="001A44E7"/>
    <w:rsid w:val="001A4AE4"/>
    <w:rsid w:val="001A4ECA"/>
    <w:rsid w:val="001A6068"/>
    <w:rsid w:val="001A6553"/>
    <w:rsid w:val="001A74E2"/>
    <w:rsid w:val="001B0661"/>
    <w:rsid w:val="001B1262"/>
    <w:rsid w:val="001B161C"/>
    <w:rsid w:val="001B1698"/>
    <w:rsid w:val="001B1754"/>
    <w:rsid w:val="001B1F36"/>
    <w:rsid w:val="001B2912"/>
    <w:rsid w:val="001B2E5E"/>
    <w:rsid w:val="001B324A"/>
    <w:rsid w:val="001B3A53"/>
    <w:rsid w:val="001B4211"/>
    <w:rsid w:val="001B452A"/>
    <w:rsid w:val="001B6AEC"/>
    <w:rsid w:val="001B720E"/>
    <w:rsid w:val="001B7BAC"/>
    <w:rsid w:val="001C2409"/>
    <w:rsid w:val="001C404A"/>
    <w:rsid w:val="001C4AA6"/>
    <w:rsid w:val="001C57A2"/>
    <w:rsid w:val="001C6013"/>
    <w:rsid w:val="001C6403"/>
    <w:rsid w:val="001C6F73"/>
    <w:rsid w:val="001C79C0"/>
    <w:rsid w:val="001D0822"/>
    <w:rsid w:val="001D0F2B"/>
    <w:rsid w:val="001D1DA9"/>
    <w:rsid w:val="001D3992"/>
    <w:rsid w:val="001D466A"/>
    <w:rsid w:val="001D4D47"/>
    <w:rsid w:val="001D5710"/>
    <w:rsid w:val="001D5A13"/>
    <w:rsid w:val="001D6AAD"/>
    <w:rsid w:val="001E06DF"/>
    <w:rsid w:val="001E0B57"/>
    <w:rsid w:val="001E6A9F"/>
    <w:rsid w:val="001F1537"/>
    <w:rsid w:val="001F1896"/>
    <w:rsid w:val="001F27AE"/>
    <w:rsid w:val="001F3461"/>
    <w:rsid w:val="001F4B10"/>
    <w:rsid w:val="001F541F"/>
    <w:rsid w:val="001F675E"/>
    <w:rsid w:val="001F7915"/>
    <w:rsid w:val="0020107E"/>
    <w:rsid w:val="0020312D"/>
    <w:rsid w:val="00203D19"/>
    <w:rsid w:val="00203EA2"/>
    <w:rsid w:val="00204382"/>
    <w:rsid w:val="0020502F"/>
    <w:rsid w:val="00205657"/>
    <w:rsid w:val="00205AD6"/>
    <w:rsid w:val="002061A8"/>
    <w:rsid w:val="00206E23"/>
    <w:rsid w:val="00207BB5"/>
    <w:rsid w:val="002102E0"/>
    <w:rsid w:val="00211932"/>
    <w:rsid w:val="00211D3D"/>
    <w:rsid w:val="002121B9"/>
    <w:rsid w:val="0021261B"/>
    <w:rsid w:val="0021404E"/>
    <w:rsid w:val="002155C0"/>
    <w:rsid w:val="00215B36"/>
    <w:rsid w:val="0021624B"/>
    <w:rsid w:val="0021624F"/>
    <w:rsid w:val="00216FEC"/>
    <w:rsid w:val="002178FB"/>
    <w:rsid w:val="0022000A"/>
    <w:rsid w:val="002201B7"/>
    <w:rsid w:val="00221ED5"/>
    <w:rsid w:val="002220CC"/>
    <w:rsid w:val="00222AE9"/>
    <w:rsid w:val="00223695"/>
    <w:rsid w:val="00223C32"/>
    <w:rsid w:val="00224A2F"/>
    <w:rsid w:val="00225BC0"/>
    <w:rsid w:val="00227689"/>
    <w:rsid w:val="0023054B"/>
    <w:rsid w:val="00231579"/>
    <w:rsid w:val="002339EA"/>
    <w:rsid w:val="00233D6F"/>
    <w:rsid w:val="00235BBD"/>
    <w:rsid w:val="002371B4"/>
    <w:rsid w:val="00237533"/>
    <w:rsid w:val="0024086B"/>
    <w:rsid w:val="00240CC1"/>
    <w:rsid w:val="0024168F"/>
    <w:rsid w:val="00242DE6"/>
    <w:rsid w:val="0024320C"/>
    <w:rsid w:val="0024383B"/>
    <w:rsid w:val="002446A8"/>
    <w:rsid w:val="00244839"/>
    <w:rsid w:val="00245178"/>
    <w:rsid w:val="00245665"/>
    <w:rsid w:val="00245925"/>
    <w:rsid w:val="00245FB6"/>
    <w:rsid w:val="00246188"/>
    <w:rsid w:val="0024748C"/>
    <w:rsid w:val="00247ECD"/>
    <w:rsid w:val="00250AB3"/>
    <w:rsid w:val="00251411"/>
    <w:rsid w:val="002514A1"/>
    <w:rsid w:val="00252770"/>
    <w:rsid w:val="00252B7B"/>
    <w:rsid w:val="002553D7"/>
    <w:rsid w:val="0025613E"/>
    <w:rsid w:val="0026020D"/>
    <w:rsid w:val="00260748"/>
    <w:rsid w:val="00260DEC"/>
    <w:rsid w:val="00261D7C"/>
    <w:rsid w:val="002626FF"/>
    <w:rsid w:val="002643C0"/>
    <w:rsid w:val="0026558F"/>
    <w:rsid w:val="0026654B"/>
    <w:rsid w:val="002665C5"/>
    <w:rsid w:val="00267E4C"/>
    <w:rsid w:val="002703DC"/>
    <w:rsid w:val="00270CD2"/>
    <w:rsid w:val="0027152B"/>
    <w:rsid w:val="002728C5"/>
    <w:rsid w:val="00272AA4"/>
    <w:rsid w:val="00273EEE"/>
    <w:rsid w:val="00274765"/>
    <w:rsid w:val="00274907"/>
    <w:rsid w:val="00276C1F"/>
    <w:rsid w:val="0028175D"/>
    <w:rsid w:val="00282C64"/>
    <w:rsid w:val="002836C0"/>
    <w:rsid w:val="002838D0"/>
    <w:rsid w:val="0028454B"/>
    <w:rsid w:val="00284EA6"/>
    <w:rsid w:val="0028518E"/>
    <w:rsid w:val="00285629"/>
    <w:rsid w:val="00285758"/>
    <w:rsid w:val="002868DF"/>
    <w:rsid w:val="00287BE4"/>
    <w:rsid w:val="00287D53"/>
    <w:rsid w:val="0029029C"/>
    <w:rsid w:val="00290731"/>
    <w:rsid w:val="00291B94"/>
    <w:rsid w:val="00291E66"/>
    <w:rsid w:val="002924F4"/>
    <w:rsid w:val="00292CA8"/>
    <w:rsid w:val="00294DDB"/>
    <w:rsid w:val="00294F52"/>
    <w:rsid w:val="002952EB"/>
    <w:rsid w:val="0029676C"/>
    <w:rsid w:val="002969D8"/>
    <w:rsid w:val="00296B66"/>
    <w:rsid w:val="00297582"/>
    <w:rsid w:val="00297676"/>
    <w:rsid w:val="00297B4B"/>
    <w:rsid w:val="00297DA1"/>
    <w:rsid w:val="002A07B2"/>
    <w:rsid w:val="002A0AF5"/>
    <w:rsid w:val="002A2460"/>
    <w:rsid w:val="002A2A2C"/>
    <w:rsid w:val="002A2A4C"/>
    <w:rsid w:val="002A6DA0"/>
    <w:rsid w:val="002B08C1"/>
    <w:rsid w:val="002B1DF7"/>
    <w:rsid w:val="002B3389"/>
    <w:rsid w:val="002B3D46"/>
    <w:rsid w:val="002B4107"/>
    <w:rsid w:val="002B49BF"/>
    <w:rsid w:val="002B4FF6"/>
    <w:rsid w:val="002B5EDD"/>
    <w:rsid w:val="002B77FD"/>
    <w:rsid w:val="002C0080"/>
    <w:rsid w:val="002C0342"/>
    <w:rsid w:val="002C0F70"/>
    <w:rsid w:val="002C1419"/>
    <w:rsid w:val="002C1CFE"/>
    <w:rsid w:val="002C47F1"/>
    <w:rsid w:val="002C7326"/>
    <w:rsid w:val="002D0D0B"/>
    <w:rsid w:val="002D111A"/>
    <w:rsid w:val="002D22C7"/>
    <w:rsid w:val="002D25AF"/>
    <w:rsid w:val="002D2B3A"/>
    <w:rsid w:val="002D4766"/>
    <w:rsid w:val="002D4937"/>
    <w:rsid w:val="002D68AE"/>
    <w:rsid w:val="002D7BEA"/>
    <w:rsid w:val="002E0ED0"/>
    <w:rsid w:val="002E1666"/>
    <w:rsid w:val="002E2CCF"/>
    <w:rsid w:val="002E547C"/>
    <w:rsid w:val="002E6E80"/>
    <w:rsid w:val="002E7831"/>
    <w:rsid w:val="002E7E39"/>
    <w:rsid w:val="002F0574"/>
    <w:rsid w:val="002F0E5A"/>
    <w:rsid w:val="002F172A"/>
    <w:rsid w:val="002F3E89"/>
    <w:rsid w:val="002F3F71"/>
    <w:rsid w:val="002F4339"/>
    <w:rsid w:val="002F6704"/>
    <w:rsid w:val="002F6AF1"/>
    <w:rsid w:val="00300830"/>
    <w:rsid w:val="0030109F"/>
    <w:rsid w:val="00301AB6"/>
    <w:rsid w:val="00302179"/>
    <w:rsid w:val="0030356A"/>
    <w:rsid w:val="003038FF"/>
    <w:rsid w:val="00303E67"/>
    <w:rsid w:val="00303EF1"/>
    <w:rsid w:val="00304FD8"/>
    <w:rsid w:val="00305BCC"/>
    <w:rsid w:val="0030770B"/>
    <w:rsid w:val="00310A90"/>
    <w:rsid w:val="003120A5"/>
    <w:rsid w:val="00312E2B"/>
    <w:rsid w:val="00313765"/>
    <w:rsid w:val="00315BEE"/>
    <w:rsid w:val="003160F6"/>
    <w:rsid w:val="00316844"/>
    <w:rsid w:val="00316C99"/>
    <w:rsid w:val="00316DEF"/>
    <w:rsid w:val="00317B74"/>
    <w:rsid w:val="00320F41"/>
    <w:rsid w:val="0032176D"/>
    <w:rsid w:val="0032185B"/>
    <w:rsid w:val="00321F37"/>
    <w:rsid w:val="00322A1F"/>
    <w:rsid w:val="00322D62"/>
    <w:rsid w:val="00325542"/>
    <w:rsid w:val="00326785"/>
    <w:rsid w:val="00330477"/>
    <w:rsid w:val="0033055B"/>
    <w:rsid w:val="003317B2"/>
    <w:rsid w:val="003318A3"/>
    <w:rsid w:val="00331D2C"/>
    <w:rsid w:val="0033262F"/>
    <w:rsid w:val="00332EDB"/>
    <w:rsid w:val="003338C1"/>
    <w:rsid w:val="00336124"/>
    <w:rsid w:val="003362F8"/>
    <w:rsid w:val="00336A89"/>
    <w:rsid w:val="00336E74"/>
    <w:rsid w:val="00337E89"/>
    <w:rsid w:val="00340729"/>
    <w:rsid w:val="00340841"/>
    <w:rsid w:val="00340C9E"/>
    <w:rsid w:val="00341FA4"/>
    <w:rsid w:val="0034255E"/>
    <w:rsid w:val="00343849"/>
    <w:rsid w:val="003446A0"/>
    <w:rsid w:val="003450FC"/>
    <w:rsid w:val="003451B3"/>
    <w:rsid w:val="00345201"/>
    <w:rsid w:val="00345535"/>
    <w:rsid w:val="003458F9"/>
    <w:rsid w:val="00345ACC"/>
    <w:rsid w:val="003460D7"/>
    <w:rsid w:val="003462DC"/>
    <w:rsid w:val="003470AA"/>
    <w:rsid w:val="00350914"/>
    <w:rsid w:val="00350934"/>
    <w:rsid w:val="00350969"/>
    <w:rsid w:val="00350FA8"/>
    <w:rsid w:val="00351589"/>
    <w:rsid w:val="00352AB1"/>
    <w:rsid w:val="0035388D"/>
    <w:rsid w:val="00354A87"/>
    <w:rsid w:val="00354EE3"/>
    <w:rsid w:val="00354F77"/>
    <w:rsid w:val="003557A9"/>
    <w:rsid w:val="003558C2"/>
    <w:rsid w:val="00356454"/>
    <w:rsid w:val="0035680A"/>
    <w:rsid w:val="003569DD"/>
    <w:rsid w:val="003573CF"/>
    <w:rsid w:val="00360B8E"/>
    <w:rsid w:val="00360D18"/>
    <w:rsid w:val="0036136A"/>
    <w:rsid w:val="003617E0"/>
    <w:rsid w:val="0036225A"/>
    <w:rsid w:val="0036373F"/>
    <w:rsid w:val="00363DDB"/>
    <w:rsid w:val="00363F3C"/>
    <w:rsid w:val="00365543"/>
    <w:rsid w:val="00365F5B"/>
    <w:rsid w:val="003663CD"/>
    <w:rsid w:val="00366D8A"/>
    <w:rsid w:val="003707AF"/>
    <w:rsid w:val="00370C0F"/>
    <w:rsid w:val="00370CDB"/>
    <w:rsid w:val="00370EE1"/>
    <w:rsid w:val="003720D9"/>
    <w:rsid w:val="003722B6"/>
    <w:rsid w:val="00372989"/>
    <w:rsid w:val="00372AAB"/>
    <w:rsid w:val="00374898"/>
    <w:rsid w:val="00374EB2"/>
    <w:rsid w:val="003751B1"/>
    <w:rsid w:val="003754E7"/>
    <w:rsid w:val="00375FD6"/>
    <w:rsid w:val="0037742B"/>
    <w:rsid w:val="00377E87"/>
    <w:rsid w:val="00380044"/>
    <w:rsid w:val="0038042C"/>
    <w:rsid w:val="003820ED"/>
    <w:rsid w:val="00383F9D"/>
    <w:rsid w:val="00386712"/>
    <w:rsid w:val="00390A08"/>
    <w:rsid w:val="00390AB5"/>
    <w:rsid w:val="003913D2"/>
    <w:rsid w:val="00392C96"/>
    <w:rsid w:val="00392E8F"/>
    <w:rsid w:val="00393170"/>
    <w:rsid w:val="003932E7"/>
    <w:rsid w:val="00395322"/>
    <w:rsid w:val="0039791D"/>
    <w:rsid w:val="003A10A6"/>
    <w:rsid w:val="003A1838"/>
    <w:rsid w:val="003A250F"/>
    <w:rsid w:val="003A2D27"/>
    <w:rsid w:val="003A3D1C"/>
    <w:rsid w:val="003A421D"/>
    <w:rsid w:val="003A4CBA"/>
    <w:rsid w:val="003A606A"/>
    <w:rsid w:val="003A6FBA"/>
    <w:rsid w:val="003B0714"/>
    <w:rsid w:val="003B13D7"/>
    <w:rsid w:val="003B20F5"/>
    <w:rsid w:val="003B23BC"/>
    <w:rsid w:val="003B2535"/>
    <w:rsid w:val="003B297A"/>
    <w:rsid w:val="003B332C"/>
    <w:rsid w:val="003B6325"/>
    <w:rsid w:val="003B6C8D"/>
    <w:rsid w:val="003B74EA"/>
    <w:rsid w:val="003B784D"/>
    <w:rsid w:val="003C077F"/>
    <w:rsid w:val="003C0A98"/>
    <w:rsid w:val="003C1CE6"/>
    <w:rsid w:val="003C4339"/>
    <w:rsid w:val="003C45E1"/>
    <w:rsid w:val="003C4EF0"/>
    <w:rsid w:val="003C597F"/>
    <w:rsid w:val="003D002D"/>
    <w:rsid w:val="003D077A"/>
    <w:rsid w:val="003D19A1"/>
    <w:rsid w:val="003D19E6"/>
    <w:rsid w:val="003D216A"/>
    <w:rsid w:val="003D32CB"/>
    <w:rsid w:val="003D33EC"/>
    <w:rsid w:val="003D3802"/>
    <w:rsid w:val="003D3B65"/>
    <w:rsid w:val="003D3BFB"/>
    <w:rsid w:val="003D3D59"/>
    <w:rsid w:val="003D42DE"/>
    <w:rsid w:val="003D4804"/>
    <w:rsid w:val="003E1978"/>
    <w:rsid w:val="003E2238"/>
    <w:rsid w:val="003E2AD9"/>
    <w:rsid w:val="003E38E3"/>
    <w:rsid w:val="003E46CC"/>
    <w:rsid w:val="003E4B7D"/>
    <w:rsid w:val="003E52D6"/>
    <w:rsid w:val="003E62E9"/>
    <w:rsid w:val="003E659A"/>
    <w:rsid w:val="003E77DF"/>
    <w:rsid w:val="003F0244"/>
    <w:rsid w:val="003F0791"/>
    <w:rsid w:val="003F0DCE"/>
    <w:rsid w:val="003F1A85"/>
    <w:rsid w:val="003F330A"/>
    <w:rsid w:val="003F3380"/>
    <w:rsid w:val="003F4CA9"/>
    <w:rsid w:val="003F5A26"/>
    <w:rsid w:val="003F5BDB"/>
    <w:rsid w:val="00402628"/>
    <w:rsid w:val="00402A50"/>
    <w:rsid w:val="00403194"/>
    <w:rsid w:val="004038BB"/>
    <w:rsid w:val="00403D02"/>
    <w:rsid w:val="004061BA"/>
    <w:rsid w:val="00406419"/>
    <w:rsid w:val="0040657D"/>
    <w:rsid w:val="004067CF"/>
    <w:rsid w:val="00407CA8"/>
    <w:rsid w:val="00410871"/>
    <w:rsid w:val="00410D2D"/>
    <w:rsid w:val="004114BA"/>
    <w:rsid w:val="00411BBC"/>
    <w:rsid w:val="004122B1"/>
    <w:rsid w:val="00413CB5"/>
    <w:rsid w:val="00414B1C"/>
    <w:rsid w:val="00415061"/>
    <w:rsid w:val="00416523"/>
    <w:rsid w:val="00416629"/>
    <w:rsid w:val="00417A07"/>
    <w:rsid w:val="004201E0"/>
    <w:rsid w:val="004204AC"/>
    <w:rsid w:val="0042086A"/>
    <w:rsid w:val="00420A0A"/>
    <w:rsid w:val="00420AA7"/>
    <w:rsid w:val="00423C9E"/>
    <w:rsid w:val="004241B9"/>
    <w:rsid w:val="004250FE"/>
    <w:rsid w:val="004258F9"/>
    <w:rsid w:val="00425AA0"/>
    <w:rsid w:val="00425BF6"/>
    <w:rsid w:val="00426A0F"/>
    <w:rsid w:val="004271DF"/>
    <w:rsid w:val="00430FA6"/>
    <w:rsid w:val="0043164C"/>
    <w:rsid w:val="0043270A"/>
    <w:rsid w:val="00432DE0"/>
    <w:rsid w:val="00433D6F"/>
    <w:rsid w:val="00435315"/>
    <w:rsid w:val="004363F2"/>
    <w:rsid w:val="0043743D"/>
    <w:rsid w:val="00437C18"/>
    <w:rsid w:val="00437DFF"/>
    <w:rsid w:val="00440ADD"/>
    <w:rsid w:val="004414ED"/>
    <w:rsid w:val="00441600"/>
    <w:rsid w:val="0044195C"/>
    <w:rsid w:val="00441F7C"/>
    <w:rsid w:val="00442819"/>
    <w:rsid w:val="00442889"/>
    <w:rsid w:val="00443955"/>
    <w:rsid w:val="00443A2C"/>
    <w:rsid w:val="00443CCC"/>
    <w:rsid w:val="00443F75"/>
    <w:rsid w:val="0044530F"/>
    <w:rsid w:val="004458DE"/>
    <w:rsid w:val="0044612F"/>
    <w:rsid w:val="004466EF"/>
    <w:rsid w:val="00447181"/>
    <w:rsid w:val="00447327"/>
    <w:rsid w:val="00447D47"/>
    <w:rsid w:val="0045000E"/>
    <w:rsid w:val="004503A0"/>
    <w:rsid w:val="00450B91"/>
    <w:rsid w:val="00451139"/>
    <w:rsid w:val="00452848"/>
    <w:rsid w:val="00453100"/>
    <w:rsid w:val="004533DF"/>
    <w:rsid w:val="004549EE"/>
    <w:rsid w:val="004552C5"/>
    <w:rsid w:val="00455385"/>
    <w:rsid w:val="00456F81"/>
    <w:rsid w:val="00456FA4"/>
    <w:rsid w:val="0045730F"/>
    <w:rsid w:val="0045C6EE"/>
    <w:rsid w:val="00461A9A"/>
    <w:rsid w:val="00461AE6"/>
    <w:rsid w:val="004627F8"/>
    <w:rsid w:val="00462D7A"/>
    <w:rsid w:val="004639D3"/>
    <w:rsid w:val="0046436F"/>
    <w:rsid w:val="00465F03"/>
    <w:rsid w:val="004679A4"/>
    <w:rsid w:val="00470861"/>
    <w:rsid w:val="004736C6"/>
    <w:rsid w:val="004751BC"/>
    <w:rsid w:val="0047638D"/>
    <w:rsid w:val="0047654C"/>
    <w:rsid w:val="004772D3"/>
    <w:rsid w:val="00477E2D"/>
    <w:rsid w:val="00480A22"/>
    <w:rsid w:val="00481478"/>
    <w:rsid w:val="00482110"/>
    <w:rsid w:val="0048247F"/>
    <w:rsid w:val="004846B0"/>
    <w:rsid w:val="00484F1E"/>
    <w:rsid w:val="004857E1"/>
    <w:rsid w:val="004863EB"/>
    <w:rsid w:val="00486B80"/>
    <w:rsid w:val="004907D7"/>
    <w:rsid w:val="00490AFD"/>
    <w:rsid w:val="00490F80"/>
    <w:rsid w:val="00492578"/>
    <w:rsid w:val="004929F9"/>
    <w:rsid w:val="004931F4"/>
    <w:rsid w:val="004947A0"/>
    <w:rsid w:val="00496790"/>
    <w:rsid w:val="0049681B"/>
    <w:rsid w:val="004968AD"/>
    <w:rsid w:val="004976BD"/>
    <w:rsid w:val="004A0DE8"/>
    <w:rsid w:val="004A182F"/>
    <w:rsid w:val="004A1ACA"/>
    <w:rsid w:val="004A1E32"/>
    <w:rsid w:val="004A2712"/>
    <w:rsid w:val="004A33DF"/>
    <w:rsid w:val="004A3422"/>
    <w:rsid w:val="004A54CE"/>
    <w:rsid w:val="004A6075"/>
    <w:rsid w:val="004A6486"/>
    <w:rsid w:val="004A752B"/>
    <w:rsid w:val="004B025C"/>
    <w:rsid w:val="004B02EF"/>
    <w:rsid w:val="004B0E7D"/>
    <w:rsid w:val="004B33A7"/>
    <w:rsid w:val="004B387A"/>
    <w:rsid w:val="004B3AE7"/>
    <w:rsid w:val="004B582D"/>
    <w:rsid w:val="004B6DE0"/>
    <w:rsid w:val="004B7369"/>
    <w:rsid w:val="004B797F"/>
    <w:rsid w:val="004B7CE3"/>
    <w:rsid w:val="004C0870"/>
    <w:rsid w:val="004C1630"/>
    <w:rsid w:val="004C2234"/>
    <w:rsid w:val="004C24CF"/>
    <w:rsid w:val="004C2638"/>
    <w:rsid w:val="004C35C7"/>
    <w:rsid w:val="004C3FF8"/>
    <w:rsid w:val="004C4F99"/>
    <w:rsid w:val="004C5F1F"/>
    <w:rsid w:val="004C63F1"/>
    <w:rsid w:val="004C6A16"/>
    <w:rsid w:val="004C6CC9"/>
    <w:rsid w:val="004C7128"/>
    <w:rsid w:val="004C77FB"/>
    <w:rsid w:val="004D0AD0"/>
    <w:rsid w:val="004D1736"/>
    <w:rsid w:val="004D232D"/>
    <w:rsid w:val="004D2F7E"/>
    <w:rsid w:val="004D31B9"/>
    <w:rsid w:val="004D3A0F"/>
    <w:rsid w:val="004D3DCC"/>
    <w:rsid w:val="004D441C"/>
    <w:rsid w:val="004D55CE"/>
    <w:rsid w:val="004D6696"/>
    <w:rsid w:val="004D776A"/>
    <w:rsid w:val="004E0317"/>
    <w:rsid w:val="004E04D9"/>
    <w:rsid w:val="004E13DA"/>
    <w:rsid w:val="004E1DD4"/>
    <w:rsid w:val="004E4145"/>
    <w:rsid w:val="004E41A5"/>
    <w:rsid w:val="004E4594"/>
    <w:rsid w:val="004E4BE9"/>
    <w:rsid w:val="004E531D"/>
    <w:rsid w:val="004E5986"/>
    <w:rsid w:val="004E66B9"/>
    <w:rsid w:val="004E6790"/>
    <w:rsid w:val="004E6CE7"/>
    <w:rsid w:val="004E78CA"/>
    <w:rsid w:val="004F0CFB"/>
    <w:rsid w:val="004F0FC2"/>
    <w:rsid w:val="004F179C"/>
    <w:rsid w:val="004F401D"/>
    <w:rsid w:val="004F515A"/>
    <w:rsid w:val="004F6871"/>
    <w:rsid w:val="004F7111"/>
    <w:rsid w:val="005003BD"/>
    <w:rsid w:val="005025A1"/>
    <w:rsid w:val="00505999"/>
    <w:rsid w:val="00506388"/>
    <w:rsid w:val="00507129"/>
    <w:rsid w:val="005111A6"/>
    <w:rsid w:val="0051144E"/>
    <w:rsid w:val="005115C2"/>
    <w:rsid w:val="0051250E"/>
    <w:rsid w:val="0051355A"/>
    <w:rsid w:val="005139E2"/>
    <w:rsid w:val="00515E13"/>
    <w:rsid w:val="005166FD"/>
    <w:rsid w:val="00517BE0"/>
    <w:rsid w:val="00517FA2"/>
    <w:rsid w:val="00520057"/>
    <w:rsid w:val="00523C48"/>
    <w:rsid w:val="005240E9"/>
    <w:rsid w:val="0052435A"/>
    <w:rsid w:val="0052647E"/>
    <w:rsid w:val="005267A2"/>
    <w:rsid w:val="005273C7"/>
    <w:rsid w:val="00530F66"/>
    <w:rsid w:val="00532901"/>
    <w:rsid w:val="00533F38"/>
    <w:rsid w:val="00534285"/>
    <w:rsid w:val="00534A01"/>
    <w:rsid w:val="005351ED"/>
    <w:rsid w:val="005369FF"/>
    <w:rsid w:val="0053768B"/>
    <w:rsid w:val="00540003"/>
    <w:rsid w:val="0054173B"/>
    <w:rsid w:val="00543505"/>
    <w:rsid w:val="0054492A"/>
    <w:rsid w:val="00546347"/>
    <w:rsid w:val="0054641A"/>
    <w:rsid w:val="00546F0C"/>
    <w:rsid w:val="0054720B"/>
    <w:rsid w:val="0055033D"/>
    <w:rsid w:val="00551DD8"/>
    <w:rsid w:val="005523E4"/>
    <w:rsid w:val="00552EEB"/>
    <w:rsid w:val="00553859"/>
    <w:rsid w:val="0055402A"/>
    <w:rsid w:val="00554428"/>
    <w:rsid w:val="00554668"/>
    <w:rsid w:val="00554F0E"/>
    <w:rsid w:val="005557C1"/>
    <w:rsid w:val="00555C13"/>
    <w:rsid w:val="005561AF"/>
    <w:rsid w:val="00556DBF"/>
    <w:rsid w:val="00557890"/>
    <w:rsid w:val="005578C2"/>
    <w:rsid w:val="00560188"/>
    <w:rsid w:val="00561028"/>
    <w:rsid w:val="00561C7D"/>
    <w:rsid w:val="00561DF3"/>
    <w:rsid w:val="005633B6"/>
    <w:rsid w:val="00563D2B"/>
    <w:rsid w:val="00564860"/>
    <w:rsid w:val="0056492B"/>
    <w:rsid w:val="00565F17"/>
    <w:rsid w:val="00566155"/>
    <w:rsid w:val="00566600"/>
    <w:rsid w:val="00566A3D"/>
    <w:rsid w:val="005678BB"/>
    <w:rsid w:val="00570443"/>
    <w:rsid w:val="00572AAE"/>
    <w:rsid w:val="00572C53"/>
    <w:rsid w:val="00572CC9"/>
    <w:rsid w:val="00572F8F"/>
    <w:rsid w:val="00574399"/>
    <w:rsid w:val="00574D4B"/>
    <w:rsid w:val="00580931"/>
    <w:rsid w:val="00580F29"/>
    <w:rsid w:val="00580F82"/>
    <w:rsid w:val="00581BBA"/>
    <w:rsid w:val="00581D4C"/>
    <w:rsid w:val="005820DB"/>
    <w:rsid w:val="005825AC"/>
    <w:rsid w:val="0058260A"/>
    <w:rsid w:val="00582ABD"/>
    <w:rsid w:val="00582FE5"/>
    <w:rsid w:val="00584221"/>
    <w:rsid w:val="0058455D"/>
    <w:rsid w:val="00584623"/>
    <w:rsid w:val="00584A86"/>
    <w:rsid w:val="00586273"/>
    <w:rsid w:val="00592CE9"/>
    <w:rsid w:val="00593B39"/>
    <w:rsid w:val="00594523"/>
    <w:rsid w:val="00595EAE"/>
    <w:rsid w:val="005A054D"/>
    <w:rsid w:val="005A0F62"/>
    <w:rsid w:val="005A1273"/>
    <w:rsid w:val="005A2CB4"/>
    <w:rsid w:val="005A2E09"/>
    <w:rsid w:val="005A3AFE"/>
    <w:rsid w:val="005A4315"/>
    <w:rsid w:val="005A4AD5"/>
    <w:rsid w:val="005A4B22"/>
    <w:rsid w:val="005A5842"/>
    <w:rsid w:val="005A5B29"/>
    <w:rsid w:val="005A6D47"/>
    <w:rsid w:val="005A7B27"/>
    <w:rsid w:val="005B033F"/>
    <w:rsid w:val="005B1508"/>
    <w:rsid w:val="005B22A8"/>
    <w:rsid w:val="005B5327"/>
    <w:rsid w:val="005B59BC"/>
    <w:rsid w:val="005B68AE"/>
    <w:rsid w:val="005C3945"/>
    <w:rsid w:val="005C48F2"/>
    <w:rsid w:val="005C4DDE"/>
    <w:rsid w:val="005C5B6F"/>
    <w:rsid w:val="005C68AB"/>
    <w:rsid w:val="005C73A4"/>
    <w:rsid w:val="005C752D"/>
    <w:rsid w:val="005D1A63"/>
    <w:rsid w:val="005D341F"/>
    <w:rsid w:val="005D48F3"/>
    <w:rsid w:val="005D5D71"/>
    <w:rsid w:val="005D69B5"/>
    <w:rsid w:val="005D6A3B"/>
    <w:rsid w:val="005E1575"/>
    <w:rsid w:val="005E1C29"/>
    <w:rsid w:val="005E294A"/>
    <w:rsid w:val="005E3A56"/>
    <w:rsid w:val="005E404C"/>
    <w:rsid w:val="005E4752"/>
    <w:rsid w:val="005E5965"/>
    <w:rsid w:val="005E5FE5"/>
    <w:rsid w:val="005E785C"/>
    <w:rsid w:val="005E7AB0"/>
    <w:rsid w:val="005E7D5E"/>
    <w:rsid w:val="005E7FB2"/>
    <w:rsid w:val="005F012F"/>
    <w:rsid w:val="005F0EBD"/>
    <w:rsid w:val="005F20EC"/>
    <w:rsid w:val="005F2B44"/>
    <w:rsid w:val="005F3B4E"/>
    <w:rsid w:val="005F4597"/>
    <w:rsid w:val="005F4F38"/>
    <w:rsid w:val="005F6564"/>
    <w:rsid w:val="005F71F8"/>
    <w:rsid w:val="005F755E"/>
    <w:rsid w:val="005F763E"/>
    <w:rsid w:val="005F7921"/>
    <w:rsid w:val="005F7D4A"/>
    <w:rsid w:val="006001CE"/>
    <w:rsid w:val="00600C0B"/>
    <w:rsid w:val="00601CA8"/>
    <w:rsid w:val="0060246F"/>
    <w:rsid w:val="006024B7"/>
    <w:rsid w:val="0060257E"/>
    <w:rsid w:val="00603834"/>
    <w:rsid w:val="00604A87"/>
    <w:rsid w:val="00605C00"/>
    <w:rsid w:val="00606E99"/>
    <w:rsid w:val="00607B7B"/>
    <w:rsid w:val="00610563"/>
    <w:rsid w:val="0061063C"/>
    <w:rsid w:val="00610708"/>
    <w:rsid w:val="006107EF"/>
    <w:rsid w:val="0061088B"/>
    <w:rsid w:val="00611441"/>
    <w:rsid w:val="006121C0"/>
    <w:rsid w:val="00613BC2"/>
    <w:rsid w:val="006151A6"/>
    <w:rsid w:val="006151B3"/>
    <w:rsid w:val="00620AC7"/>
    <w:rsid w:val="0062156A"/>
    <w:rsid w:val="00622196"/>
    <w:rsid w:val="00622CF2"/>
    <w:rsid w:val="0062308A"/>
    <w:rsid w:val="00625988"/>
    <w:rsid w:val="00625D3E"/>
    <w:rsid w:val="00626D3A"/>
    <w:rsid w:val="0063028D"/>
    <w:rsid w:val="006302CA"/>
    <w:rsid w:val="00630927"/>
    <w:rsid w:val="00630A1A"/>
    <w:rsid w:val="00631F1E"/>
    <w:rsid w:val="00632295"/>
    <w:rsid w:val="00632461"/>
    <w:rsid w:val="0063396C"/>
    <w:rsid w:val="006341BF"/>
    <w:rsid w:val="00635240"/>
    <w:rsid w:val="00635241"/>
    <w:rsid w:val="00635D19"/>
    <w:rsid w:val="00635F6B"/>
    <w:rsid w:val="006360E5"/>
    <w:rsid w:val="0063644F"/>
    <w:rsid w:val="0063669D"/>
    <w:rsid w:val="0063711F"/>
    <w:rsid w:val="00637C26"/>
    <w:rsid w:val="00640803"/>
    <w:rsid w:val="00640F2D"/>
    <w:rsid w:val="00641AC2"/>
    <w:rsid w:val="006454DA"/>
    <w:rsid w:val="0064649E"/>
    <w:rsid w:val="006469DF"/>
    <w:rsid w:val="00646AB1"/>
    <w:rsid w:val="006501CA"/>
    <w:rsid w:val="00650747"/>
    <w:rsid w:val="00650E18"/>
    <w:rsid w:val="00651EE8"/>
    <w:rsid w:val="00652393"/>
    <w:rsid w:val="00652644"/>
    <w:rsid w:val="0065374E"/>
    <w:rsid w:val="00653BDE"/>
    <w:rsid w:val="0065414B"/>
    <w:rsid w:val="006551D3"/>
    <w:rsid w:val="0065535B"/>
    <w:rsid w:val="00656165"/>
    <w:rsid w:val="0065685B"/>
    <w:rsid w:val="00657BBD"/>
    <w:rsid w:val="00660228"/>
    <w:rsid w:val="0066179D"/>
    <w:rsid w:val="00662F45"/>
    <w:rsid w:val="00663649"/>
    <w:rsid w:val="00663886"/>
    <w:rsid w:val="006657D7"/>
    <w:rsid w:val="00665D22"/>
    <w:rsid w:val="00666274"/>
    <w:rsid w:val="0066651A"/>
    <w:rsid w:val="00667259"/>
    <w:rsid w:val="006703A1"/>
    <w:rsid w:val="006705E4"/>
    <w:rsid w:val="0067108E"/>
    <w:rsid w:val="00671B67"/>
    <w:rsid w:val="00672126"/>
    <w:rsid w:val="0067285B"/>
    <w:rsid w:val="0067327B"/>
    <w:rsid w:val="006732C1"/>
    <w:rsid w:val="00673489"/>
    <w:rsid w:val="00673C8F"/>
    <w:rsid w:val="0067432D"/>
    <w:rsid w:val="00674FEB"/>
    <w:rsid w:val="00675B7E"/>
    <w:rsid w:val="00677DF6"/>
    <w:rsid w:val="00680240"/>
    <w:rsid w:val="00680C11"/>
    <w:rsid w:val="006821D2"/>
    <w:rsid w:val="0068267D"/>
    <w:rsid w:val="00682B66"/>
    <w:rsid w:val="006838BC"/>
    <w:rsid w:val="0068435B"/>
    <w:rsid w:val="006846DF"/>
    <w:rsid w:val="00685328"/>
    <w:rsid w:val="00685EBB"/>
    <w:rsid w:val="0069060A"/>
    <w:rsid w:val="006907DA"/>
    <w:rsid w:val="00691F5B"/>
    <w:rsid w:val="0069297E"/>
    <w:rsid w:val="00693596"/>
    <w:rsid w:val="0069409F"/>
    <w:rsid w:val="00694193"/>
    <w:rsid w:val="006941F3"/>
    <w:rsid w:val="00694871"/>
    <w:rsid w:val="0069535D"/>
    <w:rsid w:val="006955F0"/>
    <w:rsid w:val="00695C2D"/>
    <w:rsid w:val="00695C40"/>
    <w:rsid w:val="00695D19"/>
    <w:rsid w:val="00696C13"/>
    <w:rsid w:val="00696DEB"/>
    <w:rsid w:val="00696EAE"/>
    <w:rsid w:val="00697C79"/>
    <w:rsid w:val="006A1196"/>
    <w:rsid w:val="006A1530"/>
    <w:rsid w:val="006A205C"/>
    <w:rsid w:val="006A3910"/>
    <w:rsid w:val="006A4194"/>
    <w:rsid w:val="006A473A"/>
    <w:rsid w:val="006A4E3B"/>
    <w:rsid w:val="006A5042"/>
    <w:rsid w:val="006A5121"/>
    <w:rsid w:val="006A54AC"/>
    <w:rsid w:val="006A6B77"/>
    <w:rsid w:val="006A6F8D"/>
    <w:rsid w:val="006A701A"/>
    <w:rsid w:val="006A7096"/>
    <w:rsid w:val="006A77BD"/>
    <w:rsid w:val="006A7E69"/>
    <w:rsid w:val="006B0B3E"/>
    <w:rsid w:val="006B16F3"/>
    <w:rsid w:val="006B189F"/>
    <w:rsid w:val="006B2D59"/>
    <w:rsid w:val="006B2F4A"/>
    <w:rsid w:val="006B31C9"/>
    <w:rsid w:val="006B39FB"/>
    <w:rsid w:val="006B4B65"/>
    <w:rsid w:val="006B4BFA"/>
    <w:rsid w:val="006B4E4A"/>
    <w:rsid w:val="006B7508"/>
    <w:rsid w:val="006C24D0"/>
    <w:rsid w:val="006C280F"/>
    <w:rsid w:val="006C3989"/>
    <w:rsid w:val="006C5435"/>
    <w:rsid w:val="006C636D"/>
    <w:rsid w:val="006C6809"/>
    <w:rsid w:val="006D1081"/>
    <w:rsid w:val="006D1174"/>
    <w:rsid w:val="006D2995"/>
    <w:rsid w:val="006D29E1"/>
    <w:rsid w:val="006D2CCB"/>
    <w:rsid w:val="006D341B"/>
    <w:rsid w:val="006D39BD"/>
    <w:rsid w:val="006D3D27"/>
    <w:rsid w:val="006D4188"/>
    <w:rsid w:val="006D433C"/>
    <w:rsid w:val="006D4BD1"/>
    <w:rsid w:val="006D543E"/>
    <w:rsid w:val="006D572C"/>
    <w:rsid w:val="006D666D"/>
    <w:rsid w:val="006E00EE"/>
    <w:rsid w:val="006E0CBC"/>
    <w:rsid w:val="006E0CC0"/>
    <w:rsid w:val="006E1AEA"/>
    <w:rsid w:val="006E1EC2"/>
    <w:rsid w:val="006E22F1"/>
    <w:rsid w:val="006E24B6"/>
    <w:rsid w:val="006E3D7B"/>
    <w:rsid w:val="006E4525"/>
    <w:rsid w:val="006E5039"/>
    <w:rsid w:val="006E56A9"/>
    <w:rsid w:val="006E706A"/>
    <w:rsid w:val="006F14B0"/>
    <w:rsid w:val="006F1EC4"/>
    <w:rsid w:val="006F208A"/>
    <w:rsid w:val="006F2AD8"/>
    <w:rsid w:val="006F339A"/>
    <w:rsid w:val="006F3C89"/>
    <w:rsid w:val="006F4E46"/>
    <w:rsid w:val="006F4F4B"/>
    <w:rsid w:val="006F7EBD"/>
    <w:rsid w:val="0070233D"/>
    <w:rsid w:val="00702438"/>
    <w:rsid w:val="00703375"/>
    <w:rsid w:val="007039D1"/>
    <w:rsid w:val="00705BE1"/>
    <w:rsid w:val="00707202"/>
    <w:rsid w:val="00707BB0"/>
    <w:rsid w:val="00707E7B"/>
    <w:rsid w:val="007113E4"/>
    <w:rsid w:val="007129F0"/>
    <w:rsid w:val="00714ADC"/>
    <w:rsid w:val="00714EB8"/>
    <w:rsid w:val="0071551A"/>
    <w:rsid w:val="00716634"/>
    <w:rsid w:val="00716D8F"/>
    <w:rsid w:val="007213DE"/>
    <w:rsid w:val="00721924"/>
    <w:rsid w:val="00722C09"/>
    <w:rsid w:val="0072486B"/>
    <w:rsid w:val="007248A2"/>
    <w:rsid w:val="00725FEA"/>
    <w:rsid w:val="00726538"/>
    <w:rsid w:val="00727960"/>
    <w:rsid w:val="00730740"/>
    <w:rsid w:val="00732FBC"/>
    <w:rsid w:val="0073332B"/>
    <w:rsid w:val="00733369"/>
    <w:rsid w:val="00733FFF"/>
    <w:rsid w:val="007347F0"/>
    <w:rsid w:val="00734890"/>
    <w:rsid w:val="00734A19"/>
    <w:rsid w:val="007351D5"/>
    <w:rsid w:val="007356E6"/>
    <w:rsid w:val="0073579F"/>
    <w:rsid w:val="00735B71"/>
    <w:rsid w:val="00736328"/>
    <w:rsid w:val="00736ABF"/>
    <w:rsid w:val="00740266"/>
    <w:rsid w:val="007403A1"/>
    <w:rsid w:val="0074049B"/>
    <w:rsid w:val="00740542"/>
    <w:rsid w:val="00740579"/>
    <w:rsid w:val="007406FC"/>
    <w:rsid w:val="007407E0"/>
    <w:rsid w:val="007415A2"/>
    <w:rsid w:val="007417B1"/>
    <w:rsid w:val="007417D9"/>
    <w:rsid w:val="00743794"/>
    <w:rsid w:val="007507B5"/>
    <w:rsid w:val="00750DEA"/>
    <w:rsid w:val="00752144"/>
    <w:rsid w:val="00752325"/>
    <w:rsid w:val="00752AB9"/>
    <w:rsid w:val="00753688"/>
    <w:rsid w:val="00755F86"/>
    <w:rsid w:val="00756E88"/>
    <w:rsid w:val="00757371"/>
    <w:rsid w:val="00757FD8"/>
    <w:rsid w:val="007607CD"/>
    <w:rsid w:val="00760894"/>
    <w:rsid w:val="00762438"/>
    <w:rsid w:val="007632D4"/>
    <w:rsid w:val="00763715"/>
    <w:rsid w:val="00763BF9"/>
    <w:rsid w:val="00764327"/>
    <w:rsid w:val="00764E9F"/>
    <w:rsid w:val="007653D8"/>
    <w:rsid w:val="0076597C"/>
    <w:rsid w:val="00765BE6"/>
    <w:rsid w:val="00770D2E"/>
    <w:rsid w:val="00770D64"/>
    <w:rsid w:val="007719C3"/>
    <w:rsid w:val="00771E61"/>
    <w:rsid w:val="00772530"/>
    <w:rsid w:val="00775543"/>
    <w:rsid w:val="00776548"/>
    <w:rsid w:val="007767A5"/>
    <w:rsid w:val="007815AC"/>
    <w:rsid w:val="007816DE"/>
    <w:rsid w:val="00782F8B"/>
    <w:rsid w:val="007836DD"/>
    <w:rsid w:val="00783950"/>
    <w:rsid w:val="007839A9"/>
    <w:rsid w:val="00784066"/>
    <w:rsid w:val="00784080"/>
    <w:rsid w:val="0078507C"/>
    <w:rsid w:val="007852F8"/>
    <w:rsid w:val="00785374"/>
    <w:rsid w:val="00785954"/>
    <w:rsid w:val="00786552"/>
    <w:rsid w:val="00787319"/>
    <w:rsid w:val="00790663"/>
    <w:rsid w:val="00790B45"/>
    <w:rsid w:val="00791FC0"/>
    <w:rsid w:val="007922E7"/>
    <w:rsid w:val="00792E41"/>
    <w:rsid w:val="00792E4C"/>
    <w:rsid w:val="007939FF"/>
    <w:rsid w:val="00794126"/>
    <w:rsid w:val="00797213"/>
    <w:rsid w:val="00797B56"/>
    <w:rsid w:val="007A0397"/>
    <w:rsid w:val="007A0445"/>
    <w:rsid w:val="007A13D0"/>
    <w:rsid w:val="007A3812"/>
    <w:rsid w:val="007A3EC8"/>
    <w:rsid w:val="007A3EE9"/>
    <w:rsid w:val="007A432C"/>
    <w:rsid w:val="007A570B"/>
    <w:rsid w:val="007A5A26"/>
    <w:rsid w:val="007A694D"/>
    <w:rsid w:val="007B0684"/>
    <w:rsid w:val="007B151D"/>
    <w:rsid w:val="007B186F"/>
    <w:rsid w:val="007B2E6E"/>
    <w:rsid w:val="007B374E"/>
    <w:rsid w:val="007B3B2F"/>
    <w:rsid w:val="007B40D5"/>
    <w:rsid w:val="007B52A0"/>
    <w:rsid w:val="007B6A06"/>
    <w:rsid w:val="007C095C"/>
    <w:rsid w:val="007C100E"/>
    <w:rsid w:val="007C13AC"/>
    <w:rsid w:val="007C2E58"/>
    <w:rsid w:val="007C3522"/>
    <w:rsid w:val="007C454E"/>
    <w:rsid w:val="007C4779"/>
    <w:rsid w:val="007C5317"/>
    <w:rsid w:val="007C57E1"/>
    <w:rsid w:val="007C5E04"/>
    <w:rsid w:val="007C6196"/>
    <w:rsid w:val="007C6905"/>
    <w:rsid w:val="007C7ED1"/>
    <w:rsid w:val="007D0554"/>
    <w:rsid w:val="007D088A"/>
    <w:rsid w:val="007D219A"/>
    <w:rsid w:val="007D2242"/>
    <w:rsid w:val="007D34AD"/>
    <w:rsid w:val="007D5664"/>
    <w:rsid w:val="007D5FCA"/>
    <w:rsid w:val="007D60EB"/>
    <w:rsid w:val="007D6509"/>
    <w:rsid w:val="007D6C0B"/>
    <w:rsid w:val="007D7525"/>
    <w:rsid w:val="007D782C"/>
    <w:rsid w:val="007E0448"/>
    <w:rsid w:val="007E0634"/>
    <w:rsid w:val="007E082A"/>
    <w:rsid w:val="007E147C"/>
    <w:rsid w:val="007E1698"/>
    <w:rsid w:val="007E193D"/>
    <w:rsid w:val="007E5241"/>
    <w:rsid w:val="007E5649"/>
    <w:rsid w:val="007F0165"/>
    <w:rsid w:val="007F04E7"/>
    <w:rsid w:val="007F1898"/>
    <w:rsid w:val="007F1D9F"/>
    <w:rsid w:val="007F235B"/>
    <w:rsid w:val="007F2D3B"/>
    <w:rsid w:val="007F413E"/>
    <w:rsid w:val="007F694F"/>
    <w:rsid w:val="007F6C3A"/>
    <w:rsid w:val="007F7612"/>
    <w:rsid w:val="007F79FC"/>
    <w:rsid w:val="0080124F"/>
    <w:rsid w:val="008015A0"/>
    <w:rsid w:val="00801A1F"/>
    <w:rsid w:val="0080238B"/>
    <w:rsid w:val="00802A41"/>
    <w:rsid w:val="00803339"/>
    <w:rsid w:val="008036BA"/>
    <w:rsid w:val="0080517C"/>
    <w:rsid w:val="0080549C"/>
    <w:rsid w:val="00805511"/>
    <w:rsid w:val="0080657D"/>
    <w:rsid w:val="00806A50"/>
    <w:rsid w:val="00806C82"/>
    <w:rsid w:val="00807875"/>
    <w:rsid w:val="008100BC"/>
    <w:rsid w:val="008109DC"/>
    <w:rsid w:val="008109E8"/>
    <w:rsid w:val="00810E4D"/>
    <w:rsid w:val="00811357"/>
    <w:rsid w:val="008115CF"/>
    <w:rsid w:val="0081208B"/>
    <w:rsid w:val="008128CC"/>
    <w:rsid w:val="00813010"/>
    <w:rsid w:val="008131B0"/>
    <w:rsid w:val="00813D42"/>
    <w:rsid w:val="00813ECA"/>
    <w:rsid w:val="00814083"/>
    <w:rsid w:val="008145A0"/>
    <w:rsid w:val="00814661"/>
    <w:rsid w:val="0081613E"/>
    <w:rsid w:val="00816A4D"/>
    <w:rsid w:val="00816A83"/>
    <w:rsid w:val="0081715E"/>
    <w:rsid w:val="00817A87"/>
    <w:rsid w:val="00817BDC"/>
    <w:rsid w:val="0081DDD2"/>
    <w:rsid w:val="008205DD"/>
    <w:rsid w:val="00820DB5"/>
    <w:rsid w:val="00821525"/>
    <w:rsid w:val="00821733"/>
    <w:rsid w:val="00822735"/>
    <w:rsid w:val="00823462"/>
    <w:rsid w:val="0082546E"/>
    <w:rsid w:val="00831522"/>
    <w:rsid w:val="008326CF"/>
    <w:rsid w:val="008332F5"/>
    <w:rsid w:val="00833405"/>
    <w:rsid w:val="00835300"/>
    <w:rsid w:val="0083640A"/>
    <w:rsid w:val="0083683A"/>
    <w:rsid w:val="00836C24"/>
    <w:rsid w:val="008405EE"/>
    <w:rsid w:val="00840A9F"/>
    <w:rsid w:val="00841260"/>
    <w:rsid w:val="008416C9"/>
    <w:rsid w:val="008417F3"/>
    <w:rsid w:val="008421F8"/>
    <w:rsid w:val="0084255F"/>
    <w:rsid w:val="00843749"/>
    <w:rsid w:val="00845109"/>
    <w:rsid w:val="00845529"/>
    <w:rsid w:val="00845BB8"/>
    <w:rsid w:val="00845BEC"/>
    <w:rsid w:val="00845C8D"/>
    <w:rsid w:val="00845F20"/>
    <w:rsid w:val="0084633E"/>
    <w:rsid w:val="008463A9"/>
    <w:rsid w:val="0084695A"/>
    <w:rsid w:val="00846C16"/>
    <w:rsid w:val="00847680"/>
    <w:rsid w:val="00847901"/>
    <w:rsid w:val="0085071D"/>
    <w:rsid w:val="008508BE"/>
    <w:rsid w:val="00850A35"/>
    <w:rsid w:val="008512FF"/>
    <w:rsid w:val="00851905"/>
    <w:rsid w:val="008546E1"/>
    <w:rsid w:val="00854F52"/>
    <w:rsid w:val="008554EC"/>
    <w:rsid w:val="0085597F"/>
    <w:rsid w:val="0085692A"/>
    <w:rsid w:val="00856E63"/>
    <w:rsid w:val="00857290"/>
    <w:rsid w:val="008601B0"/>
    <w:rsid w:val="00860D20"/>
    <w:rsid w:val="00861C08"/>
    <w:rsid w:val="0086206A"/>
    <w:rsid w:val="00862889"/>
    <w:rsid w:val="00864000"/>
    <w:rsid w:val="008642F3"/>
    <w:rsid w:val="00865172"/>
    <w:rsid w:val="008674DD"/>
    <w:rsid w:val="008675AA"/>
    <w:rsid w:val="00867706"/>
    <w:rsid w:val="0087040B"/>
    <w:rsid w:val="008707B2"/>
    <w:rsid w:val="008739C8"/>
    <w:rsid w:val="00873EAD"/>
    <w:rsid w:val="00874AE7"/>
    <w:rsid w:val="00875367"/>
    <w:rsid w:val="00875747"/>
    <w:rsid w:val="0087652D"/>
    <w:rsid w:val="0087656C"/>
    <w:rsid w:val="00877B64"/>
    <w:rsid w:val="00880087"/>
    <w:rsid w:val="00880DDD"/>
    <w:rsid w:val="00881869"/>
    <w:rsid w:val="00882BAA"/>
    <w:rsid w:val="00882C41"/>
    <w:rsid w:val="00883F27"/>
    <w:rsid w:val="00884AAC"/>
    <w:rsid w:val="00885255"/>
    <w:rsid w:val="008859EC"/>
    <w:rsid w:val="0088699E"/>
    <w:rsid w:val="00886C1B"/>
    <w:rsid w:val="00887A40"/>
    <w:rsid w:val="008904C7"/>
    <w:rsid w:val="00890C6D"/>
    <w:rsid w:val="008917AD"/>
    <w:rsid w:val="0089397A"/>
    <w:rsid w:val="008946E7"/>
    <w:rsid w:val="008948CB"/>
    <w:rsid w:val="00895044"/>
    <w:rsid w:val="008960B0"/>
    <w:rsid w:val="008A0F7B"/>
    <w:rsid w:val="008A27AA"/>
    <w:rsid w:val="008A3ACC"/>
    <w:rsid w:val="008A58D2"/>
    <w:rsid w:val="008A60AE"/>
    <w:rsid w:val="008B01B8"/>
    <w:rsid w:val="008B0D2C"/>
    <w:rsid w:val="008B0E06"/>
    <w:rsid w:val="008B1A76"/>
    <w:rsid w:val="008B299F"/>
    <w:rsid w:val="008B3EF1"/>
    <w:rsid w:val="008B4E25"/>
    <w:rsid w:val="008B5057"/>
    <w:rsid w:val="008B507F"/>
    <w:rsid w:val="008B53E2"/>
    <w:rsid w:val="008B6C60"/>
    <w:rsid w:val="008C06DC"/>
    <w:rsid w:val="008C0EDD"/>
    <w:rsid w:val="008C2031"/>
    <w:rsid w:val="008C28A4"/>
    <w:rsid w:val="008C329A"/>
    <w:rsid w:val="008C3A77"/>
    <w:rsid w:val="008C4218"/>
    <w:rsid w:val="008C5E97"/>
    <w:rsid w:val="008C7781"/>
    <w:rsid w:val="008C7F82"/>
    <w:rsid w:val="008D054B"/>
    <w:rsid w:val="008D1E6C"/>
    <w:rsid w:val="008D2791"/>
    <w:rsid w:val="008D34D4"/>
    <w:rsid w:val="008D3FC2"/>
    <w:rsid w:val="008D4809"/>
    <w:rsid w:val="008D57AF"/>
    <w:rsid w:val="008D67AC"/>
    <w:rsid w:val="008D7191"/>
    <w:rsid w:val="008D7246"/>
    <w:rsid w:val="008D7ACA"/>
    <w:rsid w:val="008D7B48"/>
    <w:rsid w:val="008E1024"/>
    <w:rsid w:val="008E13C5"/>
    <w:rsid w:val="008E4798"/>
    <w:rsid w:val="008E50F0"/>
    <w:rsid w:val="008E7CFF"/>
    <w:rsid w:val="008F0563"/>
    <w:rsid w:val="008F06E8"/>
    <w:rsid w:val="008F11D9"/>
    <w:rsid w:val="008F12DC"/>
    <w:rsid w:val="008F1711"/>
    <w:rsid w:val="008F17A9"/>
    <w:rsid w:val="008F6308"/>
    <w:rsid w:val="008F6B3D"/>
    <w:rsid w:val="008F6ECF"/>
    <w:rsid w:val="008F749A"/>
    <w:rsid w:val="008F7E81"/>
    <w:rsid w:val="0090062B"/>
    <w:rsid w:val="00900AFF"/>
    <w:rsid w:val="00901389"/>
    <w:rsid w:val="00902585"/>
    <w:rsid w:val="00903252"/>
    <w:rsid w:val="00903D71"/>
    <w:rsid w:val="009042C5"/>
    <w:rsid w:val="00905630"/>
    <w:rsid w:val="00906793"/>
    <w:rsid w:val="00906B96"/>
    <w:rsid w:val="00911920"/>
    <w:rsid w:val="009125D0"/>
    <w:rsid w:val="00912B05"/>
    <w:rsid w:val="00914500"/>
    <w:rsid w:val="00915D2C"/>
    <w:rsid w:val="00916A56"/>
    <w:rsid w:val="00917312"/>
    <w:rsid w:val="009176C0"/>
    <w:rsid w:val="009200C0"/>
    <w:rsid w:val="00920277"/>
    <w:rsid w:val="00920860"/>
    <w:rsid w:val="00921A90"/>
    <w:rsid w:val="0092267F"/>
    <w:rsid w:val="0092294D"/>
    <w:rsid w:val="00922D17"/>
    <w:rsid w:val="00923027"/>
    <w:rsid w:val="0092305C"/>
    <w:rsid w:val="00923481"/>
    <w:rsid w:val="00924E5F"/>
    <w:rsid w:val="00925DE2"/>
    <w:rsid w:val="009267EC"/>
    <w:rsid w:val="00926D70"/>
    <w:rsid w:val="00926FD7"/>
    <w:rsid w:val="00927FEC"/>
    <w:rsid w:val="00930B7A"/>
    <w:rsid w:val="00930BF3"/>
    <w:rsid w:val="009311E9"/>
    <w:rsid w:val="009343FE"/>
    <w:rsid w:val="009350E4"/>
    <w:rsid w:val="0094131A"/>
    <w:rsid w:val="0094278B"/>
    <w:rsid w:val="00943548"/>
    <w:rsid w:val="00944659"/>
    <w:rsid w:val="00944DD5"/>
    <w:rsid w:val="00945316"/>
    <w:rsid w:val="00945A6B"/>
    <w:rsid w:val="00945CC2"/>
    <w:rsid w:val="00946660"/>
    <w:rsid w:val="00946B5D"/>
    <w:rsid w:val="00946DDB"/>
    <w:rsid w:val="00947278"/>
    <w:rsid w:val="00951121"/>
    <w:rsid w:val="00951C5D"/>
    <w:rsid w:val="009522ED"/>
    <w:rsid w:val="00952FE6"/>
    <w:rsid w:val="009533C2"/>
    <w:rsid w:val="009538DA"/>
    <w:rsid w:val="00953D57"/>
    <w:rsid w:val="0095401B"/>
    <w:rsid w:val="0095405E"/>
    <w:rsid w:val="00954E3A"/>
    <w:rsid w:val="00956669"/>
    <w:rsid w:val="009576BC"/>
    <w:rsid w:val="00957845"/>
    <w:rsid w:val="00957C94"/>
    <w:rsid w:val="009600FC"/>
    <w:rsid w:val="00960486"/>
    <w:rsid w:val="0096081E"/>
    <w:rsid w:val="00960B3F"/>
    <w:rsid w:val="009615F4"/>
    <w:rsid w:val="0096193C"/>
    <w:rsid w:val="00962138"/>
    <w:rsid w:val="00962C87"/>
    <w:rsid w:val="009637C8"/>
    <w:rsid w:val="00964584"/>
    <w:rsid w:val="009655C7"/>
    <w:rsid w:val="009679A5"/>
    <w:rsid w:val="00970418"/>
    <w:rsid w:val="009707A4"/>
    <w:rsid w:val="0097140E"/>
    <w:rsid w:val="009727E5"/>
    <w:rsid w:val="009740A1"/>
    <w:rsid w:val="0097502A"/>
    <w:rsid w:val="009760EA"/>
    <w:rsid w:val="0097679C"/>
    <w:rsid w:val="0098000B"/>
    <w:rsid w:val="00980B46"/>
    <w:rsid w:val="00980E85"/>
    <w:rsid w:val="00982B35"/>
    <w:rsid w:val="00984936"/>
    <w:rsid w:val="009860B1"/>
    <w:rsid w:val="00986595"/>
    <w:rsid w:val="00986597"/>
    <w:rsid w:val="00986ECF"/>
    <w:rsid w:val="00987573"/>
    <w:rsid w:val="00987686"/>
    <w:rsid w:val="00987B93"/>
    <w:rsid w:val="00987D1B"/>
    <w:rsid w:val="00990BB8"/>
    <w:rsid w:val="00991E02"/>
    <w:rsid w:val="00991FC7"/>
    <w:rsid w:val="009924E4"/>
    <w:rsid w:val="00992B2F"/>
    <w:rsid w:val="009946F7"/>
    <w:rsid w:val="00994889"/>
    <w:rsid w:val="00995493"/>
    <w:rsid w:val="00995931"/>
    <w:rsid w:val="00995BAE"/>
    <w:rsid w:val="00997037"/>
    <w:rsid w:val="0099782F"/>
    <w:rsid w:val="0099A718"/>
    <w:rsid w:val="009A0136"/>
    <w:rsid w:val="009A0EF7"/>
    <w:rsid w:val="009A0EFC"/>
    <w:rsid w:val="009A1120"/>
    <w:rsid w:val="009A15FC"/>
    <w:rsid w:val="009A1C1E"/>
    <w:rsid w:val="009A1ECB"/>
    <w:rsid w:val="009A1FA8"/>
    <w:rsid w:val="009A2160"/>
    <w:rsid w:val="009A270D"/>
    <w:rsid w:val="009A2E62"/>
    <w:rsid w:val="009A3AF3"/>
    <w:rsid w:val="009A45AC"/>
    <w:rsid w:val="009A4719"/>
    <w:rsid w:val="009A4EAF"/>
    <w:rsid w:val="009A4F53"/>
    <w:rsid w:val="009A4F5F"/>
    <w:rsid w:val="009A5930"/>
    <w:rsid w:val="009A6451"/>
    <w:rsid w:val="009A65BA"/>
    <w:rsid w:val="009A663D"/>
    <w:rsid w:val="009A6954"/>
    <w:rsid w:val="009A7126"/>
    <w:rsid w:val="009B0393"/>
    <w:rsid w:val="009B06FE"/>
    <w:rsid w:val="009B0709"/>
    <w:rsid w:val="009B0A87"/>
    <w:rsid w:val="009B1229"/>
    <w:rsid w:val="009B25F5"/>
    <w:rsid w:val="009B2C34"/>
    <w:rsid w:val="009B2C97"/>
    <w:rsid w:val="009B3086"/>
    <w:rsid w:val="009B47AF"/>
    <w:rsid w:val="009B4E57"/>
    <w:rsid w:val="009B529E"/>
    <w:rsid w:val="009B5C4F"/>
    <w:rsid w:val="009B5CED"/>
    <w:rsid w:val="009B60E1"/>
    <w:rsid w:val="009B6293"/>
    <w:rsid w:val="009B6390"/>
    <w:rsid w:val="009B64BE"/>
    <w:rsid w:val="009B6596"/>
    <w:rsid w:val="009B668C"/>
    <w:rsid w:val="009B6DBE"/>
    <w:rsid w:val="009C107F"/>
    <w:rsid w:val="009C1104"/>
    <w:rsid w:val="009C157E"/>
    <w:rsid w:val="009C1845"/>
    <w:rsid w:val="009C1CA0"/>
    <w:rsid w:val="009C22A0"/>
    <w:rsid w:val="009C3DD1"/>
    <w:rsid w:val="009C5684"/>
    <w:rsid w:val="009C5DBB"/>
    <w:rsid w:val="009C5F5B"/>
    <w:rsid w:val="009C65EC"/>
    <w:rsid w:val="009C72A0"/>
    <w:rsid w:val="009C7711"/>
    <w:rsid w:val="009D0543"/>
    <w:rsid w:val="009D10E6"/>
    <w:rsid w:val="009D1472"/>
    <w:rsid w:val="009D1C3B"/>
    <w:rsid w:val="009D30BD"/>
    <w:rsid w:val="009D4AF8"/>
    <w:rsid w:val="009D5639"/>
    <w:rsid w:val="009D56D9"/>
    <w:rsid w:val="009D6211"/>
    <w:rsid w:val="009D622E"/>
    <w:rsid w:val="009D62E2"/>
    <w:rsid w:val="009D652C"/>
    <w:rsid w:val="009D79CD"/>
    <w:rsid w:val="009E0A88"/>
    <w:rsid w:val="009E1DF3"/>
    <w:rsid w:val="009E1ED9"/>
    <w:rsid w:val="009E2620"/>
    <w:rsid w:val="009E4886"/>
    <w:rsid w:val="009E5267"/>
    <w:rsid w:val="009E52B6"/>
    <w:rsid w:val="009E5660"/>
    <w:rsid w:val="009E5A81"/>
    <w:rsid w:val="009E737B"/>
    <w:rsid w:val="009E765D"/>
    <w:rsid w:val="009F16EA"/>
    <w:rsid w:val="009F4817"/>
    <w:rsid w:val="009F5010"/>
    <w:rsid w:val="009F51A4"/>
    <w:rsid w:val="009F64FB"/>
    <w:rsid w:val="009F70FB"/>
    <w:rsid w:val="009F713A"/>
    <w:rsid w:val="00A001B1"/>
    <w:rsid w:val="00A00662"/>
    <w:rsid w:val="00A00FA3"/>
    <w:rsid w:val="00A03AF2"/>
    <w:rsid w:val="00A0512B"/>
    <w:rsid w:val="00A052F6"/>
    <w:rsid w:val="00A0661F"/>
    <w:rsid w:val="00A10531"/>
    <w:rsid w:val="00A134D8"/>
    <w:rsid w:val="00A13A94"/>
    <w:rsid w:val="00A146E3"/>
    <w:rsid w:val="00A15679"/>
    <w:rsid w:val="00A15758"/>
    <w:rsid w:val="00A203DB"/>
    <w:rsid w:val="00A20F0D"/>
    <w:rsid w:val="00A21448"/>
    <w:rsid w:val="00A225AF"/>
    <w:rsid w:val="00A2381C"/>
    <w:rsid w:val="00A23F96"/>
    <w:rsid w:val="00A2456E"/>
    <w:rsid w:val="00A2610E"/>
    <w:rsid w:val="00A26500"/>
    <w:rsid w:val="00A278A0"/>
    <w:rsid w:val="00A278C8"/>
    <w:rsid w:val="00A313E6"/>
    <w:rsid w:val="00A32101"/>
    <w:rsid w:val="00A322BB"/>
    <w:rsid w:val="00A32B11"/>
    <w:rsid w:val="00A32C18"/>
    <w:rsid w:val="00A32E87"/>
    <w:rsid w:val="00A32FCC"/>
    <w:rsid w:val="00A34410"/>
    <w:rsid w:val="00A3448A"/>
    <w:rsid w:val="00A34AF7"/>
    <w:rsid w:val="00A35F58"/>
    <w:rsid w:val="00A40AF8"/>
    <w:rsid w:val="00A41608"/>
    <w:rsid w:val="00A41B30"/>
    <w:rsid w:val="00A426DB"/>
    <w:rsid w:val="00A43DBF"/>
    <w:rsid w:val="00A44379"/>
    <w:rsid w:val="00A46CC0"/>
    <w:rsid w:val="00A47964"/>
    <w:rsid w:val="00A503FC"/>
    <w:rsid w:val="00A511ED"/>
    <w:rsid w:val="00A53296"/>
    <w:rsid w:val="00A533FF"/>
    <w:rsid w:val="00A54C80"/>
    <w:rsid w:val="00A54CFC"/>
    <w:rsid w:val="00A55AAD"/>
    <w:rsid w:val="00A56998"/>
    <w:rsid w:val="00A56DD1"/>
    <w:rsid w:val="00A57261"/>
    <w:rsid w:val="00A602F9"/>
    <w:rsid w:val="00A6040B"/>
    <w:rsid w:val="00A627C3"/>
    <w:rsid w:val="00A648D4"/>
    <w:rsid w:val="00A64FAA"/>
    <w:rsid w:val="00A65299"/>
    <w:rsid w:val="00A65576"/>
    <w:rsid w:val="00A6583E"/>
    <w:rsid w:val="00A66848"/>
    <w:rsid w:val="00A66C36"/>
    <w:rsid w:val="00A67C26"/>
    <w:rsid w:val="00A70676"/>
    <w:rsid w:val="00A70B1C"/>
    <w:rsid w:val="00A722BA"/>
    <w:rsid w:val="00A7257A"/>
    <w:rsid w:val="00A72B91"/>
    <w:rsid w:val="00A73007"/>
    <w:rsid w:val="00A7328E"/>
    <w:rsid w:val="00A7386F"/>
    <w:rsid w:val="00A74883"/>
    <w:rsid w:val="00A75C6B"/>
    <w:rsid w:val="00A7671E"/>
    <w:rsid w:val="00A7698C"/>
    <w:rsid w:val="00A77191"/>
    <w:rsid w:val="00A80094"/>
    <w:rsid w:val="00A8083E"/>
    <w:rsid w:val="00A80E1B"/>
    <w:rsid w:val="00A820AC"/>
    <w:rsid w:val="00A8449A"/>
    <w:rsid w:val="00A84851"/>
    <w:rsid w:val="00A85637"/>
    <w:rsid w:val="00A85EF5"/>
    <w:rsid w:val="00A87AEA"/>
    <w:rsid w:val="00A90853"/>
    <w:rsid w:val="00A9188E"/>
    <w:rsid w:val="00A9198C"/>
    <w:rsid w:val="00A9206E"/>
    <w:rsid w:val="00A9220E"/>
    <w:rsid w:val="00A926EC"/>
    <w:rsid w:val="00A92C02"/>
    <w:rsid w:val="00A92EB1"/>
    <w:rsid w:val="00A93306"/>
    <w:rsid w:val="00A93AD6"/>
    <w:rsid w:val="00A94A67"/>
    <w:rsid w:val="00A94EB9"/>
    <w:rsid w:val="00A9552C"/>
    <w:rsid w:val="00A959BB"/>
    <w:rsid w:val="00A95C29"/>
    <w:rsid w:val="00A966BB"/>
    <w:rsid w:val="00A97B76"/>
    <w:rsid w:val="00A97BD0"/>
    <w:rsid w:val="00A97E3C"/>
    <w:rsid w:val="00AA1467"/>
    <w:rsid w:val="00AA2029"/>
    <w:rsid w:val="00AA2587"/>
    <w:rsid w:val="00AA368D"/>
    <w:rsid w:val="00AA4172"/>
    <w:rsid w:val="00AA4E59"/>
    <w:rsid w:val="00AA5E07"/>
    <w:rsid w:val="00AA6DE8"/>
    <w:rsid w:val="00AA7B43"/>
    <w:rsid w:val="00AC0122"/>
    <w:rsid w:val="00AC0387"/>
    <w:rsid w:val="00AC0BD4"/>
    <w:rsid w:val="00AC0D65"/>
    <w:rsid w:val="00AC144F"/>
    <w:rsid w:val="00AC1738"/>
    <w:rsid w:val="00AC1F59"/>
    <w:rsid w:val="00AC2063"/>
    <w:rsid w:val="00AC377F"/>
    <w:rsid w:val="00AC3D0C"/>
    <w:rsid w:val="00AC3D8C"/>
    <w:rsid w:val="00AC4106"/>
    <w:rsid w:val="00AC4D55"/>
    <w:rsid w:val="00AC502A"/>
    <w:rsid w:val="00AC5731"/>
    <w:rsid w:val="00AC6000"/>
    <w:rsid w:val="00AC637F"/>
    <w:rsid w:val="00AC7690"/>
    <w:rsid w:val="00AC780C"/>
    <w:rsid w:val="00AD0B1C"/>
    <w:rsid w:val="00AD52B8"/>
    <w:rsid w:val="00AD620F"/>
    <w:rsid w:val="00AD6877"/>
    <w:rsid w:val="00AD7A5C"/>
    <w:rsid w:val="00AE117F"/>
    <w:rsid w:val="00AE2CB3"/>
    <w:rsid w:val="00AE330D"/>
    <w:rsid w:val="00AE3A43"/>
    <w:rsid w:val="00AE5C9D"/>
    <w:rsid w:val="00AE5FB6"/>
    <w:rsid w:val="00AE7F4C"/>
    <w:rsid w:val="00AF01E3"/>
    <w:rsid w:val="00AF082E"/>
    <w:rsid w:val="00AF2447"/>
    <w:rsid w:val="00AF29E6"/>
    <w:rsid w:val="00AF3F52"/>
    <w:rsid w:val="00AF4628"/>
    <w:rsid w:val="00AF53C9"/>
    <w:rsid w:val="00AF57B3"/>
    <w:rsid w:val="00AF5BBF"/>
    <w:rsid w:val="00AF5D4A"/>
    <w:rsid w:val="00B00279"/>
    <w:rsid w:val="00B00790"/>
    <w:rsid w:val="00B029CA"/>
    <w:rsid w:val="00B0337A"/>
    <w:rsid w:val="00B033A6"/>
    <w:rsid w:val="00B039BE"/>
    <w:rsid w:val="00B04A8D"/>
    <w:rsid w:val="00B05763"/>
    <w:rsid w:val="00B0744F"/>
    <w:rsid w:val="00B07AE5"/>
    <w:rsid w:val="00B07B16"/>
    <w:rsid w:val="00B10451"/>
    <w:rsid w:val="00B1076D"/>
    <w:rsid w:val="00B10CC1"/>
    <w:rsid w:val="00B12475"/>
    <w:rsid w:val="00B12FEE"/>
    <w:rsid w:val="00B133DF"/>
    <w:rsid w:val="00B14899"/>
    <w:rsid w:val="00B166F9"/>
    <w:rsid w:val="00B20E20"/>
    <w:rsid w:val="00B21102"/>
    <w:rsid w:val="00B23E77"/>
    <w:rsid w:val="00B23EF3"/>
    <w:rsid w:val="00B24070"/>
    <w:rsid w:val="00B25613"/>
    <w:rsid w:val="00B262C4"/>
    <w:rsid w:val="00B268BE"/>
    <w:rsid w:val="00B26C04"/>
    <w:rsid w:val="00B279E3"/>
    <w:rsid w:val="00B27C78"/>
    <w:rsid w:val="00B27EB9"/>
    <w:rsid w:val="00B30C31"/>
    <w:rsid w:val="00B3177B"/>
    <w:rsid w:val="00B33B6D"/>
    <w:rsid w:val="00B33E19"/>
    <w:rsid w:val="00B347E2"/>
    <w:rsid w:val="00B35009"/>
    <w:rsid w:val="00B35AC5"/>
    <w:rsid w:val="00B36433"/>
    <w:rsid w:val="00B36FFA"/>
    <w:rsid w:val="00B40607"/>
    <w:rsid w:val="00B40A99"/>
    <w:rsid w:val="00B426FC"/>
    <w:rsid w:val="00B42775"/>
    <w:rsid w:val="00B42A7D"/>
    <w:rsid w:val="00B42FDE"/>
    <w:rsid w:val="00B43090"/>
    <w:rsid w:val="00B43875"/>
    <w:rsid w:val="00B44FFE"/>
    <w:rsid w:val="00B464B0"/>
    <w:rsid w:val="00B4731B"/>
    <w:rsid w:val="00B47A1C"/>
    <w:rsid w:val="00B50494"/>
    <w:rsid w:val="00B51A14"/>
    <w:rsid w:val="00B52C2E"/>
    <w:rsid w:val="00B52C71"/>
    <w:rsid w:val="00B539CD"/>
    <w:rsid w:val="00B54553"/>
    <w:rsid w:val="00B54FFA"/>
    <w:rsid w:val="00B55189"/>
    <w:rsid w:val="00B56AB2"/>
    <w:rsid w:val="00B57804"/>
    <w:rsid w:val="00B57F3B"/>
    <w:rsid w:val="00B61DF2"/>
    <w:rsid w:val="00B62679"/>
    <w:rsid w:val="00B6445A"/>
    <w:rsid w:val="00B65535"/>
    <w:rsid w:val="00B65E6E"/>
    <w:rsid w:val="00B660B9"/>
    <w:rsid w:val="00B66D6C"/>
    <w:rsid w:val="00B671D4"/>
    <w:rsid w:val="00B673CF"/>
    <w:rsid w:val="00B67C20"/>
    <w:rsid w:val="00B67EBE"/>
    <w:rsid w:val="00B70732"/>
    <w:rsid w:val="00B70B3A"/>
    <w:rsid w:val="00B71A8C"/>
    <w:rsid w:val="00B71EC3"/>
    <w:rsid w:val="00B72E43"/>
    <w:rsid w:val="00B72EB7"/>
    <w:rsid w:val="00B74276"/>
    <w:rsid w:val="00B7606A"/>
    <w:rsid w:val="00B808A2"/>
    <w:rsid w:val="00B80FBE"/>
    <w:rsid w:val="00B81202"/>
    <w:rsid w:val="00B82856"/>
    <w:rsid w:val="00B8316D"/>
    <w:rsid w:val="00B834D9"/>
    <w:rsid w:val="00B83839"/>
    <w:rsid w:val="00B852A9"/>
    <w:rsid w:val="00B86B40"/>
    <w:rsid w:val="00B91F10"/>
    <w:rsid w:val="00B92B29"/>
    <w:rsid w:val="00B94E9E"/>
    <w:rsid w:val="00B95820"/>
    <w:rsid w:val="00B95897"/>
    <w:rsid w:val="00B96A41"/>
    <w:rsid w:val="00B97AD4"/>
    <w:rsid w:val="00BA0BB9"/>
    <w:rsid w:val="00BA1C2C"/>
    <w:rsid w:val="00BA1ECC"/>
    <w:rsid w:val="00BA2128"/>
    <w:rsid w:val="00BA37BF"/>
    <w:rsid w:val="00BA3EB0"/>
    <w:rsid w:val="00BA3F77"/>
    <w:rsid w:val="00BA4103"/>
    <w:rsid w:val="00BA632A"/>
    <w:rsid w:val="00BA668B"/>
    <w:rsid w:val="00BA6998"/>
    <w:rsid w:val="00BA73DB"/>
    <w:rsid w:val="00BA7D42"/>
    <w:rsid w:val="00BA7FA4"/>
    <w:rsid w:val="00BB0EF3"/>
    <w:rsid w:val="00BB145B"/>
    <w:rsid w:val="00BB18D0"/>
    <w:rsid w:val="00BB2AF7"/>
    <w:rsid w:val="00BB34C3"/>
    <w:rsid w:val="00BB3BBF"/>
    <w:rsid w:val="00BB4F8F"/>
    <w:rsid w:val="00BB51D5"/>
    <w:rsid w:val="00BB6581"/>
    <w:rsid w:val="00BB68D8"/>
    <w:rsid w:val="00BB7084"/>
    <w:rsid w:val="00BB7186"/>
    <w:rsid w:val="00BB7926"/>
    <w:rsid w:val="00BB7FC7"/>
    <w:rsid w:val="00BC02EC"/>
    <w:rsid w:val="00BC0A5A"/>
    <w:rsid w:val="00BC1F1C"/>
    <w:rsid w:val="00BC36F3"/>
    <w:rsid w:val="00BC375D"/>
    <w:rsid w:val="00BC432D"/>
    <w:rsid w:val="00BC52FB"/>
    <w:rsid w:val="00BD064A"/>
    <w:rsid w:val="00BD1AA4"/>
    <w:rsid w:val="00BD1F3F"/>
    <w:rsid w:val="00BD276E"/>
    <w:rsid w:val="00BD305F"/>
    <w:rsid w:val="00BD3899"/>
    <w:rsid w:val="00BD43D0"/>
    <w:rsid w:val="00BD458D"/>
    <w:rsid w:val="00BD64F2"/>
    <w:rsid w:val="00BD6714"/>
    <w:rsid w:val="00BD70ED"/>
    <w:rsid w:val="00BD73BF"/>
    <w:rsid w:val="00BD794D"/>
    <w:rsid w:val="00BD7F74"/>
    <w:rsid w:val="00BE1407"/>
    <w:rsid w:val="00BE162D"/>
    <w:rsid w:val="00BE190C"/>
    <w:rsid w:val="00BE2A2D"/>
    <w:rsid w:val="00BE3307"/>
    <w:rsid w:val="00BE3E16"/>
    <w:rsid w:val="00BE4173"/>
    <w:rsid w:val="00BE52A6"/>
    <w:rsid w:val="00BF08F7"/>
    <w:rsid w:val="00BF1F87"/>
    <w:rsid w:val="00BF219D"/>
    <w:rsid w:val="00BF230B"/>
    <w:rsid w:val="00BF25A6"/>
    <w:rsid w:val="00BF27C3"/>
    <w:rsid w:val="00BF38A0"/>
    <w:rsid w:val="00BF3EF5"/>
    <w:rsid w:val="00BF6214"/>
    <w:rsid w:val="00BF7F5B"/>
    <w:rsid w:val="00C0102A"/>
    <w:rsid w:val="00C02477"/>
    <w:rsid w:val="00C02DE4"/>
    <w:rsid w:val="00C045B2"/>
    <w:rsid w:val="00C0556B"/>
    <w:rsid w:val="00C07928"/>
    <w:rsid w:val="00C109D3"/>
    <w:rsid w:val="00C10C36"/>
    <w:rsid w:val="00C11053"/>
    <w:rsid w:val="00C11806"/>
    <w:rsid w:val="00C118C4"/>
    <w:rsid w:val="00C11C10"/>
    <w:rsid w:val="00C11F6F"/>
    <w:rsid w:val="00C1281D"/>
    <w:rsid w:val="00C13767"/>
    <w:rsid w:val="00C13972"/>
    <w:rsid w:val="00C1457C"/>
    <w:rsid w:val="00C149B8"/>
    <w:rsid w:val="00C15031"/>
    <w:rsid w:val="00C15ADA"/>
    <w:rsid w:val="00C15E33"/>
    <w:rsid w:val="00C1691A"/>
    <w:rsid w:val="00C16E6A"/>
    <w:rsid w:val="00C1717A"/>
    <w:rsid w:val="00C175B4"/>
    <w:rsid w:val="00C1781F"/>
    <w:rsid w:val="00C208C8"/>
    <w:rsid w:val="00C20E81"/>
    <w:rsid w:val="00C21307"/>
    <w:rsid w:val="00C221E0"/>
    <w:rsid w:val="00C22E0A"/>
    <w:rsid w:val="00C23346"/>
    <w:rsid w:val="00C23B2C"/>
    <w:rsid w:val="00C23DAF"/>
    <w:rsid w:val="00C25F1E"/>
    <w:rsid w:val="00C26CBE"/>
    <w:rsid w:val="00C27859"/>
    <w:rsid w:val="00C31730"/>
    <w:rsid w:val="00C360A0"/>
    <w:rsid w:val="00C3743E"/>
    <w:rsid w:val="00C37BAD"/>
    <w:rsid w:val="00C40792"/>
    <w:rsid w:val="00C41C5F"/>
    <w:rsid w:val="00C43C0A"/>
    <w:rsid w:val="00C445CE"/>
    <w:rsid w:val="00C45010"/>
    <w:rsid w:val="00C4675F"/>
    <w:rsid w:val="00C47659"/>
    <w:rsid w:val="00C478DC"/>
    <w:rsid w:val="00C51579"/>
    <w:rsid w:val="00C51709"/>
    <w:rsid w:val="00C53819"/>
    <w:rsid w:val="00C5413F"/>
    <w:rsid w:val="00C546EA"/>
    <w:rsid w:val="00C5559C"/>
    <w:rsid w:val="00C56692"/>
    <w:rsid w:val="00C56CDE"/>
    <w:rsid w:val="00C57154"/>
    <w:rsid w:val="00C57DD4"/>
    <w:rsid w:val="00C604D0"/>
    <w:rsid w:val="00C618B1"/>
    <w:rsid w:val="00C619F8"/>
    <w:rsid w:val="00C61C45"/>
    <w:rsid w:val="00C61DB7"/>
    <w:rsid w:val="00C629C2"/>
    <w:rsid w:val="00C62A7D"/>
    <w:rsid w:val="00C663BE"/>
    <w:rsid w:val="00C670DA"/>
    <w:rsid w:val="00C6752C"/>
    <w:rsid w:val="00C678D4"/>
    <w:rsid w:val="00C6797F"/>
    <w:rsid w:val="00C71B12"/>
    <w:rsid w:val="00C71C97"/>
    <w:rsid w:val="00C71CCB"/>
    <w:rsid w:val="00C71E55"/>
    <w:rsid w:val="00C72D21"/>
    <w:rsid w:val="00C73020"/>
    <w:rsid w:val="00C75656"/>
    <w:rsid w:val="00C75AA0"/>
    <w:rsid w:val="00C761F8"/>
    <w:rsid w:val="00C764B2"/>
    <w:rsid w:val="00C77666"/>
    <w:rsid w:val="00C777E1"/>
    <w:rsid w:val="00C77E10"/>
    <w:rsid w:val="00C806A1"/>
    <w:rsid w:val="00C809AC"/>
    <w:rsid w:val="00C8127A"/>
    <w:rsid w:val="00C822E3"/>
    <w:rsid w:val="00C83077"/>
    <w:rsid w:val="00C8315E"/>
    <w:rsid w:val="00C84266"/>
    <w:rsid w:val="00C8535A"/>
    <w:rsid w:val="00C85B6A"/>
    <w:rsid w:val="00C865CE"/>
    <w:rsid w:val="00C866FE"/>
    <w:rsid w:val="00C86EF5"/>
    <w:rsid w:val="00C87E75"/>
    <w:rsid w:val="00C9095C"/>
    <w:rsid w:val="00C91216"/>
    <w:rsid w:val="00C9132A"/>
    <w:rsid w:val="00C92BEA"/>
    <w:rsid w:val="00C93EDF"/>
    <w:rsid w:val="00C94FFB"/>
    <w:rsid w:val="00C954AC"/>
    <w:rsid w:val="00C966E7"/>
    <w:rsid w:val="00C96837"/>
    <w:rsid w:val="00C97E60"/>
    <w:rsid w:val="00CA1D0D"/>
    <w:rsid w:val="00CA2BFA"/>
    <w:rsid w:val="00CA34D7"/>
    <w:rsid w:val="00CA4AD9"/>
    <w:rsid w:val="00CA6C62"/>
    <w:rsid w:val="00CA7F3D"/>
    <w:rsid w:val="00CB00CE"/>
    <w:rsid w:val="00CB028B"/>
    <w:rsid w:val="00CB02E0"/>
    <w:rsid w:val="00CB06B5"/>
    <w:rsid w:val="00CB187D"/>
    <w:rsid w:val="00CB408C"/>
    <w:rsid w:val="00CB4BC2"/>
    <w:rsid w:val="00CB79CC"/>
    <w:rsid w:val="00CB7C9E"/>
    <w:rsid w:val="00CC111E"/>
    <w:rsid w:val="00CC30F0"/>
    <w:rsid w:val="00CC32F3"/>
    <w:rsid w:val="00CC3369"/>
    <w:rsid w:val="00CC47F4"/>
    <w:rsid w:val="00CC4E10"/>
    <w:rsid w:val="00CC5BEF"/>
    <w:rsid w:val="00CC5E96"/>
    <w:rsid w:val="00CC70C6"/>
    <w:rsid w:val="00CD06E0"/>
    <w:rsid w:val="00CD12D5"/>
    <w:rsid w:val="00CD14B1"/>
    <w:rsid w:val="00CD1784"/>
    <w:rsid w:val="00CD1AAF"/>
    <w:rsid w:val="00CD1E7D"/>
    <w:rsid w:val="00CD6072"/>
    <w:rsid w:val="00CD6333"/>
    <w:rsid w:val="00CD676E"/>
    <w:rsid w:val="00CD67A5"/>
    <w:rsid w:val="00CD73D6"/>
    <w:rsid w:val="00CE006D"/>
    <w:rsid w:val="00CE0FC3"/>
    <w:rsid w:val="00CE13F7"/>
    <w:rsid w:val="00CE24F8"/>
    <w:rsid w:val="00CE2B95"/>
    <w:rsid w:val="00CE468C"/>
    <w:rsid w:val="00CF07CC"/>
    <w:rsid w:val="00CF0FDD"/>
    <w:rsid w:val="00CF1FFE"/>
    <w:rsid w:val="00CF220E"/>
    <w:rsid w:val="00CF2F31"/>
    <w:rsid w:val="00CF4C11"/>
    <w:rsid w:val="00CF5DD1"/>
    <w:rsid w:val="00CF6E6A"/>
    <w:rsid w:val="00D01563"/>
    <w:rsid w:val="00D02530"/>
    <w:rsid w:val="00D02CC6"/>
    <w:rsid w:val="00D040CB"/>
    <w:rsid w:val="00D05C90"/>
    <w:rsid w:val="00D0682B"/>
    <w:rsid w:val="00D07881"/>
    <w:rsid w:val="00D105CA"/>
    <w:rsid w:val="00D10B42"/>
    <w:rsid w:val="00D10D67"/>
    <w:rsid w:val="00D10DF2"/>
    <w:rsid w:val="00D11094"/>
    <w:rsid w:val="00D116BA"/>
    <w:rsid w:val="00D11908"/>
    <w:rsid w:val="00D12FC1"/>
    <w:rsid w:val="00D132F2"/>
    <w:rsid w:val="00D1391C"/>
    <w:rsid w:val="00D1393B"/>
    <w:rsid w:val="00D13E22"/>
    <w:rsid w:val="00D1408F"/>
    <w:rsid w:val="00D149AF"/>
    <w:rsid w:val="00D20090"/>
    <w:rsid w:val="00D20568"/>
    <w:rsid w:val="00D229A8"/>
    <w:rsid w:val="00D230FD"/>
    <w:rsid w:val="00D23541"/>
    <w:rsid w:val="00D23671"/>
    <w:rsid w:val="00D23DEF"/>
    <w:rsid w:val="00D23E6B"/>
    <w:rsid w:val="00D24020"/>
    <w:rsid w:val="00D241F5"/>
    <w:rsid w:val="00D25620"/>
    <w:rsid w:val="00D25A3B"/>
    <w:rsid w:val="00D25A5D"/>
    <w:rsid w:val="00D271E6"/>
    <w:rsid w:val="00D3121B"/>
    <w:rsid w:val="00D31C12"/>
    <w:rsid w:val="00D32ECD"/>
    <w:rsid w:val="00D34C36"/>
    <w:rsid w:val="00D35B65"/>
    <w:rsid w:val="00D36236"/>
    <w:rsid w:val="00D3715F"/>
    <w:rsid w:val="00D37168"/>
    <w:rsid w:val="00D40C46"/>
    <w:rsid w:val="00D40C96"/>
    <w:rsid w:val="00D4190D"/>
    <w:rsid w:val="00D41B94"/>
    <w:rsid w:val="00D441E9"/>
    <w:rsid w:val="00D44A84"/>
    <w:rsid w:val="00D44EB1"/>
    <w:rsid w:val="00D468B8"/>
    <w:rsid w:val="00D50662"/>
    <w:rsid w:val="00D518E7"/>
    <w:rsid w:val="00D51DA6"/>
    <w:rsid w:val="00D53237"/>
    <w:rsid w:val="00D53C5D"/>
    <w:rsid w:val="00D55D24"/>
    <w:rsid w:val="00D56925"/>
    <w:rsid w:val="00D56AD0"/>
    <w:rsid w:val="00D56E16"/>
    <w:rsid w:val="00D60067"/>
    <w:rsid w:val="00D60654"/>
    <w:rsid w:val="00D60B8C"/>
    <w:rsid w:val="00D610B3"/>
    <w:rsid w:val="00D62028"/>
    <w:rsid w:val="00D627A8"/>
    <w:rsid w:val="00D63EE8"/>
    <w:rsid w:val="00D64361"/>
    <w:rsid w:val="00D64A3E"/>
    <w:rsid w:val="00D64D6E"/>
    <w:rsid w:val="00D6540B"/>
    <w:rsid w:val="00D66569"/>
    <w:rsid w:val="00D675E2"/>
    <w:rsid w:val="00D7206F"/>
    <w:rsid w:val="00D7256C"/>
    <w:rsid w:val="00D73D24"/>
    <w:rsid w:val="00D74509"/>
    <w:rsid w:val="00D74DFB"/>
    <w:rsid w:val="00D75FD2"/>
    <w:rsid w:val="00D76A9B"/>
    <w:rsid w:val="00D76C8D"/>
    <w:rsid w:val="00D76D56"/>
    <w:rsid w:val="00D77975"/>
    <w:rsid w:val="00D811D8"/>
    <w:rsid w:val="00D81314"/>
    <w:rsid w:val="00D81D1A"/>
    <w:rsid w:val="00D8248F"/>
    <w:rsid w:val="00D82520"/>
    <w:rsid w:val="00D82702"/>
    <w:rsid w:val="00D82DF3"/>
    <w:rsid w:val="00D83ACB"/>
    <w:rsid w:val="00D83B26"/>
    <w:rsid w:val="00D83DCB"/>
    <w:rsid w:val="00D83F43"/>
    <w:rsid w:val="00D84D0E"/>
    <w:rsid w:val="00D85AD7"/>
    <w:rsid w:val="00D86504"/>
    <w:rsid w:val="00D86B58"/>
    <w:rsid w:val="00D8732E"/>
    <w:rsid w:val="00D87B41"/>
    <w:rsid w:val="00D9041F"/>
    <w:rsid w:val="00D905FA"/>
    <w:rsid w:val="00D92043"/>
    <w:rsid w:val="00D927B8"/>
    <w:rsid w:val="00D933BC"/>
    <w:rsid w:val="00D9394D"/>
    <w:rsid w:val="00D94CCB"/>
    <w:rsid w:val="00D9557F"/>
    <w:rsid w:val="00D96C9D"/>
    <w:rsid w:val="00D972AE"/>
    <w:rsid w:val="00D97D39"/>
    <w:rsid w:val="00DA294D"/>
    <w:rsid w:val="00DA3435"/>
    <w:rsid w:val="00DA38D2"/>
    <w:rsid w:val="00DA3967"/>
    <w:rsid w:val="00DA3F7C"/>
    <w:rsid w:val="00DA5E2F"/>
    <w:rsid w:val="00DA60DF"/>
    <w:rsid w:val="00DB0118"/>
    <w:rsid w:val="00DB0B2B"/>
    <w:rsid w:val="00DB10A5"/>
    <w:rsid w:val="00DB212C"/>
    <w:rsid w:val="00DB2205"/>
    <w:rsid w:val="00DB2ACA"/>
    <w:rsid w:val="00DB38E6"/>
    <w:rsid w:val="00DB3901"/>
    <w:rsid w:val="00DB4843"/>
    <w:rsid w:val="00DB4A3E"/>
    <w:rsid w:val="00DB5C50"/>
    <w:rsid w:val="00DB69D0"/>
    <w:rsid w:val="00DB7060"/>
    <w:rsid w:val="00DB7F7B"/>
    <w:rsid w:val="00DC0081"/>
    <w:rsid w:val="00DC024D"/>
    <w:rsid w:val="00DC035E"/>
    <w:rsid w:val="00DC04D3"/>
    <w:rsid w:val="00DC1C27"/>
    <w:rsid w:val="00DC1D67"/>
    <w:rsid w:val="00DC4259"/>
    <w:rsid w:val="00DC47C0"/>
    <w:rsid w:val="00DC486D"/>
    <w:rsid w:val="00DC6381"/>
    <w:rsid w:val="00DC7215"/>
    <w:rsid w:val="00DD04F3"/>
    <w:rsid w:val="00DD0C55"/>
    <w:rsid w:val="00DD1EF4"/>
    <w:rsid w:val="00DD2671"/>
    <w:rsid w:val="00DD3430"/>
    <w:rsid w:val="00DD346A"/>
    <w:rsid w:val="00DD3D3C"/>
    <w:rsid w:val="00DD3F10"/>
    <w:rsid w:val="00DD4CCF"/>
    <w:rsid w:val="00DD708A"/>
    <w:rsid w:val="00DD7A82"/>
    <w:rsid w:val="00DE0804"/>
    <w:rsid w:val="00DE099B"/>
    <w:rsid w:val="00DE0E3A"/>
    <w:rsid w:val="00DE102A"/>
    <w:rsid w:val="00DE1659"/>
    <w:rsid w:val="00DE26FF"/>
    <w:rsid w:val="00DE307B"/>
    <w:rsid w:val="00DE3799"/>
    <w:rsid w:val="00DE3C40"/>
    <w:rsid w:val="00DE508A"/>
    <w:rsid w:val="00DE60FA"/>
    <w:rsid w:val="00DE7659"/>
    <w:rsid w:val="00DF038C"/>
    <w:rsid w:val="00DF0EDE"/>
    <w:rsid w:val="00DF1063"/>
    <w:rsid w:val="00DF1478"/>
    <w:rsid w:val="00DF34C0"/>
    <w:rsid w:val="00DF517D"/>
    <w:rsid w:val="00DF539A"/>
    <w:rsid w:val="00DF560D"/>
    <w:rsid w:val="00DF7671"/>
    <w:rsid w:val="00DF78B9"/>
    <w:rsid w:val="00DF7D21"/>
    <w:rsid w:val="00E00B35"/>
    <w:rsid w:val="00E00D7C"/>
    <w:rsid w:val="00E016F1"/>
    <w:rsid w:val="00E020B8"/>
    <w:rsid w:val="00E0234F"/>
    <w:rsid w:val="00E02C17"/>
    <w:rsid w:val="00E02EB2"/>
    <w:rsid w:val="00E03981"/>
    <w:rsid w:val="00E04D7E"/>
    <w:rsid w:val="00E051FA"/>
    <w:rsid w:val="00E07049"/>
    <w:rsid w:val="00E076AB"/>
    <w:rsid w:val="00E07E58"/>
    <w:rsid w:val="00E11A1F"/>
    <w:rsid w:val="00E1323D"/>
    <w:rsid w:val="00E1633B"/>
    <w:rsid w:val="00E16359"/>
    <w:rsid w:val="00E1649C"/>
    <w:rsid w:val="00E166FE"/>
    <w:rsid w:val="00E22330"/>
    <w:rsid w:val="00E22B33"/>
    <w:rsid w:val="00E234FA"/>
    <w:rsid w:val="00E24889"/>
    <w:rsid w:val="00E25940"/>
    <w:rsid w:val="00E25E2E"/>
    <w:rsid w:val="00E26DDA"/>
    <w:rsid w:val="00E27336"/>
    <w:rsid w:val="00E30208"/>
    <w:rsid w:val="00E302E6"/>
    <w:rsid w:val="00E311FE"/>
    <w:rsid w:val="00E31E94"/>
    <w:rsid w:val="00E3200A"/>
    <w:rsid w:val="00E3225B"/>
    <w:rsid w:val="00E34AC9"/>
    <w:rsid w:val="00E34D4A"/>
    <w:rsid w:val="00E34E3E"/>
    <w:rsid w:val="00E355BB"/>
    <w:rsid w:val="00E35C5B"/>
    <w:rsid w:val="00E35CD7"/>
    <w:rsid w:val="00E36830"/>
    <w:rsid w:val="00E36E61"/>
    <w:rsid w:val="00E36FF7"/>
    <w:rsid w:val="00E40452"/>
    <w:rsid w:val="00E426BD"/>
    <w:rsid w:val="00E43077"/>
    <w:rsid w:val="00E4339E"/>
    <w:rsid w:val="00E44C9E"/>
    <w:rsid w:val="00E462D4"/>
    <w:rsid w:val="00E46502"/>
    <w:rsid w:val="00E4650D"/>
    <w:rsid w:val="00E47131"/>
    <w:rsid w:val="00E473C4"/>
    <w:rsid w:val="00E51FD6"/>
    <w:rsid w:val="00E52C33"/>
    <w:rsid w:val="00E5420C"/>
    <w:rsid w:val="00E54FE0"/>
    <w:rsid w:val="00E56261"/>
    <w:rsid w:val="00E56485"/>
    <w:rsid w:val="00E60914"/>
    <w:rsid w:val="00E60B49"/>
    <w:rsid w:val="00E613D1"/>
    <w:rsid w:val="00E63502"/>
    <w:rsid w:val="00E6404E"/>
    <w:rsid w:val="00E64A8E"/>
    <w:rsid w:val="00E65439"/>
    <w:rsid w:val="00E6626F"/>
    <w:rsid w:val="00E6639E"/>
    <w:rsid w:val="00E66736"/>
    <w:rsid w:val="00E70295"/>
    <w:rsid w:val="00E72BF8"/>
    <w:rsid w:val="00E74A90"/>
    <w:rsid w:val="00E752FF"/>
    <w:rsid w:val="00E812A1"/>
    <w:rsid w:val="00E81591"/>
    <w:rsid w:val="00E8313D"/>
    <w:rsid w:val="00E83591"/>
    <w:rsid w:val="00E83A7E"/>
    <w:rsid w:val="00E83E47"/>
    <w:rsid w:val="00E858C6"/>
    <w:rsid w:val="00E867F7"/>
    <w:rsid w:val="00E87782"/>
    <w:rsid w:val="00E91C9F"/>
    <w:rsid w:val="00E92521"/>
    <w:rsid w:val="00E94934"/>
    <w:rsid w:val="00E95A46"/>
    <w:rsid w:val="00EA184C"/>
    <w:rsid w:val="00EA1BE6"/>
    <w:rsid w:val="00EA1CD1"/>
    <w:rsid w:val="00EA1FEE"/>
    <w:rsid w:val="00EA2130"/>
    <w:rsid w:val="00EA2491"/>
    <w:rsid w:val="00EA28E7"/>
    <w:rsid w:val="00EA3D4F"/>
    <w:rsid w:val="00EA4B28"/>
    <w:rsid w:val="00EA55FC"/>
    <w:rsid w:val="00EA5F51"/>
    <w:rsid w:val="00EA6F68"/>
    <w:rsid w:val="00EA746F"/>
    <w:rsid w:val="00EB026B"/>
    <w:rsid w:val="00EB08C9"/>
    <w:rsid w:val="00EB09E7"/>
    <w:rsid w:val="00EB1021"/>
    <w:rsid w:val="00EB21BE"/>
    <w:rsid w:val="00EB21E0"/>
    <w:rsid w:val="00EB25CD"/>
    <w:rsid w:val="00EB2B83"/>
    <w:rsid w:val="00EB41FE"/>
    <w:rsid w:val="00EB4FEF"/>
    <w:rsid w:val="00EB5095"/>
    <w:rsid w:val="00EB589D"/>
    <w:rsid w:val="00EB5B35"/>
    <w:rsid w:val="00EB5FDA"/>
    <w:rsid w:val="00EB6194"/>
    <w:rsid w:val="00EB6D9B"/>
    <w:rsid w:val="00EB7549"/>
    <w:rsid w:val="00EB7F0B"/>
    <w:rsid w:val="00EC12F2"/>
    <w:rsid w:val="00EC2147"/>
    <w:rsid w:val="00EC310A"/>
    <w:rsid w:val="00EC4023"/>
    <w:rsid w:val="00EC4242"/>
    <w:rsid w:val="00EC4D87"/>
    <w:rsid w:val="00EC66A0"/>
    <w:rsid w:val="00EC6DCD"/>
    <w:rsid w:val="00ED0053"/>
    <w:rsid w:val="00ED2B80"/>
    <w:rsid w:val="00ED52FE"/>
    <w:rsid w:val="00ED72F9"/>
    <w:rsid w:val="00ED750B"/>
    <w:rsid w:val="00ED7D1F"/>
    <w:rsid w:val="00EE0FB2"/>
    <w:rsid w:val="00EE1726"/>
    <w:rsid w:val="00EE1EAB"/>
    <w:rsid w:val="00EE2A0A"/>
    <w:rsid w:val="00EE3BA0"/>
    <w:rsid w:val="00EE4317"/>
    <w:rsid w:val="00EE56F6"/>
    <w:rsid w:val="00EE69F8"/>
    <w:rsid w:val="00EE7104"/>
    <w:rsid w:val="00EE72C0"/>
    <w:rsid w:val="00EE77C7"/>
    <w:rsid w:val="00EF1C91"/>
    <w:rsid w:val="00EF225E"/>
    <w:rsid w:val="00EF2B11"/>
    <w:rsid w:val="00EF581A"/>
    <w:rsid w:val="00EF5A9C"/>
    <w:rsid w:val="00EF6B01"/>
    <w:rsid w:val="00EF6E77"/>
    <w:rsid w:val="00EF7332"/>
    <w:rsid w:val="00EF7426"/>
    <w:rsid w:val="00F00CB3"/>
    <w:rsid w:val="00F0456A"/>
    <w:rsid w:val="00F048D3"/>
    <w:rsid w:val="00F06480"/>
    <w:rsid w:val="00F0694E"/>
    <w:rsid w:val="00F07480"/>
    <w:rsid w:val="00F078EB"/>
    <w:rsid w:val="00F07D63"/>
    <w:rsid w:val="00F10777"/>
    <w:rsid w:val="00F108E1"/>
    <w:rsid w:val="00F10A0F"/>
    <w:rsid w:val="00F10BD3"/>
    <w:rsid w:val="00F10F91"/>
    <w:rsid w:val="00F11B96"/>
    <w:rsid w:val="00F11D26"/>
    <w:rsid w:val="00F13190"/>
    <w:rsid w:val="00F13A21"/>
    <w:rsid w:val="00F15144"/>
    <w:rsid w:val="00F16FC8"/>
    <w:rsid w:val="00F20B5F"/>
    <w:rsid w:val="00F217E9"/>
    <w:rsid w:val="00F225D3"/>
    <w:rsid w:val="00F22E17"/>
    <w:rsid w:val="00F23E5D"/>
    <w:rsid w:val="00F248BD"/>
    <w:rsid w:val="00F30349"/>
    <w:rsid w:val="00F320C2"/>
    <w:rsid w:val="00F32AA6"/>
    <w:rsid w:val="00F3308E"/>
    <w:rsid w:val="00F33468"/>
    <w:rsid w:val="00F34739"/>
    <w:rsid w:val="00F363C6"/>
    <w:rsid w:val="00F364A2"/>
    <w:rsid w:val="00F408BF"/>
    <w:rsid w:val="00F42EA8"/>
    <w:rsid w:val="00F43049"/>
    <w:rsid w:val="00F430F9"/>
    <w:rsid w:val="00F4325E"/>
    <w:rsid w:val="00F436D9"/>
    <w:rsid w:val="00F43CFD"/>
    <w:rsid w:val="00F44053"/>
    <w:rsid w:val="00F44265"/>
    <w:rsid w:val="00F444BB"/>
    <w:rsid w:val="00F44586"/>
    <w:rsid w:val="00F45508"/>
    <w:rsid w:val="00F45D90"/>
    <w:rsid w:val="00F46506"/>
    <w:rsid w:val="00F46979"/>
    <w:rsid w:val="00F4766C"/>
    <w:rsid w:val="00F47A01"/>
    <w:rsid w:val="00F47A43"/>
    <w:rsid w:val="00F5035D"/>
    <w:rsid w:val="00F51079"/>
    <w:rsid w:val="00F529A4"/>
    <w:rsid w:val="00F5321C"/>
    <w:rsid w:val="00F53542"/>
    <w:rsid w:val="00F53B85"/>
    <w:rsid w:val="00F5417A"/>
    <w:rsid w:val="00F56095"/>
    <w:rsid w:val="00F562B9"/>
    <w:rsid w:val="00F56E9F"/>
    <w:rsid w:val="00F57C09"/>
    <w:rsid w:val="00F60CF8"/>
    <w:rsid w:val="00F61D1E"/>
    <w:rsid w:val="00F620CE"/>
    <w:rsid w:val="00F63852"/>
    <w:rsid w:val="00F63A38"/>
    <w:rsid w:val="00F63C5E"/>
    <w:rsid w:val="00F64542"/>
    <w:rsid w:val="00F652C8"/>
    <w:rsid w:val="00F65321"/>
    <w:rsid w:val="00F65643"/>
    <w:rsid w:val="00F6678F"/>
    <w:rsid w:val="00F66EDD"/>
    <w:rsid w:val="00F70ABE"/>
    <w:rsid w:val="00F71240"/>
    <w:rsid w:val="00F7226A"/>
    <w:rsid w:val="00F72770"/>
    <w:rsid w:val="00F73289"/>
    <w:rsid w:val="00F74247"/>
    <w:rsid w:val="00F748D4"/>
    <w:rsid w:val="00F77A3D"/>
    <w:rsid w:val="00F803E3"/>
    <w:rsid w:val="00F804A2"/>
    <w:rsid w:val="00F81307"/>
    <w:rsid w:val="00F81748"/>
    <w:rsid w:val="00F81A91"/>
    <w:rsid w:val="00F839C8"/>
    <w:rsid w:val="00F83DB3"/>
    <w:rsid w:val="00F84F62"/>
    <w:rsid w:val="00F85C21"/>
    <w:rsid w:val="00F8651C"/>
    <w:rsid w:val="00F87366"/>
    <w:rsid w:val="00F8773C"/>
    <w:rsid w:val="00F877C8"/>
    <w:rsid w:val="00F902B4"/>
    <w:rsid w:val="00F90B88"/>
    <w:rsid w:val="00F90FB1"/>
    <w:rsid w:val="00F92FDD"/>
    <w:rsid w:val="00F9342A"/>
    <w:rsid w:val="00F9372C"/>
    <w:rsid w:val="00F94DE8"/>
    <w:rsid w:val="00F97451"/>
    <w:rsid w:val="00F97891"/>
    <w:rsid w:val="00FA04A2"/>
    <w:rsid w:val="00FA04F4"/>
    <w:rsid w:val="00FA159A"/>
    <w:rsid w:val="00FA37F8"/>
    <w:rsid w:val="00FA3DAC"/>
    <w:rsid w:val="00FA41D9"/>
    <w:rsid w:val="00FA50C7"/>
    <w:rsid w:val="00FA5A33"/>
    <w:rsid w:val="00FA5B0F"/>
    <w:rsid w:val="00FA6702"/>
    <w:rsid w:val="00FA79F6"/>
    <w:rsid w:val="00FA7EFC"/>
    <w:rsid w:val="00FB05AE"/>
    <w:rsid w:val="00FB0B78"/>
    <w:rsid w:val="00FB0DE7"/>
    <w:rsid w:val="00FB228C"/>
    <w:rsid w:val="00FB5B33"/>
    <w:rsid w:val="00FB647B"/>
    <w:rsid w:val="00FB7956"/>
    <w:rsid w:val="00FC041F"/>
    <w:rsid w:val="00FC0473"/>
    <w:rsid w:val="00FC1835"/>
    <w:rsid w:val="00FC225F"/>
    <w:rsid w:val="00FC39DD"/>
    <w:rsid w:val="00FC3D94"/>
    <w:rsid w:val="00FC4357"/>
    <w:rsid w:val="00FC7388"/>
    <w:rsid w:val="00FD0B19"/>
    <w:rsid w:val="00FD2107"/>
    <w:rsid w:val="00FD24A1"/>
    <w:rsid w:val="00FD2F5A"/>
    <w:rsid w:val="00FD30CA"/>
    <w:rsid w:val="00FD343D"/>
    <w:rsid w:val="00FD3DCD"/>
    <w:rsid w:val="00FD4119"/>
    <w:rsid w:val="00FD5114"/>
    <w:rsid w:val="00FD5821"/>
    <w:rsid w:val="00FD5DB7"/>
    <w:rsid w:val="00FD5E12"/>
    <w:rsid w:val="00FD601E"/>
    <w:rsid w:val="00FD659C"/>
    <w:rsid w:val="00FD67BD"/>
    <w:rsid w:val="00FD6DA0"/>
    <w:rsid w:val="00FE0228"/>
    <w:rsid w:val="00FE1C72"/>
    <w:rsid w:val="00FE2194"/>
    <w:rsid w:val="00FE24DE"/>
    <w:rsid w:val="00FE2DB5"/>
    <w:rsid w:val="00FE6DFC"/>
    <w:rsid w:val="00FF0606"/>
    <w:rsid w:val="00FF0F94"/>
    <w:rsid w:val="00FF109D"/>
    <w:rsid w:val="00FF2903"/>
    <w:rsid w:val="00FF29F7"/>
    <w:rsid w:val="00FF2C85"/>
    <w:rsid w:val="00FF46FA"/>
    <w:rsid w:val="00FF5312"/>
    <w:rsid w:val="00FF5CB9"/>
    <w:rsid w:val="00FF611B"/>
    <w:rsid w:val="00FF7150"/>
    <w:rsid w:val="0128BDA9"/>
    <w:rsid w:val="013AA065"/>
    <w:rsid w:val="01504087"/>
    <w:rsid w:val="0159390F"/>
    <w:rsid w:val="017D5454"/>
    <w:rsid w:val="01B8E2C2"/>
    <w:rsid w:val="01D5C5E9"/>
    <w:rsid w:val="01EC3B9E"/>
    <w:rsid w:val="023470C9"/>
    <w:rsid w:val="023707BD"/>
    <w:rsid w:val="023B39AD"/>
    <w:rsid w:val="0268005B"/>
    <w:rsid w:val="0271DC73"/>
    <w:rsid w:val="02C67866"/>
    <w:rsid w:val="030F0138"/>
    <w:rsid w:val="03DD71C7"/>
    <w:rsid w:val="03F52749"/>
    <w:rsid w:val="0422C432"/>
    <w:rsid w:val="0495EFA9"/>
    <w:rsid w:val="05040DDA"/>
    <w:rsid w:val="05088D87"/>
    <w:rsid w:val="055345B0"/>
    <w:rsid w:val="056FCA91"/>
    <w:rsid w:val="0579C412"/>
    <w:rsid w:val="05929FE5"/>
    <w:rsid w:val="05F6A931"/>
    <w:rsid w:val="060210B5"/>
    <w:rsid w:val="066B870A"/>
    <w:rsid w:val="067183DC"/>
    <w:rsid w:val="06EFB018"/>
    <w:rsid w:val="07069332"/>
    <w:rsid w:val="07266532"/>
    <w:rsid w:val="07826692"/>
    <w:rsid w:val="07A6141E"/>
    <w:rsid w:val="08628B05"/>
    <w:rsid w:val="08A56185"/>
    <w:rsid w:val="0930A1D5"/>
    <w:rsid w:val="09539834"/>
    <w:rsid w:val="096BF3E9"/>
    <w:rsid w:val="0971AE5D"/>
    <w:rsid w:val="0976EEB7"/>
    <w:rsid w:val="09A25751"/>
    <w:rsid w:val="09C37D59"/>
    <w:rsid w:val="09E6E6EC"/>
    <w:rsid w:val="0A4BD5D9"/>
    <w:rsid w:val="0A541CF6"/>
    <w:rsid w:val="0A9ED123"/>
    <w:rsid w:val="0ADBDB35"/>
    <w:rsid w:val="0B1D0AAA"/>
    <w:rsid w:val="0BA7BAF8"/>
    <w:rsid w:val="0BB2F4D0"/>
    <w:rsid w:val="0BBB2D59"/>
    <w:rsid w:val="0C0961C9"/>
    <w:rsid w:val="0C33F251"/>
    <w:rsid w:val="0CA57EA2"/>
    <w:rsid w:val="0CC16ABD"/>
    <w:rsid w:val="0CD98B5F"/>
    <w:rsid w:val="0DAD8766"/>
    <w:rsid w:val="0DB881F9"/>
    <w:rsid w:val="0E72F3A9"/>
    <w:rsid w:val="0E9A82D0"/>
    <w:rsid w:val="0EAEE702"/>
    <w:rsid w:val="0EBDE290"/>
    <w:rsid w:val="0F10E49B"/>
    <w:rsid w:val="0F197963"/>
    <w:rsid w:val="0F1E9613"/>
    <w:rsid w:val="0F2AB8C3"/>
    <w:rsid w:val="0F2B1AD1"/>
    <w:rsid w:val="0F2FE0CC"/>
    <w:rsid w:val="0F4A4E58"/>
    <w:rsid w:val="0F6276DF"/>
    <w:rsid w:val="0F8D5C89"/>
    <w:rsid w:val="0FA2AB19"/>
    <w:rsid w:val="0FDF5045"/>
    <w:rsid w:val="0FE5F16D"/>
    <w:rsid w:val="10078A61"/>
    <w:rsid w:val="101ED63F"/>
    <w:rsid w:val="1053AB43"/>
    <w:rsid w:val="107D0E0A"/>
    <w:rsid w:val="10D13EDD"/>
    <w:rsid w:val="10D6CAD5"/>
    <w:rsid w:val="1115B083"/>
    <w:rsid w:val="11211C53"/>
    <w:rsid w:val="114D6ED4"/>
    <w:rsid w:val="1156A493"/>
    <w:rsid w:val="115ED6BA"/>
    <w:rsid w:val="11D8F0D3"/>
    <w:rsid w:val="11DCEE0B"/>
    <w:rsid w:val="11FD3645"/>
    <w:rsid w:val="1215B11D"/>
    <w:rsid w:val="1215C98A"/>
    <w:rsid w:val="122C05E8"/>
    <w:rsid w:val="122F0221"/>
    <w:rsid w:val="13486A19"/>
    <w:rsid w:val="135501C8"/>
    <w:rsid w:val="13606BFF"/>
    <w:rsid w:val="13D491F8"/>
    <w:rsid w:val="13E7253A"/>
    <w:rsid w:val="14DD27FD"/>
    <w:rsid w:val="14FDF820"/>
    <w:rsid w:val="151B12EE"/>
    <w:rsid w:val="158C77A8"/>
    <w:rsid w:val="15951BB7"/>
    <w:rsid w:val="15989F3B"/>
    <w:rsid w:val="161648DF"/>
    <w:rsid w:val="16311147"/>
    <w:rsid w:val="168384A9"/>
    <w:rsid w:val="169E283A"/>
    <w:rsid w:val="170FA9CE"/>
    <w:rsid w:val="17285053"/>
    <w:rsid w:val="173CEAB9"/>
    <w:rsid w:val="179851BC"/>
    <w:rsid w:val="17AB8892"/>
    <w:rsid w:val="17ADEDD8"/>
    <w:rsid w:val="17E4D866"/>
    <w:rsid w:val="18018FFD"/>
    <w:rsid w:val="181747FD"/>
    <w:rsid w:val="181BB121"/>
    <w:rsid w:val="187F4C3F"/>
    <w:rsid w:val="188FEA82"/>
    <w:rsid w:val="18A0F26B"/>
    <w:rsid w:val="1930280F"/>
    <w:rsid w:val="19716508"/>
    <w:rsid w:val="1A19D948"/>
    <w:rsid w:val="1A4DA545"/>
    <w:rsid w:val="1A5F9523"/>
    <w:rsid w:val="1A630BB9"/>
    <w:rsid w:val="1A6D45D4"/>
    <w:rsid w:val="1AAB4972"/>
    <w:rsid w:val="1ABDA917"/>
    <w:rsid w:val="1B1372F1"/>
    <w:rsid w:val="1B2A20BE"/>
    <w:rsid w:val="1BAB833A"/>
    <w:rsid w:val="1BC23755"/>
    <w:rsid w:val="1BF4F790"/>
    <w:rsid w:val="1C61F40B"/>
    <w:rsid w:val="1C64A331"/>
    <w:rsid w:val="1C666115"/>
    <w:rsid w:val="1CAC90AF"/>
    <w:rsid w:val="1D272768"/>
    <w:rsid w:val="1D386559"/>
    <w:rsid w:val="1D4DF71B"/>
    <w:rsid w:val="1D533A40"/>
    <w:rsid w:val="1D82AAFE"/>
    <w:rsid w:val="1D913BD6"/>
    <w:rsid w:val="1DCF3441"/>
    <w:rsid w:val="1DD8252F"/>
    <w:rsid w:val="1E3B233A"/>
    <w:rsid w:val="1E643422"/>
    <w:rsid w:val="1E830E08"/>
    <w:rsid w:val="1EBCD545"/>
    <w:rsid w:val="1EBDB972"/>
    <w:rsid w:val="1EC0160C"/>
    <w:rsid w:val="1EC8DF60"/>
    <w:rsid w:val="1F5B867E"/>
    <w:rsid w:val="1F9BE6FE"/>
    <w:rsid w:val="1FDE9D9C"/>
    <w:rsid w:val="1FE9449D"/>
    <w:rsid w:val="2044490E"/>
    <w:rsid w:val="20449086"/>
    <w:rsid w:val="206389F7"/>
    <w:rsid w:val="2073B87E"/>
    <w:rsid w:val="20956907"/>
    <w:rsid w:val="20C2217E"/>
    <w:rsid w:val="20D6E3C9"/>
    <w:rsid w:val="2177680F"/>
    <w:rsid w:val="22A59E5E"/>
    <w:rsid w:val="22D745FD"/>
    <w:rsid w:val="22F508FC"/>
    <w:rsid w:val="23C1715A"/>
    <w:rsid w:val="23C5326E"/>
    <w:rsid w:val="24800C11"/>
    <w:rsid w:val="24C06CBD"/>
    <w:rsid w:val="24D56E48"/>
    <w:rsid w:val="25D758B5"/>
    <w:rsid w:val="2605406A"/>
    <w:rsid w:val="26EB918E"/>
    <w:rsid w:val="278F4E8C"/>
    <w:rsid w:val="27E2B921"/>
    <w:rsid w:val="28383CAC"/>
    <w:rsid w:val="28589D0A"/>
    <w:rsid w:val="2889D6FE"/>
    <w:rsid w:val="28C15EB6"/>
    <w:rsid w:val="294D6455"/>
    <w:rsid w:val="29A4029D"/>
    <w:rsid w:val="2A252D17"/>
    <w:rsid w:val="2A370FC6"/>
    <w:rsid w:val="2A454924"/>
    <w:rsid w:val="2A5CA414"/>
    <w:rsid w:val="2A6065B9"/>
    <w:rsid w:val="2A6937C4"/>
    <w:rsid w:val="2AC8882B"/>
    <w:rsid w:val="2AE458C9"/>
    <w:rsid w:val="2B1EAE2C"/>
    <w:rsid w:val="2B36B2E7"/>
    <w:rsid w:val="2B6E62BE"/>
    <w:rsid w:val="2B85337F"/>
    <w:rsid w:val="2BDE6A92"/>
    <w:rsid w:val="2C57168F"/>
    <w:rsid w:val="2C6AA3FC"/>
    <w:rsid w:val="2C825E4B"/>
    <w:rsid w:val="2D169256"/>
    <w:rsid w:val="2D33C978"/>
    <w:rsid w:val="2D3F7B10"/>
    <w:rsid w:val="2D8354C7"/>
    <w:rsid w:val="2DACDFC6"/>
    <w:rsid w:val="2DB1251F"/>
    <w:rsid w:val="2DD03C73"/>
    <w:rsid w:val="2E11B6E5"/>
    <w:rsid w:val="2F11CDCA"/>
    <w:rsid w:val="2F26F1CA"/>
    <w:rsid w:val="2F5A9115"/>
    <w:rsid w:val="2F818ECD"/>
    <w:rsid w:val="2FCB4891"/>
    <w:rsid w:val="2FF1B82F"/>
    <w:rsid w:val="3017F41C"/>
    <w:rsid w:val="30A663BA"/>
    <w:rsid w:val="30A67C8B"/>
    <w:rsid w:val="30DF6DBB"/>
    <w:rsid w:val="30FB2C00"/>
    <w:rsid w:val="3100D5C5"/>
    <w:rsid w:val="3155B884"/>
    <w:rsid w:val="315D3023"/>
    <w:rsid w:val="31817465"/>
    <w:rsid w:val="31B4CF12"/>
    <w:rsid w:val="31CD1A64"/>
    <w:rsid w:val="31D663C0"/>
    <w:rsid w:val="324372D9"/>
    <w:rsid w:val="3245A2B7"/>
    <w:rsid w:val="32676B5F"/>
    <w:rsid w:val="3279FA13"/>
    <w:rsid w:val="32AE5F8E"/>
    <w:rsid w:val="32BA19AD"/>
    <w:rsid w:val="32DBD95D"/>
    <w:rsid w:val="32EE6A04"/>
    <w:rsid w:val="3335788A"/>
    <w:rsid w:val="33561A47"/>
    <w:rsid w:val="337A862D"/>
    <w:rsid w:val="33BA55FA"/>
    <w:rsid w:val="340D3F3F"/>
    <w:rsid w:val="34245BA2"/>
    <w:rsid w:val="343F66C3"/>
    <w:rsid w:val="344FDE6B"/>
    <w:rsid w:val="34FDC694"/>
    <w:rsid w:val="351AAF4C"/>
    <w:rsid w:val="352CA45A"/>
    <w:rsid w:val="3534CA08"/>
    <w:rsid w:val="353B4CE3"/>
    <w:rsid w:val="3563ECEF"/>
    <w:rsid w:val="35644766"/>
    <w:rsid w:val="3571E66F"/>
    <w:rsid w:val="35ACBDB9"/>
    <w:rsid w:val="35BBEF77"/>
    <w:rsid w:val="369ECD84"/>
    <w:rsid w:val="36DC3D87"/>
    <w:rsid w:val="3732EF42"/>
    <w:rsid w:val="378AADB8"/>
    <w:rsid w:val="37A17F0E"/>
    <w:rsid w:val="3809984E"/>
    <w:rsid w:val="3823324A"/>
    <w:rsid w:val="38246B58"/>
    <w:rsid w:val="382F0182"/>
    <w:rsid w:val="38ACBA37"/>
    <w:rsid w:val="39191DEA"/>
    <w:rsid w:val="39B1B691"/>
    <w:rsid w:val="39B63DE9"/>
    <w:rsid w:val="39BEBA47"/>
    <w:rsid w:val="39D1629F"/>
    <w:rsid w:val="39ECE152"/>
    <w:rsid w:val="3A122EC8"/>
    <w:rsid w:val="3A3888AB"/>
    <w:rsid w:val="3A39C05F"/>
    <w:rsid w:val="3A3CA6D7"/>
    <w:rsid w:val="3A7DBDD3"/>
    <w:rsid w:val="3B82B0B6"/>
    <w:rsid w:val="3BB8F2C8"/>
    <w:rsid w:val="3BF88073"/>
    <w:rsid w:val="3C285D46"/>
    <w:rsid w:val="3C3EC010"/>
    <w:rsid w:val="3C5DA934"/>
    <w:rsid w:val="3C7C73DF"/>
    <w:rsid w:val="3C9FD6B2"/>
    <w:rsid w:val="3CAA155B"/>
    <w:rsid w:val="3CD09267"/>
    <w:rsid w:val="3CD1E332"/>
    <w:rsid w:val="3CE3940F"/>
    <w:rsid w:val="3D9D122D"/>
    <w:rsid w:val="3DD8F14B"/>
    <w:rsid w:val="3E11C26C"/>
    <w:rsid w:val="3E4356D7"/>
    <w:rsid w:val="3EA9773E"/>
    <w:rsid w:val="3EB55DB6"/>
    <w:rsid w:val="3EBF2950"/>
    <w:rsid w:val="3EC4334D"/>
    <w:rsid w:val="3F4034EC"/>
    <w:rsid w:val="3F67715C"/>
    <w:rsid w:val="3FC5DF2E"/>
    <w:rsid w:val="3FCA3532"/>
    <w:rsid w:val="3FD10C9B"/>
    <w:rsid w:val="3FDD90BB"/>
    <w:rsid w:val="3FFC9341"/>
    <w:rsid w:val="3FFE6AE9"/>
    <w:rsid w:val="40896641"/>
    <w:rsid w:val="408ED5AF"/>
    <w:rsid w:val="40E9F20E"/>
    <w:rsid w:val="40EF7034"/>
    <w:rsid w:val="41353161"/>
    <w:rsid w:val="414C61F1"/>
    <w:rsid w:val="4166C083"/>
    <w:rsid w:val="4191CB32"/>
    <w:rsid w:val="41C42389"/>
    <w:rsid w:val="42CA3CDD"/>
    <w:rsid w:val="43A2CC35"/>
    <w:rsid w:val="43F29B27"/>
    <w:rsid w:val="440C2D98"/>
    <w:rsid w:val="446388AB"/>
    <w:rsid w:val="44FDFF96"/>
    <w:rsid w:val="451E8638"/>
    <w:rsid w:val="45375ED6"/>
    <w:rsid w:val="4549BB8B"/>
    <w:rsid w:val="4568BA9E"/>
    <w:rsid w:val="457486E4"/>
    <w:rsid w:val="457F65A9"/>
    <w:rsid w:val="45CCC8AB"/>
    <w:rsid w:val="45D9F3BB"/>
    <w:rsid w:val="45FAA78B"/>
    <w:rsid w:val="46297738"/>
    <w:rsid w:val="463FE375"/>
    <w:rsid w:val="46422EFE"/>
    <w:rsid w:val="465E78F0"/>
    <w:rsid w:val="46ADBA0C"/>
    <w:rsid w:val="4719D30D"/>
    <w:rsid w:val="47A47B28"/>
    <w:rsid w:val="47AB73D2"/>
    <w:rsid w:val="47B3BB6E"/>
    <w:rsid w:val="47B7F1F7"/>
    <w:rsid w:val="47EDA058"/>
    <w:rsid w:val="47F071BB"/>
    <w:rsid w:val="488C3A8B"/>
    <w:rsid w:val="48D2DD7F"/>
    <w:rsid w:val="49109957"/>
    <w:rsid w:val="4A1B42AC"/>
    <w:rsid w:val="4A403296"/>
    <w:rsid w:val="4A59D8FC"/>
    <w:rsid w:val="4A7AC4DE"/>
    <w:rsid w:val="4A95F27F"/>
    <w:rsid w:val="4AAF7765"/>
    <w:rsid w:val="4AD39093"/>
    <w:rsid w:val="4AFFF06A"/>
    <w:rsid w:val="4B78B515"/>
    <w:rsid w:val="4B7CC9BA"/>
    <w:rsid w:val="4BA0BA69"/>
    <w:rsid w:val="4BEE5D89"/>
    <w:rsid w:val="4C10DFB3"/>
    <w:rsid w:val="4C191FB7"/>
    <w:rsid w:val="4C374310"/>
    <w:rsid w:val="4C4DD5F5"/>
    <w:rsid w:val="4C8E5083"/>
    <w:rsid w:val="4CA13645"/>
    <w:rsid w:val="4CAC1469"/>
    <w:rsid w:val="4CC012F2"/>
    <w:rsid w:val="4CD18C70"/>
    <w:rsid w:val="4D27B50B"/>
    <w:rsid w:val="4D42E80D"/>
    <w:rsid w:val="4D88D17C"/>
    <w:rsid w:val="4DB545C2"/>
    <w:rsid w:val="4DBD3CA5"/>
    <w:rsid w:val="4DFEBC60"/>
    <w:rsid w:val="4E540BE2"/>
    <w:rsid w:val="4EB6371F"/>
    <w:rsid w:val="4F8D4B31"/>
    <w:rsid w:val="4F997D68"/>
    <w:rsid w:val="4FBA8719"/>
    <w:rsid w:val="50089EEE"/>
    <w:rsid w:val="51B367B0"/>
    <w:rsid w:val="51E24DD9"/>
    <w:rsid w:val="51EBF793"/>
    <w:rsid w:val="525FE0A9"/>
    <w:rsid w:val="527D87A0"/>
    <w:rsid w:val="527F42EE"/>
    <w:rsid w:val="52B25213"/>
    <w:rsid w:val="52E08F44"/>
    <w:rsid w:val="532EBE3E"/>
    <w:rsid w:val="53689C21"/>
    <w:rsid w:val="5393E22F"/>
    <w:rsid w:val="5399A0CF"/>
    <w:rsid w:val="53DDEDBD"/>
    <w:rsid w:val="53E8C9F2"/>
    <w:rsid w:val="53F101C3"/>
    <w:rsid w:val="540680C5"/>
    <w:rsid w:val="543D8DD1"/>
    <w:rsid w:val="54423154"/>
    <w:rsid w:val="545790DC"/>
    <w:rsid w:val="54D2F0BB"/>
    <w:rsid w:val="5542EF8A"/>
    <w:rsid w:val="554A6D05"/>
    <w:rsid w:val="5556D252"/>
    <w:rsid w:val="555E3A87"/>
    <w:rsid w:val="5561F1A8"/>
    <w:rsid w:val="558FD787"/>
    <w:rsid w:val="55D98C19"/>
    <w:rsid w:val="564DBD7A"/>
    <w:rsid w:val="56B1D8F6"/>
    <w:rsid w:val="56D34C21"/>
    <w:rsid w:val="56D59983"/>
    <w:rsid w:val="56F66A8C"/>
    <w:rsid w:val="5717776F"/>
    <w:rsid w:val="57DE4AED"/>
    <w:rsid w:val="57E356EA"/>
    <w:rsid w:val="581D1C5A"/>
    <w:rsid w:val="58300421"/>
    <w:rsid w:val="583054E1"/>
    <w:rsid w:val="58349FEE"/>
    <w:rsid w:val="588210EC"/>
    <w:rsid w:val="589B3427"/>
    <w:rsid w:val="58B2A6CF"/>
    <w:rsid w:val="58C7524D"/>
    <w:rsid w:val="58D5B018"/>
    <w:rsid w:val="5971F2BA"/>
    <w:rsid w:val="59DBEB5B"/>
    <w:rsid w:val="59F875B4"/>
    <w:rsid w:val="5A2741E0"/>
    <w:rsid w:val="5A3892CB"/>
    <w:rsid w:val="5A45CE70"/>
    <w:rsid w:val="5AA79D01"/>
    <w:rsid w:val="5AFB3EA2"/>
    <w:rsid w:val="5B15F9E4"/>
    <w:rsid w:val="5B1B4FC5"/>
    <w:rsid w:val="5B31CDF5"/>
    <w:rsid w:val="5BB09BC5"/>
    <w:rsid w:val="5BCC9409"/>
    <w:rsid w:val="5BD31DB9"/>
    <w:rsid w:val="5BD57E1B"/>
    <w:rsid w:val="5C416945"/>
    <w:rsid w:val="5C53D7FE"/>
    <w:rsid w:val="5C65BA76"/>
    <w:rsid w:val="5C66D856"/>
    <w:rsid w:val="5C6AE1A3"/>
    <w:rsid w:val="5C86F685"/>
    <w:rsid w:val="5CAC3ECE"/>
    <w:rsid w:val="5CEE93A0"/>
    <w:rsid w:val="5CF32467"/>
    <w:rsid w:val="5D402176"/>
    <w:rsid w:val="5DB10B0A"/>
    <w:rsid w:val="5DC59486"/>
    <w:rsid w:val="5DD3BEB3"/>
    <w:rsid w:val="5E275148"/>
    <w:rsid w:val="5F15889F"/>
    <w:rsid w:val="5F4DE651"/>
    <w:rsid w:val="5F65A17C"/>
    <w:rsid w:val="5F78BB28"/>
    <w:rsid w:val="5F97BAD7"/>
    <w:rsid w:val="5FC8783E"/>
    <w:rsid w:val="5FE3D5FE"/>
    <w:rsid w:val="5FFE91A9"/>
    <w:rsid w:val="6003E8D0"/>
    <w:rsid w:val="60C8631D"/>
    <w:rsid w:val="61521B17"/>
    <w:rsid w:val="61BDC7F2"/>
    <w:rsid w:val="61C1B17B"/>
    <w:rsid w:val="61C6F2C6"/>
    <w:rsid w:val="61DDD94C"/>
    <w:rsid w:val="61E9C794"/>
    <w:rsid w:val="623634B2"/>
    <w:rsid w:val="627CD472"/>
    <w:rsid w:val="62AD96DF"/>
    <w:rsid w:val="63BF6566"/>
    <w:rsid w:val="63C3680D"/>
    <w:rsid w:val="63CBB9D0"/>
    <w:rsid w:val="63F752C0"/>
    <w:rsid w:val="64052434"/>
    <w:rsid w:val="6433F719"/>
    <w:rsid w:val="644D1BA1"/>
    <w:rsid w:val="6465671C"/>
    <w:rsid w:val="6466FE52"/>
    <w:rsid w:val="64BCEFE9"/>
    <w:rsid w:val="6510B98A"/>
    <w:rsid w:val="653A172F"/>
    <w:rsid w:val="6540BB50"/>
    <w:rsid w:val="65779818"/>
    <w:rsid w:val="65A1F414"/>
    <w:rsid w:val="65AA92D0"/>
    <w:rsid w:val="65BFFA52"/>
    <w:rsid w:val="65ECD897"/>
    <w:rsid w:val="66082DD1"/>
    <w:rsid w:val="6612FB3D"/>
    <w:rsid w:val="66579145"/>
    <w:rsid w:val="6680EFE4"/>
    <w:rsid w:val="66D73159"/>
    <w:rsid w:val="678C19E3"/>
    <w:rsid w:val="67BF32EC"/>
    <w:rsid w:val="67FE7573"/>
    <w:rsid w:val="684F5AFC"/>
    <w:rsid w:val="689FAB73"/>
    <w:rsid w:val="68E57485"/>
    <w:rsid w:val="68F66361"/>
    <w:rsid w:val="6931ED39"/>
    <w:rsid w:val="6956D984"/>
    <w:rsid w:val="69754681"/>
    <w:rsid w:val="69CFED2C"/>
    <w:rsid w:val="6A4F7FEA"/>
    <w:rsid w:val="6AE5F496"/>
    <w:rsid w:val="6B0EBF91"/>
    <w:rsid w:val="6B43301B"/>
    <w:rsid w:val="6BAC31C3"/>
    <w:rsid w:val="6BB9D484"/>
    <w:rsid w:val="6C481C00"/>
    <w:rsid w:val="6C784F38"/>
    <w:rsid w:val="6CB1228A"/>
    <w:rsid w:val="6CDC6F45"/>
    <w:rsid w:val="6D0C2122"/>
    <w:rsid w:val="6D456669"/>
    <w:rsid w:val="6D59E619"/>
    <w:rsid w:val="6D6B12DC"/>
    <w:rsid w:val="6D7EFDBA"/>
    <w:rsid w:val="6E842E03"/>
    <w:rsid w:val="6E892E88"/>
    <w:rsid w:val="6F160CD5"/>
    <w:rsid w:val="6FC947FF"/>
    <w:rsid w:val="6FEE3800"/>
    <w:rsid w:val="6FFF00FF"/>
    <w:rsid w:val="7038D7DE"/>
    <w:rsid w:val="70AA3756"/>
    <w:rsid w:val="70AABE2B"/>
    <w:rsid w:val="70B1F1EB"/>
    <w:rsid w:val="70FCBB50"/>
    <w:rsid w:val="7128296E"/>
    <w:rsid w:val="713E918F"/>
    <w:rsid w:val="715DD142"/>
    <w:rsid w:val="71CB9B36"/>
    <w:rsid w:val="71CC57D1"/>
    <w:rsid w:val="71F21049"/>
    <w:rsid w:val="72F5164B"/>
    <w:rsid w:val="7332A240"/>
    <w:rsid w:val="737DC9B8"/>
    <w:rsid w:val="73837F1C"/>
    <w:rsid w:val="739231E3"/>
    <w:rsid w:val="742DE25B"/>
    <w:rsid w:val="74340CB4"/>
    <w:rsid w:val="74420186"/>
    <w:rsid w:val="751906B6"/>
    <w:rsid w:val="75A11F10"/>
    <w:rsid w:val="7688FA36"/>
    <w:rsid w:val="769DFBD7"/>
    <w:rsid w:val="76B13704"/>
    <w:rsid w:val="76F064F3"/>
    <w:rsid w:val="77164F80"/>
    <w:rsid w:val="7735E0BA"/>
    <w:rsid w:val="773FE074"/>
    <w:rsid w:val="77A8DF24"/>
    <w:rsid w:val="77F6D236"/>
    <w:rsid w:val="7827553F"/>
    <w:rsid w:val="785532B6"/>
    <w:rsid w:val="78C29D1D"/>
    <w:rsid w:val="78FB8F08"/>
    <w:rsid w:val="79668D6F"/>
    <w:rsid w:val="7989514E"/>
    <w:rsid w:val="799E85C0"/>
    <w:rsid w:val="79C0D55D"/>
    <w:rsid w:val="7A91285E"/>
    <w:rsid w:val="7AD74C0D"/>
    <w:rsid w:val="7AE301F3"/>
    <w:rsid w:val="7B187C7F"/>
    <w:rsid w:val="7B3249FB"/>
    <w:rsid w:val="7B3DC730"/>
    <w:rsid w:val="7B4BF488"/>
    <w:rsid w:val="7BBDA348"/>
    <w:rsid w:val="7BFF4FBD"/>
    <w:rsid w:val="7C123B6D"/>
    <w:rsid w:val="7C654933"/>
    <w:rsid w:val="7C656938"/>
    <w:rsid w:val="7C8FA3F4"/>
    <w:rsid w:val="7CB8DEF3"/>
    <w:rsid w:val="7CDFDC25"/>
    <w:rsid w:val="7D31E046"/>
    <w:rsid w:val="7DB49E99"/>
    <w:rsid w:val="7DCBC884"/>
    <w:rsid w:val="7DE6347E"/>
    <w:rsid w:val="7DF2B450"/>
    <w:rsid w:val="7E39A37D"/>
    <w:rsid w:val="7E529A52"/>
    <w:rsid w:val="7EFE17C1"/>
    <w:rsid w:val="7F1E4EC1"/>
    <w:rsid w:val="7F4BB20B"/>
    <w:rsid w:val="7F5F1071"/>
    <w:rsid w:val="7F7DD242"/>
    <w:rsid w:val="7FA1F0F5"/>
    <w:rsid w:val="7FFA977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51A4"/>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7"/>
      </w:numPr>
      <w:contextualSpacing/>
    </w:pPr>
  </w:style>
  <w:style w:type="paragraph" w:styleId="ListNumber">
    <w:name w:val="List Number"/>
    <w:basedOn w:val="Normal"/>
    <w:uiPriority w:val="99"/>
    <w:unhideWhenUsed/>
    <w:rsid w:val="00A54CFC"/>
    <w:pPr>
      <w:numPr>
        <w:numId w:val="8"/>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pPr>
      <w:ind w:left="360" w:hanging="360"/>
    </w:pPr>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character" w:styleId="FollowedHyperlink">
    <w:name w:val="FollowedHyperlink"/>
    <w:basedOn w:val="DefaultParagraphFont"/>
    <w:uiPriority w:val="99"/>
    <w:semiHidden/>
    <w:unhideWhenUsed/>
    <w:rsid w:val="000B1435"/>
    <w:rPr>
      <w:color w:val="2C2568" w:themeColor="followedHyperlink"/>
      <w:u w:val="single"/>
    </w:rPr>
  </w:style>
  <w:style w:type="character" w:customStyle="1" w:styleId="normaltextrun">
    <w:name w:val="normaltextrun"/>
    <w:basedOn w:val="DefaultParagraphFont"/>
    <w:rsid w:val="00163C1B"/>
  </w:style>
  <w:style w:type="character" w:customStyle="1" w:styleId="eop">
    <w:name w:val="eop"/>
    <w:basedOn w:val="DefaultParagraphFont"/>
    <w:rsid w:val="00163C1B"/>
  </w:style>
  <w:style w:type="paragraph" w:styleId="NormalWeb">
    <w:name w:val="Normal (Web)"/>
    <w:basedOn w:val="Normal"/>
    <w:uiPriority w:val="99"/>
    <w:semiHidden/>
    <w:unhideWhenUsed/>
    <w:rsid w:val="003573CF"/>
    <w:rPr>
      <w:rFonts w:ascii="Times New Roman" w:hAnsi="Times New Roman" w:cs="Times New Roman"/>
      <w:sz w:val="24"/>
      <w:szCs w:val="24"/>
    </w:rPr>
  </w:style>
  <w:style w:type="character" w:styleId="Mention">
    <w:name w:val="Mention"/>
    <w:basedOn w:val="DefaultParagraphFont"/>
    <w:uiPriority w:val="99"/>
    <w:unhideWhenUsed/>
    <w:rsid w:val="004E4145"/>
    <w:rPr>
      <w:color w:val="2B579A"/>
      <w:shd w:val="clear" w:color="auto" w:fill="E1DFDD"/>
    </w:rPr>
  </w:style>
  <w:style w:type="table" w:customStyle="1" w:styleId="HQSCdefault">
    <w:name w:val="HQSC default"/>
    <w:basedOn w:val="TableNormal"/>
    <w:uiPriority w:val="99"/>
    <w:rsid w:val="0081613E"/>
    <w:pPr>
      <w:spacing w:before="60" w:after="60"/>
    </w:pPr>
    <w:rPr>
      <w:rFonts w:ascii="Arial" w:eastAsia="Cambria" w:hAnsi="Arial" w:cs="Times New Roman"/>
      <w:szCs w:val="20"/>
      <w:lang w:eastAsia="en-NZ"/>
    </w:rPr>
    <w:tblPr>
      <w:tblBorders>
        <w:top w:val="single" w:sz="4" w:space="0" w:color="888888" w:themeColor="text1" w:themeTint="80"/>
        <w:bottom w:val="single" w:sz="4" w:space="0" w:color="888888" w:themeColor="text1" w:themeTint="80"/>
        <w:insideH w:val="single" w:sz="4" w:space="0" w:color="888888" w:themeColor="text1" w:themeTint="80"/>
        <w:insideV w:val="single" w:sz="4" w:space="0" w:color="888888"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121212" w:themeColor="text1"/>
        <w:sz w:val="22"/>
      </w:rPr>
      <w:tblPr/>
      <w:tcPr>
        <w:shd w:val="clear" w:color="auto" w:fill="F2F2F2" w:themeFill="background1" w:themeFillShade="F2"/>
      </w:tcPr>
    </w:tblStylePr>
    <w:tblStylePr w:type="firstCol">
      <w:rPr>
        <w:rFonts w:ascii="Arial" w:hAnsi="Arial"/>
        <w:b/>
        <w:color w:val="121212" w:themeColor="text1"/>
        <w:sz w:val="22"/>
      </w:rPr>
      <w:tblPr/>
      <w:tcPr>
        <w:shd w:val="clear" w:color="auto" w:fill="F2F2F2" w:themeFill="background1" w:themeFillShade="F2"/>
      </w:tcPr>
    </w:tblStylePr>
  </w:style>
  <w:style w:type="paragraph" w:customStyle="1" w:styleId="Memotitle">
    <w:name w:val="Memo title"/>
    <w:qFormat/>
    <w:rsid w:val="0081613E"/>
    <w:pPr>
      <w:pBdr>
        <w:bottom w:val="single" w:sz="4" w:space="1" w:color="293868"/>
      </w:pBdr>
      <w:spacing w:after="240"/>
    </w:pPr>
    <w:rPr>
      <w:rFonts w:ascii="Arial" w:hAnsi="Arial" w:cs="Arial"/>
      <w:b/>
      <w:bCs/>
      <w:color w:val="2C2568"/>
      <w:sz w:val="44"/>
      <w:szCs w:val="44"/>
    </w:rPr>
  </w:style>
  <w:style w:type="paragraph" w:customStyle="1" w:styleId="Normalintable">
    <w:name w:val="Normal in table"/>
    <w:basedOn w:val="Normal"/>
    <w:qFormat/>
    <w:rsid w:val="0081613E"/>
    <w:pPr>
      <w:autoSpaceDE w:val="0"/>
      <w:autoSpaceDN w:val="0"/>
      <w:adjustRightInd w:val="0"/>
      <w:spacing w:before="60" w:after="60"/>
    </w:pPr>
    <w:rPr>
      <w:rFonts w:cs="Arial"/>
      <w:color w:val="121212" w:themeColor="text1"/>
    </w:rPr>
  </w:style>
  <w:style w:type="paragraph" w:customStyle="1" w:styleId="TeThHauorabodytext">
    <w:name w:val="Te Tāhū Hauora body text"/>
    <w:basedOn w:val="Normal"/>
    <w:qFormat/>
    <w:rsid w:val="008D7246"/>
    <w:rPr>
      <w:rFonts w:cs="Arial"/>
    </w:rPr>
  </w:style>
  <w:style w:type="paragraph" w:customStyle="1" w:styleId="TeThHauoraindentedquote">
    <w:name w:val="Te Tāhū Hauora indented quote"/>
    <w:basedOn w:val="Quote"/>
    <w:qFormat/>
    <w:rsid w:val="008D7246"/>
    <w:rPr>
      <w:rFonts w:cs="Arial"/>
      <w:color w:val="auto"/>
    </w:rPr>
  </w:style>
  <w:style w:type="paragraph" w:customStyle="1" w:styleId="TeThHauorahead2">
    <w:name w:val="Te Tāhū Hauora head 2"/>
    <w:basedOn w:val="Heading2"/>
    <w:qFormat/>
    <w:rsid w:val="008D7246"/>
    <w:rPr>
      <w:rFonts w:cs="Arial"/>
      <w:color w:val="293868"/>
    </w:rPr>
  </w:style>
  <w:style w:type="paragraph" w:customStyle="1" w:styleId="TeThHauorahead3">
    <w:name w:val="Te Tāhū Hauora head 3"/>
    <w:basedOn w:val="Heading3"/>
    <w:qFormat/>
    <w:rsid w:val="008D7246"/>
    <w:rPr>
      <w:rFonts w:cs="Arial"/>
    </w:rPr>
  </w:style>
  <w:style w:type="paragraph" w:customStyle="1" w:styleId="paragraph">
    <w:name w:val="paragraph"/>
    <w:basedOn w:val="Normal"/>
    <w:rsid w:val="00A93306"/>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495">
      <w:bodyDiv w:val="1"/>
      <w:marLeft w:val="0"/>
      <w:marRight w:val="0"/>
      <w:marTop w:val="0"/>
      <w:marBottom w:val="0"/>
      <w:divBdr>
        <w:top w:val="none" w:sz="0" w:space="0" w:color="auto"/>
        <w:left w:val="none" w:sz="0" w:space="0" w:color="auto"/>
        <w:bottom w:val="none" w:sz="0" w:space="0" w:color="auto"/>
        <w:right w:val="none" w:sz="0" w:space="0" w:color="auto"/>
      </w:divBdr>
    </w:div>
    <w:div w:id="245655589">
      <w:bodyDiv w:val="1"/>
      <w:marLeft w:val="0"/>
      <w:marRight w:val="0"/>
      <w:marTop w:val="0"/>
      <w:marBottom w:val="0"/>
      <w:divBdr>
        <w:top w:val="none" w:sz="0" w:space="0" w:color="auto"/>
        <w:left w:val="none" w:sz="0" w:space="0" w:color="auto"/>
        <w:bottom w:val="none" w:sz="0" w:space="0" w:color="auto"/>
        <w:right w:val="none" w:sz="0" w:space="0" w:color="auto"/>
      </w:divBdr>
    </w:div>
    <w:div w:id="267274067">
      <w:bodyDiv w:val="1"/>
      <w:marLeft w:val="0"/>
      <w:marRight w:val="0"/>
      <w:marTop w:val="0"/>
      <w:marBottom w:val="0"/>
      <w:divBdr>
        <w:top w:val="none" w:sz="0" w:space="0" w:color="auto"/>
        <w:left w:val="none" w:sz="0" w:space="0" w:color="auto"/>
        <w:bottom w:val="none" w:sz="0" w:space="0" w:color="auto"/>
        <w:right w:val="none" w:sz="0" w:space="0" w:color="auto"/>
      </w:divBdr>
    </w:div>
    <w:div w:id="337192866">
      <w:bodyDiv w:val="1"/>
      <w:marLeft w:val="0"/>
      <w:marRight w:val="0"/>
      <w:marTop w:val="0"/>
      <w:marBottom w:val="0"/>
      <w:divBdr>
        <w:top w:val="none" w:sz="0" w:space="0" w:color="auto"/>
        <w:left w:val="none" w:sz="0" w:space="0" w:color="auto"/>
        <w:bottom w:val="none" w:sz="0" w:space="0" w:color="auto"/>
        <w:right w:val="none" w:sz="0" w:space="0" w:color="auto"/>
      </w:divBdr>
    </w:div>
    <w:div w:id="345987118">
      <w:bodyDiv w:val="1"/>
      <w:marLeft w:val="0"/>
      <w:marRight w:val="0"/>
      <w:marTop w:val="0"/>
      <w:marBottom w:val="0"/>
      <w:divBdr>
        <w:top w:val="none" w:sz="0" w:space="0" w:color="auto"/>
        <w:left w:val="none" w:sz="0" w:space="0" w:color="auto"/>
        <w:bottom w:val="none" w:sz="0" w:space="0" w:color="auto"/>
        <w:right w:val="none" w:sz="0" w:space="0" w:color="auto"/>
      </w:divBdr>
    </w:div>
    <w:div w:id="386339115">
      <w:bodyDiv w:val="1"/>
      <w:marLeft w:val="0"/>
      <w:marRight w:val="0"/>
      <w:marTop w:val="0"/>
      <w:marBottom w:val="0"/>
      <w:divBdr>
        <w:top w:val="none" w:sz="0" w:space="0" w:color="auto"/>
        <w:left w:val="none" w:sz="0" w:space="0" w:color="auto"/>
        <w:bottom w:val="none" w:sz="0" w:space="0" w:color="auto"/>
        <w:right w:val="none" w:sz="0" w:space="0" w:color="auto"/>
      </w:divBdr>
    </w:div>
    <w:div w:id="1398747801">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 w:id="1477532922">
      <w:bodyDiv w:val="1"/>
      <w:marLeft w:val="0"/>
      <w:marRight w:val="0"/>
      <w:marTop w:val="0"/>
      <w:marBottom w:val="0"/>
      <w:divBdr>
        <w:top w:val="none" w:sz="0" w:space="0" w:color="auto"/>
        <w:left w:val="none" w:sz="0" w:space="0" w:color="auto"/>
        <w:bottom w:val="none" w:sz="0" w:space="0" w:color="auto"/>
        <w:right w:val="none" w:sz="0" w:space="0" w:color="auto"/>
      </w:divBdr>
    </w:div>
    <w:div w:id="1485778651">
      <w:bodyDiv w:val="1"/>
      <w:marLeft w:val="0"/>
      <w:marRight w:val="0"/>
      <w:marTop w:val="0"/>
      <w:marBottom w:val="0"/>
      <w:divBdr>
        <w:top w:val="none" w:sz="0" w:space="0" w:color="auto"/>
        <w:left w:val="none" w:sz="0" w:space="0" w:color="auto"/>
        <w:bottom w:val="none" w:sz="0" w:space="0" w:color="auto"/>
        <w:right w:val="none" w:sz="0" w:space="0" w:color="auto"/>
      </w:divBdr>
    </w:div>
    <w:div w:id="1725519164">
      <w:bodyDiv w:val="1"/>
      <w:marLeft w:val="0"/>
      <w:marRight w:val="0"/>
      <w:marTop w:val="0"/>
      <w:marBottom w:val="0"/>
      <w:divBdr>
        <w:top w:val="none" w:sz="0" w:space="0" w:color="auto"/>
        <w:left w:val="none" w:sz="0" w:space="0" w:color="auto"/>
        <w:bottom w:val="none" w:sz="0" w:space="0" w:color="auto"/>
        <w:right w:val="none" w:sz="0" w:space="0" w:color="auto"/>
      </w:divBdr>
    </w:div>
    <w:div w:id="1801921812">
      <w:bodyDiv w:val="1"/>
      <w:marLeft w:val="0"/>
      <w:marRight w:val="0"/>
      <w:marTop w:val="0"/>
      <w:marBottom w:val="0"/>
      <w:divBdr>
        <w:top w:val="none" w:sz="0" w:space="0" w:color="auto"/>
        <w:left w:val="none" w:sz="0" w:space="0" w:color="auto"/>
        <w:bottom w:val="none" w:sz="0" w:space="0" w:color="auto"/>
        <w:right w:val="none" w:sz="0" w:space="0" w:color="auto"/>
      </w:divBdr>
    </w:div>
    <w:div w:id="1878354801">
      <w:bodyDiv w:val="1"/>
      <w:marLeft w:val="0"/>
      <w:marRight w:val="0"/>
      <w:marTop w:val="0"/>
      <w:marBottom w:val="0"/>
      <w:divBdr>
        <w:top w:val="none" w:sz="0" w:space="0" w:color="auto"/>
        <w:left w:val="none" w:sz="0" w:space="0" w:color="auto"/>
        <w:bottom w:val="none" w:sz="0" w:space="0" w:color="auto"/>
        <w:right w:val="none" w:sz="0" w:space="0" w:color="auto"/>
      </w:divBdr>
    </w:div>
    <w:div w:id="20853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hqsc.govt.nz/consumer-hub/engaging-consumers-and-whanau/consumer-engagement-quality-and-safety-marker/" TargetMode="External"/><Relationship Id="rId3" Type="http://schemas.openxmlformats.org/officeDocument/2006/relationships/styles" Target="styles.xml"/><Relationship Id="rId21" Type="http://schemas.openxmlformats.org/officeDocument/2006/relationships/hyperlink" Target="https://www.hqsc.govt.nz/consumer-hub/engaging-consumers-and-whanau/code-of-expectations-for-health-entities-engagement-with-consumers-and-whan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hqsc.govt.nz/assets/Our-data/Publications-resources/ConsumerQSM_framework_Wordversion_FINAL.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mailto:consumers@hqsc.govt.nz" TargetMode="External"/><Relationship Id="rId29" Type="http://schemas.openxmlformats.org/officeDocument/2006/relationships/hyperlink" Target="http://www.hqsc.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hqsc.govt.nz/assets/Our-data/Publications-resources/ConsumerQSMframework_FINAL.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ww.hqsc.govt.nz/consumer-hub/accessible-version-of-consumer-and-whanau-engagement-quality-and-safety-marker-framework/" TargetMode="External"/><Relationship Id="rId28" Type="http://schemas.openxmlformats.org/officeDocument/2006/relationships/hyperlink" Target="mailto:consumers@hqsc.govt.nz" TargetMode="External"/><Relationship Id="rId10" Type="http://schemas.openxmlformats.org/officeDocument/2006/relationships/hyperlink" Target="https://www.hqsc.govt.nz/assets/Our-data/Publications-resources/ConsumerQSMframework_FINAL.pdf" TargetMode="External"/><Relationship Id="rId19" Type="http://schemas.openxmlformats.org/officeDocument/2006/relationships/chart" Target="charts/chart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ports.hqsc.govt.nz/content/ce4ea63e-68e6-4ac1-93ae-32ace685bdc6/_w_2c555361/" TargetMode="External"/><Relationship Id="rId14" Type="http://schemas.openxmlformats.org/officeDocument/2006/relationships/chart" Target="charts/chart4.xml"/><Relationship Id="rId22" Type="http://schemas.openxmlformats.org/officeDocument/2006/relationships/hyperlink" Target="https://www.hqsc.govt.nz/resources/resource-library/code-of-expectations-for-health-entities-engagement-with-consumers-and-whanau/" TargetMode="External"/><Relationship Id="rId27" Type="http://schemas.openxmlformats.org/officeDocument/2006/relationships/hyperlink" Target="https://reports.hqsc.govt.nz/content/ce4ea63e-68e6-4ac1-93ae-32ace685bdc6?_gl=1*50jwe9*_ga*NjU1NzYzMTg4LjE3NTQwMjI1OTc.*_ga_TG4RCRSBWS*czE3NjQxMDU4NzckbzE4NiRnMSR0MTc2NDEwNTg4NSRqNTIkbDAkaDA." TargetMode="External"/><Relationship Id="rId30" Type="http://schemas.openxmlformats.org/officeDocument/2006/relationships/hyperlink" Target="mailto:info@hqsc.govt.nz" TargetMode="Externa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Sales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408-4860-9B2E-3A810E62AB3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408-4860-9B2E-3A810E62AB3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5408-4860-9B2E-3A810E62AB3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5408-4860-9B2E-3A810E62AB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Consumer/whānau/community member</c:v>
                </c:pt>
                <c:pt idx="1">
                  <c:v>Consumer organisation representative</c:v>
                </c:pt>
                <c:pt idx="2">
                  <c:v>Health sector employee</c:v>
                </c:pt>
                <c:pt idx="3">
                  <c:v>Other</c:v>
                </c:pt>
              </c:strCache>
            </c:strRef>
          </c:cat>
          <c:val>
            <c:numRef>
              <c:f>Sheet1!$B$2:$B$5</c:f>
              <c:numCache>
                <c:formatCode>0%</c:formatCode>
                <c:ptCount val="4"/>
                <c:pt idx="0">
                  <c:v>0.32</c:v>
                </c:pt>
                <c:pt idx="1">
                  <c:v>0.14000000000000001</c:v>
                </c:pt>
                <c:pt idx="2">
                  <c:v>0.55000000000000004</c:v>
                </c:pt>
                <c:pt idx="3" formatCode="General">
                  <c:v>0</c:v>
                </c:pt>
              </c:numCache>
            </c:numRef>
          </c:val>
          <c:extLst>
            <c:ext xmlns:c16="http://schemas.microsoft.com/office/drawing/2014/chart" uri="{C3380CC4-5D6E-409C-BE32-E72D297353CC}">
              <c16:uniqueId val="{00000008-5408-4860-9B2E-3A810E62AB37}"/>
            </c:ext>
          </c:extLst>
        </c:ser>
        <c:dLbls>
          <c:dLblPos val="outEnd"/>
          <c:showLegendKey val="0"/>
          <c:showVal val="1"/>
          <c:showCatName val="0"/>
          <c:showSerName val="0"/>
          <c:showPercent val="0"/>
          <c:showBubbleSize val="0"/>
        </c:dLbls>
        <c:gapWidth val="100"/>
        <c:axId val="1560661007"/>
        <c:axId val="1560660047"/>
      </c:barChart>
      <c:valAx>
        <c:axId val="1560660047"/>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661007"/>
        <c:crosses val="autoZero"/>
        <c:crossBetween val="between"/>
      </c:valAx>
      <c:catAx>
        <c:axId val="1560661007"/>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66004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Sales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AEA-4CA2-8D54-674730976EAF}"/>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AEA-4CA2-8D54-674730976EAF}"/>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AEA-4CA2-8D54-674730976EAF}"/>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AEA-4CA2-8D54-674730976EAF}"/>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42BA-4C4C-8CA8-CA761DAD7E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Northland</c:v>
                </c:pt>
                <c:pt idx="1">
                  <c:v>Midland (Te Manawa Taki)</c:v>
                </c:pt>
                <c:pt idx="2">
                  <c:v>Central (Te Ikaroa)</c:v>
                </c:pt>
                <c:pt idx="3">
                  <c:v>South Island (Te Waipounamu)</c:v>
                </c:pt>
                <c:pt idx="4">
                  <c:v>Other</c:v>
                </c:pt>
              </c:strCache>
            </c:strRef>
          </c:cat>
          <c:val>
            <c:numRef>
              <c:f>Sheet1!$B$2:$B$6</c:f>
              <c:numCache>
                <c:formatCode>0%</c:formatCode>
                <c:ptCount val="5"/>
                <c:pt idx="0">
                  <c:v>0.3</c:v>
                </c:pt>
                <c:pt idx="1">
                  <c:v>0.1</c:v>
                </c:pt>
                <c:pt idx="2">
                  <c:v>0.2</c:v>
                </c:pt>
                <c:pt idx="3">
                  <c:v>0.2</c:v>
                </c:pt>
                <c:pt idx="4">
                  <c:v>0.2</c:v>
                </c:pt>
              </c:numCache>
            </c:numRef>
          </c:val>
          <c:extLst>
            <c:ext xmlns:c16="http://schemas.microsoft.com/office/drawing/2014/chart" uri="{C3380CC4-5D6E-409C-BE32-E72D297353CC}">
              <c16:uniqueId val="{00000008-1AEA-4CA2-8D54-674730976EAF}"/>
            </c:ext>
          </c:extLst>
        </c:ser>
        <c:dLbls>
          <c:dLblPos val="outEnd"/>
          <c:showLegendKey val="0"/>
          <c:showVal val="1"/>
          <c:showCatName val="0"/>
          <c:showSerName val="0"/>
          <c:showPercent val="0"/>
          <c:showBubbleSize val="0"/>
        </c:dLbls>
        <c:gapWidth val="100"/>
        <c:axId val="1276198591"/>
        <c:axId val="1276197631"/>
      </c:barChart>
      <c:valAx>
        <c:axId val="1276197631"/>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98591"/>
        <c:crosses val="autoZero"/>
        <c:crossBetween val="between"/>
      </c:valAx>
      <c:catAx>
        <c:axId val="1276198591"/>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97631"/>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c:f>
              <c:strCache>
                <c:ptCount val="1"/>
                <c:pt idx="0">
                  <c:v>The event met its purpose</c:v>
                </c:pt>
              </c:strCache>
            </c:strRef>
          </c:cat>
          <c:val>
            <c:numRef>
              <c:f>Sheet1!$B$2</c:f>
              <c:numCache>
                <c:formatCode>0%</c:formatCode>
                <c:ptCount val="1"/>
                <c:pt idx="0">
                  <c:v>0.1</c:v>
                </c:pt>
              </c:numCache>
            </c:numRef>
          </c:val>
          <c:extLst>
            <c:ext xmlns:c16="http://schemas.microsoft.com/office/drawing/2014/chart" uri="{C3380CC4-5D6E-409C-BE32-E72D297353CC}">
              <c16:uniqueId val="{00000000-2623-44FA-AF30-58B4D880B83D}"/>
            </c:ext>
          </c:extLst>
        </c:ser>
        <c:ser>
          <c:idx val="1"/>
          <c:order val="1"/>
          <c:tx>
            <c:strRef>
              <c:f>Sheet1!$C$1</c:f>
              <c:strCache>
                <c:ptCount val="1"/>
                <c:pt idx="0">
                  <c:v>Agree</c:v>
                </c:pt>
              </c:strCache>
            </c:strRef>
          </c:tx>
          <c:spPr>
            <a:solidFill>
              <a:schemeClr val="accent2"/>
            </a:solidFill>
            <a:ln>
              <a:noFill/>
            </a:ln>
            <a:effectLst/>
          </c:spPr>
          <c:invertIfNegative val="0"/>
          <c:cat>
            <c:strRef>
              <c:f>Sheet1!$A$2</c:f>
              <c:strCache>
                <c:ptCount val="1"/>
                <c:pt idx="0">
                  <c:v>The event met its purpose</c:v>
                </c:pt>
              </c:strCache>
            </c:strRef>
          </c:cat>
          <c:val>
            <c:numRef>
              <c:f>Sheet1!$C$2</c:f>
              <c:numCache>
                <c:formatCode>0%</c:formatCode>
                <c:ptCount val="1"/>
                <c:pt idx="0">
                  <c:v>0.55000000000000004</c:v>
                </c:pt>
              </c:numCache>
            </c:numRef>
          </c:val>
          <c:extLst>
            <c:ext xmlns:c16="http://schemas.microsoft.com/office/drawing/2014/chart" uri="{C3380CC4-5D6E-409C-BE32-E72D297353CC}">
              <c16:uniqueId val="{00000001-2623-44FA-AF30-58B4D880B83D}"/>
            </c:ext>
          </c:extLst>
        </c:ser>
        <c:ser>
          <c:idx val="2"/>
          <c:order val="2"/>
          <c:tx>
            <c:strRef>
              <c:f>Sheet1!$D$1</c:f>
              <c:strCache>
                <c:ptCount val="1"/>
                <c:pt idx="0">
                  <c:v>Unsure</c:v>
                </c:pt>
              </c:strCache>
            </c:strRef>
          </c:tx>
          <c:spPr>
            <a:solidFill>
              <a:schemeClr val="accent3"/>
            </a:solidFill>
            <a:ln>
              <a:noFill/>
            </a:ln>
            <a:effectLst/>
          </c:spPr>
          <c:invertIfNegative val="0"/>
          <c:cat>
            <c:strRef>
              <c:f>Sheet1!$A$2</c:f>
              <c:strCache>
                <c:ptCount val="1"/>
                <c:pt idx="0">
                  <c:v>The event met its purpose</c:v>
                </c:pt>
              </c:strCache>
            </c:strRef>
          </c:cat>
          <c:val>
            <c:numRef>
              <c:f>Sheet1!$D$2</c:f>
              <c:numCache>
                <c:formatCode>0%</c:formatCode>
                <c:ptCount val="1"/>
                <c:pt idx="0">
                  <c:v>0.35</c:v>
                </c:pt>
              </c:numCache>
            </c:numRef>
          </c:val>
          <c:extLst>
            <c:ext xmlns:c16="http://schemas.microsoft.com/office/drawing/2014/chart" uri="{C3380CC4-5D6E-409C-BE32-E72D297353CC}">
              <c16:uniqueId val="{00000002-2623-44FA-AF30-58B4D880B83D}"/>
            </c:ext>
          </c:extLst>
        </c:ser>
        <c:ser>
          <c:idx val="3"/>
          <c:order val="3"/>
          <c:tx>
            <c:strRef>
              <c:f>Sheet1!$E$1</c:f>
              <c:strCache>
                <c:ptCount val="1"/>
                <c:pt idx="0">
                  <c:v>Disagree</c:v>
                </c:pt>
              </c:strCache>
            </c:strRef>
          </c:tx>
          <c:spPr>
            <a:solidFill>
              <a:schemeClr val="accent4"/>
            </a:solidFill>
            <a:ln>
              <a:noFill/>
            </a:ln>
            <a:effectLst/>
          </c:spPr>
          <c:invertIfNegative val="0"/>
          <c:cat>
            <c:strRef>
              <c:f>Sheet1!$A$2</c:f>
              <c:strCache>
                <c:ptCount val="1"/>
                <c:pt idx="0">
                  <c:v>The event met its purpose</c:v>
                </c:pt>
              </c:strCache>
            </c:strRef>
          </c:cat>
          <c:val>
            <c:numRef>
              <c:f>Sheet1!$E$2</c:f>
              <c:numCache>
                <c:formatCode>0%</c:formatCode>
                <c:ptCount val="1"/>
                <c:pt idx="0">
                  <c:v>0</c:v>
                </c:pt>
              </c:numCache>
            </c:numRef>
          </c:val>
          <c:extLst>
            <c:ext xmlns:c16="http://schemas.microsoft.com/office/drawing/2014/chart" uri="{C3380CC4-5D6E-409C-BE32-E72D297353CC}">
              <c16:uniqueId val="{00000000-BD0B-4825-B66A-ACFC5550F20D}"/>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c:f>
              <c:strCache>
                <c:ptCount val="1"/>
                <c:pt idx="0">
                  <c:v>The event met its purpose</c:v>
                </c:pt>
              </c:strCache>
            </c:strRef>
          </c:cat>
          <c:val>
            <c:numRef>
              <c:f>Sheet1!$F$2</c:f>
              <c:numCache>
                <c:formatCode>0%</c:formatCode>
                <c:ptCount val="1"/>
                <c:pt idx="0">
                  <c:v>0</c:v>
                </c:pt>
              </c:numCache>
            </c:numRef>
          </c:val>
          <c:extLst>
            <c:ext xmlns:c16="http://schemas.microsoft.com/office/drawing/2014/chart" uri="{C3380CC4-5D6E-409C-BE32-E72D297353CC}">
              <c16:uniqueId val="{00000002-BD0B-4825-B66A-ACFC5550F20D}"/>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Sheet1!$A$2:$A$3</c:f>
              <c:strCache>
                <c:ptCount val="2"/>
                <c:pt idx="0">
                  <c:v>The event increased my confidence to engage with the health system</c:v>
                </c:pt>
                <c:pt idx="1">
                  <c:v>The event increased my confidence to engage with consumers</c:v>
                </c:pt>
              </c:strCache>
            </c:strRef>
          </c:cat>
          <c:val>
            <c:numRef>
              <c:f>Sheet1!$B$2:$B$3</c:f>
              <c:numCache>
                <c:formatCode>0%</c:formatCode>
                <c:ptCount val="2"/>
                <c:pt idx="0">
                  <c:v>0.15</c:v>
                </c:pt>
                <c:pt idx="1">
                  <c:v>0.1</c:v>
                </c:pt>
              </c:numCache>
            </c:numRef>
          </c:val>
          <c:extLst>
            <c:ext xmlns:c16="http://schemas.microsoft.com/office/drawing/2014/chart" uri="{C3380CC4-5D6E-409C-BE32-E72D297353CC}">
              <c16:uniqueId val="{00000000-02CD-40C6-8ACF-575C5C7695EC}"/>
            </c:ext>
          </c:extLst>
        </c:ser>
        <c:ser>
          <c:idx val="1"/>
          <c:order val="1"/>
          <c:tx>
            <c:strRef>
              <c:f>Sheet1!$C$1</c:f>
              <c:strCache>
                <c:ptCount val="1"/>
                <c:pt idx="0">
                  <c:v>Agree</c:v>
                </c:pt>
              </c:strCache>
            </c:strRef>
          </c:tx>
          <c:spPr>
            <a:solidFill>
              <a:schemeClr val="accent2"/>
            </a:solidFill>
            <a:ln>
              <a:noFill/>
            </a:ln>
            <a:effectLst/>
          </c:spPr>
          <c:invertIfNegative val="0"/>
          <c:cat>
            <c:strRef>
              <c:f>Sheet1!$A$2:$A$3</c:f>
              <c:strCache>
                <c:ptCount val="2"/>
                <c:pt idx="0">
                  <c:v>The event increased my confidence to engage with the health system</c:v>
                </c:pt>
                <c:pt idx="1">
                  <c:v>The event increased my confidence to engage with consumers</c:v>
                </c:pt>
              </c:strCache>
            </c:strRef>
          </c:cat>
          <c:val>
            <c:numRef>
              <c:f>Sheet1!$C$2:$C$3</c:f>
              <c:numCache>
                <c:formatCode>0%</c:formatCode>
                <c:ptCount val="2"/>
                <c:pt idx="0">
                  <c:v>0.25</c:v>
                </c:pt>
                <c:pt idx="1">
                  <c:v>0.6</c:v>
                </c:pt>
              </c:numCache>
            </c:numRef>
          </c:val>
          <c:extLst>
            <c:ext xmlns:c16="http://schemas.microsoft.com/office/drawing/2014/chart" uri="{C3380CC4-5D6E-409C-BE32-E72D297353CC}">
              <c16:uniqueId val="{00000001-02CD-40C6-8ACF-575C5C7695EC}"/>
            </c:ext>
          </c:extLst>
        </c:ser>
        <c:ser>
          <c:idx val="2"/>
          <c:order val="2"/>
          <c:tx>
            <c:strRef>
              <c:f>Sheet1!$D$1</c:f>
              <c:strCache>
                <c:ptCount val="1"/>
                <c:pt idx="0">
                  <c:v>Unsure</c:v>
                </c:pt>
              </c:strCache>
            </c:strRef>
          </c:tx>
          <c:spPr>
            <a:solidFill>
              <a:schemeClr val="accent3"/>
            </a:solidFill>
            <a:ln>
              <a:noFill/>
            </a:ln>
            <a:effectLst/>
          </c:spPr>
          <c:invertIfNegative val="0"/>
          <c:cat>
            <c:strRef>
              <c:f>Sheet1!$A$2:$A$3</c:f>
              <c:strCache>
                <c:ptCount val="2"/>
                <c:pt idx="0">
                  <c:v>The event increased my confidence to engage with the health system</c:v>
                </c:pt>
                <c:pt idx="1">
                  <c:v>The event increased my confidence to engage with consumers</c:v>
                </c:pt>
              </c:strCache>
            </c:strRef>
          </c:cat>
          <c:val>
            <c:numRef>
              <c:f>Sheet1!$D$2:$D$3</c:f>
              <c:numCache>
                <c:formatCode>0%</c:formatCode>
                <c:ptCount val="2"/>
                <c:pt idx="0">
                  <c:v>0.1</c:v>
                </c:pt>
                <c:pt idx="1">
                  <c:v>0.05</c:v>
                </c:pt>
              </c:numCache>
            </c:numRef>
          </c:val>
          <c:extLst>
            <c:ext xmlns:c16="http://schemas.microsoft.com/office/drawing/2014/chart" uri="{C3380CC4-5D6E-409C-BE32-E72D297353CC}">
              <c16:uniqueId val="{00000002-02CD-40C6-8ACF-575C5C7695EC}"/>
            </c:ext>
          </c:extLst>
        </c:ser>
        <c:ser>
          <c:idx val="3"/>
          <c:order val="3"/>
          <c:tx>
            <c:strRef>
              <c:f>Sheet1!$E$1</c:f>
              <c:strCache>
                <c:ptCount val="1"/>
                <c:pt idx="0">
                  <c:v>Disagree</c:v>
                </c:pt>
              </c:strCache>
            </c:strRef>
          </c:tx>
          <c:spPr>
            <a:solidFill>
              <a:schemeClr val="accent4"/>
            </a:solidFill>
            <a:ln>
              <a:noFill/>
            </a:ln>
            <a:effectLst/>
          </c:spPr>
          <c:invertIfNegative val="0"/>
          <c:cat>
            <c:strRef>
              <c:f>Sheet1!$A$2:$A$3</c:f>
              <c:strCache>
                <c:ptCount val="2"/>
                <c:pt idx="0">
                  <c:v>The event increased my confidence to engage with the health system</c:v>
                </c:pt>
                <c:pt idx="1">
                  <c:v>The event increased my confidence to engage with consumers</c:v>
                </c:pt>
              </c:strCache>
            </c:strRef>
          </c:cat>
          <c:val>
            <c:numRef>
              <c:f>Sheet1!$E$2:$E$3</c:f>
              <c:numCache>
                <c:formatCode>0%</c:formatCode>
                <c:ptCount val="2"/>
                <c:pt idx="0">
                  <c:v>0</c:v>
                </c:pt>
                <c:pt idx="1">
                  <c:v>0</c:v>
                </c:pt>
              </c:numCache>
            </c:numRef>
          </c:val>
          <c:extLst>
            <c:ext xmlns:c16="http://schemas.microsoft.com/office/drawing/2014/chart" uri="{C3380CC4-5D6E-409C-BE32-E72D297353CC}">
              <c16:uniqueId val="{00000003-02CD-40C6-8ACF-575C5C7695EC}"/>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Sheet1!$A$2:$A$3</c:f>
              <c:strCache>
                <c:ptCount val="2"/>
                <c:pt idx="0">
                  <c:v>The event increased my confidence to engage with the health system</c:v>
                </c:pt>
                <c:pt idx="1">
                  <c:v>The event increased my confidence to engage with consumers</c:v>
                </c:pt>
              </c:strCache>
            </c:strRef>
          </c:cat>
          <c:val>
            <c:numRef>
              <c:f>Sheet1!$F$2:$F$3</c:f>
              <c:numCache>
                <c:formatCode>0%</c:formatCode>
                <c:ptCount val="2"/>
                <c:pt idx="0">
                  <c:v>0</c:v>
                </c:pt>
                <c:pt idx="1">
                  <c:v>0</c:v>
                </c:pt>
              </c:numCache>
            </c:numRef>
          </c:val>
          <c:extLst>
            <c:ext xmlns:c16="http://schemas.microsoft.com/office/drawing/2014/chart" uri="{C3380CC4-5D6E-409C-BE32-E72D297353CC}">
              <c16:uniqueId val="{00000004-02CD-40C6-8ACF-575C5C7695EC}"/>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c:f>
              <c:strCache>
                <c:ptCount val="1"/>
                <c:pt idx="0">
                  <c:v>The event was relevant and/or valuable to me</c:v>
                </c:pt>
              </c:strCache>
            </c:strRef>
          </c:cat>
          <c:val>
            <c:numRef>
              <c:f>Sheet1!$B$2</c:f>
              <c:numCache>
                <c:formatCode>0%</c:formatCode>
                <c:ptCount val="1"/>
                <c:pt idx="0">
                  <c:v>0.4</c:v>
                </c:pt>
              </c:numCache>
            </c:numRef>
          </c:val>
          <c:extLst>
            <c:ext xmlns:c16="http://schemas.microsoft.com/office/drawing/2014/chart" uri="{C3380CC4-5D6E-409C-BE32-E72D297353CC}">
              <c16:uniqueId val="{00000000-7101-4EFC-A88F-D3F32FF0B396}"/>
            </c:ext>
          </c:extLst>
        </c:ser>
        <c:ser>
          <c:idx val="1"/>
          <c:order val="1"/>
          <c:tx>
            <c:strRef>
              <c:f>Sheet1!$C$1</c:f>
              <c:strCache>
                <c:ptCount val="1"/>
                <c:pt idx="0">
                  <c:v>Agree</c:v>
                </c:pt>
              </c:strCache>
            </c:strRef>
          </c:tx>
          <c:spPr>
            <a:solidFill>
              <a:schemeClr val="accent2"/>
            </a:solidFill>
            <a:ln>
              <a:noFill/>
            </a:ln>
            <a:effectLst/>
          </c:spPr>
          <c:invertIfNegative val="0"/>
          <c:cat>
            <c:strRef>
              <c:f>Sheet1!$A$2</c:f>
              <c:strCache>
                <c:ptCount val="1"/>
                <c:pt idx="0">
                  <c:v>The event was relevant and/or valuable to me</c:v>
                </c:pt>
              </c:strCache>
            </c:strRef>
          </c:cat>
          <c:val>
            <c:numRef>
              <c:f>Sheet1!$C$2</c:f>
              <c:numCache>
                <c:formatCode>0%</c:formatCode>
                <c:ptCount val="1"/>
                <c:pt idx="0">
                  <c:v>0.5</c:v>
                </c:pt>
              </c:numCache>
            </c:numRef>
          </c:val>
          <c:extLst>
            <c:ext xmlns:c16="http://schemas.microsoft.com/office/drawing/2014/chart" uri="{C3380CC4-5D6E-409C-BE32-E72D297353CC}">
              <c16:uniqueId val="{00000001-7101-4EFC-A88F-D3F32FF0B396}"/>
            </c:ext>
          </c:extLst>
        </c:ser>
        <c:ser>
          <c:idx val="2"/>
          <c:order val="2"/>
          <c:tx>
            <c:strRef>
              <c:f>Sheet1!$D$1</c:f>
              <c:strCache>
                <c:ptCount val="1"/>
                <c:pt idx="0">
                  <c:v>Unsure</c:v>
                </c:pt>
              </c:strCache>
            </c:strRef>
          </c:tx>
          <c:spPr>
            <a:solidFill>
              <a:schemeClr val="accent3"/>
            </a:solidFill>
            <a:ln>
              <a:noFill/>
            </a:ln>
            <a:effectLst/>
          </c:spPr>
          <c:invertIfNegative val="0"/>
          <c:cat>
            <c:strRef>
              <c:f>Sheet1!$A$2</c:f>
              <c:strCache>
                <c:ptCount val="1"/>
                <c:pt idx="0">
                  <c:v>The event was relevant and/or valuable to me</c:v>
                </c:pt>
              </c:strCache>
            </c:strRef>
          </c:cat>
          <c:val>
            <c:numRef>
              <c:f>Sheet1!$D$2</c:f>
              <c:numCache>
                <c:formatCode>0%</c:formatCode>
                <c:ptCount val="1"/>
                <c:pt idx="0">
                  <c:v>0.1</c:v>
                </c:pt>
              </c:numCache>
            </c:numRef>
          </c:val>
          <c:extLst>
            <c:ext xmlns:c16="http://schemas.microsoft.com/office/drawing/2014/chart" uri="{C3380CC4-5D6E-409C-BE32-E72D297353CC}">
              <c16:uniqueId val="{00000002-7101-4EFC-A88F-D3F32FF0B396}"/>
            </c:ext>
          </c:extLst>
        </c:ser>
        <c:ser>
          <c:idx val="3"/>
          <c:order val="3"/>
          <c:tx>
            <c:strRef>
              <c:f>Sheet1!$E$1</c:f>
              <c:strCache>
                <c:ptCount val="1"/>
                <c:pt idx="0">
                  <c:v>Disagree</c:v>
                </c:pt>
              </c:strCache>
            </c:strRef>
          </c:tx>
          <c:spPr>
            <a:solidFill>
              <a:schemeClr val="accent4"/>
            </a:solidFill>
            <a:ln>
              <a:noFill/>
            </a:ln>
            <a:effectLst/>
          </c:spPr>
          <c:invertIfNegative val="0"/>
          <c:cat>
            <c:strRef>
              <c:f>Sheet1!$A$2</c:f>
              <c:strCache>
                <c:ptCount val="1"/>
                <c:pt idx="0">
                  <c:v>The event was relevant and/or valuable to me</c:v>
                </c:pt>
              </c:strCache>
            </c:strRef>
          </c:cat>
          <c:val>
            <c:numRef>
              <c:f>Sheet1!$E$2</c:f>
              <c:numCache>
                <c:formatCode>0%</c:formatCode>
                <c:ptCount val="1"/>
                <c:pt idx="0">
                  <c:v>0</c:v>
                </c:pt>
              </c:numCache>
            </c:numRef>
          </c:val>
          <c:extLst>
            <c:ext xmlns:c16="http://schemas.microsoft.com/office/drawing/2014/chart" uri="{C3380CC4-5D6E-409C-BE32-E72D297353CC}">
              <c16:uniqueId val="{00000003-7101-4EFC-A88F-D3F32FF0B396}"/>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c:f>
              <c:strCache>
                <c:ptCount val="1"/>
                <c:pt idx="0">
                  <c:v>The event was relevant and/or valuable to me</c:v>
                </c:pt>
              </c:strCache>
            </c:strRef>
          </c:cat>
          <c:val>
            <c:numRef>
              <c:f>Sheet1!$F$2</c:f>
              <c:numCache>
                <c:formatCode>0%</c:formatCode>
                <c:ptCount val="1"/>
                <c:pt idx="0">
                  <c:v>0</c:v>
                </c:pt>
              </c:numCache>
            </c:numRef>
          </c:val>
          <c:extLst>
            <c:ext xmlns:c16="http://schemas.microsoft.com/office/drawing/2014/chart" uri="{C3380CC4-5D6E-409C-BE32-E72D297353CC}">
              <c16:uniqueId val="{00000004-7101-4EFC-A88F-D3F32FF0B396}"/>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c:f>
              <c:strCache>
                <c:ptCount val="1"/>
                <c:pt idx="0">
                  <c:v>The event supported my understanding of the Code of expectations and its application in my organisation</c:v>
                </c:pt>
              </c:strCache>
            </c:strRef>
          </c:cat>
          <c:val>
            <c:numRef>
              <c:f>Sheet1!$B$2</c:f>
              <c:numCache>
                <c:formatCode>0%</c:formatCode>
                <c:ptCount val="1"/>
                <c:pt idx="0">
                  <c:v>0.25</c:v>
                </c:pt>
              </c:numCache>
            </c:numRef>
          </c:val>
          <c:extLst>
            <c:ext xmlns:c16="http://schemas.microsoft.com/office/drawing/2014/chart" uri="{C3380CC4-5D6E-409C-BE32-E72D297353CC}">
              <c16:uniqueId val="{00000000-5414-4304-AC84-9729BF0E821A}"/>
            </c:ext>
          </c:extLst>
        </c:ser>
        <c:ser>
          <c:idx val="1"/>
          <c:order val="1"/>
          <c:tx>
            <c:strRef>
              <c:f>Sheet1!$C$1</c:f>
              <c:strCache>
                <c:ptCount val="1"/>
                <c:pt idx="0">
                  <c:v>Agree</c:v>
                </c:pt>
              </c:strCache>
            </c:strRef>
          </c:tx>
          <c:spPr>
            <a:solidFill>
              <a:schemeClr val="accent2"/>
            </a:solidFill>
            <a:ln>
              <a:noFill/>
            </a:ln>
            <a:effectLst/>
          </c:spPr>
          <c:invertIfNegative val="0"/>
          <c:cat>
            <c:strRef>
              <c:f>Sheet1!$A$2</c:f>
              <c:strCache>
                <c:ptCount val="1"/>
                <c:pt idx="0">
                  <c:v>The event supported my understanding of the Code of expectations and its application in my organisation</c:v>
                </c:pt>
              </c:strCache>
            </c:strRef>
          </c:cat>
          <c:val>
            <c:numRef>
              <c:f>Sheet1!$C$2</c:f>
              <c:numCache>
                <c:formatCode>0%</c:formatCode>
                <c:ptCount val="1"/>
                <c:pt idx="0">
                  <c:v>0.55000000000000004</c:v>
                </c:pt>
              </c:numCache>
            </c:numRef>
          </c:val>
          <c:extLst>
            <c:ext xmlns:c16="http://schemas.microsoft.com/office/drawing/2014/chart" uri="{C3380CC4-5D6E-409C-BE32-E72D297353CC}">
              <c16:uniqueId val="{00000001-5414-4304-AC84-9729BF0E821A}"/>
            </c:ext>
          </c:extLst>
        </c:ser>
        <c:ser>
          <c:idx val="2"/>
          <c:order val="2"/>
          <c:tx>
            <c:strRef>
              <c:f>Sheet1!$D$1</c:f>
              <c:strCache>
                <c:ptCount val="1"/>
                <c:pt idx="0">
                  <c:v>Unsure</c:v>
                </c:pt>
              </c:strCache>
            </c:strRef>
          </c:tx>
          <c:spPr>
            <a:solidFill>
              <a:schemeClr val="accent3"/>
            </a:solidFill>
            <a:ln>
              <a:noFill/>
            </a:ln>
            <a:effectLst/>
          </c:spPr>
          <c:invertIfNegative val="0"/>
          <c:cat>
            <c:strRef>
              <c:f>Sheet1!$A$2</c:f>
              <c:strCache>
                <c:ptCount val="1"/>
                <c:pt idx="0">
                  <c:v>The event supported my understanding of the Code of expectations and its application in my organisation</c:v>
                </c:pt>
              </c:strCache>
            </c:strRef>
          </c:cat>
          <c:val>
            <c:numRef>
              <c:f>Sheet1!$D$2</c:f>
              <c:numCache>
                <c:formatCode>0%</c:formatCode>
                <c:ptCount val="1"/>
                <c:pt idx="0">
                  <c:v>0.05</c:v>
                </c:pt>
              </c:numCache>
            </c:numRef>
          </c:val>
          <c:extLst>
            <c:ext xmlns:c16="http://schemas.microsoft.com/office/drawing/2014/chart" uri="{C3380CC4-5D6E-409C-BE32-E72D297353CC}">
              <c16:uniqueId val="{00000002-5414-4304-AC84-9729BF0E821A}"/>
            </c:ext>
          </c:extLst>
        </c:ser>
        <c:ser>
          <c:idx val="3"/>
          <c:order val="3"/>
          <c:tx>
            <c:strRef>
              <c:f>Sheet1!$E$1</c:f>
              <c:strCache>
                <c:ptCount val="1"/>
                <c:pt idx="0">
                  <c:v>Disagree</c:v>
                </c:pt>
              </c:strCache>
            </c:strRef>
          </c:tx>
          <c:spPr>
            <a:solidFill>
              <a:schemeClr val="accent4"/>
            </a:solidFill>
            <a:ln>
              <a:noFill/>
            </a:ln>
            <a:effectLst/>
          </c:spPr>
          <c:invertIfNegative val="0"/>
          <c:cat>
            <c:strRef>
              <c:f>Sheet1!$A$2</c:f>
              <c:strCache>
                <c:ptCount val="1"/>
                <c:pt idx="0">
                  <c:v>The event supported my understanding of the Code of expectations and its application in my organisation</c:v>
                </c:pt>
              </c:strCache>
            </c:strRef>
          </c:cat>
          <c:val>
            <c:numRef>
              <c:f>Sheet1!$E$2</c:f>
              <c:numCache>
                <c:formatCode>0%</c:formatCode>
                <c:ptCount val="1"/>
                <c:pt idx="0">
                  <c:v>0.15</c:v>
                </c:pt>
              </c:numCache>
            </c:numRef>
          </c:val>
          <c:extLst>
            <c:ext xmlns:c16="http://schemas.microsoft.com/office/drawing/2014/chart" uri="{C3380CC4-5D6E-409C-BE32-E72D297353CC}">
              <c16:uniqueId val="{00000003-5414-4304-AC84-9729BF0E821A}"/>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c:f>
              <c:strCache>
                <c:ptCount val="1"/>
                <c:pt idx="0">
                  <c:v>The event supported my understanding of the Code of expectations and its application in my organisation</c:v>
                </c:pt>
              </c:strCache>
            </c:strRef>
          </c:cat>
          <c:val>
            <c:numRef>
              <c:f>Sheet1!$F$2</c:f>
              <c:numCache>
                <c:formatCode>0%</c:formatCode>
                <c:ptCount val="1"/>
                <c:pt idx="0">
                  <c:v>0</c:v>
                </c:pt>
              </c:numCache>
            </c:numRef>
          </c:val>
          <c:extLst>
            <c:ext xmlns:c16="http://schemas.microsoft.com/office/drawing/2014/chart" uri="{C3380CC4-5D6E-409C-BE32-E72D297353CC}">
              <c16:uniqueId val="{00000004-5414-4304-AC84-9729BF0E821A}"/>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c:f>
              <c:strCache>
                <c:ptCount val="1"/>
                <c:pt idx="0">
                  <c:v>The event supported my understanding of the SURE framework and its application in my organisation</c:v>
                </c:pt>
              </c:strCache>
            </c:strRef>
          </c:cat>
          <c:val>
            <c:numRef>
              <c:f>Sheet1!$B$2</c:f>
              <c:numCache>
                <c:formatCode>0%</c:formatCode>
                <c:ptCount val="1"/>
                <c:pt idx="0">
                  <c:v>0.3</c:v>
                </c:pt>
              </c:numCache>
            </c:numRef>
          </c:val>
          <c:extLst>
            <c:ext xmlns:c16="http://schemas.microsoft.com/office/drawing/2014/chart" uri="{C3380CC4-5D6E-409C-BE32-E72D297353CC}">
              <c16:uniqueId val="{00000000-893C-40AF-8A87-ACA15E988265}"/>
            </c:ext>
          </c:extLst>
        </c:ser>
        <c:ser>
          <c:idx val="1"/>
          <c:order val="1"/>
          <c:tx>
            <c:strRef>
              <c:f>Sheet1!$C$1</c:f>
              <c:strCache>
                <c:ptCount val="1"/>
                <c:pt idx="0">
                  <c:v>Agree</c:v>
                </c:pt>
              </c:strCache>
            </c:strRef>
          </c:tx>
          <c:spPr>
            <a:solidFill>
              <a:schemeClr val="accent2"/>
            </a:solidFill>
            <a:ln>
              <a:noFill/>
            </a:ln>
            <a:effectLst/>
          </c:spPr>
          <c:invertIfNegative val="0"/>
          <c:cat>
            <c:strRef>
              <c:f>Sheet1!$A$2</c:f>
              <c:strCache>
                <c:ptCount val="1"/>
                <c:pt idx="0">
                  <c:v>The event supported my understanding of the SURE framework and its application in my organisation</c:v>
                </c:pt>
              </c:strCache>
            </c:strRef>
          </c:cat>
          <c:val>
            <c:numRef>
              <c:f>Sheet1!$C$2</c:f>
              <c:numCache>
                <c:formatCode>0%</c:formatCode>
                <c:ptCount val="1"/>
                <c:pt idx="0">
                  <c:v>0.5</c:v>
                </c:pt>
              </c:numCache>
            </c:numRef>
          </c:val>
          <c:extLst>
            <c:ext xmlns:c16="http://schemas.microsoft.com/office/drawing/2014/chart" uri="{C3380CC4-5D6E-409C-BE32-E72D297353CC}">
              <c16:uniqueId val="{00000001-893C-40AF-8A87-ACA15E988265}"/>
            </c:ext>
          </c:extLst>
        </c:ser>
        <c:ser>
          <c:idx val="2"/>
          <c:order val="2"/>
          <c:tx>
            <c:strRef>
              <c:f>Sheet1!$D$1</c:f>
              <c:strCache>
                <c:ptCount val="1"/>
                <c:pt idx="0">
                  <c:v>Unsure</c:v>
                </c:pt>
              </c:strCache>
            </c:strRef>
          </c:tx>
          <c:spPr>
            <a:solidFill>
              <a:schemeClr val="accent3"/>
            </a:solidFill>
            <a:ln>
              <a:noFill/>
            </a:ln>
            <a:effectLst/>
          </c:spPr>
          <c:invertIfNegative val="0"/>
          <c:cat>
            <c:strRef>
              <c:f>Sheet1!$A$2</c:f>
              <c:strCache>
                <c:ptCount val="1"/>
                <c:pt idx="0">
                  <c:v>The event supported my understanding of the SURE framework and its application in my organisation</c:v>
                </c:pt>
              </c:strCache>
            </c:strRef>
          </c:cat>
          <c:val>
            <c:numRef>
              <c:f>Sheet1!$D$2</c:f>
              <c:numCache>
                <c:formatCode>0%</c:formatCode>
                <c:ptCount val="1"/>
                <c:pt idx="0">
                  <c:v>0.1</c:v>
                </c:pt>
              </c:numCache>
            </c:numRef>
          </c:val>
          <c:extLst>
            <c:ext xmlns:c16="http://schemas.microsoft.com/office/drawing/2014/chart" uri="{C3380CC4-5D6E-409C-BE32-E72D297353CC}">
              <c16:uniqueId val="{00000002-893C-40AF-8A87-ACA15E988265}"/>
            </c:ext>
          </c:extLst>
        </c:ser>
        <c:ser>
          <c:idx val="3"/>
          <c:order val="3"/>
          <c:tx>
            <c:strRef>
              <c:f>Sheet1!$E$1</c:f>
              <c:strCache>
                <c:ptCount val="1"/>
                <c:pt idx="0">
                  <c:v>Disagree</c:v>
                </c:pt>
              </c:strCache>
            </c:strRef>
          </c:tx>
          <c:spPr>
            <a:solidFill>
              <a:schemeClr val="accent4"/>
            </a:solidFill>
            <a:ln>
              <a:noFill/>
            </a:ln>
            <a:effectLst/>
          </c:spPr>
          <c:invertIfNegative val="0"/>
          <c:cat>
            <c:strRef>
              <c:f>Sheet1!$A$2</c:f>
              <c:strCache>
                <c:ptCount val="1"/>
                <c:pt idx="0">
                  <c:v>The event supported my understanding of the SURE framework and its application in my organisation</c:v>
                </c:pt>
              </c:strCache>
            </c:strRef>
          </c:cat>
          <c:val>
            <c:numRef>
              <c:f>Sheet1!$E$2</c:f>
              <c:numCache>
                <c:formatCode>0%</c:formatCode>
                <c:ptCount val="1"/>
                <c:pt idx="0">
                  <c:v>0.15</c:v>
                </c:pt>
              </c:numCache>
            </c:numRef>
          </c:val>
          <c:extLst>
            <c:ext xmlns:c16="http://schemas.microsoft.com/office/drawing/2014/chart" uri="{C3380CC4-5D6E-409C-BE32-E72D297353CC}">
              <c16:uniqueId val="{00000003-893C-40AF-8A87-ACA15E988265}"/>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c:f>
              <c:strCache>
                <c:ptCount val="1"/>
                <c:pt idx="0">
                  <c:v>The event supported my understanding of the SURE framework and its application in my organisation</c:v>
                </c:pt>
              </c:strCache>
            </c:strRef>
          </c:cat>
          <c:val>
            <c:numRef>
              <c:f>Sheet1!$F$2</c:f>
              <c:numCache>
                <c:formatCode>0%</c:formatCode>
                <c:ptCount val="1"/>
                <c:pt idx="0">
                  <c:v>0</c:v>
                </c:pt>
              </c:numCache>
            </c:numRef>
          </c:val>
          <c:extLst>
            <c:ext xmlns:c16="http://schemas.microsoft.com/office/drawing/2014/chart" uri="{C3380CC4-5D6E-409C-BE32-E72D297353CC}">
              <c16:uniqueId val="{00000004-893C-40AF-8A87-ACA15E988265}"/>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28371974336539"/>
          <c:y val="4.3650793650793648E-2"/>
          <c:w val="0.68571285360163325"/>
          <c:h val="0.77351831021122364"/>
        </c:manualLayout>
      </c:layout>
      <c:barChart>
        <c:barDir val="bar"/>
        <c:grouping val="stacked"/>
        <c:varyColors val="0"/>
        <c:ser>
          <c:idx val="0"/>
          <c:order val="0"/>
          <c:tx>
            <c:strRef>
              <c:f>Sheet1!$B$1</c:f>
              <c:strCache>
                <c:ptCount val="1"/>
                <c:pt idx="0">
                  <c:v>Strongly agree</c:v>
                </c:pt>
              </c:strCache>
            </c:strRef>
          </c:tx>
          <c:spPr>
            <a:solidFill>
              <a:schemeClr val="accent1"/>
            </a:solidFill>
            <a:ln>
              <a:noFill/>
            </a:ln>
            <a:effectLst/>
          </c:spPr>
          <c:invertIfNegative val="0"/>
          <c:cat>
            <c:strRef>
              <c:f>Sheet1!$A$2</c:f>
              <c:strCache>
                <c:ptCount val="1"/>
                <c:pt idx="0">
                  <c:v>The event supported my understanding of the consumer and whānau QSM and its application in my organisation</c:v>
                </c:pt>
              </c:strCache>
            </c:strRef>
          </c:cat>
          <c:val>
            <c:numRef>
              <c:f>Sheet1!$B$2</c:f>
              <c:numCache>
                <c:formatCode>0%</c:formatCode>
                <c:ptCount val="1"/>
                <c:pt idx="0">
                  <c:v>0.2</c:v>
                </c:pt>
              </c:numCache>
            </c:numRef>
          </c:val>
          <c:extLst>
            <c:ext xmlns:c16="http://schemas.microsoft.com/office/drawing/2014/chart" uri="{C3380CC4-5D6E-409C-BE32-E72D297353CC}">
              <c16:uniqueId val="{00000000-D87A-4802-96EB-5409B6D5DA42}"/>
            </c:ext>
          </c:extLst>
        </c:ser>
        <c:ser>
          <c:idx val="1"/>
          <c:order val="1"/>
          <c:tx>
            <c:strRef>
              <c:f>Sheet1!$C$1</c:f>
              <c:strCache>
                <c:ptCount val="1"/>
                <c:pt idx="0">
                  <c:v>Agree</c:v>
                </c:pt>
              </c:strCache>
            </c:strRef>
          </c:tx>
          <c:spPr>
            <a:solidFill>
              <a:schemeClr val="accent2"/>
            </a:solidFill>
            <a:ln>
              <a:noFill/>
            </a:ln>
            <a:effectLst/>
          </c:spPr>
          <c:invertIfNegative val="0"/>
          <c:cat>
            <c:strRef>
              <c:f>Sheet1!$A$2</c:f>
              <c:strCache>
                <c:ptCount val="1"/>
                <c:pt idx="0">
                  <c:v>The event supported my understanding of the consumer and whānau QSM and its application in my organisation</c:v>
                </c:pt>
              </c:strCache>
            </c:strRef>
          </c:cat>
          <c:val>
            <c:numRef>
              <c:f>Sheet1!$C$2</c:f>
              <c:numCache>
                <c:formatCode>0%</c:formatCode>
                <c:ptCount val="1"/>
                <c:pt idx="0">
                  <c:v>0.4</c:v>
                </c:pt>
              </c:numCache>
            </c:numRef>
          </c:val>
          <c:extLst>
            <c:ext xmlns:c16="http://schemas.microsoft.com/office/drawing/2014/chart" uri="{C3380CC4-5D6E-409C-BE32-E72D297353CC}">
              <c16:uniqueId val="{00000001-D87A-4802-96EB-5409B6D5DA42}"/>
            </c:ext>
          </c:extLst>
        </c:ser>
        <c:ser>
          <c:idx val="2"/>
          <c:order val="2"/>
          <c:tx>
            <c:strRef>
              <c:f>Sheet1!$D$1</c:f>
              <c:strCache>
                <c:ptCount val="1"/>
                <c:pt idx="0">
                  <c:v>Unsure</c:v>
                </c:pt>
              </c:strCache>
            </c:strRef>
          </c:tx>
          <c:spPr>
            <a:solidFill>
              <a:schemeClr val="accent3"/>
            </a:solidFill>
            <a:ln>
              <a:noFill/>
            </a:ln>
            <a:effectLst/>
          </c:spPr>
          <c:invertIfNegative val="0"/>
          <c:cat>
            <c:strRef>
              <c:f>Sheet1!$A$2</c:f>
              <c:strCache>
                <c:ptCount val="1"/>
                <c:pt idx="0">
                  <c:v>The event supported my understanding of the consumer and whānau QSM and its application in my organisation</c:v>
                </c:pt>
              </c:strCache>
            </c:strRef>
          </c:cat>
          <c:val>
            <c:numRef>
              <c:f>Sheet1!$D$2</c:f>
              <c:numCache>
                <c:formatCode>0%</c:formatCode>
                <c:ptCount val="1"/>
                <c:pt idx="0">
                  <c:v>0.2</c:v>
                </c:pt>
              </c:numCache>
            </c:numRef>
          </c:val>
          <c:extLst>
            <c:ext xmlns:c16="http://schemas.microsoft.com/office/drawing/2014/chart" uri="{C3380CC4-5D6E-409C-BE32-E72D297353CC}">
              <c16:uniqueId val="{00000002-D87A-4802-96EB-5409B6D5DA42}"/>
            </c:ext>
          </c:extLst>
        </c:ser>
        <c:ser>
          <c:idx val="3"/>
          <c:order val="3"/>
          <c:tx>
            <c:strRef>
              <c:f>Sheet1!$E$1</c:f>
              <c:strCache>
                <c:ptCount val="1"/>
                <c:pt idx="0">
                  <c:v>Disagree</c:v>
                </c:pt>
              </c:strCache>
            </c:strRef>
          </c:tx>
          <c:spPr>
            <a:solidFill>
              <a:schemeClr val="accent4"/>
            </a:solidFill>
            <a:ln>
              <a:noFill/>
            </a:ln>
            <a:effectLst/>
          </c:spPr>
          <c:invertIfNegative val="0"/>
          <c:cat>
            <c:strRef>
              <c:f>Sheet1!$A$2</c:f>
              <c:strCache>
                <c:ptCount val="1"/>
                <c:pt idx="0">
                  <c:v>The event supported my understanding of the consumer and whānau QSM and its application in my organisation</c:v>
                </c:pt>
              </c:strCache>
            </c:strRef>
          </c:cat>
          <c:val>
            <c:numRef>
              <c:f>Sheet1!$E$2</c:f>
              <c:numCache>
                <c:formatCode>0%</c:formatCode>
                <c:ptCount val="1"/>
                <c:pt idx="0">
                  <c:v>0.2</c:v>
                </c:pt>
              </c:numCache>
            </c:numRef>
          </c:val>
          <c:extLst>
            <c:ext xmlns:c16="http://schemas.microsoft.com/office/drawing/2014/chart" uri="{C3380CC4-5D6E-409C-BE32-E72D297353CC}">
              <c16:uniqueId val="{00000003-D87A-4802-96EB-5409B6D5DA42}"/>
            </c:ext>
          </c:extLst>
        </c:ser>
        <c:ser>
          <c:idx val="4"/>
          <c:order val="4"/>
          <c:tx>
            <c:strRef>
              <c:f>Sheet1!$F$1</c:f>
              <c:strCache>
                <c:ptCount val="1"/>
                <c:pt idx="0">
                  <c:v>Strongly disagree</c:v>
                </c:pt>
              </c:strCache>
            </c:strRef>
          </c:tx>
          <c:spPr>
            <a:solidFill>
              <a:schemeClr val="accent5"/>
            </a:solidFill>
            <a:ln>
              <a:noFill/>
            </a:ln>
            <a:effectLst/>
          </c:spPr>
          <c:invertIfNegative val="0"/>
          <c:cat>
            <c:strRef>
              <c:f>Sheet1!$A$2</c:f>
              <c:strCache>
                <c:ptCount val="1"/>
                <c:pt idx="0">
                  <c:v>The event supported my understanding of the consumer and whānau QSM and its application in my organisation</c:v>
                </c:pt>
              </c:strCache>
            </c:strRef>
          </c:cat>
          <c:val>
            <c:numRef>
              <c:f>Sheet1!$F$2</c:f>
              <c:numCache>
                <c:formatCode>0%</c:formatCode>
                <c:ptCount val="1"/>
                <c:pt idx="0">
                  <c:v>0</c:v>
                </c:pt>
              </c:numCache>
            </c:numRef>
          </c:val>
          <c:extLst>
            <c:ext xmlns:c16="http://schemas.microsoft.com/office/drawing/2014/chart" uri="{C3380CC4-5D6E-409C-BE32-E72D297353CC}">
              <c16:uniqueId val="{00000004-D87A-4802-96EB-5409B6D5DA42}"/>
            </c:ext>
          </c:extLst>
        </c:ser>
        <c:dLbls>
          <c:showLegendKey val="0"/>
          <c:showVal val="0"/>
          <c:showCatName val="0"/>
          <c:showSerName val="0"/>
          <c:showPercent val="0"/>
          <c:showBubbleSize val="0"/>
        </c:dLbls>
        <c:gapWidth val="150"/>
        <c:overlap val="100"/>
        <c:axId val="461707712"/>
        <c:axId val="461702432"/>
      </c:barChart>
      <c:catAx>
        <c:axId val="46170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2432"/>
        <c:crosses val="autoZero"/>
        <c:auto val="1"/>
        <c:lblAlgn val="ctr"/>
        <c:lblOffset val="100"/>
        <c:noMultiLvlLbl val="0"/>
      </c:catAx>
      <c:valAx>
        <c:axId val="461702432"/>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Sheet1!$A$2:$A$10</c:f>
              <c:strCache>
                <c:ptCount val="9"/>
                <c:pt idx="0">
                  <c:v>Whakawhanaungatanga</c:v>
                </c:pt>
                <c:pt idx="1">
                  <c:v>Connecting relationships</c:v>
                </c:pt>
                <c:pt idx="2">
                  <c:v>Code of expectations review</c:v>
                </c:pt>
                <c:pt idx="3">
                  <c:v>Brief history of the QSM and SURE framework</c:v>
                </c:pt>
                <c:pt idx="4">
                  <c:v>Application of the SURE framework</c:v>
                </c:pt>
                <c:pt idx="5">
                  <c:v>Workshop 1: Propose decisions from key morning takeaways</c:v>
                </c:pt>
                <c:pt idx="6">
                  <c:v>Workshop 2: Exploring opportunities to apply the frameworks</c:v>
                </c:pt>
                <c:pt idx="7">
                  <c:v>Workshop 3: Exploring practical enablers to enhance application of frameworks</c:v>
                </c:pt>
                <c:pt idx="8">
                  <c:v>Other</c:v>
                </c:pt>
              </c:strCache>
            </c:strRef>
          </c:cat>
          <c:val>
            <c:numRef>
              <c:f>Sheet1!$B$2:$B$10</c:f>
              <c:numCache>
                <c:formatCode>General</c:formatCode>
                <c:ptCount val="9"/>
                <c:pt idx="0">
                  <c:v>8</c:v>
                </c:pt>
                <c:pt idx="1">
                  <c:v>11</c:v>
                </c:pt>
                <c:pt idx="2">
                  <c:v>0</c:v>
                </c:pt>
                <c:pt idx="3">
                  <c:v>3</c:v>
                </c:pt>
                <c:pt idx="4">
                  <c:v>4</c:v>
                </c:pt>
                <c:pt idx="5">
                  <c:v>9</c:v>
                </c:pt>
                <c:pt idx="6">
                  <c:v>9</c:v>
                </c:pt>
                <c:pt idx="7">
                  <c:v>6</c:v>
                </c:pt>
                <c:pt idx="8">
                  <c:v>2</c:v>
                </c:pt>
              </c:numCache>
            </c:numRef>
          </c:val>
          <c:extLst>
            <c:ext xmlns:c16="http://schemas.microsoft.com/office/drawing/2014/chart" uri="{C3380CC4-5D6E-409C-BE32-E72D297353CC}">
              <c16:uniqueId val="{00000000-1B73-4660-8EEE-72A08109B312}"/>
            </c:ext>
          </c:extLst>
        </c:ser>
        <c:dLbls>
          <c:showLegendKey val="0"/>
          <c:showVal val="0"/>
          <c:showCatName val="0"/>
          <c:showSerName val="0"/>
          <c:showPercent val="0"/>
          <c:showBubbleSize val="0"/>
        </c:dLbls>
        <c:gapWidth val="182"/>
        <c:axId val="171733264"/>
        <c:axId val="171733744"/>
      </c:barChart>
      <c:catAx>
        <c:axId val="1717332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33744"/>
        <c:crosses val="autoZero"/>
        <c:auto val="1"/>
        <c:lblAlgn val="ctr"/>
        <c:lblOffset val="100"/>
        <c:noMultiLvlLbl val="0"/>
      </c:catAx>
      <c:valAx>
        <c:axId val="1717337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33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FD633-C63F-471C-98C6-B82F13934A49}">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4100</Words>
  <Characters>23267</Characters>
  <Application>Microsoft Office Word</Application>
  <DocSecurity>0</DocSecurity>
  <Lines>561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Links>
    <vt:vector size="84" baseType="variant">
      <vt:variant>
        <vt:i4>7995403</vt:i4>
      </vt:variant>
      <vt:variant>
        <vt:i4>39</vt:i4>
      </vt:variant>
      <vt:variant>
        <vt:i4>0</vt:i4>
      </vt:variant>
      <vt:variant>
        <vt:i4>5</vt:i4>
      </vt:variant>
      <vt:variant>
        <vt:lpwstr>mailto:info@hqsc.govt.nz</vt:lpwstr>
      </vt:variant>
      <vt:variant>
        <vt:lpwstr/>
      </vt:variant>
      <vt:variant>
        <vt:i4>4456455</vt:i4>
      </vt:variant>
      <vt:variant>
        <vt:i4>36</vt:i4>
      </vt:variant>
      <vt:variant>
        <vt:i4>0</vt:i4>
      </vt:variant>
      <vt:variant>
        <vt:i4>5</vt:i4>
      </vt:variant>
      <vt:variant>
        <vt:lpwstr>http://www.hqsc.govt.nz/</vt:lpwstr>
      </vt:variant>
      <vt:variant>
        <vt:lpwstr/>
      </vt:variant>
      <vt:variant>
        <vt:i4>4980772</vt:i4>
      </vt:variant>
      <vt:variant>
        <vt:i4>33</vt:i4>
      </vt:variant>
      <vt:variant>
        <vt:i4>0</vt:i4>
      </vt:variant>
      <vt:variant>
        <vt:i4>5</vt:i4>
      </vt:variant>
      <vt:variant>
        <vt:lpwstr>mailto:consumers@hqsc.govt.nz</vt:lpwstr>
      </vt:variant>
      <vt:variant>
        <vt:lpwstr/>
      </vt:variant>
      <vt:variant>
        <vt:i4>6357025</vt:i4>
      </vt:variant>
      <vt:variant>
        <vt:i4>30</vt:i4>
      </vt:variant>
      <vt:variant>
        <vt:i4>0</vt:i4>
      </vt:variant>
      <vt:variant>
        <vt:i4>5</vt:i4>
      </vt:variant>
      <vt:variant>
        <vt:lpwstr>https://reports.hqsc.govt.nz/content/ce4ea63e-68e6-4ac1-93ae-32ace685bdc6?_gl=1*50jwe9*_ga*NjU1NzYzMTg4LjE3NTQwMjI1OTc.*_ga_TG4RCRSBWS*czE3NjQxMDU4NzckbzE4NiRnMSR0MTc2NDEwNTg4NSRqNTIkbDAkaDA.</vt:lpwstr>
      </vt:variant>
      <vt:variant>
        <vt:lpwstr/>
      </vt:variant>
      <vt:variant>
        <vt:i4>2359396</vt:i4>
      </vt:variant>
      <vt:variant>
        <vt:i4>27</vt:i4>
      </vt:variant>
      <vt:variant>
        <vt:i4>0</vt:i4>
      </vt:variant>
      <vt:variant>
        <vt:i4>5</vt:i4>
      </vt:variant>
      <vt:variant>
        <vt:lpwstr>https://www.hqsc.govt.nz/consumer-hub/engaging-consumers-and-whanau/consumer-engagement-quality-and-safety-marker/</vt:lpwstr>
      </vt:variant>
      <vt:variant>
        <vt:lpwstr/>
      </vt:variant>
      <vt:variant>
        <vt:i4>7995420</vt:i4>
      </vt:variant>
      <vt:variant>
        <vt:i4>24</vt:i4>
      </vt:variant>
      <vt:variant>
        <vt:i4>0</vt:i4>
      </vt:variant>
      <vt:variant>
        <vt:i4>5</vt:i4>
      </vt:variant>
      <vt:variant>
        <vt:lpwstr>https://www.hqsc.govt.nz/assets/Our-data/Publications-resources/ConsumerQSM_framework_Wordversion_FINAL.docx</vt:lpwstr>
      </vt:variant>
      <vt:variant>
        <vt:lpwstr/>
      </vt:variant>
      <vt:variant>
        <vt:i4>6815768</vt:i4>
      </vt:variant>
      <vt:variant>
        <vt:i4>21</vt:i4>
      </vt:variant>
      <vt:variant>
        <vt:i4>0</vt:i4>
      </vt:variant>
      <vt:variant>
        <vt:i4>5</vt:i4>
      </vt:variant>
      <vt:variant>
        <vt:lpwstr>https://www.hqsc.govt.nz/assets/Our-data/Publications-resources/ConsumerQSMframework_FINAL.pdf</vt:lpwstr>
      </vt:variant>
      <vt:variant>
        <vt:lpwstr/>
      </vt:variant>
      <vt:variant>
        <vt:i4>3538997</vt:i4>
      </vt:variant>
      <vt:variant>
        <vt:i4>18</vt:i4>
      </vt:variant>
      <vt:variant>
        <vt:i4>0</vt:i4>
      </vt:variant>
      <vt:variant>
        <vt:i4>5</vt:i4>
      </vt:variant>
      <vt:variant>
        <vt:lpwstr>https://www.hqsc.govt.nz/consumer-hub/accessible-version-of-consumer-and-whanau-engagement-quality-and-safety-marker-framework/</vt:lpwstr>
      </vt:variant>
      <vt:variant>
        <vt:lpwstr/>
      </vt:variant>
      <vt:variant>
        <vt:i4>7208994</vt:i4>
      </vt:variant>
      <vt:variant>
        <vt:i4>15</vt:i4>
      </vt:variant>
      <vt:variant>
        <vt:i4>0</vt:i4>
      </vt:variant>
      <vt:variant>
        <vt:i4>5</vt:i4>
      </vt:variant>
      <vt:variant>
        <vt:lpwstr>https://www.hqsc.govt.nz/resources/resource-library/code-of-expectations-for-health-entities-engagement-with-consumers-and-whanau/</vt:lpwstr>
      </vt:variant>
      <vt:variant>
        <vt:lpwstr/>
      </vt:variant>
      <vt:variant>
        <vt:i4>3014698</vt:i4>
      </vt:variant>
      <vt:variant>
        <vt:i4>12</vt:i4>
      </vt:variant>
      <vt:variant>
        <vt:i4>0</vt:i4>
      </vt:variant>
      <vt:variant>
        <vt:i4>5</vt:i4>
      </vt:variant>
      <vt:variant>
        <vt:lpwstr>https://www.hqsc.govt.nz/consumer-hub/engaging-consumers-and-whanau/code-of-expectations-for-health-entities-engagement-with-consumers-and-whanau/</vt:lpwstr>
      </vt:variant>
      <vt:variant>
        <vt:lpwstr/>
      </vt:variant>
      <vt:variant>
        <vt:i4>4980772</vt:i4>
      </vt:variant>
      <vt:variant>
        <vt:i4>9</vt:i4>
      </vt:variant>
      <vt:variant>
        <vt:i4>0</vt:i4>
      </vt:variant>
      <vt:variant>
        <vt:i4>5</vt:i4>
      </vt:variant>
      <vt:variant>
        <vt:lpwstr>mailto:consumers@hqsc.govt.nz</vt:lpwstr>
      </vt:variant>
      <vt:variant>
        <vt:lpwstr/>
      </vt:variant>
      <vt:variant>
        <vt:i4>6815768</vt:i4>
      </vt:variant>
      <vt:variant>
        <vt:i4>6</vt:i4>
      </vt:variant>
      <vt:variant>
        <vt:i4>0</vt:i4>
      </vt:variant>
      <vt:variant>
        <vt:i4>5</vt:i4>
      </vt:variant>
      <vt:variant>
        <vt:lpwstr>https://www.hqsc.govt.nz/assets/Our-data/Publications-resources/ConsumerQSMframework_FINAL.pdf</vt:lpwstr>
      </vt:variant>
      <vt:variant>
        <vt:lpwstr/>
      </vt:variant>
      <vt:variant>
        <vt:i4>3276824</vt:i4>
      </vt:variant>
      <vt:variant>
        <vt:i4>3</vt:i4>
      </vt:variant>
      <vt:variant>
        <vt:i4>0</vt:i4>
      </vt:variant>
      <vt:variant>
        <vt:i4>5</vt:i4>
      </vt:variant>
      <vt:variant>
        <vt:lpwstr>https://www.hqsc.govt.nz/assets/Consumer-hub/Publications-resources/HQSC_Code-of-expectations_English_20230515-v2.pdf?hash=73230f39e4c83a6f735a6388afa6da31e2dd6507</vt:lpwstr>
      </vt:variant>
      <vt:variant>
        <vt:lpwstr/>
      </vt:variant>
      <vt:variant>
        <vt:i4>5373963</vt:i4>
      </vt:variant>
      <vt:variant>
        <vt:i4>0</vt:i4>
      </vt:variant>
      <vt:variant>
        <vt:i4>0</vt:i4>
      </vt:variant>
      <vt:variant>
        <vt:i4>5</vt:i4>
      </vt:variant>
      <vt:variant>
        <vt:lpwstr>https://reports.hqsc.govt.nz/content/ce4ea63e-68e6-4ac1-93ae-32ace685bdc6/_w_2c555361/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2026-06-24T20:07:00Z</dcterms:created>
  <dcterms:modified xsi:type="dcterms:W3CDTF">2026-06-24T20:08:00Z</dcterms:modified>
</cp:coreProperties>
</file>