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6207D1" w14:textId="77777777" w:rsidR="0045453F" w:rsidRDefault="00CE1228" w:rsidP="0045453F">
      <w:pPr>
        <w:pStyle w:val="Title"/>
        <w:kinsoku w:val="0"/>
        <w:overflowPunct w:val="0"/>
        <w:jc w:val="center"/>
        <w:rPr>
          <w:rFonts w:ascii="Arial" w:hAnsi="Arial" w:cs="Arial"/>
          <w:b/>
          <w:bCs/>
          <w:sz w:val="26"/>
          <w:szCs w:val="26"/>
        </w:rPr>
      </w:pPr>
      <w:r w:rsidRPr="0045453F">
        <w:rPr>
          <w:rFonts w:ascii="Arial" w:hAnsi="Arial" w:cs="Arial"/>
          <w:b/>
          <w:bCs/>
          <w:sz w:val="26"/>
          <w:szCs w:val="26"/>
        </w:rPr>
        <w:t>Te Tiriti</w:t>
      </w:r>
      <w:r w:rsidR="00F6394A" w:rsidRPr="0045453F">
        <w:rPr>
          <w:rFonts w:ascii="Arial" w:hAnsi="Arial" w:cs="Arial"/>
          <w:b/>
          <w:bCs/>
          <w:sz w:val="26"/>
          <w:szCs w:val="26"/>
        </w:rPr>
        <w:t xml:space="preserve"> o Waitangi</w:t>
      </w:r>
      <w:r w:rsidR="00B16D45" w:rsidRPr="0045453F">
        <w:rPr>
          <w:rFonts w:ascii="Arial" w:hAnsi="Arial" w:cs="Arial"/>
          <w:b/>
          <w:bCs/>
          <w:sz w:val="26"/>
          <w:szCs w:val="26"/>
        </w:rPr>
        <w:t xml:space="preserve"> and the consumer engagement </w:t>
      </w:r>
      <w:r w:rsidR="0045453F">
        <w:rPr>
          <w:rFonts w:ascii="Arial" w:hAnsi="Arial" w:cs="Arial"/>
          <w:b/>
          <w:bCs/>
          <w:sz w:val="26"/>
          <w:szCs w:val="26"/>
        </w:rPr>
        <w:t>quality and safety marker</w:t>
      </w:r>
      <w:r w:rsidR="00B16D45" w:rsidRPr="0045453F">
        <w:rPr>
          <w:rFonts w:ascii="Arial" w:hAnsi="Arial" w:cs="Arial"/>
          <w:b/>
          <w:bCs/>
          <w:sz w:val="26"/>
          <w:szCs w:val="26"/>
        </w:rPr>
        <w:t xml:space="preserve"> framework</w:t>
      </w:r>
    </w:p>
    <w:p w14:paraId="15D2B9D7" w14:textId="77777777" w:rsidR="00B16D45" w:rsidRPr="0045453F" w:rsidRDefault="00F6394A" w:rsidP="0045453F">
      <w:pPr>
        <w:pStyle w:val="Title"/>
        <w:kinsoku w:val="0"/>
        <w:overflowPunct w:val="0"/>
        <w:jc w:val="center"/>
        <w:rPr>
          <w:rFonts w:ascii="Arial" w:hAnsi="Arial" w:cs="Arial"/>
          <w:sz w:val="26"/>
          <w:szCs w:val="26"/>
        </w:rPr>
      </w:pPr>
      <w:r w:rsidRPr="0045453F">
        <w:rPr>
          <w:rFonts w:ascii="Arial" w:hAnsi="Arial" w:cs="Arial"/>
          <w:sz w:val="26"/>
          <w:szCs w:val="26"/>
        </w:rPr>
        <w:t xml:space="preserve">Summary from the Health Quality &amp; Safety Commission’s consumer network </w:t>
      </w:r>
      <w:r w:rsidR="001B3C80">
        <w:rPr>
          <w:rFonts w:ascii="Arial" w:hAnsi="Arial" w:cs="Arial"/>
          <w:sz w:val="26"/>
          <w:szCs w:val="26"/>
        </w:rPr>
        <w:t xml:space="preserve">discussion </w:t>
      </w:r>
      <w:r w:rsidRPr="0045453F">
        <w:rPr>
          <w:rFonts w:ascii="Arial" w:hAnsi="Arial" w:cs="Arial"/>
          <w:sz w:val="26"/>
          <w:szCs w:val="26"/>
        </w:rPr>
        <w:t>November 2020</w:t>
      </w:r>
      <w:bookmarkStart w:id="0" w:name="How does this fit into the Consumer Enga"/>
      <w:bookmarkEnd w:id="0"/>
    </w:p>
    <w:p w14:paraId="50302992" w14:textId="77777777" w:rsidR="00CE1228" w:rsidRPr="0045453F" w:rsidRDefault="00CE1228">
      <w:pPr>
        <w:pStyle w:val="BodyText"/>
        <w:kinsoku w:val="0"/>
        <w:overflowPunct w:val="0"/>
        <w:spacing w:before="2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4386"/>
        <w:gridCol w:w="4966"/>
        <w:gridCol w:w="4821"/>
        <w:gridCol w:w="4821"/>
      </w:tblGrid>
      <w:tr w:rsidR="00CE1228" w:rsidRPr="0098075D" w14:paraId="76225954" w14:textId="77777777" w:rsidTr="00D75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B648" w14:textId="77777777" w:rsidR="00CE1228" w:rsidRPr="0098075D" w:rsidRDefault="00CE1228" w:rsidP="0045453F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D8C5BE" w14:textId="77777777" w:rsidR="00CE1228" w:rsidRPr="0098075D" w:rsidRDefault="00CE1228" w:rsidP="0045453F">
            <w:pPr>
              <w:pStyle w:val="TableParagraph"/>
              <w:kinsoku w:val="0"/>
              <w:overflowPunct w:val="0"/>
              <w:spacing w:before="1" w:line="239" w:lineRule="exact"/>
              <w:ind w:left="10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Minimal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DED7" w14:textId="77777777" w:rsidR="00CE1228" w:rsidRPr="0098075D" w:rsidRDefault="00CE1228" w:rsidP="0045453F">
            <w:pPr>
              <w:pStyle w:val="TableParagraph"/>
              <w:kinsoku w:val="0"/>
              <w:overflowPunct w:val="0"/>
              <w:spacing w:before="1" w:line="239" w:lineRule="exact"/>
              <w:ind w:left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Consultation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FCF9F" w14:textId="77777777" w:rsidR="00CE1228" w:rsidRPr="0098075D" w:rsidRDefault="00CE1228" w:rsidP="0045453F">
            <w:pPr>
              <w:pStyle w:val="TableParagraph"/>
              <w:kinsoku w:val="0"/>
              <w:overflowPunct w:val="0"/>
              <w:spacing w:before="1" w:line="239" w:lineRule="exact"/>
              <w:ind w:left="10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Involvement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7B8" w14:textId="77777777" w:rsidR="00CE1228" w:rsidRPr="0098075D" w:rsidRDefault="00CE1228" w:rsidP="0045453F">
            <w:pPr>
              <w:pStyle w:val="TableParagraph"/>
              <w:kinsoku w:val="0"/>
              <w:overflowPunct w:val="0"/>
              <w:spacing w:before="1" w:line="239" w:lineRule="exact"/>
              <w:ind w:left="10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Partnership </w:t>
            </w:r>
            <w:r w:rsidR="0045453F"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and l</w:t>
            </w: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eadership</w:t>
            </w:r>
          </w:p>
        </w:tc>
      </w:tr>
      <w:tr w:rsidR="00CE1228" w:rsidRPr="0098075D" w14:paraId="549B9FA8" w14:textId="77777777" w:rsidTr="00D75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0"/>
        </w:trPr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E367" w14:textId="77777777" w:rsidR="00CE1228" w:rsidRPr="0098075D" w:rsidRDefault="00CE1228" w:rsidP="0045453F">
            <w:pPr>
              <w:pStyle w:val="TableParagraph"/>
              <w:kinsoku w:val="0"/>
              <w:overflowPunct w:val="0"/>
              <w:ind w:left="110" w:right="10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Te Tiriti o Waitangi – </w:t>
            </w:r>
            <w:r w:rsidR="0045453F"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e</w:t>
            </w:r>
            <w:r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ngaging and responding to the Articles of Te Tiriti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5B1DF" w14:textId="77777777" w:rsidR="00CE1228" w:rsidRPr="0098075D" w:rsidRDefault="00CE1228" w:rsidP="0045453F">
            <w:pPr>
              <w:pStyle w:val="TableParagraph"/>
              <w:kinsoku w:val="0"/>
              <w:overflowPunct w:val="0"/>
              <w:ind w:left="109" w:right="137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No focus on equity, no formal recognition of partnership, no meaningful engagement with 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>i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wi and 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>h</w:t>
            </w:r>
            <w:r w:rsidRPr="0098075D">
              <w:rPr>
                <w:rFonts w:ascii="Arial" w:hAnsi="Arial" w:cs="Arial"/>
                <w:sz w:val="22"/>
                <w:szCs w:val="22"/>
              </w:rPr>
              <w:t>apū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58E7B" w14:textId="77777777" w:rsidR="00CE1228" w:rsidRPr="0098075D" w:rsidRDefault="00CE1228" w:rsidP="0045453F">
            <w:pPr>
              <w:pStyle w:val="TableParagraph"/>
              <w:kinsoku w:val="0"/>
              <w:overflowPunct w:val="0"/>
              <w:ind w:left="110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Relationships exist with 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>i</w:t>
            </w:r>
            <w:r w:rsidRPr="0098075D">
              <w:rPr>
                <w:rFonts w:ascii="Arial" w:hAnsi="Arial" w:cs="Arial"/>
                <w:sz w:val="22"/>
                <w:szCs w:val="22"/>
              </w:rPr>
              <w:t>wi and input is sought. There is no formal partnership in decision making. There is a lack of ‘by M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>ā</w:t>
            </w:r>
            <w:r w:rsidRPr="0098075D">
              <w:rPr>
                <w:rFonts w:ascii="Arial" w:hAnsi="Arial" w:cs="Arial"/>
                <w:sz w:val="22"/>
                <w:szCs w:val="22"/>
              </w:rPr>
              <w:t>ori, for M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>ā</w:t>
            </w:r>
            <w:r w:rsidRPr="0098075D">
              <w:rPr>
                <w:rFonts w:ascii="Arial" w:hAnsi="Arial" w:cs="Arial"/>
                <w:sz w:val="22"/>
                <w:szCs w:val="22"/>
              </w:rPr>
              <w:t>ori’ options to provide insights and feedback</w:t>
            </w:r>
          </w:p>
          <w:p w14:paraId="2AD7CFB0" w14:textId="77777777" w:rsidR="001D4196" w:rsidRPr="0098075D" w:rsidRDefault="001D4196" w:rsidP="0045453F">
            <w:pPr>
              <w:pStyle w:val="TableParagraph"/>
              <w:kinsoku w:val="0"/>
              <w:overflowPunct w:val="0"/>
              <w:ind w:left="110"/>
              <w:rPr>
                <w:rFonts w:ascii="Arial" w:hAnsi="Arial" w:cs="Arial"/>
                <w:sz w:val="22"/>
                <w:szCs w:val="22"/>
              </w:rPr>
            </w:pPr>
          </w:p>
          <w:p w14:paraId="344765F6" w14:textId="77777777" w:rsidR="001D4196" w:rsidRPr="0098075D" w:rsidRDefault="001D4196" w:rsidP="0045453F">
            <w:pPr>
              <w:pStyle w:val="TableParagraph"/>
              <w:kinsoku w:val="0"/>
              <w:overflowPunct w:val="0"/>
              <w:ind w:left="11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F4BBC" w14:textId="77777777" w:rsidR="001D4196" w:rsidRPr="0098075D" w:rsidRDefault="00CE1228" w:rsidP="0045453F">
            <w:pPr>
              <w:pStyle w:val="TableParagraph"/>
              <w:kinsoku w:val="0"/>
              <w:overflowPunct w:val="0"/>
              <w:ind w:left="10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A relationship with 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>i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wi exists, and they are consulted in an appropriate and timely manner. Feedback based on discussions held with 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>i</w:t>
            </w:r>
            <w:r w:rsidRPr="0098075D">
              <w:rPr>
                <w:rFonts w:ascii="Arial" w:hAnsi="Arial" w:cs="Arial"/>
                <w:sz w:val="22"/>
                <w:szCs w:val="22"/>
              </w:rPr>
              <w:t>wi are taken on board and influence any decisions that are made.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196" w:rsidRPr="0098075D">
              <w:rPr>
                <w:rFonts w:ascii="Arial" w:hAnsi="Arial" w:cs="Arial"/>
                <w:sz w:val="22"/>
                <w:szCs w:val="22"/>
              </w:rPr>
              <w:t>Building relationships with iwi</w:t>
            </w:r>
          </w:p>
          <w:p w14:paraId="75A93C11" w14:textId="77777777" w:rsidR="001D4196" w:rsidRPr="0098075D" w:rsidRDefault="001D4196" w:rsidP="0045453F">
            <w:pPr>
              <w:pStyle w:val="TableParagraph"/>
              <w:kinsoku w:val="0"/>
              <w:overflowPunct w:val="0"/>
              <w:ind w:left="105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25108" w14:textId="77777777" w:rsidR="00CE1228" w:rsidRPr="0098075D" w:rsidRDefault="00CE1228" w:rsidP="0045453F">
            <w:pPr>
              <w:pStyle w:val="TableParagraph"/>
              <w:kinsoku w:val="0"/>
              <w:overflowPunct w:val="0"/>
              <w:ind w:left="104" w:right="144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There is a formalised partnership with Iwi, which includes governance. Equity is embedded at every level. Systemic and operational structures support formal, resourced consultation and feedback</w:t>
            </w:r>
          </w:p>
        </w:tc>
      </w:tr>
      <w:tr w:rsidR="00CE1228" w:rsidRPr="0098075D" w14:paraId="0FA3A30A" w14:textId="77777777" w:rsidTr="00454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8E4B1" w14:textId="77777777" w:rsidR="00CE1228" w:rsidRPr="0098075D" w:rsidRDefault="00CE1228" w:rsidP="0045453F">
            <w:pPr>
              <w:pStyle w:val="TableParagraph"/>
              <w:kinsoku w:val="0"/>
              <w:overflowPunct w:val="0"/>
              <w:spacing w:before="1"/>
              <w:ind w:left="110" w:right="161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Partnership – </w:t>
            </w:r>
            <w:r w:rsidRPr="0098075D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to act towards </w:t>
            </w:r>
            <w:r w:rsidRPr="0098075D">
              <w:rPr>
                <w:rFonts w:ascii="Arial" w:hAnsi="Arial" w:cs="Arial"/>
                <w:i/>
                <w:iCs/>
                <w:spacing w:val="-4"/>
                <w:sz w:val="22"/>
                <w:szCs w:val="22"/>
              </w:rPr>
              <w:t xml:space="preserve">each </w:t>
            </w:r>
            <w:r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other reasonably and with utmost good faith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A5363" w14:textId="77777777" w:rsidR="00CE1228" w:rsidRPr="0098075D" w:rsidRDefault="00DB2448" w:rsidP="0045453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No Māori representative or linkage to Māori communities</w:t>
            </w:r>
          </w:p>
          <w:p w14:paraId="33DDC4D2" w14:textId="77777777" w:rsidR="00DB2448" w:rsidRPr="0098075D" w:rsidRDefault="00DB2448" w:rsidP="0045453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Poor understanding of Māori protocol and culture and what’s important to Māori</w:t>
            </w:r>
          </w:p>
          <w:p w14:paraId="5DD48D8B" w14:textId="77777777" w:rsidR="00F94DBF" w:rsidRPr="0098075D" w:rsidRDefault="00F94DBF" w:rsidP="0045453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Relationships forming</w:t>
            </w:r>
          </w:p>
          <w:p w14:paraId="3E4704DB" w14:textId="77777777" w:rsidR="00F94DBF" w:rsidRPr="0098075D" w:rsidRDefault="00F94DBF" w:rsidP="0045453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Te Tiriti workshops</w:t>
            </w:r>
            <w:r w:rsidR="006707E1" w:rsidRPr="0098075D">
              <w:rPr>
                <w:rFonts w:ascii="Arial" w:hAnsi="Arial" w:cs="Arial"/>
                <w:sz w:val="22"/>
                <w:szCs w:val="22"/>
              </w:rPr>
              <w:t xml:space="preserve"> take place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22CF6" w14:textId="77777777" w:rsidR="00CE1228" w:rsidRPr="0098075D" w:rsidRDefault="00D920B1" w:rsidP="0045453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Minimal</w:t>
            </w:r>
            <w:r w:rsidR="00DB2448" w:rsidRPr="0098075D">
              <w:rPr>
                <w:rFonts w:ascii="Arial" w:hAnsi="Arial" w:cs="Arial"/>
                <w:sz w:val="22"/>
                <w:szCs w:val="22"/>
              </w:rPr>
              <w:t xml:space="preserve"> representation; still no real connection with Māori</w:t>
            </w:r>
            <w:r w:rsidR="006707E1" w:rsidRPr="0098075D">
              <w:rPr>
                <w:rFonts w:ascii="Arial" w:hAnsi="Arial" w:cs="Arial"/>
                <w:sz w:val="22"/>
                <w:szCs w:val="22"/>
              </w:rPr>
              <w:t>,</w:t>
            </w:r>
            <w:r w:rsidR="00DB2448" w:rsidRPr="0098075D">
              <w:rPr>
                <w:rFonts w:ascii="Arial" w:hAnsi="Arial" w:cs="Arial"/>
                <w:sz w:val="22"/>
                <w:szCs w:val="22"/>
              </w:rPr>
              <w:t xml:space="preserve"> hapu, iwi groups</w:t>
            </w:r>
          </w:p>
          <w:p w14:paraId="13D3A652" w14:textId="77777777" w:rsidR="00865CFD" w:rsidRPr="0098075D" w:rsidRDefault="00DB2448" w:rsidP="0045453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Not following known protocol</w:t>
            </w:r>
          </w:p>
          <w:p w14:paraId="39A0602C" w14:textId="77777777" w:rsidR="00865CFD" w:rsidRPr="0098075D" w:rsidRDefault="00865CFD" w:rsidP="0045453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Building relationships with iwi</w:t>
            </w:r>
          </w:p>
          <w:p w14:paraId="58963D4B" w14:textId="77777777" w:rsidR="00865CFD" w:rsidRPr="0098075D" w:rsidRDefault="00865CFD" w:rsidP="001B3C8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Māori </w:t>
            </w:r>
            <w:r w:rsidR="001B3C80" w:rsidRPr="0098075D">
              <w:rPr>
                <w:rFonts w:ascii="Arial" w:hAnsi="Arial" w:cs="Arial"/>
                <w:sz w:val="22"/>
                <w:szCs w:val="22"/>
              </w:rPr>
              <w:t>attend and this is facilitated appropriately</w:t>
            </w:r>
          </w:p>
          <w:p w14:paraId="16BA40C3" w14:textId="77777777" w:rsidR="00DB2448" w:rsidRPr="0098075D" w:rsidRDefault="00DB2448" w:rsidP="0045453F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</w:p>
          <w:p w14:paraId="02533C81" w14:textId="77777777" w:rsidR="00F94DBF" w:rsidRPr="0098075D" w:rsidRDefault="00F94DBF" w:rsidP="0045453F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4D52A" w14:textId="77777777" w:rsidR="00CE1228" w:rsidRPr="0098075D" w:rsidRDefault="00CD10DD" w:rsidP="0045453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Fifty 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>percent</w:t>
            </w:r>
            <w:r w:rsidR="00B84877" w:rsidRPr="00980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Māori </w:t>
            </w:r>
            <w:r w:rsidR="00B84877" w:rsidRPr="0098075D">
              <w:rPr>
                <w:rFonts w:ascii="Arial" w:hAnsi="Arial" w:cs="Arial"/>
                <w:sz w:val="22"/>
                <w:szCs w:val="22"/>
              </w:rPr>
              <w:t>represent</w:t>
            </w:r>
            <w:r w:rsidRPr="0098075D">
              <w:rPr>
                <w:rFonts w:ascii="Arial" w:hAnsi="Arial" w:cs="Arial"/>
                <w:sz w:val="22"/>
                <w:szCs w:val="22"/>
              </w:rPr>
              <w:t>ation</w:t>
            </w:r>
          </w:p>
          <w:p w14:paraId="41B27DDB" w14:textId="77777777" w:rsidR="00865CFD" w:rsidRPr="0098075D" w:rsidRDefault="00B84877" w:rsidP="0045453F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Advise and </w:t>
            </w:r>
            <w:r w:rsidR="00BE1677" w:rsidRPr="0098075D">
              <w:rPr>
                <w:rFonts w:ascii="Arial" w:hAnsi="Arial" w:cs="Arial"/>
                <w:sz w:val="22"/>
                <w:szCs w:val="22"/>
              </w:rPr>
              <w:t>influence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 xml:space="preserve"> but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 no decision-making power</w:t>
            </w:r>
          </w:p>
          <w:p w14:paraId="779323FB" w14:textId="77777777" w:rsidR="007977B1" w:rsidRPr="0098075D" w:rsidRDefault="00865CFD" w:rsidP="001B3C8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Regular hui </w:t>
            </w:r>
            <w:r w:rsidR="001B3C80" w:rsidRPr="0098075D">
              <w:rPr>
                <w:rFonts w:ascii="Arial" w:hAnsi="Arial" w:cs="Arial"/>
                <w:sz w:val="22"/>
                <w:szCs w:val="22"/>
              </w:rPr>
              <w:t>is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075D">
              <w:rPr>
                <w:rFonts w:ascii="Arial" w:hAnsi="Arial" w:cs="Arial"/>
                <w:sz w:val="22"/>
                <w:szCs w:val="22"/>
              </w:rPr>
              <w:t>funded and managed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843D3" w14:textId="77777777" w:rsidR="00CE1228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Māori chair/co-chair</w:t>
            </w:r>
          </w:p>
          <w:p w14:paraId="1DAEE85F" w14:textId="77777777" w:rsidR="00B84877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Māori caucus, </w:t>
            </w:r>
            <w:r w:rsidR="00A72B28" w:rsidRPr="0098075D">
              <w:rPr>
                <w:rFonts w:ascii="Arial" w:hAnsi="Arial" w:cs="Arial"/>
                <w:sz w:val="22"/>
                <w:szCs w:val="22"/>
              </w:rPr>
              <w:t>t</w:t>
            </w:r>
            <w:r w:rsidRPr="0098075D">
              <w:rPr>
                <w:rFonts w:ascii="Arial" w:hAnsi="Arial" w:cs="Arial"/>
                <w:sz w:val="22"/>
                <w:szCs w:val="22"/>
              </w:rPr>
              <w:t>auiwi caucus</w:t>
            </w:r>
          </w:p>
          <w:p w14:paraId="5A153B82" w14:textId="77777777" w:rsidR="00B84877" w:rsidRPr="0098075D" w:rsidRDefault="00CD10DD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At least </w:t>
            </w:r>
            <w:r w:rsidR="00B84877" w:rsidRPr="0098075D">
              <w:rPr>
                <w:rFonts w:ascii="Arial" w:hAnsi="Arial" w:cs="Arial"/>
                <w:sz w:val="22"/>
                <w:szCs w:val="22"/>
              </w:rPr>
              <w:t>50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 xml:space="preserve"> percent</w:t>
            </w:r>
            <w:r w:rsidR="00B84877" w:rsidRPr="00980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8075D">
              <w:rPr>
                <w:rFonts w:ascii="Arial" w:hAnsi="Arial" w:cs="Arial"/>
                <w:sz w:val="22"/>
                <w:szCs w:val="22"/>
              </w:rPr>
              <w:t>representation</w:t>
            </w:r>
          </w:p>
          <w:p w14:paraId="7B98D080" w14:textId="77777777" w:rsidR="007977B1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Excellent implementation of Māori culture and protocol</w:t>
            </w:r>
          </w:p>
          <w:p w14:paraId="3083BC61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Māori chair of </w:t>
            </w:r>
            <w:r w:rsidR="001B3C80" w:rsidRPr="0098075D">
              <w:rPr>
                <w:rFonts w:ascii="Arial" w:hAnsi="Arial" w:cs="Arial"/>
                <w:sz w:val="22"/>
                <w:szCs w:val="22"/>
              </w:rPr>
              <w:t>consumer group</w:t>
            </w:r>
          </w:p>
          <w:p w14:paraId="48DEB512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Equality</w:t>
            </w:r>
          </w:p>
          <w:p w14:paraId="22D55998" w14:textId="77777777" w:rsidR="007977B1" w:rsidRPr="0098075D" w:rsidRDefault="00CD10DD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T</w:t>
            </w:r>
            <w:r w:rsidR="007977B1" w:rsidRPr="0098075D">
              <w:rPr>
                <w:rFonts w:ascii="Arial" w:hAnsi="Arial" w:cs="Arial"/>
                <w:sz w:val="22"/>
                <w:szCs w:val="22"/>
              </w:rPr>
              <w:t xml:space="preserve">rust 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of </w:t>
            </w:r>
            <w:r w:rsidR="007977B1" w:rsidRPr="0098075D">
              <w:rPr>
                <w:rFonts w:ascii="Arial" w:hAnsi="Arial" w:cs="Arial"/>
                <w:sz w:val="22"/>
                <w:szCs w:val="22"/>
              </w:rPr>
              <w:t>community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 is earnt</w:t>
            </w:r>
          </w:p>
          <w:p w14:paraId="6DDADED4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Balance of diversity (Māori), gender</w:t>
            </w:r>
          </w:p>
          <w:p w14:paraId="00A35737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Definition of consultation</w:t>
            </w:r>
          </w:p>
          <w:p w14:paraId="1555978C" w14:textId="77777777" w:rsidR="00B84877" w:rsidRPr="0098075D" w:rsidRDefault="00B84877" w:rsidP="0045453F">
            <w:pPr>
              <w:pStyle w:val="TableParagraph"/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228" w:rsidRPr="0098075D" w14:paraId="45EB9126" w14:textId="77777777" w:rsidTr="00454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2790F" w14:textId="77777777" w:rsidR="00CE1228" w:rsidRPr="0098075D" w:rsidRDefault="00CE1228" w:rsidP="0045453F">
            <w:pPr>
              <w:pStyle w:val="TableParagraph"/>
              <w:kinsoku w:val="0"/>
              <w:overflowPunct w:val="0"/>
              <w:spacing w:line="254" w:lineRule="exact"/>
              <w:ind w:left="110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Active 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>p</w:t>
            </w:r>
            <w:r w:rsidRPr="0098075D">
              <w:rPr>
                <w:rFonts w:ascii="Arial" w:hAnsi="Arial" w:cs="Arial"/>
                <w:sz w:val="22"/>
                <w:szCs w:val="22"/>
              </w:rPr>
              <w:t>rotection</w:t>
            </w:r>
          </w:p>
          <w:p w14:paraId="40DAFC0B" w14:textId="77777777" w:rsidR="00CE1228" w:rsidRPr="0098075D" w:rsidRDefault="00CE1228" w:rsidP="0045453F">
            <w:pPr>
              <w:pStyle w:val="TableParagraph"/>
              <w:kinsoku w:val="0"/>
              <w:overflowPunct w:val="0"/>
              <w:spacing w:before="2"/>
              <w:ind w:left="110" w:right="16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right to decision-making power over their affairs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0E0C" w14:textId="77777777" w:rsidR="00CE1228" w:rsidRPr="0098075D" w:rsidRDefault="00DB2448" w:rsidP="0045453F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Zero power and influence</w:t>
            </w:r>
          </w:p>
          <w:p w14:paraId="329BAEA3" w14:textId="77777777" w:rsidR="00F94DBF" w:rsidRPr="0098075D" w:rsidRDefault="00DB2448" w:rsidP="0045453F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No resources</w:t>
            </w:r>
          </w:p>
          <w:p w14:paraId="1987799C" w14:textId="77777777" w:rsidR="00F94DBF" w:rsidRPr="0098075D" w:rsidRDefault="00F94DBF" w:rsidP="0045453F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Obligations of articles</w:t>
            </w:r>
          </w:p>
          <w:p w14:paraId="7D5119B4" w14:textId="77777777" w:rsidR="00F94DBF" w:rsidRPr="0098075D" w:rsidRDefault="00F94DBF" w:rsidP="0045453F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Lens of Māoridom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40BE6" w14:textId="77777777" w:rsidR="00865CFD" w:rsidRPr="0098075D" w:rsidRDefault="00DB2448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Some involvement</w:t>
            </w:r>
            <w:r w:rsidR="001B3C80" w:rsidRPr="0098075D">
              <w:rPr>
                <w:rFonts w:ascii="Arial" w:hAnsi="Arial" w:cs="Arial"/>
                <w:sz w:val="22"/>
                <w:szCs w:val="22"/>
              </w:rPr>
              <w:t xml:space="preserve"> by Māori</w:t>
            </w:r>
            <w:r w:rsidRPr="0098075D">
              <w:rPr>
                <w:rFonts w:ascii="Arial" w:hAnsi="Arial" w:cs="Arial"/>
                <w:sz w:val="22"/>
                <w:szCs w:val="22"/>
              </w:rPr>
              <w:t>, ultimately no decision making</w:t>
            </w:r>
          </w:p>
          <w:p w14:paraId="5259339F" w14:textId="77777777" w:rsidR="00865CFD" w:rsidRPr="0098075D" w:rsidRDefault="00CD10DD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Examination of c</w:t>
            </w:r>
            <w:r w:rsidR="00865CFD" w:rsidRPr="0098075D">
              <w:rPr>
                <w:rFonts w:ascii="Arial" w:hAnsi="Arial" w:cs="Arial"/>
                <w:sz w:val="22"/>
                <w:szCs w:val="22"/>
              </w:rPr>
              <w:t xml:space="preserve">urrent consultation process </w:t>
            </w:r>
          </w:p>
          <w:p w14:paraId="431E3606" w14:textId="77777777" w:rsidR="00865CFD" w:rsidRPr="0098075D" w:rsidRDefault="00865CFD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Consumer engagement structure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 xml:space="preserve"> in place</w:t>
            </w:r>
          </w:p>
          <w:p w14:paraId="790B6728" w14:textId="77777777" w:rsidR="00865CFD" w:rsidRPr="0098075D" w:rsidRDefault="00865CFD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Network understanding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167B6" w14:textId="77777777" w:rsidR="007977B1" w:rsidRPr="0098075D" w:rsidRDefault="00DB2448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Limited involvement</w:t>
            </w:r>
            <w:r w:rsidR="00BE1677" w:rsidRPr="0098075D">
              <w:rPr>
                <w:rFonts w:ascii="Arial" w:hAnsi="Arial" w:cs="Arial"/>
                <w:sz w:val="22"/>
                <w:szCs w:val="22"/>
              </w:rPr>
              <w:t>,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 no ability to veto or change</w:t>
            </w:r>
          </w:p>
          <w:p w14:paraId="10748677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Recognising the value of relationship</w:t>
            </w:r>
          </w:p>
          <w:p w14:paraId="6157326F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Natural Māori approach to health and well-being education – resourced and funded</w:t>
            </w:r>
          </w:p>
          <w:p w14:paraId="6936B6CC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Māori ways of working identified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8E37" w14:textId="77777777" w:rsidR="00B84877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Tino rangatiratanga</w:t>
            </w:r>
          </w:p>
          <w:p w14:paraId="36CFD994" w14:textId="77777777" w:rsidR="00CE1228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Effective power and decision</w:t>
            </w:r>
          </w:p>
          <w:p w14:paraId="5EDAD782" w14:textId="77777777" w:rsidR="00B84877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Fully owned, funded, resourced</w:t>
            </w:r>
          </w:p>
          <w:p w14:paraId="0C8A80C7" w14:textId="77777777" w:rsidR="007977B1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Operated by Māori</w:t>
            </w:r>
          </w:p>
          <w:p w14:paraId="387B1102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Governance at all levels of organisation</w:t>
            </w:r>
          </w:p>
          <w:p w14:paraId="644854D6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Feedback 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 xml:space="preserve">by </w:t>
            </w:r>
            <w:r w:rsidRPr="0098075D">
              <w:rPr>
                <w:rFonts w:ascii="Arial" w:hAnsi="Arial" w:cs="Arial"/>
                <w:sz w:val="22"/>
                <w:szCs w:val="22"/>
              </w:rPr>
              <w:t>all employees and consumers</w:t>
            </w:r>
          </w:p>
        </w:tc>
      </w:tr>
      <w:tr w:rsidR="00CE1228" w:rsidRPr="0098075D" w14:paraId="77144993" w14:textId="77777777" w:rsidTr="00454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C3EDC" w14:textId="77777777" w:rsidR="00CE1228" w:rsidRPr="0098075D" w:rsidRDefault="00CE1228" w:rsidP="0045453F">
            <w:pPr>
              <w:pStyle w:val="TableParagraph"/>
              <w:kinsoku w:val="0"/>
              <w:overflowPunct w:val="0"/>
              <w:spacing w:before="1"/>
              <w:ind w:left="110" w:right="149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Equity – </w:t>
            </w:r>
            <w:r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a basic standard of good government, and ensuring that M</w:t>
            </w:r>
            <w:r w:rsidR="0045453F"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ā</w:t>
            </w:r>
            <w:r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ori rights and privileges are observed genuinely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78E1" w14:textId="77777777" w:rsidR="00CE1228" w:rsidRPr="0098075D" w:rsidRDefault="00DB2448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No standard or example</w:t>
            </w:r>
          </w:p>
          <w:p w14:paraId="5C4E2C6C" w14:textId="77777777" w:rsidR="00F94DBF" w:rsidRPr="0098075D" w:rsidRDefault="00DB2448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Denial of M</w:t>
            </w:r>
            <w:r w:rsidR="00BE1677" w:rsidRPr="0098075D">
              <w:rPr>
                <w:rFonts w:ascii="Arial" w:hAnsi="Arial" w:cs="Arial"/>
                <w:sz w:val="22"/>
                <w:szCs w:val="22"/>
              </w:rPr>
              <w:t>ā</w:t>
            </w:r>
            <w:r w:rsidRPr="0098075D">
              <w:rPr>
                <w:rFonts w:ascii="Arial" w:hAnsi="Arial" w:cs="Arial"/>
                <w:sz w:val="22"/>
                <w:szCs w:val="22"/>
              </w:rPr>
              <w:t>ori rights and privileges</w:t>
            </w:r>
          </w:p>
          <w:p w14:paraId="3E0B1F86" w14:textId="77777777" w:rsidR="00F94DBF" w:rsidRPr="0098075D" w:rsidRDefault="00F94DBF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Rights – being able to perform</w:t>
            </w:r>
          </w:p>
          <w:p w14:paraId="4BC52DEC" w14:textId="77777777" w:rsidR="00F94DBF" w:rsidRPr="0098075D" w:rsidRDefault="00F94DBF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Resources/funded</w:t>
            </w:r>
          </w:p>
          <w:p w14:paraId="667F9332" w14:textId="77777777" w:rsidR="00F94DBF" w:rsidRPr="0098075D" w:rsidRDefault="00F94DBF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Demonstration of competence to represent/service, pacific/Māori ‘success model’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EC48C" w14:textId="77777777" w:rsidR="00865CFD" w:rsidRPr="0098075D" w:rsidRDefault="00DB2448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Generalist standard with no Māori strand or focus </w:t>
            </w:r>
          </w:p>
          <w:p w14:paraId="4E071177" w14:textId="77777777" w:rsidR="00865CFD" w:rsidRPr="0098075D" w:rsidRDefault="00865CFD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Steering groups established</w:t>
            </w:r>
          </w:p>
          <w:p w14:paraId="0035DD93" w14:textId="77777777" w:rsidR="00865CFD" w:rsidRPr="0098075D" w:rsidRDefault="00865CFD" w:rsidP="0045453F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1EDA0" w14:textId="77777777" w:rsidR="007977B1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A standard exists with a Māori focus but not capturing diversity in the Māori population and no change with equity outcome issues</w:t>
            </w:r>
          </w:p>
          <w:p w14:paraId="6C85E6D2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Local iwi and marae</w:t>
            </w:r>
          </w:p>
          <w:p w14:paraId="67F4EA64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Position to collaborate</w:t>
            </w:r>
          </w:p>
          <w:p w14:paraId="39D0F1F1" w14:textId="77777777" w:rsidR="007977B1" w:rsidRPr="0098075D" w:rsidRDefault="00CD10DD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Respectful of</w:t>
            </w:r>
            <w:r w:rsidR="007977B1" w:rsidRPr="0098075D">
              <w:rPr>
                <w:rFonts w:ascii="Arial" w:hAnsi="Arial" w:cs="Arial"/>
                <w:sz w:val="22"/>
                <w:szCs w:val="22"/>
              </w:rPr>
              <w:t xml:space="preserve"> Māori</w:t>
            </w:r>
          </w:p>
          <w:p w14:paraId="1FDE8ECF" w14:textId="77777777" w:rsidR="007977B1" w:rsidRPr="0098075D" w:rsidRDefault="007977B1" w:rsidP="0045453F">
            <w:pPr>
              <w:pStyle w:val="TableParagraph"/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</w:p>
          <w:p w14:paraId="38195006" w14:textId="77777777" w:rsidR="007977B1" w:rsidRPr="0098075D" w:rsidRDefault="007977B1" w:rsidP="0045453F">
            <w:pPr>
              <w:pStyle w:val="TableParagraph"/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FD231" w14:textId="77777777" w:rsidR="007977B1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Gold standard that has the best Māori health outcomes</w:t>
            </w:r>
          </w:p>
          <w:p w14:paraId="65CF7DBC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Accessibility for all</w:t>
            </w:r>
          </w:p>
          <w:p w14:paraId="641790A1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Forum – joined </w:t>
            </w:r>
            <w:r w:rsidR="007F5299" w:rsidRPr="0098075D">
              <w:rPr>
                <w:rFonts w:ascii="Arial" w:hAnsi="Arial" w:cs="Arial"/>
                <w:sz w:val="22"/>
                <w:szCs w:val="22"/>
              </w:rPr>
              <w:t>collaborations and governance</w:t>
            </w:r>
          </w:p>
        </w:tc>
      </w:tr>
      <w:tr w:rsidR="00CE1228" w:rsidRPr="0098075D" w14:paraId="12DEE400" w14:textId="77777777" w:rsidTr="004545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78B7B" w14:textId="77777777" w:rsidR="00CE1228" w:rsidRPr="0098075D" w:rsidRDefault="00CE1228" w:rsidP="0045453F">
            <w:pPr>
              <w:pStyle w:val="TableParagraph"/>
              <w:kinsoku w:val="0"/>
              <w:overflowPunct w:val="0"/>
              <w:spacing w:before="1"/>
              <w:ind w:left="110" w:right="166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Options – </w:t>
            </w:r>
            <w:r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M</w:t>
            </w:r>
            <w:r w:rsidR="0045453F"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ā</w:t>
            </w:r>
            <w:r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ori have the right to continue their way of life according to their indigenous traditions and worldview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EC9EC" w14:textId="77777777" w:rsidR="00F94DBF" w:rsidRPr="0098075D" w:rsidRDefault="00DB2448" w:rsidP="0045453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Den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>ial of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5453F" w:rsidRPr="0098075D">
              <w:rPr>
                <w:rFonts w:ascii="Arial" w:hAnsi="Arial" w:cs="Arial"/>
                <w:sz w:val="22"/>
                <w:szCs w:val="22"/>
              </w:rPr>
              <w:t>T</w:t>
            </w:r>
            <w:r w:rsidRPr="0098075D">
              <w:rPr>
                <w:rFonts w:ascii="Arial" w:hAnsi="Arial" w:cs="Arial"/>
                <w:sz w:val="22"/>
                <w:szCs w:val="22"/>
              </w:rPr>
              <w:t>e Ao Māori</w:t>
            </w:r>
          </w:p>
          <w:p w14:paraId="15E52D37" w14:textId="77777777" w:rsidR="00F94DBF" w:rsidRPr="0098075D" w:rsidRDefault="00F94DBF" w:rsidP="0045453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Stakeholder hui – buds of empowerment 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>(</w:t>
            </w:r>
            <w:r w:rsidRPr="0098075D">
              <w:rPr>
                <w:rFonts w:ascii="Arial" w:hAnsi="Arial" w:cs="Arial"/>
                <w:sz w:val="22"/>
                <w:szCs w:val="22"/>
              </w:rPr>
              <w:t>housing, youth, business, disability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4045F97" w14:textId="77777777" w:rsidR="007F5299" w:rsidRPr="0098075D" w:rsidRDefault="007F5299" w:rsidP="0045453F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3D7B6" w14:textId="77777777" w:rsidR="00865CFD" w:rsidRPr="0098075D" w:rsidRDefault="00DB2448" w:rsidP="0045453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Acknowledgement of Te Ao Māori, but not 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 xml:space="preserve">implemented 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– status quo continues </w:t>
            </w:r>
          </w:p>
          <w:p w14:paraId="080708E8" w14:textId="77777777" w:rsidR="00865CFD" w:rsidRPr="0098075D" w:rsidRDefault="007F5299" w:rsidP="0045453F">
            <w:pPr>
              <w:pStyle w:val="TableParagraph"/>
              <w:numPr>
                <w:ilvl w:val="0"/>
                <w:numId w:val="4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B</w:t>
            </w:r>
            <w:r w:rsidR="00865CFD" w:rsidRPr="0098075D">
              <w:rPr>
                <w:rFonts w:ascii="Arial" w:hAnsi="Arial" w:cs="Arial"/>
                <w:sz w:val="22"/>
                <w:szCs w:val="22"/>
              </w:rPr>
              <w:t>ranches</w:t>
            </w:r>
          </w:p>
          <w:p w14:paraId="10ED7112" w14:textId="77777777" w:rsidR="007F5299" w:rsidRPr="0098075D" w:rsidRDefault="007F5299" w:rsidP="0045453F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</w:p>
          <w:p w14:paraId="00176947" w14:textId="77777777" w:rsidR="007F5299" w:rsidRPr="0098075D" w:rsidRDefault="007F5299" w:rsidP="0045453F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</w:p>
          <w:p w14:paraId="1D2E82F1" w14:textId="77777777" w:rsidR="007F5299" w:rsidRPr="0098075D" w:rsidRDefault="007F5299" w:rsidP="0045453F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</w:p>
          <w:p w14:paraId="1C62093B" w14:textId="77777777" w:rsidR="007F5299" w:rsidRPr="0098075D" w:rsidRDefault="007F5299" w:rsidP="0045453F">
            <w:pPr>
              <w:pStyle w:val="TableParagraph"/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DF4" w14:textId="77777777" w:rsidR="007977B1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Allowed in a restrictive way – and not to impact on status quo</w:t>
            </w:r>
          </w:p>
          <w:p w14:paraId="099D9B76" w14:textId="77777777" w:rsidR="007977B1" w:rsidRPr="0098075D" w:rsidRDefault="007977B1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Acknowledging natural remedies as an example</w:t>
            </w:r>
          </w:p>
          <w:p w14:paraId="7E61AE0B" w14:textId="77777777" w:rsidR="007F5299" w:rsidRPr="0098075D" w:rsidRDefault="007F5299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Relationship/leadership as drivers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D456" w14:textId="77777777" w:rsidR="001D4196" w:rsidRPr="0098075D" w:rsidRDefault="00B84877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New status quo where Te Ao M</w:t>
            </w:r>
            <w:r w:rsidR="001D4196" w:rsidRPr="0098075D">
              <w:rPr>
                <w:rFonts w:ascii="Arial" w:hAnsi="Arial" w:cs="Arial"/>
                <w:sz w:val="22"/>
                <w:szCs w:val="22"/>
              </w:rPr>
              <w:t>ā</w:t>
            </w:r>
            <w:r w:rsidRPr="0098075D">
              <w:rPr>
                <w:rFonts w:ascii="Arial" w:hAnsi="Arial" w:cs="Arial"/>
                <w:sz w:val="22"/>
                <w:szCs w:val="22"/>
              </w:rPr>
              <w:t>ori is acknowledged</w:t>
            </w:r>
            <w:r w:rsidR="001D4196" w:rsidRPr="0098075D">
              <w:rPr>
                <w:rFonts w:ascii="Arial" w:hAnsi="Arial" w:cs="Arial"/>
                <w:sz w:val="22"/>
                <w:szCs w:val="22"/>
              </w:rPr>
              <w:t>, supported, encouraged and interwoven into the system</w:t>
            </w:r>
          </w:p>
          <w:p w14:paraId="45048FEE" w14:textId="77777777" w:rsidR="007F5299" w:rsidRPr="0098075D" w:rsidRDefault="001D4196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Engagement in the third space; Te Ao Māori third space; Te Ao/Tauiwi</w:t>
            </w:r>
            <w:r w:rsidR="00B84877" w:rsidRPr="0098075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B126923" w14:textId="77777777" w:rsidR="007F5299" w:rsidRPr="0098075D" w:rsidRDefault="007F5299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Planting</w:t>
            </w:r>
          </w:p>
          <w:p w14:paraId="6C584F16" w14:textId="77777777" w:rsidR="007F5299" w:rsidRPr="0098075D" w:rsidRDefault="007F5299" w:rsidP="0045453F">
            <w:pPr>
              <w:pStyle w:val="TableParagraph"/>
              <w:numPr>
                <w:ilvl w:val="0"/>
                <w:numId w:val="2"/>
              </w:numPr>
              <w:kinsoku w:val="0"/>
              <w:overflowPunct w:val="0"/>
              <w:ind w:left="565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98075D">
              <w:rPr>
                <w:rFonts w:ascii="Arial" w:hAnsi="Arial" w:cs="Arial"/>
                <w:i/>
                <w:iCs/>
                <w:sz w:val="22"/>
                <w:szCs w:val="22"/>
              </w:rPr>
              <w:t>Stop talking and do</w:t>
            </w:r>
          </w:p>
        </w:tc>
      </w:tr>
    </w:tbl>
    <w:p w14:paraId="0BDD81C9" w14:textId="77777777" w:rsidR="00CE1228" w:rsidRPr="0045453F" w:rsidRDefault="00CE1228">
      <w:pPr>
        <w:rPr>
          <w:rFonts w:ascii="Arial" w:hAnsi="Arial" w:cs="Arial"/>
        </w:rPr>
        <w:sectPr w:rsidR="00CE1228" w:rsidRPr="0045453F">
          <w:type w:val="continuous"/>
          <w:pgSz w:w="23820" w:h="16840" w:orient="landscape"/>
          <w:pgMar w:top="1600" w:right="1360" w:bottom="280" w:left="1340" w:header="720" w:footer="720" w:gutter="0"/>
          <w:cols w:space="720"/>
          <w:noEndnote/>
        </w:sectPr>
      </w:pPr>
    </w:p>
    <w:tbl>
      <w:tblPr>
        <w:tblpPr w:leftFromText="180" w:rightFromText="180" w:vertAnchor="page" w:horzAnchor="margin" w:tblpY="100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5"/>
        <w:gridCol w:w="4386"/>
        <w:gridCol w:w="4966"/>
        <w:gridCol w:w="4821"/>
        <w:gridCol w:w="4821"/>
      </w:tblGrid>
      <w:tr w:rsidR="00B16D45" w:rsidRPr="0098075D" w14:paraId="62C1576B" w14:textId="77777777" w:rsidTr="00D75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8AED2" w14:textId="77777777" w:rsidR="00B16D45" w:rsidRPr="0098075D" w:rsidRDefault="00B16D45" w:rsidP="00B16D45">
            <w:pPr>
              <w:pStyle w:val="TableParagraph"/>
              <w:kinsoku w:val="0"/>
              <w:overflowPunct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CE78DF8" w14:textId="77777777" w:rsidR="00B16D45" w:rsidRPr="0098075D" w:rsidRDefault="00B16D45" w:rsidP="00B16D45">
            <w:pPr>
              <w:pStyle w:val="TableParagraph"/>
              <w:kinsoku w:val="0"/>
              <w:overflowPunct w:val="0"/>
              <w:spacing w:line="235" w:lineRule="exact"/>
              <w:ind w:left="109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Minimal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E6194" w14:textId="77777777" w:rsidR="00B16D45" w:rsidRPr="0098075D" w:rsidRDefault="00B16D45" w:rsidP="00B16D45">
            <w:pPr>
              <w:pStyle w:val="TableParagraph"/>
              <w:kinsoku w:val="0"/>
              <w:overflowPunct w:val="0"/>
              <w:spacing w:line="235" w:lineRule="exact"/>
              <w:ind w:left="11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Consultation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0F42" w14:textId="77777777" w:rsidR="00B16D45" w:rsidRPr="0098075D" w:rsidRDefault="00B16D45" w:rsidP="00B16D45">
            <w:pPr>
              <w:pStyle w:val="TableParagraph"/>
              <w:kinsoku w:val="0"/>
              <w:overflowPunct w:val="0"/>
              <w:spacing w:line="235" w:lineRule="exact"/>
              <w:ind w:left="105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Involvement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C10" w14:textId="77777777" w:rsidR="00B16D45" w:rsidRPr="0098075D" w:rsidRDefault="00B16D45" w:rsidP="00B16D45">
            <w:pPr>
              <w:pStyle w:val="TableParagraph"/>
              <w:kinsoku w:val="0"/>
              <w:overflowPunct w:val="0"/>
              <w:spacing w:line="235" w:lineRule="exact"/>
              <w:ind w:left="10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Partnership </w:t>
            </w:r>
            <w:r w:rsidR="0010625A"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and l</w:t>
            </w:r>
            <w:r w:rsidRPr="0098075D">
              <w:rPr>
                <w:rFonts w:ascii="Arial" w:hAnsi="Arial" w:cs="Arial"/>
                <w:b/>
                <w:bCs/>
                <w:sz w:val="22"/>
                <w:szCs w:val="22"/>
              </w:rPr>
              <w:t>eadership</w:t>
            </w:r>
          </w:p>
        </w:tc>
      </w:tr>
      <w:tr w:rsidR="00B16D45" w:rsidRPr="0098075D" w14:paraId="069E4582" w14:textId="77777777" w:rsidTr="00D753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6"/>
        </w:trPr>
        <w:tc>
          <w:tcPr>
            <w:tcW w:w="18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39A42" w14:textId="77777777" w:rsidR="00B16D45" w:rsidRPr="0098075D" w:rsidRDefault="00B16D45" w:rsidP="0045453F">
            <w:pPr>
              <w:pStyle w:val="TableParagraph"/>
              <w:kinsoku w:val="0"/>
              <w:overflowPunct w:val="0"/>
              <w:spacing w:before="1"/>
              <w:ind w:left="110" w:right="450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Mana </w:t>
            </w:r>
            <w:r w:rsidR="00D7538A" w:rsidRPr="0098075D">
              <w:rPr>
                <w:rFonts w:ascii="Arial" w:hAnsi="Arial" w:cs="Arial"/>
                <w:sz w:val="22"/>
                <w:szCs w:val="22"/>
              </w:rPr>
              <w:t>w</w:t>
            </w:r>
            <w:r w:rsidRPr="0098075D">
              <w:rPr>
                <w:rFonts w:ascii="Arial" w:hAnsi="Arial" w:cs="Arial"/>
                <w:sz w:val="22"/>
                <w:szCs w:val="22"/>
              </w:rPr>
              <w:t>hakahaere (</w:t>
            </w:r>
            <w:r w:rsidR="00D7538A" w:rsidRPr="0098075D">
              <w:rPr>
                <w:rFonts w:ascii="Arial" w:hAnsi="Arial" w:cs="Arial"/>
                <w:sz w:val="22"/>
                <w:szCs w:val="22"/>
              </w:rPr>
              <w:t>g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ood </w:t>
            </w:r>
            <w:r w:rsidR="00D7538A" w:rsidRPr="0098075D">
              <w:rPr>
                <w:rFonts w:ascii="Arial" w:hAnsi="Arial" w:cs="Arial"/>
                <w:sz w:val="22"/>
                <w:szCs w:val="22"/>
              </w:rPr>
              <w:t>g</w:t>
            </w:r>
            <w:r w:rsidRPr="0098075D">
              <w:rPr>
                <w:rFonts w:ascii="Arial" w:hAnsi="Arial" w:cs="Arial"/>
                <w:sz w:val="22"/>
                <w:szCs w:val="22"/>
              </w:rPr>
              <w:t>overnment)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1AF83" w14:textId="77777777" w:rsidR="00B16D45" w:rsidRPr="0098075D" w:rsidRDefault="00DB2448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Zero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7371D" w14:textId="77777777" w:rsidR="00B16D45" w:rsidRPr="0098075D" w:rsidRDefault="00DB2448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No Māori </w:t>
            </w:r>
            <w:r w:rsidR="00B84877" w:rsidRPr="0098075D">
              <w:rPr>
                <w:rFonts w:ascii="Arial" w:hAnsi="Arial" w:cs="Arial"/>
                <w:sz w:val="22"/>
                <w:szCs w:val="22"/>
              </w:rPr>
              <w:t>in leadership and governance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A3D90" w14:textId="77777777" w:rsidR="00B16D45" w:rsidRPr="0098075D" w:rsidRDefault="00B84877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Minority representation at lower governance level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871B1" w14:textId="77777777" w:rsidR="00B16D45" w:rsidRPr="0098075D" w:rsidRDefault="001D4196" w:rsidP="00CD10DD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65" w:right="140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Māori leadership/representation at all</w:t>
            </w:r>
            <w:r w:rsidR="00CD10DD" w:rsidRPr="0098075D">
              <w:rPr>
                <w:rFonts w:ascii="Arial" w:hAnsi="Arial" w:cs="Arial"/>
                <w:sz w:val="22"/>
                <w:szCs w:val="22"/>
              </w:rPr>
              <w:t xml:space="preserve"> levels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 but especially </w:t>
            </w:r>
            <w:r w:rsidR="00582A4D" w:rsidRPr="0098075D">
              <w:rPr>
                <w:rFonts w:ascii="Arial" w:hAnsi="Arial" w:cs="Arial"/>
                <w:sz w:val="22"/>
                <w:szCs w:val="22"/>
              </w:rPr>
              <w:t>high-level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 governance</w:t>
            </w:r>
          </w:p>
        </w:tc>
      </w:tr>
      <w:tr w:rsidR="00B16D45" w:rsidRPr="0098075D" w14:paraId="7FE12852" w14:textId="77777777" w:rsidTr="00B16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0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D342B" w14:textId="77777777" w:rsidR="00B16D45" w:rsidRPr="0098075D" w:rsidRDefault="00B16D45" w:rsidP="0045453F">
            <w:pPr>
              <w:pStyle w:val="TableParagraph"/>
              <w:kinsoku w:val="0"/>
              <w:overflowPunct w:val="0"/>
              <w:ind w:left="110" w:right="19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Mana </w:t>
            </w:r>
            <w:r w:rsidR="00D7538A" w:rsidRPr="0098075D">
              <w:rPr>
                <w:rFonts w:ascii="Arial" w:hAnsi="Arial" w:cs="Arial"/>
                <w:sz w:val="22"/>
                <w:szCs w:val="22"/>
              </w:rPr>
              <w:t>m</w:t>
            </w:r>
            <w:r w:rsidRPr="0098075D">
              <w:rPr>
                <w:rFonts w:ascii="Arial" w:hAnsi="Arial" w:cs="Arial"/>
                <w:sz w:val="22"/>
                <w:szCs w:val="22"/>
              </w:rPr>
              <w:t>otuhake (</w:t>
            </w:r>
            <w:r w:rsidR="00D7538A" w:rsidRPr="0098075D">
              <w:rPr>
                <w:rFonts w:ascii="Arial" w:hAnsi="Arial" w:cs="Arial"/>
                <w:sz w:val="22"/>
                <w:szCs w:val="22"/>
              </w:rPr>
              <w:t>u</w:t>
            </w:r>
            <w:r w:rsidRPr="0098075D">
              <w:rPr>
                <w:rFonts w:ascii="Arial" w:hAnsi="Arial" w:cs="Arial"/>
                <w:sz w:val="22"/>
                <w:szCs w:val="22"/>
              </w:rPr>
              <w:t>nique and Indigenous)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701FB" w14:textId="77777777" w:rsidR="00B16D45" w:rsidRPr="0098075D" w:rsidRDefault="00DB2448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Zero 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3C20B" w14:textId="77777777" w:rsidR="00B16D45" w:rsidRPr="0098075D" w:rsidRDefault="00B84877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Acknowledged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E65B" w14:textId="77777777" w:rsidR="00B16D45" w:rsidRPr="0098075D" w:rsidRDefault="00B84877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Observed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CFA0B" w14:textId="77777777" w:rsidR="00B16D45" w:rsidRPr="0098075D" w:rsidRDefault="001D4196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Used </w:t>
            </w:r>
          </w:p>
        </w:tc>
      </w:tr>
      <w:tr w:rsidR="00B16D45" w:rsidRPr="0098075D" w14:paraId="648EC2FE" w14:textId="77777777" w:rsidTr="00B16D4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5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4D80F" w14:textId="77777777" w:rsidR="00B16D45" w:rsidRPr="0098075D" w:rsidRDefault="00B16D45" w:rsidP="0045453F">
            <w:pPr>
              <w:pStyle w:val="TableParagraph"/>
              <w:kinsoku w:val="0"/>
              <w:overflowPunct w:val="0"/>
              <w:spacing w:line="242" w:lineRule="auto"/>
              <w:ind w:left="110" w:right="352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Mana </w:t>
            </w:r>
            <w:r w:rsidR="00D7538A" w:rsidRPr="0098075D">
              <w:rPr>
                <w:rFonts w:ascii="Arial" w:hAnsi="Arial" w:cs="Arial"/>
                <w:sz w:val="22"/>
                <w:szCs w:val="22"/>
              </w:rPr>
              <w:t>t</w:t>
            </w:r>
            <w:r w:rsidRPr="0098075D">
              <w:rPr>
                <w:rFonts w:ascii="Arial" w:hAnsi="Arial" w:cs="Arial"/>
                <w:sz w:val="22"/>
                <w:szCs w:val="22"/>
              </w:rPr>
              <w:t>angata (</w:t>
            </w:r>
            <w:r w:rsidR="00D7538A" w:rsidRPr="0098075D">
              <w:rPr>
                <w:rFonts w:ascii="Arial" w:hAnsi="Arial" w:cs="Arial"/>
                <w:sz w:val="22"/>
                <w:szCs w:val="22"/>
              </w:rPr>
              <w:t>f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air and </w:t>
            </w:r>
            <w:r w:rsidR="00D7538A" w:rsidRPr="0098075D">
              <w:rPr>
                <w:rFonts w:ascii="Arial" w:hAnsi="Arial" w:cs="Arial"/>
                <w:sz w:val="22"/>
                <w:szCs w:val="22"/>
              </w:rPr>
              <w:t>j</w:t>
            </w:r>
            <w:r w:rsidRPr="0098075D">
              <w:rPr>
                <w:rFonts w:ascii="Arial" w:hAnsi="Arial" w:cs="Arial"/>
                <w:sz w:val="22"/>
                <w:szCs w:val="22"/>
              </w:rPr>
              <w:t>ust)</w:t>
            </w:r>
          </w:p>
        </w:tc>
        <w:tc>
          <w:tcPr>
            <w:tcW w:w="4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A479" w14:textId="77777777" w:rsidR="00B16D45" w:rsidRPr="0098075D" w:rsidRDefault="00DB2448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Zero; no consideration of M</w:t>
            </w:r>
            <w:r w:rsidR="00891A9A" w:rsidRPr="0098075D">
              <w:rPr>
                <w:rFonts w:ascii="Arial" w:hAnsi="Arial" w:cs="Arial"/>
                <w:sz w:val="22"/>
                <w:szCs w:val="22"/>
              </w:rPr>
              <w:t>ā</w:t>
            </w:r>
            <w:r w:rsidRPr="0098075D">
              <w:rPr>
                <w:rFonts w:ascii="Arial" w:hAnsi="Arial" w:cs="Arial"/>
                <w:sz w:val="22"/>
                <w:szCs w:val="22"/>
              </w:rPr>
              <w:t>ori involvement</w:t>
            </w:r>
          </w:p>
          <w:p w14:paraId="35BF7486" w14:textId="77777777" w:rsidR="00DB2448" w:rsidRPr="0098075D" w:rsidRDefault="00DB2448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No moral obligation</w:t>
            </w:r>
          </w:p>
        </w:tc>
        <w:tc>
          <w:tcPr>
            <w:tcW w:w="4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05DC" w14:textId="77777777" w:rsidR="00B16D45" w:rsidRPr="0098075D" w:rsidRDefault="00B84877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79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Consideration of Māori engagement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7FD7" w14:textId="77777777" w:rsidR="00B16D45" w:rsidRPr="0098075D" w:rsidRDefault="00B84877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M</w:t>
            </w:r>
            <w:r w:rsidR="00D7538A" w:rsidRPr="0098075D">
              <w:rPr>
                <w:rFonts w:ascii="Arial" w:hAnsi="Arial" w:cs="Arial"/>
                <w:sz w:val="22"/>
                <w:szCs w:val="22"/>
              </w:rPr>
              <w:t>ā</w:t>
            </w:r>
            <w:r w:rsidRPr="0098075D">
              <w:rPr>
                <w:rFonts w:ascii="Arial" w:hAnsi="Arial" w:cs="Arial"/>
                <w:sz w:val="22"/>
                <w:szCs w:val="22"/>
              </w:rPr>
              <w:t>ori are involved but with bias and judgement still</w:t>
            </w:r>
          </w:p>
          <w:p w14:paraId="6FE460C6" w14:textId="77777777" w:rsidR="00B84877" w:rsidRPr="0098075D" w:rsidRDefault="00B84877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76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>Unequitable outcomes</w:t>
            </w:r>
          </w:p>
        </w:tc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18DEF" w14:textId="77777777" w:rsidR="00B16D45" w:rsidRPr="0098075D" w:rsidRDefault="001D4196" w:rsidP="00D7538A">
            <w:pPr>
              <w:pStyle w:val="TableParagraph"/>
              <w:numPr>
                <w:ilvl w:val="0"/>
                <w:numId w:val="5"/>
              </w:numPr>
              <w:kinsoku w:val="0"/>
              <w:overflowPunct w:val="0"/>
              <w:ind w:left="565"/>
              <w:rPr>
                <w:rFonts w:ascii="Arial" w:hAnsi="Arial" w:cs="Arial"/>
                <w:sz w:val="22"/>
                <w:szCs w:val="22"/>
              </w:rPr>
            </w:pPr>
            <w:r w:rsidRPr="0098075D">
              <w:rPr>
                <w:rFonts w:ascii="Arial" w:hAnsi="Arial" w:cs="Arial"/>
                <w:sz w:val="22"/>
                <w:szCs w:val="22"/>
              </w:rPr>
              <w:t xml:space="preserve">Equitable outcomes </w:t>
            </w:r>
            <w:r w:rsidR="00582A4D" w:rsidRPr="0098075D">
              <w:rPr>
                <w:rFonts w:ascii="Arial" w:hAnsi="Arial" w:cs="Arial"/>
                <w:sz w:val="22"/>
                <w:szCs w:val="22"/>
              </w:rPr>
              <w:t>happen</w:t>
            </w:r>
            <w:r w:rsidRPr="0098075D">
              <w:rPr>
                <w:rFonts w:ascii="Arial" w:hAnsi="Arial" w:cs="Arial"/>
                <w:sz w:val="22"/>
                <w:szCs w:val="22"/>
              </w:rPr>
              <w:t xml:space="preserve"> and engagement without bias and judgement; fair/just</w:t>
            </w:r>
          </w:p>
        </w:tc>
      </w:tr>
    </w:tbl>
    <w:p w14:paraId="53DB7AD1" w14:textId="77777777" w:rsidR="00B16D45" w:rsidRPr="0045453F" w:rsidRDefault="00B16D45" w:rsidP="00B16D45">
      <w:pPr>
        <w:pStyle w:val="BodyText"/>
        <w:kinsoku w:val="0"/>
        <w:overflowPunct w:val="0"/>
        <w:spacing w:before="82"/>
        <w:rPr>
          <w:rFonts w:ascii="Arial" w:hAnsi="Arial" w:cs="Arial"/>
        </w:rPr>
      </w:pPr>
    </w:p>
    <w:p w14:paraId="26037706" w14:textId="77777777" w:rsidR="00CE1228" w:rsidRPr="0045453F" w:rsidRDefault="00CE1228">
      <w:pPr>
        <w:pStyle w:val="BodyText"/>
        <w:kinsoku w:val="0"/>
        <w:overflowPunct w:val="0"/>
        <w:spacing w:before="82"/>
        <w:ind w:left="100"/>
        <w:rPr>
          <w:rFonts w:ascii="Arial" w:hAnsi="Arial" w:cs="Arial"/>
        </w:rPr>
      </w:pPr>
      <w:r w:rsidRPr="0045453F">
        <w:rPr>
          <w:rFonts w:ascii="Arial" w:hAnsi="Arial" w:cs="Arial"/>
        </w:rPr>
        <w:t>Mana principles – John Whaanga (Deputy Director-General M</w:t>
      </w:r>
      <w:r w:rsidR="00D7538A">
        <w:rPr>
          <w:rFonts w:ascii="Arial" w:hAnsi="Arial" w:cs="Arial"/>
        </w:rPr>
        <w:t>ā</w:t>
      </w:r>
      <w:r w:rsidRPr="0045453F">
        <w:rPr>
          <w:rFonts w:ascii="Arial" w:hAnsi="Arial" w:cs="Arial"/>
        </w:rPr>
        <w:t>ori Health)</w:t>
      </w:r>
    </w:p>
    <w:p w14:paraId="6DF9E583" w14:textId="77777777" w:rsidR="00CE1228" w:rsidRPr="0045453F" w:rsidRDefault="00CE1228">
      <w:pPr>
        <w:pStyle w:val="BodyText"/>
        <w:kinsoku w:val="0"/>
        <w:overflowPunct w:val="0"/>
        <w:rPr>
          <w:rFonts w:ascii="Arial" w:hAnsi="Arial" w:cs="Arial"/>
        </w:rPr>
      </w:pPr>
    </w:p>
    <w:p w14:paraId="26E6C59B" w14:textId="77777777" w:rsidR="00CE1228" w:rsidRPr="0045453F" w:rsidRDefault="00CE1228">
      <w:pPr>
        <w:pStyle w:val="BodyText"/>
        <w:kinsoku w:val="0"/>
        <w:overflowPunct w:val="0"/>
        <w:spacing w:before="1" w:line="276" w:lineRule="auto"/>
        <w:ind w:left="100"/>
        <w:rPr>
          <w:rFonts w:ascii="Arial" w:hAnsi="Arial" w:cs="Arial"/>
        </w:rPr>
      </w:pPr>
      <w:r w:rsidRPr="0045453F">
        <w:rPr>
          <w:rFonts w:ascii="Arial" w:hAnsi="Arial" w:cs="Arial"/>
        </w:rPr>
        <w:t xml:space="preserve">*Good </w:t>
      </w:r>
      <w:r w:rsidR="00D7538A">
        <w:rPr>
          <w:rFonts w:ascii="Arial" w:hAnsi="Arial" w:cs="Arial"/>
        </w:rPr>
        <w:t>g</w:t>
      </w:r>
      <w:r w:rsidRPr="0045453F">
        <w:rPr>
          <w:rFonts w:ascii="Arial" w:hAnsi="Arial" w:cs="Arial"/>
        </w:rPr>
        <w:t>overnment – Leadership structures include proper M</w:t>
      </w:r>
      <w:r w:rsidR="00D7538A">
        <w:rPr>
          <w:rFonts w:ascii="Arial" w:hAnsi="Arial" w:cs="Arial"/>
        </w:rPr>
        <w:t>ā</w:t>
      </w:r>
      <w:r w:rsidRPr="0045453F">
        <w:rPr>
          <w:rFonts w:ascii="Arial" w:hAnsi="Arial" w:cs="Arial"/>
        </w:rPr>
        <w:t>ori representation at a high level, and policy and process allows for decisions to be made that involve M</w:t>
      </w:r>
      <w:r w:rsidR="00D7538A">
        <w:rPr>
          <w:rFonts w:ascii="Arial" w:hAnsi="Arial" w:cs="Arial"/>
        </w:rPr>
        <w:t>ā</w:t>
      </w:r>
      <w:r w:rsidRPr="0045453F">
        <w:rPr>
          <w:rFonts w:ascii="Arial" w:hAnsi="Arial" w:cs="Arial"/>
        </w:rPr>
        <w:t>ori voice, with cultural considerations taken on board as well</w:t>
      </w:r>
    </w:p>
    <w:p w14:paraId="7E379E40" w14:textId="77777777" w:rsidR="00CE1228" w:rsidRPr="0045453F" w:rsidRDefault="00CE1228">
      <w:pPr>
        <w:pStyle w:val="BodyText"/>
        <w:kinsoku w:val="0"/>
        <w:overflowPunct w:val="0"/>
        <w:spacing w:before="197"/>
        <w:ind w:left="100"/>
        <w:rPr>
          <w:rFonts w:ascii="Arial" w:hAnsi="Arial" w:cs="Arial"/>
        </w:rPr>
      </w:pPr>
      <w:r w:rsidRPr="0045453F">
        <w:rPr>
          <w:rFonts w:ascii="Arial" w:hAnsi="Arial" w:cs="Arial"/>
        </w:rPr>
        <w:t xml:space="preserve">*Unique and </w:t>
      </w:r>
      <w:r w:rsidR="00D7538A">
        <w:rPr>
          <w:rFonts w:ascii="Arial" w:hAnsi="Arial" w:cs="Arial"/>
        </w:rPr>
        <w:t>i</w:t>
      </w:r>
      <w:r w:rsidRPr="0045453F">
        <w:rPr>
          <w:rFonts w:ascii="Arial" w:hAnsi="Arial" w:cs="Arial"/>
        </w:rPr>
        <w:t>ndigenous – Indigenous models of care and cultural engagement guidelines are observed and used when appropriate</w:t>
      </w:r>
    </w:p>
    <w:p w14:paraId="36BF0060" w14:textId="77777777" w:rsidR="00CE1228" w:rsidRPr="0045453F" w:rsidRDefault="00CE1228">
      <w:pPr>
        <w:pStyle w:val="BodyText"/>
        <w:kinsoku w:val="0"/>
        <w:overflowPunct w:val="0"/>
        <w:rPr>
          <w:rFonts w:ascii="Arial" w:hAnsi="Arial" w:cs="Arial"/>
        </w:rPr>
      </w:pPr>
    </w:p>
    <w:p w14:paraId="587E37EB" w14:textId="77777777" w:rsidR="00A20CEB" w:rsidRPr="0045453F" w:rsidRDefault="00CE1228">
      <w:pPr>
        <w:pStyle w:val="BodyText"/>
        <w:kinsoku w:val="0"/>
        <w:overflowPunct w:val="0"/>
        <w:spacing w:before="1"/>
        <w:ind w:left="100"/>
        <w:rPr>
          <w:rFonts w:ascii="Arial" w:hAnsi="Arial" w:cs="Arial"/>
        </w:rPr>
      </w:pPr>
      <w:r w:rsidRPr="0045453F">
        <w:rPr>
          <w:rFonts w:ascii="Arial" w:hAnsi="Arial" w:cs="Arial"/>
        </w:rPr>
        <w:t xml:space="preserve">*Fair and </w:t>
      </w:r>
      <w:r w:rsidR="00D7538A">
        <w:rPr>
          <w:rFonts w:ascii="Arial" w:hAnsi="Arial" w:cs="Arial"/>
        </w:rPr>
        <w:t>j</w:t>
      </w:r>
      <w:r w:rsidRPr="0045453F">
        <w:rPr>
          <w:rFonts w:ascii="Arial" w:hAnsi="Arial" w:cs="Arial"/>
        </w:rPr>
        <w:t>ust – Engagement with iwi M</w:t>
      </w:r>
      <w:r w:rsidR="00D7538A">
        <w:rPr>
          <w:rFonts w:ascii="Arial" w:hAnsi="Arial" w:cs="Arial"/>
        </w:rPr>
        <w:t>ā</w:t>
      </w:r>
      <w:r w:rsidRPr="0045453F">
        <w:rPr>
          <w:rFonts w:ascii="Arial" w:hAnsi="Arial" w:cs="Arial"/>
        </w:rPr>
        <w:t>ori is always considered and held with no bias or judgement</w:t>
      </w:r>
    </w:p>
    <w:sectPr w:rsidR="00A20CEB" w:rsidRPr="0045453F">
      <w:pgSz w:w="23820" w:h="16840" w:orient="landscape"/>
      <w:pgMar w:top="1360" w:right="136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50658A"/>
    <w:multiLevelType w:val="hybridMultilevel"/>
    <w:tmpl w:val="5C5A65E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932FE"/>
    <w:multiLevelType w:val="hybridMultilevel"/>
    <w:tmpl w:val="D91CC7B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8034FB"/>
    <w:multiLevelType w:val="hybridMultilevel"/>
    <w:tmpl w:val="F55690D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8F4642"/>
    <w:multiLevelType w:val="hybridMultilevel"/>
    <w:tmpl w:val="FBD01E7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44000"/>
    <w:multiLevelType w:val="hybridMultilevel"/>
    <w:tmpl w:val="02EA0C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1281"/>
    <w:rsid w:val="00065EEB"/>
    <w:rsid w:val="00102298"/>
    <w:rsid w:val="0010625A"/>
    <w:rsid w:val="001B3C80"/>
    <w:rsid w:val="001D4196"/>
    <w:rsid w:val="00272492"/>
    <w:rsid w:val="00390EA5"/>
    <w:rsid w:val="0042454B"/>
    <w:rsid w:val="0045453F"/>
    <w:rsid w:val="00582A4D"/>
    <w:rsid w:val="00587F87"/>
    <w:rsid w:val="005D5038"/>
    <w:rsid w:val="00611281"/>
    <w:rsid w:val="006707E1"/>
    <w:rsid w:val="007977B1"/>
    <w:rsid w:val="007F5299"/>
    <w:rsid w:val="00865CFD"/>
    <w:rsid w:val="00891A9A"/>
    <w:rsid w:val="0098075D"/>
    <w:rsid w:val="00A20CEB"/>
    <w:rsid w:val="00A72B28"/>
    <w:rsid w:val="00B16D45"/>
    <w:rsid w:val="00B84877"/>
    <w:rsid w:val="00BE1677"/>
    <w:rsid w:val="00CD10DD"/>
    <w:rsid w:val="00CE1228"/>
    <w:rsid w:val="00D7538A"/>
    <w:rsid w:val="00D920B1"/>
    <w:rsid w:val="00DB2448"/>
    <w:rsid w:val="00F6394A"/>
    <w:rsid w:val="00F9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B3DA8E"/>
  <w14:defaultImageDpi w14:val="0"/>
  <w15:docId w15:val="{560D17FC-A927-4CE9-A102-C2BE216AC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7"/>
    </w:pPr>
  </w:style>
  <w:style w:type="character" w:customStyle="1" w:styleId="BodyTextChar">
    <w:name w:val="Body Text Char"/>
    <w:link w:val="BodyText"/>
    <w:uiPriority w:val="99"/>
    <w:semiHidden/>
    <w:locked/>
    <w:rPr>
      <w:rFonts w:ascii="Cambria" w:hAnsi="Cambria" w:cs="Cambria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81"/>
      <w:ind w:left="100"/>
    </w:pPr>
    <w:rPr>
      <w:sz w:val="32"/>
      <w:szCs w:val="32"/>
    </w:rPr>
  </w:style>
  <w:style w:type="character" w:customStyle="1" w:styleId="TitleChar">
    <w:name w:val="Title Char"/>
    <w:link w:val="Title"/>
    <w:uiPriority w:val="10"/>
    <w:locked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D920B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20B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920B1"/>
    <w:rPr>
      <w:rFonts w:ascii="Cambria" w:hAnsi="Cambria" w:cs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20B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20B1"/>
    <w:rPr>
      <w:rFonts w:ascii="Cambria" w:hAnsi="Cambria" w:cs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20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D920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758</Words>
  <Characters>4323</Characters>
  <Application>Microsoft Office Word</Application>
  <DocSecurity>0</DocSecurity>
  <Lines>36</Lines>
  <Paragraphs>10</Paragraphs>
  <ScaleCrop>false</ScaleCrop>
  <Company/>
  <LinksUpToDate>false</LinksUpToDate>
  <CharactersWithSpaces>5071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Cootes</dc:creator>
  <cp:keywords/>
  <dc:description/>
  <cp:lastModifiedBy>Falyn Cranston</cp:lastModifiedBy>
  <cp:revision>2</cp:revision>
  <dcterms:created xsi:type="dcterms:W3CDTF">2021-02-25T22:39:00Z</dcterms:created>
  <dcterms:modified xsi:type="dcterms:W3CDTF">2021-02-25T22:39:00Z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 Word</vt:lpwstr>
  </property>
</Properties>
</file>