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7B89" w14:textId="6CA7FEEB" w:rsidR="00D12FC1" w:rsidRPr="00AD3EE6" w:rsidRDefault="00A313E6" w:rsidP="00A313E6">
      <w:pPr>
        <w:jc w:val="center"/>
        <w:rPr>
          <w:rFonts w:cs="Arial"/>
        </w:rPr>
      </w:pPr>
      <w:r w:rsidRPr="00AD3EE6">
        <w:rPr>
          <w:noProof/>
        </w:rPr>
        <w:drawing>
          <wp:anchor distT="0" distB="0" distL="114300" distR="114300" simplePos="0" relativeHeight="251658241" behindDoc="1" locked="0" layoutInCell="1" allowOverlap="1" wp14:anchorId="03EB70FD" wp14:editId="6E01E71A">
            <wp:simplePos x="0" y="0"/>
            <wp:positionH relativeFrom="page">
              <wp:posOffset>-12700</wp:posOffset>
            </wp:positionH>
            <wp:positionV relativeFrom="paragraph">
              <wp:posOffset>-983623</wp:posOffset>
            </wp:positionV>
            <wp:extent cx="7593137" cy="1076833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3137" cy="10768330"/>
                    </a:xfrm>
                    <a:prstGeom prst="rect">
                      <a:avLst/>
                    </a:prstGeom>
                  </pic:spPr>
                </pic:pic>
              </a:graphicData>
            </a:graphic>
            <wp14:sizeRelH relativeFrom="page">
              <wp14:pctWidth>0</wp14:pctWidth>
            </wp14:sizeRelH>
            <wp14:sizeRelV relativeFrom="page">
              <wp14:pctHeight>0</wp14:pctHeight>
            </wp14:sizeRelV>
          </wp:anchor>
        </w:drawing>
      </w:r>
    </w:p>
    <w:p w14:paraId="40010705" w14:textId="77777777" w:rsidR="001D0822" w:rsidRPr="00AD3EE6" w:rsidRDefault="001D0822" w:rsidP="001D0822">
      <w:pPr>
        <w:jc w:val="center"/>
        <w:rPr>
          <w:rFonts w:cs="Arial"/>
          <w:color w:val="365F91" w:themeColor="accent1" w:themeShade="BF"/>
          <w:sz w:val="56"/>
          <w:szCs w:val="56"/>
        </w:rPr>
      </w:pPr>
    </w:p>
    <w:p w14:paraId="027712E7" w14:textId="77777777" w:rsidR="00433D6F" w:rsidRPr="00AD3EE6" w:rsidRDefault="00433D6F" w:rsidP="00D12FC1">
      <w:pPr>
        <w:jc w:val="center"/>
        <w:rPr>
          <w:rFonts w:cs="Arial"/>
          <w:b/>
          <w:sz w:val="36"/>
          <w:szCs w:val="36"/>
        </w:rPr>
      </w:pPr>
    </w:p>
    <w:p w14:paraId="1091DF26" w14:textId="77777777" w:rsidR="00A313E6" w:rsidRPr="00AD3EE6" w:rsidRDefault="00A313E6" w:rsidP="00D12FC1">
      <w:pPr>
        <w:jc w:val="center"/>
        <w:rPr>
          <w:rFonts w:cs="Arial"/>
          <w:b/>
          <w:sz w:val="36"/>
          <w:szCs w:val="36"/>
        </w:rPr>
      </w:pPr>
    </w:p>
    <w:p w14:paraId="34C9ED81" w14:textId="77777777" w:rsidR="00A313E6" w:rsidRPr="00AD3EE6" w:rsidRDefault="00A313E6" w:rsidP="00D12FC1">
      <w:pPr>
        <w:jc w:val="center"/>
        <w:rPr>
          <w:rFonts w:cs="Arial"/>
          <w:b/>
          <w:sz w:val="36"/>
          <w:szCs w:val="36"/>
        </w:rPr>
      </w:pPr>
    </w:p>
    <w:p w14:paraId="2D1CD15B" w14:textId="5503310F" w:rsidR="00D12FC1" w:rsidRPr="00F43099" w:rsidRDefault="00C06B8D" w:rsidP="00A2381C">
      <w:pPr>
        <w:ind w:right="1796"/>
        <w:rPr>
          <w:rFonts w:cs="Arial"/>
          <w:b/>
          <w:color w:val="2C2568"/>
          <w:sz w:val="40"/>
          <w:szCs w:val="40"/>
        </w:rPr>
      </w:pPr>
      <w:r w:rsidRPr="00F43099">
        <w:rPr>
          <w:rFonts w:cs="Arial"/>
          <w:b/>
          <w:color w:val="2C2568"/>
          <w:sz w:val="40"/>
          <w:szCs w:val="40"/>
        </w:rPr>
        <w:t xml:space="preserve">Te </w:t>
      </w:r>
      <w:proofErr w:type="spellStart"/>
      <w:r w:rsidRPr="00F43099">
        <w:rPr>
          <w:rFonts w:cs="Arial"/>
          <w:b/>
          <w:color w:val="2C2568"/>
          <w:sz w:val="40"/>
          <w:szCs w:val="40"/>
        </w:rPr>
        <w:t>Tāhū</w:t>
      </w:r>
      <w:proofErr w:type="spellEnd"/>
      <w:r w:rsidRPr="00F43099">
        <w:rPr>
          <w:rFonts w:cs="Arial"/>
          <w:b/>
          <w:color w:val="2C2568"/>
          <w:sz w:val="40"/>
          <w:szCs w:val="40"/>
        </w:rPr>
        <w:t xml:space="preserve"> Hauora Health Quality </w:t>
      </w:r>
      <w:r w:rsidR="004C6A69" w:rsidRPr="00F43099">
        <w:rPr>
          <w:rFonts w:cs="Arial"/>
          <w:b/>
          <w:color w:val="2C2568"/>
          <w:sz w:val="40"/>
          <w:szCs w:val="40"/>
        </w:rPr>
        <w:t xml:space="preserve">&amp; </w:t>
      </w:r>
      <w:r w:rsidRPr="00F43099">
        <w:rPr>
          <w:rFonts w:cs="Arial"/>
          <w:b/>
          <w:color w:val="2C2568"/>
          <w:sz w:val="40"/>
          <w:szCs w:val="40"/>
        </w:rPr>
        <w:t>Safety Commission</w:t>
      </w:r>
      <w:r w:rsidR="008C7404" w:rsidRPr="00F43099">
        <w:rPr>
          <w:rFonts w:cs="Arial"/>
          <w:b/>
          <w:color w:val="2C2568"/>
          <w:sz w:val="40"/>
          <w:szCs w:val="40"/>
        </w:rPr>
        <w:t xml:space="preserve"> i</w:t>
      </w:r>
      <w:r w:rsidR="00676469" w:rsidRPr="00F43099">
        <w:rPr>
          <w:rFonts w:cs="Arial"/>
          <w:b/>
          <w:color w:val="2C2568"/>
          <w:sz w:val="40"/>
          <w:szCs w:val="40"/>
        </w:rPr>
        <w:t>ndependent p</w:t>
      </w:r>
      <w:r w:rsidR="009C10DC" w:rsidRPr="00F43099">
        <w:rPr>
          <w:rFonts w:cs="Arial"/>
          <w:b/>
          <w:color w:val="2C2568"/>
          <w:sz w:val="40"/>
          <w:szCs w:val="40"/>
        </w:rPr>
        <w:t xml:space="preserve">erformance </w:t>
      </w:r>
      <w:r w:rsidR="00676469" w:rsidRPr="00F43099">
        <w:rPr>
          <w:rFonts w:cs="Arial"/>
          <w:b/>
          <w:color w:val="2C2568"/>
          <w:sz w:val="40"/>
          <w:szCs w:val="40"/>
        </w:rPr>
        <w:t>r</w:t>
      </w:r>
      <w:r w:rsidR="009C10DC" w:rsidRPr="00F43099">
        <w:rPr>
          <w:rFonts w:cs="Arial"/>
          <w:b/>
          <w:color w:val="2C2568"/>
          <w:sz w:val="40"/>
          <w:szCs w:val="40"/>
        </w:rPr>
        <w:t xml:space="preserve">eview </w:t>
      </w:r>
      <w:r w:rsidR="00676469" w:rsidRPr="00F43099">
        <w:rPr>
          <w:rFonts w:cs="Arial"/>
          <w:b/>
          <w:color w:val="2C2568"/>
          <w:sz w:val="40"/>
          <w:szCs w:val="40"/>
        </w:rPr>
        <w:t>r</w:t>
      </w:r>
      <w:r w:rsidRPr="00F43099">
        <w:rPr>
          <w:rFonts w:cs="Arial"/>
          <w:b/>
          <w:color w:val="2C2568"/>
          <w:sz w:val="40"/>
          <w:szCs w:val="40"/>
        </w:rPr>
        <w:t xml:space="preserve">eport </w:t>
      </w:r>
      <w:r w:rsidR="009C10DC" w:rsidRPr="00F43099">
        <w:rPr>
          <w:rFonts w:cs="Arial"/>
          <w:b/>
          <w:color w:val="2C2568"/>
          <w:sz w:val="40"/>
          <w:szCs w:val="40"/>
        </w:rPr>
        <w:t>2023</w:t>
      </w:r>
      <w:r w:rsidR="00317CAF" w:rsidRPr="00F43099">
        <w:rPr>
          <w:rFonts w:cs="Arial"/>
          <w:b/>
          <w:color w:val="2C2568"/>
          <w:sz w:val="40"/>
          <w:szCs w:val="40"/>
        </w:rPr>
        <w:t xml:space="preserve"> | </w:t>
      </w:r>
      <w:r w:rsidR="00F43099">
        <w:rPr>
          <w:rFonts w:cs="Arial"/>
          <w:b/>
          <w:color w:val="2C2568"/>
          <w:sz w:val="40"/>
          <w:szCs w:val="40"/>
        </w:rPr>
        <w:br/>
      </w:r>
      <w:r w:rsidR="00AD1497" w:rsidRPr="00F43099">
        <w:rPr>
          <w:rFonts w:cs="Arial"/>
          <w:b/>
          <w:color w:val="2C2568"/>
          <w:sz w:val="40"/>
          <w:szCs w:val="40"/>
        </w:rPr>
        <w:t xml:space="preserve">Te </w:t>
      </w:r>
      <w:proofErr w:type="spellStart"/>
      <w:r w:rsidR="008E45EB" w:rsidRPr="00F43099">
        <w:rPr>
          <w:rFonts w:cs="Arial"/>
          <w:b/>
          <w:color w:val="2C2568"/>
          <w:sz w:val="40"/>
          <w:szCs w:val="40"/>
        </w:rPr>
        <w:t>arotakenga</w:t>
      </w:r>
      <w:proofErr w:type="spellEnd"/>
      <w:r w:rsidR="008E45EB" w:rsidRPr="00F43099">
        <w:rPr>
          <w:rFonts w:cs="Arial"/>
          <w:b/>
          <w:color w:val="2C2568"/>
          <w:sz w:val="40"/>
          <w:szCs w:val="40"/>
        </w:rPr>
        <w:t xml:space="preserve"> mahi </w:t>
      </w:r>
      <w:proofErr w:type="spellStart"/>
      <w:r w:rsidR="008E45EB" w:rsidRPr="00F43099">
        <w:rPr>
          <w:rFonts w:cs="Arial"/>
          <w:b/>
          <w:color w:val="2C2568"/>
          <w:sz w:val="40"/>
          <w:szCs w:val="40"/>
        </w:rPr>
        <w:t>motuhake</w:t>
      </w:r>
      <w:proofErr w:type="spellEnd"/>
      <w:r w:rsidR="008E45EB" w:rsidRPr="00F43099">
        <w:rPr>
          <w:rFonts w:cs="Arial"/>
          <w:b/>
          <w:color w:val="2C2568"/>
          <w:sz w:val="40"/>
          <w:szCs w:val="40"/>
        </w:rPr>
        <w:t xml:space="preserve"> </w:t>
      </w:r>
      <w:r w:rsidR="00AD1497" w:rsidRPr="00F43099">
        <w:rPr>
          <w:rFonts w:cs="Arial"/>
          <w:b/>
          <w:color w:val="2C2568"/>
          <w:sz w:val="40"/>
          <w:szCs w:val="40"/>
        </w:rPr>
        <w:t xml:space="preserve">a </w:t>
      </w:r>
      <w:r w:rsidR="00F43099">
        <w:rPr>
          <w:rFonts w:cs="Arial"/>
          <w:b/>
          <w:color w:val="2C2568"/>
          <w:sz w:val="40"/>
          <w:szCs w:val="40"/>
        </w:rPr>
        <w:br/>
      </w:r>
      <w:r w:rsidR="00AD1497" w:rsidRPr="00F43099">
        <w:rPr>
          <w:rFonts w:cs="Arial"/>
          <w:b/>
          <w:color w:val="2C2568"/>
          <w:sz w:val="40"/>
          <w:szCs w:val="40"/>
        </w:rPr>
        <w:t xml:space="preserve">Te </w:t>
      </w:r>
      <w:proofErr w:type="spellStart"/>
      <w:r w:rsidR="00AD1497" w:rsidRPr="00F43099">
        <w:rPr>
          <w:rFonts w:cs="Arial"/>
          <w:b/>
          <w:color w:val="2C2568"/>
          <w:sz w:val="40"/>
          <w:szCs w:val="40"/>
        </w:rPr>
        <w:t>Tāhū</w:t>
      </w:r>
      <w:proofErr w:type="spellEnd"/>
      <w:r w:rsidR="00AD1497" w:rsidRPr="00F43099">
        <w:rPr>
          <w:rFonts w:cs="Arial"/>
          <w:b/>
          <w:color w:val="2C2568"/>
          <w:sz w:val="40"/>
          <w:szCs w:val="40"/>
        </w:rPr>
        <w:t xml:space="preserve"> Hauora 2023</w:t>
      </w:r>
    </w:p>
    <w:p w14:paraId="634B866F" w14:textId="77777777" w:rsidR="00281FA5" w:rsidRPr="00317CAF" w:rsidRDefault="00281FA5">
      <w:pPr>
        <w:rPr>
          <w:rFonts w:cs="Arial"/>
          <w:bCs/>
          <w:i/>
          <w:iCs/>
          <w:color w:val="2C2568"/>
          <w:sz w:val="28"/>
          <w:szCs w:val="28"/>
        </w:rPr>
      </w:pPr>
    </w:p>
    <w:p w14:paraId="15E69AED" w14:textId="477AA74F" w:rsidR="00281FA5" w:rsidRPr="00AD1497" w:rsidRDefault="0037688D" w:rsidP="00F43099">
      <w:pPr>
        <w:spacing w:before="360"/>
        <w:rPr>
          <w:rFonts w:cs="Arial"/>
          <w:b/>
          <w:color w:val="2C2568"/>
          <w:sz w:val="28"/>
          <w:szCs w:val="28"/>
        </w:rPr>
      </w:pPr>
      <w:r w:rsidRPr="00AD1497">
        <w:rPr>
          <w:rFonts w:cs="Arial"/>
          <w:b/>
          <w:color w:val="2C2568"/>
          <w:sz w:val="28"/>
          <w:szCs w:val="28"/>
        </w:rPr>
        <w:t>External reviewers</w:t>
      </w:r>
      <w:r w:rsidR="0001766F" w:rsidRPr="00AD1497">
        <w:rPr>
          <w:rFonts w:cs="Arial"/>
          <w:b/>
          <w:color w:val="2C2568"/>
          <w:sz w:val="28"/>
          <w:szCs w:val="28"/>
        </w:rPr>
        <w:t xml:space="preserve"> | </w:t>
      </w:r>
      <w:proofErr w:type="spellStart"/>
      <w:r w:rsidR="00491AB4" w:rsidRPr="00491AB4">
        <w:rPr>
          <w:rFonts w:cs="Arial"/>
          <w:b/>
          <w:color w:val="2C2568"/>
          <w:sz w:val="28"/>
          <w:szCs w:val="28"/>
        </w:rPr>
        <w:t>Ngā</w:t>
      </w:r>
      <w:proofErr w:type="spellEnd"/>
      <w:r w:rsidR="00491AB4" w:rsidRPr="00491AB4">
        <w:rPr>
          <w:rFonts w:cs="Arial"/>
          <w:b/>
          <w:color w:val="2C2568"/>
          <w:sz w:val="28"/>
          <w:szCs w:val="28"/>
        </w:rPr>
        <w:t xml:space="preserve"> </w:t>
      </w:r>
      <w:proofErr w:type="spellStart"/>
      <w:r w:rsidR="00491AB4" w:rsidRPr="00491AB4">
        <w:rPr>
          <w:rFonts w:cs="Arial"/>
          <w:b/>
          <w:color w:val="2C2568"/>
          <w:sz w:val="28"/>
          <w:szCs w:val="28"/>
        </w:rPr>
        <w:t>kaiarotake</w:t>
      </w:r>
      <w:proofErr w:type="spellEnd"/>
      <w:r w:rsidR="00491AB4" w:rsidRPr="00491AB4">
        <w:rPr>
          <w:rFonts w:cs="Arial"/>
          <w:b/>
          <w:color w:val="2C2568"/>
          <w:sz w:val="28"/>
          <w:szCs w:val="28"/>
        </w:rPr>
        <w:t xml:space="preserve"> ā-</w:t>
      </w:r>
      <w:proofErr w:type="spellStart"/>
      <w:r w:rsidR="00491AB4" w:rsidRPr="00491AB4">
        <w:rPr>
          <w:rFonts w:cs="Arial"/>
          <w:b/>
          <w:color w:val="2C2568"/>
          <w:sz w:val="28"/>
          <w:szCs w:val="28"/>
        </w:rPr>
        <w:t>waho</w:t>
      </w:r>
      <w:proofErr w:type="spellEnd"/>
      <w:r w:rsidR="0001766F" w:rsidRPr="00AD1497">
        <w:rPr>
          <w:rFonts w:cs="Arial"/>
          <w:b/>
          <w:color w:val="2C2568"/>
          <w:sz w:val="28"/>
          <w:szCs w:val="28"/>
        </w:rPr>
        <w:t>:</w:t>
      </w:r>
    </w:p>
    <w:p w14:paraId="659F077A" w14:textId="77777777" w:rsidR="00281FA5" w:rsidRPr="00317CAF" w:rsidRDefault="00203409">
      <w:pPr>
        <w:rPr>
          <w:rFonts w:cs="Arial"/>
          <w:bCs/>
          <w:color w:val="2C2568"/>
          <w:sz w:val="28"/>
          <w:szCs w:val="28"/>
        </w:rPr>
      </w:pPr>
      <w:r w:rsidRPr="00317CAF">
        <w:rPr>
          <w:rFonts w:cs="Arial"/>
          <w:bCs/>
          <w:color w:val="2C2568"/>
          <w:sz w:val="28"/>
          <w:szCs w:val="28"/>
        </w:rPr>
        <w:t>Dame Karen Poutasi</w:t>
      </w:r>
    </w:p>
    <w:p w14:paraId="16103865" w14:textId="4B7EFBB1" w:rsidR="00281FA5" w:rsidRPr="00317CAF" w:rsidRDefault="00203409">
      <w:pPr>
        <w:rPr>
          <w:rFonts w:cs="Arial"/>
          <w:bCs/>
          <w:color w:val="2C2568"/>
          <w:sz w:val="28"/>
          <w:szCs w:val="28"/>
        </w:rPr>
      </w:pPr>
      <w:r w:rsidRPr="00317CAF">
        <w:rPr>
          <w:rFonts w:cs="Arial"/>
          <w:bCs/>
          <w:color w:val="2C2568"/>
          <w:sz w:val="28"/>
          <w:szCs w:val="28"/>
        </w:rPr>
        <w:t>Darrin Sykes</w:t>
      </w:r>
      <w:r w:rsidR="00281FA5" w:rsidRPr="00317CAF">
        <w:rPr>
          <w:rFonts w:cs="Arial"/>
          <w:bCs/>
          <w:color w:val="2C2568"/>
          <w:sz w:val="28"/>
          <w:szCs w:val="28"/>
        </w:rPr>
        <w:t xml:space="preserve"> </w:t>
      </w:r>
      <w:r w:rsidR="00281FA5" w:rsidRPr="00317CAF">
        <w:rPr>
          <w:rFonts w:cs="Arial"/>
          <w:bCs/>
          <w:color w:val="2C2568"/>
        </w:rPr>
        <w:t>MNZM</w:t>
      </w:r>
    </w:p>
    <w:p w14:paraId="22AA93C3" w14:textId="32F5AD90" w:rsidR="0037688D" w:rsidRPr="00317CAF" w:rsidRDefault="00203409">
      <w:pPr>
        <w:rPr>
          <w:rFonts w:cs="Arial"/>
          <w:bCs/>
          <w:color w:val="2C2568"/>
          <w:sz w:val="28"/>
          <w:szCs w:val="28"/>
        </w:rPr>
      </w:pPr>
      <w:r w:rsidRPr="00317CAF">
        <w:rPr>
          <w:rFonts w:cs="Arial"/>
          <w:bCs/>
          <w:color w:val="2C2568"/>
          <w:sz w:val="28"/>
          <w:szCs w:val="28"/>
        </w:rPr>
        <w:t>Teresa Wall</w:t>
      </w:r>
    </w:p>
    <w:p w14:paraId="603C6079" w14:textId="4152DB0F" w:rsidR="002E1666" w:rsidRPr="00AD3EE6" w:rsidRDefault="002E1666">
      <w:pPr>
        <w:rPr>
          <w:rFonts w:cs="Arial"/>
          <w:color w:val="365F91" w:themeColor="accent1" w:themeShade="BF"/>
          <w:sz w:val="56"/>
          <w:szCs w:val="56"/>
        </w:rPr>
      </w:pPr>
      <w:r w:rsidRPr="00AD3EE6">
        <w:rPr>
          <w:rFonts w:cs="Arial"/>
          <w:color w:val="365F91" w:themeColor="accent1" w:themeShade="BF"/>
          <w:sz w:val="56"/>
          <w:szCs w:val="56"/>
        </w:rPr>
        <w:br w:type="page"/>
      </w:r>
    </w:p>
    <w:p w14:paraId="25CBC27E" w14:textId="1125C3DA" w:rsidR="002E4D5C" w:rsidRPr="002E4D5C" w:rsidRDefault="002E4D5C" w:rsidP="002E4D5C">
      <w:pPr>
        <w:pStyle w:val="Heading1"/>
      </w:pPr>
      <w:r w:rsidRPr="002E4D5C">
        <w:lastRenderedPageBreak/>
        <w:t>Contents</w:t>
      </w:r>
      <w:r w:rsidR="00E3578A">
        <w:t xml:space="preserve"> | </w:t>
      </w:r>
      <w:r w:rsidR="004526CE" w:rsidRPr="004526CE">
        <w:t>Ngā ihirangi</w:t>
      </w:r>
    </w:p>
    <w:p w14:paraId="1B34F997" w14:textId="7981258C" w:rsidR="008008E9" w:rsidRDefault="00064DA0" w:rsidP="0064465F">
      <w:pPr>
        <w:pStyle w:val="TOC1"/>
        <w:rPr>
          <w:rFonts w:asciiTheme="minorHAnsi" w:eastAsiaTheme="minorEastAsia" w:hAnsiTheme="minorHAnsi" w:cstheme="minorBidi"/>
          <w:noProof/>
          <w:color w:val="auto"/>
          <w:lang w:eastAsia="en-NZ"/>
        </w:rPr>
      </w:pPr>
      <w:r>
        <w:fldChar w:fldCharType="begin"/>
      </w:r>
      <w:r>
        <w:instrText xml:space="preserve"> TOC \h \z \u \t "Te Tāhū Hauora head 1,1,Te Tāhū Hauora head 2,2" </w:instrText>
      </w:r>
      <w:r>
        <w:fldChar w:fldCharType="separate"/>
      </w:r>
      <w:hyperlink w:anchor="_Toc137717485" w:history="1">
        <w:r w:rsidR="008008E9" w:rsidRPr="007F2D4D">
          <w:rPr>
            <w:rStyle w:val="Hyperlink"/>
            <w:noProof/>
          </w:rPr>
          <w:t>Foreword | He kupu takamua</w:t>
        </w:r>
        <w:r w:rsidR="008008E9">
          <w:rPr>
            <w:noProof/>
            <w:webHidden/>
          </w:rPr>
          <w:tab/>
        </w:r>
        <w:r w:rsidR="008008E9">
          <w:rPr>
            <w:noProof/>
            <w:webHidden/>
          </w:rPr>
          <w:fldChar w:fldCharType="begin"/>
        </w:r>
        <w:r w:rsidR="008008E9">
          <w:rPr>
            <w:noProof/>
            <w:webHidden/>
          </w:rPr>
          <w:instrText xml:space="preserve"> PAGEREF _Toc137717485 \h </w:instrText>
        </w:r>
        <w:r w:rsidR="008008E9">
          <w:rPr>
            <w:noProof/>
            <w:webHidden/>
          </w:rPr>
        </w:r>
        <w:r w:rsidR="008008E9">
          <w:rPr>
            <w:noProof/>
            <w:webHidden/>
          </w:rPr>
          <w:fldChar w:fldCharType="separate"/>
        </w:r>
        <w:r w:rsidR="00BB012D">
          <w:rPr>
            <w:noProof/>
            <w:webHidden/>
          </w:rPr>
          <w:t>4</w:t>
        </w:r>
        <w:r w:rsidR="008008E9">
          <w:rPr>
            <w:noProof/>
            <w:webHidden/>
          </w:rPr>
          <w:fldChar w:fldCharType="end"/>
        </w:r>
      </w:hyperlink>
    </w:p>
    <w:p w14:paraId="5A57DC83" w14:textId="2042DA81" w:rsidR="008008E9" w:rsidRDefault="00DC44EA" w:rsidP="0064465F">
      <w:pPr>
        <w:pStyle w:val="TOC1"/>
        <w:rPr>
          <w:rFonts w:asciiTheme="minorHAnsi" w:eastAsiaTheme="minorEastAsia" w:hAnsiTheme="minorHAnsi" w:cstheme="minorBidi"/>
          <w:noProof/>
          <w:color w:val="auto"/>
          <w:lang w:eastAsia="en-NZ"/>
        </w:rPr>
      </w:pPr>
      <w:hyperlink w:anchor="_Toc137717486" w:history="1">
        <w:r w:rsidR="008008E9" w:rsidRPr="007F2D4D">
          <w:rPr>
            <w:rStyle w:val="Hyperlink"/>
            <w:noProof/>
          </w:rPr>
          <w:t>Section 1: Background | Wāhanga 1: Kōrero o mua</w:t>
        </w:r>
        <w:r w:rsidR="008008E9">
          <w:rPr>
            <w:noProof/>
            <w:webHidden/>
          </w:rPr>
          <w:tab/>
        </w:r>
        <w:r w:rsidR="008008E9">
          <w:rPr>
            <w:noProof/>
            <w:webHidden/>
          </w:rPr>
          <w:fldChar w:fldCharType="begin"/>
        </w:r>
        <w:r w:rsidR="008008E9">
          <w:rPr>
            <w:noProof/>
            <w:webHidden/>
          </w:rPr>
          <w:instrText xml:space="preserve"> PAGEREF _Toc137717486 \h </w:instrText>
        </w:r>
        <w:r w:rsidR="008008E9">
          <w:rPr>
            <w:noProof/>
            <w:webHidden/>
          </w:rPr>
        </w:r>
        <w:r w:rsidR="008008E9">
          <w:rPr>
            <w:noProof/>
            <w:webHidden/>
          </w:rPr>
          <w:fldChar w:fldCharType="separate"/>
        </w:r>
        <w:r w:rsidR="00BB012D">
          <w:rPr>
            <w:noProof/>
            <w:webHidden/>
          </w:rPr>
          <w:t>5</w:t>
        </w:r>
        <w:r w:rsidR="008008E9">
          <w:rPr>
            <w:noProof/>
            <w:webHidden/>
          </w:rPr>
          <w:fldChar w:fldCharType="end"/>
        </w:r>
      </w:hyperlink>
    </w:p>
    <w:p w14:paraId="77B37271" w14:textId="0EA37307" w:rsidR="008008E9" w:rsidRDefault="00DC44EA">
      <w:pPr>
        <w:pStyle w:val="TOC2"/>
        <w:rPr>
          <w:rFonts w:asciiTheme="minorHAnsi" w:eastAsiaTheme="minorEastAsia" w:hAnsiTheme="minorHAnsi"/>
          <w:noProof/>
          <w:color w:val="auto"/>
          <w:lang w:eastAsia="en-NZ"/>
        </w:rPr>
      </w:pPr>
      <w:hyperlink w:anchor="_Toc137717487" w:history="1">
        <w:r w:rsidR="008008E9" w:rsidRPr="007F2D4D">
          <w:rPr>
            <w:rStyle w:val="Hyperlink"/>
            <w:noProof/>
          </w:rPr>
          <w:t>Purpose of the performance review</w:t>
        </w:r>
        <w:r w:rsidR="008008E9">
          <w:rPr>
            <w:noProof/>
            <w:webHidden/>
          </w:rPr>
          <w:tab/>
        </w:r>
        <w:r w:rsidR="008008E9">
          <w:rPr>
            <w:noProof/>
            <w:webHidden/>
          </w:rPr>
          <w:fldChar w:fldCharType="begin"/>
        </w:r>
        <w:r w:rsidR="008008E9">
          <w:rPr>
            <w:noProof/>
            <w:webHidden/>
          </w:rPr>
          <w:instrText xml:space="preserve"> PAGEREF _Toc137717487 \h </w:instrText>
        </w:r>
        <w:r w:rsidR="008008E9">
          <w:rPr>
            <w:noProof/>
            <w:webHidden/>
          </w:rPr>
        </w:r>
        <w:r w:rsidR="008008E9">
          <w:rPr>
            <w:noProof/>
            <w:webHidden/>
          </w:rPr>
          <w:fldChar w:fldCharType="separate"/>
        </w:r>
        <w:r w:rsidR="00BB012D">
          <w:rPr>
            <w:noProof/>
            <w:webHidden/>
          </w:rPr>
          <w:t>5</w:t>
        </w:r>
        <w:r w:rsidR="008008E9">
          <w:rPr>
            <w:noProof/>
            <w:webHidden/>
          </w:rPr>
          <w:fldChar w:fldCharType="end"/>
        </w:r>
      </w:hyperlink>
    </w:p>
    <w:p w14:paraId="3A3A459F" w14:textId="71D3F075" w:rsidR="008008E9" w:rsidRDefault="00DC44EA">
      <w:pPr>
        <w:pStyle w:val="TOC2"/>
        <w:rPr>
          <w:rFonts w:asciiTheme="minorHAnsi" w:eastAsiaTheme="minorEastAsia" w:hAnsiTheme="minorHAnsi"/>
          <w:noProof/>
          <w:color w:val="auto"/>
          <w:lang w:eastAsia="en-NZ"/>
        </w:rPr>
      </w:pPr>
      <w:hyperlink w:anchor="_Toc137717488" w:history="1">
        <w:r w:rsidR="008008E9" w:rsidRPr="007F2D4D">
          <w:rPr>
            <w:rStyle w:val="Hyperlink"/>
            <w:noProof/>
          </w:rPr>
          <w:t>Performance review approach</w:t>
        </w:r>
        <w:r w:rsidR="008008E9">
          <w:rPr>
            <w:noProof/>
            <w:webHidden/>
          </w:rPr>
          <w:tab/>
        </w:r>
        <w:r w:rsidR="008008E9">
          <w:rPr>
            <w:noProof/>
            <w:webHidden/>
          </w:rPr>
          <w:fldChar w:fldCharType="begin"/>
        </w:r>
        <w:r w:rsidR="008008E9">
          <w:rPr>
            <w:noProof/>
            <w:webHidden/>
          </w:rPr>
          <w:instrText xml:space="preserve"> PAGEREF _Toc137717488 \h </w:instrText>
        </w:r>
        <w:r w:rsidR="008008E9">
          <w:rPr>
            <w:noProof/>
            <w:webHidden/>
          </w:rPr>
        </w:r>
        <w:r w:rsidR="008008E9">
          <w:rPr>
            <w:noProof/>
            <w:webHidden/>
          </w:rPr>
          <w:fldChar w:fldCharType="separate"/>
        </w:r>
        <w:r w:rsidR="00BB012D">
          <w:rPr>
            <w:noProof/>
            <w:webHidden/>
          </w:rPr>
          <w:t>5</w:t>
        </w:r>
        <w:r w:rsidR="008008E9">
          <w:rPr>
            <w:noProof/>
            <w:webHidden/>
          </w:rPr>
          <w:fldChar w:fldCharType="end"/>
        </w:r>
      </w:hyperlink>
    </w:p>
    <w:p w14:paraId="688DC63E" w14:textId="6503E9B4" w:rsidR="008008E9" w:rsidRDefault="00DC44EA">
      <w:pPr>
        <w:pStyle w:val="TOC2"/>
        <w:rPr>
          <w:rFonts w:asciiTheme="minorHAnsi" w:eastAsiaTheme="minorEastAsia" w:hAnsiTheme="minorHAnsi"/>
          <w:noProof/>
          <w:color w:val="auto"/>
          <w:lang w:eastAsia="en-NZ"/>
        </w:rPr>
      </w:pPr>
      <w:hyperlink w:anchor="_Toc137717489" w:history="1">
        <w:r w:rsidR="008008E9" w:rsidRPr="007F2D4D">
          <w:rPr>
            <w:rStyle w:val="Hyperlink"/>
            <w:noProof/>
          </w:rPr>
          <w:t>Structure of the report</w:t>
        </w:r>
        <w:r w:rsidR="008008E9">
          <w:rPr>
            <w:noProof/>
            <w:webHidden/>
          </w:rPr>
          <w:tab/>
        </w:r>
        <w:r w:rsidR="008008E9">
          <w:rPr>
            <w:noProof/>
            <w:webHidden/>
          </w:rPr>
          <w:fldChar w:fldCharType="begin"/>
        </w:r>
        <w:r w:rsidR="008008E9">
          <w:rPr>
            <w:noProof/>
            <w:webHidden/>
          </w:rPr>
          <w:instrText xml:space="preserve"> PAGEREF _Toc137717489 \h </w:instrText>
        </w:r>
        <w:r w:rsidR="008008E9">
          <w:rPr>
            <w:noProof/>
            <w:webHidden/>
          </w:rPr>
        </w:r>
        <w:r w:rsidR="008008E9">
          <w:rPr>
            <w:noProof/>
            <w:webHidden/>
          </w:rPr>
          <w:fldChar w:fldCharType="separate"/>
        </w:r>
        <w:r w:rsidR="00BB012D">
          <w:rPr>
            <w:noProof/>
            <w:webHidden/>
          </w:rPr>
          <w:t>7</w:t>
        </w:r>
        <w:r w:rsidR="008008E9">
          <w:rPr>
            <w:noProof/>
            <w:webHidden/>
          </w:rPr>
          <w:fldChar w:fldCharType="end"/>
        </w:r>
      </w:hyperlink>
    </w:p>
    <w:p w14:paraId="21FB1E6E" w14:textId="6E99C2B6" w:rsidR="008008E9" w:rsidRDefault="00DC44EA" w:rsidP="0064465F">
      <w:pPr>
        <w:pStyle w:val="TOC1"/>
        <w:rPr>
          <w:rFonts w:asciiTheme="minorHAnsi" w:eastAsiaTheme="minorEastAsia" w:hAnsiTheme="minorHAnsi" w:cstheme="minorBidi"/>
          <w:noProof/>
          <w:color w:val="auto"/>
          <w:lang w:eastAsia="en-NZ"/>
        </w:rPr>
      </w:pPr>
      <w:hyperlink w:anchor="_Toc137717490" w:history="1">
        <w:r w:rsidR="008008E9" w:rsidRPr="007F2D4D">
          <w:rPr>
            <w:rStyle w:val="Hyperlink"/>
            <w:noProof/>
          </w:rPr>
          <w:t>Section 2: Leading out with influence | Wāhanga 2: Te arataki whakamana</w:t>
        </w:r>
        <w:r w:rsidR="008008E9">
          <w:rPr>
            <w:noProof/>
            <w:webHidden/>
          </w:rPr>
          <w:tab/>
        </w:r>
        <w:r w:rsidR="008008E9">
          <w:rPr>
            <w:noProof/>
            <w:webHidden/>
          </w:rPr>
          <w:fldChar w:fldCharType="begin"/>
        </w:r>
        <w:r w:rsidR="008008E9">
          <w:rPr>
            <w:noProof/>
            <w:webHidden/>
          </w:rPr>
          <w:instrText xml:space="preserve"> PAGEREF _Toc137717490 \h </w:instrText>
        </w:r>
        <w:r w:rsidR="008008E9">
          <w:rPr>
            <w:noProof/>
            <w:webHidden/>
          </w:rPr>
        </w:r>
        <w:r w:rsidR="008008E9">
          <w:rPr>
            <w:noProof/>
            <w:webHidden/>
          </w:rPr>
          <w:fldChar w:fldCharType="separate"/>
        </w:r>
        <w:r w:rsidR="00BB012D">
          <w:rPr>
            <w:noProof/>
            <w:webHidden/>
          </w:rPr>
          <w:t>8</w:t>
        </w:r>
        <w:r w:rsidR="008008E9">
          <w:rPr>
            <w:noProof/>
            <w:webHidden/>
          </w:rPr>
          <w:fldChar w:fldCharType="end"/>
        </w:r>
      </w:hyperlink>
    </w:p>
    <w:p w14:paraId="39CB16A3" w14:textId="0A994C68" w:rsidR="008008E9" w:rsidRDefault="00DC44EA">
      <w:pPr>
        <w:pStyle w:val="TOC2"/>
        <w:rPr>
          <w:rFonts w:asciiTheme="minorHAnsi" w:eastAsiaTheme="minorEastAsia" w:hAnsiTheme="minorHAnsi"/>
          <w:noProof/>
          <w:color w:val="auto"/>
          <w:lang w:eastAsia="en-NZ"/>
        </w:rPr>
      </w:pPr>
      <w:hyperlink w:anchor="_Toc137717491" w:history="1">
        <w:r w:rsidR="008008E9" w:rsidRPr="007F2D4D">
          <w:rPr>
            <w:rStyle w:val="Hyperlink"/>
            <w:noProof/>
          </w:rPr>
          <w:t>The changed landscape</w:t>
        </w:r>
        <w:r w:rsidR="008008E9">
          <w:rPr>
            <w:noProof/>
            <w:webHidden/>
          </w:rPr>
          <w:tab/>
        </w:r>
        <w:r w:rsidR="008008E9">
          <w:rPr>
            <w:noProof/>
            <w:webHidden/>
          </w:rPr>
          <w:fldChar w:fldCharType="begin"/>
        </w:r>
        <w:r w:rsidR="008008E9">
          <w:rPr>
            <w:noProof/>
            <w:webHidden/>
          </w:rPr>
          <w:instrText xml:space="preserve"> PAGEREF _Toc137717491 \h </w:instrText>
        </w:r>
        <w:r w:rsidR="008008E9">
          <w:rPr>
            <w:noProof/>
            <w:webHidden/>
          </w:rPr>
        </w:r>
        <w:r w:rsidR="008008E9">
          <w:rPr>
            <w:noProof/>
            <w:webHidden/>
          </w:rPr>
          <w:fldChar w:fldCharType="separate"/>
        </w:r>
        <w:r w:rsidR="00BB012D">
          <w:rPr>
            <w:noProof/>
            <w:webHidden/>
          </w:rPr>
          <w:t>8</w:t>
        </w:r>
        <w:r w:rsidR="008008E9">
          <w:rPr>
            <w:noProof/>
            <w:webHidden/>
          </w:rPr>
          <w:fldChar w:fldCharType="end"/>
        </w:r>
      </w:hyperlink>
    </w:p>
    <w:p w14:paraId="3F30394A" w14:textId="5B0502A3" w:rsidR="008008E9" w:rsidRDefault="00DC44EA">
      <w:pPr>
        <w:pStyle w:val="TOC2"/>
        <w:rPr>
          <w:rFonts w:asciiTheme="minorHAnsi" w:eastAsiaTheme="minorEastAsia" w:hAnsiTheme="minorHAnsi"/>
          <w:noProof/>
          <w:color w:val="auto"/>
          <w:lang w:eastAsia="en-NZ"/>
        </w:rPr>
      </w:pPr>
      <w:hyperlink w:anchor="_Toc137717492" w:history="1">
        <w:r w:rsidR="008008E9" w:rsidRPr="007F2D4D">
          <w:rPr>
            <w:rStyle w:val="Hyperlink"/>
            <w:noProof/>
          </w:rPr>
          <w:t>The unique and trusted position of Te Tāhū Hauora</w:t>
        </w:r>
        <w:r w:rsidR="008008E9">
          <w:rPr>
            <w:noProof/>
            <w:webHidden/>
          </w:rPr>
          <w:tab/>
        </w:r>
        <w:r w:rsidR="008008E9">
          <w:rPr>
            <w:noProof/>
            <w:webHidden/>
          </w:rPr>
          <w:fldChar w:fldCharType="begin"/>
        </w:r>
        <w:r w:rsidR="008008E9">
          <w:rPr>
            <w:noProof/>
            <w:webHidden/>
          </w:rPr>
          <w:instrText xml:space="preserve"> PAGEREF _Toc137717492 \h </w:instrText>
        </w:r>
        <w:r w:rsidR="008008E9">
          <w:rPr>
            <w:noProof/>
            <w:webHidden/>
          </w:rPr>
        </w:r>
        <w:r w:rsidR="008008E9">
          <w:rPr>
            <w:noProof/>
            <w:webHidden/>
          </w:rPr>
          <w:fldChar w:fldCharType="separate"/>
        </w:r>
        <w:r w:rsidR="00BB012D">
          <w:rPr>
            <w:noProof/>
            <w:webHidden/>
          </w:rPr>
          <w:t>9</w:t>
        </w:r>
        <w:r w:rsidR="008008E9">
          <w:rPr>
            <w:noProof/>
            <w:webHidden/>
          </w:rPr>
          <w:fldChar w:fldCharType="end"/>
        </w:r>
      </w:hyperlink>
    </w:p>
    <w:p w14:paraId="3812B010" w14:textId="2B54FC2D" w:rsidR="008008E9" w:rsidRDefault="00DC44EA">
      <w:pPr>
        <w:pStyle w:val="TOC2"/>
        <w:rPr>
          <w:rFonts w:asciiTheme="minorHAnsi" w:eastAsiaTheme="minorEastAsia" w:hAnsiTheme="minorHAnsi"/>
          <w:noProof/>
          <w:color w:val="auto"/>
          <w:lang w:eastAsia="en-NZ"/>
        </w:rPr>
      </w:pPr>
      <w:hyperlink w:anchor="_Toc137717493" w:history="1">
        <w:r w:rsidR="008008E9" w:rsidRPr="007F2D4D">
          <w:rPr>
            <w:rStyle w:val="Hyperlink"/>
            <w:noProof/>
          </w:rPr>
          <w:t>The path forward</w:t>
        </w:r>
        <w:r w:rsidR="008008E9">
          <w:rPr>
            <w:noProof/>
            <w:webHidden/>
          </w:rPr>
          <w:tab/>
        </w:r>
        <w:r w:rsidR="008008E9">
          <w:rPr>
            <w:noProof/>
            <w:webHidden/>
          </w:rPr>
          <w:fldChar w:fldCharType="begin"/>
        </w:r>
        <w:r w:rsidR="008008E9">
          <w:rPr>
            <w:noProof/>
            <w:webHidden/>
          </w:rPr>
          <w:instrText xml:space="preserve"> PAGEREF _Toc137717493 \h </w:instrText>
        </w:r>
        <w:r w:rsidR="008008E9">
          <w:rPr>
            <w:noProof/>
            <w:webHidden/>
          </w:rPr>
        </w:r>
        <w:r w:rsidR="008008E9">
          <w:rPr>
            <w:noProof/>
            <w:webHidden/>
          </w:rPr>
          <w:fldChar w:fldCharType="separate"/>
        </w:r>
        <w:r w:rsidR="00BB012D">
          <w:rPr>
            <w:noProof/>
            <w:webHidden/>
          </w:rPr>
          <w:t>10</w:t>
        </w:r>
        <w:r w:rsidR="008008E9">
          <w:rPr>
            <w:noProof/>
            <w:webHidden/>
          </w:rPr>
          <w:fldChar w:fldCharType="end"/>
        </w:r>
      </w:hyperlink>
    </w:p>
    <w:p w14:paraId="3FF92A08" w14:textId="204EC535" w:rsidR="008008E9" w:rsidRDefault="00DC44EA" w:rsidP="0064465F">
      <w:pPr>
        <w:pStyle w:val="TOC1"/>
        <w:rPr>
          <w:rFonts w:asciiTheme="minorHAnsi" w:eastAsiaTheme="minorEastAsia" w:hAnsiTheme="minorHAnsi" w:cstheme="minorBidi"/>
          <w:noProof/>
          <w:color w:val="auto"/>
          <w:lang w:eastAsia="en-NZ"/>
        </w:rPr>
      </w:pPr>
      <w:hyperlink w:anchor="_Toc137717494" w:history="1">
        <w:r w:rsidR="008008E9" w:rsidRPr="007F2D4D">
          <w:rPr>
            <w:rStyle w:val="Hyperlink"/>
            <w:noProof/>
          </w:rPr>
          <w:t>Section 3: Championing quality improvement | Wāhanga 3: Te hāpai whakapai kounga</w:t>
        </w:r>
        <w:r w:rsidR="008008E9">
          <w:rPr>
            <w:noProof/>
            <w:webHidden/>
          </w:rPr>
          <w:tab/>
        </w:r>
        <w:r w:rsidR="008008E9">
          <w:rPr>
            <w:noProof/>
            <w:webHidden/>
          </w:rPr>
          <w:fldChar w:fldCharType="begin"/>
        </w:r>
        <w:r w:rsidR="008008E9">
          <w:rPr>
            <w:noProof/>
            <w:webHidden/>
          </w:rPr>
          <w:instrText xml:space="preserve"> PAGEREF _Toc137717494 \h </w:instrText>
        </w:r>
        <w:r w:rsidR="008008E9">
          <w:rPr>
            <w:noProof/>
            <w:webHidden/>
          </w:rPr>
        </w:r>
        <w:r w:rsidR="008008E9">
          <w:rPr>
            <w:noProof/>
            <w:webHidden/>
          </w:rPr>
          <w:fldChar w:fldCharType="separate"/>
        </w:r>
        <w:r w:rsidR="00BB012D">
          <w:rPr>
            <w:noProof/>
            <w:webHidden/>
          </w:rPr>
          <w:t>11</w:t>
        </w:r>
        <w:r w:rsidR="008008E9">
          <w:rPr>
            <w:noProof/>
            <w:webHidden/>
          </w:rPr>
          <w:fldChar w:fldCharType="end"/>
        </w:r>
      </w:hyperlink>
    </w:p>
    <w:p w14:paraId="54CE550A" w14:textId="064F2A50" w:rsidR="008008E9" w:rsidRDefault="00DC44EA">
      <w:pPr>
        <w:pStyle w:val="TOC2"/>
        <w:rPr>
          <w:rFonts w:asciiTheme="minorHAnsi" w:eastAsiaTheme="minorEastAsia" w:hAnsiTheme="minorHAnsi"/>
          <w:noProof/>
          <w:color w:val="auto"/>
          <w:lang w:eastAsia="en-NZ"/>
        </w:rPr>
      </w:pPr>
      <w:hyperlink w:anchor="_Toc137717495" w:history="1">
        <w:r w:rsidR="008008E9" w:rsidRPr="007F2D4D">
          <w:rPr>
            <w:rStyle w:val="Hyperlink"/>
            <w:noProof/>
          </w:rPr>
          <w:t>Exemplars of consumer engagement within programmes and development of the consumer code of expectations</w:t>
        </w:r>
        <w:r w:rsidR="008008E9">
          <w:rPr>
            <w:noProof/>
            <w:webHidden/>
          </w:rPr>
          <w:tab/>
        </w:r>
        <w:r w:rsidR="008008E9">
          <w:rPr>
            <w:noProof/>
            <w:webHidden/>
          </w:rPr>
          <w:fldChar w:fldCharType="begin"/>
        </w:r>
        <w:r w:rsidR="008008E9">
          <w:rPr>
            <w:noProof/>
            <w:webHidden/>
          </w:rPr>
          <w:instrText xml:space="preserve"> PAGEREF _Toc137717495 \h </w:instrText>
        </w:r>
        <w:r w:rsidR="008008E9">
          <w:rPr>
            <w:noProof/>
            <w:webHidden/>
          </w:rPr>
        </w:r>
        <w:r w:rsidR="008008E9">
          <w:rPr>
            <w:noProof/>
            <w:webHidden/>
          </w:rPr>
          <w:fldChar w:fldCharType="separate"/>
        </w:r>
        <w:r w:rsidR="00BB012D">
          <w:rPr>
            <w:noProof/>
            <w:webHidden/>
          </w:rPr>
          <w:t>11</w:t>
        </w:r>
        <w:r w:rsidR="008008E9">
          <w:rPr>
            <w:noProof/>
            <w:webHidden/>
          </w:rPr>
          <w:fldChar w:fldCharType="end"/>
        </w:r>
      </w:hyperlink>
    </w:p>
    <w:p w14:paraId="0AA13C33" w14:textId="56B188D8" w:rsidR="008008E9" w:rsidRDefault="00DC44EA">
      <w:pPr>
        <w:pStyle w:val="TOC2"/>
        <w:rPr>
          <w:rFonts w:asciiTheme="minorHAnsi" w:eastAsiaTheme="minorEastAsia" w:hAnsiTheme="minorHAnsi"/>
          <w:noProof/>
          <w:color w:val="auto"/>
          <w:lang w:eastAsia="en-NZ"/>
        </w:rPr>
      </w:pPr>
      <w:hyperlink w:anchor="_Toc137717496" w:history="1">
        <w:r w:rsidR="008008E9" w:rsidRPr="007F2D4D">
          <w:rPr>
            <w:rStyle w:val="Hyperlink"/>
            <w:noProof/>
          </w:rPr>
          <w:t>Established leadership role in focusing on Te Tiriti o Waitangi and endorsing equity</w:t>
        </w:r>
        <w:r w:rsidR="008008E9">
          <w:rPr>
            <w:noProof/>
            <w:webHidden/>
          </w:rPr>
          <w:tab/>
        </w:r>
        <w:r w:rsidR="008008E9">
          <w:rPr>
            <w:noProof/>
            <w:webHidden/>
          </w:rPr>
          <w:fldChar w:fldCharType="begin"/>
        </w:r>
        <w:r w:rsidR="008008E9">
          <w:rPr>
            <w:noProof/>
            <w:webHidden/>
          </w:rPr>
          <w:instrText xml:space="preserve"> PAGEREF _Toc137717496 \h </w:instrText>
        </w:r>
        <w:r w:rsidR="008008E9">
          <w:rPr>
            <w:noProof/>
            <w:webHidden/>
          </w:rPr>
        </w:r>
        <w:r w:rsidR="008008E9">
          <w:rPr>
            <w:noProof/>
            <w:webHidden/>
          </w:rPr>
          <w:fldChar w:fldCharType="separate"/>
        </w:r>
        <w:r w:rsidR="00BB012D">
          <w:rPr>
            <w:noProof/>
            <w:webHidden/>
          </w:rPr>
          <w:t>11</w:t>
        </w:r>
        <w:r w:rsidR="008008E9">
          <w:rPr>
            <w:noProof/>
            <w:webHidden/>
          </w:rPr>
          <w:fldChar w:fldCharType="end"/>
        </w:r>
      </w:hyperlink>
    </w:p>
    <w:p w14:paraId="668F22A7" w14:textId="4A4E97A2" w:rsidR="008008E9" w:rsidRDefault="00DC44EA">
      <w:pPr>
        <w:pStyle w:val="TOC2"/>
        <w:rPr>
          <w:rFonts w:asciiTheme="minorHAnsi" w:eastAsiaTheme="minorEastAsia" w:hAnsiTheme="minorHAnsi"/>
          <w:noProof/>
          <w:color w:val="auto"/>
          <w:lang w:eastAsia="en-NZ"/>
        </w:rPr>
      </w:pPr>
      <w:hyperlink w:anchor="_Toc137717497" w:history="1">
        <w:r w:rsidR="008008E9" w:rsidRPr="007F2D4D">
          <w:rPr>
            <w:rStyle w:val="Hyperlink"/>
            <w:noProof/>
          </w:rPr>
          <w:t xml:space="preserve">Data and intelligence capacity and capability is a key strength and pivotal for the </w:t>
        </w:r>
        <w:r w:rsidR="008008E9">
          <w:rPr>
            <w:rStyle w:val="Hyperlink"/>
            <w:noProof/>
          </w:rPr>
          <w:br/>
        </w:r>
        <w:r w:rsidR="008008E9" w:rsidRPr="007F2D4D">
          <w:rPr>
            <w:rStyle w:val="Hyperlink"/>
            <w:noProof/>
          </w:rPr>
          <w:t>health sector</w:t>
        </w:r>
        <w:r w:rsidR="008008E9">
          <w:rPr>
            <w:noProof/>
            <w:webHidden/>
          </w:rPr>
          <w:tab/>
        </w:r>
        <w:r w:rsidR="008008E9">
          <w:rPr>
            <w:noProof/>
            <w:webHidden/>
          </w:rPr>
          <w:fldChar w:fldCharType="begin"/>
        </w:r>
        <w:r w:rsidR="008008E9">
          <w:rPr>
            <w:noProof/>
            <w:webHidden/>
          </w:rPr>
          <w:instrText xml:space="preserve"> PAGEREF _Toc137717497 \h </w:instrText>
        </w:r>
        <w:r w:rsidR="008008E9">
          <w:rPr>
            <w:noProof/>
            <w:webHidden/>
          </w:rPr>
        </w:r>
        <w:r w:rsidR="008008E9">
          <w:rPr>
            <w:noProof/>
            <w:webHidden/>
          </w:rPr>
          <w:fldChar w:fldCharType="separate"/>
        </w:r>
        <w:r w:rsidR="00BB012D">
          <w:rPr>
            <w:noProof/>
            <w:webHidden/>
          </w:rPr>
          <w:t>13</w:t>
        </w:r>
        <w:r w:rsidR="008008E9">
          <w:rPr>
            <w:noProof/>
            <w:webHidden/>
          </w:rPr>
          <w:fldChar w:fldCharType="end"/>
        </w:r>
      </w:hyperlink>
    </w:p>
    <w:p w14:paraId="1C314E5E" w14:textId="7EA51D37" w:rsidR="008008E9" w:rsidRDefault="00DC44EA">
      <w:pPr>
        <w:pStyle w:val="TOC2"/>
        <w:rPr>
          <w:rFonts w:asciiTheme="minorHAnsi" w:eastAsiaTheme="minorEastAsia" w:hAnsiTheme="minorHAnsi"/>
          <w:noProof/>
          <w:color w:val="auto"/>
          <w:lang w:eastAsia="en-NZ"/>
        </w:rPr>
      </w:pPr>
      <w:hyperlink w:anchor="_Toc137717498" w:history="1">
        <w:r w:rsidR="008008E9" w:rsidRPr="007F2D4D">
          <w:rPr>
            <w:rStyle w:val="Hyperlink"/>
            <w:noProof/>
          </w:rPr>
          <w:t>Mortality review continues to provide valuable insights</w:t>
        </w:r>
        <w:r w:rsidR="008008E9">
          <w:rPr>
            <w:noProof/>
            <w:webHidden/>
          </w:rPr>
          <w:tab/>
        </w:r>
        <w:r w:rsidR="008008E9">
          <w:rPr>
            <w:noProof/>
            <w:webHidden/>
          </w:rPr>
          <w:fldChar w:fldCharType="begin"/>
        </w:r>
        <w:r w:rsidR="008008E9">
          <w:rPr>
            <w:noProof/>
            <w:webHidden/>
          </w:rPr>
          <w:instrText xml:space="preserve"> PAGEREF _Toc137717498 \h </w:instrText>
        </w:r>
        <w:r w:rsidR="008008E9">
          <w:rPr>
            <w:noProof/>
            <w:webHidden/>
          </w:rPr>
        </w:r>
        <w:r w:rsidR="008008E9">
          <w:rPr>
            <w:noProof/>
            <w:webHidden/>
          </w:rPr>
          <w:fldChar w:fldCharType="separate"/>
        </w:r>
        <w:r w:rsidR="00BB012D">
          <w:rPr>
            <w:noProof/>
            <w:webHidden/>
          </w:rPr>
          <w:t>14</w:t>
        </w:r>
        <w:r w:rsidR="008008E9">
          <w:rPr>
            <w:noProof/>
            <w:webHidden/>
          </w:rPr>
          <w:fldChar w:fldCharType="end"/>
        </w:r>
      </w:hyperlink>
    </w:p>
    <w:p w14:paraId="2A981CA1" w14:textId="0EF88B42" w:rsidR="008008E9" w:rsidRDefault="00DC44EA">
      <w:pPr>
        <w:pStyle w:val="TOC2"/>
        <w:rPr>
          <w:rFonts w:asciiTheme="minorHAnsi" w:eastAsiaTheme="minorEastAsia" w:hAnsiTheme="minorHAnsi"/>
          <w:noProof/>
          <w:color w:val="auto"/>
          <w:lang w:eastAsia="en-NZ"/>
        </w:rPr>
      </w:pPr>
      <w:hyperlink w:anchor="_Toc137717499" w:history="1">
        <w:r w:rsidR="008008E9" w:rsidRPr="007F2D4D">
          <w:rPr>
            <w:rStyle w:val="Hyperlink"/>
            <w:noProof/>
          </w:rPr>
          <w:t>Maintains strong relationships across government and the sector and with consumers and whānau</w:t>
        </w:r>
        <w:r w:rsidR="008008E9">
          <w:rPr>
            <w:noProof/>
            <w:webHidden/>
          </w:rPr>
          <w:tab/>
        </w:r>
        <w:r w:rsidR="008008E9">
          <w:rPr>
            <w:noProof/>
            <w:webHidden/>
          </w:rPr>
          <w:fldChar w:fldCharType="begin"/>
        </w:r>
        <w:r w:rsidR="008008E9">
          <w:rPr>
            <w:noProof/>
            <w:webHidden/>
          </w:rPr>
          <w:instrText xml:space="preserve"> PAGEREF _Toc137717499 \h </w:instrText>
        </w:r>
        <w:r w:rsidR="008008E9">
          <w:rPr>
            <w:noProof/>
            <w:webHidden/>
          </w:rPr>
        </w:r>
        <w:r w:rsidR="008008E9">
          <w:rPr>
            <w:noProof/>
            <w:webHidden/>
          </w:rPr>
          <w:fldChar w:fldCharType="separate"/>
        </w:r>
        <w:r w:rsidR="00BB012D">
          <w:rPr>
            <w:noProof/>
            <w:webHidden/>
          </w:rPr>
          <w:t>14</w:t>
        </w:r>
        <w:r w:rsidR="008008E9">
          <w:rPr>
            <w:noProof/>
            <w:webHidden/>
          </w:rPr>
          <w:fldChar w:fldCharType="end"/>
        </w:r>
      </w:hyperlink>
    </w:p>
    <w:p w14:paraId="288F13F9" w14:textId="44F969DA" w:rsidR="008008E9" w:rsidRDefault="00DC44EA">
      <w:pPr>
        <w:pStyle w:val="TOC2"/>
        <w:rPr>
          <w:rFonts w:asciiTheme="minorHAnsi" w:eastAsiaTheme="minorEastAsia" w:hAnsiTheme="minorHAnsi"/>
          <w:noProof/>
          <w:color w:val="auto"/>
          <w:lang w:eastAsia="en-NZ"/>
        </w:rPr>
      </w:pPr>
      <w:hyperlink w:anchor="_Toc137717500" w:history="1">
        <w:r w:rsidR="008008E9" w:rsidRPr="007F2D4D">
          <w:rPr>
            <w:rStyle w:val="Hyperlink"/>
            <w:noProof/>
          </w:rPr>
          <w:t xml:space="preserve">Well-positioned to take a leadership role in the future and have a significant </w:t>
        </w:r>
        <w:r w:rsidR="008008E9">
          <w:rPr>
            <w:rStyle w:val="Hyperlink"/>
            <w:noProof/>
          </w:rPr>
          <w:br/>
        </w:r>
        <w:r w:rsidR="008008E9" w:rsidRPr="007F2D4D">
          <w:rPr>
            <w:rStyle w:val="Hyperlink"/>
            <w:noProof/>
          </w:rPr>
          <w:t>convening power</w:t>
        </w:r>
        <w:r w:rsidR="008008E9">
          <w:rPr>
            <w:noProof/>
            <w:webHidden/>
          </w:rPr>
          <w:tab/>
        </w:r>
        <w:r w:rsidR="008008E9">
          <w:rPr>
            <w:noProof/>
            <w:webHidden/>
          </w:rPr>
          <w:fldChar w:fldCharType="begin"/>
        </w:r>
        <w:r w:rsidR="008008E9">
          <w:rPr>
            <w:noProof/>
            <w:webHidden/>
          </w:rPr>
          <w:instrText xml:space="preserve"> PAGEREF _Toc137717500 \h </w:instrText>
        </w:r>
        <w:r w:rsidR="008008E9">
          <w:rPr>
            <w:noProof/>
            <w:webHidden/>
          </w:rPr>
        </w:r>
        <w:r w:rsidR="008008E9">
          <w:rPr>
            <w:noProof/>
            <w:webHidden/>
          </w:rPr>
          <w:fldChar w:fldCharType="separate"/>
        </w:r>
        <w:r w:rsidR="00BB012D">
          <w:rPr>
            <w:noProof/>
            <w:webHidden/>
          </w:rPr>
          <w:t>15</w:t>
        </w:r>
        <w:r w:rsidR="008008E9">
          <w:rPr>
            <w:noProof/>
            <w:webHidden/>
          </w:rPr>
          <w:fldChar w:fldCharType="end"/>
        </w:r>
      </w:hyperlink>
    </w:p>
    <w:p w14:paraId="13FDF5E0" w14:textId="5C82FA64" w:rsidR="008008E9" w:rsidRDefault="00DC44EA">
      <w:pPr>
        <w:pStyle w:val="TOC2"/>
        <w:rPr>
          <w:rFonts w:asciiTheme="minorHAnsi" w:eastAsiaTheme="minorEastAsia" w:hAnsiTheme="minorHAnsi"/>
          <w:noProof/>
          <w:color w:val="auto"/>
          <w:lang w:eastAsia="en-NZ"/>
        </w:rPr>
      </w:pPr>
      <w:hyperlink w:anchor="_Toc137717501" w:history="1">
        <w:r w:rsidR="008008E9" w:rsidRPr="007F2D4D">
          <w:rPr>
            <w:rStyle w:val="Hyperlink"/>
            <w:noProof/>
          </w:rPr>
          <w:t xml:space="preserve">Successful in promoting and training people in quality improvement methodology </w:t>
        </w:r>
        <w:r w:rsidR="008008E9">
          <w:rPr>
            <w:rStyle w:val="Hyperlink"/>
            <w:noProof/>
          </w:rPr>
          <w:br/>
        </w:r>
        <w:r w:rsidR="008008E9" w:rsidRPr="007F2D4D">
          <w:rPr>
            <w:rStyle w:val="Hyperlink"/>
            <w:noProof/>
          </w:rPr>
          <w:t>with a focus on good patient care  and safety</w:t>
        </w:r>
        <w:r w:rsidR="008008E9">
          <w:rPr>
            <w:noProof/>
            <w:webHidden/>
          </w:rPr>
          <w:tab/>
        </w:r>
        <w:r w:rsidR="008008E9">
          <w:rPr>
            <w:noProof/>
            <w:webHidden/>
          </w:rPr>
          <w:fldChar w:fldCharType="begin"/>
        </w:r>
        <w:r w:rsidR="008008E9">
          <w:rPr>
            <w:noProof/>
            <w:webHidden/>
          </w:rPr>
          <w:instrText xml:space="preserve"> PAGEREF _Toc137717501 \h </w:instrText>
        </w:r>
        <w:r w:rsidR="008008E9">
          <w:rPr>
            <w:noProof/>
            <w:webHidden/>
          </w:rPr>
        </w:r>
        <w:r w:rsidR="008008E9">
          <w:rPr>
            <w:noProof/>
            <w:webHidden/>
          </w:rPr>
          <w:fldChar w:fldCharType="separate"/>
        </w:r>
        <w:r w:rsidR="00BB012D">
          <w:rPr>
            <w:noProof/>
            <w:webHidden/>
          </w:rPr>
          <w:t>15</w:t>
        </w:r>
        <w:r w:rsidR="008008E9">
          <w:rPr>
            <w:noProof/>
            <w:webHidden/>
          </w:rPr>
          <w:fldChar w:fldCharType="end"/>
        </w:r>
      </w:hyperlink>
    </w:p>
    <w:p w14:paraId="10CE519E" w14:textId="724800AF" w:rsidR="008008E9" w:rsidRDefault="00DC44EA" w:rsidP="0064465F">
      <w:pPr>
        <w:pStyle w:val="TOC1"/>
        <w:rPr>
          <w:rFonts w:asciiTheme="minorHAnsi" w:eastAsiaTheme="minorEastAsia" w:hAnsiTheme="minorHAnsi" w:cstheme="minorBidi"/>
          <w:noProof/>
          <w:color w:val="auto"/>
          <w:lang w:eastAsia="en-NZ"/>
        </w:rPr>
      </w:pPr>
      <w:hyperlink w:anchor="_Toc137717502" w:history="1">
        <w:r w:rsidR="008008E9" w:rsidRPr="007F2D4D">
          <w:rPr>
            <w:rStyle w:val="Hyperlink"/>
            <w:noProof/>
          </w:rPr>
          <w:t xml:space="preserve">Section 4: Delivering on </w:t>
        </w:r>
        <w:r w:rsidR="0064465F">
          <w:rPr>
            <w:rStyle w:val="Hyperlink"/>
            <w:noProof/>
          </w:rPr>
          <w:t>p</w:t>
        </w:r>
        <w:r w:rsidR="008008E9" w:rsidRPr="007F2D4D">
          <w:rPr>
            <w:rStyle w:val="Hyperlink"/>
            <w:noProof/>
          </w:rPr>
          <w:t xml:space="preserve">ae </w:t>
        </w:r>
        <w:r w:rsidR="0064465F">
          <w:rPr>
            <w:rStyle w:val="Hyperlink"/>
            <w:noProof/>
          </w:rPr>
          <w:t>o</w:t>
        </w:r>
        <w:r w:rsidR="008008E9" w:rsidRPr="007F2D4D">
          <w:rPr>
            <w:rStyle w:val="Hyperlink"/>
            <w:noProof/>
          </w:rPr>
          <w:t>ra | Wāhanga 4:  Te whakatinanatanga</w:t>
        </w:r>
        <w:r w:rsidR="008008E9">
          <w:rPr>
            <w:noProof/>
            <w:webHidden/>
          </w:rPr>
          <w:tab/>
        </w:r>
        <w:r w:rsidR="008008E9">
          <w:rPr>
            <w:noProof/>
            <w:webHidden/>
          </w:rPr>
          <w:fldChar w:fldCharType="begin"/>
        </w:r>
        <w:r w:rsidR="008008E9">
          <w:rPr>
            <w:noProof/>
            <w:webHidden/>
          </w:rPr>
          <w:instrText xml:space="preserve"> PAGEREF _Toc137717502 \h </w:instrText>
        </w:r>
        <w:r w:rsidR="008008E9">
          <w:rPr>
            <w:noProof/>
            <w:webHidden/>
          </w:rPr>
        </w:r>
        <w:r w:rsidR="008008E9">
          <w:rPr>
            <w:noProof/>
            <w:webHidden/>
          </w:rPr>
          <w:fldChar w:fldCharType="separate"/>
        </w:r>
        <w:r w:rsidR="00BB012D">
          <w:rPr>
            <w:noProof/>
            <w:webHidden/>
          </w:rPr>
          <w:t>17</w:t>
        </w:r>
        <w:r w:rsidR="008008E9">
          <w:rPr>
            <w:noProof/>
            <w:webHidden/>
          </w:rPr>
          <w:fldChar w:fldCharType="end"/>
        </w:r>
      </w:hyperlink>
    </w:p>
    <w:p w14:paraId="561DD990" w14:textId="2E70CD25" w:rsidR="008008E9" w:rsidRDefault="00DC44EA">
      <w:pPr>
        <w:pStyle w:val="TOC2"/>
        <w:rPr>
          <w:rFonts w:asciiTheme="minorHAnsi" w:eastAsiaTheme="minorEastAsia" w:hAnsiTheme="minorHAnsi"/>
          <w:noProof/>
          <w:color w:val="auto"/>
          <w:lang w:eastAsia="en-NZ"/>
        </w:rPr>
      </w:pPr>
      <w:hyperlink w:anchor="_Toc137717503" w:history="1">
        <w:r w:rsidR="008008E9" w:rsidRPr="007F2D4D">
          <w:rPr>
            <w:rStyle w:val="Hyperlink"/>
            <w:noProof/>
          </w:rPr>
          <w:t xml:space="preserve">Clearly define and strengthen the visibility of its unique role and position in the </w:t>
        </w:r>
        <w:r w:rsidR="008008E9">
          <w:rPr>
            <w:rStyle w:val="Hyperlink"/>
            <w:noProof/>
          </w:rPr>
          <w:br/>
        </w:r>
        <w:r w:rsidR="008008E9" w:rsidRPr="007F2D4D">
          <w:rPr>
            <w:rStyle w:val="Hyperlink"/>
            <w:noProof/>
          </w:rPr>
          <w:t>reformed health system</w:t>
        </w:r>
        <w:r w:rsidR="008008E9">
          <w:rPr>
            <w:noProof/>
            <w:webHidden/>
          </w:rPr>
          <w:tab/>
        </w:r>
        <w:r w:rsidR="008008E9">
          <w:rPr>
            <w:noProof/>
            <w:webHidden/>
          </w:rPr>
          <w:fldChar w:fldCharType="begin"/>
        </w:r>
        <w:r w:rsidR="008008E9">
          <w:rPr>
            <w:noProof/>
            <w:webHidden/>
          </w:rPr>
          <w:instrText xml:space="preserve"> PAGEREF _Toc137717503 \h </w:instrText>
        </w:r>
        <w:r w:rsidR="008008E9">
          <w:rPr>
            <w:noProof/>
            <w:webHidden/>
          </w:rPr>
        </w:r>
        <w:r w:rsidR="008008E9">
          <w:rPr>
            <w:noProof/>
            <w:webHidden/>
          </w:rPr>
          <w:fldChar w:fldCharType="separate"/>
        </w:r>
        <w:r w:rsidR="00BB012D">
          <w:rPr>
            <w:noProof/>
            <w:webHidden/>
          </w:rPr>
          <w:t>17</w:t>
        </w:r>
        <w:r w:rsidR="008008E9">
          <w:rPr>
            <w:noProof/>
            <w:webHidden/>
          </w:rPr>
          <w:fldChar w:fldCharType="end"/>
        </w:r>
      </w:hyperlink>
    </w:p>
    <w:p w14:paraId="523047DF" w14:textId="58951108" w:rsidR="008008E9" w:rsidRDefault="00DC44EA">
      <w:pPr>
        <w:pStyle w:val="TOC2"/>
        <w:rPr>
          <w:rFonts w:asciiTheme="minorHAnsi" w:eastAsiaTheme="minorEastAsia" w:hAnsiTheme="minorHAnsi"/>
          <w:noProof/>
          <w:color w:val="auto"/>
          <w:lang w:eastAsia="en-NZ"/>
        </w:rPr>
      </w:pPr>
      <w:hyperlink w:anchor="_Toc137717504" w:history="1">
        <w:r w:rsidR="008008E9" w:rsidRPr="007F2D4D">
          <w:rPr>
            <w:rStyle w:val="Hyperlink"/>
            <w:noProof/>
          </w:rPr>
          <w:t xml:space="preserve">Establish a clear evidence-based process to drive quality improvement prioritisation </w:t>
        </w:r>
        <w:r w:rsidR="008008E9">
          <w:rPr>
            <w:rStyle w:val="Hyperlink"/>
            <w:noProof/>
          </w:rPr>
          <w:br/>
        </w:r>
        <w:r w:rsidR="008008E9" w:rsidRPr="007F2D4D">
          <w:rPr>
            <w:rStyle w:val="Hyperlink"/>
            <w:noProof/>
          </w:rPr>
          <w:t>and initiatives</w:t>
        </w:r>
        <w:r w:rsidR="008008E9">
          <w:rPr>
            <w:noProof/>
            <w:webHidden/>
          </w:rPr>
          <w:tab/>
        </w:r>
        <w:r w:rsidR="008008E9">
          <w:rPr>
            <w:noProof/>
            <w:webHidden/>
          </w:rPr>
          <w:fldChar w:fldCharType="begin"/>
        </w:r>
        <w:r w:rsidR="008008E9">
          <w:rPr>
            <w:noProof/>
            <w:webHidden/>
          </w:rPr>
          <w:instrText xml:space="preserve"> PAGEREF _Toc137717504 \h </w:instrText>
        </w:r>
        <w:r w:rsidR="008008E9">
          <w:rPr>
            <w:noProof/>
            <w:webHidden/>
          </w:rPr>
        </w:r>
        <w:r w:rsidR="008008E9">
          <w:rPr>
            <w:noProof/>
            <w:webHidden/>
          </w:rPr>
          <w:fldChar w:fldCharType="separate"/>
        </w:r>
        <w:r w:rsidR="00BB012D">
          <w:rPr>
            <w:noProof/>
            <w:webHidden/>
          </w:rPr>
          <w:t>18</w:t>
        </w:r>
        <w:r w:rsidR="008008E9">
          <w:rPr>
            <w:noProof/>
            <w:webHidden/>
          </w:rPr>
          <w:fldChar w:fldCharType="end"/>
        </w:r>
      </w:hyperlink>
    </w:p>
    <w:p w14:paraId="214218B2" w14:textId="4FC578FF" w:rsidR="008008E9" w:rsidRDefault="00DC44EA">
      <w:pPr>
        <w:pStyle w:val="TOC2"/>
        <w:rPr>
          <w:rFonts w:asciiTheme="minorHAnsi" w:eastAsiaTheme="minorEastAsia" w:hAnsiTheme="minorHAnsi"/>
          <w:noProof/>
          <w:color w:val="auto"/>
          <w:lang w:eastAsia="en-NZ"/>
        </w:rPr>
      </w:pPr>
      <w:hyperlink w:anchor="_Toc137717505" w:history="1">
        <w:r w:rsidR="008008E9" w:rsidRPr="007F2D4D">
          <w:rPr>
            <w:rStyle w:val="Hyperlink"/>
            <w:noProof/>
          </w:rPr>
          <w:t>Advance from ‘shining the light’ to ‘leading out with influence’</w:t>
        </w:r>
        <w:r w:rsidR="008008E9">
          <w:rPr>
            <w:noProof/>
            <w:webHidden/>
          </w:rPr>
          <w:tab/>
        </w:r>
        <w:r w:rsidR="008008E9">
          <w:rPr>
            <w:noProof/>
            <w:webHidden/>
          </w:rPr>
          <w:fldChar w:fldCharType="begin"/>
        </w:r>
        <w:r w:rsidR="008008E9">
          <w:rPr>
            <w:noProof/>
            <w:webHidden/>
          </w:rPr>
          <w:instrText xml:space="preserve"> PAGEREF _Toc137717505 \h </w:instrText>
        </w:r>
        <w:r w:rsidR="008008E9">
          <w:rPr>
            <w:noProof/>
            <w:webHidden/>
          </w:rPr>
        </w:r>
        <w:r w:rsidR="008008E9">
          <w:rPr>
            <w:noProof/>
            <w:webHidden/>
          </w:rPr>
          <w:fldChar w:fldCharType="separate"/>
        </w:r>
        <w:r w:rsidR="00BB012D">
          <w:rPr>
            <w:noProof/>
            <w:webHidden/>
          </w:rPr>
          <w:t>18</w:t>
        </w:r>
        <w:r w:rsidR="008008E9">
          <w:rPr>
            <w:noProof/>
            <w:webHidden/>
          </w:rPr>
          <w:fldChar w:fldCharType="end"/>
        </w:r>
      </w:hyperlink>
    </w:p>
    <w:p w14:paraId="7FBA209A" w14:textId="057B38D0" w:rsidR="008008E9" w:rsidRDefault="00DC44EA">
      <w:pPr>
        <w:pStyle w:val="TOC2"/>
        <w:rPr>
          <w:rFonts w:asciiTheme="minorHAnsi" w:eastAsiaTheme="minorEastAsia" w:hAnsiTheme="minorHAnsi"/>
          <w:noProof/>
          <w:color w:val="auto"/>
          <w:lang w:eastAsia="en-NZ"/>
        </w:rPr>
      </w:pPr>
      <w:hyperlink w:anchor="_Toc137717506" w:history="1">
        <w:r w:rsidR="008008E9" w:rsidRPr="007F2D4D">
          <w:rPr>
            <w:rStyle w:val="Hyperlink"/>
            <w:noProof/>
          </w:rPr>
          <w:t>Enhance capacity to translate evidence into action and close  the loop</w:t>
        </w:r>
        <w:r w:rsidR="008008E9">
          <w:rPr>
            <w:noProof/>
            <w:webHidden/>
          </w:rPr>
          <w:tab/>
        </w:r>
        <w:r w:rsidR="008008E9">
          <w:rPr>
            <w:noProof/>
            <w:webHidden/>
          </w:rPr>
          <w:fldChar w:fldCharType="begin"/>
        </w:r>
        <w:r w:rsidR="008008E9">
          <w:rPr>
            <w:noProof/>
            <w:webHidden/>
          </w:rPr>
          <w:instrText xml:space="preserve"> PAGEREF _Toc137717506 \h </w:instrText>
        </w:r>
        <w:r w:rsidR="008008E9">
          <w:rPr>
            <w:noProof/>
            <w:webHidden/>
          </w:rPr>
        </w:r>
        <w:r w:rsidR="008008E9">
          <w:rPr>
            <w:noProof/>
            <w:webHidden/>
          </w:rPr>
          <w:fldChar w:fldCharType="separate"/>
        </w:r>
        <w:r w:rsidR="00BB012D">
          <w:rPr>
            <w:noProof/>
            <w:webHidden/>
          </w:rPr>
          <w:t>20</w:t>
        </w:r>
        <w:r w:rsidR="008008E9">
          <w:rPr>
            <w:noProof/>
            <w:webHidden/>
          </w:rPr>
          <w:fldChar w:fldCharType="end"/>
        </w:r>
      </w:hyperlink>
    </w:p>
    <w:p w14:paraId="2281C023" w14:textId="0D431462" w:rsidR="008008E9" w:rsidRDefault="00DC44EA">
      <w:pPr>
        <w:pStyle w:val="TOC2"/>
        <w:rPr>
          <w:rFonts w:asciiTheme="minorHAnsi" w:eastAsiaTheme="minorEastAsia" w:hAnsiTheme="minorHAnsi"/>
          <w:noProof/>
          <w:color w:val="auto"/>
          <w:lang w:eastAsia="en-NZ"/>
        </w:rPr>
      </w:pPr>
      <w:hyperlink w:anchor="_Toc137717507" w:history="1">
        <w:r w:rsidR="008008E9" w:rsidRPr="007F2D4D">
          <w:rPr>
            <w:rStyle w:val="Hyperlink"/>
            <w:noProof/>
          </w:rPr>
          <w:t>Build and improve its focus on the whole system</w:t>
        </w:r>
        <w:r w:rsidR="008008E9">
          <w:rPr>
            <w:noProof/>
            <w:webHidden/>
          </w:rPr>
          <w:tab/>
        </w:r>
        <w:r w:rsidR="008008E9">
          <w:rPr>
            <w:noProof/>
            <w:webHidden/>
          </w:rPr>
          <w:fldChar w:fldCharType="begin"/>
        </w:r>
        <w:r w:rsidR="008008E9">
          <w:rPr>
            <w:noProof/>
            <w:webHidden/>
          </w:rPr>
          <w:instrText xml:space="preserve"> PAGEREF _Toc137717507 \h </w:instrText>
        </w:r>
        <w:r w:rsidR="008008E9">
          <w:rPr>
            <w:noProof/>
            <w:webHidden/>
          </w:rPr>
        </w:r>
        <w:r w:rsidR="008008E9">
          <w:rPr>
            <w:noProof/>
            <w:webHidden/>
          </w:rPr>
          <w:fldChar w:fldCharType="separate"/>
        </w:r>
        <w:r w:rsidR="00BB012D">
          <w:rPr>
            <w:noProof/>
            <w:webHidden/>
          </w:rPr>
          <w:t>21</w:t>
        </w:r>
        <w:r w:rsidR="008008E9">
          <w:rPr>
            <w:noProof/>
            <w:webHidden/>
          </w:rPr>
          <w:fldChar w:fldCharType="end"/>
        </w:r>
      </w:hyperlink>
    </w:p>
    <w:p w14:paraId="66B4D2DB" w14:textId="60CD144E" w:rsidR="008008E9" w:rsidRDefault="00DC44EA">
      <w:pPr>
        <w:pStyle w:val="TOC2"/>
        <w:rPr>
          <w:rFonts w:asciiTheme="minorHAnsi" w:eastAsiaTheme="minorEastAsia" w:hAnsiTheme="minorHAnsi"/>
          <w:noProof/>
          <w:color w:val="auto"/>
          <w:lang w:eastAsia="en-NZ"/>
        </w:rPr>
      </w:pPr>
      <w:hyperlink w:anchor="_Toc137717508" w:history="1">
        <w:r w:rsidR="008008E9" w:rsidRPr="007F2D4D">
          <w:rPr>
            <w:rStyle w:val="Hyperlink"/>
            <w:noProof/>
          </w:rPr>
          <w:t>Shift Te Tiriti o Waitangi and te ao Māori capability from rhetoric  to action</w:t>
        </w:r>
        <w:r w:rsidR="008008E9">
          <w:rPr>
            <w:noProof/>
            <w:webHidden/>
          </w:rPr>
          <w:tab/>
        </w:r>
        <w:r w:rsidR="008008E9">
          <w:rPr>
            <w:noProof/>
            <w:webHidden/>
          </w:rPr>
          <w:fldChar w:fldCharType="begin"/>
        </w:r>
        <w:r w:rsidR="008008E9">
          <w:rPr>
            <w:noProof/>
            <w:webHidden/>
          </w:rPr>
          <w:instrText xml:space="preserve"> PAGEREF _Toc137717508 \h </w:instrText>
        </w:r>
        <w:r w:rsidR="008008E9">
          <w:rPr>
            <w:noProof/>
            <w:webHidden/>
          </w:rPr>
        </w:r>
        <w:r w:rsidR="008008E9">
          <w:rPr>
            <w:noProof/>
            <w:webHidden/>
          </w:rPr>
          <w:fldChar w:fldCharType="separate"/>
        </w:r>
        <w:r w:rsidR="00BB012D">
          <w:rPr>
            <w:noProof/>
            <w:webHidden/>
          </w:rPr>
          <w:t>21</w:t>
        </w:r>
        <w:r w:rsidR="008008E9">
          <w:rPr>
            <w:noProof/>
            <w:webHidden/>
          </w:rPr>
          <w:fldChar w:fldCharType="end"/>
        </w:r>
      </w:hyperlink>
    </w:p>
    <w:p w14:paraId="420A1B16" w14:textId="6FFF9AF4" w:rsidR="008008E9" w:rsidRDefault="00DC44EA" w:rsidP="0064465F">
      <w:pPr>
        <w:pStyle w:val="TOC1"/>
        <w:rPr>
          <w:rFonts w:asciiTheme="minorHAnsi" w:eastAsiaTheme="minorEastAsia" w:hAnsiTheme="minorHAnsi" w:cstheme="minorBidi"/>
          <w:noProof/>
          <w:color w:val="auto"/>
          <w:lang w:eastAsia="en-NZ"/>
        </w:rPr>
      </w:pPr>
      <w:hyperlink w:anchor="_Toc137717509" w:history="1">
        <w:r w:rsidR="008008E9" w:rsidRPr="007F2D4D">
          <w:rPr>
            <w:rStyle w:val="Hyperlink"/>
            <w:noProof/>
          </w:rPr>
          <w:t>Section 5: Recommendations | Wāhanga 5:  Ngā whakatau</w:t>
        </w:r>
        <w:r w:rsidR="008008E9">
          <w:rPr>
            <w:noProof/>
            <w:webHidden/>
          </w:rPr>
          <w:tab/>
        </w:r>
        <w:r w:rsidR="008008E9">
          <w:rPr>
            <w:noProof/>
            <w:webHidden/>
          </w:rPr>
          <w:fldChar w:fldCharType="begin"/>
        </w:r>
        <w:r w:rsidR="008008E9">
          <w:rPr>
            <w:noProof/>
            <w:webHidden/>
          </w:rPr>
          <w:instrText xml:space="preserve"> PAGEREF _Toc137717509 \h </w:instrText>
        </w:r>
        <w:r w:rsidR="008008E9">
          <w:rPr>
            <w:noProof/>
            <w:webHidden/>
          </w:rPr>
        </w:r>
        <w:r w:rsidR="008008E9">
          <w:rPr>
            <w:noProof/>
            <w:webHidden/>
          </w:rPr>
          <w:fldChar w:fldCharType="separate"/>
        </w:r>
        <w:r w:rsidR="00BB012D">
          <w:rPr>
            <w:noProof/>
            <w:webHidden/>
          </w:rPr>
          <w:t>23</w:t>
        </w:r>
        <w:r w:rsidR="008008E9">
          <w:rPr>
            <w:noProof/>
            <w:webHidden/>
          </w:rPr>
          <w:fldChar w:fldCharType="end"/>
        </w:r>
      </w:hyperlink>
    </w:p>
    <w:p w14:paraId="18BDFAAE" w14:textId="5D6FBE26" w:rsidR="008008E9" w:rsidRDefault="00DC44EA" w:rsidP="0064465F">
      <w:pPr>
        <w:pStyle w:val="TOC1"/>
        <w:rPr>
          <w:rFonts w:asciiTheme="minorHAnsi" w:eastAsiaTheme="minorEastAsia" w:hAnsiTheme="minorHAnsi" w:cstheme="minorBidi"/>
          <w:noProof/>
          <w:color w:val="auto"/>
          <w:lang w:eastAsia="en-NZ"/>
        </w:rPr>
      </w:pPr>
      <w:hyperlink w:anchor="_Toc137717510" w:history="1">
        <w:r w:rsidR="008008E9" w:rsidRPr="007F2D4D">
          <w:rPr>
            <w:rStyle w:val="Hyperlink"/>
            <w:noProof/>
          </w:rPr>
          <w:t xml:space="preserve">Appendix 1: Question guidance for key stakeholder interviews | Āpitihanga 1: </w:t>
        </w:r>
        <w:r w:rsidR="008008E9">
          <w:rPr>
            <w:rStyle w:val="Hyperlink"/>
            <w:noProof/>
          </w:rPr>
          <w:br/>
        </w:r>
        <w:r w:rsidR="008008E9" w:rsidRPr="007F2D4D">
          <w:rPr>
            <w:rStyle w:val="Hyperlink"/>
            <w:noProof/>
          </w:rPr>
          <w:t>Aratohu pātai mō ngā uiuitanga</w:t>
        </w:r>
        <w:r w:rsidR="008008E9">
          <w:rPr>
            <w:noProof/>
            <w:webHidden/>
          </w:rPr>
          <w:tab/>
        </w:r>
        <w:r w:rsidR="008008E9">
          <w:rPr>
            <w:noProof/>
            <w:webHidden/>
          </w:rPr>
          <w:fldChar w:fldCharType="begin"/>
        </w:r>
        <w:r w:rsidR="008008E9">
          <w:rPr>
            <w:noProof/>
            <w:webHidden/>
          </w:rPr>
          <w:instrText xml:space="preserve"> PAGEREF _Toc137717510 \h </w:instrText>
        </w:r>
        <w:r w:rsidR="008008E9">
          <w:rPr>
            <w:noProof/>
            <w:webHidden/>
          </w:rPr>
        </w:r>
        <w:r w:rsidR="008008E9">
          <w:rPr>
            <w:noProof/>
            <w:webHidden/>
          </w:rPr>
          <w:fldChar w:fldCharType="separate"/>
        </w:r>
        <w:r w:rsidR="00BB012D">
          <w:rPr>
            <w:noProof/>
            <w:webHidden/>
          </w:rPr>
          <w:t>25</w:t>
        </w:r>
        <w:r w:rsidR="008008E9">
          <w:rPr>
            <w:noProof/>
            <w:webHidden/>
          </w:rPr>
          <w:fldChar w:fldCharType="end"/>
        </w:r>
      </w:hyperlink>
    </w:p>
    <w:p w14:paraId="4B4696F7" w14:textId="51FBBC4A" w:rsidR="008008E9" w:rsidRDefault="00DC44EA" w:rsidP="0064465F">
      <w:pPr>
        <w:pStyle w:val="TOC1"/>
        <w:rPr>
          <w:rFonts w:asciiTheme="minorHAnsi" w:eastAsiaTheme="minorEastAsia" w:hAnsiTheme="minorHAnsi" w:cstheme="minorBidi"/>
          <w:noProof/>
          <w:color w:val="auto"/>
          <w:lang w:eastAsia="en-NZ"/>
        </w:rPr>
      </w:pPr>
      <w:hyperlink w:anchor="_Toc137717511" w:history="1">
        <w:r w:rsidR="008008E9" w:rsidRPr="007F2D4D">
          <w:rPr>
            <w:rStyle w:val="Hyperlink"/>
            <w:noProof/>
          </w:rPr>
          <w:t>Appendix 2: Agencies and organisations represented in interviews or focus groups | Āpitihanga 2: Ngā pokapū me ngā rōpū i whakakanohitia ai i ngā uiuitanga me ngā rōpū whāiti</w:t>
        </w:r>
        <w:r w:rsidR="008008E9">
          <w:rPr>
            <w:noProof/>
            <w:webHidden/>
          </w:rPr>
          <w:tab/>
        </w:r>
        <w:r w:rsidR="008008E9">
          <w:rPr>
            <w:noProof/>
            <w:webHidden/>
          </w:rPr>
          <w:fldChar w:fldCharType="begin"/>
        </w:r>
        <w:r w:rsidR="008008E9">
          <w:rPr>
            <w:noProof/>
            <w:webHidden/>
          </w:rPr>
          <w:instrText xml:space="preserve"> PAGEREF _Toc137717511 \h </w:instrText>
        </w:r>
        <w:r w:rsidR="008008E9">
          <w:rPr>
            <w:noProof/>
            <w:webHidden/>
          </w:rPr>
        </w:r>
        <w:r w:rsidR="008008E9">
          <w:rPr>
            <w:noProof/>
            <w:webHidden/>
          </w:rPr>
          <w:fldChar w:fldCharType="separate"/>
        </w:r>
        <w:r w:rsidR="00BB012D">
          <w:rPr>
            <w:noProof/>
            <w:webHidden/>
          </w:rPr>
          <w:t>26</w:t>
        </w:r>
        <w:r w:rsidR="008008E9">
          <w:rPr>
            <w:noProof/>
            <w:webHidden/>
          </w:rPr>
          <w:fldChar w:fldCharType="end"/>
        </w:r>
      </w:hyperlink>
    </w:p>
    <w:p w14:paraId="6E1A4C95" w14:textId="7F96983A" w:rsidR="008008E9" w:rsidRDefault="00DC44EA" w:rsidP="0064465F">
      <w:pPr>
        <w:pStyle w:val="TOC1"/>
        <w:rPr>
          <w:rFonts w:asciiTheme="minorHAnsi" w:eastAsiaTheme="minorEastAsia" w:hAnsiTheme="minorHAnsi" w:cstheme="minorBidi"/>
          <w:noProof/>
          <w:color w:val="auto"/>
          <w:lang w:eastAsia="en-NZ"/>
        </w:rPr>
      </w:pPr>
      <w:hyperlink w:anchor="_Toc137717512" w:history="1">
        <w:r w:rsidR="008008E9" w:rsidRPr="007F2D4D">
          <w:rPr>
            <w:rStyle w:val="Hyperlink"/>
            <w:noProof/>
          </w:rPr>
          <w:t>Appendix 3: Te Tāhū Hauora staff survey questions | Āpitihanga 3: Ngā patapatai ki ngā kaimahi o  Te Tāhū Hauora</w:t>
        </w:r>
        <w:r w:rsidR="008008E9">
          <w:rPr>
            <w:noProof/>
            <w:webHidden/>
          </w:rPr>
          <w:tab/>
        </w:r>
        <w:r w:rsidR="008008E9">
          <w:rPr>
            <w:noProof/>
            <w:webHidden/>
          </w:rPr>
          <w:fldChar w:fldCharType="begin"/>
        </w:r>
        <w:r w:rsidR="008008E9">
          <w:rPr>
            <w:noProof/>
            <w:webHidden/>
          </w:rPr>
          <w:instrText xml:space="preserve"> PAGEREF _Toc137717512 \h </w:instrText>
        </w:r>
        <w:r w:rsidR="008008E9">
          <w:rPr>
            <w:noProof/>
            <w:webHidden/>
          </w:rPr>
        </w:r>
        <w:r w:rsidR="008008E9">
          <w:rPr>
            <w:noProof/>
            <w:webHidden/>
          </w:rPr>
          <w:fldChar w:fldCharType="separate"/>
        </w:r>
        <w:r w:rsidR="00BB012D">
          <w:rPr>
            <w:noProof/>
            <w:webHidden/>
          </w:rPr>
          <w:t>27</w:t>
        </w:r>
        <w:r w:rsidR="008008E9">
          <w:rPr>
            <w:noProof/>
            <w:webHidden/>
          </w:rPr>
          <w:fldChar w:fldCharType="end"/>
        </w:r>
      </w:hyperlink>
    </w:p>
    <w:p w14:paraId="7CD1CE41" w14:textId="36174538" w:rsidR="002E4D5C" w:rsidRPr="00AD3EE6" w:rsidRDefault="00064DA0" w:rsidP="008008E9">
      <w:pPr>
        <w:spacing w:after="200"/>
      </w:pPr>
      <w:r>
        <w:lastRenderedPageBreak/>
        <w:fldChar w:fldCharType="end"/>
      </w:r>
      <w:r w:rsidR="002E4D5C" w:rsidRPr="00AD3EE6">
        <w:t xml:space="preserve">Published </w:t>
      </w:r>
      <w:r w:rsidR="002E4D5C">
        <w:t>Ju</w:t>
      </w:r>
      <w:r w:rsidR="00FD619F">
        <w:t>ly</w:t>
      </w:r>
      <w:r w:rsidR="002E4D5C">
        <w:t xml:space="preserve"> 2023</w:t>
      </w:r>
      <w:r w:rsidR="002E4D5C" w:rsidRPr="00AD3EE6">
        <w:t xml:space="preserve"> by Te </w:t>
      </w:r>
      <w:proofErr w:type="spellStart"/>
      <w:r w:rsidR="002E4D5C" w:rsidRPr="00AD3EE6">
        <w:t>Tāhū</w:t>
      </w:r>
      <w:proofErr w:type="spellEnd"/>
      <w:r w:rsidR="002E4D5C" w:rsidRPr="00AD3EE6">
        <w:t xml:space="preserve"> Hauora Health Quality &amp; Safety Commission, PO Box 25496, Te Whanganui-a-Tara Wellington, 6146.</w:t>
      </w:r>
    </w:p>
    <w:p w14:paraId="17E2A175" w14:textId="77777777" w:rsidR="002E4D5C" w:rsidRPr="00AD3EE6" w:rsidRDefault="002E4D5C" w:rsidP="002E4D5C">
      <w:pPr>
        <w:pStyle w:val="BodyText"/>
      </w:pPr>
    </w:p>
    <w:p w14:paraId="6C58B322" w14:textId="611F92E7" w:rsidR="002E4D5C" w:rsidRPr="00AD3EE6" w:rsidRDefault="002E4D5C" w:rsidP="002E4D5C">
      <w:pPr>
        <w:pStyle w:val="BodyText"/>
      </w:pPr>
      <w:r w:rsidRPr="00AD3EE6">
        <w:t xml:space="preserve">ISBN </w:t>
      </w:r>
      <w:r w:rsidRPr="00EC0CAA">
        <w:t>978-1-98-8599</w:t>
      </w:r>
      <w:r>
        <w:t>95-3</w:t>
      </w:r>
    </w:p>
    <w:p w14:paraId="21DD10F2" w14:textId="77777777" w:rsidR="002E4D5C" w:rsidRPr="00AD3EE6" w:rsidRDefault="002E4D5C" w:rsidP="002E4D5C">
      <w:pPr>
        <w:pStyle w:val="BodyText"/>
      </w:pPr>
      <w:r w:rsidRPr="00AD3EE6">
        <w:t xml:space="preserve">Available online at </w:t>
      </w:r>
      <w:hyperlink r:id="rId13" w:history="1">
        <w:r w:rsidRPr="00AD3EE6">
          <w:rPr>
            <w:rStyle w:val="Hyperlink"/>
          </w:rPr>
          <w:t>www.hqsc.govt.nz</w:t>
        </w:r>
      </w:hyperlink>
    </w:p>
    <w:p w14:paraId="38DFD57A" w14:textId="77777777" w:rsidR="002E4D5C" w:rsidRPr="00AD3EE6" w:rsidRDefault="002E4D5C" w:rsidP="002E4D5C">
      <w:pPr>
        <w:pStyle w:val="BodyText"/>
      </w:pPr>
      <w:r w:rsidRPr="00AD3EE6">
        <w:t xml:space="preserve">Enquiries to: </w:t>
      </w:r>
      <w:hyperlink r:id="rId14" w:history="1">
        <w:r w:rsidRPr="00AD3EE6">
          <w:rPr>
            <w:rStyle w:val="Hyperlink"/>
          </w:rPr>
          <w:t>info@hqsc.govt.nz</w:t>
        </w:r>
      </w:hyperlink>
    </w:p>
    <w:p w14:paraId="7E0D80AF" w14:textId="77777777" w:rsidR="002E4D5C" w:rsidRPr="00AD3EE6" w:rsidRDefault="002E4D5C" w:rsidP="002E4D5C">
      <w:pPr>
        <w:pStyle w:val="BodyText"/>
      </w:pPr>
    </w:p>
    <w:p w14:paraId="670EB1D5" w14:textId="135393D1" w:rsidR="002E4D5C" w:rsidRPr="00AD3EE6" w:rsidRDefault="002E4D5C" w:rsidP="002E4D5C">
      <w:pPr>
        <w:pStyle w:val="BodyText"/>
      </w:pPr>
      <w:r w:rsidRPr="00AD3EE6">
        <w:rPr>
          <w:noProof/>
        </w:rPr>
        <w:drawing>
          <wp:anchor distT="0" distB="0" distL="114300" distR="114300" simplePos="0" relativeHeight="251660289" behindDoc="1" locked="0" layoutInCell="1" allowOverlap="1" wp14:anchorId="5E4C88E2" wp14:editId="392C2E54">
            <wp:simplePos x="0" y="0"/>
            <wp:positionH relativeFrom="margin">
              <wp:align>right</wp:align>
            </wp:positionH>
            <wp:positionV relativeFrom="paragraph">
              <wp:posOffset>59055</wp:posOffset>
            </wp:positionV>
            <wp:extent cx="1401445" cy="488950"/>
            <wp:effectExtent l="0" t="0" r="8255" b="6350"/>
            <wp:wrapTight wrapText="bothSides">
              <wp:wrapPolygon edited="0">
                <wp:start x="0" y="0"/>
                <wp:lineTo x="0" y="21039"/>
                <wp:lineTo x="21434" y="21039"/>
                <wp:lineTo x="21434" y="0"/>
                <wp:lineTo x="0" y="0"/>
              </wp:wrapPolygon>
            </wp:wrapTight>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1445" cy="488950"/>
                    </a:xfrm>
                    <a:prstGeom prst="rect">
                      <a:avLst/>
                    </a:prstGeom>
                  </pic:spPr>
                </pic:pic>
              </a:graphicData>
            </a:graphic>
            <wp14:sizeRelH relativeFrom="margin">
              <wp14:pctWidth>0</wp14:pctWidth>
            </wp14:sizeRelH>
            <wp14:sizeRelV relativeFrom="margin">
              <wp14:pctHeight>0</wp14:pctHeight>
            </wp14:sizeRelV>
          </wp:anchor>
        </w:drawing>
      </w:r>
      <w:r w:rsidRPr="00AD3EE6">
        <w:t xml:space="preserve">This work is licensed under the Creative Commons </w:t>
      </w:r>
      <w:proofErr w:type="spellStart"/>
      <w:r w:rsidRPr="00AD3EE6">
        <w:t>AttributionNonCommercial-ShareAlike</w:t>
      </w:r>
      <w:proofErr w:type="spellEnd"/>
      <w:r w:rsidRPr="00AD3EE6">
        <w:t xml:space="preserve"> 4.0 International </w:t>
      </w:r>
      <w:r w:rsidRPr="00AD3EE6">
        <w:br/>
        <w:t xml:space="preserve">(CC BY-NC-SA 4.0). To view a copy of this licence, visit </w:t>
      </w:r>
      <w:hyperlink r:id="rId16" w:history="1">
        <w:r w:rsidRPr="004C6A69">
          <w:rPr>
            <w:rStyle w:val="Hyperlink"/>
          </w:rPr>
          <w:t>creativecommons.org/licenses/by-</w:t>
        </w:r>
        <w:proofErr w:type="spellStart"/>
        <w:r w:rsidRPr="004C6A69">
          <w:rPr>
            <w:rStyle w:val="Hyperlink"/>
          </w:rPr>
          <w:t>nc</w:t>
        </w:r>
        <w:proofErr w:type="spellEnd"/>
        <w:r w:rsidRPr="004C6A69">
          <w:rPr>
            <w:rStyle w:val="Hyperlink"/>
          </w:rPr>
          <w:t>-</w:t>
        </w:r>
        <w:proofErr w:type="spellStart"/>
        <w:r w:rsidRPr="004C6A69">
          <w:rPr>
            <w:rStyle w:val="Hyperlink"/>
          </w:rPr>
          <w:t>sa</w:t>
        </w:r>
        <w:proofErr w:type="spellEnd"/>
        <w:r w:rsidRPr="004C6A69">
          <w:rPr>
            <w:rStyle w:val="Hyperlink"/>
          </w:rPr>
          <w:t>/4.0</w:t>
        </w:r>
      </w:hyperlink>
      <w:r w:rsidRPr="00AD3EE6">
        <w:t xml:space="preserve"> </w:t>
      </w:r>
    </w:p>
    <w:p w14:paraId="39C926C0" w14:textId="77777777" w:rsidR="002E4D5C" w:rsidRPr="00AD3EE6" w:rsidRDefault="002E4D5C" w:rsidP="002E4D5C">
      <w:pPr>
        <w:pStyle w:val="BodyText"/>
      </w:pPr>
    </w:p>
    <w:p w14:paraId="74E05C94" w14:textId="77777777" w:rsidR="002E4D5C" w:rsidRPr="00AD3EE6" w:rsidRDefault="002E4D5C" w:rsidP="002E4D5C">
      <w:pPr>
        <w:pStyle w:val="BodyText"/>
      </w:pPr>
      <w:r w:rsidRPr="00AD3EE6">
        <w:rPr>
          <w:noProof/>
        </w:rPr>
        <w:drawing>
          <wp:inline distT="0" distB="0" distL="0" distR="0" wp14:anchorId="6EFA1964" wp14:editId="0BACF91B">
            <wp:extent cx="1743740" cy="658394"/>
            <wp:effectExtent l="0" t="0" r="0" b="8890"/>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ig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70848" cy="668629"/>
                    </a:xfrm>
                    <a:prstGeom prst="rect">
                      <a:avLst/>
                    </a:prstGeom>
                  </pic:spPr>
                </pic:pic>
              </a:graphicData>
            </a:graphic>
          </wp:inline>
        </w:drawing>
      </w:r>
    </w:p>
    <w:p w14:paraId="2123123D" w14:textId="73A39C16" w:rsidR="003F419F" w:rsidRPr="00C90C8E" w:rsidRDefault="003F419F" w:rsidP="00C90C8E">
      <w:pPr>
        <w:pStyle w:val="TeThHauorabodytext"/>
      </w:pPr>
      <w:r w:rsidRPr="00C90C8E">
        <w:br w:type="page"/>
      </w:r>
    </w:p>
    <w:p w14:paraId="17645350" w14:textId="43060237" w:rsidR="00D12FC1" w:rsidRPr="00AD3EE6" w:rsidRDefault="004D7A26" w:rsidP="00355BD9">
      <w:pPr>
        <w:pStyle w:val="TeThHauorahead1"/>
      </w:pPr>
      <w:bookmarkStart w:id="0" w:name="_Toc137717485"/>
      <w:r w:rsidRPr="00AD3EE6">
        <w:lastRenderedPageBreak/>
        <w:t>Foreword</w:t>
      </w:r>
      <w:r w:rsidR="00565995">
        <w:t xml:space="preserve"> | </w:t>
      </w:r>
      <w:r w:rsidR="00450C79" w:rsidRPr="00450C79">
        <w:t>He kupu takamua</w:t>
      </w:r>
      <w:bookmarkEnd w:id="0"/>
    </w:p>
    <w:p w14:paraId="3DC2C8C6" w14:textId="77777777" w:rsidR="00827E9E" w:rsidRPr="00502EE5" w:rsidRDefault="00827E9E" w:rsidP="00A16910">
      <w:pPr>
        <w:jc w:val="center"/>
        <w:rPr>
          <w:b/>
          <w:bCs/>
          <w:color w:val="904281"/>
        </w:rPr>
      </w:pPr>
      <w:r w:rsidRPr="00502EE5">
        <w:rPr>
          <w:b/>
          <w:bCs/>
          <w:color w:val="904281"/>
        </w:rPr>
        <w:t xml:space="preserve">Ma </w:t>
      </w:r>
      <w:proofErr w:type="spellStart"/>
      <w:r w:rsidRPr="00502EE5">
        <w:rPr>
          <w:b/>
          <w:bCs/>
          <w:color w:val="904281"/>
        </w:rPr>
        <w:t>mua</w:t>
      </w:r>
      <w:proofErr w:type="spellEnd"/>
      <w:r w:rsidRPr="00502EE5">
        <w:rPr>
          <w:b/>
          <w:bCs/>
          <w:color w:val="904281"/>
        </w:rPr>
        <w:t xml:space="preserve"> ka kite a </w:t>
      </w:r>
      <w:proofErr w:type="gramStart"/>
      <w:r w:rsidRPr="00502EE5">
        <w:rPr>
          <w:b/>
          <w:bCs/>
          <w:color w:val="904281"/>
        </w:rPr>
        <w:t>muri</w:t>
      </w:r>
      <w:proofErr w:type="gramEnd"/>
      <w:r w:rsidRPr="00502EE5">
        <w:rPr>
          <w:b/>
          <w:bCs/>
          <w:color w:val="904281"/>
        </w:rPr>
        <w:t xml:space="preserve">, ma muri ka </w:t>
      </w:r>
      <w:proofErr w:type="spellStart"/>
      <w:r w:rsidRPr="00502EE5">
        <w:rPr>
          <w:b/>
          <w:bCs/>
          <w:color w:val="904281"/>
        </w:rPr>
        <w:t>ora</w:t>
      </w:r>
      <w:proofErr w:type="spellEnd"/>
      <w:r w:rsidRPr="00502EE5">
        <w:rPr>
          <w:b/>
          <w:bCs/>
          <w:color w:val="904281"/>
        </w:rPr>
        <w:t xml:space="preserve"> a </w:t>
      </w:r>
      <w:proofErr w:type="spellStart"/>
      <w:r w:rsidRPr="00502EE5">
        <w:rPr>
          <w:b/>
          <w:bCs/>
          <w:color w:val="904281"/>
        </w:rPr>
        <w:t>mua</w:t>
      </w:r>
      <w:proofErr w:type="spellEnd"/>
    </w:p>
    <w:p w14:paraId="749D2932" w14:textId="19EBD542" w:rsidR="00827E9E" w:rsidRPr="00565995" w:rsidRDefault="00827E9E" w:rsidP="00A16910">
      <w:pPr>
        <w:jc w:val="center"/>
        <w:rPr>
          <w:color w:val="904281"/>
        </w:rPr>
      </w:pPr>
      <w:r w:rsidRPr="00565995">
        <w:rPr>
          <w:color w:val="904281"/>
        </w:rPr>
        <w:t>Those who lead give sight to those who follow</w:t>
      </w:r>
      <w:r w:rsidR="002E4D5C" w:rsidRPr="00565995">
        <w:rPr>
          <w:color w:val="904281"/>
        </w:rPr>
        <w:t>;</w:t>
      </w:r>
      <w:r w:rsidRPr="00565995">
        <w:rPr>
          <w:color w:val="904281"/>
        </w:rPr>
        <w:t xml:space="preserve"> those behind give life to those ahead</w:t>
      </w:r>
    </w:p>
    <w:p w14:paraId="4C425820" w14:textId="77777777" w:rsidR="00827E9E" w:rsidRPr="00AD3EE6" w:rsidRDefault="00827E9E" w:rsidP="00827E9E">
      <w:pPr>
        <w:spacing w:after="0"/>
      </w:pPr>
    </w:p>
    <w:p w14:paraId="283BB24C" w14:textId="07610C03" w:rsidR="00827E9E" w:rsidRPr="00AD3EE6" w:rsidRDefault="00827E9E" w:rsidP="00827E9E">
      <w:r w:rsidRPr="00AD3EE6">
        <w:t xml:space="preserve">Te </w:t>
      </w:r>
      <w:proofErr w:type="spellStart"/>
      <w:r w:rsidRPr="00AD3EE6">
        <w:t>Tāhū</w:t>
      </w:r>
      <w:proofErr w:type="spellEnd"/>
      <w:r w:rsidRPr="00AD3EE6">
        <w:t xml:space="preserve"> Hauora</w:t>
      </w:r>
      <w:r w:rsidR="00672289">
        <w:t xml:space="preserve"> Health Quality &amp; Safety Commission (Te </w:t>
      </w:r>
      <w:proofErr w:type="spellStart"/>
      <w:r w:rsidR="00672289">
        <w:t>Tāhū</w:t>
      </w:r>
      <w:proofErr w:type="spellEnd"/>
      <w:r w:rsidR="00672289">
        <w:t xml:space="preserve"> Hauora)</w:t>
      </w:r>
      <w:r w:rsidRPr="00AD3EE6">
        <w:t xml:space="preserve"> has made considerable strides over </w:t>
      </w:r>
      <w:r w:rsidR="007D4D37">
        <w:t xml:space="preserve">the </w:t>
      </w:r>
      <w:r w:rsidRPr="00AD3EE6">
        <w:t xml:space="preserve">last few years to deliver on its goal of becoming a government agency that incorporates the principles of Te </w:t>
      </w:r>
      <w:proofErr w:type="spellStart"/>
      <w:r w:rsidRPr="00AD3EE6">
        <w:t>Tiriti</w:t>
      </w:r>
      <w:proofErr w:type="spellEnd"/>
      <w:r w:rsidRPr="00AD3EE6">
        <w:t xml:space="preserve"> o Waitangi and </w:t>
      </w:r>
      <w:r w:rsidR="007D4D37">
        <w:t xml:space="preserve">to </w:t>
      </w:r>
      <w:r w:rsidRPr="00AD3EE6">
        <w:t xml:space="preserve">lead in consumer and whānau engagement across the health sector. </w:t>
      </w:r>
    </w:p>
    <w:p w14:paraId="1533CBF4" w14:textId="78E8D09A" w:rsidR="00827E9E" w:rsidRPr="00AD3EE6" w:rsidRDefault="00827E9E" w:rsidP="00827E9E">
      <w:r w:rsidRPr="00AD3EE6">
        <w:t>The performance review clearly demonstrates the organisation</w:t>
      </w:r>
      <w:r w:rsidR="001A2DBC">
        <w:t>’</w:t>
      </w:r>
      <w:r w:rsidRPr="00AD3EE6">
        <w:t xml:space="preserve">s commitment to its goals and </w:t>
      </w:r>
      <w:r w:rsidR="007D4D37">
        <w:t xml:space="preserve">the </w:t>
      </w:r>
      <w:r w:rsidRPr="00AD3EE6">
        <w:t>proactive measures taken internally and externally to emphasise their focus on health quality improvement.</w:t>
      </w:r>
    </w:p>
    <w:p w14:paraId="7F2407E9" w14:textId="48BB396A" w:rsidR="00827E9E" w:rsidRPr="00AD3EE6" w:rsidRDefault="00827E9E" w:rsidP="00827E9E">
      <w:r w:rsidRPr="00AD3EE6">
        <w:t xml:space="preserve">We strongly believe that Te </w:t>
      </w:r>
      <w:proofErr w:type="spellStart"/>
      <w:r w:rsidRPr="00AD3EE6">
        <w:t>Tāhū</w:t>
      </w:r>
      <w:proofErr w:type="spellEnd"/>
      <w:r w:rsidRPr="00AD3EE6">
        <w:t xml:space="preserve"> Hauora will continue to be a reliable and trusted resource and partner for the health sector </w:t>
      </w:r>
      <w:r w:rsidR="007D4D37">
        <w:t xml:space="preserve">and to provide </w:t>
      </w:r>
      <w:r w:rsidRPr="00AD3EE6">
        <w:t xml:space="preserve">high-quality analysis and quality improvement education and initiatives that meet the changing needs of the health system to improve </w:t>
      </w:r>
      <w:r w:rsidR="003324D9">
        <w:t>health care</w:t>
      </w:r>
      <w:r w:rsidRPr="00AD3EE6">
        <w:t xml:space="preserve"> for individuals, </w:t>
      </w:r>
      <w:proofErr w:type="gramStart"/>
      <w:r w:rsidRPr="00AD3EE6">
        <w:t>families</w:t>
      </w:r>
      <w:proofErr w:type="gramEnd"/>
      <w:r w:rsidR="00B951B2">
        <w:t xml:space="preserve"> and</w:t>
      </w:r>
      <w:r w:rsidRPr="00AD3EE6">
        <w:t xml:space="preserve"> communities across the country.</w:t>
      </w:r>
    </w:p>
    <w:p w14:paraId="24505F4C" w14:textId="16979FCE" w:rsidR="00827E9E" w:rsidRPr="00AD3EE6" w:rsidRDefault="00827E9E" w:rsidP="00827E9E">
      <w:r w:rsidRPr="00AD3EE6">
        <w:t xml:space="preserve">The revised </w:t>
      </w:r>
      <w:proofErr w:type="spellStart"/>
      <w:r w:rsidRPr="00AD3EE6">
        <w:t>te</w:t>
      </w:r>
      <w:proofErr w:type="spellEnd"/>
      <w:r w:rsidRPr="00AD3EE6">
        <w:t xml:space="preserve"> </w:t>
      </w:r>
      <w:proofErr w:type="spellStart"/>
      <w:r w:rsidRPr="00AD3EE6">
        <w:t>reo</w:t>
      </w:r>
      <w:proofErr w:type="spellEnd"/>
      <w:r w:rsidRPr="00AD3EE6">
        <w:t xml:space="preserve"> Māori name of the organisation and the </w:t>
      </w:r>
      <w:proofErr w:type="spellStart"/>
      <w:r w:rsidRPr="00AD3EE6">
        <w:t>tohu</w:t>
      </w:r>
      <w:proofErr w:type="spellEnd"/>
      <w:r w:rsidRPr="00AD3EE6">
        <w:t xml:space="preserve"> set the stage for the vital role Te </w:t>
      </w:r>
      <w:proofErr w:type="spellStart"/>
      <w:r w:rsidRPr="00AD3EE6">
        <w:t>Tāhū</w:t>
      </w:r>
      <w:proofErr w:type="spellEnd"/>
      <w:r w:rsidRPr="00AD3EE6">
        <w:t xml:space="preserve"> Hauora plays in the reformed health system. The logo signifies the strength derived from the binding of the ridgepole, nurturing those who reside beneath its presence. It symbolises the organisation</w:t>
      </w:r>
      <w:r w:rsidR="001A2DBC">
        <w:t>’</w:t>
      </w:r>
      <w:r w:rsidRPr="00AD3EE6">
        <w:t>s steadfast support for the health sector and its dedication to its crucial role within the reformed system.</w:t>
      </w:r>
    </w:p>
    <w:p w14:paraId="3A649E95" w14:textId="0BB15EFB" w:rsidR="00827E9E" w:rsidRPr="00AD3EE6" w:rsidRDefault="00827E9E" w:rsidP="00827E9E">
      <w:r w:rsidRPr="00AD3EE6">
        <w:t xml:space="preserve">We encourage Te </w:t>
      </w:r>
      <w:proofErr w:type="spellStart"/>
      <w:r w:rsidRPr="00AD3EE6">
        <w:t>Tāhū</w:t>
      </w:r>
      <w:proofErr w:type="spellEnd"/>
      <w:r w:rsidRPr="00AD3EE6">
        <w:t xml:space="preserve"> Hauora to fully embrace the recommendations in this report and prominently assume its unique and independent leadership role in effecting positive and equitable change within the health sector. </w:t>
      </w:r>
    </w:p>
    <w:p w14:paraId="412487E8" w14:textId="77777777" w:rsidR="00827E9E" w:rsidRPr="00AD3EE6" w:rsidRDefault="00827E9E" w:rsidP="00827E9E">
      <w:r w:rsidRPr="00AD3EE6">
        <w:t>Without deliberate action to prioritise equity as a key component of a quality health system, the default system inevitably leads to increased levels of inequity. Moreover, even when interventions are implemented, it is crucial to maintain sustained efforts and persistent pressure to prevent a reversion to the previous state.</w:t>
      </w:r>
    </w:p>
    <w:p w14:paraId="317E9797" w14:textId="57790D04" w:rsidR="00827E9E" w:rsidRPr="00AD3EE6" w:rsidRDefault="00346A83" w:rsidP="00827E9E">
      <w:r>
        <w:t>W</w:t>
      </w:r>
      <w:r w:rsidR="00827E9E" w:rsidRPr="00AD3EE6">
        <w:t xml:space="preserve">e wish to acknowledge the strong foundation laid by former </w:t>
      </w:r>
      <w:r>
        <w:t>c</w:t>
      </w:r>
      <w:r w:rsidR="00827E9E" w:rsidRPr="00AD3EE6">
        <w:t xml:space="preserve">hief </w:t>
      </w:r>
      <w:r>
        <w:t>e</w:t>
      </w:r>
      <w:r w:rsidR="00827E9E" w:rsidRPr="00AD3EE6">
        <w:t xml:space="preserve">xecutive Dr Janice Wilson, who led Te </w:t>
      </w:r>
      <w:proofErr w:type="spellStart"/>
      <w:r w:rsidR="00827E9E" w:rsidRPr="00AD3EE6">
        <w:t>Tāhū</w:t>
      </w:r>
      <w:proofErr w:type="spellEnd"/>
      <w:r w:rsidR="00827E9E" w:rsidRPr="00AD3EE6">
        <w:t xml:space="preserve"> Hauora for over </w:t>
      </w:r>
      <w:r>
        <w:t>10</w:t>
      </w:r>
      <w:r w:rsidRPr="00AD3EE6">
        <w:t xml:space="preserve"> </w:t>
      </w:r>
      <w:r w:rsidR="00827E9E" w:rsidRPr="00AD3EE6">
        <w:t xml:space="preserve">years. Her exceptional leadership and commitment to equity was widely recognised and praised by health leaders and the staff. We extend our sincerest </w:t>
      </w:r>
      <w:r>
        <w:t xml:space="preserve">best </w:t>
      </w:r>
      <w:r w:rsidR="00827E9E" w:rsidRPr="00AD3EE6">
        <w:t>wishes for her future endeavours.</w:t>
      </w:r>
    </w:p>
    <w:p w14:paraId="608A3A32" w14:textId="35CC0F9B" w:rsidR="00827E9E" w:rsidRPr="00AD3EE6" w:rsidRDefault="00827E9E" w:rsidP="00091C14">
      <w:pPr>
        <w:spacing w:after="0"/>
      </w:pPr>
      <w:r w:rsidRPr="00AD3EE6">
        <w:t>We also warm</w:t>
      </w:r>
      <w:r w:rsidR="002E4D5C">
        <w:t>ly</w:t>
      </w:r>
      <w:r w:rsidRPr="00AD3EE6">
        <w:t xml:space="preserve"> welcome Dr Peter Jansen as he steps into the role of </w:t>
      </w:r>
      <w:r w:rsidR="00346A83">
        <w:t>c</w:t>
      </w:r>
      <w:r w:rsidRPr="00AD3EE6">
        <w:t xml:space="preserve">hief </w:t>
      </w:r>
      <w:r w:rsidR="00346A83">
        <w:t>e</w:t>
      </w:r>
      <w:r w:rsidRPr="00AD3EE6">
        <w:t xml:space="preserve">xecutive. We are deeply encouraged by his appointment to lead the organisation in this next chapter to ‘lead out with influence’ towards responsiveness, </w:t>
      </w:r>
      <w:proofErr w:type="gramStart"/>
      <w:r w:rsidRPr="00AD3EE6">
        <w:t>effectiveness</w:t>
      </w:r>
      <w:proofErr w:type="gramEnd"/>
      <w:r w:rsidR="00B951B2">
        <w:t xml:space="preserve"> and</w:t>
      </w:r>
      <w:r w:rsidRPr="00AD3EE6">
        <w:t xml:space="preserve"> equity, to deliver quality </w:t>
      </w:r>
      <w:r w:rsidR="003324D9">
        <w:t>health care</w:t>
      </w:r>
      <w:r w:rsidRPr="00AD3EE6">
        <w:t xml:space="preserve"> for all.</w:t>
      </w:r>
    </w:p>
    <w:p w14:paraId="325DB06A" w14:textId="77777777" w:rsidR="00091C14" w:rsidRDefault="00091C14" w:rsidP="00091C14">
      <w:pPr>
        <w:ind w:left="-170"/>
      </w:pPr>
      <w:r>
        <w:rPr>
          <w:noProof/>
        </w:rPr>
        <w:drawing>
          <wp:inline distT="0" distB="0" distL="0" distR="0" wp14:anchorId="4F45926C" wp14:editId="3B0F10C0">
            <wp:extent cx="1333500" cy="480182"/>
            <wp:effectExtent l="0" t="0" r="0" b="0"/>
            <wp:docPr id="2" name="Picture 2" descr="A signature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white background&#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4325" cy="491282"/>
                    </a:xfrm>
                    <a:prstGeom prst="rect">
                      <a:avLst/>
                    </a:prstGeom>
                  </pic:spPr>
                </pic:pic>
              </a:graphicData>
            </a:graphic>
          </wp:inline>
        </w:drawing>
      </w:r>
      <w:r>
        <w:tab/>
      </w:r>
      <w:r>
        <w:tab/>
        <w:t xml:space="preserve">    </w:t>
      </w:r>
      <w:r>
        <w:rPr>
          <w:noProof/>
        </w:rPr>
        <w:drawing>
          <wp:inline distT="0" distB="0" distL="0" distR="0" wp14:anchorId="4C027595" wp14:editId="1565BB2F">
            <wp:extent cx="1598000" cy="312130"/>
            <wp:effectExtent l="0" t="0" r="2540" b="0"/>
            <wp:docPr id="20" name="Picture 20" descr="A pair of scissors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air of scissors on a white background&#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8060" cy="318001"/>
                    </a:xfrm>
                    <a:prstGeom prst="rect">
                      <a:avLst/>
                    </a:prstGeom>
                  </pic:spPr>
                </pic:pic>
              </a:graphicData>
            </a:graphic>
          </wp:inline>
        </w:drawing>
      </w:r>
      <w:r>
        <w:t xml:space="preserve">      </w:t>
      </w:r>
      <w:r>
        <w:rPr>
          <w:noProof/>
        </w:rPr>
        <w:drawing>
          <wp:inline distT="0" distB="0" distL="0" distR="0" wp14:anchorId="7ACABCAF" wp14:editId="4EB571C5">
            <wp:extent cx="1597152" cy="743712"/>
            <wp:effectExtent l="0" t="0" r="3175" b="0"/>
            <wp:docPr id="21" name="Picture 21" descr="A close up of a signatu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 up of a signature&#10;&#10;Description automatically generated with low confidence"/>
                    <pic:cNvPicPr/>
                  </pic:nvPicPr>
                  <pic:blipFill>
                    <a:blip r:embed="rId20">
                      <a:extLst>
                        <a:ext uri="{BEBA8EAE-BF5A-486C-A8C5-ECC9F3942E4B}">
                          <a14:imgProps xmlns:a14="http://schemas.microsoft.com/office/drawing/2010/main">
                            <a14:imgLayer r:embed="rId21">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597152" cy="743712"/>
                    </a:xfrm>
                    <a:prstGeom prst="rect">
                      <a:avLst/>
                    </a:prstGeom>
                  </pic:spPr>
                </pic:pic>
              </a:graphicData>
            </a:graphic>
          </wp:inline>
        </w:drawing>
      </w:r>
    </w:p>
    <w:p w14:paraId="0B22FDAA" w14:textId="7E95C903" w:rsidR="00827E9E" w:rsidRPr="004C6A69" w:rsidRDefault="004C6A69" w:rsidP="004C6A69">
      <w:pPr>
        <w:tabs>
          <w:tab w:val="left" w:pos="3261"/>
          <w:tab w:val="left" w:pos="6379"/>
        </w:tabs>
        <w:rPr>
          <w:b/>
          <w:bCs/>
        </w:rPr>
      </w:pPr>
      <w:r w:rsidRPr="004C6A69">
        <w:rPr>
          <w:b/>
          <w:bCs/>
        </w:rPr>
        <w:t>Dame Karen Poutasi</w:t>
      </w:r>
      <w:r w:rsidRPr="004C6A69">
        <w:rPr>
          <w:b/>
          <w:bCs/>
        </w:rPr>
        <w:tab/>
        <w:t>Darrin Sykes</w:t>
      </w:r>
      <w:r w:rsidR="00047B50">
        <w:rPr>
          <w:b/>
          <w:bCs/>
        </w:rPr>
        <w:t xml:space="preserve"> </w:t>
      </w:r>
      <w:r w:rsidR="00047B50" w:rsidRPr="00047B50">
        <w:rPr>
          <w:b/>
          <w:bCs/>
          <w:sz w:val="18"/>
          <w:szCs w:val="18"/>
        </w:rPr>
        <w:t>MNZM</w:t>
      </w:r>
      <w:r w:rsidRPr="004C6A69">
        <w:rPr>
          <w:b/>
          <w:bCs/>
        </w:rPr>
        <w:tab/>
        <w:t>Teresa Wall</w:t>
      </w:r>
    </w:p>
    <w:p w14:paraId="4F4BAA68" w14:textId="5C96C843" w:rsidR="004C6A69" w:rsidRPr="00AD3EE6" w:rsidRDefault="004C6A69" w:rsidP="004C6A69">
      <w:pPr>
        <w:tabs>
          <w:tab w:val="left" w:pos="3261"/>
          <w:tab w:val="left" w:pos="6379"/>
        </w:tabs>
      </w:pPr>
      <w:r>
        <w:t>External reviewer</w:t>
      </w:r>
      <w:r>
        <w:tab/>
        <w:t>External reviewer</w:t>
      </w:r>
      <w:r>
        <w:tab/>
        <w:t>External reviewer</w:t>
      </w:r>
    </w:p>
    <w:p w14:paraId="2FED6EA9" w14:textId="19AB2C04" w:rsidR="006F3CDE" w:rsidRPr="00AD3EE6" w:rsidRDefault="006F3CDE" w:rsidP="00355BD9">
      <w:pPr>
        <w:pStyle w:val="TeThHauorahead1"/>
      </w:pPr>
      <w:bookmarkStart w:id="1" w:name="_Toc137717486"/>
      <w:r w:rsidRPr="00AD3EE6">
        <w:lastRenderedPageBreak/>
        <w:t>Section 1:</w:t>
      </w:r>
      <w:r w:rsidR="00090976">
        <w:t xml:space="preserve"> </w:t>
      </w:r>
      <w:r w:rsidR="00F15212">
        <w:t>Background</w:t>
      </w:r>
      <w:r w:rsidR="00565995">
        <w:t xml:space="preserve"> | </w:t>
      </w:r>
      <w:r w:rsidR="0076783F" w:rsidRPr="0076783F">
        <w:t>Wāhanga 1: Kōrero o mua</w:t>
      </w:r>
      <w:bookmarkEnd w:id="1"/>
    </w:p>
    <w:p w14:paraId="33E63219" w14:textId="41F6FA2C" w:rsidR="0049105D" w:rsidRDefault="00032BE2" w:rsidP="008B69B5">
      <w:pPr>
        <w:pStyle w:val="TeThHauorabodytext"/>
        <w:rPr>
          <w:b/>
        </w:rPr>
      </w:pPr>
      <w:r w:rsidRPr="00AD3EE6">
        <w:t xml:space="preserve">In 2023, </w:t>
      </w:r>
      <w:bookmarkStart w:id="2" w:name="_Hlk136327527"/>
      <w:r w:rsidR="00A070F3" w:rsidRPr="00AD3EE6">
        <w:t xml:space="preserve">Te </w:t>
      </w:r>
      <w:proofErr w:type="spellStart"/>
      <w:r w:rsidR="00A070F3" w:rsidRPr="00AD3EE6">
        <w:t>Tāhū</w:t>
      </w:r>
      <w:proofErr w:type="spellEnd"/>
      <w:r w:rsidR="00A070F3" w:rsidRPr="00AD3EE6">
        <w:t xml:space="preserve"> Hauora </w:t>
      </w:r>
      <w:bookmarkEnd w:id="2"/>
      <w:r w:rsidR="00A070F3" w:rsidRPr="00AD3EE6">
        <w:t xml:space="preserve">Health Quality &amp; Safety Commission (Te </w:t>
      </w:r>
      <w:proofErr w:type="spellStart"/>
      <w:r w:rsidR="00A070F3" w:rsidRPr="00AD3EE6">
        <w:t>Tāhū</w:t>
      </w:r>
      <w:proofErr w:type="spellEnd"/>
      <w:r w:rsidR="00A070F3" w:rsidRPr="00AD3EE6">
        <w:t xml:space="preserve"> Hauora)</w:t>
      </w:r>
      <w:r w:rsidR="00AD0C2B" w:rsidRPr="00AD3EE6">
        <w:t xml:space="preserve"> </w:t>
      </w:r>
      <w:r w:rsidRPr="00AD3EE6">
        <w:t>commission</w:t>
      </w:r>
      <w:r w:rsidR="00104A15" w:rsidRPr="00AD3EE6">
        <w:t>ed</w:t>
      </w:r>
      <w:r w:rsidRPr="00AD3EE6">
        <w:t xml:space="preserve"> a </w:t>
      </w:r>
      <w:r w:rsidR="00831D65">
        <w:t xml:space="preserve">shorter, limited </w:t>
      </w:r>
      <w:r w:rsidRPr="00AD3EE6">
        <w:t xml:space="preserve">independent review of </w:t>
      </w:r>
      <w:r w:rsidR="00B41296">
        <w:t>their</w:t>
      </w:r>
      <w:r w:rsidR="00B41296" w:rsidRPr="00AD3EE6">
        <w:t xml:space="preserve"> </w:t>
      </w:r>
      <w:r w:rsidRPr="00AD3EE6">
        <w:t>performance</w:t>
      </w:r>
      <w:r w:rsidR="0049105D" w:rsidRPr="00AD3EE6">
        <w:t xml:space="preserve"> </w:t>
      </w:r>
      <w:r w:rsidR="00EC4981" w:rsidRPr="00AD3EE6">
        <w:t xml:space="preserve">to </w:t>
      </w:r>
      <w:r w:rsidR="000E1FA6" w:rsidRPr="00AD3EE6">
        <w:t>follow-up</w:t>
      </w:r>
      <w:r w:rsidR="00EC4981" w:rsidRPr="00AD3EE6">
        <w:t xml:space="preserve"> on the </w:t>
      </w:r>
      <w:r w:rsidR="00104A15" w:rsidRPr="00AD3EE6">
        <w:t>direction</w:t>
      </w:r>
      <w:r w:rsidR="0049105D" w:rsidRPr="00AD3EE6">
        <w:t xml:space="preserve"> </w:t>
      </w:r>
      <w:r w:rsidR="00395C6A">
        <w:t>they</w:t>
      </w:r>
      <w:r w:rsidR="0049105D" w:rsidRPr="00AD3EE6">
        <w:t xml:space="preserve"> set </w:t>
      </w:r>
      <w:r w:rsidR="00104A15" w:rsidRPr="00AD3EE6">
        <w:t xml:space="preserve">within </w:t>
      </w:r>
      <w:r w:rsidR="00395C6A">
        <w:t>their</w:t>
      </w:r>
      <w:r w:rsidR="00745853" w:rsidRPr="00AD3EE6">
        <w:t xml:space="preserve"> </w:t>
      </w:r>
      <w:r w:rsidR="00AD0C2B" w:rsidRPr="00AD3EE6">
        <w:t>Statement of Intent (SOI)</w:t>
      </w:r>
      <w:r w:rsidR="00104A15" w:rsidRPr="00AD3EE6">
        <w:t xml:space="preserve"> 2020</w:t>
      </w:r>
      <w:r w:rsidR="00B41296">
        <w:t>–</w:t>
      </w:r>
      <w:r w:rsidR="00104A15" w:rsidRPr="00AD3EE6">
        <w:t>24</w:t>
      </w:r>
      <w:r w:rsidR="00831D65">
        <w:t xml:space="preserve"> and</w:t>
      </w:r>
      <w:r w:rsidR="00104A15" w:rsidRPr="00AD3EE6">
        <w:t xml:space="preserve"> inform the development of </w:t>
      </w:r>
      <w:r w:rsidR="00395C6A">
        <w:t>their</w:t>
      </w:r>
      <w:r w:rsidR="00104A15" w:rsidRPr="00AD3EE6">
        <w:t xml:space="preserve"> SOI 2023</w:t>
      </w:r>
      <w:r w:rsidR="00B41296">
        <w:t>–</w:t>
      </w:r>
      <w:r w:rsidR="00104A15" w:rsidRPr="00AD3EE6">
        <w:t xml:space="preserve">27. </w:t>
      </w:r>
    </w:p>
    <w:p w14:paraId="38D93137" w14:textId="1638E2CF" w:rsidR="006F3CDE" w:rsidRPr="00AD3EE6" w:rsidRDefault="006F3CDE" w:rsidP="00355BD9">
      <w:pPr>
        <w:pStyle w:val="TeThHauorahead2"/>
      </w:pPr>
      <w:bookmarkStart w:id="3" w:name="_Toc137717487"/>
      <w:r w:rsidRPr="00AD3EE6">
        <w:t>Purpose of the performance review</w:t>
      </w:r>
      <w:bookmarkEnd w:id="3"/>
    </w:p>
    <w:p w14:paraId="7F41CFFC" w14:textId="3AE836B6" w:rsidR="006F3CDE" w:rsidRPr="00D745C8" w:rsidRDefault="006F3CDE" w:rsidP="006F3CDE">
      <w:pPr>
        <w:pStyle w:val="Figuretableheading"/>
        <w:rPr>
          <w:b w:val="0"/>
          <w:bCs/>
        </w:rPr>
      </w:pPr>
      <w:r w:rsidRPr="00D745C8">
        <w:rPr>
          <w:b w:val="0"/>
          <w:bCs/>
        </w:rPr>
        <w:t xml:space="preserve">In 2019, Te </w:t>
      </w:r>
      <w:proofErr w:type="spellStart"/>
      <w:r w:rsidRPr="00D745C8">
        <w:rPr>
          <w:b w:val="0"/>
          <w:bCs/>
        </w:rPr>
        <w:t>Tāhū</w:t>
      </w:r>
      <w:proofErr w:type="spellEnd"/>
      <w:r w:rsidRPr="00D745C8">
        <w:rPr>
          <w:b w:val="0"/>
          <w:bCs/>
        </w:rPr>
        <w:t xml:space="preserve"> Hauora completed an extensive </w:t>
      </w:r>
      <w:r w:rsidRPr="00D745C8">
        <w:rPr>
          <w:b w:val="0"/>
          <w:bCs/>
          <w:i/>
          <w:iCs/>
        </w:rPr>
        <w:t>Self-review report based on the Performance Improvement Framework</w:t>
      </w:r>
      <w:r w:rsidRPr="00D745C8">
        <w:rPr>
          <w:b w:val="0"/>
          <w:bCs/>
        </w:rPr>
        <w:t xml:space="preserve"> (PIF 2019)</w:t>
      </w:r>
      <w:r w:rsidRPr="00D745C8">
        <w:rPr>
          <w:rStyle w:val="FootnoteReference"/>
          <w:b w:val="0"/>
          <w:bCs/>
          <w:sz w:val="22"/>
        </w:rPr>
        <w:footnoteReference w:id="2"/>
      </w:r>
      <w:r w:rsidRPr="00D745C8">
        <w:rPr>
          <w:b w:val="0"/>
          <w:bCs/>
        </w:rPr>
        <w:t xml:space="preserve"> to inform its </w:t>
      </w:r>
      <w:r w:rsidRPr="00831D65">
        <w:rPr>
          <w:b w:val="0"/>
          <w:bCs/>
        </w:rPr>
        <w:t>Statement of Intent (SOI) 2020–24</w:t>
      </w:r>
      <w:r w:rsidRPr="00D745C8">
        <w:rPr>
          <w:b w:val="0"/>
          <w:bCs/>
          <w:i/>
          <w:iCs/>
        </w:rPr>
        <w:t>.</w:t>
      </w:r>
      <w:r w:rsidRPr="00D745C8">
        <w:rPr>
          <w:rStyle w:val="FootnoteReference"/>
          <w:b w:val="0"/>
          <w:bCs/>
          <w:sz w:val="22"/>
        </w:rPr>
        <w:footnoteReference w:id="3"/>
      </w:r>
      <w:r w:rsidRPr="00D745C8">
        <w:rPr>
          <w:b w:val="0"/>
          <w:bCs/>
        </w:rPr>
        <w:t xml:space="preserve"> This work, along with the support and direction of the board of Te </w:t>
      </w:r>
      <w:proofErr w:type="spellStart"/>
      <w:r w:rsidRPr="00D745C8">
        <w:rPr>
          <w:b w:val="0"/>
          <w:bCs/>
        </w:rPr>
        <w:t>Tāhū</w:t>
      </w:r>
      <w:proofErr w:type="spellEnd"/>
      <w:r w:rsidRPr="00D745C8">
        <w:rPr>
          <w:b w:val="0"/>
          <w:bCs/>
        </w:rPr>
        <w:t xml:space="preserve"> Hauora, provided a strong foundation to place Te </w:t>
      </w:r>
      <w:proofErr w:type="spellStart"/>
      <w:r w:rsidRPr="00D745C8">
        <w:rPr>
          <w:b w:val="0"/>
          <w:bCs/>
        </w:rPr>
        <w:t>Tiriti</w:t>
      </w:r>
      <w:proofErr w:type="spellEnd"/>
      <w:r w:rsidRPr="00D745C8">
        <w:rPr>
          <w:b w:val="0"/>
          <w:bCs/>
        </w:rPr>
        <w:t xml:space="preserve"> o Waitangi and health equity even more strongly at the centre of </w:t>
      </w:r>
      <w:r w:rsidR="001F3F5F">
        <w:rPr>
          <w:b w:val="0"/>
          <w:bCs/>
        </w:rPr>
        <w:t xml:space="preserve">their </w:t>
      </w:r>
      <w:r w:rsidRPr="00D745C8">
        <w:rPr>
          <w:b w:val="0"/>
          <w:bCs/>
        </w:rPr>
        <w:t>work.</w:t>
      </w:r>
    </w:p>
    <w:p w14:paraId="4747C834" w14:textId="7987BDF4" w:rsidR="00D83C9B" w:rsidRPr="00D745C8" w:rsidRDefault="00D83C9B" w:rsidP="00D83C9B">
      <w:pPr>
        <w:pStyle w:val="Figuretableheading"/>
        <w:rPr>
          <w:b w:val="0"/>
          <w:bCs/>
        </w:rPr>
      </w:pPr>
      <w:r w:rsidRPr="00D745C8">
        <w:rPr>
          <w:b w:val="0"/>
          <w:bCs/>
        </w:rPr>
        <w:t xml:space="preserve">The goal of this review is to assess how Te </w:t>
      </w:r>
      <w:proofErr w:type="spellStart"/>
      <w:r w:rsidR="001B31C1" w:rsidRPr="00D745C8">
        <w:rPr>
          <w:b w:val="0"/>
          <w:bCs/>
        </w:rPr>
        <w:t>Tāhū</w:t>
      </w:r>
      <w:proofErr w:type="spellEnd"/>
      <w:r w:rsidRPr="00D745C8">
        <w:rPr>
          <w:b w:val="0"/>
          <w:bCs/>
        </w:rPr>
        <w:t xml:space="preserve"> Hauora can further enhance its value and contribution to improving the health system and advancing Māori health, Te </w:t>
      </w:r>
      <w:proofErr w:type="spellStart"/>
      <w:r w:rsidRPr="00D745C8">
        <w:rPr>
          <w:b w:val="0"/>
          <w:bCs/>
        </w:rPr>
        <w:t>Tiriti</w:t>
      </w:r>
      <w:proofErr w:type="spellEnd"/>
      <w:r w:rsidRPr="00D745C8">
        <w:rPr>
          <w:b w:val="0"/>
          <w:bCs/>
        </w:rPr>
        <w:t xml:space="preserve"> o Waitangi</w:t>
      </w:r>
      <w:r w:rsidR="00B951B2" w:rsidRPr="00D745C8">
        <w:rPr>
          <w:b w:val="0"/>
          <w:bCs/>
        </w:rPr>
        <w:t xml:space="preserve"> and</w:t>
      </w:r>
      <w:r w:rsidRPr="00D745C8">
        <w:rPr>
          <w:b w:val="0"/>
          <w:bCs/>
        </w:rPr>
        <w:t xml:space="preserve"> health equity across government. This report details the process and the findings of the review.</w:t>
      </w:r>
    </w:p>
    <w:p w14:paraId="78B74226" w14:textId="678F31AC" w:rsidR="006F3CDE" w:rsidRPr="00D745C8" w:rsidRDefault="006F3CDE" w:rsidP="006F3CDE">
      <w:pPr>
        <w:pStyle w:val="Figuretableheading"/>
        <w:rPr>
          <w:b w:val="0"/>
          <w:bCs/>
        </w:rPr>
      </w:pPr>
      <w:r w:rsidRPr="00D745C8">
        <w:rPr>
          <w:b w:val="0"/>
          <w:bCs/>
        </w:rPr>
        <w:t xml:space="preserve">To achieve this goal, it is necessary to consider how Te </w:t>
      </w:r>
      <w:proofErr w:type="spellStart"/>
      <w:r w:rsidR="001B31C1" w:rsidRPr="00D745C8">
        <w:rPr>
          <w:b w:val="0"/>
          <w:bCs/>
        </w:rPr>
        <w:t>Tāhū</w:t>
      </w:r>
      <w:proofErr w:type="spellEnd"/>
      <w:r w:rsidRPr="00D745C8">
        <w:rPr>
          <w:b w:val="0"/>
          <w:bCs/>
        </w:rPr>
        <w:t xml:space="preserve"> Hauora can build on its existing strengths and identify areas for improvement to deliver on its priorities in the reformed health system within the functions set for it under the </w:t>
      </w:r>
      <w:proofErr w:type="spellStart"/>
      <w:r w:rsidRPr="00831D65">
        <w:rPr>
          <w:b w:val="0"/>
          <w:bCs/>
        </w:rPr>
        <w:t>Pae</w:t>
      </w:r>
      <w:proofErr w:type="spellEnd"/>
      <w:r w:rsidRPr="00831D65">
        <w:rPr>
          <w:b w:val="0"/>
          <w:bCs/>
        </w:rPr>
        <w:t xml:space="preserve"> Ora (Healthy Futures) Act 2022 </w:t>
      </w:r>
      <w:r w:rsidRPr="00D745C8">
        <w:rPr>
          <w:b w:val="0"/>
          <w:bCs/>
        </w:rPr>
        <w:t>(</w:t>
      </w:r>
      <w:proofErr w:type="spellStart"/>
      <w:r w:rsidRPr="00D745C8">
        <w:rPr>
          <w:b w:val="0"/>
          <w:bCs/>
        </w:rPr>
        <w:t>Pae</w:t>
      </w:r>
      <w:proofErr w:type="spellEnd"/>
      <w:r w:rsidRPr="00D745C8">
        <w:rPr>
          <w:b w:val="0"/>
          <w:bCs/>
        </w:rPr>
        <w:t xml:space="preserve"> Ora Act).</w:t>
      </w:r>
      <w:r w:rsidRPr="00D745C8">
        <w:rPr>
          <w:rStyle w:val="FootnoteReference"/>
          <w:b w:val="0"/>
          <w:bCs/>
          <w:sz w:val="22"/>
        </w:rPr>
        <w:footnoteReference w:id="4"/>
      </w:r>
    </w:p>
    <w:p w14:paraId="2971AB56" w14:textId="4629DDDA" w:rsidR="006F3CDE" w:rsidRPr="00D745C8" w:rsidRDefault="006F3CDE" w:rsidP="006F3CDE">
      <w:pPr>
        <w:pStyle w:val="Figuretableheading"/>
        <w:rPr>
          <w:b w:val="0"/>
          <w:bCs/>
        </w:rPr>
      </w:pPr>
      <w:r w:rsidRPr="00D745C8">
        <w:rPr>
          <w:b w:val="0"/>
          <w:bCs/>
        </w:rPr>
        <w:t xml:space="preserve">Ultimately, the </w:t>
      </w:r>
      <w:r w:rsidR="00D83C9B" w:rsidRPr="00D745C8">
        <w:rPr>
          <w:b w:val="0"/>
          <w:bCs/>
        </w:rPr>
        <w:t xml:space="preserve">purpose of the </w:t>
      </w:r>
      <w:r w:rsidRPr="00D745C8">
        <w:rPr>
          <w:b w:val="0"/>
          <w:bCs/>
        </w:rPr>
        <w:t xml:space="preserve">review </w:t>
      </w:r>
      <w:r w:rsidR="00D83C9B" w:rsidRPr="00D745C8">
        <w:rPr>
          <w:b w:val="0"/>
          <w:bCs/>
        </w:rPr>
        <w:t xml:space="preserve">is to </w:t>
      </w:r>
      <w:r w:rsidR="00784517" w:rsidRPr="00D745C8">
        <w:rPr>
          <w:b w:val="0"/>
          <w:bCs/>
        </w:rPr>
        <w:t>identif</w:t>
      </w:r>
      <w:r w:rsidR="00D83C9B" w:rsidRPr="00D745C8">
        <w:rPr>
          <w:b w:val="0"/>
          <w:bCs/>
        </w:rPr>
        <w:t>y</w:t>
      </w:r>
      <w:r w:rsidRPr="00D745C8">
        <w:rPr>
          <w:b w:val="0"/>
          <w:bCs/>
        </w:rPr>
        <w:t xml:space="preserve"> recommendations that Te </w:t>
      </w:r>
      <w:proofErr w:type="spellStart"/>
      <w:r w:rsidR="001B31C1" w:rsidRPr="00D745C8">
        <w:rPr>
          <w:b w:val="0"/>
          <w:bCs/>
        </w:rPr>
        <w:t>Tāhū</w:t>
      </w:r>
      <w:proofErr w:type="spellEnd"/>
      <w:r w:rsidRPr="00D745C8">
        <w:rPr>
          <w:b w:val="0"/>
          <w:bCs/>
        </w:rPr>
        <w:t xml:space="preserve"> Hauora can </w:t>
      </w:r>
      <w:r w:rsidR="00595335" w:rsidRPr="00D745C8">
        <w:rPr>
          <w:b w:val="0"/>
          <w:bCs/>
        </w:rPr>
        <w:t>implement</w:t>
      </w:r>
      <w:r w:rsidRPr="00D745C8">
        <w:rPr>
          <w:b w:val="0"/>
          <w:bCs/>
        </w:rPr>
        <w:t xml:space="preserve"> to </w:t>
      </w:r>
      <w:r w:rsidR="001F3F5F">
        <w:rPr>
          <w:b w:val="0"/>
          <w:bCs/>
        </w:rPr>
        <w:t>support</w:t>
      </w:r>
      <w:r w:rsidR="001F3F5F" w:rsidRPr="00D745C8">
        <w:rPr>
          <w:b w:val="0"/>
          <w:bCs/>
        </w:rPr>
        <w:t xml:space="preserve"> </w:t>
      </w:r>
      <w:r w:rsidR="007D480A">
        <w:rPr>
          <w:b w:val="0"/>
          <w:bCs/>
        </w:rPr>
        <w:t xml:space="preserve">its </w:t>
      </w:r>
      <w:r w:rsidR="00595335" w:rsidRPr="00D745C8">
        <w:rPr>
          <w:b w:val="0"/>
          <w:bCs/>
        </w:rPr>
        <w:t>role in delivering</w:t>
      </w:r>
      <w:r w:rsidRPr="00D745C8">
        <w:rPr>
          <w:b w:val="0"/>
          <w:bCs/>
        </w:rPr>
        <w:t xml:space="preserve"> high-quality, </w:t>
      </w:r>
      <w:proofErr w:type="gramStart"/>
      <w:r w:rsidRPr="00D745C8">
        <w:rPr>
          <w:b w:val="0"/>
          <w:bCs/>
        </w:rPr>
        <w:t>accessible</w:t>
      </w:r>
      <w:proofErr w:type="gramEnd"/>
      <w:r w:rsidRPr="00D745C8">
        <w:rPr>
          <w:b w:val="0"/>
          <w:bCs/>
        </w:rPr>
        <w:t xml:space="preserve"> and equitable health services and outcomes for all</w:t>
      </w:r>
      <w:r w:rsidR="00595335" w:rsidRPr="00D745C8">
        <w:rPr>
          <w:b w:val="0"/>
          <w:bCs/>
        </w:rPr>
        <w:t>.</w:t>
      </w:r>
    </w:p>
    <w:p w14:paraId="08C6BBB7" w14:textId="1B2F2BAF" w:rsidR="006F3CDE" w:rsidRPr="00AD3EE6" w:rsidRDefault="00B116B2" w:rsidP="00355BD9">
      <w:pPr>
        <w:pStyle w:val="TeThHauorahead2"/>
      </w:pPr>
      <w:bookmarkStart w:id="4" w:name="_Toc137717488"/>
      <w:r>
        <w:t>P</w:t>
      </w:r>
      <w:r w:rsidR="006F3CDE" w:rsidRPr="00AD3EE6">
        <w:t>erformance review approach</w:t>
      </w:r>
      <w:bookmarkEnd w:id="4"/>
    </w:p>
    <w:p w14:paraId="4B1C1B2B" w14:textId="347791E0" w:rsidR="006F3CDE" w:rsidRPr="00AD3EE6" w:rsidRDefault="006F3CDE" w:rsidP="006F3CDE">
      <w:pPr>
        <w:pStyle w:val="Figuretableheading"/>
        <w:rPr>
          <w:b w:val="0"/>
          <w:bCs/>
        </w:rPr>
      </w:pPr>
      <w:r w:rsidRPr="00AD3EE6">
        <w:rPr>
          <w:b w:val="0"/>
          <w:bCs/>
        </w:rPr>
        <w:t xml:space="preserve">The approach taken for the </w:t>
      </w:r>
      <w:r w:rsidR="0003156D">
        <w:rPr>
          <w:b w:val="0"/>
          <w:bCs/>
        </w:rPr>
        <w:t xml:space="preserve">2019 </w:t>
      </w:r>
      <w:r w:rsidRPr="00AD3EE6">
        <w:rPr>
          <w:b w:val="0"/>
          <w:bCs/>
        </w:rPr>
        <w:t xml:space="preserve">performance review </w:t>
      </w:r>
      <w:r w:rsidR="001F3F5F">
        <w:rPr>
          <w:b w:val="0"/>
          <w:bCs/>
        </w:rPr>
        <w:t xml:space="preserve">was </w:t>
      </w:r>
      <w:r w:rsidRPr="00AD3EE6">
        <w:rPr>
          <w:b w:val="0"/>
          <w:bCs/>
        </w:rPr>
        <w:t>based on the</w:t>
      </w:r>
      <w:r w:rsidR="001F3F5F">
        <w:rPr>
          <w:b w:val="0"/>
          <w:bCs/>
        </w:rPr>
        <w:t>-</w:t>
      </w:r>
      <w:r w:rsidRPr="00AD3EE6">
        <w:rPr>
          <w:b w:val="0"/>
          <w:bCs/>
        </w:rPr>
        <w:t xml:space="preserve">then State Services Commission’s PIF. </w:t>
      </w:r>
      <w:r w:rsidR="0008576F">
        <w:rPr>
          <w:b w:val="0"/>
          <w:bCs/>
        </w:rPr>
        <w:t>As the external reviewers, we</w:t>
      </w:r>
      <w:r w:rsidRPr="00AD3EE6">
        <w:rPr>
          <w:b w:val="0"/>
          <w:bCs/>
        </w:rPr>
        <w:t xml:space="preserve"> amended the last PIF-based self-review process in 2019, specifically to seek guidance on how Te </w:t>
      </w:r>
      <w:proofErr w:type="spellStart"/>
      <w:r w:rsidRPr="00AD3EE6">
        <w:rPr>
          <w:b w:val="0"/>
          <w:bCs/>
        </w:rPr>
        <w:t>Tāhū</w:t>
      </w:r>
      <w:proofErr w:type="spellEnd"/>
      <w:r w:rsidRPr="00AD3EE6">
        <w:rPr>
          <w:b w:val="0"/>
          <w:bCs/>
        </w:rPr>
        <w:t xml:space="preserve"> Hauora could best support the health system to advance Māori health, put Te </w:t>
      </w:r>
      <w:proofErr w:type="spellStart"/>
      <w:r w:rsidRPr="00AD3EE6">
        <w:rPr>
          <w:b w:val="0"/>
          <w:bCs/>
        </w:rPr>
        <w:t>Tiriti</w:t>
      </w:r>
      <w:proofErr w:type="spellEnd"/>
      <w:r w:rsidRPr="00AD3EE6">
        <w:rPr>
          <w:b w:val="0"/>
          <w:bCs/>
        </w:rPr>
        <w:t xml:space="preserve"> o Waitangi into practice and achieve health equity, alongside understanding other aspects of its performance.</w:t>
      </w:r>
      <w:r w:rsidRPr="00AD3EE6">
        <w:rPr>
          <w:rFonts w:eastAsia="Times New Roman"/>
          <w:b w:val="0"/>
          <w:lang w:eastAsia="en-NZ"/>
        </w:rPr>
        <w:t xml:space="preserve"> </w:t>
      </w:r>
    </w:p>
    <w:p w14:paraId="104B2999" w14:textId="79209595" w:rsidR="006F3CDE" w:rsidRPr="00AD3EE6" w:rsidRDefault="006F3CDE" w:rsidP="006F3CDE">
      <w:pPr>
        <w:pStyle w:val="Figuretableheading"/>
        <w:rPr>
          <w:b w:val="0"/>
          <w:bCs/>
        </w:rPr>
      </w:pPr>
      <w:r w:rsidRPr="00AD3EE6">
        <w:rPr>
          <w:b w:val="0"/>
          <w:bCs/>
        </w:rPr>
        <w:t xml:space="preserve">The PIF is no longer used or required by the Te Kawa </w:t>
      </w:r>
      <w:proofErr w:type="spellStart"/>
      <w:r w:rsidRPr="00AD3EE6">
        <w:rPr>
          <w:b w:val="0"/>
          <w:bCs/>
        </w:rPr>
        <w:t>Mataaho</w:t>
      </w:r>
      <w:proofErr w:type="spellEnd"/>
      <w:r w:rsidRPr="00AD3EE6">
        <w:rPr>
          <w:b w:val="0"/>
          <w:bCs/>
        </w:rPr>
        <w:t xml:space="preserve"> Public Service Commission. Therefore, rather than starting with a completely new approach, Te </w:t>
      </w:r>
      <w:proofErr w:type="spellStart"/>
      <w:r w:rsidRPr="00AD3EE6">
        <w:rPr>
          <w:b w:val="0"/>
          <w:bCs/>
        </w:rPr>
        <w:t>Tāhū</w:t>
      </w:r>
      <w:proofErr w:type="spellEnd"/>
      <w:r w:rsidRPr="00AD3EE6">
        <w:rPr>
          <w:b w:val="0"/>
          <w:bCs/>
        </w:rPr>
        <w:t xml:space="preserve"> Hauora </w:t>
      </w:r>
      <w:r w:rsidR="0008576F">
        <w:rPr>
          <w:b w:val="0"/>
          <w:bCs/>
        </w:rPr>
        <w:t>built</w:t>
      </w:r>
      <w:r w:rsidRPr="00AD3EE6">
        <w:rPr>
          <w:b w:val="0"/>
          <w:bCs/>
        </w:rPr>
        <w:t xml:space="preserve"> on the </w:t>
      </w:r>
      <w:r w:rsidRPr="00AD3EE6">
        <w:rPr>
          <w:b w:val="0"/>
          <w:bCs/>
        </w:rPr>
        <w:lastRenderedPageBreak/>
        <w:t xml:space="preserve">previous process by inviting </w:t>
      </w:r>
      <w:r w:rsidR="0008576F">
        <w:rPr>
          <w:b w:val="0"/>
          <w:bCs/>
        </w:rPr>
        <w:t>us</w:t>
      </w:r>
      <w:r w:rsidR="00214392" w:rsidRPr="00AD3EE6">
        <w:rPr>
          <w:b w:val="0"/>
          <w:bCs/>
        </w:rPr>
        <w:t xml:space="preserve">, </w:t>
      </w:r>
      <w:r w:rsidRPr="00AD3EE6">
        <w:rPr>
          <w:b w:val="0"/>
          <w:bCs/>
        </w:rPr>
        <w:t>Dame Karen Poutasi,</w:t>
      </w:r>
      <w:r w:rsidRPr="00AD3EE6">
        <w:rPr>
          <w:rStyle w:val="FootnoteReference"/>
          <w:b w:val="0"/>
          <w:bCs/>
        </w:rPr>
        <w:footnoteReference w:id="5"/>
      </w:r>
      <w:r w:rsidRPr="00AD3EE6">
        <w:rPr>
          <w:b w:val="0"/>
          <w:bCs/>
        </w:rPr>
        <w:t xml:space="preserve"> Darrin Sykes</w:t>
      </w:r>
      <w:r w:rsidR="00047B50">
        <w:rPr>
          <w:b w:val="0"/>
          <w:bCs/>
        </w:rPr>
        <w:t xml:space="preserve"> </w:t>
      </w:r>
      <w:r w:rsidR="00047B50" w:rsidRPr="00047B50">
        <w:rPr>
          <w:b w:val="0"/>
          <w:sz w:val="18"/>
          <w:szCs w:val="18"/>
        </w:rPr>
        <w:t>MNZM</w:t>
      </w:r>
      <w:r w:rsidRPr="00AD3EE6">
        <w:rPr>
          <w:rStyle w:val="FootnoteReference"/>
          <w:b w:val="0"/>
          <w:bCs/>
        </w:rPr>
        <w:footnoteReference w:id="6"/>
      </w:r>
      <w:r w:rsidRPr="00AD3EE6">
        <w:rPr>
          <w:b w:val="0"/>
          <w:bCs/>
        </w:rPr>
        <w:t xml:space="preserve"> and Teresa Wall,</w:t>
      </w:r>
      <w:r w:rsidRPr="00AD3EE6">
        <w:rPr>
          <w:rStyle w:val="FootnoteReference"/>
          <w:b w:val="0"/>
          <w:bCs/>
        </w:rPr>
        <w:footnoteReference w:id="7"/>
      </w:r>
      <w:r w:rsidRPr="00AD3EE6">
        <w:rPr>
          <w:b w:val="0"/>
          <w:bCs/>
        </w:rPr>
        <w:t xml:space="preserve"> to lead this review process </w:t>
      </w:r>
      <w:r w:rsidR="0008576F">
        <w:rPr>
          <w:b w:val="0"/>
          <w:bCs/>
        </w:rPr>
        <w:t>to draw</w:t>
      </w:r>
      <w:r w:rsidRPr="00AD3EE6">
        <w:rPr>
          <w:b w:val="0"/>
          <w:bCs/>
        </w:rPr>
        <w:t xml:space="preserve"> on </w:t>
      </w:r>
      <w:r w:rsidR="0008576F">
        <w:rPr>
          <w:b w:val="0"/>
          <w:bCs/>
        </w:rPr>
        <w:t>our</w:t>
      </w:r>
      <w:r w:rsidRPr="00AD3EE6">
        <w:rPr>
          <w:b w:val="0"/>
          <w:bCs/>
        </w:rPr>
        <w:t xml:space="preserve"> understanding of Te </w:t>
      </w:r>
      <w:proofErr w:type="spellStart"/>
      <w:r w:rsidR="009F40DC" w:rsidRPr="00AD3EE6">
        <w:rPr>
          <w:b w:val="0"/>
          <w:bCs/>
        </w:rPr>
        <w:t>Tāhū</w:t>
      </w:r>
      <w:proofErr w:type="spellEnd"/>
      <w:r w:rsidRPr="00AD3EE6">
        <w:rPr>
          <w:b w:val="0"/>
          <w:bCs/>
        </w:rPr>
        <w:t xml:space="preserve"> Hauora</w:t>
      </w:r>
      <w:r w:rsidR="0008576F">
        <w:rPr>
          <w:b w:val="0"/>
          <w:bCs/>
        </w:rPr>
        <w:t>.</w:t>
      </w:r>
    </w:p>
    <w:p w14:paraId="2E87986B" w14:textId="4A5FC824" w:rsidR="006F3CDE" w:rsidRPr="00AD3EE6" w:rsidRDefault="006F3CDE" w:rsidP="006F3CDE">
      <w:pPr>
        <w:pStyle w:val="Figuretableheading"/>
        <w:rPr>
          <w:b w:val="0"/>
          <w:bCs/>
        </w:rPr>
      </w:pPr>
      <w:r w:rsidRPr="00AD3EE6">
        <w:rPr>
          <w:b w:val="0"/>
          <w:bCs/>
        </w:rPr>
        <w:t xml:space="preserve">Senior policy staff worked alongside us to determine our approach to the review. This included simplifying the question banks (now guidance) (see Appendix 1 for question guide) that we used for the </w:t>
      </w:r>
      <w:r w:rsidR="0003156D">
        <w:rPr>
          <w:b w:val="0"/>
          <w:bCs/>
        </w:rPr>
        <w:t>2019</w:t>
      </w:r>
      <w:r w:rsidR="0003156D" w:rsidRPr="00AD3EE6">
        <w:rPr>
          <w:b w:val="0"/>
          <w:bCs/>
        </w:rPr>
        <w:t xml:space="preserve"> </w:t>
      </w:r>
      <w:r w:rsidRPr="00AD3EE6">
        <w:rPr>
          <w:b w:val="0"/>
          <w:bCs/>
        </w:rPr>
        <w:t xml:space="preserve">review for both external stakeholders and Te </w:t>
      </w:r>
      <w:proofErr w:type="spellStart"/>
      <w:r w:rsidRPr="00AD3EE6">
        <w:rPr>
          <w:b w:val="0"/>
          <w:bCs/>
        </w:rPr>
        <w:t>Tāhū</w:t>
      </w:r>
      <w:proofErr w:type="spellEnd"/>
      <w:r w:rsidRPr="00AD3EE6">
        <w:rPr>
          <w:b w:val="0"/>
          <w:bCs/>
        </w:rPr>
        <w:t xml:space="preserve"> Hauora staff.</w:t>
      </w:r>
    </w:p>
    <w:p w14:paraId="22EEFF70" w14:textId="198D48B8" w:rsidR="006F3CDE" w:rsidRPr="00AD3EE6" w:rsidRDefault="006F3CDE" w:rsidP="006F3CDE">
      <w:pPr>
        <w:pStyle w:val="Figuretableheading"/>
        <w:rPr>
          <w:b w:val="0"/>
          <w:bCs/>
        </w:rPr>
      </w:pPr>
      <w:r w:rsidRPr="00AD3EE6">
        <w:rPr>
          <w:b w:val="0"/>
          <w:bCs/>
        </w:rPr>
        <w:t>We engaged with key health leaders and stakeholders in mid-late March 2023 to assess how the organisation</w:t>
      </w:r>
      <w:r w:rsidR="00A148D2">
        <w:rPr>
          <w:b w:val="0"/>
          <w:bCs/>
        </w:rPr>
        <w:t>’</w:t>
      </w:r>
      <w:r w:rsidRPr="00AD3EE6">
        <w:rPr>
          <w:b w:val="0"/>
          <w:bCs/>
        </w:rPr>
        <w:t>s efforts are viewed across the health sector</w:t>
      </w:r>
      <w:r w:rsidR="00B951B2">
        <w:rPr>
          <w:b w:val="0"/>
          <w:bCs/>
        </w:rPr>
        <w:t xml:space="preserve"> and</w:t>
      </w:r>
      <w:r w:rsidRPr="00AD3EE6">
        <w:rPr>
          <w:b w:val="0"/>
          <w:bCs/>
        </w:rPr>
        <w:t xml:space="preserve"> where and how they most need to focus their efforts over the next </w:t>
      </w:r>
      <w:r w:rsidR="00A148D2">
        <w:rPr>
          <w:b w:val="0"/>
          <w:bCs/>
        </w:rPr>
        <w:t>4</w:t>
      </w:r>
      <w:r w:rsidR="00A148D2" w:rsidRPr="00AD3EE6">
        <w:rPr>
          <w:b w:val="0"/>
          <w:bCs/>
        </w:rPr>
        <w:t xml:space="preserve"> </w:t>
      </w:r>
      <w:r w:rsidRPr="00AD3EE6">
        <w:rPr>
          <w:b w:val="0"/>
          <w:bCs/>
        </w:rPr>
        <w:t xml:space="preserve">years to guide health quality </w:t>
      </w:r>
      <w:r w:rsidR="00511661">
        <w:rPr>
          <w:b w:val="0"/>
          <w:bCs/>
        </w:rPr>
        <w:t xml:space="preserve">and safety </w:t>
      </w:r>
      <w:r w:rsidRPr="00AD3EE6">
        <w:rPr>
          <w:b w:val="0"/>
          <w:bCs/>
        </w:rPr>
        <w:t>in our reformed system. We conducted over 20 interviews and focus groups with more than 50 leaders from a wide range of organisations with an interest in health quality</w:t>
      </w:r>
      <w:r w:rsidR="00511661">
        <w:rPr>
          <w:b w:val="0"/>
          <w:bCs/>
        </w:rPr>
        <w:t xml:space="preserve"> and safety</w:t>
      </w:r>
      <w:r w:rsidRPr="00AD3EE6">
        <w:rPr>
          <w:b w:val="0"/>
          <w:bCs/>
        </w:rPr>
        <w:t xml:space="preserve">. This included (but was not limited to) officials from the Accident Compensation Corporation, the Health and Disability Commissioner, </w:t>
      </w:r>
      <w:proofErr w:type="spellStart"/>
      <w:r w:rsidRPr="00AD3EE6">
        <w:rPr>
          <w:b w:val="0"/>
          <w:bCs/>
        </w:rPr>
        <w:t>Manatū</w:t>
      </w:r>
      <w:proofErr w:type="spellEnd"/>
      <w:r w:rsidRPr="00AD3EE6">
        <w:rPr>
          <w:b w:val="0"/>
          <w:bCs/>
        </w:rPr>
        <w:t xml:space="preserve"> Hauora</w:t>
      </w:r>
      <w:r w:rsidR="001B31C1" w:rsidRPr="001B31C1">
        <w:t xml:space="preserve"> </w:t>
      </w:r>
      <w:r w:rsidR="001B31C1" w:rsidRPr="00B57B1D">
        <w:rPr>
          <w:b w:val="0"/>
          <w:bCs/>
        </w:rPr>
        <w:t>Ministry of Health (</w:t>
      </w:r>
      <w:proofErr w:type="spellStart"/>
      <w:r w:rsidR="001B31C1" w:rsidRPr="00B57B1D">
        <w:rPr>
          <w:b w:val="0"/>
          <w:bCs/>
        </w:rPr>
        <w:t>Manatū</w:t>
      </w:r>
      <w:proofErr w:type="spellEnd"/>
      <w:r w:rsidR="001B31C1" w:rsidRPr="00B57B1D">
        <w:rPr>
          <w:b w:val="0"/>
          <w:bCs/>
        </w:rPr>
        <w:t xml:space="preserve"> Hauora)</w:t>
      </w:r>
      <w:r w:rsidRPr="00AD3EE6">
        <w:rPr>
          <w:b w:val="0"/>
          <w:bCs/>
        </w:rPr>
        <w:t xml:space="preserve">, </w:t>
      </w:r>
      <w:proofErr w:type="spellStart"/>
      <w:r w:rsidRPr="00AD3EE6">
        <w:rPr>
          <w:b w:val="0"/>
          <w:bCs/>
        </w:rPr>
        <w:t>Pharmac</w:t>
      </w:r>
      <w:proofErr w:type="spellEnd"/>
      <w:r w:rsidRPr="00AD3EE6">
        <w:rPr>
          <w:b w:val="0"/>
          <w:bCs/>
        </w:rPr>
        <w:t xml:space="preserve">, Te Aka </w:t>
      </w:r>
      <w:proofErr w:type="spellStart"/>
      <w:r w:rsidRPr="00AD3EE6">
        <w:rPr>
          <w:b w:val="0"/>
          <w:bCs/>
        </w:rPr>
        <w:t>Whai</w:t>
      </w:r>
      <w:proofErr w:type="spellEnd"/>
      <w:r w:rsidRPr="00AD3EE6">
        <w:rPr>
          <w:b w:val="0"/>
          <w:bCs/>
        </w:rPr>
        <w:t xml:space="preserve"> Ora</w:t>
      </w:r>
      <w:r w:rsidR="001B31C1">
        <w:rPr>
          <w:b w:val="0"/>
          <w:bCs/>
        </w:rPr>
        <w:t xml:space="preserve"> Māori Health Authority (Te Aka </w:t>
      </w:r>
      <w:proofErr w:type="spellStart"/>
      <w:r w:rsidR="001B31C1">
        <w:rPr>
          <w:b w:val="0"/>
          <w:bCs/>
        </w:rPr>
        <w:t>Whai</w:t>
      </w:r>
      <w:proofErr w:type="spellEnd"/>
      <w:r w:rsidR="001B31C1">
        <w:rPr>
          <w:b w:val="0"/>
          <w:bCs/>
        </w:rPr>
        <w:t xml:space="preserve"> Ora)</w:t>
      </w:r>
      <w:r w:rsidRPr="00AD3EE6">
        <w:rPr>
          <w:b w:val="0"/>
          <w:bCs/>
        </w:rPr>
        <w:t xml:space="preserve">, Te </w:t>
      </w:r>
      <w:proofErr w:type="spellStart"/>
      <w:r w:rsidRPr="00AD3EE6">
        <w:rPr>
          <w:b w:val="0"/>
          <w:bCs/>
        </w:rPr>
        <w:t>Whatu</w:t>
      </w:r>
      <w:proofErr w:type="spellEnd"/>
      <w:r w:rsidRPr="00AD3EE6">
        <w:rPr>
          <w:b w:val="0"/>
          <w:bCs/>
        </w:rPr>
        <w:t xml:space="preserve"> Ora</w:t>
      </w:r>
      <w:r w:rsidR="001B31C1">
        <w:rPr>
          <w:b w:val="0"/>
          <w:bCs/>
        </w:rPr>
        <w:t xml:space="preserve"> Health New Zealand (Te </w:t>
      </w:r>
      <w:proofErr w:type="spellStart"/>
      <w:r w:rsidR="001B31C1">
        <w:rPr>
          <w:b w:val="0"/>
          <w:bCs/>
        </w:rPr>
        <w:t>Whatu</w:t>
      </w:r>
      <w:proofErr w:type="spellEnd"/>
      <w:r w:rsidR="001B31C1">
        <w:rPr>
          <w:b w:val="0"/>
          <w:bCs/>
        </w:rPr>
        <w:t xml:space="preserve"> Ora)</w:t>
      </w:r>
      <w:r w:rsidRPr="00AD3EE6">
        <w:rPr>
          <w:b w:val="0"/>
          <w:bCs/>
        </w:rPr>
        <w:t xml:space="preserve">, the Medical Council of New Zealand, </w:t>
      </w:r>
      <w:r w:rsidR="004E6A5A">
        <w:rPr>
          <w:b w:val="0"/>
          <w:bCs/>
        </w:rPr>
        <w:t xml:space="preserve">the </w:t>
      </w:r>
      <w:r w:rsidRPr="00AD3EE6">
        <w:rPr>
          <w:b w:val="0"/>
          <w:bCs/>
        </w:rPr>
        <w:t>Ministry for Pacific Peoples and the Royal New Zealand College of General Practitioners (</w:t>
      </w:r>
      <w:r w:rsidR="00A148D2">
        <w:rPr>
          <w:b w:val="0"/>
          <w:bCs/>
        </w:rPr>
        <w:t>s</w:t>
      </w:r>
      <w:r w:rsidRPr="00AD3EE6">
        <w:rPr>
          <w:b w:val="0"/>
          <w:bCs/>
        </w:rPr>
        <w:t xml:space="preserve">ee Appendix 2 for </w:t>
      </w:r>
      <w:r w:rsidR="00B57B1D">
        <w:rPr>
          <w:b w:val="0"/>
          <w:bCs/>
        </w:rPr>
        <w:t xml:space="preserve">a </w:t>
      </w:r>
      <w:r w:rsidRPr="00AD3EE6">
        <w:rPr>
          <w:b w:val="0"/>
          <w:bCs/>
        </w:rPr>
        <w:t>full list of key health leaders and stakeholders).</w:t>
      </w:r>
    </w:p>
    <w:p w14:paraId="45CA38DD" w14:textId="5C2B6926" w:rsidR="006F3CDE" w:rsidRPr="00AD3EE6" w:rsidRDefault="00137179" w:rsidP="006F3CDE">
      <w:pPr>
        <w:pStyle w:val="Figuretableheading"/>
        <w:rPr>
          <w:b w:val="0"/>
          <w:bCs/>
        </w:rPr>
      </w:pPr>
      <w:r>
        <w:rPr>
          <w:b w:val="0"/>
          <w:bCs/>
        </w:rPr>
        <w:t>T</w:t>
      </w:r>
      <w:r w:rsidR="006F3CDE" w:rsidRPr="00AD3EE6">
        <w:rPr>
          <w:b w:val="0"/>
          <w:bCs/>
        </w:rPr>
        <w:t xml:space="preserve">he review </w:t>
      </w:r>
      <w:r>
        <w:rPr>
          <w:b w:val="0"/>
          <w:bCs/>
        </w:rPr>
        <w:t xml:space="preserve">also </w:t>
      </w:r>
      <w:r w:rsidR="006F3CDE" w:rsidRPr="00AD3EE6">
        <w:rPr>
          <w:b w:val="0"/>
          <w:bCs/>
        </w:rPr>
        <w:t xml:space="preserve">included feedback from Te </w:t>
      </w:r>
      <w:proofErr w:type="spellStart"/>
      <w:r w:rsidR="006F3CDE" w:rsidRPr="00AD3EE6">
        <w:rPr>
          <w:b w:val="0"/>
          <w:bCs/>
        </w:rPr>
        <w:t>Tāhū</w:t>
      </w:r>
      <w:proofErr w:type="spellEnd"/>
      <w:r w:rsidR="006F3CDE" w:rsidRPr="00AD3EE6">
        <w:rPr>
          <w:b w:val="0"/>
          <w:bCs/>
        </w:rPr>
        <w:t xml:space="preserve"> Hauora staff </w:t>
      </w:r>
      <w:r w:rsidR="00B57B1D" w:rsidRPr="00AD3EE6">
        <w:rPr>
          <w:b w:val="0"/>
          <w:bCs/>
        </w:rPr>
        <w:t xml:space="preserve">via an internal survey </w:t>
      </w:r>
      <w:r w:rsidR="00B57B1D">
        <w:rPr>
          <w:b w:val="0"/>
          <w:bCs/>
        </w:rPr>
        <w:t>about</w:t>
      </w:r>
      <w:r w:rsidR="006F3CDE" w:rsidRPr="00AD3EE6">
        <w:rPr>
          <w:b w:val="0"/>
          <w:bCs/>
        </w:rPr>
        <w:t xml:space="preserve"> how they have performed since </w:t>
      </w:r>
      <w:r w:rsidR="0003156D">
        <w:rPr>
          <w:b w:val="0"/>
          <w:bCs/>
        </w:rPr>
        <w:t>the last review</w:t>
      </w:r>
      <w:r w:rsidR="0003156D" w:rsidRPr="00AD3EE6">
        <w:rPr>
          <w:b w:val="0"/>
          <w:bCs/>
        </w:rPr>
        <w:t xml:space="preserve"> </w:t>
      </w:r>
      <w:r w:rsidR="006F3CDE" w:rsidRPr="00AD3EE6">
        <w:rPr>
          <w:b w:val="0"/>
          <w:bCs/>
        </w:rPr>
        <w:t xml:space="preserve">and what they believe their priorities need to be for the next </w:t>
      </w:r>
      <w:r>
        <w:rPr>
          <w:b w:val="0"/>
          <w:bCs/>
        </w:rPr>
        <w:t>4</w:t>
      </w:r>
      <w:r w:rsidRPr="00AD3EE6">
        <w:rPr>
          <w:b w:val="0"/>
          <w:bCs/>
        </w:rPr>
        <w:t xml:space="preserve"> </w:t>
      </w:r>
      <w:r w:rsidR="006F3CDE" w:rsidRPr="00AD3EE6">
        <w:rPr>
          <w:b w:val="0"/>
          <w:bCs/>
        </w:rPr>
        <w:t>years (see Appendix 3 for survey questions).</w:t>
      </w:r>
    </w:p>
    <w:p w14:paraId="79F45391" w14:textId="278D89F6" w:rsidR="006F3CDE" w:rsidRPr="00AD3EE6" w:rsidRDefault="006F3CDE" w:rsidP="006F3CDE">
      <w:pPr>
        <w:pStyle w:val="Figuretableheading"/>
        <w:rPr>
          <w:b w:val="0"/>
          <w:bCs/>
        </w:rPr>
      </w:pPr>
      <w:r w:rsidRPr="00AD3EE6">
        <w:rPr>
          <w:b w:val="0"/>
          <w:bCs/>
        </w:rPr>
        <w:t>The approach did not include seeking feedback from the health workforce</w:t>
      </w:r>
      <w:r w:rsidR="00E07476">
        <w:rPr>
          <w:b w:val="0"/>
          <w:bCs/>
        </w:rPr>
        <w:t>,</w:t>
      </w:r>
      <w:r w:rsidRPr="00AD3EE6">
        <w:rPr>
          <w:b w:val="0"/>
          <w:bCs/>
        </w:rPr>
        <w:t xml:space="preserve"> as we are mindful of </w:t>
      </w:r>
      <w:r w:rsidR="00137179">
        <w:rPr>
          <w:b w:val="0"/>
          <w:bCs/>
        </w:rPr>
        <w:t xml:space="preserve">the </w:t>
      </w:r>
      <w:r w:rsidRPr="00AD3EE6">
        <w:rPr>
          <w:b w:val="0"/>
          <w:bCs/>
        </w:rPr>
        <w:t xml:space="preserve">additional pressure that the last few years have placed on an already stretched workforce. Te </w:t>
      </w:r>
      <w:proofErr w:type="spellStart"/>
      <w:r w:rsidRPr="00AD3EE6">
        <w:rPr>
          <w:b w:val="0"/>
          <w:bCs/>
        </w:rPr>
        <w:t>Tāhū</w:t>
      </w:r>
      <w:proofErr w:type="spellEnd"/>
      <w:r w:rsidRPr="00AD3EE6">
        <w:rPr>
          <w:b w:val="0"/>
          <w:bCs/>
        </w:rPr>
        <w:t xml:space="preserve"> Hauora ha</w:t>
      </w:r>
      <w:r w:rsidR="00B11201">
        <w:rPr>
          <w:b w:val="0"/>
          <w:bCs/>
        </w:rPr>
        <w:t>s previously</w:t>
      </w:r>
      <w:r w:rsidRPr="00AD3EE6">
        <w:rPr>
          <w:b w:val="0"/>
          <w:bCs/>
        </w:rPr>
        <w:t xml:space="preserve"> sought real</w:t>
      </w:r>
      <w:r w:rsidR="00C337AF">
        <w:rPr>
          <w:b w:val="0"/>
          <w:bCs/>
        </w:rPr>
        <w:t>-</w:t>
      </w:r>
      <w:r w:rsidRPr="00AD3EE6">
        <w:rPr>
          <w:b w:val="0"/>
          <w:bCs/>
        </w:rPr>
        <w:t>time feedback</w:t>
      </w:r>
      <w:r w:rsidR="00B11201">
        <w:rPr>
          <w:b w:val="0"/>
          <w:bCs/>
        </w:rPr>
        <w:t xml:space="preserve"> over 2022</w:t>
      </w:r>
      <w:r w:rsidRPr="00AD3EE6">
        <w:rPr>
          <w:b w:val="0"/>
          <w:bCs/>
        </w:rPr>
        <w:t xml:space="preserve"> from the workforce and shared it with decision</w:t>
      </w:r>
      <w:r w:rsidR="00137179">
        <w:rPr>
          <w:b w:val="0"/>
          <w:bCs/>
        </w:rPr>
        <w:t>-</w:t>
      </w:r>
      <w:r w:rsidRPr="00AD3EE6">
        <w:rPr>
          <w:b w:val="0"/>
          <w:bCs/>
        </w:rPr>
        <w:t>makers</w:t>
      </w:r>
      <w:r w:rsidR="00B11201">
        <w:rPr>
          <w:b w:val="0"/>
          <w:bCs/>
        </w:rPr>
        <w:t xml:space="preserve"> at the time.</w:t>
      </w:r>
      <w:r w:rsidRPr="00AD3EE6">
        <w:rPr>
          <w:b w:val="0"/>
          <w:bCs/>
        </w:rPr>
        <w:t xml:space="preserve"> </w:t>
      </w:r>
    </w:p>
    <w:p w14:paraId="2D36E759" w14:textId="68C9182D" w:rsidR="006F3CDE" w:rsidRPr="00AD3EE6" w:rsidRDefault="006F3CDE" w:rsidP="006F3CDE">
      <w:pPr>
        <w:pStyle w:val="Figuretableheading"/>
        <w:rPr>
          <w:b w:val="0"/>
          <w:bCs/>
        </w:rPr>
      </w:pPr>
      <w:r w:rsidRPr="00AD3EE6">
        <w:rPr>
          <w:b w:val="0"/>
          <w:bCs/>
        </w:rPr>
        <w:t xml:space="preserve">The review </w:t>
      </w:r>
      <w:r w:rsidR="00137179">
        <w:rPr>
          <w:b w:val="0"/>
          <w:bCs/>
        </w:rPr>
        <w:t xml:space="preserve">was </w:t>
      </w:r>
      <w:r w:rsidRPr="00AD3EE6">
        <w:rPr>
          <w:b w:val="0"/>
          <w:bCs/>
        </w:rPr>
        <w:t>completed within clear and tight parameters to align with the development of the SOI 2023</w:t>
      </w:r>
      <w:r w:rsidR="00137179">
        <w:rPr>
          <w:b w:val="0"/>
          <w:bCs/>
        </w:rPr>
        <w:t>–</w:t>
      </w:r>
      <w:r w:rsidRPr="00AD3EE6">
        <w:rPr>
          <w:b w:val="0"/>
          <w:bCs/>
        </w:rPr>
        <w:t>27 to ensure the feedback link</w:t>
      </w:r>
      <w:r w:rsidR="00B57B1D">
        <w:rPr>
          <w:b w:val="0"/>
          <w:bCs/>
        </w:rPr>
        <w:t>ed</w:t>
      </w:r>
      <w:r w:rsidRPr="00AD3EE6">
        <w:rPr>
          <w:b w:val="0"/>
          <w:bCs/>
        </w:rPr>
        <w:t xml:space="preserve"> directly into this strategic document. </w:t>
      </w:r>
    </w:p>
    <w:p w14:paraId="7EBB654E" w14:textId="77777777" w:rsidR="00B116B2" w:rsidRDefault="00B116B2">
      <w:pPr>
        <w:spacing w:after="200"/>
        <w:rPr>
          <w:rFonts w:eastAsiaTheme="majorEastAsia" w:cs="Arial"/>
          <w:b/>
          <w:i/>
          <w:color w:val="293868"/>
          <w:sz w:val="28"/>
          <w:szCs w:val="26"/>
        </w:rPr>
      </w:pPr>
      <w:r>
        <w:br w:type="page"/>
      </w:r>
    </w:p>
    <w:p w14:paraId="77FCA432" w14:textId="7BAB8933" w:rsidR="00774278" w:rsidRPr="00AD3EE6" w:rsidRDefault="00774278" w:rsidP="00355BD9">
      <w:pPr>
        <w:pStyle w:val="TeThHauorahead2"/>
      </w:pPr>
      <w:bookmarkStart w:id="5" w:name="_Toc137717489"/>
      <w:r w:rsidRPr="00AD3EE6">
        <w:lastRenderedPageBreak/>
        <w:t>Structure of the report</w:t>
      </w:r>
      <w:bookmarkEnd w:id="5"/>
    </w:p>
    <w:p w14:paraId="32341584" w14:textId="77777777" w:rsidR="00774278" w:rsidRPr="00AD3EE6" w:rsidRDefault="00774278" w:rsidP="00774278">
      <w:pPr>
        <w:pStyle w:val="Figuretableheading"/>
        <w:rPr>
          <w:b w:val="0"/>
          <w:bCs/>
        </w:rPr>
      </w:pPr>
      <w:r w:rsidRPr="00AD3EE6">
        <w:rPr>
          <w:b w:val="0"/>
          <w:bCs/>
        </w:rPr>
        <w:t>This report is divided into the following sections:</w:t>
      </w:r>
    </w:p>
    <w:p w14:paraId="458426F2" w14:textId="4F30CF9B" w:rsidR="0060257B" w:rsidRPr="00EB7355" w:rsidRDefault="0060257B" w:rsidP="0060257B">
      <w:pPr>
        <w:pStyle w:val="Figuretableheading"/>
        <w:rPr>
          <w:b w:val="0"/>
          <w:bCs/>
        </w:rPr>
      </w:pPr>
      <w:r w:rsidRPr="00EB7355">
        <w:rPr>
          <w:b w:val="0"/>
          <w:bCs/>
        </w:rPr>
        <w:t>Section 1</w:t>
      </w:r>
      <w:r w:rsidR="00B116B2">
        <w:rPr>
          <w:b w:val="0"/>
          <w:bCs/>
        </w:rPr>
        <w:t>:</w:t>
      </w:r>
      <w:r w:rsidRPr="00EB7355">
        <w:rPr>
          <w:b w:val="0"/>
          <w:bCs/>
        </w:rPr>
        <w:t xml:space="preserve"> </w:t>
      </w:r>
      <w:r w:rsidR="00B116B2">
        <w:rPr>
          <w:b w:val="0"/>
          <w:bCs/>
        </w:rPr>
        <w:t xml:space="preserve">Background </w:t>
      </w:r>
      <w:r w:rsidRPr="00EB7355">
        <w:rPr>
          <w:b w:val="0"/>
          <w:bCs/>
        </w:rPr>
        <w:t>introduce</w:t>
      </w:r>
      <w:r w:rsidR="005F7C2F">
        <w:rPr>
          <w:b w:val="0"/>
          <w:bCs/>
        </w:rPr>
        <w:t>s</w:t>
      </w:r>
      <w:r w:rsidRPr="00EB7355">
        <w:rPr>
          <w:b w:val="0"/>
          <w:bCs/>
        </w:rPr>
        <w:t xml:space="preserve"> the performance review, </w:t>
      </w:r>
      <w:r>
        <w:rPr>
          <w:b w:val="0"/>
          <w:bCs/>
        </w:rPr>
        <w:t>i</w:t>
      </w:r>
      <w:r w:rsidRPr="00EB7355">
        <w:rPr>
          <w:b w:val="0"/>
          <w:bCs/>
        </w:rPr>
        <w:t xml:space="preserve">ncluding </w:t>
      </w:r>
      <w:r>
        <w:rPr>
          <w:b w:val="0"/>
          <w:bCs/>
        </w:rPr>
        <w:t xml:space="preserve">its </w:t>
      </w:r>
      <w:r w:rsidRPr="00EB7355">
        <w:rPr>
          <w:b w:val="0"/>
          <w:bCs/>
        </w:rPr>
        <w:t>purpose</w:t>
      </w:r>
      <w:r>
        <w:rPr>
          <w:b w:val="0"/>
          <w:bCs/>
        </w:rPr>
        <w:t xml:space="preserve">, </w:t>
      </w:r>
      <w:r w:rsidRPr="00EB7355">
        <w:rPr>
          <w:b w:val="0"/>
          <w:bCs/>
        </w:rPr>
        <w:t>the approach taken</w:t>
      </w:r>
      <w:r w:rsidR="00B951B2">
        <w:rPr>
          <w:b w:val="0"/>
          <w:bCs/>
        </w:rPr>
        <w:t xml:space="preserve"> and</w:t>
      </w:r>
      <w:r w:rsidRPr="00EB7355">
        <w:rPr>
          <w:b w:val="0"/>
          <w:bCs/>
        </w:rPr>
        <w:t xml:space="preserve"> the structure of the report.</w:t>
      </w:r>
    </w:p>
    <w:p w14:paraId="79D6DC8A" w14:textId="12E3CDDF" w:rsidR="0060257B" w:rsidRPr="00EB7355" w:rsidRDefault="0060257B" w:rsidP="0060257B">
      <w:pPr>
        <w:rPr>
          <w:rFonts w:cs="Arial"/>
        </w:rPr>
      </w:pPr>
      <w:r w:rsidRPr="00EB7355">
        <w:rPr>
          <w:bCs/>
        </w:rPr>
        <w:t>Section 2</w:t>
      </w:r>
      <w:r w:rsidR="00B116B2">
        <w:rPr>
          <w:bCs/>
        </w:rPr>
        <w:t>:</w:t>
      </w:r>
      <w:r w:rsidRPr="00EB7355">
        <w:rPr>
          <w:bCs/>
        </w:rPr>
        <w:t xml:space="preserve"> </w:t>
      </w:r>
      <w:r w:rsidR="00B116B2">
        <w:rPr>
          <w:bCs/>
        </w:rPr>
        <w:t xml:space="preserve">Leading out with </w:t>
      </w:r>
      <w:r w:rsidR="00B57B1D">
        <w:rPr>
          <w:bCs/>
        </w:rPr>
        <w:t>i</w:t>
      </w:r>
      <w:r w:rsidR="00B116B2">
        <w:rPr>
          <w:bCs/>
        </w:rPr>
        <w:t xml:space="preserve">nfluence </w:t>
      </w:r>
      <w:r w:rsidRPr="00EB7355">
        <w:rPr>
          <w:rFonts w:cs="Arial"/>
        </w:rPr>
        <w:t>focuses on the new context</w:t>
      </w:r>
      <w:r w:rsidR="00B57B1D">
        <w:rPr>
          <w:rFonts w:cs="Arial"/>
        </w:rPr>
        <w:t xml:space="preserve"> in which</w:t>
      </w:r>
      <w:r w:rsidRPr="00EB7355">
        <w:rPr>
          <w:rFonts w:cs="Arial"/>
        </w:rPr>
        <w:t xml:space="preserve"> Te </w:t>
      </w:r>
      <w:proofErr w:type="spellStart"/>
      <w:r w:rsidRPr="00EB7355">
        <w:rPr>
          <w:rFonts w:cs="Arial"/>
        </w:rPr>
        <w:t>Tāhū</w:t>
      </w:r>
      <w:proofErr w:type="spellEnd"/>
      <w:r w:rsidRPr="00EB7355">
        <w:rPr>
          <w:rFonts w:cs="Arial"/>
        </w:rPr>
        <w:t xml:space="preserve"> Hauora </w:t>
      </w:r>
      <w:r w:rsidR="00121902">
        <w:rPr>
          <w:rFonts w:cs="Arial"/>
        </w:rPr>
        <w:t xml:space="preserve">is </w:t>
      </w:r>
      <w:r w:rsidRPr="00EB7355">
        <w:rPr>
          <w:rFonts w:cs="Arial"/>
        </w:rPr>
        <w:t xml:space="preserve">operating and </w:t>
      </w:r>
      <w:r w:rsidR="00B57B1D">
        <w:rPr>
          <w:rFonts w:cs="Arial"/>
        </w:rPr>
        <w:t xml:space="preserve">the </w:t>
      </w:r>
      <w:r w:rsidRPr="00EB7355">
        <w:rPr>
          <w:rFonts w:cs="Arial"/>
        </w:rPr>
        <w:t xml:space="preserve">key factors </w:t>
      </w:r>
      <w:r w:rsidR="00121902">
        <w:rPr>
          <w:rFonts w:cs="Arial"/>
        </w:rPr>
        <w:t xml:space="preserve">it is </w:t>
      </w:r>
      <w:r w:rsidRPr="00EB7355">
        <w:rPr>
          <w:rFonts w:cs="Arial"/>
        </w:rPr>
        <w:t xml:space="preserve">responding to, including </w:t>
      </w:r>
      <w:r w:rsidR="00B57B1D">
        <w:rPr>
          <w:rFonts w:cs="Arial"/>
        </w:rPr>
        <w:t xml:space="preserve">the </w:t>
      </w:r>
      <w:r w:rsidRPr="00EB7355">
        <w:rPr>
          <w:rFonts w:cs="Arial"/>
        </w:rPr>
        <w:t xml:space="preserve">new legislation and what it requires of </w:t>
      </w:r>
      <w:r w:rsidR="00121902" w:rsidRPr="00EB7355">
        <w:rPr>
          <w:rFonts w:cs="Arial"/>
        </w:rPr>
        <w:t xml:space="preserve">Te </w:t>
      </w:r>
      <w:proofErr w:type="spellStart"/>
      <w:r w:rsidR="00121902" w:rsidRPr="00EB7355">
        <w:rPr>
          <w:rFonts w:cs="Arial"/>
        </w:rPr>
        <w:t>Tāhū</w:t>
      </w:r>
      <w:proofErr w:type="spellEnd"/>
      <w:r w:rsidR="00121902" w:rsidRPr="00EB7355">
        <w:rPr>
          <w:rFonts w:cs="Arial"/>
        </w:rPr>
        <w:t xml:space="preserve"> Hauora</w:t>
      </w:r>
      <w:r w:rsidRPr="00EB7355">
        <w:rPr>
          <w:rFonts w:cs="Arial"/>
        </w:rPr>
        <w:t>.</w:t>
      </w:r>
    </w:p>
    <w:p w14:paraId="42D7970A" w14:textId="6FDFBE1F" w:rsidR="0060257B" w:rsidRDefault="0060257B" w:rsidP="0060257B">
      <w:pPr>
        <w:pStyle w:val="Figuretableheading"/>
        <w:rPr>
          <w:b w:val="0"/>
          <w:bCs/>
        </w:rPr>
      </w:pPr>
      <w:r w:rsidRPr="00EB7355">
        <w:rPr>
          <w:b w:val="0"/>
          <w:bCs/>
        </w:rPr>
        <w:t>Section 3</w:t>
      </w:r>
      <w:r w:rsidR="00B116B2">
        <w:rPr>
          <w:b w:val="0"/>
          <w:bCs/>
        </w:rPr>
        <w:t>: Championing quality improvement</w:t>
      </w:r>
      <w:r w:rsidRPr="00EB7355">
        <w:rPr>
          <w:b w:val="0"/>
          <w:bCs/>
        </w:rPr>
        <w:t xml:space="preserve"> provides</w:t>
      </w:r>
      <w:r>
        <w:rPr>
          <w:b w:val="0"/>
          <w:bCs/>
        </w:rPr>
        <w:t xml:space="preserve"> an overview of the feedback we received regarding the strengths of the organisation and </w:t>
      </w:r>
      <w:r w:rsidR="00B57B1D">
        <w:rPr>
          <w:b w:val="0"/>
          <w:bCs/>
        </w:rPr>
        <w:t xml:space="preserve">the </w:t>
      </w:r>
      <w:r>
        <w:rPr>
          <w:b w:val="0"/>
          <w:bCs/>
        </w:rPr>
        <w:t>progress it has made.</w:t>
      </w:r>
    </w:p>
    <w:p w14:paraId="63CA2CAD" w14:textId="4CA5A442" w:rsidR="0060257B" w:rsidRPr="00E07013" w:rsidRDefault="0060257B" w:rsidP="0060257B">
      <w:pPr>
        <w:pStyle w:val="Figuretableheading"/>
        <w:rPr>
          <w:b w:val="0"/>
          <w:bCs/>
        </w:rPr>
      </w:pPr>
      <w:r w:rsidRPr="00E07013">
        <w:rPr>
          <w:b w:val="0"/>
          <w:bCs/>
        </w:rPr>
        <w:t>Section 4</w:t>
      </w:r>
      <w:r w:rsidR="00B116B2">
        <w:rPr>
          <w:b w:val="0"/>
          <w:bCs/>
        </w:rPr>
        <w:t xml:space="preserve">: Delivering on </w:t>
      </w:r>
      <w:proofErr w:type="spellStart"/>
      <w:r w:rsidR="0064465F">
        <w:rPr>
          <w:b w:val="0"/>
          <w:bCs/>
        </w:rPr>
        <w:t>p</w:t>
      </w:r>
      <w:r w:rsidR="00B116B2">
        <w:rPr>
          <w:b w:val="0"/>
          <w:bCs/>
        </w:rPr>
        <w:t>ae</w:t>
      </w:r>
      <w:proofErr w:type="spellEnd"/>
      <w:r w:rsidR="00B116B2">
        <w:rPr>
          <w:b w:val="0"/>
          <w:bCs/>
        </w:rPr>
        <w:t xml:space="preserve"> </w:t>
      </w:r>
      <w:proofErr w:type="spellStart"/>
      <w:r w:rsidR="0064465F">
        <w:rPr>
          <w:b w:val="0"/>
          <w:bCs/>
        </w:rPr>
        <w:t>o</w:t>
      </w:r>
      <w:r w:rsidR="00B116B2">
        <w:rPr>
          <w:b w:val="0"/>
          <w:bCs/>
        </w:rPr>
        <w:t>ra</w:t>
      </w:r>
      <w:proofErr w:type="spellEnd"/>
      <w:r w:rsidR="00B116B2">
        <w:rPr>
          <w:b w:val="0"/>
          <w:bCs/>
        </w:rPr>
        <w:t xml:space="preserve"> </w:t>
      </w:r>
      <w:r>
        <w:rPr>
          <w:b w:val="0"/>
          <w:bCs/>
        </w:rPr>
        <w:t>discusses h</w:t>
      </w:r>
      <w:r w:rsidRPr="00E07013">
        <w:rPr>
          <w:b w:val="0"/>
          <w:bCs/>
        </w:rPr>
        <w:t xml:space="preserve">ow well </w:t>
      </w:r>
      <w:r>
        <w:rPr>
          <w:b w:val="0"/>
          <w:bCs/>
        </w:rPr>
        <w:t xml:space="preserve">Te </w:t>
      </w:r>
      <w:proofErr w:type="spellStart"/>
      <w:r>
        <w:rPr>
          <w:b w:val="0"/>
          <w:bCs/>
        </w:rPr>
        <w:t>Tāhū</w:t>
      </w:r>
      <w:proofErr w:type="spellEnd"/>
      <w:r>
        <w:rPr>
          <w:b w:val="0"/>
          <w:bCs/>
        </w:rPr>
        <w:t xml:space="preserve"> Hauora is </w:t>
      </w:r>
      <w:r w:rsidRPr="00E07013">
        <w:rPr>
          <w:b w:val="0"/>
          <w:bCs/>
        </w:rPr>
        <w:t>positioned to deliver in the reformed health system</w:t>
      </w:r>
      <w:r>
        <w:rPr>
          <w:b w:val="0"/>
          <w:bCs/>
        </w:rPr>
        <w:t>.</w:t>
      </w:r>
    </w:p>
    <w:p w14:paraId="5E20E514" w14:textId="21DD64D0" w:rsidR="0060257B" w:rsidRDefault="0060257B" w:rsidP="0060257B">
      <w:pPr>
        <w:pStyle w:val="Figuretableheading"/>
        <w:rPr>
          <w:b w:val="0"/>
          <w:bCs/>
        </w:rPr>
      </w:pPr>
      <w:r>
        <w:rPr>
          <w:b w:val="0"/>
          <w:bCs/>
        </w:rPr>
        <w:t>Section 5</w:t>
      </w:r>
      <w:r w:rsidR="00B116B2">
        <w:rPr>
          <w:b w:val="0"/>
          <w:bCs/>
        </w:rPr>
        <w:t>: Recommendations</w:t>
      </w:r>
      <w:r>
        <w:rPr>
          <w:b w:val="0"/>
          <w:bCs/>
        </w:rPr>
        <w:t xml:space="preserve"> provide</w:t>
      </w:r>
      <w:r w:rsidR="005F7C2F">
        <w:rPr>
          <w:b w:val="0"/>
          <w:bCs/>
        </w:rPr>
        <w:t>s</w:t>
      </w:r>
      <w:r>
        <w:rPr>
          <w:b w:val="0"/>
          <w:bCs/>
        </w:rPr>
        <w:t xml:space="preserve"> our recommendations for enhancing the unique and critical role of Te </w:t>
      </w:r>
      <w:proofErr w:type="spellStart"/>
      <w:r>
        <w:rPr>
          <w:b w:val="0"/>
          <w:bCs/>
        </w:rPr>
        <w:t>Tāhū</w:t>
      </w:r>
      <w:proofErr w:type="spellEnd"/>
      <w:r>
        <w:rPr>
          <w:b w:val="0"/>
          <w:bCs/>
        </w:rPr>
        <w:t xml:space="preserve"> Hauora within the health system reforms.</w:t>
      </w:r>
    </w:p>
    <w:p w14:paraId="509DE2D6" w14:textId="4CEE4B1E" w:rsidR="00AD0C2B" w:rsidRPr="00AD3EE6" w:rsidRDefault="00E25FDF">
      <w:pPr>
        <w:spacing w:after="200"/>
        <w:rPr>
          <w:rFonts w:eastAsiaTheme="majorEastAsia" w:cs="Arial"/>
          <w:b/>
          <w:i/>
          <w:color w:val="293868"/>
          <w:sz w:val="28"/>
          <w:szCs w:val="26"/>
        </w:rPr>
      </w:pPr>
      <w:r>
        <w:t>Finally, the</w:t>
      </w:r>
      <w:r w:rsidR="00B116B2">
        <w:t xml:space="preserve"> </w:t>
      </w:r>
      <w:r w:rsidR="00C54968">
        <w:t>three</w:t>
      </w:r>
      <w:r w:rsidR="005F7C2F">
        <w:t xml:space="preserve"> </w:t>
      </w:r>
      <w:r w:rsidR="00B116B2">
        <w:t>appendices</w:t>
      </w:r>
      <w:r w:rsidR="005F7C2F">
        <w:t xml:space="preserve"> set out question guidance for key stakeholder interviews, agencies and organisations represented in interviews or focus groups and staff survey questions, respectively</w:t>
      </w:r>
      <w:r w:rsidR="00B116B2">
        <w:t>.</w:t>
      </w:r>
      <w:r w:rsidR="00AD0C2B" w:rsidRPr="00AD3EE6">
        <w:br w:type="page"/>
      </w:r>
    </w:p>
    <w:p w14:paraId="26A189F4" w14:textId="2F9D5B84" w:rsidR="004D7A26" w:rsidRPr="00AD3EE6" w:rsidRDefault="00096BB5" w:rsidP="00355BD9">
      <w:pPr>
        <w:pStyle w:val="TeThHauorahead1"/>
      </w:pPr>
      <w:bookmarkStart w:id="6" w:name="_Toc137717490"/>
      <w:r w:rsidRPr="00AD3EE6">
        <w:lastRenderedPageBreak/>
        <w:t xml:space="preserve">Section 2: </w:t>
      </w:r>
      <w:r w:rsidR="00414CF0" w:rsidRPr="00AD3EE6">
        <w:t>Leading out with influence</w:t>
      </w:r>
      <w:r w:rsidR="00BB2105">
        <w:t xml:space="preserve"> | </w:t>
      </w:r>
      <w:r w:rsidR="00C83916" w:rsidRPr="00C83916">
        <w:t>Wāhanga 2: Te arataki whakamana</w:t>
      </w:r>
      <w:bookmarkEnd w:id="6"/>
    </w:p>
    <w:p w14:paraId="3690612F" w14:textId="1EF3749C" w:rsidR="009F4922" w:rsidRPr="00AD3EE6" w:rsidRDefault="00F45F17" w:rsidP="004C6DDB">
      <w:pPr>
        <w:rPr>
          <w:b/>
          <w:bCs/>
        </w:rPr>
      </w:pPr>
      <w:r w:rsidRPr="00AD3EE6">
        <w:t>In undertaking this review, we considered</w:t>
      </w:r>
      <w:r w:rsidR="004C6DDB">
        <w:t>,</w:t>
      </w:r>
      <w:r w:rsidR="00FF2373" w:rsidRPr="00AD3EE6">
        <w:t xml:space="preserve"> </w:t>
      </w:r>
      <w:r w:rsidR="004C6DDB" w:rsidRPr="004C6DDB">
        <w:rPr>
          <w:b/>
          <w:bCs/>
        </w:rPr>
        <w:t>‘</w:t>
      </w:r>
      <w:r w:rsidR="008056EE" w:rsidRPr="00AD3EE6">
        <w:rPr>
          <w:b/>
          <w:bCs/>
        </w:rPr>
        <w:t>H</w:t>
      </w:r>
      <w:r w:rsidR="00FF2373" w:rsidRPr="00AD3EE6">
        <w:rPr>
          <w:b/>
          <w:bCs/>
        </w:rPr>
        <w:t xml:space="preserve">ow can Te </w:t>
      </w:r>
      <w:proofErr w:type="spellStart"/>
      <w:r w:rsidR="00B57B1D" w:rsidRPr="00AD3EE6">
        <w:rPr>
          <w:b/>
          <w:bCs/>
        </w:rPr>
        <w:t>Tāhū</w:t>
      </w:r>
      <w:proofErr w:type="spellEnd"/>
      <w:r w:rsidR="00FF2373" w:rsidRPr="00AD3EE6">
        <w:rPr>
          <w:b/>
          <w:bCs/>
        </w:rPr>
        <w:t xml:space="preserve"> Hauora further enhance its value and contribution to improving the health system and advancing Māori health, </w:t>
      </w:r>
      <w:r w:rsidR="004C6DDB">
        <w:rPr>
          <w:b/>
          <w:bCs/>
        </w:rPr>
        <w:br/>
      </w:r>
      <w:r w:rsidR="00FF2373" w:rsidRPr="00AD3EE6">
        <w:rPr>
          <w:b/>
          <w:bCs/>
        </w:rPr>
        <w:t xml:space="preserve">Te </w:t>
      </w:r>
      <w:proofErr w:type="spellStart"/>
      <w:r w:rsidR="00FF2373" w:rsidRPr="00AD3EE6">
        <w:rPr>
          <w:b/>
          <w:bCs/>
        </w:rPr>
        <w:t>Tiriti</w:t>
      </w:r>
      <w:proofErr w:type="spellEnd"/>
      <w:r w:rsidR="00FF2373" w:rsidRPr="00AD3EE6">
        <w:rPr>
          <w:b/>
          <w:bCs/>
        </w:rPr>
        <w:t xml:space="preserve"> o Waitangi, and health equity across government</w:t>
      </w:r>
      <w:r w:rsidR="003F3C32" w:rsidRPr="00AD3EE6">
        <w:rPr>
          <w:b/>
          <w:bCs/>
        </w:rPr>
        <w:t xml:space="preserve"> within the reformed health system</w:t>
      </w:r>
      <w:r w:rsidR="008056EE" w:rsidRPr="00AD3EE6">
        <w:rPr>
          <w:b/>
          <w:bCs/>
        </w:rPr>
        <w:t>?</w:t>
      </w:r>
      <w:r w:rsidR="004C6DDB">
        <w:rPr>
          <w:b/>
          <w:bCs/>
        </w:rPr>
        <w:t>’</w:t>
      </w:r>
      <w:r w:rsidR="00025BFD" w:rsidRPr="00AD3EE6">
        <w:rPr>
          <w:b/>
          <w:bCs/>
        </w:rPr>
        <w:t xml:space="preserve"> </w:t>
      </w:r>
    </w:p>
    <w:p w14:paraId="50255C5C" w14:textId="0F246A59" w:rsidR="00871DAB" w:rsidRPr="00AD3EE6" w:rsidRDefault="00831D65" w:rsidP="00FC6F9C">
      <w:r>
        <w:t>W</w:t>
      </w:r>
      <w:r w:rsidR="003F3C32" w:rsidRPr="00AD3EE6">
        <w:t xml:space="preserve">e </w:t>
      </w:r>
      <w:r>
        <w:t xml:space="preserve">also </w:t>
      </w:r>
      <w:r w:rsidR="003F3C32" w:rsidRPr="00AD3EE6">
        <w:t>ex</w:t>
      </w:r>
      <w:r w:rsidR="00537317" w:rsidRPr="00AD3EE6">
        <w:t>plore</w:t>
      </w:r>
      <w:r>
        <w:t>d</w:t>
      </w:r>
      <w:r w:rsidR="00537317" w:rsidRPr="00AD3EE6">
        <w:t xml:space="preserve"> </w:t>
      </w:r>
      <w:r w:rsidR="000338FA" w:rsidRPr="00AD3EE6">
        <w:t xml:space="preserve">the </w:t>
      </w:r>
      <w:r w:rsidR="00F02C48" w:rsidRPr="00AD3EE6">
        <w:t>opportunities and challenges</w:t>
      </w:r>
      <w:r w:rsidR="00537317" w:rsidRPr="00AD3EE6">
        <w:t xml:space="preserve"> </w:t>
      </w:r>
      <w:r w:rsidR="000338FA" w:rsidRPr="00AD3EE6">
        <w:t>for</w:t>
      </w:r>
      <w:r w:rsidR="006E6C7D" w:rsidRPr="00AD3EE6">
        <w:t xml:space="preserve"> </w:t>
      </w:r>
      <w:r w:rsidR="00A9542A" w:rsidRPr="00AD3EE6">
        <w:t xml:space="preserve">Te </w:t>
      </w:r>
      <w:proofErr w:type="spellStart"/>
      <w:r w:rsidR="00A9542A" w:rsidRPr="00AD3EE6">
        <w:t>Tāhū</w:t>
      </w:r>
      <w:proofErr w:type="spellEnd"/>
      <w:r w:rsidR="00A9542A" w:rsidRPr="00AD3EE6">
        <w:t xml:space="preserve"> Hauora </w:t>
      </w:r>
      <w:r w:rsidR="006E6C7D" w:rsidRPr="00AD3EE6">
        <w:t xml:space="preserve">leading </w:t>
      </w:r>
      <w:r w:rsidR="00B36A97" w:rsidRPr="00AD3EE6">
        <w:t xml:space="preserve">out </w:t>
      </w:r>
      <w:r w:rsidR="007213BF" w:rsidRPr="00AD3EE6">
        <w:t xml:space="preserve">and influencing </w:t>
      </w:r>
      <w:r w:rsidR="00F02C48" w:rsidRPr="00AD3EE6">
        <w:t>across th</w:t>
      </w:r>
      <w:r w:rsidR="001E68D4" w:rsidRPr="00AD3EE6">
        <w:t xml:space="preserve">e </w:t>
      </w:r>
      <w:r w:rsidR="00626E19" w:rsidRPr="00AD3EE6">
        <w:t xml:space="preserve">developing </w:t>
      </w:r>
      <w:r w:rsidR="000338FA" w:rsidRPr="00AD3EE6">
        <w:t>system</w:t>
      </w:r>
      <w:r w:rsidR="001E68D4" w:rsidRPr="00AD3EE6">
        <w:t xml:space="preserve"> and its structures.</w:t>
      </w:r>
    </w:p>
    <w:p w14:paraId="3A1786D9" w14:textId="44551927" w:rsidR="00226855" w:rsidRPr="00AD3EE6" w:rsidRDefault="00226855" w:rsidP="00355BD9">
      <w:pPr>
        <w:pStyle w:val="TeThHauorahead2"/>
      </w:pPr>
      <w:bookmarkStart w:id="7" w:name="_Toc137717491"/>
      <w:r w:rsidRPr="00AD3EE6">
        <w:t>The changed landscape</w:t>
      </w:r>
      <w:bookmarkEnd w:id="7"/>
    </w:p>
    <w:p w14:paraId="313E9F02" w14:textId="5EF94887" w:rsidR="00C84876" w:rsidRPr="00AD3EE6" w:rsidRDefault="00614211" w:rsidP="00917F77">
      <w:r w:rsidRPr="00AD3EE6">
        <w:t>The COVID-19 pandemic and shortages in the health workfo</w:t>
      </w:r>
      <w:r w:rsidR="00F80752" w:rsidRPr="00AD3EE6">
        <w:t>r</w:t>
      </w:r>
      <w:r w:rsidRPr="00AD3EE6">
        <w:t xml:space="preserve">ce have created challenges for an already stretched health system. </w:t>
      </w:r>
    </w:p>
    <w:p w14:paraId="07B920B4" w14:textId="45714E50" w:rsidR="00C84876" w:rsidRPr="00AD3EE6" w:rsidRDefault="000132CB" w:rsidP="00C84876">
      <w:r w:rsidRPr="00AD3EE6">
        <w:rPr>
          <w:rFonts w:cs="Arial"/>
        </w:rPr>
        <w:t xml:space="preserve">Since the enactment of the </w:t>
      </w:r>
      <w:proofErr w:type="spellStart"/>
      <w:r w:rsidRPr="00AD3EE6">
        <w:rPr>
          <w:rFonts w:cs="Arial"/>
        </w:rPr>
        <w:t>Pae</w:t>
      </w:r>
      <w:proofErr w:type="spellEnd"/>
      <w:r w:rsidRPr="00AD3EE6">
        <w:rPr>
          <w:rFonts w:cs="Arial"/>
        </w:rPr>
        <w:t xml:space="preserve"> Ora Act in mid-2022, the health system has experienced a substantial transformation, </w:t>
      </w:r>
      <w:r w:rsidR="005F4537">
        <w:rPr>
          <w:rFonts w:cs="Arial"/>
        </w:rPr>
        <w:t xml:space="preserve">and the newly </w:t>
      </w:r>
      <w:r w:rsidR="00C84876" w:rsidRPr="00AD3EE6">
        <w:t>created system structures will take time to embed</w:t>
      </w:r>
      <w:r w:rsidRPr="00AD3EE6">
        <w:rPr>
          <w:rFonts w:cs="Arial"/>
        </w:rPr>
        <w:t xml:space="preserve">. The </w:t>
      </w:r>
      <w:proofErr w:type="spellStart"/>
      <w:r w:rsidRPr="00AD3EE6">
        <w:rPr>
          <w:rFonts w:cs="Arial"/>
        </w:rPr>
        <w:t>Pae</w:t>
      </w:r>
      <w:proofErr w:type="spellEnd"/>
      <w:r w:rsidRPr="00AD3EE6">
        <w:rPr>
          <w:rFonts w:cs="Arial"/>
        </w:rPr>
        <w:t xml:space="preserve"> Ora Act requires the health system to give effect to the principles of Te </w:t>
      </w:r>
      <w:proofErr w:type="spellStart"/>
      <w:r w:rsidRPr="00AD3EE6">
        <w:rPr>
          <w:rFonts w:cs="Arial"/>
        </w:rPr>
        <w:t>Tiriti</w:t>
      </w:r>
      <w:proofErr w:type="spellEnd"/>
      <w:r w:rsidRPr="00AD3EE6">
        <w:rPr>
          <w:rFonts w:cs="Arial"/>
        </w:rPr>
        <w:t xml:space="preserve"> o Waitangi</w:t>
      </w:r>
      <w:r w:rsidR="005F7C2F">
        <w:rPr>
          <w:rFonts w:cs="Arial"/>
        </w:rPr>
        <w:t>,</w:t>
      </w:r>
      <w:r w:rsidRPr="00AD3EE6">
        <w:rPr>
          <w:rFonts w:cs="Arial"/>
        </w:rPr>
        <w:t xml:space="preserve"> to engage with consumers</w:t>
      </w:r>
      <w:r w:rsidRPr="00AD3EE6">
        <w:rPr>
          <w:vertAlign w:val="superscript"/>
        </w:rPr>
        <w:footnoteReference w:id="8"/>
      </w:r>
      <w:r w:rsidRPr="00AD3EE6">
        <w:rPr>
          <w:rFonts w:cs="Arial"/>
        </w:rPr>
        <w:t xml:space="preserve"> and whānau</w:t>
      </w:r>
      <w:r w:rsidRPr="00AD3EE6">
        <w:rPr>
          <w:rFonts w:cs="Arial"/>
          <w:vertAlign w:val="superscript"/>
        </w:rPr>
        <w:footnoteReference w:id="9"/>
      </w:r>
      <w:r w:rsidRPr="00AD3EE6">
        <w:rPr>
          <w:rFonts w:cs="Arial"/>
        </w:rPr>
        <w:t xml:space="preserve"> and to work for health equity. It also sets a clear and strong direction for health quality</w:t>
      </w:r>
      <w:r w:rsidR="00511661">
        <w:rPr>
          <w:rFonts w:cs="Arial"/>
        </w:rPr>
        <w:t xml:space="preserve"> and safety</w:t>
      </w:r>
      <w:r w:rsidRPr="00AD3EE6">
        <w:rPr>
          <w:rFonts w:cs="Arial"/>
        </w:rPr>
        <w:t>.</w:t>
      </w:r>
      <w:r w:rsidRPr="00AD3EE6">
        <w:rPr>
          <w:vertAlign w:val="superscript"/>
        </w:rPr>
        <w:footnoteReference w:id="10"/>
      </w:r>
      <w:r w:rsidR="00C84876" w:rsidRPr="00AD3EE6">
        <w:t xml:space="preserve"> </w:t>
      </w:r>
    </w:p>
    <w:p w14:paraId="721E9CA9" w14:textId="6E3DEAC6" w:rsidR="000132CB" w:rsidRPr="00AD3EE6" w:rsidRDefault="000132CB" w:rsidP="000132CB">
      <w:pPr>
        <w:rPr>
          <w:rFonts w:cs="Arial"/>
        </w:rPr>
      </w:pPr>
      <w:r w:rsidRPr="00AD3EE6">
        <w:rPr>
          <w:rFonts w:cs="Arial"/>
        </w:rPr>
        <w:t xml:space="preserve">Within these changes, Te </w:t>
      </w:r>
      <w:proofErr w:type="spellStart"/>
      <w:r w:rsidRPr="00AD3EE6">
        <w:rPr>
          <w:rFonts w:cs="Arial"/>
        </w:rPr>
        <w:t>Tāhū</w:t>
      </w:r>
      <w:proofErr w:type="spellEnd"/>
      <w:r w:rsidRPr="00AD3EE6">
        <w:rPr>
          <w:rFonts w:cs="Arial"/>
        </w:rPr>
        <w:t xml:space="preserve"> Hauora has new partners in Te Aka </w:t>
      </w:r>
      <w:proofErr w:type="spellStart"/>
      <w:r w:rsidRPr="00AD3EE6">
        <w:rPr>
          <w:rFonts w:cs="Arial"/>
        </w:rPr>
        <w:t>Whai</w:t>
      </w:r>
      <w:proofErr w:type="spellEnd"/>
      <w:r w:rsidRPr="00AD3EE6">
        <w:rPr>
          <w:rFonts w:cs="Arial"/>
        </w:rPr>
        <w:t xml:space="preserve"> Ora</w:t>
      </w:r>
      <w:r w:rsidR="000F3008">
        <w:rPr>
          <w:rFonts w:cs="Arial"/>
        </w:rPr>
        <w:t xml:space="preserve">, </w:t>
      </w:r>
      <w:r w:rsidRPr="00AD3EE6">
        <w:rPr>
          <w:rFonts w:cs="Arial"/>
        </w:rPr>
        <w:t xml:space="preserve">Te </w:t>
      </w:r>
      <w:proofErr w:type="spellStart"/>
      <w:r w:rsidRPr="00AD3EE6">
        <w:rPr>
          <w:rFonts w:cs="Arial"/>
        </w:rPr>
        <w:t>Whatu</w:t>
      </w:r>
      <w:proofErr w:type="spellEnd"/>
      <w:r w:rsidRPr="00AD3EE6">
        <w:rPr>
          <w:rFonts w:cs="Arial"/>
        </w:rPr>
        <w:t xml:space="preserve"> Ora,</w:t>
      </w:r>
      <w:r w:rsidR="000F3008">
        <w:rPr>
          <w:rFonts w:cs="Arial"/>
        </w:rPr>
        <w:t xml:space="preserve"> and </w:t>
      </w:r>
      <w:proofErr w:type="spellStart"/>
      <w:r w:rsidR="000F3008">
        <w:rPr>
          <w:rFonts w:cs="Arial"/>
        </w:rPr>
        <w:t>Whaikaha</w:t>
      </w:r>
      <w:proofErr w:type="spellEnd"/>
      <w:r w:rsidR="000F3008">
        <w:rPr>
          <w:rFonts w:cs="Arial"/>
        </w:rPr>
        <w:t>,</w:t>
      </w:r>
      <w:r w:rsidRPr="00AD3EE6">
        <w:rPr>
          <w:rFonts w:cs="Arial"/>
        </w:rPr>
        <w:t xml:space="preserve"> in addition to </w:t>
      </w:r>
      <w:proofErr w:type="spellStart"/>
      <w:r w:rsidRPr="00AD3EE6">
        <w:rPr>
          <w:rFonts w:cs="Arial"/>
        </w:rPr>
        <w:t>Manatū</w:t>
      </w:r>
      <w:proofErr w:type="spellEnd"/>
      <w:r w:rsidRPr="00AD3EE6">
        <w:rPr>
          <w:rFonts w:cs="Arial"/>
        </w:rPr>
        <w:t xml:space="preserve"> Hauora. Newly formed legislative pathways and requirements to engage with iwi and Māori, consumers and whānau and across localities and communities require new ways of working and new working relationships to be formed.</w:t>
      </w:r>
      <w:r w:rsidR="00704953" w:rsidRPr="00AD3EE6">
        <w:t xml:space="preserve"> </w:t>
      </w:r>
      <w:r w:rsidR="00DD7610" w:rsidRPr="00AD3EE6">
        <w:t>Forming</w:t>
      </w:r>
      <w:r w:rsidR="008106A3" w:rsidRPr="00AD3EE6">
        <w:t xml:space="preserve"> and strengthening these relationships will be </w:t>
      </w:r>
      <w:r w:rsidR="00704953" w:rsidRPr="00AD3EE6">
        <w:t xml:space="preserve">key </w:t>
      </w:r>
      <w:r w:rsidR="00F73DFA">
        <w:t xml:space="preserve">to </w:t>
      </w:r>
      <w:r w:rsidR="00704953" w:rsidRPr="00AD3EE6">
        <w:t xml:space="preserve">delivering on the vision of </w:t>
      </w:r>
      <w:r w:rsidR="00F73DFA">
        <w:t xml:space="preserve">the </w:t>
      </w:r>
      <w:r w:rsidR="00704953" w:rsidRPr="00AD3EE6">
        <w:t>reforms</w:t>
      </w:r>
      <w:r w:rsidR="00DD7610" w:rsidRPr="00AD3EE6">
        <w:t>.</w:t>
      </w:r>
    </w:p>
    <w:p w14:paraId="2E9026B7" w14:textId="26D6293B" w:rsidR="008B4E75" w:rsidRPr="00AD3EE6" w:rsidRDefault="009C5C77" w:rsidP="00917F77">
      <w:pPr>
        <w:rPr>
          <w:rFonts w:cs="Arial"/>
        </w:rPr>
      </w:pPr>
      <w:r w:rsidRPr="00AD3EE6">
        <w:rPr>
          <w:rFonts w:cs="Arial"/>
        </w:rPr>
        <w:t>W</w:t>
      </w:r>
      <w:r w:rsidR="0085202C" w:rsidRPr="00AD3EE6">
        <w:rPr>
          <w:rFonts w:cs="Arial"/>
        </w:rPr>
        <w:t>e</w:t>
      </w:r>
      <w:r w:rsidR="0083595D" w:rsidRPr="00AD3EE6">
        <w:rPr>
          <w:rFonts w:cs="Arial"/>
        </w:rPr>
        <w:t xml:space="preserve"> </w:t>
      </w:r>
      <w:r w:rsidR="008B4E75" w:rsidRPr="00AD3EE6">
        <w:rPr>
          <w:rFonts w:cs="Arial"/>
        </w:rPr>
        <w:t>recogni</w:t>
      </w:r>
      <w:r w:rsidR="0083595D" w:rsidRPr="00AD3EE6">
        <w:rPr>
          <w:rFonts w:cs="Arial"/>
        </w:rPr>
        <w:t>s</w:t>
      </w:r>
      <w:r w:rsidR="0085202C" w:rsidRPr="00AD3EE6">
        <w:rPr>
          <w:rFonts w:cs="Arial"/>
        </w:rPr>
        <w:t>e</w:t>
      </w:r>
      <w:r w:rsidR="008B4E75" w:rsidRPr="00AD3EE6">
        <w:rPr>
          <w:rFonts w:cs="Arial"/>
        </w:rPr>
        <w:t xml:space="preserve"> the</w:t>
      </w:r>
      <w:r w:rsidR="00237C47" w:rsidRPr="00AD3EE6">
        <w:rPr>
          <w:rFonts w:cs="Arial"/>
        </w:rPr>
        <w:t>se</w:t>
      </w:r>
      <w:r w:rsidR="008B4E75" w:rsidRPr="00AD3EE6">
        <w:rPr>
          <w:rFonts w:cs="Arial"/>
        </w:rPr>
        <w:t xml:space="preserve"> unique circumstances and demands</w:t>
      </w:r>
      <w:r w:rsidR="009057B0" w:rsidRPr="00AD3EE6">
        <w:rPr>
          <w:rFonts w:cs="Arial"/>
        </w:rPr>
        <w:t>.</w:t>
      </w:r>
      <w:r w:rsidR="008B4E75" w:rsidRPr="00AD3EE6">
        <w:rPr>
          <w:rFonts w:cs="Arial"/>
        </w:rPr>
        <w:t xml:space="preserve"> </w:t>
      </w:r>
      <w:r w:rsidR="00421E35" w:rsidRPr="00AD3EE6">
        <w:rPr>
          <w:rFonts w:cs="Arial"/>
        </w:rPr>
        <w:t xml:space="preserve">Our </w:t>
      </w:r>
      <w:r w:rsidR="009057B0" w:rsidRPr="00AD3EE6">
        <w:rPr>
          <w:rFonts w:cs="Arial"/>
        </w:rPr>
        <w:t>recommendation</w:t>
      </w:r>
      <w:r w:rsidR="009057B0" w:rsidRPr="00AD3EE6">
        <w:t>s</w:t>
      </w:r>
      <w:r w:rsidR="00EC37D6" w:rsidRPr="00AD3EE6">
        <w:t xml:space="preserve"> to</w:t>
      </w:r>
      <w:r w:rsidR="009057B0" w:rsidRPr="00AD3EE6">
        <w:t xml:space="preserve"> </w:t>
      </w:r>
      <w:r w:rsidR="008B4E75" w:rsidRPr="00AD3EE6">
        <w:rPr>
          <w:rFonts w:cs="Arial"/>
        </w:rPr>
        <w:t xml:space="preserve">Te </w:t>
      </w:r>
      <w:proofErr w:type="spellStart"/>
      <w:r w:rsidR="008B4E75" w:rsidRPr="00AD3EE6">
        <w:rPr>
          <w:rFonts w:cs="Arial"/>
        </w:rPr>
        <w:t>Tāhū</w:t>
      </w:r>
      <w:proofErr w:type="spellEnd"/>
      <w:r w:rsidR="008B4E75" w:rsidRPr="00AD3EE6">
        <w:rPr>
          <w:rFonts w:cs="Arial"/>
        </w:rPr>
        <w:t xml:space="preserve"> Hauora</w:t>
      </w:r>
      <w:r w:rsidR="00421E35" w:rsidRPr="00AD3EE6">
        <w:rPr>
          <w:rFonts w:cs="Arial"/>
        </w:rPr>
        <w:t xml:space="preserve"> aim to </w:t>
      </w:r>
      <w:r w:rsidR="006A69DC" w:rsidRPr="00AD3EE6">
        <w:rPr>
          <w:rFonts w:cs="Arial"/>
        </w:rPr>
        <w:t>optimise its readiness and effectiveness</w:t>
      </w:r>
      <w:r w:rsidR="00B51356" w:rsidRPr="00AD3EE6">
        <w:rPr>
          <w:rFonts w:cs="Arial"/>
        </w:rPr>
        <w:t xml:space="preserve"> </w:t>
      </w:r>
      <w:r w:rsidR="007702B1" w:rsidRPr="00AD3EE6">
        <w:rPr>
          <w:rFonts w:cs="Arial"/>
        </w:rPr>
        <w:t>in assuming its pivotal</w:t>
      </w:r>
      <w:r w:rsidR="008B4E75" w:rsidRPr="00AD3EE6">
        <w:rPr>
          <w:rFonts w:cs="Arial"/>
        </w:rPr>
        <w:t xml:space="preserve"> role in driving positive change within the health system</w:t>
      </w:r>
      <w:r w:rsidR="00594131" w:rsidRPr="00AD3EE6">
        <w:rPr>
          <w:rFonts w:cs="Arial"/>
        </w:rPr>
        <w:t>.</w:t>
      </w:r>
      <w:r w:rsidR="007702B1" w:rsidRPr="00AD3EE6">
        <w:rPr>
          <w:rFonts w:cs="Arial"/>
        </w:rPr>
        <w:t xml:space="preserve"> By embracing these recommendations, Te </w:t>
      </w:r>
      <w:proofErr w:type="spellStart"/>
      <w:r w:rsidR="007702B1" w:rsidRPr="00AD3EE6">
        <w:rPr>
          <w:rFonts w:cs="Arial"/>
        </w:rPr>
        <w:t>Tāhū</w:t>
      </w:r>
      <w:proofErr w:type="spellEnd"/>
      <w:r w:rsidR="007702B1" w:rsidRPr="00AD3EE6">
        <w:rPr>
          <w:rFonts w:cs="Arial"/>
        </w:rPr>
        <w:t xml:space="preserve"> Hauora will be well</w:t>
      </w:r>
      <w:r w:rsidR="00F41FA6">
        <w:rPr>
          <w:rFonts w:cs="Arial"/>
        </w:rPr>
        <w:t xml:space="preserve"> </w:t>
      </w:r>
      <w:r w:rsidR="007702B1" w:rsidRPr="00AD3EE6">
        <w:rPr>
          <w:rFonts w:cs="Arial"/>
        </w:rPr>
        <w:t xml:space="preserve">equipped to navigate the evolving landscape, ultimately </w:t>
      </w:r>
      <w:r w:rsidR="00C95B16" w:rsidRPr="00AD3EE6">
        <w:rPr>
          <w:rFonts w:cs="Arial"/>
        </w:rPr>
        <w:t xml:space="preserve">advancing </w:t>
      </w:r>
      <w:r w:rsidR="007702B1" w:rsidRPr="00AD3EE6">
        <w:rPr>
          <w:rFonts w:cs="Arial"/>
        </w:rPr>
        <w:t xml:space="preserve">improved health outcomes, </w:t>
      </w:r>
      <w:proofErr w:type="gramStart"/>
      <w:r w:rsidR="007702B1" w:rsidRPr="00AD3EE6">
        <w:rPr>
          <w:rFonts w:cs="Arial"/>
        </w:rPr>
        <w:t>equity</w:t>
      </w:r>
      <w:proofErr w:type="gramEnd"/>
      <w:r w:rsidR="00B951B2">
        <w:rPr>
          <w:rFonts w:cs="Arial"/>
        </w:rPr>
        <w:t xml:space="preserve"> and</w:t>
      </w:r>
      <w:r w:rsidR="00DD5DFA" w:rsidRPr="00AD3EE6">
        <w:rPr>
          <w:rFonts w:cs="Arial"/>
        </w:rPr>
        <w:t xml:space="preserve"> enhanced resilience in the face of future challenges.</w:t>
      </w:r>
    </w:p>
    <w:p w14:paraId="0F573A8C" w14:textId="7B47991F" w:rsidR="008D3D39" w:rsidRPr="00AD3EE6" w:rsidRDefault="00757397" w:rsidP="00917F77">
      <w:r w:rsidRPr="00AD3EE6">
        <w:t>W</w:t>
      </w:r>
      <w:r w:rsidR="008D3D39" w:rsidRPr="00AD3EE6">
        <w:t>e express our sincere appreciation for the time and valuable insights shared by th</w:t>
      </w:r>
      <w:r w:rsidRPr="00AD3EE6">
        <w:t xml:space="preserve">ose </w:t>
      </w:r>
      <w:r w:rsidR="008D3D39" w:rsidRPr="00AD3EE6">
        <w:t xml:space="preserve">we interviewed. Additionally, we acknowledge </w:t>
      </w:r>
      <w:r w:rsidR="00BA310D" w:rsidRPr="00AD3EE6">
        <w:t xml:space="preserve">Te </w:t>
      </w:r>
      <w:proofErr w:type="spellStart"/>
      <w:r w:rsidR="00BA310D" w:rsidRPr="00AD3EE6">
        <w:t>Tāhū</w:t>
      </w:r>
      <w:proofErr w:type="spellEnd"/>
      <w:r w:rsidR="00BA310D" w:rsidRPr="00AD3EE6">
        <w:t xml:space="preserve"> Hauora</w:t>
      </w:r>
      <w:r w:rsidR="008D3D39" w:rsidRPr="00AD3EE6">
        <w:t xml:space="preserve"> staff for their detailed and thoughtful responses, which greatly enriched our understanding. The feedback we received </w:t>
      </w:r>
      <w:r w:rsidR="008D3D39" w:rsidRPr="00AD3EE6">
        <w:lastRenderedPageBreak/>
        <w:t xml:space="preserve">demonstrated a </w:t>
      </w:r>
      <w:r w:rsidR="00693683" w:rsidRPr="00AD3EE6">
        <w:t>remarkable</w:t>
      </w:r>
      <w:r w:rsidR="00655B98" w:rsidRPr="00AD3EE6">
        <w:t xml:space="preserve"> </w:t>
      </w:r>
      <w:r w:rsidR="008D3D39" w:rsidRPr="00AD3EE6">
        <w:t xml:space="preserve">level of engagement </w:t>
      </w:r>
      <w:r w:rsidRPr="00AD3EE6">
        <w:t xml:space="preserve">from staff </w:t>
      </w:r>
      <w:r w:rsidR="008D3D39" w:rsidRPr="00AD3EE6">
        <w:t xml:space="preserve">and </w:t>
      </w:r>
      <w:r w:rsidRPr="00AD3EE6">
        <w:t>a</w:t>
      </w:r>
      <w:r w:rsidR="008D3D39" w:rsidRPr="00AD3EE6">
        <w:t xml:space="preserve"> passion</w:t>
      </w:r>
      <w:r w:rsidR="00693683" w:rsidRPr="00AD3EE6">
        <w:t>ate dedication</w:t>
      </w:r>
      <w:r w:rsidR="008D3D39" w:rsidRPr="00AD3EE6">
        <w:t xml:space="preserve"> </w:t>
      </w:r>
      <w:r w:rsidR="006E0596" w:rsidRPr="00AD3EE6">
        <w:t xml:space="preserve">to </w:t>
      </w:r>
      <w:r w:rsidR="00A9167A" w:rsidRPr="00AD3EE6">
        <w:t xml:space="preserve">improving </w:t>
      </w:r>
      <w:r w:rsidR="00E25316" w:rsidRPr="00AD3EE6">
        <w:t>health outcomes.</w:t>
      </w:r>
      <w:r w:rsidR="008D3D39" w:rsidRPr="00AD3EE6">
        <w:t xml:space="preserve"> </w:t>
      </w:r>
    </w:p>
    <w:p w14:paraId="3201A410" w14:textId="159A1C47" w:rsidR="008D3D39" w:rsidRPr="00AD3EE6" w:rsidRDefault="008D3D39" w:rsidP="00917F77">
      <w:r w:rsidRPr="00AD3EE6">
        <w:t>It is evident that there is a genuine desire</w:t>
      </w:r>
      <w:r w:rsidR="00921945" w:rsidRPr="00AD3EE6">
        <w:t xml:space="preserve"> across the health sector and within Te </w:t>
      </w:r>
      <w:proofErr w:type="spellStart"/>
      <w:r w:rsidR="00921945" w:rsidRPr="00AD3EE6">
        <w:t>Tāhū</w:t>
      </w:r>
      <w:proofErr w:type="spellEnd"/>
      <w:r w:rsidR="00921945" w:rsidRPr="00AD3EE6">
        <w:t xml:space="preserve"> Hauora</w:t>
      </w:r>
      <w:r w:rsidRPr="00AD3EE6">
        <w:t xml:space="preserve"> to </w:t>
      </w:r>
      <w:r w:rsidRPr="00AD3EE6">
        <w:rPr>
          <w:rFonts w:cs="Arial"/>
        </w:rPr>
        <w:t>prioritise</w:t>
      </w:r>
      <w:r w:rsidR="00921945" w:rsidRPr="00AD3EE6">
        <w:t xml:space="preserve"> </w:t>
      </w:r>
      <w:r w:rsidRPr="00AD3EE6">
        <w:t xml:space="preserve">the rights of Māori </w:t>
      </w:r>
      <w:r w:rsidR="00195F0B" w:rsidRPr="00AD3EE6">
        <w:t xml:space="preserve">as </w:t>
      </w:r>
      <w:proofErr w:type="spellStart"/>
      <w:r w:rsidR="00195F0B" w:rsidRPr="00AD3EE6">
        <w:t>tangata</w:t>
      </w:r>
      <w:proofErr w:type="spellEnd"/>
      <w:r w:rsidR="00195F0B" w:rsidRPr="00AD3EE6">
        <w:t xml:space="preserve"> whenua </w:t>
      </w:r>
      <w:r w:rsidRPr="00AD3EE6">
        <w:t>and other groups</w:t>
      </w:r>
      <w:r w:rsidR="00BC6A4D" w:rsidRPr="00AD3EE6">
        <w:t xml:space="preserve"> disadvantaged by the health system</w:t>
      </w:r>
      <w:r w:rsidRPr="00AD3EE6">
        <w:t xml:space="preserve">, such as Pacific peoples and disabled </w:t>
      </w:r>
      <w:r w:rsidR="0001541E" w:rsidRPr="00AD3EE6">
        <w:t>people</w:t>
      </w:r>
      <w:r w:rsidRPr="00AD3EE6">
        <w:t xml:space="preserve">, and to find innovative ways to improve the delivery of quality and equitable </w:t>
      </w:r>
      <w:r w:rsidR="003324D9">
        <w:t>health care</w:t>
      </w:r>
      <w:r w:rsidRPr="00AD3EE6">
        <w:t xml:space="preserve"> services for all New Zealanders. We are </w:t>
      </w:r>
      <w:r w:rsidR="00D94AC8" w:rsidRPr="00AD3EE6">
        <w:t>encouraged</w:t>
      </w:r>
      <w:r w:rsidRPr="00AD3EE6">
        <w:t xml:space="preserve"> by the </w:t>
      </w:r>
      <w:r w:rsidR="005929A2">
        <w:t xml:space="preserve">passion and </w:t>
      </w:r>
      <w:r w:rsidRPr="00AD3EE6">
        <w:t>determination to work more effectively and drive meaningful improvements in the health sector.</w:t>
      </w:r>
    </w:p>
    <w:p w14:paraId="23A889C1" w14:textId="5478CA15" w:rsidR="001B1105" w:rsidRPr="00AD3EE6" w:rsidRDefault="003922A2" w:rsidP="00355BD9">
      <w:pPr>
        <w:pStyle w:val="TeThHauorahead2"/>
      </w:pPr>
      <w:bookmarkStart w:id="8" w:name="_Toc137717492"/>
      <w:r w:rsidRPr="00AD3EE6">
        <w:t>The u</w:t>
      </w:r>
      <w:r w:rsidR="001B1105" w:rsidRPr="00AD3EE6">
        <w:t xml:space="preserve">nique and trusted </w:t>
      </w:r>
      <w:r w:rsidR="00B62F29" w:rsidRPr="00AD3EE6">
        <w:t>position</w:t>
      </w:r>
      <w:r w:rsidR="001B1105" w:rsidRPr="00AD3EE6">
        <w:t xml:space="preserve"> of </w:t>
      </w:r>
      <w:r w:rsidR="002C06A0" w:rsidRPr="00AD3EE6">
        <w:t xml:space="preserve">Te </w:t>
      </w:r>
      <w:proofErr w:type="spellStart"/>
      <w:r w:rsidR="002C06A0" w:rsidRPr="00AD3EE6">
        <w:t>Tāhū</w:t>
      </w:r>
      <w:proofErr w:type="spellEnd"/>
      <w:r w:rsidR="002C06A0" w:rsidRPr="00AD3EE6">
        <w:t xml:space="preserve"> Hauora</w:t>
      </w:r>
      <w:bookmarkEnd w:id="8"/>
    </w:p>
    <w:p w14:paraId="7D73E38C" w14:textId="60D3F9FB" w:rsidR="00905FDE" w:rsidRPr="00AD3EE6" w:rsidRDefault="00BA310D" w:rsidP="00917F77">
      <w:r w:rsidRPr="00AD3EE6">
        <w:t xml:space="preserve">The </w:t>
      </w:r>
      <w:r w:rsidR="00063259" w:rsidRPr="00AD3EE6">
        <w:t>value</w:t>
      </w:r>
      <w:r w:rsidRPr="00AD3EE6">
        <w:t xml:space="preserve"> of Te </w:t>
      </w:r>
      <w:proofErr w:type="spellStart"/>
      <w:r w:rsidRPr="00AD3EE6">
        <w:t>Tāhū</w:t>
      </w:r>
      <w:proofErr w:type="spellEnd"/>
      <w:r w:rsidRPr="00AD3EE6">
        <w:t xml:space="preserve"> Hauora as a </w:t>
      </w:r>
      <w:r w:rsidR="00063259" w:rsidRPr="00AD3EE6">
        <w:t xml:space="preserve">well-established organisation with a unique </w:t>
      </w:r>
      <w:r w:rsidR="00D1563D" w:rsidRPr="00AD3EE6">
        <w:t xml:space="preserve">and </w:t>
      </w:r>
      <w:r w:rsidR="002B5F01" w:rsidRPr="00AD3EE6">
        <w:t>trusted</w:t>
      </w:r>
      <w:r w:rsidR="00D1563D" w:rsidRPr="00AD3EE6">
        <w:t xml:space="preserve"> </w:t>
      </w:r>
      <w:r w:rsidR="00063259" w:rsidRPr="00AD3EE6">
        <w:t xml:space="preserve">role in </w:t>
      </w:r>
      <w:r w:rsidR="00063259" w:rsidRPr="00AD3EE6">
        <w:rPr>
          <w:rFonts w:cs="Arial"/>
        </w:rPr>
        <w:t>the</w:t>
      </w:r>
      <w:r w:rsidR="00063259" w:rsidRPr="00AD3EE6">
        <w:t xml:space="preserve"> </w:t>
      </w:r>
      <w:r w:rsidR="003324D9">
        <w:t>health care</w:t>
      </w:r>
      <w:r w:rsidR="00063259" w:rsidRPr="00AD3EE6">
        <w:t xml:space="preserve"> system in Aotearoa New Zealand is unquestionable. </w:t>
      </w:r>
    </w:p>
    <w:p w14:paraId="17AA52FA" w14:textId="543B878A" w:rsidR="003B29A3" w:rsidRPr="00AD3EE6" w:rsidRDefault="00063259" w:rsidP="00917F77">
      <w:r w:rsidRPr="00AD3EE6">
        <w:t xml:space="preserve">As the health system </w:t>
      </w:r>
      <w:r w:rsidR="00064F1A" w:rsidRPr="00AD3EE6">
        <w:t>embeds the</w:t>
      </w:r>
      <w:r w:rsidR="00E02766" w:rsidRPr="00AD3EE6">
        <w:t xml:space="preserve"> </w:t>
      </w:r>
      <w:r w:rsidR="00C473A0" w:rsidRPr="00AD3EE6">
        <w:t xml:space="preserve">structures </w:t>
      </w:r>
      <w:r w:rsidR="00AA7C0C">
        <w:t>arising from the</w:t>
      </w:r>
      <w:r w:rsidR="00AA7C0C" w:rsidRPr="00AD3EE6">
        <w:t xml:space="preserve"> </w:t>
      </w:r>
      <w:r w:rsidR="00E02766" w:rsidRPr="00AD3EE6">
        <w:t>health system</w:t>
      </w:r>
      <w:r w:rsidRPr="00AD3EE6">
        <w:t xml:space="preserve"> reform, </w:t>
      </w:r>
      <w:r w:rsidR="00BA310D" w:rsidRPr="00AD3EE6">
        <w:t xml:space="preserve">the position of Te </w:t>
      </w:r>
      <w:proofErr w:type="spellStart"/>
      <w:r w:rsidR="00BA310D" w:rsidRPr="00AD3EE6">
        <w:t>Tāhū</w:t>
      </w:r>
      <w:proofErr w:type="spellEnd"/>
      <w:r w:rsidR="00BA310D" w:rsidRPr="00AD3EE6">
        <w:t xml:space="preserve"> Hauora</w:t>
      </w:r>
      <w:r w:rsidRPr="00AD3EE6">
        <w:t xml:space="preserve"> remains vital, enabling it to make a significant impact on the future success of </w:t>
      </w:r>
      <w:r w:rsidR="003324D9">
        <w:t>health care</w:t>
      </w:r>
      <w:r w:rsidRPr="00AD3EE6">
        <w:t xml:space="preserve"> in the country. By leveraging its experience, expertise</w:t>
      </w:r>
      <w:r w:rsidR="00B951B2">
        <w:t xml:space="preserve"> and</w:t>
      </w:r>
      <w:r w:rsidRPr="00AD3EE6">
        <w:t xml:space="preserve"> resources, </w:t>
      </w:r>
      <w:r w:rsidR="00BA310D" w:rsidRPr="00AD3EE6">
        <w:t xml:space="preserve">Te </w:t>
      </w:r>
      <w:proofErr w:type="spellStart"/>
      <w:r w:rsidR="00BA310D" w:rsidRPr="00AD3EE6">
        <w:t>Tāhū</w:t>
      </w:r>
      <w:proofErr w:type="spellEnd"/>
      <w:r w:rsidR="00BA310D" w:rsidRPr="00AD3EE6">
        <w:t xml:space="preserve"> Hauora</w:t>
      </w:r>
      <w:r w:rsidRPr="00AD3EE6">
        <w:t xml:space="preserve"> can </w:t>
      </w:r>
      <w:r w:rsidRPr="00AD3EE6">
        <w:rPr>
          <w:rFonts w:cs="Arial"/>
        </w:rPr>
        <w:t>continue</w:t>
      </w:r>
      <w:r w:rsidRPr="00AD3EE6">
        <w:t xml:space="preserve"> to play a critical role in driving positive change and promoting better health outcomes for all New Zealanders. </w:t>
      </w:r>
    </w:p>
    <w:p w14:paraId="5E23AC6A" w14:textId="5B8162BA" w:rsidR="00650D86" w:rsidRPr="00AD3EE6" w:rsidRDefault="006E3ED3" w:rsidP="00650D86">
      <w:r w:rsidRPr="00AD3EE6">
        <w:t xml:space="preserve">The new and enhanced functions entrusted to Te </w:t>
      </w:r>
      <w:proofErr w:type="spellStart"/>
      <w:r w:rsidRPr="00AD3EE6">
        <w:t>Tāhū</w:t>
      </w:r>
      <w:proofErr w:type="spellEnd"/>
      <w:r w:rsidRPr="00AD3EE6">
        <w:t xml:space="preserve"> Hauora under the </w:t>
      </w:r>
      <w:proofErr w:type="spellStart"/>
      <w:r w:rsidRPr="00AD3EE6">
        <w:t>Pae</w:t>
      </w:r>
      <w:proofErr w:type="spellEnd"/>
      <w:r w:rsidRPr="00AD3EE6">
        <w:t xml:space="preserve"> Ora Act serve as tangible evidence of </w:t>
      </w:r>
      <w:r w:rsidR="00C707C2">
        <w:t>the organisation’s</w:t>
      </w:r>
      <w:r w:rsidR="00C707C2" w:rsidRPr="00AD3EE6">
        <w:t xml:space="preserve"> </w:t>
      </w:r>
      <w:r w:rsidR="00430F76" w:rsidRPr="00AD3EE6">
        <w:t>significant</w:t>
      </w:r>
      <w:r w:rsidRPr="00AD3EE6">
        <w:t xml:space="preserve"> contribution to health quality</w:t>
      </w:r>
      <w:r w:rsidR="00511661">
        <w:t xml:space="preserve"> and safety</w:t>
      </w:r>
      <w:r w:rsidRPr="00AD3EE6">
        <w:t>.</w:t>
      </w:r>
      <w:r w:rsidR="006F1790" w:rsidRPr="00AD3EE6">
        <w:t xml:space="preserve"> </w:t>
      </w:r>
      <w:r w:rsidR="00650D86" w:rsidRPr="00AD3EE6">
        <w:t xml:space="preserve">This speaks to the strength and ability of Te </w:t>
      </w:r>
      <w:proofErr w:type="spellStart"/>
      <w:r w:rsidR="00650D86" w:rsidRPr="00AD3EE6">
        <w:t>Tāhū</w:t>
      </w:r>
      <w:proofErr w:type="spellEnd"/>
      <w:r w:rsidR="00650D86" w:rsidRPr="00AD3EE6">
        <w:t xml:space="preserve"> Hauora to ‘shine a light’ on what is happening in the system </w:t>
      </w:r>
      <w:r w:rsidR="00AA7C0C">
        <w:t xml:space="preserve">and </w:t>
      </w:r>
      <w:r w:rsidR="00650D86" w:rsidRPr="00AD3EE6">
        <w:t xml:space="preserve">provide evidence-based quality improvement initiatives and direction and support to the health sector to improve </w:t>
      </w:r>
      <w:r w:rsidR="00AA7C0C" w:rsidRPr="00AD3EE6">
        <w:t>engage</w:t>
      </w:r>
      <w:r w:rsidR="00AA7C0C">
        <w:t>ment</w:t>
      </w:r>
      <w:r w:rsidR="00650D86" w:rsidRPr="00AD3EE6">
        <w:t xml:space="preserve"> with consumers and whānau.</w:t>
      </w:r>
    </w:p>
    <w:p w14:paraId="62DE49E6" w14:textId="7E414038" w:rsidR="0003016B" w:rsidRPr="00AD3EE6" w:rsidRDefault="00BA310D" w:rsidP="00917F77">
      <w:r w:rsidRPr="00AD3EE6">
        <w:t xml:space="preserve">Te </w:t>
      </w:r>
      <w:proofErr w:type="spellStart"/>
      <w:r w:rsidRPr="00AD3EE6">
        <w:t>Tāhū</w:t>
      </w:r>
      <w:proofErr w:type="spellEnd"/>
      <w:r w:rsidRPr="00AD3EE6">
        <w:t xml:space="preserve"> Hauora</w:t>
      </w:r>
      <w:r w:rsidR="0003016B" w:rsidRPr="00AD3EE6">
        <w:t xml:space="preserve"> is now better able to speak </w:t>
      </w:r>
      <w:r w:rsidR="0003016B" w:rsidRPr="00AD3EE6">
        <w:rPr>
          <w:rFonts w:cs="Arial"/>
        </w:rPr>
        <w:t>out</w:t>
      </w:r>
      <w:r w:rsidR="0003016B" w:rsidRPr="00AD3EE6">
        <w:t xml:space="preserve"> on issues within the health system that require attention. It is </w:t>
      </w:r>
      <w:r w:rsidR="006A1BE3" w:rsidRPr="00AD3EE6">
        <w:t xml:space="preserve">also </w:t>
      </w:r>
      <w:r w:rsidR="0003016B" w:rsidRPr="00AD3EE6">
        <w:t xml:space="preserve">well-positioned to examine and address significant system issues that may be difficult or subject to professional lock-down. </w:t>
      </w:r>
      <w:r w:rsidR="00ED65C1" w:rsidRPr="00AD3EE6">
        <w:t xml:space="preserve">Its role </w:t>
      </w:r>
      <w:r w:rsidR="005F1AB9" w:rsidRPr="00AD3EE6">
        <w:t>in providing</w:t>
      </w:r>
      <w:r w:rsidR="00ED65C1" w:rsidRPr="00AD3EE6">
        <w:t xml:space="preserve"> quality monitoring and analysis is pivotal for the sector</w:t>
      </w:r>
      <w:r w:rsidR="00B951B2">
        <w:t xml:space="preserve"> and</w:t>
      </w:r>
      <w:r w:rsidR="00ED65C1" w:rsidRPr="00AD3EE6">
        <w:t xml:space="preserve"> widely recognised as a key strength.</w:t>
      </w:r>
    </w:p>
    <w:p w14:paraId="3158CBD5" w14:textId="2BED9293" w:rsidR="00AB6F2F" w:rsidRPr="00AD3EE6" w:rsidRDefault="00145884" w:rsidP="00AB6F2F">
      <w:pPr>
        <w:rPr>
          <w:rFonts w:cs="Arial"/>
        </w:rPr>
      </w:pPr>
      <w:r w:rsidRPr="00AD3EE6">
        <w:rPr>
          <w:rFonts w:cs="Arial"/>
        </w:rPr>
        <w:t xml:space="preserve">With this unique perspective and ability to tackle complex problems, </w:t>
      </w:r>
      <w:r w:rsidR="00BA310D" w:rsidRPr="00AD3EE6">
        <w:rPr>
          <w:rFonts w:cs="Arial"/>
        </w:rPr>
        <w:t xml:space="preserve">Te </w:t>
      </w:r>
      <w:proofErr w:type="spellStart"/>
      <w:r w:rsidR="00BA310D" w:rsidRPr="00AD3EE6">
        <w:rPr>
          <w:rFonts w:cs="Arial"/>
        </w:rPr>
        <w:t>Tāhū</w:t>
      </w:r>
      <w:proofErr w:type="spellEnd"/>
      <w:r w:rsidR="00BA310D" w:rsidRPr="00AD3EE6">
        <w:rPr>
          <w:rFonts w:cs="Arial"/>
        </w:rPr>
        <w:t xml:space="preserve"> Hauora</w:t>
      </w:r>
      <w:r w:rsidRPr="00AD3EE6">
        <w:rPr>
          <w:rFonts w:cs="Arial"/>
        </w:rPr>
        <w:t xml:space="preserve"> has a </w:t>
      </w:r>
      <w:r w:rsidRPr="00C707C2">
        <w:rPr>
          <w:rFonts w:cs="Arial"/>
        </w:rPr>
        <w:t xml:space="preserve">critical role to play in the success of the health system </w:t>
      </w:r>
      <w:r w:rsidR="00892247" w:rsidRPr="00C707C2">
        <w:rPr>
          <w:rFonts w:cs="Arial"/>
        </w:rPr>
        <w:t>by</w:t>
      </w:r>
      <w:r w:rsidRPr="00C707C2">
        <w:rPr>
          <w:rFonts w:cs="Arial"/>
        </w:rPr>
        <w:t xml:space="preserve"> </w:t>
      </w:r>
      <w:r w:rsidR="006A1BE3" w:rsidRPr="00C10D6F">
        <w:rPr>
          <w:rFonts w:cs="Arial"/>
        </w:rPr>
        <w:t>‘</w:t>
      </w:r>
      <w:r w:rsidRPr="00C10D6F">
        <w:t>leading out with influence</w:t>
      </w:r>
      <w:r w:rsidR="006A1BE3" w:rsidRPr="00C10D6F">
        <w:t>’</w:t>
      </w:r>
      <w:r w:rsidR="005337FD" w:rsidRPr="00C707C2">
        <w:t>,</w:t>
      </w:r>
      <w:r w:rsidRPr="00C707C2">
        <w:t xml:space="preserve"> </w:t>
      </w:r>
      <w:r w:rsidR="006A1BE3" w:rsidRPr="00AD3EE6">
        <w:t xml:space="preserve">providing </w:t>
      </w:r>
      <w:r w:rsidR="002C6C31" w:rsidRPr="00AD3EE6">
        <w:rPr>
          <w:rFonts w:cs="Arial"/>
        </w:rPr>
        <w:t>leadership</w:t>
      </w:r>
      <w:r w:rsidRPr="00AD3EE6">
        <w:rPr>
          <w:rFonts w:cs="Arial"/>
        </w:rPr>
        <w:t xml:space="preserve"> and </w:t>
      </w:r>
      <w:r w:rsidR="002C6C31" w:rsidRPr="00AD3EE6">
        <w:rPr>
          <w:rFonts w:cs="Arial"/>
        </w:rPr>
        <w:t>guidance</w:t>
      </w:r>
      <w:r w:rsidR="006A1BE3" w:rsidRPr="00AD3EE6">
        <w:rPr>
          <w:rFonts w:cs="Arial"/>
        </w:rPr>
        <w:t xml:space="preserve"> </w:t>
      </w:r>
      <w:r w:rsidR="00345E95" w:rsidRPr="00AD3EE6">
        <w:rPr>
          <w:rFonts w:cs="Arial"/>
        </w:rPr>
        <w:t xml:space="preserve">to the system, </w:t>
      </w:r>
      <w:r w:rsidR="002C6C31" w:rsidRPr="00AD3EE6">
        <w:rPr>
          <w:rFonts w:cs="Arial"/>
        </w:rPr>
        <w:t xml:space="preserve">its </w:t>
      </w:r>
      <w:r w:rsidR="00345E95" w:rsidRPr="00AD3EE6">
        <w:rPr>
          <w:rFonts w:cs="Arial"/>
        </w:rPr>
        <w:t xml:space="preserve">services, </w:t>
      </w:r>
      <w:proofErr w:type="gramStart"/>
      <w:r w:rsidR="00345E95" w:rsidRPr="00AD3EE6">
        <w:rPr>
          <w:rFonts w:cs="Arial"/>
        </w:rPr>
        <w:t>workforce</w:t>
      </w:r>
      <w:proofErr w:type="gramEnd"/>
      <w:r w:rsidR="00B951B2">
        <w:rPr>
          <w:rFonts w:cs="Arial"/>
        </w:rPr>
        <w:t xml:space="preserve"> and</w:t>
      </w:r>
      <w:r w:rsidR="00345E95" w:rsidRPr="00AD3EE6">
        <w:rPr>
          <w:rFonts w:cs="Arial"/>
        </w:rPr>
        <w:t xml:space="preserve"> consumers and </w:t>
      </w:r>
      <w:r w:rsidR="002C6C31" w:rsidRPr="00AD3EE6">
        <w:rPr>
          <w:rFonts w:cs="Arial"/>
        </w:rPr>
        <w:t xml:space="preserve">their </w:t>
      </w:r>
      <w:r w:rsidR="00345E95" w:rsidRPr="00AD3EE6">
        <w:rPr>
          <w:rFonts w:cs="Arial"/>
        </w:rPr>
        <w:t>whānau.</w:t>
      </w:r>
      <w:r w:rsidR="00DE095C" w:rsidRPr="00AD3EE6">
        <w:rPr>
          <w:rFonts w:cs="Arial"/>
        </w:rPr>
        <w:t xml:space="preserve"> </w:t>
      </w:r>
    </w:p>
    <w:p w14:paraId="79081857" w14:textId="1C7B4C90" w:rsidR="00420D2A" w:rsidRPr="00AD3EE6" w:rsidRDefault="00420D2A" w:rsidP="00420D2A">
      <w:pPr>
        <w:rPr>
          <w:rFonts w:cs="Arial"/>
        </w:rPr>
      </w:pPr>
      <w:r w:rsidRPr="00AD3EE6">
        <w:rPr>
          <w:rFonts w:cs="Arial"/>
        </w:rPr>
        <w:t xml:space="preserve">The organisation is highly regarded in its ability to lead, </w:t>
      </w:r>
      <w:proofErr w:type="gramStart"/>
      <w:r w:rsidRPr="00AD3EE6">
        <w:rPr>
          <w:rFonts w:cs="Arial"/>
        </w:rPr>
        <w:t>coordinate</w:t>
      </w:r>
      <w:proofErr w:type="gramEnd"/>
      <w:r w:rsidRPr="00AD3EE6">
        <w:rPr>
          <w:rFonts w:cs="Arial"/>
        </w:rPr>
        <w:t xml:space="preserve"> and convene as a result of its track record of delivering trustworthy and evidence-based approaches</w:t>
      </w:r>
      <w:r w:rsidR="00B951B2">
        <w:rPr>
          <w:rFonts w:cs="Arial"/>
        </w:rPr>
        <w:t xml:space="preserve"> and</w:t>
      </w:r>
      <w:r w:rsidRPr="00AD3EE6">
        <w:rPr>
          <w:rFonts w:cs="Arial"/>
        </w:rPr>
        <w:t xml:space="preserve"> its continued monitoring </w:t>
      </w:r>
      <w:r w:rsidR="00C707C2">
        <w:rPr>
          <w:rFonts w:cs="Arial"/>
        </w:rPr>
        <w:t xml:space="preserve">of </w:t>
      </w:r>
      <w:r w:rsidRPr="00AD3EE6">
        <w:rPr>
          <w:rFonts w:cs="Arial"/>
        </w:rPr>
        <w:t>and reporting on quality</w:t>
      </w:r>
      <w:r w:rsidR="00511661">
        <w:rPr>
          <w:rFonts w:cs="Arial"/>
        </w:rPr>
        <w:t xml:space="preserve">, safety and </w:t>
      </w:r>
      <w:r w:rsidRPr="00AD3EE6">
        <w:rPr>
          <w:rFonts w:cs="Arial"/>
        </w:rPr>
        <w:t>equity issues.</w:t>
      </w:r>
    </w:p>
    <w:p w14:paraId="4D3CF00D" w14:textId="15C5EC78" w:rsidR="007A0B5C" w:rsidRPr="00AD3EE6" w:rsidRDefault="006809CA" w:rsidP="006809CA">
      <w:r w:rsidRPr="00AD3EE6">
        <w:t xml:space="preserve">Consistently, key leaders expressed their </w:t>
      </w:r>
      <w:r w:rsidR="00E93180" w:rsidRPr="00AD3EE6">
        <w:t>overwhelming agreement</w:t>
      </w:r>
      <w:r w:rsidRPr="00AD3EE6">
        <w:t xml:space="preserve"> that Te </w:t>
      </w:r>
      <w:proofErr w:type="spellStart"/>
      <w:r w:rsidRPr="00AD3EE6">
        <w:t>Tāhū</w:t>
      </w:r>
      <w:proofErr w:type="spellEnd"/>
      <w:r w:rsidRPr="00AD3EE6">
        <w:t xml:space="preserve"> Hauora wields significant influence and credibility within the health sector and is widely recogni</w:t>
      </w:r>
      <w:r w:rsidR="00E93180" w:rsidRPr="00AD3EE6">
        <w:t>s</w:t>
      </w:r>
      <w:r w:rsidRPr="00AD3EE6">
        <w:t>ed for fostering strong relationships across various government entities.</w:t>
      </w:r>
      <w:r w:rsidR="009460D0" w:rsidRPr="00AD3EE6">
        <w:t xml:space="preserve"> </w:t>
      </w:r>
      <w:r w:rsidR="00A94E4F" w:rsidRPr="00AD3EE6">
        <w:t xml:space="preserve">Staff </w:t>
      </w:r>
      <w:r w:rsidR="002C3E9A" w:rsidRPr="00AD3EE6">
        <w:t>reiterated this feedback</w:t>
      </w:r>
      <w:r w:rsidR="00C707C2">
        <w:t>,</w:t>
      </w:r>
      <w:r w:rsidR="00777C53" w:rsidRPr="00AD3EE6">
        <w:t xml:space="preserve"> saying</w:t>
      </w:r>
      <w:r w:rsidR="00A94E4F" w:rsidRPr="00AD3EE6">
        <w:t xml:space="preserve"> that Te </w:t>
      </w:r>
      <w:proofErr w:type="spellStart"/>
      <w:r w:rsidR="00A94E4F" w:rsidRPr="00AD3EE6">
        <w:t>Tāhū</w:t>
      </w:r>
      <w:proofErr w:type="spellEnd"/>
      <w:r w:rsidR="00A94E4F" w:rsidRPr="00AD3EE6">
        <w:t xml:space="preserve"> Hauora has effectively built a foundation of goodwill and trust through the establishment of strong relationships and the delivery of evidence-based outputs, even in the absence of legislative power or authority</w:t>
      </w:r>
      <w:r w:rsidR="00E4116E" w:rsidRPr="00AD3EE6">
        <w:t xml:space="preserve"> to </w:t>
      </w:r>
      <w:r w:rsidR="004B7F6B" w:rsidRPr="00AD3EE6">
        <w:t xml:space="preserve">direct </w:t>
      </w:r>
      <w:r w:rsidR="00E4116E" w:rsidRPr="00AD3EE6">
        <w:t xml:space="preserve">change </w:t>
      </w:r>
      <w:r w:rsidR="00C707C2">
        <w:t>within</w:t>
      </w:r>
      <w:r w:rsidR="00C707C2" w:rsidRPr="00AD3EE6">
        <w:t xml:space="preserve"> </w:t>
      </w:r>
      <w:r w:rsidR="00E4116E" w:rsidRPr="00AD3EE6">
        <w:t>agencies</w:t>
      </w:r>
      <w:r w:rsidR="00B40246" w:rsidRPr="00AD3EE6">
        <w:t xml:space="preserve"> or the wider health sector.</w:t>
      </w:r>
    </w:p>
    <w:p w14:paraId="1AC7A737" w14:textId="7CB5340D" w:rsidR="00317C14" w:rsidRPr="00AD3EE6" w:rsidRDefault="00B40246" w:rsidP="007E2AFD">
      <w:pPr>
        <w:spacing w:after="360"/>
      </w:pPr>
      <w:r w:rsidRPr="00AD3EE6">
        <w:t>It is</w:t>
      </w:r>
      <w:r w:rsidR="000466E9" w:rsidRPr="00AD3EE6">
        <w:t xml:space="preserve"> doing a good job of modelling partnership and supports the sector as a critical friend</w:t>
      </w:r>
      <w:r w:rsidR="000C7622" w:rsidRPr="00AD3EE6">
        <w:t xml:space="preserve"> and ally</w:t>
      </w:r>
      <w:r w:rsidR="000466E9" w:rsidRPr="00AD3EE6">
        <w:t xml:space="preserve">, with a </w:t>
      </w:r>
      <w:r w:rsidR="00B1260A" w:rsidRPr="00AD3EE6">
        <w:t>sincere</w:t>
      </w:r>
      <w:r w:rsidR="000466E9" w:rsidRPr="00AD3EE6">
        <w:t xml:space="preserve"> intention </w:t>
      </w:r>
      <w:r w:rsidR="00B1260A" w:rsidRPr="00AD3EE6">
        <w:t>to</w:t>
      </w:r>
      <w:r w:rsidR="000466E9" w:rsidRPr="00AD3EE6">
        <w:t xml:space="preserve"> make positive and equitable </w:t>
      </w:r>
      <w:r w:rsidR="00B1260A" w:rsidRPr="00AD3EE6">
        <w:t>improvements</w:t>
      </w:r>
      <w:r w:rsidR="000466E9" w:rsidRPr="00AD3EE6">
        <w:t xml:space="preserve"> to the quality </w:t>
      </w:r>
      <w:r w:rsidR="00511661">
        <w:t xml:space="preserve">and safety </w:t>
      </w:r>
      <w:r w:rsidR="000466E9" w:rsidRPr="00AD3EE6">
        <w:t xml:space="preserve">of </w:t>
      </w:r>
      <w:r w:rsidR="003324D9">
        <w:t>health care</w:t>
      </w:r>
      <w:r w:rsidR="000466E9" w:rsidRPr="00AD3EE6">
        <w:t xml:space="preserve"> across the country. </w:t>
      </w:r>
      <w:r w:rsidR="00B74ECC" w:rsidRPr="00AD3EE6">
        <w:t xml:space="preserve">The neutrality and independence of </w:t>
      </w:r>
      <w:r w:rsidR="00BA310D" w:rsidRPr="00AD3EE6">
        <w:t xml:space="preserve">Te </w:t>
      </w:r>
      <w:proofErr w:type="spellStart"/>
      <w:r w:rsidR="00BA310D" w:rsidRPr="00AD3EE6">
        <w:t>Tāhū</w:t>
      </w:r>
      <w:proofErr w:type="spellEnd"/>
      <w:r w:rsidR="00BA310D" w:rsidRPr="00AD3EE6">
        <w:t xml:space="preserve"> </w:t>
      </w:r>
      <w:r w:rsidR="00BA310D" w:rsidRPr="00AD3EE6">
        <w:lastRenderedPageBreak/>
        <w:t xml:space="preserve">Hauora </w:t>
      </w:r>
      <w:r w:rsidR="00C7444D" w:rsidRPr="00AD3EE6">
        <w:t xml:space="preserve">from roles associated with </w:t>
      </w:r>
      <w:r w:rsidR="00C7444D" w:rsidRPr="00AD3EE6">
        <w:rPr>
          <w:rFonts w:cs="Arial"/>
        </w:rPr>
        <w:t>delivery</w:t>
      </w:r>
      <w:r w:rsidR="00C7444D" w:rsidRPr="00AD3EE6">
        <w:t xml:space="preserve">, commissioning, </w:t>
      </w:r>
      <w:proofErr w:type="gramStart"/>
      <w:r w:rsidR="00C7444D" w:rsidRPr="00AD3EE6">
        <w:t>regulation</w:t>
      </w:r>
      <w:proofErr w:type="gramEnd"/>
      <w:r w:rsidR="00C7444D" w:rsidRPr="00AD3EE6">
        <w:t xml:space="preserve"> and performance </w:t>
      </w:r>
      <w:r w:rsidR="00492ED9">
        <w:rPr>
          <w:noProof/>
        </w:rPr>
        <mc:AlternateContent>
          <mc:Choice Requires="wps">
            <w:drawing>
              <wp:anchor distT="0" distB="0" distL="114300" distR="114300" simplePos="0" relativeHeight="251659264" behindDoc="1" locked="0" layoutInCell="1" allowOverlap="1" wp14:anchorId="397AE02E" wp14:editId="10B0B786">
                <wp:simplePos x="0" y="0"/>
                <wp:positionH relativeFrom="margin">
                  <wp:align>left</wp:align>
                </wp:positionH>
                <wp:positionV relativeFrom="paragraph">
                  <wp:posOffset>439838</wp:posOffset>
                </wp:positionV>
                <wp:extent cx="5712106" cy="486137"/>
                <wp:effectExtent l="0" t="0" r="3175" b="9525"/>
                <wp:wrapNone/>
                <wp:docPr id="3" name="Rectangle: Rounded Corners 3"/>
                <wp:cNvGraphicFramePr/>
                <a:graphic xmlns:a="http://schemas.openxmlformats.org/drawingml/2006/main">
                  <a:graphicData uri="http://schemas.microsoft.com/office/word/2010/wordprocessingShape">
                    <wps:wsp>
                      <wps:cNvSpPr/>
                      <wps:spPr>
                        <a:xfrm>
                          <a:off x="0" y="0"/>
                          <a:ext cx="5712106" cy="486137"/>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3B432445" id="Rectangle: Rounded Corners 3" o:spid="_x0000_s1026" style="position:absolute;margin-left:0;margin-top:34.65pt;width:449.75pt;height:38.3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hakwIAAIUFAAAOAAAAZHJzL2Uyb0RvYy54bWysVEtv2zAMvg/YfxB0X/1Y0qZBnSJo0WFA&#10;0RZth54VWYoNyKImKa/9+lGS7bRdscOwHBRKJD+Sn0leXO47RbbCuhZ0RYuTnBKhOdStXlf0x/PN&#10;lxklzjNdMwVaVPQgHL1cfP50sTNzUUIDqhaWIIh2852paOO9mWeZ443omDsBIzQqJdiOebzadVZb&#10;tkP0TmVlnp9mO7C1scCFc/h6nZR0EfGlFNzfS+mEJ6qimJuPp43nKpzZ4oLN15aZpuV9GuwfsuhY&#10;qzHoCHXNPCMb2/4B1bXcggPpTzh0GUjZchFrwGqK/F01Tw0zItaC5Dgz0uT+Hyy/2z6ZB4s07Iyb&#10;OxRDFXtpu/CP+ZF9JOswkiX2nnB8nJ4VZZGfUsJRN5mdFl/PApvZ0dtY578J6EgQKmpho+tH/CKR&#10;KLa9dT7ZD3YhogPV1jetUvFi16srZcmW4dc7zyflrEi+yjQsvZbT/HzWx3XJPObwBkfpgKYh4KaQ&#10;4SU7Vhwlf1Ai2Cn9KCRpa6yxjOFiM4oxEca50D5l4hpWi5TJNMffkElo3+ARc4mAAVli/BG7Bxgs&#10;E8iAnbLs7YOriL08Oud/Syw5jx4xMmg/OnetBvsRgMKq+sjJfiApURNYWkF9eLDEQpokZ/hNi1/3&#10;ljn/wCyODg4ZrgN/j4dUsKso9BIlDdhfH70He+xo1FKyw1GsqPu5YVZQor5r7PXzYjIJsxsvk+lZ&#10;iRf7WrN6rdGb7gqwXwpcPIZHMdh7NYjSQveCW2MZoqKKaY6xK8q9HS5XPq0I3DtcLJfRDOfVMH+r&#10;nwwP4IHV0LjP+xdmTd/iHofjDoaxZfN3TZ5sg6eG5caDbOMEHHnt+cZZj43T76WwTF7fo9Vxey5+&#10;AwAA//8DAFBLAwQUAAYACAAAACEANoO0wdwAAAAHAQAADwAAAGRycy9kb3ducmV2LnhtbEyPwU7D&#10;MBBE70j8g7VI3KhTSqsmxKkQAc4QqCpubrzEUeN1FLtJ+HuWExxHM5p5k+9m14kRh9B6UrBcJCCQ&#10;am9aahR8vD/fbEGEqMnozhMq+MYAu+LyIteZ8RO94VjFRnAJhUwrsDH2mZShtuh0WPgeib0vPzgd&#10;WQ6NNIOeuNx18jZJNtLplnjB6h4fLdan6uwUVLJ8Gk/ly+oT+/1rOdnuUDZLpa6v5od7EBHn+BeG&#10;X3xGh4KZjv5MJohOAR+JCjbpCgS72zRdgzhy7G6dgixy+Z+/+AEAAP//AwBQSwECLQAUAAYACAAA&#10;ACEAtoM4kv4AAADhAQAAEwAAAAAAAAAAAAAAAAAAAAAAW0NvbnRlbnRfVHlwZXNdLnhtbFBLAQIt&#10;ABQABgAIAAAAIQA4/SH/1gAAAJQBAAALAAAAAAAAAAAAAAAAAC8BAABfcmVscy8ucmVsc1BLAQIt&#10;ABQABgAIAAAAIQDzo2hakwIAAIUFAAAOAAAAAAAAAAAAAAAAAC4CAABkcnMvZTJvRG9jLnhtbFBL&#10;AQItABQABgAIAAAAIQA2g7TB3AAAAAcBAAAPAAAAAAAAAAAAAAAAAO0EAABkcnMvZG93bnJldi54&#10;bWxQSwUGAAAAAAQABADzAAAA9gUAAAAA&#10;" fillcolor="#904281" stroked="f" strokeweight="2pt">
                <v:fill opacity="16448f"/>
                <w10:wrap anchorx="margin"/>
              </v:roundrect>
            </w:pict>
          </mc:Fallback>
        </mc:AlternateContent>
      </w:r>
      <w:r w:rsidR="00C7444D" w:rsidRPr="00AD3EE6">
        <w:t>management</w:t>
      </w:r>
      <w:r w:rsidR="00C7444D" w:rsidRPr="00AD3EE6">
        <w:rPr>
          <w:vertAlign w:val="superscript"/>
        </w:rPr>
        <w:footnoteReference w:id="11"/>
      </w:r>
      <w:r w:rsidR="00217A49" w:rsidRPr="00AD3EE6">
        <w:t xml:space="preserve"> </w:t>
      </w:r>
      <w:r w:rsidR="00C707C2">
        <w:t xml:space="preserve">is </w:t>
      </w:r>
      <w:r w:rsidR="00C140D8" w:rsidRPr="00AD3EE6">
        <w:t xml:space="preserve">a significant </w:t>
      </w:r>
      <w:r w:rsidR="00125109" w:rsidRPr="00AD3EE6">
        <w:t>strength</w:t>
      </w:r>
      <w:r w:rsidR="00AE684F" w:rsidRPr="00AD3EE6">
        <w:t xml:space="preserve"> </w:t>
      </w:r>
      <w:r w:rsidR="00C707C2">
        <w:t>that</w:t>
      </w:r>
      <w:r w:rsidR="00C707C2" w:rsidRPr="00AD3EE6">
        <w:t xml:space="preserve"> </w:t>
      </w:r>
      <w:r w:rsidR="00B1260A" w:rsidRPr="00AD3EE6">
        <w:t>bring</w:t>
      </w:r>
      <w:r w:rsidR="00C707C2">
        <w:t>s</w:t>
      </w:r>
      <w:r w:rsidR="00B1260A" w:rsidRPr="00AD3EE6">
        <w:t xml:space="preserve"> substantial </w:t>
      </w:r>
      <w:r w:rsidR="00AE684F" w:rsidRPr="00AD3EE6">
        <w:t>benefit</w:t>
      </w:r>
      <w:r w:rsidR="00B1260A" w:rsidRPr="00AD3EE6">
        <w:t>s.</w:t>
      </w:r>
    </w:p>
    <w:p w14:paraId="1BB6C4EC" w14:textId="23D4F7F9" w:rsidR="0089650F" w:rsidRPr="00C104CD" w:rsidRDefault="00C707C2" w:rsidP="00C104CD">
      <w:pPr>
        <w:pStyle w:val="Quoteperfreview"/>
      </w:pPr>
      <w:r w:rsidRPr="00C104CD">
        <w:rPr>
          <w:rStyle w:val="QuoteperfreviewChar"/>
          <w:b/>
          <w:bCs/>
        </w:rPr>
        <w:t>‘</w:t>
      </w:r>
      <w:r w:rsidR="0089650F" w:rsidRPr="00C104CD">
        <w:rPr>
          <w:rStyle w:val="QuoteperfreviewChar"/>
          <w:b/>
          <w:bCs/>
        </w:rPr>
        <w:t>We need an outside voice and pair of eyes.</w:t>
      </w:r>
      <w:r w:rsidRPr="00C104CD">
        <w:t>’</w:t>
      </w:r>
    </w:p>
    <w:p w14:paraId="5BCBCA72" w14:textId="7922B3B8" w:rsidR="00C95497" w:rsidRPr="00AD3EE6" w:rsidRDefault="00BA310D" w:rsidP="007E2AFD">
      <w:pPr>
        <w:pStyle w:val="TeThHauorabodytext"/>
        <w:spacing w:before="120"/>
      </w:pPr>
      <w:r w:rsidRPr="00AD3EE6">
        <w:t xml:space="preserve">Te </w:t>
      </w:r>
      <w:proofErr w:type="spellStart"/>
      <w:r w:rsidRPr="00AD3EE6">
        <w:t>Tāhū</w:t>
      </w:r>
      <w:proofErr w:type="spellEnd"/>
      <w:r w:rsidRPr="00AD3EE6">
        <w:t xml:space="preserve"> Hauora</w:t>
      </w:r>
      <w:r w:rsidR="008473AB" w:rsidRPr="00AD3EE6">
        <w:t xml:space="preserve"> leads</w:t>
      </w:r>
      <w:r w:rsidR="000D48E4" w:rsidRPr="00AD3EE6">
        <w:t xml:space="preserve"> and supports the </w:t>
      </w:r>
      <w:r w:rsidR="008473AB" w:rsidRPr="00AD3EE6">
        <w:t xml:space="preserve">health sector </w:t>
      </w:r>
      <w:r w:rsidR="000D48E4" w:rsidRPr="00AD3EE6">
        <w:t xml:space="preserve">and its workforce to understand </w:t>
      </w:r>
      <w:r w:rsidR="00166F88" w:rsidRPr="00AD3EE6">
        <w:t xml:space="preserve">that equity is central to quality </w:t>
      </w:r>
      <w:r w:rsidR="00511661">
        <w:t xml:space="preserve">and safety </w:t>
      </w:r>
      <w:r w:rsidR="00166F88" w:rsidRPr="00AD3EE6">
        <w:t xml:space="preserve">and that there is </w:t>
      </w:r>
      <w:r w:rsidR="00C707C2">
        <w:t>‘</w:t>
      </w:r>
      <w:r w:rsidR="00166F88" w:rsidRPr="00AD3EE6">
        <w:t>no quality without equity’</w:t>
      </w:r>
      <w:r w:rsidR="00C707C2">
        <w:t>.</w:t>
      </w:r>
      <w:r w:rsidR="00166F88" w:rsidRPr="00AD3EE6">
        <w:rPr>
          <w:vertAlign w:val="superscript"/>
        </w:rPr>
        <w:footnoteReference w:id="12"/>
      </w:r>
      <w:r w:rsidR="0073799A" w:rsidRPr="00AD3EE6">
        <w:t xml:space="preserve"> </w:t>
      </w:r>
      <w:r w:rsidR="00C707C2">
        <w:t>I</w:t>
      </w:r>
      <w:r w:rsidR="0073799A" w:rsidRPr="00AD3EE6">
        <w:t xml:space="preserve">t </w:t>
      </w:r>
      <w:r w:rsidR="00B01D69" w:rsidRPr="00AD3EE6">
        <w:t xml:space="preserve">places high priority on </w:t>
      </w:r>
      <w:r w:rsidR="003324D9">
        <w:t>health care</w:t>
      </w:r>
      <w:r w:rsidR="00B01D69" w:rsidRPr="00AD3EE6">
        <w:t xml:space="preserve"> services </w:t>
      </w:r>
      <w:r w:rsidR="002A3A90" w:rsidRPr="00AD3EE6">
        <w:t>being</w:t>
      </w:r>
      <w:r w:rsidR="00166F88" w:rsidRPr="00AD3EE6">
        <w:t xml:space="preserve"> genuinely accessible</w:t>
      </w:r>
      <w:r w:rsidR="00B951B2">
        <w:t xml:space="preserve"> and</w:t>
      </w:r>
      <w:r w:rsidR="002961FF" w:rsidRPr="00AD3EE6">
        <w:t xml:space="preserve"> respecting and reflecting</w:t>
      </w:r>
      <w:r w:rsidR="00166F88" w:rsidRPr="00AD3EE6">
        <w:t xml:space="preserve"> </w:t>
      </w:r>
      <w:proofErr w:type="spellStart"/>
      <w:r w:rsidR="00AE7A19" w:rsidRPr="00AD3EE6">
        <w:t>t</w:t>
      </w:r>
      <w:r w:rsidR="00166F88" w:rsidRPr="00AD3EE6">
        <w:t>e</w:t>
      </w:r>
      <w:proofErr w:type="spellEnd"/>
      <w:r w:rsidR="00166F88" w:rsidRPr="00AD3EE6">
        <w:t xml:space="preserve"> </w:t>
      </w:r>
      <w:proofErr w:type="spellStart"/>
      <w:r w:rsidR="00AE7A19" w:rsidRPr="00AD3EE6">
        <w:t>a</w:t>
      </w:r>
      <w:r w:rsidR="00166F88" w:rsidRPr="00AD3EE6">
        <w:t>o</w:t>
      </w:r>
      <w:proofErr w:type="spellEnd"/>
      <w:r w:rsidR="00166F88" w:rsidRPr="00AD3EE6">
        <w:t xml:space="preserve"> Māori. </w:t>
      </w:r>
      <w:r w:rsidR="00933A78" w:rsidRPr="00AD3EE6">
        <w:t xml:space="preserve">By prioritising its role in the integration of </w:t>
      </w:r>
      <w:proofErr w:type="spellStart"/>
      <w:r w:rsidR="00B5551F" w:rsidRPr="00AD3EE6">
        <w:t>t</w:t>
      </w:r>
      <w:r w:rsidR="006D4AD1" w:rsidRPr="00AD3EE6">
        <w:t>e</w:t>
      </w:r>
      <w:proofErr w:type="spellEnd"/>
      <w:r w:rsidR="006D4AD1" w:rsidRPr="00AD3EE6">
        <w:t xml:space="preserve"> </w:t>
      </w:r>
      <w:proofErr w:type="spellStart"/>
      <w:r w:rsidR="00B5551F" w:rsidRPr="00AD3EE6">
        <w:t>a</w:t>
      </w:r>
      <w:r w:rsidR="006D4AD1" w:rsidRPr="00AD3EE6">
        <w:t>o</w:t>
      </w:r>
      <w:proofErr w:type="spellEnd"/>
      <w:r w:rsidR="006D4AD1" w:rsidRPr="00AD3EE6">
        <w:t xml:space="preserve"> Māori into </w:t>
      </w:r>
      <w:r w:rsidR="003324D9">
        <w:t>health care</w:t>
      </w:r>
      <w:r w:rsidR="006D4AD1" w:rsidRPr="00AD3EE6">
        <w:t xml:space="preserve"> delivery, </w:t>
      </w:r>
      <w:r w:rsidRPr="00AD3EE6">
        <w:t xml:space="preserve">Te </w:t>
      </w:r>
      <w:proofErr w:type="spellStart"/>
      <w:r w:rsidRPr="00AD3EE6">
        <w:t>Tāhū</w:t>
      </w:r>
      <w:proofErr w:type="spellEnd"/>
      <w:r w:rsidRPr="00AD3EE6">
        <w:t xml:space="preserve"> Hauora</w:t>
      </w:r>
      <w:r w:rsidR="006D4AD1" w:rsidRPr="00AD3EE6">
        <w:t xml:space="preserve"> aims to improve outcomes for Māori and promote greater equity across the health system. This includes </w:t>
      </w:r>
      <w:r w:rsidR="00AB440A" w:rsidRPr="00AD3EE6">
        <w:t xml:space="preserve">taking a leading role to influence and </w:t>
      </w:r>
      <w:r w:rsidR="006D4AD1" w:rsidRPr="00AD3EE6">
        <w:t xml:space="preserve">focus on culturally </w:t>
      </w:r>
      <w:r w:rsidR="00B538A7" w:rsidRPr="00AD3EE6">
        <w:t>safe care</w:t>
      </w:r>
      <w:r w:rsidR="006D4AD1" w:rsidRPr="00AD3EE6">
        <w:t xml:space="preserve"> and</w:t>
      </w:r>
      <w:r w:rsidR="00B11201">
        <w:t xml:space="preserve"> as</w:t>
      </w:r>
      <w:r w:rsidR="006D4AD1" w:rsidRPr="00AD3EE6">
        <w:t xml:space="preserve"> well as</w:t>
      </w:r>
      <w:r w:rsidR="00B11201">
        <w:t xml:space="preserve"> supporting</w:t>
      </w:r>
      <w:r w:rsidR="006D4AD1" w:rsidRPr="00AD3EE6">
        <w:t xml:space="preserve"> initiatives that promote greater understanding and awareness of Māori </w:t>
      </w:r>
      <w:r w:rsidR="003F6DCE" w:rsidRPr="00AD3EE6">
        <w:t xml:space="preserve">knowledge, </w:t>
      </w:r>
      <w:proofErr w:type="gramStart"/>
      <w:r w:rsidR="006D4AD1" w:rsidRPr="00AD3EE6">
        <w:t>perspectives</w:t>
      </w:r>
      <w:proofErr w:type="gramEnd"/>
      <w:r w:rsidR="006D4AD1" w:rsidRPr="00AD3EE6">
        <w:t xml:space="preserve"> and values</w:t>
      </w:r>
      <w:r w:rsidR="00B5551F" w:rsidRPr="00AD3EE6">
        <w:t>.</w:t>
      </w:r>
    </w:p>
    <w:p w14:paraId="7D1C3DD0" w14:textId="5BFF149F" w:rsidR="005F6257" w:rsidRPr="00AD3EE6" w:rsidRDefault="00C104CD" w:rsidP="005856B7">
      <w:pPr>
        <w:spacing w:after="480"/>
      </w:pPr>
      <w:r>
        <w:rPr>
          <w:noProof/>
        </w:rPr>
        <mc:AlternateContent>
          <mc:Choice Requires="wps">
            <w:drawing>
              <wp:anchor distT="0" distB="0" distL="114300" distR="114300" simplePos="0" relativeHeight="251662337" behindDoc="1" locked="0" layoutInCell="1" allowOverlap="1" wp14:anchorId="76BEF126" wp14:editId="4944BC45">
                <wp:simplePos x="0" y="0"/>
                <wp:positionH relativeFrom="margin">
                  <wp:posOffset>16510</wp:posOffset>
                </wp:positionH>
                <wp:positionV relativeFrom="paragraph">
                  <wp:posOffset>681404</wp:posOffset>
                </wp:positionV>
                <wp:extent cx="5711825" cy="675005"/>
                <wp:effectExtent l="0" t="0" r="3175" b="0"/>
                <wp:wrapNone/>
                <wp:docPr id="4" name="Rectangle: Rounded Corners 4"/>
                <wp:cNvGraphicFramePr/>
                <a:graphic xmlns:a="http://schemas.openxmlformats.org/drawingml/2006/main">
                  <a:graphicData uri="http://schemas.microsoft.com/office/word/2010/wordprocessingShape">
                    <wps:wsp>
                      <wps:cNvSpPr/>
                      <wps:spPr>
                        <a:xfrm>
                          <a:off x="0" y="0"/>
                          <a:ext cx="5711825" cy="675005"/>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E5D4A61" id="Rectangle: Rounded Corners 4" o:spid="_x0000_s1026" style="position:absolute;margin-left:1.3pt;margin-top:53.65pt;width:449.75pt;height:53.15pt;z-index:-25165414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iQkAIAAIUFAAAOAAAAZHJzL2Uyb0RvYy54bWysVEtv2zAMvg/YfxB0X/1A0qZBnSJo0WFA&#10;0RZth54VWYoNyKImKXGyXz9Kcpy+sMOwiyyK5EfyM8mLy12nyFZY14KuaHGSUyI0h7rV64r+fL75&#10;NqPEeaZrpkCLiu6Fo5eLr18uejMXJTSgamEJgmg3701FG+/NPMscb0TH3AkYoVEpwXbMo2jXWW1Z&#10;j+idyso8P816sLWxwIVz+HqdlHQR8aUU3N9L6YQnqqKYm4+njecqnNnigs3Xlpmm5UMa7B+y6Fir&#10;MegIdc08IxvbfoDqWm7BgfQnHLoMpGy5iDVgNUX+rpqnhhkRa0FynBlpcv8Plt9tn8yDRRp64+YO&#10;r6GKnbRd+GJ+ZBfJ2o9kiZ0nHB+nZ0UxK6eUcNSdnk3zfBrYzI7exjr/XUBHwqWiFja6fsQ/Eoli&#10;21vnk/3BLkR0oNr6plUqCna9ulKWbBn+vfN8Us6K5KtMw9JrOc3PZ0Ncl8xjDm9wlA5oGgJuChle&#10;smPF8eb3SgQ7pR+FJG2NNZYxXGxGMSbCOBfap0xcw2qRMkEC8thPyMDoEXOJgAFZYvwRewAIjf4R&#10;O2U52AdXEXt5dM7/llhyHj1iZNB+dO5aDfYzAIVVDZGT/YGkRE1gaQX1/sESC2mSnOE3Lf7dW+b8&#10;A7M4OjhkuA78PR5SQV9RGG6UNGB/f/Ye7LGjUUtJj6NYUfdrw6ygRP3Q2OvnxWQSZjcKk+lZiYJ9&#10;rVm91uhNdwXYLwUuHsPjNdh7dbhKC90Lbo1liIoqpjnGrij39iBc+bQicO9wsVxGM5xXw/ytfjI8&#10;gAdWQ+M+716YNUOLexyOOziMLZu/a/JkGzw1LDceZBsn4MjrwDfOemycYS+FZfJajlbH7bn4AwAA&#10;//8DAFBLAwQUAAYACAAAACEAYC3YdNwAAAAJAQAADwAAAGRycy9kb3ducmV2LnhtbEyPTU+EMBCG&#10;7yb+h2ZMvLktkKCLlI0R9ayo2XjrwkjJ9oPQLuC/dzy5x5nnzTvPlLvVGjbjFAbvJCQbAQxd67vB&#10;9RI+3p9v7oCFqFynjHco4QcD7KrLi1IVnV/cG85N7BmVuFAoCTrGseA8tBqtChs/oiP27SerIo1T&#10;z7tJLVRuDU+FyLlVg6MLWo34qLE9NicroeH103ysX7IvHD9f60Wbfd0nUl5frQ/3wCKu8T8Mf/qk&#10;DhU5HfzJdYEZCWlOQVqL2wwY8a1IE2AHAkmWA69Kfv5B9QsAAP//AwBQSwECLQAUAAYACAAAACEA&#10;toM4kv4AAADhAQAAEwAAAAAAAAAAAAAAAAAAAAAAW0NvbnRlbnRfVHlwZXNdLnhtbFBLAQItABQA&#10;BgAIAAAAIQA4/SH/1gAAAJQBAAALAAAAAAAAAAAAAAAAAC8BAABfcmVscy8ucmVsc1BLAQItABQA&#10;BgAIAAAAIQChUCiQkAIAAIUFAAAOAAAAAAAAAAAAAAAAAC4CAABkcnMvZTJvRG9jLnhtbFBLAQIt&#10;ABQABgAIAAAAIQBgLdh03AAAAAkBAAAPAAAAAAAAAAAAAAAAAOoEAABkcnMvZG93bnJldi54bWxQ&#10;SwUGAAAAAAQABADzAAAA8wUAAAAA&#10;" fillcolor="#904281" stroked="f" strokeweight="2pt">
                <v:fill opacity="16448f"/>
                <w10:wrap anchorx="margin"/>
              </v:roundrect>
            </w:pict>
          </mc:Fallback>
        </mc:AlternateContent>
      </w:r>
      <w:r w:rsidR="00CA1F15" w:rsidRPr="00AD3EE6">
        <w:t>The</w:t>
      </w:r>
      <w:r w:rsidR="00572813" w:rsidRPr="00AD3EE6">
        <w:t xml:space="preserve"> credibility of </w:t>
      </w:r>
      <w:r w:rsidR="00BA310D" w:rsidRPr="00AD3EE6">
        <w:t xml:space="preserve">Te </w:t>
      </w:r>
      <w:proofErr w:type="spellStart"/>
      <w:r w:rsidR="00BA310D" w:rsidRPr="00AD3EE6">
        <w:t>Tāhū</w:t>
      </w:r>
      <w:proofErr w:type="spellEnd"/>
      <w:r w:rsidR="00BA310D" w:rsidRPr="00AD3EE6">
        <w:t xml:space="preserve"> Hauora</w:t>
      </w:r>
      <w:r w:rsidR="00572813" w:rsidRPr="00AD3EE6">
        <w:t xml:space="preserve"> also allows it to</w:t>
      </w:r>
      <w:r w:rsidR="00CA1F15" w:rsidRPr="00AD3EE6">
        <w:t xml:space="preserve"> tap into international </w:t>
      </w:r>
      <w:r w:rsidR="00355E03" w:rsidRPr="00AD3EE6">
        <w:t>progress and developments</w:t>
      </w:r>
      <w:r w:rsidR="00CA1F15" w:rsidRPr="00AD3EE6">
        <w:t xml:space="preserve"> while maintaining </w:t>
      </w:r>
      <w:r w:rsidR="00EE40A1" w:rsidRPr="00AD3EE6">
        <w:t>an</w:t>
      </w:r>
      <w:r w:rsidR="00CA1F15" w:rsidRPr="00AD3EE6">
        <w:t xml:space="preserve"> </w:t>
      </w:r>
      <w:r w:rsidR="00572813" w:rsidRPr="00AD3EE6">
        <w:t xml:space="preserve">Aotearoa </w:t>
      </w:r>
      <w:r w:rsidR="00CA1F15" w:rsidRPr="00AD3EE6">
        <w:t>New Zealand context</w:t>
      </w:r>
      <w:r w:rsidR="00572813" w:rsidRPr="00AD3EE6">
        <w:t xml:space="preserve"> </w:t>
      </w:r>
      <w:r w:rsidR="00BC18CF" w:rsidRPr="00AD3EE6">
        <w:t xml:space="preserve">under Te </w:t>
      </w:r>
      <w:proofErr w:type="spellStart"/>
      <w:r w:rsidR="00BC18CF" w:rsidRPr="00AD3EE6">
        <w:t>Tiriti</w:t>
      </w:r>
      <w:proofErr w:type="spellEnd"/>
      <w:r w:rsidR="00BC18CF" w:rsidRPr="00AD3EE6">
        <w:t xml:space="preserve"> o Waitangi and </w:t>
      </w:r>
      <w:r w:rsidR="00EE40A1" w:rsidRPr="00AD3EE6">
        <w:t xml:space="preserve">building </w:t>
      </w:r>
      <w:r w:rsidR="00EE40A1" w:rsidRPr="00AD3EE6">
        <w:rPr>
          <w:rFonts w:cs="Arial"/>
        </w:rPr>
        <w:t>towards</w:t>
      </w:r>
      <w:r w:rsidR="00EE40A1" w:rsidRPr="00AD3EE6">
        <w:t xml:space="preserve"> </w:t>
      </w:r>
      <w:proofErr w:type="spellStart"/>
      <w:r w:rsidR="00EE40A1" w:rsidRPr="00AD3EE6">
        <w:t>pae</w:t>
      </w:r>
      <w:proofErr w:type="spellEnd"/>
      <w:r w:rsidR="00EE40A1" w:rsidRPr="00AD3EE6">
        <w:t xml:space="preserve"> </w:t>
      </w:r>
      <w:proofErr w:type="spellStart"/>
      <w:r w:rsidR="00EE40A1" w:rsidRPr="00AD3EE6">
        <w:t>ora</w:t>
      </w:r>
      <w:proofErr w:type="spellEnd"/>
      <w:r w:rsidR="00EE40A1" w:rsidRPr="00AD3EE6">
        <w:t xml:space="preserve"> (healthy futures) for all New Zealanders.</w:t>
      </w:r>
    </w:p>
    <w:p w14:paraId="6112B439" w14:textId="41A701D5" w:rsidR="009D463E" w:rsidRPr="00AD3EE6" w:rsidRDefault="00E32274" w:rsidP="00C104CD">
      <w:pPr>
        <w:pStyle w:val="Quoteperfreview"/>
      </w:pPr>
      <w:r>
        <w:t>‘</w:t>
      </w:r>
      <w:r w:rsidR="009D463E" w:rsidRPr="00AD3EE6">
        <w:t xml:space="preserve">Providing transparent and accessible health quality analysis is crucial </w:t>
      </w:r>
      <w:r w:rsidR="00C104CD">
        <w:br/>
      </w:r>
      <w:r w:rsidR="009D463E" w:rsidRPr="00AD3EE6">
        <w:t>to ensure that the health care system doesn’t take its eye off the ball.</w:t>
      </w:r>
      <w:r>
        <w:t>’</w:t>
      </w:r>
    </w:p>
    <w:p w14:paraId="265BB4AB" w14:textId="5AA7D416" w:rsidR="00AD3E11" w:rsidRPr="00AD3EE6" w:rsidRDefault="00C33AA9" w:rsidP="00261EBE">
      <w:pPr>
        <w:pStyle w:val="TeThHauorahead2"/>
        <w:spacing w:before="480"/>
      </w:pPr>
      <w:bookmarkStart w:id="9" w:name="_Toc137717493"/>
      <w:r w:rsidRPr="00AD3EE6">
        <w:t>The path forward</w:t>
      </w:r>
      <w:bookmarkEnd w:id="9"/>
    </w:p>
    <w:p w14:paraId="04BE816A" w14:textId="52BE112B" w:rsidR="00215AF8" w:rsidRPr="00AD3EE6" w:rsidRDefault="00D534FB" w:rsidP="005856B7">
      <w:pPr>
        <w:pStyle w:val="TeThHauorabodytext"/>
      </w:pPr>
      <w:r w:rsidRPr="00AD3EE6">
        <w:t xml:space="preserve">While </w:t>
      </w:r>
      <w:r w:rsidR="000B2D1D" w:rsidRPr="00AD3EE6">
        <w:t>considerable</w:t>
      </w:r>
      <w:r w:rsidR="00FA7698" w:rsidRPr="00AD3EE6">
        <w:t xml:space="preserve"> </w:t>
      </w:r>
      <w:r w:rsidRPr="00AD3EE6">
        <w:t xml:space="preserve">progress has been made, </w:t>
      </w:r>
      <w:r w:rsidR="000A1129" w:rsidRPr="00AD3EE6">
        <w:t>substantial</w:t>
      </w:r>
      <w:r w:rsidRPr="00AD3EE6">
        <w:t xml:space="preserve"> work</w:t>
      </w:r>
      <w:r w:rsidR="00B54500" w:rsidRPr="00AD3EE6">
        <w:t xml:space="preserve"> remains</w:t>
      </w:r>
      <w:r w:rsidRPr="00AD3EE6">
        <w:t xml:space="preserve"> </w:t>
      </w:r>
      <w:r w:rsidR="00B7205B" w:rsidRPr="00AD3EE6">
        <w:t>for</w:t>
      </w:r>
      <w:r w:rsidR="00D079D1" w:rsidRPr="00AD3EE6">
        <w:t xml:space="preserve"> </w:t>
      </w:r>
      <w:r w:rsidR="00BA310D" w:rsidRPr="00AD3EE6">
        <w:t xml:space="preserve">Te </w:t>
      </w:r>
      <w:proofErr w:type="spellStart"/>
      <w:r w:rsidR="00BA310D" w:rsidRPr="00AD3EE6">
        <w:t>Tāhū</w:t>
      </w:r>
      <w:proofErr w:type="spellEnd"/>
      <w:r w:rsidR="00BA310D" w:rsidRPr="00AD3EE6">
        <w:t xml:space="preserve"> Hauora</w:t>
      </w:r>
      <w:r w:rsidRPr="00AD3EE6">
        <w:t xml:space="preserve"> to fully </w:t>
      </w:r>
      <w:r w:rsidR="00133F8C" w:rsidRPr="00AD3EE6">
        <w:t xml:space="preserve">embed </w:t>
      </w:r>
      <w:r w:rsidR="00D079D1" w:rsidRPr="00AD3EE6">
        <w:t xml:space="preserve">and apply </w:t>
      </w:r>
      <w:r w:rsidR="00133F8C" w:rsidRPr="00AD3EE6">
        <w:t>the principles of</w:t>
      </w:r>
      <w:r w:rsidRPr="00AD3EE6">
        <w:t xml:space="preserve"> Te </w:t>
      </w:r>
      <w:proofErr w:type="spellStart"/>
      <w:r w:rsidRPr="00AD3EE6">
        <w:t>Tiriti</w:t>
      </w:r>
      <w:proofErr w:type="spellEnd"/>
      <w:r w:rsidRPr="00AD3EE6">
        <w:t xml:space="preserve"> o Waitangi</w:t>
      </w:r>
      <w:r w:rsidR="00CA3858" w:rsidRPr="00AD3EE6">
        <w:t xml:space="preserve"> </w:t>
      </w:r>
      <w:r w:rsidRPr="00AD3EE6">
        <w:t xml:space="preserve">into its </w:t>
      </w:r>
      <w:r w:rsidR="008325A3" w:rsidRPr="00AD3EE6">
        <w:t xml:space="preserve">organisational </w:t>
      </w:r>
      <w:r w:rsidRPr="00AD3EE6">
        <w:t>practices and processes</w:t>
      </w:r>
      <w:r w:rsidR="00CA3858" w:rsidRPr="00AD3EE6">
        <w:t xml:space="preserve">. This includes actively </w:t>
      </w:r>
      <w:r w:rsidR="007637F0" w:rsidRPr="00AD3EE6">
        <w:t>assist</w:t>
      </w:r>
      <w:r w:rsidR="00C10D6F">
        <w:t>ing</w:t>
      </w:r>
      <w:r w:rsidR="007637F0" w:rsidRPr="00AD3EE6">
        <w:t xml:space="preserve"> the sector to </w:t>
      </w:r>
      <w:r w:rsidR="00B923E9" w:rsidRPr="00AD3EE6">
        <w:t xml:space="preserve">pursue </w:t>
      </w:r>
      <w:r w:rsidR="00CA3858" w:rsidRPr="00AD3EE6">
        <w:t>equit</w:t>
      </w:r>
      <w:r w:rsidR="006E01BD" w:rsidRPr="00AD3EE6">
        <w:t>able outcomes</w:t>
      </w:r>
      <w:r w:rsidR="00CA3858" w:rsidRPr="00AD3EE6">
        <w:t xml:space="preserve"> </w:t>
      </w:r>
      <w:r w:rsidR="00B923E9" w:rsidRPr="00AD3EE6">
        <w:t xml:space="preserve">for all groups and </w:t>
      </w:r>
      <w:r w:rsidR="00A001FB" w:rsidRPr="00AD3EE6">
        <w:t xml:space="preserve">support </w:t>
      </w:r>
      <w:r w:rsidR="00E32274">
        <w:t>and facilitate the</w:t>
      </w:r>
      <w:r w:rsidR="00A001FB" w:rsidRPr="00AD3EE6">
        <w:t xml:space="preserve"> system </w:t>
      </w:r>
      <w:r w:rsidR="00E32274">
        <w:t xml:space="preserve">to become </w:t>
      </w:r>
      <w:r w:rsidR="00A001FB" w:rsidRPr="00AD3EE6">
        <w:t>more centred on consumers and whānau.</w:t>
      </w:r>
    </w:p>
    <w:p w14:paraId="0470AA3B" w14:textId="6E1AE39F" w:rsidR="004A4044" w:rsidRPr="00AD3EE6" w:rsidRDefault="00711DD3" w:rsidP="005856B7">
      <w:pPr>
        <w:pStyle w:val="TeThHauorabodytext"/>
      </w:pPr>
      <w:r w:rsidRPr="00AD3EE6">
        <w:t xml:space="preserve">We </w:t>
      </w:r>
      <w:r w:rsidR="001F7CF9" w:rsidRPr="00AD3EE6">
        <w:t>acknowledge</w:t>
      </w:r>
      <w:r w:rsidR="00BD0445" w:rsidRPr="00AD3EE6">
        <w:t xml:space="preserve"> that</w:t>
      </w:r>
      <w:r w:rsidRPr="00AD3EE6">
        <w:t xml:space="preserve"> </w:t>
      </w:r>
      <w:r w:rsidR="00BA310D" w:rsidRPr="00AD3EE6">
        <w:t xml:space="preserve">Te </w:t>
      </w:r>
      <w:proofErr w:type="spellStart"/>
      <w:r w:rsidR="00BA310D" w:rsidRPr="00AD3EE6">
        <w:t>Tāhū</w:t>
      </w:r>
      <w:proofErr w:type="spellEnd"/>
      <w:r w:rsidR="00BA310D" w:rsidRPr="00AD3EE6">
        <w:t xml:space="preserve"> Hauora</w:t>
      </w:r>
      <w:r w:rsidR="00FF50D5" w:rsidRPr="00AD3EE6">
        <w:t xml:space="preserve"> is</w:t>
      </w:r>
      <w:r w:rsidRPr="00AD3EE6">
        <w:t xml:space="preserve"> </w:t>
      </w:r>
      <w:r w:rsidR="001F7CF9" w:rsidRPr="00AD3EE6">
        <w:t>visually</w:t>
      </w:r>
      <w:r w:rsidR="00BD0445" w:rsidRPr="00AD3EE6">
        <w:t xml:space="preserve"> </w:t>
      </w:r>
      <w:r w:rsidR="00F63537" w:rsidRPr="00AD3EE6">
        <w:t>demonstrati</w:t>
      </w:r>
      <w:r w:rsidR="00BD0445" w:rsidRPr="00AD3EE6">
        <w:t>ng</w:t>
      </w:r>
      <w:r w:rsidR="00F63537" w:rsidRPr="00AD3EE6">
        <w:t xml:space="preserve"> its </w:t>
      </w:r>
      <w:r w:rsidR="001F7CF9" w:rsidRPr="00AD3EE6">
        <w:t xml:space="preserve">ongoing commitment to </w:t>
      </w:r>
      <w:r w:rsidR="00A14476" w:rsidRPr="00AD3EE6">
        <w:t>T</w:t>
      </w:r>
      <w:r w:rsidR="001F7CF9" w:rsidRPr="00AD3EE6">
        <w:t xml:space="preserve">e </w:t>
      </w:r>
      <w:proofErr w:type="spellStart"/>
      <w:r w:rsidR="001F7CF9" w:rsidRPr="00AD3EE6">
        <w:t>Tiriti</w:t>
      </w:r>
      <w:proofErr w:type="spellEnd"/>
      <w:r w:rsidR="001F7CF9" w:rsidRPr="00AD3EE6">
        <w:t xml:space="preserve"> o Waitangi </w:t>
      </w:r>
      <w:r w:rsidR="00357B40" w:rsidRPr="00AD3EE6">
        <w:t>with its newly gifted</w:t>
      </w:r>
      <w:r w:rsidR="004A4044" w:rsidRPr="00AD3EE6">
        <w:t xml:space="preserve"> </w:t>
      </w:r>
      <w:proofErr w:type="spellStart"/>
      <w:r w:rsidR="004A4044" w:rsidRPr="00AD3EE6">
        <w:t>te</w:t>
      </w:r>
      <w:proofErr w:type="spellEnd"/>
      <w:r w:rsidR="004A4044" w:rsidRPr="00AD3EE6">
        <w:t xml:space="preserve"> </w:t>
      </w:r>
      <w:proofErr w:type="spellStart"/>
      <w:r w:rsidR="004A4044" w:rsidRPr="00AD3EE6">
        <w:t>reo</w:t>
      </w:r>
      <w:proofErr w:type="spellEnd"/>
      <w:r w:rsidR="004A4044" w:rsidRPr="00AD3EE6">
        <w:t xml:space="preserve"> Māori name, Te </w:t>
      </w:r>
      <w:proofErr w:type="spellStart"/>
      <w:r w:rsidR="004A4044" w:rsidRPr="00AD3EE6">
        <w:t>Tāhū</w:t>
      </w:r>
      <w:proofErr w:type="spellEnd"/>
      <w:r w:rsidR="004A4044" w:rsidRPr="00AD3EE6">
        <w:t xml:space="preserve"> Hauora</w:t>
      </w:r>
      <w:r w:rsidR="000E1FB4">
        <w:t>,</w:t>
      </w:r>
      <w:r w:rsidR="00B951B2">
        <w:t xml:space="preserve"> and</w:t>
      </w:r>
      <w:r w:rsidR="007A13C3" w:rsidRPr="00AD3EE6">
        <w:t xml:space="preserve"> </w:t>
      </w:r>
      <w:proofErr w:type="spellStart"/>
      <w:r w:rsidR="007A13C3" w:rsidRPr="00AD3EE6">
        <w:t>tohu</w:t>
      </w:r>
      <w:proofErr w:type="spellEnd"/>
      <w:r w:rsidR="003B3DAE" w:rsidRPr="00AD3EE6">
        <w:t xml:space="preserve">. It </w:t>
      </w:r>
      <w:r w:rsidR="00357B40" w:rsidRPr="00AD3EE6">
        <w:t>express</w:t>
      </w:r>
      <w:r w:rsidR="00A14476" w:rsidRPr="00AD3EE6">
        <w:t>es</w:t>
      </w:r>
      <w:r w:rsidR="00FF50D5" w:rsidRPr="00AD3EE6">
        <w:t xml:space="preserve"> its</w:t>
      </w:r>
      <w:r w:rsidR="004A4044" w:rsidRPr="00AD3EE6">
        <w:t xml:space="preserve"> </w:t>
      </w:r>
      <w:r w:rsidR="00FF50D5" w:rsidRPr="00AD3EE6">
        <w:t>reinforced</w:t>
      </w:r>
      <w:r w:rsidR="009A3F67" w:rsidRPr="00AD3EE6">
        <w:t xml:space="preserve"> position</w:t>
      </w:r>
      <w:r w:rsidR="004A4044" w:rsidRPr="00AD3EE6">
        <w:t xml:space="preserve"> to </w:t>
      </w:r>
      <w:r w:rsidR="00FB6A45" w:rsidRPr="00AD3EE6">
        <w:t xml:space="preserve">further honour </w:t>
      </w:r>
      <w:r w:rsidR="004A4044" w:rsidRPr="00AD3EE6">
        <w:t xml:space="preserve">Te </w:t>
      </w:r>
      <w:proofErr w:type="spellStart"/>
      <w:r w:rsidR="004A4044" w:rsidRPr="00AD3EE6">
        <w:t>Tiriti</w:t>
      </w:r>
      <w:proofErr w:type="spellEnd"/>
      <w:r w:rsidR="004A4044" w:rsidRPr="00AD3EE6">
        <w:t xml:space="preserve"> o Waitangi and work to </w:t>
      </w:r>
      <w:r w:rsidR="004D2423" w:rsidRPr="00AD3EE6">
        <w:t>drive</w:t>
      </w:r>
      <w:r w:rsidR="004A4044" w:rsidRPr="00AD3EE6">
        <w:t xml:space="preserve"> quality, </w:t>
      </w:r>
      <w:proofErr w:type="gramStart"/>
      <w:r w:rsidR="004A4044" w:rsidRPr="00AD3EE6">
        <w:t>safety</w:t>
      </w:r>
      <w:proofErr w:type="gramEnd"/>
      <w:r w:rsidR="004A4044" w:rsidRPr="00AD3EE6">
        <w:t xml:space="preserve"> and improvement across the health sector.</w:t>
      </w:r>
    </w:p>
    <w:p w14:paraId="2B079611" w14:textId="387BE72B" w:rsidR="007A13C3" w:rsidRPr="00AD3EE6" w:rsidRDefault="00FB6A45" w:rsidP="005856B7">
      <w:pPr>
        <w:pStyle w:val="TeThHauorabodytext"/>
      </w:pPr>
      <w:r w:rsidRPr="00AD3EE6">
        <w:t>In the next section</w:t>
      </w:r>
      <w:r w:rsidR="000E1FB4">
        <w:t>,</w:t>
      </w:r>
      <w:r w:rsidRPr="00AD3EE6">
        <w:t xml:space="preserve"> we discuss the </w:t>
      </w:r>
      <w:r w:rsidR="007B089A" w:rsidRPr="00AD3EE6">
        <w:t xml:space="preserve">progress that </w:t>
      </w:r>
      <w:r w:rsidR="00BA310D" w:rsidRPr="00AD3EE6">
        <w:t xml:space="preserve">Te </w:t>
      </w:r>
      <w:proofErr w:type="spellStart"/>
      <w:r w:rsidR="00BA310D" w:rsidRPr="00AD3EE6">
        <w:t>Tāhū</w:t>
      </w:r>
      <w:proofErr w:type="spellEnd"/>
      <w:r w:rsidR="00BA310D" w:rsidRPr="00AD3EE6">
        <w:t xml:space="preserve"> Hauora</w:t>
      </w:r>
      <w:r w:rsidR="007B089A" w:rsidRPr="00AD3EE6">
        <w:t xml:space="preserve"> has made over the last </w:t>
      </w:r>
      <w:r w:rsidR="006F38EA">
        <w:br/>
      </w:r>
      <w:r w:rsidR="000E1FB4">
        <w:t>4</w:t>
      </w:r>
      <w:r w:rsidR="006F38EA">
        <w:t xml:space="preserve"> </w:t>
      </w:r>
      <w:r w:rsidR="007B089A" w:rsidRPr="00AD3EE6">
        <w:t xml:space="preserve">years and </w:t>
      </w:r>
      <w:r w:rsidR="000E1FB4">
        <w:t xml:space="preserve">the </w:t>
      </w:r>
      <w:r w:rsidR="000F3936" w:rsidRPr="00AD3EE6">
        <w:t xml:space="preserve">opportunities </w:t>
      </w:r>
      <w:r w:rsidR="000E1FB4">
        <w:t xml:space="preserve">that exist </w:t>
      </w:r>
      <w:r w:rsidR="000F3936" w:rsidRPr="00AD3EE6">
        <w:t xml:space="preserve">to </w:t>
      </w:r>
      <w:r w:rsidR="00BC57B2" w:rsidRPr="00AD3EE6">
        <w:t>enhance</w:t>
      </w:r>
      <w:r w:rsidR="00CA3690" w:rsidRPr="00AD3EE6">
        <w:t xml:space="preserve"> </w:t>
      </w:r>
      <w:r w:rsidR="00865490" w:rsidRPr="00AD3EE6">
        <w:t xml:space="preserve">its contribution to the reformed </w:t>
      </w:r>
      <w:r w:rsidR="006F38EA">
        <w:br/>
      </w:r>
      <w:r w:rsidR="00865490" w:rsidRPr="00AD3EE6">
        <w:t>health system.</w:t>
      </w:r>
      <w:r w:rsidR="007A13C3" w:rsidRPr="00AD3EE6">
        <w:rPr>
          <w:rFonts w:eastAsiaTheme="majorEastAsia"/>
          <w:b/>
          <w:color w:val="293868"/>
          <w:sz w:val="36"/>
          <w:szCs w:val="32"/>
        </w:rPr>
        <w:br w:type="page"/>
      </w:r>
    </w:p>
    <w:p w14:paraId="6B21052C" w14:textId="4562DB81" w:rsidR="003A69F1" w:rsidRPr="00AD3EE6" w:rsidRDefault="00451EE4" w:rsidP="00355BD9">
      <w:pPr>
        <w:pStyle w:val="TeThHauorahead1"/>
      </w:pPr>
      <w:bookmarkStart w:id="10" w:name="_Toc137717494"/>
      <w:r w:rsidRPr="00AD3EE6">
        <w:lastRenderedPageBreak/>
        <w:t xml:space="preserve">Section </w:t>
      </w:r>
      <w:r w:rsidR="00353300">
        <w:t>3</w:t>
      </w:r>
      <w:r w:rsidR="00743396" w:rsidRPr="00AD3EE6">
        <w:t xml:space="preserve">: </w:t>
      </w:r>
      <w:r w:rsidR="004B7E03" w:rsidRPr="00AD3EE6">
        <w:t>Championing quality improvement</w:t>
      </w:r>
      <w:r w:rsidR="00C104CD">
        <w:t xml:space="preserve"> | </w:t>
      </w:r>
      <w:r w:rsidR="00C277A5" w:rsidRPr="00C277A5">
        <w:t>Wāhanga 3: Te hāpai whakapai kounga</w:t>
      </w:r>
      <w:bookmarkEnd w:id="10"/>
    </w:p>
    <w:p w14:paraId="58A07FCD" w14:textId="57FA48D2" w:rsidR="009052B5" w:rsidRPr="00AD3EE6" w:rsidRDefault="00A92A7D" w:rsidP="005856B7">
      <w:pPr>
        <w:pStyle w:val="TeThHauorabodytext"/>
      </w:pPr>
      <w:r w:rsidRPr="00AD3EE6">
        <w:t>In this section</w:t>
      </w:r>
      <w:r w:rsidR="00D44B06">
        <w:t>,</w:t>
      </w:r>
      <w:r w:rsidRPr="00AD3EE6">
        <w:t xml:space="preserve"> we </w:t>
      </w:r>
      <w:r w:rsidR="00904217" w:rsidRPr="00AD3EE6">
        <w:t>consider</w:t>
      </w:r>
      <w:r w:rsidR="00AC51C8" w:rsidRPr="00AD3EE6">
        <w:t xml:space="preserve"> the </w:t>
      </w:r>
      <w:r w:rsidR="00FB119C" w:rsidRPr="00AD3EE6">
        <w:t>acknowl</w:t>
      </w:r>
      <w:r w:rsidR="003737D7" w:rsidRPr="00AD3EE6">
        <w:t>edged</w:t>
      </w:r>
      <w:r w:rsidR="00F96453" w:rsidRPr="00AD3EE6">
        <w:t xml:space="preserve"> </w:t>
      </w:r>
      <w:r w:rsidR="0006728B" w:rsidRPr="00AD3EE6">
        <w:t xml:space="preserve">strengths of Te </w:t>
      </w:r>
      <w:proofErr w:type="spellStart"/>
      <w:r w:rsidR="0006728B" w:rsidRPr="00AD3EE6">
        <w:t>Tāhū</w:t>
      </w:r>
      <w:proofErr w:type="spellEnd"/>
      <w:r w:rsidR="0006728B" w:rsidRPr="00AD3EE6">
        <w:t xml:space="preserve"> Hauora and</w:t>
      </w:r>
      <w:r w:rsidR="003737D7" w:rsidRPr="00AD3EE6">
        <w:t xml:space="preserve"> </w:t>
      </w:r>
      <w:r w:rsidR="00D44B06">
        <w:t xml:space="preserve">its </w:t>
      </w:r>
      <w:r w:rsidR="00AC51C8" w:rsidRPr="00AD3EE6">
        <w:t xml:space="preserve">progress </w:t>
      </w:r>
      <w:r w:rsidR="00360700" w:rsidRPr="00AD3EE6">
        <w:t xml:space="preserve">over the </w:t>
      </w:r>
      <w:r w:rsidR="00D44B06">
        <w:t>4</w:t>
      </w:r>
      <w:r w:rsidR="00D44B06" w:rsidRPr="00AD3EE6">
        <w:t xml:space="preserve"> </w:t>
      </w:r>
      <w:r w:rsidR="00360700" w:rsidRPr="00AD3EE6">
        <w:t>years</w:t>
      </w:r>
      <w:r w:rsidR="001108F4" w:rsidRPr="00AD3EE6">
        <w:t xml:space="preserve"> </w:t>
      </w:r>
      <w:r w:rsidR="0006728B" w:rsidRPr="00AD3EE6">
        <w:t xml:space="preserve">since </w:t>
      </w:r>
      <w:r w:rsidR="00F96453" w:rsidRPr="00AD3EE6">
        <w:t xml:space="preserve">our </w:t>
      </w:r>
      <w:r w:rsidR="003737D7" w:rsidRPr="00AD3EE6">
        <w:t>previous</w:t>
      </w:r>
      <w:r w:rsidR="00F96453" w:rsidRPr="00AD3EE6">
        <w:t xml:space="preserve"> review</w:t>
      </w:r>
      <w:r w:rsidR="00631D15" w:rsidRPr="00AD3EE6">
        <w:t xml:space="preserve"> </w:t>
      </w:r>
      <w:r w:rsidR="00F96453" w:rsidRPr="00AD3EE6">
        <w:t xml:space="preserve">in </w:t>
      </w:r>
      <w:r w:rsidR="00C862C8" w:rsidRPr="00AD3EE6">
        <w:t>it</w:t>
      </w:r>
      <w:r w:rsidR="00D44B06">
        <w:t>s</w:t>
      </w:r>
      <w:r w:rsidR="00C862C8" w:rsidRPr="00AD3EE6">
        <w:t xml:space="preserve"> function to </w:t>
      </w:r>
      <w:r w:rsidR="009052B5" w:rsidRPr="00AD3EE6">
        <w:t>monitor</w:t>
      </w:r>
      <w:r w:rsidR="00C862C8" w:rsidRPr="00AD3EE6">
        <w:t xml:space="preserve"> </w:t>
      </w:r>
      <w:r w:rsidR="009052B5" w:rsidRPr="00AD3EE6">
        <w:t xml:space="preserve">the quality </w:t>
      </w:r>
      <w:r w:rsidR="00511661">
        <w:t xml:space="preserve">and safety </w:t>
      </w:r>
      <w:r w:rsidR="009052B5" w:rsidRPr="00AD3EE6">
        <w:t>of care in Aotea</w:t>
      </w:r>
      <w:r w:rsidR="00C862C8" w:rsidRPr="00AD3EE6">
        <w:t>ro</w:t>
      </w:r>
      <w:r w:rsidR="009052B5" w:rsidRPr="00AD3EE6">
        <w:t>a New Zealand</w:t>
      </w:r>
      <w:r w:rsidR="00F96453" w:rsidRPr="00AD3EE6">
        <w:t xml:space="preserve"> and </w:t>
      </w:r>
      <w:r w:rsidR="00317315" w:rsidRPr="00AD3EE6">
        <w:t>in facilitating cross-system sharing of intelligence to proactively identify and address quality</w:t>
      </w:r>
      <w:r w:rsidR="00511661">
        <w:t xml:space="preserve"> and safety </w:t>
      </w:r>
      <w:r w:rsidR="00317315" w:rsidRPr="00AD3EE6">
        <w:t>-related issues.</w:t>
      </w:r>
    </w:p>
    <w:p w14:paraId="439EE712" w14:textId="2059BDD0" w:rsidR="00A53E99" w:rsidRPr="00AD3EE6" w:rsidRDefault="00A53E99" w:rsidP="00355BD9">
      <w:pPr>
        <w:pStyle w:val="TeThHauorahead2"/>
      </w:pPr>
      <w:bookmarkStart w:id="11" w:name="_Toc137717495"/>
      <w:r w:rsidRPr="00AD3EE6">
        <w:t xml:space="preserve">Exemplars of consumer engagement within programmes and development of </w:t>
      </w:r>
      <w:r w:rsidR="00D44B06">
        <w:t xml:space="preserve">the </w:t>
      </w:r>
      <w:r w:rsidR="00311DB6" w:rsidRPr="00AD3EE6">
        <w:t>consumer code of expectations</w:t>
      </w:r>
      <w:bookmarkEnd w:id="11"/>
    </w:p>
    <w:p w14:paraId="42136A44" w14:textId="324565CC" w:rsidR="00A53E99" w:rsidRPr="00AD3EE6" w:rsidRDefault="00A53E99" w:rsidP="005856B7">
      <w:pPr>
        <w:pStyle w:val="TeThHauorabodytext"/>
      </w:pPr>
      <w:r w:rsidRPr="00AD3EE6">
        <w:t xml:space="preserve">Consumer </w:t>
      </w:r>
      <w:r w:rsidR="002257B1" w:rsidRPr="00AD3EE6">
        <w:t xml:space="preserve">and whānau </w:t>
      </w:r>
      <w:r w:rsidRPr="00AD3EE6">
        <w:t xml:space="preserve">engagement is a foundation of health quality and safety. </w:t>
      </w:r>
    </w:p>
    <w:p w14:paraId="7DE08C8A" w14:textId="77777777" w:rsidR="00A53E99" w:rsidRPr="00AD3EE6" w:rsidRDefault="00A53E99" w:rsidP="005856B7">
      <w:pPr>
        <w:pStyle w:val="TeThHauorabodytext"/>
      </w:pPr>
      <w:r w:rsidRPr="00AD3EE6">
        <w:t xml:space="preserve">Te </w:t>
      </w:r>
      <w:proofErr w:type="spellStart"/>
      <w:r w:rsidRPr="00AD3EE6">
        <w:t>Tāhū</w:t>
      </w:r>
      <w:proofErr w:type="spellEnd"/>
      <w:r w:rsidRPr="00AD3EE6">
        <w:t xml:space="preserve"> Hauora is leading the way in building a system more strongly centred on consumers and whānau with a focus on modelling out to the sector. Its efforts to empower and amplify the voices of consumers and whānau have significantly expanded in recent years, particularly with the formalisation of its role in leading the sector to engage with consumers and </w:t>
      </w:r>
      <w:proofErr w:type="spellStart"/>
      <w:r w:rsidRPr="00AD3EE6">
        <w:t>whānau</w:t>
      </w:r>
      <w:proofErr w:type="spellEnd"/>
      <w:r w:rsidRPr="00AD3EE6">
        <w:t xml:space="preserve"> under the </w:t>
      </w:r>
      <w:proofErr w:type="spellStart"/>
      <w:r w:rsidRPr="00AD3EE6">
        <w:t>Pae</w:t>
      </w:r>
      <w:proofErr w:type="spellEnd"/>
      <w:r w:rsidRPr="00AD3EE6">
        <w:t xml:space="preserve"> Ora Act. </w:t>
      </w:r>
    </w:p>
    <w:p w14:paraId="2A7C822B" w14:textId="06C87B82" w:rsidR="00A53E99" w:rsidRPr="00A72F16" w:rsidRDefault="00A72F16" w:rsidP="005856B7">
      <w:pPr>
        <w:pStyle w:val="TeThHauorabodytext"/>
      </w:pPr>
      <w:r>
        <w:t>Stakeholder interviews and staff feedback indicated the s</w:t>
      </w:r>
      <w:r w:rsidR="00A53E99" w:rsidRPr="00A72F16">
        <w:t xml:space="preserve">ubstantial value and recognition </w:t>
      </w:r>
      <w:r>
        <w:t xml:space="preserve">of </w:t>
      </w:r>
      <w:r w:rsidR="00A53E99" w:rsidRPr="00A72F16">
        <w:t xml:space="preserve">the strong and critical focus on championing consumer and whānau engagement across the health sector through implementing the requirements of the </w:t>
      </w:r>
      <w:r w:rsidR="00B56068">
        <w:t>c</w:t>
      </w:r>
      <w:r w:rsidR="00A53E99" w:rsidRPr="00A72F16">
        <w:t>ode of expectations for health entities’ engagement with consumers and whānau.</w:t>
      </w:r>
      <w:r w:rsidR="00A53E99" w:rsidRPr="00A72F16">
        <w:rPr>
          <w:rStyle w:val="FootnoteReference"/>
          <w:sz w:val="22"/>
        </w:rPr>
        <w:footnoteReference w:id="13"/>
      </w:r>
    </w:p>
    <w:p w14:paraId="059A852A" w14:textId="3C6FE75F" w:rsidR="00A53E99" w:rsidRPr="00AD3EE6" w:rsidRDefault="00A53E99" w:rsidP="005856B7">
      <w:pPr>
        <w:pStyle w:val="TeThHauorabodytext"/>
      </w:pPr>
      <w:r w:rsidRPr="00AD3EE6">
        <w:t xml:space="preserve">It </w:t>
      </w:r>
      <w:r w:rsidR="00A72F16">
        <w:t>was</w:t>
      </w:r>
      <w:r w:rsidR="00A72F16" w:rsidRPr="00AD3EE6">
        <w:t xml:space="preserve"> </w:t>
      </w:r>
      <w:r w:rsidRPr="00AD3EE6">
        <w:t xml:space="preserve">further evident in staff feedback that Te </w:t>
      </w:r>
      <w:proofErr w:type="spellStart"/>
      <w:r w:rsidRPr="00AD3EE6">
        <w:t>Tāhū</w:t>
      </w:r>
      <w:proofErr w:type="spellEnd"/>
      <w:r w:rsidRPr="00AD3EE6">
        <w:t xml:space="preserve"> Hauora is dedicated to incorporating the consumer voice into its activities and continuously improving its approach to integrating the patient perspective. The organisation recognises the importance of actively listening to consumer perspectives, and the </w:t>
      </w:r>
      <w:r w:rsidR="00A72F16">
        <w:t>c</w:t>
      </w:r>
      <w:r w:rsidRPr="00AD3EE6">
        <w:t xml:space="preserve">onsumer </w:t>
      </w:r>
      <w:r w:rsidR="00A72F16">
        <w:t>h</w:t>
      </w:r>
      <w:r w:rsidRPr="00AD3EE6">
        <w:t xml:space="preserve">ub and consumer networks </w:t>
      </w:r>
      <w:r w:rsidR="00A72F16">
        <w:t xml:space="preserve">all </w:t>
      </w:r>
      <w:r w:rsidRPr="00AD3EE6">
        <w:t xml:space="preserve">play a vital role in </w:t>
      </w:r>
      <w:r w:rsidR="00A72F16">
        <w:t xml:space="preserve">the </w:t>
      </w:r>
      <w:r w:rsidRPr="00AD3EE6">
        <w:t xml:space="preserve">receiving and sharing </w:t>
      </w:r>
      <w:r w:rsidR="00A72F16">
        <w:t xml:space="preserve">of </w:t>
      </w:r>
      <w:r w:rsidRPr="00AD3EE6">
        <w:t xml:space="preserve">information. </w:t>
      </w:r>
    </w:p>
    <w:p w14:paraId="13F3520F" w14:textId="00F891EE" w:rsidR="00A53E99" w:rsidRPr="00AD3EE6" w:rsidRDefault="00A53E99" w:rsidP="005856B7">
      <w:pPr>
        <w:pStyle w:val="TeThHauorabodytext"/>
      </w:pPr>
      <w:r w:rsidRPr="00AD3EE6">
        <w:t>Consumer engagement and co-design is highlighted as a significant contribution to the organisation</w:t>
      </w:r>
      <w:r w:rsidR="00F6183C">
        <w:t>’</w:t>
      </w:r>
      <w:r w:rsidRPr="00AD3EE6">
        <w:t xml:space="preserve">s quality improvement education within the health system. This is only the beginning, as Te </w:t>
      </w:r>
      <w:proofErr w:type="spellStart"/>
      <w:r w:rsidRPr="00AD3EE6">
        <w:t>Tāhū</w:t>
      </w:r>
      <w:proofErr w:type="spellEnd"/>
      <w:r w:rsidRPr="00AD3EE6">
        <w:t xml:space="preserve"> Hauora </w:t>
      </w:r>
      <w:r w:rsidR="00A72F16">
        <w:t>is increasingly</w:t>
      </w:r>
      <w:r w:rsidRPr="00AD3EE6">
        <w:t xml:space="preserve"> involv</w:t>
      </w:r>
      <w:r w:rsidR="00A72F16">
        <w:t>ing</w:t>
      </w:r>
      <w:r w:rsidRPr="00AD3EE6">
        <w:t xml:space="preserve"> consumers and whānau from the outset and ensuring their active involvement in shaping the </w:t>
      </w:r>
      <w:r w:rsidR="003324D9">
        <w:t>health care</w:t>
      </w:r>
      <w:r w:rsidRPr="00AD3EE6">
        <w:t xml:space="preserve"> system. </w:t>
      </w:r>
    </w:p>
    <w:p w14:paraId="6E72FA03" w14:textId="0BDCA2F8" w:rsidR="00521340" w:rsidRPr="00AD3EE6" w:rsidRDefault="00F379B9" w:rsidP="00355BD9">
      <w:pPr>
        <w:pStyle w:val="TeThHauorahead2"/>
      </w:pPr>
      <w:bookmarkStart w:id="12" w:name="_Toc137717496"/>
      <w:r w:rsidRPr="00AD3EE6">
        <w:t>Established</w:t>
      </w:r>
      <w:r w:rsidR="00521340" w:rsidRPr="00AD3EE6">
        <w:t xml:space="preserve"> leadersh</w:t>
      </w:r>
      <w:r w:rsidR="008E50A5" w:rsidRPr="00AD3EE6">
        <w:t xml:space="preserve">ip </w:t>
      </w:r>
      <w:r w:rsidR="00521340" w:rsidRPr="00AD3EE6">
        <w:t>role</w:t>
      </w:r>
      <w:r w:rsidR="008E50A5" w:rsidRPr="00AD3EE6">
        <w:t xml:space="preserve"> </w:t>
      </w:r>
      <w:r w:rsidR="00521340" w:rsidRPr="00AD3EE6">
        <w:t xml:space="preserve">in </w:t>
      </w:r>
      <w:r w:rsidR="00207C3D">
        <w:t xml:space="preserve">focusing on </w:t>
      </w:r>
      <w:r w:rsidR="00521340" w:rsidRPr="00AD3EE6">
        <w:t xml:space="preserve">Te </w:t>
      </w:r>
      <w:proofErr w:type="spellStart"/>
      <w:r w:rsidR="00521340" w:rsidRPr="00AD3EE6">
        <w:t>Tiriti</w:t>
      </w:r>
      <w:proofErr w:type="spellEnd"/>
      <w:r w:rsidR="00521340" w:rsidRPr="00AD3EE6">
        <w:t xml:space="preserve"> o Waitangi</w:t>
      </w:r>
      <w:r w:rsidR="00207C3D">
        <w:t xml:space="preserve"> and endorsing equity</w:t>
      </w:r>
      <w:bookmarkEnd w:id="12"/>
    </w:p>
    <w:p w14:paraId="29C49937" w14:textId="598DD01A" w:rsidR="00B17AAA" w:rsidRPr="00AD3EE6" w:rsidRDefault="008D564E" w:rsidP="005856B7">
      <w:pPr>
        <w:pStyle w:val="TeThHauorabodytext"/>
      </w:pPr>
      <w:r w:rsidRPr="00AD3EE6">
        <w:t>O</w:t>
      </w:r>
      <w:r w:rsidR="005A55B3" w:rsidRPr="00AD3EE6">
        <w:t xml:space="preserve">ur advice to </w:t>
      </w:r>
      <w:r w:rsidR="00B17AAA" w:rsidRPr="00AD3EE6">
        <w:t xml:space="preserve">Te </w:t>
      </w:r>
      <w:proofErr w:type="spellStart"/>
      <w:r w:rsidR="00B17AAA" w:rsidRPr="00AD3EE6">
        <w:t>Tāhū</w:t>
      </w:r>
      <w:proofErr w:type="spellEnd"/>
      <w:r w:rsidR="00B17AAA" w:rsidRPr="00AD3EE6">
        <w:t xml:space="preserve"> Hauora</w:t>
      </w:r>
      <w:r w:rsidR="00705454" w:rsidRPr="00AD3EE6">
        <w:t xml:space="preserve"> in 2019</w:t>
      </w:r>
      <w:r w:rsidR="005A55B3" w:rsidRPr="00AD3EE6">
        <w:t xml:space="preserve"> was to build its capacity and capability to </w:t>
      </w:r>
      <w:r w:rsidR="00B17AAA" w:rsidRPr="00AD3EE6">
        <w:t xml:space="preserve">embed and </w:t>
      </w:r>
      <w:r w:rsidR="005A55B3" w:rsidRPr="00AD3EE6">
        <w:t xml:space="preserve">deliver on Te </w:t>
      </w:r>
      <w:proofErr w:type="spellStart"/>
      <w:r w:rsidR="005A55B3" w:rsidRPr="00AD3EE6">
        <w:t>Tiriti</w:t>
      </w:r>
      <w:proofErr w:type="spellEnd"/>
      <w:r w:rsidRPr="00AD3EE6">
        <w:t xml:space="preserve"> o Waitangi</w:t>
      </w:r>
      <w:r w:rsidR="00B17AAA" w:rsidRPr="00AD3EE6">
        <w:t xml:space="preserve"> as well as </w:t>
      </w:r>
      <w:r w:rsidR="00A72F16">
        <w:t xml:space="preserve">to </w:t>
      </w:r>
      <w:r w:rsidR="00B17AAA" w:rsidRPr="00AD3EE6">
        <w:t xml:space="preserve">set a clear strategy </w:t>
      </w:r>
      <w:r w:rsidR="00921A98" w:rsidRPr="00AD3EE6">
        <w:t>that place</w:t>
      </w:r>
      <w:r w:rsidR="00A72F16">
        <w:t>d</w:t>
      </w:r>
      <w:r w:rsidR="00921A98" w:rsidRPr="00AD3EE6">
        <w:t xml:space="preserve"> equity at the centre of quality</w:t>
      </w:r>
      <w:r w:rsidR="00511661">
        <w:t xml:space="preserve"> and safety</w:t>
      </w:r>
      <w:r w:rsidR="005A55B3" w:rsidRPr="00AD3EE6">
        <w:t xml:space="preserve">. </w:t>
      </w:r>
      <w:r w:rsidR="00B17AAA" w:rsidRPr="00AD3EE6">
        <w:t>We can see that you have stood up to that challenge</w:t>
      </w:r>
      <w:r w:rsidR="006D2AED" w:rsidRPr="00AD3EE6">
        <w:t>.</w:t>
      </w:r>
      <w:r w:rsidR="007D35CB" w:rsidRPr="00AD3EE6">
        <w:t xml:space="preserve"> </w:t>
      </w:r>
    </w:p>
    <w:p w14:paraId="1A7908E5" w14:textId="5B03149A" w:rsidR="008C3303" w:rsidRPr="00AD3EE6" w:rsidRDefault="008C3303" w:rsidP="005856B7">
      <w:pPr>
        <w:pStyle w:val="TeThHauorabodytext"/>
      </w:pPr>
      <w:r w:rsidRPr="00AD3EE6">
        <w:t xml:space="preserve">Te </w:t>
      </w:r>
      <w:proofErr w:type="spellStart"/>
      <w:r w:rsidRPr="00AD3EE6">
        <w:t>Tāhū</w:t>
      </w:r>
      <w:proofErr w:type="spellEnd"/>
      <w:r w:rsidRPr="00AD3EE6">
        <w:t xml:space="preserve"> Hauora has clearly prioritised and done well to build the knowledge and confidence of staff around Te </w:t>
      </w:r>
      <w:proofErr w:type="spellStart"/>
      <w:r w:rsidRPr="00AD3EE6">
        <w:t>Tiriti</w:t>
      </w:r>
      <w:proofErr w:type="spellEnd"/>
      <w:r w:rsidRPr="00AD3EE6">
        <w:t xml:space="preserve"> o Waitangi (with </w:t>
      </w:r>
      <w:proofErr w:type="spellStart"/>
      <w:r w:rsidRPr="00AD3EE6">
        <w:t>waiata</w:t>
      </w:r>
      <w:proofErr w:type="spellEnd"/>
      <w:r w:rsidRPr="00AD3EE6">
        <w:t xml:space="preserve">, </w:t>
      </w:r>
      <w:proofErr w:type="spellStart"/>
      <w:r w:rsidRPr="00AD3EE6">
        <w:t>te</w:t>
      </w:r>
      <w:proofErr w:type="spellEnd"/>
      <w:r w:rsidRPr="00AD3EE6">
        <w:t xml:space="preserve"> </w:t>
      </w:r>
      <w:proofErr w:type="spellStart"/>
      <w:r w:rsidRPr="00AD3EE6">
        <w:t>reo</w:t>
      </w:r>
      <w:proofErr w:type="spellEnd"/>
      <w:r w:rsidRPr="00AD3EE6">
        <w:t xml:space="preserve"> classes and workshops), setting a high standard for other organisations to follow. This includes increasing its capability and </w:t>
      </w:r>
      <w:r w:rsidRPr="00AD3EE6">
        <w:lastRenderedPageBreak/>
        <w:t xml:space="preserve">capacity in addressing inequity within its data analysis and reporting. Its efforts to be open and direct about inequity and </w:t>
      </w:r>
      <w:r w:rsidR="00A72F16">
        <w:t xml:space="preserve">to </w:t>
      </w:r>
      <w:r w:rsidRPr="00AD3EE6">
        <w:t>promote credible voices in the sector are well</w:t>
      </w:r>
      <w:r w:rsidR="003F49DB">
        <w:t xml:space="preserve"> </w:t>
      </w:r>
      <w:r w:rsidRPr="00AD3EE6">
        <w:t xml:space="preserve">recognised and reported in our discussions. </w:t>
      </w:r>
    </w:p>
    <w:p w14:paraId="51D3141F" w14:textId="203A3A2E" w:rsidR="00E40EDF" w:rsidRPr="00AD3EE6" w:rsidRDefault="00A15E00" w:rsidP="00103AC3">
      <w:r w:rsidRPr="00AD3EE6">
        <w:t>In our interviews and</w:t>
      </w:r>
      <w:r w:rsidR="00945C63" w:rsidRPr="00AD3EE6">
        <w:t xml:space="preserve"> staff feedback</w:t>
      </w:r>
      <w:r w:rsidRPr="00AD3EE6">
        <w:t>,</w:t>
      </w:r>
      <w:r w:rsidR="00D325EC" w:rsidRPr="00AD3EE6">
        <w:t xml:space="preserve"> </w:t>
      </w:r>
      <w:r w:rsidR="00FC5F2B" w:rsidRPr="00AD3EE6">
        <w:t>it was clear that the e</w:t>
      </w:r>
      <w:r w:rsidR="00D325EC" w:rsidRPr="00AD3EE6">
        <w:t>fforts</w:t>
      </w:r>
      <w:r w:rsidR="00FC5F2B" w:rsidRPr="00AD3EE6">
        <w:t xml:space="preserve"> of Te </w:t>
      </w:r>
      <w:proofErr w:type="spellStart"/>
      <w:r w:rsidR="00FC5F2B" w:rsidRPr="00AD3EE6">
        <w:t>Tāhū</w:t>
      </w:r>
      <w:proofErr w:type="spellEnd"/>
      <w:r w:rsidR="00FC5F2B" w:rsidRPr="00AD3EE6">
        <w:t xml:space="preserve"> Hauora </w:t>
      </w:r>
      <w:r w:rsidR="00D325EC" w:rsidRPr="00AD3EE6">
        <w:t xml:space="preserve">demonstrate a significant commitment to promoting </w:t>
      </w:r>
      <w:r w:rsidR="00792CA2" w:rsidRPr="00AD3EE6">
        <w:t xml:space="preserve">equity, </w:t>
      </w:r>
      <w:r w:rsidR="007A584D">
        <w:t xml:space="preserve">in that </w:t>
      </w:r>
      <w:r w:rsidR="007A584D" w:rsidRPr="00AD3EE6">
        <w:t xml:space="preserve">Te </w:t>
      </w:r>
      <w:proofErr w:type="spellStart"/>
      <w:r w:rsidR="007A584D" w:rsidRPr="00AD3EE6">
        <w:t>Tāhū</w:t>
      </w:r>
      <w:proofErr w:type="spellEnd"/>
      <w:r w:rsidR="007A584D" w:rsidRPr="00AD3EE6">
        <w:t xml:space="preserve"> Hauora </w:t>
      </w:r>
      <w:r w:rsidR="007A584D">
        <w:t xml:space="preserve">is </w:t>
      </w:r>
      <w:r w:rsidR="006D2AED" w:rsidRPr="00AD3EE6">
        <w:t xml:space="preserve">being open and honest about </w:t>
      </w:r>
      <w:r w:rsidR="00D325EC" w:rsidRPr="00AD3EE6">
        <w:t>addressing inequities</w:t>
      </w:r>
      <w:r w:rsidR="00FD6A1C" w:rsidRPr="00AD3EE6">
        <w:t xml:space="preserve"> and racism</w:t>
      </w:r>
      <w:r w:rsidR="00D325EC" w:rsidRPr="00AD3EE6">
        <w:t xml:space="preserve"> within the organi</w:t>
      </w:r>
      <w:r w:rsidR="00300BD9" w:rsidRPr="00AD3EE6">
        <w:t>s</w:t>
      </w:r>
      <w:r w:rsidR="00D325EC" w:rsidRPr="00AD3EE6">
        <w:t>ation and the wider sector</w:t>
      </w:r>
      <w:r w:rsidR="006D2AED" w:rsidRPr="00AD3EE6">
        <w:t xml:space="preserve"> with a focus on being a credible voice in the sector.</w:t>
      </w:r>
      <w:r w:rsidR="00D325EC" w:rsidRPr="00AD3EE6">
        <w:t xml:space="preserve"> </w:t>
      </w:r>
    </w:p>
    <w:p w14:paraId="42A9CEBC" w14:textId="670EA51C" w:rsidR="00A72F16" w:rsidRDefault="002D135E" w:rsidP="00103AC3">
      <w:r w:rsidRPr="00A72F16">
        <w:t>This includes</w:t>
      </w:r>
      <w:r w:rsidR="00A72F16">
        <w:t>:</w:t>
      </w:r>
    </w:p>
    <w:p w14:paraId="474ABE38" w14:textId="37E117FC" w:rsidR="00A72F16" w:rsidRDefault="002D135E" w:rsidP="0067133C">
      <w:pPr>
        <w:pStyle w:val="ListParagraph"/>
        <w:numPr>
          <w:ilvl w:val="0"/>
          <w:numId w:val="23"/>
        </w:numPr>
        <w:spacing w:after="60"/>
        <w:ind w:left="357" w:hanging="357"/>
        <w:contextualSpacing w:val="0"/>
      </w:pPr>
      <w:r w:rsidRPr="00A72F16">
        <w:t xml:space="preserve">the establishment of </w:t>
      </w:r>
      <w:r w:rsidR="00903A24" w:rsidRPr="00A72F16">
        <w:t>the</w:t>
      </w:r>
      <w:r w:rsidRPr="00A72F16">
        <w:t xml:space="preserve"> Māori health outcomes team</w:t>
      </w:r>
      <w:r w:rsidR="00E3472F" w:rsidRPr="00A72F16">
        <w:t>,</w:t>
      </w:r>
      <w:r w:rsidRPr="00A72F16">
        <w:t xml:space="preserve"> </w:t>
      </w:r>
      <w:proofErr w:type="spellStart"/>
      <w:r w:rsidRPr="00A72F16">
        <w:t>Ahuahu</w:t>
      </w:r>
      <w:proofErr w:type="spellEnd"/>
      <w:r w:rsidRPr="00A72F16">
        <w:t xml:space="preserve"> </w:t>
      </w:r>
      <w:proofErr w:type="spellStart"/>
      <w:r w:rsidRPr="00A72F16">
        <w:t>Kaunuku</w:t>
      </w:r>
      <w:proofErr w:type="spellEnd"/>
    </w:p>
    <w:p w14:paraId="588073A7" w14:textId="6CC428A8" w:rsidR="00A72F16" w:rsidRDefault="00A72F16" w:rsidP="0067133C">
      <w:pPr>
        <w:pStyle w:val="ListParagraph"/>
        <w:numPr>
          <w:ilvl w:val="0"/>
          <w:numId w:val="23"/>
        </w:numPr>
        <w:spacing w:after="60"/>
        <w:ind w:left="357" w:hanging="357"/>
        <w:contextualSpacing w:val="0"/>
      </w:pPr>
      <w:r>
        <w:t xml:space="preserve">the </w:t>
      </w:r>
      <w:r w:rsidR="008C3303" w:rsidRPr="00A72F16">
        <w:t>establish</w:t>
      </w:r>
      <w:r>
        <w:t>ment of the</w:t>
      </w:r>
      <w:r w:rsidR="008C3303" w:rsidRPr="00A72F16">
        <w:t xml:space="preserve"> equity team, </w:t>
      </w:r>
      <w:r>
        <w:t xml:space="preserve">which </w:t>
      </w:r>
      <w:r w:rsidR="008C3303" w:rsidRPr="00A72F16">
        <w:t>focuse</w:t>
      </w:r>
      <w:r>
        <w:t>s</w:t>
      </w:r>
      <w:r w:rsidR="008C3303" w:rsidRPr="00A72F16">
        <w:t xml:space="preserve"> on </w:t>
      </w:r>
      <w:r>
        <w:t xml:space="preserve">the </w:t>
      </w:r>
      <w:r w:rsidR="008C3303" w:rsidRPr="00A72F16">
        <w:t xml:space="preserve">disability </w:t>
      </w:r>
      <w:r>
        <w:t xml:space="preserve">community </w:t>
      </w:r>
      <w:r w:rsidR="008C3303" w:rsidRPr="00A72F16">
        <w:t>and Pacific whānau</w:t>
      </w:r>
      <w:r w:rsidR="007A584D">
        <w:t>:</w:t>
      </w:r>
      <w:r w:rsidR="008C3303" w:rsidRPr="00A72F16">
        <w:t xml:space="preserve"> a promising initiative that shows a genuine intention to address inequities</w:t>
      </w:r>
    </w:p>
    <w:p w14:paraId="18581E79" w14:textId="50D80096" w:rsidR="00103AC3" w:rsidRPr="00A72F16" w:rsidRDefault="00803F3D" w:rsidP="00803F3D">
      <w:pPr>
        <w:pStyle w:val="ListParagraph"/>
        <w:numPr>
          <w:ilvl w:val="0"/>
          <w:numId w:val="23"/>
        </w:numPr>
        <w:spacing w:after="360"/>
        <w:ind w:left="357" w:hanging="357"/>
      </w:pPr>
      <w:r>
        <w:rPr>
          <w:noProof/>
        </w:rPr>
        <mc:AlternateContent>
          <mc:Choice Requires="wps">
            <w:drawing>
              <wp:anchor distT="0" distB="0" distL="114300" distR="114300" simplePos="0" relativeHeight="251664385" behindDoc="1" locked="0" layoutInCell="1" allowOverlap="1" wp14:anchorId="2ED8EB27" wp14:editId="20B3EE41">
                <wp:simplePos x="0" y="0"/>
                <wp:positionH relativeFrom="margin">
                  <wp:align>right</wp:align>
                </wp:positionH>
                <wp:positionV relativeFrom="paragraph">
                  <wp:posOffset>477619</wp:posOffset>
                </wp:positionV>
                <wp:extent cx="5712106" cy="604910"/>
                <wp:effectExtent l="0" t="0" r="3175" b="5080"/>
                <wp:wrapNone/>
                <wp:docPr id="5" name="Rectangle: Rounded Corners 5"/>
                <wp:cNvGraphicFramePr/>
                <a:graphic xmlns:a="http://schemas.openxmlformats.org/drawingml/2006/main">
                  <a:graphicData uri="http://schemas.microsoft.com/office/word/2010/wordprocessingShape">
                    <wps:wsp>
                      <wps:cNvSpPr/>
                      <wps:spPr>
                        <a:xfrm>
                          <a:off x="0" y="0"/>
                          <a:ext cx="5712106" cy="604910"/>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45C2D39" id="Rectangle: Rounded Corners 5" o:spid="_x0000_s1026" style="position:absolute;margin-left:398.55pt;margin-top:37.6pt;width:449.75pt;height:47.65pt;z-index:-25165209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TlAIAAIUFAAAOAAAAZHJzL2Uyb0RvYy54bWysVEtv2zAMvg/YfxB0X/1A0jZBnSJo0WFA&#10;0RZ9oGdFlmIDsqhJymu/fpRkO0FX7DAsB4USyY/kZ5JX1/tOka2wrgVd0eIsp0RoDnWr1xV9e737&#10;dkmJ80zXTIEWFT0IR68XX79c7cxclNCAqoUlCKLdfGcq2nhv5lnmeCM65s7ACI1KCbZjHq92ndWW&#10;7RC9U1mZ5+fZDmxtLHDhHL7eJiVdRHwpBfePUjrhiaoo5ubjaeO5Cme2uGLztWWmaXmfBvuHLDrW&#10;agw6Qt0yz8jGtn9AdS234ED6Mw5dBlK2XMQasJoi/1DNS8OMiLUgOc6MNLn/B8sfti/mySINO+Pm&#10;DsVQxV7aLvxjfmQfyTqMZIm9JxwfpxdFWeTnlHDUneeTWRHZzI7exjr/XUBHglBRCxtdP+MXiUSx&#10;7b3zGBbtB7sQ0YFq67tWqXix69WNsmTL8OvN8kl5WSRfZRqWXstpPrsMXxFxXDJP8imO0gFNQ8BN&#10;puElO1YcJX9QItgp/SwkaWussYzhYjOKMRHGudA+ZeIaVouUyTTH35BJaN/gEXOJgAFZYvwRuwcY&#10;LBPIgJ2y7O2Dq4i9PDrnf0ssOY8eMTJoPzp3rQb7GYDCqvrIyX4gKVETWFpBfXiyxEKaJGf4XYtf&#10;9545/8Qsjg4OGa4D/4iHVLCrKPQSJQ3YX5+9B3vsaNRSssNRrKj7uWFWUKJ+aOz1WTGZhNmNl8n0&#10;osSLPdWsTjV6090A9kuBi8fwKAZ7rwZRWujecWssQ1RUMc0xdkW5t8PlxqcVgXuHi+UymuG8Gubv&#10;9YvhATywGhr3df/OrOlb3ONwPMAwtmz+ocmTbfDUsNx4kG2cgCOvPd8467Fx+r0UlsnpPVodt+fi&#10;NwAAAP//AwBQSwMEFAAGAAgAAAAhAMbaQVPcAAAABwEAAA8AAABkcnMvZG93bnJldi54bWxMj8FO&#10;wzAQRO9I/IO1SNyo06LQNsSpEAHOEKgqbm6yxFHtdRS7Sfh7lhMcRzOaeZPvZmfFiEPoPClYLhIQ&#10;SLVvOmoVfLw/32xAhKip0dYTKvjGALvi8iLXWeMnesOxiq3gEgqZVmBi7DMpQ23Q6bDwPRJ7X35w&#10;OrIcWtkMeuJyZ+UqSe6k0x3xgtE9PhqsT9XZKahk+TSeypfbT+z3r+Vk7KFsl0pdX80P9yAizvEv&#10;DL/4jA4FMx39mZogrAI+EhWs0xUIdjfbbQriyLF1koIscvmfv/gBAAD//wMAUEsBAi0AFAAGAAgA&#10;AAAhALaDOJL+AAAA4QEAABMAAAAAAAAAAAAAAAAAAAAAAFtDb250ZW50X1R5cGVzXS54bWxQSwEC&#10;LQAUAAYACAAAACEAOP0h/9YAAACUAQAACwAAAAAAAAAAAAAAAAAvAQAAX3JlbHMvLnJlbHNQSwEC&#10;LQAUAAYACAAAACEAaPg4k5QCAACFBQAADgAAAAAAAAAAAAAAAAAuAgAAZHJzL2Uyb0RvYy54bWxQ&#10;SwECLQAUAAYACAAAACEAxtpBU9wAAAAHAQAADwAAAAAAAAAAAAAAAADuBAAAZHJzL2Rvd25yZXYu&#10;eG1sUEsFBgAAAAAEAAQA8wAAAPcFAAAAAA==&#10;" fillcolor="#904281" stroked="f" strokeweight="2pt">
                <v:fill opacity="16448f"/>
                <w10:wrap anchorx="margin"/>
              </v:roundrect>
            </w:pict>
          </mc:Fallback>
        </mc:AlternateContent>
      </w:r>
      <w:r w:rsidR="00517A9E" w:rsidRPr="00A72F16">
        <w:t>the</w:t>
      </w:r>
      <w:r w:rsidR="0071759F" w:rsidRPr="00A72F16">
        <w:t xml:space="preserve"> transition </w:t>
      </w:r>
      <w:r w:rsidR="0075239F">
        <w:t xml:space="preserve">from several </w:t>
      </w:r>
      <w:r w:rsidR="0071759F" w:rsidRPr="00A72F16">
        <w:t>to one national mortality review committee</w:t>
      </w:r>
      <w:r w:rsidR="0075239F">
        <w:t>,</w:t>
      </w:r>
      <w:r w:rsidR="0071759F" w:rsidRPr="00A72F16">
        <w:t xml:space="preserve"> </w:t>
      </w:r>
      <w:r w:rsidR="0075239F">
        <w:t xml:space="preserve">which </w:t>
      </w:r>
      <w:r w:rsidR="00517A9E" w:rsidRPr="00A72F16">
        <w:t xml:space="preserve">will </w:t>
      </w:r>
      <w:r w:rsidR="00521209" w:rsidRPr="00A72F16">
        <w:t xml:space="preserve">provide greater flexibility </w:t>
      </w:r>
      <w:r w:rsidR="00E7133B" w:rsidRPr="00A72F16">
        <w:t xml:space="preserve">to address </w:t>
      </w:r>
      <w:r w:rsidR="00287BBF" w:rsidRPr="00A72F16">
        <w:t>areas</w:t>
      </w:r>
      <w:r w:rsidR="00274F01" w:rsidRPr="00A72F16">
        <w:t xml:space="preserve"> of </w:t>
      </w:r>
      <w:r w:rsidR="00EE6388" w:rsidRPr="00A72F16">
        <w:t>importan</w:t>
      </w:r>
      <w:r w:rsidR="00E419C8" w:rsidRPr="00A72F16">
        <w:t xml:space="preserve">ce </w:t>
      </w:r>
      <w:r w:rsidR="00EE6388" w:rsidRPr="00A72F16">
        <w:t xml:space="preserve">for Māori and </w:t>
      </w:r>
      <w:r w:rsidR="004415CF" w:rsidRPr="00A72F16">
        <w:t>inequity</w:t>
      </w:r>
      <w:r w:rsidR="00B32315" w:rsidRPr="00A72F16">
        <w:t>.</w:t>
      </w:r>
    </w:p>
    <w:p w14:paraId="2A3A4CE7" w14:textId="25AEE66B" w:rsidR="00371464" w:rsidRPr="00AD3EE6" w:rsidRDefault="0075239F" w:rsidP="00551F01">
      <w:pPr>
        <w:pStyle w:val="Quoteperfreview"/>
      </w:pPr>
      <w:r>
        <w:t>‘</w:t>
      </w:r>
      <w:r w:rsidR="00C33AA9" w:rsidRPr="00AD3EE6">
        <w:t xml:space="preserve">I think the intention is there, but we are still learning how to </w:t>
      </w:r>
      <w:r w:rsidR="00551F01">
        <w:br/>
      </w:r>
      <w:r w:rsidR="00C33AA9" w:rsidRPr="00AD3EE6">
        <w:t>do this truly well.</w:t>
      </w:r>
      <w:r w:rsidR="006A7718" w:rsidRPr="00AD3EE6">
        <w:t xml:space="preserve"> We need to go from good to great</w:t>
      </w:r>
      <w:r w:rsidR="00F65727" w:rsidRPr="00AD3EE6">
        <w:t>.</w:t>
      </w:r>
      <w:r>
        <w:t>’</w:t>
      </w:r>
    </w:p>
    <w:p w14:paraId="40F1B963" w14:textId="5A3F8CD7" w:rsidR="006745B3" w:rsidRPr="00AD3EE6" w:rsidRDefault="007F341E" w:rsidP="00371464">
      <w:pPr>
        <w:pStyle w:val="TeThHauorabodytext"/>
        <w:rPr>
          <w:b/>
          <w:bCs/>
          <w:i/>
          <w:iCs/>
          <w:color w:val="4F81BD" w:themeColor="accent1"/>
        </w:rPr>
      </w:pPr>
      <w:r w:rsidRPr="00AD3EE6">
        <w:t xml:space="preserve">While progress has been made </w:t>
      </w:r>
      <w:r w:rsidR="0075239F">
        <w:t xml:space="preserve">to </w:t>
      </w:r>
      <w:r w:rsidR="006745B3" w:rsidRPr="00AD3EE6">
        <w:t>address</w:t>
      </w:r>
      <w:r w:rsidRPr="00AD3EE6">
        <w:t xml:space="preserve"> equity and honour Te </w:t>
      </w:r>
      <w:proofErr w:type="spellStart"/>
      <w:r w:rsidRPr="00AD3EE6">
        <w:t>Tiriti</w:t>
      </w:r>
      <w:proofErr w:type="spellEnd"/>
      <w:r w:rsidRPr="00AD3EE6">
        <w:t xml:space="preserve"> o Waitangi, </w:t>
      </w:r>
      <w:r w:rsidR="00F4628B" w:rsidRPr="00AD3EE6">
        <w:t>focus is required</w:t>
      </w:r>
      <w:r w:rsidRPr="00AD3EE6">
        <w:t xml:space="preserve"> </w:t>
      </w:r>
      <w:r w:rsidR="0075239F">
        <w:t xml:space="preserve">to </w:t>
      </w:r>
      <w:r w:rsidRPr="00AD3EE6">
        <w:t>translat</w:t>
      </w:r>
      <w:r w:rsidR="0075239F">
        <w:t>e</w:t>
      </w:r>
      <w:r w:rsidRPr="00AD3EE6">
        <w:t xml:space="preserve"> </w:t>
      </w:r>
      <w:r w:rsidR="00173BDF">
        <w:t xml:space="preserve">its </w:t>
      </w:r>
      <w:r w:rsidR="0075239F">
        <w:t xml:space="preserve">principles </w:t>
      </w:r>
      <w:r w:rsidRPr="00AD3EE6">
        <w:t xml:space="preserve">into </w:t>
      </w:r>
      <w:r w:rsidR="00FA34B4" w:rsidRPr="00AD3EE6">
        <w:t xml:space="preserve">tangible actions and </w:t>
      </w:r>
      <w:r w:rsidRPr="00AD3EE6">
        <w:t>measures</w:t>
      </w:r>
      <w:r w:rsidR="0075239F">
        <w:t>,</w:t>
      </w:r>
      <w:r w:rsidRPr="00AD3EE6">
        <w:t xml:space="preserve"> </w:t>
      </w:r>
      <w:r w:rsidR="00173BDF">
        <w:t xml:space="preserve">to </w:t>
      </w:r>
      <w:r w:rsidRPr="00AD3EE6">
        <w:t>engag</w:t>
      </w:r>
      <w:r w:rsidR="0075239F">
        <w:t>e</w:t>
      </w:r>
      <w:r w:rsidRPr="00AD3EE6">
        <w:t xml:space="preserve"> with Māori organisations to fulfil Te </w:t>
      </w:r>
      <w:proofErr w:type="spellStart"/>
      <w:r w:rsidRPr="00AD3EE6">
        <w:t>Tiriti</w:t>
      </w:r>
      <w:proofErr w:type="spellEnd"/>
      <w:r w:rsidRPr="00AD3EE6">
        <w:t xml:space="preserve"> </w:t>
      </w:r>
      <w:r w:rsidR="00105420" w:rsidRPr="00AD3EE6">
        <w:t xml:space="preserve">o Waitangi </w:t>
      </w:r>
      <w:r w:rsidRPr="00AD3EE6">
        <w:t xml:space="preserve">obligations and </w:t>
      </w:r>
      <w:r w:rsidR="00173BDF">
        <w:t xml:space="preserve">to </w:t>
      </w:r>
      <w:r w:rsidRPr="00AD3EE6">
        <w:t>enhance outcomes for Māori.</w:t>
      </w:r>
      <w:r w:rsidR="006745B3" w:rsidRPr="00AD3EE6">
        <w:t xml:space="preserve"> There is a clear focus on equity in reporting, with room for improvement for all areas of the health sector. </w:t>
      </w:r>
    </w:p>
    <w:p w14:paraId="4927018F" w14:textId="27346537" w:rsidR="007F341E" w:rsidRPr="00AD3EE6" w:rsidRDefault="007F341E" w:rsidP="00824FF4">
      <w:r w:rsidRPr="00AD3EE6">
        <w:t xml:space="preserve">To establish an authentic partnership under Te </w:t>
      </w:r>
      <w:proofErr w:type="spellStart"/>
      <w:r w:rsidRPr="00AD3EE6">
        <w:t>Tiriti</w:t>
      </w:r>
      <w:proofErr w:type="spellEnd"/>
      <w:r w:rsidRPr="00AD3EE6">
        <w:t xml:space="preserve"> o Waitangi, Te </w:t>
      </w:r>
      <w:proofErr w:type="spellStart"/>
      <w:r w:rsidRPr="00AD3EE6">
        <w:t>Tāhū</w:t>
      </w:r>
      <w:proofErr w:type="spellEnd"/>
      <w:r w:rsidRPr="00AD3EE6">
        <w:t xml:space="preserve"> Hauora should prioritise integrating Te </w:t>
      </w:r>
      <w:proofErr w:type="spellStart"/>
      <w:r w:rsidRPr="00AD3EE6">
        <w:t>Tiriti</w:t>
      </w:r>
      <w:proofErr w:type="spellEnd"/>
      <w:r w:rsidRPr="00AD3EE6">
        <w:t xml:space="preserve"> o Waitangi across all its </w:t>
      </w:r>
      <w:r w:rsidR="0014373E" w:rsidRPr="00AD3EE6">
        <w:t>endeavours</w:t>
      </w:r>
      <w:r w:rsidRPr="00AD3EE6">
        <w:t xml:space="preserve">, with equity at the core. This </w:t>
      </w:r>
      <w:r w:rsidR="00C22223" w:rsidRPr="00AD3EE6">
        <w:t xml:space="preserve">requires </w:t>
      </w:r>
      <w:r w:rsidR="002C433B" w:rsidRPr="00AD3EE6">
        <w:t>clear</w:t>
      </w:r>
      <w:r w:rsidRPr="00AD3EE6">
        <w:t xml:space="preserve"> priorit</w:t>
      </w:r>
      <w:r w:rsidR="005A73B7" w:rsidRPr="00AD3EE6">
        <w:t>isation and</w:t>
      </w:r>
      <w:r w:rsidRPr="00AD3EE6">
        <w:t xml:space="preserve"> action over rhetoric and translating initiatives into tangible results to advance Māori outcomes. Internally, Te </w:t>
      </w:r>
      <w:proofErr w:type="spellStart"/>
      <w:r w:rsidRPr="00AD3EE6">
        <w:t>Tāhū</w:t>
      </w:r>
      <w:proofErr w:type="spellEnd"/>
      <w:r w:rsidRPr="00AD3EE6">
        <w:t xml:space="preserve"> Hauora should </w:t>
      </w:r>
      <w:r w:rsidR="002944AF" w:rsidRPr="00AD3EE6">
        <w:t xml:space="preserve">reinforce </w:t>
      </w:r>
      <w:r w:rsidR="00173BDF">
        <w:t>its</w:t>
      </w:r>
      <w:r w:rsidR="00173BDF" w:rsidRPr="00AD3EE6">
        <w:t xml:space="preserve"> </w:t>
      </w:r>
      <w:r w:rsidR="00403834" w:rsidRPr="00AD3EE6">
        <w:t xml:space="preserve">strategic </w:t>
      </w:r>
      <w:r w:rsidRPr="00AD3EE6">
        <w:t xml:space="preserve">leadership capability </w:t>
      </w:r>
      <w:r w:rsidR="0016511E" w:rsidRPr="00AD3EE6">
        <w:t>to</w:t>
      </w:r>
      <w:r w:rsidRPr="00AD3EE6">
        <w:t xml:space="preserve"> forge partnerships with Māori providers while supporting the development of </w:t>
      </w:r>
      <w:r w:rsidR="0016511E" w:rsidRPr="00AD3EE6">
        <w:t>Māori strategic</w:t>
      </w:r>
      <w:r w:rsidRPr="00AD3EE6">
        <w:t xml:space="preserve"> leadership. By championing </w:t>
      </w:r>
      <w:r w:rsidR="00B46AE1" w:rsidRPr="00AD3EE6">
        <w:t xml:space="preserve">and supporting </w:t>
      </w:r>
      <w:r w:rsidRPr="00AD3EE6">
        <w:t xml:space="preserve">the work of Māori providers, Te </w:t>
      </w:r>
      <w:proofErr w:type="spellStart"/>
      <w:r w:rsidRPr="00AD3EE6">
        <w:t>Tāhū</w:t>
      </w:r>
      <w:proofErr w:type="spellEnd"/>
      <w:r w:rsidRPr="00AD3EE6">
        <w:t xml:space="preserve"> Hauora can ensure that Māori voices and perspectives are included in decision-making processes and </w:t>
      </w:r>
      <w:r w:rsidR="00173BDF">
        <w:t xml:space="preserve">that </w:t>
      </w:r>
      <w:r w:rsidRPr="00AD3EE6">
        <w:t xml:space="preserve">their contributions are </w:t>
      </w:r>
      <w:r w:rsidR="00C8592A" w:rsidRPr="00AD3EE6">
        <w:t>recognised and valued</w:t>
      </w:r>
      <w:r w:rsidRPr="00AD3EE6">
        <w:t>.</w:t>
      </w:r>
    </w:p>
    <w:p w14:paraId="7B234860" w14:textId="201BC4ED" w:rsidR="00AA510A" w:rsidRPr="00AD3EE6" w:rsidRDefault="00373B4E" w:rsidP="00373B4E">
      <w:pPr>
        <w:spacing w:after="360"/>
      </w:pPr>
      <w:r>
        <w:rPr>
          <w:noProof/>
        </w:rPr>
        <mc:AlternateContent>
          <mc:Choice Requires="wps">
            <w:drawing>
              <wp:anchor distT="0" distB="0" distL="114300" distR="114300" simplePos="0" relativeHeight="251666433" behindDoc="1" locked="0" layoutInCell="1" allowOverlap="1" wp14:anchorId="0F8FE469" wp14:editId="645E78AF">
                <wp:simplePos x="0" y="0"/>
                <wp:positionH relativeFrom="margin">
                  <wp:align>left</wp:align>
                </wp:positionH>
                <wp:positionV relativeFrom="paragraph">
                  <wp:posOffset>636759</wp:posOffset>
                </wp:positionV>
                <wp:extent cx="5712106" cy="486137"/>
                <wp:effectExtent l="0" t="0" r="3175" b="9525"/>
                <wp:wrapNone/>
                <wp:docPr id="6" name="Rectangle: Rounded Corners 6"/>
                <wp:cNvGraphicFramePr/>
                <a:graphic xmlns:a="http://schemas.openxmlformats.org/drawingml/2006/main">
                  <a:graphicData uri="http://schemas.microsoft.com/office/word/2010/wordprocessingShape">
                    <wps:wsp>
                      <wps:cNvSpPr/>
                      <wps:spPr>
                        <a:xfrm>
                          <a:off x="0" y="0"/>
                          <a:ext cx="5712106" cy="486137"/>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1EE9332B" id="Rectangle: Rounded Corners 6" o:spid="_x0000_s1026" style="position:absolute;margin-left:0;margin-top:50.15pt;width:449.75pt;height:38.3pt;z-index:-25165004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hakwIAAIUFAAAOAAAAZHJzL2Uyb0RvYy54bWysVEtv2zAMvg/YfxB0X/1Y0qZBnSJo0WFA&#10;0RZth54VWYoNyKImKa/9+lGS7bRdscOwHBRKJD+Sn0leXO47RbbCuhZ0RYuTnBKhOdStXlf0x/PN&#10;lxklzjNdMwVaVPQgHL1cfP50sTNzUUIDqhaWIIh2852paOO9mWeZ443omDsBIzQqJdiOebzadVZb&#10;tkP0TmVlnp9mO7C1scCFc/h6nZR0EfGlFNzfS+mEJ6qimJuPp43nKpzZ4oLN15aZpuV9GuwfsuhY&#10;qzHoCHXNPCMb2/4B1bXcggPpTzh0GUjZchFrwGqK/F01Tw0zItaC5Dgz0uT+Hyy/2z6ZB4s07Iyb&#10;OxRDFXtpu/CP+ZF9JOswkiX2nnB8nJ4VZZGfUsJRN5mdFl/PApvZ0dtY578J6EgQKmpho+tH/CKR&#10;KLa9dT7ZD3YhogPV1jetUvFi16srZcmW4dc7zyflrEi+yjQsvZbT/HzWx3XJPObwBkfpgKYh4KaQ&#10;4SU7Vhwlf1Ai2Cn9KCRpa6yxjOFiM4oxEca50D5l4hpWi5TJNMffkElo3+ARc4mAAVli/BG7Bxgs&#10;E8iAnbLs7YOriL08Oud/Syw5jx4xMmg/OnetBvsRgMKq+sjJfiApURNYWkF9eLDEQpokZ/hNi1/3&#10;ljn/wCyODg4ZrgN/j4dUsKso9BIlDdhfH70He+xo1FKyw1GsqPu5YVZQor5r7PXzYjIJsxsvk+lZ&#10;iRf7WrN6rdGb7gqwXwpcPIZHMdh7NYjSQveCW2MZoqKKaY6xK8q9HS5XPq0I3DtcLJfRDOfVMH+r&#10;nwwP4IHV0LjP+xdmTd/iHofjDoaxZfN3TZ5sg6eG5caDbOMEHHnt+cZZj43T76WwTF7fo9Vxey5+&#10;AwAA//8DAFBLAwQUAAYACAAAACEA8u8NrdwAAAAIAQAADwAAAGRycy9kb3ducmV2LnhtbEyPzU7D&#10;MBCE70i8g7VI3KhdKkoT4lSIAGcaqCpubrzEUf0TxW4S3p7lBMedGc1+U2xnZ9mIQ+yCl7BcCGDo&#10;m6A730r4eH+52QCLSXmtbPAo4RsjbMvLi0LlOkx+h2OdWkYlPuZKgkmpzzmPjUGn4iL06Mn7CoNT&#10;ic6h5XpQE5U7y2+FWHOnOk8fjOrxyWBzqs9OQs2r5/FUva4+sd+/VZOxh6pdSnl9NT8+AEs4p78w&#10;/OITOpTEdAxnryOzEmhIIlWIFTCyN1l2B+xIyv06A14W/P+A8gcAAP//AwBQSwECLQAUAAYACAAA&#10;ACEAtoM4kv4AAADhAQAAEwAAAAAAAAAAAAAAAAAAAAAAW0NvbnRlbnRfVHlwZXNdLnhtbFBLAQIt&#10;ABQABgAIAAAAIQA4/SH/1gAAAJQBAAALAAAAAAAAAAAAAAAAAC8BAABfcmVscy8ucmVsc1BLAQIt&#10;ABQABgAIAAAAIQDzo2hakwIAAIUFAAAOAAAAAAAAAAAAAAAAAC4CAABkcnMvZTJvRG9jLnhtbFBL&#10;AQItABQABgAIAAAAIQDy7w2t3AAAAAgBAAAPAAAAAAAAAAAAAAAAAO0EAABkcnMvZG93bnJldi54&#10;bWxQSwUGAAAAAAQABADzAAAA9gUAAAAA&#10;" fillcolor="#904281" stroked="f" strokeweight="2pt">
                <v:fill opacity="16448f"/>
                <w10:wrap anchorx="margin"/>
              </v:roundrect>
            </w:pict>
          </mc:Fallback>
        </mc:AlternateContent>
      </w:r>
      <w:r w:rsidR="00AA510A" w:rsidRPr="00AD3EE6">
        <w:t xml:space="preserve">Overall, </w:t>
      </w:r>
      <w:r w:rsidR="00BA310D" w:rsidRPr="00AD3EE6">
        <w:t xml:space="preserve">Te </w:t>
      </w:r>
      <w:proofErr w:type="spellStart"/>
      <w:r w:rsidR="00BA310D" w:rsidRPr="00AD3EE6">
        <w:t>Tāhū</w:t>
      </w:r>
      <w:proofErr w:type="spellEnd"/>
      <w:r w:rsidR="00BA310D" w:rsidRPr="00AD3EE6">
        <w:t xml:space="preserve"> Hauora</w:t>
      </w:r>
      <w:r w:rsidR="00AA510A" w:rsidRPr="00AD3EE6">
        <w:t xml:space="preserve"> must continue to work towards greater equity and partnership under Te </w:t>
      </w:r>
      <w:proofErr w:type="spellStart"/>
      <w:r w:rsidR="00AA510A" w:rsidRPr="00AD3EE6">
        <w:t>Tiriti</w:t>
      </w:r>
      <w:proofErr w:type="spellEnd"/>
      <w:r w:rsidR="00AA510A" w:rsidRPr="00AD3EE6">
        <w:t xml:space="preserve"> o Waitangi in all aspects of its work to ensure that it is truly </w:t>
      </w:r>
      <w:r w:rsidR="00C8592A" w:rsidRPr="00AD3EE6">
        <w:t xml:space="preserve">prioritising and </w:t>
      </w:r>
      <w:r w:rsidR="00AA510A" w:rsidRPr="00AD3EE6">
        <w:t>promoting equity for all.</w:t>
      </w:r>
    </w:p>
    <w:p w14:paraId="5131BF1A" w14:textId="36AA3496" w:rsidR="00FC29C4" w:rsidRPr="00AD3EE6" w:rsidRDefault="00173BDF" w:rsidP="00373B4E">
      <w:pPr>
        <w:pStyle w:val="Quoteperfreview"/>
      </w:pPr>
      <w:r>
        <w:t>‘</w:t>
      </w:r>
      <w:r w:rsidR="00FC29C4" w:rsidRPr="00AD3EE6">
        <w:t>If you get your partnerships right, then you will get far better quality.</w:t>
      </w:r>
      <w:r>
        <w:t>’</w:t>
      </w:r>
    </w:p>
    <w:p w14:paraId="1A858049" w14:textId="77777777" w:rsidR="00373B4E" w:rsidRDefault="00373B4E">
      <w:pPr>
        <w:spacing w:after="200"/>
        <w:rPr>
          <w:rFonts w:eastAsiaTheme="majorEastAsia" w:cs="Arial"/>
          <w:b/>
          <w:i/>
          <w:color w:val="293868"/>
          <w:sz w:val="28"/>
          <w:szCs w:val="26"/>
        </w:rPr>
      </w:pPr>
      <w:r>
        <w:br w:type="page"/>
      </w:r>
    </w:p>
    <w:p w14:paraId="066693EC" w14:textId="5F6400F4" w:rsidR="00E73F60" w:rsidRPr="00AD3EE6" w:rsidRDefault="004F389B" w:rsidP="00355BD9">
      <w:pPr>
        <w:pStyle w:val="TeThHauorahead2"/>
      </w:pPr>
      <w:bookmarkStart w:id="13" w:name="_Toc137717497"/>
      <w:r w:rsidRPr="00AD3EE6">
        <w:lastRenderedPageBreak/>
        <w:t>D</w:t>
      </w:r>
      <w:r w:rsidR="00E73F60" w:rsidRPr="00AD3EE6">
        <w:t>ata and intelligence capacity and capability is a key strength and pivotal for the health sector</w:t>
      </w:r>
      <w:bookmarkEnd w:id="13"/>
    </w:p>
    <w:p w14:paraId="28051ADE" w14:textId="5649F941" w:rsidR="00B036B3" w:rsidRPr="00AD3EE6" w:rsidRDefault="005655F4" w:rsidP="00705454">
      <w:r w:rsidRPr="00AD3EE6">
        <w:t xml:space="preserve">The health quality intelligence function within Te </w:t>
      </w:r>
      <w:proofErr w:type="spellStart"/>
      <w:r w:rsidRPr="00AD3EE6">
        <w:t>Tāhū</w:t>
      </w:r>
      <w:proofErr w:type="spellEnd"/>
      <w:r w:rsidRPr="00AD3EE6">
        <w:t xml:space="preserve"> Hauora is a </w:t>
      </w:r>
      <w:r w:rsidR="001371C9" w:rsidRPr="00AD3EE6">
        <w:t>widely recognised</w:t>
      </w:r>
      <w:r w:rsidRPr="00AD3EE6">
        <w:t xml:space="preserve"> strength</w:t>
      </w:r>
      <w:r w:rsidR="00D14C1A">
        <w:t>. Its</w:t>
      </w:r>
      <w:r w:rsidR="007A3854" w:rsidRPr="00AD3EE6">
        <w:t xml:space="preserve"> </w:t>
      </w:r>
      <w:r w:rsidR="001371C9" w:rsidRPr="00AD3EE6">
        <w:t xml:space="preserve">outstanding analytics capability and capacity </w:t>
      </w:r>
      <w:r w:rsidR="00AA4416" w:rsidRPr="00AD3EE6">
        <w:t>enabl</w:t>
      </w:r>
      <w:r w:rsidR="00D14C1A">
        <w:t>es</w:t>
      </w:r>
      <w:r w:rsidR="001371C9" w:rsidRPr="00AD3EE6">
        <w:t xml:space="preserve"> comprehensive data analysis</w:t>
      </w:r>
      <w:r w:rsidR="006D6BF2" w:rsidRPr="00AD3EE6">
        <w:t xml:space="preserve"> across a </w:t>
      </w:r>
      <w:r w:rsidR="008421AD" w:rsidRPr="00AD3EE6">
        <w:t xml:space="preserve">wide </w:t>
      </w:r>
      <w:r w:rsidR="00A446BC" w:rsidRPr="00AD3EE6">
        <w:t>spectrum</w:t>
      </w:r>
      <w:r w:rsidR="008421AD" w:rsidRPr="00AD3EE6">
        <w:t xml:space="preserve"> of </w:t>
      </w:r>
      <w:r w:rsidR="00314460" w:rsidRPr="00AD3EE6">
        <w:t>issu</w:t>
      </w:r>
      <w:r w:rsidR="00276E69" w:rsidRPr="00AD3EE6">
        <w:t>es</w:t>
      </w:r>
      <w:r w:rsidRPr="00AD3EE6">
        <w:t xml:space="preserve">. </w:t>
      </w:r>
      <w:r w:rsidR="001371C9" w:rsidRPr="00AD3EE6">
        <w:t>It</w:t>
      </w:r>
      <w:r w:rsidR="00705454" w:rsidRPr="00AD3EE6">
        <w:t xml:space="preserve"> performs a crucial role in this regard, serving as a central hub for analysing, reporting on</w:t>
      </w:r>
      <w:r w:rsidR="00B951B2">
        <w:t xml:space="preserve"> and</w:t>
      </w:r>
      <w:r w:rsidR="00705454" w:rsidRPr="00AD3EE6">
        <w:t xml:space="preserve"> monitoring key quality </w:t>
      </w:r>
      <w:r w:rsidR="00511661">
        <w:t xml:space="preserve">and safety </w:t>
      </w:r>
      <w:r w:rsidR="00705454" w:rsidRPr="00AD3EE6">
        <w:t xml:space="preserve">indicators </w:t>
      </w:r>
      <w:r w:rsidR="00511661">
        <w:t xml:space="preserve">(or markers) </w:t>
      </w:r>
      <w:r w:rsidR="00705454" w:rsidRPr="00AD3EE6">
        <w:t xml:space="preserve">related to health quality, </w:t>
      </w:r>
      <w:proofErr w:type="gramStart"/>
      <w:r w:rsidR="00705454" w:rsidRPr="00AD3EE6">
        <w:t>safety</w:t>
      </w:r>
      <w:proofErr w:type="gramEnd"/>
      <w:r w:rsidR="00B951B2">
        <w:t xml:space="preserve"> and</w:t>
      </w:r>
      <w:r w:rsidR="00705454" w:rsidRPr="00AD3EE6">
        <w:t xml:space="preserve"> improvement over time. </w:t>
      </w:r>
    </w:p>
    <w:p w14:paraId="0678E03C" w14:textId="34E5A94E" w:rsidR="003A69F1" w:rsidRPr="008C6200" w:rsidRDefault="00BE28F1" w:rsidP="00D618BB">
      <w:r w:rsidRPr="008C6200">
        <w:t xml:space="preserve">Several stakeholders highlighted the impactful </w:t>
      </w:r>
      <w:r w:rsidR="0030218A" w:rsidRPr="008C6200">
        <w:t>public-facing infographic</w:t>
      </w:r>
      <w:r w:rsidR="00FC5F2B" w:rsidRPr="008C6200">
        <w:t>s</w:t>
      </w:r>
      <w:r w:rsidR="0030218A" w:rsidRPr="008C6200">
        <w:t xml:space="preserve"> and sector-facing tools, including Window reports</w:t>
      </w:r>
      <w:r w:rsidR="00D14C1A">
        <w:t>,</w:t>
      </w:r>
      <w:r w:rsidR="00637EAE" w:rsidRPr="008C6200">
        <w:rPr>
          <w:rStyle w:val="FootnoteReference"/>
          <w:sz w:val="22"/>
        </w:rPr>
        <w:footnoteReference w:id="14"/>
      </w:r>
      <w:r w:rsidR="0030218A" w:rsidRPr="008C6200">
        <w:t xml:space="preserve"> Atlas </w:t>
      </w:r>
      <w:r w:rsidR="00FB7679" w:rsidRPr="008C6200">
        <w:t>of</w:t>
      </w:r>
      <w:r w:rsidR="0030218A" w:rsidRPr="008C6200">
        <w:t xml:space="preserve"> </w:t>
      </w:r>
      <w:r w:rsidR="007D480A">
        <w:t xml:space="preserve">Healthcare </w:t>
      </w:r>
      <w:r w:rsidR="0030218A" w:rsidRPr="008C6200">
        <w:t>Variation</w:t>
      </w:r>
      <w:r w:rsidR="000F082E" w:rsidRPr="008C6200">
        <w:t>,</w:t>
      </w:r>
      <w:r w:rsidR="00C3772F" w:rsidRPr="008C6200">
        <w:rPr>
          <w:rStyle w:val="FootnoteReference"/>
          <w:sz w:val="22"/>
        </w:rPr>
        <w:footnoteReference w:id="15"/>
      </w:r>
      <w:r w:rsidR="0030218A" w:rsidRPr="008C6200">
        <w:t xml:space="preserve"> medication review</w:t>
      </w:r>
      <w:r w:rsidR="003257E9" w:rsidRPr="008C6200">
        <w:rPr>
          <w:rStyle w:val="FootnoteReference"/>
          <w:sz w:val="22"/>
        </w:rPr>
        <w:footnoteReference w:id="16"/>
      </w:r>
      <w:r w:rsidR="00B951B2" w:rsidRPr="008C6200">
        <w:t xml:space="preserve"> and</w:t>
      </w:r>
      <w:r w:rsidR="00F4390C" w:rsidRPr="008C6200">
        <w:t xml:space="preserve"> </w:t>
      </w:r>
      <w:r w:rsidR="00AF36B7" w:rsidRPr="008C6200">
        <w:t xml:space="preserve">the extensive </w:t>
      </w:r>
      <w:r w:rsidR="00D14C1A">
        <w:t>p</w:t>
      </w:r>
      <w:r w:rsidR="0030218A" w:rsidRPr="008C6200">
        <w:t xml:space="preserve">atient </w:t>
      </w:r>
      <w:r w:rsidR="00D14C1A">
        <w:t>e</w:t>
      </w:r>
      <w:r w:rsidR="0030218A" w:rsidRPr="008C6200">
        <w:t xml:space="preserve">xperience </w:t>
      </w:r>
      <w:r w:rsidR="00D14C1A">
        <w:t>s</w:t>
      </w:r>
      <w:r w:rsidR="0030218A" w:rsidRPr="008C6200">
        <w:t>urvey</w:t>
      </w:r>
      <w:r w:rsidR="00AE3926" w:rsidRPr="008C6200">
        <w:t>s</w:t>
      </w:r>
      <w:r w:rsidR="000F082E" w:rsidRPr="008C6200">
        <w:t>.</w:t>
      </w:r>
      <w:r w:rsidR="00CE709E" w:rsidRPr="008C6200">
        <w:rPr>
          <w:rStyle w:val="FootnoteReference"/>
          <w:sz w:val="22"/>
        </w:rPr>
        <w:footnoteReference w:id="17"/>
      </w:r>
      <w:r w:rsidR="00AF0C61" w:rsidRPr="008C6200">
        <w:t xml:space="preserve"> </w:t>
      </w:r>
      <w:r w:rsidR="00536830" w:rsidRPr="008C6200">
        <w:t xml:space="preserve">Te </w:t>
      </w:r>
      <w:proofErr w:type="spellStart"/>
      <w:r w:rsidR="00536830" w:rsidRPr="008C6200">
        <w:t>Tāhū</w:t>
      </w:r>
      <w:proofErr w:type="spellEnd"/>
      <w:r w:rsidR="00536830" w:rsidRPr="008C6200">
        <w:t xml:space="preserve"> Hauora produced </w:t>
      </w:r>
      <w:r w:rsidR="006E613C" w:rsidRPr="008C6200">
        <w:t xml:space="preserve">valuable </w:t>
      </w:r>
      <w:r w:rsidR="00536830" w:rsidRPr="008C6200">
        <w:t>case studies</w:t>
      </w:r>
      <w:r w:rsidR="004831AF" w:rsidRPr="008C6200">
        <w:t xml:space="preserve">, such as the </w:t>
      </w:r>
      <w:r w:rsidR="00D618BB" w:rsidRPr="00D14C1A">
        <w:rPr>
          <w:i/>
          <w:iCs/>
        </w:rPr>
        <w:t>COVID-19 care in the community system learning opportunities</w:t>
      </w:r>
      <w:r w:rsidR="007D3DD5" w:rsidRPr="008C6200">
        <w:t xml:space="preserve"> report</w:t>
      </w:r>
      <w:r w:rsidR="00D14C1A">
        <w:t>,</w:t>
      </w:r>
      <w:r w:rsidR="007D3DD5" w:rsidRPr="008C6200">
        <w:rPr>
          <w:rStyle w:val="FootnoteReference"/>
          <w:sz w:val="22"/>
        </w:rPr>
        <w:footnoteReference w:id="18"/>
      </w:r>
      <w:r w:rsidR="00536830" w:rsidRPr="008C6200">
        <w:t xml:space="preserve"> </w:t>
      </w:r>
      <w:r w:rsidR="00D14C1A">
        <w:t xml:space="preserve">which </w:t>
      </w:r>
      <w:r w:rsidR="00536830" w:rsidRPr="008C6200">
        <w:t>highlight</w:t>
      </w:r>
      <w:r w:rsidR="006E613C" w:rsidRPr="008C6200">
        <w:t>ed</w:t>
      </w:r>
      <w:r w:rsidR="00536830" w:rsidRPr="008C6200">
        <w:t xml:space="preserve"> the exceptional efforts of </w:t>
      </w:r>
      <w:r w:rsidR="00985035" w:rsidRPr="008C6200">
        <w:t>the workforce and</w:t>
      </w:r>
      <w:r w:rsidR="00536830" w:rsidRPr="008C6200">
        <w:t xml:space="preserve"> communities as </w:t>
      </w:r>
      <w:r w:rsidR="00033AE5" w:rsidRPr="008C6200">
        <w:t>they rallied together in response to the challenges posed by the pandemic</w:t>
      </w:r>
      <w:r w:rsidR="00D14C1A">
        <w:t>.</w:t>
      </w:r>
      <w:r w:rsidR="00061359" w:rsidRPr="008C6200">
        <w:t xml:space="preserve"> </w:t>
      </w:r>
      <w:r w:rsidR="00D14C1A">
        <w:t xml:space="preserve">It </w:t>
      </w:r>
      <w:r w:rsidR="00061359" w:rsidRPr="008C6200">
        <w:t xml:space="preserve">has </w:t>
      </w:r>
      <w:r w:rsidR="00D14C1A">
        <w:t xml:space="preserve">also </w:t>
      </w:r>
      <w:r w:rsidR="00061359" w:rsidRPr="008C6200">
        <w:t xml:space="preserve">developed </w:t>
      </w:r>
      <w:r w:rsidR="00F66B1C" w:rsidRPr="008C6200">
        <w:t>particular</w:t>
      </w:r>
      <w:r w:rsidR="006745B3" w:rsidRPr="008C6200">
        <w:t>ly helpful</w:t>
      </w:r>
      <w:r w:rsidR="00061359" w:rsidRPr="008C6200">
        <w:t xml:space="preserve"> </w:t>
      </w:r>
      <w:r w:rsidR="006745B3" w:rsidRPr="008C6200">
        <w:t xml:space="preserve">mental health </w:t>
      </w:r>
      <w:r w:rsidR="00061359" w:rsidRPr="008C6200">
        <w:t xml:space="preserve">data tools </w:t>
      </w:r>
      <w:r w:rsidR="00D14C1A">
        <w:t xml:space="preserve">that make data </w:t>
      </w:r>
      <w:r w:rsidR="00F66B1C" w:rsidRPr="008C6200">
        <w:t xml:space="preserve">accessible and </w:t>
      </w:r>
      <w:r w:rsidR="00D14C1A">
        <w:t xml:space="preserve">enable </w:t>
      </w:r>
      <w:r w:rsidR="00F66B1C" w:rsidRPr="008C6200">
        <w:t>comparisons across the country.</w:t>
      </w:r>
    </w:p>
    <w:p w14:paraId="28C3FF33" w14:textId="36734D28" w:rsidR="003A5645" w:rsidRPr="00AD3EE6" w:rsidRDefault="003A5645" w:rsidP="003A5645">
      <w:r w:rsidRPr="00AD3EE6">
        <w:t xml:space="preserve">We </w:t>
      </w:r>
      <w:r w:rsidR="00D14C1A">
        <w:t>were</w:t>
      </w:r>
      <w:r w:rsidR="00D14C1A" w:rsidRPr="00AD3EE6">
        <w:t xml:space="preserve"> </w:t>
      </w:r>
      <w:r w:rsidR="00A518B7" w:rsidRPr="00AD3EE6">
        <w:t xml:space="preserve">told that Te </w:t>
      </w:r>
      <w:proofErr w:type="spellStart"/>
      <w:r w:rsidR="00A518B7" w:rsidRPr="00AD3EE6">
        <w:t>Tāhū</w:t>
      </w:r>
      <w:proofErr w:type="spellEnd"/>
      <w:r w:rsidR="00A518B7" w:rsidRPr="00AD3EE6">
        <w:t xml:space="preserve"> Hauora has</w:t>
      </w:r>
      <w:r w:rsidRPr="00AD3EE6">
        <w:t xml:space="preserve"> made significant advancements within </w:t>
      </w:r>
      <w:r w:rsidR="007D480A">
        <w:t xml:space="preserve">its </w:t>
      </w:r>
      <w:r w:rsidRPr="00AD3EE6">
        <w:t>capability</w:t>
      </w:r>
      <w:r w:rsidR="00D14C1A">
        <w:t>,</w:t>
      </w:r>
      <w:r w:rsidRPr="00AD3EE6">
        <w:t xml:space="preserve"> </w:t>
      </w:r>
      <w:r w:rsidR="00D14C1A">
        <w:t xml:space="preserve">developing </w:t>
      </w:r>
      <w:r w:rsidRPr="00AD3EE6">
        <w:t xml:space="preserve">tools that the health sector and consumers find useful, including interactive toolsets that pull together experience and data. </w:t>
      </w:r>
      <w:r w:rsidR="007D480A">
        <w:t xml:space="preserve">It is </w:t>
      </w:r>
      <w:r w:rsidRPr="00AD3EE6">
        <w:t>actively working on a plan to further enhance these resources and their visibility.</w:t>
      </w:r>
    </w:p>
    <w:p w14:paraId="3106CF86" w14:textId="17693B57" w:rsidR="003D6C3C" w:rsidRPr="00AD3EE6" w:rsidRDefault="00C54644" w:rsidP="003D6C3C">
      <w:r w:rsidRPr="00AD3EE6">
        <w:t>Of note is the consumer engagement quality and safety marker</w:t>
      </w:r>
      <w:r w:rsidR="00D14C1A">
        <w:t>,</w:t>
      </w:r>
      <w:r w:rsidRPr="00AD3EE6">
        <w:t xml:space="preserve"> which seeks to answer the question, ‘What does successful consumer and whānau engagement look like, and (how) does it improve the quality and safety of services?’ This is </w:t>
      </w:r>
      <w:r w:rsidR="008628FE" w:rsidRPr="00AD3EE6">
        <w:t>world leading</w:t>
      </w:r>
      <w:r w:rsidRPr="00AD3EE6">
        <w:t xml:space="preserve"> and </w:t>
      </w:r>
      <w:r w:rsidR="00FB1A35" w:rsidRPr="00AD3EE6">
        <w:t xml:space="preserve">helps to support </w:t>
      </w:r>
      <w:r w:rsidR="00D14C1A">
        <w:t xml:space="preserve">the engagement of </w:t>
      </w:r>
      <w:r w:rsidR="00FB1A35" w:rsidRPr="00AD3EE6">
        <w:t xml:space="preserve">consumers </w:t>
      </w:r>
      <w:r w:rsidR="008628FE" w:rsidRPr="00AD3EE6">
        <w:t xml:space="preserve">and whānau </w:t>
      </w:r>
      <w:r w:rsidR="00FB1A35" w:rsidRPr="00AD3EE6">
        <w:t>at every level.</w:t>
      </w:r>
    </w:p>
    <w:p w14:paraId="79E832D7" w14:textId="0063C7DC" w:rsidR="005347E1" w:rsidRPr="00AD3EE6" w:rsidRDefault="00CF2259" w:rsidP="005347E1">
      <w:pPr>
        <w:rPr>
          <w:rFonts w:ascii="Roboto" w:hAnsi="Roboto"/>
        </w:rPr>
      </w:pPr>
      <w:r w:rsidRPr="00AD3EE6">
        <w:t xml:space="preserve">By providing a centralised point of access, Te </w:t>
      </w:r>
      <w:proofErr w:type="spellStart"/>
      <w:r w:rsidRPr="00AD3EE6">
        <w:t>Tāhū</w:t>
      </w:r>
      <w:proofErr w:type="spellEnd"/>
      <w:r w:rsidRPr="00AD3EE6">
        <w:t xml:space="preserve"> Hauora enables the health sector to make data-driven decisions and take proactive steps towards improving health outcomes for all. </w:t>
      </w:r>
      <w:r w:rsidR="00D14C1A">
        <w:t xml:space="preserve">With </w:t>
      </w:r>
      <w:r w:rsidR="00800F48" w:rsidRPr="00AD3EE6">
        <w:t xml:space="preserve">trust and </w:t>
      </w:r>
      <w:r w:rsidR="00D14C1A">
        <w:t xml:space="preserve">its </w:t>
      </w:r>
      <w:r w:rsidR="00800F48" w:rsidRPr="00AD3EE6">
        <w:t>high-quality evidence and data</w:t>
      </w:r>
      <w:r w:rsidR="000E4E83" w:rsidRPr="00AD3EE6">
        <w:t>,</w:t>
      </w:r>
      <w:r w:rsidR="00800F48" w:rsidRPr="00AD3EE6">
        <w:t xml:space="preserve"> Te </w:t>
      </w:r>
      <w:proofErr w:type="spellStart"/>
      <w:r w:rsidR="00800F48" w:rsidRPr="00AD3EE6">
        <w:t>Tāhū</w:t>
      </w:r>
      <w:proofErr w:type="spellEnd"/>
      <w:r w:rsidR="00800F48" w:rsidRPr="00AD3EE6">
        <w:t xml:space="preserve"> Hauora is </w:t>
      </w:r>
      <w:r w:rsidR="0066637B" w:rsidRPr="00AD3EE6">
        <w:t>well</w:t>
      </w:r>
      <w:r w:rsidR="007D480A">
        <w:t xml:space="preserve"> </w:t>
      </w:r>
      <w:r w:rsidR="0066637B" w:rsidRPr="00AD3EE6">
        <w:t>positioned to take a leadership role and have a significant convening power</w:t>
      </w:r>
      <w:r w:rsidR="00800F48" w:rsidRPr="00AD3EE6">
        <w:t xml:space="preserve"> to </w:t>
      </w:r>
      <w:r w:rsidR="009D7B05" w:rsidRPr="00AD3EE6">
        <w:t>driv</w:t>
      </w:r>
      <w:r w:rsidR="00800F48" w:rsidRPr="00AD3EE6">
        <w:t>e</w:t>
      </w:r>
      <w:r w:rsidR="009D7B05" w:rsidRPr="00AD3EE6">
        <w:t xml:space="preserve"> policy change</w:t>
      </w:r>
      <w:r w:rsidR="00800F48" w:rsidRPr="00AD3EE6">
        <w:t>.</w:t>
      </w:r>
      <w:r w:rsidR="005347E1" w:rsidRPr="00AD3EE6">
        <w:rPr>
          <w:rFonts w:ascii="Roboto" w:hAnsi="Roboto"/>
        </w:rPr>
        <w:t xml:space="preserve"> </w:t>
      </w:r>
    </w:p>
    <w:p w14:paraId="7AA081AD" w14:textId="609ABE90" w:rsidR="004927EA" w:rsidRPr="00AD3EE6" w:rsidRDefault="009D766B" w:rsidP="00205A8D">
      <w:pPr>
        <w:rPr>
          <w:rFonts w:ascii="Roboto" w:hAnsi="Roboto"/>
          <w:color w:val="9BBB59" w:themeColor="accent3"/>
        </w:rPr>
      </w:pPr>
      <w:r w:rsidRPr="00AD3EE6">
        <w:t>T</w:t>
      </w:r>
      <w:r w:rsidR="001553AD" w:rsidRPr="00AD3EE6">
        <w:t xml:space="preserve">e </w:t>
      </w:r>
      <w:proofErr w:type="spellStart"/>
      <w:r w:rsidR="001553AD" w:rsidRPr="00AD3EE6">
        <w:t>Tāhū</w:t>
      </w:r>
      <w:proofErr w:type="spellEnd"/>
      <w:r w:rsidR="001553AD" w:rsidRPr="00AD3EE6">
        <w:t xml:space="preserve"> Hauora </w:t>
      </w:r>
      <w:r w:rsidR="00142E45" w:rsidRPr="00AD3EE6">
        <w:t xml:space="preserve">should also </w:t>
      </w:r>
      <w:r w:rsidR="004927EA" w:rsidRPr="00AD3EE6">
        <w:t>shift</w:t>
      </w:r>
      <w:r w:rsidR="001553AD" w:rsidRPr="00AD3EE6">
        <w:t xml:space="preserve"> its intelligence expertise</w:t>
      </w:r>
      <w:r w:rsidR="00711238" w:rsidRPr="00AD3EE6">
        <w:t xml:space="preserve"> from largely hospital settings</w:t>
      </w:r>
      <w:r w:rsidR="001553AD" w:rsidRPr="00AD3EE6">
        <w:t xml:space="preserve"> towards providing support to localities, with a specific focus on enhancing health quality</w:t>
      </w:r>
      <w:r w:rsidR="00511661">
        <w:t xml:space="preserve"> and safety</w:t>
      </w:r>
      <w:r w:rsidR="001553AD" w:rsidRPr="00AD3EE6">
        <w:t xml:space="preserve"> in primary and community care settings</w:t>
      </w:r>
      <w:r w:rsidR="00AB24F0" w:rsidRPr="00AD3EE6">
        <w:t xml:space="preserve"> (including risk</w:t>
      </w:r>
      <w:r w:rsidR="00D14C1A">
        <w:t>s</w:t>
      </w:r>
      <w:r w:rsidR="00AB24F0" w:rsidRPr="00AD3EE6">
        <w:t xml:space="preserve"> in the transition of care </w:t>
      </w:r>
      <w:r w:rsidR="00D14C1A">
        <w:t>from</w:t>
      </w:r>
      <w:r w:rsidR="00AB24F0" w:rsidRPr="00AD3EE6">
        <w:t xml:space="preserve"> hospital to primary care)</w:t>
      </w:r>
      <w:r w:rsidR="00D14C1A">
        <w:t>.</w:t>
      </w:r>
      <w:r w:rsidR="00AB24F0" w:rsidRPr="00AD3EE6">
        <w:t xml:space="preserve"> </w:t>
      </w:r>
      <w:r w:rsidR="00D14C1A">
        <w:t xml:space="preserve">It must also continue </w:t>
      </w:r>
      <w:r w:rsidR="001553AD" w:rsidRPr="00AD3EE6">
        <w:t>to foster partnerships with iwi-Māori partnership boards.</w:t>
      </w:r>
      <w:r w:rsidR="00142E45" w:rsidRPr="00AD3EE6">
        <w:t xml:space="preserve"> </w:t>
      </w:r>
      <w:r w:rsidR="00A57F00" w:rsidRPr="00AD3EE6">
        <w:t xml:space="preserve">Te </w:t>
      </w:r>
      <w:proofErr w:type="spellStart"/>
      <w:r w:rsidR="00A57F00" w:rsidRPr="00AD3EE6">
        <w:t>Tāhū</w:t>
      </w:r>
      <w:proofErr w:type="spellEnd"/>
      <w:r w:rsidR="00A57F00" w:rsidRPr="00AD3EE6">
        <w:t xml:space="preserve"> Hauora must prioritise understanding the specific support and </w:t>
      </w:r>
      <w:r w:rsidR="00A57F00" w:rsidRPr="00AD3EE6">
        <w:lastRenderedPageBreak/>
        <w:t>evidence needed to</w:t>
      </w:r>
      <w:r w:rsidR="001B101E" w:rsidRPr="00AD3EE6">
        <w:t xml:space="preserve"> enable</w:t>
      </w:r>
      <w:r w:rsidR="00142E45" w:rsidRPr="00AD3EE6">
        <w:t xml:space="preserve"> individuals, wh</w:t>
      </w:r>
      <w:r w:rsidR="001B101E" w:rsidRPr="00AD3EE6">
        <w:t>ā</w:t>
      </w:r>
      <w:r w:rsidR="00142E45" w:rsidRPr="00AD3EE6">
        <w:t>nau</w:t>
      </w:r>
      <w:r w:rsidR="00B951B2">
        <w:t xml:space="preserve"> and</w:t>
      </w:r>
      <w:r w:rsidR="001B101E" w:rsidRPr="00AD3EE6">
        <w:t xml:space="preserve"> </w:t>
      </w:r>
      <w:r w:rsidR="00142E45" w:rsidRPr="00AD3EE6">
        <w:t>communit</w:t>
      </w:r>
      <w:r w:rsidR="001B101E" w:rsidRPr="00AD3EE6">
        <w:t>ies</w:t>
      </w:r>
      <w:r w:rsidR="00142E45" w:rsidRPr="00AD3EE6">
        <w:t xml:space="preserve"> </w:t>
      </w:r>
      <w:r w:rsidR="00D14C1A">
        <w:t xml:space="preserve">to </w:t>
      </w:r>
      <w:r w:rsidR="007642AA" w:rsidRPr="00AD3EE6">
        <w:t>have influence over the heal</w:t>
      </w:r>
      <w:r w:rsidR="00142E45" w:rsidRPr="00AD3EE6">
        <w:t xml:space="preserve">th services </w:t>
      </w:r>
      <w:r w:rsidR="001B101E" w:rsidRPr="00AD3EE6">
        <w:t>with</w:t>
      </w:r>
      <w:r w:rsidR="00142E45" w:rsidRPr="00AD3EE6">
        <w:t>in their communities.</w:t>
      </w:r>
      <w:r w:rsidR="00142E45" w:rsidRPr="00AD3EE6">
        <w:rPr>
          <w:rFonts w:ascii="Roboto" w:hAnsi="Roboto"/>
          <w:color w:val="9BBB59" w:themeColor="accent3"/>
        </w:rPr>
        <w:t xml:space="preserve"> </w:t>
      </w:r>
    </w:p>
    <w:p w14:paraId="669D9D74" w14:textId="38599DA0" w:rsidR="0076087F" w:rsidRPr="00AD3EE6" w:rsidRDefault="0076087F" w:rsidP="00355BD9">
      <w:pPr>
        <w:pStyle w:val="TeThHauorahead2"/>
      </w:pPr>
      <w:bookmarkStart w:id="15" w:name="_Toc137717498"/>
      <w:r w:rsidRPr="00AD3EE6">
        <w:t xml:space="preserve">Mortality review </w:t>
      </w:r>
      <w:r w:rsidR="004F389B" w:rsidRPr="00AD3EE6">
        <w:t>continues</w:t>
      </w:r>
      <w:r w:rsidRPr="00AD3EE6">
        <w:t xml:space="preserve"> to provide valuable insights</w:t>
      </w:r>
      <w:bookmarkEnd w:id="15"/>
    </w:p>
    <w:p w14:paraId="524FE98A" w14:textId="27F66A49" w:rsidR="005F702B" w:rsidRPr="00AD3EE6" w:rsidRDefault="005F702B" w:rsidP="005F702B">
      <w:r w:rsidRPr="00AD3EE6">
        <w:t xml:space="preserve">Mortality review holds a crucial role within </w:t>
      </w:r>
      <w:r w:rsidR="00615522" w:rsidRPr="00AD3EE6">
        <w:t xml:space="preserve">the </w:t>
      </w:r>
      <w:r w:rsidRPr="00AD3EE6">
        <w:t>legislative function</w:t>
      </w:r>
      <w:r w:rsidR="002E32E7" w:rsidRPr="00AD3EE6">
        <w:t xml:space="preserve">s of Te </w:t>
      </w:r>
      <w:proofErr w:type="spellStart"/>
      <w:r w:rsidR="002E32E7" w:rsidRPr="00AD3EE6">
        <w:t>Tāhū</w:t>
      </w:r>
      <w:proofErr w:type="spellEnd"/>
      <w:r w:rsidR="002E32E7" w:rsidRPr="00AD3EE6">
        <w:t xml:space="preserve"> Hauora</w:t>
      </w:r>
      <w:r w:rsidR="00D14C1A">
        <w:t>,</w:t>
      </w:r>
      <w:r w:rsidR="00B951B2">
        <w:t xml:space="preserve"> and</w:t>
      </w:r>
      <w:r w:rsidRPr="00AD3EE6">
        <w:t xml:space="preserve"> feedback from various stakeholders and staff emphasised its ongoing provision of valuable insights</w:t>
      </w:r>
      <w:r w:rsidR="00556D1B" w:rsidRPr="00AD3EE6">
        <w:t xml:space="preserve"> and </w:t>
      </w:r>
      <w:r w:rsidR="004804C8" w:rsidRPr="00AD3EE6">
        <w:t>the intellectual rigour it brings.</w:t>
      </w:r>
    </w:p>
    <w:p w14:paraId="5175ADC3" w14:textId="2DEE5227" w:rsidR="00BE0E96" w:rsidRPr="00AD3EE6" w:rsidRDefault="005F702B" w:rsidP="005F702B">
      <w:r w:rsidRPr="00AD3EE6">
        <w:t>The sector recognises the immense value of mortality review</w:t>
      </w:r>
      <w:r w:rsidR="00D14C1A">
        <w:t>,</w:t>
      </w:r>
      <w:r w:rsidRPr="00AD3EE6">
        <w:t xml:space="preserve"> expressed the need for its continuation and </w:t>
      </w:r>
      <w:r w:rsidR="00BE0E96" w:rsidRPr="00AD3EE6">
        <w:t xml:space="preserve">welcomed its strengthened function </w:t>
      </w:r>
      <w:r w:rsidR="00D14C1A">
        <w:t xml:space="preserve">in </w:t>
      </w:r>
      <w:r w:rsidR="00BE0E96" w:rsidRPr="00AD3EE6">
        <w:t xml:space="preserve">upholding Te </w:t>
      </w:r>
      <w:proofErr w:type="spellStart"/>
      <w:r w:rsidR="00BE0E96" w:rsidRPr="00AD3EE6">
        <w:t>Tiriti</w:t>
      </w:r>
      <w:proofErr w:type="spellEnd"/>
      <w:r w:rsidR="00BE0E96" w:rsidRPr="00AD3EE6">
        <w:t xml:space="preserve"> o Waitangi</w:t>
      </w:r>
      <w:r w:rsidR="000675C4" w:rsidRPr="00AD3EE6">
        <w:t xml:space="preserve">. They noted </w:t>
      </w:r>
      <w:r w:rsidR="00BE0E96" w:rsidRPr="00AD3EE6">
        <w:t xml:space="preserve">that the </w:t>
      </w:r>
      <w:r w:rsidR="00D14C1A">
        <w:t xml:space="preserve">composition of the National Mortality Review Committee and the representation outlined in its </w:t>
      </w:r>
      <w:r w:rsidR="00BE0E96" w:rsidRPr="00AD3EE6">
        <w:t xml:space="preserve">terms of reference demonstrate a commitment to being an effective partner in upholding Te </w:t>
      </w:r>
      <w:proofErr w:type="spellStart"/>
      <w:r w:rsidR="00BE0E96" w:rsidRPr="00AD3EE6">
        <w:t>Tiriti</w:t>
      </w:r>
      <w:proofErr w:type="spellEnd"/>
      <w:r w:rsidR="00BE0E96" w:rsidRPr="00AD3EE6">
        <w:t xml:space="preserve"> o Waitangi.</w:t>
      </w:r>
    </w:p>
    <w:p w14:paraId="3404311E" w14:textId="2AD262D5" w:rsidR="005F702B" w:rsidRPr="00AD3EE6" w:rsidRDefault="005F702B" w:rsidP="005F702B">
      <w:r w:rsidRPr="00AD3EE6">
        <w:t>Stakeholders emphasi</w:t>
      </w:r>
      <w:r w:rsidR="00A67C30" w:rsidRPr="00AD3EE6">
        <w:t>s</w:t>
      </w:r>
      <w:r w:rsidRPr="00AD3EE6">
        <w:t>ed the importance of effectively disseminating and generating widespread interest in the findings</w:t>
      </w:r>
      <w:r w:rsidR="00DB0BEC">
        <w:t xml:space="preserve"> and outputs</w:t>
      </w:r>
      <w:r w:rsidRPr="00AD3EE6">
        <w:t>. Moreover, the recent reform of the mortality review function was seen as a significant change that will broaden the scope of review, particularly concerning issues of inequity</w:t>
      </w:r>
      <w:r w:rsidR="00DB0146" w:rsidRPr="00AD3EE6">
        <w:t>, providing greater agility and focus for more impact</w:t>
      </w:r>
      <w:r w:rsidRPr="00AD3EE6">
        <w:t>. This reform is expected to enhance transparency and accountability to the public</w:t>
      </w:r>
      <w:r w:rsidR="007F3592" w:rsidRPr="00AD3EE6">
        <w:t>, with a particular focus on enhancing the sector response to recommendations.</w:t>
      </w:r>
    </w:p>
    <w:p w14:paraId="1C1586BB" w14:textId="642655DA" w:rsidR="0076087F" w:rsidRPr="00AD3EE6" w:rsidRDefault="005C2E9E" w:rsidP="00355BD9">
      <w:pPr>
        <w:pStyle w:val="TeThHauorahead2"/>
      </w:pPr>
      <w:bookmarkStart w:id="16" w:name="_Toc137717499"/>
      <w:r w:rsidRPr="00AD3EE6">
        <w:t>Maintains</w:t>
      </w:r>
      <w:r w:rsidR="0076087F" w:rsidRPr="00AD3EE6">
        <w:t xml:space="preserve"> strong relationships across government</w:t>
      </w:r>
      <w:r w:rsidR="00DB0BEC">
        <w:t xml:space="preserve"> and</w:t>
      </w:r>
      <w:r w:rsidR="0076087F" w:rsidRPr="00AD3EE6">
        <w:t xml:space="preserve"> the sector</w:t>
      </w:r>
      <w:r w:rsidR="00B951B2">
        <w:t xml:space="preserve"> and</w:t>
      </w:r>
      <w:r w:rsidR="0076087F" w:rsidRPr="00AD3EE6">
        <w:t xml:space="preserve"> with consumers and whānau</w:t>
      </w:r>
      <w:bookmarkEnd w:id="16"/>
    </w:p>
    <w:p w14:paraId="6FAA9199" w14:textId="263183BB" w:rsidR="002F4D42" w:rsidRPr="00AD3EE6" w:rsidRDefault="002F4D42" w:rsidP="002F4D42">
      <w:r w:rsidRPr="00AD3EE6">
        <w:t xml:space="preserve">The interviews revealed that </w:t>
      </w:r>
      <w:r w:rsidR="008A3B10" w:rsidRPr="00AD3EE6">
        <w:t xml:space="preserve">Te </w:t>
      </w:r>
      <w:proofErr w:type="spellStart"/>
      <w:r w:rsidR="008A3B10" w:rsidRPr="00AD3EE6">
        <w:t>Tāhū</w:t>
      </w:r>
      <w:proofErr w:type="spellEnd"/>
      <w:r w:rsidR="008A3B10" w:rsidRPr="00AD3EE6">
        <w:t xml:space="preserve"> Hauora</w:t>
      </w:r>
      <w:r w:rsidRPr="00AD3EE6">
        <w:t xml:space="preserve"> and its leadership are highly regarded by the sector and that </w:t>
      </w:r>
      <w:r w:rsidR="00DB0BEC">
        <w:t xml:space="preserve">the </w:t>
      </w:r>
      <w:r w:rsidRPr="00AD3EE6">
        <w:t xml:space="preserve">board of Te </w:t>
      </w:r>
      <w:proofErr w:type="spellStart"/>
      <w:r w:rsidRPr="00AD3EE6">
        <w:t>Tāhū</w:t>
      </w:r>
      <w:proofErr w:type="spellEnd"/>
      <w:r w:rsidRPr="00AD3EE6">
        <w:t xml:space="preserve"> Hauora</w:t>
      </w:r>
      <w:r w:rsidR="0099222E" w:rsidRPr="00AD3EE6">
        <w:t xml:space="preserve"> is seen to</w:t>
      </w:r>
      <w:r w:rsidRPr="00AD3EE6">
        <w:t xml:space="preserve"> bring a wealth of expertise and diverse perspectives, enhancing the organisation's </w:t>
      </w:r>
      <w:proofErr w:type="gramStart"/>
      <w:r w:rsidRPr="00AD3EE6">
        <w:t>capability</w:t>
      </w:r>
      <w:proofErr w:type="gramEnd"/>
      <w:r w:rsidRPr="00AD3EE6">
        <w:t xml:space="preserve"> and facilitating innovative thinking.</w:t>
      </w:r>
    </w:p>
    <w:p w14:paraId="6B468180" w14:textId="1C533BBC" w:rsidR="005915B2" w:rsidRPr="00AD3EE6" w:rsidRDefault="00373B4E" w:rsidP="00373B4E">
      <w:pPr>
        <w:spacing w:after="360"/>
      </w:pPr>
      <w:r>
        <w:rPr>
          <w:noProof/>
        </w:rPr>
        <mc:AlternateContent>
          <mc:Choice Requires="wps">
            <w:drawing>
              <wp:anchor distT="0" distB="0" distL="114300" distR="114300" simplePos="0" relativeHeight="251668481" behindDoc="1" locked="0" layoutInCell="1" allowOverlap="1" wp14:anchorId="2973DAAA" wp14:editId="215B4712">
                <wp:simplePos x="0" y="0"/>
                <wp:positionH relativeFrom="margin">
                  <wp:align>left</wp:align>
                </wp:positionH>
                <wp:positionV relativeFrom="paragraph">
                  <wp:posOffset>838308</wp:posOffset>
                </wp:positionV>
                <wp:extent cx="5711825" cy="642796"/>
                <wp:effectExtent l="0" t="0" r="3175" b="5080"/>
                <wp:wrapNone/>
                <wp:docPr id="7" name="Rectangle: Rounded Corners 7"/>
                <wp:cNvGraphicFramePr/>
                <a:graphic xmlns:a="http://schemas.openxmlformats.org/drawingml/2006/main">
                  <a:graphicData uri="http://schemas.microsoft.com/office/word/2010/wordprocessingShape">
                    <wps:wsp>
                      <wps:cNvSpPr/>
                      <wps:spPr>
                        <a:xfrm>
                          <a:off x="0" y="0"/>
                          <a:ext cx="5711825" cy="642796"/>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308089A4" id="Rectangle: Rounded Corners 7" o:spid="_x0000_s1026" style="position:absolute;margin-left:0;margin-top:66pt;width:449.75pt;height:50.6pt;z-index:-25164799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Q/kwIAAIUFAAAOAAAAZHJzL2Uyb0RvYy54bWysVEtv2zAMvg/YfxB0X/1A0iZBnSJo0WFA&#10;0RZth54VWYoNyKImKa/9+lGS7XRdscOwHBRKJD+Sn0leXh06RXbCuhZ0RYuznBKhOdSt3lT0+8vt&#10;lxklzjNdMwVaVPQoHL1afv50uTcLUUIDqhaWIIh2i72paOO9WWSZ443omDsDIzQqJdiOebzaTVZb&#10;tkf0TmVlnp9ne7C1scCFc/h6k5R0GfGlFNw/SOmEJ6qimJuPp43nOpzZ8pItNpaZpuV9GuwfsuhY&#10;qzHoCHXDPCNb2/4B1bXcggPpzzh0GUjZchFrwGqK/F01zw0zItaC5Dgz0uT+Hyy/3z2bR4s07I1b&#10;OBRDFQdpu/CP+ZFDJOs4kiUOnnB8nF4UxaycUsJRdz4pL+bngc3s5G2s818FdCQIFbWw1fUTfpFI&#10;FNvdOZ/sB7sQ0YFq69tWqXixm/W1smTH8OvN80k5K5KvMg1Lr+U0n8/6uC6Zxxx+w1E6oGkIuClk&#10;eMlOFUfJH5UIdko/CUnaGmssY7jYjGJMhHEutE+ZuIbVImUyzfE3ZBLaN3jEXCJgQJYYf8TuAQbL&#10;BDJgpyx7++AqYi+PzvnfEkvOo0eMDNqPzl2rwX4EoLCqPnKyH0hK1ASW1lAfHy2xkCbJGX7b4te9&#10;Y84/Moujg0OG68A/4CEV7CsKvURJA/bnR+/BHjsatZTscRQr6n5smRWUqG8ae31eTCZhduNlMr0o&#10;8WLfatZvNXrbXQP2S4GLx/AoBnuvBlFa6F5xa6xCVFQxzTF2Rbm3w+XapxWBe4eL1Sqa4bwa5u/0&#10;s+EBPLAaGvfl8Mqs6Vvc43DcwzC2bPGuyZNt8NSw2nqQbZyAE6893zjrsXH6vRSWydt7tDptz+Uv&#10;AAAA//8DAFBLAwQUAAYACAAAACEAJNNrTt0AAAAIAQAADwAAAGRycy9kb3ducmV2LnhtbEyPQU/D&#10;MAyF70j8h8hI3Fi6VqCtNJ0QBc5QQNNuWWPaaolTNVlb/j3mBDfb7+n5e8VucVZMOIbek4L1KgGB&#10;1HjTU6vg4/35ZgMiRE1GW0+o4BsD7MrLi0Lnxs/0hlMdW8EhFHKtoItxyKUMTYdOh5UfkFj78qPT&#10;kdexlWbUM4c7K9MkuZNO98QfOj3gY4fNqT47BbWsnqZT9ZIdcPh8rebO7qt2rdT11fJwDyLiEv/M&#10;8IvP6FAy09GfyQRhFXCRyNcs5YHlzXZ7C+KoIM2yFGRZyP8Fyh8AAAD//wMAUEsBAi0AFAAGAAgA&#10;AAAhALaDOJL+AAAA4QEAABMAAAAAAAAAAAAAAAAAAAAAAFtDb250ZW50X1R5cGVzXS54bWxQSwEC&#10;LQAUAAYACAAAACEAOP0h/9YAAACUAQAACwAAAAAAAAAAAAAAAAAvAQAAX3JlbHMvLnJlbHNQSwEC&#10;LQAUAAYACAAAACEAUBM0P5MCAACFBQAADgAAAAAAAAAAAAAAAAAuAgAAZHJzL2Uyb0RvYy54bWxQ&#10;SwECLQAUAAYACAAAACEAJNNrTt0AAAAIAQAADwAAAAAAAAAAAAAAAADtBAAAZHJzL2Rvd25yZXYu&#10;eG1sUEsFBgAAAAAEAAQA8wAAAPcFAAAAAA==&#10;" fillcolor="#904281" stroked="f" strokeweight="2pt">
                <v:fill opacity="16448f"/>
                <w10:wrap anchorx="margin"/>
              </v:roundrect>
            </w:pict>
          </mc:Fallback>
        </mc:AlternateContent>
      </w:r>
      <w:r w:rsidR="008A3B10" w:rsidRPr="00AD3EE6">
        <w:t xml:space="preserve">Te </w:t>
      </w:r>
      <w:proofErr w:type="spellStart"/>
      <w:r w:rsidR="008A3B10" w:rsidRPr="00AD3EE6">
        <w:t>Tāhū</w:t>
      </w:r>
      <w:proofErr w:type="spellEnd"/>
      <w:r w:rsidR="008A3B10" w:rsidRPr="00AD3EE6">
        <w:t xml:space="preserve"> Hauora</w:t>
      </w:r>
      <w:r w:rsidR="008A3B10" w:rsidRPr="00AD3EE6" w:rsidDel="008A3B10">
        <w:t xml:space="preserve"> </w:t>
      </w:r>
      <w:r w:rsidR="002F4D42" w:rsidRPr="00AD3EE6">
        <w:t xml:space="preserve">has established strong relationships across government, enabling it to draw insights from international movements while remaining grounded in the </w:t>
      </w:r>
      <w:r w:rsidR="0064772C" w:rsidRPr="00AD3EE6">
        <w:t xml:space="preserve">Aotearoa </w:t>
      </w:r>
      <w:r w:rsidR="002F4D42" w:rsidRPr="00AD3EE6">
        <w:t xml:space="preserve">New Zealand context. </w:t>
      </w:r>
      <w:r w:rsidR="005915B2" w:rsidRPr="00AD3EE6">
        <w:t>As such, i</w:t>
      </w:r>
      <w:r w:rsidR="002F4D42" w:rsidRPr="00AD3EE6">
        <w:t xml:space="preserve">t serves as a credible voice in the </w:t>
      </w:r>
      <w:r w:rsidR="003324D9">
        <w:t>health care</w:t>
      </w:r>
      <w:r w:rsidR="002F4D42" w:rsidRPr="00AD3EE6">
        <w:t xml:space="preserve"> system and has the </w:t>
      </w:r>
      <w:r w:rsidR="00285B64" w:rsidRPr="00AD3EE6">
        <w:t xml:space="preserve">capability </w:t>
      </w:r>
      <w:r w:rsidR="002F4D42" w:rsidRPr="00AD3EE6">
        <w:t xml:space="preserve">to raise concerns in critical areas when necessary. </w:t>
      </w:r>
    </w:p>
    <w:p w14:paraId="581E3A1A" w14:textId="44697250" w:rsidR="004327CA" w:rsidRPr="00AD3EE6" w:rsidRDefault="00DB0BEC" w:rsidP="00373B4E">
      <w:pPr>
        <w:pStyle w:val="Quoteperfreview"/>
        <w:spacing w:after="480"/>
      </w:pPr>
      <w:r>
        <w:t>‘</w:t>
      </w:r>
      <w:r w:rsidR="004327CA" w:rsidRPr="00AD3EE6">
        <w:t xml:space="preserve">Te </w:t>
      </w:r>
      <w:proofErr w:type="spellStart"/>
      <w:r w:rsidR="004327CA" w:rsidRPr="00AD3EE6">
        <w:t>Tāhū</w:t>
      </w:r>
      <w:proofErr w:type="spellEnd"/>
      <w:r w:rsidR="004327CA" w:rsidRPr="00AD3EE6">
        <w:t xml:space="preserve"> Hauora aims to work in a collaborative way and is well positioned </w:t>
      </w:r>
      <w:r w:rsidR="00373B4E">
        <w:br/>
      </w:r>
      <w:r w:rsidR="004327CA" w:rsidRPr="00AD3EE6">
        <w:t>to tackle difficult system issues that require a neutral view.</w:t>
      </w:r>
      <w:r>
        <w:t>’</w:t>
      </w:r>
    </w:p>
    <w:p w14:paraId="64D78F9B" w14:textId="3FC54342" w:rsidR="002F4D42" w:rsidRPr="00AD3EE6" w:rsidRDefault="00DB0BEC" w:rsidP="00373B4E">
      <w:r w:rsidRPr="00AD3EE6">
        <w:t>Its</w:t>
      </w:r>
      <w:r w:rsidR="002F4D42" w:rsidRPr="00AD3EE6">
        <w:t xml:space="preserve"> role in assessing the system is vital, and its independence plays a crucial role in </w:t>
      </w:r>
      <w:r w:rsidR="00913BBD" w:rsidRPr="00AD3EE6">
        <w:t xml:space="preserve">being a critical friend </w:t>
      </w:r>
      <w:r w:rsidR="0001418F" w:rsidRPr="00AD3EE6">
        <w:t xml:space="preserve">when </w:t>
      </w:r>
      <w:r w:rsidR="00913BBD" w:rsidRPr="00AD3EE6">
        <w:t>highlighting areas of concern.</w:t>
      </w:r>
      <w:r w:rsidR="00441BCA" w:rsidRPr="00AD3EE6">
        <w:t xml:space="preserve"> </w:t>
      </w:r>
      <w:r w:rsidR="002E32E7" w:rsidRPr="00AD3EE6">
        <w:t>Its</w:t>
      </w:r>
      <w:r w:rsidR="002F4D42" w:rsidRPr="00AD3EE6">
        <w:t xml:space="preserve"> neutrality </w:t>
      </w:r>
      <w:r w:rsidR="00441BCA" w:rsidRPr="00AD3EE6">
        <w:t xml:space="preserve">and collaborative approach </w:t>
      </w:r>
      <w:r w:rsidR="002F4D42" w:rsidRPr="00AD3EE6">
        <w:t>provide a valuable perspective on significant</w:t>
      </w:r>
      <w:r w:rsidR="00441BCA" w:rsidRPr="00AD3EE6">
        <w:t xml:space="preserve"> and challenging</w:t>
      </w:r>
      <w:r w:rsidR="002F4D42" w:rsidRPr="00AD3EE6">
        <w:t xml:space="preserve"> system issues, </w:t>
      </w:r>
      <w:r w:rsidR="00023161" w:rsidRPr="00AD3EE6">
        <w:t>bringing an evidence-based viewpoint</w:t>
      </w:r>
      <w:r w:rsidR="002F4D42" w:rsidRPr="00AD3EE6">
        <w:t xml:space="preserve"> and offering a fresh pair of eyes. </w:t>
      </w:r>
    </w:p>
    <w:p w14:paraId="2058FC93" w14:textId="239BE557" w:rsidR="00EF60D2" w:rsidRPr="00AD3EE6" w:rsidRDefault="00DE69BA" w:rsidP="000355BB">
      <w:r w:rsidRPr="00AD3EE6">
        <w:t>The interviews</w:t>
      </w:r>
      <w:r w:rsidR="00EF24D1" w:rsidRPr="00AD3EE6">
        <w:t xml:space="preserve"> and staff feedback</w:t>
      </w:r>
      <w:r w:rsidRPr="00AD3EE6">
        <w:t xml:space="preserve"> highlighted a sense of </w:t>
      </w:r>
      <w:r w:rsidR="00EF24D1" w:rsidRPr="00AD3EE6">
        <w:t>uncertainty</w:t>
      </w:r>
      <w:r w:rsidR="006F11BC" w:rsidRPr="00AD3EE6">
        <w:t>, and at times frustration,</w:t>
      </w:r>
      <w:r w:rsidRPr="00AD3EE6">
        <w:t xml:space="preserve"> regarding </w:t>
      </w:r>
      <w:r w:rsidR="00F74E0F">
        <w:t xml:space="preserve">the </w:t>
      </w:r>
      <w:r w:rsidRPr="00AD3EE6">
        <w:t xml:space="preserve">limited authority and mandate </w:t>
      </w:r>
      <w:r w:rsidR="00F74E0F">
        <w:t xml:space="preserve">of </w:t>
      </w:r>
      <w:r w:rsidR="00F74E0F" w:rsidRPr="00AD3EE6">
        <w:t xml:space="preserve">Te </w:t>
      </w:r>
      <w:proofErr w:type="spellStart"/>
      <w:r w:rsidR="00F74E0F" w:rsidRPr="00AD3EE6">
        <w:t>Tāhū</w:t>
      </w:r>
      <w:proofErr w:type="spellEnd"/>
      <w:r w:rsidR="00F74E0F" w:rsidRPr="00AD3EE6">
        <w:t xml:space="preserve"> Hauora</w:t>
      </w:r>
      <w:r w:rsidR="00F74E0F" w:rsidRPr="00AD3EE6" w:rsidDel="008A3B10">
        <w:t xml:space="preserve"> </w:t>
      </w:r>
      <w:r w:rsidRPr="00AD3EE6">
        <w:t>to enforce improvements</w:t>
      </w:r>
      <w:r w:rsidR="00392A47" w:rsidRPr="00AD3EE6">
        <w:t xml:space="preserve"> across the sector</w:t>
      </w:r>
      <w:r w:rsidRPr="00AD3EE6">
        <w:t>. Many interviewees expressed the belief that the organi</w:t>
      </w:r>
      <w:r w:rsidR="000355BB" w:rsidRPr="00AD3EE6">
        <w:t>s</w:t>
      </w:r>
      <w:r w:rsidRPr="00AD3EE6">
        <w:t xml:space="preserve">ation should leverage its role to be more assertive and vocal in addressing quality </w:t>
      </w:r>
      <w:r w:rsidR="00511661">
        <w:t xml:space="preserve">and safety </w:t>
      </w:r>
      <w:r w:rsidRPr="00AD3EE6">
        <w:t>issues within the sector. There was unanimous agreement that</w:t>
      </w:r>
      <w:r w:rsidR="006D64E7" w:rsidRPr="00AD3EE6">
        <w:t xml:space="preserve"> the organisation’s </w:t>
      </w:r>
      <w:r w:rsidRPr="00AD3EE6">
        <w:t xml:space="preserve">strength lies in its ability to influence change through supportive relationships. </w:t>
      </w:r>
    </w:p>
    <w:p w14:paraId="4D2C2497" w14:textId="5ED7EE3F" w:rsidR="00DE69BA" w:rsidRPr="00AD3EE6" w:rsidRDefault="00DE69BA" w:rsidP="000355BB">
      <w:r w:rsidRPr="00AD3EE6">
        <w:lastRenderedPageBreak/>
        <w:t xml:space="preserve">Consequently, </w:t>
      </w:r>
      <w:r w:rsidR="00DB0BEC">
        <w:t xml:space="preserve">the organisation has </w:t>
      </w:r>
      <w:r w:rsidRPr="00AD3EE6">
        <w:t>an opportunity to enhance its influence, increase visibility</w:t>
      </w:r>
      <w:r w:rsidR="00B951B2">
        <w:t xml:space="preserve"> and</w:t>
      </w:r>
      <w:r w:rsidRPr="00AD3EE6">
        <w:t xml:space="preserve"> advocate more vigorously by </w:t>
      </w:r>
      <w:r w:rsidR="00840708" w:rsidRPr="00AD3EE6">
        <w:t xml:space="preserve">using </w:t>
      </w:r>
      <w:r w:rsidRPr="00AD3EE6">
        <w:t>evidence to inform and strengthen policy and decision-making processes across various agencies within the health sector.</w:t>
      </w:r>
      <w:r w:rsidR="00840708" w:rsidRPr="00AD3EE6">
        <w:t xml:space="preserve"> This will be important </w:t>
      </w:r>
      <w:r w:rsidR="00EF60D2" w:rsidRPr="00AD3EE6">
        <w:t xml:space="preserve">in supporting </w:t>
      </w:r>
      <w:r w:rsidR="00840708" w:rsidRPr="00AD3EE6">
        <w:t xml:space="preserve">Te Aka </w:t>
      </w:r>
      <w:proofErr w:type="spellStart"/>
      <w:r w:rsidR="00840708" w:rsidRPr="00AD3EE6">
        <w:t>Whai</w:t>
      </w:r>
      <w:proofErr w:type="spellEnd"/>
      <w:r w:rsidR="00840708" w:rsidRPr="00AD3EE6">
        <w:t xml:space="preserve"> Ora and Te </w:t>
      </w:r>
      <w:proofErr w:type="spellStart"/>
      <w:r w:rsidR="00840708" w:rsidRPr="00AD3EE6">
        <w:t>Whatu</w:t>
      </w:r>
      <w:proofErr w:type="spellEnd"/>
      <w:r w:rsidR="00840708" w:rsidRPr="00AD3EE6">
        <w:t xml:space="preserve"> Ora </w:t>
      </w:r>
      <w:r w:rsidR="006937F6" w:rsidRPr="00AD3EE6">
        <w:t>in their roles,</w:t>
      </w:r>
      <w:r w:rsidR="00840708" w:rsidRPr="00AD3EE6">
        <w:t xml:space="preserve"> as </w:t>
      </w:r>
      <w:r w:rsidR="006937F6" w:rsidRPr="00AD3EE6">
        <w:t xml:space="preserve">Te </w:t>
      </w:r>
      <w:proofErr w:type="spellStart"/>
      <w:r w:rsidR="00DB0BEC" w:rsidRPr="00AD3EE6">
        <w:t>Tāhū</w:t>
      </w:r>
      <w:proofErr w:type="spellEnd"/>
      <w:r w:rsidR="006937F6" w:rsidRPr="00AD3EE6">
        <w:t xml:space="preserve"> Hauora can</w:t>
      </w:r>
      <w:r w:rsidR="00840708" w:rsidRPr="00AD3EE6">
        <w:t xml:space="preserve"> </w:t>
      </w:r>
      <w:r w:rsidR="006C3D13" w:rsidRPr="00AD3EE6">
        <w:t xml:space="preserve">highlight </w:t>
      </w:r>
      <w:r w:rsidR="00FB0764" w:rsidRPr="00AD3EE6">
        <w:t>issues</w:t>
      </w:r>
      <w:r w:rsidR="00DB0BEC">
        <w:t xml:space="preserve"> where and when they emerge</w:t>
      </w:r>
      <w:r w:rsidR="00D869EC" w:rsidRPr="00AD3EE6">
        <w:t xml:space="preserve">, so </w:t>
      </w:r>
      <w:r w:rsidR="003041A5" w:rsidRPr="00AD3EE6">
        <w:t>areas of risk and concern can be mitigated</w:t>
      </w:r>
      <w:r w:rsidR="0068492B" w:rsidRPr="00AD3EE6">
        <w:t xml:space="preserve"> appropriately</w:t>
      </w:r>
      <w:r w:rsidR="00D869EC" w:rsidRPr="00AD3EE6">
        <w:t>.</w:t>
      </w:r>
      <w:r w:rsidR="00A075FA" w:rsidRPr="00AD3EE6">
        <w:t xml:space="preserve"> It must also broaden</w:t>
      </w:r>
      <w:r w:rsidR="00177CA0" w:rsidRPr="00AD3EE6">
        <w:t xml:space="preserve"> and strengthen</w:t>
      </w:r>
      <w:r w:rsidR="00A075FA" w:rsidRPr="00AD3EE6">
        <w:t xml:space="preserve"> its relationships in </w:t>
      </w:r>
      <w:r w:rsidR="00BE6398" w:rsidRPr="00AD3EE6">
        <w:t>the</w:t>
      </w:r>
      <w:r w:rsidR="00A075FA" w:rsidRPr="00AD3EE6">
        <w:t xml:space="preserve"> disability</w:t>
      </w:r>
      <w:r w:rsidR="00BE6398" w:rsidRPr="00AD3EE6">
        <w:t xml:space="preserve"> sector</w:t>
      </w:r>
      <w:r w:rsidR="00A075FA" w:rsidRPr="00AD3EE6">
        <w:t xml:space="preserve">, including </w:t>
      </w:r>
      <w:proofErr w:type="spellStart"/>
      <w:r w:rsidR="00A075FA" w:rsidRPr="00AD3EE6">
        <w:t>Whaikaha</w:t>
      </w:r>
      <w:proofErr w:type="spellEnd"/>
      <w:r w:rsidR="00A075FA" w:rsidRPr="00AD3EE6">
        <w:t xml:space="preserve"> Ministry of Disabled People</w:t>
      </w:r>
      <w:r w:rsidR="006006DB" w:rsidRPr="00AD3EE6">
        <w:t xml:space="preserve">, </w:t>
      </w:r>
      <w:r w:rsidR="00892452" w:rsidRPr="00AD3EE6">
        <w:t xml:space="preserve">Māori providers, </w:t>
      </w:r>
      <w:r w:rsidR="00177CA0" w:rsidRPr="00AD3EE6">
        <w:t xml:space="preserve">primary and community care </w:t>
      </w:r>
      <w:r w:rsidR="00333BA5" w:rsidRPr="00AD3EE6">
        <w:t>and across the social sector.</w:t>
      </w:r>
      <w:r w:rsidR="00D869EC" w:rsidRPr="00AD3EE6">
        <w:t xml:space="preserve"> Te </w:t>
      </w:r>
      <w:proofErr w:type="spellStart"/>
      <w:r w:rsidR="00D869EC" w:rsidRPr="00AD3EE6">
        <w:t>Tāhū</w:t>
      </w:r>
      <w:proofErr w:type="spellEnd"/>
      <w:r w:rsidR="00D869EC" w:rsidRPr="00AD3EE6">
        <w:t xml:space="preserve"> Hauora should think about the risks inherent in major transformation and </w:t>
      </w:r>
      <w:r w:rsidR="00742A1B" w:rsidRPr="00AD3EE6">
        <w:t>promote</w:t>
      </w:r>
      <w:r w:rsidR="00D869EC" w:rsidRPr="00AD3EE6">
        <w:t xml:space="preserve"> applicable solutions.</w:t>
      </w:r>
    </w:p>
    <w:p w14:paraId="00DE6624" w14:textId="1CDBD2DC" w:rsidR="0076087F" w:rsidRPr="00AD3EE6" w:rsidRDefault="005C2E9E" w:rsidP="00355BD9">
      <w:pPr>
        <w:pStyle w:val="TeThHauorahead2"/>
      </w:pPr>
      <w:bookmarkStart w:id="17" w:name="_Toc137717500"/>
      <w:r w:rsidRPr="00AD3EE6">
        <w:t>W</w:t>
      </w:r>
      <w:r w:rsidR="0076087F" w:rsidRPr="00AD3EE6">
        <w:t>ell</w:t>
      </w:r>
      <w:r w:rsidR="00DB0BEC">
        <w:t>-</w:t>
      </w:r>
      <w:r w:rsidR="0076087F" w:rsidRPr="00A54EF6">
        <w:t>positioned to take a leadership role in the future and have a significant convening power</w:t>
      </w:r>
      <w:bookmarkEnd w:id="17"/>
    </w:p>
    <w:p w14:paraId="4283EE61" w14:textId="037D6CFD" w:rsidR="00AE5B39" w:rsidRPr="00AD3EE6" w:rsidRDefault="00AE5B39" w:rsidP="006B6456">
      <w:r w:rsidRPr="00AD3EE6">
        <w:t xml:space="preserve">Within </w:t>
      </w:r>
      <w:r w:rsidR="009253D6" w:rsidRPr="00AD3EE6">
        <w:t>the health system reforms</w:t>
      </w:r>
      <w:r w:rsidR="00DB0BEC">
        <w:t>,</w:t>
      </w:r>
      <w:r w:rsidRPr="00AD3EE6">
        <w:t xml:space="preserve"> it is important that </w:t>
      </w:r>
      <w:r w:rsidR="009253D6" w:rsidRPr="00AD3EE6">
        <w:t xml:space="preserve">Te </w:t>
      </w:r>
      <w:proofErr w:type="spellStart"/>
      <w:r w:rsidR="009253D6" w:rsidRPr="00AD3EE6">
        <w:t>Tāhū</w:t>
      </w:r>
      <w:proofErr w:type="spellEnd"/>
      <w:r w:rsidR="009253D6" w:rsidRPr="00AD3EE6">
        <w:t xml:space="preserve"> Hauora continues in its </w:t>
      </w:r>
      <w:r w:rsidRPr="00AD3EE6">
        <w:t>supportive</w:t>
      </w:r>
      <w:r w:rsidR="009253D6" w:rsidRPr="00AD3EE6">
        <w:t xml:space="preserve"> </w:t>
      </w:r>
      <w:r w:rsidRPr="00AD3EE6">
        <w:t>capacity.</w:t>
      </w:r>
      <w:r w:rsidR="009253D6" w:rsidRPr="00AD3EE6">
        <w:t xml:space="preserve"> Yet, under the </w:t>
      </w:r>
      <w:proofErr w:type="spellStart"/>
      <w:r w:rsidR="009253D6" w:rsidRPr="00AD3EE6">
        <w:t>Pae</w:t>
      </w:r>
      <w:proofErr w:type="spellEnd"/>
      <w:r w:rsidR="009253D6" w:rsidRPr="00AD3EE6">
        <w:t xml:space="preserve"> Ora Act</w:t>
      </w:r>
      <w:r w:rsidR="00DB0BEC">
        <w:t>,</w:t>
      </w:r>
      <w:r w:rsidR="006B6456" w:rsidRPr="00AD3EE6">
        <w:t xml:space="preserve"> it can </w:t>
      </w:r>
      <w:r w:rsidR="009253D6" w:rsidRPr="00AD3EE6">
        <w:t>take more of a directive role</w:t>
      </w:r>
      <w:r w:rsidR="006B6456" w:rsidRPr="00AD3EE6">
        <w:t xml:space="preserve"> through its expanded function to make recommendations.</w:t>
      </w:r>
    </w:p>
    <w:p w14:paraId="3B10A1D2" w14:textId="5465D8F3" w:rsidR="007309D9" w:rsidRPr="009403B4" w:rsidRDefault="006B6456" w:rsidP="00EC7262">
      <w:r w:rsidRPr="009403B4">
        <w:t xml:space="preserve">Furthermore, </w:t>
      </w:r>
      <w:r w:rsidR="00EC7262" w:rsidRPr="009403B4">
        <w:t xml:space="preserve">stakeholders expressed that </w:t>
      </w:r>
      <w:r w:rsidR="003B696D" w:rsidRPr="009403B4">
        <w:t xml:space="preserve">Te </w:t>
      </w:r>
      <w:proofErr w:type="spellStart"/>
      <w:r w:rsidR="003B696D" w:rsidRPr="009403B4">
        <w:t>Tāhū</w:t>
      </w:r>
      <w:proofErr w:type="spellEnd"/>
      <w:r w:rsidR="003B696D" w:rsidRPr="009403B4">
        <w:t xml:space="preserve"> Hauora holds significant </w:t>
      </w:r>
      <w:r w:rsidR="007309D9" w:rsidRPr="009403B4">
        <w:t>convening power</w:t>
      </w:r>
      <w:r w:rsidR="003B696D" w:rsidRPr="009403B4">
        <w:t>.</w:t>
      </w:r>
      <w:r w:rsidR="007309D9" w:rsidRPr="009403B4">
        <w:t xml:space="preserve"> </w:t>
      </w:r>
      <w:r w:rsidR="00EC7262" w:rsidRPr="009403B4">
        <w:t>This is most recently evident in t</w:t>
      </w:r>
      <w:r w:rsidR="007309D9" w:rsidRPr="009403B4">
        <w:t>he National Quality Forum</w:t>
      </w:r>
      <w:r w:rsidR="00DB0BEC">
        <w:t>,</w:t>
      </w:r>
      <w:r w:rsidR="00653996" w:rsidRPr="00DB0BEC">
        <w:rPr>
          <w:rStyle w:val="FootnoteReference"/>
          <w:sz w:val="22"/>
        </w:rPr>
        <w:footnoteReference w:id="19"/>
      </w:r>
      <w:r w:rsidR="007309D9" w:rsidRPr="009403B4">
        <w:t xml:space="preserve"> </w:t>
      </w:r>
      <w:r w:rsidR="00DB0BEC">
        <w:rPr>
          <w:rStyle w:val="CommentReference"/>
          <w:sz w:val="22"/>
          <w:szCs w:val="22"/>
        </w:rPr>
        <w:t>which</w:t>
      </w:r>
      <w:r w:rsidR="00DB0BEC" w:rsidRPr="009403B4">
        <w:t xml:space="preserve"> </w:t>
      </w:r>
      <w:r w:rsidR="007309D9" w:rsidRPr="009403B4">
        <w:t xml:space="preserve">is gaining </w:t>
      </w:r>
      <w:r w:rsidR="00C10D6F">
        <w:t>momentum,</w:t>
      </w:r>
      <w:r w:rsidR="007309D9" w:rsidRPr="009403B4">
        <w:t xml:space="preserve"> and </w:t>
      </w:r>
      <w:r w:rsidR="00B11201">
        <w:t>acting</w:t>
      </w:r>
      <w:r w:rsidR="007309D9" w:rsidRPr="009403B4">
        <w:t xml:space="preserve"> on important issues. </w:t>
      </w:r>
    </w:p>
    <w:p w14:paraId="10CB88F3" w14:textId="2EBA0443" w:rsidR="004327CA" w:rsidRPr="00AD3EE6" w:rsidRDefault="00D32ED3" w:rsidP="00D32ED3">
      <w:pPr>
        <w:spacing w:after="360"/>
      </w:pPr>
      <w:r>
        <w:rPr>
          <w:noProof/>
        </w:rPr>
        <mc:AlternateContent>
          <mc:Choice Requires="wps">
            <w:drawing>
              <wp:anchor distT="0" distB="0" distL="114300" distR="114300" simplePos="0" relativeHeight="251670529" behindDoc="1" locked="0" layoutInCell="1" allowOverlap="1" wp14:anchorId="757E9B0E" wp14:editId="16E3B41C">
                <wp:simplePos x="0" y="0"/>
                <wp:positionH relativeFrom="margin">
                  <wp:align>left</wp:align>
                </wp:positionH>
                <wp:positionV relativeFrom="paragraph">
                  <wp:posOffset>1027348</wp:posOffset>
                </wp:positionV>
                <wp:extent cx="5712106" cy="615636"/>
                <wp:effectExtent l="0" t="0" r="3175" b="0"/>
                <wp:wrapNone/>
                <wp:docPr id="10" name="Rectangle: Rounded Corners 10"/>
                <wp:cNvGraphicFramePr/>
                <a:graphic xmlns:a="http://schemas.openxmlformats.org/drawingml/2006/main">
                  <a:graphicData uri="http://schemas.microsoft.com/office/word/2010/wordprocessingShape">
                    <wps:wsp>
                      <wps:cNvSpPr/>
                      <wps:spPr>
                        <a:xfrm>
                          <a:off x="0" y="0"/>
                          <a:ext cx="5712106" cy="615636"/>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4A77E733" id="Rectangle: Rounded Corners 10" o:spid="_x0000_s1026" style="position:absolute;margin-left:0;margin-top:80.9pt;width:449.75pt;height:48.5pt;z-index:-25164595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0kwIAAIUFAAAOAAAAZHJzL2Uyb0RvYy54bWysVEtv2zAMvg/YfxB0X/1YkrZBnSJo0WFA&#10;0RZth54VWYoNyKImKa/9+lGS7bRdscOwHBRKJD+Sn0leXO47RbbCuhZ0RYuTnBKhOdStXlf0x/PN&#10;lzNKnGe6Zgq0qOhBOHq5+PzpYmfmooQGVC0sQRDt5jtT0cZ7M88yxxvRMXcCRmhUSrAd83i166y2&#10;bIfoncrKPJ9lO7C1scCFc/h6nZR0EfGlFNzfS+mEJ6qimJuPp43nKpzZ4oLN15aZpuV9GuwfsuhY&#10;qzHoCHXNPCMb2/4B1bXcggPpTzh0GUjZchFrwGqK/F01Tw0zItaC5Dgz0uT+Hyy/2z6ZB4s07Iyb&#10;OxRDFXtpu/CP+ZF9JOswkiX2nnB8nJ4WZZHPKOGomxXT2ddZYDM7ehvr/DcBHQlCRS1sdP2IXyQS&#10;xba3zif7wS5EdKDa+qZVKl7senWlLNky/Hrn+aQ8K5KvMg1Lr+U0Pz/r47pkHnN4g6N0QNMQcFPI&#10;8JIdK46SPygR7JR+FJK0NdZYxnCxGcWYCONcaJ8ycQ2rRcpkmuNvyCS0b/CIuUTAgCwx/ojdAwyW&#10;CWTATln29sFVxF4enfO/JZacR48YGbQfnbtWg/0IQGFVfeRkP5CUqAksraA+PFhiIU2SM/ymxa97&#10;y5x/YBZHB4cM14G/x0Mq2FUUeomSBuyvj96DPXY0ainZ4ShW1P3cMCsoUd819vp5MZmE2Y2XyfS0&#10;xIt9rVm91uhNdwXYLwUuHsOjGOy9GkRpoXvBrbEMUVHFNMfYFeXeDpcrn1YE7h0ulstohvNqmL/V&#10;T4YH8MBqaNzn/Quzpm9xj8NxB8PYsvm7Jk+2wVPDcuNBtnECjrz2fOOsx8bp91JYJq/v0eq4PRe/&#10;AQAA//8DAFBLAwQUAAYACAAAACEAu9ijydwAAAAIAQAADwAAAGRycy9kb3ducmV2LnhtbEyPwU7D&#10;MAyG70i8Q2Qkbizt0KauNJ0QBc5QQIhb1pimWuNUTdaWt8ec2NH+rd/fV+wX14sJx9B5UpCuEhBI&#10;jTcdtQre355uMhAhajK694QKfjDAvry8KHRu/EyvONWxFVxCIdcKbIxDLmVoLDodVn5A4uzbj05H&#10;HsdWmlHPXO56uU6SrXS6I/5g9YAPFptjfXIKalk9Tsfq+fYLh4+Xarb9Z9WmSl1fLfd3ICIu8f8Y&#10;/vAZHUpmOvgTmSB6BSwSebtNWYDjbLfbgDgoWG+yDGRZyHOB8hcAAP//AwBQSwECLQAUAAYACAAA&#10;ACEAtoM4kv4AAADhAQAAEwAAAAAAAAAAAAAAAAAAAAAAW0NvbnRlbnRfVHlwZXNdLnhtbFBLAQIt&#10;ABQABgAIAAAAIQA4/SH/1gAAAJQBAAALAAAAAAAAAAAAAAAAAC8BAABfcmVscy8ucmVsc1BLAQIt&#10;ABQABgAIAAAAIQBGIIY0kwIAAIUFAAAOAAAAAAAAAAAAAAAAAC4CAABkcnMvZTJvRG9jLnhtbFBL&#10;AQItABQABgAIAAAAIQC72KPJ3AAAAAgBAAAPAAAAAAAAAAAAAAAAAO0EAABkcnMvZG93bnJldi54&#10;bWxQSwUGAAAAAAQABADzAAAA9gUAAAAA&#10;" fillcolor="#904281" stroked="f" strokeweight="2pt">
                <v:fill opacity="16448f"/>
                <w10:wrap anchorx="margin"/>
              </v:roundrect>
            </w:pict>
          </mc:Fallback>
        </mc:AlternateContent>
      </w:r>
      <w:r w:rsidR="004327CA" w:rsidRPr="00AD3EE6">
        <w:t xml:space="preserve">Te </w:t>
      </w:r>
      <w:proofErr w:type="spellStart"/>
      <w:r w:rsidR="004327CA" w:rsidRPr="00AD3EE6">
        <w:t>Tāhū</w:t>
      </w:r>
      <w:proofErr w:type="spellEnd"/>
      <w:r w:rsidR="004327CA" w:rsidRPr="00AD3EE6">
        <w:t xml:space="preserve"> Hauora is a credible voice in the </w:t>
      </w:r>
      <w:r w:rsidR="003324D9">
        <w:t>health care</w:t>
      </w:r>
      <w:r w:rsidR="004327CA" w:rsidRPr="00AD3EE6">
        <w:t xml:space="preserve"> system and can escalate areas of concern when necessary. </w:t>
      </w:r>
      <w:r w:rsidR="0082132C">
        <w:t>It</w:t>
      </w:r>
      <w:r w:rsidR="004327CA" w:rsidRPr="00AD3EE6">
        <w:t xml:space="preserve"> is well</w:t>
      </w:r>
      <w:r w:rsidR="007434D4">
        <w:t xml:space="preserve"> </w:t>
      </w:r>
      <w:r w:rsidR="004327CA" w:rsidRPr="00AD3EE6">
        <w:t xml:space="preserve">positioned to take a leadership role, with a focus on good patient care and safety. It should continue to build its role within the </w:t>
      </w:r>
      <w:r w:rsidR="00D44899" w:rsidRPr="00AD3EE6">
        <w:t xml:space="preserve">National </w:t>
      </w:r>
      <w:r w:rsidR="004327CA" w:rsidRPr="00AD3EE6">
        <w:t>Quality Forum and to expand the scope to ensure that the decision-making is evidence based and driving equity.</w:t>
      </w:r>
    </w:p>
    <w:p w14:paraId="2CEED64B" w14:textId="0DB5C29D" w:rsidR="00BF51D4" w:rsidRPr="00AD3EE6" w:rsidRDefault="0082132C" w:rsidP="00D32ED3">
      <w:pPr>
        <w:pStyle w:val="Quoteperfreview"/>
      </w:pPr>
      <w:r>
        <w:t>‘</w:t>
      </w:r>
      <w:r w:rsidR="00EC7262" w:rsidRPr="00AD3EE6">
        <w:t>We are u</w:t>
      </w:r>
      <w:r w:rsidR="00BF51D4" w:rsidRPr="00AD3EE6">
        <w:t>niquely positioned to influence outcomes for our population</w:t>
      </w:r>
      <w:r>
        <w:t>,</w:t>
      </w:r>
      <w:r w:rsidR="00BF51D4" w:rsidRPr="00AD3EE6">
        <w:t xml:space="preserve"> with </w:t>
      </w:r>
      <w:r w:rsidR="00D32ED3">
        <w:br/>
      </w:r>
      <w:r w:rsidR="00BF51D4" w:rsidRPr="00AD3EE6">
        <w:t>some extremely experienced people with significant knowledge of the sector.</w:t>
      </w:r>
      <w:r>
        <w:t>’</w:t>
      </w:r>
    </w:p>
    <w:p w14:paraId="6F011B03" w14:textId="38816140" w:rsidR="0076087F" w:rsidRPr="00AD3EE6" w:rsidRDefault="0076087F" w:rsidP="00355BD9">
      <w:pPr>
        <w:pStyle w:val="TeThHauorahead2"/>
      </w:pPr>
      <w:bookmarkStart w:id="18" w:name="_Toc137717501"/>
      <w:r w:rsidRPr="00AD3EE6">
        <w:t xml:space="preserve">Successful in promoting and training people in quality improvement methodology with a focus on good patient care </w:t>
      </w:r>
      <w:r w:rsidR="00D32ED3">
        <w:br/>
      </w:r>
      <w:r w:rsidRPr="00AD3EE6">
        <w:t>and safety</w:t>
      </w:r>
      <w:bookmarkEnd w:id="18"/>
    </w:p>
    <w:p w14:paraId="1A546E3B" w14:textId="4ABD5F39" w:rsidR="00FE11C8" w:rsidRPr="00AD3EE6" w:rsidRDefault="00232FED" w:rsidP="006172C4">
      <w:r w:rsidRPr="00AD3EE6">
        <w:t xml:space="preserve">Te </w:t>
      </w:r>
      <w:proofErr w:type="spellStart"/>
      <w:r w:rsidRPr="00AD3EE6">
        <w:t>Tāhū</w:t>
      </w:r>
      <w:proofErr w:type="spellEnd"/>
      <w:r w:rsidRPr="00AD3EE6">
        <w:t xml:space="preserve"> Hauora has</w:t>
      </w:r>
      <w:r w:rsidR="004B321B" w:rsidRPr="00AD3EE6">
        <w:t xml:space="preserve"> played a </w:t>
      </w:r>
      <w:r w:rsidR="005C01CC" w:rsidRPr="00AD3EE6">
        <w:t xml:space="preserve">significant and successful role </w:t>
      </w:r>
      <w:r w:rsidRPr="00AD3EE6">
        <w:t>in promoting</w:t>
      </w:r>
      <w:r w:rsidR="0082132C">
        <w:t>,</w:t>
      </w:r>
      <w:r w:rsidRPr="00AD3EE6">
        <w:t xml:space="preserve"> and </w:t>
      </w:r>
      <w:r w:rsidR="001A0619" w:rsidRPr="00AD3EE6">
        <w:t xml:space="preserve">educating </w:t>
      </w:r>
      <w:r w:rsidR="00962E37" w:rsidRPr="00AD3EE6">
        <w:t xml:space="preserve">the health workforce </w:t>
      </w:r>
      <w:r w:rsidRPr="00AD3EE6">
        <w:t>in</w:t>
      </w:r>
      <w:r w:rsidR="0082132C">
        <w:t>,</w:t>
      </w:r>
      <w:r w:rsidRPr="00AD3EE6">
        <w:t xml:space="preserve"> quality improvement methodology at the </w:t>
      </w:r>
      <w:r w:rsidR="00EA36A0" w:rsidRPr="00AD3EE6">
        <w:t>grassroots level,</w:t>
      </w:r>
      <w:r w:rsidR="00503383" w:rsidRPr="00AD3EE6">
        <w:t xml:space="preserve"> with a </w:t>
      </w:r>
      <w:r w:rsidRPr="00AD3EE6">
        <w:t>shift from a</w:t>
      </w:r>
      <w:r w:rsidR="002D2FC4" w:rsidRPr="00AD3EE6">
        <w:t xml:space="preserve"> traditional</w:t>
      </w:r>
      <w:r w:rsidRPr="00AD3EE6">
        <w:t xml:space="preserve"> safety-focused approach</w:t>
      </w:r>
      <w:r w:rsidR="006172C4" w:rsidRPr="00AD3EE6">
        <w:t xml:space="preserve"> (</w:t>
      </w:r>
      <w:r w:rsidR="00A636A5" w:rsidRPr="00AD3EE6">
        <w:t>focus on what goes wrong</w:t>
      </w:r>
      <w:r w:rsidR="006172C4" w:rsidRPr="00AD3EE6">
        <w:t>)</w:t>
      </w:r>
      <w:r w:rsidRPr="00AD3EE6">
        <w:t xml:space="preserve"> to a more resilient one</w:t>
      </w:r>
      <w:r w:rsidR="006172C4" w:rsidRPr="00AD3EE6">
        <w:t xml:space="preserve"> (</w:t>
      </w:r>
      <w:r w:rsidR="00530F91" w:rsidRPr="00AD3EE6">
        <w:t>focus on what goes right</w:t>
      </w:r>
      <w:r w:rsidR="006172C4" w:rsidRPr="00AD3EE6">
        <w:t>).</w:t>
      </w:r>
    </w:p>
    <w:p w14:paraId="3C57C7E9" w14:textId="44987B73" w:rsidR="0076087F" w:rsidRPr="00AD3EE6" w:rsidRDefault="00B67274" w:rsidP="00232FED">
      <w:r w:rsidRPr="00AD3EE6">
        <w:t xml:space="preserve">The education programmes are now </w:t>
      </w:r>
      <w:r w:rsidR="00D41F4F" w:rsidRPr="00AD3EE6">
        <w:t xml:space="preserve">heavily </w:t>
      </w:r>
      <w:r w:rsidR="0082132C">
        <w:t>focused</w:t>
      </w:r>
      <w:r w:rsidR="0082132C" w:rsidRPr="00AD3EE6">
        <w:t xml:space="preserve"> </w:t>
      </w:r>
      <w:r w:rsidRPr="00AD3EE6">
        <w:t>on address</w:t>
      </w:r>
      <w:r w:rsidR="00D41F4F" w:rsidRPr="00AD3EE6">
        <w:t>ing</w:t>
      </w:r>
      <w:r w:rsidRPr="00AD3EE6">
        <w:t xml:space="preserve"> </w:t>
      </w:r>
      <w:r w:rsidR="00D41F4F" w:rsidRPr="00AD3EE6">
        <w:t>in</w:t>
      </w:r>
      <w:r w:rsidRPr="00AD3EE6">
        <w:t xml:space="preserve">equity and </w:t>
      </w:r>
      <w:r w:rsidR="00871FEA" w:rsidRPr="00AD3EE6">
        <w:t xml:space="preserve">applying Te </w:t>
      </w:r>
      <w:proofErr w:type="spellStart"/>
      <w:r w:rsidR="00871FEA" w:rsidRPr="00AD3EE6">
        <w:t>Tiriti</w:t>
      </w:r>
      <w:proofErr w:type="spellEnd"/>
      <w:r w:rsidR="00871FEA" w:rsidRPr="00AD3EE6">
        <w:t xml:space="preserve"> o Waitangi</w:t>
      </w:r>
      <w:r w:rsidR="00D41F4F" w:rsidRPr="00AD3EE6">
        <w:t xml:space="preserve"> in practice</w:t>
      </w:r>
      <w:r w:rsidR="00871FEA" w:rsidRPr="00AD3EE6">
        <w:t>.</w:t>
      </w:r>
      <w:r w:rsidR="003D272F" w:rsidRPr="00AD3EE6">
        <w:t xml:space="preserve"> </w:t>
      </w:r>
      <w:r w:rsidR="00232FED" w:rsidRPr="00AD3EE6">
        <w:t>Q</w:t>
      </w:r>
      <w:r w:rsidR="00871FEA" w:rsidRPr="00AD3EE6">
        <w:t>uality improvement</w:t>
      </w:r>
      <w:r w:rsidR="00232FED" w:rsidRPr="00AD3EE6">
        <w:t xml:space="preserve"> science is highly valued by Te </w:t>
      </w:r>
      <w:proofErr w:type="spellStart"/>
      <w:r w:rsidR="00232FED" w:rsidRPr="00AD3EE6">
        <w:t>Tāhū</w:t>
      </w:r>
      <w:proofErr w:type="spellEnd"/>
      <w:r w:rsidR="00232FED" w:rsidRPr="00AD3EE6">
        <w:t xml:space="preserve"> Hauora</w:t>
      </w:r>
      <w:r w:rsidR="007D64CF">
        <w:t xml:space="preserve"> and leads the health workforce development in </w:t>
      </w:r>
      <w:r w:rsidR="00232FED" w:rsidRPr="00AD3EE6">
        <w:t>quality improvement.</w:t>
      </w:r>
      <w:r w:rsidR="006519C2" w:rsidRPr="00AD3EE6">
        <w:t xml:space="preserve"> Its role in this is acknowledged across the sector.</w:t>
      </w:r>
    </w:p>
    <w:p w14:paraId="09604B1D" w14:textId="31424706" w:rsidR="00667E87" w:rsidRPr="00AD3EE6" w:rsidRDefault="00667E87" w:rsidP="00667E87">
      <w:r w:rsidRPr="00AD3EE6">
        <w:lastRenderedPageBreak/>
        <w:t xml:space="preserve">As a result, </w:t>
      </w:r>
      <w:r w:rsidR="0082132C">
        <w:t xml:space="preserve">the </w:t>
      </w:r>
      <w:r w:rsidRPr="00AD3EE6">
        <w:t>pool of individuals who have received training in this area</w:t>
      </w:r>
      <w:r w:rsidR="0082132C">
        <w:t xml:space="preserve"> has increased</w:t>
      </w:r>
      <w:r w:rsidRPr="00AD3EE6">
        <w:t xml:space="preserve">. We understand that </w:t>
      </w:r>
      <w:r w:rsidR="0082132C">
        <w:t xml:space="preserve">Te </w:t>
      </w:r>
      <w:proofErr w:type="spellStart"/>
      <w:r w:rsidR="0082132C">
        <w:t>Tāhū</w:t>
      </w:r>
      <w:proofErr w:type="spellEnd"/>
      <w:r w:rsidR="0082132C">
        <w:t xml:space="preserve"> Hauora </w:t>
      </w:r>
      <w:r w:rsidRPr="00AD3EE6">
        <w:t xml:space="preserve">aim to expand this training further, </w:t>
      </w:r>
      <w:r w:rsidR="0082132C">
        <w:t xml:space="preserve">equipping </w:t>
      </w:r>
      <w:r w:rsidRPr="00AD3EE6">
        <w:t>more people to effectively implement quality</w:t>
      </w:r>
      <w:r w:rsidR="00511661">
        <w:t xml:space="preserve"> and safe</w:t>
      </w:r>
      <w:r w:rsidRPr="00AD3EE6">
        <w:t xml:space="preserve"> practices. </w:t>
      </w:r>
    </w:p>
    <w:p w14:paraId="7C343C88" w14:textId="04032612" w:rsidR="00871FEA" w:rsidRPr="00AD3EE6" w:rsidRDefault="0082132C" w:rsidP="00232FED">
      <w:r>
        <w:t xml:space="preserve">Te </w:t>
      </w:r>
      <w:proofErr w:type="spellStart"/>
      <w:r>
        <w:t>Tāhū</w:t>
      </w:r>
      <w:proofErr w:type="spellEnd"/>
      <w:r>
        <w:t xml:space="preserve"> Hauora </w:t>
      </w:r>
      <w:proofErr w:type="gramStart"/>
      <w:r>
        <w:t xml:space="preserve">has the </w:t>
      </w:r>
      <w:r w:rsidR="00871FEA" w:rsidRPr="00AD3EE6">
        <w:t>opportunity to</w:t>
      </w:r>
      <w:proofErr w:type="gramEnd"/>
      <w:r w:rsidR="00871FEA" w:rsidRPr="00AD3EE6">
        <w:t xml:space="preserve"> increase the health sector</w:t>
      </w:r>
      <w:r w:rsidR="00BD495A" w:rsidRPr="00AD3EE6">
        <w:t>’</w:t>
      </w:r>
      <w:r w:rsidR="00871FEA" w:rsidRPr="00AD3EE6">
        <w:t xml:space="preserve">s awareness of </w:t>
      </w:r>
      <w:r w:rsidR="004D0249">
        <w:t xml:space="preserve">its </w:t>
      </w:r>
      <w:r w:rsidR="003C05B4" w:rsidRPr="00AD3EE6">
        <w:t>education programmes</w:t>
      </w:r>
      <w:r w:rsidR="00BB6778" w:rsidRPr="00AD3EE6">
        <w:t xml:space="preserve"> while continuing to </w:t>
      </w:r>
      <w:r w:rsidR="003C05B4" w:rsidRPr="00AD3EE6">
        <w:t>support the workforce in understanding and delivering quality improvement</w:t>
      </w:r>
      <w:r w:rsidR="00393D00" w:rsidRPr="00AD3EE6">
        <w:t xml:space="preserve"> across the country</w:t>
      </w:r>
      <w:r w:rsidR="003C05B4" w:rsidRPr="00AD3EE6">
        <w:t>.</w:t>
      </w:r>
    </w:p>
    <w:p w14:paraId="02AFAF86" w14:textId="77777777" w:rsidR="00C00276" w:rsidRDefault="00C00276">
      <w:pPr>
        <w:spacing w:after="200"/>
        <w:rPr>
          <w:rFonts w:eastAsiaTheme="majorEastAsia" w:cs="Arial"/>
          <w:b/>
          <w:noProof/>
          <w:color w:val="2C2568"/>
          <w:sz w:val="36"/>
          <w:szCs w:val="32"/>
          <w:lang w:eastAsia="en-NZ"/>
        </w:rPr>
      </w:pPr>
      <w:r>
        <w:br w:type="page"/>
      </w:r>
    </w:p>
    <w:p w14:paraId="75213E09" w14:textId="0A538605" w:rsidR="0032423A" w:rsidRPr="00AD3EE6" w:rsidRDefault="000368BC" w:rsidP="00355BD9">
      <w:pPr>
        <w:pStyle w:val="TeThHauorahead1"/>
      </w:pPr>
      <w:bookmarkStart w:id="19" w:name="_Toc137717502"/>
      <w:r w:rsidRPr="00AD3EE6">
        <w:lastRenderedPageBreak/>
        <w:t xml:space="preserve">Section </w:t>
      </w:r>
      <w:r w:rsidR="0049436C">
        <w:t>4</w:t>
      </w:r>
      <w:r w:rsidRPr="00AD3EE6">
        <w:t xml:space="preserve">: </w:t>
      </w:r>
      <w:r w:rsidR="00685BA4" w:rsidRPr="00AD3EE6">
        <w:t xml:space="preserve">Delivering </w:t>
      </w:r>
      <w:r w:rsidR="0047518F" w:rsidRPr="00AD3EE6">
        <w:t xml:space="preserve">on </w:t>
      </w:r>
      <w:r w:rsidR="0064465F">
        <w:t>p</w:t>
      </w:r>
      <w:r w:rsidR="0047518F" w:rsidRPr="00AD3EE6">
        <w:t xml:space="preserve">ae </w:t>
      </w:r>
      <w:r w:rsidR="0064465F">
        <w:t>o</w:t>
      </w:r>
      <w:r w:rsidR="0047518F" w:rsidRPr="00AD3EE6">
        <w:t>ra</w:t>
      </w:r>
      <w:r w:rsidR="009B5086">
        <w:t xml:space="preserve"> | </w:t>
      </w:r>
      <w:r w:rsidR="004C1D42" w:rsidRPr="004C1D42">
        <w:t xml:space="preserve">Wāhanga 4: </w:t>
      </w:r>
      <w:r w:rsidR="004C1D42">
        <w:br/>
      </w:r>
      <w:r w:rsidR="004C1D42" w:rsidRPr="004C1D42">
        <w:t>Te whakatinanatanga</w:t>
      </w:r>
      <w:bookmarkEnd w:id="19"/>
    </w:p>
    <w:p w14:paraId="6C4D5C50" w14:textId="58B5F28B" w:rsidR="00D76918" w:rsidRPr="00AD3EE6" w:rsidRDefault="0050153D" w:rsidP="00D76918">
      <w:r w:rsidRPr="00AD3EE6">
        <w:t>In this section</w:t>
      </w:r>
      <w:r w:rsidR="0082132C">
        <w:t>,</w:t>
      </w:r>
      <w:r w:rsidRPr="00AD3EE6">
        <w:t xml:space="preserve"> we consider how well Te </w:t>
      </w:r>
      <w:proofErr w:type="spellStart"/>
      <w:r w:rsidRPr="00AD3EE6">
        <w:t>Tāhū</w:t>
      </w:r>
      <w:proofErr w:type="spellEnd"/>
      <w:r w:rsidRPr="00AD3EE6">
        <w:t xml:space="preserve"> Hauora is positioned to </w:t>
      </w:r>
      <w:r w:rsidR="00844244" w:rsidRPr="00AD3EE6">
        <w:t>contribute to</w:t>
      </w:r>
      <w:r w:rsidRPr="00AD3EE6">
        <w:t xml:space="preserve"> the </w:t>
      </w:r>
      <w:r w:rsidR="00FF6EA1" w:rsidRPr="00AD3EE6">
        <w:t>vision of</w:t>
      </w:r>
      <w:r w:rsidRPr="00AD3EE6">
        <w:t xml:space="preserve"> </w:t>
      </w:r>
      <w:proofErr w:type="spellStart"/>
      <w:r w:rsidR="00931212" w:rsidRPr="00AD3EE6">
        <w:t>pae</w:t>
      </w:r>
      <w:proofErr w:type="spellEnd"/>
      <w:r w:rsidR="00931212" w:rsidRPr="00AD3EE6">
        <w:t xml:space="preserve"> </w:t>
      </w:r>
      <w:proofErr w:type="spellStart"/>
      <w:r w:rsidR="00931212" w:rsidRPr="00AD3EE6">
        <w:t>ora</w:t>
      </w:r>
      <w:proofErr w:type="spellEnd"/>
      <w:r w:rsidR="00931212" w:rsidRPr="00AD3EE6">
        <w:t xml:space="preserve"> (healthy futures) for all New Zealanders</w:t>
      </w:r>
      <w:r w:rsidR="005075FA" w:rsidRPr="00AD3EE6">
        <w:t xml:space="preserve"> and address</w:t>
      </w:r>
      <w:r w:rsidR="00D76918" w:rsidRPr="00AD3EE6">
        <w:t xml:space="preserve"> the persisting and emerging health </w:t>
      </w:r>
      <w:r w:rsidR="00560F85" w:rsidRPr="00AD3EE6">
        <w:t>issues and inequities w</w:t>
      </w:r>
      <w:r w:rsidR="00D76918" w:rsidRPr="00AD3EE6">
        <w:t>ithin Aotearoa New Zealand.</w:t>
      </w:r>
    </w:p>
    <w:p w14:paraId="20B93F45" w14:textId="570E1940" w:rsidR="00395EA9" w:rsidRPr="00AD3EE6" w:rsidRDefault="00DE5ABC" w:rsidP="00AA40AD">
      <w:r w:rsidRPr="00AD3EE6">
        <w:t>K</w:t>
      </w:r>
      <w:r w:rsidR="00AA40AD" w:rsidRPr="00AD3EE6">
        <w:t xml:space="preserve">ey leaders and staff consistently acknowledged the commendable efforts of Te </w:t>
      </w:r>
      <w:proofErr w:type="spellStart"/>
      <w:r w:rsidR="00AA40AD" w:rsidRPr="00AD3EE6">
        <w:t>Tāhū</w:t>
      </w:r>
      <w:proofErr w:type="spellEnd"/>
      <w:r w:rsidR="00AA40AD" w:rsidRPr="00AD3EE6">
        <w:t xml:space="preserve"> Hauora</w:t>
      </w:r>
      <w:r w:rsidR="00B53367" w:rsidRPr="00AD3EE6">
        <w:t xml:space="preserve"> over the</w:t>
      </w:r>
      <w:r w:rsidRPr="00AD3EE6">
        <w:t xml:space="preserve"> last few </w:t>
      </w:r>
      <w:r w:rsidR="00B53367" w:rsidRPr="00AD3EE6">
        <w:t>challenging years</w:t>
      </w:r>
      <w:r w:rsidR="00A53DAD" w:rsidRPr="00AD3EE6">
        <w:t>.</w:t>
      </w:r>
      <w:r w:rsidR="00AA40AD" w:rsidRPr="00AD3EE6">
        <w:t xml:space="preserve"> </w:t>
      </w:r>
      <w:r w:rsidR="001671F7" w:rsidRPr="00AD3EE6">
        <w:t>They</w:t>
      </w:r>
      <w:r w:rsidRPr="00AD3EE6">
        <w:t xml:space="preserve"> </w:t>
      </w:r>
      <w:r w:rsidR="00DB1E52" w:rsidRPr="00AD3EE6">
        <w:t xml:space="preserve">also </w:t>
      </w:r>
      <w:r w:rsidR="00AA40AD" w:rsidRPr="00AD3EE6">
        <w:t xml:space="preserve">provided </w:t>
      </w:r>
      <w:r w:rsidR="00345165" w:rsidRPr="00AD3EE6">
        <w:t xml:space="preserve">valuable </w:t>
      </w:r>
      <w:r w:rsidR="00271BE1" w:rsidRPr="00AD3EE6">
        <w:t xml:space="preserve">constructive </w:t>
      </w:r>
      <w:r w:rsidR="0016022D" w:rsidRPr="00AD3EE6">
        <w:t>criticism and advice</w:t>
      </w:r>
      <w:r w:rsidR="00AA40AD" w:rsidRPr="00AD3EE6">
        <w:t xml:space="preserve">, noting areas where clearer positioning and </w:t>
      </w:r>
      <w:r w:rsidR="006C190B" w:rsidRPr="00AD3EE6">
        <w:t xml:space="preserve">stronger, more </w:t>
      </w:r>
      <w:proofErr w:type="gramStart"/>
      <w:r w:rsidR="006C190B" w:rsidRPr="00AD3EE6">
        <w:t>robust</w:t>
      </w:r>
      <w:proofErr w:type="gramEnd"/>
      <w:r w:rsidR="006C190B" w:rsidRPr="00AD3EE6">
        <w:t xml:space="preserve"> and actionable commitment</w:t>
      </w:r>
      <w:r w:rsidR="00F0482C" w:rsidRPr="00AD3EE6">
        <w:t>s</w:t>
      </w:r>
      <w:r w:rsidR="006C190B" w:rsidRPr="00AD3EE6">
        <w:t xml:space="preserve"> </w:t>
      </w:r>
      <w:r w:rsidR="00CA3FBF" w:rsidRPr="00AD3EE6">
        <w:t>are required</w:t>
      </w:r>
      <w:r w:rsidR="00395EA9" w:rsidRPr="00AD3EE6">
        <w:t>.</w:t>
      </w:r>
      <w:r w:rsidR="00A13112" w:rsidRPr="00AD3EE6">
        <w:t xml:space="preserve"> Below</w:t>
      </w:r>
      <w:r w:rsidR="006C190B" w:rsidRPr="00AD3EE6">
        <w:t xml:space="preserve"> is an overview of the feedback provided</w:t>
      </w:r>
      <w:r w:rsidR="00A13112" w:rsidRPr="00AD3EE6">
        <w:t>.</w:t>
      </w:r>
    </w:p>
    <w:p w14:paraId="31148160" w14:textId="75AC1F83" w:rsidR="008E76E4" w:rsidRPr="00AD3EE6" w:rsidRDefault="00605685" w:rsidP="00355BD9">
      <w:pPr>
        <w:pStyle w:val="TeThHauorahead2"/>
      </w:pPr>
      <w:bookmarkStart w:id="20" w:name="_Toc137717503"/>
      <w:r w:rsidRPr="00AD3EE6">
        <w:t>C</w:t>
      </w:r>
      <w:r w:rsidR="008E76E4" w:rsidRPr="00AD3EE6">
        <w:t xml:space="preserve">learly define and strengthen </w:t>
      </w:r>
      <w:r w:rsidR="00DE5ABC" w:rsidRPr="00AD3EE6">
        <w:t xml:space="preserve">the </w:t>
      </w:r>
      <w:r w:rsidR="008E76E4" w:rsidRPr="00AD3EE6">
        <w:t>visibility of its unique role and position in the reformed health system</w:t>
      </w:r>
      <w:bookmarkEnd w:id="20"/>
    </w:p>
    <w:p w14:paraId="19E6C1C5" w14:textId="36B1CC64" w:rsidR="00453F4B" w:rsidRPr="00AD3EE6" w:rsidRDefault="00976243" w:rsidP="00453F4B">
      <w:r w:rsidRPr="00AD3EE6">
        <w:t>Many</w:t>
      </w:r>
      <w:r w:rsidR="00453F4B" w:rsidRPr="00AD3EE6">
        <w:t xml:space="preserve"> sector leaders acknowledged the accomplishments and valuable work of Te </w:t>
      </w:r>
      <w:proofErr w:type="spellStart"/>
      <w:r w:rsidR="00453F4B" w:rsidRPr="00AD3EE6">
        <w:t>Tāhū</w:t>
      </w:r>
      <w:proofErr w:type="spellEnd"/>
      <w:r w:rsidR="00453F4B" w:rsidRPr="00AD3EE6">
        <w:t xml:space="preserve"> Hauora</w:t>
      </w:r>
      <w:r w:rsidR="00AD223E" w:rsidRPr="00AD3EE6">
        <w:t>.</w:t>
      </w:r>
      <w:r w:rsidR="00453F4B" w:rsidRPr="00AD3EE6">
        <w:t xml:space="preserve"> </w:t>
      </w:r>
      <w:r w:rsidR="0082132C">
        <w:t>However, s</w:t>
      </w:r>
      <w:r w:rsidR="00AD223E" w:rsidRPr="00AD3EE6">
        <w:t>ome</w:t>
      </w:r>
      <w:r w:rsidR="00453F4B" w:rsidRPr="00AD3EE6">
        <w:t xml:space="preserve"> expressed uncertainty</w:t>
      </w:r>
      <w:r w:rsidR="00F46A32" w:rsidRPr="00AD3EE6">
        <w:t xml:space="preserve"> and concern </w:t>
      </w:r>
      <w:r w:rsidRPr="00AD3EE6">
        <w:t xml:space="preserve">about </w:t>
      </w:r>
      <w:r w:rsidR="00F46A32" w:rsidRPr="00AD3EE6">
        <w:t xml:space="preserve">the lack of role clarity </w:t>
      </w:r>
      <w:r w:rsidR="008073BF" w:rsidRPr="00AD3EE6">
        <w:t xml:space="preserve">for Te </w:t>
      </w:r>
      <w:proofErr w:type="spellStart"/>
      <w:r w:rsidR="008073BF" w:rsidRPr="00AD3EE6">
        <w:t>Tāhū</w:t>
      </w:r>
      <w:proofErr w:type="spellEnd"/>
      <w:r w:rsidR="008073BF" w:rsidRPr="00AD3EE6">
        <w:t xml:space="preserve"> Hauora </w:t>
      </w:r>
      <w:r w:rsidR="00F46A32" w:rsidRPr="00AD3EE6">
        <w:t>within the reformed health sector</w:t>
      </w:r>
      <w:r w:rsidR="005757D4" w:rsidRPr="00AD3EE6">
        <w:t xml:space="preserve"> in the context of </w:t>
      </w:r>
      <w:r w:rsidR="006B1B69" w:rsidRPr="00AD3EE6">
        <w:t>changed</w:t>
      </w:r>
      <w:r w:rsidR="00453F4B" w:rsidRPr="00AD3EE6">
        <w:t xml:space="preserve"> distribution of </w:t>
      </w:r>
      <w:r w:rsidR="00EA3485" w:rsidRPr="00AD3EE6">
        <w:t xml:space="preserve">functions </w:t>
      </w:r>
      <w:r w:rsidR="001051F4" w:rsidRPr="00AD3EE6">
        <w:t xml:space="preserve">for </w:t>
      </w:r>
      <w:r w:rsidR="00EF46BA" w:rsidRPr="00AD3EE6">
        <w:t>new and existing</w:t>
      </w:r>
      <w:r w:rsidR="001051F4" w:rsidRPr="00AD3EE6">
        <w:t xml:space="preserve"> agencies.</w:t>
      </w:r>
    </w:p>
    <w:p w14:paraId="0DC2461B" w14:textId="5D10D1B3" w:rsidR="00D078F2" w:rsidRPr="00AD3EE6" w:rsidRDefault="00D078F2" w:rsidP="00453F4B">
      <w:r w:rsidRPr="00AD3EE6">
        <w:t xml:space="preserve">Te </w:t>
      </w:r>
      <w:proofErr w:type="spellStart"/>
      <w:r w:rsidRPr="00AD3EE6">
        <w:t>Tāhū</w:t>
      </w:r>
      <w:proofErr w:type="spellEnd"/>
      <w:r w:rsidRPr="00AD3EE6">
        <w:t xml:space="preserve"> Hauora should strive to enhance its visibility and clarify its role as a prominent leader in the health sector. There is a significant opportunity for Te </w:t>
      </w:r>
      <w:proofErr w:type="spellStart"/>
      <w:r w:rsidRPr="00AD3EE6">
        <w:t>Tāhū</w:t>
      </w:r>
      <w:proofErr w:type="spellEnd"/>
      <w:r w:rsidRPr="00AD3EE6">
        <w:t xml:space="preserve"> Hauora to amplify its voice and increase its recognition to fulfil its potential more effectively.</w:t>
      </w:r>
    </w:p>
    <w:p w14:paraId="61FE91DA" w14:textId="519A7E98" w:rsidR="005F6257" w:rsidRPr="00C0268B" w:rsidRDefault="00A108DD" w:rsidP="00C0268B">
      <w:pPr>
        <w:spacing w:after="360"/>
      </w:pPr>
      <w:r>
        <w:rPr>
          <w:noProof/>
        </w:rPr>
        <mc:AlternateContent>
          <mc:Choice Requires="wps">
            <w:drawing>
              <wp:anchor distT="0" distB="0" distL="114300" distR="114300" simplePos="0" relativeHeight="251672577" behindDoc="1" locked="0" layoutInCell="1" allowOverlap="1" wp14:anchorId="3E89C90E" wp14:editId="2EF762A3">
                <wp:simplePos x="0" y="0"/>
                <wp:positionH relativeFrom="margin">
                  <wp:align>right</wp:align>
                </wp:positionH>
                <wp:positionV relativeFrom="paragraph">
                  <wp:posOffset>982949</wp:posOffset>
                </wp:positionV>
                <wp:extent cx="5712106" cy="486137"/>
                <wp:effectExtent l="0" t="0" r="3175" b="9525"/>
                <wp:wrapNone/>
                <wp:docPr id="11" name="Rectangle: Rounded Corners 11"/>
                <wp:cNvGraphicFramePr/>
                <a:graphic xmlns:a="http://schemas.openxmlformats.org/drawingml/2006/main">
                  <a:graphicData uri="http://schemas.microsoft.com/office/word/2010/wordprocessingShape">
                    <wps:wsp>
                      <wps:cNvSpPr/>
                      <wps:spPr>
                        <a:xfrm>
                          <a:off x="0" y="0"/>
                          <a:ext cx="5712106" cy="486137"/>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62147A3" id="Rectangle: Rounded Corners 11" o:spid="_x0000_s1026" style="position:absolute;margin-left:398.55pt;margin-top:77.4pt;width:449.75pt;height:38.3pt;z-index:-25164390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hakwIAAIUFAAAOAAAAZHJzL2Uyb0RvYy54bWysVEtv2zAMvg/YfxB0X/1Y0qZBnSJo0WFA&#10;0RZth54VWYoNyKImKa/9+lGS7bRdscOwHBRKJD+Sn0leXO47RbbCuhZ0RYuTnBKhOdStXlf0x/PN&#10;lxklzjNdMwVaVPQgHL1cfP50sTNzUUIDqhaWIIh2852paOO9mWeZ443omDsBIzQqJdiOebzadVZb&#10;tkP0TmVlnp9mO7C1scCFc/h6nZR0EfGlFNzfS+mEJ6qimJuPp43nKpzZ4oLN15aZpuV9GuwfsuhY&#10;qzHoCHXNPCMb2/4B1bXcggPpTzh0GUjZchFrwGqK/F01Tw0zItaC5Dgz0uT+Hyy/2z6ZB4s07Iyb&#10;OxRDFXtpu/CP+ZF9JOswkiX2nnB8nJ4VZZGfUsJRN5mdFl/PApvZ0dtY578J6EgQKmpho+tH/CKR&#10;KLa9dT7ZD3YhogPV1jetUvFi16srZcmW4dc7zyflrEi+yjQsvZbT/HzWx3XJPObwBkfpgKYh4KaQ&#10;4SU7Vhwlf1Ai2Cn9KCRpa6yxjOFiM4oxEca50D5l4hpWi5TJNMffkElo3+ARc4mAAVli/BG7Bxgs&#10;E8iAnbLs7YOriL08Oud/Syw5jx4xMmg/OnetBvsRgMKq+sjJfiApURNYWkF9eLDEQpokZ/hNi1/3&#10;ljn/wCyODg4ZrgN/j4dUsKso9BIlDdhfH70He+xo1FKyw1GsqPu5YVZQor5r7PXzYjIJsxsvk+lZ&#10;iRf7WrN6rdGb7gqwXwpcPIZHMdh7NYjSQveCW2MZoqKKaY6xK8q9HS5XPq0I3DtcLJfRDOfVMH+r&#10;nwwP4IHV0LjP+xdmTd/iHofjDoaxZfN3TZ5sg6eG5caDbOMEHHnt+cZZj43T76WwTF7fo9Vxey5+&#10;AwAA//8DAFBLAwQUAAYACAAAACEAvDxIIt0AAAAIAQAADwAAAGRycy9kb3ducmV2LnhtbEyPTU/D&#10;MAyG70j8h8hI3FjafaCtNJ0QBc6sgBC3rDVNtcSpmqwt/x5zgqP9Wq+fJ9/PzooRh9B5UpAuEhBI&#10;tW86ahW8vT7dbEGEqKnR1hMq+MYA++LyItdZ4yc64FjFVnAJhUwrMDH2mZShNuh0WPgeibMvPzgd&#10;eRxa2Qx64nJn5TJJbqXTHfEHo3t8MFifqrNTUMnycTyVz6tP7N9fysnYj7JNlbq+mu/vQESc498x&#10;/OIzOhTMdPRnaoKwClgk8nazZgGOt7vdBsRRwXKVrkEWufwvUPwAAAD//wMAUEsBAi0AFAAGAAgA&#10;AAAhALaDOJL+AAAA4QEAABMAAAAAAAAAAAAAAAAAAAAAAFtDb250ZW50X1R5cGVzXS54bWxQSwEC&#10;LQAUAAYACAAAACEAOP0h/9YAAACUAQAACwAAAAAAAAAAAAAAAAAvAQAAX3JlbHMvLnJlbHNQSwEC&#10;LQAUAAYACAAAACEA86NoWpMCAACFBQAADgAAAAAAAAAAAAAAAAAuAgAAZHJzL2Uyb0RvYy54bWxQ&#10;SwECLQAUAAYACAAAACEAvDxIIt0AAAAIAQAADwAAAAAAAAAAAAAAAADtBAAAZHJzL2Rvd25yZXYu&#10;eG1sUEsFBgAAAAAEAAQA8wAAAPcFAAAAAA==&#10;" fillcolor="#904281" stroked="f" strokeweight="2pt">
                <v:fill opacity="16448f"/>
                <w10:wrap anchorx="margin"/>
              </v:roundrect>
            </w:pict>
          </mc:Fallback>
        </mc:AlternateContent>
      </w:r>
      <w:r w:rsidR="00DD0A7E" w:rsidRPr="00AD3EE6">
        <w:t xml:space="preserve">It is essential </w:t>
      </w:r>
      <w:r w:rsidR="000A2AD5" w:rsidRPr="00AD3EE6">
        <w:t xml:space="preserve">that the distinct contributions and responsibilities </w:t>
      </w:r>
      <w:r w:rsidR="00F77116" w:rsidRPr="00AD3EE6">
        <w:t xml:space="preserve">of Te </w:t>
      </w:r>
      <w:proofErr w:type="spellStart"/>
      <w:r w:rsidR="00F77116" w:rsidRPr="00AD3EE6">
        <w:t>Tāhū</w:t>
      </w:r>
      <w:proofErr w:type="spellEnd"/>
      <w:r w:rsidR="00F77116" w:rsidRPr="00AD3EE6">
        <w:t xml:space="preserve"> Hauora </w:t>
      </w:r>
      <w:r w:rsidR="00DD0A7E" w:rsidRPr="00AD3EE6">
        <w:t>in system leadership, surveillance</w:t>
      </w:r>
      <w:r w:rsidR="00B951B2">
        <w:t xml:space="preserve"> and</w:t>
      </w:r>
      <w:r w:rsidR="00DD0A7E" w:rsidRPr="00AD3EE6">
        <w:t xml:space="preserve"> data analysis </w:t>
      </w:r>
      <w:r w:rsidR="00D84FC6" w:rsidRPr="00AD3EE6">
        <w:t xml:space="preserve">are </w:t>
      </w:r>
      <w:r w:rsidR="00DD0A7E" w:rsidRPr="00AD3EE6">
        <w:t>more precisely</w:t>
      </w:r>
      <w:r w:rsidR="00D84FC6" w:rsidRPr="00AD3EE6">
        <w:t xml:space="preserve"> </w:t>
      </w:r>
      <w:r w:rsidR="000A2AD5" w:rsidRPr="00AD3EE6">
        <w:t>defined</w:t>
      </w:r>
      <w:r w:rsidR="00471169" w:rsidRPr="00AD3EE6">
        <w:t xml:space="preserve"> by the organisation itself and</w:t>
      </w:r>
      <w:r w:rsidR="000A2AD5" w:rsidRPr="00AD3EE6">
        <w:t xml:space="preserve"> widely recognised and understood</w:t>
      </w:r>
      <w:r w:rsidR="00D84FC6" w:rsidRPr="00AD3EE6">
        <w:t xml:space="preserve"> by the wider health sector and the public. </w:t>
      </w:r>
      <w:r w:rsidR="000A2AD5" w:rsidRPr="00AD3EE6">
        <w:t>By i</w:t>
      </w:r>
      <w:r w:rsidR="00DD0A7E" w:rsidRPr="00AD3EE6">
        <w:t>ncreasing</w:t>
      </w:r>
      <w:r w:rsidR="000A2AD5" w:rsidRPr="00AD3EE6">
        <w:t xml:space="preserve"> its</w:t>
      </w:r>
      <w:r w:rsidR="00DD0A7E" w:rsidRPr="00AD3EE6">
        <w:t xml:space="preserve"> </w:t>
      </w:r>
      <w:r w:rsidR="00FF7009" w:rsidRPr="00AD3EE6">
        <w:t>visibility</w:t>
      </w:r>
      <w:r w:rsidR="00661841" w:rsidRPr="00AD3EE6">
        <w:t xml:space="preserve"> as a trusted evidence-based and neutral organisation</w:t>
      </w:r>
      <w:r w:rsidR="00D84FC6" w:rsidRPr="00AD3EE6">
        <w:t xml:space="preserve">, </w:t>
      </w:r>
      <w:r w:rsidR="000A2AD5" w:rsidRPr="00AD3EE6">
        <w:t xml:space="preserve">Te </w:t>
      </w:r>
      <w:proofErr w:type="spellStart"/>
      <w:r w:rsidR="000A2AD5" w:rsidRPr="00AD3EE6">
        <w:t>Tāhū</w:t>
      </w:r>
      <w:proofErr w:type="spellEnd"/>
      <w:r w:rsidR="000A2AD5" w:rsidRPr="00AD3EE6">
        <w:t xml:space="preserve"> Hauora can more effectively communicate its purpose and advocate for necessary changes.</w:t>
      </w:r>
      <w:r w:rsidRPr="00A108DD">
        <w:rPr>
          <w:noProof/>
        </w:rPr>
        <w:t xml:space="preserve"> </w:t>
      </w:r>
    </w:p>
    <w:p w14:paraId="00179828" w14:textId="0442B960" w:rsidR="00661841" w:rsidRPr="00AD3EE6" w:rsidRDefault="0082132C" w:rsidP="00C0268B">
      <w:pPr>
        <w:pStyle w:val="Quoteperfreview"/>
      </w:pPr>
      <w:r>
        <w:t>‘</w:t>
      </w:r>
      <w:r w:rsidR="00661841" w:rsidRPr="00AD3EE6">
        <w:t xml:space="preserve">Te </w:t>
      </w:r>
      <w:proofErr w:type="spellStart"/>
      <w:r w:rsidR="00661841" w:rsidRPr="00AD3EE6">
        <w:t>Tāhū</w:t>
      </w:r>
      <w:proofErr w:type="spellEnd"/>
      <w:r w:rsidR="00661841" w:rsidRPr="00AD3EE6">
        <w:t xml:space="preserve"> Hauora needs to be more vocal</w:t>
      </w:r>
      <w:r w:rsidR="00015E43" w:rsidRPr="00AD3EE6">
        <w:t xml:space="preserve"> and </w:t>
      </w:r>
      <w:r w:rsidR="00FF6569" w:rsidRPr="00AD3EE6">
        <w:t>be a voice on</w:t>
      </w:r>
      <w:r w:rsidR="00015E43" w:rsidRPr="00AD3EE6">
        <w:t xml:space="preserve"> the big issues</w:t>
      </w:r>
      <w:r w:rsidR="00B173B1" w:rsidRPr="00AD3EE6">
        <w:t>.</w:t>
      </w:r>
      <w:r>
        <w:t>’</w:t>
      </w:r>
    </w:p>
    <w:p w14:paraId="235452E8" w14:textId="7E2E4EBA" w:rsidR="00186F8A" w:rsidRPr="00AD3EE6" w:rsidRDefault="00760AF3" w:rsidP="00015E43">
      <w:r w:rsidRPr="00AD3EE6">
        <w:t>M</w:t>
      </w:r>
      <w:r w:rsidR="006F0611" w:rsidRPr="00AD3EE6">
        <w:t>any express</w:t>
      </w:r>
      <w:r w:rsidRPr="00AD3EE6">
        <w:t>ed</w:t>
      </w:r>
      <w:r w:rsidR="006F0611" w:rsidRPr="00AD3EE6">
        <w:t xml:space="preserve"> that Te </w:t>
      </w:r>
      <w:proofErr w:type="spellStart"/>
      <w:r w:rsidR="006F0611" w:rsidRPr="00AD3EE6">
        <w:t>Tāhū</w:t>
      </w:r>
      <w:proofErr w:type="spellEnd"/>
      <w:r w:rsidR="006F0611" w:rsidRPr="00AD3EE6">
        <w:t xml:space="preserve"> Hauora needs to be more assertive and courageous in </w:t>
      </w:r>
      <w:r w:rsidR="001505A6" w:rsidRPr="00AD3EE6">
        <w:t>calling out specific issues and risks in the system</w:t>
      </w:r>
      <w:r w:rsidR="00F83C75" w:rsidRPr="00AD3EE6">
        <w:t>.</w:t>
      </w:r>
      <w:r w:rsidR="001B610F" w:rsidRPr="00AD3EE6">
        <w:t xml:space="preserve"> </w:t>
      </w:r>
    </w:p>
    <w:p w14:paraId="54B3F9C8" w14:textId="40F69972" w:rsidR="00054E9B" w:rsidRPr="00AD3EE6" w:rsidRDefault="00054E9B" w:rsidP="00015E43">
      <w:r w:rsidRPr="00AD3EE6">
        <w:t xml:space="preserve">Te </w:t>
      </w:r>
      <w:proofErr w:type="spellStart"/>
      <w:r w:rsidRPr="00AD3EE6">
        <w:t>Tāhū</w:t>
      </w:r>
      <w:proofErr w:type="spellEnd"/>
      <w:r w:rsidRPr="00AD3EE6">
        <w:t xml:space="preserve"> Hauora plays a vital role in speaking out loudly about significant issues and applying pressure on the system to drive health quality improvements while maintaining its role as a friend to the sector through its strong relationships and convening power. This entails identifying and amplifying key quality </w:t>
      </w:r>
      <w:r w:rsidR="00511661">
        <w:t xml:space="preserve">and safety </w:t>
      </w:r>
      <w:r w:rsidRPr="00AD3EE6">
        <w:t>concerns across the broader issues of health when quality</w:t>
      </w:r>
      <w:r w:rsidR="00511661">
        <w:t xml:space="preserve"> and safety</w:t>
      </w:r>
      <w:r w:rsidRPr="00AD3EE6">
        <w:t xml:space="preserve"> issues are not adequately being addressed or there is unnecessary harm within the health system. </w:t>
      </w:r>
    </w:p>
    <w:p w14:paraId="4B78E33B" w14:textId="2A64A883" w:rsidR="001B610F" w:rsidRPr="00AD3EE6" w:rsidRDefault="0082132C" w:rsidP="001B610F">
      <w:r>
        <w:t xml:space="preserve">Although this </w:t>
      </w:r>
      <w:r w:rsidR="00054E9B" w:rsidRPr="00AD3EE6">
        <w:t>involves navigating the landscape with wisdom and understanding</w:t>
      </w:r>
      <w:r>
        <w:t>,</w:t>
      </w:r>
      <w:r w:rsidR="00054E9B" w:rsidRPr="00AD3EE6">
        <w:t xml:space="preserve"> by doing so, Te </w:t>
      </w:r>
      <w:proofErr w:type="spellStart"/>
      <w:r w:rsidR="00054E9B" w:rsidRPr="00AD3EE6">
        <w:t>Tāhū</w:t>
      </w:r>
      <w:proofErr w:type="spellEnd"/>
      <w:r w:rsidR="00054E9B" w:rsidRPr="00AD3EE6">
        <w:t xml:space="preserve"> Hauora </w:t>
      </w:r>
      <w:r>
        <w:t xml:space="preserve">will </w:t>
      </w:r>
      <w:r w:rsidR="00054E9B" w:rsidRPr="00AD3EE6">
        <w:t xml:space="preserve">reinforce its independence and reaffirm its role in supporting </w:t>
      </w:r>
      <w:r w:rsidR="003D2BBA" w:rsidRPr="00AD3EE6">
        <w:t xml:space="preserve">an </w:t>
      </w:r>
      <w:r w:rsidR="00054E9B" w:rsidRPr="00AD3EE6">
        <w:t xml:space="preserve">independent position within the system, as established by legislation. </w:t>
      </w:r>
    </w:p>
    <w:p w14:paraId="3FFD6670" w14:textId="64C7C566" w:rsidR="00605685" w:rsidRPr="00AD3EE6" w:rsidRDefault="004E55FB" w:rsidP="00355BD9">
      <w:pPr>
        <w:pStyle w:val="TeThHauorahead2"/>
      </w:pPr>
      <w:bookmarkStart w:id="21" w:name="_Toc137717504"/>
      <w:r w:rsidRPr="00AD3EE6">
        <w:lastRenderedPageBreak/>
        <w:t>Estab</w:t>
      </w:r>
      <w:r w:rsidR="009F0D19" w:rsidRPr="00AD3EE6">
        <w:t xml:space="preserve">lish </w:t>
      </w:r>
      <w:r w:rsidR="0082132C">
        <w:t xml:space="preserve">a </w:t>
      </w:r>
      <w:r w:rsidR="009F0D19" w:rsidRPr="00AD3EE6">
        <w:t>clear</w:t>
      </w:r>
      <w:r w:rsidR="008E76E4" w:rsidRPr="00AD3EE6">
        <w:t xml:space="preserve"> </w:t>
      </w:r>
      <w:r w:rsidR="002D5A3D" w:rsidRPr="00AD3EE6">
        <w:t xml:space="preserve">evidence-based </w:t>
      </w:r>
      <w:r w:rsidR="008E76E4" w:rsidRPr="00AD3EE6">
        <w:t>process to drive quality improvement prioritisation and initiatives</w:t>
      </w:r>
      <w:bookmarkEnd w:id="21"/>
      <w:r w:rsidR="008E76E4" w:rsidRPr="00AD3EE6">
        <w:t xml:space="preserve"> </w:t>
      </w:r>
    </w:p>
    <w:p w14:paraId="7B19F245" w14:textId="7D751FAD" w:rsidR="00426E5A" w:rsidRPr="00AD3EE6" w:rsidRDefault="00426E5A" w:rsidP="00426E5A">
      <w:r w:rsidRPr="00AD3EE6">
        <w:t xml:space="preserve">Te </w:t>
      </w:r>
      <w:proofErr w:type="spellStart"/>
      <w:r w:rsidRPr="00AD3EE6">
        <w:t>Tāhū</w:t>
      </w:r>
      <w:proofErr w:type="spellEnd"/>
      <w:r w:rsidRPr="00AD3EE6">
        <w:t xml:space="preserve"> Hauora must establish a well-defined and evidence-based process to drive the prioritisation and implementation of quality improvement initiatives</w:t>
      </w:r>
      <w:r w:rsidR="00520D5A" w:rsidRPr="00AD3EE6">
        <w:t xml:space="preserve"> within the organisation</w:t>
      </w:r>
      <w:r w:rsidRPr="00AD3EE6">
        <w:t xml:space="preserve">. This approach is crucial to ensure that all areas </w:t>
      </w:r>
      <w:r w:rsidR="00520D5A" w:rsidRPr="00AD3EE6">
        <w:t xml:space="preserve">of Te </w:t>
      </w:r>
      <w:proofErr w:type="spellStart"/>
      <w:r w:rsidR="00520D5A" w:rsidRPr="00AD3EE6">
        <w:t>Tāhū</w:t>
      </w:r>
      <w:proofErr w:type="spellEnd"/>
      <w:r w:rsidR="00520D5A" w:rsidRPr="00AD3EE6">
        <w:t xml:space="preserve"> Hauora </w:t>
      </w:r>
      <w:r w:rsidRPr="00AD3EE6">
        <w:t xml:space="preserve">are aligned in their efforts, speaking collectively with </w:t>
      </w:r>
      <w:r w:rsidR="00520D5A" w:rsidRPr="00AD3EE6">
        <w:t>one voice.</w:t>
      </w:r>
    </w:p>
    <w:p w14:paraId="726217F2" w14:textId="191DF0E5" w:rsidR="00635590" w:rsidRPr="00AD3EE6" w:rsidRDefault="00C70F57" w:rsidP="00B31D39">
      <w:r w:rsidRPr="00AD3EE6">
        <w:t xml:space="preserve">During our interviews, it became evident that many stakeholders were uncertain about how Te </w:t>
      </w:r>
      <w:proofErr w:type="spellStart"/>
      <w:r w:rsidRPr="00AD3EE6">
        <w:t>Tāhū</w:t>
      </w:r>
      <w:proofErr w:type="spellEnd"/>
      <w:r w:rsidRPr="00AD3EE6">
        <w:t xml:space="preserve"> Hauora </w:t>
      </w:r>
      <w:r w:rsidR="00AA453F" w:rsidRPr="00AD3EE6">
        <w:t xml:space="preserve">approaches or </w:t>
      </w:r>
      <w:r w:rsidR="008C77A4" w:rsidRPr="00AD3EE6">
        <w:t xml:space="preserve">prioritises incoming work </w:t>
      </w:r>
      <w:r w:rsidR="0012799D" w:rsidRPr="00AD3EE6">
        <w:t>and determines its focus for areas of deep dive.</w:t>
      </w:r>
    </w:p>
    <w:p w14:paraId="2A385E4C" w14:textId="2E607EE9" w:rsidR="00BB01B3" w:rsidRPr="00AD3EE6" w:rsidRDefault="00A762E9" w:rsidP="00B31D39">
      <w:r w:rsidRPr="00AD3EE6">
        <w:t>A</w:t>
      </w:r>
      <w:r w:rsidR="002C02E7" w:rsidRPr="00AD3EE6">
        <w:t xml:space="preserve"> great deal of feedback </w:t>
      </w:r>
      <w:r w:rsidRPr="00AD3EE6">
        <w:t xml:space="preserve">from </w:t>
      </w:r>
      <w:r w:rsidR="008D4E27" w:rsidRPr="00AD3EE6">
        <w:t>s</w:t>
      </w:r>
      <w:r w:rsidR="00C70F57" w:rsidRPr="00AD3EE6">
        <w:t>taff members</w:t>
      </w:r>
      <w:r w:rsidR="007C7421" w:rsidRPr="00AD3EE6">
        <w:t xml:space="preserve"> emphasised</w:t>
      </w:r>
      <w:r w:rsidR="00C70F57" w:rsidRPr="00AD3EE6">
        <w:t xml:space="preserve"> the lack of transparency </w:t>
      </w:r>
      <w:r w:rsidR="00584BFE" w:rsidRPr="00AD3EE6">
        <w:t xml:space="preserve">or </w:t>
      </w:r>
      <w:r w:rsidR="0091373B" w:rsidRPr="00AD3EE6">
        <w:t xml:space="preserve">clear </w:t>
      </w:r>
      <w:r w:rsidR="00584BFE" w:rsidRPr="00AD3EE6">
        <w:t xml:space="preserve">process </w:t>
      </w:r>
      <w:r w:rsidR="00C70F57" w:rsidRPr="00AD3EE6">
        <w:t>in the organisation</w:t>
      </w:r>
      <w:r w:rsidR="001426A2">
        <w:t>’</w:t>
      </w:r>
      <w:r w:rsidR="00C70F57" w:rsidRPr="00AD3EE6">
        <w:t xml:space="preserve">s prioritisation </w:t>
      </w:r>
      <w:r w:rsidR="00584BFE" w:rsidRPr="00AD3EE6">
        <w:t>of its work or initiatives</w:t>
      </w:r>
      <w:r w:rsidR="00C70F57" w:rsidRPr="00AD3EE6">
        <w:t xml:space="preserve">, </w:t>
      </w:r>
      <w:r w:rsidR="0091373B" w:rsidRPr="00AD3EE6">
        <w:t xml:space="preserve">especially regarding Māori health or equity, </w:t>
      </w:r>
      <w:r w:rsidR="00C70F57" w:rsidRPr="00AD3EE6">
        <w:t xml:space="preserve">noting that </w:t>
      </w:r>
      <w:r w:rsidR="00BB01B3" w:rsidRPr="00AD3EE6">
        <w:t>an</w:t>
      </w:r>
      <w:r w:rsidR="00C70F57" w:rsidRPr="00AD3EE6">
        <w:t xml:space="preserve"> existing framework is not </w:t>
      </w:r>
      <w:r w:rsidR="0082132C">
        <w:t xml:space="preserve">used </w:t>
      </w:r>
      <w:r w:rsidR="00C70F57" w:rsidRPr="00AD3EE6">
        <w:t xml:space="preserve">effectively. </w:t>
      </w:r>
    </w:p>
    <w:p w14:paraId="0061A72D" w14:textId="0ACC596B" w:rsidR="007C7421" w:rsidRPr="00AD3EE6" w:rsidRDefault="007C7421" w:rsidP="007C7421">
      <w:r w:rsidRPr="00AD3EE6">
        <w:t xml:space="preserve">In addition, </w:t>
      </w:r>
      <w:r w:rsidR="007925E7" w:rsidRPr="00AD3EE6">
        <w:t xml:space="preserve">several staff members placed strong emphasis on </w:t>
      </w:r>
      <w:r w:rsidRPr="00AD3EE6">
        <w:t xml:space="preserve">the importance of </w:t>
      </w:r>
      <w:r w:rsidR="0082132C">
        <w:t>incorporating</w:t>
      </w:r>
      <w:r w:rsidR="0082132C" w:rsidRPr="00AD3EE6">
        <w:t xml:space="preserve"> </w:t>
      </w:r>
      <w:r w:rsidRPr="00AD3EE6">
        <w:t xml:space="preserve">mortality review findings into </w:t>
      </w:r>
      <w:r w:rsidR="00EF33F8">
        <w:t xml:space="preserve">the </w:t>
      </w:r>
      <w:r w:rsidRPr="00AD3EE6">
        <w:t xml:space="preserve">decision-making processes </w:t>
      </w:r>
      <w:r w:rsidR="00EF33F8">
        <w:t xml:space="preserve">of </w:t>
      </w:r>
      <w:r w:rsidR="00EF33F8" w:rsidRPr="00AD3EE6">
        <w:t xml:space="preserve">Te </w:t>
      </w:r>
      <w:proofErr w:type="spellStart"/>
      <w:r w:rsidR="00EF33F8" w:rsidRPr="00AD3EE6">
        <w:t>Tāhū</w:t>
      </w:r>
      <w:proofErr w:type="spellEnd"/>
      <w:r w:rsidR="00EF33F8" w:rsidRPr="00AD3EE6">
        <w:t xml:space="preserve"> Hauora</w:t>
      </w:r>
      <w:r w:rsidR="00EF33F8">
        <w:t xml:space="preserve"> </w:t>
      </w:r>
      <w:r w:rsidR="0006335B">
        <w:t>t</w:t>
      </w:r>
      <w:r w:rsidRPr="00AD3EE6">
        <w:t>o drive areas for quality improvement initiatives and prioritise actions</w:t>
      </w:r>
      <w:r w:rsidR="0082132C">
        <w:t>, both</w:t>
      </w:r>
      <w:r w:rsidRPr="00AD3EE6">
        <w:t xml:space="preserve"> within Te </w:t>
      </w:r>
      <w:proofErr w:type="spellStart"/>
      <w:r w:rsidRPr="00AD3EE6">
        <w:t>Tāhū</w:t>
      </w:r>
      <w:proofErr w:type="spellEnd"/>
      <w:r w:rsidRPr="00AD3EE6">
        <w:t xml:space="preserve"> Hauora and </w:t>
      </w:r>
      <w:r w:rsidR="0082132C">
        <w:t xml:space="preserve">to </w:t>
      </w:r>
      <w:r w:rsidRPr="00AD3EE6">
        <w:t xml:space="preserve">champion throughout the sector. </w:t>
      </w:r>
    </w:p>
    <w:p w14:paraId="21AD3BA3" w14:textId="21909641" w:rsidR="00880D10" w:rsidRPr="00AD3EE6" w:rsidRDefault="00BB01B3" w:rsidP="0091373B">
      <w:r w:rsidRPr="00AD3EE6">
        <w:t>To address this issue, s</w:t>
      </w:r>
      <w:r w:rsidR="008D342A" w:rsidRPr="00AD3EE6">
        <w:t xml:space="preserve">taff highlighted that a structured process, with transparent mechanisms and criteria, should be established to ensure that Māori health and </w:t>
      </w:r>
      <w:r w:rsidR="00AD2E24" w:rsidRPr="00AD3EE6">
        <w:t xml:space="preserve">health </w:t>
      </w:r>
      <w:r w:rsidR="008D342A" w:rsidRPr="00AD3EE6">
        <w:t xml:space="preserve">equity are given the necessary attention and resources. </w:t>
      </w:r>
      <w:r w:rsidR="0073450B" w:rsidRPr="00AD3EE6">
        <w:t>The outstanding needs of specific population groups are clearly evidenced by data</w:t>
      </w:r>
      <w:r w:rsidR="0082132C">
        <w:t>,</w:t>
      </w:r>
      <w:r w:rsidR="0073450B" w:rsidRPr="00AD3EE6">
        <w:t xml:space="preserve"> and Māori, Pacific </w:t>
      </w:r>
      <w:r w:rsidR="0082132C">
        <w:t xml:space="preserve">and </w:t>
      </w:r>
      <w:r w:rsidR="0073450B" w:rsidRPr="00AD3EE6">
        <w:t xml:space="preserve">disabled people and </w:t>
      </w:r>
      <w:r w:rsidR="008043FE" w:rsidRPr="00AD3EE6">
        <w:t>LGBT</w:t>
      </w:r>
      <w:r w:rsidR="008043FE">
        <w:t>T</w:t>
      </w:r>
      <w:r w:rsidR="008043FE" w:rsidRPr="00AD3EE6">
        <w:t>Q</w:t>
      </w:r>
      <w:r w:rsidR="008043FE">
        <w:t>IA</w:t>
      </w:r>
      <w:r w:rsidR="008043FE" w:rsidRPr="00AD3EE6">
        <w:t>+</w:t>
      </w:r>
      <w:r w:rsidR="0073450B" w:rsidRPr="00AD3EE6">
        <w:t xml:space="preserve"> populations do not have equitable health outcomes</w:t>
      </w:r>
      <w:r w:rsidR="0082132C">
        <w:t>.</w:t>
      </w:r>
    </w:p>
    <w:p w14:paraId="7137EE8B" w14:textId="531FF8F1" w:rsidR="006B314F" w:rsidRPr="00AD3EE6" w:rsidRDefault="00A108DD" w:rsidP="00A108DD">
      <w:pPr>
        <w:spacing w:after="360"/>
      </w:pPr>
      <w:r>
        <w:rPr>
          <w:noProof/>
        </w:rPr>
        <mc:AlternateContent>
          <mc:Choice Requires="wps">
            <w:drawing>
              <wp:anchor distT="0" distB="0" distL="114300" distR="114300" simplePos="0" relativeHeight="251674625" behindDoc="1" locked="0" layoutInCell="1" allowOverlap="1" wp14:anchorId="6490B1D6" wp14:editId="1BEEF0E0">
                <wp:simplePos x="0" y="0"/>
                <wp:positionH relativeFrom="margin">
                  <wp:posOffset>0</wp:posOffset>
                </wp:positionH>
                <wp:positionV relativeFrom="paragraph">
                  <wp:posOffset>797723</wp:posOffset>
                </wp:positionV>
                <wp:extent cx="5711825" cy="485775"/>
                <wp:effectExtent l="0" t="0" r="3175" b="9525"/>
                <wp:wrapNone/>
                <wp:docPr id="12" name="Rectangle: Rounded Corners 12"/>
                <wp:cNvGraphicFramePr/>
                <a:graphic xmlns:a="http://schemas.openxmlformats.org/drawingml/2006/main">
                  <a:graphicData uri="http://schemas.microsoft.com/office/word/2010/wordprocessingShape">
                    <wps:wsp>
                      <wps:cNvSpPr/>
                      <wps:spPr>
                        <a:xfrm>
                          <a:off x="0" y="0"/>
                          <a:ext cx="5711825" cy="485775"/>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83B6991" id="Rectangle: Rounded Corners 12" o:spid="_x0000_s1026" style="position:absolute;margin-left:0;margin-top:62.8pt;width:449.75pt;height:38.25pt;z-index:-25164185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TvkwIAAIUFAAAOAAAAZHJzL2Uyb0RvYy54bWysVE1v2zAMvQ/YfxB0X/2BeEmDOkXQosOA&#10;oi3aDj0rshwbkEVNUuJkv36UZDttV+wwLAeFEslH8pnkxeWhk2QvjG1BlTQ7SykRikPVqm1Jfzzf&#10;fFlQYh1TFZOgREmPwtLL1edPF71eihwakJUwBEGUXfa6pI1zepkkljeiY/YMtFCorMF0zOHVbJPK&#10;sB7RO5nkafo16cFU2gAX1uLrdVTSVcCva8HdfV1b4YgsKebmwmnCufFnsrpgy61humn5kAb7hyw6&#10;1ioMOkFdM8fIzrR/QHUtN2ChdmccugTquuUi1IDVZOm7ap4apkWoBcmxeqLJ/j9Yfrd/0g8Gaei1&#10;XVoUfRWH2nT+H/Mjh0DWcSJLHBzh+FjMs2yRF5Rw1M0WxXxeeDaTk7c21n0T0BEvlNTATlWP+EUC&#10;UWx/a120H+18RAuyrW5aKcPFbDdX0pA9w693ns7yRRZ9pW5YfM2L9HwxxLXRPOTwBkcqj6bA48aQ&#10;/iU5VRwkd5TC20n1KGrSVlhjHsKFZhRTIoxzoVzMxDasEjGTIsXfmIlvX+8RcgmAHrnG+BP2ADBa&#10;RpARO2Y52HtXEXp5ck7/llh0njxCZFBucu5aBeYjAIlVDZGj/UhSpMaztIHq+GCIgThJVvObFr/u&#10;LbPugRkcHRwyXAfuHo9aQl9SGCRKGjC/Pnr39tjRqKWkx1Esqf25Y0ZQIr8r7PXzbDbzsxsus2Ke&#10;48W81mxea9SuuwLslwwXj+ZB9PZOjmJtoHvBrbH2UVHFFMfYJeXOjJcrF1cE7h0u1utghvOqmbtV&#10;T5p7cM+qb9znwwszemhxh8NxB+PYsuW7Jo+23lPBeuegbsMEnHgd+MZZD40z7CW/TF7fg9Vpe65+&#10;AwAA//8DAFBLAwQUAAYACAAAACEAbWRXH90AAAAIAQAADwAAAGRycy9kb3ducmV2LnhtbEyPwU7D&#10;MBBE70j8g7VI3KiToFZtiFMhApwhgBA3N17iqPE6it0k/D3LiR5nZzXzptgvrhcTjqHzpCBdJSCQ&#10;Gm86ahW8vz3dbEGEqMno3hMq+MEA+/LyotC58TO94lTHVnAIhVwrsDEOuZShseh0WPkBib1vPzod&#10;WY6tNKOeOdz1MkuSjXS6I26wesAHi82xPjkFtawep2P1fPuFw8dLNdv+s2pTpa6vlvs7EBGX+P8M&#10;f/iMDiUzHfyJTBC9Ah4S+ZqtNyDY3u52axAHBVmSpSDLQp4PKH8BAAD//wMAUEsBAi0AFAAGAAgA&#10;AAAhALaDOJL+AAAA4QEAABMAAAAAAAAAAAAAAAAAAAAAAFtDb250ZW50X1R5cGVzXS54bWxQSwEC&#10;LQAUAAYACAAAACEAOP0h/9YAAACUAQAACwAAAAAAAAAAAAAAAAAvAQAAX3JlbHMvLnJlbHNQSwEC&#10;LQAUAAYACAAAACEAwml075MCAACFBQAADgAAAAAAAAAAAAAAAAAuAgAAZHJzL2Uyb0RvYy54bWxQ&#10;SwECLQAUAAYACAAAACEAbWRXH90AAAAIAQAADwAAAAAAAAAAAAAAAADtBAAAZHJzL2Rvd25yZXYu&#10;eG1sUEsFBgAAAAAEAAQA8wAAAPcFAAAAAA==&#10;" fillcolor="#904281" stroked="f" strokeweight="2pt">
                <v:fill opacity="16448f"/>
                <w10:wrap anchorx="margin"/>
              </v:roundrect>
            </w:pict>
          </mc:Fallback>
        </mc:AlternateContent>
      </w:r>
      <w:r w:rsidR="00C27400" w:rsidRPr="00AD3EE6">
        <w:t>Given the growing size of the organisation, i</w:t>
      </w:r>
      <w:r w:rsidR="0091373B" w:rsidRPr="00AD3EE6">
        <w:t xml:space="preserve">t is imperative that the leadership and staff of Te </w:t>
      </w:r>
      <w:proofErr w:type="spellStart"/>
      <w:r w:rsidR="0091373B" w:rsidRPr="00AD3EE6">
        <w:t>Tāhū</w:t>
      </w:r>
      <w:proofErr w:type="spellEnd"/>
      <w:r w:rsidR="0091373B" w:rsidRPr="00AD3EE6">
        <w:t xml:space="preserve"> Hauora </w:t>
      </w:r>
      <w:r w:rsidR="00DA5A1D" w:rsidRPr="00AD3EE6">
        <w:t xml:space="preserve">have </w:t>
      </w:r>
      <w:r w:rsidR="007872BB" w:rsidRPr="00AD3EE6">
        <w:t>clear guidelines and rationale for its focus areas, and</w:t>
      </w:r>
      <w:r w:rsidR="0091373B" w:rsidRPr="00AD3EE6">
        <w:t xml:space="preserve"> that Te </w:t>
      </w:r>
      <w:proofErr w:type="spellStart"/>
      <w:r w:rsidR="0091373B" w:rsidRPr="00AD3EE6">
        <w:t>Tiriti</w:t>
      </w:r>
      <w:proofErr w:type="spellEnd"/>
      <w:r w:rsidR="0091373B" w:rsidRPr="00AD3EE6">
        <w:t xml:space="preserve"> o Waitangi and equity </w:t>
      </w:r>
      <w:r w:rsidR="008043FE">
        <w:t xml:space="preserve">are prioritised </w:t>
      </w:r>
      <w:r w:rsidR="0091373B" w:rsidRPr="00AD3EE6">
        <w:t xml:space="preserve">across all aspects of the organisation, from its day-to-day activities to its long-term initiatives. </w:t>
      </w:r>
    </w:p>
    <w:p w14:paraId="41F7EC87" w14:textId="228347AD" w:rsidR="0027488E" w:rsidRPr="00AD3EE6" w:rsidRDefault="008043FE" w:rsidP="00A108DD">
      <w:pPr>
        <w:pStyle w:val="Quoteperfreview"/>
      </w:pPr>
      <w:r>
        <w:t>‘</w:t>
      </w:r>
      <w:r w:rsidR="0027488E" w:rsidRPr="00AD3EE6">
        <w:t>If it’s not focused on equity, we shouldn’t be doing it.</w:t>
      </w:r>
      <w:r>
        <w:t>’</w:t>
      </w:r>
    </w:p>
    <w:p w14:paraId="0B78E612" w14:textId="755E693B" w:rsidR="0091373B" w:rsidRPr="00AD3EE6" w:rsidRDefault="00D70183" w:rsidP="0091373B">
      <w:r w:rsidRPr="00AD3EE6">
        <w:t xml:space="preserve">This includes the need for Te </w:t>
      </w:r>
      <w:proofErr w:type="spellStart"/>
      <w:r w:rsidRPr="00AD3EE6">
        <w:t>Tāhū</w:t>
      </w:r>
      <w:proofErr w:type="spellEnd"/>
      <w:r w:rsidRPr="00AD3EE6">
        <w:t xml:space="preserve"> Hauora to </w:t>
      </w:r>
      <w:r w:rsidR="00284719" w:rsidRPr="00AD3EE6">
        <w:t>establish</w:t>
      </w:r>
      <w:r w:rsidRPr="00AD3EE6">
        <w:t xml:space="preserve"> a well-defined framework and action plan </w:t>
      </w:r>
      <w:r w:rsidR="00BF094F" w:rsidRPr="00AD3EE6">
        <w:t xml:space="preserve">to </w:t>
      </w:r>
      <w:r w:rsidR="00880D10" w:rsidRPr="00AD3EE6">
        <w:t>advance its strategic priorities</w:t>
      </w:r>
      <w:r w:rsidR="001B6587" w:rsidRPr="00AD3EE6">
        <w:t>,</w:t>
      </w:r>
      <w:r w:rsidR="009865B7" w:rsidRPr="00AD3EE6">
        <w:t xml:space="preserve"> </w:t>
      </w:r>
      <w:r w:rsidR="004F56E1" w:rsidRPr="00AD3EE6">
        <w:t xml:space="preserve">Te </w:t>
      </w:r>
      <w:proofErr w:type="spellStart"/>
      <w:r w:rsidR="004F56E1" w:rsidRPr="00AD3EE6">
        <w:t>Tiriti</w:t>
      </w:r>
      <w:proofErr w:type="spellEnd"/>
      <w:r w:rsidR="004F56E1" w:rsidRPr="00AD3EE6">
        <w:t xml:space="preserve"> o Waitangi and </w:t>
      </w:r>
      <w:r w:rsidR="001829FF" w:rsidRPr="00AD3EE6">
        <w:t xml:space="preserve">health </w:t>
      </w:r>
      <w:r w:rsidR="004F56E1" w:rsidRPr="00AD3EE6">
        <w:t>equity</w:t>
      </w:r>
      <w:r w:rsidR="00880D10" w:rsidRPr="00AD3EE6">
        <w:t xml:space="preserve">, </w:t>
      </w:r>
      <w:r w:rsidR="00ED7494" w:rsidRPr="00AD3EE6">
        <w:t>and</w:t>
      </w:r>
      <w:r w:rsidR="00880D10" w:rsidRPr="00AD3EE6">
        <w:t xml:space="preserve"> </w:t>
      </w:r>
      <w:r w:rsidRPr="00AD3EE6">
        <w:t xml:space="preserve">evaluate </w:t>
      </w:r>
      <w:r w:rsidR="00880D10" w:rsidRPr="00AD3EE6">
        <w:t xml:space="preserve">its </w:t>
      </w:r>
      <w:r w:rsidRPr="00AD3EE6">
        <w:t xml:space="preserve">progress </w:t>
      </w:r>
      <w:r w:rsidR="00ED7494" w:rsidRPr="00AD3EE6">
        <w:t xml:space="preserve">to </w:t>
      </w:r>
      <w:r w:rsidRPr="00AD3EE6">
        <w:t>ensure accountability.</w:t>
      </w:r>
    </w:p>
    <w:p w14:paraId="676B7442" w14:textId="7189519E" w:rsidR="008E76E4" w:rsidRPr="00AD3EE6" w:rsidRDefault="00AF3656" w:rsidP="00355BD9">
      <w:pPr>
        <w:pStyle w:val="TeThHauorahead2"/>
      </w:pPr>
      <w:bookmarkStart w:id="22" w:name="_Toc137717505"/>
      <w:r w:rsidRPr="00AD3EE6">
        <w:t>Advance</w:t>
      </w:r>
      <w:r w:rsidR="008E76E4" w:rsidRPr="00AD3EE6">
        <w:t xml:space="preserve"> from </w:t>
      </w:r>
      <w:r w:rsidR="00605685" w:rsidRPr="00AD3EE6">
        <w:t>‘</w:t>
      </w:r>
      <w:r w:rsidR="008E76E4" w:rsidRPr="00AD3EE6">
        <w:t>shining the light</w:t>
      </w:r>
      <w:r w:rsidR="00605685" w:rsidRPr="00AD3EE6">
        <w:t>’</w:t>
      </w:r>
      <w:r w:rsidR="008E76E4" w:rsidRPr="00AD3EE6">
        <w:t xml:space="preserve"> to ‘leading out with influence’</w:t>
      </w:r>
      <w:bookmarkEnd w:id="22"/>
    </w:p>
    <w:p w14:paraId="706D2DEC" w14:textId="35C2BED2" w:rsidR="00391F86" w:rsidRPr="00AD3EE6" w:rsidRDefault="009B3F59" w:rsidP="009B3F59">
      <w:pPr>
        <w:spacing w:after="360"/>
      </w:pPr>
      <w:r>
        <w:rPr>
          <w:noProof/>
        </w:rPr>
        <mc:AlternateContent>
          <mc:Choice Requires="wps">
            <w:drawing>
              <wp:anchor distT="0" distB="0" distL="114300" distR="114300" simplePos="0" relativeHeight="251676673" behindDoc="1" locked="0" layoutInCell="1" allowOverlap="1" wp14:anchorId="7C766FA3" wp14:editId="237B45FF">
                <wp:simplePos x="0" y="0"/>
                <wp:positionH relativeFrom="margin">
                  <wp:align>left</wp:align>
                </wp:positionH>
                <wp:positionV relativeFrom="paragraph">
                  <wp:posOffset>1019766</wp:posOffset>
                </wp:positionV>
                <wp:extent cx="5711825" cy="814812"/>
                <wp:effectExtent l="0" t="0" r="3175" b="4445"/>
                <wp:wrapNone/>
                <wp:docPr id="13" name="Rectangle: Rounded Corners 13"/>
                <wp:cNvGraphicFramePr/>
                <a:graphic xmlns:a="http://schemas.openxmlformats.org/drawingml/2006/main">
                  <a:graphicData uri="http://schemas.microsoft.com/office/word/2010/wordprocessingShape">
                    <wps:wsp>
                      <wps:cNvSpPr/>
                      <wps:spPr>
                        <a:xfrm>
                          <a:off x="0" y="0"/>
                          <a:ext cx="5711825" cy="814812"/>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2586C397" id="Rectangle: Rounded Corners 13" o:spid="_x0000_s1026" style="position:absolute;margin-left:0;margin-top:80.3pt;width:449.75pt;height:64.15pt;z-index:-251639807;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54kgIAAIUFAAAOAAAAZHJzL2Uyb0RvYy54bWysVE1v2zAMvQ/YfxB0X/2BZE2DOkXQosOA&#10;oivaDj0rshQbkEVNUuJkv36UZDtdV+wwLAeFEslH8pnk5dWhU2QvrGtBV7Q4yykRmkPd6m1Fvz/f&#10;flpQ4jzTNVOgRUWPwtGr1ccPl71ZihIaULWwBEG0W/amoo33ZplljjeiY+4MjNColGA75vFqt1lt&#10;WY/oncrKPP+c9WBrY4EL5/D1JinpKuJLKbj/JqUTnqiKYm4+njaem3Bmq0u23FpmmpYPabB/yKJj&#10;rcagE9QN84zsbPsHVNdyCw6kP+PQZSBly0WsAasp8jfVPDXMiFgLkuPMRJP7f7D8fv9kHizS0Bu3&#10;dCiGKg7SduEf8yOHSNZxIkscPOH4OD8vikU5p4SjblHMFkUZ2MxO3sY6/0VAR4JQUQs7XT/iF4lE&#10;sf2d88l+tAsRHai2vm2Vihe73VwrS/YMv95FPisXRfJVpmHptZznF4shrkvmMYffcJQOaBoCbgoZ&#10;XrJTxVHyRyWCndKPQpK2xhrLGC42o5gSYZwL7VMmrmG1SJnMc/yNmYT2DR4xlwgYkCXGn7AHgNEy&#10;gYzYKcvBPriK2MuTc/63xJLz5BEjg/aTc9dqsO8BKKxqiJzsR5ISNYGlDdTHB0sspElyht+2+HXv&#10;mPMPzOLo4JDhOvDf8JAK+orCIFHSgP353nuwx45GLSU9jmJF3Y8ds4IS9VVjr18Us1mY3XiZzc9L&#10;vNjXms1rjd5114D9UuDiMTyKwd6rUZQWuhfcGusQFVVMc4xdUe7teLn2aUXg3uFivY5mOK+G+Tv9&#10;ZHgAD6yGxn0+vDBrhhb3OBz3MI4tW75p8mQbPDWsdx5kGyfgxOvAN856bJxhL4Vl8voerU7bc/UL&#10;AAD//wMAUEsDBBQABgAIAAAAIQDs+HxT3AAAAAgBAAAPAAAAZHJzL2Rvd25yZXYueG1sTI9BT4Qw&#10;EIXvJv6HZky8uWXXSAApGyPqWVFjvHVhpGTbKaFdwH/veNLjmzd573vlfnVWzDiFwZOC7SYBgdT6&#10;bqBewdvr41UGIkRNnbaeUME3BthX52elLjq/0AvOTewFh1AotAIT41hIGVqDToeNH5HY+/KT05Hl&#10;1Mtu0guHOyt3SZJKpwfiBqNHvDfYHpuTU9DI+mE+1k/Xnzi+P9eLsR91v1Xq8mK9uwURcY1/z/CL&#10;z+hQMdPBn6gLwirgIZGvaZKCYDvL8xsQBwW7LMtBVqX8P6D6AQAA//8DAFBLAQItABQABgAIAAAA&#10;IQC2gziS/gAAAOEBAAATAAAAAAAAAAAAAAAAAAAAAABbQ29udGVudF9UeXBlc10ueG1sUEsBAi0A&#10;FAAGAAgAAAAhADj9If/WAAAAlAEAAAsAAAAAAAAAAAAAAAAALwEAAF9yZWxzLy5yZWxzUEsBAi0A&#10;FAAGAAgAAAAhAIBd/niSAgAAhQUAAA4AAAAAAAAAAAAAAAAALgIAAGRycy9lMm9Eb2MueG1sUEsB&#10;Ai0AFAAGAAgAAAAhAOz4fFPcAAAACAEAAA8AAAAAAAAAAAAAAAAA7AQAAGRycy9kb3ducmV2Lnht&#10;bFBLBQYAAAAABAAEAPMAAAD1BQAAAAA=&#10;" fillcolor="#904281" stroked="f" strokeweight="2pt">
                <v:fill opacity="16448f"/>
                <w10:wrap anchorx="margin"/>
              </v:roundrect>
            </w:pict>
          </mc:Fallback>
        </mc:AlternateContent>
      </w:r>
      <w:r w:rsidR="00D4100B" w:rsidRPr="00AD3EE6">
        <w:t xml:space="preserve">Te </w:t>
      </w:r>
      <w:proofErr w:type="spellStart"/>
      <w:r w:rsidR="00D4100B" w:rsidRPr="00AD3EE6">
        <w:t>Tāhū</w:t>
      </w:r>
      <w:proofErr w:type="spellEnd"/>
      <w:r w:rsidR="00D4100B" w:rsidRPr="00AD3EE6">
        <w:t xml:space="preserve"> Hauora has achieved </w:t>
      </w:r>
      <w:r w:rsidR="007925D6" w:rsidRPr="00AD3EE6">
        <w:t xml:space="preserve">notable </w:t>
      </w:r>
      <w:r w:rsidR="00D4100B" w:rsidRPr="00AD3EE6">
        <w:t xml:space="preserve">success in </w:t>
      </w:r>
      <w:r w:rsidR="00ED3F17" w:rsidRPr="00AD3EE6">
        <w:t>‘shining the light’</w:t>
      </w:r>
      <w:r w:rsidR="00D4100B" w:rsidRPr="00AD3EE6">
        <w:t xml:space="preserve"> and raising awareness</w:t>
      </w:r>
      <w:r w:rsidR="008043FE">
        <w:t>; however</w:t>
      </w:r>
      <w:r w:rsidR="00D4100B" w:rsidRPr="00AD3EE6">
        <w:t xml:space="preserve">, </w:t>
      </w:r>
      <w:r w:rsidR="009F6873" w:rsidRPr="00AD3EE6">
        <w:t xml:space="preserve">feedback </w:t>
      </w:r>
      <w:r w:rsidR="00D4100B" w:rsidRPr="00AD3EE6">
        <w:t>emphasised the importance of going beyond simply highlighting problems</w:t>
      </w:r>
      <w:r w:rsidR="007925D6" w:rsidRPr="00AD3EE6">
        <w:t>.</w:t>
      </w:r>
      <w:r w:rsidR="007E569A" w:rsidRPr="00AD3EE6">
        <w:t xml:space="preserve"> </w:t>
      </w:r>
      <w:r w:rsidR="001204BE" w:rsidRPr="00AD3EE6">
        <w:t xml:space="preserve">Shifting the focus towards implementation, rather than relying solely on retrospective reviews, will allow Te </w:t>
      </w:r>
      <w:proofErr w:type="spellStart"/>
      <w:r w:rsidR="001204BE" w:rsidRPr="00AD3EE6">
        <w:t>Tāhū</w:t>
      </w:r>
      <w:proofErr w:type="spellEnd"/>
      <w:r w:rsidR="001204BE" w:rsidRPr="00AD3EE6">
        <w:t xml:space="preserve"> Hauora to take proactive steps to drive improvements in the health sector. </w:t>
      </w:r>
    </w:p>
    <w:p w14:paraId="6FC278AA" w14:textId="49417C62" w:rsidR="001204BE" w:rsidRPr="00AD3EE6" w:rsidRDefault="008043FE" w:rsidP="009B3F59">
      <w:pPr>
        <w:pStyle w:val="Quoteperfreview"/>
      </w:pPr>
      <w:r>
        <w:t>‘</w:t>
      </w:r>
      <w:r w:rsidR="00391F86" w:rsidRPr="00AD3EE6">
        <w:t xml:space="preserve">They can add significant value by proactively looking at information </w:t>
      </w:r>
      <w:r w:rsidR="009B3F59">
        <w:br/>
      </w:r>
      <w:r w:rsidR="00391F86" w:rsidRPr="00AD3EE6">
        <w:t>and</w:t>
      </w:r>
      <w:r w:rsidR="009B3F59">
        <w:t xml:space="preserve"> </w:t>
      </w:r>
      <w:r w:rsidR="00391F86" w:rsidRPr="00AD3EE6">
        <w:t>evidence, rather than looking just</w:t>
      </w:r>
      <w:r>
        <w:t xml:space="preserve"> [at]</w:t>
      </w:r>
      <w:r w:rsidR="00391F86" w:rsidRPr="00AD3EE6">
        <w:t xml:space="preserve">, or waiting for </w:t>
      </w:r>
      <w:r w:rsidR="009B3F59">
        <w:br/>
      </w:r>
      <w:r w:rsidR="00391F86" w:rsidRPr="00AD3EE6">
        <w:t>mistakes to happen</w:t>
      </w:r>
      <w:r w:rsidR="009B3F59">
        <w:t xml:space="preserve"> </w:t>
      </w:r>
      <w:r w:rsidR="00391F86" w:rsidRPr="00AD3EE6">
        <w:t>and then fixing it.</w:t>
      </w:r>
      <w:r>
        <w:t>’</w:t>
      </w:r>
    </w:p>
    <w:p w14:paraId="55FE3B04" w14:textId="66D90C01" w:rsidR="00D4100B" w:rsidRPr="00AD3EE6" w:rsidRDefault="00925D35" w:rsidP="00CD4DDB">
      <w:pPr>
        <w:spacing w:after="360"/>
      </w:pPr>
      <w:r>
        <w:rPr>
          <w:noProof/>
        </w:rPr>
        <w:lastRenderedPageBreak/>
        <mc:AlternateContent>
          <mc:Choice Requires="wps">
            <w:drawing>
              <wp:anchor distT="0" distB="0" distL="114300" distR="114300" simplePos="0" relativeHeight="251678721" behindDoc="1" locked="0" layoutInCell="1" allowOverlap="1" wp14:anchorId="6B5276EF" wp14:editId="48BE3A12">
                <wp:simplePos x="0" y="0"/>
                <wp:positionH relativeFrom="margin">
                  <wp:posOffset>0</wp:posOffset>
                </wp:positionH>
                <wp:positionV relativeFrom="paragraph">
                  <wp:posOffset>1375882</wp:posOffset>
                </wp:positionV>
                <wp:extent cx="5688000" cy="841972"/>
                <wp:effectExtent l="0" t="0" r="8255" b="0"/>
                <wp:wrapNone/>
                <wp:docPr id="14" name="Rectangle: Rounded Corners 14"/>
                <wp:cNvGraphicFramePr/>
                <a:graphic xmlns:a="http://schemas.openxmlformats.org/drawingml/2006/main">
                  <a:graphicData uri="http://schemas.microsoft.com/office/word/2010/wordprocessingShape">
                    <wps:wsp>
                      <wps:cNvSpPr/>
                      <wps:spPr>
                        <a:xfrm>
                          <a:off x="0" y="0"/>
                          <a:ext cx="5688000" cy="841972"/>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1988850" id="Rectangle: Rounded Corners 14" o:spid="_x0000_s1026" style="position:absolute;margin-left:0;margin-top:108.35pt;width:447.85pt;height:66.3pt;z-index:-2516377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JQkAIAAIUFAAAOAAAAZHJzL2Uyb0RvYy54bWysVE1v2zAMvQ/YfxB0X+0YSZsEdYqgRYcB&#10;RVs0HXpWZCk2IIuapMTJfv0oyXH6hR2GXWRRJB/JZ5KXV/tWkZ2wrgFd0tFZTonQHKpGb0r68/n2&#10;25QS55mumAItSnoQjl4tvn657MxcFFCDqoQlCKLdvDMlrb038yxzvBYtc2dghEalBNsyj6LdZJVl&#10;HaK3Kivy/DzrwFbGAhfO4etNUtJFxJdScP8gpROeqJJibj6eNp7rcGaLSzbfWGbqhvdpsH/IomWN&#10;xqAD1A3zjGxt8wGqbbgFB9KfcWgzkLLhItaA1Yzyd9WsamZErAXJcWagyf0/WH6/W5lHizR0xs0d&#10;XkMVe2nb8MX8yD6SdRjIEntPOD5OzqfTPEdOOeqm49HsoghsZidvY53/LqAl4VJSC1tdPeEfiUSx&#10;3Z3zyf5oFyI6UE112ygVBbtZXytLdgz/3iwfF9NR8lWmZum1mOSzaR/XJfOYwxscpQOahoCbQoaX&#10;7FRxvPmDEsFO6SchSVNhjUUMF5tRDIkwzoX2KRNXs0qkTCZIRuwnZGDwiLlEwIAsMf6A3QOERv+I&#10;nbLs7YOriL08OOd/Syw5Dx4xMmg/OLeNBvsZgMKq+sjJ/khSoiawtIbq8GiJhTRJzvDbBv/uHXP+&#10;kVkcHWwIXAf+AQ+poCsp9DdKarC/P3sP9tjRqKWkw1Esqfu1ZVZQon5o7PXZaDwOsxuF8eSiQMG+&#10;1qxfa/S2vQbslxEuHsPjNdh7dbxKC+0Lbo1liIoqpjnGLin39ihc+7QicO9wsVxGM5xXw/ydXhke&#10;wAOroXGf9y/Mmr7FPQ7HPRzHls3fNXmyDZ4allsPsokTcOK15xtnPTZOv5fCMnktR6vT9lz8AQAA&#10;//8DAFBLAwQUAAYACAAAACEA3X+mkt4AAAAIAQAADwAAAGRycy9kb3ducmV2LnhtbEyPwU7DMBBE&#10;70j8g7VI3KiTBkob4lSIAOcSWiFubrzEUe11FLtJ+HvMCW6zmtXMm2I7W8NGHHznSEC6SIAhNU51&#10;1ArYv7/crIH5IElJ4wgFfKOHbXl5UchcuYnecKxDy2II+VwK0CH0Oee+0WilX7geKXpfbrAyxHNo&#10;uRrkFMOt4cskWXErO4oNWvb4pLE51WcroObV83iqXrNP7A+7atLmo2pTIa6v5scHYAHn8PcMv/gR&#10;HcrIdHRnUp4ZAXFIELBMV/fAor3e3EVxFJDdbjLgZcH/Dyh/AAAA//8DAFBLAQItABQABgAIAAAA&#10;IQC2gziS/gAAAOEBAAATAAAAAAAAAAAAAAAAAAAAAABbQ29udGVudF9UeXBlc10ueG1sUEsBAi0A&#10;FAAGAAgAAAAhADj9If/WAAAAlAEAAAsAAAAAAAAAAAAAAAAALwEAAF9yZWxzLy5yZWxzUEsBAi0A&#10;FAAGAAgAAAAhAKC+klCQAgAAhQUAAA4AAAAAAAAAAAAAAAAALgIAAGRycy9lMm9Eb2MueG1sUEsB&#10;Ai0AFAAGAAgAAAAhAN1/ppLeAAAACAEAAA8AAAAAAAAAAAAAAAAA6gQAAGRycy9kb3ducmV2Lnht&#10;bFBLBQYAAAAABAAEAPMAAAD1BQAAAAA=&#10;" fillcolor="#904281" stroked="f" strokeweight="2pt">
                <v:fill opacity="16448f"/>
                <w10:wrap anchorx="margin"/>
              </v:roundrect>
            </w:pict>
          </mc:Fallback>
        </mc:AlternateContent>
      </w:r>
      <w:r w:rsidR="007925D6" w:rsidRPr="00AD3EE6">
        <w:t xml:space="preserve">This proactive </w:t>
      </w:r>
      <w:r w:rsidR="001204BE" w:rsidRPr="00AD3EE6">
        <w:t xml:space="preserve">and collaborative </w:t>
      </w:r>
      <w:r w:rsidR="007925D6" w:rsidRPr="00AD3EE6">
        <w:t xml:space="preserve">stance was seen as a valuable position for Te </w:t>
      </w:r>
      <w:proofErr w:type="spellStart"/>
      <w:r w:rsidR="007925D6" w:rsidRPr="00AD3EE6">
        <w:t>Tāhū</w:t>
      </w:r>
      <w:proofErr w:type="spellEnd"/>
      <w:r w:rsidR="007925D6" w:rsidRPr="00AD3EE6">
        <w:t xml:space="preserve"> Hauora to assume within the reformed health system</w:t>
      </w:r>
      <w:r w:rsidR="008043FE">
        <w:t>.</w:t>
      </w:r>
      <w:r w:rsidR="00186B26" w:rsidRPr="00AD3EE6">
        <w:t xml:space="preserve"> </w:t>
      </w:r>
      <w:r w:rsidR="008043FE">
        <w:t xml:space="preserve">A </w:t>
      </w:r>
      <w:r w:rsidR="00D4100B" w:rsidRPr="00AD3EE6">
        <w:t>critical need</w:t>
      </w:r>
      <w:r w:rsidR="00186B26" w:rsidRPr="00AD3EE6">
        <w:t xml:space="preserve"> </w:t>
      </w:r>
      <w:r w:rsidR="008043FE">
        <w:t xml:space="preserve">for Te </w:t>
      </w:r>
      <w:proofErr w:type="spellStart"/>
      <w:r w:rsidR="008043FE">
        <w:t>Tāhū</w:t>
      </w:r>
      <w:proofErr w:type="spellEnd"/>
      <w:r w:rsidR="008043FE">
        <w:t xml:space="preserve"> Hauora to support </w:t>
      </w:r>
      <w:r w:rsidR="00186B26" w:rsidRPr="00AD3EE6">
        <w:t>the new agencies</w:t>
      </w:r>
      <w:r w:rsidR="00D4100B" w:rsidRPr="00AD3EE6">
        <w:t xml:space="preserve"> to bridge the gap between identification and implementation</w:t>
      </w:r>
      <w:r w:rsidR="008043FE">
        <w:t xml:space="preserve"> was also identified</w:t>
      </w:r>
      <w:r w:rsidR="00186B26" w:rsidRPr="00AD3EE6">
        <w:t>.</w:t>
      </w:r>
      <w:r w:rsidR="00F21823" w:rsidRPr="00AD3EE6">
        <w:t xml:space="preserve"> This </w:t>
      </w:r>
      <w:r w:rsidR="008043FE">
        <w:t xml:space="preserve">will </w:t>
      </w:r>
      <w:r w:rsidR="00F21823" w:rsidRPr="00AD3EE6">
        <w:t xml:space="preserve">require a stronger commitment and </w:t>
      </w:r>
      <w:r w:rsidR="007A139E" w:rsidRPr="00AD3EE6">
        <w:t>partnership</w:t>
      </w:r>
      <w:r w:rsidR="00F21823" w:rsidRPr="00AD3EE6">
        <w:t xml:space="preserve"> process </w:t>
      </w:r>
      <w:r w:rsidR="008043FE">
        <w:t xml:space="preserve">to ensure </w:t>
      </w:r>
      <w:r w:rsidR="00CC6E4F">
        <w:t xml:space="preserve">that </w:t>
      </w:r>
      <w:r w:rsidR="00F21823" w:rsidRPr="00AD3EE6">
        <w:t>recommendations</w:t>
      </w:r>
      <w:r w:rsidR="0013036C" w:rsidRPr="00AD3EE6">
        <w:t xml:space="preserve"> can be effectively</w:t>
      </w:r>
      <w:r w:rsidR="00F21823" w:rsidRPr="00AD3EE6">
        <w:t xml:space="preserve"> translat</w:t>
      </w:r>
      <w:r w:rsidR="0013036C" w:rsidRPr="00AD3EE6">
        <w:t>ed</w:t>
      </w:r>
      <w:r w:rsidR="00F21823" w:rsidRPr="00AD3EE6">
        <w:t xml:space="preserve"> into practical initiatives</w:t>
      </w:r>
      <w:r w:rsidR="00B232F9" w:rsidRPr="00AD3EE6">
        <w:t xml:space="preserve"> that work</w:t>
      </w:r>
      <w:r w:rsidR="008043FE">
        <w:t xml:space="preserve"> and</w:t>
      </w:r>
      <w:r w:rsidR="00F21823" w:rsidRPr="00AD3EE6">
        <w:t xml:space="preserve"> that evidence-based solutions are implemented </w:t>
      </w:r>
      <w:r w:rsidR="002E1C47" w:rsidRPr="00AD3EE6">
        <w:t>appropriately</w:t>
      </w:r>
      <w:r w:rsidR="00F21823" w:rsidRPr="00AD3EE6">
        <w:t xml:space="preserve"> to bring about tangible improvements in the </w:t>
      </w:r>
      <w:r w:rsidR="003324D9">
        <w:t>health care</w:t>
      </w:r>
      <w:r w:rsidR="00F21823" w:rsidRPr="00AD3EE6">
        <w:t xml:space="preserve"> system. </w:t>
      </w:r>
    </w:p>
    <w:p w14:paraId="54B385C5" w14:textId="36A10CE1" w:rsidR="00C60148" w:rsidRPr="00AD3EE6" w:rsidRDefault="008043FE" w:rsidP="009E170C">
      <w:pPr>
        <w:pStyle w:val="Quoteperfreview"/>
        <w:spacing w:after="480"/>
      </w:pPr>
      <w:r>
        <w:t>‘</w:t>
      </w:r>
      <w:r w:rsidR="00E76254" w:rsidRPr="00AD3EE6">
        <w:t xml:space="preserve">Change is an emotional space. </w:t>
      </w:r>
      <w:r w:rsidR="004B5FF6" w:rsidRPr="00AD3EE6">
        <w:t xml:space="preserve">It </w:t>
      </w:r>
      <w:r w:rsidR="00DC719A" w:rsidRPr="00AD3EE6">
        <w:t>requires a</w:t>
      </w:r>
      <w:r w:rsidR="00E76254" w:rsidRPr="00AD3EE6">
        <w:t xml:space="preserve"> </w:t>
      </w:r>
      <w:proofErr w:type="spellStart"/>
      <w:r w:rsidR="00E76254" w:rsidRPr="00AD3EE6">
        <w:t>whitiwhiti</w:t>
      </w:r>
      <w:proofErr w:type="spellEnd"/>
      <w:r w:rsidR="00E76254" w:rsidRPr="00AD3EE6">
        <w:t xml:space="preserve"> </w:t>
      </w:r>
      <w:proofErr w:type="spellStart"/>
      <w:r w:rsidR="00E76254" w:rsidRPr="00AD3EE6">
        <w:t>kōrero</w:t>
      </w:r>
      <w:proofErr w:type="spellEnd"/>
      <w:r w:rsidR="00E76254" w:rsidRPr="00AD3EE6">
        <w:t xml:space="preserve"> </w:t>
      </w:r>
      <w:r w:rsidR="009E170C">
        <w:br/>
      </w:r>
      <w:r w:rsidR="00451461" w:rsidRPr="00AD3EE6">
        <w:t xml:space="preserve">(support and advice) </w:t>
      </w:r>
      <w:r w:rsidR="00E76254" w:rsidRPr="00AD3EE6">
        <w:t xml:space="preserve">platform to </w:t>
      </w:r>
      <w:r w:rsidR="00DC719A" w:rsidRPr="00AD3EE6">
        <w:t xml:space="preserve">empowering individuals to </w:t>
      </w:r>
      <w:r w:rsidR="009E170C">
        <w:br/>
      </w:r>
      <w:r w:rsidR="00DC719A" w:rsidRPr="00AD3EE6">
        <w:t>return as champions within organisations.</w:t>
      </w:r>
      <w:r>
        <w:t>’</w:t>
      </w:r>
    </w:p>
    <w:p w14:paraId="2DA742F5" w14:textId="49B27F44" w:rsidR="00241E64" w:rsidRPr="00AD3EE6" w:rsidRDefault="009E170C" w:rsidP="00CD4DDB">
      <w:pPr>
        <w:spacing w:after="360"/>
      </w:pPr>
      <w:r>
        <w:rPr>
          <w:noProof/>
        </w:rPr>
        <mc:AlternateContent>
          <mc:Choice Requires="wps">
            <w:drawing>
              <wp:anchor distT="0" distB="0" distL="114300" distR="114300" simplePos="0" relativeHeight="251680769" behindDoc="1" locked="0" layoutInCell="1" allowOverlap="1" wp14:anchorId="546A061C" wp14:editId="4610C06B">
                <wp:simplePos x="0" y="0"/>
                <wp:positionH relativeFrom="margin">
                  <wp:posOffset>0</wp:posOffset>
                </wp:positionH>
                <wp:positionV relativeFrom="paragraph">
                  <wp:posOffset>637068</wp:posOffset>
                </wp:positionV>
                <wp:extent cx="5687695" cy="841375"/>
                <wp:effectExtent l="0" t="0" r="8255" b="0"/>
                <wp:wrapNone/>
                <wp:docPr id="15" name="Rectangle: Rounded Corners 15"/>
                <wp:cNvGraphicFramePr/>
                <a:graphic xmlns:a="http://schemas.openxmlformats.org/drawingml/2006/main">
                  <a:graphicData uri="http://schemas.microsoft.com/office/word/2010/wordprocessingShape">
                    <wps:wsp>
                      <wps:cNvSpPr/>
                      <wps:spPr>
                        <a:xfrm>
                          <a:off x="0" y="0"/>
                          <a:ext cx="5687695" cy="841375"/>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715028B" id="Rectangle: Rounded Corners 15" o:spid="_x0000_s1026" style="position:absolute;margin-left:0;margin-top:50.15pt;width:447.85pt;height:66.25pt;z-index:-251635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4zlAIAAIUFAAAOAAAAZHJzL2Uyb0RvYy54bWysVMFu2zAMvQ/YPwi6r3aypE2COkXQosOA&#10;og3aDj0rshQbkEVNUuJkXz9Ksp22K3YYloNCieQj+Uzy8urQKLIX1tWgCzo6yykRmkNZ621Bfzzf&#10;fplR4jzTJVOgRUGPwtGr5edPl61ZiDFUoEphCYJot2hNQSvvzSLLHK9Ew9wZGKFRKcE2zOPVbrPS&#10;shbRG5WN8/w8a8GWxgIXzuHrTVLSZcSXUnD/IKUTnqiCYm4+njaem3Bmy0u22Fpmqpp3abB/yKJh&#10;tcagA9QN84zsbP0HVFNzCw6kP+PQZCBlzUWsAasZ5e+qeaqYEbEWJMeZgSb3/2D5/f7JrC3S0Bq3&#10;cCiGKg7SNuEf8yOHSNZxIEscPOH4OD2fXZzPp5Rw1M0mo68X08BmdvI21vlvAhoShIJa2OnyEb9I&#10;JIrt75xP9r1diOhA1eVtrVS82O3mWlmyZ/j15vlkPBslX2Uqll7H03w+6+K6ZB5zeIOjdEDTEHBT&#10;yPCSnSqOkj8qEeyUfhSS1CXWOI7hYjOKIRHGudA+ZeIqVoqUyTTHX59JaN/gEXOJgAFZYvwBuwPo&#10;LRNIj52y7OyDq4i9PDjnf0ssOQ8eMTJoPzg3tQb7EYDCqrrIyb4nKVETWNpAeVxbYiFNkjP8tsav&#10;e8ecXzOLo4NDhuvAP+AhFbQFhU6ipAL766P3YI8djVpKWhzFgrqfO2YFJeq7xl6fjyaTMLvxMple&#10;jPFiX2s2rzV611wD9ssIF4/hUQz2XvWitNC84NZYhaioYppj7IJyb/vLtU8rAvcOF6tVNMN5Nczf&#10;6SfDA3hgNTTu8+GFWdO1uMfhuId+bNniXZMn2+CpYbXzIOs4ASdeO75x1mPjdHspLJPX92h12p7L&#10;3wAAAP//AwBQSwMEFAAGAAgAAAAhAEFwWuXcAAAACAEAAA8AAABkcnMvZG93bnJldi54bWxMj09P&#10;hDAQxe8mfodmTLy57UJURMrGiHpW1BhvXTpSsv1DaBfw2zue9PjmTd77vWq3OstmnOIQvITtRgBD&#10;3wU9+F7C2+vjRQEsJuW1ssGjhG+MsKtPTypV6rD4F5zb1DMK8bFUEkxKY8l57Aw6FTdhRE/eV5ic&#10;SiSnnutJLRTuLM+EuOJODZ4ajBrx3mB3aI9OQsubh/nQPOWfOL4/N4uxH02/lfL8bL27BZZwTX/P&#10;8ItP6FAT0z4cvY7MSqAhia5C5MDILm4ur4HtJWR5VgCvK/5/QP0DAAD//wMAUEsBAi0AFAAGAAgA&#10;AAAhALaDOJL+AAAA4QEAABMAAAAAAAAAAAAAAAAAAAAAAFtDb250ZW50X1R5cGVzXS54bWxQSwEC&#10;LQAUAAYACAAAACEAOP0h/9YAAACUAQAACwAAAAAAAAAAAAAAAAAvAQAAX3JlbHMvLnJlbHNQSwEC&#10;LQAUAAYACAAAACEAU86+M5QCAACFBQAADgAAAAAAAAAAAAAAAAAuAgAAZHJzL2Uyb0RvYy54bWxQ&#10;SwECLQAUAAYACAAAACEAQXBa5dwAAAAIAQAADwAAAAAAAAAAAAAAAADuBAAAZHJzL2Rvd25yZXYu&#10;eG1sUEsFBgAAAAAEAAQA8wAAAPcFAAAAAA==&#10;" fillcolor="#904281" stroked="f" strokeweight="2pt">
                <v:fill opacity="16448f"/>
                <w10:wrap anchorx="margin"/>
              </v:roundrect>
            </w:pict>
          </mc:Fallback>
        </mc:AlternateContent>
      </w:r>
      <w:r w:rsidR="00241E64" w:rsidRPr="00AD3EE6">
        <w:t xml:space="preserve">Stakeholders highlighted the importance </w:t>
      </w:r>
      <w:r w:rsidR="000B565B" w:rsidRPr="00AD3EE6">
        <w:t xml:space="preserve">of working alongside </w:t>
      </w:r>
      <w:r w:rsidR="00241E64" w:rsidRPr="00AD3EE6">
        <w:t xml:space="preserve">Te </w:t>
      </w:r>
      <w:proofErr w:type="spellStart"/>
      <w:r w:rsidR="00241E64" w:rsidRPr="00AD3EE6">
        <w:t>Tāhū</w:t>
      </w:r>
      <w:proofErr w:type="spellEnd"/>
      <w:r w:rsidR="00241E64" w:rsidRPr="00AD3EE6">
        <w:t xml:space="preserve"> Hauora</w:t>
      </w:r>
      <w:r w:rsidR="000B565B" w:rsidRPr="00AD3EE6">
        <w:t xml:space="preserve"> </w:t>
      </w:r>
      <w:r w:rsidR="00241E64" w:rsidRPr="00AD3EE6">
        <w:t xml:space="preserve">to </w:t>
      </w:r>
      <w:r w:rsidR="000B565B" w:rsidRPr="00AD3EE6">
        <w:t xml:space="preserve">learn and </w:t>
      </w:r>
      <w:r w:rsidR="00241E64" w:rsidRPr="00AD3EE6">
        <w:t xml:space="preserve">share insights and evidence-based solutions and develop approaches that will work within the context. </w:t>
      </w:r>
    </w:p>
    <w:p w14:paraId="2988A54C" w14:textId="09F5923F" w:rsidR="00D4100B" w:rsidRPr="00CD4DDB" w:rsidRDefault="008043FE" w:rsidP="007E12D0">
      <w:pPr>
        <w:pStyle w:val="Quoteperfreview"/>
        <w:spacing w:after="480"/>
        <w:rPr>
          <w:rStyle w:val="QuoteperfreviewChar"/>
        </w:rPr>
      </w:pPr>
      <w:r>
        <w:t>‘</w:t>
      </w:r>
      <w:r w:rsidR="00D4100B" w:rsidRPr="00AD3EE6">
        <w:t>Merely highlighting problems is no longer enough</w:t>
      </w:r>
      <w:r w:rsidR="00137F9F" w:rsidRPr="00AD3EE6">
        <w:t>.</w:t>
      </w:r>
      <w:r w:rsidR="00D4100B" w:rsidRPr="00AD3EE6">
        <w:t xml:space="preserve"> </w:t>
      </w:r>
      <w:r w:rsidR="000D005C" w:rsidRPr="00AD3EE6">
        <w:t xml:space="preserve">We have delivered on </w:t>
      </w:r>
      <w:r w:rsidR="00CD4DDB">
        <w:br/>
      </w:r>
      <w:r w:rsidR="001A2DBC">
        <w:t>“</w:t>
      </w:r>
      <w:r w:rsidR="000D005C" w:rsidRPr="00AD3EE6">
        <w:t>shining a light</w:t>
      </w:r>
      <w:r w:rsidR="001A2DBC">
        <w:t>”</w:t>
      </w:r>
      <w:r>
        <w:t>,</w:t>
      </w:r>
      <w:r w:rsidR="000D005C" w:rsidRPr="00AD3EE6">
        <w:t xml:space="preserve"> but what is the next step? </w:t>
      </w:r>
      <w:r w:rsidR="00137F9F" w:rsidRPr="00AD3EE6">
        <w:t>I</w:t>
      </w:r>
      <w:r w:rsidR="00D4100B" w:rsidRPr="00AD3EE6">
        <w:t xml:space="preserve">t is essential to take </w:t>
      </w:r>
      <w:r w:rsidR="00CD4DDB">
        <w:br/>
      </w:r>
      <w:r w:rsidR="00D4100B" w:rsidRPr="00AD3EE6">
        <w:t xml:space="preserve">decisive and actionable steps to </w:t>
      </w:r>
      <w:r w:rsidR="00D4100B" w:rsidRPr="00CD4DDB">
        <w:t>address the</w:t>
      </w:r>
      <w:r w:rsidR="00137F9F" w:rsidRPr="00CD4DDB">
        <w:t xml:space="preserve"> issues</w:t>
      </w:r>
      <w:r w:rsidR="00D4100B" w:rsidRPr="00CD4DDB">
        <w:t>.</w:t>
      </w:r>
      <w:r w:rsidRPr="00CD4DDB">
        <w:t>’</w:t>
      </w:r>
    </w:p>
    <w:p w14:paraId="7363B964" w14:textId="471062AE" w:rsidR="00703FF0" w:rsidRPr="00AD3EE6" w:rsidRDefault="00784D29" w:rsidP="00DC15A1">
      <w:r w:rsidRPr="00AD3EE6">
        <w:t>Staff reiterated</w:t>
      </w:r>
      <w:r w:rsidR="003438CD" w:rsidRPr="00AD3EE6">
        <w:t xml:space="preserve"> these</w:t>
      </w:r>
      <w:r w:rsidR="00ED267A" w:rsidRPr="00AD3EE6">
        <w:t>,</w:t>
      </w:r>
      <w:r w:rsidR="003438CD" w:rsidRPr="00AD3EE6">
        <w:t xml:space="preserve"> raising concerns</w:t>
      </w:r>
      <w:r w:rsidR="00DC15A1" w:rsidRPr="00AD3EE6">
        <w:t xml:space="preserve"> </w:t>
      </w:r>
      <w:r w:rsidRPr="00AD3EE6">
        <w:t>about</w:t>
      </w:r>
      <w:r w:rsidR="00DC15A1" w:rsidRPr="00AD3EE6">
        <w:t xml:space="preserve"> the lack of implementation</w:t>
      </w:r>
      <w:r w:rsidR="00A95787" w:rsidRPr="00AD3EE6">
        <w:t xml:space="preserve"> across the health sector</w:t>
      </w:r>
      <w:r w:rsidR="00DC15A1" w:rsidRPr="00AD3EE6">
        <w:t xml:space="preserve"> and </w:t>
      </w:r>
      <w:r w:rsidR="00EF33F8">
        <w:t xml:space="preserve">the failure of </w:t>
      </w:r>
      <w:r w:rsidR="00CC6E4F" w:rsidRPr="00AD3EE6">
        <w:t xml:space="preserve">Te </w:t>
      </w:r>
      <w:proofErr w:type="spellStart"/>
      <w:r w:rsidR="00CC6E4F" w:rsidRPr="00AD3EE6">
        <w:t>Tāhū</w:t>
      </w:r>
      <w:proofErr w:type="spellEnd"/>
      <w:r w:rsidR="00CC6E4F" w:rsidRPr="00AD3EE6">
        <w:t xml:space="preserve"> Hauora</w:t>
      </w:r>
      <w:r w:rsidR="00DC15A1" w:rsidRPr="00AD3EE6">
        <w:t xml:space="preserve"> to follow through on evidence-based solutions</w:t>
      </w:r>
      <w:r w:rsidR="00222B05" w:rsidRPr="00AD3EE6">
        <w:t xml:space="preserve"> or recommendations</w:t>
      </w:r>
      <w:r w:rsidR="00DC15A1" w:rsidRPr="00AD3EE6">
        <w:t>.</w:t>
      </w:r>
      <w:r w:rsidR="00A95787" w:rsidRPr="00AD3EE6">
        <w:t xml:space="preserve"> This </w:t>
      </w:r>
      <w:r w:rsidR="008043FE">
        <w:t xml:space="preserve">was </w:t>
      </w:r>
      <w:r w:rsidR="00A95787" w:rsidRPr="00AD3EE6">
        <w:t xml:space="preserve">particularly evident </w:t>
      </w:r>
      <w:r w:rsidR="00222B05" w:rsidRPr="00AD3EE6">
        <w:t xml:space="preserve">in feedback from </w:t>
      </w:r>
      <w:r w:rsidR="00A95787" w:rsidRPr="00AD3EE6">
        <w:t>mortality review</w:t>
      </w:r>
      <w:r w:rsidR="008043FE">
        <w:t>.</w:t>
      </w:r>
      <w:r w:rsidR="00400546" w:rsidRPr="00AD3EE6">
        <w:t xml:space="preserve"> Despite the wealth of recommendations provided by these reviews, there has been a perceived failure to effectively act upon them and implement necessary changes. </w:t>
      </w:r>
    </w:p>
    <w:p w14:paraId="5246C47D" w14:textId="37C8B9A6" w:rsidR="00846141" w:rsidRPr="00AD3EE6" w:rsidRDefault="00A277FA" w:rsidP="00846141">
      <w:pPr>
        <w:rPr>
          <w:rFonts w:ascii="Segoe UI" w:hAnsi="Segoe UI" w:cs="Segoe UI"/>
          <w:color w:val="374151"/>
          <w:shd w:val="clear" w:color="auto" w:fill="F7F7F8"/>
        </w:rPr>
      </w:pPr>
      <w:r w:rsidRPr="00AD3EE6">
        <w:t xml:space="preserve">This </w:t>
      </w:r>
      <w:r w:rsidR="009F6873" w:rsidRPr="00AD3EE6">
        <w:t>requires</w:t>
      </w:r>
      <w:r w:rsidR="006A2DA0" w:rsidRPr="00AD3EE6">
        <w:t xml:space="preserve"> stronger links</w:t>
      </w:r>
      <w:r w:rsidR="009F1E7B" w:rsidRPr="00AD3EE6">
        <w:t xml:space="preserve"> between data reports, policy development</w:t>
      </w:r>
      <w:r w:rsidR="00B951B2">
        <w:t xml:space="preserve"> and</w:t>
      </w:r>
      <w:r w:rsidR="009F1E7B" w:rsidRPr="00AD3EE6">
        <w:t xml:space="preserve"> implementation </w:t>
      </w:r>
      <w:r w:rsidRPr="00AD3EE6">
        <w:t>when making recommendations to translat</w:t>
      </w:r>
      <w:r w:rsidR="00BE4C1E">
        <w:t>e</w:t>
      </w:r>
      <w:r w:rsidRPr="00AD3EE6">
        <w:t xml:space="preserve"> them into practical initiatives</w:t>
      </w:r>
      <w:r w:rsidR="00BE4C1E">
        <w:t>.</w:t>
      </w:r>
      <w:r w:rsidRPr="00AD3EE6">
        <w:t xml:space="preserve"> </w:t>
      </w:r>
      <w:r w:rsidR="00846141" w:rsidRPr="00AD3EE6">
        <w:t xml:space="preserve">Te </w:t>
      </w:r>
      <w:proofErr w:type="spellStart"/>
      <w:r w:rsidR="00846141" w:rsidRPr="00AD3EE6">
        <w:t>Tāhū</w:t>
      </w:r>
      <w:proofErr w:type="spellEnd"/>
      <w:r w:rsidR="00846141" w:rsidRPr="00AD3EE6">
        <w:t xml:space="preserve"> Hauora should strengthen its collaboration </w:t>
      </w:r>
      <w:r w:rsidR="00466EAC" w:rsidRPr="00AD3EE6">
        <w:t xml:space="preserve">and partnership </w:t>
      </w:r>
      <w:r w:rsidR="00846141" w:rsidRPr="00AD3EE6">
        <w:t>with relevant agencies or recipients of recommendations</w:t>
      </w:r>
      <w:r w:rsidR="00932F90" w:rsidRPr="00AD3EE6">
        <w:t>. To strengthen this connection</w:t>
      </w:r>
      <w:r w:rsidR="00D00E82" w:rsidRPr="00AD3EE6">
        <w:t xml:space="preserve">, it is crucial </w:t>
      </w:r>
      <w:r w:rsidR="00621835" w:rsidRPr="00AD3EE6">
        <w:t>to engage</w:t>
      </w:r>
      <w:r w:rsidR="00846141" w:rsidRPr="00AD3EE6">
        <w:t xml:space="preserve"> at an earlier stage</w:t>
      </w:r>
      <w:r w:rsidR="000C3339" w:rsidRPr="00AD3EE6">
        <w:t xml:space="preserve"> in the process.</w:t>
      </w:r>
      <w:r w:rsidR="001F6549" w:rsidRPr="00AD3EE6">
        <w:t xml:space="preserve"> </w:t>
      </w:r>
      <w:r w:rsidR="00191A0B" w:rsidRPr="00AD3EE6">
        <w:t xml:space="preserve">This allows for shared understanding, collective </w:t>
      </w:r>
      <w:proofErr w:type="gramStart"/>
      <w:r w:rsidR="00191A0B" w:rsidRPr="00AD3EE6">
        <w:t>action</w:t>
      </w:r>
      <w:proofErr w:type="gramEnd"/>
      <w:r w:rsidR="00B951B2">
        <w:t xml:space="preserve"> and</w:t>
      </w:r>
      <w:r w:rsidR="00191A0B" w:rsidRPr="00AD3EE6">
        <w:t xml:space="preserve"> mutual accountability, enhancing the likelihood of successful implementation and sustained improvement</w:t>
      </w:r>
      <w:r w:rsidR="00706A51" w:rsidRPr="00AD3EE6">
        <w:t xml:space="preserve"> and </w:t>
      </w:r>
      <w:r w:rsidR="00191A0B" w:rsidRPr="00AD3EE6">
        <w:t>better health outcomes for all.</w:t>
      </w:r>
      <w:r w:rsidR="0001171C" w:rsidRPr="00AD3EE6">
        <w:t xml:space="preserve"> </w:t>
      </w:r>
    </w:p>
    <w:p w14:paraId="1C1EA1AA" w14:textId="0B27879A" w:rsidR="00485981" w:rsidRPr="00AD3EE6" w:rsidRDefault="00870522" w:rsidP="00CD4DDB">
      <w:pPr>
        <w:spacing w:after="360"/>
      </w:pPr>
      <w:r>
        <w:rPr>
          <w:noProof/>
        </w:rPr>
        <mc:AlternateContent>
          <mc:Choice Requires="wps">
            <w:drawing>
              <wp:anchor distT="0" distB="0" distL="114300" distR="114300" simplePos="0" relativeHeight="251682817" behindDoc="1" locked="0" layoutInCell="1" allowOverlap="1" wp14:anchorId="5A16EE33" wp14:editId="261EA932">
                <wp:simplePos x="0" y="0"/>
                <wp:positionH relativeFrom="margin">
                  <wp:align>left</wp:align>
                </wp:positionH>
                <wp:positionV relativeFrom="paragraph">
                  <wp:posOffset>1385017</wp:posOffset>
                </wp:positionV>
                <wp:extent cx="5687695" cy="651849"/>
                <wp:effectExtent l="0" t="0" r="8255" b="0"/>
                <wp:wrapNone/>
                <wp:docPr id="16" name="Rectangle: Rounded Corners 16"/>
                <wp:cNvGraphicFramePr/>
                <a:graphic xmlns:a="http://schemas.openxmlformats.org/drawingml/2006/main">
                  <a:graphicData uri="http://schemas.microsoft.com/office/word/2010/wordprocessingShape">
                    <wps:wsp>
                      <wps:cNvSpPr/>
                      <wps:spPr>
                        <a:xfrm>
                          <a:off x="0" y="0"/>
                          <a:ext cx="5687695" cy="651849"/>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50CF43A" id="Rectangle: Rounded Corners 16" o:spid="_x0000_s1026" style="position:absolute;margin-left:0;margin-top:109.05pt;width:447.85pt;height:51.35pt;z-index:-2516336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H9kwIAAIUFAAAOAAAAZHJzL2Uyb0RvYy54bWysVMFu2zAMvQ/YPwi6r3aCJE2COkXQosOA&#10;oi2aDj0rshQbkEVNUuJkXz9Ksp2uK3YYloNCieQj+Uzy6vrYKHIQ1tWgCzq6yCkRmkNZ611Bv7/c&#10;fZlT4jzTJVOgRUFPwtHr1edPV61ZijFUoEphCYJot2xNQSvvzTLLHK9Ew9wFGKFRKcE2zOPV7rLS&#10;shbRG5WN83yWtWBLY4EL5/D1NinpKuJLKbh/lNIJT1RBMTcfTxvPbTiz1RVb7iwzVc27NNg/ZNGw&#10;WmPQAeqWeUb2tv4Dqqm5BQfSX3BoMpCy5iLWgNWM8nfVbCpmRKwFyXFmoMn9P1j+cNiYJ4s0tMYt&#10;HYqhiqO0TfjH/MgxknUayBJHTzg+Tmfzy9liSglH3Ww6mk8Wgc3s7G2s818FNCQIBbWw1+UzfpFI&#10;FDvcO5/se7sQ0YGqy7taqXixu+2NsuTA8Ost8sl4Pkq+ylQsvY6n+WLexXXJPObwG47SAU1DwE0h&#10;w0t2rjhK/qREsFP6WUhSl1jjOIaLzSiGRBjnQvuUiatYKVIm0xx/fSahfYNHzCUCBmSJ8QfsDqC3&#10;TCA9dsqysw+uIvby4Jz/LbHkPHjEyKD94NzUGuxHAAqr6iIn+56kRE1gaQvl6ckSC2mSnOF3NX7d&#10;e+b8E7M4OjhkuA78Ix5SQVtQ6CRKKrA/P3oP9tjRqKWkxVEsqPuxZ1ZQor5p7PXFaDIJsxsvk+nl&#10;GC/2rWb7VqP3zQ1gv4xw8RgexWDvVS9KC80rbo11iIoqpjnGLij3tr/c+LQicO9wsV5HM5xXw/y9&#10;3hgewAOroXFfjq/Mmq7FPQ7HA/Rjy5bvmjzZBk8N670HWccJOPPa8Y2zHhun20thmby9R6vz9lz9&#10;AgAA//8DAFBLAwQUAAYACAAAACEAW4ijrtwAAAAIAQAADwAAAGRycy9kb3ducmV2LnhtbEyPQU+E&#10;MBSE7yb+h+aZeHMLbFREHhsj6llRY7x16ZOSpa+EdgH/vfWkx8lMZr4pd6sdxEyT7x0jpJsEBHHr&#10;dM8dwtvr40UOwgfFWg2OCeGbPOyq05NSFdot/EJzEzoRS9gXCsGEMBZS+taQVX7jRuLofbnJqhDl&#10;1Ek9qSWW20FmSXIlreo5Lhg10r2h9tAcLUIj64f5UD9tP2l8f64XM3zUXYp4frbe3YIItIa/MPzi&#10;R3SoItPeHVl7MSDEIwEhS/MURLTzm8trEHuEbZbkIKtS/j9Q/QAAAP//AwBQSwECLQAUAAYACAAA&#10;ACEAtoM4kv4AAADhAQAAEwAAAAAAAAAAAAAAAAAAAAAAW0NvbnRlbnRfVHlwZXNdLnhtbFBLAQIt&#10;ABQABgAIAAAAIQA4/SH/1gAAAJQBAAALAAAAAAAAAAAAAAAAAC8BAABfcmVscy8ucmVsc1BLAQIt&#10;ABQABgAIAAAAIQAi4fH9kwIAAIUFAAAOAAAAAAAAAAAAAAAAAC4CAABkcnMvZTJvRG9jLnhtbFBL&#10;AQItABQABgAIAAAAIQBbiKOu3AAAAAgBAAAPAAAAAAAAAAAAAAAAAO0EAABkcnMvZG93bnJldi54&#10;bWxQSwUGAAAAAAQABADzAAAA9gUAAAAA&#10;" fillcolor="#904281" stroked="f" strokeweight="2pt">
                <v:fill opacity="16448f"/>
                <w10:wrap anchorx="margin"/>
              </v:roundrect>
            </w:pict>
          </mc:Fallback>
        </mc:AlternateContent>
      </w:r>
      <w:r w:rsidR="009B26E4" w:rsidRPr="00AD3EE6">
        <w:t>In line with this</w:t>
      </w:r>
      <w:r w:rsidR="00E32DC8" w:rsidRPr="00AD3EE6">
        <w:t xml:space="preserve"> approach</w:t>
      </w:r>
      <w:r w:rsidR="009F6873" w:rsidRPr="00AD3EE6">
        <w:t>, s</w:t>
      </w:r>
      <w:r w:rsidR="005B4EA6" w:rsidRPr="00AD3EE6">
        <w:t xml:space="preserve">takeholders and staff </w:t>
      </w:r>
      <w:r w:rsidR="008479D1" w:rsidRPr="00AD3EE6">
        <w:t xml:space="preserve">further </w:t>
      </w:r>
      <w:r w:rsidR="005B4EA6" w:rsidRPr="00AD3EE6">
        <w:t xml:space="preserve">recognised the potential for Te </w:t>
      </w:r>
      <w:proofErr w:type="spellStart"/>
      <w:r w:rsidR="005B4EA6" w:rsidRPr="00AD3EE6">
        <w:t>Tāhū</w:t>
      </w:r>
      <w:proofErr w:type="spellEnd"/>
      <w:r w:rsidR="005B4EA6" w:rsidRPr="00AD3EE6">
        <w:t xml:space="preserve"> Hauora to expand its work programmes and assume a leadership role in quality </w:t>
      </w:r>
      <w:r w:rsidR="00093CE1" w:rsidRPr="00AD3EE6">
        <w:t xml:space="preserve">improvement </w:t>
      </w:r>
      <w:r w:rsidR="005B4EA6" w:rsidRPr="00AD3EE6">
        <w:t xml:space="preserve">projects across the health sector. They highlighted the importance of collaboration, suggesting partnerships with other agencies </w:t>
      </w:r>
      <w:r w:rsidR="00BE4C1E">
        <w:t>such as</w:t>
      </w:r>
      <w:r w:rsidR="00BE4C1E" w:rsidRPr="00AD3EE6">
        <w:t xml:space="preserve"> </w:t>
      </w:r>
      <w:r w:rsidR="005B4EA6" w:rsidRPr="00AD3EE6">
        <w:t xml:space="preserve">Te </w:t>
      </w:r>
      <w:proofErr w:type="spellStart"/>
      <w:r w:rsidR="005B4EA6" w:rsidRPr="00AD3EE6">
        <w:t>Whatu</w:t>
      </w:r>
      <w:proofErr w:type="spellEnd"/>
      <w:r w:rsidR="005B4EA6" w:rsidRPr="00AD3EE6">
        <w:t xml:space="preserve"> Ora</w:t>
      </w:r>
      <w:r w:rsidR="004A3F1E" w:rsidRPr="00AD3EE6">
        <w:t xml:space="preserve"> and Te Aka </w:t>
      </w:r>
      <w:proofErr w:type="spellStart"/>
      <w:r w:rsidR="004A3F1E" w:rsidRPr="00AD3EE6">
        <w:t>Whai</w:t>
      </w:r>
      <w:proofErr w:type="spellEnd"/>
      <w:r w:rsidR="004A3F1E" w:rsidRPr="00AD3EE6">
        <w:t xml:space="preserve"> Ora</w:t>
      </w:r>
      <w:r w:rsidR="007E2048" w:rsidRPr="00AD3EE6">
        <w:t>, including primary and community care,</w:t>
      </w:r>
      <w:r w:rsidR="005B4EA6" w:rsidRPr="00AD3EE6">
        <w:t xml:space="preserve"> to drive national-level initiatives</w:t>
      </w:r>
      <w:r w:rsidR="001777DE" w:rsidRPr="00AD3EE6">
        <w:t xml:space="preserve"> resulting in more significant progress </w:t>
      </w:r>
      <w:r w:rsidR="00BE4C1E">
        <w:t xml:space="preserve">than </w:t>
      </w:r>
      <w:r w:rsidR="001777DE" w:rsidRPr="00AD3EE6">
        <w:t>individual projects carried out by separate hospitals or regions.</w:t>
      </w:r>
      <w:r w:rsidR="005B4EA6" w:rsidRPr="00AD3EE6">
        <w:t xml:space="preserve"> </w:t>
      </w:r>
    </w:p>
    <w:p w14:paraId="3FBEA5F7" w14:textId="65B83831" w:rsidR="008479D1" w:rsidRPr="00AD3EE6" w:rsidRDefault="00BE4C1E" w:rsidP="00CD4DDB">
      <w:pPr>
        <w:pStyle w:val="Quoteperfreview"/>
      </w:pPr>
      <w:r>
        <w:t>‘</w:t>
      </w:r>
      <w:r w:rsidR="008479D1" w:rsidRPr="00AD3EE6">
        <w:t xml:space="preserve">This shift would allow for a more proactive approach in addressing key issues </w:t>
      </w:r>
      <w:r w:rsidR="00EE67E1">
        <w:br/>
      </w:r>
      <w:r w:rsidR="008479D1" w:rsidRPr="00AD3EE6">
        <w:t>and making a tangible impact on pressing health concerns.</w:t>
      </w:r>
      <w:r>
        <w:t>’</w:t>
      </w:r>
    </w:p>
    <w:p w14:paraId="566AC027" w14:textId="77777777" w:rsidR="00DF6E3A" w:rsidRPr="00AD3EE6" w:rsidRDefault="00DF6E3A" w:rsidP="008479D1">
      <w:pPr>
        <w:rPr>
          <w:b/>
          <w:bCs/>
          <w:i/>
          <w:iCs/>
          <w:color w:val="4F81BD" w:themeColor="accent1"/>
        </w:rPr>
      </w:pPr>
    </w:p>
    <w:p w14:paraId="7D28B086" w14:textId="192D24D3" w:rsidR="00FE623C" w:rsidRPr="00AD3EE6" w:rsidRDefault="00FE623C" w:rsidP="00FE623C">
      <w:r w:rsidRPr="00AD3EE6">
        <w:lastRenderedPageBreak/>
        <w:t xml:space="preserve">Undoubtedly, strengthening collaboration with </w:t>
      </w:r>
      <w:r w:rsidR="0000423A" w:rsidRPr="00AD3EE6">
        <w:t xml:space="preserve">the </w:t>
      </w:r>
      <w:r w:rsidRPr="00AD3EE6">
        <w:t>relevant agencies and recipients of recommendations at an earlier stage requires prioritised investment of time and resources.</w:t>
      </w:r>
    </w:p>
    <w:p w14:paraId="2057F4B3" w14:textId="2896B42E" w:rsidR="008E76E4" w:rsidRPr="00AD3EE6" w:rsidRDefault="000F6F3D" w:rsidP="00355BD9">
      <w:pPr>
        <w:pStyle w:val="TeThHauorahead2"/>
      </w:pPr>
      <w:bookmarkStart w:id="23" w:name="_Toc137717506"/>
      <w:r w:rsidRPr="00AD3EE6">
        <w:t>Enhance capacity</w:t>
      </w:r>
      <w:r w:rsidR="008E76E4" w:rsidRPr="00AD3EE6">
        <w:t xml:space="preserve"> to translate evidence into action and close </w:t>
      </w:r>
      <w:r w:rsidR="00890DFF">
        <w:br/>
      </w:r>
      <w:r w:rsidR="008E76E4" w:rsidRPr="00AD3EE6">
        <w:t>the loop</w:t>
      </w:r>
      <w:bookmarkEnd w:id="23"/>
    </w:p>
    <w:p w14:paraId="652CCE09" w14:textId="75C3A0B1" w:rsidR="00661DE6" w:rsidRPr="00AD3EE6" w:rsidRDefault="00EB683A" w:rsidP="000C39D9">
      <w:r w:rsidRPr="00AD3EE6">
        <w:t xml:space="preserve">As recognised above, Te </w:t>
      </w:r>
      <w:proofErr w:type="spellStart"/>
      <w:r w:rsidRPr="00AD3EE6">
        <w:t>Tāhū</w:t>
      </w:r>
      <w:proofErr w:type="spellEnd"/>
      <w:r w:rsidRPr="00AD3EE6">
        <w:t xml:space="preserve"> Hauora needs to build its capacity</w:t>
      </w:r>
      <w:r w:rsidR="00C81429" w:rsidRPr="00AD3EE6">
        <w:t xml:space="preserve"> and capability</w:t>
      </w:r>
      <w:r w:rsidRPr="00AD3EE6">
        <w:t xml:space="preserve"> to translate evidence into action and effectively influence agencies </w:t>
      </w:r>
      <w:r w:rsidR="00616B5A" w:rsidRPr="00AD3EE6">
        <w:t>to implement recommendation</w:t>
      </w:r>
      <w:r w:rsidR="00B368FE" w:rsidRPr="00AD3EE6">
        <w:t>s</w:t>
      </w:r>
      <w:r w:rsidR="00616B5A" w:rsidRPr="00AD3EE6">
        <w:t xml:space="preserve"> and </w:t>
      </w:r>
      <w:r w:rsidRPr="00AD3EE6">
        <w:t>close the loop</w:t>
      </w:r>
      <w:r w:rsidR="00616B5A" w:rsidRPr="00AD3EE6">
        <w:t>.</w:t>
      </w:r>
    </w:p>
    <w:p w14:paraId="2E54516C" w14:textId="6E15ED50" w:rsidR="00F24F49" w:rsidRPr="00AD3EE6" w:rsidRDefault="007F78B2" w:rsidP="00CD4DDB">
      <w:pPr>
        <w:spacing w:after="360" w:line="259" w:lineRule="auto"/>
      </w:pPr>
      <w:r>
        <w:rPr>
          <w:noProof/>
        </w:rPr>
        <mc:AlternateContent>
          <mc:Choice Requires="wps">
            <w:drawing>
              <wp:anchor distT="0" distB="0" distL="114300" distR="114300" simplePos="0" relativeHeight="251684865" behindDoc="1" locked="0" layoutInCell="1" allowOverlap="1" wp14:anchorId="611B5CAA" wp14:editId="7255B7FA">
                <wp:simplePos x="0" y="0"/>
                <wp:positionH relativeFrom="margin">
                  <wp:align>left</wp:align>
                </wp:positionH>
                <wp:positionV relativeFrom="paragraph">
                  <wp:posOffset>1137978</wp:posOffset>
                </wp:positionV>
                <wp:extent cx="5687695" cy="597528"/>
                <wp:effectExtent l="0" t="0" r="8255" b="0"/>
                <wp:wrapNone/>
                <wp:docPr id="17" name="Rectangle: Rounded Corners 17"/>
                <wp:cNvGraphicFramePr/>
                <a:graphic xmlns:a="http://schemas.openxmlformats.org/drawingml/2006/main">
                  <a:graphicData uri="http://schemas.microsoft.com/office/word/2010/wordprocessingShape">
                    <wps:wsp>
                      <wps:cNvSpPr/>
                      <wps:spPr>
                        <a:xfrm>
                          <a:off x="0" y="0"/>
                          <a:ext cx="5687695" cy="597528"/>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003ED854" id="Rectangle: Rounded Corners 17" o:spid="_x0000_s1026" style="position:absolute;margin-left:0;margin-top:89.6pt;width:447.85pt;height:47.05pt;z-index:-2516316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vKjwIAAIUFAAAOAAAAZHJzL2Uyb0RvYy54bWysVMFu2zAMvQ/YPwi6r3aMuE2COkXQosOA&#10;oivaDj0rshQbkEVNUuJkXz9KcpyuLXYYloNCieQj+Uzy8mrfKbIT1rWgKzo5yykRmkPd6k1Ffzzf&#10;fplR4jzTNVOgRUUPwtGr5edPl71ZiAIaULWwBEG0W/Smoo33ZpFljjeiY+4MjNColGA75vFqN1lt&#10;WY/oncqKPD/PerC1scCFc/h6k5R0GfGlFNx/l9IJT1RFMTcfTxvPdTiz5SVbbCwzTcuHNNg/ZNGx&#10;VmPQEeqGeUa2tn0H1bXcggPpzzh0GUjZchFrwGom+ZtqnhpmRKwFyXFmpMn9P1h+v3syDxZp6I1b&#10;OBRDFXtpu/CP+ZF9JOswkiX2nnB8LM9nF+fzkhKOunJ+URazwGZ28jbW+a8COhKEilrY6voRv0gk&#10;iu3unE/2R7sQ0YFq69tWqXixm/W1smTH8OvN82kxmyRfZRqWXosynx/jumQec/gDR+mApiHgppDh&#10;JTtVHCV/UCLYKf0oJGlrrLGI4WIzijERxrnQPmXiGlaLlEmZ429gYPSIuUTAgCwx/og9AIRGf4+d&#10;shzsg6uIvTw6539LLDmPHjEyaD86d60G+xGAwqqGyMn+SFKiJrC0hvrwYImFNEnO8NsWv+4dc/6B&#10;WRwdHDJcB/47HlJBX1EYJEoasL8+eg/22NGopaTHUayo+7llVlCivmns9flkOg2zGy/T8qLAi32t&#10;Wb/W6G13DdgvE1w8hkcx2Ht1FKWF7gW3xipERRXTHGNXlHt7vFz7tCJw73CxWkUznFfD/J1+MjyA&#10;B1ZD4z7vX5g1Q4t7HI57OI4tW7xp8mQbPDWsth5kGyfgxOvAN856bJxhL4Vl8voerU7bc/kbAAD/&#10;/wMAUEsDBBQABgAIAAAAIQDl8OSw3QAAAAgBAAAPAAAAZHJzL2Rvd25yZXYueG1sTI/NTsMwEITv&#10;SLyDtUjcqNNEkDbEqRABzhCoKm5uvMRR/RPFbhLenuUEx9lZzXxT7hZr2IRj6L0TsF4lwNC1XvWu&#10;E/Dx/nyzARaidEoa71DANwbYVZcXpSyUn90bTk3sGIW4UEgBOsah4Dy0Gq0MKz+gI+/Lj1ZGkmPH&#10;1ShnCreGp0lyx63sHTVoOeCjxvbUnK2AhtdP06l+yT5x2L/WszaHulsLcX21PNwDi7jEv2f4xSd0&#10;qIjp6M9OBWYE0JBI13ybAiN7s73NgR0FpHmWAa9K/n9A9QMAAP//AwBQSwECLQAUAAYACAAAACEA&#10;toM4kv4AAADhAQAAEwAAAAAAAAAAAAAAAAAAAAAAW0NvbnRlbnRfVHlwZXNdLnhtbFBLAQItABQA&#10;BgAIAAAAIQA4/SH/1gAAAJQBAAALAAAAAAAAAAAAAAAAAC8BAABfcmVscy8ucmVsc1BLAQItABQA&#10;BgAIAAAAIQBgetvKjwIAAIUFAAAOAAAAAAAAAAAAAAAAAC4CAABkcnMvZTJvRG9jLnhtbFBLAQIt&#10;ABQABgAIAAAAIQDl8OSw3QAAAAgBAAAPAAAAAAAAAAAAAAAAAOkEAABkcnMvZG93bnJldi54bWxQ&#10;SwUGAAAAAAQABADzAAAA8wUAAAAA&#10;" fillcolor="#904281" stroked="f" strokeweight="2pt">
                <v:fill opacity="16448f"/>
                <w10:wrap anchorx="margin"/>
              </v:roundrect>
            </w:pict>
          </mc:Fallback>
        </mc:AlternateContent>
      </w:r>
      <w:r w:rsidR="00F46FCB" w:rsidRPr="00AD3EE6">
        <w:t>Closing the loop in recommendation</w:t>
      </w:r>
      <w:r w:rsidR="00BE4C1E">
        <w:t>-</w:t>
      </w:r>
      <w:r w:rsidR="00F46FCB" w:rsidRPr="00AD3EE6">
        <w:t xml:space="preserve">making refers to the process of receiving feedback or </w:t>
      </w:r>
      <w:r w:rsidR="007D5109" w:rsidRPr="00AD3EE6">
        <w:t>user</w:t>
      </w:r>
      <w:r w:rsidR="00F46FCB" w:rsidRPr="00AD3EE6">
        <w:t xml:space="preserve"> interactions on the recommendations provided and using that feedback to improve future recommendations. </w:t>
      </w:r>
      <w:r w:rsidR="007D5109" w:rsidRPr="00AD3EE6">
        <w:t xml:space="preserve">It is </w:t>
      </w:r>
      <w:r w:rsidR="00BE4C1E">
        <w:t xml:space="preserve">critical that, </w:t>
      </w:r>
      <w:r w:rsidR="007D5109" w:rsidRPr="00AD3EE6">
        <w:t>once a report or data is released</w:t>
      </w:r>
      <w:r w:rsidR="00BE4C1E">
        <w:t>,</w:t>
      </w:r>
      <w:r w:rsidR="007D5109" w:rsidRPr="00AD3EE6">
        <w:t xml:space="preserve"> its impact and success</w:t>
      </w:r>
      <w:r w:rsidR="00BE4C1E">
        <w:t xml:space="preserve"> is measured to</w:t>
      </w:r>
      <w:r w:rsidR="00E40E1A" w:rsidRPr="00AD3EE6">
        <w:t xml:space="preserve"> </w:t>
      </w:r>
      <w:r w:rsidR="00BE4C1E">
        <w:t xml:space="preserve">indicate </w:t>
      </w:r>
      <w:r w:rsidR="00E40E1A" w:rsidRPr="00AD3EE6">
        <w:t>whether improvements are being implemented</w:t>
      </w:r>
      <w:r w:rsidR="00A54D54" w:rsidRPr="00AD3EE6">
        <w:t>, the</w:t>
      </w:r>
      <w:r w:rsidR="00E40E1A" w:rsidRPr="00AD3EE6">
        <w:t xml:space="preserve"> </w:t>
      </w:r>
      <w:r w:rsidR="00F24F49" w:rsidRPr="00AD3EE6">
        <w:t xml:space="preserve">risks or issues are </w:t>
      </w:r>
      <w:r w:rsidR="00E40E1A" w:rsidRPr="00AD3EE6">
        <w:t xml:space="preserve">being </w:t>
      </w:r>
      <w:r w:rsidR="00F24F49" w:rsidRPr="00AD3EE6">
        <w:t>mitigated</w:t>
      </w:r>
      <w:r w:rsidR="00661DE6" w:rsidRPr="00AD3EE6">
        <w:t xml:space="preserve"> and</w:t>
      </w:r>
      <w:r w:rsidR="005B08DF" w:rsidRPr="00AD3EE6">
        <w:t xml:space="preserve"> </w:t>
      </w:r>
      <w:r w:rsidR="00661DE6" w:rsidRPr="00AD3EE6">
        <w:t xml:space="preserve">their </w:t>
      </w:r>
      <w:r w:rsidR="00A54D54" w:rsidRPr="00AD3EE6">
        <w:t xml:space="preserve">intended </w:t>
      </w:r>
      <w:r w:rsidR="00661DE6" w:rsidRPr="00AD3EE6">
        <w:t xml:space="preserve">impact is </w:t>
      </w:r>
      <w:r w:rsidR="00BE4C1E">
        <w:t xml:space="preserve">being </w:t>
      </w:r>
      <w:r w:rsidR="00661DE6" w:rsidRPr="00AD3EE6">
        <w:t>reali</w:t>
      </w:r>
      <w:r w:rsidR="00F24F49" w:rsidRPr="00AD3EE6">
        <w:t>s</w:t>
      </w:r>
      <w:r w:rsidR="00661DE6" w:rsidRPr="00AD3EE6">
        <w:t>ed</w:t>
      </w:r>
      <w:r w:rsidR="00A54D54" w:rsidRPr="00AD3EE6">
        <w:t>.</w:t>
      </w:r>
      <w:r w:rsidR="009F1F01" w:rsidRPr="00AD3EE6">
        <w:t xml:space="preserve"> Consumer and whānau engagement is integral to this.</w:t>
      </w:r>
    </w:p>
    <w:p w14:paraId="79272C08" w14:textId="4321430C" w:rsidR="00EE2503" w:rsidRPr="00AD3EE6" w:rsidRDefault="00BE4C1E" w:rsidP="007F78B2">
      <w:pPr>
        <w:pStyle w:val="Quoteperfreview"/>
        <w:spacing w:after="480"/>
      </w:pPr>
      <w:r>
        <w:t>‘</w:t>
      </w:r>
      <w:r w:rsidR="00EE2503" w:rsidRPr="00AD3EE6">
        <w:t xml:space="preserve">Te </w:t>
      </w:r>
      <w:proofErr w:type="spellStart"/>
      <w:r w:rsidR="00EE2503" w:rsidRPr="00AD3EE6">
        <w:t>Tāhū</w:t>
      </w:r>
      <w:proofErr w:type="spellEnd"/>
      <w:r w:rsidR="00EE2503" w:rsidRPr="00AD3EE6">
        <w:t xml:space="preserve"> Hauora needs to lead the health sector to learn </w:t>
      </w:r>
      <w:r w:rsidR="00CD4DDB">
        <w:br/>
      </w:r>
      <w:r w:rsidR="00EE2503" w:rsidRPr="00AD3EE6">
        <w:t>what has worked and keep the pedal on it!</w:t>
      </w:r>
      <w:r>
        <w:t>’</w:t>
      </w:r>
    </w:p>
    <w:p w14:paraId="469E28D4" w14:textId="31D03B02" w:rsidR="00661DE6" w:rsidRPr="00BE4C1E" w:rsidRDefault="00661DE6" w:rsidP="000C39D9">
      <w:r w:rsidRPr="00BE4C1E">
        <w:t xml:space="preserve">Te </w:t>
      </w:r>
      <w:proofErr w:type="spellStart"/>
      <w:r w:rsidRPr="00BE4C1E">
        <w:t>Tāhū</w:t>
      </w:r>
      <w:proofErr w:type="spellEnd"/>
      <w:r w:rsidRPr="00BE4C1E">
        <w:t xml:space="preserve"> Hauora should work closely with Te Aka </w:t>
      </w:r>
      <w:proofErr w:type="spellStart"/>
      <w:r w:rsidRPr="00BE4C1E">
        <w:t>Whai</w:t>
      </w:r>
      <w:proofErr w:type="spellEnd"/>
      <w:r w:rsidRPr="00BE4C1E">
        <w:t xml:space="preserve"> Ora to provide robust information in </w:t>
      </w:r>
      <w:r w:rsidR="00DC050E" w:rsidRPr="00BE4C1E">
        <w:t xml:space="preserve">its </w:t>
      </w:r>
      <w:r w:rsidRPr="00BE4C1E">
        <w:t>reports and recommendations, particularly to support Māori and Pacific peoples.</w:t>
      </w:r>
      <w:r w:rsidR="00B84178" w:rsidRPr="00BE4C1E">
        <w:t xml:space="preserve"> Such </w:t>
      </w:r>
      <w:r w:rsidR="00F24F49" w:rsidRPr="00BE4C1E">
        <w:t>c</w:t>
      </w:r>
      <w:r w:rsidRPr="00BE4C1E">
        <w:t xml:space="preserve">ollaboration can help influence Te </w:t>
      </w:r>
      <w:proofErr w:type="spellStart"/>
      <w:r w:rsidRPr="00BE4C1E">
        <w:t>Whatu</w:t>
      </w:r>
      <w:proofErr w:type="spellEnd"/>
      <w:r w:rsidRPr="00BE4C1E">
        <w:t xml:space="preserve"> Ora and </w:t>
      </w:r>
      <w:r w:rsidR="008F0279" w:rsidRPr="00BE4C1E">
        <w:t>standardise</w:t>
      </w:r>
      <w:r w:rsidRPr="00BE4C1E">
        <w:t xml:space="preserve"> the </w:t>
      </w:r>
      <w:r w:rsidR="00ED2940" w:rsidRPr="00BE4C1E">
        <w:t xml:space="preserve">pathways </w:t>
      </w:r>
      <w:r w:rsidR="00BE4C1E">
        <w:t xml:space="preserve">for </w:t>
      </w:r>
      <w:r w:rsidR="00ED2940" w:rsidRPr="00BE4C1E">
        <w:t xml:space="preserve">and </w:t>
      </w:r>
      <w:r w:rsidRPr="00BE4C1E">
        <w:t>implementation of recommendations.</w:t>
      </w:r>
      <w:r w:rsidR="00B84178" w:rsidRPr="00BE4C1E">
        <w:t xml:space="preserve"> </w:t>
      </w:r>
      <w:r w:rsidR="00B84178" w:rsidRPr="00BE4C1E">
        <w:rPr>
          <w:i/>
          <w:iCs/>
        </w:rPr>
        <w:t xml:space="preserve">Bula </w:t>
      </w:r>
      <w:proofErr w:type="spellStart"/>
      <w:r w:rsidR="00B84178" w:rsidRPr="00BE4C1E">
        <w:rPr>
          <w:i/>
          <w:iCs/>
        </w:rPr>
        <w:t>Sautu</w:t>
      </w:r>
      <w:proofErr w:type="spellEnd"/>
      <w:r w:rsidR="00B84178" w:rsidRPr="00BE4C1E">
        <w:rPr>
          <w:i/>
          <w:iCs/>
        </w:rPr>
        <w:t xml:space="preserve"> – A window on quality 2021: Pacific health in the year of COVID-19</w:t>
      </w:r>
      <w:r w:rsidR="00B84178" w:rsidRPr="00BE4C1E">
        <w:rPr>
          <w:rStyle w:val="FootnoteReference"/>
          <w:sz w:val="22"/>
        </w:rPr>
        <w:footnoteReference w:id="20"/>
      </w:r>
      <w:r w:rsidR="00B84178" w:rsidRPr="00BE4C1E">
        <w:rPr>
          <w:i/>
          <w:iCs/>
        </w:rPr>
        <w:t xml:space="preserve"> </w:t>
      </w:r>
      <w:r w:rsidR="00B84178" w:rsidRPr="00BE4C1E">
        <w:t>was</w:t>
      </w:r>
      <w:r w:rsidR="00C827EA" w:rsidRPr="00BE4C1E">
        <w:t xml:space="preserve"> noted</w:t>
      </w:r>
      <w:r w:rsidR="0006194D" w:rsidRPr="00BE4C1E">
        <w:t xml:space="preserve"> as a </w:t>
      </w:r>
      <w:r w:rsidR="00C827EA" w:rsidRPr="00BE4C1E">
        <w:t>valuable snapshot and deep dive</w:t>
      </w:r>
      <w:r w:rsidR="00BE4C1E">
        <w:t>,</w:t>
      </w:r>
      <w:r w:rsidR="00C827EA" w:rsidRPr="00BE4C1E">
        <w:t xml:space="preserve"> </w:t>
      </w:r>
      <w:r w:rsidR="00BE4C1E">
        <w:t xml:space="preserve">and its </w:t>
      </w:r>
      <w:r w:rsidR="00C827EA" w:rsidRPr="00BE4C1E">
        <w:t xml:space="preserve">recommendations </w:t>
      </w:r>
      <w:r w:rsidR="00BE4C1E">
        <w:t xml:space="preserve">were </w:t>
      </w:r>
      <w:r w:rsidR="00C827EA" w:rsidRPr="00BE4C1E">
        <w:t>taken up as part of the system review work</w:t>
      </w:r>
      <w:r w:rsidR="00266514" w:rsidRPr="00BE4C1E">
        <w:t xml:space="preserve">. This provides a </w:t>
      </w:r>
      <w:r w:rsidR="00C827EA" w:rsidRPr="00BE4C1E">
        <w:t>mechanism to close the loop with recommendation</w:t>
      </w:r>
      <w:r w:rsidR="00BE4C1E">
        <w:t>-</w:t>
      </w:r>
      <w:r w:rsidR="00C827EA" w:rsidRPr="00BE4C1E">
        <w:t>making.</w:t>
      </w:r>
    </w:p>
    <w:p w14:paraId="1898DFE9" w14:textId="5AA685C6" w:rsidR="006E6179" w:rsidRPr="00AD3EE6" w:rsidRDefault="000C3C4B" w:rsidP="000C39D9">
      <w:r w:rsidRPr="00AD3EE6">
        <w:t xml:space="preserve">Stakeholders, including staff, </w:t>
      </w:r>
      <w:r w:rsidR="00ED2940" w:rsidRPr="00AD3EE6">
        <w:t xml:space="preserve">also </w:t>
      </w:r>
      <w:r w:rsidRPr="00AD3EE6">
        <w:t>raised concerns about the lack of clarity regarding the direct impact and measurement of outcomes from projects. This ambiguity creates uncertainty regarding the effectiveness of the organisation</w:t>
      </w:r>
      <w:r w:rsidR="001426A2">
        <w:t>’</w:t>
      </w:r>
      <w:r w:rsidRPr="00AD3EE6">
        <w:t xml:space="preserve">s initiatives. To address this concern, Te </w:t>
      </w:r>
      <w:proofErr w:type="spellStart"/>
      <w:r w:rsidRPr="00AD3EE6">
        <w:t>Tāhū</w:t>
      </w:r>
      <w:proofErr w:type="spellEnd"/>
      <w:r w:rsidRPr="00AD3EE6">
        <w:t xml:space="preserve"> Hauora should make it a priority to provide greater clarity in demonstrating the tangible results of its projects and how they contribute to improving the overall health system.</w:t>
      </w:r>
      <w:r w:rsidR="00E73242" w:rsidRPr="00AD3EE6">
        <w:t xml:space="preserve"> This may involve developing robust monitoring and evaluation mechanisms internally to track the progress and outcomes of initiatives.</w:t>
      </w:r>
    </w:p>
    <w:p w14:paraId="3EF16BED" w14:textId="50106CAB" w:rsidR="001E3F97" w:rsidRPr="00AD3EE6" w:rsidRDefault="001E3F97" w:rsidP="001E3F97">
      <w:r w:rsidRPr="00AD3EE6">
        <w:t xml:space="preserve">Te </w:t>
      </w:r>
      <w:proofErr w:type="spellStart"/>
      <w:r w:rsidRPr="00AD3EE6">
        <w:t>Tāhū</w:t>
      </w:r>
      <w:proofErr w:type="spellEnd"/>
      <w:r w:rsidRPr="00AD3EE6">
        <w:t xml:space="preserve"> Hauora </w:t>
      </w:r>
      <w:r w:rsidR="006D0AE4" w:rsidRPr="00AD3EE6">
        <w:t>holds</w:t>
      </w:r>
      <w:r w:rsidRPr="00AD3EE6">
        <w:t xml:space="preserve"> a leading role in actively engaging with the community, whānau</w:t>
      </w:r>
      <w:r w:rsidR="00B951B2">
        <w:t xml:space="preserve"> and</w:t>
      </w:r>
      <w:r w:rsidRPr="00AD3EE6">
        <w:t xml:space="preserve"> individual voices within the health sector. This commitment to meaningful interaction allows us to not only gather valuable insights but also to measure the effectiveness of projects in addressing the specific needs and aspirations of whānau and their wider communities.</w:t>
      </w:r>
    </w:p>
    <w:p w14:paraId="1AA5864F" w14:textId="069EF871" w:rsidR="00220EC7" w:rsidRPr="00AD3EE6" w:rsidRDefault="00BE4C0B" w:rsidP="00220EC7">
      <w:r>
        <w:t>An u</w:t>
      </w:r>
      <w:r w:rsidR="001E3F97" w:rsidRPr="00AD3EE6">
        <w:t xml:space="preserve">nderstanding </w:t>
      </w:r>
      <w:r>
        <w:t xml:space="preserve">of </w:t>
      </w:r>
      <w:r w:rsidR="001E3F97" w:rsidRPr="00AD3EE6">
        <w:t xml:space="preserve">the unique challenges and aspirations of different communities </w:t>
      </w:r>
      <w:r w:rsidR="00220EC7" w:rsidRPr="00AD3EE6">
        <w:t xml:space="preserve">provides a vital feedback loop that allows the health system to measure the impact of </w:t>
      </w:r>
      <w:r w:rsidR="00F51D9D" w:rsidRPr="00AD3EE6">
        <w:t>its health services</w:t>
      </w:r>
      <w:r w:rsidR="00220EC7" w:rsidRPr="00AD3EE6">
        <w:t xml:space="preserve"> in real</w:t>
      </w:r>
      <w:r>
        <w:t xml:space="preserve"> </w:t>
      </w:r>
      <w:r w:rsidR="00220EC7" w:rsidRPr="00AD3EE6">
        <w:t>time.</w:t>
      </w:r>
    </w:p>
    <w:p w14:paraId="69534001" w14:textId="5F47C606" w:rsidR="008E76E4" w:rsidRPr="00AD3EE6" w:rsidRDefault="00661841" w:rsidP="00355BD9">
      <w:pPr>
        <w:pStyle w:val="TeThHauorahead2"/>
      </w:pPr>
      <w:bookmarkStart w:id="24" w:name="_Toc137717507"/>
      <w:r w:rsidRPr="00AD3EE6">
        <w:lastRenderedPageBreak/>
        <w:t>B</w:t>
      </w:r>
      <w:r w:rsidR="008E76E4" w:rsidRPr="00AD3EE6">
        <w:t>uild and improve its focus on the whole system</w:t>
      </w:r>
      <w:bookmarkEnd w:id="24"/>
      <w:r w:rsidR="008E76E4" w:rsidRPr="00AD3EE6">
        <w:t xml:space="preserve"> </w:t>
      </w:r>
    </w:p>
    <w:p w14:paraId="4C9C89C9" w14:textId="6895B368" w:rsidR="00243A73" w:rsidRPr="00AD3EE6" w:rsidRDefault="00513A98" w:rsidP="00513A98">
      <w:r w:rsidRPr="00AD3EE6">
        <w:t xml:space="preserve">A notable observation </w:t>
      </w:r>
      <w:r w:rsidR="006B0379" w:rsidRPr="00AD3EE6">
        <w:t xml:space="preserve">from our interviews </w:t>
      </w:r>
      <w:r w:rsidR="00BE4C0B">
        <w:t xml:space="preserve">was </w:t>
      </w:r>
      <w:r w:rsidR="006B0379" w:rsidRPr="00AD3EE6">
        <w:t xml:space="preserve">the </w:t>
      </w:r>
      <w:r w:rsidR="00D57EB6" w:rsidRPr="00AD3EE6">
        <w:t xml:space="preserve">need </w:t>
      </w:r>
      <w:r w:rsidRPr="00AD3EE6">
        <w:t xml:space="preserve">for Te </w:t>
      </w:r>
      <w:proofErr w:type="spellStart"/>
      <w:r w:rsidRPr="00AD3EE6">
        <w:t>Tāhū</w:t>
      </w:r>
      <w:proofErr w:type="spellEnd"/>
      <w:r w:rsidRPr="00AD3EE6">
        <w:t xml:space="preserve"> Hauora to broaden its focus to encompass the </w:t>
      </w:r>
      <w:r w:rsidR="006B0379" w:rsidRPr="00AD3EE6">
        <w:t>whole</w:t>
      </w:r>
      <w:r w:rsidRPr="00AD3EE6">
        <w:t xml:space="preserve"> system</w:t>
      </w:r>
      <w:r w:rsidR="00831CA8" w:rsidRPr="00AD3EE6">
        <w:t xml:space="preserve"> </w:t>
      </w:r>
      <w:r w:rsidR="00881E52" w:rsidRPr="00AD3EE6">
        <w:t>by</w:t>
      </w:r>
      <w:r w:rsidR="00831CA8" w:rsidRPr="00AD3EE6">
        <w:t xml:space="preserve"> strengthen</w:t>
      </w:r>
      <w:r w:rsidR="00881E52" w:rsidRPr="00AD3EE6">
        <w:t>ing</w:t>
      </w:r>
      <w:r w:rsidR="00831CA8" w:rsidRPr="00AD3EE6">
        <w:t xml:space="preserve"> its relationships with</w:t>
      </w:r>
      <w:r w:rsidR="00881E52" w:rsidRPr="00AD3EE6">
        <w:t xml:space="preserve"> new and existing </w:t>
      </w:r>
      <w:r w:rsidR="00831CA8" w:rsidRPr="00AD3EE6">
        <w:t xml:space="preserve">parts of the system to drive </w:t>
      </w:r>
      <w:r w:rsidR="00881E52" w:rsidRPr="00AD3EE6">
        <w:t xml:space="preserve">improved </w:t>
      </w:r>
      <w:r w:rsidR="00831CA8" w:rsidRPr="00AD3EE6">
        <w:t>outcomes</w:t>
      </w:r>
      <w:r w:rsidR="00FC3439">
        <w:t>: s</w:t>
      </w:r>
      <w:r w:rsidR="00EC440E" w:rsidRPr="00AD3EE6">
        <w:t xml:space="preserve">pecifically, </w:t>
      </w:r>
      <w:r w:rsidR="00EA45D6" w:rsidRPr="00AD3EE6">
        <w:t>to</w:t>
      </w:r>
      <w:r w:rsidR="007C5AF5" w:rsidRPr="00AD3EE6">
        <w:t xml:space="preserve"> </w:t>
      </w:r>
      <w:r w:rsidR="00EA45D6" w:rsidRPr="00AD3EE6">
        <w:t>deepen</w:t>
      </w:r>
      <w:r w:rsidRPr="00AD3EE6">
        <w:t xml:space="preserve"> its understanding </w:t>
      </w:r>
      <w:r w:rsidR="00CE0496" w:rsidRPr="00AD3EE6">
        <w:t xml:space="preserve">of </w:t>
      </w:r>
      <w:r w:rsidRPr="00AD3EE6">
        <w:t xml:space="preserve">primary and community </w:t>
      </w:r>
      <w:r w:rsidR="00243A73" w:rsidRPr="00AD3EE6">
        <w:t xml:space="preserve">health </w:t>
      </w:r>
      <w:r w:rsidR="00CD34A5" w:rsidRPr="00AD3EE6">
        <w:t xml:space="preserve">to serve and </w:t>
      </w:r>
      <w:r w:rsidR="001E4DD3" w:rsidRPr="00AD3EE6">
        <w:t xml:space="preserve">support </w:t>
      </w:r>
      <w:r w:rsidR="00243A73" w:rsidRPr="00AD3EE6">
        <w:t xml:space="preserve">equitable </w:t>
      </w:r>
      <w:r w:rsidR="003324D9">
        <w:t>health care</w:t>
      </w:r>
      <w:r w:rsidR="00EA45D6" w:rsidRPr="00AD3EE6">
        <w:t>.</w:t>
      </w:r>
    </w:p>
    <w:p w14:paraId="797C39E1" w14:textId="66990E58" w:rsidR="004479B9" w:rsidRPr="00AD3EE6" w:rsidRDefault="00EB2E60" w:rsidP="00513A98">
      <w:r w:rsidRPr="00AD3EE6">
        <w:t>Establishing</w:t>
      </w:r>
      <w:r w:rsidR="00091C2E" w:rsidRPr="00AD3EE6">
        <w:t xml:space="preserve"> and building</w:t>
      </w:r>
      <w:r w:rsidRPr="00AD3EE6">
        <w:t xml:space="preserve"> relationships </w:t>
      </w:r>
      <w:r w:rsidR="0031450D" w:rsidRPr="00AD3EE6">
        <w:t>t</w:t>
      </w:r>
      <w:r w:rsidR="0018115A" w:rsidRPr="00AD3EE6">
        <w:t xml:space="preserve">o provide support to </w:t>
      </w:r>
      <w:r w:rsidR="00BE4C0B">
        <w:t>i</w:t>
      </w:r>
      <w:r w:rsidR="0018115A" w:rsidRPr="00AD3EE6">
        <w:t>wi</w:t>
      </w:r>
      <w:r w:rsidR="00BE4C0B">
        <w:t>-</w:t>
      </w:r>
      <w:r w:rsidR="0018115A" w:rsidRPr="00AD3EE6">
        <w:t xml:space="preserve">Māori </w:t>
      </w:r>
      <w:r w:rsidR="00BE4C0B">
        <w:t>p</w:t>
      </w:r>
      <w:r w:rsidR="0018115A" w:rsidRPr="00AD3EE6">
        <w:t xml:space="preserve">artnership </w:t>
      </w:r>
      <w:r w:rsidR="00BE4C0B">
        <w:t>b</w:t>
      </w:r>
      <w:r w:rsidR="0018115A" w:rsidRPr="00AD3EE6">
        <w:t xml:space="preserve">oards, localities, </w:t>
      </w:r>
      <w:r w:rsidR="0046518B" w:rsidRPr="00AD3EE6">
        <w:t xml:space="preserve">primary and </w:t>
      </w:r>
      <w:r w:rsidR="0018115A" w:rsidRPr="00AD3EE6">
        <w:t xml:space="preserve">community </w:t>
      </w:r>
      <w:r w:rsidR="003324D9">
        <w:t>health care</w:t>
      </w:r>
      <w:r w:rsidR="0018115A" w:rsidRPr="00AD3EE6">
        <w:t xml:space="preserve"> providers</w:t>
      </w:r>
      <w:r w:rsidR="00B951B2">
        <w:t xml:space="preserve"> and</w:t>
      </w:r>
      <w:r w:rsidR="0018115A" w:rsidRPr="00AD3EE6">
        <w:t xml:space="preserve"> communities</w:t>
      </w:r>
      <w:r w:rsidRPr="00AD3EE6">
        <w:t xml:space="preserve"> is crucial for Te </w:t>
      </w:r>
      <w:proofErr w:type="spellStart"/>
      <w:r w:rsidRPr="00AD3EE6">
        <w:t>Tāhū</w:t>
      </w:r>
      <w:proofErr w:type="spellEnd"/>
      <w:r w:rsidRPr="00AD3EE6">
        <w:t xml:space="preserve"> Hauora</w:t>
      </w:r>
      <w:r w:rsidR="00687FF2" w:rsidRPr="00AD3EE6">
        <w:t xml:space="preserve"> in broaden</w:t>
      </w:r>
      <w:r w:rsidR="00C32846" w:rsidRPr="00AD3EE6">
        <w:t>ing</w:t>
      </w:r>
      <w:r w:rsidR="00687FF2" w:rsidRPr="00AD3EE6">
        <w:t xml:space="preserve"> </w:t>
      </w:r>
      <w:r w:rsidR="00C32846" w:rsidRPr="00AD3EE6">
        <w:t xml:space="preserve">its </w:t>
      </w:r>
      <w:r w:rsidR="00687FF2" w:rsidRPr="00AD3EE6">
        <w:t>understanding of the quality</w:t>
      </w:r>
      <w:r w:rsidR="00511661">
        <w:t xml:space="preserve"> and safety</w:t>
      </w:r>
      <w:r w:rsidR="00687FF2" w:rsidRPr="00AD3EE6">
        <w:t xml:space="preserve"> issues faced by Māori</w:t>
      </w:r>
      <w:r w:rsidR="00BE4C0B">
        <w:t xml:space="preserve"> and</w:t>
      </w:r>
      <w:r w:rsidR="00687FF2" w:rsidRPr="00AD3EE6">
        <w:t xml:space="preserve"> Pacific peoples</w:t>
      </w:r>
      <w:r w:rsidR="00B951B2">
        <w:t xml:space="preserve"> and</w:t>
      </w:r>
      <w:r w:rsidR="00687FF2" w:rsidRPr="00AD3EE6">
        <w:t xml:space="preserve"> disabled individuals and other</w:t>
      </w:r>
      <w:r w:rsidR="001E069A" w:rsidRPr="00AD3EE6">
        <w:t>s</w:t>
      </w:r>
      <w:r w:rsidR="00687FF2" w:rsidRPr="00AD3EE6">
        <w:t xml:space="preserve"> who experience inequitable outcomes.</w:t>
      </w:r>
      <w:r w:rsidR="00452C96" w:rsidRPr="00AD3EE6">
        <w:t xml:space="preserve"> </w:t>
      </w:r>
    </w:p>
    <w:p w14:paraId="13C2D628" w14:textId="0560BC4C" w:rsidR="002D00E4" w:rsidRPr="00AD3EE6" w:rsidRDefault="004479B9" w:rsidP="00513A98">
      <w:r w:rsidRPr="00AD3EE6">
        <w:t xml:space="preserve">Te </w:t>
      </w:r>
      <w:proofErr w:type="spellStart"/>
      <w:r w:rsidRPr="00AD3EE6">
        <w:t>Tāhū</w:t>
      </w:r>
      <w:proofErr w:type="spellEnd"/>
      <w:r w:rsidRPr="00AD3EE6">
        <w:t xml:space="preserve"> Hauora plays a valuable role in sharing information about changes that can be made in real</w:t>
      </w:r>
      <w:r w:rsidR="00BE4C0B">
        <w:t xml:space="preserve"> </w:t>
      </w:r>
      <w:r w:rsidRPr="00AD3EE6">
        <w:t xml:space="preserve">time to improve quality and safety. </w:t>
      </w:r>
      <w:r w:rsidR="00581E26" w:rsidRPr="00AD3EE6">
        <w:t xml:space="preserve">It is important to </w:t>
      </w:r>
      <w:r w:rsidRPr="00AD3EE6">
        <w:t>support</w:t>
      </w:r>
      <w:r w:rsidR="00581E26" w:rsidRPr="00AD3EE6">
        <w:t xml:space="preserve"> the</w:t>
      </w:r>
      <w:r w:rsidR="00116671" w:rsidRPr="00AD3EE6">
        <w:t xml:space="preserve">se </w:t>
      </w:r>
      <w:r w:rsidRPr="00AD3EE6">
        <w:t>parts</w:t>
      </w:r>
      <w:r w:rsidR="00116671" w:rsidRPr="00AD3EE6">
        <w:t xml:space="preserve"> of the health system</w:t>
      </w:r>
      <w:r w:rsidR="00581E26" w:rsidRPr="00AD3EE6">
        <w:t xml:space="preserve"> with meaningful and actionable health quality intelligence to </w:t>
      </w:r>
      <w:r w:rsidR="000E2DF0" w:rsidRPr="00AD3EE6">
        <w:t>inform their design and decision-making processes</w:t>
      </w:r>
      <w:r w:rsidR="00687FF2" w:rsidRPr="00AD3EE6">
        <w:t>.</w:t>
      </w:r>
      <w:r w:rsidR="0026392E" w:rsidRPr="00AD3EE6">
        <w:t xml:space="preserve"> </w:t>
      </w:r>
      <w:r w:rsidR="00B364A1" w:rsidRPr="00AD3EE6">
        <w:t>Increased</w:t>
      </w:r>
      <w:r w:rsidR="00AD2E24" w:rsidRPr="00AD3EE6">
        <w:t xml:space="preserve"> promotion, </w:t>
      </w:r>
      <w:proofErr w:type="gramStart"/>
      <w:r w:rsidR="00B364A1" w:rsidRPr="00AD3EE6">
        <w:t>access</w:t>
      </w:r>
      <w:proofErr w:type="gramEnd"/>
      <w:r w:rsidR="00AD2E24" w:rsidRPr="00AD3EE6">
        <w:t xml:space="preserve"> and real-time reporting of health quality intelligence</w:t>
      </w:r>
      <w:r w:rsidR="00BE4C0B">
        <w:t>,</w:t>
      </w:r>
      <w:r w:rsidR="00B364A1" w:rsidRPr="00AD3EE6">
        <w:t xml:space="preserve"> </w:t>
      </w:r>
      <w:r w:rsidR="0026392E" w:rsidRPr="00AD3EE6">
        <w:t xml:space="preserve">such as the Atlas of </w:t>
      </w:r>
      <w:r w:rsidR="003A0FE4">
        <w:t xml:space="preserve">Healthcare </w:t>
      </w:r>
      <w:r w:rsidR="0026392E" w:rsidRPr="00AD3EE6">
        <w:t xml:space="preserve">Variation and the </w:t>
      </w:r>
      <w:r w:rsidR="00BE4C0B">
        <w:t>p</w:t>
      </w:r>
      <w:r w:rsidR="0026392E" w:rsidRPr="00AD3EE6">
        <w:t xml:space="preserve">atient </w:t>
      </w:r>
      <w:r w:rsidR="00BE4C0B">
        <w:t>e</w:t>
      </w:r>
      <w:r w:rsidR="0026392E" w:rsidRPr="00AD3EE6">
        <w:t xml:space="preserve">xperience </w:t>
      </w:r>
      <w:r w:rsidR="00BE4C0B">
        <w:t>s</w:t>
      </w:r>
      <w:r w:rsidR="0026392E" w:rsidRPr="00AD3EE6">
        <w:t>urvey</w:t>
      </w:r>
      <w:r w:rsidR="00BE4C0B">
        <w:t>s</w:t>
      </w:r>
      <w:r w:rsidR="003A0FE4">
        <w:t>,</w:t>
      </w:r>
      <w:r w:rsidR="0026392E" w:rsidRPr="00AD3EE6">
        <w:t xml:space="preserve"> are </w:t>
      </w:r>
      <w:r w:rsidR="00B364A1" w:rsidRPr="00AD3EE6">
        <w:t>just as valuable</w:t>
      </w:r>
      <w:r w:rsidR="0026392E" w:rsidRPr="00AD3EE6">
        <w:t xml:space="preserve"> </w:t>
      </w:r>
      <w:r w:rsidR="004856B2" w:rsidRPr="00AD3EE6">
        <w:t xml:space="preserve">locally </w:t>
      </w:r>
      <w:r w:rsidR="00AD2E24" w:rsidRPr="00AD3EE6">
        <w:t>in d</w:t>
      </w:r>
      <w:r w:rsidR="0026392E" w:rsidRPr="00AD3EE6">
        <w:t>ecision-making</w:t>
      </w:r>
      <w:r w:rsidR="00AD2E24" w:rsidRPr="00AD3EE6">
        <w:t xml:space="preserve"> as they are nationally.</w:t>
      </w:r>
    </w:p>
    <w:p w14:paraId="2A3599E1" w14:textId="08CD9920" w:rsidR="00513A98" w:rsidRPr="007F69BB" w:rsidRDefault="00513A98" w:rsidP="00513A98">
      <w:r w:rsidRPr="007F69BB">
        <w:t xml:space="preserve">Many stakeholders </w:t>
      </w:r>
      <w:r w:rsidR="00F93BAA" w:rsidRPr="007F69BB">
        <w:t xml:space="preserve">also </w:t>
      </w:r>
      <w:r w:rsidRPr="007F69BB">
        <w:t xml:space="preserve">highlighted the importance of addressing the needs of the maternity sector, </w:t>
      </w:r>
      <w:r w:rsidR="00CD34A5" w:rsidRPr="007F69BB">
        <w:t xml:space="preserve">including Kahu </w:t>
      </w:r>
      <w:proofErr w:type="spellStart"/>
      <w:r w:rsidR="00CD34A5" w:rsidRPr="007F69BB">
        <w:t>Taurima</w:t>
      </w:r>
      <w:proofErr w:type="spellEnd"/>
      <w:r w:rsidR="007F69BB" w:rsidRPr="007F69BB">
        <w:t>,</w:t>
      </w:r>
      <w:r w:rsidR="00834579" w:rsidRPr="007F69BB">
        <w:rPr>
          <w:rStyle w:val="FootnoteReference"/>
          <w:sz w:val="22"/>
        </w:rPr>
        <w:footnoteReference w:id="21"/>
      </w:r>
      <w:r w:rsidR="00CF6D89" w:rsidRPr="007F69BB">
        <w:t xml:space="preserve"> and across long-term conditions</w:t>
      </w:r>
      <w:r w:rsidR="007F69BB">
        <w:t>,</w:t>
      </w:r>
      <w:r w:rsidR="00CD34A5" w:rsidRPr="007F69BB">
        <w:t xml:space="preserve"> </w:t>
      </w:r>
      <w:r w:rsidRPr="007F69BB">
        <w:t xml:space="preserve">emphasising the value of Te </w:t>
      </w:r>
      <w:proofErr w:type="spellStart"/>
      <w:r w:rsidRPr="007F69BB">
        <w:t>Tāhū</w:t>
      </w:r>
      <w:proofErr w:type="spellEnd"/>
      <w:r w:rsidRPr="007F69BB">
        <w:t xml:space="preserve"> Hauora</w:t>
      </w:r>
      <w:r w:rsidR="00684DB7" w:rsidRPr="007F69BB">
        <w:t xml:space="preserve"> having</w:t>
      </w:r>
      <w:r w:rsidR="00CF6D89" w:rsidRPr="007F69BB">
        <w:t xml:space="preserve"> </w:t>
      </w:r>
      <w:r w:rsidR="00684DB7" w:rsidRPr="007F69BB">
        <w:t xml:space="preserve">greater </w:t>
      </w:r>
      <w:r w:rsidRPr="007F69BB">
        <w:t>involvement in th</w:t>
      </w:r>
      <w:r w:rsidR="00290B9C" w:rsidRPr="007F69BB">
        <w:t>ese</w:t>
      </w:r>
      <w:r w:rsidRPr="007F69BB">
        <w:t xml:space="preserve"> </w:t>
      </w:r>
      <w:r w:rsidR="00290B9C" w:rsidRPr="007F69BB">
        <w:t>areas.</w:t>
      </w:r>
    </w:p>
    <w:p w14:paraId="48A3BB6B" w14:textId="77D8CDD6" w:rsidR="008E76E4" w:rsidRPr="00355BD9" w:rsidRDefault="00293867" w:rsidP="00355BD9">
      <w:pPr>
        <w:pStyle w:val="TeThHauorahead2"/>
      </w:pPr>
      <w:bookmarkStart w:id="25" w:name="_Toc137717508"/>
      <w:r w:rsidRPr="00355BD9">
        <w:t xml:space="preserve">Shift </w:t>
      </w:r>
      <w:r w:rsidR="008E76E4" w:rsidRPr="00355BD9">
        <w:t xml:space="preserve">Te </w:t>
      </w:r>
      <w:proofErr w:type="spellStart"/>
      <w:r w:rsidR="008E76E4" w:rsidRPr="00355BD9">
        <w:t>Tiriti</w:t>
      </w:r>
      <w:proofErr w:type="spellEnd"/>
      <w:r w:rsidR="008E76E4" w:rsidRPr="00355BD9">
        <w:t xml:space="preserve"> o Waitangi and </w:t>
      </w:r>
      <w:proofErr w:type="spellStart"/>
      <w:r w:rsidR="007A225B" w:rsidRPr="00355BD9">
        <w:t>t</w:t>
      </w:r>
      <w:r w:rsidR="008E76E4" w:rsidRPr="00355BD9">
        <w:t>e</w:t>
      </w:r>
      <w:proofErr w:type="spellEnd"/>
      <w:r w:rsidR="008E76E4" w:rsidRPr="00355BD9">
        <w:t xml:space="preserve"> </w:t>
      </w:r>
      <w:proofErr w:type="spellStart"/>
      <w:r w:rsidR="007A225B" w:rsidRPr="00355BD9">
        <w:t>a</w:t>
      </w:r>
      <w:r w:rsidR="008E76E4" w:rsidRPr="00355BD9">
        <w:t>o</w:t>
      </w:r>
      <w:proofErr w:type="spellEnd"/>
      <w:r w:rsidR="008E76E4" w:rsidRPr="00355BD9">
        <w:t xml:space="preserve"> Māori </w:t>
      </w:r>
      <w:r w:rsidR="00C2444E" w:rsidRPr="00355BD9">
        <w:t>capability</w:t>
      </w:r>
      <w:r w:rsidR="008E76E4" w:rsidRPr="00355BD9">
        <w:t xml:space="preserve"> from rhetoric </w:t>
      </w:r>
      <w:r w:rsidR="00347D80">
        <w:br/>
      </w:r>
      <w:r w:rsidR="008E76E4" w:rsidRPr="00355BD9">
        <w:t>to action</w:t>
      </w:r>
      <w:bookmarkEnd w:id="25"/>
    </w:p>
    <w:p w14:paraId="62A78281" w14:textId="52781DEA" w:rsidR="00670FC5" w:rsidRPr="00AD3EE6" w:rsidRDefault="007A2417" w:rsidP="00670FC5">
      <w:r w:rsidRPr="00AD3EE6">
        <w:t xml:space="preserve">As </w:t>
      </w:r>
      <w:r w:rsidR="0027119A" w:rsidRPr="00AD3EE6">
        <w:t>outlined</w:t>
      </w:r>
      <w:r w:rsidRPr="00AD3EE6">
        <w:t xml:space="preserve"> earlier</w:t>
      </w:r>
      <w:r w:rsidR="00670FC5" w:rsidRPr="00AD3EE6">
        <w:t xml:space="preserve">, Te </w:t>
      </w:r>
      <w:proofErr w:type="spellStart"/>
      <w:r w:rsidR="00670FC5" w:rsidRPr="00AD3EE6">
        <w:t>Tāhū</w:t>
      </w:r>
      <w:proofErr w:type="spellEnd"/>
      <w:r w:rsidR="00670FC5" w:rsidRPr="00AD3EE6">
        <w:t xml:space="preserve"> Hauora</w:t>
      </w:r>
      <w:r w:rsidR="00670FC5" w:rsidRPr="00AD3EE6" w:rsidDel="00873265">
        <w:t xml:space="preserve"> </w:t>
      </w:r>
      <w:r w:rsidR="00670FC5" w:rsidRPr="00AD3EE6">
        <w:t xml:space="preserve">needs to continue its journey to underpin its operating model with the principles of Te </w:t>
      </w:r>
      <w:proofErr w:type="spellStart"/>
      <w:r w:rsidR="00670FC5" w:rsidRPr="00AD3EE6">
        <w:t>Tiriti</w:t>
      </w:r>
      <w:proofErr w:type="spellEnd"/>
      <w:r w:rsidR="00670FC5" w:rsidRPr="00AD3EE6">
        <w:t xml:space="preserve"> o Waitangi, prioritise and pursue equity for all groups and support a system that is more centred on consumers and whānau to support and facilitate system improvement. </w:t>
      </w:r>
    </w:p>
    <w:p w14:paraId="72C2CF74" w14:textId="535D8B65" w:rsidR="00446D31" w:rsidRPr="00AD3EE6" w:rsidRDefault="007F69BB" w:rsidP="0022419F">
      <w:r>
        <w:t>M</w:t>
      </w:r>
      <w:r w:rsidR="00B613A3" w:rsidRPr="00AD3EE6">
        <w:t>ost external stakeholders commended</w:t>
      </w:r>
      <w:r w:rsidR="001E445B" w:rsidRPr="00AD3EE6">
        <w:t xml:space="preserve"> </w:t>
      </w:r>
      <w:r w:rsidR="002630EC" w:rsidRPr="00AD3EE6">
        <w:t xml:space="preserve">Te </w:t>
      </w:r>
      <w:proofErr w:type="spellStart"/>
      <w:r w:rsidR="002630EC" w:rsidRPr="00AD3EE6">
        <w:t>Tāhū</w:t>
      </w:r>
      <w:proofErr w:type="spellEnd"/>
      <w:r w:rsidR="002630EC" w:rsidRPr="00AD3EE6">
        <w:t xml:space="preserve"> Hauora</w:t>
      </w:r>
      <w:r w:rsidR="00446D31" w:rsidRPr="00AD3EE6">
        <w:t xml:space="preserve"> </w:t>
      </w:r>
      <w:r w:rsidR="001E445B" w:rsidRPr="00AD3EE6">
        <w:t xml:space="preserve">on its leadership </w:t>
      </w:r>
      <w:r w:rsidR="002630EC" w:rsidRPr="00AD3EE6">
        <w:t xml:space="preserve">in promoting </w:t>
      </w:r>
      <w:r w:rsidR="00347D80">
        <w:br/>
      </w:r>
      <w:r w:rsidR="002630EC" w:rsidRPr="00AD3EE6">
        <w:t xml:space="preserve">Te </w:t>
      </w:r>
      <w:proofErr w:type="spellStart"/>
      <w:r w:rsidR="002630EC" w:rsidRPr="00AD3EE6">
        <w:t>Tiriti</w:t>
      </w:r>
      <w:proofErr w:type="spellEnd"/>
      <w:r w:rsidR="002630EC" w:rsidRPr="00AD3EE6">
        <w:t xml:space="preserve"> o Waitangi and equity</w:t>
      </w:r>
      <w:r>
        <w:t>; however</w:t>
      </w:r>
      <w:r w:rsidR="001E445B" w:rsidRPr="00AD3EE6">
        <w:t xml:space="preserve">, staff </w:t>
      </w:r>
      <w:r w:rsidR="000D6C72" w:rsidRPr="00AD3EE6">
        <w:t xml:space="preserve">and </w:t>
      </w:r>
      <w:r w:rsidR="00446D31" w:rsidRPr="00AD3EE6">
        <w:t xml:space="preserve">some </w:t>
      </w:r>
      <w:r w:rsidR="000D6C72" w:rsidRPr="00AD3EE6">
        <w:t>external stakeholders</w:t>
      </w:r>
      <w:r w:rsidR="00E26F74" w:rsidRPr="00AD3EE6">
        <w:t xml:space="preserve"> </w:t>
      </w:r>
      <w:r w:rsidR="002630EC" w:rsidRPr="00AD3EE6">
        <w:t>high</w:t>
      </w:r>
      <w:r w:rsidR="006F619A" w:rsidRPr="00AD3EE6">
        <w:t xml:space="preserve">lighted </w:t>
      </w:r>
      <w:r w:rsidR="0022419F" w:rsidRPr="00AD3EE6">
        <w:t>several key</w:t>
      </w:r>
      <w:r w:rsidR="003F67AE" w:rsidRPr="00AD3EE6">
        <w:t xml:space="preserve"> </w:t>
      </w:r>
      <w:r w:rsidR="00797586" w:rsidRPr="00AD3EE6">
        <w:t xml:space="preserve">areas </w:t>
      </w:r>
      <w:r w:rsidR="00DA369F" w:rsidRPr="00AD3EE6">
        <w:t xml:space="preserve">for improvement that need to be </w:t>
      </w:r>
      <w:r w:rsidR="006F619A" w:rsidRPr="00AD3EE6">
        <w:t>embedded</w:t>
      </w:r>
      <w:r w:rsidR="00446D31" w:rsidRPr="00AD3EE6">
        <w:t xml:space="preserve"> within the organisation</w:t>
      </w:r>
      <w:r w:rsidR="00A418E3" w:rsidRPr="00AD3EE6">
        <w:t>.</w:t>
      </w:r>
    </w:p>
    <w:p w14:paraId="52397681" w14:textId="2009F28E" w:rsidR="00737497" w:rsidRPr="00AD3EE6" w:rsidRDefault="00FE154F" w:rsidP="00737497">
      <w:r w:rsidRPr="00AD3EE6">
        <w:t xml:space="preserve">These areas include the </w:t>
      </w:r>
      <w:r w:rsidR="001E5938" w:rsidRPr="00AD3EE6">
        <w:t>visibility o</w:t>
      </w:r>
      <w:r w:rsidRPr="00AD3EE6">
        <w:t xml:space="preserve">f a robust and clear operating model that </w:t>
      </w:r>
      <w:r w:rsidR="00FB2E20" w:rsidRPr="00AD3EE6">
        <w:t>is seen to d</w:t>
      </w:r>
      <w:r w:rsidR="00616FF9" w:rsidRPr="00AD3EE6">
        <w:t>eliberately</w:t>
      </w:r>
      <w:r w:rsidRPr="00AD3EE6">
        <w:t xml:space="preserve"> embed Te </w:t>
      </w:r>
      <w:proofErr w:type="spellStart"/>
      <w:r w:rsidRPr="00AD3EE6">
        <w:t>Tiriti</w:t>
      </w:r>
      <w:proofErr w:type="spellEnd"/>
      <w:r w:rsidRPr="00AD3EE6">
        <w:t xml:space="preserve"> o Waitangi</w:t>
      </w:r>
      <w:r w:rsidR="00FB2E20" w:rsidRPr="00AD3EE6">
        <w:t>. E</w:t>
      </w:r>
      <w:r w:rsidR="006B1AEA" w:rsidRPr="00AD3EE6">
        <w:t>xecutive leadership and</w:t>
      </w:r>
      <w:r w:rsidRPr="00AD3EE6">
        <w:t xml:space="preserve"> Māori leadership</w:t>
      </w:r>
      <w:r w:rsidR="00210158" w:rsidRPr="00AD3EE6">
        <w:t xml:space="preserve"> need to be cohesive and support </w:t>
      </w:r>
      <w:r w:rsidRPr="00AD3EE6">
        <w:t xml:space="preserve">individuals and teams in relation to Te </w:t>
      </w:r>
      <w:proofErr w:type="spellStart"/>
      <w:r w:rsidRPr="00AD3EE6">
        <w:t>Tiriti</w:t>
      </w:r>
      <w:proofErr w:type="spellEnd"/>
      <w:r w:rsidRPr="00AD3EE6">
        <w:t xml:space="preserve"> o Waitangi enactment. </w:t>
      </w:r>
      <w:r w:rsidR="00E92A86" w:rsidRPr="00AD3EE6">
        <w:t>On the other hand, buil</w:t>
      </w:r>
      <w:r w:rsidR="00737497" w:rsidRPr="00AD3EE6">
        <w:t xml:space="preserve">ding internal capability </w:t>
      </w:r>
      <w:r w:rsidR="00D3621A" w:rsidRPr="00AD3EE6">
        <w:t>must not divert att</w:t>
      </w:r>
      <w:r w:rsidR="00737497" w:rsidRPr="00AD3EE6">
        <w:t xml:space="preserve">ention from addressing the </w:t>
      </w:r>
      <w:r w:rsidR="00D3621A" w:rsidRPr="00AD3EE6">
        <w:t>even</w:t>
      </w:r>
      <w:r w:rsidR="00737497" w:rsidRPr="00AD3EE6">
        <w:t xml:space="preserve"> </w:t>
      </w:r>
      <w:r w:rsidR="002D1222" w:rsidRPr="00AD3EE6">
        <w:t xml:space="preserve">more </w:t>
      </w:r>
      <w:r w:rsidR="00737497" w:rsidRPr="00AD3EE6">
        <w:t xml:space="preserve">challenging aspects of embedding Te </w:t>
      </w:r>
      <w:proofErr w:type="spellStart"/>
      <w:r w:rsidR="00737497" w:rsidRPr="00AD3EE6">
        <w:t>Tiriti</w:t>
      </w:r>
      <w:proofErr w:type="spellEnd"/>
      <w:r w:rsidR="00737497" w:rsidRPr="00AD3EE6">
        <w:t xml:space="preserve"> o Waitangi in work programmes to push towards improving outcomes for Māori</w:t>
      </w:r>
      <w:r w:rsidR="00992D5D" w:rsidRPr="00AD3EE6">
        <w:t xml:space="preserve"> and other populations with inequitable health outcomes.</w:t>
      </w:r>
    </w:p>
    <w:p w14:paraId="0C955B1B" w14:textId="7126ED14" w:rsidR="00802FD5" w:rsidRPr="00AD3EE6" w:rsidRDefault="00FE154F" w:rsidP="00802FD5">
      <w:r w:rsidRPr="00AD3EE6">
        <w:t xml:space="preserve">This </w:t>
      </w:r>
      <w:r w:rsidR="009943C4" w:rsidRPr="00AD3EE6">
        <w:t>dual challenge</w:t>
      </w:r>
      <w:r w:rsidRPr="00AD3EE6">
        <w:t xml:space="preserve"> highlights the need for processes and systems that assess how governance, leadership, </w:t>
      </w:r>
      <w:proofErr w:type="gramStart"/>
      <w:r w:rsidRPr="00AD3EE6">
        <w:t>individuals</w:t>
      </w:r>
      <w:proofErr w:type="gramEnd"/>
      <w:r w:rsidR="00B951B2">
        <w:t xml:space="preserve"> and</w:t>
      </w:r>
      <w:r w:rsidRPr="00AD3EE6">
        <w:t xml:space="preserve"> their teams</w:t>
      </w:r>
      <w:r w:rsidR="001E68B8" w:rsidRPr="00AD3EE6">
        <w:t xml:space="preserve"> meaningfully and </w:t>
      </w:r>
      <w:r w:rsidR="001E68B8" w:rsidRPr="008A175D">
        <w:t>practically apply</w:t>
      </w:r>
      <w:r w:rsidRPr="007F69BB">
        <w:t xml:space="preserve"> </w:t>
      </w:r>
      <w:r w:rsidRPr="00AD3EE6">
        <w:t xml:space="preserve">the principles of Te </w:t>
      </w:r>
      <w:proofErr w:type="spellStart"/>
      <w:r w:rsidRPr="00AD3EE6">
        <w:t>Tiriti</w:t>
      </w:r>
      <w:proofErr w:type="spellEnd"/>
      <w:r w:rsidRPr="00AD3EE6">
        <w:t xml:space="preserve"> o Waitangi in the strategic direction, work programmes, prioritisation, decision-making and commissioning, partnerships</w:t>
      </w:r>
      <w:r w:rsidR="00B951B2">
        <w:t xml:space="preserve"> and</w:t>
      </w:r>
      <w:r w:rsidRPr="00AD3EE6">
        <w:t xml:space="preserve"> accountability of the organisation.</w:t>
      </w:r>
      <w:r w:rsidR="00802FD5" w:rsidRPr="00AD3EE6">
        <w:t xml:space="preserve"> </w:t>
      </w:r>
    </w:p>
    <w:p w14:paraId="1DAE3ED7" w14:textId="280C4C63" w:rsidR="00F95405" w:rsidRPr="00AD3EE6" w:rsidRDefault="00525933" w:rsidP="00525933">
      <w:pPr>
        <w:pStyle w:val="Quoteperfreview"/>
        <w:spacing w:after="480"/>
      </w:pPr>
      <w:r>
        <w:rPr>
          <w:noProof/>
        </w:rPr>
        <w:lastRenderedPageBreak/>
        <mc:AlternateContent>
          <mc:Choice Requires="wps">
            <w:drawing>
              <wp:anchor distT="0" distB="0" distL="114300" distR="114300" simplePos="0" relativeHeight="251686913" behindDoc="1" locked="0" layoutInCell="1" allowOverlap="1" wp14:anchorId="0B2F76C0" wp14:editId="58CA9D29">
                <wp:simplePos x="0" y="0"/>
                <wp:positionH relativeFrom="margin">
                  <wp:align>left</wp:align>
                </wp:positionH>
                <wp:positionV relativeFrom="paragraph">
                  <wp:posOffset>-153908</wp:posOffset>
                </wp:positionV>
                <wp:extent cx="5687695" cy="679010"/>
                <wp:effectExtent l="0" t="0" r="8255" b="6985"/>
                <wp:wrapNone/>
                <wp:docPr id="18" name="Rectangle: Rounded Corners 18"/>
                <wp:cNvGraphicFramePr/>
                <a:graphic xmlns:a="http://schemas.openxmlformats.org/drawingml/2006/main">
                  <a:graphicData uri="http://schemas.microsoft.com/office/word/2010/wordprocessingShape">
                    <wps:wsp>
                      <wps:cNvSpPr/>
                      <wps:spPr>
                        <a:xfrm>
                          <a:off x="0" y="0"/>
                          <a:ext cx="5687695" cy="679010"/>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B521D43" id="Rectangle: Rounded Corners 18" o:spid="_x0000_s1026" style="position:absolute;margin-left:0;margin-top:-12.1pt;width:447.85pt;height:53.45pt;z-index:-2516295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4XkgIAAIUFAAAOAAAAZHJzL2Uyb0RvYy54bWysVMFu2zAMvQ/YPwi6r3aCJE2COkXQosOA&#10;oi2aDj0rshQbkEVNUuJkXz9Ksp2uK3YYloNCieQj+Uzy6vrYKHIQ1tWgCzq6yCkRmkNZ611Bv7/c&#10;fZlT4jzTJVOgRUFPwtHr1edPV61ZijFUoEphCYJot2xNQSvvzTLLHK9Ew9wFGKFRKcE2zOPV7rLS&#10;shbRG5WN83yWtWBLY4EL5/D1NinpKuJLKbh/lNIJT1RBMTcfTxvPbTiz1RVb7iwzVc27NNg/ZNGw&#10;WmPQAeqWeUb2tv4Dqqm5BQfSX3BoMpCy5iLWgNWM8nfVbCpmRKwFyXFmoMn9P1j+cNiYJ4s0tMYt&#10;HYqhiqO0TfjH/MgxknUayBJHTzg+Tmfzy9liSglH3exygekHNrOzt7HOfxXQkCAU1MJel8/4RSJR&#10;7HDvfLLv7UJEB6ou72ql4sXutjfKkgPDr7fIJ+P5KPkqU7H0Op7mi3kX1yXzmMNvOEoHNA0BN4UM&#10;L9m54ij5kxLBTulnIUldYo3jGC42oxgSYZwL7VMmrmKlSJlMc/z1mYT2DR4xlwgYkCXGH7A7gN4y&#10;gfTYKcvOPriK2MuDc/63xJLz4BEjg/aDc1NrsB8BKKyqi5zse5ISNYGlLZSnJ0sspElyht/V+HXv&#10;mfNPzOLo4JDhOvCPeEgFbUGhkyipwP786D3YY0ejlpIWR7Gg7seeWUGJ+qax1xejySTMbrxMppdj&#10;vNi3mu1bjd43N4D9MsLFY3gUg71XvSgtNK+4NdYhKqqY5hi7oNzb/nLj04rAvcPFeh3NcF4N8/d6&#10;Y3gAD6yGxn05vjJruhb3OBwP0I8tW75r8mQbPDWs9x5kHSfgzGvHN856bJxuL4Vl8vYerc7bc/UL&#10;AAD//wMAUEsDBBQABgAIAAAAIQA2Booa3QAAAAcBAAAPAAAAZHJzL2Rvd25yZXYueG1sTI/NTsMw&#10;EITvSLyDtUjcWqfhpyXEqRABzhBAVW9uvCRR7XUUu0l4e5YT3HY0o5lv8+3srBhxCJ0nBatlAgKp&#10;9qajRsHH+/NiAyJETUZbT6jgGwNsi/OzXGfGT/SGYxUbwSUUMq2gjbHPpAx1i06Hpe+R2Pvyg9OR&#10;5dBIM+iJy52VaZLcSqc74oVW9/jYYn2sTk5BJcun8Vi+XO2x/3wtp9buymal1OXF/HAPIuIc/8Lw&#10;i8/oUDDTwZ/IBGEV8CNRwSK9TkGwvbm7WYM48JGuQRa5/M9f/AAAAP//AwBQSwECLQAUAAYACAAA&#10;ACEAtoM4kv4AAADhAQAAEwAAAAAAAAAAAAAAAAAAAAAAW0NvbnRlbnRfVHlwZXNdLnhtbFBLAQIt&#10;ABQABgAIAAAAIQA4/SH/1gAAAJQBAAALAAAAAAAAAAAAAAAAAC8BAABfcmVscy8ucmVsc1BLAQIt&#10;ABQABgAIAAAAIQAo3n4XkgIAAIUFAAAOAAAAAAAAAAAAAAAAAC4CAABkcnMvZTJvRG9jLnhtbFBL&#10;AQItABQABgAIAAAAIQA2Booa3QAAAAcBAAAPAAAAAAAAAAAAAAAAAOwEAABkcnMvZG93bnJldi54&#10;bWxQSwUGAAAAAAQABADzAAAA9gUAAAAA&#10;" fillcolor="#904281" stroked="f" strokeweight="2pt">
                <v:fill opacity="16448f"/>
                <w10:wrap anchorx="margin"/>
              </v:roundrect>
            </w:pict>
          </mc:Fallback>
        </mc:AlternateContent>
      </w:r>
      <w:r w:rsidR="007F69BB">
        <w:t>‘</w:t>
      </w:r>
      <w:r w:rsidR="00F95405" w:rsidRPr="00AD3EE6">
        <w:t xml:space="preserve">There is a movement </w:t>
      </w:r>
      <w:r w:rsidR="000B2E63" w:rsidRPr="00AD3EE6">
        <w:t xml:space="preserve">across Te </w:t>
      </w:r>
      <w:proofErr w:type="spellStart"/>
      <w:r w:rsidR="000B2E63" w:rsidRPr="00AD3EE6">
        <w:t>Tāhū</w:t>
      </w:r>
      <w:proofErr w:type="spellEnd"/>
      <w:r w:rsidR="000B2E63" w:rsidRPr="00AD3EE6">
        <w:t xml:space="preserve"> Hauora </w:t>
      </w:r>
      <w:r w:rsidR="00F95405" w:rsidRPr="00AD3EE6">
        <w:t xml:space="preserve">to be on the front foot </w:t>
      </w:r>
      <w:r w:rsidR="000B2E63" w:rsidRPr="00AD3EE6">
        <w:t xml:space="preserve">– </w:t>
      </w:r>
      <w:r>
        <w:br/>
      </w:r>
      <w:r w:rsidR="000B2E63" w:rsidRPr="00AD3EE6">
        <w:t>it has</w:t>
      </w:r>
      <w:r w:rsidR="00F95405" w:rsidRPr="00AD3EE6">
        <w:t xml:space="preserve"> one sock pulled up – not sure if the other sock is on yet</w:t>
      </w:r>
      <w:r w:rsidR="000B2E63" w:rsidRPr="00AD3EE6">
        <w:t>.</w:t>
      </w:r>
      <w:r w:rsidR="007F69BB">
        <w:t>’</w:t>
      </w:r>
    </w:p>
    <w:p w14:paraId="21803030" w14:textId="52107E0A" w:rsidR="005457BB" w:rsidRPr="00AD3EE6" w:rsidRDefault="00A77B57" w:rsidP="005457BB">
      <w:r w:rsidRPr="00AD3EE6">
        <w:t>The solution lies in recognising the need to assist the sector</w:t>
      </w:r>
      <w:r w:rsidR="0028094B" w:rsidRPr="00AD3EE6">
        <w:t xml:space="preserve"> </w:t>
      </w:r>
      <w:r w:rsidR="0015312F" w:rsidRPr="00AD3EE6">
        <w:t xml:space="preserve">by </w:t>
      </w:r>
      <w:r w:rsidR="0028094B" w:rsidRPr="00AD3EE6">
        <w:t>bridging the gap between rhetoric and action.</w:t>
      </w:r>
      <w:r w:rsidR="00691F8E" w:rsidRPr="00AD3EE6">
        <w:t xml:space="preserve"> </w:t>
      </w:r>
      <w:r w:rsidR="005457BB" w:rsidRPr="00AD3EE6">
        <w:t>Th</w:t>
      </w:r>
      <w:r w:rsidR="00BC501D" w:rsidRPr="00AD3EE6">
        <w:t>e</w:t>
      </w:r>
      <w:r w:rsidR="005457BB" w:rsidRPr="00AD3EE6">
        <w:t xml:space="preserve"> feedback</w:t>
      </w:r>
      <w:r w:rsidR="00C53710" w:rsidRPr="00AD3EE6">
        <w:t xml:space="preserve"> highlighted </w:t>
      </w:r>
      <w:r w:rsidR="005457BB" w:rsidRPr="00AD3EE6">
        <w:t>that</w:t>
      </w:r>
      <w:r w:rsidR="007F69BB">
        <w:t>, although</w:t>
      </w:r>
      <w:r w:rsidR="005457BB" w:rsidRPr="00AD3EE6">
        <w:t xml:space="preserve"> there has been a significant shift in the culture within Te </w:t>
      </w:r>
      <w:proofErr w:type="spellStart"/>
      <w:r w:rsidR="005457BB" w:rsidRPr="00AD3EE6">
        <w:t>Tāhū</w:t>
      </w:r>
      <w:proofErr w:type="spellEnd"/>
      <w:r w:rsidR="005457BB" w:rsidRPr="00AD3EE6">
        <w:t xml:space="preserve"> Hauora, the key concern is whether this </w:t>
      </w:r>
      <w:r w:rsidR="00AE3C05" w:rsidRPr="00AD3EE6">
        <w:t xml:space="preserve">change </w:t>
      </w:r>
      <w:r w:rsidR="005457BB" w:rsidRPr="00AD3EE6">
        <w:t>translate</w:t>
      </w:r>
      <w:r w:rsidR="00AE3C05" w:rsidRPr="00AD3EE6">
        <w:t>s</w:t>
      </w:r>
      <w:r w:rsidR="005457BB" w:rsidRPr="00AD3EE6">
        <w:t xml:space="preserve"> into tangible actions and meaningful change in addressing inequities. </w:t>
      </w:r>
      <w:r w:rsidR="007F69BB">
        <w:t>C</w:t>
      </w:r>
      <w:r w:rsidR="005457BB" w:rsidRPr="00AD3EE6">
        <w:t>ultural change</w:t>
      </w:r>
      <w:r w:rsidR="00A158BA" w:rsidRPr="00AD3EE6">
        <w:t>, although important,</w:t>
      </w:r>
      <w:r w:rsidR="005457BB" w:rsidRPr="00AD3EE6">
        <w:t xml:space="preserve"> without effective implementation </w:t>
      </w:r>
      <w:r w:rsidR="00A158BA" w:rsidRPr="00AD3EE6">
        <w:t xml:space="preserve">will </w:t>
      </w:r>
      <w:r w:rsidR="005457BB" w:rsidRPr="00AD3EE6">
        <w:t>not be sufficient to bring about the desired outcomes and equitable relationships with the sector.</w:t>
      </w:r>
      <w:r w:rsidR="001831BA" w:rsidRPr="00AD3EE6">
        <w:t xml:space="preserve"> </w:t>
      </w:r>
      <w:r w:rsidR="00BC501D" w:rsidRPr="00AD3EE6">
        <w:t>I</w:t>
      </w:r>
      <w:r w:rsidR="00043CD8" w:rsidRPr="00AD3EE6">
        <w:t xml:space="preserve">t is critical that staff clearly understand their role and function and how </w:t>
      </w:r>
      <w:r w:rsidR="009E3DAD" w:rsidRPr="00AD3EE6">
        <w:t xml:space="preserve">they </w:t>
      </w:r>
      <w:r w:rsidR="00043CD8" w:rsidRPr="00AD3EE6">
        <w:t xml:space="preserve">should </w:t>
      </w:r>
      <w:r w:rsidR="00BC501D" w:rsidRPr="00AD3EE6">
        <w:t xml:space="preserve">and can </w:t>
      </w:r>
      <w:r w:rsidR="00043CD8" w:rsidRPr="00AD3EE6">
        <w:t xml:space="preserve">embed Te </w:t>
      </w:r>
      <w:proofErr w:type="spellStart"/>
      <w:r w:rsidR="00043CD8" w:rsidRPr="00AD3EE6">
        <w:t>Tiriti</w:t>
      </w:r>
      <w:proofErr w:type="spellEnd"/>
      <w:r w:rsidR="00043CD8" w:rsidRPr="00AD3EE6">
        <w:t xml:space="preserve"> o Waitangi and equity approaches into </w:t>
      </w:r>
      <w:r w:rsidR="008A4B78">
        <w:t>those</w:t>
      </w:r>
      <w:r w:rsidR="00043CD8" w:rsidRPr="00AD3EE6">
        <w:t>.</w:t>
      </w:r>
    </w:p>
    <w:p w14:paraId="0CE0A1E8" w14:textId="182D315C" w:rsidR="00223334" w:rsidRPr="00AD3EE6" w:rsidRDefault="002C224E" w:rsidP="00CD4DDB">
      <w:pPr>
        <w:spacing w:after="360"/>
      </w:pPr>
      <w:r>
        <w:rPr>
          <w:noProof/>
        </w:rPr>
        <mc:AlternateContent>
          <mc:Choice Requires="wps">
            <w:drawing>
              <wp:anchor distT="0" distB="0" distL="114300" distR="114300" simplePos="0" relativeHeight="251688961" behindDoc="1" locked="0" layoutInCell="1" allowOverlap="1" wp14:anchorId="7C7D8CAF" wp14:editId="4267FBEC">
                <wp:simplePos x="0" y="0"/>
                <wp:positionH relativeFrom="margin">
                  <wp:align>left</wp:align>
                </wp:positionH>
                <wp:positionV relativeFrom="paragraph">
                  <wp:posOffset>641734</wp:posOffset>
                </wp:positionV>
                <wp:extent cx="5687695" cy="463550"/>
                <wp:effectExtent l="0" t="0" r="8255" b="0"/>
                <wp:wrapNone/>
                <wp:docPr id="19" name="Rectangle: Rounded Corners 19"/>
                <wp:cNvGraphicFramePr/>
                <a:graphic xmlns:a="http://schemas.openxmlformats.org/drawingml/2006/main">
                  <a:graphicData uri="http://schemas.microsoft.com/office/word/2010/wordprocessingShape">
                    <wps:wsp>
                      <wps:cNvSpPr/>
                      <wps:spPr>
                        <a:xfrm>
                          <a:off x="0" y="0"/>
                          <a:ext cx="5687695" cy="463550"/>
                        </a:xfrm>
                        <a:prstGeom prst="roundRect">
                          <a:avLst/>
                        </a:prstGeom>
                        <a:solidFill>
                          <a:srgbClr val="904281">
                            <a:alpha val="2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4A1F027B" id="Rectangle: Rounded Corners 19" o:spid="_x0000_s1026" style="position:absolute;margin-left:0;margin-top:50.55pt;width:447.85pt;height:36.5pt;z-index:-25162751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PMPlQIAAIUFAAAOAAAAZHJzL2Uyb0RvYy54bWysVMFu2zAMvQ/YPwi6r3ayJE2COkXQosOA&#10;oi3aDj0rshQbkEVNUuJkXz9Ksp2gK3YYloNCieQj+Uzy6vrQKLIX1tWgCzq6yCkRmkNZ621Bf7ze&#10;fZlT4jzTJVOgRUGPwtHr1edPV61ZijFUoEphCYJot2xNQSvvzTLLHK9Ew9wFGKFRKcE2zOPVbrPS&#10;shbRG5WN83yWtWBLY4EL5/D1NinpKuJLKbh/lNIJT1RBMTcfTxvPTTiz1RVbbi0zVc27NNg/ZNGw&#10;WmPQAeqWeUZ2tv4Dqqm5BQfSX3BoMpCy5iLWgNWM8nfVvFTMiFgLkuPMQJP7f7D8Yf9inizS0Bq3&#10;dCiGKg7SNuEf8yOHSNZxIEscPOH4OJ3NL2eLKSUcdZPZ1+k0spmdvI11/puAhgShoBZ2unzGLxKJ&#10;Yvt75zEs2vd2IaIDVZd3tVLxYrebG2XJnuHXW+ST8XyUfJWpWHodT/PFPHxFxHHJPMnnOEoHNA0B&#10;N5mGl+xUcZT8UYlgp/SzkKQuscZxDBebUQyJMM6F9ikTV7FSpEymOf76TEL7Bo+YSwQMyBLjD9gd&#10;QG+ZQHrslGVnH1xF7OXBOf9bYsl58IiRQfvBuak12I8AFFbVRU72PUmJmsDSBsrjkyUW0iQ5w+9q&#10;/Lr3zPknZnF0cMhwHfhHPKSCtqDQSZRUYH999B7ssaNRS0mLo1hQ93PHrKBEfdfY64vRZBJmN14m&#10;08sxXuy5ZnOu0bvmBrBfRrh4DI9isPeqF6WF5g23xjpERRXTHGMXlHvbX258WhG4d7hYr6MZzqth&#10;/l6/GB7AA6uhcV8Pb8yarsU9DscD9GPLlu+aPNkGTw3rnQdZxwk48drxjbMeG6fbS2GZnN+j1Wl7&#10;rn4DAAD//wMAUEsDBBQABgAIAAAAIQAvDKLD3AAAAAgBAAAPAAAAZHJzL2Rvd25yZXYueG1sTI/N&#10;TsMwEITvSLyDtUjcqBP+WkKcChHgDAGEuLnxEke111HsJuHtWU5w3JnR7DfldvFOTDjGPpCCfJWB&#10;QGqD6alT8Pb6eLYBEZMmo10gVPCNEbbV8VGpCxNmesGpSZ3gEoqFVmBTGgopY2vR67gKAxJ7X2H0&#10;OvE5dtKMeuZy7+R5ll1Lr3viD1YPeG+x3TcHr6CR9cO0r58uPnF4f65n6z7qLlfq9GS5uwWRcEl/&#10;YfjFZ3SomGkXDmSicAp4SGI1y3MQbG9urtYgdqysL3OQVSn/D6h+AAAA//8DAFBLAQItABQABgAI&#10;AAAAIQC2gziS/gAAAOEBAAATAAAAAAAAAAAAAAAAAAAAAABbQ29udGVudF9UeXBlc10ueG1sUEsB&#10;Ai0AFAAGAAgAAAAhADj9If/WAAAAlAEAAAsAAAAAAAAAAAAAAAAALwEAAF9yZWxzLy5yZWxzUEsB&#10;Ai0AFAAGAAgAAAAhAGDs8w+VAgAAhQUAAA4AAAAAAAAAAAAAAAAALgIAAGRycy9lMm9Eb2MueG1s&#10;UEsBAi0AFAAGAAgAAAAhAC8MosPcAAAACAEAAA8AAAAAAAAAAAAAAAAA7wQAAGRycy9kb3ducmV2&#10;LnhtbFBLBQYAAAAABAAEAPMAAAD4BQAAAAA=&#10;" fillcolor="#904281" stroked="f" strokeweight="2pt">
                <v:fill opacity="16448f"/>
                <w10:wrap anchorx="margin"/>
              </v:roundrect>
            </w:pict>
          </mc:Fallback>
        </mc:AlternateContent>
      </w:r>
      <w:r w:rsidR="00B47739" w:rsidRPr="00AD3EE6">
        <w:t xml:space="preserve">Within </w:t>
      </w:r>
      <w:r w:rsidR="007F69BB">
        <w:t>the</w:t>
      </w:r>
      <w:r w:rsidR="007F69BB" w:rsidRPr="00AD3EE6">
        <w:t xml:space="preserve"> </w:t>
      </w:r>
      <w:proofErr w:type="spellStart"/>
      <w:r w:rsidR="00856FF0" w:rsidRPr="00AD3EE6">
        <w:t>Whāinga</w:t>
      </w:r>
      <w:proofErr w:type="spellEnd"/>
      <w:r w:rsidR="00856FF0" w:rsidRPr="00AD3EE6">
        <w:t xml:space="preserve"> </w:t>
      </w:r>
      <w:proofErr w:type="spellStart"/>
      <w:r w:rsidR="00856FF0" w:rsidRPr="00AD3EE6">
        <w:t>Amorangi</w:t>
      </w:r>
      <w:proofErr w:type="spellEnd"/>
      <w:r w:rsidR="00856FF0" w:rsidRPr="00AD3EE6">
        <w:t xml:space="preserve"> work programme</w:t>
      </w:r>
      <w:r w:rsidR="00B47739" w:rsidRPr="00AD3EE6">
        <w:t xml:space="preserve">, there is </w:t>
      </w:r>
      <w:r w:rsidR="007F69BB">
        <w:t xml:space="preserve">a </w:t>
      </w:r>
      <w:r w:rsidR="00751B65" w:rsidRPr="00AD3EE6">
        <w:t xml:space="preserve">need and </w:t>
      </w:r>
      <w:r w:rsidR="00B47739" w:rsidRPr="00AD3EE6">
        <w:t xml:space="preserve">opportunity to expand </w:t>
      </w:r>
      <w:r w:rsidR="00751B65" w:rsidRPr="00AD3EE6">
        <w:t>the</w:t>
      </w:r>
      <w:r w:rsidR="00362B83" w:rsidRPr="00AD3EE6">
        <w:t xml:space="preserve"> focus</w:t>
      </w:r>
      <w:r w:rsidR="00856FF0" w:rsidRPr="00AD3EE6">
        <w:t xml:space="preserve"> </w:t>
      </w:r>
      <w:r w:rsidR="00751B65" w:rsidRPr="00AD3EE6">
        <w:t>to enhance the organisation’s</w:t>
      </w:r>
      <w:r w:rsidR="00856FF0" w:rsidRPr="00AD3EE6">
        <w:t xml:space="preserve"> capacity</w:t>
      </w:r>
      <w:r w:rsidR="00751B65" w:rsidRPr="00AD3EE6">
        <w:t xml:space="preserve"> and capability</w:t>
      </w:r>
      <w:r w:rsidR="00856FF0" w:rsidRPr="00AD3EE6">
        <w:t xml:space="preserve"> in critical policy </w:t>
      </w:r>
      <w:r w:rsidR="00223334" w:rsidRPr="00AD3EE6">
        <w:t xml:space="preserve">and equity </w:t>
      </w:r>
      <w:r w:rsidR="00856FF0" w:rsidRPr="00AD3EE6">
        <w:t xml:space="preserve">analysis. </w:t>
      </w:r>
    </w:p>
    <w:p w14:paraId="050B9F91" w14:textId="4A61775E" w:rsidR="00223334" w:rsidRPr="00AD3EE6" w:rsidRDefault="007F69BB" w:rsidP="002C224E">
      <w:pPr>
        <w:pStyle w:val="Quoteperfreview"/>
        <w:spacing w:after="480"/>
      </w:pPr>
      <w:r>
        <w:t>‘</w:t>
      </w:r>
      <w:r w:rsidR="00223334" w:rsidRPr="00AD3EE6">
        <w:t xml:space="preserve">If the </w:t>
      </w:r>
      <w:r>
        <w:t>c</w:t>
      </w:r>
      <w:r w:rsidR="00223334" w:rsidRPr="00AD3EE6">
        <w:t>ommission is serious about equity, then it needs to increase capacity.</w:t>
      </w:r>
      <w:r>
        <w:t>’</w:t>
      </w:r>
    </w:p>
    <w:p w14:paraId="5AEF2F24" w14:textId="3609F14B" w:rsidR="00856FF0" w:rsidRPr="00AD3EE6" w:rsidRDefault="00856FF0" w:rsidP="005457BB">
      <w:r w:rsidRPr="00AD3EE6">
        <w:t>To achieve this, it is essential to prioritise workforce development and support individuals in understanding</w:t>
      </w:r>
      <w:r w:rsidR="00BC062E" w:rsidRPr="00AD3EE6">
        <w:t xml:space="preserve"> what this means</w:t>
      </w:r>
      <w:r w:rsidR="001A5078" w:rsidRPr="00AD3EE6">
        <w:t xml:space="preserve"> </w:t>
      </w:r>
      <w:r w:rsidR="007F69BB">
        <w:t xml:space="preserve">in </w:t>
      </w:r>
      <w:r w:rsidR="001A5078" w:rsidRPr="00AD3EE6">
        <w:t>their</w:t>
      </w:r>
      <w:r w:rsidR="00BC062E" w:rsidRPr="00AD3EE6">
        <w:t xml:space="preserve"> </w:t>
      </w:r>
      <w:r w:rsidR="00DF6E3A" w:rsidRPr="00AD3EE6">
        <w:t>day-to-day</w:t>
      </w:r>
      <w:r w:rsidR="00BC062E" w:rsidRPr="00AD3EE6">
        <w:t xml:space="preserve"> </w:t>
      </w:r>
      <w:r w:rsidR="00102C5E" w:rsidRPr="00AD3EE6">
        <w:t>roles</w:t>
      </w:r>
      <w:r w:rsidR="008E6976" w:rsidRPr="00AD3EE6">
        <w:t xml:space="preserve">, </w:t>
      </w:r>
      <w:r w:rsidR="00BC062E" w:rsidRPr="00AD3EE6">
        <w:t xml:space="preserve">while </w:t>
      </w:r>
      <w:r w:rsidR="00535350" w:rsidRPr="00AD3EE6">
        <w:t xml:space="preserve">recognising the skills needed to achieve the objectives. </w:t>
      </w:r>
      <w:r w:rsidRPr="00AD3EE6">
        <w:t>Concurrently, the organisation should continue building cultural capability within its staff, as per Section 14 of the Public Services Act 2020</w:t>
      </w:r>
      <w:r w:rsidR="008A4B78">
        <w:t>,</w:t>
      </w:r>
      <w:r w:rsidRPr="007F69BB">
        <w:rPr>
          <w:vertAlign w:val="superscript"/>
        </w:rPr>
        <w:footnoteReference w:id="22"/>
      </w:r>
      <w:r w:rsidRPr="00AD3EE6">
        <w:t xml:space="preserve"> to develop and maintain the capability of the public service to engage with Māori and to understand Māori </w:t>
      </w:r>
      <w:r w:rsidR="008E6976" w:rsidRPr="00AD3EE6">
        <w:t>p</w:t>
      </w:r>
      <w:r w:rsidRPr="00AD3EE6">
        <w:t>erspectives.</w:t>
      </w:r>
    </w:p>
    <w:p w14:paraId="6911B68D" w14:textId="0FECAA6C" w:rsidR="00C4559C" w:rsidRPr="00AD3EE6" w:rsidRDefault="005D7CE0" w:rsidP="0022419F">
      <w:r w:rsidRPr="00AD3EE6">
        <w:t>Further feedback</w:t>
      </w:r>
      <w:r w:rsidR="007C18F7" w:rsidRPr="00AD3EE6">
        <w:t xml:space="preserve"> </w:t>
      </w:r>
      <w:r w:rsidR="007F69BB">
        <w:t xml:space="preserve">noted </w:t>
      </w:r>
      <w:r w:rsidR="007C18F7" w:rsidRPr="00AD3EE6">
        <w:t xml:space="preserve">that Māori </w:t>
      </w:r>
      <w:r w:rsidR="00207C3D">
        <w:t>staff</w:t>
      </w:r>
      <w:r w:rsidR="007F69BB">
        <w:t xml:space="preserve"> </w:t>
      </w:r>
      <w:r w:rsidR="007C18F7" w:rsidRPr="00AD3EE6">
        <w:t xml:space="preserve">are expected to fulfil </w:t>
      </w:r>
      <w:r w:rsidR="00A339F6" w:rsidRPr="00AD3EE6">
        <w:t xml:space="preserve">numerous roles </w:t>
      </w:r>
      <w:r w:rsidR="007C18F7" w:rsidRPr="00AD3EE6">
        <w:t>within the organisation</w:t>
      </w:r>
      <w:r w:rsidR="00E76ECA" w:rsidRPr="00AD3EE6">
        <w:t>.</w:t>
      </w:r>
      <w:r w:rsidR="007C18F7" w:rsidRPr="00AD3EE6">
        <w:t xml:space="preserve"> </w:t>
      </w:r>
      <w:r w:rsidR="007F69BB">
        <w:t>R</w:t>
      </w:r>
      <w:r w:rsidR="008E59EB" w:rsidRPr="00AD3EE6">
        <w:t xml:space="preserve">ecognising </w:t>
      </w:r>
      <w:r w:rsidR="007F69BB">
        <w:t xml:space="preserve">their </w:t>
      </w:r>
      <w:r w:rsidR="008E59EB" w:rsidRPr="00AD3EE6">
        <w:t>skills and influence, c</w:t>
      </w:r>
      <w:r w:rsidR="00D90598" w:rsidRPr="00AD3EE6">
        <w:t xml:space="preserve">reating safe environments for Māori and Pacific peoples to work and thrive in leadership positions is </w:t>
      </w:r>
      <w:r w:rsidR="007F69BB">
        <w:t xml:space="preserve">also </w:t>
      </w:r>
      <w:r w:rsidR="00D90598" w:rsidRPr="00AD3EE6">
        <w:t>crucial. The governance and leadership must prioritise this aspect.</w:t>
      </w:r>
    </w:p>
    <w:p w14:paraId="6A651B5D" w14:textId="3F36BF4B" w:rsidR="002753E0" w:rsidRPr="00AD3EE6" w:rsidRDefault="00C0114B" w:rsidP="00355BD9">
      <w:pPr>
        <w:pStyle w:val="TeThHauorahead1"/>
      </w:pPr>
      <w:r w:rsidRPr="00AD3EE6">
        <w:br w:type="page"/>
      </w:r>
      <w:bookmarkStart w:id="26" w:name="_Toc137717509"/>
      <w:r w:rsidR="002753E0" w:rsidRPr="001D64F5">
        <w:lastRenderedPageBreak/>
        <w:t xml:space="preserve">Section </w:t>
      </w:r>
      <w:r w:rsidR="001D64F5">
        <w:t>5</w:t>
      </w:r>
      <w:r w:rsidR="002753E0" w:rsidRPr="001D64F5">
        <w:t xml:space="preserve">: </w:t>
      </w:r>
      <w:r w:rsidR="005A6AA7" w:rsidRPr="001D64F5">
        <w:t>R</w:t>
      </w:r>
      <w:r w:rsidR="002753E0" w:rsidRPr="001D64F5">
        <w:t>ecommendations</w:t>
      </w:r>
      <w:r w:rsidR="008B08EF" w:rsidRPr="00AD3EE6">
        <w:t xml:space="preserve"> </w:t>
      </w:r>
      <w:r w:rsidR="0093195C">
        <w:t xml:space="preserve">| </w:t>
      </w:r>
      <w:r w:rsidR="002604F3" w:rsidRPr="002604F3">
        <w:t xml:space="preserve">Wāhanga 5: </w:t>
      </w:r>
      <w:r w:rsidR="002604F3">
        <w:br/>
      </w:r>
      <w:r w:rsidR="002604F3" w:rsidRPr="002604F3">
        <w:t>Ngā whakatau</w:t>
      </w:r>
      <w:bookmarkEnd w:id="26"/>
    </w:p>
    <w:p w14:paraId="03BDAB20" w14:textId="5DC016A1" w:rsidR="00DF6E3A" w:rsidRPr="00AD3EE6" w:rsidRDefault="00327DA8" w:rsidP="00C80D29">
      <w:r w:rsidRPr="00AD3EE6">
        <w:t>To</w:t>
      </w:r>
      <w:r w:rsidR="00BB1FBB" w:rsidRPr="00AD3EE6">
        <w:t xml:space="preserve"> strengthen its value and impact </w:t>
      </w:r>
      <w:r w:rsidR="007F69BB">
        <w:t>i</w:t>
      </w:r>
      <w:r w:rsidR="00BB1FBB" w:rsidRPr="00AD3EE6">
        <w:t>n improving the health system</w:t>
      </w:r>
      <w:r w:rsidR="00F62044" w:rsidRPr="00AD3EE6">
        <w:t xml:space="preserve"> by </w:t>
      </w:r>
      <w:r w:rsidR="00BB1FBB" w:rsidRPr="00AD3EE6">
        <w:t xml:space="preserve">advancing Māori health, Te </w:t>
      </w:r>
      <w:proofErr w:type="spellStart"/>
      <w:r w:rsidR="00BB1FBB" w:rsidRPr="00AD3EE6">
        <w:t>Tiriti</w:t>
      </w:r>
      <w:proofErr w:type="spellEnd"/>
      <w:r w:rsidR="00BB1FBB" w:rsidRPr="00AD3EE6">
        <w:t xml:space="preserve"> o Waitangi</w:t>
      </w:r>
      <w:r w:rsidR="00B951B2">
        <w:t xml:space="preserve"> and</w:t>
      </w:r>
      <w:r w:rsidR="00BB1FBB" w:rsidRPr="00AD3EE6">
        <w:t xml:space="preserve"> health equity across government within the reformed health system, we recommend that</w:t>
      </w:r>
      <w:r w:rsidR="00C80D29" w:rsidRPr="00AD3EE6">
        <w:t xml:space="preserve"> </w:t>
      </w:r>
      <w:r w:rsidR="00BB1FBB" w:rsidRPr="00AD3EE6">
        <w:t xml:space="preserve">Te </w:t>
      </w:r>
      <w:proofErr w:type="spellStart"/>
      <w:r w:rsidR="00BB1FBB" w:rsidRPr="00AD3EE6">
        <w:t>Tāhū</w:t>
      </w:r>
      <w:proofErr w:type="spellEnd"/>
      <w:r w:rsidR="00BB1FBB" w:rsidRPr="00AD3EE6">
        <w:t xml:space="preserve"> Hauora tak</w:t>
      </w:r>
      <w:r w:rsidR="000A149C" w:rsidRPr="00AD3EE6">
        <w:t>es</w:t>
      </w:r>
      <w:r w:rsidR="00BB1FBB" w:rsidRPr="00AD3EE6">
        <w:t xml:space="preserve"> a proactive and influential</w:t>
      </w:r>
      <w:r w:rsidR="00A76D95" w:rsidRPr="00AD3EE6">
        <w:t xml:space="preserve"> leadership</w:t>
      </w:r>
      <w:r w:rsidR="00BB1FBB" w:rsidRPr="00AD3EE6">
        <w:t xml:space="preserve"> </w:t>
      </w:r>
      <w:r w:rsidR="00681DAA" w:rsidRPr="00AD3EE6">
        <w:t>role in driving positive</w:t>
      </w:r>
      <w:r w:rsidR="00F62044" w:rsidRPr="00AD3EE6">
        <w:t xml:space="preserve"> and equitable</w:t>
      </w:r>
      <w:r w:rsidR="00681DAA" w:rsidRPr="00AD3EE6">
        <w:t xml:space="preserve"> improvement </w:t>
      </w:r>
      <w:r w:rsidR="003C14B9">
        <w:t>to</w:t>
      </w:r>
      <w:r w:rsidR="00C80D29" w:rsidRPr="00AD3EE6">
        <w:t>:</w:t>
      </w:r>
    </w:p>
    <w:p w14:paraId="27D19C1F" w14:textId="2D3105E4" w:rsidR="00BB1FBB" w:rsidRPr="00162503" w:rsidRDefault="00574DE0" w:rsidP="00F92CEE">
      <w:pPr>
        <w:spacing w:before="240" w:after="240"/>
        <w:ind w:left="2160" w:firstLine="720"/>
        <w:rPr>
          <w:color w:val="904281"/>
          <w:sz w:val="24"/>
          <w:szCs w:val="24"/>
        </w:rPr>
      </w:pPr>
      <w:r w:rsidRPr="00162503">
        <w:rPr>
          <w:b/>
          <w:bCs/>
          <w:color w:val="904281"/>
          <w:sz w:val="24"/>
          <w:szCs w:val="24"/>
        </w:rPr>
        <w:t>‘</w:t>
      </w:r>
      <w:r w:rsidR="00C80D29" w:rsidRPr="00162503">
        <w:rPr>
          <w:b/>
          <w:bCs/>
          <w:color w:val="904281"/>
          <w:sz w:val="24"/>
          <w:szCs w:val="24"/>
        </w:rPr>
        <w:t>L</w:t>
      </w:r>
      <w:r w:rsidRPr="00162503">
        <w:rPr>
          <w:b/>
          <w:bCs/>
          <w:color w:val="904281"/>
          <w:sz w:val="24"/>
          <w:szCs w:val="24"/>
        </w:rPr>
        <w:t>ead out with influence’</w:t>
      </w:r>
    </w:p>
    <w:p w14:paraId="1CE25F8B" w14:textId="5B126909" w:rsidR="00A76D95" w:rsidRPr="00AD3EE6" w:rsidRDefault="00B90979" w:rsidP="00A76D95">
      <w:r w:rsidRPr="00AD3EE6">
        <w:t xml:space="preserve">Leading out with influence </w:t>
      </w:r>
      <w:r w:rsidR="00184058" w:rsidRPr="00AD3EE6">
        <w:t>requires</w:t>
      </w:r>
      <w:r w:rsidRPr="00AD3EE6">
        <w:t xml:space="preserve"> Te </w:t>
      </w:r>
      <w:proofErr w:type="spellStart"/>
      <w:r w:rsidRPr="00AD3EE6">
        <w:t>Tāhū</w:t>
      </w:r>
      <w:proofErr w:type="spellEnd"/>
      <w:r w:rsidRPr="00AD3EE6">
        <w:t xml:space="preserve"> Hauora </w:t>
      </w:r>
      <w:r w:rsidR="00184058" w:rsidRPr="00AD3EE6">
        <w:t>to</w:t>
      </w:r>
      <w:r w:rsidRPr="00AD3EE6">
        <w:t xml:space="preserve"> go beyond traditional leadership approaches and actively engage with other stakeholders, both within and outside the health system, to support and guide the success of the health reforms. By doing so, the organisation can </w:t>
      </w:r>
      <w:r w:rsidR="00A76D95" w:rsidRPr="00AD3EE6">
        <w:t>champion and deliver evidence-based approaches that prioritise</w:t>
      </w:r>
      <w:r w:rsidR="00A74236" w:rsidRPr="00AD3EE6">
        <w:t>s</w:t>
      </w:r>
      <w:r w:rsidR="00A76D95" w:rsidRPr="00AD3EE6">
        <w:t xml:space="preserve"> Māori health and address health inequities. </w:t>
      </w:r>
    </w:p>
    <w:p w14:paraId="53907477" w14:textId="61E671A0" w:rsidR="00A1785B" w:rsidRPr="00AD3EE6" w:rsidRDefault="00A1785B" w:rsidP="00481F9E">
      <w:r w:rsidRPr="00AD3EE6">
        <w:t>The organi</w:t>
      </w:r>
      <w:r w:rsidR="00BA5EBA" w:rsidRPr="00AD3EE6">
        <w:t>s</w:t>
      </w:r>
      <w:r w:rsidRPr="00AD3EE6">
        <w:t xml:space="preserve">ation should leverage its expertise, </w:t>
      </w:r>
      <w:proofErr w:type="gramStart"/>
      <w:r w:rsidRPr="00AD3EE6">
        <w:t>knowledge</w:t>
      </w:r>
      <w:proofErr w:type="gramEnd"/>
      <w:r w:rsidR="00B951B2">
        <w:t xml:space="preserve"> and</w:t>
      </w:r>
      <w:r w:rsidRPr="00AD3EE6">
        <w:t xml:space="preserve"> influence to drive systemic change, promote collaboration</w:t>
      </w:r>
      <w:r w:rsidR="00B951B2">
        <w:t xml:space="preserve"> and</w:t>
      </w:r>
      <w:r w:rsidRPr="00AD3EE6">
        <w:t xml:space="preserve"> ensure that Te </w:t>
      </w:r>
      <w:proofErr w:type="spellStart"/>
      <w:r w:rsidRPr="00AD3EE6">
        <w:t>Tiriti</w:t>
      </w:r>
      <w:proofErr w:type="spellEnd"/>
      <w:r w:rsidRPr="00AD3EE6">
        <w:t xml:space="preserve"> o Waitangi principles and health equity are embedded at every level, both </w:t>
      </w:r>
      <w:r w:rsidR="00E168F6" w:rsidRPr="00AD3EE6">
        <w:t>internally</w:t>
      </w:r>
      <w:r w:rsidR="00DA0A02" w:rsidRPr="00AD3EE6">
        <w:t xml:space="preserve"> </w:t>
      </w:r>
      <w:r w:rsidRPr="00AD3EE6">
        <w:t>and throughout the reformed health system.</w:t>
      </w:r>
    </w:p>
    <w:p w14:paraId="677431F4" w14:textId="124819D2" w:rsidR="000A63A9" w:rsidRPr="00AD3EE6" w:rsidRDefault="000A63A9" w:rsidP="000A63A9">
      <w:pPr>
        <w:rPr>
          <w:rFonts w:cs="Arial"/>
        </w:rPr>
      </w:pPr>
      <w:r w:rsidRPr="00AD3EE6">
        <w:rPr>
          <w:rFonts w:cs="Arial"/>
        </w:rPr>
        <w:t xml:space="preserve">To achieve this, we recommend that </w:t>
      </w:r>
      <w:r w:rsidRPr="00AD3EE6">
        <w:t xml:space="preserve">Te </w:t>
      </w:r>
      <w:proofErr w:type="spellStart"/>
      <w:r w:rsidRPr="00AD3EE6">
        <w:t>Tāhū</w:t>
      </w:r>
      <w:proofErr w:type="spellEnd"/>
      <w:r w:rsidRPr="00AD3EE6">
        <w:t xml:space="preserve"> Hauora</w:t>
      </w:r>
      <w:r w:rsidRPr="00AD3EE6">
        <w:rPr>
          <w:rFonts w:cs="Arial"/>
        </w:rPr>
        <w:t>:</w:t>
      </w:r>
    </w:p>
    <w:p w14:paraId="6FAD3E5F" w14:textId="7D711D10" w:rsidR="000A63A9" w:rsidRPr="00AD3EE6" w:rsidRDefault="00367114" w:rsidP="00162503">
      <w:pPr>
        <w:pStyle w:val="ListParagraph"/>
        <w:numPr>
          <w:ilvl w:val="0"/>
          <w:numId w:val="21"/>
        </w:numPr>
        <w:spacing w:after="60"/>
        <w:ind w:left="357" w:hanging="357"/>
        <w:contextualSpacing w:val="0"/>
        <w:rPr>
          <w:rFonts w:cs="Arial"/>
          <w:b/>
          <w:bCs/>
        </w:rPr>
      </w:pPr>
      <w:r>
        <w:rPr>
          <w:rFonts w:cs="Arial"/>
          <w:b/>
          <w:bCs/>
        </w:rPr>
        <w:t>v</w:t>
      </w:r>
      <w:r w:rsidR="000A63A9" w:rsidRPr="00AD3EE6">
        <w:rPr>
          <w:rFonts w:cs="Arial"/>
          <w:b/>
          <w:bCs/>
        </w:rPr>
        <w:t>isibly prioritise</w:t>
      </w:r>
      <w:r w:rsidR="003C14B9">
        <w:rPr>
          <w:rFonts w:cs="Arial"/>
          <w:b/>
          <w:bCs/>
        </w:rPr>
        <w:t>s</w:t>
      </w:r>
      <w:r w:rsidR="000A63A9" w:rsidRPr="00AD3EE6">
        <w:rPr>
          <w:rFonts w:cs="Arial"/>
          <w:b/>
          <w:bCs/>
        </w:rPr>
        <w:t xml:space="preserve"> and embed</w:t>
      </w:r>
      <w:r w:rsidR="003C14B9">
        <w:rPr>
          <w:rFonts w:cs="Arial"/>
          <w:b/>
          <w:bCs/>
        </w:rPr>
        <w:t>s</w:t>
      </w:r>
      <w:r w:rsidR="000A63A9" w:rsidRPr="00AD3EE6">
        <w:rPr>
          <w:rFonts w:cs="Arial"/>
          <w:b/>
          <w:bCs/>
        </w:rPr>
        <w:t xml:space="preserve"> Te </w:t>
      </w:r>
      <w:proofErr w:type="spellStart"/>
      <w:r w:rsidR="000A63A9" w:rsidRPr="00AD3EE6">
        <w:rPr>
          <w:rFonts w:cs="Arial"/>
          <w:b/>
          <w:bCs/>
        </w:rPr>
        <w:t>Tiriti</w:t>
      </w:r>
      <w:proofErr w:type="spellEnd"/>
      <w:r w:rsidR="000A63A9" w:rsidRPr="00AD3EE6">
        <w:rPr>
          <w:rFonts w:cs="Arial"/>
          <w:b/>
          <w:bCs/>
        </w:rPr>
        <w:t xml:space="preserve"> o Waitangi and equity </w:t>
      </w:r>
      <w:proofErr w:type="gramStart"/>
      <w:r w:rsidR="000A63A9" w:rsidRPr="00AD3EE6">
        <w:rPr>
          <w:rFonts w:cs="Arial"/>
        </w:rPr>
        <w:t>i</w:t>
      </w:r>
      <w:r w:rsidR="000A63A9" w:rsidRPr="00AD3EE6">
        <w:t>n order to</w:t>
      </w:r>
      <w:proofErr w:type="gramEnd"/>
      <w:r w:rsidR="000A63A9" w:rsidRPr="00AD3EE6">
        <w:t xml:space="preserve"> be an exemplar of continuous quality improvement in all aspect</w:t>
      </w:r>
      <w:r w:rsidR="007F69BB">
        <w:t>s</w:t>
      </w:r>
      <w:r w:rsidR="000A63A9" w:rsidRPr="00AD3EE6">
        <w:t xml:space="preserve"> of the work of Te </w:t>
      </w:r>
      <w:proofErr w:type="spellStart"/>
      <w:r w:rsidR="000A63A9" w:rsidRPr="00AD3EE6">
        <w:t>Tāhū</w:t>
      </w:r>
      <w:proofErr w:type="spellEnd"/>
      <w:r w:rsidR="000A63A9" w:rsidRPr="00AD3EE6">
        <w:t xml:space="preserve"> Hauora</w:t>
      </w:r>
    </w:p>
    <w:p w14:paraId="55F3779D" w14:textId="5489946B" w:rsidR="000A63A9" w:rsidRPr="00AD3EE6" w:rsidRDefault="00367114" w:rsidP="00162503">
      <w:pPr>
        <w:pStyle w:val="ListParagraph"/>
        <w:numPr>
          <w:ilvl w:val="0"/>
          <w:numId w:val="21"/>
        </w:numPr>
        <w:spacing w:after="60"/>
        <w:ind w:left="357" w:hanging="357"/>
        <w:contextualSpacing w:val="0"/>
        <w:rPr>
          <w:rFonts w:cs="Arial"/>
          <w:b/>
          <w:bCs/>
        </w:rPr>
      </w:pPr>
      <w:r>
        <w:rPr>
          <w:rFonts w:cs="Arial"/>
          <w:b/>
          <w:bCs/>
        </w:rPr>
        <w:t>c</w:t>
      </w:r>
      <w:r w:rsidR="000A63A9" w:rsidRPr="00AD3EE6">
        <w:rPr>
          <w:rFonts w:cs="Arial"/>
          <w:b/>
          <w:bCs/>
        </w:rPr>
        <w:t>larif</w:t>
      </w:r>
      <w:r w:rsidR="003C14B9">
        <w:rPr>
          <w:rFonts w:cs="Arial"/>
          <w:b/>
          <w:bCs/>
        </w:rPr>
        <w:t>ies</w:t>
      </w:r>
      <w:r w:rsidR="000A63A9" w:rsidRPr="00AD3EE6">
        <w:rPr>
          <w:rFonts w:cs="Arial"/>
          <w:b/>
          <w:bCs/>
        </w:rPr>
        <w:t xml:space="preserve"> and promote</w:t>
      </w:r>
      <w:r w:rsidR="003C14B9">
        <w:rPr>
          <w:rFonts w:cs="Arial"/>
          <w:b/>
          <w:bCs/>
        </w:rPr>
        <w:t>s</w:t>
      </w:r>
      <w:r w:rsidR="000A63A9" w:rsidRPr="00AD3EE6">
        <w:rPr>
          <w:rFonts w:cs="Arial"/>
          <w:b/>
          <w:bCs/>
        </w:rPr>
        <w:t xml:space="preserve"> the unique independent and trusted role </w:t>
      </w:r>
      <w:r w:rsidR="007F69BB">
        <w:rPr>
          <w:rFonts w:cs="Arial"/>
          <w:b/>
          <w:bCs/>
        </w:rPr>
        <w:t xml:space="preserve">of </w:t>
      </w:r>
      <w:r w:rsidR="000A63A9" w:rsidRPr="00AD3EE6">
        <w:rPr>
          <w:rFonts w:cs="Arial"/>
          <w:b/>
          <w:bCs/>
        </w:rPr>
        <w:t xml:space="preserve">Te </w:t>
      </w:r>
      <w:proofErr w:type="spellStart"/>
      <w:r w:rsidR="000A63A9" w:rsidRPr="00AD3EE6">
        <w:rPr>
          <w:rFonts w:cs="Arial"/>
          <w:b/>
          <w:bCs/>
        </w:rPr>
        <w:t>Tāhū</w:t>
      </w:r>
      <w:proofErr w:type="spellEnd"/>
      <w:r w:rsidR="000A63A9" w:rsidRPr="00AD3EE6">
        <w:rPr>
          <w:rFonts w:cs="Arial"/>
          <w:b/>
          <w:bCs/>
        </w:rPr>
        <w:t xml:space="preserve"> Hauora within the reformed health sector </w:t>
      </w:r>
      <w:r w:rsidR="007F69BB">
        <w:t xml:space="preserve">so </w:t>
      </w:r>
      <w:r w:rsidR="000A63A9" w:rsidRPr="00AD3EE6">
        <w:t>the quality and safety of services are always seen through an equity lens</w:t>
      </w:r>
    </w:p>
    <w:p w14:paraId="53DDF98A" w14:textId="348E8C31" w:rsidR="000A63A9" w:rsidRPr="00AD3EE6" w:rsidRDefault="00367114" w:rsidP="00162503">
      <w:pPr>
        <w:pStyle w:val="ListParagraph"/>
        <w:numPr>
          <w:ilvl w:val="0"/>
          <w:numId w:val="21"/>
        </w:numPr>
        <w:spacing w:after="60"/>
        <w:ind w:left="357" w:hanging="357"/>
        <w:contextualSpacing w:val="0"/>
        <w:rPr>
          <w:rFonts w:cs="Arial"/>
          <w:b/>
          <w:bCs/>
        </w:rPr>
      </w:pPr>
      <w:r>
        <w:rPr>
          <w:b/>
          <w:bCs/>
        </w:rPr>
        <w:t>c</w:t>
      </w:r>
      <w:r w:rsidR="000A63A9" w:rsidRPr="00AD3EE6">
        <w:rPr>
          <w:b/>
          <w:bCs/>
        </w:rPr>
        <w:t>ontinue</w:t>
      </w:r>
      <w:r w:rsidR="003C14B9">
        <w:rPr>
          <w:b/>
          <w:bCs/>
        </w:rPr>
        <w:t>s</w:t>
      </w:r>
      <w:r w:rsidR="000A63A9" w:rsidRPr="00AD3EE6">
        <w:rPr>
          <w:b/>
          <w:bCs/>
        </w:rPr>
        <w:t xml:space="preserve"> to enhance critical thinking capability and capacity to support the wider health sector’s use of evidence to deliver on health sector principles</w:t>
      </w:r>
      <w:r w:rsidR="000A63A9" w:rsidRPr="00AD3EE6">
        <w:rPr>
          <w:rFonts w:cs="Arial"/>
          <w:b/>
          <w:bCs/>
        </w:rPr>
        <w:t xml:space="preserve"> </w:t>
      </w:r>
      <w:r w:rsidR="000A63A9" w:rsidRPr="00AD3EE6">
        <w:t>to ensure the public health, primary and community</w:t>
      </w:r>
      <w:r w:rsidR="005D1631">
        <w:t>,</w:t>
      </w:r>
      <w:r w:rsidR="000A63A9" w:rsidRPr="00AD3EE6">
        <w:t xml:space="preserve"> hospital and specialist services are focused on quality and safety</w:t>
      </w:r>
    </w:p>
    <w:p w14:paraId="5ECADA4D" w14:textId="49958FA1" w:rsidR="000A63A9" w:rsidRPr="00AD3EE6" w:rsidRDefault="00367114" w:rsidP="00162503">
      <w:pPr>
        <w:pStyle w:val="ListParagraph"/>
        <w:numPr>
          <w:ilvl w:val="0"/>
          <w:numId w:val="21"/>
        </w:numPr>
        <w:spacing w:after="60"/>
        <w:ind w:left="357" w:hanging="357"/>
        <w:contextualSpacing w:val="0"/>
        <w:rPr>
          <w:rFonts w:cs="Arial"/>
          <w:b/>
          <w:bCs/>
        </w:rPr>
      </w:pPr>
      <w:r>
        <w:rPr>
          <w:b/>
          <w:bCs/>
        </w:rPr>
        <w:t>e</w:t>
      </w:r>
      <w:r w:rsidR="000A63A9" w:rsidRPr="00AD3EE6">
        <w:rPr>
          <w:b/>
          <w:bCs/>
        </w:rPr>
        <w:t>xpand</w:t>
      </w:r>
      <w:r w:rsidR="003C14B9">
        <w:rPr>
          <w:b/>
          <w:bCs/>
        </w:rPr>
        <w:t>s</w:t>
      </w:r>
      <w:r w:rsidR="000A63A9" w:rsidRPr="00AD3EE6">
        <w:rPr>
          <w:b/>
          <w:bCs/>
        </w:rPr>
        <w:t xml:space="preserve"> on its leading position in consumer and whānau engagement within the health sector through its engagement with leaders</w:t>
      </w:r>
      <w:r w:rsidR="000A63A9" w:rsidRPr="00AD3EE6">
        <w:rPr>
          <w:rFonts w:cs="Arial"/>
          <w:b/>
          <w:bCs/>
        </w:rPr>
        <w:t xml:space="preserve"> </w:t>
      </w:r>
      <w:r w:rsidR="005D1631">
        <w:t xml:space="preserve">so </w:t>
      </w:r>
      <w:r w:rsidR="000A63A9" w:rsidRPr="00AD3EE6">
        <w:t xml:space="preserve">the new code of expectations for consumer and whānau engagement is understood and </w:t>
      </w:r>
      <w:r w:rsidR="001E3614" w:rsidRPr="00AD3EE6">
        <w:t>implemented</w:t>
      </w:r>
    </w:p>
    <w:p w14:paraId="6E2795BC" w14:textId="47F949B5" w:rsidR="000A63A9" w:rsidRPr="00AD3EE6" w:rsidRDefault="00367114" w:rsidP="008F58C0">
      <w:pPr>
        <w:pStyle w:val="ListParagraph"/>
        <w:numPr>
          <w:ilvl w:val="0"/>
          <w:numId w:val="21"/>
        </w:numPr>
        <w:spacing w:after="60"/>
        <w:ind w:left="357" w:hanging="357"/>
        <w:contextualSpacing w:val="0"/>
      </w:pPr>
      <w:r>
        <w:rPr>
          <w:b/>
        </w:rPr>
        <w:t>c</w:t>
      </w:r>
      <w:r w:rsidR="000A63A9" w:rsidRPr="00AD3EE6">
        <w:rPr>
          <w:b/>
        </w:rPr>
        <w:t>ollaborate</w:t>
      </w:r>
      <w:r w:rsidR="003C14B9">
        <w:rPr>
          <w:b/>
        </w:rPr>
        <w:t>s</w:t>
      </w:r>
      <w:r w:rsidR="000A63A9" w:rsidRPr="00AD3EE6">
        <w:rPr>
          <w:b/>
        </w:rPr>
        <w:t xml:space="preserve"> and influence</w:t>
      </w:r>
      <w:r w:rsidR="003C14B9">
        <w:rPr>
          <w:b/>
        </w:rPr>
        <w:t>s</w:t>
      </w:r>
      <w:r w:rsidR="000A63A9" w:rsidRPr="00AD3EE6">
        <w:rPr>
          <w:b/>
        </w:rPr>
        <w:t xml:space="preserve"> the spectrum of partnerships envisaged by </w:t>
      </w:r>
      <w:r w:rsidR="005D1631">
        <w:rPr>
          <w:b/>
        </w:rPr>
        <w:t xml:space="preserve">the </w:t>
      </w:r>
      <w:proofErr w:type="spellStart"/>
      <w:r w:rsidR="0064465F">
        <w:rPr>
          <w:b/>
        </w:rPr>
        <w:t>p</w:t>
      </w:r>
      <w:r w:rsidR="000A63A9" w:rsidRPr="00AD3EE6">
        <w:rPr>
          <w:b/>
        </w:rPr>
        <w:t>ae</w:t>
      </w:r>
      <w:proofErr w:type="spellEnd"/>
      <w:r w:rsidR="000A63A9" w:rsidRPr="00AD3EE6">
        <w:rPr>
          <w:b/>
        </w:rPr>
        <w:t xml:space="preserve"> </w:t>
      </w:r>
      <w:proofErr w:type="spellStart"/>
      <w:r w:rsidR="0064465F">
        <w:rPr>
          <w:b/>
        </w:rPr>
        <w:t>o</w:t>
      </w:r>
      <w:r w:rsidR="000A63A9" w:rsidRPr="00AD3EE6">
        <w:rPr>
          <w:b/>
        </w:rPr>
        <w:t>ra</w:t>
      </w:r>
      <w:proofErr w:type="spellEnd"/>
      <w:r w:rsidR="000A63A9" w:rsidRPr="00AD3EE6">
        <w:rPr>
          <w:b/>
        </w:rPr>
        <w:t xml:space="preserve"> legislation</w:t>
      </w:r>
      <w:r w:rsidR="000A63A9" w:rsidRPr="00AD3EE6">
        <w:rPr>
          <w:rFonts w:cs="Arial"/>
          <w:bCs/>
        </w:rPr>
        <w:t xml:space="preserve"> </w:t>
      </w:r>
      <w:r w:rsidR="005D1631">
        <w:rPr>
          <w:rFonts w:cs="Arial"/>
        </w:rPr>
        <w:t xml:space="preserve">so </w:t>
      </w:r>
      <w:r w:rsidR="000A63A9" w:rsidRPr="00AD3EE6">
        <w:rPr>
          <w:rFonts w:cs="Arial"/>
        </w:rPr>
        <w:t>any recommendations made are understood, owned and implemented</w:t>
      </w:r>
    </w:p>
    <w:p w14:paraId="4A638864" w14:textId="6E076A53" w:rsidR="000A63A9" w:rsidRPr="00AD3EE6" w:rsidRDefault="00367114" w:rsidP="00162503">
      <w:pPr>
        <w:pStyle w:val="ListParagraph"/>
        <w:numPr>
          <w:ilvl w:val="0"/>
          <w:numId w:val="21"/>
        </w:numPr>
        <w:ind w:left="357" w:hanging="357"/>
        <w:contextualSpacing w:val="0"/>
        <w:rPr>
          <w:b/>
        </w:rPr>
      </w:pPr>
      <w:r>
        <w:rPr>
          <w:b/>
        </w:rPr>
        <w:t>b</w:t>
      </w:r>
      <w:r w:rsidR="000A63A9" w:rsidRPr="00AD3EE6">
        <w:rPr>
          <w:b/>
        </w:rPr>
        <w:t>uild</w:t>
      </w:r>
      <w:r w:rsidR="003C14B9">
        <w:rPr>
          <w:b/>
        </w:rPr>
        <w:t>s</w:t>
      </w:r>
      <w:r w:rsidR="000A63A9" w:rsidRPr="00AD3EE6">
        <w:rPr>
          <w:b/>
        </w:rPr>
        <w:t xml:space="preserve"> on, constantly </w:t>
      </w:r>
      <w:proofErr w:type="gramStart"/>
      <w:r w:rsidR="000A63A9" w:rsidRPr="00AD3EE6">
        <w:rPr>
          <w:b/>
        </w:rPr>
        <w:t>review</w:t>
      </w:r>
      <w:r w:rsidR="003C14B9">
        <w:rPr>
          <w:b/>
        </w:rPr>
        <w:t>s</w:t>
      </w:r>
      <w:proofErr w:type="gramEnd"/>
      <w:r w:rsidR="00B951B2">
        <w:rPr>
          <w:b/>
        </w:rPr>
        <w:t xml:space="preserve"> and</w:t>
      </w:r>
      <w:r w:rsidR="000A63A9" w:rsidRPr="00AD3EE6">
        <w:rPr>
          <w:b/>
        </w:rPr>
        <w:t xml:space="preserve"> strengthen</w:t>
      </w:r>
      <w:r w:rsidR="003C14B9">
        <w:rPr>
          <w:b/>
        </w:rPr>
        <w:t>s</w:t>
      </w:r>
      <w:r w:rsidR="000A63A9" w:rsidRPr="00AD3EE6">
        <w:rPr>
          <w:b/>
        </w:rPr>
        <w:t xml:space="preserve"> what success will look like </w:t>
      </w:r>
      <w:r w:rsidR="005D1631" w:rsidRPr="005D1631">
        <w:t xml:space="preserve">so </w:t>
      </w:r>
      <w:r w:rsidR="000A63A9" w:rsidRPr="00AD3EE6">
        <w:t xml:space="preserve">the insights gained from evaluation and feedback mechanisms allow Te </w:t>
      </w:r>
      <w:proofErr w:type="spellStart"/>
      <w:r w:rsidR="000A63A9" w:rsidRPr="00AD3EE6">
        <w:t>Tāhū</w:t>
      </w:r>
      <w:proofErr w:type="spellEnd"/>
      <w:r w:rsidR="000A63A9" w:rsidRPr="00AD3EE6">
        <w:t xml:space="preserve"> Hauora to refine and enhance its performance.</w:t>
      </w:r>
    </w:p>
    <w:p w14:paraId="0173E29F" w14:textId="2CCC70F6" w:rsidR="00120FD8" w:rsidRPr="00AD3EE6" w:rsidRDefault="005557BF" w:rsidP="00120FD8">
      <w:r w:rsidRPr="00AD3EE6">
        <w:t xml:space="preserve">Our recommendations emphasise the importance of Te </w:t>
      </w:r>
      <w:proofErr w:type="spellStart"/>
      <w:r w:rsidRPr="00AD3EE6">
        <w:t>Tāhū</w:t>
      </w:r>
      <w:proofErr w:type="spellEnd"/>
      <w:r w:rsidRPr="00AD3EE6">
        <w:t xml:space="preserve"> Hauora having a strong and influential role within the health sector and with the public. </w:t>
      </w:r>
      <w:r w:rsidR="00120FD8" w:rsidRPr="00AD3EE6">
        <w:t xml:space="preserve">The organisation should leverage its expertise, </w:t>
      </w:r>
      <w:proofErr w:type="gramStart"/>
      <w:r w:rsidR="00120FD8" w:rsidRPr="00AD3EE6">
        <w:t>knowledge</w:t>
      </w:r>
      <w:proofErr w:type="gramEnd"/>
      <w:r w:rsidR="00B951B2">
        <w:t xml:space="preserve"> and</w:t>
      </w:r>
      <w:r w:rsidR="00120FD8" w:rsidRPr="00AD3EE6">
        <w:t xml:space="preserve"> influence to drive systemic changes, promote collaboration and ensure that Te </w:t>
      </w:r>
      <w:proofErr w:type="spellStart"/>
      <w:r w:rsidR="00120FD8" w:rsidRPr="00AD3EE6">
        <w:t>Tiriti</w:t>
      </w:r>
      <w:proofErr w:type="spellEnd"/>
      <w:r w:rsidR="00120FD8" w:rsidRPr="00AD3EE6">
        <w:t xml:space="preserve"> o Waitangi principles and health equity are embedded at every level, both within the organisation and throughout the reformed health system.</w:t>
      </w:r>
    </w:p>
    <w:p w14:paraId="6E40355D" w14:textId="34932437" w:rsidR="00591CB3" w:rsidRPr="00AD3EE6" w:rsidRDefault="00591CB3" w:rsidP="00591CB3">
      <w:r w:rsidRPr="00AD3EE6">
        <w:lastRenderedPageBreak/>
        <w:t>We believe that</w:t>
      </w:r>
      <w:r w:rsidR="005D1631">
        <w:t>,</w:t>
      </w:r>
      <w:r w:rsidRPr="00AD3EE6">
        <w:t xml:space="preserve"> by incorporating these recommendations, Te </w:t>
      </w:r>
      <w:proofErr w:type="spellStart"/>
      <w:r w:rsidRPr="00AD3EE6">
        <w:t>Tāhū</w:t>
      </w:r>
      <w:proofErr w:type="spellEnd"/>
      <w:r w:rsidRPr="00AD3EE6">
        <w:t xml:space="preserve"> Hauora can successfully lead and guide the reformed health system to prioritise equity, </w:t>
      </w:r>
      <w:proofErr w:type="gramStart"/>
      <w:r w:rsidRPr="00AD3EE6">
        <w:t>accessibility</w:t>
      </w:r>
      <w:proofErr w:type="gramEnd"/>
      <w:r w:rsidR="00B951B2">
        <w:t xml:space="preserve"> and</w:t>
      </w:r>
      <w:r w:rsidRPr="00AD3EE6">
        <w:t xml:space="preserve"> improved outcomes for all.</w:t>
      </w:r>
    </w:p>
    <w:p w14:paraId="2F69ACF2" w14:textId="77777777" w:rsidR="00591CB3" w:rsidRPr="00AD3EE6" w:rsidRDefault="00591CB3" w:rsidP="00C90C8E">
      <w:pPr>
        <w:pStyle w:val="TeThHauorabodytext"/>
      </w:pPr>
      <w:r w:rsidRPr="00AD3EE6">
        <w:br w:type="page"/>
      </w:r>
    </w:p>
    <w:p w14:paraId="13E0BBEE" w14:textId="6101D89C" w:rsidR="0067053C" w:rsidRPr="001D64F5" w:rsidRDefault="00DE79CB" w:rsidP="00355BD9">
      <w:pPr>
        <w:pStyle w:val="TeThHauorahead1"/>
      </w:pPr>
      <w:bookmarkStart w:id="27" w:name="_Toc137717510"/>
      <w:r w:rsidRPr="001D64F5">
        <w:lastRenderedPageBreak/>
        <w:t xml:space="preserve">Appendix 1: Question guidance for key stakeholder interviews </w:t>
      </w:r>
      <w:r w:rsidR="00162503">
        <w:t xml:space="preserve">| </w:t>
      </w:r>
      <w:r w:rsidR="00C4482C" w:rsidRPr="00C4482C">
        <w:t>Āpitihanga 1: Aratohu pātai mō ngā uiuitanga</w:t>
      </w:r>
      <w:bookmarkEnd w:id="27"/>
    </w:p>
    <w:p w14:paraId="489AA7DA" w14:textId="77777777" w:rsidR="0067053C" w:rsidRPr="001D64F5" w:rsidRDefault="0067053C" w:rsidP="00162503">
      <w:pPr>
        <w:pStyle w:val="NoSpacing"/>
        <w:spacing w:after="120" w:line="276" w:lineRule="auto"/>
        <w:rPr>
          <w:rFonts w:cs="Arial"/>
          <w:b/>
        </w:rPr>
      </w:pPr>
      <w:r w:rsidRPr="001D64F5">
        <w:rPr>
          <w:rFonts w:cs="Arial"/>
          <w:b/>
        </w:rPr>
        <w:t>Question category: Strategic vision and health system role</w:t>
      </w:r>
    </w:p>
    <w:p w14:paraId="04F95057" w14:textId="5212870D" w:rsidR="0067053C" w:rsidRPr="001A7A99" w:rsidRDefault="0067053C" w:rsidP="001A7A99">
      <w:pPr>
        <w:pStyle w:val="ListParagraph"/>
        <w:numPr>
          <w:ilvl w:val="0"/>
          <w:numId w:val="13"/>
        </w:numPr>
        <w:ind w:left="357" w:hanging="357"/>
        <w:contextualSpacing w:val="0"/>
        <w:rPr>
          <w:rFonts w:cs="Arial"/>
          <w:bCs/>
        </w:rPr>
      </w:pPr>
      <w:r w:rsidRPr="001D64F5">
        <w:rPr>
          <w:rFonts w:cs="Arial"/>
          <w:bCs/>
        </w:rPr>
        <w:t xml:space="preserve">Overall, since 2020, how well has the Commission performed in its work toward health quality? and supported health sector improvement? </w:t>
      </w:r>
      <w:r w:rsidRPr="001D64F5">
        <w:rPr>
          <w:rFonts w:cs="Arial"/>
          <w:bCs/>
          <w:i/>
          <w:iCs/>
        </w:rPr>
        <w:t>Idea: Does quality drive the Commission’s work? Do you believe the Commission’s function as a quality leader has benefited the health sector from 2020 through health system transformation? How?</w:t>
      </w:r>
    </w:p>
    <w:p w14:paraId="6E4FE466" w14:textId="3E066283" w:rsidR="0067053C" w:rsidRPr="001A7A99" w:rsidRDefault="0067053C" w:rsidP="001A7A99">
      <w:pPr>
        <w:pStyle w:val="ListParagraph"/>
        <w:numPr>
          <w:ilvl w:val="0"/>
          <w:numId w:val="13"/>
        </w:numPr>
        <w:ind w:left="357" w:hanging="357"/>
        <w:contextualSpacing w:val="0"/>
        <w:rPr>
          <w:rFonts w:cs="Arial"/>
          <w:bCs/>
        </w:rPr>
      </w:pPr>
      <w:r w:rsidRPr="001D64F5">
        <w:rPr>
          <w:rFonts w:cs="Arial"/>
          <w:bCs/>
        </w:rPr>
        <w:t xml:space="preserve">As a Crown agency, how well is the Commission responding to its Te </w:t>
      </w:r>
      <w:proofErr w:type="spellStart"/>
      <w:r w:rsidRPr="001D64F5">
        <w:rPr>
          <w:rFonts w:cs="Arial"/>
          <w:bCs/>
        </w:rPr>
        <w:t>Tiriti</w:t>
      </w:r>
      <w:proofErr w:type="spellEnd"/>
      <w:r w:rsidRPr="001D64F5">
        <w:rPr>
          <w:rFonts w:cs="Arial"/>
          <w:bCs/>
        </w:rPr>
        <w:t xml:space="preserve"> o Waitangi responsibilities? </w:t>
      </w:r>
      <w:r w:rsidRPr="001D64F5">
        <w:rPr>
          <w:rFonts w:cs="Arial"/>
          <w:bCs/>
          <w:i/>
          <w:iCs/>
        </w:rPr>
        <w:t xml:space="preserve">Idea: Do you feel the Commission has the capability and culture to action its Te </w:t>
      </w:r>
      <w:proofErr w:type="spellStart"/>
      <w:r w:rsidRPr="001D64F5">
        <w:rPr>
          <w:rFonts w:cs="Arial"/>
          <w:bCs/>
          <w:i/>
          <w:iCs/>
        </w:rPr>
        <w:t>Tiriti</w:t>
      </w:r>
      <w:proofErr w:type="spellEnd"/>
      <w:r w:rsidRPr="001D64F5">
        <w:rPr>
          <w:rFonts w:cs="Arial"/>
          <w:bCs/>
          <w:i/>
          <w:iCs/>
        </w:rPr>
        <w:t xml:space="preserve"> o Waitangi responsibilities and aspirations?</w:t>
      </w:r>
    </w:p>
    <w:p w14:paraId="5BE2377B" w14:textId="1D71EDD4" w:rsidR="0067053C" w:rsidRPr="001A7A99" w:rsidRDefault="0067053C" w:rsidP="001A7A99">
      <w:pPr>
        <w:pStyle w:val="ListParagraph"/>
        <w:numPr>
          <w:ilvl w:val="0"/>
          <w:numId w:val="13"/>
        </w:numPr>
        <w:ind w:left="357" w:hanging="357"/>
        <w:contextualSpacing w:val="0"/>
        <w:rPr>
          <w:rFonts w:cs="Arial"/>
          <w:bCs/>
        </w:rPr>
      </w:pPr>
      <w:r w:rsidRPr="001D64F5">
        <w:rPr>
          <w:rFonts w:cs="Arial"/>
          <w:bCs/>
        </w:rPr>
        <w:t xml:space="preserve">How effectively does the Commission generate common ownership and genuine collaboration within its work? </w:t>
      </w:r>
    </w:p>
    <w:p w14:paraId="4B495322" w14:textId="04345F5D" w:rsidR="0067053C" w:rsidRPr="001A7A99" w:rsidRDefault="0067053C" w:rsidP="001A7A99">
      <w:pPr>
        <w:pStyle w:val="ListParagraph"/>
        <w:numPr>
          <w:ilvl w:val="0"/>
          <w:numId w:val="13"/>
        </w:numPr>
        <w:spacing w:after="240"/>
        <w:rPr>
          <w:rFonts w:cs="Arial"/>
          <w:bCs/>
        </w:rPr>
      </w:pPr>
      <w:r w:rsidRPr="001D64F5">
        <w:rPr>
          <w:rFonts w:cs="Arial"/>
          <w:bCs/>
        </w:rPr>
        <w:t>How can the Commission best support your organisation?</w:t>
      </w:r>
    </w:p>
    <w:p w14:paraId="57072C72" w14:textId="77777777" w:rsidR="0067053C" w:rsidRPr="001D64F5" w:rsidRDefault="0067053C" w:rsidP="00162503">
      <w:pPr>
        <w:pStyle w:val="NoSpacing"/>
        <w:spacing w:after="120" w:line="276" w:lineRule="auto"/>
        <w:rPr>
          <w:rFonts w:cs="Arial"/>
          <w:b/>
        </w:rPr>
      </w:pPr>
      <w:r w:rsidRPr="001D64F5">
        <w:rPr>
          <w:rFonts w:cs="Arial"/>
          <w:b/>
        </w:rPr>
        <w:t xml:space="preserve">Question category: The Commission’s role in improved quality, </w:t>
      </w:r>
      <w:proofErr w:type="gramStart"/>
      <w:r w:rsidRPr="001D64F5">
        <w:rPr>
          <w:rFonts w:cs="Arial"/>
          <w:b/>
        </w:rPr>
        <w:t>safety</w:t>
      </w:r>
      <w:proofErr w:type="gramEnd"/>
      <w:r w:rsidRPr="001D64F5">
        <w:rPr>
          <w:rFonts w:cs="Arial"/>
          <w:b/>
        </w:rPr>
        <w:t xml:space="preserve"> and experience of care</w:t>
      </w:r>
    </w:p>
    <w:p w14:paraId="4940FD3C" w14:textId="77777777" w:rsidR="0067053C" w:rsidRPr="001D64F5" w:rsidRDefault="0067053C" w:rsidP="001A7A99">
      <w:pPr>
        <w:pStyle w:val="ListParagraph"/>
        <w:numPr>
          <w:ilvl w:val="0"/>
          <w:numId w:val="13"/>
        </w:numPr>
        <w:ind w:left="357" w:hanging="357"/>
        <w:contextualSpacing w:val="0"/>
        <w:rPr>
          <w:rFonts w:cs="Arial"/>
          <w:bCs/>
        </w:rPr>
      </w:pPr>
      <w:r w:rsidRPr="001D64F5">
        <w:rPr>
          <w:rFonts w:cs="Arial"/>
          <w:bCs/>
        </w:rPr>
        <w:t>Which areas of work do you see as the Commission’s strengths, in influencing improvement in health quality? (</w:t>
      </w:r>
      <w:proofErr w:type="gramStart"/>
      <w:r w:rsidRPr="001D64F5">
        <w:rPr>
          <w:rFonts w:cs="Arial"/>
          <w:bCs/>
        </w:rPr>
        <w:t>some</w:t>
      </w:r>
      <w:proofErr w:type="gramEnd"/>
      <w:r w:rsidRPr="001D64F5">
        <w:rPr>
          <w:rFonts w:cs="Arial"/>
          <w:bCs/>
        </w:rPr>
        <w:t xml:space="preserve"> examples are included below)</w:t>
      </w:r>
    </w:p>
    <w:p w14:paraId="5D3FCF3F" w14:textId="77777777" w:rsidR="0067053C" w:rsidRPr="001D64F5" w:rsidRDefault="0067053C" w:rsidP="00162503">
      <w:pPr>
        <w:pStyle w:val="ListParagraph"/>
        <w:numPr>
          <w:ilvl w:val="0"/>
          <w:numId w:val="12"/>
        </w:numPr>
        <w:spacing w:after="160"/>
        <w:rPr>
          <w:rFonts w:cs="Arial"/>
          <w:bCs/>
        </w:rPr>
      </w:pPr>
      <w:r w:rsidRPr="001D64F5">
        <w:rPr>
          <w:rFonts w:cs="Arial"/>
          <w:bCs/>
        </w:rPr>
        <w:t>Consumer and whānau participation</w:t>
      </w:r>
    </w:p>
    <w:p w14:paraId="73FE85AA" w14:textId="361328B2" w:rsidR="0067053C" w:rsidRPr="001D64F5" w:rsidRDefault="0067053C" w:rsidP="00162503">
      <w:pPr>
        <w:pStyle w:val="ListParagraph"/>
        <w:numPr>
          <w:ilvl w:val="0"/>
          <w:numId w:val="12"/>
        </w:numPr>
        <w:spacing w:after="160"/>
        <w:rPr>
          <w:rFonts w:cs="Arial"/>
          <w:bCs/>
        </w:rPr>
      </w:pPr>
      <w:r w:rsidRPr="001D64F5">
        <w:rPr>
          <w:rFonts w:cs="Arial"/>
          <w:bCs/>
        </w:rPr>
        <w:t xml:space="preserve">Encouraging and embedding Māori </w:t>
      </w:r>
      <w:r w:rsidR="005D1631" w:rsidRPr="001D64F5">
        <w:rPr>
          <w:rFonts w:cs="Arial"/>
          <w:bCs/>
        </w:rPr>
        <w:t>world</w:t>
      </w:r>
      <w:r w:rsidR="005D1631">
        <w:rPr>
          <w:rFonts w:cs="Arial"/>
          <w:bCs/>
        </w:rPr>
        <w:t xml:space="preserve"> </w:t>
      </w:r>
      <w:r w:rsidR="005D1631" w:rsidRPr="001D64F5">
        <w:rPr>
          <w:rFonts w:cs="Arial"/>
          <w:bCs/>
        </w:rPr>
        <w:t>views</w:t>
      </w:r>
      <w:r w:rsidRPr="001D64F5">
        <w:rPr>
          <w:rFonts w:cs="Arial"/>
          <w:bCs/>
        </w:rPr>
        <w:t xml:space="preserve"> and Te </w:t>
      </w:r>
      <w:proofErr w:type="spellStart"/>
      <w:r w:rsidRPr="001D64F5">
        <w:rPr>
          <w:rFonts w:cs="Arial"/>
          <w:bCs/>
        </w:rPr>
        <w:t>Tiriti</w:t>
      </w:r>
      <w:proofErr w:type="spellEnd"/>
      <w:r w:rsidRPr="001D64F5">
        <w:rPr>
          <w:rFonts w:cs="Arial"/>
          <w:bCs/>
        </w:rPr>
        <w:t xml:space="preserve"> o Waitangi as central to health quality in New Zealand</w:t>
      </w:r>
    </w:p>
    <w:p w14:paraId="065ACC8A" w14:textId="180D0D02" w:rsidR="0067053C" w:rsidRPr="001D64F5" w:rsidRDefault="0067053C" w:rsidP="00162503">
      <w:pPr>
        <w:pStyle w:val="ListParagraph"/>
        <w:numPr>
          <w:ilvl w:val="0"/>
          <w:numId w:val="12"/>
        </w:numPr>
        <w:spacing w:after="160"/>
        <w:rPr>
          <w:rFonts w:cs="Arial"/>
          <w:bCs/>
        </w:rPr>
      </w:pPr>
      <w:r w:rsidRPr="001D64F5">
        <w:rPr>
          <w:rFonts w:cs="Arial"/>
          <w:bCs/>
        </w:rPr>
        <w:t>Encouraging health equity-based thought and practice that is appropriate and responsive to differing needs</w:t>
      </w:r>
    </w:p>
    <w:p w14:paraId="64656E52" w14:textId="77777777" w:rsidR="0067053C" w:rsidRPr="001D64F5" w:rsidRDefault="0067053C" w:rsidP="00162503">
      <w:pPr>
        <w:pStyle w:val="ListParagraph"/>
        <w:numPr>
          <w:ilvl w:val="0"/>
          <w:numId w:val="12"/>
        </w:numPr>
        <w:spacing w:after="160"/>
        <w:rPr>
          <w:rFonts w:cs="Arial"/>
          <w:bCs/>
        </w:rPr>
      </w:pPr>
      <w:r w:rsidRPr="001D64F5">
        <w:rPr>
          <w:rFonts w:cs="Arial"/>
          <w:bCs/>
        </w:rPr>
        <w:t xml:space="preserve">Encouraging and supporting systems and processes which support health quality, </w:t>
      </w:r>
      <w:proofErr w:type="gramStart"/>
      <w:r w:rsidRPr="001D64F5">
        <w:rPr>
          <w:rFonts w:cs="Arial"/>
          <w:bCs/>
        </w:rPr>
        <w:t>safety</w:t>
      </w:r>
      <w:proofErr w:type="gramEnd"/>
      <w:r w:rsidRPr="001D64F5">
        <w:rPr>
          <w:rFonts w:cs="Arial"/>
          <w:bCs/>
        </w:rPr>
        <w:t xml:space="preserve"> and equity </w:t>
      </w:r>
    </w:p>
    <w:p w14:paraId="224635BA" w14:textId="77777777" w:rsidR="0067053C" w:rsidRPr="001D64F5" w:rsidRDefault="0067053C" w:rsidP="00162503">
      <w:pPr>
        <w:pStyle w:val="ListParagraph"/>
        <w:numPr>
          <w:ilvl w:val="0"/>
          <w:numId w:val="12"/>
        </w:numPr>
        <w:spacing w:after="160"/>
        <w:rPr>
          <w:rFonts w:cs="Arial"/>
          <w:bCs/>
        </w:rPr>
      </w:pPr>
      <w:r w:rsidRPr="001D64F5">
        <w:rPr>
          <w:rFonts w:cs="Arial"/>
          <w:bCs/>
        </w:rPr>
        <w:t>Quality data and reporting</w:t>
      </w:r>
    </w:p>
    <w:p w14:paraId="7A87F6A9" w14:textId="77777777" w:rsidR="0067053C" w:rsidRPr="001D64F5" w:rsidRDefault="0067053C" w:rsidP="00162503">
      <w:pPr>
        <w:pStyle w:val="ListParagraph"/>
        <w:numPr>
          <w:ilvl w:val="0"/>
          <w:numId w:val="12"/>
        </w:numPr>
        <w:spacing w:after="160"/>
        <w:rPr>
          <w:rFonts w:cs="Arial"/>
          <w:bCs/>
        </w:rPr>
      </w:pPr>
      <w:r w:rsidRPr="001D64F5">
        <w:rPr>
          <w:rFonts w:cs="Arial"/>
          <w:bCs/>
        </w:rPr>
        <w:t>Quality improvement education and training</w:t>
      </w:r>
    </w:p>
    <w:p w14:paraId="4D0EA648" w14:textId="77777777" w:rsidR="0067053C" w:rsidRPr="001D64F5" w:rsidRDefault="0067053C" w:rsidP="00162503">
      <w:pPr>
        <w:pStyle w:val="ListParagraph"/>
        <w:numPr>
          <w:ilvl w:val="0"/>
          <w:numId w:val="12"/>
        </w:numPr>
        <w:spacing w:after="160"/>
        <w:rPr>
          <w:rFonts w:cs="Arial"/>
          <w:bCs/>
        </w:rPr>
      </w:pPr>
      <w:r w:rsidRPr="001D64F5">
        <w:rPr>
          <w:rFonts w:cs="Arial"/>
          <w:bCs/>
        </w:rPr>
        <w:t>Interagency collaboration for health quality</w:t>
      </w:r>
    </w:p>
    <w:p w14:paraId="221A7D84" w14:textId="032E602F" w:rsidR="0067053C" w:rsidRPr="001A7A99" w:rsidRDefault="0067053C" w:rsidP="001A7A99">
      <w:pPr>
        <w:pStyle w:val="ListParagraph"/>
        <w:numPr>
          <w:ilvl w:val="0"/>
          <w:numId w:val="12"/>
        </w:numPr>
        <w:spacing w:after="240"/>
        <w:rPr>
          <w:rFonts w:cs="Arial"/>
          <w:bCs/>
        </w:rPr>
      </w:pPr>
      <w:r w:rsidRPr="001D64F5">
        <w:rPr>
          <w:rFonts w:cs="Arial"/>
          <w:bCs/>
        </w:rPr>
        <w:t>Reporting learning from mortality review.</w:t>
      </w:r>
    </w:p>
    <w:p w14:paraId="6D4DECF8" w14:textId="77777777" w:rsidR="0067053C" w:rsidRPr="001D64F5" w:rsidRDefault="0067053C" w:rsidP="00162503">
      <w:pPr>
        <w:pStyle w:val="NoSpacing"/>
        <w:spacing w:after="120" w:line="276" w:lineRule="auto"/>
        <w:rPr>
          <w:rFonts w:cs="Arial"/>
          <w:b/>
        </w:rPr>
      </w:pPr>
      <w:r w:rsidRPr="001D64F5">
        <w:rPr>
          <w:rFonts w:cs="Arial"/>
          <w:b/>
        </w:rPr>
        <w:t>Question category: The Commission’s role in population health</w:t>
      </w:r>
    </w:p>
    <w:p w14:paraId="590F44C7" w14:textId="20E337E8" w:rsidR="0067053C" w:rsidRPr="001A7A99" w:rsidRDefault="0067053C" w:rsidP="001A7A99">
      <w:pPr>
        <w:pStyle w:val="ListParagraph"/>
        <w:numPr>
          <w:ilvl w:val="0"/>
          <w:numId w:val="13"/>
        </w:numPr>
        <w:spacing w:after="240"/>
        <w:ind w:left="357" w:hanging="357"/>
        <w:contextualSpacing w:val="0"/>
        <w:rPr>
          <w:rFonts w:cs="Arial"/>
          <w:bCs/>
        </w:rPr>
      </w:pPr>
      <w:r w:rsidRPr="001A7A99">
        <w:rPr>
          <w:rFonts w:cs="Arial"/>
          <w:bCs/>
        </w:rPr>
        <w:t>How well does the Commission advance quality improvement priorities to benefit Māori? and to achieve health equity?</w:t>
      </w:r>
    </w:p>
    <w:p w14:paraId="39CE58DD" w14:textId="77777777" w:rsidR="0067053C" w:rsidRPr="001D64F5" w:rsidRDefault="0067053C" w:rsidP="00162503">
      <w:pPr>
        <w:pStyle w:val="NoSpacing"/>
        <w:spacing w:after="120" w:line="276" w:lineRule="auto"/>
        <w:rPr>
          <w:rFonts w:cs="Arial"/>
          <w:b/>
        </w:rPr>
      </w:pPr>
      <w:r w:rsidRPr="001D64F5">
        <w:rPr>
          <w:rFonts w:cs="Arial"/>
          <w:b/>
        </w:rPr>
        <w:t xml:space="preserve">Question category: </w:t>
      </w:r>
      <w:proofErr w:type="gramStart"/>
      <w:r w:rsidRPr="001D64F5">
        <w:rPr>
          <w:rFonts w:cs="Arial"/>
          <w:b/>
        </w:rPr>
        <w:t>Best</w:t>
      </w:r>
      <w:proofErr w:type="gramEnd"/>
      <w:r w:rsidRPr="001D64F5">
        <w:rPr>
          <w:rFonts w:cs="Arial"/>
          <w:b/>
        </w:rPr>
        <w:t xml:space="preserve"> value for public health system resources</w:t>
      </w:r>
    </w:p>
    <w:p w14:paraId="3087022D" w14:textId="2E57000C" w:rsidR="0067053C" w:rsidRPr="001A7A99" w:rsidRDefault="0067053C" w:rsidP="001A7A99">
      <w:pPr>
        <w:pStyle w:val="ListParagraph"/>
        <w:numPr>
          <w:ilvl w:val="0"/>
          <w:numId w:val="13"/>
        </w:numPr>
        <w:ind w:left="357" w:hanging="357"/>
        <w:contextualSpacing w:val="0"/>
        <w:rPr>
          <w:rFonts w:cs="Arial"/>
          <w:bCs/>
        </w:rPr>
      </w:pPr>
      <w:r w:rsidRPr="001D64F5">
        <w:rPr>
          <w:rFonts w:cs="Arial"/>
          <w:bCs/>
        </w:rPr>
        <w:t xml:space="preserve">Over the past five years, how could the Commission have worked or </w:t>
      </w:r>
      <w:r w:rsidR="005D1631" w:rsidRPr="001D64F5">
        <w:rPr>
          <w:rFonts w:cs="Arial"/>
          <w:bCs/>
        </w:rPr>
        <w:t>focused</w:t>
      </w:r>
      <w:r w:rsidRPr="001D64F5">
        <w:rPr>
          <w:rFonts w:cs="Arial"/>
          <w:bCs/>
        </w:rPr>
        <w:t xml:space="preserve"> </w:t>
      </w:r>
      <w:r w:rsidRPr="001A7A99">
        <w:rPr>
          <w:rFonts w:cs="Arial"/>
          <w:bCs/>
        </w:rPr>
        <w:t>differently</w:t>
      </w:r>
      <w:r w:rsidRPr="001D64F5">
        <w:rPr>
          <w:rFonts w:cs="Arial"/>
          <w:bCs/>
        </w:rPr>
        <w:t xml:space="preserve"> to increase its value and/or impact on health quality?</w:t>
      </w:r>
    </w:p>
    <w:p w14:paraId="6C345464" w14:textId="263DABA0" w:rsidR="0067053C" w:rsidRPr="001A7A99" w:rsidRDefault="0067053C" w:rsidP="001A7A99">
      <w:pPr>
        <w:pStyle w:val="ListParagraph"/>
        <w:numPr>
          <w:ilvl w:val="0"/>
          <w:numId w:val="13"/>
        </w:numPr>
        <w:ind w:left="357" w:hanging="357"/>
        <w:contextualSpacing w:val="0"/>
        <w:rPr>
          <w:rFonts w:cs="Arial"/>
          <w:bCs/>
        </w:rPr>
      </w:pPr>
      <w:r w:rsidRPr="001A7A99">
        <w:rPr>
          <w:rFonts w:cs="Arial"/>
          <w:bCs/>
        </w:rPr>
        <w:t>Overall, what does the Commission most need to focus on, over the next five years, to improve its value as a health quality leader?</w:t>
      </w:r>
    </w:p>
    <w:p w14:paraId="7A496F46" w14:textId="08DE4D4E" w:rsidR="00DE79CB" w:rsidRPr="00355BD9" w:rsidRDefault="00DE79CB" w:rsidP="00355BD9">
      <w:pPr>
        <w:pStyle w:val="TeThHauorahead1"/>
      </w:pPr>
      <w:bookmarkStart w:id="28" w:name="_Toc137717511"/>
      <w:r w:rsidRPr="00355BD9">
        <w:lastRenderedPageBreak/>
        <w:t xml:space="preserve">Appendix </w:t>
      </w:r>
      <w:r w:rsidR="00FA3497" w:rsidRPr="00355BD9">
        <w:t>2</w:t>
      </w:r>
      <w:r w:rsidRPr="00355BD9">
        <w:t xml:space="preserve">: </w:t>
      </w:r>
      <w:r w:rsidR="00064DA0" w:rsidRPr="00355BD9">
        <w:t>A</w:t>
      </w:r>
      <w:r w:rsidRPr="00355BD9">
        <w:t>gencies</w:t>
      </w:r>
      <w:r w:rsidR="00293E9F" w:rsidRPr="00355BD9">
        <w:t xml:space="preserve"> and organ</w:t>
      </w:r>
      <w:r w:rsidR="00F522E7" w:rsidRPr="00355BD9">
        <w:t>i</w:t>
      </w:r>
      <w:r w:rsidR="00293E9F" w:rsidRPr="00355BD9">
        <w:t>sations</w:t>
      </w:r>
      <w:r w:rsidRPr="00355BD9">
        <w:t xml:space="preserve"> represented in interviews </w:t>
      </w:r>
      <w:r w:rsidR="00293E9F" w:rsidRPr="00355BD9">
        <w:t>or focus groups</w:t>
      </w:r>
      <w:r w:rsidR="005165DE" w:rsidRPr="00355BD9">
        <w:t xml:space="preserve"> | </w:t>
      </w:r>
      <w:r w:rsidR="006D3C2A" w:rsidRPr="006D3C2A">
        <w:t>Āpitihanga 2: Ngā pokapū me ngā rōpū i whakakanohitia ai i ngā uiuitanga me ngā rōpū whāiti</w:t>
      </w:r>
      <w:bookmarkEnd w:id="28"/>
    </w:p>
    <w:p w14:paraId="1F83781D" w14:textId="44956321" w:rsidR="00F522E7" w:rsidRPr="001D64F5" w:rsidRDefault="00F522E7" w:rsidP="002A29F3">
      <w:pPr>
        <w:rPr>
          <w:rFonts w:cs="Arial"/>
        </w:rPr>
      </w:pPr>
      <w:r w:rsidRPr="001D64F5">
        <w:rPr>
          <w:rFonts w:cs="Arial"/>
        </w:rPr>
        <w:t>A</w:t>
      </w:r>
      <w:r w:rsidR="002425F6" w:rsidRPr="001D64F5">
        <w:rPr>
          <w:rFonts w:cs="Arial"/>
        </w:rPr>
        <w:t>ccident Compensation Commission</w:t>
      </w:r>
    </w:p>
    <w:p w14:paraId="11A3BFE3" w14:textId="0F932F48" w:rsidR="00F522E7" w:rsidRPr="001D64F5" w:rsidRDefault="002425F6" w:rsidP="002A29F3">
      <w:pPr>
        <w:rPr>
          <w:rFonts w:cs="Arial"/>
        </w:rPr>
      </w:pPr>
      <w:r w:rsidRPr="001D64F5">
        <w:rPr>
          <w:rFonts w:cs="Arial"/>
        </w:rPr>
        <w:t xml:space="preserve">Te </w:t>
      </w:r>
      <w:proofErr w:type="spellStart"/>
      <w:r w:rsidRPr="001D64F5">
        <w:rPr>
          <w:rFonts w:cs="Arial"/>
        </w:rPr>
        <w:t>Tāhū</w:t>
      </w:r>
      <w:proofErr w:type="spellEnd"/>
      <w:r w:rsidRPr="001D64F5">
        <w:rPr>
          <w:rFonts w:cs="Arial"/>
        </w:rPr>
        <w:t xml:space="preserve"> Hauora Health Quality &amp; Safety Commission</w:t>
      </w:r>
    </w:p>
    <w:p w14:paraId="4FF038FA" w14:textId="05B81F5F" w:rsidR="00F522E7" w:rsidRPr="001D64F5" w:rsidRDefault="00F522E7" w:rsidP="002A29F3">
      <w:pPr>
        <w:rPr>
          <w:rFonts w:cs="Arial"/>
        </w:rPr>
      </w:pPr>
      <w:r w:rsidRPr="001D64F5">
        <w:rPr>
          <w:rFonts w:cs="Arial"/>
        </w:rPr>
        <w:t>Health and Disability Commission</w:t>
      </w:r>
      <w:r w:rsidR="008F58C0">
        <w:rPr>
          <w:rFonts w:cs="Arial"/>
        </w:rPr>
        <w:t>er</w:t>
      </w:r>
    </w:p>
    <w:p w14:paraId="4DC6B5FF" w14:textId="4DE7104A" w:rsidR="00F522E7" w:rsidRPr="001D64F5" w:rsidRDefault="00F522E7" w:rsidP="002A29F3">
      <w:pPr>
        <w:rPr>
          <w:rFonts w:cs="Arial"/>
        </w:rPr>
      </w:pPr>
      <w:proofErr w:type="spellStart"/>
      <w:r w:rsidRPr="001D64F5">
        <w:rPr>
          <w:rFonts w:cs="Arial"/>
        </w:rPr>
        <w:t>Manatū</w:t>
      </w:r>
      <w:proofErr w:type="spellEnd"/>
      <w:r w:rsidRPr="001D64F5">
        <w:rPr>
          <w:rFonts w:cs="Arial"/>
        </w:rPr>
        <w:t xml:space="preserve"> Hauora</w:t>
      </w:r>
      <w:r w:rsidR="002425F6" w:rsidRPr="001D64F5">
        <w:rPr>
          <w:rFonts w:cs="Arial"/>
        </w:rPr>
        <w:t xml:space="preserve"> Ministry of Health </w:t>
      </w:r>
    </w:p>
    <w:p w14:paraId="61605F1A" w14:textId="7717E0A4" w:rsidR="00F522E7" w:rsidRPr="001D64F5" w:rsidRDefault="00F522E7" w:rsidP="002A29F3">
      <w:pPr>
        <w:rPr>
          <w:rFonts w:cs="Arial"/>
        </w:rPr>
      </w:pPr>
      <w:r w:rsidRPr="001D64F5">
        <w:rPr>
          <w:rFonts w:cs="Arial"/>
        </w:rPr>
        <w:t xml:space="preserve">Te Aka </w:t>
      </w:r>
      <w:proofErr w:type="spellStart"/>
      <w:r w:rsidRPr="001D64F5">
        <w:rPr>
          <w:rFonts w:cs="Arial"/>
        </w:rPr>
        <w:t>Whai</w:t>
      </w:r>
      <w:proofErr w:type="spellEnd"/>
      <w:r w:rsidRPr="001D64F5">
        <w:rPr>
          <w:rFonts w:cs="Arial"/>
        </w:rPr>
        <w:t xml:space="preserve"> Ora</w:t>
      </w:r>
      <w:r w:rsidR="004B2356">
        <w:rPr>
          <w:rFonts w:cs="Arial"/>
        </w:rPr>
        <w:t xml:space="preserve"> | </w:t>
      </w:r>
      <w:r w:rsidRPr="001D64F5">
        <w:rPr>
          <w:rFonts w:cs="Arial"/>
        </w:rPr>
        <w:t>Māori Health Authority</w:t>
      </w:r>
    </w:p>
    <w:p w14:paraId="6AD5BF59" w14:textId="4DE48FDA" w:rsidR="00F522E7" w:rsidRPr="001D64F5" w:rsidRDefault="00F522E7" w:rsidP="002A29F3">
      <w:pPr>
        <w:rPr>
          <w:rFonts w:cs="Arial"/>
        </w:rPr>
      </w:pPr>
      <w:r w:rsidRPr="001D64F5">
        <w:rPr>
          <w:rFonts w:cs="Arial"/>
        </w:rPr>
        <w:t xml:space="preserve">Te </w:t>
      </w:r>
      <w:proofErr w:type="spellStart"/>
      <w:r w:rsidRPr="001D64F5">
        <w:rPr>
          <w:rFonts w:cs="Arial"/>
        </w:rPr>
        <w:t>Whatu</w:t>
      </w:r>
      <w:proofErr w:type="spellEnd"/>
      <w:r w:rsidRPr="001D64F5">
        <w:rPr>
          <w:rFonts w:cs="Arial"/>
        </w:rPr>
        <w:t xml:space="preserve"> Ora</w:t>
      </w:r>
      <w:r w:rsidR="004B2356">
        <w:rPr>
          <w:rFonts w:cs="Arial"/>
        </w:rPr>
        <w:t xml:space="preserve"> –</w:t>
      </w:r>
      <w:r w:rsidR="002425F6" w:rsidRPr="001D64F5">
        <w:rPr>
          <w:rFonts w:cs="Arial"/>
        </w:rPr>
        <w:t xml:space="preserve"> Health New Zealand</w:t>
      </w:r>
    </w:p>
    <w:p w14:paraId="251ABACF" w14:textId="1C42041E" w:rsidR="00F522E7" w:rsidRPr="001D64F5" w:rsidRDefault="00F522E7" w:rsidP="002A29F3">
      <w:pPr>
        <w:rPr>
          <w:rFonts w:cs="Arial"/>
        </w:rPr>
      </w:pPr>
      <w:r w:rsidRPr="001D64F5">
        <w:rPr>
          <w:rFonts w:cs="Arial"/>
        </w:rPr>
        <w:t xml:space="preserve">Medical Council </w:t>
      </w:r>
      <w:r w:rsidR="00CC2C2D">
        <w:rPr>
          <w:rFonts w:cs="Arial"/>
        </w:rPr>
        <w:t>of New Zealand</w:t>
      </w:r>
    </w:p>
    <w:p w14:paraId="0D7D6C3F" w14:textId="77777777" w:rsidR="00F522E7" w:rsidRPr="001D64F5" w:rsidRDefault="00F522E7" w:rsidP="002A29F3">
      <w:pPr>
        <w:rPr>
          <w:rFonts w:cs="Arial"/>
        </w:rPr>
      </w:pPr>
      <w:r w:rsidRPr="001D64F5">
        <w:rPr>
          <w:rFonts w:cs="Arial"/>
        </w:rPr>
        <w:t>Ministry for Pacific Peoples</w:t>
      </w:r>
    </w:p>
    <w:p w14:paraId="1FAE6695" w14:textId="67E2B349" w:rsidR="00F522E7" w:rsidRPr="001D64F5" w:rsidRDefault="00F522E7" w:rsidP="002A29F3">
      <w:pPr>
        <w:rPr>
          <w:rFonts w:cs="Arial"/>
        </w:rPr>
      </w:pPr>
      <w:r w:rsidRPr="001D64F5">
        <w:rPr>
          <w:rFonts w:cs="Arial"/>
        </w:rPr>
        <w:t xml:space="preserve">Pacific Peoples </w:t>
      </w:r>
      <w:r w:rsidRPr="004B2356">
        <w:rPr>
          <w:rFonts w:cs="Arial"/>
          <w:i/>
          <w:iCs/>
        </w:rPr>
        <w:t xml:space="preserve">Bula </w:t>
      </w:r>
      <w:proofErr w:type="spellStart"/>
      <w:r w:rsidRPr="004B2356">
        <w:rPr>
          <w:rFonts w:cs="Arial"/>
          <w:i/>
          <w:iCs/>
        </w:rPr>
        <w:t>Sautu</w:t>
      </w:r>
      <w:proofErr w:type="spellEnd"/>
      <w:r w:rsidRPr="001D64F5">
        <w:rPr>
          <w:rFonts w:cs="Arial"/>
        </w:rPr>
        <w:t xml:space="preserve"> report </w:t>
      </w:r>
      <w:r w:rsidR="00CC2C2D">
        <w:rPr>
          <w:rFonts w:cs="Arial"/>
        </w:rPr>
        <w:t>e</w:t>
      </w:r>
      <w:r w:rsidRPr="001D64F5">
        <w:rPr>
          <w:rFonts w:cs="Arial"/>
        </w:rPr>
        <w:t xml:space="preserve">xpert </w:t>
      </w:r>
      <w:r w:rsidR="00CC2C2D">
        <w:rPr>
          <w:rFonts w:cs="Arial"/>
        </w:rPr>
        <w:t>a</w:t>
      </w:r>
      <w:r w:rsidRPr="001D64F5">
        <w:rPr>
          <w:rFonts w:cs="Arial"/>
        </w:rPr>
        <w:t>dvisory representatives</w:t>
      </w:r>
    </w:p>
    <w:p w14:paraId="00A236BA" w14:textId="1023D47D" w:rsidR="00F522E7" w:rsidRPr="001D64F5" w:rsidRDefault="00F522E7" w:rsidP="002A29F3">
      <w:pPr>
        <w:rPr>
          <w:rFonts w:cs="Arial"/>
        </w:rPr>
      </w:pPr>
      <w:proofErr w:type="spellStart"/>
      <w:r w:rsidRPr="001D64F5">
        <w:rPr>
          <w:rFonts w:cs="Arial"/>
        </w:rPr>
        <w:t>Pharmac</w:t>
      </w:r>
      <w:proofErr w:type="spellEnd"/>
    </w:p>
    <w:p w14:paraId="788F8A05" w14:textId="2D86EED6" w:rsidR="00F522E7" w:rsidRPr="001D64F5" w:rsidRDefault="00F522E7" w:rsidP="00F522E7">
      <w:pPr>
        <w:spacing w:after="200"/>
        <w:rPr>
          <w:rFonts w:cs="Arial"/>
        </w:rPr>
      </w:pPr>
      <w:r w:rsidRPr="001D64F5">
        <w:rPr>
          <w:rFonts w:cs="Arial"/>
        </w:rPr>
        <w:t>Royal N</w:t>
      </w:r>
      <w:r w:rsidR="00CC2C2D">
        <w:rPr>
          <w:rFonts w:cs="Arial"/>
        </w:rPr>
        <w:t xml:space="preserve">ew </w:t>
      </w:r>
      <w:r w:rsidRPr="001D64F5">
        <w:rPr>
          <w:rFonts w:cs="Arial"/>
        </w:rPr>
        <w:t>Z</w:t>
      </w:r>
      <w:r w:rsidR="00CC2C2D">
        <w:rPr>
          <w:rFonts w:cs="Arial"/>
        </w:rPr>
        <w:t>ealand</w:t>
      </w:r>
      <w:r w:rsidRPr="001D64F5">
        <w:rPr>
          <w:rFonts w:cs="Arial"/>
        </w:rPr>
        <w:t xml:space="preserve"> College of General Practitioners</w:t>
      </w:r>
    </w:p>
    <w:p w14:paraId="16C21E32" w14:textId="77777777" w:rsidR="002425F6" w:rsidRPr="001D64F5" w:rsidRDefault="002425F6">
      <w:pPr>
        <w:spacing w:after="200"/>
        <w:rPr>
          <w:rFonts w:cs="Arial"/>
        </w:rPr>
      </w:pPr>
      <w:r w:rsidRPr="001D64F5">
        <w:rPr>
          <w:rFonts w:cs="Arial"/>
        </w:rPr>
        <w:br w:type="page"/>
      </w:r>
    </w:p>
    <w:p w14:paraId="5DF7D50C" w14:textId="6C587D64" w:rsidR="007A46D6" w:rsidRPr="001D64F5" w:rsidRDefault="00FA3497" w:rsidP="00355BD9">
      <w:pPr>
        <w:pStyle w:val="TeThHauorahead1"/>
      </w:pPr>
      <w:bookmarkStart w:id="29" w:name="_Toc137717512"/>
      <w:r w:rsidRPr="001D64F5">
        <w:lastRenderedPageBreak/>
        <w:t>Appendix 3: Te Tāhū Hauora staff survey questions</w:t>
      </w:r>
      <w:r w:rsidR="00D526CF">
        <w:t xml:space="preserve"> | </w:t>
      </w:r>
      <w:r w:rsidR="007A0619" w:rsidRPr="007A0619">
        <w:t xml:space="preserve">Āpitihanga 3: Ngā patapatai ki ngā kaimahi o </w:t>
      </w:r>
      <w:r w:rsidR="007A0619">
        <w:br/>
      </w:r>
      <w:r w:rsidR="007A0619" w:rsidRPr="007A0619">
        <w:t>Te Tāhū Hauora</w:t>
      </w:r>
      <w:bookmarkEnd w:id="29"/>
    </w:p>
    <w:p w14:paraId="33BF2917" w14:textId="78AC7366" w:rsidR="005D35FE" w:rsidRPr="001D64F5" w:rsidRDefault="005D35FE" w:rsidP="00CE78C2">
      <w:pPr>
        <w:rPr>
          <w:rFonts w:cs="Arial"/>
        </w:rPr>
      </w:pPr>
      <w:r w:rsidRPr="001D64F5">
        <w:rPr>
          <w:rFonts w:cs="Arial"/>
        </w:rPr>
        <w:t xml:space="preserve">The Health Quality &amp; Safety Commission (the Commission) has a mission to </w:t>
      </w:r>
      <w:r w:rsidRPr="001D64F5">
        <w:rPr>
          <w:rFonts w:cs="Arial"/>
          <w:i/>
        </w:rPr>
        <w:t>‘Involve. Inform. Influence. Improve.</w:t>
      </w:r>
      <w:r w:rsidRPr="001D64F5">
        <w:rPr>
          <w:rFonts w:cs="Arial"/>
        </w:rPr>
        <w:t>’ and a vision of ‘</w:t>
      </w:r>
      <w:r w:rsidR="00CC2C2D" w:rsidRPr="00CC2C2D">
        <w:rPr>
          <w:rFonts w:cs="Arial"/>
          <w:i/>
          <w:iCs/>
        </w:rPr>
        <w:t>Quality h</w:t>
      </w:r>
      <w:r w:rsidRPr="001D64F5">
        <w:rPr>
          <w:rFonts w:cs="Arial"/>
          <w:i/>
        </w:rPr>
        <w:t>ealth for all</w:t>
      </w:r>
      <w:r w:rsidRPr="001D64F5">
        <w:rPr>
          <w:rFonts w:cs="Arial"/>
        </w:rPr>
        <w:t xml:space="preserve">’.  </w:t>
      </w:r>
    </w:p>
    <w:p w14:paraId="47981ACA" w14:textId="77777777" w:rsidR="005D35FE" w:rsidRPr="001D64F5" w:rsidRDefault="005D35FE" w:rsidP="00CE78C2">
      <w:pPr>
        <w:rPr>
          <w:rFonts w:cs="Arial"/>
        </w:rPr>
      </w:pPr>
      <w:r w:rsidRPr="001D64F5">
        <w:rPr>
          <w:rFonts w:cs="Arial"/>
        </w:rPr>
        <w:t>This survey seeks your views on how we have performed since 2020 and what our priorities need to be for the next four years.</w:t>
      </w:r>
    </w:p>
    <w:p w14:paraId="3148A381" w14:textId="77777777" w:rsidR="005D35FE" w:rsidRPr="001D64F5" w:rsidRDefault="005D35FE" w:rsidP="00AB475A">
      <w:pPr>
        <w:pStyle w:val="ListParagraph"/>
        <w:numPr>
          <w:ilvl w:val="0"/>
          <w:numId w:val="17"/>
        </w:numPr>
        <w:spacing w:after="60"/>
        <w:ind w:left="357" w:hanging="357"/>
        <w:contextualSpacing w:val="0"/>
        <w:rPr>
          <w:rFonts w:cs="Arial"/>
          <w:bCs/>
        </w:rPr>
      </w:pPr>
      <w:r w:rsidRPr="001D64F5">
        <w:rPr>
          <w:rFonts w:cs="Arial"/>
          <w:bCs/>
        </w:rPr>
        <w:t xml:space="preserve">Which areas of work do you see as the Commission’s strengths, in influencing improvement in health quality? </w:t>
      </w:r>
    </w:p>
    <w:p w14:paraId="4AB569D3" w14:textId="77777777"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Consumer and whānau participation</w:t>
      </w:r>
    </w:p>
    <w:p w14:paraId="2CA994F3" w14:textId="0AD408C5"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 xml:space="preserve">Encouraging and embedding Māori </w:t>
      </w:r>
      <w:r w:rsidR="00CC2C2D" w:rsidRPr="001D64F5">
        <w:rPr>
          <w:rFonts w:cs="Arial"/>
          <w:bCs/>
        </w:rPr>
        <w:t>world</w:t>
      </w:r>
      <w:r w:rsidR="00CC2C2D">
        <w:rPr>
          <w:rFonts w:cs="Arial"/>
          <w:bCs/>
        </w:rPr>
        <w:t xml:space="preserve"> </w:t>
      </w:r>
      <w:r w:rsidR="00CC2C2D" w:rsidRPr="001D64F5">
        <w:rPr>
          <w:rFonts w:cs="Arial"/>
          <w:bCs/>
        </w:rPr>
        <w:t>views</w:t>
      </w:r>
      <w:r w:rsidRPr="001D64F5">
        <w:rPr>
          <w:rFonts w:cs="Arial"/>
          <w:bCs/>
        </w:rPr>
        <w:t xml:space="preserve"> and Te </w:t>
      </w:r>
      <w:proofErr w:type="spellStart"/>
      <w:r w:rsidRPr="001D64F5">
        <w:rPr>
          <w:rFonts w:cs="Arial"/>
          <w:bCs/>
        </w:rPr>
        <w:t>Tiriti</w:t>
      </w:r>
      <w:proofErr w:type="spellEnd"/>
      <w:r w:rsidRPr="001D64F5">
        <w:rPr>
          <w:rFonts w:cs="Arial"/>
          <w:bCs/>
        </w:rPr>
        <w:t xml:space="preserve"> o Waitangi as central to health quality in New Zealand</w:t>
      </w:r>
    </w:p>
    <w:p w14:paraId="00C40B31" w14:textId="036112A9"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Encouraging health equity-based thought and practice that is appropriate and responsive to differing needs</w:t>
      </w:r>
    </w:p>
    <w:p w14:paraId="7BEE1344" w14:textId="77777777"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 xml:space="preserve">Encouraging and supporting systems and processes which support health quality, </w:t>
      </w:r>
      <w:proofErr w:type="gramStart"/>
      <w:r w:rsidRPr="001D64F5">
        <w:rPr>
          <w:rFonts w:cs="Arial"/>
          <w:bCs/>
        </w:rPr>
        <w:t>safety</w:t>
      </w:r>
      <w:proofErr w:type="gramEnd"/>
      <w:r w:rsidRPr="001D64F5">
        <w:rPr>
          <w:rFonts w:cs="Arial"/>
          <w:bCs/>
        </w:rPr>
        <w:t xml:space="preserve"> and equity </w:t>
      </w:r>
    </w:p>
    <w:p w14:paraId="776607F2" w14:textId="77777777"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Quality data and reporting</w:t>
      </w:r>
    </w:p>
    <w:p w14:paraId="204BB80A" w14:textId="77777777"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Quality improvement education and training</w:t>
      </w:r>
    </w:p>
    <w:p w14:paraId="13E02B7B" w14:textId="77777777"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Interagency collaboration for health quality</w:t>
      </w:r>
    </w:p>
    <w:p w14:paraId="19F0CAFA" w14:textId="77777777" w:rsidR="005D35FE" w:rsidRPr="001D64F5" w:rsidRDefault="005D35FE" w:rsidP="00AB475A">
      <w:pPr>
        <w:pStyle w:val="ListParagraph"/>
        <w:numPr>
          <w:ilvl w:val="0"/>
          <w:numId w:val="12"/>
        </w:numPr>
        <w:spacing w:after="60"/>
        <w:ind w:left="714" w:hanging="357"/>
        <w:contextualSpacing w:val="0"/>
        <w:rPr>
          <w:rFonts w:cs="Arial"/>
          <w:bCs/>
        </w:rPr>
      </w:pPr>
      <w:r w:rsidRPr="001D64F5">
        <w:rPr>
          <w:rFonts w:cs="Arial"/>
          <w:bCs/>
        </w:rPr>
        <w:t>Reporting learning from mortality review</w:t>
      </w:r>
    </w:p>
    <w:p w14:paraId="45A7A2A0" w14:textId="77777777" w:rsidR="005D35FE" w:rsidRPr="001D64F5" w:rsidRDefault="005D35FE" w:rsidP="00CE78C2">
      <w:pPr>
        <w:pStyle w:val="ListParagraph"/>
        <w:numPr>
          <w:ilvl w:val="0"/>
          <w:numId w:val="12"/>
        </w:numPr>
        <w:spacing w:after="160"/>
        <w:rPr>
          <w:rFonts w:cs="Arial"/>
          <w:bCs/>
        </w:rPr>
      </w:pPr>
      <w:r w:rsidRPr="001D64F5">
        <w:rPr>
          <w:rFonts w:cs="Arial"/>
          <w:bCs/>
        </w:rPr>
        <w:t xml:space="preserve">Other? </w:t>
      </w:r>
      <w:r w:rsidRPr="001D64F5">
        <w:rPr>
          <w:rFonts w:cs="Arial"/>
          <w:bCs/>
          <w:i/>
          <w:iCs/>
        </w:rPr>
        <w:t>(Free text)</w:t>
      </w:r>
    </w:p>
    <w:p w14:paraId="4B16AABE" w14:textId="77777777" w:rsidR="005D35FE" w:rsidRPr="001D64F5" w:rsidRDefault="005D35FE" w:rsidP="00CE78C2">
      <w:pPr>
        <w:pStyle w:val="ListParagraph"/>
        <w:ind w:left="360"/>
        <w:rPr>
          <w:rFonts w:cs="Arial"/>
          <w:bCs/>
        </w:rPr>
      </w:pPr>
    </w:p>
    <w:p w14:paraId="3FA113F7" w14:textId="3E158D80" w:rsidR="005D35FE" w:rsidRPr="001D64F5" w:rsidRDefault="005D35FE" w:rsidP="00AB475A">
      <w:pPr>
        <w:pStyle w:val="ListParagraph"/>
        <w:numPr>
          <w:ilvl w:val="0"/>
          <w:numId w:val="17"/>
        </w:numPr>
        <w:spacing w:after="60"/>
        <w:ind w:left="357" w:hanging="357"/>
        <w:contextualSpacing w:val="0"/>
        <w:rPr>
          <w:rFonts w:cs="Arial"/>
          <w:bCs/>
        </w:rPr>
      </w:pPr>
      <w:r w:rsidRPr="001D64F5">
        <w:rPr>
          <w:rFonts w:cs="Arial"/>
          <w:bCs/>
        </w:rPr>
        <w:t xml:space="preserve">Overall, since 2020, do you agree that the Commission has performed well in its work toward health quality? and supported health sector improvement? </w:t>
      </w:r>
      <w:r w:rsidRPr="001D64F5">
        <w:rPr>
          <w:rFonts w:cs="Arial"/>
          <w:bCs/>
          <w:i/>
          <w:iCs/>
        </w:rPr>
        <w:t>Free text section included.</w:t>
      </w:r>
    </w:p>
    <w:p w14:paraId="2187B583" w14:textId="77777777" w:rsidR="005D35FE" w:rsidRPr="001D64F5" w:rsidRDefault="005D35FE" w:rsidP="00AB475A">
      <w:pPr>
        <w:pStyle w:val="ListParagraph"/>
        <w:numPr>
          <w:ilvl w:val="0"/>
          <w:numId w:val="14"/>
        </w:numPr>
        <w:spacing w:after="60"/>
        <w:ind w:left="709" w:hanging="357"/>
        <w:contextualSpacing w:val="0"/>
        <w:rPr>
          <w:rFonts w:cs="Arial"/>
          <w:bCs/>
        </w:rPr>
      </w:pPr>
      <w:r w:rsidRPr="001D64F5">
        <w:rPr>
          <w:rFonts w:cs="Arial"/>
          <w:bCs/>
        </w:rPr>
        <w:t>Disagree</w:t>
      </w:r>
    </w:p>
    <w:p w14:paraId="6E4B20B4" w14:textId="77777777" w:rsidR="005D35FE" w:rsidRPr="001D64F5" w:rsidRDefault="005D35FE" w:rsidP="00AB475A">
      <w:pPr>
        <w:pStyle w:val="ListParagraph"/>
        <w:numPr>
          <w:ilvl w:val="0"/>
          <w:numId w:val="14"/>
        </w:numPr>
        <w:spacing w:after="60"/>
        <w:ind w:left="709" w:hanging="357"/>
        <w:contextualSpacing w:val="0"/>
        <w:rPr>
          <w:rFonts w:cs="Arial"/>
          <w:bCs/>
        </w:rPr>
      </w:pPr>
      <w:r w:rsidRPr="001D64F5">
        <w:rPr>
          <w:rFonts w:cs="Arial"/>
          <w:bCs/>
        </w:rPr>
        <w:t>Somewhat agree</w:t>
      </w:r>
    </w:p>
    <w:p w14:paraId="5332897C" w14:textId="77777777" w:rsidR="005D35FE" w:rsidRPr="001D64F5" w:rsidRDefault="005D35FE" w:rsidP="00AB475A">
      <w:pPr>
        <w:pStyle w:val="ListParagraph"/>
        <w:numPr>
          <w:ilvl w:val="0"/>
          <w:numId w:val="14"/>
        </w:numPr>
        <w:spacing w:after="60"/>
        <w:ind w:left="709" w:hanging="357"/>
        <w:contextualSpacing w:val="0"/>
        <w:rPr>
          <w:rFonts w:cs="Arial"/>
          <w:bCs/>
        </w:rPr>
      </w:pPr>
      <w:r w:rsidRPr="001D64F5">
        <w:rPr>
          <w:rFonts w:cs="Arial"/>
          <w:bCs/>
        </w:rPr>
        <w:t>Mostly agree</w:t>
      </w:r>
    </w:p>
    <w:p w14:paraId="54D129B2" w14:textId="77777777" w:rsidR="005D35FE" w:rsidRPr="001D64F5" w:rsidRDefault="005D35FE" w:rsidP="00AB475A">
      <w:pPr>
        <w:pStyle w:val="ListParagraph"/>
        <w:numPr>
          <w:ilvl w:val="0"/>
          <w:numId w:val="14"/>
        </w:numPr>
        <w:ind w:left="709" w:hanging="357"/>
        <w:contextualSpacing w:val="0"/>
        <w:rPr>
          <w:rFonts w:cs="Arial"/>
          <w:bCs/>
        </w:rPr>
      </w:pPr>
      <w:r w:rsidRPr="001D64F5">
        <w:rPr>
          <w:rFonts w:cs="Arial"/>
          <w:bCs/>
        </w:rPr>
        <w:t>Completely agree</w:t>
      </w:r>
    </w:p>
    <w:p w14:paraId="5435C60E" w14:textId="77777777" w:rsidR="005D35FE" w:rsidRPr="001D64F5" w:rsidRDefault="005D35FE" w:rsidP="00AB475A">
      <w:pPr>
        <w:pStyle w:val="ListParagraph"/>
        <w:numPr>
          <w:ilvl w:val="0"/>
          <w:numId w:val="17"/>
        </w:numPr>
        <w:ind w:left="357" w:hanging="357"/>
        <w:contextualSpacing w:val="0"/>
        <w:rPr>
          <w:rFonts w:cs="Arial"/>
          <w:bCs/>
        </w:rPr>
      </w:pPr>
      <w:r w:rsidRPr="001D64F5">
        <w:rPr>
          <w:rFonts w:cs="Arial"/>
          <w:bCs/>
        </w:rPr>
        <w:t>What do you think the Commission does well? What are the unique resources we can draw on? What do others see as our strengths?</w:t>
      </w:r>
    </w:p>
    <w:p w14:paraId="35CAD4EC" w14:textId="77777777" w:rsidR="005D35FE" w:rsidRPr="001D64F5" w:rsidRDefault="005D35FE" w:rsidP="00AB475A">
      <w:pPr>
        <w:pStyle w:val="ListParagraph"/>
        <w:numPr>
          <w:ilvl w:val="0"/>
          <w:numId w:val="17"/>
        </w:numPr>
        <w:ind w:left="357" w:hanging="357"/>
        <w:contextualSpacing w:val="0"/>
        <w:rPr>
          <w:rFonts w:cs="Arial"/>
          <w:bCs/>
        </w:rPr>
      </w:pPr>
      <w:r w:rsidRPr="001D64F5">
        <w:rPr>
          <w:rFonts w:cs="Arial"/>
          <w:bCs/>
        </w:rPr>
        <w:t xml:space="preserve">How well does the </w:t>
      </w:r>
      <w:r w:rsidRPr="001D64F5">
        <w:rPr>
          <w:rFonts w:cs="Arial"/>
        </w:rPr>
        <w:t>Commission</w:t>
      </w:r>
      <w:r w:rsidRPr="001D64F5">
        <w:rPr>
          <w:rFonts w:cs="Arial"/>
          <w:bCs/>
        </w:rPr>
        <w:t xml:space="preserve"> advance quality improvement priorities to benefit Māori? and to achieve health equity?</w:t>
      </w:r>
    </w:p>
    <w:p w14:paraId="48E05BBB" w14:textId="5BE23280" w:rsidR="005D35FE" w:rsidRPr="001D64F5" w:rsidRDefault="005D35FE" w:rsidP="00AB475A">
      <w:pPr>
        <w:pStyle w:val="ListParagraph"/>
        <w:numPr>
          <w:ilvl w:val="0"/>
          <w:numId w:val="17"/>
        </w:numPr>
        <w:spacing w:after="60"/>
        <w:ind w:left="357" w:hanging="357"/>
        <w:contextualSpacing w:val="0"/>
        <w:rPr>
          <w:rFonts w:cs="Arial"/>
          <w:bCs/>
        </w:rPr>
      </w:pPr>
      <w:r w:rsidRPr="001D64F5">
        <w:rPr>
          <w:rFonts w:cs="Arial"/>
          <w:bCs/>
        </w:rPr>
        <w:t xml:space="preserve">Do you agree that as a Crown agency, up to now, the Commission is responding well to its Te </w:t>
      </w:r>
      <w:proofErr w:type="spellStart"/>
      <w:r w:rsidRPr="001D64F5">
        <w:rPr>
          <w:rFonts w:cs="Arial"/>
          <w:bCs/>
        </w:rPr>
        <w:t>Tiriti</w:t>
      </w:r>
      <w:proofErr w:type="spellEnd"/>
      <w:r w:rsidRPr="001D64F5">
        <w:rPr>
          <w:rFonts w:cs="Arial"/>
          <w:bCs/>
        </w:rPr>
        <w:t xml:space="preserve"> o Waitangi responsibilities? </w:t>
      </w:r>
      <w:r w:rsidR="00653E4D" w:rsidRPr="001D64F5">
        <w:rPr>
          <w:rFonts w:cs="Arial"/>
          <w:bCs/>
          <w:i/>
          <w:iCs/>
        </w:rPr>
        <w:t>Free text section included.</w:t>
      </w:r>
    </w:p>
    <w:p w14:paraId="622BFAE9" w14:textId="77777777" w:rsidR="005D35FE" w:rsidRPr="001D64F5" w:rsidRDefault="005D35FE" w:rsidP="00AB475A">
      <w:pPr>
        <w:pStyle w:val="ListParagraph"/>
        <w:numPr>
          <w:ilvl w:val="0"/>
          <w:numId w:val="16"/>
        </w:numPr>
        <w:spacing w:after="60"/>
        <w:ind w:left="709" w:hanging="357"/>
        <w:contextualSpacing w:val="0"/>
        <w:rPr>
          <w:rFonts w:cs="Arial"/>
          <w:bCs/>
        </w:rPr>
      </w:pPr>
      <w:r w:rsidRPr="001D64F5">
        <w:rPr>
          <w:rFonts w:cs="Arial"/>
          <w:bCs/>
        </w:rPr>
        <w:t>Disagree</w:t>
      </w:r>
    </w:p>
    <w:p w14:paraId="4C459EA6" w14:textId="77777777" w:rsidR="005D35FE" w:rsidRPr="001D64F5" w:rsidRDefault="005D35FE" w:rsidP="00AB475A">
      <w:pPr>
        <w:pStyle w:val="ListParagraph"/>
        <w:numPr>
          <w:ilvl w:val="0"/>
          <w:numId w:val="16"/>
        </w:numPr>
        <w:spacing w:after="60"/>
        <w:ind w:left="709" w:hanging="357"/>
        <w:contextualSpacing w:val="0"/>
        <w:rPr>
          <w:rFonts w:cs="Arial"/>
          <w:bCs/>
        </w:rPr>
      </w:pPr>
      <w:r w:rsidRPr="001D64F5">
        <w:rPr>
          <w:rFonts w:cs="Arial"/>
          <w:bCs/>
        </w:rPr>
        <w:t>Somewhat agree</w:t>
      </w:r>
    </w:p>
    <w:p w14:paraId="25E436A0" w14:textId="77777777" w:rsidR="005D35FE" w:rsidRPr="001D64F5" w:rsidRDefault="005D35FE" w:rsidP="00AB475A">
      <w:pPr>
        <w:pStyle w:val="ListParagraph"/>
        <w:numPr>
          <w:ilvl w:val="0"/>
          <w:numId w:val="16"/>
        </w:numPr>
        <w:spacing w:after="60"/>
        <w:ind w:left="709" w:hanging="357"/>
        <w:contextualSpacing w:val="0"/>
        <w:rPr>
          <w:rFonts w:cs="Arial"/>
          <w:bCs/>
        </w:rPr>
      </w:pPr>
      <w:r w:rsidRPr="001D64F5">
        <w:rPr>
          <w:rFonts w:cs="Arial"/>
          <w:bCs/>
        </w:rPr>
        <w:t>Mostly agree</w:t>
      </w:r>
    </w:p>
    <w:p w14:paraId="69DB379C" w14:textId="0806EF62" w:rsidR="00AB475A" w:rsidRPr="007A0619" w:rsidRDefault="005D35FE" w:rsidP="001556E8">
      <w:pPr>
        <w:pStyle w:val="ListParagraph"/>
        <w:numPr>
          <w:ilvl w:val="0"/>
          <w:numId w:val="16"/>
        </w:numPr>
        <w:spacing w:after="200"/>
        <w:ind w:left="709" w:hanging="357"/>
        <w:rPr>
          <w:rFonts w:cs="Arial"/>
          <w:bCs/>
        </w:rPr>
      </w:pPr>
      <w:r w:rsidRPr="007A0619">
        <w:rPr>
          <w:rFonts w:cs="Arial"/>
          <w:bCs/>
        </w:rPr>
        <w:t>Completely agree</w:t>
      </w:r>
    </w:p>
    <w:p w14:paraId="61829D5D" w14:textId="096B063E" w:rsidR="005D35FE" w:rsidRPr="001D64F5" w:rsidRDefault="005D35FE" w:rsidP="00AB475A">
      <w:pPr>
        <w:pStyle w:val="ListParagraph"/>
        <w:numPr>
          <w:ilvl w:val="0"/>
          <w:numId w:val="17"/>
        </w:numPr>
        <w:spacing w:after="60"/>
        <w:ind w:left="357" w:hanging="357"/>
        <w:contextualSpacing w:val="0"/>
        <w:rPr>
          <w:rFonts w:cs="Arial"/>
          <w:bCs/>
        </w:rPr>
      </w:pPr>
      <w:r w:rsidRPr="001D64F5">
        <w:rPr>
          <w:rFonts w:cs="Arial"/>
          <w:bCs/>
        </w:rPr>
        <w:lastRenderedPageBreak/>
        <w:t xml:space="preserve">Do you agree the Commission has the capability and culture to action its Te </w:t>
      </w:r>
      <w:proofErr w:type="spellStart"/>
      <w:r w:rsidRPr="001D64F5">
        <w:rPr>
          <w:rFonts w:cs="Arial"/>
          <w:bCs/>
        </w:rPr>
        <w:t>Tiriti</w:t>
      </w:r>
      <w:proofErr w:type="spellEnd"/>
      <w:r w:rsidRPr="001D64F5">
        <w:rPr>
          <w:rFonts w:cs="Arial"/>
          <w:bCs/>
        </w:rPr>
        <w:t xml:space="preserve"> o Waitangi responsibilities and aspirations in the future?</w:t>
      </w:r>
    </w:p>
    <w:p w14:paraId="6ADBE701" w14:textId="77777777" w:rsidR="005D35FE" w:rsidRPr="001D64F5" w:rsidRDefault="005D35FE" w:rsidP="00AB475A">
      <w:pPr>
        <w:pStyle w:val="ListParagraph"/>
        <w:numPr>
          <w:ilvl w:val="0"/>
          <w:numId w:val="15"/>
        </w:numPr>
        <w:spacing w:after="60"/>
        <w:ind w:left="709" w:hanging="357"/>
        <w:contextualSpacing w:val="0"/>
        <w:rPr>
          <w:rFonts w:cs="Arial"/>
          <w:bCs/>
        </w:rPr>
      </w:pPr>
      <w:r w:rsidRPr="001D64F5">
        <w:rPr>
          <w:rFonts w:cs="Arial"/>
          <w:bCs/>
        </w:rPr>
        <w:t>Disagree</w:t>
      </w:r>
    </w:p>
    <w:p w14:paraId="1139F2A0" w14:textId="77777777" w:rsidR="005D35FE" w:rsidRPr="001D64F5" w:rsidRDefault="005D35FE" w:rsidP="00AB475A">
      <w:pPr>
        <w:pStyle w:val="ListParagraph"/>
        <w:numPr>
          <w:ilvl w:val="0"/>
          <w:numId w:val="15"/>
        </w:numPr>
        <w:spacing w:after="60"/>
        <w:ind w:left="709" w:hanging="357"/>
        <w:contextualSpacing w:val="0"/>
        <w:rPr>
          <w:rFonts w:cs="Arial"/>
          <w:bCs/>
        </w:rPr>
      </w:pPr>
      <w:r w:rsidRPr="001D64F5">
        <w:rPr>
          <w:rFonts w:cs="Arial"/>
          <w:bCs/>
        </w:rPr>
        <w:t>Somewhat agree</w:t>
      </w:r>
    </w:p>
    <w:p w14:paraId="771D8EE8" w14:textId="77777777" w:rsidR="005D35FE" w:rsidRPr="001D64F5" w:rsidRDefault="005D35FE" w:rsidP="00AB475A">
      <w:pPr>
        <w:pStyle w:val="ListParagraph"/>
        <w:numPr>
          <w:ilvl w:val="0"/>
          <w:numId w:val="15"/>
        </w:numPr>
        <w:spacing w:after="60"/>
        <w:ind w:left="709" w:hanging="357"/>
        <w:contextualSpacing w:val="0"/>
        <w:rPr>
          <w:rFonts w:cs="Arial"/>
          <w:bCs/>
        </w:rPr>
      </w:pPr>
      <w:r w:rsidRPr="001D64F5">
        <w:rPr>
          <w:rFonts w:cs="Arial"/>
          <w:bCs/>
        </w:rPr>
        <w:t>Mostly agree</w:t>
      </w:r>
    </w:p>
    <w:p w14:paraId="44004F9E" w14:textId="77777777" w:rsidR="005D35FE" w:rsidRPr="001D64F5" w:rsidRDefault="005D35FE" w:rsidP="00AB475A">
      <w:pPr>
        <w:pStyle w:val="ListParagraph"/>
        <w:numPr>
          <w:ilvl w:val="0"/>
          <w:numId w:val="15"/>
        </w:numPr>
        <w:ind w:left="709" w:hanging="357"/>
        <w:contextualSpacing w:val="0"/>
        <w:rPr>
          <w:rFonts w:cs="Arial"/>
          <w:bCs/>
        </w:rPr>
      </w:pPr>
      <w:r w:rsidRPr="001D64F5">
        <w:rPr>
          <w:rFonts w:cs="Arial"/>
          <w:bCs/>
        </w:rPr>
        <w:t>Completely agree</w:t>
      </w:r>
    </w:p>
    <w:p w14:paraId="7590E9D3" w14:textId="0FB851E3" w:rsidR="005D35FE" w:rsidRPr="001D64F5" w:rsidRDefault="005D35FE" w:rsidP="00AB475A">
      <w:pPr>
        <w:pStyle w:val="ListParagraph"/>
        <w:numPr>
          <w:ilvl w:val="0"/>
          <w:numId w:val="17"/>
        </w:numPr>
        <w:ind w:left="357" w:hanging="357"/>
        <w:contextualSpacing w:val="0"/>
        <w:rPr>
          <w:rFonts w:cs="Arial"/>
          <w:bCs/>
        </w:rPr>
      </w:pPr>
      <w:r w:rsidRPr="001D64F5">
        <w:rPr>
          <w:rFonts w:cs="Arial"/>
          <w:bCs/>
        </w:rPr>
        <w:t xml:space="preserve">Over the past four years, how could the Commission have worked or </w:t>
      </w:r>
      <w:r w:rsidR="00CC2C2D" w:rsidRPr="001D64F5">
        <w:rPr>
          <w:rFonts w:cs="Arial"/>
          <w:bCs/>
        </w:rPr>
        <w:t>focused</w:t>
      </w:r>
      <w:r w:rsidRPr="001D64F5">
        <w:rPr>
          <w:rFonts w:cs="Arial"/>
          <w:bCs/>
        </w:rPr>
        <w:t xml:space="preserve"> </w:t>
      </w:r>
      <w:r w:rsidRPr="001D64F5">
        <w:rPr>
          <w:rFonts w:cs="Arial"/>
        </w:rPr>
        <w:t>differently</w:t>
      </w:r>
      <w:r w:rsidRPr="001D64F5">
        <w:rPr>
          <w:rFonts w:cs="Arial"/>
          <w:bCs/>
        </w:rPr>
        <w:t xml:space="preserve"> to increase its value and/or impact on health quality? What could improve? Where do we have fewer resources than others? What are others likely to see as our weaknesses?</w:t>
      </w:r>
    </w:p>
    <w:p w14:paraId="44DBF54A" w14:textId="30881453" w:rsidR="007A46D6" w:rsidRPr="00480DBF" w:rsidRDefault="005D35FE" w:rsidP="00CE78C2">
      <w:pPr>
        <w:pStyle w:val="ListParagraph"/>
        <w:numPr>
          <w:ilvl w:val="0"/>
          <w:numId w:val="17"/>
        </w:numPr>
        <w:spacing w:after="0"/>
        <w:rPr>
          <w:rFonts w:cs="Arial"/>
          <w:bCs/>
        </w:rPr>
      </w:pPr>
      <w:r w:rsidRPr="001D64F5">
        <w:rPr>
          <w:rFonts w:cs="Arial"/>
          <w:bCs/>
        </w:rPr>
        <w:t>Overall, what does the Commission most need to focus on, over the next four years, to improve its value as a health quality leader? What opportunities are open to us? What trends could we take advantage of? How can we turn our strengths into opportunities?</w:t>
      </w:r>
    </w:p>
    <w:sectPr w:rsidR="007A46D6" w:rsidRPr="00480DBF" w:rsidSect="006C1FAF">
      <w:footerReference w:type="even" r:id="rId22"/>
      <w:footerReference w:type="default" r:id="rId23"/>
      <w:headerReference w:type="first" r:id="rId2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15D6" w14:textId="77777777" w:rsidR="00DC44EA" w:rsidRDefault="00DC44EA" w:rsidP="003C45E1">
      <w:pPr>
        <w:spacing w:after="0" w:line="240" w:lineRule="auto"/>
      </w:pPr>
      <w:r>
        <w:separator/>
      </w:r>
    </w:p>
  </w:endnote>
  <w:endnote w:type="continuationSeparator" w:id="0">
    <w:p w14:paraId="2315C5CC" w14:textId="77777777" w:rsidR="00DC44EA" w:rsidRDefault="00DC44EA" w:rsidP="003C45E1">
      <w:pPr>
        <w:spacing w:after="0" w:line="240" w:lineRule="auto"/>
      </w:pPr>
      <w:r>
        <w:continuationSeparator/>
      </w:r>
    </w:p>
  </w:endnote>
  <w:endnote w:type="continuationNotice" w:id="1">
    <w:p w14:paraId="0076C099" w14:textId="77777777" w:rsidR="00DC44EA" w:rsidRDefault="00DC4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00"/>
    <w:family w:val="swiss"/>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62433040"/>
      <w:docPartObj>
        <w:docPartGallery w:val="Page Numbers (Bottom of Page)"/>
        <w:docPartUnique/>
      </w:docPartObj>
    </w:sdtPr>
    <w:sdtEndPr/>
    <w:sdtContent>
      <w:p w14:paraId="6F1F5F8E" w14:textId="2C8544CF" w:rsidR="007157B1" w:rsidRPr="007157B1" w:rsidRDefault="00FD015F">
        <w:pPr>
          <w:pStyle w:val="Footer"/>
          <w:rPr>
            <w:sz w:val="18"/>
            <w:szCs w:val="18"/>
          </w:rPr>
        </w:pPr>
        <w:r w:rsidRPr="00FD015F">
          <w:rPr>
            <w:sz w:val="18"/>
            <w:szCs w:val="18"/>
          </w:rPr>
          <w:t xml:space="preserve">Te </w:t>
        </w:r>
        <w:proofErr w:type="spellStart"/>
        <w:r w:rsidR="008E45EB" w:rsidRPr="00FD015F">
          <w:rPr>
            <w:sz w:val="18"/>
            <w:szCs w:val="18"/>
          </w:rPr>
          <w:t>arotakenga</w:t>
        </w:r>
        <w:proofErr w:type="spellEnd"/>
        <w:r w:rsidR="008E45EB" w:rsidRPr="00FD015F">
          <w:rPr>
            <w:sz w:val="18"/>
            <w:szCs w:val="18"/>
          </w:rPr>
          <w:t xml:space="preserve"> mahi </w:t>
        </w:r>
        <w:proofErr w:type="spellStart"/>
        <w:r w:rsidR="008E45EB" w:rsidRPr="00FD015F">
          <w:rPr>
            <w:sz w:val="18"/>
            <w:szCs w:val="18"/>
          </w:rPr>
          <w:t>motuhake</w:t>
        </w:r>
        <w:proofErr w:type="spellEnd"/>
        <w:r w:rsidR="008E45EB" w:rsidRPr="00FD015F">
          <w:rPr>
            <w:sz w:val="18"/>
            <w:szCs w:val="18"/>
          </w:rPr>
          <w:t xml:space="preserve"> </w:t>
        </w:r>
        <w:r w:rsidRPr="00FD015F">
          <w:rPr>
            <w:sz w:val="18"/>
            <w:szCs w:val="18"/>
          </w:rPr>
          <w:t xml:space="preserve">a Te </w:t>
        </w:r>
        <w:proofErr w:type="spellStart"/>
        <w:r w:rsidRPr="00FD015F">
          <w:rPr>
            <w:sz w:val="18"/>
            <w:szCs w:val="18"/>
          </w:rPr>
          <w:t>Tāhū</w:t>
        </w:r>
        <w:proofErr w:type="spellEnd"/>
        <w:r w:rsidRPr="00FD015F">
          <w:rPr>
            <w:sz w:val="18"/>
            <w:szCs w:val="18"/>
          </w:rPr>
          <w:t xml:space="preserve"> Hauora 2023</w:t>
        </w:r>
        <w:r w:rsidR="007157B1">
          <w:rPr>
            <w:sz w:val="18"/>
            <w:szCs w:val="18"/>
          </w:rPr>
          <w:tab/>
        </w:r>
        <w:r w:rsidR="007157B1" w:rsidRPr="00CB2018">
          <w:rPr>
            <w:sz w:val="18"/>
            <w:szCs w:val="18"/>
          </w:rPr>
          <w:tab/>
        </w:r>
        <w:sdt>
          <w:sdtPr>
            <w:rPr>
              <w:sz w:val="18"/>
              <w:szCs w:val="18"/>
            </w:rPr>
            <w:id w:val="235207599"/>
            <w:docPartObj>
              <w:docPartGallery w:val="Page Numbers (Top of Page)"/>
              <w:docPartUnique/>
            </w:docPartObj>
          </w:sdtPr>
          <w:sdtEndPr/>
          <w:sdtContent>
            <w:r w:rsidR="007157B1" w:rsidRPr="00CB2018">
              <w:rPr>
                <w:sz w:val="18"/>
                <w:szCs w:val="18"/>
              </w:rPr>
              <w:fldChar w:fldCharType="begin"/>
            </w:r>
            <w:r w:rsidR="007157B1" w:rsidRPr="00CB2018">
              <w:rPr>
                <w:sz w:val="18"/>
                <w:szCs w:val="18"/>
              </w:rPr>
              <w:instrText xml:space="preserve"> PAGE </w:instrText>
            </w:r>
            <w:r w:rsidR="007157B1" w:rsidRPr="00CB2018">
              <w:rPr>
                <w:sz w:val="18"/>
                <w:szCs w:val="18"/>
              </w:rPr>
              <w:fldChar w:fldCharType="separate"/>
            </w:r>
            <w:r w:rsidR="007157B1">
              <w:rPr>
                <w:sz w:val="18"/>
                <w:szCs w:val="18"/>
              </w:rPr>
              <w:t>5</w:t>
            </w:r>
            <w:r w:rsidR="007157B1" w:rsidRPr="00CB2018">
              <w:rPr>
                <w:sz w:val="18"/>
                <w:szCs w:val="18"/>
              </w:rPr>
              <w:fldChar w:fldCharType="end"/>
            </w:r>
            <w:r w:rsidR="007157B1" w:rsidRPr="00CB2018">
              <w:rPr>
                <w:sz w:val="18"/>
                <w:szCs w:val="18"/>
              </w:rPr>
              <w:t xml:space="preserve"> of </w:t>
            </w:r>
            <w:r w:rsidR="007157B1" w:rsidRPr="00CB2018">
              <w:rPr>
                <w:sz w:val="18"/>
                <w:szCs w:val="18"/>
              </w:rPr>
              <w:fldChar w:fldCharType="begin"/>
            </w:r>
            <w:r w:rsidR="007157B1" w:rsidRPr="00CB2018">
              <w:rPr>
                <w:sz w:val="18"/>
                <w:szCs w:val="18"/>
              </w:rPr>
              <w:instrText xml:space="preserve"> NUMPAGES  </w:instrText>
            </w:r>
            <w:r w:rsidR="007157B1" w:rsidRPr="00CB2018">
              <w:rPr>
                <w:sz w:val="18"/>
                <w:szCs w:val="18"/>
              </w:rPr>
              <w:fldChar w:fldCharType="separate"/>
            </w:r>
            <w:r w:rsidR="007157B1">
              <w:rPr>
                <w:sz w:val="18"/>
                <w:szCs w:val="18"/>
              </w:rPr>
              <w:t>27</w:t>
            </w:r>
            <w:r w:rsidR="007157B1" w:rsidRPr="00CB2018">
              <w:rPr>
                <w:sz w:val="18"/>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1256885"/>
      <w:docPartObj>
        <w:docPartGallery w:val="Page Numbers (Bottom of Page)"/>
        <w:docPartUnique/>
      </w:docPartObj>
    </w:sdtPr>
    <w:sdtEndPr/>
    <w:sdtContent>
      <w:p w14:paraId="7B8C8D5A" w14:textId="730553B1" w:rsidR="004C6A69" w:rsidRPr="00CB2018" w:rsidRDefault="00346A83" w:rsidP="00346A83">
        <w:pPr>
          <w:pStyle w:val="Footer"/>
          <w:rPr>
            <w:sz w:val="18"/>
            <w:szCs w:val="18"/>
          </w:rPr>
        </w:pPr>
        <w:r w:rsidRPr="00CB2018">
          <w:rPr>
            <w:sz w:val="18"/>
            <w:szCs w:val="18"/>
          </w:rPr>
          <w:t xml:space="preserve">Te </w:t>
        </w:r>
        <w:proofErr w:type="spellStart"/>
        <w:r w:rsidRPr="00CB2018">
          <w:rPr>
            <w:sz w:val="18"/>
            <w:szCs w:val="18"/>
          </w:rPr>
          <w:t>Tāhū</w:t>
        </w:r>
        <w:proofErr w:type="spellEnd"/>
        <w:r w:rsidRPr="00CB2018">
          <w:rPr>
            <w:sz w:val="18"/>
            <w:szCs w:val="18"/>
          </w:rPr>
          <w:t xml:space="preserve"> Hauora Health Quality &amp; Safety Commission </w:t>
        </w:r>
        <w:r w:rsidR="00CB2018" w:rsidRPr="00CB2018">
          <w:rPr>
            <w:sz w:val="18"/>
            <w:szCs w:val="18"/>
          </w:rPr>
          <w:t>independent performance review report 2023</w:t>
        </w:r>
        <w:r w:rsidRPr="00CB2018">
          <w:rPr>
            <w:sz w:val="18"/>
            <w:szCs w:val="18"/>
          </w:rPr>
          <w:tab/>
        </w:r>
        <w:sdt>
          <w:sdtPr>
            <w:rPr>
              <w:sz w:val="18"/>
              <w:szCs w:val="18"/>
            </w:rPr>
            <w:id w:val="-1769616900"/>
            <w:docPartObj>
              <w:docPartGallery w:val="Page Numbers (Top of Page)"/>
              <w:docPartUnique/>
            </w:docPartObj>
          </w:sdtPr>
          <w:sdtEndPr/>
          <w:sdtContent>
            <w:r w:rsidRPr="00CB2018">
              <w:rPr>
                <w:sz w:val="18"/>
                <w:szCs w:val="18"/>
              </w:rPr>
              <w:fldChar w:fldCharType="begin"/>
            </w:r>
            <w:r w:rsidRPr="00CB2018">
              <w:rPr>
                <w:sz w:val="18"/>
                <w:szCs w:val="18"/>
              </w:rPr>
              <w:instrText xml:space="preserve"> PAGE </w:instrText>
            </w:r>
            <w:r w:rsidRPr="00CB2018">
              <w:rPr>
                <w:sz w:val="18"/>
                <w:szCs w:val="18"/>
              </w:rPr>
              <w:fldChar w:fldCharType="separate"/>
            </w:r>
            <w:r w:rsidRPr="00CB2018">
              <w:rPr>
                <w:noProof/>
                <w:sz w:val="18"/>
                <w:szCs w:val="18"/>
              </w:rPr>
              <w:t>2</w:t>
            </w:r>
            <w:r w:rsidRPr="00CB2018">
              <w:rPr>
                <w:sz w:val="18"/>
                <w:szCs w:val="18"/>
              </w:rPr>
              <w:fldChar w:fldCharType="end"/>
            </w:r>
            <w:r w:rsidRPr="00CB2018">
              <w:rPr>
                <w:sz w:val="18"/>
                <w:szCs w:val="18"/>
              </w:rPr>
              <w:t xml:space="preserve"> of </w:t>
            </w:r>
            <w:r w:rsidRPr="00CB2018">
              <w:rPr>
                <w:sz w:val="18"/>
                <w:szCs w:val="18"/>
              </w:rPr>
              <w:fldChar w:fldCharType="begin"/>
            </w:r>
            <w:r w:rsidRPr="00CB2018">
              <w:rPr>
                <w:sz w:val="18"/>
                <w:szCs w:val="18"/>
              </w:rPr>
              <w:instrText xml:space="preserve"> NUMPAGES  </w:instrText>
            </w:r>
            <w:r w:rsidRPr="00CB2018">
              <w:rPr>
                <w:sz w:val="18"/>
                <w:szCs w:val="18"/>
              </w:rPr>
              <w:fldChar w:fldCharType="separate"/>
            </w:r>
            <w:r w:rsidRPr="00CB2018">
              <w:rPr>
                <w:noProof/>
                <w:sz w:val="18"/>
                <w:szCs w:val="18"/>
              </w:rPr>
              <w:t>2</w:t>
            </w:r>
            <w:r w:rsidRPr="00CB2018">
              <w:rPr>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6B70" w14:textId="77777777" w:rsidR="00DC44EA" w:rsidRDefault="00DC44EA" w:rsidP="003C45E1">
      <w:pPr>
        <w:spacing w:after="0" w:line="240" w:lineRule="auto"/>
      </w:pPr>
      <w:r>
        <w:separator/>
      </w:r>
    </w:p>
  </w:footnote>
  <w:footnote w:type="continuationSeparator" w:id="0">
    <w:p w14:paraId="4F685456" w14:textId="77777777" w:rsidR="00DC44EA" w:rsidRDefault="00DC44EA" w:rsidP="003C45E1">
      <w:pPr>
        <w:spacing w:after="0" w:line="240" w:lineRule="auto"/>
      </w:pPr>
      <w:r>
        <w:continuationSeparator/>
      </w:r>
    </w:p>
  </w:footnote>
  <w:footnote w:type="continuationNotice" w:id="1">
    <w:p w14:paraId="503A763D" w14:textId="77777777" w:rsidR="00DC44EA" w:rsidRDefault="00DC44EA">
      <w:pPr>
        <w:spacing w:after="0" w:line="240" w:lineRule="auto"/>
      </w:pPr>
    </w:p>
  </w:footnote>
  <w:footnote w:id="2">
    <w:p w14:paraId="601D733F" w14:textId="0FAD9477" w:rsidR="006F3CDE" w:rsidRPr="00363B10" w:rsidRDefault="006F3CDE" w:rsidP="001F4EB2">
      <w:pPr>
        <w:pStyle w:val="FootnoteText"/>
        <w:tabs>
          <w:tab w:val="clear" w:pos="170"/>
        </w:tabs>
        <w:ind w:left="142"/>
        <w:rPr>
          <w:sz w:val="18"/>
          <w:szCs w:val="18"/>
          <w:lang w:val="mi-NZ"/>
        </w:rPr>
      </w:pPr>
      <w:r w:rsidRPr="00363B10">
        <w:rPr>
          <w:rStyle w:val="FootnoteReference"/>
          <w:szCs w:val="18"/>
        </w:rPr>
        <w:footnoteRef/>
      </w:r>
      <w:r w:rsidRPr="00363B10">
        <w:rPr>
          <w:sz w:val="18"/>
          <w:szCs w:val="18"/>
        </w:rPr>
        <w:t xml:space="preserve"> </w:t>
      </w:r>
      <w:r w:rsidR="00DD0C0F" w:rsidRPr="00363B10">
        <w:rPr>
          <w:sz w:val="18"/>
          <w:szCs w:val="18"/>
        </w:rPr>
        <w:t xml:space="preserve"> Health Quality &amp; Safety Commission. 2021. </w:t>
      </w:r>
      <w:r w:rsidR="00DD0C0F" w:rsidRPr="00363B10">
        <w:rPr>
          <w:i/>
          <w:iCs/>
          <w:sz w:val="18"/>
          <w:szCs w:val="18"/>
        </w:rPr>
        <w:t>Self-review report based on the Performance Improvement Framework | Pūrongorongo arotake whaiaro i whai i te Anga Whakapiki Whakaaturanga</w:t>
      </w:r>
      <w:r w:rsidR="00DD0C0F" w:rsidRPr="00363B10">
        <w:rPr>
          <w:sz w:val="18"/>
          <w:szCs w:val="18"/>
        </w:rPr>
        <w:t xml:space="preserve">. URL: </w:t>
      </w:r>
      <w:hyperlink r:id="rId1" w:history="1">
        <w:r w:rsidR="001E01F1" w:rsidRPr="00363B10">
          <w:rPr>
            <w:rStyle w:val="Hyperlink"/>
            <w:sz w:val="18"/>
            <w:szCs w:val="18"/>
          </w:rPr>
          <w:t>www.hqsc.govt.nz/resources/resource-library/self-review-report-based-on-the-performance-improvement-framework-purongorongo-arotake-whaiaro-i-whai-i-te-anga-whakapiki-whakaaturanga</w:t>
        </w:r>
      </w:hyperlink>
      <w:r w:rsidR="00F76D41">
        <w:rPr>
          <w:sz w:val="18"/>
          <w:szCs w:val="18"/>
        </w:rPr>
        <w:t xml:space="preserve"> (accessed 19 June 2023).</w:t>
      </w:r>
    </w:p>
  </w:footnote>
  <w:footnote w:id="3">
    <w:p w14:paraId="64DB323E" w14:textId="34CAB56F" w:rsidR="006F3CDE" w:rsidRPr="00363B10" w:rsidRDefault="006F3CDE" w:rsidP="001F4EB2">
      <w:pPr>
        <w:pStyle w:val="FootnoteText"/>
        <w:rPr>
          <w:sz w:val="18"/>
          <w:szCs w:val="18"/>
          <w:lang w:val="mi-NZ"/>
        </w:rPr>
      </w:pPr>
      <w:r w:rsidRPr="00363B10">
        <w:rPr>
          <w:rStyle w:val="FootnoteReference"/>
          <w:szCs w:val="18"/>
        </w:rPr>
        <w:footnoteRef/>
      </w:r>
      <w:r w:rsidRPr="00363B10">
        <w:rPr>
          <w:sz w:val="18"/>
          <w:szCs w:val="18"/>
        </w:rPr>
        <w:t xml:space="preserve"> </w:t>
      </w:r>
      <w:r w:rsidR="00DD0C0F" w:rsidRPr="00363B10">
        <w:rPr>
          <w:sz w:val="18"/>
          <w:szCs w:val="18"/>
        </w:rPr>
        <w:t xml:space="preserve"> Health Quality &amp; Safety Commission. 2021. </w:t>
      </w:r>
      <w:r w:rsidR="00DD0C0F" w:rsidRPr="00363B10">
        <w:rPr>
          <w:i/>
          <w:iCs/>
          <w:sz w:val="18"/>
          <w:szCs w:val="18"/>
        </w:rPr>
        <w:t>Tauākī Koronga | Statement of Intent 2020</w:t>
      </w:r>
      <w:r w:rsidR="00831D65" w:rsidRPr="00363B10">
        <w:rPr>
          <w:i/>
          <w:iCs/>
          <w:sz w:val="18"/>
          <w:szCs w:val="18"/>
        </w:rPr>
        <w:t>–</w:t>
      </w:r>
      <w:r w:rsidR="00DD0C0F" w:rsidRPr="00363B10">
        <w:rPr>
          <w:i/>
          <w:iCs/>
          <w:sz w:val="18"/>
          <w:szCs w:val="18"/>
        </w:rPr>
        <w:t>24</w:t>
      </w:r>
      <w:r w:rsidR="00DD0C0F" w:rsidRPr="00363B10">
        <w:rPr>
          <w:sz w:val="18"/>
          <w:szCs w:val="18"/>
        </w:rPr>
        <w:t xml:space="preserve">. URL: </w:t>
      </w:r>
      <w:hyperlink r:id="rId2" w:history="1">
        <w:r w:rsidR="001E01F1" w:rsidRPr="00363B10">
          <w:rPr>
            <w:rStyle w:val="Hyperlink"/>
            <w:sz w:val="18"/>
            <w:szCs w:val="18"/>
          </w:rPr>
          <w:t>www.hqsc.govt.nz/resources/resource-library/tauaki-koronga-statement-of-intent-202024</w:t>
        </w:r>
      </w:hyperlink>
      <w:r w:rsidR="00F76D41">
        <w:rPr>
          <w:rStyle w:val="Hyperlink"/>
          <w:sz w:val="18"/>
          <w:szCs w:val="18"/>
        </w:rPr>
        <w:t xml:space="preserve"> </w:t>
      </w:r>
      <w:r w:rsidR="00F76D41">
        <w:rPr>
          <w:sz w:val="18"/>
          <w:szCs w:val="18"/>
        </w:rPr>
        <w:t>(accessed 19 June 2023)</w:t>
      </w:r>
      <w:r w:rsidR="002E4D5C" w:rsidRPr="00363B10">
        <w:rPr>
          <w:sz w:val="18"/>
          <w:szCs w:val="18"/>
        </w:rPr>
        <w:t>.</w:t>
      </w:r>
    </w:p>
  </w:footnote>
  <w:footnote w:id="4">
    <w:p w14:paraId="4823661D" w14:textId="74A8D5D2" w:rsidR="006F3CDE" w:rsidRPr="00363B10" w:rsidRDefault="006F3CDE" w:rsidP="001F4EB2">
      <w:pPr>
        <w:pStyle w:val="FootnoteText"/>
        <w:tabs>
          <w:tab w:val="clear" w:pos="170"/>
          <w:tab w:val="left" w:pos="142"/>
        </w:tabs>
        <w:rPr>
          <w:sz w:val="18"/>
          <w:szCs w:val="18"/>
          <w:lang w:val="mi-NZ"/>
        </w:rPr>
      </w:pPr>
      <w:r w:rsidRPr="00363B10">
        <w:rPr>
          <w:rStyle w:val="FootnoteReference"/>
          <w:szCs w:val="18"/>
        </w:rPr>
        <w:footnoteRef/>
      </w:r>
      <w:r w:rsidRPr="00363B10">
        <w:rPr>
          <w:sz w:val="18"/>
          <w:szCs w:val="18"/>
        </w:rPr>
        <w:t xml:space="preserve"> </w:t>
      </w:r>
      <w:r w:rsidR="00DD0C0F" w:rsidRPr="00363B10">
        <w:rPr>
          <w:sz w:val="18"/>
          <w:szCs w:val="18"/>
        </w:rPr>
        <w:t xml:space="preserve"> </w:t>
      </w:r>
      <w:r w:rsidR="006E5092" w:rsidRPr="00363B10">
        <w:rPr>
          <w:sz w:val="18"/>
          <w:szCs w:val="18"/>
        </w:rPr>
        <w:t xml:space="preserve">Pae Ora (Healthy Futures) Act 2022. URL: </w:t>
      </w:r>
      <w:hyperlink r:id="rId3" w:history="1">
        <w:r w:rsidR="00DD0C0F" w:rsidRPr="00363B10">
          <w:rPr>
            <w:rStyle w:val="Hyperlink"/>
            <w:sz w:val="18"/>
            <w:szCs w:val="18"/>
          </w:rPr>
          <w:t>www.legislation.govt.nz/act/public/2022/0030/latest/LMS575405.html</w:t>
        </w:r>
      </w:hyperlink>
      <w:r w:rsidRPr="00363B10">
        <w:rPr>
          <w:sz w:val="18"/>
          <w:szCs w:val="18"/>
        </w:rPr>
        <w:t xml:space="preserve"> </w:t>
      </w:r>
      <w:r w:rsidR="006E5092" w:rsidRPr="00363B10">
        <w:rPr>
          <w:sz w:val="18"/>
          <w:szCs w:val="18"/>
        </w:rPr>
        <w:t xml:space="preserve">(accessed </w:t>
      </w:r>
      <w:r w:rsidR="00F76D41">
        <w:rPr>
          <w:sz w:val="18"/>
          <w:szCs w:val="18"/>
        </w:rPr>
        <w:t>19 </w:t>
      </w:r>
      <w:r w:rsidR="006E5092" w:rsidRPr="00363B10">
        <w:rPr>
          <w:sz w:val="18"/>
          <w:szCs w:val="18"/>
        </w:rPr>
        <w:t>June 2023)</w:t>
      </w:r>
      <w:r w:rsidR="002E4D5C" w:rsidRPr="00363B10">
        <w:rPr>
          <w:sz w:val="18"/>
          <w:szCs w:val="18"/>
        </w:rPr>
        <w:t>.</w:t>
      </w:r>
    </w:p>
  </w:footnote>
  <w:footnote w:id="5">
    <w:p w14:paraId="11114E77" w14:textId="4FF8342C" w:rsidR="006F3CDE" w:rsidRPr="00363B10" w:rsidRDefault="006F3CDE" w:rsidP="001F4EB2">
      <w:pPr>
        <w:pStyle w:val="FootnoteText"/>
        <w:spacing w:before="0" w:line="240" w:lineRule="auto"/>
        <w:rPr>
          <w:sz w:val="18"/>
          <w:szCs w:val="18"/>
        </w:rPr>
      </w:pPr>
      <w:r w:rsidRPr="00363B10">
        <w:rPr>
          <w:rStyle w:val="FootnoteReference"/>
          <w:rFonts w:cs="Arial"/>
          <w:szCs w:val="18"/>
        </w:rPr>
        <w:footnoteRef/>
      </w:r>
      <w:r w:rsidRPr="00363B10">
        <w:rPr>
          <w:rFonts w:cs="Arial"/>
          <w:sz w:val="18"/>
          <w:szCs w:val="18"/>
        </w:rPr>
        <w:t xml:space="preserve"> </w:t>
      </w:r>
      <w:r w:rsidR="006C1FAF" w:rsidRPr="00363B10">
        <w:rPr>
          <w:rFonts w:cs="Arial"/>
          <w:sz w:val="18"/>
          <w:szCs w:val="18"/>
        </w:rPr>
        <w:t xml:space="preserve"> </w:t>
      </w:r>
      <w:r w:rsidRPr="00363B10">
        <w:rPr>
          <w:sz w:val="18"/>
          <w:szCs w:val="18"/>
        </w:rPr>
        <w:t xml:space="preserve">Dame Karen Poutasi is an experienced director, is currently on the board of Te Whatu Ora and chairs both Taumata Arowai and Kāpuhipuhi/Wellington Uni-Professional. She has held senior management roles in the public service, including as </w:t>
      </w:r>
      <w:r w:rsidR="006E5092" w:rsidRPr="00363B10">
        <w:rPr>
          <w:sz w:val="18"/>
          <w:szCs w:val="18"/>
        </w:rPr>
        <w:t>d</w:t>
      </w:r>
      <w:r w:rsidRPr="00363B10">
        <w:rPr>
          <w:sz w:val="18"/>
          <w:szCs w:val="18"/>
        </w:rPr>
        <w:t>irector-</w:t>
      </w:r>
      <w:r w:rsidR="006E5092" w:rsidRPr="00363B10">
        <w:rPr>
          <w:sz w:val="18"/>
          <w:szCs w:val="18"/>
        </w:rPr>
        <w:t>g</w:t>
      </w:r>
      <w:r w:rsidRPr="00363B10">
        <w:rPr>
          <w:sz w:val="18"/>
          <w:szCs w:val="18"/>
        </w:rPr>
        <w:t>eneral of Health and most recently as chief executive of the New Zealand Qualifications Authority. Her background is as a medical practitioner, specialising in public health medicine.</w:t>
      </w:r>
    </w:p>
  </w:footnote>
  <w:footnote w:id="6">
    <w:p w14:paraId="5FFBDC3B" w14:textId="7FF65359" w:rsidR="006F3CDE" w:rsidRPr="00363B10" w:rsidRDefault="006F3CDE" w:rsidP="001F4EB2">
      <w:pPr>
        <w:pStyle w:val="FootnoteText"/>
        <w:spacing w:before="0" w:line="240" w:lineRule="auto"/>
        <w:rPr>
          <w:sz w:val="18"/>
          <w:szCs w:val="18"/>
        </w:rPr>
      </w:pPr>
      <w:r w:rsidRPr="00363B10">
        <w:rPr>
          <w:sz w:val="18"/>
          <w:szCs w:val="18"/>
          <w:vertAlign w:val="superscript"/>
        </w:rPr>
        <w:footnoteRef/>
      </w:r>
      <w:r w:rsidRPr="00363B10">
        <w:rPr>
          <w:sz w:val="18"/>
          <w:szCs w:val="18"/>
        </w:rPr>
        <w:t xml:space="preserve"> </w:t>
      </w:r>
      <w:r w:rsidR="006C1FAF" w:rsidRPr="00363B10">
        <w:rPr>
          <w:sz w:val="18"/>
          <w:szCs w:val="18"/>
        </w:rPr>
        <w:t xml:space="preserve"> </w:t>
      </w:r>
      <w:r w:rsidRPr="00363B10">
        <w:rPr>
          <w:sz w:val="18"/>
          <w:szCs w:val="18"/>
        </w:rPr>
        <w:t xml:space="preserve">Darrin Sykes </w:t>
      </w:r>
      <w:r w:rsidRPr="00047B50">
        <w:rPr>
          <w:sz w:val="14"/>
          <w:szCs w:val="14"/>
        </w:rPr>
        <w:t>MNZM JP CMInstD</w:t>
      </w:r>
      <w:r w:rsidRPr="00363B10">
        <w:rPr>
          <w:sz w:val="18"/>
          <w:szCs w:val="18"/>
        </w:rPr>
        <w:t xml:space="preserve"> (Ngāti Rangitihi and Ngāti Awa) is currently the deputy chief executive, organisational capability and services at the Department of Internal Affairs Te Tari Taiwhenua. He was most recently the deputy chief executive, organisational services at the Office for Māori Crown Relations – Te Arawhiti. Darrin has worked in the Māori Crown relations space for over 20 years, including as chief executive, Crown Forestry Rental Trust; acting deputy secretary support services, Te Puni Kōkiri; and director, Waitangi Tribunal. Darrin has also held several directorships on governing boards, including as director and chair for a national sporting body for 23 years; Capital &amp; Coast District Health Board </w:t>
      </w:r>
      <w:r w:rsidR="006E5092" w:rsidRPr="00363B10">
        <w:rPr>
          <w:sz w:val="18"/>
          <w:szCs w:val="18"/>
        </w:rPr>
        <w:t>g</w:t>
      </w:r>
      <w:r w:rsidRPr="00363B10">
        <w:rPr>
          <w:sz w:val="18"/>
          <w:szCs w:val="18"/>
        </w:rPr>
        <w:t xml:space="preserve">overnment appointee 2010–19, where he was deputy chair and then chair of the finance, risk and audit committee; and Sport New Zealand board member </w:t>
      </w:r>
      <w:r w:rsidR="006E5092" w:rsidRPr="00363B10">
        <w:rPr>
          <w:sz w:val="18"/>
          <w:szCs w:val="18"/>
        </w:rPr>
        <w:t>g</w:t>
      </w:r>
      <w:r w:rsidRPr="00363B10">
        <w:rPr>
          <w:sz w:val="18"/>
          <w:szCs w:val="18"/>
        </w:rPr>
        <w:t xml:space="preserve">overnment appointee 2013–20. </w:t>
      </w:r>
    </w:p>
  </w:footnote>
  <w:footnote w:id="7">
    <w:p w14:paraId="5C3CBBB1" w14:textId="27E87598" w:rsidR="006F3CDE" w:rsidRPr="00363B10" w:rsidRDefault="006F3CDE" w:rsidP="001F4EB2">
      <w:pPr>
        <w:pStyle w:val="FootnoteText"/>
        <w:spacing w:before="0" w:line="240" w:lineRule="auto"/>
        <w:rPr>
          <w:sz w:val="18"/>
          <w:szCs w:val="18"/>
        </w:rPr>
      </w:pPr>
      <w:r w:rsidRPr="00363B10">
        <w:rPr>
          <w:sz w:val="18"/>
          <w:szCs w:val="18"/>
          <w:vertAlign w:val="superscript"/>
        </w:rPr>
        <w:footnoteRef/>
      </w:r>
      <w:r w:rsidRPr="00363B10">
        <w:rPr>
          <w:sz w:val="18"/>
          <w:szCs w:val="18"/>
        </w:rPr>
        <w:t xml:space="preserve"> </w:t>
      </w:r>
      <w:r w:rsidR="006C1FAF" w:rsidRPr="00363B10">
        <w:rPr>
          <w:sz w:val="18"/>
          <w:szCs w:val="18"/>
        </w:rPr>
        <w:t xml:space="preserve"> </w:t>
      </w:r>
      <w:r w:rsidRPr="00363B10">
        <w:rPr>
          <w:sz w:val="18"/>
          <w:szCs w:val="18"/>
        </w:rPr>
        <w:t>Teresa Wall (Te Rarawa, Te Aupōuri) started her professional life as a nurse specialising in renal care at Wellington regional hospital. She has spent many years as a health official working in central government</w:t>
      </w:r>
      <w:r w:rsidR="006E5092" w:rsidRPr="00363B10">
        <w:rPr>
          <w:sz w:val="18"/>
          <w:szCs w:val="18"/>
        </w:rPr>
        <w:t>,</w:t>
      </w:r>
      <w:r w:rsidRPr="00363B10">
        <w:rPr>
          <w:sz w:val="18"/>
          <w:szCs w:val="18"/>
        </w:rPr>
        <w:t xml:space="preserve"> starting in a policy analyst role</w:t>
      </w:r>
      <w:r w:rsidR="006E5092" w:rsidRPr="00363B10">
        <w:rPr>
          <w:sz w:val="18"/>
          <w:szCs w:val="18"/>
        </w:rPr>
        <w:t xml:space="preserve"> and</w:t>
      </w:r>
      <w:r w:rsidRPr="00363B10">
        <w:rPr>
          <w:sz w:val="18"/>
          <w:szCs w:val="18"/>
        </w:rPr>
        <w:t xml:space="preserve"> progressing to being a member of the Ministry of Health executive team as the </w:t>
      </w:r>
      <w:r w:rsidR="006E5092" w:rsidRPr="00363B10">
        <w:rPr>
          <w:sz w:val="18"/>
          <w:szCs w:val="18"/>
        </w:rPr>
        <w:t>d</w:t>
      </w:r>
      <w:r w:rsidRPr="00363B10">
        <w:rPr>
          <w:sz w:val="18"/>
          <w:szCs w:val="18"/>
        </w:rPr>
        <w:t xml:space="preserve">eputy </w:t>
      </w:r>
      <w:r w:rsidR="006E5092" w:rsidRPr="00363B10">
        <w:rPr>
          <w:sz w:val="18"/>
          <w:szCs w:val="18"/>
        </w:rPr>
        <w:t>d</w:t>
      </w:r>
      <w:r w:rsidRPr="00363B10">
        <w:rPr>
          <w:sz w:val="18"/>
          <w:szCs w:val="18"/>
        </w:rPr>
        <w:t>irector-</w:t>
      </w:r>
      <w:r w:rsidR="006E5092" w:rsidRPr="00363B10">
        <w:rPr>
          <w:sz w:val="18"/>
          <w:szCs w:val="18"/>
        </w:rPr>
        <w:t>g</w:t>
      </w:r>
      <w:r w:rsidRPr="00363B10">
        <w:rPr>
          <w:sz w:val="18"/>
          <w:szCs w:val="18"/>
        </w:rPr>
        <w:t xml:space="preserve">eneral Māori </w:t>
      </w:r>
      <w:r w:rsidR="006E5092" w:rsidRPr="00363B10">
        <w:rPr>
          <w:sz w:val="18"/>
          <w:szCs w:val="18"/>
        </w:rPr>
        <w:t>h</w:t>
      </w:r>
      <w:r w:rsidRPr="00363B10">
        <w:rPr>
          <w:sz w:val="18"/>
          <w:szCs w:val="18"/>
        </w:rPr>
        <w:t xml:space="preserve">ealth as well as serving for a short period as the </w:t>
      </w:r>
      <w:r w:rsidR="006E5092" w:rsidRPr="00363B10">
        <w:rPr>
          <w:sz w:val="18"/>
          <w:szCs w:val="18"/>
        </w:rPr>
        <w:t>d</w:t>
      </w:r>
      <w:r w:rsidRPr="00363B10">
        <w:rPr>
          <w:sz w:val="18"/>
          <w:szCs w:val="18"/>
        </w:rPr>
        <w:t xml:space="preserve">eputy </w:t>
      </w:r>
      <w:r w:rsidR="006E5092" w:rsidRPr="00363B10">
        <w:rPr>
          <w:sz w:val="18"/>
          <w:szCs w:val="18"/>
        </w:rPr>
        <w:t>d</w:t>
      </w:r>
      <w:r w:rsidRPr="00363B10">
        <w:rPr>
          <w:sz w:val="18"/>
          <w:szCs w:val="18"/>
        </w:rPr>
        <w:t>irector-</w:t>
      </w:r>
      <w:r w:rsidR="006E5092" w:rsidRPr="00363B10">
        <w:rPr>
          <w:sz w:val="18"/>
          <w:szCs w:val="18"/>
        </w:rPr>
        <w:t>g</w:t>
      </w:r>
      <w:r w:rsidRPr="00363B10">
        <w:rPr>
          <w:sz w:val="18"/>
          <w:szCs w:val="18"/>
        </w:rPr>
        <w:t xml:space="preserve">eneral of </w:t>
      </w:r>
      <w:r w:rsidR="006E5092" w:rsidRPr="00363B10">
        <w:rPr>
          <w:sz w:val="18"/>
          <w:szCs w:val="18"/>
        </w:rPr>
        <w:t>p</w:t>
      </w:r>
      <w:r w:rsidRPr="00363B10">
        <w:rPr>
          <w:sz w:val="18"/>
          <w:szCs w:val="18"/>
        </w:rPr>
        <w:t xml:space="preserve">olicy and </w:t>
      </w:r>
      <w:r w:rsidR="006E5092" w:rsidRPr="00363B10">
        <w:rPr>
          <w:sz w:val="18"/>
          <w:szCs w:val="18"/>
        </w:rPr>
        <w:t>s</w:t>
      </w:r>
      <w:r w:rsidRPr="00363B10">
        <w:rPr>
          <w:sz w:val="18"/>
          <w:szCs w:val="18"/>
        </w:rPr>
        <w:t xml:space="preserve">trategy. Since leaving the Ministry of Health, as </w:t>
      </w:r>
      <w:r w:rsidR="006E5092" w:rsidRPr="00363B10">
        <w:rPr>
          <w:sz w:val="18"/>
          <w:szCs w:val="18"/>
        </w:rPr>
        <w:t>d</w:t>
      </w:r>
      <w:r w:rsidRPr="00363B10">
        <w:rPr>
          <w:sz w:val="18"/>
          <w:szCs w:val="18"/>
        </w:rPr>
        <w:t>irector of Wall Consultants she has focused on providing consultancy services to organisations to strengthen their Māori health and equity focus.</w:t>
      </w:r>
    </w:p>
  </w:footnote>
  <w:footnote w:id="8">
    <w:p w14:paraId="408D9735" w14:textId="1AD2B226" w:rsidR="000132CB" w:rsidRPr="00363B10" w:rsidRDefault="000132CB" w:rsidP="001F4EB2">
      <w:pPr>
        <w:pStyle w:val="FootnoteText"/>
        <w:spacing w:before="0" w:line="240" w:lineRule="auto"/>
        <w:rPr>
          <w:rFonts w:cs="Arial"/>
          <w:sz w:val="18"/>
          <w:szCs w:val="18"/>
        </w:rPr>
      </w:pPr>
      <w:r w:rsidRPr="00363B10">
        <w:rPr>
          <w:rStyle w:val="FootnoteReference"/>
          <w:rFonts w:cs="Arial"/>
          <w:szCs w:val="18"/>
        </w:rPr>
        <w:footnoteRef/>
      </w:r>
      <w:r w:rsidRPr="00363B10">
        <w:rPr>
          <w:rFonts w:cs="Arial"/>
          <w:sz w:val="18"/>
          <w:szCs w:val="18"/>
        </w:rPr>
        <w:t xml:space="preserve"> Te Tāhū Hauora recognises there are many views about who a ‘health consumer’ is. ‘</w:t>
      </w:r>
      <w:r w:rsidR="00CA4C98" w:rsidRPr="00363B10">
        <w:rPr>
          <w:rFonts w:cs="Arial"/>
          <w:sz w:val="18"/>
          <w:szCs w:val="18"/>
        </w:rPr>
        <w:t>C</w:t>
      </w:r>
      <w:r w:rsidRPr="00363B10">
        <w:rPr>
          <w:rFonts w:cs="Arial"/>
          <w:sz w:val="18"/>
          <w:szCs w:val="18"/>
        </w:rPr>
        <w:t>onsumer’</w:t>
      </w:r>
      <w:r w:rsidR="00CA4C98" w:rsidRPr="00363B10">
        <w:rPr>
          <w:rFonts w:cs="Arial"/>
          <w:sz w:val="18"/>
          <w:szCs w:val="18"/>
        </w:rPr>
        <w:t xml:space="preserve"> </w:t>
      </w:r>
      <w:r w:rsidRPr="00363B10">
        <w:rPr>
          <w:rFonts w:cs="Arial"/>
          <w:sz w:val="18"/>
          <w:szCs w:val="18"/>
        </w:rPr>
        <w:t>refer</w:t>
      </w:r>
      <w:r w:rsidR="00CA4C98" w:rsidRPr="00363B10">
        <w:rPr>
          <w:rFonts w:cs="Arial"/>
          <w:sz w:val="18"/>
          <w:szCs w:val="18"/>
        </w:rPr>
        <w:t>s</w:t>
      </w:r>
      <w:r w:rsidRPr="00363B10">
        <w:rPr>
          <w:rFonts w:cs="Arial"/>
          <w:sz w:val="18"/>
          <w:szCs w:val="18"/>
        </w:rPr>
        <w:t xml:space="preserve"> to anyone who has used, is currently using or is likely to use a health service. This includes but is not limited to individuals, community members, whānau and family, carers, patients and tangata whaiora. It includes voices of Māori, Pacific peoples, disabled people, migrants, refugees, rainbow communities and people living in rural areas.</w:t>
      </w:r>
    </w:p>
  </w:footnote>
  <w:footnote w:id="9">
    <w:p w14:paraId="341C338C" w14:textId="2758DEA6" w:rsidR="000132CB" w:rsidRPr="00363B10" w:rsidRDefault="000132CB" w:rsidP="001F4EB2">
      <w:pPr>
        <w:pStyle w:val="FootnoteText"/>
        <w:spacing w:before="0" w:line="240" w:lineRule="auto"/>
        <w:rPr>
          <w:rFonts w:cs="Arial"/>
          <w:sz w:val="18"/>
          <w:szCs w:val="18"/>
        </w:rPr>
      </w:pPr>
      <w:r w:rsidRPr="00363B10">
        <w:rPr>
          <w:rStyle w:val="FootnoteReference"/>
          <w:rFonts w:cs="Arial"/>
          <w:szCs w:val="18"/>
        </w:rPr>
        <w:footnoteRef/>
      </w:r>
      <w:r w:rsidRPr="00363B10">
        <w:rPr>
          <w:rFonts w:cs="Arial"/>
          <w:sz w:val="18"/>
          <w:szCs w:val="18"/>
        </w:rPr>
        <w:t xml:space="preserve"> The term ‘whānau’ can include the direct family group, the extended family group, the primary unit of support and, sometimes, friends with no kinship ties to other members. It is a concept that supports inclusive relationships between people. Whanaungatanga is an active expression of whānau, conveying connection and a sense of belonging through close relationships with each other. It is up to the consumer and those closest to</w:t>
      </w:r>
      <w:r w:rsidR="00F41FA6">
        <w:rPr>
          <w:rFonts w:cs="Arial"/>
          <w:sz w:val="18"/>
          <w:szCs w:val="18"/>
        </w:rPr>
        <w:t xml:space="preserve"> </w:t>
      </w:r>
      <w:r w:rsidRPr="00363B10">
        <w:rPr>
          <w:rFonts w:cs="Arial"/>
          <w:sz w:val="18"/>
          <w:szCs w:val="18"/>
        </w:rPr>
        <w:t xml:space="preserve">them to communicate who is in their ‘whānau’. It is important that health staff never assume who is in or outside of the consumer’s whānau.  </w:t>
      </w:r>
    </w:p>
  </w:footnote>
  <w:footnote w:id="10">
    <w:p w14:paraId="38F242F9" w14:textId="77777777" w:rsidR="000132CB" w:rsidRPr="00363B10" w:rsidRDefault="000132CB" w:rsidP="001F4EB2">
      <w:pPr>
        <w:pStyle w:val="FootnoteText"/>
        <w:spacing w:before="0" w:line="240" w:lineRule="auto"/>
        <w:rPr>
          <w:rFonts w:cs="Arial"/>
          <w:sz w:val="18"/>
          <w:szCs w:val="18"/>
        </w:rPr>
      </w:pPr>
      <w:r w:rsidRPr="00363B10">
        <w:rPr>
          <w:rStyle w:val="FootnoteReference"/>
          <w:rFonts w:cs="Arial"/>
          <w:szCs w:val="18"/>
        </w:rPr>
        <w:footnoteRef/>
      </w:r>
      <w:r w:rsidRPr="00363B10">
        <w:rPr>
          <w:rFonts w:cs="Arial"/>
          <w:sz w:val="18"/>
          <w:szCs w:val="18"/>
        </w:rPr>
        <w:t xml:space="preserve"> Health and Disability System Review. 2020. </w:t>
      </w:r>
      <w:r w:rsidRPr="00363B10">
        <w:rPr>
          <w:rFonts w:cs="Arial"/>
          <w:i/>
          <w:iCs/>
          <w:sz w:val="18"/>
          <w:szCs w:val="18"/>
        </w:rPr>
        <w:t>Health and Disability System Review – Final Report – Pūrongo Whakamutunga</w:t>
      </w:r>
      <w:r w:rsidRPr="00363B10">
        <w:rPr>
          <w:rFonts w:cs="Arial"/>
          <w:sz w:val="18"/>
          <w:szCs w:val="18"/>
        </w:rPr>
        <w:t xml:space="preserve">. Wellington: Health and Disability System Review. URL: </w:t>
      </w:r>
      <w:hyperlink r:id="rId4" w:history="1">
        <w:r w:rsidRPr="00363B10">
          <w:rPr>
            <w:rStyle w:val="Hyperlink"/>
            <w:rFonts w:cs="Arial"/>
            <w:sz w:val="18"/>
            <w:szCs w:val="18"/>
          </w:rPr>
          <w:t>www.health.govt.nz/new-zealand-health-system/overview-health-system/health-and-disability-system-reforms/health-and-disability-system-review</w:t>
        </w:r>
      </w:hyperlink>
      <w:r w:rsidRPr="00363B10">
        <w:rPr>
          <w:rFonts w:cs="Arial"/>
          <w:sz w:val="18"/>
          <w:szCs w:val="18"/>
        </w:rPr>
        <w:t xml:space="preserve"> (accessed 20 April 2023).</w:t>
      </w:r>
    </w:p>
  </w:footnote>
  <w:footnote w:id="11">
    <w:p w14:paraId="62850229" w14:textId="77777777" w:rsidR="00C7444D" w:rsidRPr="00363B10" w:rsidRDefault="00C7444D" w:rsidP="001F4EB2">
      <w:pPr>
        <w:pStyle w:val="FootnoteText"/>
        <w:spacing w:before="0" w:line="240" w:lineRule="auto"/>
        <w:rPr>
          <w:rFonts w:cs="Arial"/>
          <w:sz w:val="18"/>
          <w:szCs w:val="18"/>
        </w:rPr>
      </w:pPr>
      <w:r w:rsidRPr="00363B10">
        <w:rPr>
          <w:rStyle w:val="FootnoteReference"/>
          <w:rFonts w:cs="Arial"/>
          <w:szCs w:val="18"/>
        </w:rPr>
        <w:footnoteRef/>
      </w:r>
      <w:r w:rsidRPr="00363B10">
        <w:rPr>
          <w:rFonts w:cs="Arial"/>
          <w:sz w:val="18"/>
          <w:szCs w:val="18"/>
        </w:rPr>
        <w:t xml:space="preserve"> Under the New Zealand Public Health and Disability Act, in the 2010 amendments.</w:t>
      </w:r>
    </w:p>
  </w:footnote>
  <w:footnote w:id="12">
    <w:p w14:paraId="5C0D18A1" w14:textId="39FAC728" w:rsidR="00166F88" w:rsidRPr="00363B10" w:rsidRDefault="00166F88" w:rsidP="001F4EB2">
      <w:pPr>
        <w:pStyle w:val="FootnoteText"/>
        <w:spacing w:line="240" w:lineRule="auto"/>
        <w:rPr>
          <w:rFonts w:cs="Arial"/>
          <w:sz w:val="18"/>
          <w:szCs w:val="18"/>
        </w:rPr>
      </w:pPr>
      <w:r w:rsidRPr="00363B10">
        <w:rPr>
          <w:rStyle w:val="FootnoteReference"/>
          <w:rFonts w:cs="Arial"/>
          <w:szCs w:val="18"/>
        </w:rPr>
        <w:footnoteRef/>
      </w:r>
      <w:r w:rsidRPr="00363B10">
        <w:rPr>
          <w:rFonts w:cs="Arial"/>
          <w:sz w:val="18"/>
          <w:szCs w:val="18"/>
        </w:rPr>
        <w:t xml:space="preserve"> </w:t>
      </w:r>
      <w:r w:rsidR="006E5092" w:rsidRPr="008E45EB">
        <w:rPr>
          <w:rFonts w:cs="Arial"/>
          <w:sz w:val="18"/>
          <w:szCs w:val="18"/>
        </w:rPr>
        <w:t xml:space="preserve">Health Quality &amp; Safety Commission. 2017. </w:t>
      </w:r>
      <w:r w:rsidR="00F00236" w:rsidRPr="0062336A">
        <w:rPr>
          <w:rFonts w:cs="Arial"/>
          <w:i/>
          <w:iCs/>
          <w:sz w:val="18"/>
          <w:szCs w:val="18"/>
        </w:rPr>
        <w:t>Quality improvement: no quality without equity?</w:t>
      </w:r>
      <w:r w:rsidR="008D149C" w:rsidRPr="008E45EB">
        <w:rPr>
          <w:rFonts w:cs="Arial"/>
          <w:sz w:val="18"/>
          <w:szCs w:val="18"/>
        </w:rPr>
        <w:t xml:space="preserve"> </w:t>
      </w:r>
      <w:r w:rsidR="008E45EB">
        <w:rPr>
          <w:rFonts w:cs="Arial"/>
          <w:sz w:val="18"/>
          <w:szCs w:val="18"/>
        </w:rPr>
        <w:t xml:space="preserve">Wellington: </w:t>
      </w:r>
      <w:r w:rsidR="008E45EB" w:rsidRPr="008E45EB">
        <w:rPr>
          <w:rFonts w:cs="Arial"/>
          <w:sz w:val="18"/>
          <w:szCs w:val="18"/>
        </w:rPr>
        <w:t>Health Quality &amp; Safety Commission</w:t>
      </w:r>
      <w:r w:rsidR="008E45EB">
        <w:rPr>
          <w:rFonts w:cs="Arial"/>
          <w:sz w:val="18"/>
          <w:szCs w:val="18"/>
        </w:rPr>
        <w:t>.</w:t>
      </w:r>
      <w:r w:rsidR="008E45EB" w:rsidRPr="008E45EB">
        <w:rPr>
          <w:rFonts w:cs="Arial"/>
          <w:sz w:val="18"/>
          <w:szCs w:val="18"/>
        </w:rPr>
        <w:t xml:space="preserve"> </w:t>
      </w:r>
      <w:r w:rsidR="006E5092" w:rsidRPr="008E45EB">
        <w:rPr>
          <w:rFonts w:cs="Arial"/>
          <w:sz w:val="18"/>
          <w:szCs w:val="18"/>
        </w:rPr>
        <w:t xml:space="preserve">URL: </w:t>
      </w:r>
      <w:r w:rsidR="008E45EB" w:rsidRPr="0062336A">
        <w:rPr>
          <w:sz w:val="18"/>
          <w:szCs w:val="18"/>
        </w:rPr>
        <w:t>www.hqsc.govt.nz/assets/Our-data/Publications-resources/Quality-improvement-no-quality-without-equity.pdf</w:t>
      </w:r>
      <w:r w:rsidR="004C226D" w:rsidRPr="008E45EB">
        <w:rPr>
          <w:rFonts w:cs="Arial"/>
          <w:sz w:val="18"/>
          <w:szCs w:val="18"/>
        </w:rPr>
        <w:t xml:space="preserve"> </w:t>
      </w:r>
      <w:r w:rsidR="00F76D41" w:rsidRPr="008E45EB">
        <w:rPr>
          <w:sz w:val="18"/>
          <w:szCs w:val="18"/>
        </w:rPr>
        <w:t>(accessed 19 June 2023).</w:t>
      </w:r>
    </w:p>
  </w:footnote>
  <w:footnote w:id="13">
    <w:p w14:paraId="789FCCF5" w14:textId="515D83FB" w:rsidR="00A53E99" w:rsidRPr="00363B10" w:rsidRDefault="00A53E99" w:rsidP="001F4EB2">
      <w:pPr>
        <w:pStyle w:val="FootnoteText"/>
        <w:rPr>
          <w:sz w:val="18"/>
          <w:szCs w:val="18"/>
        </w:rPr>
      </w:pPr>
      <w:r w:rsidRPr="00363B10">
        <w:rPr>
          <w:rStyle w:val="FootnoteReference"/>
          <w:szCs w:val="18"/>
        </w:rPr>
        <w:footnoteRef/>
      </w:r>
      <w:r w:rsidRPr="00363B10">
        <w:rPr>
          <w:sz w:val="18"/>
          <w:szCs w:val="18"/>
        </w:rPr>
        <w:t xml:space="preserve"> </w:t>
      </w:r>
      <w:r w:rsidR="006E5092" w:rsidRPr="00363B10">
        <w:rPr>
          <w:sz w:val="18"/>
          <w:szCs w:val="18"/>
        </w:rPr>
        <w:t xml:space="preserve">Health Quality &amp; Safety Commission. 2022. Te tikanga mō te mahi tahi a ngā hinonga hauora ki ngā kiritaki me ngā whānau | Code of expectations for health entities’ engagement with consumers and whānau. </w:t>
      </w:r>
      <w:r w:rsidR="001917D5">
        <w:rPr>
          <w:sz w:val="18"/>
          <w:szCs w:val="18"/>
        </w:rPr>
        <w:t xml:space="preserve">Wellington: </w:t>
      </w:r>
      <w:r w:rsidR="001917D5" w:rsidRPr="008E45EB">
        <w:rPr>
          <w:rFonts w:cs="Arial"/>
          <w:sz w:val="18"/>
          <w:szCs w:val="18"/>
        </w:rPr>
        <w:t>Health Quality &amp; Safety Commission</w:t>
      </w:r>
      <w:r w:rsidR="001917D5">
        <w:rPr>
          <w:rFonts w:cs="Arial"/>
          <w:sz w:val="18"/>
          <w:szCs w:val="18"/>
        </w:rPr>
        <w:t>.</w:t>
      </w:r>
      <w:r w:rsidR="001917D5" w:rsidRPr="00363B10">
        <w:rPr>
          <w:sz w:val="18"/>
          <w:szCs w:val="18"/>
        </w:rPr>
        <w:t xml:space="preserve"> </w:t>
      </w:r>
      <w:r w:rsidR="006E5092" w:rsidRPr="00363B10">
        <w:rPr>
          <w:sz w:val="18"/>
          <w:szCs w:val="18"/>
        </w:rPr>
        <w:t xml:space="preserve">URL: </w:t>
      </w:r>
      <w:hyperlink r:id="rId5" w:history="1">
        <w:r w:rsidR="006E5092" w:rsidRPr="00363B10">
          <w:rPr>
            <w:rStyle w:val="Hyperlink"/>
            <w:sz w:val="18"/>
            <w:szCs w:val="18"/>
            <w:lang w:val="mi-NZ"/>
          </w:rPr>
          <w:t>www.hqsc.govt.nz/consumer-hub/engaging-consumers-and-whanau/code-of-expectations-for-health-entities-engagement-with-consumers-and-whanau/</w:t>
        </w:r>
      </w:hyperlink>
      <w:r w:rsidRPr="00363B10">
        <w:rPr>
          <w:sz w:val="18"/>
          <w:szCs w:val="18"/>
          <w:lang w:val="mi-NZ"/>
        </w:rPr>
        <w:t xml:space="preserve"> </w:t>
      </w:r>
      <w:r w:rsidR="00F76D41">
        <w:rPr>
          <w:sz w:val="18"/>
          <w:szCs w:val="18"/>
        </w:rPr>
        <w:t>(accessed 19 June 2023).</w:t>
      </w:r>
    </w:p>
  </w:footnote>
  <w:footnote w:id="14">
    <w:p w14:paraId="7D97D6D7" w14:textId="429D2F98" w:rsidR="00637EAE" w:rsidRPr="00363B10" w:rsidRDefault="00637EAE" w:rsidP="001F4EB2">
      <w:pPr>
        <w:pStyle w:val="FootnoteText"/>
        <w:rPr>
          <w:sz w:val="18"/>
          <w:szCs w:val="18"/>
          <w:lang w:val="mi-NZ"/>
        </w:rPr>
      </w:pPr>
      <w:r w:rsidRPr="00363B10">
        <w:rPr>
          <w:rStyle w:val="FootnoteReference"/>
          <w:szCs w:val="18"/>
        </w:rPr>
        <w:footnoteRef/>
      </w:r>
      <w:r w:rsidRPr="00363B10">
        <w:rPr>
          <w:sz w:val="18"/>
          <w:szCs w:val="18"/>
        </w:rPr>
        <w:t xml:space="preserve"> </w:t>
      </w:r>
      <w:r w:rsidR="00720DC5" w:rsidRPr="00363B10">
        <w:rPr>
          <w:sz w:val="18"/>
          <w:szCs w:val="18"/>
        </w:rPr>
        <w:t xml:space="preserve">Health Quality &amp; Safety Commission. </w:t>
      </w:r>
      <w:r w:rsidR="000F082E" w:rsidRPr="00363B10">
        <w:rPr>
          <w:sz w:val="18"/>
          <w:szCs w:val="18"/>
        </w:rPr>
        <w:t xml:space="preserve">Te Kounga o te tauwhiro hauora | </w:t>
      </w:r>
      <w:bookmarkStart w:id="14" w:name="_Hlk136521671"/>
      <w:r w:rsidR="00B821A5" w:rsidRPr="00363B10">
        <w:rPr>
          <w:sz w:val="18"/>
          <w:szCs w:val="18"/>
        </w:rPr>
        <w:t xml:space="preserve">Window on the quality of health care. URL: </w:t>
      </w:r>
      <w:hyperlink r:id="rId6" w:history="1">
        <w:r w:rsidR="00F76D41" w:rsidRPr="00E03C78">
          <w:rPr>
            <w:rStyle w:val="Hyperlink"/>
            <w:sz w:val="18"/>
            <w:szCs w:val="18"/>
          </w:rPr>
          <w:t>www.hqsc.govt.nz/our-data/window-on-the-quality-of-health-care</w:t>
        </w:r>
      </w:hyperlink>
      <w:r w:rsidR="00F76D41">
        <w:rPr>
          <w:sz w:val="18"/>
          <w:szCs w:val="18"/>
        </w:rPr>
        <w:t xml:space="preserve"> (accessed 19 June 2023)</w:t>
      </w:r>
      <w:r w:rsidR="00B821A5" w:rsidRPr="00363B10">
        <w:rPr>
          <w:sz w:val="18"/>
          <w:szCs w:val="18"/>
        </w:rPr>
        <w:t>.</w:t>
      </w:r>
      <w:r w:rsidR="00B821A5" w:rsidRPr="00363B10" w:rsidDel="000E43C3">
        <w:rPr>
          <w:sz w:val="18"/>
          <w:szCs w:val="18"/>
        </w:rPr>
        <w:t xml:space="preserve"> </w:t>
      </w:r>
      <w:r w:rsidR="00B821A5" w:rsidRPr="00363B10">
        <w:rPr>
          <w:sz w:val="18"/>
          <w:szCs w:val="18"/>
        </w:rPr>
        <w:t xml:space="preserve">See: </w:t>
      </w:r>
      <w:r w:rsidRPr="0062336A">
        <w:rPr>
          <w:i/>
          <w:iCs/>
          <w:sz w:val="18"/>
          <w:szCs w:val="18"/>
        </w:rPr>
        <w:t>A window on quality 2021: COVID-19 and impacts on our broader health system</w:t>
      </w:r>
      <w:r w:rsidRPr="00363B10">
        <w:rPr>
          <w:sz w:val="18"/>
          <w:szCs w:val="18"/>
        </w:rPr>
        <w:t xml:space="preserve"> – Part 1</w:t>
      </w:r>
      <w:r w:rsidR="008420A4" w:rsidRPr="00363B10">
        <w:rPr>
          <w:sz w:val="18"/>
          <w:szCs w:val="18"/>
        </w:rPr>
        <w:t xml:space="preserve"> and Part 2</w:t>
      </w:r>
      <w:r w:rsidR="0064212B" w:rsidRPr="00363B10">
        <w:rPr>
          <w:sz w:val="18"/>
          <w:szCs w:val="18"/>
        </w:rPr>
        <w:t xml:space="preserve">; and </w:t>
      </w:r>
      <w:r w:rsidR="002E1333" w:rsidRPr="0062336A">
        <w:rPr>
          <w:i/>
          <w:iCs/>
          <w:sz w:val="18"/>
          <w:szCs w:val="18"/>
        </w:rPr>
        <w:t>Bula Sautu – A window on quality 2021: Pacific health in the year of COVID-19</w:t>
      </w:r>
      <w:r w:rsidR="00B821A5" w:rsidRPr="00363B10">
        <w:rPr>
          <w:sz w:val="18"/>
          <w:szCs w:val="18"/>
        </w:rPr>
        <w:t>.</w:t>
      </w:r>
      <w:bookmarkEnd w:id="14"/>
      <w:r w:rsidR="00CE709E" w:rsidRPr="00363B10">
        <w:rPr>
          <w:sz w:val="18"/>
          <w:szCs w:val="18"/>
        </w:rPr>
        <w:t xml:space="preserve"> </w:t>
      </w:r>
    </w:p>
  </w:footnote>
  <w:footnote w:id="15">
    <w:p w14:paraId="287B44E4" w14:textId="5966DF5C" w:rsidR="00C3772F" w:rsidRPr="00363B10" w:rsidRDefault="00C3772F" w:rsidP="001F4EB2">
      <w:pPr>
        <w:pStyle w:val="FootnoteText"/>
        <w:rPr>
          <w:sz w:val="18"/>
          <w:szCs w:val="18"/>
          <w:lang w:val="mi-NZ"/>
        </w:rPr>
      </w:pPr>
      <w:r w:rsidRPr="00363B10">
        <w:rPr>
          <w:rStyle w:val="FootnoteReference"/>
          <w:szCs w:val="18"/>
        </w:rPr>
        <w:footnoteRef/>
      </w:r>
      <w:r w:rsidRPr="00363B10">
        <w:rPr>
          <w:sz w:val="18"/>
          <w:szCs w:val="18"/>
        </w:rPr>
        <w:t xml:space="preserve"> </w:t>
      </w:r>
      <w:r w:rsidR="00FD42A8" w:rsidRPr="00363B10">
        <w:rPr>
          <w:sz w:val="18"/>
          <w:szCs w:val="18"/>
        </w:rPr>
        <w:t>Te Tāhū Hauora Health Quality &amp; Safety Commission. 2021. Mapi Hauora Kē | Atlas of Healthcare Variation.</w:t>
      </w:r>
      <w:r w:rsidR="00FD42A8" w:rsidRPr="00363B10">
        <w:rPr>
          <w:sz w:val="18"/>
          <w:szCs w:val="18"/>
          <w:lang w:val="mi-NZ"/>
        </w:rPr>
        <w:t xml:space="preserve"> URL:</w:t>
      </w:r>
      <w:r w:rsidRPr="00363B10">
        <w:rPr>
          <w:sz w:val="18"/>
          <w:szCs w:val="18"/>
          <w:lang w:val="mi-NZ"/>
        </w:rPr>
        <w:t xml:space="preserve"> </w:t>
      </w:r>
      <w:hyperlink r:id="rId7" w:history="1">
        <w:r w:rsidR="00B821A5" w:rsidRPr="00363B10">
          <w:rPr>
            <w:rStyle w:val="Hyperlink"/>
            <w:sz w:val="18"/>
            <w:szCs w:val="18"/>
            <w:lang w:val="mi-NZ"/>
          </w:rPr>
          <w:t>www.hqsc.govt.nz/our-data/atlas-of-healthcare-variation</w:t>
        </w:r>
      </w:hyperlink>
      <w:r w:rsidR="00CE709E" w:rsidRPr="00363B10">
        <w:rPr>
          <w:sz w:val="18"/>
          <w:szCs w:val="18"/>
          <w:lang w:val="mi-NZ"/>
        </w:rPr>
        <w:t xml:space="preserve"> </w:t>
      </w:r>
      <w:r w:rsidR="00F76D41">
        <w:rPr>
          <w:sz w:val="18"/>
          <w:szCs w:val="18"/>
        </w:rPr>
        <w:t>(accessed 19 June 2023).</w:t>
      </w:r>
    </w:p>
  </w:footnote>
  <w:footnote w:id="16">
    <w:p w14:paraId="0D91CE55" w14:textId="67EE7E42" w:rsidR="003257E9" w:rsidRPr="00363B10" w:rsidRDefault="003257E9" w:rsidP="001F4EB2">
      <w:pPr>
        <w:pStyle w:val="FootnoteText"/>
        <w:rPr>
          <w:sz w:val="18"/>
          <w:szCs w:val="18"/>
          <w:lang w:val="mi-NZ"/>
        </w:rPr>
      </w:pPr>
      <w:r w:rsidRPr="00363B10">
        <w:rPr>
          <w:rStyle w:val="FootnoteReference"/>
          <w:szCs w:val="18"/>
        </w:rPr>
        <w:footnoteRef/>
      </w:r>
      <w:r w:rsidRPr="00363B10">
        <w:rPr>
          <w:sz w:val="18"/>
          <w:szCs w:val="18"/>
        </w:rPr>
        <w:t xml:space="preserve"> </w:t>
      </w:r>
      <w:r w:rsidR="00B821A5" w:rsidRPr="00363B10">
        <w:rPr>
          <w:sz w:val="18"/>
          <w:szCs w:val="18"/>
        </w:rPr>
        <w:t xml:space="preserve">Te Tāhū Hauora Health Quality &amp; Safety Commission. </w:t>
      </w:r>
      <w:r w:rsidR="00FD42A8" w:rsidRPr="00363B10">
        <w:rPr>
          <w:sz w:val="18"/>
          <w:szCs w:val="18"/>
        </w:rPr>
        <w:t xml:space="preserve">(nd.) </w:t>
      </w:r>
      <w:r w:rsidR="00B821A5" w:rsidRPr="00363B10">
        <w:rPr>
          <w:sz w:val="18"/>
          <w:szCs w:val="18"/>
        </w:rPr>
        <w:t>Ngā rongoā | Medicines.</w:t>
      </w:r>
      <w:r w:rsidR="00B821A5" w:rsidRPr="00363B10">
        <w:rPr>
          <w:sz w:val="18"/>
          <w:szCs w:val="18"/>
          <w:lang w:val="mi-NZ"/>
        </w:rPr>
        <w:t xml:space="preserve"> URL:</w:t>
      </w:r>
      <w:r w:rsidRPr="00363B10">
        <w:rPr>
          <w:sz w:val="18"/>
          <w:szCs w:val="18"/>
          <w:lang w:val="mi-NZ"/>
        </w:rPr>
        <w:t xml:space="preserve"> </w:t>
      </w:r>
      <w:hyperlink r:id="rId8" w:history="1">
        <w:r w:rsidR="00B821A5" w:rsidRPr="00363B10">
          <w:rPr>
            <w:rStyle w:val="Hyperlink"/>
            <w:sz w:val="18"/>
            <w:szCs w:val="18"/>
            <w:lang w:val="mi-NZ"/>
          </w:rPr>
          <w:t>www.hqsc.govt.nz/our-work/system-safety/reducing-harm/medicines</w:t>
        </w:r>
      </w:hyperlink>
      <w:r w:rsidRPr="00363B10">
        <w:rPr>
          <w:sz w:val="18"/>
          <w:szCs w:val="18"/>
          <w:lang w:val="mi-NZ"/>
        </w:rPr>
        <w:t xml:space="preserve"> </w:t>
      </w:r>
      <w:r w:rsidR="00F76D41">
        <w:rPr>
          <w:sz w:val="18"/>
          <w:szCs w:val="18"/>
        </w:rPr>
        <w:t>(accessed 19 June 2023).</w:t>
      </w:r>
    </w:p>
  </w:footnote>
  <w:footnote w:id="17">
    <w:p w14:paraId="1944A913" w14:textId="64F7A45B" w:rsidR="00CE709E" w:rsidRPr="00363B10" w:rsidRDefault="00CE709E" w:rsidP="001F4EB2">
      <w:pPr>
        <w:pStyle w:val="FootnoteText"/>
        <w:rPr>
          <w:sz w:val="18"/>
          <w:szCs w:val="18"/>
          <w:lang w:val="mi-NZ"/>
        </w:rPr>
      </w:pPr>
      <w:r w:rsidRPr="00363B10">
        <w:rPr>
          <w:rStyle w:val="FootnoteReference"/>
          <w:szCs w:val="18"/>
        </w:rPr>
        <w:footnoteRef/>
      </w:r>
      <w:r w:rsidRPr="00363B10">
        <w:rPr>
          <w:sz w:val="18"/>
          <w:szCs w:val="18"/>
        </w:rPr>
        <w:t xml:space="preserve"> </w:t>
      </w:r>
      <w:r w:rsidR="00B821A5" w:rsidRPr="00363B10">
        <w:rPr>
          <w:sz w:val="18"/>
          <w:szCs w:val="18"/>
        </w:rPr>
        <w:t>Te Tāhū Hauora Health Quality &amp; Safety Commission. He ara aupiki, he ara auheke | Patient experience. URL:</w:t>
      </w:r>
      <w:r w:rsidRPr="00363B10">
        <w:rPr>
          <w:sz w:val="18"/>
          <w:szCs w:val="18"/>
        </w:rPr>
        <w:t xml:space="preserve"> </w:t>
      </w:r>
      <w:hyperlink r:id="rId9" w:history="1">
        <w:r w:rsidR="00B821A5" w:rsidRPr="00363B10">
          <w:rPr>
            <w:rStyle w:val="Hyperlink"/>
            <w:sz w:val="18"/>
            <w:szCs w:val="18"/>
          </w:rPr>
          <w:t>www.hqsc.govt.nz/our-data/patient-experience</w:t>
        </w:r>
      </w:hyperlink>
      <w:r w:rsidRPr="00363B10">
        <w:rPr>
          <w:sz w:val="18"/>
          <w:szCs w:val="18"/>
        </w:rPr>
        <w:t xml:space="preserve"> </w:t>
      </w:r>
      <w:r w:rsidR="00F76D41">
        <w:rPr>
          <w:sz w:val="18"/>
          <w:szCs w:val="18"/>
        </w:rPr>
        <w:t>(accessed 19 June 2023).</w:t>
      </w:r>
    </w:p>
  </w:footnote>
  <w:footnote w:id="18">
    <w:p w14:paraId="5260FD92" w14:textId="5FA955EE" w:rsidR="007D3DD5" w:rsidRPr="00363B10" w:rsidRDefault="007D3DD5" w:rsidP="001F4EB2">
      <w:pPr>
        <w:pStyle w:val="FootnoteText"/>
        <w:rPr>
          <w:sz w:val="18"/>
          <w:szCs w:val="18"/>
          <w:lang w:val="mi-NZ"/>
        </w:rPr>
      </w:pPr>
      <w:r w:rsidRPr="00363B10">
        <w:rPr>
          <w:rStyle w:val="FootnoteReference"/>
          <w:szCs w:val="18"/>
        </w:rPr>
        <w:footnoteRef/>
      </w:r>
      <w:r w:rsidRPr="00363B10">
        <w:rPr>
          <w:sz w:val="18"/>
          <w:szCs w:val="18"/>
        </w:rPr>
        <w:t xml:space="preserve"> </w:t>
      </w:r>
      <w:r w:rsidR="00B821A5" w:rsidRPr="00363B10">
        <w:rPr>
          <w:sz w:val="18"/>
          <w:szCs w:val="18"/>
        </w:rPr>
        <w:t xml:space="preserve">Te Tāhū Hauora Health Quality &amp; Safety Commission. 2023. </w:t>
      </w:r>
      <w:r w:rsidR="00B821A5" w:rsidRPr="0062336A">
        <w:rPr>
          <w:i/>
          <w:iCs/>
          <w:sz w:val="18"/>
          <w:szCs w:val="18"/>
        </w:rPr>
        <w:t>COVID-19 care in the community system learning opportunities | K</w:t>
      </w:r>
      <w:r w:rsidR="00B821A5" w:rsidRPr="0062336A">
        <w:rPr>
          <w:rFonts w:cs="Arial"/>
          <w:i/>
          <w:iCs/>
          <w:sz w:val="18"/>
          <w:szCs w:val="18"/>
        </w:rPr>
        <w:t>Ō</w:t>
      </w:r>
      <w:r w:rsidR="00B821A5" w:rsidRPr="0062336A">
        <w:rPr>
          <w:i/>
          <w:iCs/>
          <w:sz w:val="18"/>
          <w:szCs w:val="18"/>
        </w:rPr>
        <w:t>WHEORI-19 he whai wāhi hei ako pūnaha manaaki i te hapori</w:t>
      </w:r>
      <w:r w:rsidR="00B821A5" w:rsidRPr="00363B10">
        <w:rPr>
          <w:sz w:val="18"/>
          <w:szCs w:val="18"/>
        </w:rPr>
        <w:t xml:space="preserve">. URL: </w:t>
      </w:r>
      <w:hyperlink r:id="rId10" w:history="1">
        <w:r w:rsidR="00B821A5" w:rsidRPr="00363B10">
          <w:rPr>
            <w:rStyle w:val="Hyperlink"/>
            <w:sz w:val="18"/>
            <w:szCs w:val="18"/>
          </w:rPr>
          <w:t>www.hqsc.govt.nz/resources/resource-library/covid-19-care-in-the-community-system-learning-opportunities-kowheori-19-he-whai-wahi-hei-ako-punaha-manaaki-i-te-hapori</w:t>
        </w:r>
      </w:hyperlink>
      <w:r w:rsidR="00F76D41">
        <w:rPr>
          <w:rStyle w:val="Hyperlink"/>
          <w:sz w:val="18"/>
          <w:szCs w:val="18"/>
        </w:rPr>
        <w:t xml:space="preserve"> </w:t>
      </w:r>
      <w:r w:rsidR="00F76D41">
        <w:rPr>
          <w:sz w:val="18"/>
          <w:szCs w:val="18"/>
        </w:rPr>
        <w:t>(accessed 19 June 2023).</w:t>
      </w:r>
    </w:p>
  </w:footnote>
  <w:footnote w:id="19">
    <w:p w14:paraId="3875FDBB" w14:textId="1FCFCEEC" w:rsidR="00653996" w:rsidRPr="00363B10" w:rsidRDefault="00653996" w:rsidP="001F4EB2">
      <w:pPr>
        <w:spacing w:after="60"/>
        <w:ind w:hanging="170"/>
        <w:rPr>
          <w:sz w:val="18"/>
          <w:szCs w:val="18"/>
          <w:lang w:val="mi-NZ"/>
        </w:rPr>
      </w:pPr>
      <w:r w:rsidRPr="00363B10">
        <w:rPr>
          <w:rStyle w:val="FootnoteReference"/>
          <w:szCs w:val="18"/>
        </w:rPr>
        <w:footnoteRef/>
      </w:r>
      <w:r w:rsidRPr="00363B10">
        <w:rPr>
          <w:sz w:val="18"/>
          <w:szCs w:val="18"/>
        </w:rPr>
        <w:t xml:space="preserve"> The National Quality Forum is a collaboration with other entities to achieve health gains. The National Quality Forum brings together key national agencies and key stakeholder representatives to share and discuss ‘soft intelligence’ and analysed information on issues of concern about the quality and safety of the system from across the sector. </w:t>
      </w:r>
    </w:p>
  </w:footnote>
  <w:footnote w:id="20">
    <w:p w14:paraId="2B1ACD9C" w14:textId="3221A7F8" w:rsidR="00B84178" w:rsidRPr="00363B10" w:rsidRDefault="00B84178" w:rsidP="001F4EB2">
      <w:pPr>
        <w:pStyle w:val="FootnoteText"/>
        <w:rPr>
          <w:sz w:val="18"/>
          <w:szCs w:val="18"/>
        </w:rPr>
      </w:pPr>
      <w:r w:rsidRPr="00363B10">
        <w:rPr>
          <w:rStyle w:val="FootnoteReference"/>
          <w:szCs w:val="18"/>
        </w:rPr>
        <w:footnoteRef/>
      </w:r>
      <w:r w:rsidRPr="00363B10">
        <w:rPr>
          <w:sz w:val="18"/>
          <w:szCs w:val="18"/>
        </w:rPr>
        <w:t xml:space="preserve"> </w:t>
      </w:r>
      <w:r w:rsidR="00D55C63" w:rsidRPr="00363B10">
        <w:rPr>
          <w:sz w:val="18"/>
          <w:szCs w:val="18"/>
        </w:rPr>
        <w:t xml:space="preserve">Health Quality &amp; Safety Commission. 2021. </w:t>
      </w:r>
      <w:r w:rsidR="00D55C63" w:rsidRPr="0062336A">
        <w:rPr>
          <w:i/>
          <w:iCs/>
          <w:sz w:val="18"/>
          <w:szCs w:val="18"/>
        </w:rPr>
        <w:t>Bula Sautu – A window on quality 2021: Pacific health in the year of COVID-19 | Bula Sautu – He mata kounga 2021: Hauora Pasifika i te tau COVID-19</w:t>
      </w:r>
      <w:r w:rsidR="00D55C63" w:rsidRPr="00363B10">
        <w:rPr>
          <w:sz w:val="18"/>
          <w:szCs w:val="18"/>
        </w:rPr>
        <w:t xml:space="preserve">. </w:t>
      </w:r>
      <w:r w:rsidR="00537D86">
        <w:rPr>
          <w:sz w:val="18"/>
          <w:szCs w:val="18"/>
        </w:rPr>
        <w:t xml:space="preserve">Wellington: Health Quality &amp; Safety Commission. </w:t>
      </w:r>
      <w:r w:rsidR="00D55C63" w:rsidRPr="00363B10">
        <w:rPr>
          <w:sz w:val="18"/>
          <w:szCs w:val="18"/>
        </w:rPr>
        <w:t>URL</w:t>
      </w:r>
      <w:r w:rsidRPr="00363B10">
        <w:rPr>
          <w:sz w:val="18"/>
          <w:szCs w:val="18"/>
        </w:rPr>
        <w:t xml:space="preserve">: </w:t>
      </w:r>
      <w:hyperlink r:id="rId11" w:history="1">
        <w:r w:rsidRPr="00363B10">
          <w:rPr>
            <w:rStyle w:val="Hyperlink"/>
            <w:sz w:val="18"/>
            <w:szCs w:val="18"/>
          </w:rPr>
          <w:t>https://www.hqsc.govt.nz/resources/resource-library/bula-sautu-a-window-on-quality-2021-pacific-health-in-the-year-of-covid-19-bula-sautu-he-mata-kounga-2021-hauora-pasifika-i-te-tau-covid-19</w:t>
        </w:r>
      </w:hyperlink>
      <w:r w:rsidRPr="00363B10">
        <w:rPr>
          <w:sz w:val="18"/>
          <w:szCs w:val="18"/>
        </w:rPr>
        <w:t xml:space="preserve"> </w:t>
      </w:r>
      <w:r w:rsidR="00F76D41">
        <w:rPr>
          <w:sz w:val="18"/>
          <w:szCs w:val="18"/>
        </w:rPr>
        <w:t>(accessed 19 June 2023).</w:t>
      </w:r>
    </w:p>
  </w:footnote>
  <w:footnote w:id="21">
    <w:p w14:paraId="3546D6E2" w14:textId="616B3D97" w:rsidR="00834579" w:rsidRPr="00363B10" w:rsidRDefault="00834579" w:rsidP="001F4EB2">
      <w:pPr>
        <w:spacing w:after="60"/>
        <w:ind w:hanging="170"/>
        <w:rPr>
          <w:sz w:val="18"/>
          <w:szCs w:val="18"/>
          <w:lang w:val="mi-NZ"/>
        </w:rPr>
      </w:pPr>
      <w:r w:rsidRPr="00363B10">
        <w:rPr>
          <w:rStyle w:val="FootnoteReference"/>
          <w:szCs w:val="18"/>
        </w:rPr>
        <w:footnoteRef/>
      </w:r>
      <w:r w:rsidRPr="00363B10">
        <w:rPr>
          <w:sz w:val="18"/>
          <w:szCs w:val="18"/>
        </w:rPr>
        <w:t xml:space="preserve"> </w:t>
      </w:r>
      <w:r w:rsidR="00FC0ADB" w:rsidRPr="00363B10">
        <w:rPr>
          <w:rFonts w:cs="Arial"/>
          <w:color w:val="212529"/>
          <w:sz w:val="18"/>
          <w:szCs w:val="18"/>
          <w:shd w:val="clear" w:color="auto" w:fill="FFFFFF"/>
        </w:rPr>
        <w:t xml:space="preserve">Kahu Taurima is the joint Te Aka Whai Ora and Te Whatu Ora approach to maternity and early years (pre-conception to five years old, or the </w:t>
      </w:r>
      <w:r w:rsidR="001A2DBC">
        <w:rPr>
          <w:rFonts w:cs="Arial"/>
          <w:color w:val="212529"/>
          <w:sz w:val="18"/>
          <w:szCs w:val="18"/>
          <w:shd w:val="clear" w:color="auto" w:fill="FFFFFF"/>
        </w:rPr>
        <w:t>‘</w:t>
      </w:r>
      <w:r w:rsidR="00FC0ADB" w:rsidRPr="00363B10">
        <w:rPr>
          <w:rFonts w:cs="Arial"/>
          <w:color w:val="212529"/>
          <w:sz w:val="18"/>
          <w:szCs w:val="18"/>
          <w:shd w:val="clear" w:color="auto" w:fill="FFFFFF"/>
        </w:rPr>
        <w:t>First 2000 days of life</w:t>
      </w:r>
      <w:r w:rsidR="001A2DBC">
        <w:rPr>
          <w:rFonts w:cs="Arial"/>
          <w:color w:val="212529"/>
          <w:sz w:val="18"/>
          <w:szCs w:val="18"/>
          <w:shd w:val="clear" w:color="auto" w:fill="FFFFFF"/>
        </w:rPr>
        <w:t>’</w:t>
      </w:r>
      <w:r w:rsidR="00FC0ADB" w:rsidRPr="00363B10">
        <w:rPr>
          <w:rFonts w:cs="Arial"/>
          <w:color w:val="212529"/>
          <w:sz w:val="18"/>
          <w:szCs w:val="18"/>
          <w:shd w:val="clear" w:color="auto" w:fill="FFFFFF"/>
        </w:rPr>
        <w:t>) for all whānau in Aotearoa New Zealand.</w:t>
      </w:r>
      <w:r w:rsidR="007903E6" w:rsidRPr="00363B10">
        <w:rPr>
          <w:rFonts w:cs="Arial"/>
          <w:color w:val="212529"/>
          <w:sz w:val="18"/>
          <w:szCs w:val="18"/>
          <w:shd w:val="clear" w:color="auto" w:fill="FFFFFF"/>
        </w:rPr>
        <w:t xml:space="preserve"> See:</w:t>
      </w:r>
      <w:r w:rsidR="00FC0ADB" w:rsidRPr="00363B10">
        <w:rPr>
          <w:rFonts w:cs="Arial"/>
          <w:color w:val="212529"/>
          <w:sz w:val="18"/>
          <w:szCs w:val="18"/>
          <w:shd w:val="clear" w:color="auto" w:fill="FFFFFF"/>
        </w:rPr>
        <w:t> </w:t>
      </w:r>
      <w:hyperlink r:id="rId12" w:history="1">
        <w:r w:rsidR="00D55C63" w:rsidRPr="00363B10">
          <w:rPr>
            <w:rStyle w:val="Hyperlink"/>
            <w:rFonts w:cs="Arial"/>
            <w:sz w:val="18"/>
            <w:szCs w:val="18"/>
          </w:rPr>
          <w:t>www.teakawhaiora.nz/our-work/kahu-taurima</w:t>
        </w:r>
      </w:hyperlink>
      <w:r w:rsidR="00C54968">
        <w:rPr>
          <w:rFonts w:cs="Arial"/>
          <w:sz w:val="18"/>
          <w:szCs w:val="18"/>
        </w:rPr>
        <w:t xml:space="preserve"> (accessed 19 June 2023).</w:t>
      </w:r>
    </w:p>
  </w:footnote>
  <w:footnote w:id="22">
    <w:p w14:paraId="6E46BBEE" w14:textId="6A26B30D" w:rsidR="00856FF0" w:rsidRPr="00363B10" w:rsidRDefault="00856FF0" w:rsidP="001F4EB2">
      <w:pPr>
        <w:pStyle w:val="FootnoteText"/>
        <w:rPr>
          <w:sz w:val="18"/>
          <w:szCs w:val="18"/>
        </w:rPr>
      </w:pPr>
      <w:r w:rsidRPr="00363B10">
        <w:rPr>
          <w:rStyle w:val="FootnoteReference"/>
          <w:szCs w:val="18"/>
        </w:rPr>
        <w:footnoteRef/>
      </w:r>
      <w:r w:rsidRPr="00363B10">
        <w:rPr>
          <w:sz w:val="18"/>
          <w:szCs w:val="18"/>
        </w:rPr>
        <w:t xml:space="preserve"> </w:t>
      </w:r>
      <w:r w:rsidR="007903E6" w:rsidRPr="00363B10">
        <w:rPr>
          <w:rFonts w:cs="Arial"/>
          <w:color w:val="212529"/>
          <w:sz w:val="18"/>
          <w:szCs w:val="18"/>
          <w:shd w:val="clear" w:color="auto" w:fill="FFFFFF"/>
        </w:rPr>
        <w:t>See: </w:t>
      </w:r>
      <w:hyperlink r:id="rId13" w:history="1">
        <w:r w:rsidR="00D55C63" w:rsidRPr="00363B10">
          <w:rPr>
            <w:rStyle w:val="Hyperlink"/>
            <w:sz w:val="18"/>
            <w:szCs w:val="18"/>
          </w:rPr>
          <w:t>www.legislation.govt.nz/act/public/2020/0040/latest/LMS356875.html</w:t>
        </w:r>
      </w:hyperlink>
      <w:r w:rsidRPr="00363B10">
        <w:rPr>
          <w:sz w:val="18"/>
          <w:szCs w:val="18"/>
        </w:rPr>
        <w:t xml:space="preserve"> </w:t>
      </w:r>
      <w:r w:rsidR="004D64EA">
        <w:rPr>
          <w:sz w:val="18"/>
          <w:szCs w:val="18"/>
        </w:rPr>
        <w:t>(accessed 19 June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6D03" w14:textId="54114888" w:rsidR="0096690F" w:rsidRDefault="00DC44EA">
    <w:pPr>
      <w:pStyle w:val="Header"/>
    </w:pPr>
    <w:r>
      <w:rPr>
        <w:noProof/>
      </w:rPr>
      <w:pict w14:anchorId="32FDF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89.05pt;height:47.1pt;rotation:315;z-index:-251657216;mso-position-horizontal:center;mso-position-horizontal-relative:margin;mso-position-vertical:center;mso-position-vertical-relative:margin" o:allowincell="f" fillcolor="silver" stroked="f">
          <v:fill opacity=".5"/>
          <v:textpath style="font-family:&quot;Arial&quot;;font-size:1pt" string="Embargoed to 14 July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B16419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E70DBD"/>
    <w:multiLevelType w:val="hybridMultilevel"/>
    <w:tmpl w:val="5F4418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C0121"/>
    <w:multiLevelType w:val="hybridMultilevel"/>
    <w:tmpl w:val="B9A47FB8"/>
    <w:lvl w:ilvl="0" w:tplc="5A667366">
      <w:start w:val="1"/>
      <w:numFmt w:val="decimal"/>
      <w:lvlText w:val="%1."/>
      <w:lvlJc w:val="left"/>
      <w:pPr>
        <w:ind w:left="360" w:hanging="360"/>
      </w:pPr>
      <w:rPr>
        <w:rFonts w:hint="default"/>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EB52BA"/>
    <w:multiLevelType w:val="hybridMultilevel"/>
    <w:tmpl w:val="E396B43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184549C4"/>
    <w:multiLevelType w:val="hybridMultilevel"/>
    <w:tmpl w:val="3E8CF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583B37"/>
    <w:multiLevelType w:val="hybridMultilevel"/>
    <w:tmpl w:val="DE00471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D8C3299"/>
    <w:multiLevelType w:val="hybridMultilevel"/>
    <w:tmpl w:val="C57CA3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F6C3B06"/>
    <w:multiLevelType w:val="hybridMultilevel"/>
    <w:tmpl w:val="5D864DB8"/>
    <w:lvl w:ilvl="0" w:tplc="14090019">
      <w:start w:val="1"/>
      <w:numFmt w:val="lowerLetter"/>
      <w:lvlText w:val="%1."/>
      <w:lvlJc w:val="left"/>
      <w:pPr>
        <w:ind w:left="6" w:hanging="360"/>
      </w:pPr>
      <w:rPr>
        <w:rFonts w:hint="default"/>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9" w15:restartNumberingAfterBreak="0">
    <w:nsid w:val="24197DF8"/>
    <w:multiLevelType w:val="hybridMultilevel"/>
    <w:tmpl w:val="3132A6EA"/>
    <w:lvl w:ilvl="0" w:tplc="14090001">
      <w:start w:val="1"/>
      <w:numFmt w:val="bullet"/>
      <w:lvlText w:val=""/>
      <w:lvlJc w:val="left"/>
      <w:pPr>
        <w:ind w:left="1080" w:hanging="360"/>
      </w:pPr>
      <w:rPr>
        <w:rFonts w:ascii="Symbol" w:hAnsi="Symbol" w:hint="default"/>
        <w:color w:val="auto"/>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B02EB1"/>
    <w:multiLevelType w:val="hybridMultilevel"/>
    <w:tmpl w:val="F42614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4CA67E0"/>
    <w:multiLevelType w:val="hybridMultilevel"/>
    <w:tmpl w:val="B9823F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6DC536B"/>
    <w:multiLevelType w:val="hybridMultilevel"/>
    <w:tmpl w:val="F2707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AA87BA5"/>
    <w:multiLevelType w:val="hybridMultilevel"/>
    <w:tmpl w:val="B9A47FB8"/>
    <w:lvl w:ilvl="0" w:tplc="FFFFFFFF">
      <w:start w:val="1"/>
      <w:numFmt w:val="decimal"/>
      <w:lvlText w:val="%1."/>
      <w:lvlJc w:val="left"/>
      <w:pPr>
        <w:ind w:left="360" w:hanging="360"/>
      </w:pPr>
      <w:rPr>
        <w:rFonts w:hint="default"/>
        <w:color w:val="auto"/>
        <w:sz w:val="22"/>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02617D"/>
    <w:multiLevelType w:val="hybridMultilevel"/>
    <w:tmpl w:val="778C9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9E92991"/>
    <w:multiLevelType w:val="hybridMultilevel"/>
    <w:tmpl w:val="B0C27A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AA71186"/>
    <w:multiLevelType w:val="multilevel"/>
    <w:tmpl w:val="D77AEEE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611232D4"/>
    <w:multiLevelType w:val="hybridMultilevel"/>
    <w:tmpl w:val="5BAE9A4C"/>
    <w:lvl w:ilvl="0" w:tplc="DDFCB62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9D2B0E"/>
    <w:multiLevelType w:val="hybridMultilevel"/>
    <w:tmpl w:val="123AADD2"/>
    <w:lvl w:ilvl="0" w:tplc="14090001">
      <w:start w:val="1"/>
      <w:numFmt w:val="bullet"/>
      <w:lvlText w:val=""/>
      <w:lvlJc w:val="left"/>
      <w:pPr>
        <w:ind w:left="6" w:hanging="360"/>
      </w:pPr>
      <w:rPr>
        <w:rFonts w:ascii="Symbol" w:hAnsi="Symbol" w:hint="default"/>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20" w15:restartNumberingAfterBreak="0">
    <w:nsid w:val="73C9363B"/>
    <w:multiLevelType w:val="hybridMultilevel"/>
    <w:tmpl w:val="003C3A20"/>
    <w:lvl w:ilvl="0" w:tplc="3496C5AC">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F5292C"/>
    <w:multiLevelType w:val="hybridMultilevel"/>
    <w:tmpl w:val="E49CD3C8"/>
    <w:lvl w:ilvl="0" w:tplc="14090001">
      <w:start w:val="1"/>
      <w:numFmt w:val="bullet"/>
      <w:lvlText w:val=""/>
      <w:lvlJc w:val="left"/>
      <w:pPr>
        <w:ind w:left="1080" w:hanging="360"/>
      </w:pPr>
      <w:rPr>
        <w:rFonts w:ascii="Symbol" w:hAnsi="Symbol" w:hint="default"/>
        <w:color w:val="auto"/>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9098544">
    <w:abstractNumId w:val="15"/>
  </w:num>
  <w:num w:numId="2" w16cid:durableId="1515728625">
    <w:abstractNumId w:val="1"/>
  </w:num>
  <w:num w:numId="3" w16cid:durableId="999843847">
    <w:abstractNumId w:val="0"/>
  </w:num>
  <w:num w:numId="4" w16cid:durableId="486627273">
    <w:abstractNumId w:val="2"/>
  </w:num>
  <w:num w:numId="5" w16cid:durableId="1628975441">
    <w:abstractNumId w:val="2"/>
  </w:num>
  <w:num w:numId="6" w16cid:durableId="410083555">
    <w:abstractNumId w:val="17"/>
  </w:num>
  <w:num w:numId="7" w16cid:durableId="109052371">
    <w:abstractNumId w:val="14"/>
  </w:num>
  <w:num w:numId="8" w16cid:durableId="1889608226">
    <w:abstractNumId w:val="10"/>
  </w:num>
  <w:num w:numId="9" w16cid:durableId="653728772">
    <w:abstractNumId w:val="16"/>
  </w:num>
  <w:num w:numId="10" w16cid:durableId="506479441">
    <w:abstractNumId w:val="12"/>
  </w:num>
  <w:num w:numId="11" w16cid:durableId="1148746645">
    <w:abstractNumId w:val="19"/>
  </w:num>
  <w:num w:numId="12" w16cid:durableId="1759130749">
    <w:abstractNumId w:val="5"/>
  </w:num>
  <w:num w:numId="13" w16cid:durableId="1648625026">
    <w:abstractNumId w:val="3"/>
  </w:num>
  <w:num w:numId="14" w16cid:durableId="2112236302">
    <w:abstractNumId w:val="4"/>
  </w:num>
  <w:num w:numId="15" w16cid:durableId="44186371">
    <w:abstractNumId w:val="9"/>
  </w:num>
  <w:num w:numId="16" w16cid:durableId="811867801">
    <w:abstractNumId w:val="21"/>
  </w:num>
  <w:num w:numId="17" w16cid:durableId="255360786">
    <w:abstractNumId w:val="13"/>
  </w:num>
  <w:num w:numId="18" w16cid:durableId="1885485299">
    <w:abstractNumId w:val="6"/>
  </w:num>
  <w:num w:numId="19" w16cid:durableId="2080205435">
    <w:abstractNumId w:val="11"/>
  </w:num>
  <w:num w:numId="20" w16cid:durableId="378431659">
    <w:abstractNumId w:val="8"/>
  </w:num>
  <w:num w:numId="21" w16cid:durableId="1049035623">
    <w:abstractNumId w:val="18"/>
  </w:num>
  <w:num w:numId="22" w16cid:durableId="568032081">
    <w:abstractNumId w:val="7"/>
  </w:num>
  <w:num w:numId="23" w16cid:durableId="127975394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008"/>
    <w:rsid w:val="00000224"/>
    <w:rsid w:val="00000F89"/>
    <w:rsid w:val="000034E8"/>
    <w:rsid w:val="000036C0"/>
    <w:rsid w:val="00003796"/>
    <w:rsid w:val="00003978"/>
    <w:rsid w:val="0000423A"/>
    <w:rsid w:val="00005986"/>
    <w:rsid w:val="00005BA6"/>
    <w:rsid w:val="00005D53"/>
    <w:rsid w:val="00006006"/>
    <w:rsid w:val="00007142"/>
    <w:rsid w:val="000072B5"/>
    <w:rsid w:val="0001084C"/>
    <w:rsid w:val="00010ABF"/>
    <w:rsid w:val="0001171C"/>
    <w:rsid w:val="00011D98"/>
    <w:rsid w:val="00012CD3"/>
    <w:rsid w:val="00012F48"/>
    <w:rsid w:val="000132CB"/>
    <w:rsid w:val="0001342F"/>
    <w:rsid w:val="0001418F"/>
    <w:rsid w:val="00014213"/>
    <w:rsid w:val="00014BDF"/>
    <w:rsid w:val="00014FC2"/>
    <w:rsid w:val="00015414"/>
    <w:rsid w:val="0001541E"/>
    <w:rsid w:val="000154D5"/>
    <w:rsid w:val="00015E43"/>
    <w:rsid w:val="00015F44"/>
    <w:rsid w:val="00016153"/>
    <w:rsid w:val="000166AF"/>
    <w:rsid w:val="00016E40"/>
    <w:rsid w:val="00017216"/>
    <w:rsid w:val="0001766F"/>
    <w:rsid w:val="00017EF2"/>
    <w:rsid w:val="00021A1A"/>
    <w:rsid w:val="00021AD9"/>
    <w:rsid w:val="00021D4A"/>
    <w:rsid w:val="00021FF4"/>
    <w:rsid w:val="00021FF6"/>
    <w:rsid w:val="000222DF"/>
    <w:rsid w:val="00022BDB"/>
    <w:rsid w:val="0002308F"/>
    <w:rsid w:val="00023161"/>
    <w:rsid w:val="000235D4"/>
    <w:rsid w:val="00023947"/>
    <w:rsid w:val="00023C4C"/>
    <w:rsid w:val="00023F3C"/>
    <w:rsid w:val="00024A83"/>
    <w:rsid w:val="000253D3"/>
    <w:rsid w:val="0002550A"/>
    <w:rsid w:val="00025788"/>
    <w:rsid w:val="000257D7"/>
    <w:rsid w:val="00025BFD"/>
    <w:rsid w:val="00026401"/>
    <w:rsid w:val="00027385"/>
    <w:rsid w:val="0003016B"/>
    <w:rsid w:val="00030606"/>
    <w:rsid w:val="00030D16"/>
    <w:rsid w:val="00031400"/>
    <w:rsid w:val="0003156D"/>
    <w:rsid w:val="00031E78"/>
    <w:rsid w:val="00032BE2"/>
    <w:rsid w:val="000338FA"/>
    <w:rsid w:val="00033ABB"/>
    <w:rsid w:val="00033AE5"/>
    <w:rsid w:val="000344AC"/>
    <w:rsid w:val="00034CD8"/>
    <w:rsid w:val="00034F30"/>
    <w:rsid w:val="0003524F"/>
    <w:rsid w:val="0003559E"/>
    <w:rsid w:val="000355BB"/>
    <w:rsid w:val="00035D3E"/>
    <w:rsid w:val="00035FF7"/>
    <w:rsid w:val="0003604D"/>
    <w:rsid w:val="000368BC"/>
    <w:rsid w:val="00036B6C"/>
    <w:rsid w:val="00037E42"/>
    <w:rsid w:val="00040B3C"/>
    <w:rsid w:val="00041D1B"/>
    <w:rsid w:val="00043083"/>
    <w:rsid w:val="00043255"/>
    <w:rsid w:val="00043568"/>
    <w:rsid w:val="000436D0"/>
    <w:rsid w:val="000438E2"/>
    <w:rsid w:val="0004395C"/>
    <w:rsid w:val="00043CD8"/>
    <w:rsid w:val="00044B91"/>
    <w:rsid w:val="000453F3"/>
    <w:rsid w:val="000466E9"/>
    <w:rsid w:val="0004674B"/>
    <w:rsid w:val="00047047"/>
    <w:rsid w:val="00047633"/>
    <w:rsid w:val="0004775C"/>
    <w:rsid w:val="00047B50"/>
    <w:rsid w:val="00047EA9"/>
    <w:rsid w:val="000501E9"/>
    <w:rsid w:val="00050CF0"/>
    <w:rsid w:val="00050F79"/>
    <w:rsid w:val="00051CC0"/>
    <w:rsid w:val="0005287A"/>
    <w:rsid w:val="00052B4C"/>
    <w:rsid w:val="000535EB"/>
    <w:rsid w:val="000537C3"/>
    <w:rsid w:val="000542A1"/>
    <w:rsid w:val="00054E9B"/>
    <w:rsid w:val="0005504C"/>
    <w:rsid w:val="00055DF9"/>
    <w:rsid w:val="0005760D"/>
    <w:rsid w:val="00057DC5"/>
    <w:rsid w:val="00057F11"/>
    <w:rsid w:val="0006042D"/>
    <w:rsid w:val="00060CB3"/>
    <w:rsid w:val="000611F6"/>
    <w:rsid w:val="00061359"/>
    <w:rsid w:val="0006194D"/>
    <w:rsid w:val="00061D05"/>
    <w:rsid w:val="00062B82"/>
    <w:rsid w:val="00062FDF"/>
    <w:rsid w:val="00063211"/>
    <w:rsid w:val="00063259"/>
    <w:rsid w:val="0006335B"/>
    <w:rsid w:val="000639A5"/>
    <w:rsid w:val="0006435B"/>
    <w:rsid w:val="00064A7C"/>
    <w:rsid w:val="00064AE2"/>
    <w:rsid w:val="00064DA0"/>
    <w:rsid w:val="00064F1A"/>
    <w:rsid w:val="00065032"/>
    <w:rsid w:val="000662D3"/>
    <w:rsid w:val="0006635D"/>
    <w:rsid w:val="00066607"/>
    <w:rsid w:val="00066864"/>
    <w:rsid w:val="0006713B"/>
    <w:rsid w:val="0006728B"/>
    <w:rsid w:val="000675C4"/>
    <w:rsid w:val="00067A48"/>
    <w:rsid w:val="00067C71"/>
    <w:rsid w:val="000714F7"/>
    <w:rsid w:val="00071CE6"/>
    <w:rsid w:val="00072B90"/>
    <w:rsid w:val="00073476"/>
    <w:rsid w:val="00073ACE"/>
    <w:rsid w:val="00074E0C"/>
    <w:rsid w:val="00075AF2"/>
    <w:rsid w:val="0007605A"/>
    <w:rsid w:val="000762EB"/>
    <w:rsid w:val="0008034E"/>
    <w:rsid w:val="0008065B"/>
    <w:rsid w:val="00081524"/>
    <w:rsid w:val="000817D3"/>
    <w:rsid w:val="00081CD3"/>
    <w:rsid w:val="00081E3B"/>
    <w:rsid w:val="0008576F"/>
    <w:rsid w:val="00086455"/>
    <w:rsid w:val="0008726B"/>
    <w:rsid w:val="00087303"/>
    <w:rsid w:val="00090976"/>
    <w:rsid w:val="00091184"/>
    <w:rsid w:val="0009168B"/>
    <w:rsid w:val="000918B2"/>
    <w:rsid w:val="00091C14"/>
    <w:rsid w:val="00091C2E"/>
    <w:rsid w:val="0009214E"/>
    <w:rsid w:val="00092A37"/>
    <w:rsid w:val="000935BA"/>
    <w:rsid w:val="00093CE1"/>
    <w:rsid w:val="00093DF3"/>
    <w:rsid w:val="00095862"/>
    <w:rsid w:val="00096797"/>
    <w:rsid w:val="00096BB5"/>
    <w:rsid w:val="00096C19"/>
    <w:rsid w:val="00097D94"/>
    <w:rsid w:val="00097E0E"/>
    <w:rsid w:val="00097E6D"/>
    <w:rsid w:val="000A0B2C"/>
    <w:rsid w:val="000A1129"/>
    <w:rsid w:val="000A149C"/>
    <w:rsid w:val="000A18FE"/>
    <w:rsid w:val="000A2AD5"/>
    <w:rsid w:val="000A31BA"/>
    <w:rsid w:val="000A3AE0"/>
    <w:rsid w:val="000A3D96"/>
    <w:rsid w:val="000A5622"/>
    <w:rsid w:val="000A58D1"/>
    <w:rsid w:val="000A63A9"/>
    <w:rsid w:val="000A68F8"/>
    <w:rsid w:val="000A7315"/>
    <w:rsid w:val="000B111C"/>
    <w:rsid w:val="000B1C05"/>
    <w:rsid w:val="000B2740"/>
    <w:rsid w:val="000B2754"/>
    <w:rsid w:val="000B2D1D"/>
    <w:rsid w:val="000B2E63"/>
    <w:rsid w:val="000B3A06"/>
    <w:rsid w:val="000B3DBF"/>
    <w:rsid w:val="000B47AF"/>
    <w:rsid w:val="000B48F5"/>
    <w:rsid w:val="000B4D41"/>
    <w:rsid w:val="000B565B"/>
    <w:rsid w:val="000B5962"/>
    <w:rsid w:val="000B6DC6"/>
    <w:rsid w:val="000B763D"/>
    <w:rsid w:val="000C1227"/>
    <w:rsid w:val="000C265E"/>
    <w:rsid w:val="000C26DF"/>
    <w:rsid w:val="000C2CE2"/>
    <w:rsid w:val="000C3339"/>
    <w:rsid w:val="000C37AB"/>
    <w:rsid w:val="000C39D9"/>
    <w:rsid w:val="000C3C4B"/>
    <w:rsid w:val="000C3C8A"/>
    <w:rsid w:val="000C3EA8"/>
    <w:rsid w:val="000C4DAF"/>
    <w:rsid w:val="000C71F5"/>
    <w:rsid w:val="000C7622"/>
    <w:rsid w:val="000C7CFB"/>
    <w:rsid w:val="000C7F30"/>
    <w:rsid w:val="000D005C"/>
    <w:rsid w:val="000D007D"/>
    <w:rsid w:val="000D02E9"/>
    <w:rsid w:val="000D1A91"/>
    <w:rsid w:val="000D2128"/>
    <w:rsid w:val="000D24E7"/>
    <w:rsid w:val="000D416F"/>
    <w:rsid w:val="000D46ED"/>
    <w:rsid w:val="000D48E4"/>
    <w:rsid w:val="000D544C"/>
    <w:rsid w:val="000D6192"/>
    <w:rsid w:val="000D61F6"/>
    <w:rsid w:val="000D6C72"/>
    <w:rsid w:val="000D7CE2"/>
    <w:rsid w:val="000D7E4B"/>
    <w:rsid w:val="000E1FA6"/>
    <w:rsid w:val="000E1FB4"/>
    <w:rsid w:val="000E21E0"/>
    <w:rsid w:val="000E2DF0"/>
    <w:rsid w:val="000E313C"/>
    <w:rsid w:val="000E3D0E"/>
    <w:rsid w:val="000E3D19"/>
    <w:rsid w:val="000E43C3"/>
    <w:rsid w:val="000E4E83"/>
    <w:rsid w:val="000E5B30"/>
    <w:rsid w:val="000E5EC1"/>
    <w:rsid w:val="000E60D0"/>
    <w:rsid w:val="000E78A1"/>
    <w:rsid w:val="000F082E"/>
    <w:rsid w:val="000F08C9"/>
    <w:rsid w:val="000F0A69"/>
    <w:rsid w:val="000F0C8B"/>
    <w:rsid w:val="000F190F"/>
    <w:rsid w:val="000F2855"/>
    <w:rsid w:val="000F2AC6"/>
    <w:rsid w:val="000F2DEC"/>
    <w:rsid w:val="000F3008"/>
    <w:rsid w:val="000F312C"/>
    <w:rsid w:val="000F32D0"/>
    <w:rsid w:val="000F3936"/>
    <w:rsid w:val="000F3DF1"/>
    <w:rsid w:val="000F4AC3"/>
    <w:rsid w:val="000F6182"/>
    <w:rsid w:val="000F640D"/>
    <w:rsid w:val="000F67C1"/>
    <w:rsid w:val="000F6E7C"/>
    <w:rsid w:val="000F6F3D"/>
    <w:rsid w:val="000F7095"/>
    <w:rsid w:val="000F7471"/>
    <w:rsid w:val="000F7C04"/>
    <w:rsid w:val="0010090E"/>
    <w:rsid w:val="00101302"/>
    <w:rsid w:val="00101E14"/>
    <w:rsid w:val="00102569"/>
    <w:rsid w:val="001028B6"/>
    <w:rsid w:val="00102C5E"/>
    <w:rsid w:val="00102E7C"/>
    <w:rsid w:val="0010370A"/>
    <w:rsid w:val="00103899"/>
    <w:rsid w:val="00103AC3"/>
    <w:rsid w:val="0010475F"/>
    <w:rsid w:val="0010486E"/>
    <w:rsid w:val="00104A15"/>
    <w:rsid w:val="00104BBC"/>
    <w:rsid w:val="001051F4"/>
    <w:rsid w:val="00105420"/>
    <w:rsid w:val="00105E23"/>
    <w:rsid w:val="00106ECE"/>
    <w:rsid w:val="001076EE"/>
    <w:rsid w:val="001108F4"/>
    <w:rsid w:val="00110EAE"/>
    <w:rsid w:val="001111D6"/>
    <w:rsid w:val="0011143A"/>
    <w:rsid w:val="00111C2E"/>
    <w:rsid w:val="001123E1"/>
    <w:rsid w:val="00112A09"/>
    <w:rsid w:val="0011324F"/>
    <w:rsid w:val="001135AA"/>
    <w:rsid w:val="00113E04"/>
    <w:rsid w:val="00114502"/>
    <w:rsid w:val="001151CC"/>
    <w:rsid w:val="00115489"/>
    <w:rsid w:val="00115AEB"/>
    <w:rsid w:val="001162AB"/>
    <w:rsid w:val="00116671"/>
    <w:rsid w:val="00120070"/>
    <w:rsid w:val="001204BE"/>
    <w:rsid w:val="00120FD8"/>
    <w:rsid w:val="00121902"/>
    <w:rsid w:val="001223A4"/>
    <w:rsid w:val="00122D94"/>
    <w:rsid w:val="00122DED"/>
    <w:rsid w:val="0012413E"/>
    <w:rsid w:val="001249E2"/>
    <w:rsid w:val="00124BE7"/>
    <w:rsid w:val="00125109"/>
    <w:rsid w:val="0012541F"/>
    <w:rsid w:val="0012578B"/>
    <w:rsid w:val="001261CF"/>
    <w:rsid w:val="0012634E"/>
    <w:rsid w:val="00126A06"/>
    <w:rsid w:val="00126B30"/>
    <w:rsid w:val="00126C36"/>
    <w:rsid w:val="00126F5C"/>
    <w:rsid w:val="0012799D"/>
    <w:rsid w:val="0013036C"/>
    <w:rsid w:val="0013118C"/>
    <w:rsid w:val="00131E3D"/>
    <w:rsid w:val="00132F55"/>
    <w:rsid w:val="00133F6A"/>
    <w:rsid w:val="00133F8C"/>
    <w:rsid w:val="001343F2"/>
    <w:rsid w:val="00134F5C"/>
    <w:rsid w:val="0013632C"/>
    <w:rsid w:val="00136427"/>
    <w:rsid w:val="00136CCB"/>
    <w:rsid w:val="001370EE"/>
    <w:rsid w:val="00137179"/>
    <w:rsid w:val="001371C9"/>
    <w:rsid w:val="001378CA"/>
    <w:rsid w:val="00137F9F"/>
    <w:rsid w:val="00137FA4"/>
    <w:rsid w:val="00140AAC"/>
    <w:rsid w:val="00141100"/>
    <w:rsid w:val="0014115A"/>
    <w:rsid w:val="00141282"/>
    <w:rsid w:val="00141B40"/>
    <w:rsid w:val="001426A2"/>
    <w:rsid w:val="00142D5D"/>
    <w:rsid w:val="00142E45"/>
    <w:rsid w:val="00142F68"/>
    <w:rsid w:val="0014373E"/>
    <w:rsid w:val="00143CA5"/>
    <w:rsid w:val="00144098"/>
    <w:rsid w:val="0014423A"/>
    <w:rsid w:val="00144932"/>
    <w:rsid w:val="0014553F"/>
    <w:rsid w:val="00145884"/>
    <w:rsid w:val="001470D8"/>
    <w:rsid w:val="00147145"/>
    <w:rsid w:val="001473B8"/>
    <w:rsid w:val="00147E7F"/>
    <w:rsid w:val="001505A6"/>
    <w:rsid w:val="0015099D"/>
    <w:rsid w:val="00150AC2"/>
    <w:rsid w:val="00150EC1"/>
    <w:rsid w:val="00150EE7"/>
    <w:rsid w:val="00150F2F"/>
    <w:rsid w:val="00151568"/>
    <w:rsid w:val="00152712"/>
    <w:rsid w:val="00152F4C"/>
    <w:rsid w:val="0015312F"/>
    <w:rsid w:val="0015388A"/>
    <w:rsid w:val="00153C73"/>
    <w:rsid w:val="00154CCA"/>
    <w:rsid w:val="00154EBC"/>
    <w:rsid w:val="001553AD"/>
    <w:rsid w:val="00156BE7"/>
    <w:rsid w:val="00157334"/>
    <w:rsid w:val="0016022D"/>
    <w:rsid w:val="0016098B"/>
    <w:rsid w:val="00161998"/>
    <w:rsid w:val="00162503"/>
    <w:rsid w:val="00162DB9"/>
    <w:rsid w:val="00162F99"/>
    <w:rsid w:val="001639C2"/>
    <w:rsid w:val="001639FA"/>
    <w:rsid w:val="00164036"/>
    <w:rsid w:val="0016476C"/>
    <w:rsid w:val="0016511E"/>
    <w:rsid w:val="00165B6D"/>
    <w:rsid w:val="00165E95"/>
    <w:rsid w:val="00166082"/>
    <w:rsid w:val="001669DE"/>
    <w:rsid w:val="00166F88"/>
    <w:rsid w:val="001671F7"/>
    <w:rsid w:val="00171EBC"/>
    <w:rsid w:val="00171F98"/>
    <w:rsid w:val="00173134"/>
    <w:rsid w:val="0017336B"/>
    <w:rsid w:val="00173752"/>
    <w:rsid w:val="00173B88"/>
    <w:rsid w:val="00173BDF"/>
    <w:rsid w:val="00174F82"/>
    <w:rsid w:val="00175A7F"/>
    <w:rsid w:val="001760FA"/>
    <w:rsid w:val="001774C5"/>
    <w:rsid w:val="001777DE"/>
    <w:rsid w:val="00177CA0"/>
    <w:rsid w:val="00177FE2"/>
    <w:rsid w:val="001806F0"/>
    <w:rsid w:val="0018115A"/>
    <w:rsid w:val="00182505"/>
    <w:rsid w:val="001829FF"/>
    <w:rsid w:val="00182C07"/>
    <w:rsid w:val="001831BA"/>
    <w:rsid w:val="00183219"/>
    <w:rsid w:val="001836C5"/>
    <w:rsid w:val="00183F98"/>
    <w:rsid w:val="00184058"/>
    <w:rsid w:val="001855EA"/>
    <w:rsid w:val="00185EC5"/>
    <w:rsid w:val="00185F52"/>
    <w:rsid w:val="001865EE"/>
    <w:rsid w:val="00186B26"/>
    <w:rsid w:val="00186F8A"/>
    <w:rsid w:val="00190058"/>
    <w:rsid w:val="00190583"/>
    <w:rsid w:val="001917D5"/>
    <w:rsid w:val="00191A0B"/>
    <w:rsid w:val="001924AB"/>
    <w:rsid w:val="00193951"/>
    <w:rsid w:val="0019407B"/>
    <w:rsid w:val="001940FC"/>
    <w:rsid w:val="00194832"/>
    <w:rsid w:val="00195635"/>
    <w:rsid w:val="00195F0B"/>
    <w:rsid w:val="00197196"/>
    <w:rsid w:val="001A02AD"/>
    <w:rsid w:val="001A0619"/>
    <w:rsid w:val="001A132C"/>
    <w:rsid w:val="001A1362"/>
    <w:rsid w:val="001A1880"/>
    <w:rsid w:val="001A2DBC"/>
    <w:rsid w:val="001A4319"/>
    <w:rsid w:val="001A44E7"/>
    <w:rsid w:val="001A5078"/>
    <w:rsid w:val="001A5EDE"/>
    <w:rsid w:val="001A620A"/>
    <w:rsid w:val="001A63EB"/>
    <w:rsid w:val="001A64D4"/>
    <w:rsid w:val="001A6553"/>
    <w:rsid w:val="001A7A99"/>
    <w:rsid w:val="001B0961"/>
    <w:rsid w:val="001B0BD5"/>
    <w:rsid w:val="001B0D2B"/>
    <w:rsid w:val="001B101E"/>
    <w:rsid w:val="001B1105"/>
    <w:rsid w:val="001B161C"/>
    <w:rsid w:val="001B31C1"/>
    <w:rsid w:val="001B3ED1"/>
    <w:rsid w:val="001B496B"/>
    <w:rsid w:val="001B4C7E"/>
    <w:rsid w:val="001B5A89"/>
    <w:rsid w:val="001B5E79"/>
    <w:rsid w:val="001B610F"/>
    <w:rsid w:val="001B655A"/>
    <w:rsid w:val="001B6587"/>
    <w:rsid w:val="001B6AEC"/>
    <w:rsid w:val="001B7B1B"/>
    <w:rsid w:val="001C2409"/>
    <w:rsid w:val="001C3E5A"/>
    <w:rsid w:val="001C3FEC"/>
    <w:rsid w:val="001C592A"/>
    <w:rsid w:val="001C5A39"/>
    <w:rsid w:val="001C5A74"/>
    <w:rsid w:val="001C5F71"/>
    <w:rsid w:val="001C6F34"/>
    <w:rsid w:val="001C702E"/>
    <w:rsid w:val="001D0822"/>
    <w:rsid w:val="001D0872"/>
    <w:rsid w:val="001D0DB9"/>
    <w:rsid w:val="001D18E5"/>
    <w:rsid w:val="001D1F48"/>
    <w:rsid w:val="001D2197"/>
    <w:rsid w:val="001D361D"/>
    <w:rsid w:val="001D3889"/>
    <w:rsid w:val="001D46C6"/>
    <w:rsid w:val="001D4744"/>
    <w:rsid w:val="001D557E"/>
    <w:rsid w:val="001D6067"/>
    <w:rsid w:val="001D64F5"/>
    <w:rsid w:val="001D6AAD"/>
    <w:rsid w:val="001D6FEF"/>
    <w:rsid w:val="001D72CE"/>
    <w:rsid w:val="001E01F1"/>
    <w:rsid w:val="001E03EA"/>
    <w:rsid w:val="001E069A"/>
    <w:rsid w:val="001E06DF"/>
    <w:rsid w:val="001E0784"/>
    <w:rsid w:val="001E0B57"/>
    <w:rsid w:val="001E1B87"/>
    <w:rsid w:val="001E1EDF"/>
    <w:rsid w:val="001E2B96"/>
    <w:rsid w:val="001E2D12"/>
    <w:rsid w:val="001E34FA"/>
    <w:rsid w:val="001E3614"/>
    <w:rsid w:val="001E3F97"/>
    <w:rsid w:val="001E445B"/>
    <w:rsid w:val="001E448A"/>
    <w:rsid w:val="001E4DD3"/>
    <w:rsid w:val="001E54CA"/>
    <w:rsid w:val="001E5938"/>
    <w:rsid w:val="001E6601"/>
    <w:rsid w:val="001E68B8"/>
    <w:rsid w:val="001E68D4"/>
    <w:rsid w:val="001E6A9F"/>
    <w:rsid w:val="001E6C45"/>
    <w:rsid w:val="001E72DC"/>
    <w:rsid w:val="001E7D83"/>
    <w:rsid w:val="001F0E3B"/>
    <w:rsid w:val="001F1896"/>
    <w:rsid w:val="001F2F06"/>
    <w:rsid w:val="001F3422"/>
    <w:rsid w:val="001F3461"/>
    <w:rsid w:val="001F3F5F"/>
    <w:rsid w:val="001F4EB2"/>
    <w:rsid w:val="001F5375"/>
    <w:rsid w:val="001F5A23"/>
    <w:rsid w:val="001F60AE"/>
    <w:rsid w:val="001F6549"/>
    <w:rsid w:val="001F65E8"/>
    <w:rsid w:val="001F7CF9"/>
    <w:rsid w:val="002000A9"/>
    <w:rsid w:val="00200A40"/>
    <w:rsid w:val="0020107E"/>
    <w:rsid w:val="0020187A"/>
    <w:rsid w:val="002019FD"/>
    <w:rsid w:val="002022D5"/>
    <w:rsid w:val="00203409"/>
    <w:rsid w:val="00203B36"/>
    <w:rsid w:val="00203EA2"/>
    <w:rsid w:val="00204057"/>
    <w:rsid w:val="00204654"/>
    <w:rsid w:val="00205657"/>
    <w:rsid w:val="0020580A"/>
    <w:rsid w:val="00205914"/>
    <w:rsid w:val="00205A8D"/>
    <w:rsid w:val="00205AD6"/>
    <w:rsid w:val="00205B07"/>
    <w:rsid w:val="00206FA2"/>
    <w:rsid w:val="002074FB"/>
    <w:rsid w:val="00207C3D"/>
    <w:rsid w:val="00210158"/>
    <w:rsid w:val="002105A8"/>
    <w:rsid w:val="0021121C"/>
    <w:rsid w:val="002121B9"/>
    <w:rsid w:val="002122F4"/>
    <w:rsid w:val="0021261B"/>
    <w:rsid w:val="002131E5"/>
    <w:rsid w:val="00213A26"/>
    <w:rsid w:val="00214118"/>
    <w:rsid w:val="00214392"/>
    <w:rsid w:val="00215166"/>
    <w:rsid w:val="002151D3"/>
    <w:rsid w:val="00215AF8"/>
    <w:rsid w:val="00215C61"/>
    <w:rsid w:val="00216B6A"/>
    <w:rsid w:val="0021797F"/>
    <w:rsid w:val="00217A49"/>
    <w:rsid w:val="00217F3F"/>
    <w:rsid w:val="00220043"/>
    <w:rsid w:val="002201B7"/>
    <w:rsid w:val="002204F5"/>
    <w:rsid w:val="002206FD"/>
    <w:rsid w:val="00220B68"/>
    <w:rsid w:val="00220EC7"/>
    <w:rsid w:val="0022101C"/>
    <w:rsid w:val="00222364"/>
    <w:rsid w:val="00222B05"/>
    <w:rsid w:val="00223041"/>
    <w:rsid w:val="00223334"/>
    <w:rsid w:val="0022333C"/>
    <w:rsid w:val="00223FEC"/>
    <w:rsid w:val="0022419F"/>
    <w:rsid w:val="00224CC6"/>
    <w:rsid w:val="00225271"/>
    <w:rsid w:val="00225369"/>
    <w:rsid w:val="002257B1"/>
    <w:rsid w:val="00225A51"/>
    <w:rsid w:val="00225BC0"/>
    <w:rsid w:val="00226855"/>
    <w:rsid w:val="00227A8D"/>
    <w:rsid w:val="0023054B"/>
    <w:rsid w:val="002313F8"/>
    <w:rsid w:val="002318DA"/>
    <w:rsid w:val="00231AA7"/>
    <w:rsid w:val="00232416"/>
    <w:rsid w:val="00232FED"/>
    <w:rsid w:val="002337C9"/>
    <w:rsid w:val="002339EA"/>
    <w:rsid w:val="00236330"/>
    <w:rsid w:val="002371B4"/>
    <w:rsid w:val="00237533"/>
    <w:rsid w:val="00237664"/>
    <w:rsid w:val="00237C47"/>
    <w:rsid w:val="00237F1D"/>
    <w:rsid w:val="00240009"/>
    <w:rsid w:val="002415C8"/>
    <w:rsid w:val="002417D5"/>
    <w:rsid w:val="00241E64"/>
    <w:rsid w:val="002425F6"/>
    <w:rsid w:val="00242EA5"/>
    <w:rsid w:val="002437C6"/>
    <w:rsid w:val="00243A73"/>
    <w:rsid w:val="0024403D"/>
    <w:rsid w:val="00244839"/>
    <w:rsid w:val="00244856"/>
    <w:rsid w:val="00245137"/>
    <w:rsid w:val="00245178"/>
    <w:rsid w:val="00245F40"/>
    <w:rsid w:val="00245F53"/>
    <w:rsid w:val="00246B8B"/>
    <w:rsid w:val="00247057"/>
    <w:rsid w:val="00247E3A"/>
    <w:rsid w:val="00250466"/>
    <w:rsid w:val="00250FBC"/>
    <w:rsid w:val="002514A1"/>
    <w:rsid w:val="00252013"/>
    <w:rsid w:val="002523DE"/>
    <w:rsid w:val="00252B7B"/>
    <w:rsid w:val="0025331C"/>
    <w:rsid w:val="0025368A"/>
    <w:rsid w:val="0025392A"/>
    <w:rsid w:val="00255501"/>
    <w:rsid w:val="002568EA"/>
    <w:rsid w:val="0025731D"/>
    <w:rsid w:val="0026002E"/>
    <w:rsid w:val="002604F3"/>
    <w:rsid w:val="00261EBE"/>
    <w:rsid w:val="002620D2"/>
    <w:rsid w:val="00262A5C"/>
    <w:rsid w:val="002630EC"/>
    <w:rsid w:val="0026361E"/>
    <w:rsid w:val="0026392E"/>
    <w:rsid w:val="002645EB"/>
    <w:rsid w:val="00264ADC"/>
    <w:rsid w:val="0026509F"/>
    <w:rsid w:val="00266514"/>
    <w:rsid w:val="002665C5"/>
    <w:rsid w:val="00266BD6"/>
    <w:rsid w:val="00267796"/>
    <w:rsid w:val="00267F9B"/>
    <w:rsid w:val="002704BC"/>
    <w:rsid w:val="00270B57"/>
    <w:rsid w:val="0027119A"/>
    <w:rsid w:val="0027129D"/>
    <w:rsid w:val="0027152B"/>
    <w:rsid w:val="00271B75"/>
    <w:rsid w:val="00271BE1"/>
    <w:rsid w:val="00272AA4"/>
    <w:rsid w:val="002734B5"/>
    <w:rsid w:val="0027354B"/>
    <w:rsid w:val="002735BE"/>
    <w:rsid w:val="0027488E"/>
    <w:rsid w:val="00274F01"/>
    <w:rsid w:val="0027507D"/>
    <w:rsid w:val="002753E0"/>
    <w:rsid w:val="00275990"/>
    <w:rsid w:val="002767C3"/>
    <w:rsid w:val="00276E69"/>
    <w:rsid w:val="002772AF"/>
    <w:rsid w:val="0028094B"/>
    <w:rsid w:val="00280EEC"/>
    <w:rsid w:val="0028133D"/>
    <w:rsid w:val="00281ACA"/>
    <w:rsid w:val="00281FA5"/>
    <w:rsid w:val="002824E9"/>
    <w:rsid w:val="002824F0"/>
    <w:rsid w:val="002835A4"/>
    <w:rsid w:val="002835E6"/>
    <w:rsid w:val="00284719"/>
    <w:rsid w:val="00284A57"/>
    <w:rsid w:val="00285B64"/>
    <w:rsid w:val="00286659"/>
    <w:rsid w:val="00286B4B"/>
    <w:rsid w:val="002871E7"/>
    <w:rsid w:val="00287BBF"/>
    <w:rsid w:val="00287D4C"/>
    <w:rsid w:val="00287D53"/>
    <w:rsid w:val="00287F7C"/>
    <w:rsid w:val="00287F9F"/>
    <w:rsid w:val="0029029C"/>
    <w:rsid w:val="002906DD"/>
    <w:rsid w:val="00290B9C"/>
    <w:rsid w:val="00291E66"/>
    <w:rsid w:val="00292642"/>
    <w:rsid w:val="00292C7D"/>
    <w:rsid w:val="00292E0D"/>
    <w:rsid w:val="00293867"/>
    <w:rsid w:val="00293E9F"/>
    <w:rsid w:val="00294377"/>
    <w:rsid w:val="002944AF"/>
    <w:rsid w:val="002946DE"/>
    <w:rsid w:val="00294E6D"/>
    <w:rsid w:val="00294E7B"/>
    <w:rsid w:val="00295AED"/>
    <w:rsid w:val="00295BCE"/>
    <w:rsid w:val="00295C1A"/>
    <w:rsid w:val="002961FF"/>
    <w:rsid w:val="0029676C"/>
    <w:rsid w:val="002969D8"/>
    <w:rsid w:val="00297582"/>
    <w:rsid w:val="00297676"/>
    <w:rsid w:val="00297B4B"/>
    <w:rsid w:val="002A00A8"/>
    <w:rsid w:val="002A0D11"/>
    <w:rsid w:val="002A179B"/>
    <w:rsid w:val="002A29F3"/>
    <w:rsid w:val="002A2F22"/>
    <w:rsid w:val="002A3953"/>
    <w:rsid w:val="002A3A90"/>
    <w:rsid w:val="002A3CE2"/>
    <w:rsid w:val="002A4111"/>
    <w:rsid w:val="002A440C"/>
    <w:rsid w:val="002A536C"/>
    <w:rsid w:val="002A54AB"/>
    <w:rsid w:val="002A5B55"/>
    <w:rsid w:val="002A5D2D"/>
    <w:rsid w:val="002B0174"/>
    <w:rsid w:val="002B0753"/>
    <w:rsid w:val="002B078D"/>
    <w:rsid w:val="002B2ECF"/>
    <w:rsid w:val="002B2F56"/>
    <w:rsid w:val="002B3B2B"/>
    <w:rsid w:val="002B42CB"/>
    <w:rsid w:val="002B4FF6"/>
    <w:rsid w:val="002B5296"/>
    <w:rsid w:val="002B54D9"/>
    <w:rsid w:val="002B5D0B"/>
    <w:rsid w:val="002B5E19"/>
    <w:rsid w:val="002B5F01"/>
    <w:rsid w:val="002B62C6"/>
    <w:rsid w:val="002B6583"/>
    <w:rsid w:val="002C02E7"/>
    <w:rsid w:val="002C0336"/>
    <w:rsid w:val="002C06A0"/>
    <w:rsid w:val="002C13C0"/>
    <w:rsid w:val="002C1B57"/>
    <w:rsid w:val="002C2047"/>
    <w:rsid w:val="002C224E"/>
    <w:rsid w:val="002C3E9A"/>
    <w:rsid w:val="002C433B"/>
    <w:rsid w:val="002C4693"/>
    <w:rsid w:val="002C5178"/>
    <w:rsid w:val="002C59CC"/>
    <w:rsid w:val="002C68ED"/>
    <w:rsid w:val="002C6C31"/>
    <w:rsid w:val="002C70C4"/>
    <w:rsid w:val="002D00E4"/>
    <w:rsid w:val="002D1222"/>
    <w:rsid w:val="002D135E"/>
    <w:rsid w:val="002D14DC"/>
    <w:rsid w:val="002D22C7"/>
    <w:rsid w:val="002D24C5"/>
    <w:rsid w:val="002D2FC4"/>
    <w:rsid w:val="002D31DB"/>
    <w:rsid w:val="002D32EA"/>
    <w:rsid w:val="002D3ADC"/>
    <w:rsid w:val="002D3AF1"/>
    <w:rsid w:val="002D4272"/>
    <w:rsid w:val="002D4335"/>
    <w:rsid w:val="002D4346"/>
    <w:rsid w:val="002D4E2E"/>
    <w:rsid w:val="002D5239"/>
    <w:rsid w:val="002D5A3D"/>
    <w:rsid w:val="002D6F4D"/>
    <w:rsid w:val="002D7011"/>
    <w:rsid w:val="002D731F"/>
    <w:rsid w:val="002D74C9"/>
    <w:rsid w:val="002E0731"/>
    <w:rsid w:val="002E1333"/>
    <w:rsid w:val="002E1431"/>
    <w:rsid w:val="002E1666"/>
    <w:rsid w:val="002E1C47"/>
    <w:rsid w:val="002E2288"/>
    <w:rsid w:val="002E2435"/>
    <w:rsid w:val="002E2CCF"/>
    <w:rsid w:val="002E32E7"/>
    <w:rsid w:val="002E37CD"/>
    <w:rsid w:val="002E3FF2"/>
    <w:rsid w:val="002E49D7"/>
    <w:rsid w:val="002E4CA5"/>
    <w:rsid w:val="002E4D5C"/>
    <w:rsid w:val="002E547C"/>
    <w:rsid w:val="002E56DB"/>
    <w:rsid w:val="002E6468"/>
    <w:rsid w:val="002E6EED"/>
    <w:rsid w:val="002E7831"/>
    <w:rsid w:val="002F077B"/>
    <w:rsid w:val="002F099C"/>
    <w:rsid w:val="002F0A25"/>
    <w:rsid w:val="002F14DB"/>
    <w:rsid w:val="002F1553"/>
    <w:rsid w:val="002F17FF"/>
    <w:rsid w:val="002F185F"/>
    <w:rsid w:val="002F1D60"/>
    <w:rsid w:val="002F4247"/>
    <w:rsid w:val="002F45E3"/>
    <w:rsid w:val="002F4CBD"/>
    <w:rsid w:val="002F4D42"/>
    <w:rsid w:val="002F6704"/>
    <w:rsid w:val="002F6815"/>
    <w:rsid w:val="002F7869"/>
    <w:rsid w:val="002F7F36"/>
    <w:rsid w:val="00300488"/>
    <w:rsid w:val="00300BD9"/>
    <w:rsid w:val="00300F80"/>
    <w:rsid w:val="0030109F"/>
    <w:rsid w:val="003014A2"/>
    <w:rsid w:val="00301676"/>
    <w:rsid w:val="00301AB6"/>
    <w:rsid w:val="0030218A"/>
    <w:rsid w:val="003027AE"/>
    <w:rsid w:val="00303320"/>
    <w:rsid w:val="00303492"/>
    <w:rsid w:val="003039FD"/>
    <w:rsid w:val="00303DA9"/>
    <w:rsid w:val="00303E8A"/>
    <w:rsid w:val="00303EF1"/>
    <w:rsid w:val="00303FA3"/>
    <w:rsid w:val="00303FE0"/>
    <w:rsid w:val="003041A5"/>
    <w:rsid w:val="0030545D"/>
    <w:rsid w:val="00305E24"/>
    <w:rsid w:val="00305FF9"/>
    <w:rsid w:val="00306211"/>
    <w:rsid w:val="003069D4"/>
    <w:rsid w:val="00306C33"/>
    <w:rsid w:val="003071F3"/>
    <w:rsid w:val="003073F5"/>
    <w:rsid w:val="00310A56"/>
    <w:rsid w:val="00310A90"/>
    <w:rsid w:val="003118CE"/>
    <w:rsid w:val="00311DB6"/>
    <w:rsid w:val="00311ED8"/>
    <w:rsid w:val="00313130"/>
    <w:rsid w:val="00314460"/>
    <w:rsid w:val="0031450D"/>
    <w:rsid w:val="00317315"/>
    <w:rsid w:val="00317704"/>
    <w:rsid w:val="00317C14"/>
    <w:rsid w:val="00317CAF"/>
    <w:rsid w:val="0032142F"/>
    <w:rsid w:val="003228F2"/>
    <w:rsid w:val="00323496"/>
    <w:rsid w:val="00323FEF"/>
    <w:rsid w:val="0032423A"/>
    <w:rsid w:val="00324C65"/>
    <w:rsid w:val="00325606"/>
    <w:rsid w:val="003257E9"/>
    <w:rsid w:val="00325AC0"/>
    <w:rsid w:val="00327B6B"/>
    <w:rsid w:val="00327DA8"/>
    <w:rsid w:val="00330064"/>
    <w:rsid w:val="00330967"/>
    <w:rsid w:val="00331131"/>
    <w:rsid w:val="0033114E"/>
    <w:rsid w:val="00331151"/>
    <w:rsid w:val="003318F0"/>
    <w:rsid w:val="00331D2C"/>
    <w:rsid w:val="003324D9"/>
    <w:rsid w:val="0033250B"/>
    <w:rsid w:val="00332716"/>
    <w:rsid w:val="0033277B"/>
    <w:rsid w:val="00332CBD"/>
    <w:rsid w:val="00332CC9"/>
    <w:rsid w:val="00333435"/>
    <w:rsid w:val="00333893"/>
    <w:rsid w:val="00333BA5"/>
    <w:rsid w:val="0033530D"/>
    <w:rsid w:val="00335723"/>
    <w:rsid w:val="0033601C"/>
    <w:rsid w:val="003362F8"/>
    <w:rsid w:val="00337BA0"/>
    <w:rsid w:val="00340181"/>
    <w:rsid w:val="003403B7"/>
    <w:rsid w:val="00340841"/>
    <w:rsid w:val="00340CEC"/>
    <w:rsid w:val="003414D4"/>
    <w:rsid w:val="00341971"/>
    <w:rsid w:val="0034255E"/>
    <w:rsid w:val="003425A2"/>
    <w:rsid w:val="003438CD"/>
    <w:rsid w:val="00343D0C"/>
    <w:rsid w:val="00345030"/>
    <w:rsid w:val="00345165"/>
    <w:rsid w:val="003451B3"/>
    <w:rsid w:val="00345201"/>
    <w:rsid w:val="00345917"/>
    <w:rsid w:val="00345ACC"/>
    <w:rsid w:val="00345D52"/>
    <w:rsid w:val="00345DC0"/>
    <w:rsid w:val="00345E95"/>
    <w:rsid w:val="003468B8"/>
    <w:rsid w:val="00346A83"/>
    <w:rsid w:val="003470AA"/>
    <w:rsid w:val="003470B6"/>
    <w:rsid w:val="00347D80"/>
    <w:rsid w:val="00350025"/>
    <w:rsid w:val="00350719"/>
    <w:rsid w:val="00350934"/>
    <w:rsid w:val="00350B56"/>
    <w:rsid w:val="003526D5"/>
    <w:rsid w:val="003532D8"/>
    <w:rsid w:val="00353300"/>
    <w:rsid w:val="00353743"/>
    <w:rsid w:val="00353ECB"/>
    <w:rsid w:val="0035428C"/>
    <w:rsid w:val="00354500"/>
    <w:rsid w:val="00355009"/>
    <w:rsid w:val="003557A9"/>
    <w:rsid w:val="003557B7"/>
    <w:rsid w:val="003558C2"/>
    <w:rsid w:val="00355BD9"/>
    <w:rsid w:val="00355E03"/>
    <w:rsid w:val="00356454"/>
    <w:rsid w:val="0035680A"/>
    <w:rsid w:val="00356C94"/>
    <w:rsid w:val="00357175"/>
    <w:rsid w:val="00357B40"/>
    <w:rsid w:val="00360700"/>
    <w:rsid w:val="003609CA"/>
    <w:rsid w:val="0036112F"/>
    <w:rsid w:val="003612BF"/>
    <w:rsid w:val="00361AAE"/>
    <w:rsid w:val="0036225A"/>
    <w:rsid w:val="00362B83"/>
    <w:rsid w:val="00363036"/>
    <w:rsid w:val="00363B10"/>
    <w:rsid w:val="00365313"/>
    <w:rsid w:val="00365BC3"/>
    <w:rsid w:val="00367114"/>
    <w:rsid w:val="003679A8"/>
    <w:rsid w:val="00370C0F"/>
    <w:rsid w:val="00370FFF"/>
    <w:rsid w:val="00371464"/>
    <w:rsid w:val="003718C2"/>
    <w:rsid w:val="003720D9"/>
    <w:rsid w:val="00372989"/>
    <w:rsid w:val="00372B21"/>
    <w:rsid w:val="00372FFA"/>
    <w:rsid w:val="00373083"/>
    <w:rsid w:val="003732DA"/>
    <w:rsid w:val="0037358C"/>
    <w:rsid w:val="00373649"/>
    <w:rsid w:val="003737D7"/>
    <w:rsid w:val="00373A51"/>
    <w:rsid w:val="00373AD8"/>
    <w:rsid w:val="00373B4E"/>
    <w:rsid w:val="00374825"/>
    <w:rsid w:val="00374EB2"/>
    <w:rsid w:val="003751B1"/>
    <w:rsid w:val="0037688D"/>
    <w:rsid w:val="00377761"/>
    <w:rsid w:val="00377B57"/>
    <w:rsid w:val="00380044"/>
    <w:rsid w:val="003803BF"/>
    <w:rsid w:val="0038042C"/>
    <w:rsid w:val="00381A9F"/>
    <w:rsid w:val="0038217A"/>
    <w:rsid w:val="00384017"/>
    <w:rsid w:val="003853D6"/>
    <w:rsid w:val="00385C34"/>
    <w:rsid w:val="00386712"/>
    <w:rsid w:val="0038703F"/>
    <w:rsid w:val="003870CC"/>
    <w:rsid w:val="003874BC"/>
    <w:rsid w:val="003874EC"/>
    <w:rsid w:val="00390A08"/>
    <w:rsid w:val="00390F65"/>
    <w:rsid w:val="003914D4"/>
    <w:rsid w:val="003916DB"/>
    <w:rsid w:val="00391C16"/>
    <w:rsid w:val="00391F86"/>
    <w:rsid w:val="003922A2"/>
    <w:rsid w:val="00392A47"/>
    <w:rsid w:val="00392A62"/>
    <w:rsid w:val="00392C6F"/>
    <w:rsid w:val="00392C96"/>
    <w:rsid w:val="00392E09"/>
    <w:rsid w:val="0039365B"/>
    <w:rsid w:val="00393D00"/>
    <w:rsid w:val="00394FAE"/>
    <w:rsid w:val="00395968"/>
    <w:rsid w:val="00395973"/>
    <w:rsid w:val="00395C6A"/>
    <w:rsid w:val="00395DBE"/>
    <w:rsid w:val="00395EA9"/>
    <w:rsid w:val="003A043A"/>
    <w:rsid w:val="003A0FE4"/>
    <w:rsid w:val="003A12CC"/>
    <w:rsid w:val="003A1838"/>
    <w:rsid w:val="003A263A"/>
    <w:rsid w:val="003A391C"/>
    <w:rsid w:val="003A3D1C"/>
    <w:rsid w:val="003A3F3E"/>
    <w:rsid w:val="003A4C82"/>
    <w:rsid w:val="003A5645"/>
    <w:rsid w:val="003A5683"/>
    <w:rsid w:val="003A69F1"/>
    <w:rsid w:val="003A6E91"/>
    <w:rsid w:val="003A704A"/>
    <w:rsid w:val="003A7EE8"/>
    <w:rsid w:val="003B05A9"/>
    <w:rsid w:val="003B13D7"/>
    <w:rsid w:val="003B1512"/>
    <w:rsid w:val="003B1D81"/>
    <w:rsid w:val="003B1DF8"/>
    <w:rsid w:val="003B2535"/>
    <w:rsid w:val="003B29A3"/>
    <w:rsid w:val="003B2D0B"/>
    <w:rsid w:val="003B3DAE"/>
    <w:rsid w:val="003B4092"/>
    <w:rsid w:val="003B4A4B"/>
    <w:rsid w:val="003B5CC7"/>
    <w:rsid w:val="003B696D"/>
    <w:rsid w:val="003B6C8D"/>
    <w:rsid w:val="003B6CE5"/>
    <w:rsid w:val="003B784D"/>
    <w:rsid w:val="003C05B4"/>
    <w:rsid w:val="003C0CB4"/>
    <w:rsid w:val="003C14B9"/>
    <w:rsid w:val="003C1C3D"/>
    <w:rsid w:val="003C3D6C"/>
    <w:rsid w:val="003C45E1"/>
    <w:rsid w:val="003C4A47"/>
    <w:rsid w:val="003D0C4D"/>
    <w:rsid w:val="003D17D0"/>
    <w:rsid w:val="003D19E6"/>
    <w:rsid w:val="003D19FB"/>
    <w:rsid w:val="003D21A8"/>
    <w:rsid w:val="003D23A4"/>
    <w:rsid w:val="003D272F"/>
    <w:rsid w:val="003D29FA"/>
    <w:rsid w:val="003D2BBA"/>
    <w:rsid w:val="003D4D5A"/>
    <w:rsid w:val="003D4E70"/>
    <w:rsid w:val="003D69F6"/>
    <w:rsid w:val="003D6C3C"/>
    <w:rsid w:val="003D6C8D"/>
    <w:rsid w:val="003E04BC"/>
    <w:rsid w:val="003E1518"/>
    <w:rsid w:val="003E17E5"/>
    <w:rsid w:val="003E1978"/>
    <w:rsid w:val="003E2238"/>
    <w:rsid w:val="003E225D"/>
    <w:rsid w:val="003E2573"/>
    <w:rsid w:val="003E38E3"/>
    <w:rsid w:val="003E39B6"/>
    <w:rsid w:val="003E4FE2"/>
    <w:rsid w:val="003E52D6"/>
    <w:rsid w:val="003E566E"/>
    <w:rsid w:val="003E56E7"/>
    <w:rsid w:val="003E5AF6"/>
    <w:rsid w:val="003E7B6A"/>
    <w:rsid w:val="003E7BE4"/>
    <w:rsid w:val="003F0142"/>
    <w:rsid w:val="003F0791"/>
    <w:rsid w:val="003F0D1E"/>
    <w:rsid w:val="003F16A1"/>
    <w:rsid w:val="003F3BBA"/>
    <w:rsid w:val="003F3C32"/>
    <w:rsid w:val="003F3E11"/>
    <w:rsid w:val="003F419F"/>
    <w:rsid w:val="003F49DB"/>
    <w:rsid w:val="003F5306"/>
    <w:rsid w:val="003F5A26"/>
    <w:rsid w:val="003F64B0"/>
    <w:rsid w:val="003F67AE"/>
    <w:rsid w:val="003F6A97"/>
    <w:rsid w:val="003F6DCE"/>
    <w:rsid w:val="00400546"/>
    <w:rsid w:val="0040099C"/>
    <w:rsid w:val="004013CA"/>
    <w:rsid w:val="00402A50"/>
    <w:rsid w:val="004033F9"/>
    <w:rsid w:val="00403834"/>
    <w:rsid w:val="00404169"/>
    <w:rsid w:val="00404B0C"/>
    <w:rsid w:val="00404FB5"/>
    <w:rsid w:val="0040657D"/>
    <w:rsid w:val="004070C0"/>
    <w:rsid w:val="00407537"/>
    <w:rsid w:val="004078F9"/>
    <w:rsid w:val="004079EA"/>
    <w:rsid w:val="00407CA8"/>
    <w:rsid w:val="00410BA3"/>
    <w:rsid w:val="00410D2D"/>
    <w:rsid w:val="0041123A"/>
    <w:rsid w:val="004114BA"/>
    <w:rsid w:val="00411700"/>
    <w:rsid w:val="00411BBC"/>
    <w:rsid w:val="00411F7A"/>
    <w:rsid w:val="00413230"/>
    <w:rsid w:val="00413379"/>
    <w:rsid w:val="00413437"/>
    <w:rsid w:val="004145C5"/>
    <w:rsid w:val="004147BD"/>
    <w:rsid w:val="00414830"/>
    <w:rsid w:val="00414CF0"/>
    <w:rsid w:val="0041507C"/>
    <w:rsid w:val="00415085"/>
    <w:rsid w:val="00415548"/>
    <w:rsid w:val="004160C2"/>
    <w:rsid w:val="00416629"/>
    <w:rsid w:val="00416E14"/>
    <w:rsid w:val="00416E98"/>
    <w:rsid w:val="004170A5"/>
    <w:rsid w:val="00417597"/>
    <w:rsid w:val="004178AA"/>
    <w:rsid w:val="00417A74"/>
    <w:rsid w:val="00420125"/>
    <w:rsid w:val="004201E0"/>
    <w:rsid w:val="00420D2A"/>
    <w:rsid w:val="004213D1"/>
    <w:rsid w:val="00421E35"/>
    <w:rsid w:val="00423A2A"/>
    <w:rsid w:val="004241B9"/>
    <w:rsid w:val="004245CD"/>
    <w:rsid w:val="00424905"/>
    <w:rsid w:val="0042552F"/>
    <w:rsid w:val="004258F9"/>
    <w:rsid w:val="00425AA0"/>
    <w:rsid w:val="00425D40"/>
    <w:rsid w:val="00426756"/>
    <w:rsid w:val="00426E5A"/>
    <w:rsid w:val="0042792F"/>
    <w:rsid w:val="00427FE8"/>
    <w:rsid w:val="00430B6E"/>
    <w:rsid w:val="00430F76"/>
    <w:rsid w:val="004324A7"/>
    <w:rsid w:val="00432713"/>
    <w:rsid w:val="004327CA"/>
    <w:rsid w:val="00432842"/>
    <w:rsid w:val="00432DE0"/>
    <w:rsid w:val="00433D6F"/>
    <w:rsid w:val="00435797"/>
    <w:rsid w:val="004358CF"/>
    <w:rsid w:val="00435BE9"/>
    <w:rsid w:val="00435F6A"/>
    <w:rsid w:val="004363F2"/>
    <w:rsid w:val="0043743D"/>
    <w:rsid w:val="0043764D"/>
    <w:rsid w:val="00440425"/>
    <w:rsid w:val="004415CF"/>
    <w:rsid w:val="00441BCA"/>
    <w:rsid w:val="00442718"/>
    <w:rsid w:val="00442889"/>
    <w:rsid w:val="0044358F"/>
    <w:rsid w:val="00443F9E"/>
    <w:rsid w:val="004442B3"/>
    <w:rsid w:val="0044480F"/>
    <w:rsid w:val="004451C6"/>
    <w:rsid w:val="004458DE"/>
    <w:rsid w:val="004466EF"/>
    <w:rsid w:val="00446D31"/>
    <w:rsid w:val="00447327"/>
    <w:rsid w:val="00447350"/>
    <w:rsid w:val="004479B9"/>
    <w:rsid w:val="0045000E"/>
    <w:rsid w:val="00450C79"/>
    <w:rsid w:val="00451461"/>
    <w:rsid w:val="00451EE4"/>
    <w:rsid w:val="00452207"/>
    <w:rsid w:val="004526CE"/>
    <w:rsid w:val="00452C96"/>
    <w:rsid w:val="00453F4B"/>
    <w:rsid w:val="0045467D"/>
    <w:rsid w:val="004549CE"/>
    <w:rsid w:val="00455427"/>
    <w:rsid w:val="0045730F"/>
    <w:rsid w:val="00457505"/>
    <w:rsid w:val="00460615"/>
    <w:rsid w:val="00460BB0"/>
    <w:rsid w:val="00461198"/>
    <w:rsid w:val="00461A9A"/>
    <w:rsid w:val="00461AE6"/>
    <w:rsid w:val="00462D7A"/>
    <w:rsid w:val="00462E2F"/>
    <w:rsid w:val="004639D3"/>
    <w:rsid w:val="00463F8D"/>
    <w:rsid w:val="0046518B"/>
    <w:rsid w:val="004663FF"/>
    <w:rsid w:val="00466EAC"/>
    <w:rsid w:val="00467634"/>
    <w:rsid w:val="00467AE2"/>
    <w:rsid w:val="00467C19"/>
    <w:rsid w:val="00467C3B"/>
    <w:rsid w:val="0047011A"/>
    <w:rsid w:val="00470861"/>
    <w:rsid w:val="00470C89"/>
    <w:rsid w:val="00471169"/>
    <w:rsid w:val="00471603"/>
    <w:rsid w:val="004729B7"/>
    <w:rsid w:val="00473653"/>
    <w:rsid w:val="004739F2"/>
    <w:rsid w:val="00474213"/>
    <w:rsid w:val="004749B4"/>
    <w:rsid w:val="0047518F"/>
    <w:rsid w:val="00475AF8"/>
    <w:rsid w:val="0047607C"/>
    <w:rsid w:val="0047638D"/>
    <w:rsid w:val="0047654C"/>
    <w:rsid w:val="004801DF"/>
    <w:rsid w:val="004804C8"/>
    <w:rsid w:val="00480DBF"/>
    <w:rsid w:val="004811C9"/>
    <w:rsid w:val="004812EC"/>
    <w:rsid w:val="004812ED"/>
    <w:rsid w:val="00481B7E"/>
    <w:rsid w:val="00481F9E"/>
    <w:rsid w:val="0048247F"/>
    <w:rsid w:val="004831AF"/>
    <w:rsid w:val="00483478"/>
    <w:rsid w:val="00483802"/>
    <w:rsid w:val="00484213"/>
    <w:rsid w:val="00484270"/>
    <w:rsid w:val="004842FB"/>
    <w:rsid w:val="004846B0"/>
    <w:rsid w:val="004856B2"/>
    <w:rsid w:val="004857E1"/>
    <w:rsid w:val="00485981"/>
    <w:rsid w:val="00486237"/>
    <w:rsid w:val="00487EFA"/>
    <w:rsid w:val="004907D7"/>
    <w:rsid w:val="0049105D"/>
    <w:rsid w:val="004918F2"/>
    <w:rsid w:val="00491AB4"/>
    <w:rsid w:val="00491FA0"/>
    <w:rsid w:val="0049237C"/>
    <w:rsid w:val="004927EA"/>
    <w:rsid w:val="00492C72"/>
    <w:rsid w:val="00492ED9"/>
    <w:rsid w:val="004932D4"/>
    <w:rsid w:val="0049365B"/>
    <w:rsid w:val="0049436C"/>
    <w:rsid w:val="004947A0"/>
    <w:rsid w:val="00495576"/>
    <w:rsid w:val="004956DC"/>
    <w:rsid w:val="0049681B"/>
    <w:rsid w:val="004968AD"/>
    <w:rsid w:val="004968D9"/>
    <w:rsid w:val="00496A37"/>
    <w:rsid w:val="00496E4B"/>
    <w:rsid w:val="004973FD"/>
    <w:rsid w:val="00497718"/>
    <w:rsid w:val="00497FBF"/>
    <w:rsid w:val="004A0290"/>
    <w:rsid w:val="004A0DE8"/>
    <w:rsid w:val="004A182F"/>
    <w:rsid w:val="004A1ACA"/>
    <w:rsid w:val="004A1DB6"/>
    <w:rsid w:val="004A1E32"/>
    <w:rsid w:val="004A27A1"/>
    <w:rsid w:val="004A293A"/>
    <w:rsid w:val="004A30E4"/>
    <w:rsid w:val="004A3F1E"/>
    <w:rsid w:val="004A4044"/>
    <w:rsid w:val="004A45F1"/>
    <w:rsid w:val="004A54CE"/>
    <w:rsid w:val="004A5FF4"/>
    <w:rsid w:val="004A6075"/>
    <w:rsid w:val="004A6404"/>
    <w:rsid w:val="004A6423"/>
    <w:rsid w:val="004A6A09"/>
    <w:rsid w:val="004A7A00"/>
    <w:rsid w:val="004A7D02"/>
    <w:rsid w:val="004B0E7D"/>
    <w:rsid w:val="004B10F7"/>
    <w:rsid w:val="004B2356"/>
    <w:rsid w:val="004B2EEA"/>
    <w:rsid w:val="004B321B"/>
    <w:rsid w:val="004B387A"/>
    <w:rsid w:val="004B3C24"/>
    <w:rsid w:val="004B43CC"/>
    <w:rsid w:val="004B55D3"/>
    <w:rsid w:val="004B562D"/>
    <w:rsid w:val="004B5CEC"/>
    <w:rsid w:val="004B5FF6"/>
    <w:rsid w:val="004B69AD"/>
    <w:rsid w:val="004B6CFB"/>
    <w:rsid w:val="004B7369"/>
    <w:rsid w:val="004B7A9E"/>
    <w:rsid w:val="004B7CE3"/>
    <w:rsid w:val="004B7E03"/>
    <w:rsid w:val="004B7E83"/>
    <w:rsid w:val="004B7F6B"/>
    <w:rsid w:val="004C1D42"/>
    <w:rsid w:val="004C226D"/>
    <w:rsid w:val="004C24CF"/>
    <w:rsid w:val="004C2B71"/>
    <w:rsid w:val="004C368E"/>
    <w:rsid w:val="004C4136"/>
    <w:rsid w:val="004C41FF"/>
    <w:rsid w:val="004C4509"/>
    <w:rsid w:val="004C45ED"/>
    <w:rsid w:val="004C4DC8"/>
    <w:rsid w:val="004C520C"/>
    <w:rsid w:val="004C5346"/>
    <w:rsid w:val="004C6A69"/>
    <w:rsid w:val="004C6CC9"/>
    <w:rsid w:val="004C6DDB"/>
    <w:rsid w:val="004C70D1"/>
    <w:rsid w:val="004C7609"/>
    <w:rsid w:val="004D0022"/>
    <w:rsid w:val="004D0249"/>
    <w:rsid w:val="004D0395"/>
    <w:rsid w:val="004D0AD0"/>
    <w:rsid w:val="004D119B"/>
    <w:rsid w:val="004D2423"/>
    <w:rsid w:val="004D3CF3"/>
    <w:rsid w:val="004D441C"/>
    <w:rsid w:val="004D5B3F"/>
    <w:rsid w:val="004D64EA"/>
    <w:rsid w:val="004D6696"/>
    <w:rsid w:val="004D7A26"/>
    <w:rsid w:val="004D7BEF"/>
    <w:rsid w:val="004E0317"/>
    <w:rsid w:val="004E04D9"/>
    <w:rsid w:val="004E0A0A"/>
    <w:rsid w:val="004E1912"/>
    <w:rsid w:val="004E1A19"/>
    <w:rsid w:val="004E1DD4"/>
    <w:rsid w:val="004E3235"/>
    <w:rsid w:val="004E3291"/>
    <w:rsid w:val="004E43BD"/>
    <w:rsid w:val="004E4BE9"/>
    <w:rsid w:val="004E4C95"/>
    <w:rsid w:val="004E55FB"/>
    <w:rsid w:val="004E5966"/>
    <w:rsid w:val="004E605E"/>
    <w:rsid w:val="004E6878"/>
    <w:rsid w:val="004E6A5A"/>
    <w:rsid w:val="004E6BBC"/>
    <w:rsid w:val="004E6CE7"/>
    <w:rsid w:val="004E6DF9"/>
    <w:rsid w:val="004E72BE"/>
    <w:rsid w:val="004E75ED"/>
    <w:rsid w:val="004F001F"/>
    <w:rsid w:val="004F0357"/>
    <w:rsid w:val="004F03CE"/>
    <w:rsid w:val="004F0CFB"/>
    <w:rsid w:val="004F13BD"/>
    <w:rsid w:val="004F1C10"/>
    <w:rsid w:val="004F2F81"/>
    <w:rsid w:val="004F389B"/>
    <w:rsid w:val="004F4ADE"/>
    <w:rsid w:val="004F56E1"/>
    <w:rsid w:val="004F632D"/>
    <w:rsid w:val="004F6871"/>
    <w:rsid w:val="004F79F4"/>
    <w:rsid w:val="004F7F0C"/>
    <w:rsid w:val="00500AEB"/>
    <w:rsid w:val="00500F9B"/>
    <w:rsid w:val="005011AE"/>
    <w:rsid w:val="0050153D"/>
    <w:rsid w:val="00502577"/>
    <w:rsid w:val="005025A1"/>
    <w:rsid w:val="00502EE5"/>
    <w:rsid w:val="00503383"/>
    <w:rsid w:val="00504AB5"/>
    <w:rsid w:val="00504E04"/>
    <w:rsid w:val="00505999"/>
    <w:rsid w:val="00505A19"/>
    <w:rsid w:val="00505C96"/>
    <w:rsid w:val="005060E5"/>
    <w:rsid w:val="00506B27"/>
    <w:rsid w:val="0050720A"/>
    <w:rsid w:val="0050757A"/>
    <w:rsid w:val="005075FA"/>
    <w:rsid w:val="00507CF4"/>
    <w:rsid w:val="00510436"/>
    <w:rsid w:val="00510443"/>
    <w:rsid w:val="0051046A"/>
    <w:rsid w:val="00510925"/>
    <w:rsid w:val="00510BB6"/>
    <w:rsid w:val="00510D72"/>
    <w:rsid w:val="00511661"/>
    <w:rsid w:val="00511855"/>
    <w:rsid w:val="00512B0A"/>
    <w:rsid w:val="00512CC0"/>
    <w:rsid w:val="00513A98"/>
    <w:rsid w:val="00513FAD"/>
    <w:rsid w:val="00515870"/>
    <w:rsid w:val="005165DE"/>
    <w:rsid w:val="005166FD"/>
    <w:rsid w:val="00516E0A"/>
    <w:rsid w:val="00517358"/>
    <w:rsid w:val="00517A9E"/>
    <w:rsid w:val="005202CF"/>
    <w:rsid w:val="00520B5B"/>
    <w:rsid w:val="00520D5A"/>
    <w:rsid w:val="00521102"/>
    <w:rsid w:val="00521209"/>
    <w:rsid w:val="00521340"/>
    <w:rsid w:val="0052143D"/>
    <w:rsid w:val="0052274C"/>
    <w:rsid w:val="00522EB8"/>
    <w:rsid w:val="00522F55"/>
    <w:rsid w:val="005240E9"/>
    <w:rsid w:val="0052426E"/>
    <w:rsid w:val="00525933"/>
    <w:rsid w:val="00525DC8"/>
    <w:rsid w:val="00526273"/>
    <w:rsid w:val="005267A2"/>
    <w:rsid w:val="00526C10"/>
    <w:rsid w:val="00530F66"/>
    <w:rsid w:val="00530F91"/>
    <w:rsid w:val="00532A5E"/>
    <w:rsid w:val="00532A6D"/>
    <w:rsid w:val="005337FD"/>
    <w:rsid w:val="00533A66"/>
    <w:rsid w:val="00533F38"/>
    <w:rsid w:val="00534226"/>
    <w:rsid w:val="00534745"/>
    <w:rsid w:val="005347E1"/>
    <w:rsid w:val="005351ED"/>
    <w:rsid w:val="00535350"/>
    <w:rsid w:val="005354C0"/>
    <w:rsid w:val="00535D6C"/>
    <w:rsid w:val="00536830"/>
    <w:rsid w:val="005369FF"/>
    <w:rsid w:val="00537317"/>
    <w:rsid w:val="005376AB"/>
    <w:rsid w:val="00537D86"/>
    <w:rsid w:val="00540003"/>
    <w:rsid w:val="0054088D"/>
    <w:rsid w:val="00540F8A"/>
    <w:rsid w:val="005419FE"/>
    <w:rsid w:val="005421D2"/>
    <w:rsid w:val="0054411A"/>
    <w:rsid w:val="00544212"/>
    <w:rsid w:val="00544D75"/>
    <w:rsid w:val="005457BB"/>
    <w:rsid w:val="00545CD0"/>
    <w:rsid w:val="00546D60"/>
    <w:rsid w:val="00546D67"/>
    <w:rsid w:val="00547D61"/>
    <w:rsid w:val="00550394"/>
    <w:rsid w:val="00551DD8"/>
    <w:rsid w:val="00551F01"/>
    <w:rsid w:val="00553337"/>
    <w:rsid w:val="005557BF"/>
    <w:rsid w:val="005557C1"/>
    <w:rsid w:val="00555A20"/>
    <w:rsid w:val="00555C13"/>
    <w:rsid w:val="00555DFD"/>
    <w:rsid w:val="00556657"/>
    <w:rsid w:val="00556D1B"/>
    <w:rsid w:val="00556D77"/>
    <w:rsid w:val="005576EE"/>
    <w:rsid w:val="0055775A"/>
    <w:rsid w:val="00557E7E"/>
    <w:rsid w:val="00560077"/>
    <w:rsid w:val="0056099F"/>
    <w:rsid w:val="00560F75"/>
    <w:rsid w:val="00560F85"/>
    <w:rsid w:val="00561028"/>
    <w:rsid w:val="005623E9"/>
    <w:rsid w:val="005629A5"/>
    <w:rsid w:val="00562E27"/>
    <w:rsid w:val="0056316B"/>
    <w:rsid w:val="00563CDC"/>
    <w:rsid w:val="00565488"/>
    <w:rsid w:val="005655F4"/>
    <w:rsid w:val="00565995"/>
    <w:rsid w:val="00565DBF"/>
    <w:rsid w:val="00566A3D"/>
    <w:rsid w:val="00566AC9"/>
    <w:rsid w:val="00566BDD"/>
    <w:rsid w:val="005675FB"/>
    <w:rsid w:val="0056789C"/>
    <w:rsid w:val="00567D35"/>
    <w:rsid w:val="00570300"/>
    <w:rsid w:val="00570309"/>
    <w:rsid w:val="0057032D"/>
    <w:rsid w:val="00570496"/>
    <w:rsid w:val="005720EB"/>
    <w:rsid w:val="005722F6"/>
    <w:rsid w:val="00572523"/>
    <w:rsid w:val="00572813"/>
    <w:rsid w:val="00572C53"/>
    <w:rsid w:val="005737EB"/>
    <w:rsid w:val="00573D9B"/>
    <w:rsid w:val="00574352"/>
    <w:rsid w:val="005749FF"/>
    <w:rsid w:val="00574BA3"/>
    <w:rsid w:val="00574CD0"/>
    <w:rsid w:val="00574DE0"/>
    <w:rsid w:val="00575708"/>
    <w:rsid w:val="005757D4"/>
    <w:rsid w:val="005757E9"/>
    <w:rsid w:val="00575801"/>
    <w:rsid w:val="00575CFD"/>
    <w:rsid w:val="005764D5"/>
    <w:rsid w:val="005768FC"/>
    <w:rsid w:val="005779C6"/>
    <w:rsid w:val="00580F29"/>
    <w:rsid w:val="00581DA7"/>
    <w:rsid w:val="00581E26"/>
    <w:rsid w:val="005820DB"/>
    <w:rsid w:val="005825AC"/>
    <w:rsid w:val="0058260A"/>
    <w:rsid w:val="00583152"/>
    <w:rsid w:val="00583673"/>
    <w:rsid w:val="00583E43"/>
    <w:rsid w:val="00584307"/>
    <w:rsid w:val="0058455D"/>
    <w:rsid w:val="00584623"/>
    <w:rsid w:val="00584BFE"/>
    <w:rsid w:val="00584CE0"/>
    <w:rsid w:val="00585416"/>
    <w:rsid w:val="005854F7"/>
    <w:rsid w:val="005856B7"/>
    <w:rsid w:val="00585BE0"/>
    <w:rsid w:val="005865F1"/>
    <w:rsid w:val="00587CE6"/>
    <w:rsid w:val="00590060"/>
    <w:rsid w:val="00590408"/>
    <w:rsid w:val="00590450"/>
    <w:rsid w:val="00590CA9"/>
    <w:rsid w:val="00590CF1"/>
    <w:rsid w:val="005915B2"/>
    <w:rsid w:val="00591CB3"/>
    <w:rsid w:val="00592701"/>
    <w:rsid w:val="005929A2"/>
    <w:rsid w:val="005936B2"/>
    <w:rsid w:val="00593BD7"/>
    <w:rsid w:val="00593C1F"/>
    <w:rsid w:val="00594131"/>
    <w:rsid w:val="00594523"/>
    <w:rsid w:val="00595335"/>
    <w:rsid w:val="00596772"/>
    <w:rsid w:val="00597D07"/>
    <w:rsid w:val="005A1595"/>
    <w:rsid w:val="005A2822"/>
    <w:rsid w:val="005A2ADA"/>
    <w:rsid w:val="005A2E03"/>
    <w:rsid w:val="005A3D79"/>
    <w:rsid w:val="005A43C7"/>
    <w:rsid w:val="005A55B3"/>
    <w:rsid w:val="005A5B29"/>
    <w:rsid w:val="005A605A"/>
    <w:rsid w:val="005A63DA"/>
    <w:rsid w:val="005A6AA7"/>
    <w:rsid w:val="005A6D47"/>
    <w:rsid w:val="005A73B7"/>
    <w:rsid w:val="005A7E4A"/>
    <w:rsid w:val="005A7E7C"/>
    <w:rsid w:val="005B033F"/>
    <w:rsid w:val="005B07C5"/>
    <w:rsid w:val="005B08DF"/>
    <w:rsid w:val="005B1CEE"/>
    <w:rsid w:val="005B2284"/>
    <w:rsid w:val="005B2D2E"/>
    <w:rsid w:val="005B2EAE"/>
    <w:rsid w:val="005B2EB9"/>
    <w:rsid w:val="005B333F"/>
    <w:rsid w:val="005B3758"/>
    <w:rsid w:val="005B379C"/>
    <w:rsid w:val="005B4EA6"/>
    <w:rsid w:val="005B50DE"/>
    <w:rsid w:val="005B56DF"/>
    <w:rsid w:val="005B57D9"/>
    <w:rsid w:val="005B59BC"/>
    <w:rsid w:val="005B5CAF"/>
    <w:rsid w:val="005B61EF"/>
    <w:rsid w:val="005B6742"/>
    <w:rsid w:val="005B68AE"/>
    <w:rsid w:val="005B6C17"/>
    <w:rsid w:val="005B7B81"/>
    <w:rsid w:val="005C00C6"/>
    <w:rsid w:val="005C01CC"/>
    <w:rsid w:val="005C07E1"/>
    <w:rsid w:val="005C087A"/>
    <w:rsid w:val="005C095B"/>
    <w:rsid w:val="005C1265"/>
    <w:rsid w:val="005C13CE"/>
    <w:rsid w:val="005C1AFB"/>
    <w:rsid w:val="005C1C34"/>
    <w:rsid w:val="005C2053"/>
    <w:rsid w:val="005C211B"/>
    <w:rsid w:val="005C2798"/>
    <w:rsid w:val="005C2926"/>
    <w:rsid w:val="005C2E9E"/>
    <w:rsid w:val="005C44E4"/>
    <w:rsid w:val="005C48F2"/>
    <w:rsid w:val="005C4FB4"/>
    <w:rsid w:val="005C545D"/>
    <w:rsid w:val="005C5B56"/>
    <w:rsid w:val="005C5E59"/>
    <w:rsid w:val="005C6CC9"/>
    <w:rsid w:val="005C6D5B"/>
    <w:rsid w:val="005C7288"/>
    <w:rsid w:val="005C739F"/>
    <w:rsid w:val="005C7F46"/>
    <w:rsid w:val="005D0CCC"/>
    <w:rsid w:val="005D1631"/>
    <w:rsid w:val="005D2ADD"/>
    <w:rsid w:val="005D2FA7"/>
    <w:rsid w:val="005D3087"/>
    <w:rsid w:val="005D31C5"/>
    <w:rsid w:val="005D35FE"/>
    <w:rsid w:val="005D361D"/>
    <w:rsid w:val="005D472B"/>
    <w:rsid w:val="005D49D4"/>
    <w:rsid w:val="005D505A"/>
    <w:rsid w:val="005D5BA2"/>
    <w:rsid w:val="005D5EDE"/>
    <w:rsid w:val="005D6602"/>
    <w:rsid w:val="005D7CE0"/>
    <w:rsid w:val="005E1C29"/>
    <w:rsid w:val="005E2249"/>
    <w:rsid w:val="005E2470"/>
    <w:rsid w:val="005E3320"/>
    <w:rsid w:val="005E3A56"/>
    <w:rsid w:val="005E3C9A"/>
    <w:rsid w:val="005E4720"/>
    <w:rsid w:val="005E476D"/>
    <w:rsid w:val="005E7189"/>
    <w:rsid w:val="005E744A"/>
    <w:rsid w:val="005F07AC"/>
    <w:rsid w:val="005F07B5"/>
    <w:rsid w:val="005F0EF7"/>
    <w:rsid w:val="005F1634"/>
    <w:rsid w:val="005F1AB9"/>
    <w:rsid w:val="005F1DBF"/>
    <w:rsid w:val="005F2B44"/>
    <w:rsid w:val="005F2D3A"/>
    <w:rsid w:val="005F43BD"/>
    <w:rsid w:val="005F4537"/>
    <w:rsid w:val="005F4BA8"/>
    <w:rsid w:val="005F4C4B"/>
    <w:rsid w:val="005F4F38"/>
    <w:rsid w:val="005F5B0F"/>
    <w:rsid w:val="005F5FCD"/>
    <w:rsid w:val="005F6167"/>
    <w:rsid w:val="005F6257"/>
    <w:rsid w:val="005F702B"/>
    <w:rsid w:val="005F7C2F"/>
    <w:rsid w:val="006006DB"/>
    <w:rsid w:val="00600A4B"/>
    <w:rsid w:val="00600A4D"/>
    <w:rsid w:val="00600D70"/>
    <w:rsid w:val="006013EF"/>
    <w:rsid w:val="0060257B"/>
    <w:rsid w:val="006030EB"/>
    <w:rsid w:val="00604CAA"/>
    <w:rsid w:val="00605685"/>
    <w:rsid w:val="00606BEE"/>
    <w:rsid w:val="00606E99"/>
    <w:rsid w:val="006105D8"/>
    <w:rsid w:val="006107AE"/>
    <w:rsid w:val="006107EC"/>
    <w:rsid w:val="006107EF"/>
    <w:rsid w:val="00611A44"/>
    <w:rsid w:val="006135DA"/>
    <w:rsid w:val="00613BB8"/>
    <w:rsid w:val="00614211"/>
    <w:rsid w:val="00615522"/>
    <w:rsid w:val="00615669"/>
    <w:rsid w:val="006156D7"/>
    <w:rsid w:val="00616B5A"/>
    <w:rsid w:val="00616B98"/>
    <w:rsid w:val="00616C19"/>
    <w:rsid w:val="00616FF9"/>
    <w:rsid w:val="006172C4"/>
    <w:rsid w:val="00621835"/>
    <w:rsid w:val="0062191F"/>
    <w:rsid w:val="00621D3E"/>
    <w:rsid w:val="0062308A"/>
    <w:rsid w:val="0062336A"/>
    <w:rsid w:val="00623395"/>
    <w:rsid w:val="00626773"/>
    <w:rsid w:val="0062693F"/>
    <w:rsid w:val="00626E19"/>
    <w:rsid w:val="006276CF"/>
    <w:rsid w:val="00627D4A"/>
    <w:rsid w:val="00627D89"/>
    <w:rsid w:val="006304E3"/>
    <w:rsid w:val="006305AB"/>
    <w:rsid w:val="00630927"/>
    <w:rsid w:val="00630A1A"/>
    <w:rsid w:val="00631A76"/>
    <w:rsid w:val="00631D15"/>
    <w:rsid w:val="00632008"/>
    <w:rsid w:val="00632295"/>
    <w:rsid w:val="00632461"/>
    <w:rsid w:val="00635590"/>
    <w:rsid w:val="006359DA"/>
    <w:rsid w:val="00635B6C"/>
    <w:rsid w:val="00635F6B"/>
    <w:rsid w:val="00635F92"/>
    <w:rsid w:val="0063724C"/>
    <w:rsid w:val="00637EAE"/>
    <w:rsid w:val="00637F4A"/>
    <w:rsid w:val="00640771"/>
    <w:rsid w:val="00640803"/>
    <w:rsid w:val="00640F2D"/>
    <w:rsid w:val="00641134"/>
    <w:rsid w:val="006417F4"/>
    <w:rsid w:val="00641AC2"/>
    <w:rsid w:val="0064212B"/>
    <w:rsid w:val="006437E6"/>
    <w:rsid w:val="0064465F"/>
    <w:rsid w:val="0064492A"/>
    <w:rsid w:val="006457F2"/>
    <w:rsid w:val="00645E7B"/>
    <w:rsid w:val="00646249"/>
    <w:rsid w:val="006466CC"/>
    <w:rsid w:val="006469DF"/>
    <w:rsid w:val="00646A54"/>
    <w:rsid w:val="00646AB1"/>
    <w:rsid w:val="006475D4"/>
    <w:rsid w:val="0064772C"/>
    <w:rsid w:val="0064783B"/>
    <w:rsid w:val="006501CA"/>
    <w:rsid w:val="00650D86"/>
    <w:rsid w:val="006512FB"/>
    <w:rsid w:val="006519C2"/>
    <w:rsid w:val="00651B2A"/>
    <w:rsid w:val="00651EE8"/>
    <w:rsid w:val="0065374E"/>
    <w:rsid w:val="00653996"/>
    <w:rsid w:val="00653E4D"/>
    <w:rsid w:val="00653EF8"/>
    <w:rsid w:val="00653FAC"/>
    <w:rsid w:val="0065535B"/>
    <w:rsid w:val="00655847"/>
    <w:rsid w:val="00655B98"/>
    <w:rsid w:val="006563A4"/>
    <w:rsid w:val="00657248"/>
    <w:rsid w:val="006579F7"/>
    <w:rsid w:val="00661841"/>
    <w:rsid w:val="00661DE6"/>
    <w:rsid w:val="00662F45"/>
    <w:rsid w:val="006633F4"/>
    <w:rsid w:val="00663B3B"/>
    <w:rsid w:val="00663FE0"/>
    <w:rsid w:val="006657D7"/>
    <w:rsid w:val="00665850"/>
    <w:rsid w:val="00665D22"/>
    <w:rsid w:val="0066637B"/>
    <w:rsid w:val="00667A76"/>
    <w:rsid w:val="00667E87"/>
    <w:rsid w:val="0067053C"/>
    <w:rsid w:val="00670FC5"/>
    <w:rsid w:val="0067133C"/>
    <w:rsid w:val="00671C11"/>
    <w:rsid w:val="00672126"/>
    <w:rsid w:val="00672289"/>
    <w:rsid w:val="00672668"/>
    <w:rsid w:val="00672EF0"/>
    <w:rsid w:val="00673442"/>
    <w:rsid w:val="0067432D"/>
    <w:rsid w:val="006745B3"/>
    <w:rsid w:val="00674DC0"/>
    <w:rsid w:val="00675921"/>
    <w:rsid w:val="00675B7E"/>
    <w:rsid w:val="00676469"/>
    <w:rsid w:val="006766A2"/>
    <w:rsid w:val="006772CD"/>
    <w:rsid w:val="00677DF6"/>
    <w:rsid w:val="006800D5"/>
    <w:rsid w:val="00680129"/>
    <w:rsid w:val="00680240"/>
    <w:rsid w:val="006804DD"/>
    <w:rsid w:val="0068094C"/>
    <w:rsid w:val="006809CA"/>
    <w:rsid w:val="00681B4C"/>
    <w:rsid w:val="00681DAA"/>
    <w:rsid w:val="006821D2"/>
    <w:rsid w:val="00682579"/>
    <w:rsid w:val="00682CDD"/>
    <w:rsid w:val="006832DB"/>
    <w:rsid w:val="00683468"/>
    <w:rsid w:val="00683DD9"/>
    <w:rsid w:val="0068435B"/>
    <w:rsid w:val="0068492B"/>
    <w:rsid w:val="00684DB7"/>
    <w:rsid w:val="00685BA4"/>
    <w:rsid w:val="00685C18"/>
    <w:rsid w:val="00685D79"/>
    <w:rsid w:val="00687B38"/>
    <w:rsid w:val="00687FF2"/>
    <w:rsid w:val="00687FFD"/>
    <w:rsid w:val="0069060A"/>
    <w:rsid w:val="006907DA"/>
    <w:rsid w:val="00690C81"/>
    <w:rsid w:val="00691B37"/>
    <w:rsid w:val="00691F5B"/>
    <w:rsid w:val="00691F8E"/>
    <w:rsid w:val="00692256"/>
    <w:rsid w:val="00693683"/>
    <w:rsid w:val="006937F6"/>
    <w:rsid w:val="00693C23"/>
    <w:rsid w:val="006956F8"/>
    <w:rsid w:val="00695C2D"/>
    <w:rsid w:val="00696DEB"/>
    <w:rsid w:val="00697265"/>
    <w:rsid w:val="00697453"/>
    <w:rsid w:val="00697820"/>
    <w:rsid w:val="00697B0D"/>
    <w:rsid w:val="00697C79"/>
    <w:rsid w:val="006A1AFE"/>
    <w:rsid w:val="006A1BE3"/>
    <w:rsid w:val="006A1C06"/>
    <w:rsid w:val="006A1D35"/>
    <w:rsid w:val="006A2DA0"/>
    <w:rsid w:val="006A3910"/>
    <w:rsid w:val="006A4439"/>
    <w:rsid w:val="006A473A"/>
    <w:rsid w:val="006A4B9E"/>
    <w:rsid w:val="006A4E3B"/>
    <w:rsid w:val="006A4F83"/>
    <w:rsid w:val="006A50D3"/>
    <w:rsid w:val="006A5C0C"/>
    <w:rsid w:val="006A5C71"/>
    <w:rsid w:val="006A5C9E"/>
    <w:rsid w:val="006A5D75"/>
    <w:rsid w:val="006A6136"/>
    <w:rsid w:val="006A654D"/>
    <w:rsid w:val="006A69DC"/>
    <w:rsid w:val="006A6F8D"/>
    <w:rsid w:val="006A7718"/>
    <w:rsid w:val="006A7E69"/>
    <w:rsid w:val="006B0379"/>
    <w:rsid w:val="006B0423"/>
    <w:rsid w:val="006B07C0"/>
    <w:rsid w:val="006B1267"/>
    <w:rsid w:val="006B1871"/>
    <w:rsid w:val="006B1AEA"/>
    <w:rsid w:val="006B1B69"/>
    <w:rsid w:val="006B2B37"/>
    <w:rsid w:val="006B2F4A"/>
    <w:rsid w:val="006B3027"/>
    <w:rsid w:val="006B314F"/>
    <w:rsid w:val="006B4B65"/>
    <w:rsid w:val="006B4E4A"/>
    <w:rsid w:val="006B6456"/>
    <w:rsid w:val="006B6B7D"/>
    <w:rsid w:val="006B6F77"/>
    <w:rsid w:val="006B6F7A"/>
    <w:rsid w:val="006B7508"/>
    <w:rsid w:val="006B794C"/>
    <w:rsid w:val="006B7F71"/>
    <w:rsid w:val="006C00BE"/>
    <w:rsid w:val="006C1213"/>
    <w:rsid w:val="006C15CC"/>
    <w:rsid w:val="006C18F5"/>
    <w:rsid w:val="006C190B"/>
    <w:rsid w:val="006C1C90"/>
    <w:rsid w:val="006C1FAF"/>
    <w:rsid w:val="006C3D13"/>
    <w:rsid w:val="006C42C6"/>
    <w:rsid w:val="006C4E04"/>
    <w:rsid w:val="006C5D64"/>
    <w:rsid w:val="006C672E"/>
    <w:rsid w:val="006C6809"/>
    <w:rsid w:val="006C733E"/>
    <w:rsid w:val="006C7D9E"/>
    <w:rsid w:val="006C7E11"/>
    <w:rsid w:val="006D015F"/>
    <w:rsid w:val="006D0AE4"/>
    <w:rsid w:val="006D1AC2"/>
    <w:rsid w:val="006D1D96"/>
    <w:rsid w:val="006D20D8"/>
    <w:rsid w:val="006D2322"/>
    <w:rsid w:val="006D2995"/>
    <w:rsid w:val="006D2AED"/>
    <w:rsid w:val="006D32D0"/>
    <w:rsid w:val="006D341B"/>
    <w:rsid w:val="006D3C2A"/>
    <w:rsid w:val="006D3D27"/>
    <w:rsid w:val="006D3D66"/>
    <w:rsid w:val="006D4188"/>
    <w:rsid w:val="006D4829"/>
    <w:rsid w:val="006D4AD1"/>
    <w:rsid w:val="006D4BD1"/>
    <w:rsid w:val="006D54E5"/>
    <w:rsid w:val="006D5B40"/>
    <w:rsid w:val="006D64E7"/>
    <w:rsid w:val="006D666D"/>
    <w:rsid w:val="006D6BF2"/>
    <w:rsid w:val="006D7131"/>
    <w:rsid w:val="006E00EE"/>
    <w:rsid w:val="006E01BD"/>
    <w:rsid w:val="006E0497"/>
    <w:rsid w:val="006E0596"/>
    <w:rsid w:val="006E05EC"/>
    <w:rsid w:val="006E0CBC"/>
    <w:rsid w:val="006E1EC2"/>
    <w:rsid w:val="006E1F86"/>
    <w:rsid w:val="006E21A2"/>
    <w:rsid w:val="006E3D7B"/>
    <w:rsid w:val="006E3ED3"/>
    <w:rsid w:val="006E3FD7"/>
    <w:rsid w:val="006E4525"/>
    <w:rsid w:val="006E4FFC"/>
    <w:rsid w:val="006E5039"/>
    <w:rsid w:val="006E5092"/>
    <w:rsid w:val="006E5C43"/>
    <w:rsid w:val="006E5D7F"/>
    <w:rsid w:val="006E613C"/>
    <w:rsid w:val="006E6179"/>
    <w:rsid w:val="006E632C"/>
    <w:rsid w:val="006E641E"/>
    <w:rsid w:val="006E6C7D"/>
    <w:rsid w:val="006E706A"/>
    <w:rsid w:val="006E763E"/>
    <w:rsid w:val="006F0611"/>
    <w:rsid w:val="006F09B1"/>
    <w:rsid w:val="006F0DA3"/>
    <w:rsid w:val="006F0F1A"/>
    <w:rsid w:val="006F11BC"/>
    <w:rsid w:val="006F1790"/>
    <w:rsid w:val="006F387F"/>
    <w:rsid w:val="006F38EA"/>
    <w:rsid w:val="006F3CDE"/>
    <w:rsid w:val="006F43F9"/>
    <w:rsid w:val="006F46B2"/>
    <w:rsid w:val="006F4C93"/>
    <w:rsid w:val="006F4EAC"/>
    <w:rsid w:val="006F4F4B"/>
    <w:rsid w:val="006F50AA"/>
    <w:rsid w:val="006F619A"/>
    <w:rsid w:val="006F65FE"/>
    <w:rsid w:val="007004D3"/>
    <w:rsid w:val="00700C70"/>
    <w:rsid w:val="007018D9"/>
    <w:rsid w:val="00702438"/>
    <w:rsid w:val="00703375"/>
    <w:rsid w:val="00703447"/>
    <w:rsid w:val="00703AE7"/>
    <w:rsid w:val="00703FF0"/>
    <w:rsid w:val="00704111"/>
    <w:rsid w:val="00704297"/>
    <w:rsid w:val="007042DE"/>
    <w:rsid w:val="0070488B"/>
    <w:rsid w:val="00704953"/>
    <w:rsid w:val="00705454"/>
    <w:rsid w:val="00706A51"/>
    <w:rsid w:val="00706DCE"/>
    <w:rsid w:val="00707E7B"/>
    <w:rsid w:val="00710938"/>
    <w:rsid w:val="00711238"/>
    <w:rsid w:val="00711B2E"/>
    <w:rsid w:val="00711DD3"/>
    <w:rsid w:val="007125B3"/>
    <w:rsid w:val="00713238"/>
    <w:rsid w:val="00713B42"/>
    <w:rsid w:val="007140B4"/>
    <w:rsid w:val="007157B1"/>
    <w:rsid w:val="0071610A"/>
    <w:rsid w:val="00716634"/>
    <w:rsid w:val="0071759F"/>
    <w:rsid w:val="007200AD"/>
    <w:rsid w:val="0072074B"/>
    <w:rsid w:val="00720B9E"/>
    <w:rsid w:val="00720CDC"/>
    <w:rsid w:val="00720DC5"/>
    <w:rsid w:val="007213BF"/>
    <w:rsid w:val="00722C09"/>
    <w:rsid w:val="007237C8"/>
    <w:rsid w:val="007248A2"/>
    <w:rsid w:val="00724E19"/>
    <w:rsid w:val="00725131"/>
    <w:rsid w:val="007254D3"/>
    <w:rsid w:val="00725A17"/>
    <w:rsid w:val="00726146"/>
    <w:rsid w:val="0072664F"/>
    <w:rsid w:val="00726678"/>
    <w:rsid w:val="00727625"/>
    <w:rsid w:val="00727859"/>
    <w:rsid w:val="0072797C"/>
    <w:rsid w:val="00727F2E"/>
    <w:rsid w:val="00730972"/>
    <w:rsid w:val="007309D9"/>
    <w:rsid w:val="00730E23"/>
    <w:rsid w:val="00732A06"/>
    <w:rsid w:val="00732FBC"/>
    <w:rsid w:val="0073365C"/>
    <w:rsid w:val="00733F0D"/>
    <w:rsid w:val="0073450B"/>
    <w:rsid w:val="007347F0"/>
    <w:rsid w:val="00734843"/>
    <w:rsid w:val="00734861"/>
    <w:rsid w:val="007351D5"/>
    <w:rsid w:val="0073705F"/>
    <w:rsid w:val="00737148"/>
    <w:rsid w:val="00737497"/>
    <w:rsid w:val="0073799A"/>
    <w:rsid w:val="007401AB"/>
    <w:rsid w:val="007402C8"/>
    <w:rsid w:val="007406D9"/>
    <w:rsid w:val="00741514"/>
    <w:rsid w:val="00741551"/>
    <w:rsid w:val="007415A2"/>
    <w:rsid w:val="00741ED1"/>
    <w:rsid w:val="00741F44"/>
    <w:rsid w:val="00742A1B"/>
    <w:rsid w:val="00742C44"/>
    <w:rsid w:val="00743396"/>
    <w:rsid w:val="007434D4"/>
    <w:rsid w:val="00743FE0"/>
    <w:rsid w:val="0074484D"/>
    <w:rsid w:val="00745853"/>
    <w:rsid w:val="00745AB3"/>
    <w:rsid w:val="00745BB7"/>
    <w:rsid w:val="00746F95"/>
    <w:rsid w:val="007512D3"/>
    <w:rsid w:val="00751AF4"/>
    <w:rsid w:val="00751B65"/>
    <w:rsid w:val="00752144"/>
    <w:rsid w:val="0075239F"/>
    <w:rsid w:val="00752521"/>
    <w:rsid w:val="00752555"/>
    <w:rsid w:val="0075301E"/>
    <w:rsid w:val="007536BA"/>
    <w:rsid w:val="007557EB"/>
    <w:rsid w:val="00757397"/>
    <w:rsid w:val="00757E70"/>
    <w:rsid w:val="00757FD8"/>
    <w:rsid w:val="007605AA"/>
    <w:rsid w:val="0076087F"/>
    <w:rsid w:val="00760894"/>
    <w:rsid w:val="00760AF3"/>
    <w:rsid w:val="007613D1"/>
    <w:rsid w:val="007614DB"/>
    <w:rsid w:val="00761BB3"/>
    <w:rsid w:val="00762438"/>
    <w:rsid w:val="007627A1"/>
    <w:rsid w:val="00763268"/>
    <w:rsid w:val="00763715"/>
    <w:rsid w:val="007637F0"/>
    <w:rsid w:val="00764004"/>
    <w:rsid w:val="007640E5"/>
    <w:rsid w:val="0076429A"/>
    <w:rsid w:val="007642AA"/>
    <w:rsid w:val="00764327"/>
    <w:rsid w:val="0076459A"/>
    <w:rsid w:val="00764E9F"/>
    <w:rsid w:val="00765407"/>
    <w:rsid w:val="00765815"/>
    <w:rsid w:val="0076642C"/>
    <w:rsid w:val="00767342"/>
    <w:rsid w:val="007675C9"/>
    <w:rsid w:val="0076783F"/>
    <w:rsid w:val="00767BAF"/>
    <w:rsid w:val="00767CC4"/>
    <w:rsid w:val="007702B1"/>
    <w:rsid w:val="00770944"/>
    <w:rsid w:val="00770D2E"/>
    <w:rsid w:val="00771391"/>
    <w:rsid w:val="007714FF"/>
    <w:rsid w:val="00771E61"/>
    <w:rsid w:val="00771FA8"/>
    <w:rsid w:val="007721F3"/>
    <w:rsid w:val="007724C9"/>
    <w:rsid w:val="00773C1F"/>
    <w:rsid w:val="0077419B"/>
    <w:rsid w:val="00774278"/>
    <w:rsid w:val="00774405"/>
    <w:rsid w:val="00775673"/>
    <w:rsid w:val="00775940"/>
    <w:rsid w:val="007765F8"/>
    <w:rsid w:val="00776E6A"/>
    <w:rsid w:val="00777215"/>
    <w:rsid w:val="0077733D"/>
    <w:rsid w:val="00777C53"/>
    <w:rsid w:val="00777D0E"/>
    <w:rsid w:val="00780920"/>
    <w:rsid w:val="00780BDE"/>
    <w:rsid w:val="00780DDC"/>
    <w:rsid w:val="00783B71"/>
    <w:rsid w:val="00783C78"/>
    <w:rsid w:val="007841CF"/>
    <w:rsid w:val="007842E0"/>
    <w:rsid w:val="00784517"/>
    <w:rsid w:val="007847D4"/>
    <w:rsid w:val="00784D29"/>
    <w:rsid w:val="007852F8"/>
    <w:rsid w:val="00786552"/>
    <w:rsid w:val="00786A38"/>
    <w:rsid w:val="007872BB"/>
    <w:rsid w:val="007903E6"/>
    <w:rsid w:val="00790B45"/>
    <w:rsid w:val="007915C1"/>
    <w:rsid w:val="00791932"/>
    <w:rsid w:val="00791B66"/>
    <w:rsid w:val="00791E5D"/>
    <w:rsid w:val="00791FBF"/>
    <w:rsid w:val="007922E7"/>
    <w:rsid w:val="00792379"/>
    <w:rsid w:val="007925D6"/>
    <w:rsid w:val="007925E7"/>
    <w:rsid w:val="00792CA2"/>
    <w:rsid w:val="00792E41"/>
    <w:rsid w:val="00792E4C"/>
    <w:rsid w:val="007937BA"/>
    <w:rsid w:val="00793895"/>
    <w:rsid w:val="00793A4E"/>
    <w:rsid w:val="00793CEA"/>
    <w:rsid w:val="007943AC"/>
    <w:rsid w:val="007946B4"/>
    <w:rsid w:val="007946D4"/>
    <w:rsid w:val="00794CC6"/>
    <w:rsid w:val="00796612"/>
    <w:rsid w:val="00797213"/>
    <w:rsid w:val="00797586"/>
    <w:rsid w:val="00797D24"/>
    <w:rsid w:val="00797E40"/>
    <w:rsid w:val="007A0445"/>
    <w:rsid w:val="007A0619"/>
    <w:rsid w:val="007A08FB"/>
    <w:rsid w:val="007A0B5C"/>
    <w:rsid w:val="007A1066"/>
    <w:rsid w:val="007A1392"/>
    <w:rsid w:val="007A139E"/>
    <w:rsid w:val="007A13C3"/>
    <w:rsid w:val="007A13D0"/>
    <w:rsid w:val="007A225B"/>
    <w:rsid w:val="007A2417"/>
    <w:rsid w:val="007A3854"/>
    <w:rsid w:val="007A38CC"/>
    <w:rsid w:val="007A46D6"/>
    <w:rsid w:val="007A484B"/>
    <w:rsid w:val="007A5572"/>
    <w:rsid w:val="007A570B"/>
    <w:rsid w:val="007A584D"/>
    <w:rsid w:val="007A66F6"/>
    <w:rsid w:val="007A678D"/>
    <w:rsid w:val="007A685B"/>
    <w:rsid w:val="007A688E"/>
    <w:rsid w:val="007A6954"/>
    <w:rsid w:val="007A7E57"/>
    <w:rsid w:val="007B0852"/>
    <w:rsid w:val="007B089A"/>
    <w:rsid w:val="007B0A73"/>
    <w:rsid w:val="007B151D"/>
    <w:rsid w:val="007B1BC0"/>
    <w:rsid w:val="007B1DE1"/>
    <w:rsid w:val="007B1F2C"/>
    <w:rsid w:val="007B211E"/>
    <w:rsid w:val="007B2AB5"/>
    <w:rsid w:val="007B2E6E"/>
    <w:rsid w:val="007B425F"/>
    <w:rsid w:val="007B4691"/>
    <w:rsid w:val="007B621C"/>
    <w:rsid w:val="007B68C8"/>
    <w:rsid w:val="007B6A84"/>
    <w:rsid w:val="007B6B6F"/>
    <w:rsid w:val="007B70EE"/>
    <w:rsid w:val="007B75E1"/>
    <w:rsid w:val="007B7DC8"/>
    <w:rsid w:val="007C0DFA"/>
    <w:rsid w:val="007C1277"/>
    <w:rsid w:val="007C13AC"/>
    <w:rsid w:val="007C18F7"/>
    <w:rsid w:val="007C1AA7"/>
    <w:rsid w:val="007C1C95"/>
    <w:rsid w:val="007C2E58"/>
    <w:rsid w:val="007C3522"/>
    <w:rsid w:val="007C454E"/>
    <w:rsid w:val="007C4AD2"/>
    <w:rsid w:val="007C50D6"/>
    <w:rsid w:val="007C58D1"/>
    <w:rsid w:val="007C5AF5"/>
    <w:rsid w:val="007C5C69"/>
    <w:rsid w:val="007C5C90"/>
    <w:rsid w:val="007C6227"/>
    <w:rsid w:val="007C67F3"/>
    <w:rsid w:val="007C6AD1"/>
    <w:rsid w:val="007C7421"/>
    <w:rsid w:val="007C7ED1"/>
    <w:rsid w:val="007D0877"/>
    <w:rsid w:val="007D1BF6"/>
    <w:rsid w:val="007D219A"/>
    <w:rsid w:val="007D2409"/>
    <w:rsid w:val="007D2631"/>
    <w:rsid w:val="007D33D1"/>
    <w:rsid w:val="007D34AD"/>
    <w:rsid w:val="007D35CB"/>
    <w:rsid w:val="007D3D47"/>
    <w:rsid w:val="007D3DD5"/>
    <w:rsid w:val="007D480A"/>
    <w:rsid w:val="007D4D37"/>
    <w:rsid w:val="007D5109"/>
    <w:rsid w:val="007D516F"/>
    <w:rsid w:val="007D64CF"/>
    <w:rsid w:val="007D6B96"/>
    <w:rsid w:val="007D7A69"/>
    <w:rsid w:val="007D7C38"/>
    <w:rsid w:val="007E0634"/>
    <w:rsid w:val="007E12D0"/>
    <w:rsid w:val="007E16E8"/>
    <w:rsid w:val="007E2048"/>
    <w:rsid w:val="007E29AD"/>
    <w:rsid w:val="007E2AFD"/>
    <w:rsid w:val="007E2F1E"/>
    <w:rsid w:val="007E35BD"/>
    <w:rsid w:val="007E4879"/>
    <w:rsid w:val="007E5241"/>
    <w:rsid w:val="007E569A"/>
    <w:rsid w:val="007E6722"/>
    <w:rsid w:val="007E7AE5"/>
    <w:rsid w:val="007F0C30"/>
    <w:rsid w:val="007F2361"/>
    <w:rsid w:val="007F2663"/>
    <w:rsid w:val="007F2823"/>
    <w:rsid w:val="007F2D3B"/>
    <w:rsid w:val="007F2DBF"/>
    <w:rsid w:val="007F341E"/>
    <w:rsid w:val="007F3592"/>
    <w:rsid w:val="007F4413"/>
    <w:rsid w:val="007F52F0"/>
    <w:rsid w:val="007F5495"/>
    <w:rsid w:val="007F6490"/>
    <w:rsid w:val="007F65DF"/>
    <w:rsid w:val="007F6945"/>
    <w:rsid w:val="007F694F"/>
    <w:rsid w:val="007F69BB"/>
    <w:rsid w:val="007F74A3"/>
    <w:rsid w:val="007F7612"/>
    <w:rsid w:val="007F78B2"/>
    <w:rsid w:val="007F79FC"/>
    <w:rsid w:val="008008E9"/>
    <w:rsid w:val="00800F48"/>
    <w:rsid w:val="00801A1F"/>
    <w:rsid w:val="00801C24"/>
    <w:rsid w:val="00801FE1"/>
    <w:rsid w:val="0080238B"/>
    <w:rsid w:val="0080252D"/>
    <w:rsid w:val="00802A26"/>
    <w:rsid w:val="00802A41"/>
    <w:rsid w:val="00802D16"/>
    <w:rsid w:val="00802FD5"/>
    <w:rsid w:val="00803339"/>
    <w:rsid w:val="008036BA"/>
    <w:rsid w:val="00803DD2"/>
    <w:rsid w:val="00803F3D"/>
    <w:rsid w:val="008043FE"/>
    <w:rsid w:val="0080483E"/>
    <w:rsid w:val="00804D50"/>
    <w:rsid w:val="0080549C"/>
    <w:rsid w:val="008056EE"/>
    <w:rsid w:val="00806263"/>
    <w:rsid w:val="00806A50"/>
    <w:rsid w:val="00806B1C"/>
    <w:rsid w:val="00806CA6"/>
    <w:rsid w:val="008073BF"/>
    <w:rsid w:val="00807999"/>
    <w:rsid w:val="00807A78"/>
    <w:rsid w:val="00807AE1"/>
    <w:rsid w:val="008106A3"/>
    <w:rsid w:val="00811357"/>
    <w:rsid w:val="008115CF"/>
    <w:rsid w:val="008131B0"/>
    <w:rsid w:val="008131BB"/>
    <w:rsid w:val="00813458"/>
    <w:rsid w:val="00813735"/>
    <w:rsid w:val="00813E8A"/>
    <w:rsid w:val="00816A83"/>
    <w:rsid w:val="00816BE5"/>
    <w:rsid w:val="00816D25"/>
    <w:rsid w:val="0082132C"/>
    <w:rsid w:val="008221D9"/>
    <w:rsid w:val="00822A10"/>
    <w:rsid w:val="008241A2"/>
    <w:rsid w:val="00824FF4"/>
    <w:rsid w:val="0082505F"/>
    <w:rsid w:val="00826C24"/>
    <w:rsid w:val="00826EB3"/>
    <w:rsid w:val="008279BD"/>
    <w:rsid w:val="00827D50"/>
    <w:rsid w:val="00827E9E"/>
    <w:rsid w:val="00831CA8"/>
    <w:rsid w:val="00831D65"/>
    <w:rsid w:val="008325A3"/>
    <w:rsid w:val="00832E23"/>
    <w:rsid w:val="00832ED9"/>
    <w:rsid w:val="00832F6A"/>
    <w:rsid w:val="008332F5"/>
    <w:rsid w:val="00833405"/>
    <w:rsid w:val="00833D96"/>
    <w:rsid w:val="00834233"/>
    <w:rsid w:val="008344D0"/>
    <w:rsid w:val="00834579"/>
    <w:rsid w:val="00834C81"/>
    <w:rsid w:val="00834D90"/>
    <w:rsid w:val="0083595D"/>
    <w:rsid w:val="008360EC"/>
    <w:rsid w:val="00836290"/>
    <w:rsid w:val="0083669C"/>
    <w:rsid w:val="0083671A"/>
    <w:rsid w:val="00836A59"/>
    <w:rsid w:val="00836C24"/>
    <w:rsid w:val="008403F4"/>
    <w:rsid w:val="00840708"/>
    <w:rsid w:val="00841158"/>
    <w:rsid w:val="00841260"/>
    <w:rsid w:val="008420A4"/>
    <w:rsid w:val="008421AD"/>
    <w:rsid w:val="008426AE"/>
    <w:rsid w:val="00842701"/>
    <w:rsid w:val="008429AA"/>
    <w:rsid w:val="00843432"/>
    <w:rsid w:val="00844244"/>
    <w:rsid w:val="00844769"/>
    <w:rsid w:val="00844F15"/>
    <w:rsid w:val="00845529"/>
    <w:rsid w:val="008458B7"/>
    <w:rsid w:val="00845F20"/>
    <w:rsid w:val="00846141"/>
    <w:rsid w:val="0084633E"/>
    <w:rsid w:val="008464A2"/>
    <w:rsid w:val="008464DA"/>
    <w:rsid w:val="00846C16"/>
    <w:rsid w:val="008472B7"/>
    <w:rsid w:val="00847315"/>
    <w:rsid w:val="008473AB"/>
    <w:rsid w:val="008473F9"/>
    <w:rsid w:val="008479D1"/>
    <w:rsid w:val="0085051F"/>
    <w:rsid w:val="0085056A"/>
    <w:rsid w:val="0085071D"/>
    <w:rsid w:val="008513DC"/>
    <w:rsid w:val="00851905"/>
    <w:rsid w:val="0085202C"/>
    <w:rsid w:val="008526D3"/>
    <w:rsid w:val="0085351F"/>
    <w:rsid w:val="008540D8"/>
    <w:rsid w:val="00854F2F"/>
    <w:rsid w:val="00855875"/>
    <w:rsid w:val="0085597F"/>
    <w:rsid w:val="00855AC2"/>
    <w:rsid w:val="0085684D"/>
    <w:rsid w:val="00856E4B"/>
    <w:rsid w:val="00856FF0"/>
    <w:rsid w:val="0085794B"/>
    <w:rsid w:val="008601B0"/>
    <w:rsid w:val="008605C2"/>
    <w:rsid w:val="00861746"/>
    <w:rsid w:val="00861923"/>
    <w:rsid w:val="00861C08"/>
    <w:rsid w:val="00861D0A"/>
    <w:rsid w:val="008628FE"/>
    <w:rsid w:val="0086392A"/>
    <w:rsid w:val="00863F99"/>
    <w:rsid w:val="008650F1"/>
    <w:rsid w:val="00865172"/>
    <w:rsid w:val="00865490"/>
    <w:rsid w:val="008656A2"/>
    <w:rsid w:val="00866E45"/>
    <w:rsid w:val="00867465"/>
    <w:rsid w:val="00867B78"/>
    <w:rsid w:val="0087040B"/>
    <w:rsid w:val="00870522"/>
    <w:rsid w:val="00870772"/>
    <w:rsid w:val="00870A10"/>
    <w:rsid w:val="00870E3F"/>
    <w:rsid w:val="00871DAB"/>
    <w:rsid w:val="00871FEA"/>
    <w:rsid w:val="00873265"/>
    <w:rsid w:val="0087346A"/>
    <w:rsid w:val="008739C8"/>
    <w:rsid w:val="008755F1"/>
    <w:rsid w:val="00875747"/>
    <w:rsid w:val="008757CC"/>
    <w:rsid w:val="00876007"/>
    <w:rsid w:val="00877181"/>
    <w:rsid w:val="00877599"/>
    <w:rsid w:val="008778BD"/>
    <w:rsid w:val="00877C3D"/>
    <w:rsid w:val="00880B24"/>
    <w:rsid w:val="00880D10"/>
    <w:rsid w:val="008816CE"/>
    <w:rsid w:val="00881869"/>
    <w:rsid w:val="00881B65"/>
    <w:rsid w:val="00881E52"/>
    <w:rsid w:val="00882807"/>
    <w:rsid w:val="00883A03"/>
    <w:rsid w:val="008849D6"/>
    <w:rsid w:val="00884D2F"/>
    <w:rsid w:val="00884F79"/>
    <w:rsid w:val="0088503E"/>
    <w:rsid w:val="00885591"/>
    <w:rsid w:val="008865E6"/>
    <w:rsid w:val="0088689D"/>
    <w:rsid w:val="00886C20"/>
    <w:rsid w:val="008873D8"/>
    <w:rsid w:val="008876CE"/>
    <w:rsid w:val="008902C3"/>
    <w:rsid w:val="00890DFF"/>
    <w:rsid w:val="00891526"/>
    <w:rsid w:val="008917AD"/>
    <w:rsid w:val="00891A49"/>
    <w:rsid w:val="00892247"/>
    <w:rsid w:val="00892452"/>
    <w:rsid w:val="008928F5"/>
    <w:rsid w:val="0089357D"/>
    <w:rsid w:val="008945A0"/>
    <w:rsid w:val="008946E7"/>
    <w:rsid w:val="00894AFE"/>
    <w:rsid w:val="0089552E"/>
    <w:rsid w:val="00895B77"/>
    <w:rsid w:val="00895F17"/>
    <w:rsid w:val="008960B0"/>
    <w:rsid w:val="0089650F"/>
    <w:rsid w:val="008972A7"/>
    <w:rsid w:val="00897F96"/>
    <w:rsid w:val="008A1301"/>
    <w:rsid w:val="008A175D"/>
    <w:rsid w:val="008A17C8"/>
    <w:rsid w:val="008A188F"/>
    <w:rsid w:val="008A18F4"/>
    <w:rsid w:val="008A22A7"/>
    <w:rsid w:val="008A2792"/>
    <w:rsid w:val="008A370B"/>
    <w:rsid w:val="008A3B10"/>
    <w:rsid w:val="008A3C62"/>
    <w:rsid w:val="008A3D63"/>
    <w:rsid w:val="008A4B78"/>
    <w:rsid w:val="008A60AE"/>
    <w:rsid w:val="008A726F"/>
    <w:rsid w:val="008B08EF"/>
    <w:rsid w:val="008B0E06"/>
    <w:rsid w:val="008B3A21"/>
    <w:rsid w:val="008B3A9E"/>
    <w:rsid w:val="008B4B9D"/>
    <w:rsid w:val="008B4E25"/>
    <w:rsid w:val="008B4E75"/>
    <w:rsid w:val="008B69B5"/>
    <w:rsid w:val="008B7004"/>
    <w:rsid w:val="008C0029"/>
    <w:rsid w:val="008C054A"/>
    <w:rsid w:val="008C11C0"/>
    <w:rsid w:val="008C1692"/>
    <w:rsid w:val="008C194E"/>
    <w:rsid w:val="008C22E4"/>
    <w:rsid w:val="008C2AF3"/>
    <w:rsid w:val="008C329A"/>
    <w:rsid w:val="008C3303"/>
    <w:rsid w:val="008C39FA"/>
    <w:rsid w:val="008C3C4F"/>
    <w:rsid w:val="008C4218"/>
    <w:rsid w:val="008C42DD"/>
    <w:rsid w:val="008C4870"/>
    <w:rsid w:val="008C5E97"/>
    <w:rsid w:val="008C60F0"/>
    <w:rsid w:val="008C6200"/>
    <w:rsid w:val="008C69B9"/>
    <w:rsid w:val="008C6D7F"/>
    <w:rsid w:val="008C6F59"/>
    <w:rsid w:val="008C7404"/>
    <w:rsid w:val="008C77A4"/>
    <w:rsid w:val="008D149C"/>
    <w:rsid w:val="008D1E6C"/>
    <w:rsid w:val="008D206C"/>
    <w:rsid w:val="008D2D5F"/>
    <w:rsid w:val="008D342A"/>
    <w:rsid w:val="008D3D1D"/>
    <w:rsid w:val="008D3D39"/>
    <w:rsid w:val="008D4744"/>
    <w:rsid w:val="008D4E27"/>
    <w:rsid w:val="008D564E"/>
    <w:rsid w:val="008D622E"/>
    <w:rsid w:val="008D6C56"/>
    <w:rsid w:val="008D7ACA"/>
    <w:rsid w:val="008D7B1C"/>
    <w:rsid w:val="008D7B48"/>
    <w:rsid w:val="008E0431"/>
    <w:rsid w:val="008E1024"/>
    <w:rsid w:val="008E3224"/>
    <w:rsid w:val="008E34EF"/>
    <w:rsid w:val="008E45EB"/>
    <w:rsid w:val="008E45EC"/>
    <w:rsid w:val="008E4755"/>
    <w:rsid w:val="008E50A5"/>
    <w:rsid w:val="008E56E4"/>
    <w:rsid w:val="008E59EB"/>
    <w:rsid w:val="008E5F1A"/>
    <w:rsid w:val="008E60DD"/>
    <w:rsid w:val="008E64B0"/>
    <w:rsid w:val="008E6976"/>
    <w:rsid w:val="008E76E4"/>
    <w:rsid w:val="008E7715"/>
    <w:rsid w:val="008F01BB"/>
    <w:rsid w:val="008F01C4"/>
    <w:rsid w:val="008F0279"/>
    <w:rsid w:val="008F0563"/>
    <w:rsid w:val="008F12DC"/>
    <w:rsid w:val="008F23E1"/>
    <w:rsid w:val="008F2A56"/>
    <w:rsid w:val="008F2B36"/>
    <w:rsid w:val="008F2CCE"/>
    <w:rsid w:val="008F38E5"/>
    <w:rsid w:val="008F4344"/>
    <w:rsid w:val="008F54CA"/>
    <w:rsid w:val="008F58C0"/>
    <w:rsid w:val="008F58DE"/>
    <w:rsid w:val="008F6563"/>
    <w:rsid w:val="008F694B"/>
    <w:rsid w:val="008F6B3D"/>
    <w:rsid w:val="008F6ECF"/>
    <w:rsid w:val="008F6FFE"/>
    <w:rsid w:val="008F749A"/>
    <w:rsid w:val="008F7E81"/>
    <w:rsid w:val="009001C6"/>
    <w:rsid w:val="00900304"/>
    <w:rsid w:val="00900535"/>
    <w:rsid w:val="0090062C"/>
    <w:rsid w:val="00900AFF"/>
    <w:rsid w:val="00902BC7"/>
    <w:rsid w:val="00903952"/>
    <w:rsid w:val="00903A24"/>
    <w:rsid w:val="00904217"/>
    <w:rsid w:val="009043F1"/>
    <w:rsid w:val="00904500"/>
    <w:rsid w:val="009052B5"/>
    <w:rsid w:val="00905630"/>
    <w:rsid w:val="009057B0"/>
    <w:rsid w:val="0090590B"/>
    <w:rsid w:val="009059B8"/>
    <w:rsid w:val="00905FDE"/>
    <w:rsid w:val="00906793"/>
    <w:rsid w:val="009069E8"/>
    <w:rsid w:val="00907005"/>
    <w:rsid w:val="00910E90"/>
    <w:rsid w:val="00911920"/>
    <w:rsid w:val="009134BB"/>
    <w:rsid w:val="0091373B"/>
    <w:rsid w:val="00913888"/>
    <w:rsid w:val="00913991"/>
    <w:rsid w:val="00913BBD"/>
    <w:rsid w:val="00914469"/>
    <w:rsid w:val="00914500"/>
    <w:rsid w:val="00915908"/>
    <w:rsid w:val="00915D2C"/>
    <w:rsid w:val="0091768E"/>
    <w:rsid w:val="00917A7C"/>
    <w:rsid w:val="00917F77"/>
    <w:rsid w:val="009200C0"/>
    <w:rsid w:val="00920E95"/>
    <w:rsid w:val="00921945"/>
    <w:rsid w:val="00921A98"/>
    <w:rsid w:val="0092294D"/>
    <w:rsid w:val="00923481"/>
    <w:rsid w:val="00924B48"/>
    <w:rsid w:val="009250E6"/>
    <w:rsid w:val="009253D6"/>
    <w:rsid w:val="00925D35"/>
    <w:rsid w:val="00926F58"/>
    <w:rsid w:val="00926FC7"/>
    <w:rsid w:val="00927D0C"/>
    <w:rsid w:val="009301E5"/>
    <w:rsid w:val="009306EA"/>
    <w:rsid w:val="00930B36"/>
    <w:rsid w:val="00930B7A"/>
    <w:rsid w:val="00930BF3"/>
    <w:rsid w:val="00931027"/>
    <w:rsid w:val="00931212"/>
    <w:rsid w:val="0093195C"/>
    <w:rsid w:val="009322AD"/>
    <w:rsid w:val="009327BF"/>
    <w:rsid w:val="00932F90"/>
    <w:rsid w:val="009335D2"/>
    <w:rsid w:val="00933A78"/>
    <w:rsid w:val="009350E4"/>
    <w:rsid w:val="009353B7"/>
    <w:rsid w:val="00936093"/>
    <w:rsid w:val="00936712"/>
    <w:rsid w:val="009369C4"/>
    <w:rsid w:val="00936DD1"/>
    <w:rsid w:val="00936E21"/>
    <w:rsid w:val="00937ABF"/>
    <w:rsid w:val="009403B4"/>
    <w:rsid w:val="00940950"/>
    <w:rsid w:val="009411C2"/>
    <w:rsid w:val="0094131A"/>
    <w:rsid w:val="009414C1"/>
    <w:rsid w:val="00941D80"/>
    <w:rsid w:val="0094200E"/>
    <w:rsid w:val="00942C80"/>
    <w:rsid w:val="00944659"/>
    <w:rsid w:val="00944F72"/>
    <w:rsid w:val="0094532A"/>
    <w:rsid w:val="00945C63"/>
    <w:rsid w:val="009460D0"/>
    <w:rsid w:val="009461A8"/>
    <w:rsid w:val="00946CA6"/>
    <w:rsid w:val="00947D63"/>
    <w:rsid w:val="00951121"/>
    <w:rsid w:val="00951DED"/>
    <w:rsid w:val="009522ED"/>
    <w:rsid w:val="00952D0F"/>
    <w:rsid w:val="00952FE6"/>
    <w:rsid w:val="0095330F"/>
    <w:rsid w:val="009538DA"/>
    <w:rsid w:val="00954436"/>
    <w:rsid w:val="009555E3"/>
    <w:rsid w:val="00956BAA"/>
    <w:rsid w:val="00957110"/>
    <w:rsid w:val="009602D2"/>
    <w:rsid w:val="009603FE"/>
    <w:rsid w:val="00960486"/>
    <w:rsid w:val="0096081E"/>
    <w:rsid w:val="00960DAC"/>
    <w:rsid w:val="00962138"/>
    <w:rsid w:val="00962551"/>
    <w:rsid w:val="00962E37"/>
    <w:rsid w:val="00963254"/>
    <w:rsid w:val="009635A7"/>
    <w:rsid w:val="00964114"/>
    <w:rsid w:val="0096568C"/>
    <w:rsid w:val="0096690F"/>
    <w:rsid w:val="00967326"/>
    <w:rsid w:val="009713B2"/>
    <w:rsid w:val="00971890"/>
    <w:rsid w:val="00971C42"/>
    <w:rsid w:val="009727E5"/>
    <w:rsid w:val="00973C3D"/>
    <w:rsid w:val="009740A1"/>
    <w:rsid w:val="00975399"/>
    <w:rsid w:val="009755C6"/>
    <w:rsid w:val="009760A5"/>
    <w:rsid w:val="009761F9"/>
    <w:rsid w:val="00976243"/>
    <w:rsid w:val="0097679C"/>
    <w:rsid w:val="0098034A"/>
    <w:rsid w:val="00980E85"/>
    <w:rsid w:val="009839E4"/>
    <w:rsid w:val="00983DAE"/>
    <w:rsid w:val="00984825"/>
    <w:rsid w:val="00985035"/>
    <w:rsid w:val="00985687"/>
    <w:rsid w:val="009860B1"/>
    <w:rsid w:val="009865B7"/>
    <w:rsid w:val="00986EAD"/>
    <w:rsid w:val="00987573"/>
    <w:rsid w:val="00987703"/>
    <w:rsid w:val="00987D48"/>
    <w:rsid w:val="00991FC7"/>
    <w:rsid w:val="009920C6"/>
    <w:rsid w:val="0099222E"/>
    <w:rsid w:val="00992592"/>
    <w:rsid w:val="00992D5D"/>
    <w:rsid w:val="00993365"/>
    <w:rsid w:val="00994293"/>
    <w:rsid w:val="009943C4"/>
    <w:rsid w:val="00994889"/>
    <w:rsid w:val="0099560A"/>
    <w:rsid w:val="00995BAE"/>
    <w:rsid w:val="009962A9"/>
    <w:rsid w:val="00996B45"/>
    <w:rsid w:val="00997109"/>
    <w:rsid w:val="0099720E"/>
    <w:rsid w:val="009973FB"/>
    <w:rsid w:val="0099777D"/>
    <w:rsid w:val="009A0136"/>
    <w:rsid w:val="009A0877"/>
    <w:rsid w:val="009A0EF7"/>
    <w:rsid w:val="009A0EFC"/>
    <w:rsid w:val="009A1430"/>
    <w:rsid w:val="009A15FC"/>
    <w:rsid w:val="009A16AA"/>
    <w:rsid w:val="009A191A"/>
    <w:rsid w:val="009A2291"/>
    <w:rsid w:val="009A26FA"/>
    <w:rsid w:val="009A270D"/>
    <w:rsid w:val="009A27CF"/>
    <w:rsid w:val="009A3F67"/>
    <w:rsid w:val="009A42CC"/>
    <w:rsid w:val="009A4967"/>
    <w:rsid w:val="009A4F53"/>
    <w:rsid w:val="009A5930"/>
    <w:rsid w:val="009A65BA"/>
    <w:rsid w:val="009A671F"/>
    <w:rsid w:val="009A6FE9"/>
    <w:rsid w:val="009A7126"/>
    <w:rsid w:val="009A7986"/>
    <w:rsid w:val="009A7C4C"/>
    <w:rsid w:val="009B021C"/>
    <w:rsid w:val="009B03F6"/>
    <w:rsid w:val="009B0A87"/>
    <w:rsid w:val="009B1229"/>
    <w:rsid w:val="009B25F5"/>
    <w:rsid w:val="009B26E4"/>
    <w:rsid w:val="009B2787"/>
    <w:rsid w:val="009B3F59"/>
    <w:rsid w:val="009B4E57"/>
    <w:rsid w:val="009B5086"/>
    <w:rsid w:val="009B5C4F"/>
    <w:rsid w:val="009B60E1"/>
    <w:rsid w:val="009B6144"/>
    <w:rsid w:val="009B6390"/>
    <w:rsid w:val="009B6AE5"/>
    <w:rsid w:val="009B6DBE"/>
    <w:rsid w:val="009B76B0"/>
    <w:rsid w:val="009B77D3"/>
    <w:rsid w:val="009B79BC"/>
    <w:rsid w:val="009C0132"/>
    <w:rsid w:val="009C04FA"/>
    <w:rsid w:val="009C09B2"/>
    <w:rsid w:val="009C0D99"/>
    <w:rsid w:val="009C0FEF"/>
    <w:rsid w:val="009C107F"/>
    <w:rsid w:val="009C10DC"/>
    <w:rsid w:val="009C11E2"/>
    <w:rsid w:val="009C1282"/>
    <w:rsid w:val="009C1F78"/>
    <w:rsid w:val="009C22A0"/>
    <w:rsid w:val="009C2BCA"/>
    <w:rsid w:val="009C3309"/>
    <w:rsid w:val="009C397B"/>
    <w:rsid w:val="009C39CD"/>
    <w:rsid w:val="009C4275"/>
    <w:rsid w:val="009C42CD"/>
    <w:rsid w:val="009C5221"/>
    <w:rsid w:val="009C581D"/>
    <w:rsid w:val="009C5C77"/>
    <w:rsid w:val="009C62A0"/>
    <w:rsid w:val="009C6842"/>
    <w:rsid w:val="009C6A78"/>
    <w:rsid w:val="009C71DE"/>
    <w:rsid w:val="009C77D9"/>
    <w:rsid w:val="009D03AA"/>
    <w:rsid w:val="009D2290"/>
    <w:rsid w:val="009D43E4"/>
    <w:rsid w:val="009D463E"/>
    <w:rsid w:val="009D4AF8"/>
    <w:rsid w:val="009D56D9"/>
    <w:rsid w:val="009D5DF6"/>
    <w:rsid w:val="009D622E"/>
    <w:rsid w:val="009D647B"/>
    <w:rsid w:val="009D6D36"/>
    <w:rsid w:val="009D766B"/>
    <w:rsid w:val="009D79CD"/>
    <w:rsid w:val="009D7B05"/>
    <w:rsid w:val="009E016F"/>
    <w:rsid w:val="009E0B5E"/>
    <w:rsid w:val="009E1016"/>
    <w:rsid w:val="009E170C"/>
    <w:rsid w:val="009E1C0E"/>
    <w:rsid w:val="009E1C46"/>
    <w:rsid w:val="009E1ED9"/>
    <w:rsid w:val="009E2068"/>
    <w:rsid w:val="009E238D"/>
    <w:rsid w:val="009E2620"/>
    <w:rsid w:val="009E3749"/>
    <w:rsid w:val="009E3DAD"/>
    <w:rsid w:val="009E4110"/>
    <w:rsid w:val="009E5084"/>
    <w:rsid w:val="009E52B6"/>
    <w:rsid w:val="009E5660"/>
    <w:rsid w:val="009E5DAD"/>
    <w:rsid w:val="009E6003"/>
    <w:rsid w:val="009E760B"/>
    <w:rsid w:val="009E783A"/>
    <w:rsid w:val="009E7DD4"/>
    <w:rsid w:val="009F0C16"/>
    <w:rsid w:val="009F0D19"/>
    <w:rsid w:val="009F0D80"/>
    <w:rsid w:val="009F1E7B"/>
    <w:rsid w:val="009F1F01"/>
    <w:rsid w:val="009F3816"/>
    <w:rsid w:val="009F3C73"/>
    <w:rsid w:val="009F3E81"/>
    <w:rsid w:val="009F40DC"/>
    <w:rsid w:val="009F4122"/>
    <w:rsid w:val="009F415B"/>
    <w:rsid w:val="009F41D1"/>
    <w:rsid w:val="009F4922"/>
    <w:rsid w:val="009F4B3E"/>
    <w:rsid w:val="009F5C0E"/>
    <w:rsid w:val="009F63FF"/>
    <w:rsid w:val="009F6873"/>
    <w:rsid w:val="009F713A"/>
    <w:rsid w:val="009F786C"/>
    <w:rsid w:val="00A001FB"/>
    <w:rsid w:val="00A00662"/>
    <w:rsid w:val="00A00E7D"/>
    <w:rsid w:val="00A01156"/>
    <w:rsid w:val="00A0210C"/>
    <w:rsid w:val="00A02CD7"/>
    <w:rsid w:val="00A02DB2"/>
    <w:rsid w:val="00A02E90"/>
    <w:rsid w:val="00A034F4"/>
    <w:rsid w:val="00A03770"/>
    <w:rsid w:val="00A03AF2"/>
    <w:rsid w:val="00A0501E"/>
    <w:rsid w:val="00A0512B"/>
    <w:rsid w:val="00A052F6"/>
    <w:rsid w:val="00A060FA"/>
    <w:rsid w:val="00A0658D"/>
    <w:rsid w:val="00A070F3"/>
    <w:rsid w:val="00A075FA"/>
    <w:rsid w:val="00A07879"/>
    <w:rsid w:val="00A108DD"/>
    <w:rsid w:val="00A110CE"/>
    <w:rsid w:val="00A11D0B"/>
    <w:rsid w:val="00A13112"/>
    <w:rsid w:val="00A13A94"/>
    <w:rsid w:val="00A1440F"/>
    <w:rsid w:val="00A14476"/>
    <w:rsid w:val="00A148D2"/>
    <w:rsid w:val="00A1491E"/>
    <w:rsid w:val="00A15375"/>
    <w:rsid w:val="00A15871"/>
    <w:rsid w:val="00A158BA"/>
    <w:rsid w:val="00A15E00"/>
    <w:rsid w:val="00A160EB"/>
    <w:rsid w:val="00A16467"/>
    <w:rsid w:val="00A16619"/>
    <w:rsid w:val="00A16885"/>
    <w:rsid w:val="00A16910"/>
    <w:rsid w:val="00A16CCC"/>
    <w:rsid w:val="00A1785B"/>
    <w:rsid w:val="00A17A63"/>
    <w:rsid w:val="00A203DB"/>
    <w:rsid w:val="00A20C63"/>
    <w:rsid w:val="00A21212"/>
    <w:rsid w:val="00A21DEF"/>
    <w:rsid w:val="00A225AF"/>
    <w:rsid w:val="00A2381C"/>
    <w:rsid w:val="00A23EF4"/>
    <w:rsid w:val="00A23F96"/>
    <w:rsid w:val="00A24E44"/>
    <w:rsid w:val="00A258A0"/>
    <w:rsid w:val="00A25B63"/>
    <w:rsid w:val="00A27413"/>
    <w:rsid w:val="00A274FC"/>
    <w:rsid w:val="00A277FA"/>
    <w:rsid w:val="00A278C8"/>
    <w:rsid w:val="00A27B99"/>
    <w:rsid w:val="00A27E4F"/>
    <w:rsid w:val="00A30A00"/>
    <w:rsid w:val="00A30B2A"/>
    <w:rsid w:val="00A30CBA"/>
    <w:rsid w:val="00A313E6"/>
    <w:rsid w:val="00A31BCD"/>
    <w:rsid w:val="00A31DAE"/>
    <w:rsid w:val="00A322BB"/>
    <w:rsid w:val="00A32B11"/>
    <w:rsid w:val="00A33284"/>
    <w:rsid w:val="00A339F6"/>
    <w:rsid w:val="00A33C28"/>
    <w:rsid w:val="00A340E8"/>
    <w:rsid w:val="00A35AD0"/>
    <w:rsid w:val="00A3713F"/>
    <w:rsid w:val="00A3779C"/>
    <w:rsid w:val="00A40100"/>
    <w:rsid w:val="00A41608"/>
    <w:rsid w:val="00A418C8"/>
    <w:rsid w:val="00A418E3"/>
    <w:rsid w:val="00A425B6"/>
    <w:rsid w:val="00A436DB"/>
    <w:rsid w:val="00A446BC"/>
    <w:rsid w:val="00A45295"/>
    <w:rsid w:val="00A4562D"/>
    <w:rsid w:val="00A459E6"/>
    <w:rsid w:val="00A45A6F"/>
    <w:rsid w:val="00A45F2F"/>
    <w:rsid w:val="00A475D7"/>
    <w:rsid w:val="00A51541"/>
    <w:rsid w:val="00A518B7"/>
    <w:rsid w:val="00A51A87"/>
    <w:rsid w:val="00A51AB1"/>
    <w:rsid w:val="00A51DDD"/>
    <w:rsid w:val="00A53296"/>
    <w:rsid w:val="00A533FF"/>
    <w:rsid w:val="00A539FA"/>
    <w:rsid w:val="00A53B82"/>
    <w:rsid w:val="00A53DAD"/>
    <w:rsid w:val="00A53E99"/>
    <w:rsid w:val="00A549C8"/>
    <w:rsid w:val="00A54C80"/>
    <w:rsid w:val="00A54CFC"/>
    <w:rsid w:val="00A54D54"/>
    <w:rsid w:val="00A54EF6"/>
    <w:rsid w:val="00A55494"/>
    <w:rsid w:val="00A56998"/>
    <w:rsid w:val="00A57261"/>
    <w:rsid w:val="00A57F00"/>
    <w:rsid w:val="00A6040B"/>
    <w:rsid w:val="00A607D8"/>
    <w:rsid w:val="00A614F0"/>
    <w:rsid w:val="00A6207D"/>
    <w:rsid w:val="00A62502"/>
    <w:rsid w:val="00A6252C"/>
    <w:rsid w:val="00A627C3"/>
    <w:rsid w:val="00A62B88"/>
    <w:rsid w:val="00A62CFC"/>
    <w:rsid w:val="00A633C1"/>
    <w:rsid w:val="00A6344A"/>
    <w:rsid w:val="00A63530"/>
    <w:rsid w:val="00A6361E"/>
    <w:rsid w:val="00A63672"/>
    <w:rsid w:val="00A636A5"/>
    <w:rsid w:val="00A64FAA"/>
    <w:rsid w:val="00A65632"/>
    <w:rsid w:val="00A65647"/>
    <w:rsid w:val="00A660E2"/>
    <w:rsid w:val="00A6620A"/>
    <w:rsid w:val="00A66C36"/>
    <w:rsid w:val="00A673C5"/>
    <w:rsid w:val="00A674E4"/>
    <w:rsid w:val="00A675DD"/>
    <w:rsid w:val="00A67C26"/>
    <w:rsid w:val="00A67C30"/>
    <w:rsid w:val="00A70A7F"/>
    <w:rsid w:val="00A70B1C"/>
    <w:rsid w:val="00A71F35"/>
    <w:rsid w:val="00A7257A"/>
    <w:rsid w:val="00A72972"/>
    <w:rsid w:val="00A72D84"/>
    <w:rsid w:val="00A72DB5"/>
    <w:rsid w:val="00A72F16"/>
    <w:rsid w:val="00A7328E"/>
    <w:rsid w:val="00A74236"/>
    <w:rsid w:val="00A747F9"/>
    <w:rsid w:val="00A75C6B"/>
    <w:rsid w:val="00A762E9"/>
    <w:rsid w:val="00A76373"/>
    <w:rsid w:val="00A7698C"/>
    <w:rsid w:val="00A76D95"/>
    <w:rsid w:val="00A7723E"/>
    <w:rsid w:val="00A77B57"/>
    <w:rsid w:val="00A80094"/>
    <w:rsid w:val="00A80246"/>
    <w:rsid w:val="00A80FE9"/>
    <w:rsid w:val="00A82639"/>
    <w:rsid w:val="00A82DA5"/>
    <w:rsid w:val="00A8325A"/>
    <w:rsid w:val="00A83597"/>
    <w:rsid w:val="00A83B66"/>
    <w:rsid w:val="00A83C4F"/>
    <w:rsid w:val="00A84A20"/>
    <w:rsid w:val="00A85E3F"/>
    <w:rsid w:val="00A871EB"/>
    <w:rsid w:val="00A87852"/>
    <w:rsid w:val="00A87AEA"/>
    <w:rsid w:val="00A87CE5"/>
    <w:rsid w:val="00A9056E"/>
    <w:rsid w:val="00A9065E"/>
    <w:rsid w:val="00A90B0F"/>
    <w:rsid w:val="00A910CF"/>
    <w:rsid w:val="00A9167A"/>
    <w:rsid w:val="00A9188E"/>
    <w:rsid w:val="00A9198C"/>
    <w:rsid w:val="00A91991"/>
    <w:rsid w:val="00A92266"/>
    <w:rsid w:val="00A923BB"/>
    <w:rsid w:val="00A92562"/>
    <w:rsid w:val="00A92A7D"/>
    <w:rsid w:val="00A92C02"/>
    <w:rsid w:val="00A92D03"/>
    <w:rsid w:val="00A93202"/>
    <w:rsid w:val="00A93AD6"/>
    <w:rsid w:val="00A94A67"/>
    <w:rsid w:val="00A94BB7"/>
    <w:rsid w:val="00A94E4F"/>
    <w:rsid w:val="00A94EBB"/>
    <w:rsid w:val="00A9521A"/>
    <w:rsid w:val="00A95326"/>
    <w:rsid w:val="00A9542A"/>
    <w:rsid w:val="00A95787"/>
    <w:rsid w:val="00A959BB"/>
    <w:rsid w:val="00A95C29"/>
    <w:rsid w:val="00A95D2D"/>
    <w:rsid w:val="00A95DEA"/>
    <w:rsid w:val="00A97B76"/>
    <w:rsid w:val="00A97B90"/>
    <w:rsid w:val="00AA07F2"/>
    <w:rsid w:val="00AA0C2B"/>
    <w:rsid w:val="00AA0DA5"/>
    <w:rsid w:val="00AA258E"/>
    <w:rsid w:val="00AA2E87"/>
    <w:rsid w:val="00AA3A71"/>
    <w:rsid w:val="00AA40AD"/>
    <w:rsid w:val="00AA4416"/>
    <w:rsid w:val="00AA453F"/>
    <w:rsid w:val="00AA4A26"/>
    <w:rsid w:val="00AA510A"/>
    <w:rsid w:val="00AA53E6"/>
    <w:rsid w:val="00AA6DA2"/>
    <w:rsid w:val="00AA6E83"/>
    <w:rsid w:val="00AA6E91"/>
    <w:rsid w:val="00AA75B6"/>
    <w:rsid w:val="00AA7B43"/>
    <w:rsid w:val="00AA7C0C"/>
    <w:rsid w:val="00AB0B74"/>
    <w:rsid w:val="00AB20F1"/>
    <w:rsid w:val="00AB2417"/>
    <w:rsid w:val="00AB24F0"/>
    <w:rsid w:val="00AB2D96"/>
    <w:rsid w:val="00AB3F00"/>
    <w:rsid w:val="00AB440A"/>
    <w:rsid w:val="00AB475A"/>
    <w:rsid w:val="00AB5344"/>
    <w:rsid w:val="00AB656A"/>
    <w:rsid w:val="00AB6F2F"/>
    <w:rsid w:val="00AC0387"/>
    <w:rsid w:val="00AC10AC"/>
    <w:rsid w:val="00AC1919"/>
    <w:rsid w:val="00AC1F59"/>
    <w:rsid w:val="00AC37F9"/>
    <w:rsid w:val="00AC3D8C"/>
    <w:rsid w:val="00AC4639"/>
    <w:rsid w:val="00AC51C8"/>
    <w:rsid w:val="00AC5EDD"/>
    <w:rsid w:val="00AC637F"/>
    <w:rsid w:val="00AC63BB"/>
    <w:rsid w:val="00AC6AB6"/>
    <w:rsid w:val="00AC6BF7"/>
    <w:rsid w:val="00AC72CC"/>
    <w:rsid w:val="00AC7A7F"/>
    <w:rsid w:val="00AD0C2B"/>
    <w:rsid w:val="00AD1111"/>
    <w:rsid w:val="00AD1497"/>
    <w:rsid w:val="00AD223E"/>
    <w:rsid w:val="00AD26E5"/>
    <w:rsid w:val="00AD276C"/>
    <w:rsid w:val="00AD2E24"/>
    <w:rsid w:val="00AD34D8"/>
    <w:rsid w:val="00AD3E11"/>
    <w:rsid w:val="00AD3EE6"/>
    <w:rsid w:val="00AD41C6"/>
    <w:rsid w:val="00AD4CC6"/>
    <w:rsid w:val="00AD52B8"/>
    <w:rsid w:val="00AD5A85"/>
    <w:rsid w:val="00AD77B1"/>
    <w:rsid w:val="00AE00E1"/>
    <w:rsid w:val="00AE117F"/>
    <w:rsid w:val="00AE1EEC"/>
    <w:rsid w:val="00AE286D"/>
    <w:rsid w:val="00AE313F"/>
    <w:rsid w:val="00AE38A0"/>
    <w:rsid w:val="00AE3926"/>
    <w:rsid w:val="00AE3C05"/>
    <w:rsid w:val="00AE4077"/>
    <w:rsid w:val="00AE41EB"/>
    <w:rsid w:val="00AE453D"/>
    <w:rsid w:val="00AE5B39"/>
    <w:rsid w:val="00AE5CF3"/>
    <w:rsid w:val="00AE5F1C"/>
    <w:rsid w:val="00AE684F"/>
    <w:rsid w:val="00AE7132"/>
    <w:rsid w:val="00AE7A19"/>
    <w:rsid w:val="00AE7F4C"/>
    <w:rsid w:val="00AF050F"/>
    <w:rsid w:val="00AF0C61"/>
    <w:rsid w:val="00AF0DEE"/>
    <w:rsid w:val="00AF1038"/>
    <w:rsid w:val="00AF19D3"/>
    <w:rsid w:val="00AF1BA2"/>
    <w:rsid w:val="00AF28A2"/>
    <w:rsid w:val="00AF29E6"/>
    <w:rsid w:val="00AF2D33"/>
    <w:rsid w:val="00AF3656"/>
    <w:rsid w:val="00AF36B7"/>
    <w:rsid w:val="00AF45EC"/>
    <w:rsid w:val="00AF5142"/>
    <w:rsid w:val="00AF5DF4"/>
    <w:rsid w:val="00AF6B80"/>
    <w:rsid w:val="00AF6E68"/>
    <w:rsid w:val="00AF715A"/>
    <w:rsid w:val="00B00B60"/>
    <w:rsid w:val="00B00F01"/>
    <w:rsid w:val="00B01165"/>
    <w:rsid w:val="00B01D69"/>
    <w:rsid w:val="00B036B3"/>
    <w:rsid w:val="00B05CF7"/>
    <w:rsid w:val="00B07324"/>
    <w:rsid w:val="00B0744F"/>
    <w:rsid w:val="00B07A3D"/>
    <w:rsid w:val="00B10CC1"/>
    <w:rsid w:val="00B10E83"/>
    <w:rsid w:val="00B11201"/>
    <w:rsid w:val="00B11696"/>
    <w:rsid w:val="00B116B2"/>
    <w:rsid w:val="00B1260A"/>
    <w:rsid w:val="00B128C1"/>
    <w:rsid w:val="00B12EC8"/>
    <w:rsid w:val="00B130B5"/>
    <w:rsid w:val="00B13F78"/>
    <w:rsid w:val="00B14130"/>
    <w:rsid w:val="00B14C7C"/>
    <w:rsid w:val="00B16D48"/>
    <w:rsid w:val="00B173B1"/>
    <w:rsid w:val="00B17AAA"/>
    <w:rsid w:val="00B20454"/>
    <w:rsid w:val="00B207D3"/>
    <w:rsid w:val="00B20E20"/>
    <w:rsid w:val="00B21221"/>
    <w:rsid w:val="00B2137E"/>
    <w:rsid w:val="00B2167A"/>
    <w:rsid w:val="00B22036"/>
    <w:rsid w:val="00B22DED"/>
    <w:rsid w:val="00B232F9"/>
    <w:rsid w:val="00B23E77"/>
    <w:rsid w:val="00B23EF3"/>
    <w:rsid w:val="00B249F3"/>
    <w:rsid w:val="00B25263"/>
    <w:rsid w:val="00B274FD"/>
    <w:rsid w:val="00B30454"/>
    <w:rsid w:val="00B30C8A"/>
    <w:rsid w:val="00B30D29"/>
    <w:rsid w:val="00B31C38"/>
    <w:rsid w:val="00B31D39"/>
    <w:rsid w:val="00B32315"/>
    <w:rsid w:val="00B32644"/>
    <w:rsid w:val="00B332EB"/>
    <w:rsid w:val="00B33B6D"/>
    <w:rsid w:val="00B33D25"/>
    <w:rsid w:val="00B34312"/>
    <w:rsid w:val="00B347E2"/>
    <w:rsid w:val="00B357E5"/>
    <w:rsid w:val="00B35ABB"/>
    <w:rsid w:val="00B362A3"/>
    <w:rsid w:val="00B36433"/>
    <w:rsid w:val="00B364A1"/>
    <w:rsid w:val="00B368FE"/>
    <w:rsid w:val="00B36A97"/>
    <w:rsid w:val="00B36B03"/>
    <w:rsid w:val="00B371BE"/>
    <w:rsid w:val="00B40246"/>
    <w:rsid w:val="00B40945"/>
    <w:rsid w:val="00B4122A"/>
    <w:rsid w:val="00B41296"/>
    <w:rsid w:val="00B416A3"/>
    <w:rsid w:val="00B42537"/>
    <w:rsid w:val="00B42FDE"/>
    <w:rsid w:val="00B43025"/>
    <w:rsid w:val="00B43090"/>
    <w:rsid w:val="00B453AD"/>
    <w:rsid w:val="00B4624A"/>
    <w:rsid w:val="00B46AE1"/>
    <w:rsid w:val="00B46D99"/>
    <w:rsid w:val="00B46EE5"/>
    <w:rsid w:val="00B4731B"/>
    <w:rsid w:val="00B47739"/>
    <w:rsid w:val="00B47EED"/>
    <w:rsid w:val="00B50E77"/>
    <w:rsid w:val="00B51356"/>
    <w:rsid w:val="00B51763"/>
    <w:rsid w:val="00B51A14"/>
    <w:rsid w:val="00B51E60"/>
    <w:rsid w:val="00B520E5"/>
    <w:rsid w:val="00B527A6"/>
    <w:rsid w:val="00B52A75"/>
    <w:rsid w:val="00B52C29"/>
    <w:rsid w:val="00B52E7E"/>
    <w:rsid w:val="00B53367"/>
    <w:rsid w:val="00B538A7"/>
    <w:rsid w:val="00B5392F"/>
    <w:rsid w:val="00B5429A"/>
    <w:rsid w:val="00B542E6"/>
    <w:rsid w:val="00B54500"/>
    <w:rsid w:val="00B54719"/>
    <w:rsid w:val="00B5551F"/>
    <w:rsid w:val="00B55C55"/>
    <w:rsid w:val="00B56068"/>
    <w:rsid w:val="00B5727D"/>
    <w:rsid w:val="00B572FF"/>
    <w:rsid w:val="00B57B1D"/>
    <w:rsid w:val="00B57F3B"/>
    <w:rsid w:val="00B60D8C"/>
    <w:rsid w:val="00B613A3"/>
    <w:rsid w:val="00B61DF2"/>
    <w:rsid w:val="00B620F2"/>
    <w:rsid w:val="00B622E8"/>
    <w:rsid w:val="00B62528"/>
    <w:rsid w:val="00B628CD"/>
    <w:rsid w:val="00B62F29"/>
    <w:rsid w:val="00B638DA"/>
    <w:rsid w:val="00B63D58"/>
    <w:rsid w:val="00B649C0"/>
    <w:rsid w:val="00B660B9"/>
    <w:rsid w:val="00B66E85"/>
    <w:rsid w:val="00B67274"/>
    <w:rsid w:val="00B67334"/>
    <w:rsid w:val="00B673CF"/>
    <w:rsid w:val="00B67A3E"/>
    <w:rsid w:val="00B67FEB"/>
    <w:rsid w:val="00B70513"/>
    <w:rsid w:val="00B708EF"/>
    <w:rsid w:val="00B709A9"/>
    <w:rsid w:val="00B70B5C"/>
    <w:rsid w:val="00B71561"/>
    <w:rsid w:val="00B71E61"/>
    <w:rsid w:val="00B7205B"/>
    <w:rsid w:val="00B723A1"/>
    <w:rsid w:val="00B736D6"/>
    <w:rsid w:val="00B74276"/>
    <w:rsid w:val="00B74ECC"/>
    <w:rsid w:val="00B752B9"/>
    <w:rsid w:val="00B7606A"/>
    <w:rsid w:val="00B77307"/>
    <w:rsid w:val="00B77761"/>
    <w:rsid w:val="00B8054B"/>
    <w:rsid w:val="00B816EA"/>
    <w:rsid w:val="00B81F55"/>
    <w:rsid w:val="00B821A5"/>
    <w:rsid w:val="00B821DA"/>
    <w:rsid w:val="00B829F6"/>
    <w:rsid w:val="00B833B4"/>
    <w:rsid w:val="00B8385F"/>
    <w:rsid w:val="00B83E50"/>
    <w:rsid w:val="00B84178"/>
    <w:rsid w:val="00B8519C"/>
    <w:rsid w:val="00B859C6"/>
    <w:rsid w:val="00B85DE4"/>
    <w:rsid w:val="00B861CC"/>
    <w:rsid w:val="00B86263"/>
    <w:rsid w:val="00B86795"/>
    <w:rsid w:val="00B86B40"/>
    <w:rsid w:val="00B90979"/>
    <w:rsid w:val="00B90CAA"/>
    <w:rsid w:val="00B9170F"/>
    <w:rsid w:val="00B91AB9"/>
    <w:rsid w:val="00B923E9"/>
    <w:rsid w:val="00B92718"/>
    <w:rsid w:val="00B9303D"/>
    <w:rsid w:val="00B93257"/>
    <w:rsid w:val="00B949F1"/>
    <w:rsid w:val="00B94E9E"/>
    <w:rsid w:val="00B951A0"/>
    <w:rsid w:val="00B951B2"/>
    <w:rsid w:val="00B95EBB"/>
    <w:rsid w:val="00B96402"/>
    <w:rsid w:val="00B9673B"/>
    <w:rsid w:val="00B96A41"/>
    <w:rsid w:val="00B97667"/>
    <w:rsid w:val="00B97AD4"/>
    <w:rsid w:val="00BA1ECC"/>
    <w:rsid w:val="00BA30CA"/>
    <w:rsid w:val="00BA310D"/>
    <w:rsid w:val="00BA354F"/>
    <w:rsid w:val="00BA37BF"/>
    <w:rsid w:val="00BA3F77"/>
    <w:rsid w:val="00BA4DC0"/>
    <w:rsid w:val="00BA501F"/>
    <w:rsid w:val="00BA5EBA"/>
    <w:rsid w:val="00BA5FCC"/>
    <w:rsid w:val="00BA67DC"/>
    <w:rsid w:val="00BA6886"/>
    <w:rsid w:val="00BA6F3A"/>
    <w:rsid w:val="00BA76BF"/>
    <w:rsid w:val="00BA7992"/>
    <w:rsid w:val="00BA7FA4"/>
    <w:rsid w:val="00BB012D"/>
    <w:rsid w:val="00BB01B3"/>
    <w:rsid w:val="00BB0211"/>
    <w:rsid w:val="00BB048F"/>
    <w:rsid w:val="00BB0CFF"/>
    <w:rsid w:val="00BB0FF2"/>
    <w:rsid w:val="00BB1005"/>
    <w:rsid w:val="00BB145B"/>
    <w:rsid w:val="00BB14BC"/>
    <w:rsid w:val="00BB18D0"/>
    <w:rsid w:val="00BB1FBB"/>
    <w:rsid w:val="00BB2105"/>
    <w:rsid w:val="00BB24A3"/>
    <w:rsid w:val="00BB2780"/>
    <w:rsid w:val="00BB2DA0"/>
    <w:rsid w:val="00BB3B74"/>
    <w:rsid w:val="00BB4019"/>
    <w:rsid w:val="00BB51D5"/>
    <w:rsid w:val="00BB52A6"/>
    <w:rsid w:val="00BB58FA"/>
    <w:rsid w:val="00BB6194"/>
    <w:rsid w:val="00BB6341"/>
    <w:rsid w:val="00BB6778"/>
    <w:rsid w:val="00BB6792"/>
    <w:rsid w:val="00BB7084"/>
    <w:rsid w:val="00BB79E5"/>
    <w:rsid w:val="00BB7A51"/>
    <w:rsid w:val="00BB7FC7"/>
    <w:rsid w:val="00BC062E"/>
    <w:rsid w:val="00BC15A9"/>
    <w:rsid w:val="00BC18CF"/>
    <w:rsid w:val="00BC1A42"/>
    <w:rsid w:val="00BC1F1C"/>
    <w:rsid w:val="00BC1FEE"/>
    <w:rsid w:val="00BC20F6"/>
    <w:rsid w:val="00BC22B6"/>
    <w:rsid w:val="00BC4693"/>
    <w:rsid w:val="00BC4B44"/>
    <w:rsid w:val="00BC501D"/>
    <w:rsid w:val="00BC57B2"/>
    <w:rsid w:val="00BC63CB"/>
    <w:rsid w:val="00BC6431"/>
    <w:rsid w:val="00BC694A"/>
    <w:rsid w:val="00BC69EA"/>
    <w:rsid w:val="00BC6A4D"/>
    <w:rsid w:val="00BC7D5F"/>
    <w:rsid w:val="00BD0445"/>
    <w:rsid w:val="00BD0857"/>
    <w:rsid w:val="00BD0E23"/>
    <w:rsid w:val="00BD1428"/>
    <w:rsid w:val="00BD1AA4"/>
    <w:rsid w:val="00BD21D5"/>
    <w:rsid w:val="00BD305F"/>
    <w:rsid w:val="00BD320A"/>
    <w:rsid w:val="00BD3605"/>
    <w:rsid w:val="00BD3899"/>
    <w:rsid w:val="00BD3CB1"/>
    <w:rsid w:val="00BD400D"/>
    <w:rsid w:val="00BD495A"/>
    <w:rsid w:val="00BD5198"/>
    <w:rsid w:val="00BD5579"/>
    <w:rsid w:val="00BD5CA8"/>
    <w:rsid w:val="00BD623D"/>
    <w:rsid w:val="00BD66CD"/>
    <w:rsid w:val="00BD71D8"/>
    <w:rsid w:val="00BD75D6"/>
    <w:rsid w:val="00BD765B"/>
    <w:rsid w:val="00BD7F74"/>
    <w:rsid w:val="00BE0853"/>
    <w:rsid w:val="00BE0E96"/>
    <w:rsid w:val="00BE162D"/>
    <w:rsid w:val="00BE23D4"/>
    <w:rsid w:val="00BE28F1"/>
    <w:rsid w:val="00BE2A2D"/>
    <w:rsid w:val="00BE3307"/>
    <w:rsid w:val="00BE37EE"/>
    <w:rsid w:val="00BE3E8C"/>
    <w:rsid w:val="00BE430D"/>
    <w:rsid w:val="00BE4C0B"/>
    <w:rsid w:val="00BE4C1E"/>
    <w:rsid w:val="00BE52A6"/>
    <w:rsid w:val="00BE54EF"/>
    <w:rsid w:val="00BE6398"/>
    <w:rsid w:val="00BE6EC3"/>
    <w:rsid w:val="00BE7860"/>
    <w:rsid w:val="00BE7B26"/>
    <w:rsid w:val="00BF08F7"/>
    <w:rsid w:val="00BF094F"/>
    <w:rsid w:val="00BF159B"/>
    <w:rsid w:val="00BF1CE4"/>
    <w:rsid w:val="00BF2929"/>
    <w:rsid w:val="00BF2A7F"/>
    <w:rsid w:val="00BF4A8B"/>
    <w:rsid w:val="00BF4B75"/>
    <w:rsid w:val="00BF51D4"/>
    <w:rsid w:val="00BF56DA"/>
    <w:rsid w:val="00BF5E2F"/>
    <w:rsid w:val="00C00276"/>
    <w:rsid w:val="00C0114B"/>
    <w:rsid w:val="00C01B34"/>
    <w:rsid w:val="00C023A9"/>
    <w:rsid w:val="00C0268B"/>
    <w:rsid w:val="00C02C69"/>
    <w:rsid w:val="00C032F3"/>
    <w:rsid w:val="00C03A28"/>
    <w:rsid w:val="00C03D32"/>
    <w:rsid w:val="00C03E54"/>
    <w:rsid w:val="00C0621F"/>
    <w:rsid w:val="00C06324"/>
    <w:rsid w:val="00C06401"/>
    <w:rsid w:val="00C06825"/>
    <w:rsid w:val="00C06B8D"/>
    <w:rsid w:val="00C073E0"/>
    <w:rsid w:val="00C07928"/>
    <w:rsid w:val="00C104CD"/>
    <w:rsid w:val="00C109D3"/>
    <w:rsid w:val="00C10BB3"/>
    <w:rsid w:val="00C10D6F"/>
    <w:rsid w:val="00C11053"/>
    <w:rsid w:val="00C11A14"/>
    <w:rsid w:val="00C11A38"/>
    <w:rsid w:val="00C13D8B"/>
    <w:rsid w:val="00C13DDF"/>
    <w:rsid w:val="00C140D8"/>
    <w:rsid w:val="00C14428"/>
    <w:rsid w:val="00C15CF1"/>
    <w:rsid w:val="00C1612D"/>
    <w:rsid w:val="00C1618B"/>
    <w:rsid w:val="00C16300"/>
    <w:rsid w:val="00C1691A"/>
    <w:rsid w:val="00C16FCF"/>
    <w:rsid w:val="00C1717A"/>
    <w:rsid w:val="00C1781F"/>
    <w:rsid w:val="00C17AA3"/>
    <w:rsid w:val="00C2095C"/>
    <w:rsid w:val="00C21B7D"/>
    <w:rsid w:val="00C22223"/>
    <w:rsid w:val="00C226CA"/>
    <w:rsid w:val="00C23346"/>
    <w:rsid w:val="00C2444E"/>
    <w:rsid w:val="00C26C12"/>
    <w:rsid w:val="00C270D2"/>
    <w:rsid w:val="00C27400"/>
    <w:rsid w:val="00C2777A"/>
    <w:rsid w:val="00C277A5"/>
    <w:rsid w:val="00C27859"/>
    <w:rsid w:val="00C302ED"/>
    <w:rsid w:val="00C3052A"/>
    <w:rsid w:val="00C3096E"/>
    <w:rsid w:val="00C3112A"/>
    <w:rsid w:val="00C31730"/>
    <w:rsid w:val="00C317D1"/>
    <w:rsid w:val="00C32846"/>
    <w:rsid w:val="00C32BE4"/>
    <w:rsid w:val="00C337AF"/>
    <w:rsid w:val="00C33AA9"/>
    <w:rsid w:val="00C33E44"/>
    <w:rsid w:val="00C34368"/>
    <w:rsid w:val="00C34B8F"/>
    <w:rsid w:val="00C34E67"/>
    <w:rsid w:val="00C34E69"/>
    <w:rsid w:val="00C356AB"/>
    <w:rsid w:val="00C3625C"/>
    <w:rsid w:val="00C3659A"/>
    <w:rsid w:val="00C3693E"/>
    <w:rsid w:val="00C3772F"/>
    <w:rsid w:val="00C40019"/>
    <w:rsid w:val="00C40A5F"/>
    <w:rsid w:val="00C41C5E"/>
    <w:rsid w:val="00C4223D"/>
    <w:rsid w:val="00C42F8D"/>
    <w:rsid w:val="00C4327D"/>
    <w:rsid w:val="00C4358F"/>
    <w:rsid w:val="00C43E40"/>
    <w:rsid w:val="00C4482C"/>
    <w:rsid w:val="00C45014"/>
    <w:rsid w:val="00C4559C"/>
    <w:rsid w:val="00C457BF"/>
    <w:rsid w:val="00C45914"/>
    <w:rsid w:val="00C462F9"/>
    <w:rsid w:val="00C46839"/>
    <w:rsid w:val="00C46BCD"/>
    <w:rsid w:val="00C46E39"/>
    <w:rsid w:val="00C470DF"/>
    <w:rsid w:val="00C473A0"/>
    <w:rsid w:val="00C51579"/>
    <w:rsid w:val="00C53710"/>
    <w:rsid w:val="00C53C07"/>
    <w:rsid w:val="00C53F88"/>
    <w:rsid w:val="00C54356"/>
    <w:rsid w:val="00C54644"/>
    <w:rsid w:val="00C54968"/>
    <w:rsid w:val="00C54D55"/>
    <w:rsid w:val="00C54FF5"/>
    <w:rsid w:val="00C554C1"/>
    <w:rsid w:val="00C559D1"/>
    <w:rsid w:val="00C55AC7"/>
    <w:rsid w:val="00C55E1A"/>
    <w:rsid w:val="00C564F7"/>
    <w:rsid w:val="00C56582"/>
    <w:rsid w:val="00C56615"/>
    <w:rsid w:val="00C572B6"/>
    <w:rsid w:val="00C57BD1"/>
    <w:rsid w:val="00C60148"/>
    <w:rsid w:val="00C60672"/>
    <w:rsid w:val="00C611B3"/>
    <w:rsid w:val="00C61605"/>
    <w:rsid w:val="00C61DB7"/>
    <w:rsid w:val="00C6492B"/>
    <w:rsid w:val="00C64B59"/>
    <w:rsid w:val="00C65659"/>
    <w:rsid w:val="00C661D5"/>
    <w:rsid w:val="00C661FC"/>
    <w:rsid w:val="00C670B3"/>
    <w:rsid w:val="00C6732E"/>
    <w:rsid w:val="00C6752C"/>
    <w:rsid w:val="00C67682"/>
    <w:rsid w:val="00C678D4"/>
    <w:rsid w:val="00C70798"/>
    <w:rsid w:val="00C707C0"/>
    <w:rsid w:val="00C707C2"/>
    <w:rsid w:val="00C70A04"/>
    <w:rsid w:val="00C70F57"/>
    <w:rsid w:val="00C7128F"/>
    <w:rsid w:val="00C71A85"/>
    <w:rsid w:val="00C724D1"/>
    <w:rsid w:val="00C73020"/>
    <w:rsid w:val="00C73481"/>
    <w:rsid w:val="00C7444D"/>
    <w:rsid w:val="00C74DF6"/>
    <w:rsid w:val="00C7556B"/>
    <w:rsid w:val="00C76089"/>
    <w:rsid w:val="00C761F8"/>
    <w:rsid w:val="00C7648B"/>
    <w:rsid w:val="00C764B2"/>
    <w:rsid w:val="00C77975"/>
    <w:rsid w:val="00C77EA0"/>
    <w:rsid w:val="00C80D29"/>
    <w:rsid w:val="00C81429"/>
    <w:rsid w:val="00C8149B"/>
    <w:rsid w:val="00C81A03"/>
    <w:rsid w:val="00C827EA"/>
    <w:rsid w:val="00C83077"/>
    <w:rsid w:val="00C8315E"/>
    <w:rsid w:val="00C83916"/>
    <w:rsid w:val="00C84876"/>
    <w:rsid w:val="00C849DE"/>
    <w:rsid w:val="00C84D73"/>
    <w:rsid w:val="00C8592A"/>
    <w:rsid w:val="00C862C8"/>
    <w:rsid w:val="00C864AE"/>
    <w:rsid w:val="00C865CE"/>
    <w:rsid w:val="00C86DEC"/>
    <w:rsid w:val="00C8790B"/>
    <w:rsid w:val="00C87CFA"/>
    <w:rsid w:val="00C9095C"/>
    <w:rsid w:val="00C90C8E"/>
    <w:rsid w:val="00C9126B"/>
    <w:rsid w:val="00C91AD3"/>
    <w:rsid w:val="00C923F7"/>
    <w:rsid w:val="00C92BEA"/>
    <w:rsid w:val="00C92D3E"/>
    <w:rsid w:val="00C92FE0"/>
    <w:rsid w:val="00C944F2"/>
    <w:rsid w:val="00C94936"/>
    <w:rsid w:val="00C94B25"/>
    <w:rsid w:val="00C94F87"/>
    <w:rsid w:val="00C95074"/>
    <w:rsid w:val="00C95497"/>
    <w:rsid w:val="00C954AC"/>
    <w:rsid w:val="00C955E6"/>
    <w:rsid w:val="00C9570E"/>
    <w:rsid w:val="00C95B16"/>
    <w:rsid w:val="00C9664F"/>
    <w:rsid w:val="00C96DE9"/>
    <w:rsid w:val="00C970F7"/>
    <w:rsid w:val="00C97A3A"/>
    <w:rsid w:val="00C97A4A"/>
    <w:rsid w:val="00C97D94"/>
    <w:rsid w:val="00CA1710"/>
    <w:rsid w:val="00CA1F15"/>
    <w:rsid w:val="00CA2299"/>
    <w:rsid w:val="00CA23F2"/>
    <w:rsid w:val="00CA34D7"/>
    <w:rsid w:val="00CA3690"/>
    <w:rsid w:val="00CA3858"/>
    <w:rsid w:val="00CA3C80"/>
    <w:rsid w:val="00CA3FBF"/>
    <w:rsid w:val="00CA4AD9"/>
    <w:rsid w:val="00CA4B8D"/>
    <w:rsid w:val="00CA4C98"/>
    <w:rsid w:val="00CA5163"/>
    <w:rsid w:val="00CA540E"/>
    <w:rsid w:val="00CA59C3"/>
    <w:rsid w:val="00CA707B"/>
    <w:rsid w:val="00CA7A10"/>
    <w:rsid w:val="00CA7F3D"/>
    <w:rsid w:val="00CB02E0"/>
    <w:rsid w:val="00CB187D"/>
    <w:rsid w:val="00CB2018"/>
    <w:rsid w:val="00CB2103"/>
    <w:rsid w:val="00CB259D"/>
    <w:rsid w:val="00CB2A06"/>
    <w:rsid w:val="00CB6D62"/>
    <w:rsid w:val="00CB767E"/>
    <w:rsid w:val="00CC0D96"/>
    <w:rsid w:val="00CC2C2D"/>
    <w:rsid w:val="00CC32F3"/>
    <w:rsid w:val="00CC39FB"/>
    <w:rsid w:val="00CC3F7E"/>
    <w:rsid w:val="00CC45A7"/>
    <w:rsid w:val="00CC48A7"/>
    <w:rsid w:val="00CC4EB1"/>
    <w:rsid w:val="00CC6E4F"/>
    <w:rsid w:val="00CC7306"/>
    <w:rsid w:val="00CC79AF"/>
    <w:rsid w:val="00CC7BC0"/>
    <w:rsid w:val="00CD067D"/>
    <w:rsid w:val="00CD077D"/>
    <w:rsid w:val="00CD1007"/>
    <w:rsid w:val="00CD1154"/>
    <w:rsid w:val="00CD1784"/>
    <w:rsid w:val="00CD1AAF"/>
    <w:rsid w:val="00CD283B"/>
    <w:rsid w:val="00CD3095"/>
    <w:rsid w:val="00CD34A5"/>
    <w:rsid w:val="00CD37F9"/>
    <w:rsid w:val="00CD3985"/>
    <w:rsid w:val="00CD4DDB"/>
    <w:rsid w:val="00CD55F1"/>
    <w:rsid w:val="00CD6267"/>
    <w:rsid w:val="00CD6333"/>
    <w:rsid w:val="00CD67A5"/>
    <w:rsid w:val="00CD71AA"/>
    <w:rsid w:val="00CE0496"/>
    <w:rsid w:val="00CE0FC3"/>
    <w:rsid w:val="00CE102D"/>
    <w:rsid w:val="00CE13F7"/>
    <w:rsid w:val="00CE1D5E"/>
    <w:rsid w:val="00CE24F8"/>
    <w:rsid w:val="00CE4648"/>
    <w:rsid w:val="00CE468C"/>
    <w:rsid w:val="00CE5759"/>
    <w:rsid w:val="00CE5BAA"/>
    <w:rsid w:val="00CE5D14"/>
    <w:rsid w:val="00CE709E"/>
    <w:rsid w:val="00CE775F"/>
    <w:rsid w:val="00CE78C2"/>
    <w:rsid w:val="00CE7DCC"/>
    <w:rsid w:val="00CF0354"/>
    <w:rsid w:val="00CF0680"/>
    <w:rsid w:val="00CF2259"/>
    <w:rsid w:val="00CF34A8"/>
    <w:rsid w:val="00CF4956"/>
    <w:rsid w:val="00CF4E66"/>
    <w:rsid w:val="00CF4F5E"/>
    <w:rsid w:val="00CF5A17"/>
    <w:rsid w:val="00CF6D89"/>
    <w:rsid w:val="00CF715F"/>
    <w:rsid w:val="00CF7368"/>
    <w:rsid w:val="00CF7DA4"/>
    <w:rsid w:val="00D00228"/>
    <w:rsid w:val="00D00C3A"/>
    <w:rsid w:val="00D00E82"/>
    <w:rsid w:val="00D013D3"/>
    <w:rsid w:val="00D02530"/>
    <w:rsid w:val="00D02756"/>
    <w:rsid w:val="00D02CC6"/>
    <w:rsid w:val="00D02EC6"/>
    <w:rsid w:val="00D04B99"/>
    <w:rsid w:val="00D05E7D"/>
    <w:rsid w:val="00D0653E"/>
    <w:rsid w:val="00D06A61"/>
    <w:rsid w:val="00D077E6"/>
    <w:rsid w:val="00D07839"/>
    <w:rsid w:val="00D078F2"/>
    <w:rsid w:val="00D079D1"/>
    <w:rsid w:val="00D1046F"/>
    <w:rsid w:val="00D105CA"/>
    <w:rsid w:val="00D10D67"/>
    <w:rsid w:val="00D1153A"/>
    <w:rsid w:val="00D116BA"/>
    <w:rsid w:val="00D11D10"/>
    <w:rsid w:val="00D12241"/>
    <w:rsid w:val="00D1252D"/>
    <w:rsid w:val="00D125F0"/>
    <w:rsid w:val="00D12FC1"/>
    <w:rsid w:val="00D12FED"/>
    <w:rsid w:val="00D132F2"/>
    <w:rsid w:val="00D13803"/>
    <w:rsid w:val="00D13B7F"/>
    <w:rsid w:val="00D13C96"/>
    <w:rsid w:val="00D14C1A"/>
    <w:rsid w:val="00D14D48"/>
    <w:rsid w:val="00D1563D"/>
    <w:rsid w:val="00D15668"/>
    <w:rsid w:val="00D1612B"/>
    <w:rsid w:val="00D1635D"/>
    <w:rsid w:val="00D16505"/>
    <w:rsid w:val="00D17212"/>
    <w:rsid w:val="00D17CEF"/>
    <w:rsid w:val="00D17DC3"/>
    <w:rsid w:val="00D20568"/>
    <w:rsid w:val="00D20A9C"/>
    <w:rsid w:val="00D20AF3"/>
    <w:rsid w:val="00D20DE9"/>
    <w:rsid w:val="00D2118C"/>
    <w:rsid w:val="00D211D0"/>
    <w:rsid w:val="00D213C5"/>
    <w:rsid w:val="00D229A8"/>
    <w:rsid w:val="00D22AF3"/>
    <w:rsid w:val="00D22B34"/>
    <w:rsid w:val="00D230FD"/>
    <w:rsid w:val="00D23541"/>
    <w:rsid w:val="00D23A37"/>
    <w:rsid w:val="00D23A44"/>
    <w:rsid w:val="00D23DEF"/>
    <w:rsid w:val="00D241F5"/>
    <w:rsid w:val="00D249FE"/>
    <w:rsid w:val="00D25A5D"/>
    <w:rsid w:val="00D26676"/>
    <w:rsid w:val="00D271E6"/>
    <w:rsid w:val="00D27236"/>
    <w:rsid w:val="00D27668"/>
    <w:rsid w:val="00D27E93"/>
    <w:rsid w:val="00D317FB"/>
    <w:rsid w:val="00D31942"/>
    <w:rsid w:val="00D325EC"/>
    <w:rsid w:val="00D32ED3"/>
    <w:rsid w:val="00D33C88"/>
    <w:rsid w:val="00D3423A"/>
    <w:rsid w:val="00D35286"/>
    <w:rsid w:val="00D35BB3"/>
    <w:rsid w:val="00D35EC4"/>
    <w:rsid w:val="00D3621A"/>
    <w:rsid w:val="00D37168"/>
    <w:rsid w:val="00D37614"/>
    <w:rsid w:val="00D40618"/>
    <w:rsid w:val="00D4100B"/>
    <w:rsid w:val="00D41B94"/>
    <w:rsid w:val="00D41F4F"/>
    <w:rsid w:val="00D42944"/>
    <w:rsid w:val="00D429D2"/>
    <w:rsid w:val="00D43655"/>
    <w:rsid w:val="00D44899"/>
    <w:rsid w:val="00D44B06"/>
    <w:rsid w:val="00D44EB1"/>
    <w:rsid w:val="00D464F5"/>
    <w:rsid w:val="00D46D1D"/>
    <w:rsid w:val="00D50555"/>
    <w:rsid w:val="00D50662"/>
    <w:rsid w:val="00D5076E"/>
    <w:rsid w:val="00D50AD8"/>
    <w:rsid w:val="00D526CF"/>
    <w:rsid w:val="00D52920"/>
    <w:rsid w:val="00D534FB"/>
    <w:rsid w:val="00D53F05"/>
    <w:rsid w:val="00D54BDF"/>
    <w:rsid w:val="00D5533B"/>
    <w:rsid w:val="00D55C63"/>
    <w:rsid w:val="00D56098"/>
    <w:rsid w:val="00D56CE8"/>
    <w:rsid w:val="00D5777B"/>
    <w:rsid w:val="00D57976"/>
    <w:rsid w:val="00D57AAA"/>
    <w:rsid w:val="00D57EB6"/>
    <w:rsid w:val="00D60521"/>
    <w:rsid w:val="00D60E5E"/>
    <w:rsid w:val="00D618BB"/>
    <w:rsid w:val="00D61E8F"/>
    <w:rsid w:val="00D61EBE"/>
    <w:rsid w:val="00D627A8"/>
    <w:rsid w:val="00D63340"/>
    <w:rsid w:val="00D648B3"/>
    <w:rsid w:val="00D64D6E"/>
    <w:rsid w:val="00D6540B"/>
    <w:rsid w:val="00D66157"/>
    <w:rsid w:val="00D66E2F"/>
    <w:rsid w:val="00D67625"/>
    <w:rsid w:val="00D70183"/>
    <w:rsid w:val="00D70808"/>
    <w:rsid w:val="00D70DF8"/>
    <w:rsid w:val="00D72251"/>
    <w:rsid w:val="00D73115"/>
    <w:rsid w:val="00D73CFB"/>
    <w:rsid w:val="00D745C8"/>
    <w:rsid w:val="00D74BA8"/>
    <w:rsid w:val="00D74DFB"/>
    <w:rsid w:val="00D74FDD"/>
    <w:rsid w:val="00D76715"/>
    <w:rsid w:val="00D76831"/>
    <w:rsid w:val="00D76863"/>
    <w:rsid w:val="00D76918"/>
    <w:rsid w:val="00D769B5"/>
    <w:rsid w:val="00D76BF3"/>
    <w:rsid w:val="00D76C8D"/>
    <w:rsid w:val="00D76D56"/>
    <w:rsid w:val="00D7717B"/>
    <w:rsid w:val="00D81314"/>
    <w:rsid w:val="00D81D1A"/>
    <w:rsid w:val="00D81E1F"/>
    <w:rsid w:val="00D82138"/>
    <w:rsid w:val="00D824D5"/>
    <w:rsid w:val="00D82520"/>
    <w:rsid w:val="00D82F4B"/>
    <w:rsid w:val="00D83ACB"/>
    <w:rsid w:val="00D83C9B"/>
    <w:rsid w:val="00D83DCB"/>
    <w:rsid w:val="00D83F43"/>
    <w:rsid w:val="00D84151"/>
    <w:rsid w:val="00D849FB"/>
    <w:rsid w:val="00D84FC6"/>
    <w:rsid w:val="00D869EC"/>
    <w:rsid w:val="00D86B58"/>
    <w:rsid w:val="00D90598"/>
    <w:rsid w:val="00D90E4A"/>
    <w:rsid w:val="00D911FC"/>
    <w:rsid w:val="00D91F4E"/>
    <w:rsid w:val="00D927B8"/>
    <w:rsid w:val="00D933BC"/>
    <w:rsid w:val="00D9382B"/>
    <w:rsid w:val="00D944D5"/>
    <w:rsid w:val="00D94AC8"/>
    <w:rsid w:val="00D95791"/>
    <w:rsid w:val="00D97123"/>
    <w:rsid w:val="00D9723C"/>
    <w:rsid w:val="00DA0275"/>
    <w:rsid w:val="00DA0283"/>
    <w:rsid w:val="00DA0A02"/>
    <w:rsid w:val="00DA10AD"/>
    <w:rsid w:val="00DA16B7"/>
    <w:rsid w:val="00DA1E93"/>
    <w:rsid w:val="00DA1EAA"/>
    <w:rsid w:val="00DA26D6"/>
    <w:rsid w:val="00DA369F"/>
    <w:rsid w:val="00DA3FF8"/>
    <w:rsid w:val="00DA5112"/>
    <w:rsid w:val="00DA5287"/>
    <w:rsid w:val="00DA5A1D"/>
    <w:rsid w:val="00DA5DB0"/>
    <w:rsid w:val="00DA60DF"/>
    <w:rsid w:val="00DA6221"/>
    <w:rsid w:val="00DA6966"/>
    <w:rsid w:val="00DA6B27"/>
    <w:rsid w:val="00DB0146"/>
    <w:rsid w:val="00DB024D"/>
    <w:rsid w:val="00DB0277"/>
    <w:rsid w:val="00DB0689"/>
    <w:rsid w:val="00DB0BEC"/>
    <w:rsid w:val="00DB0E2E"/>
    <w:rsid w:val="00DB10A5"/>
    <w:rsid w:val="00DB17A0"/>
    <w:rsid w:val="00DB1E52"/>
    <w:rsid w:val="00DB2166"/>
    <w:rsid w:val="00DB35BF"/>
    <w:rsid w:val="00DB3901"/>
    <w:rsid w:val="00DB4090"/>
    <w:rsid w:val="00DB42A2"/>
    <w:rsid w:val="00DB4EB1"/>
    <w:rsid w:val="00DB550A"/>
    <w:rsid w:val="00DB574D"/>
    <w:rsid w:val="00DB662F"/>
    <w:rsid w:val="00DB6CF8"/>
    <w:rsid w:val="00DB7060"/>
    <w:rsid w:val="00DB7701"/>
    <w:rsid w:val="00DB7A9F"/>
    <w:rsid w:val="00DB7F7B"/>
    <w:rsid w:val="00DC050E"/>
    <w:rsid w:val="00DC0ED9"/>
    <w:rsid w:val="00DC11C5"/>
    <w:rsid w:val="00DC15A1"/>
    <w:rsid w:val="00DC1D67"/>
    <w:rsid w:val="00DC2AB2"/>
    <w:rsid w:val="00DC2B13"/>
    <w:rsid w:val="00DC2BE9"/>
    <w:rsid w:val="00DC310F"/>
    <w:rsid w:val="00DC44EA"/>
    <w:rsid w:val="00DC47C0"/>
    <w:rsid w:val="00DC60D4"/>
    <w:rsid w:val="00DC6814"/>
    <w:rsid w:val="00DC6B8B"/>
    <w:rsid w:val="00DC719A"/>
    <w:rsid w:val="00DC75A1"/>
    <w:rsid w:val="00DD0A7E"/>
    <w:rsid w:val="00DD0C0F"/>
    <w:rsid w:val="00DD13FD"/>
    <w:rsid w:val="00DD1463"/>
    <w:rsid w:val="00DD1B77"/>
    <w:rsid w:val="00DD3430"/>
    <w:rsid w:val="00DD3D3C"/>
    <w:rsid w:val="00DD3F10"/>
    <w:rsid w:val="00DD4201"/>
    <w:rsid w:val="00DD584E"/>
    <w:rsid w:val="00DD58D0"/>
    <w:rsid w:val="00DD5DFA"/>
    <w:rsid w:val="00DD6A8D"/>
    <w:rsid w:val="00DD708A"/>
    <w:rsid w:val="00DD7610"/>
    <w:rsid w:val="00DD7F74"/>
    <w:rsid w:val="00DE04F8"/>
    <w:rsid w:val="00DE0777"/>
    <w:rsid w:val="00DE095C"/>
    <w:rsid w:val="00DE0E3A"/>
    <w:rsid w:val="00DE102A"/>
    <w:rsid w:val="00DE26FF"/>
    <w:rsid w:val="00DE3069"/>
    <w:rsid w:val="00DE32B0"/>
    <w:rsid w:val="00DE379C"/>
    <w:rsid w:val="00DE3C40"/>
    <w:rsid w:val="00DE47E7"/>
    <w:rsid w:val="00DE4B30"/>
    <w:rsid w:val="00DE5210"/>
    <w:rsid w:val="00DE5ABC"/>
    <w:rsid w:val="00DE6000"/>
    <w:rsid w:val="00DE6506"/>
    <w:rsid w:val="00DE69BA"/>
    <w:rsid w:val="00DE7156"/>
    <w:rsid w:val="00DE74F9"/>
    <w:rsid w:val="00DE79CB"/>
    <w:rsid w:val="00DE7B84"/>
    <w:rsid w:val="00DF0024"/>
    <w:rsid w:val="00DF023C"/>
    <w:rsid w:val="00DF1976"/>
    <w:rsid w:val="00DF1AF7"/>
    <w:rsid w:val="00DF1C5D"/>
    <w:rsid w:val="00DF203E"/>
    <w:rsid w:val="00DF2AD4"/>
    <w:rsid w:val="00DF3DE4"/>
    <w:rsid w:val="00DF3ECF"/>
    <w:rsid w:val="00DF41AA"/>
    <w:rsid w:val="00DF4725"/>
    <w:rsid w:val="00DF539A"/>
    <w:rsid w:val="00DF606B"/>
    <w:rsid w:val="00DF6627"/>
    <w:rsid w:val="00DF6678"/>
    <w:rsid w:val="00DF6BBD"/>
    <w:rsid w:val="00DF6E3A"/>
    <w:rsid w:val="00DF7671"/>
    <w:rsid w:val="00E0148C"/>
    <w:rsid w:val="00E01DF8"/>
    <w:rsid w:val="00E0234F"/>
    <w:rsid w:val="00E02766"/>
    <w:rsid w:val="00E02BD4"/>
    <w:rsid w:val="00E03981"/>
    <w:rsid w:val="00E0424D"/>
    <w:rsid w:val="00E047C7"/>
    <w:rsid w:val="00E04D7E"/>
    <w:rsid w:val="00E05381"/>
    <w:rsid w:val="00E05997"/>
    <w:rsid w:val="00E05A59"/>
    <w:rsid w:val="00E0645F"/>
    <w:rsid w:val="00E0685E"/>
    <w:rsid w:val="00E06E46"/>
    <w:rsid w:val="00E07013"/>
    <w:rsid w:val="00E07049"/>
    <w:rsid w:val="00E073EE"/>
    <w:rsid w:val="00E07476"/>
    <w:rsid w:val="00E075AD"/>
    <w:rsid w:val="00E07D97"/>
    <w:rsid w:val="00E10805"/>
    <w:rsid w:val="00E10E3C"/>
    <w:rsid w:val="00E1144C"/>
    <w:rsid w:val="00E11A1F"/>
    <w:rsid w:val="00E12FA3"/>
    <w:rsid w:val="00E1323D"/>
    <w:rsid w:val="00E16218"/>
    <w:rsid w:val="00E16359"/>
    <w:rsid w:val="00E168F6"/>
    <w:rsid w:val="00E16CBB"/>
    <w:rsid w:val="00E179EE"/>
    <w:rsid w:val="00E17FC0"/>
    <w:rsid w:val="00E20C78"/>
    <w:rsid w:val="00E2123F"/>
    <w:rsid w:val="00E23021"/>
    <w:rsid w:val="00E25316"/>
    <w:rsid w:val="00E25FDF"/>
    <w:rsid w:val="00E2613B"/>
    <w:rsid w:val="00E26C97"/>
    <w:rsid w:val="00E26F74"/>
    <w:rsid w:val="00E27C3B"/>
    <w:rsid w:val="00E308EE"/>
    <w:rsid w:val="00E30F7A"/>
    <w:rsid w:val="00E31731"/>
    <w:rsid w:val="00E318C5"/>
    <w:rsid w:val="00E31D72"/>
    <w:rsid w:val="00E32274"/>
    <w:rsid w:val="00E32DC8"/>
    <w:rsid w:val="00E33DDC"/>
    <w:rsid w:val="00E3472F"/>
    <w:rsid w:val="00E34A95"/>
    <w:rsid w:val="00E34D4A"/>
    <w:rsid w:val="00E3512A"/>
    <w:rsid w:val="00E355BB"/>
    <w:rsid w:val="00E3578A"/>
    <w:rsid w:val="00E36E61"/>
    <w:rsid w:val="00E36FF7"/>
    <w:rsid w:val="00E37302"/>
    <w:rsid w:val="00E40A16"/>
    <w:rsid w:val="00E40CB6"/>
    <w:rsid w:val="00E40E1A"/>
    <w:rsid w:val="00E40EDF"/>
    <w:rsid w:val="00E40F8C"/>
    <w:rsid w:val="00E4116E"/>
    <w:rsid w:val="00E4148C"/>
    <w:rsid w:val="00E419C8"/>
    <w:rsid w:val="00E425D0"/>
    <w:rsid w:val="00E426B0"/>
    <w:rsid w:val="00E426BD"/>
    <w:rsid w:val="00E4339E"/>
    <w:rsid w:val="00E442D4"/>
    <w:rsid w:val="00E4482B"/>
    <w:rsid w:val="00E45412"/>
    <w:rsid w:val="00E455DC"/>
    <w:rsid w:val="00E455EB"/>
    <w:rsid w:val="00E45A28"/>
    <w:rsid w:val="00E45FE0"/>
    <w:rsid w:val="00E462D4"/>
    <w:rsid w:val="00E46CFB"/>
    <w:rsid w:val="00E46E77"/>
    <w:rsid w:val="00E474C8"/>
    <w:rsid w:val="00E478CB"/>
    <w:rsid w:val="00E50085"/>
    <w:rsid w:val="00E50219"/>
    <w:rsid w:val="00E50700"/>
    <w:rsid w:val="00E50C5A"/>
    <w:rsid w:val="00E50DE2"/>
    <w:rsid w:val="00E51FB9"/>
    <w:rsid w:val="00E53145"/>
    <w:rsid w:val="00E53B84"/>
    <w:rsid w:val="00E54087"/>
    <w:rsid w:val="00E5420C"/>
    <w:rsid w:val="00E55731"/>
    <w:rsid w:val="00E55901"/>
    <w:rsid w:val="00E55AE6"/>
    <w:rsid w:val="00E56442"/>
    <w:rsid w:val="00E56485"/>
    <w:rsid w:val="00E5650F"/>
    <w:rsid w:val="00E57F8B"/>
    <w:rsid w:val="00E60914"/>
    <w:rsid w:val="00E61947"/>
    <w:rsid w:val="00E61B89"/>
    <w:rsid w:val="00E6220E"/>
    <w:rsid w:val="00E63B28"/>
    <w:rsid w:val="00E63DEF"/>
    <w:rsid w:val="00E64A9B"/>
    <w:rsid w:val="00E65218"/>
    <w:rsid w:val="00E65439"/>
    <w:rsid w:val="00E6626F"/>
    <w:rsid w:val="00E66736"/>
    <w:rsid w:val="00E66907"/>
    <w:rsid w:val="00E66B70"/>
    <w:rsid w:val="00E66DBC"/>
    <w:rsid w:val="00E7133B"/>
    <w:rsid w:val="00E71518"/>
    <w:rsid w:val="00E71AF8"/>
    <w:rsid w:val="00E722F5"/>
    <w:rsid w:val="00E73242"/>
    <w:rsid w:val="00E73F60"/>
    <w:rsid w:val="00E74A53"/>
    <w:rsid w:val="00E74F2E"/>
    <w:rsid w:val="00E75001"/>
    <w:rsid w:val="00E7524A"/>
    <w:rsid w:val="00E75382"/>
    <w:rsid w:val="00E75C6D"/>
    <w:rsid w:val="00E75EF9"/>
    <w:rsid w:val="00E76254"/>
    <w:rsid w:val="00E76D74"/>
    <w:rsid w:val="00E76ECA"/>
    <w:rsid w:val="00E77781"/>
    <w:rsid w:val="00E80636"/>
    <w:rsid w:val="00E80BD1"/>
    <w:rsid w:val="00E81ED6"/>
    <w:rsid w:val="00E81F90"/>
    <w:rsid w:val="00E81FE6"/>
    <w:rsid w:val="00E82EAD"/>
    <w:rsid w:val="00E83591"/>
    <w:rsid w:val="00E83CC3"/>
    <w:rsid w:val="00E8444A"/>
    <w:rsid w:val="00E84CB7"/>
    <w:rsid w:val="00E854E6"/>
    <w:rsid w:val="00E85786"/>
    <w:rsid w:val="00E8664F"/>
    <w:rsid w:val="00E87776"/>
    <w:rsid w:val="00E903FA"/>
    <w:rsid w:val="00E9073C"/>
    <w:rsid w:val="00E9080D"/>
    <w:rsid w:val="00E92A86"/>
    <w:rsid w:val="00E92D25"/>
    <w:rsid w:val="00E93180"/>
    <w:rsid w:val="00E94464"/>
    <w:rsid w:val="00E95655"/>
    <w:rsid w:val="00E95A46"/>
    <w:rsid w:val="00E96206"/>
    <w:rsid w:val="00E974B9"/>
    <w:rsid w:val="00E975E8"/>
    <w:rsid w:val="00E976A0"/>
    <w:rsid w:val="00E97B60"/>
    <w:rsid w:val="00EA0131"/>
    <w:rsid w:val="00EA0B70"/>
    <w:rsid w:val="00EA0E17"/>
    <w:rsid w:val="00EA1BB6"/>
    <w:rsid w:val="00EA1FEE"/>
    <w:rsid w:val="00EA3485"/>
    <w:rsid w:val="00EA36A0"/>
    <w:rsid w:val="00EA36FF"/>
    <w:rsid w:val="00EA3D4F"/>
    <w:rsid w:val="00EA45D6"/>
    <w:rsid w:val="00EA5390"/>
    <w:rsid w:val="00EA5C71"/>
    <w:rsid w:val="00EA5F51"/>
    <w:rsid w:val="00EA6842"/>
    <w:rsid w:val="00EA6F68"/>
    <w:rsid w:val="00EA7A39"/>
    <w:rsid w:val="00EB026B"/>
    <w:rsid w:val="00EB02EB"/>
    <w:rsid w:val="00EB0842"/>
    <w:rsid w:val="00EB10C3"/>
    <w:rsid w:val="00EB1559"/>
    <w:rsid w:val="00EB21BE"/>
    <w:rsid w:val="00EB21E0"/>
    <w:rsid w:val="00EB25CD"/>
    <w:rsid w:val="00EB2733"/>
    <w:rsid w:val="00EB2B83"/>
    <w:rsid w:val="00EB2E60"/>
    <w:rsid w:val="00EB4ED0"/>
    <w:rsid w:val="00EB5095"/>
    <w:rsid w:val="00EB5FDA"/>
    <w:rsid w:val="00EB6194"/>
    <w:rsid w:val="00EB6225"/>
    <w:rsid w:val="00EB64C6"/>
    <w:rsid w:val="00EB683A"/>
    <w:rsid w:val="00EB6D9B"/>
    <w:rsid w:val="00EB6EBE"/>
    <w:rsid w:val="00EB70BF"/>
    <w:rsid w:val="00EB71EF"/>
    <w:rsid w:val="00EB7355"/>
    <w:rsid w:val="00EB760E"/>
    <w:rsid w:val="00EC0020"/>
    <w:rsid w:val="00EC0445"/>
    <w:rsid w:val="00EC068A"/>
    <w:rsid w:val="00EC06DD"/>
    <w:rsid w:val="00EC12F2"/>
    <w:rsid w:val="00EC147F"/>
    <w:rsid w:val="00EC2147"/>
    <w:rsid w:val="00EC2A84"/>
    <w:rsid w:val="00EC2DF2"/>
    <w:rsid w:val="00EC3270"/>
    <w:rsid w:val="00EC37D6"/>
    <w:rsid w:val="00EC4023"/>
    <w:rsid w:val="00EC4242"/>
    <w:rsid w:val="00EC440E"/>
    <w:rsid w:val="00EC4981"/>
    <w:rsid w:val="00EC5E97"/>
    <w:rsid w:val="00EC6781"/>
    <w:rsid w:val="00EC68E6"/>
    <w:rsid w:val="00EC6DCD"/>
    <w:rsid w:val="00EC7262"/>
    <w:rsid w:val="00EC78BD"/>
    <w:rsid w:val="00EC7C84"/>
    <w:rsid w:val="00ED267A"/>
    <w:rsid w:val="00ED283A"/>
    <w:rsid w:val="00ED2940"/>
    <w:rsid w:val="00ED2B7E"/>
    <w:rsid w:val="00ED3130"/>
    <w:rsid w:val="00ED3F17"/>
    <w:rsid w:val="00ED5771"/>
    <w:rsid w:val="00ED6595"/>
    <w:rsid w:val="00ED65C1"/>
    <w:rsid w:val="00ED72F9"/>
    <w:rsid w:val="00ED7494"/>
    <w:rsid w:val="00EE0641"/>
    <w:rsid w:val="00EE13AF"/>
    <w:rsid w:val="00EE17DF"/>
    <w:rsid w:val="00EE2503"/>
    <w:rsid w:val="00EE251E"/>
    <w:rsid w:val="00EE2A0C"/>
    <w:rsid w:val="00EE323E"/>
    <w:rsid w:val="00EE3C10"/>
    <w:rsid w:val="00EE40A1"/>
    <w:rsid w:val="00EE4825"/>
    <w:rsid w:val="00EE505F"/>
    <w:rsid w:val="00EE6388"/>
    <w:rsid w:val="00EE67E1"/>
    <w:rsid w:val="00EE69F8"/>
    <w:rsid w:val="00EE7B2F"/>
    <w:rsid w:val="00EF0803"/>
    <w:rsid w:val="00EF1469"/>
    <w:rsid w:val="00EF1B2D"/>
    <w:rsid w:val="00EF21D4"/>
    <w:rsid w:val="00EF2268"/>
    <w:rsid w:val="00EF24D1"/>
    <w:rsid w:val="00EF2558"/>
    <w:rsid w:val="00EF2B11"/>
    <w:rsid w:val="00EF3281"/>
    <w:rsid w:val="00EF33F8"/>
    <w:rsid w:val="00EF46BA"/>
    <w:rsid w:val="00EF581A"/>
    <w:rsid w:val="00EF60D2"/>
    <w:rsid w:val="00EF61BC"/>
    <w:rsid w:val="00EF6E77"/>
    <w:rsid w:val="00EF7153"/>
    <w:rsid w:val="00EF71B1"/>
    <w:rsid w:val="00EF7332"/>
    <w:rsid w:val="00EF73E2"/>
    <w:rsid w:val="00EF795A"/>
    <w:rsid w:val="00EF7AFA"/>
    <w:rsid w:val="00EF7B33"/>
    <w:rsid w:val="00EF7F47"/>
    <w:rsid w:val="00F00236"/>
    <w:rsid w:val="00F00637"/>
    <w:rsid w:val="00F00904"/>
    <w:rsid w:val="00F00A01"/>
    <w:rsid w:val="00F00CB3"/>
    <w:rsid w:val="00F025B9"/>
    <w:rsid w:val="00F027F2"/>
    <w:rsid w:val="00F02C48"/>
    <w:rsid w:val="00F0456A"/>
    <w:rsid w:val="00F0482C"/>
    <w:rsid w:val="00F05E4C"/>
    <w:rsid w:val="00F06ECF"/>
    <w:rsid w:val="00F07062"/>
    <w:rsid w:val="00F07294"/>
    <w:rsid w:val="00F078EB"/>
    <w:rsid w:val="00F07C00"/>
    <w:rsid w:val="00F104AE"/>
    <w:rsid w:val="00F1088B"/>
    <w:rsid w:val="00F10F1D"/>
    <w:rsid w:val="00F11B75"/>
    <w:rsid w:val="00F125D6"/>
    <w:rsid w:val="00F13190"/>
    <w:rsid w:val="00F13EA1"/>
    <w:rsid w:val="00F14A10"/>
    <w:rsid w:val="00F14DF9"/>
    <w:rsid w:val="00F15212"/>
    <w:rsid w:val="00F1577F"/>
    <w:rsid w:val="00F159D8"/>
    <w:rsid w:val="00F179C9"/>
    <w:rsid w:val="00F20395"/>
    <w:rsid w:val="00F20B5F"/>
    <w:rsid w:val="00F21823"/>
    <w:rsid w:val="00F21CD7"/>
    <w:rsid w:val="00F225E6"/>
    <w:rsid w:val="00F22A8F"/>
    <w:rsid w:val="00F23E5D"/>
    <w:rsid w:val="00F243E2"/>
    <w:rsid w:val="00F244B6"/>
    <w:rsid w:val="00F24611"/>
    <w:rsid w:val="00F248BD"/>
    <w:rsid w:val="00F24F49"/>
    <w:rsid w:val="00F25651"/>
    <w:rsid w:val="00F263D6"/>
    <w:rsid w:val="00F2644B"/>
    <w:rsid w:val="00F27932"/>
    <w:rsid w:val="00F27933"/>
    <w:rsid w:val="00F3081A"/>
    <w:rsid w:val="00F30DDE"/>
    <w:rsid w:val="00F31CEC"/>
    <w:rsid w:val="00F31D98"/>
    <w:rsid w:val="00F320C2"/>
    <w:rsid w:val="00F3267B"/>
    <w:rsid w:val="00F34739"/>
    <w:rsid w:val="00F35CFB"/>
    <w:rsid w:val="00F370D3"/>
    <w:rsid w:val="00F379B9"/>
    <w:rsid w:val="00F37D1F"/>
    <w:rsid w:val="00F40654"/>
    <w:rsid w:val="00F408BF"/>
    <w:rsid w:val="00F40C8C"/>
    <w:rsid w:val="00F40D5F"/>
    <w:rsid w:val="00F41725"/>
    <w:rsid w:val="00F41E1F"/>
    <w:rsid w:val="00F41FA6"/>
    <w:rsid w:val="00F42AC1"/>
    <w:rsid w:val="00F42F32"/>
    <w:rsid w:val="00F43049"/>
    <w:rsid w:val="00F43099"/>
    <w:rsid w:val="00F4325E"/>
    <w:rsid w:val="00F43298"/>
    <w:rsid w:val="00F4390C"/>
    <w:rsid w:val="00F451CD"/>
    <w:rsid w:val="00F45D73"/>
    <w:rsid w:val="00F45D90"/>
    <w:rsid w:val="00F45F17"/>
    <w:rsid w:val="00F4628B"/>
    <w:rsid w:val="00F46A32"/>
    <w:rsid w:val="00F46FCB"/>
    <w:rsid w:val="00F4709E"/>
    <w:rsid w:val="00F47892"/>
    <w:rsid w:val="00F47A01"/>
    <w:rsid w:val="00F50DE1"/>
    <w:rsid w:val="00F51D9D"/>
    <w:rsid w:val="00F522E7"/>
    <w:rsid w:val="00F52B44"/>
    <w:rsid w:val="00F5305D"/>
    <w:rsid w:val="00F53723"/>
    <w:rsid w:val="00F5417A"/>
    <w:rsid w:val="00F54DCB"/>
    <w:rsid w:val="00F55D6B"/>
    <w:rsid w:val="00F56E9F"/>
    <w:rsid w:val="00F57071"/>
    <w:rsid w:val="00F57451"/>
    <w:rsid w:val="00F578C4"/>
    <w:rsid w:val="00F60F84"/>
    <w:rsid w:val="00F61012"/>
    <w:rsid w:val="00F6183C"/>
    <w:rsid w:val="00F61D1E"/>
    <w:rsid w:val="00F62044"/>
    <w:rsid w:val="00F628D7"/>
    <w:rsid w:val="00F632F1"/>
    <w:rsid w:val="00F63537"/>
    <w:rsid w:val="00F63852"/>
    <w:rsid w:val="00F63A38"/>
    <w:rsid w:val="00F640F5"/>
    <w:rsid w:val="00F6443E"/>
    <w:rsid w:val="00F64542"/>
    <w:rsid w:val="00F647BC"/>
    <w:rsid w:val="00F64B75"/>
    <w:rsid w:val="00F65321"/>
    <w:rsid w:val="00F65643"/>
    <w:rsid w:val="00F65727"/>
    <w:rsid w:val="00F65CE2"/>
    <w:rsid w:val="00F66B1C"/>
    <w:rsid w:val="00F66EF4"/>
    <w:rsid w:val="00F673ED"/>
    <w:rsid w:val="00F67CB9"/>
    <w:rsid w:val="00F70ABE"/>
    <w:rsid w:val="00F710C6"/>
    <w:rsid w:val="00F7127C"/>
    <w:rsid w:val="00F71C16"/>
    <w:rsid w:val="00F71E4C"/>
    <w:rsid w:val="00F7226A"/>
    <w:rsid w:val="00F73289"/>
    <w:rsid w:val="00F73DFA"/>
    <w:rsid w:val="00F74717"/>
    <w:rsid w:val="00F748D4"/>
    <w:rsid w:val="00F74E0F"/>
    <w:rsid w:val="00F74E97"/>
    <w:rsid w:val="00F75155"/>
    <w:rsid w:val="00F75C98"/>
    <w:rsid w:val="00F760E8"/>
    <w:rsid w:val="00F76242"/>
    <w:rsid w:val="00F76B61"/>
    <w:rsid w:val="00F76CBE"/>
    <w:rsid w:val="00F76D41"/>
    <w:rsid w:val="00F77116"/>
    <w:rsid w:val="00F77A3D"/>
    <w:rsid w:val="00F80547"/>
    <w:rsid w:val="00F80752"/>
    <w:rsid w:val="00F807F8"/>
    <w:rsid w:val="00F80B8C"/>
    <w:rsid w:val="00F81472"/>
    <w:rsid w:val="00F817DB"/>
    <w:rsid w:val="00F8271D"/>
    <w:rsid w:val="00F827DF"/>
    <w:rsid w:val="00F83641"/>
    <w:rsid w:val="00F83BDB"/>
    <w:rsid w:val="00F83C75"/>
    <w:rsid w:val="00F83DB3"/>
    <w:rsid w:val="00F84206"/>
    <w:rsid w:val="00F84497"/>
    <w:rsid w:val="00F85C21"/>
    <w:rsid w:val="00F8653B"/>
    <w:rsid w:val="00F87366"/>
    <w:rsid w:val="00F877C8"/>
    <w:rsid w:val="00F87ECA"/>
    <w:rsid w:val="00F90B33"/>
    <w:rsid w:val="00F92CEE"/>
    <w:rsid w:val="00F935E8"/>
    <w:rsid w:val="00F93BAA"/>
    <w:rsid w:val="00F93CAD"/>
    <w:rsid w:val="00F93E57"/>
    <w:rsid w:val="00F944C3"/>
    <w:rsid w:val="00F94AF5"/>
    <w:rsid w:val="00F94DE8"/>
    <w:rsid w:val="00F95039"/>
    <w:rsid w:val="00F9513F"/>
    <w:rsid w:val="00F95405"/>
    <w:rsid w:val="00F95702"/>
    <w:rsid w:val="00F960F4"/>
    <w:rsid w:val="00F96453"/>
    <w:rsid w:val="00F96761"/>
    <w:rsid w:val="00F967BC"/>
    <w:rsid w:val="00F96FC1"/>
    <w:rsid w:val="00F97891"/>
    <w:rsid w:val="00FA0EC2"/>
    <w:rsid w:val="00FA159A"/>
    <w:rsid w:val="00FA1676"/>
    <w:rsid w:val="00FA1705"/>
    <w:rsid w:val="00FA2FA7"/>
    <w:rsid w:val="00FA3497"/>
    <w:rsid w:val="00FA34B4"/>
    <w:rsid w:val="00FA37F8"/>
    <w:rsid w:val="00FA4342"/>
    <w:rsid w:val="00FA4B11"/>
    <w:rsid w:val="00FA50C7"/>
    <w:rsid w:val="00FA5749"/>
    <w:rsid w:val="00FA588D"/>
    <w:rsid w:val="00FA5A33"/>
    <w:rsid w:val="00FA6A57"/>
    <w:rsid w:val="00FA6AA3"/>
    <w:rsid w:val="00FA7698"/>
    <w:rsid w:val="00FA789F"/>
    <w:rsid w:val="00FB0764"/>
    <w:rsid w:val="00FB0D4B"/>
    <w:rsid w:val="00FB119C"/>
    <w:rsid w:val="00FB1A35"/>
    <w:rsid w:val="00FB1C5D"/>
    <w:rsid w:val="00FB2C34"/>
    <w:rsid w:val="00FB2E20"/>
    <w:rsid w:val="00FB3503"/>
    <w:rsid w:val="00FB3C6D"/>
    <w:rsid w:val="00FB43CE"/>
    <w:rsid w:val="00FB5B33"/>
    <w:rsid w:val="00FB6195"/>
    <w:rsid w:val="00FB698A"/>
    <w:rsid w:val="00FB6A45"/>
    <w:rsid w:val="00FB7679"/>
    <w:rsid w:val="00FB77D1"/>
    <w:rsid w:val="00FC0ADB"/>
    <w:rsid w:val="00FC2280"/>
    <w:rsid w:val="00FC22DA"/>
    <w:rsid w:val="00FC29C4"/>
    <w:rsid w:val="00FC3439"/>
    <w:rsid w:val="00FC35BD"/>
    <w:rsid w:val="00FC41D8"/>
    <w:rsid w:val="00FC5F2B"/>
    <w:rsid w:val="00FC688E"/>
    <w:rsid w:val="00FC6F9C"/>
    <w:rsid w:val="00FC7D2C"/>
    <w:rsid w:val="00FD015F"/>
    <w:rsid w:val="00FD07CC"/>
    <w:rsid w:val="00FD0816"/>
    <w:rsid w:val="00FD0E0D"/>
    <w:rsid w:val="00FD0F47"/>
    <w:rsid w:val="00FD1C08"/>
    <w:rsid w:val="00FD1D49"/>
    <w:rsid w:val="00FD26BA"/>
    <w:rsid w:val="00FD2D66"/>
    <w:rsid w:val="00FD3698"/>
    <w:rsid w:val="00FD3754"/>
    <w:rsid w:val="00FD3EA6"/>
    <w:rsid w:val="00FD4119"/>
    <w:rsid w:val="00FD42A8"/>
    <w:rsid w:val="00FD4D7E"/>
    <w:rsid w:val="00FD5821"/>
    <w:rsid w:val="00FD5DB7"/>
    <w:rsid w:val="00FD5E12"/>
    <w:rsid w:val="00FD619F"/>
    <w:rsid w:val="00FD6A1C"/>
    <w:rsid w:val="00FD6DC2"/>
    <w:rsid w:val="00FE0228"/>
    <w:rsid w:val="00FE11C8"/>
    <w:rsid w:val="00FE154F"/>
    <w:rsid w:val="00FE18BD"/>
    <w:rsid w:val="00FE24DE"/>
    <w:rsid w:val="00FE2D04"/>
    <w:rsid w:val="00FE2FD0"/>
    <w:rsid w:val="00FE51A1"/>
    <w:rsid w:val="00FE5C08"/>
    <w:rsid w:val="00FE5CBE"/>
    <w:rsid w:val="00FE623C"/>
    <w:rsid w:val="00FE6314"/>
    <w:rsid w:val="00FE6DF0"/>
    <w:rsid w:val="00FE77FA"/>
    <w:rsid w:val="00FF00C7"/>
    <w:rsid w:val="00FF0BD3"/>
    <w:rsid w:val="00FF106D"/>
    <w:rsid w:val="00FF109D"/>
    <w:rsid w:val="00FF171F"/>
    <w:rsid w:val="00FF189C"/>
    <w:rsid w:val="00FF1CD9"/>
    <w:rsid w:val="00FF2373"/>
    <w:rsid w:val="00FF2BA6"/>
    <w:rsid w:val="00FF3D85"/>
    <w:rsid w:val="00FF4025"/>
    <w:rsid w:val="00FF4386"/>
    <w:rsid w:val="00FF496B"/>
    <w:rsid w:val="00FF50D5"/>
    <w:rsid w:val="00FF5329"/>
    <w:rsid w:val="00FF6569"/>
    <w:rsid w:val="00FF6653"/>
    <w:rsid w:val="00FF6EA1"/>
    <w:rsid w:val="00FF700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15:docId w15:val="{51DA5614-D7C9-4C66-8597-6BB8AACB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38"/>
    <w:pPr>
      <w:spacing w:after="120"/>
    </w:pPr>
    <w:rPr>
      <w:rFonts w:ascii="Arial" w:hAnsi="Arial"/>
    </w:rPr>
  </w:style>
  <w:style w:type="paragraph" w:styleId="Heading1">
    <w:name w:val="heading 1"/>
    <w:basedOn w:val="Normal"/>
    <w:next w:val="Normal"/>
    <w:link w:val="Heading1Char"/>
    <w:uiPriority w:val="9"/>
    <w:qFormat/>
    <w:rsid w:val="002E4D5C"/>
    <w:pPr>
      <w:keepNext/>
      <w:keepLines/>
      <w:spacing w:before="360" w:after="240" w:line="240" w:lineRule="auto"/>
      <w:outlineLvl w:val="0"/>
    </w:pPr>
    <w:rPr>
      <w:rFonts w:eastAsiaTheme="majorEastAsia" w:cs="Arial"/>
      <w:b/>
      <w:noProof/>
      <w:color w:val="293868"/>
      <w:sz w:val="36"/>
      <w:szCs w:val="32"/>
      <w:lang w:eastAsia="en-NZ"/>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2E4D5C"/>
    <w:rPr>
      <w:rFonts w:ascii="Arial" w:eastAsiaTheme="majorEastAsia" w:hAnsi="Arial" w:cs="Arial"/>
      <w:b/>
      <w:noProof/>
      <w:color w:val="293868"/>
      <w:sz w:val="36"/>
      <w:szCs w:val="32"/>
      <w:lang w:eastAsia="en-NZ"/>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FD3754"/>
    <w:pPr>
      <w:tabs>
        <w:tab w:val="left" w:pos="880"/>
        <w:tab w:val="right" w:leader="dot" w:pos="9016"/>
      </w:tabs>
      <w:spacing w:after="60"/>
      <w:ind w:left="357"/>
    </w:pPr>
    <w:rPr>
      <w:color w:val="000000" w:themeColor="text1"/>
    </w:rPr>
  </w:style>
  <w:style w:type="character" w:styleId="Hyperlink">
    <w:name w:val="Hyperlink"/>
    <w:basedOn w:val="DefaultParagraphFont"/>
    <w:uiPriority w:val="99"/>
    <w:unhideWhenUsed/>
    <w:rsid w:val="00BB7FC7"/>
    <w:rPr>
      <w:color w:val="0000FF"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ormal,Normal text,List Paragraph1,Level 3,List Paragraph numbered,List Bullet indent,Rec para,Bullet List,FooterText,numbered,Paragraphe de liste1,Bulletr List Paragraph,列出段落,列出段落1,Listeafsnit1,Parágrafo da Lista1,List Paragraph2"/>
    <w:basedOn w:val="Normal"/>
    <w:link w:val="ListParagraphChar"/>
    <w:uiPriority w:val="34"/>
    <w:qFormat/>
    <w:rsid w:val="00BB7FC7"/>
    <w:pPr>
      <w:ind w:left="720"/>
      <w:contextualSpacing/>
    </w:pPr>
  </w:style>
  <w:style w:type="paragraph" w:styleId="Caption">
    <w:name w:val="caption"/>
    <w:basedOn w:val="Normal"/>
    <w:next w:val="Normal"/>
    <w:uiPriority w:val="35"/>
    <w:unhideWhenUsed/>
    <w:qFormat/>
    <w:rsid w:val="004D0AD0"/>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NZ"/>
    </w:rPr>
  </w:style>
  <w:style w:type="numbering" w:customStyle="1" w:styleId="Dash">
    <w:name w:val="Dash"/>
    <w:rsid w:val="00CC32F3"/>
    <w:pPr>
      <w:numPr>
        <w:numId w:val="1"/>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64465F"/>
    <w:pPr>
      <w:tabs>
        <w:tab w:val="left" w:pos="425"/>
        <w:tab w:val="right" w:leader="dot" w:pos="9016"/>
      </w:tabs>
      <w:spacing w:after="100"/>
    </w:pPr>
    <w:rPr>
      <w:rFonts w:cs="Arial"/>
      <w:color w:val="000000" w:themeColor="text1"/>
    </w:rPr>
  </w:style>
  <w:style w:type="paragraph" w:styleId="ListBullet">
    <w:name w:val="List Bullet"/>
    <w:basedOn w:val="Normal"/>
    <w:link w:val="ListBulletChar"/>
    <w:uiPriority w:val="99"/>
    <w:unhideWhenUsed/>
    <w:rsid w:val="00205AD6"/>
    <w:pPr>
      <w:numPr>
        <w:numId w:val="2"/>
      </w:numPr>
      <w:contextualSpacing/>
    </w:pPr>
  </w:style>
  <w:style w:type="paragraph" w:styleId="ListNumber">
    <w:name w:val="List Number"/>
    <w:basedOn w:val="Normal"/>
    <w:uiPriority w:val="99"/>
    <w:unhideWhenUsed/>
    <w:rsid w:val="00A54CFC"/>
    <w:pPr>
      <w:numPr>
        <w:numId w:val="3"/>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spacing w:after="60"/>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355BD9"/>
    <w:rPr>
      <w:color w:val="2C2568"/>
    </w:rPr>
  </w:style>
  <w:style w:type="paragraph" w:customStyle="1" w:styleId="TeThHauorabodytext">
    <w:name w:val="Te Tāhū Hauora body text"/>
    <w:basedOn w:val="Normal"/>
    <w:link w:val="TeThHauorabodytextChar"/>
    <w:qFormat/>
    <w:rsid w:val="00681B4C"/>
    <w:rPr>
      <w:rFonts w:cs="Arial"/>
    </w:rPr>
  </w:style>
  <w:style w:type="paragraph" w:customStyle="1" w:styleId="TeThHauorabullets">
    <w:name w:val="Te Tāhū Hauora bullets"/>
    <w:basedOn w:val="Bullets"/>
    <w:qFormat/>
    <w:rsid w:val="00792E41"/>
    <w:pPr>
      <w:ind w:left="360" w:hanging="360"/>
    </w:pPr>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355BD9"/>
    <w:rPr>
      <w:rFonts w:cs="Arial"/>
      <w:color w:val="2C25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after="60" w:line="240" w:lineRule="auto"/>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after="60" w:line="240" w:lineRule="auto"/>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line="240" w:lineRule="auto"/>
    </w:pPr>
    <w:rPr>
      <w:rFonts w:ascii="Arial" w:hAnsi="Arial"/>
    </w:rPr>
    <w:tblPr/>
  </w:style>
  <w:style w:type="paragraph" w:styleId="NormalWeb">
    <w:name w:val="Normal (Web)"/>
    <w:basedOn w:val="Normal"/>
    <w:uiPriority w:val="99"/>
    <w:semiHidden/>
    <w:unhideWhenUsed/>
    <w:rsid w:val="00030D1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FootnoteReference">
    <w:name w:val="footnote reference"/>
    <w:basedOn w:val="DefaultParagraphFont"/>
    <w:uiPriority w:val="99"/>
    <w:rsid w:val="00062FDF"/>
    <w:rPr>
      <w:rFonts w:ascii="Arial" w:hAnsi="Arial"/>
      <w:position w:val="0"/>
      <w:sz w:val="18"/>
      <w:vertAlign w:val="superscript"/>
    </w:rPr>
  </w:style>
  <w:style w:type="paragraph" w:styleId="FootnoteText">
    <w:name w:val="footnote text"/>
    <w:aliases w:val="Footnote Text Char Char"/>
    <w:basedOn w:val="Normal"/>
    <w:link w:val="FootnoteTextChar"/>
    <w:uiPriority w:val="99"/>
    <w:rsid w:val="00062FDF"/>
    <w:pPr>
      <w:tabs>
        <w:tab w:val="left" w:pos="170"/>
      </w:tabs>
      <w:spacing w:before="60" w:after="60" w:line="180" w:lineRule="atLeast"/>
      <w:ind w:left="170" w:hanging="170"/>
    </w:pPr>
    <w:rPr>
      <w:rFonts w:eastAsia="Times New Roman" w:cs="Times New Roman"/>
      <w:sz w:val="16"/>
    </w:rPr>
  </w:style>
  <w:style w:type="character" w:customStyle="1" w:styleId="FootnoteTextChar">
    <w:name w:val="Footnote Text Char"/>
    <w:aliases w:val="Footnote Text Char Char Char"/>
    <w:basedOn w:val="DefaultParagraphFont"/>
    <w:link w:val="FootnoteText"/>
    <w:uiPriority w:val="99"/>
    <w:rsid w:val="00062FDF"/>
    <w:rPr>
      <w:rFonts w:ascii="Arial" w:eastAsia="Times New Roman" w:hAnsi="Arial" w:cs="Times New Roman"/>
      <w:sz w:val="16"/>
    </w:rPr>
  </w:style>
  <w:style w:type="character" w:styleId="IntenseEmphasis">
    <w:name w:val="Intense Emphasis"/>
    <w:basedOn w:val="DefaultParagraphFont"/>
    <w:uiPriority w:val="21"/>
    <w:qFormat/>
    <w:rsid w:val="00E0424D"/>
    <w:rPr>
      <w:b/>
      <w:bCs/>
      <w:i/>
      <w:iCs/>
      <w:caps/>
    </w:rPr>
  </w:style>
  <w:style w:type="character" w:customStyle="1" w:styleId="ListParagraphChar">
    <w:name w:val="List Paragraph Char"/>
    <w:aliases w:val="Bullet Normal Char,Normal text Char,List Paragraph1 Char,Level 3 Char,List Paragraph numbered Char,List Bullet indent Char,Rec para Char,Bullet List Char,FooterText Char,numbered Char,Paragraphe de liste1 Char,列出段落 Char,列出段落1 Char"/>
    <w:basedOn w:val="DefaultParagraphFont"/>
    <w:link w:val="ListParagraph"/>
    <w:uiPriority w:val="34"/>
    <w:qFormat/>
    <w:locked/>
    <w:rsid w:val="00E0424D"/>
    <w:rPr>
      <w:rFonts w:ascii="Arial" w:hAnsi="Arial"/>
    </w:rPr>
  </w:style>
  <w:style w:type="paragraph" w:customStyle="1" w:styleId="Default">
    <w:name w:val="Default"/>
    <w:rsid w:val="00A614F0"/>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cf01">
    <w:name w:val="cf01"/>
    <w:basedOn w:val="DefaultParagraphFont"/>
    <w:rsid w:val="001E72DC"/>
    <w:rPr>
      <w:rFonts w:ascii="Segoe UI" w:hAnsi="Segoe UI" w:cs="Segoe UI" w:hint="default"/>
      <w:sz w:val="18"/>
      <w:szCs w:val="18"/>
    </w:rPr>
  </w:style>
  <w:style w:type="character" w:customStyle="1" w:styleId="cf11">
    <w:name w:val="cf11"/>
    <w:basedOn w:val="DefaultParagraphFont"/>
    <w:rsid w:val="001E72DC"/>
    <w:rPr>
      <w:rFonts w:ascii="Segoe UI" w:hAnsi="Segoe UI" w:cs="Segoe UI" w:hint="default"/>
      <w:i/>
      <w:iCs/>
      <w:sz w:val="18"/>
      <w:szCs w:val="18"/>
    </w:rPr>
  </w:style>
  <w:style w:type="paragraph" w:styleId="NoSpacing">
    <w:name w:val="No Spacing"/>
    <w:link w:val="NoSpacingChar"/>
    <w:uiPriority w:val="99"/>
    <w:qFormat/>
    <w:rsid w:val="005D2FA7"/>
    <w:pPr>
      <w:spacing w:after="0" w:line="240" w:lineRule="auto"/>
    </w:pPr>
    <w:rPr>
      <w:rFonts w:ascii="Arial" w:eastAsia="Times New Roman" w:hAnsi="Arial" w:cs="Times New Roman"/>
      <w:lang w:eastAsia="en-GB"/>
    </w:rPr>
  </w:style>
  <w:style w:type="character" w:customStyle="1" w:styleId="NoSpacingChar">
    <w:name w:val="No Spacing Char"/>
    <w:basedOn w:val="DefaultParagraphFont"/>
    <w:link w:val="NoSpacing"/>
    <w:uiPriority w:val="99"/>
    <w:locked/>
    <w:rsid w:val="005D2FA7"/>
    <w:rPr>
      <w:rFonts w:ascii="Arial" w:eastAsia="Times New Roman" w:hAnsi="Arial" w:cs="Times New Roman"/>
      <w:lang w:eastAsia="en-GB"/>
    </w:rPr>
  </w:style>
  <w:style w:type="character" w:customStyle="1" w:styleId="DefaultFontHxMailStyle">
    <w:name w:val="Default Font HxMail Style"/>
    <w:basedOn w:val="DefaultParagraphFont"/>
    <w:rsid w:val="00FE6DF0"/>
    <w:rPr>
      <w:rFonts w:ascii="Calibri" w:hAnsi="Calibri" w:cs="Calibri" w:hint="default"/>
      <w:b w:val="0"/>
      <w:bCs w:val="0"/>
      <w:i w:val="0"/>
      <w:iCs w:val="0"/>
      <w:strike w:val="0"/>
      <w:dstrike w:val="0"/>
      <w:color w:val="auto"/>
      <w:u w:val="none"/>
      <w:effect w:val="none"/>
    </w:rPr>
  </w:style>
  <w:style w:type="paragraph" w:styleId="z-TopofForm">
    <w:name w:val="HTML Top of Form"/>
    <w:basedOn w:val="Normal"/>
    <w:next w:val="Normal"/>
    <w:link w:val="z-TopofFormChar"/>
    <w:hidden/>
    <w:uiPriority w:val="99"/>
    <w:semiHidden/>
    <w:unhideWhenUsed/>
    <w:rsid w:val="0085794B"/>
    <w:pPr>
      <w:pBdr>
        <w:bottom w:val="single" w:sz="6" w:space="1" w:color="auto"/>
      </w:pBdr>
      <w:spacing w:after="0" w:line="240" w:lineRule="auto"/>
      <w:jc w:val="center"/>
    </w:pPr>
    <w:rPr>
      <w:rFonts w:eastAsia="Times New Roman" w:cs="Arial"/>
      <w:vanish/>
      <w:sz w:val="16"/>
      <w:szCs w:val="16"/>
      <w:lang w:eastAsia="en-NZ"/>
    </w:rPr>
  </w:style>
  <w:style w:type="character" w:customStyle="1" w:styleId="z-TopofFormChar">
    <w:name w:val="z-Top of Form Char"/>
    <w:basedOn w:val="DefaultParagraphFont"/>
    <w:link w:val="z-TopofForm"/>
    <w:uiPriority w:val="99"/>
    <w:semiHidden/>
    <w:rsid w:val="0085794B"/>
    <w:rPr>
      <w:rFonts w:ascii="Arial" w:eastAsia="Times New Roman" w:hAnsi="Arial"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85794B"/>
    <w:pPr>
      <w:pBdr>
        <w:top w:val="single" w:sz="6" w:space="1" w:color="auto"/>
      </w:pBdr>
      <w:spacing w:after="0" w:line="240" w:lineRule="auto"/>
      <w:jc w:val="center"/>
    </w:pPr>
    <w:rPr>
      <w:rFonts w:eastAsia="Times New Roman" w:cs="Arial"/>
      <w:vanish/>
      <w:sz w:val="16"/>
      <w:szCs w:val="16"/>
      <w:lang w:eastAsia="en-NZ"/>
    </w:rPr>
  </w:style>
  <w:style w:type="character" w:customStyle="1" w:styleId="z-BottomofFormChar">
    <w:name w:val="z-Bottom of Form Char"/>
    <w:basedOn w:val="DefaultParagraphFont"/>
    <w:link w:val="z-BottomofForm"/>
    <w:uiPriority w:val="99"/>
    <w:semiHidden/>
    <w:rsid w:val="0085794B"/>
    <w:rPr>
      <w:rFonts w:ascii="Arial" w:eastAsia="Times New Roman" w:hAnsi="Arial" w:cs="Arial"/>
      <w:vanish/>
      <w:sz w:val="16"/>
      <w:szCs w:val="16"/>
      <w:lang w:eastAsia="en-NZ"/>
    </w:rPr>
  </w:style>
  <w:style w:type="paragraph" w:customStyle="1" w:styleId="pf0">
    <w:name w:val="pf0"/>
    <w:basedOn w:val="Normal"/>
    <w:rsid w:val="00801C2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21">
    <w:name w:val="cf21"/>
    <w:basedOn w:val="DefaultParagraphFont"/>
    <w:rsid w:val="00801C24"/>
    <w:rPr>
      <w:rFonts w:ascii="Segoe UI" w:hAnsi="Segoe UI" w:cs="Segoe UI" w:hint="default"/>
      <w:color w:val="333333"/>
      <w:sz w:val="18"/>
      <w:szCs w:val="18"/>
    </w:rPr>
  </w:style>
  <w:style w:type="character" w:customStyle="1" w:styleId="cf31">
    <w:name w:val="cf31"/>
    <w:basedOn w:val="DefaultParagraphFont"/>
    <w:rsid w:val="00801C24"/>
    <w:rPr>
      <w:rFonts w:ascii="Segoe UI" w:hAnsi="Segoe UI" w:cs="Segoe UI" w:hint="default"/>
      <w:i/>
      <w:iCs/>
      <w:sz w:val="18"/>
      <w:szCs w:val="18"/>
    </w:rPr>
  </w:style>
  <w:style w:type="paragraph" w:customStyle="1" w:styleId="subprov">
    <w:name w:val="subprov"/>
    <w:basedOn w:val="Normal"/>
    <w:rsid w:val="00EE505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EE505F"/>
  </w:style>
  <w:style w:type="paragraph" w:customStyle="1" w:styleId="text">
    <w:name w:val="text"/>
    <w:basedOn w:val="Normal"/>
    <w:rsid w:val="00EE505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653FAC"/>
    <w:rPr>
      <w:i/>
      <w:iCs/>
    </w:rPr>
  </w:style>
  <w:style w:type="character" w:styleId="FollowedHyperlink">
    <w:name w:val="FollowedHyperlink"/>
    <w:basedOn w:val="DefaultParagraphFont"/>
    <w:uiPriority w:val="99"/>
    <w:semiHidden/>
    <w:unhideWhenUsed/>
    <w:rsid w:val="00672289"/>
    <w:rPr>
      <w:color w:val="800080" w:themeColor="followedHyperlink"/>
      <w:u w:val="single"/>
    </w:rPr>
  </w:style>
  <w:style w:type="paragraph" w:customStyle="1" w:styleId="Quoteperfreview">
    <w:name w:val="Quote_perf_review"/>
    <w:basedOn w:val="TeThHauorabodytext"/>
    <w:link w:val="QuoteperfreviewChar"/>
    <w:qFormat/>
    <w:rsid w:val="00C104CD"/>
    <w:pPr>
      <w:spacing w:after="360"/>
      <w:ind w:left="170"/>
      <w:jc w:val="center"/>
    </w:pPr>
    <w:rPr>
      <w:b/>
      <w:bCs/>
    </w:rPr>
  </w:style>
  <w:style w:type="character" w:customStyle="1" w:styleId="TeThHauorabodytextChar">
    <w:name w:val="Te Tāhū Hauora body text Char"/>
    <w:basedOn w:val="DefaultParagraphFont"/>
    <w:link w:val="TeThHauorabodytext"/>
    <w:rsid w:val="002F7F36"/>
    <w:rPr>
      <w:rFonts w:ascii="Arial" w:hAnsi="Arial" w:cs="Arial"/>
    </w:rPr>
  </w:style>
  <w:style w:type="character" w:customStyle="1" w:styleId="QuoteperfreviewChar">
    <w:name w:val="Quote_perf_review Char"/>
    <w:basedOn w:val="TeThHauorabodytextChar"/>
    <w:link w:val="Quoteperfreview"/>
    <w:rsid w:val="00C104C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089">
      <w:bodyDiv w:val="1"/>
      <w:marLeft w:val="0"/>
      <w:marRight w:val="0"/>
      <w:marTop w:val="0"/>
      <w:marBottom w:val="0"/>
      <w:divBdr>
        <w:top w:val="none" w:sz="0" w:space="0" w:color="auto"/>
        <w:left w:val="none" w:sz="0" w:space="0" w:color="auto"/>
        <w:bottom w:val="none" w:sz="0" w:space="0" w:color="auto"/>
        <w:right w:val="none" w:sz="0" w:space="0" w:color="auto"/>
      </w:divBdr>
    </w:div>
    <w:div w:id="165050266">
      <w:bodyDiv w:val="1"/>
      <w:marLeft w:val="0"/>
      <w:marRight w:val="0"/>
      <w:marTop w:val="0"/>
      <w:marBottom w:val="0"/>
      <w:divBdr>
        <w:top w:val="none" w:sz="0" w:space="0" w:color="auto"/>
        <w:left w:val="none" w:sz="0" w:space="0" w:color="auto"/>
        <w:bottom w:val="none" w:sz="0" w:space="0" w:color="auto"/>
        <w:right w:val="none" w:sz="0" w:space="0" w:color="auto"/>
      </w:divBdr>
    </w:div>
    <w:div w:id="224948826">
      <w:bodyDiv w:val="1"/>
      <w:marLeft w:val="0"/>
      <w:marRight w:val="0"/>
      <w:marTop w:val="0"/>
      <w:marBottom w:val="0"/>
      <w:divBdr>
        <w:top w:val="none" w:sz="0" w:space="0" w:color="auto"/>
        <w:left w:val="none" w:sz="0" w:space="0" w:color="auto"/>
        <w:bottom w:val="none" w:sz="0" w:space="0" w:color="auto"/>
        <w:right w:val="none" w:sz="0" w:space="0" w:color="auto"/>
      </w:divBdr>
    </w:div>
    <w:div w:id="256795159">
      <w:bodyDiv w:val="1"/>
      <w:marLeft w:val="0"/>
      <w:marRight w:val="0"/>
      <w:marTop w:val="0"/>
      <w:marBottom w:val="0"/>
      <w:divBdr>
        <w:top w:val="none" w:sz="0" w:space="0" w:color="auto"/>
        <w:left w:val="none" w:sz="0" w:space="0" w:color="auto"/>
        <w:bottom w:val="none" w:sz="0" w:space="0" w:color="auto"/>
        <w:right w:val="none" w:sz="0" w:space="0" w:color="auto"/>
      </w:divBdr>
    </w:div>
    <w:div w:id="330105181">
      <w:bodyDiv w:val="1"/>
      <w:marLeft w:val="0"/>
      <w:marRight w:val="0"/>
      <w:marTop w:val="0"/>
      <w:marBottom w:val="0"/>
      <w:divBdr>
        <w:top w:val="none" w:sz="0" w:space="0" w:color="auto"/>
        <w:left w:val="none" w:sz="0" w:space="0" w:color="auto"/>
        <w:bottom w:val="none" w:sz="0" w:space="0" w:color="auto"/>
        <w:right w:val="none" w:sz="0" w:space="0" w:color="auto"/>
      </w:divBdr>
    </w:div>
    <w:div w:id="382796319">
      <w:bodyDiv w:val="1"/>
      <w:marLeft w:val="0"/>
      <w:marRight w:val="0"/>
      <w:marTop w:val="0"/>
      <w:marBottom w:val="0"/>
      <w:divBdr>
        <w:top w:val="none" w:sz="0" w:space="0" w:color="auto"/>
        <w:left w:val="none" w:sz="0" w:space="0" w:color="auto"/>
        <w:bottom w:val="none" w:sz="0" w:space="0" w:color="auto"/>
        <w:right w:val="none" w:sz="0" w:space="0" w:color="auto"/>
      </w:divBdr>
    </w:div>
    <w:div w:id="430854857">
      <w:bodyDiv w:val="1"/>
      <w:marLeft w:val="0"/>
      <w:marRight w:val="0"/>
      <w:marTop w:val="0"/>
      <w:marBottom w:val="0"/>
      <w:divBdr>
        <w:top w:val="none" w:sz="0" w:space="0" w:color="auto"/>
        <w:left w:val="none" w:sz="0" w:space="0" w:color="auto"/>
        <w:bottom w:val="none" w:sz="0" w:space="0" w:color="auto"/>
        <w:right w:val="none" w:sz="0" w:space="0" w:color="auto"/>
      </w:divBdr>
    </w:div>
    <w:div w:id="472455143">
      <w:bodyDiv w:val="1"/>
      <w:marLeft w:val="0"/>
      <w:marRight w:val="0"/>
      <w:marTop w:val="0"/>
      <w:marBottom w:val="0"/>
      <w:divBdr>
        <w:top w:val="none" w:sz="0" w:space="0" w:color="auto"/>
        <w:left w:val="none" w:sz="0" w:space="0" w:color="auto"/>
        <w:bottom w:val="none" w:sz="0" w:space="0" w:color="auto"/>
        <w:right w:val="none" w:sz="0" w:space="0" w:color="auto"/>
      </w:divBdr>
    </w:div>
    <w:div w:id="520320377">
      <w:bodyDiv w:val="1"/>
      <w:marLeft w:val="0"/>
      <w:marRight w:val="0"/>
      <w:marTop w:val="0"/>
      <w:marBottom w:val="0"/>
      <w:divBdr>
        <w:top w:val="none" w:sz="0" w:space="0" w:color="auto"/>
        <w:left w:val="none" w:sz="0" w:space="0" w:color="auto"/>
        <w:bottom w:val="none" w:sz="0" w:space="0" w:color="auto"/>
        <w:right w:val="none" w:sz="0" w:space="0" w:color="auto"/>
      </w:divBdr>
      <w:divsChild>
        <w:div w:id="692918751">
          <w:marLeft w:val="0"/>
          <w:marRight w:val="0"/>
          <w:marTop w:val="83"/>
          <w:marBottom w:val="0"/>
          <w:divBdr>
            <w:top w:val="none" w:sz="0" w:space="0" w:color="auto"/>
            <w:left w:val="none" w:sz="0" w:space="0" w:color="auto"/>
            <w:bottom w:val="none" w:sz="0" w:space="0" w:color="auto"/>
            <w:right w:val="none" w:sz="0" w:space="0" w:color="auto"/>
          </w:divBdr>
          <w:divsChild>
            <w:div w:id="322467833">
              <w:marLeft w:val="0"/>
              <w:marRight w:val="0"/>
              <w:marTop w:val="83"/>
              <w:marBottom w:val="0"/>
              <w:divBdr>
                <w:top w:val="none" w:sz="0" w:space="0" w:color="auto"/>
                <w:left w:val="none" w:sz="0" w:space="0" w:color="auto"/>
                <w:bottom w:val="none" w:sz="0" w:space="0" w:color="auto"/>
                <w:right w:val="none" w:sz="0" w:space="0" w:color="auto"/>
              </w:divBdr>
            </w:div>
            <w:div w:id="1208493633">
              <w:marLeft w:val="0"/>
              <w:marRight w:val="0"/>
              <w:marTop w:val="83"/>
              <w:marBottom w:val="0"/>
              <w:divBdr>
                <w:top w:val="none" w:sz="0" w:space="0" w:color="auto"/>
                <w:left w:val="none" w:sz="0" w:space="0" w:color="auto"/>
                <w:bottom w:val="none" w:sz="0" w:space="0" w:color="auto"/>
                <w:right w:val="none" w:sz="0" w:space="0" w:color="auto"/>
              </w:divBdr>
              <w:divsChild>
                <w:div w:id="804275521">
                  <w:marLeft w:val="0"/>
                  <w:marRight w:val="0"/>
                  <w:marTop w:val="83"/>
                  <w:marBottom w:val="0"/>
                  <w:divBdr>
                    <w:top w:val="none" w:sz="0" w:space="0" w:color="auto"/>
                    <w:left w:val="none" w:sz="0" w:space="0" w:color="auto"/>
                    <w:bottom w:val="none" w:sz="0" w:space="0" w:color="auto"/>
                    <w:right w:val="none" w:sz="0" w:space="0" w:color="auto"/>
                  </w:divBdr>
                </w:div>
                <w:div w:id="201086072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420247705">
          <w:marLeft w:val="0"/>
          <w:marRight w:val="0"/>
          <w:marTop w:val="83"/>
          <w:marBottom w:val="0"/>
          <w:divBdr>
            <w:top w:val="none" w:sz="0" w:space="0" w:color="auto"/>
            <w:left w:val="none" w:sz="0" w:space="0" w:color="auto"/>
            <w:bottom w:val="none" w:sz="0" w:space="0" w:color="auto"/>
            <w:right w:val="none" w:sz="0" w:space="0" w:color="auto"/>
          </w:divBdr>
        </w:div>
      </w:divsChild>
    </w:div>
    <w:div w:id="564024419">
      <w:bodyDiv w:val="1"/>
      <w:marLeft w:val="0"/>
      <w:marRight w:val="0"/>
      <w:marTop w:val="0"/>
      <w:marBottom w:val="0"/>
      <w:divBdr>
        <w:top w:val="none" w:sz="0" w:space="0" w:color="auto"/>
        <w:left w:val="none" w:sz="0" w:space="0" w:color="auto"/>
        <w:bottom w:val="none" w:sz="0" w:space="0" w:color="auto"/>
        <w:right w:val="none" w:sz="0" w:space="0" w:color="auto"/>
      </w:divBdr>
    </w:div>
    <w:div w:id="626736535">
      <w:bodyDiv w:val="1"/>
      <w:marLeft w:val="0"/>
      <w:marRight w:val="0"/>
      <w:marTop w:val="0"/>
      <w:marBottom w:val="0"/>
      <w:divBdr>
        <w:top w:val="none" w:sz="0" w:space="0" w:color="auto"/>
        <w:left w:val="none" w:sz="0" w:space="0" w:color="auto"/>
        <w:bottom w:val="none" w:sz="0" w:space="0" w:color="auto"/>
        <w:right w:val="none" w:sz="0" w:space="0" w:color="auto"/>
      </w:divBdr>
      <w:divsChild>
        <w:div w:id="508526021">
          <w:marLeft w:val="0"/>
          <w:marRight w:val="0"/>
          <w:marTop w:val="0"/>
          <w:marBottom w:val="0"/>
          <w:divBdr>
            <w:top w:val="none" w:sz="0" w:space="0" w:color="auto"/>
            <w:left w:val="none" w:sz="0" w:space="0" w:color="auto"/>
            <w:bottom w:val="none" w:sz="0" w:space="0" w:color="auto"/>
            <w:right w:val="none" w:sz="0" w:space="0" w:color="auto"/>
          </w:divBdr>
          <w:divsChild>
            <w:div w:id="2037731391">
              <w:marLeft w:val="0"/>
              <w:marRight w:val="0"/>
              <w:marTop w:val="0"/>
              <w:marBottom w:val="0"/>
              <w:divBdr>
                <w:top w:val="single" w:sz="2" w:space="0" w:color="D9D9E3"/>
                <w:left w:val="single" w:sz="2" w:space="0" w:color="D9D9E3"/>
                <w:bottom w:val="single" w:sz="2" w:space="0" w:color="D9D9E3"/>
                <w:right w:val="single" w:sz="2" w:space="0" w:color="D9D9E3"/>
              </w:divBdr>
              <w:divsChild>
                <w:div w:id="1864201921">
                  <w:marLeft w:val="0"/>
                  <w:marRight w:val="0"/>
                  <w:marTop w:val="0"/>
                  <w:marBottom w:val="0"/>
                  <w:divBdr>
                    <w:top w:val="single" w:sz="2" w:space="0" w:color="D9D9E3"/>
                    <w:left w:val="single" w:sz="2" w:space="0" w:color="D9D9E3"/>
                    <w:bottom w:val="single" w:sz="2" w:space="0" w:color="D9D9E3"/>
                    <w:right w:val="single" w:sz="2" w:space="0" w:color="D9D9E3"/>
                  </w:divBdr>
                  <w:divsChild>
                    <w:div w:id="1719892403">
                      <w:marLeft w:val="0"/>
                      <w:marRight w:val="0"/>
                      <w:marTop w:val="0"/>
                      <w:marBottom w:val="0"/>
                      <w:divBdr>
                        <w:top w:val="single" w:sz="2" w:space="0" w:color="D9D9E3"/>
                        <w:left w:val="single" w:sz="2" w:space="0" w:color="D9D9E3"/>
                        <w:bottom w:val="single" w:sz="2" w:space="0" w:color="D9D9E3"/>
                        <w:right w:val="single" w:sz="2" w:space="0" w:color="D9D9E3"/>
                      </w:divBdr>
                      <w:divsChild>
                        <w:div w:id="1517231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1661837">
          <w:marLeft w:val="0"/>
          <w:marRight w:val="0"/>
          <w:marTop w:val="0"/>
          <w:marBottom w:val="0"/>
          <w:divBdr>
            <w:top w:val="single" w:sz="2" w:space="0" w:color="D9D9E3"/>
            <w:left w:val="single" w:sz="2" w:space="0" w:color="D9D9E3"/>
            <w:bottom w:val="single" w:sz="2" w:space="0" w:color="D9D9E3"/>
            <w:right w:val="single" w:sz="2" w:space="0" w:color="D9D9E3"/>
          </w:divBdr>
          <w:divsChild>
            <w:div w:id="846142183">
              <w:marLeft w:val="0"/>
              <w:marRight w:val="0"/>
              <w:marTop w:val="0"/>
              <w:marBottom w:val="0"/>
              <w:divBdr>
                <w:top w:val="single" w:sz="2" w:space="0" w:color="D9D9E3"/>
                <w:left w:val="single" w:sz="2" w:space="0" w:color="D9D9E3"/>
                <w:bottom w:val="single" w:sz="2" w:space="0" w:color="D9D9E3"/>
                <w:right w:val="single" w:sz="2" w:space="0" w:color="D9D9E3"/>
              </w:divBdr>
              <w:divsChild>
                <w:div w:id="1157263082">
                  <w:marLeft w:val="0"/>
                  <w:marRight w:val="0"/>
                  <w:marTop w:val="0"/>
                  <w:marBottom w:val="0"/>
                  <w:divBdr>
                    <w:top w:val="single" w:sz="2" w:space="0" w:color="D9D9E3"/>
                    <w:left w:val="single" w:sz="2" w:space="0" w:color="D9D9E3"/>
                    <w:bottom w:val="single" w:sz="2" w:space="0" w:color="D9D9E3"/>
                    <w:right w:val="single" w:sz="2" w:space="0" w:color="D9D9E3"/>
                  </w:divBdr>
                  <w:divsChild>
                    <w:div w:id="732655078">
                      <w:marLeft w:val="0"/>
                      <w:marRight w:val="0"/>
                      <w:marTop w:val="0"/>
                      <w:marBottom w:val="0"/>
                      <w:divBdr>
                        <w:top w:val="single" w:sz="2" w:space="0" w:color="D9D9E3"/>
                        <w:left w:val="single" w:sz="2" w:space="0" w:color="D9D9E3"/>
                        <w:bottom w:val="single" w:sz="2" w:space="0" w:color="D9D9E3"/>
                        <w:right w:val="single" w:sz="2" w:space="0" w:color="D9D9E3"/>
                      </w:divBdr>
                      <w:divsChild>
                        <w:div w:id="506487055">
                          <w:marLeft w:val="0"/>
                          <w:marRight w:val="0"/>
                          <w:marTop w:val="0"/>
                          <w:marBottom w:val="0"/>
                          <w:divBdr>
                            <w:top w:val="single" w:sz="2" w:space="0" w:color="auto"/>
                            <w:left w:val="single" w:sz="2" w:space="0" w:color="auto"/>
                            <w:bottom w:val="single" w:sz="6" w:space="0" w:color="auto"/>
                            <w:right w:val="single" w:sz="2" w:space="0" w:color="auto"/>
                          </w:divBdr>
                          <w:divsChild>
                            <w:div w:id="1976645386">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018514">
                                  <w:marLeft w:val="0"/>
                                  <w:marRight w:val="0"/>
                                  <w:marTop w:val="0"/>
                                  <w:marBottom w:val="0"/>
                                  <w:divBdr>
                                    <w:top w:val="single" w:sz="2" w:space="0" w:color="D9D9E3"/>
                                    <w:left w:val="single" w:sz="2" w:space="0" w:color="D9D9E3"/>
                                    <w:bottom w:val="single" w:sz="2" w:space="0" w:color="D9D9E3"/>
                                    <w:right w:val="single" w:sz="2" w:space="0" w:color="D9D9E3"/>
                                  </w:divBdr>
                                  <w:divsChild>
                                    <w:div w:id="1664235986">
                                      <w:marLeft w:val="0"/>
                                      <w:marRight w:val="0"/>
                                      <w:marTop w:val="0"/>
                                      <w:marBottom w:val="0"/>
                                      <w:divBdr>
                                        <w:top w:val="single" w:sz="2" w:space="0" w:color="D9D9E3"/>
                                        <w:left w:val="single" w:sz="2" w:space="0" w:color="D9D9E3"/>
                                        <w:bottom w:val="single" w:sz="2" w:space="0" w:color="D9D9E3"/>
                                        <w:right w:val="single" w:sz="2" w:space="0" w:color="D9D9E3"/>
                                      </w:divBdr>
                                      <w:divsChild>
                                        <w:div w:id="1135291391">
                                          <w:marLeft w:val="0"/>
                                          <w:marRight w:val="0"/>
                                          <w:marTop w:val="0"/>
                                          <w:marBottom w:val="0"/>
                                          <w:divBdr>
                                            <w:top w:val="single" w:sz="2" w:space="0" w:color="D9D9E3"/>
                                            <w:left w:val="single" w:sz="2" w:space="0" w:color="D9D9E3"/>
                                            <w:bottom w:val="single" w:sz="2" w:space="0" w:color="D9D9E3"/>
                                            <w:right w:val="single" w:sz="2" w:space="0" w:color="D9D9E3"/>
                                          </w:divBdr>
                                          <w:divsChild>
                                            <w:div w:id="1754398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9602151">
      <w:bodyDiv w:val="1"/>
      <w:marLeft w:val="0"/>
      <w:marRight w:val="0"/>
      <w:marTop w:val="0"/>
      <w:marBottom w:val="0"/>
      <w:divBdr>
        <w:top w:val="none" w:sz="0" w:space="0" w:color="auto"/>
        <w:left w:val="none" w:sz="0" w:space="0" w:color="auto"/>
        <w:bottom w:val="none" w:sz="0" w:space="0" w:color="auto"/>
        <w:right w:val="none" w:sz="0" w:space="0" w:color="auto"/>
      </w:divBdr>
    </w:div>
    <w:div w:id="762994315">
      <w:bodyDiv w:val="1"/>
      <w:marLeft w:val="0"/>
      <w:marRight w:val="0"/>
      <w:marTop w:val="0"/>
      <w:marBottom w:val="0"/>
      <w:divBdr>
        <w:top w:val="none" w:sz="0" w:space="0" w:color="auto"/>
        <w:left w:val="none" w:sz="0" w:space="0" w:color="auto"/>
        <w:bottom w:val="none" w:sz="0" w:space="0" w:color="auto"/>
        <w:right w:val="none" w:sz="0" w:space="0" w:color="auto"/>
      </w:divBdr>
    </w:div>
    <w:div w:id="855190667">
      <w:bodyDiv w:val="1"/>
      <w:marLeft w:val="0"/>
      <w:marRight w:val="0"/>
      <w:marTop w:val="0"/>
      <w:marBottom w:val="0"/>
      <w:divBdr>
        <w:top w:val="none" w:sz="0" w:space="0" w:color="auto"/>
        <w:left w:val="none" w:sz="0" w:space="0" w:color="auto"/>
        <w:bottom w:val="none" w:sz="0" w:space="0" w:color="auto"/>
        <w:right w:val="none" w:sz="0" w:space="0" w:color="auto"/>
      </w:divBdr>
    </w:div>
    <w:div w:id="862472989">
      <w:bodyDiv w:val="1"/>
      <w:marLeft w:val="0"/>
      <w:marRight w:val="0"/>
      <w:marTop w:val="0"/>
      <w:marBottom w:val="0"/>
      <w:divBdr>
        <w:top w:val="none" w:sz="0" w:space="0" w:color="auto"/>
        <w:left w:val="none" w:sz="0" w:space="0" w:color="auto"/>
        <w:bottom w:val="none" w:sz="0" w:space="0" w:color="auto"/>
        <w:right w:val="none" w:sz="0" w:space="0" w:color="auto"/>
      </w:divBdr>
    </w:div>
    <w:div w:id="868879353">
      <w:bodyDiv w:val="1"/>
      <w:marLeft w:val="0"/>
      <w:marRight w:val="0"/>
      <w:marTop w:val="0"/>
      <w:marBottom w:val="0"/>
      <w:divBdr>
        <w:top w:val="none" w:sz="0" w:space="0" w:color="auto"/>
        <w:left w:val="none" w:sz="0" w:space="0" w:color="auto"/>
        <w:bottom w:val="none" w:sz="0" w:space="0" w:color="auto"/>
        <w:right w:val="none" w:sz="0" w:space="0" w:color="auto"/>
      </w:divBdr>
    </w:div>
    <w:div w:id="979723929">
      <w:bodyDiv w:val="1"/>
      <w:marLeft w:val="0"/>
      <w:marRight w:val="0"/>
      <w:marTop w:val="0"/>
      <w:marBottom w:val="0"/>
      <w:divBdr>
        <w:top w:val="none" w:sz="0" w:space="0" w:color="auto"/>
        <w:left w:val="none" w:sz="0" w:space="0" w:color="auto"/>
        <w:bottom w:val="none" w:sz="0" w:space="0" w:color="auto"/>
        <w:right w:val="none" w:sz="0" w:space="0" w:color="auto"/>
      </w:divBdr>
    </w:div>
    <w:div w:id="1220018864">
      <w:bodyDiv w:val="1"/>
      <w:marLeft w:val="0"/>
      <w:marRight w:val="0"/>
      <w:marTop w:val="0"/>
      <w:marBottom w:val="0"/>
      <w:divBdr>
        <w:top w:val="none" w:sz="0" w:space="0" w:color="auto"/>
        <w:left w:val="none" w:sz="0" w:space="0" w:color="auto"/>
        <w:bottom w:val="none" w:sz="0" w:space="0" w:color="auto"/>
        <w:right w:val="none" w:sz="0" w:space="0" w:color="auto"/>
      </w:divBdr>
      <w:divsChild>
        <w:div w:id="68580395">
          <w:marLeft w:val="0"/>
          <w:marRight w:val="0"/>
          <w:marTop w:val="0"/>
          <w:marBottom w:val="0"/>
          <w:divBdr>
            <w:top w:val="single" w:sz="2" w:space="0" w:color="D9D9E3"/>
            <w:left w:val="single" w:sz="2" w:space="0" w:color="D9D9E3"/>
            <w:bottom w:val="single" w:sz="2" w:space="0" w:color="D9D9E3"/>
            <w:right w:val="single" w:sz="2" w:space="0" w:color="D9D9E3"/>
          </w:divBdr>
          <w:divsChild>
            <w:div w:id="312878866">
              <w:marLeft w:val="0"/>
              <w:marRight w:val="0"/>
              <w:marTop w:val="0"/>
              <w:marBottom w:val="0"/>
              <w:divBdr>
                <w:top w:val="single" w:sz="2" w:space="0" w:color="D9D9E3"/>
                <w:left w:val="single" w:sz="2" w:space="0" w:color="D9D9E3"/>
                <w:bottom w:val="single" w:sz="2" w:space="0" w:color="D9D9E3"/>
                <w:right w:val="single" w:sz="2" w:space="0" w:color="D9D9E3"/>
              </w:divBdr>
              <w:divsChild>
                <w:div w:id="2025399412">
                  <w:marLeft w:val="0"/>
                  <w:marRight w:val="0"/>
                  <w:marTop w:val="0"/>
                  <w:marBottom w:val="0"/>
                  <w:divBdr>
                    <w:top w:val="single" w:sz="2" w:space="0" w:color="D9D9E3"/>
                    <w:left w:val="single" w:sz="2" w:space="0" w:color="D9D9E3"/>
                    <w:bottom w:val="single" w:sz="2" w:space="0" w:color="D9D9E3"/>
                    <w:right w:val="single" w:sz="2" w:space="0" w:color="D9D9E3"/>
                  </w:divBdr>
                  <w:divsChild>
                    <w:div w:id="1148786809">
                      <w:marLeft w:val="0"/>
                      <w:marRight w:val="0"/>
                      <w:marTop w:val="0"/>
                      <w:marBottom w:val="0"/>
                      <w:divBdr>
                        <w:top w:val="single" w:sz="2" w:space="0" w:color="D9D9E3"/>
                        <w:left w:val="single" w:sz="2" w:space="0" w:color="D9D9E3"/>
                        <w:bottom w:val="single" w:sz="2" w:space="0" w:color="D9D9E3"/>
                        <w:right w:val="single" w:sz="2" w:space="0" w:color="D9D9E3"/>
                      </w:divBdr>
                      <w:divsChild>
                        <w:div w:id="851916462">
                          <w:marLeft w:val="0"/>
                          <w:marRight w:val="0"/>
                          <w:marTop w:val="0"/>
                          <w:marBottom w:val="0"/>
                          <w:divBdr>
                            <w:top w:val="single" w:sz="2" w:space="0" w:color="auto"/>
                            <w:left w:val="single" w:sz="2" w:space="0" w:color="auto"/>
                            <w:bottom w:val="single" w:sz="6" w:space="0" w:color="auto"/>
                            <w:right w:val="single" w:sz="2" w:space="0" w:color="auto"/>
                          </w:divBdr>
                          <w:divsChild>
                            <w:div w:id="1592549017">
                              <w:marLeft w:val="0"/>
                              <w:marRight w:val="0"/>
                              <w:marTop w:val="100"/>
                              <w:marBottom w:val="100"/>
                              <w:divBdr>
                                <w:top w:val="single" w:sz="2" w:space="0" w:color="D9D9E3"/>
                                <w:left w:val="single" w:sz="2" w:space="0" w:color="D9D9E3"/>
                                <w:bottom w:val="single" w:sz="2" w:space="0" w:color="D9D9E3"/>
                                <w:right w:val="single" w:sz="2" w:space="0" w:color="D9D9E3"/>
                              </w:divBdr>
                              <w:divsChild>
                                <w:div w:id="541525255">
                                  <w:marLeft w:val="0"/>
                                  <w:marRight w:val="0"/>
                                  <w:marTop w:val="0"/>
                                  <w:marBottom w:val="0"/>
                                  <w:divBdr>
                                    <w:top w:val="single" w:sz="2" w:space="0" w:color="D9D9E3"/>
                                    <w:left w:val="single" w:sz="2" w:space="0" w:color="D9D9E3"/>
                                    <w:bottom w:val="single" w:sz="2" w:space="0" w:color="D9D9E3"/>
                                    <w:right w:val="single" w:sz="2" w:space="0" w:color="D9D9E3"/>
                                  </w:divBdr>
                                  <w:divsChild>
                                    <w:div w:id="1678775268">
                                      <w:marLeft w:val="0"/>
                                      <w:marRight w:val="0"/>
                                      <w:marTop w:val="0"/>
                                      <w:marBottom w:val="0"/>
                                      <w:divBdr>
                                        <w:top w:val="single" w:sz="2" w:space="0" w:color="D9D9E3"/>
                                        <w:left w:val="single" w:sz="2" w:space="0" w:color="D9D9E3"/>
                                        <w:bottom w:val="single" w:sz="2" w:space="0" w:color="D9D9E3"/>
                                        <w:right w:val="single" w:sz="2" w:space="0" w:color="D9D9E3"/>
                                      </w:divBdr>
                                      <w:divsChild>
                                        <w:div w:id="1779328587">
                                          <w:marLeft w:val="0"/>
                                          <w:marRight w:val="0"/>
                                          <w:marTop w:val="0"/>
                                          <w:marBottom w:val="0"/>
                                          <w:divBdr>
                                            <w:top w:val="single" w:sz="2" w:space="0" w:color="D9D9E3"/>
                                            <w:left w:val="single" w:sz="2" w:space="0" w:color="D9D9E3"/>
                                            <w:bottom w:val="single" w:sz="2" w:space="0" w:color="D9D9E3"/>
                                            <w:right w:val="single" w:sz="2" w:space="0" w:color="D9D9E3"/>
                                          </w:divBdr>
                                          <w:divsChild>
                                            <w:div w:id="1603301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0756197">
          <w:marLeft w:val="0"/>
          <w:marRight w:val="0"/>
          <w:marTop w:val="0"/>
          <w:marBottom w:val="0"/>
          <w:divBdr>
            <w:top w:val="none" w:sz="0" w:space="0" w:color="auto"/>
            <w:left w:val="none" w:sz="0" w:space="0" w:color="auto"/>
            <w:bottom w:val="none" w:sz="0" w:space="0" w:color="auto"/>
            <w:right w:val="none" w:sz="0" w:space="0" w:color="auto"/>
          </w:divBdr>
          <w:divsChild>
            <w:div w:id="125784783">
              <w:marLeft w:val="0"/>
              <w:marRight w:val="0"/>
              <w:marTop w:val="0"/>
              <w:marBottom w:val="0"/>
              <w:divBdr>
                <w:top w:val="single" w:sz="2" w:space="0" w:color="D9D9E3"/>
                <w:left w:val="single" w:sz="2" w:space="0" w:color="D9D9E3"/>
                <w:bottom w:val="single" w:sz="2" w:space="0" w:color="D9D9E3"/>
                <w:right w:val="single" w:sz="2" w:space="0" w:color="D9D9E3"/>
              </w:divBdr>
              <w:divsChild>
                <w:div w:id="759107965">
                  <w:marLeft w:val="0"/>
                  <w:marRight w:val="0"/>
                  <w:marTop w:val="0"/>
                  <w:marBottom w:val="0"/>
                  <w:divBdr>
                    <w:top w:val="single" w:sz="2" w:space="0" w:color="D9D9E3"/>
                    <w:left w:val="single" w:sz="2" w:space="0" w:color="D9D9E3"/>
                    <w:bottom w:val="single" w:sz="2" w:space="0" w:color="D9D9E3"/>
                    <w:right w:val="single" w:sz="2" w:space="0" w:color="D9D9E3"/>
                  </w:divBdr>
                  <w:divsChild>
                    <w:div w:id="443234306">
                      <w:marLeft w:val="0"/>
                      <w:marRight w:val="0"/>
                      <w:marTop w:val="0"/>
                      <w:marBottom w:val="0"/>
                      <w:divBdr>
                        <w:top w:val="single" w:sz="2" w:space="0" w:color="D9D9E3"/>
                        <w:left w:val="single" w:sz="2" w:space="0" w:color="D9D9E3"/>
                        <w:bottom w:val="single" w:sz="2" w:space="0" w:color="D9D9E3"/>
                        <w:right w:val="single" w:sz="2" w:space="0" w:color="D9D9E3"/>
                      </w:divBdr>
                      <w:divsChild>
                        <w:div w:id="1220826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8248773">
      <w:bodyDiv w:val="1"/>
      <w:marLeft w:val="0"/>
      <w:marRight w:val="0"/>
      <w:marTop w:val="0"/>
      <w:marBottom w:val="0"/>
      <w:divBdr>
        <w:top w:val="none" w:sz="0" w:space="0" w:color="auto"/>
        <w:left w:val="none" w:sz="0" w:space="0" w:color="auto"/>
        <w:bottom w:val="none" w:sz="0" w:space="0" w:color="auto"/>
        <w:right w:val="none" w:sz="0" w:space="0" w:color="auto"/>
      </w:divBdr>
    </w:div>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692106155">
      <w:bodyDiv w:val="1"/>
      <w:marLeft w:val="0"/>
      <w:marRight w:val="0"/>
      <w:marTop w:val="0"/>
      <w:marBottom w:val="0"/>
      <w:divBdr>
        <w:top w:val="none" w:sz="0" w:space="0" w:color="auto"/>
        <w:left w:val="none" w:sz="0" w:space="0" w:color="auto"/>
        <w:bottom w:val="none" w:sz="0" w:space="0" w:color="auto"/>
        <w:right w:val="none" w:sz="0" w:space="0" w:color="auto"/>
      </w:divBdr>
    </w:div>
    <w:div w:id="1952781055">
      <w:bodyDiv w:val="1"/>
      <w:marLeft w:val="0"/>
      <w:marRight w:val="0"/>
      <w:marTop w:val="0"/>
      <w:marBottom w:val="0"/>
      <w:divBdr>
        <w:top w:val="none" w:sz="0" w:space="0" w:color="auto"/>
        <w:left w:val="none" w:sz="0" w:space="0" w:color="auto"/>
        <w:bottom w:val="none" w:sz="0" w:space="0" w:color="auto"/>
        <w:right w:val="none" w:sz="0" w:space="0" w:color="auto"/>
      </w:divBdr>
    </w:div>
    <w:div w:id="19782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qsc.govt.nz" TargetMode="External"/><Relationship Id="rId18" Type="http://schemas.openxmlformats.org/officeDocument/2006/relationships/image" Target="media/image4.jpg"/><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hcannell\AppData\Local\Microsoft\Windows\INetCache\Content.Outlook\2JLDWSFP\creativecommons.org\licenses\by-nc-sa\4.0"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hqsc.govt.nz"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hqsc.govt.nz/our-work/system-safety/reducing-harm/medicines/" TargetMode="External"/><Relationship Id="rId13" Type="http://schemas.openxmlformats.org/officeDocument/2006/relationships/hyperlink" Target="http://www.legislation.govt.nz/act/public/2020/0040/latest/LMS356875.html" TargetMode="External"/><Relationship Id="rId3" Type="http://schemas.openxmlformats.org/officeDocument/2006/relationships/hyperlink" Target="file:///C:\Users\hcannell\AppData\Local\Microsoft\Windows\INetCache\Content.Outlook\2JLDWSFP\www.legislation.govt.nz\act\public\2022\0030\latest\LMS575405.html" TargetMode="External"/><Relationship Id="rId7" Type="http://schemas.openxmlformats.org/officeDocument/2006/relationships/hyperlink" Target="http://www.hqsc.govt.nz/our-data/atlas-of-healthcare-variation/" TargetMode="External"/><Relationship Id="rId12" Type="http://schemas.openxmlformats.org/officeDocument/2006/relationships/hyperlink" Target="http://www.teakawhaiora.nz/our-work/kahu-taurima/" TargetMode="External"/><Relationship Id="rId2" Type="http://schemas.openxmlformats.org/officeDocument/2006/relationships/hyperlink" Target="http://www.hqsc.govt.nz/resources/resource-library/tauaki-koronga-statement-of-intent-202024" TargetMode="External"/><Relationship Id="rId1" Type="http://schemas.openxmlformats.org/officeDocument/2006/relationships/hyperlink" Target="http://www.hqsc.govt.nz/resources/resource-library/self-review-report-based-on-the-performance-improvement-framework-purongorongo-arotake-whaiaro-i-whai-i-te-anga-whakapiki-whakaaturanga" TargetMode="External"/><Relationship Id="rId6" Type="http://schemas.openxmlformats.org/officeDocument/2006/relationships/hyperlink" Target="http://www.hqsc.govt.nz/our-data/window-on-the-quality-of-health-care" TargetMode="External"/><Relationship Id="rId11" Type="http://schemas.openxmlformats.org/officeDocument/2006/relationships/hyperlink" Target="https://www.hqsc.govt.nz/resources/resource-library/bula-sautu-a-window-on-quality-2021-pacific-health-in-the-year-of-covid-19-bula-sautu-he-mata-kounga-2021-hauora-pasifika-i-te-tau-covid-19/" TargetMode="External"/><Relationship Id="rId5" Type="http://schemas.openxmlformats.org/officeDocument/2006/relationships/hyperlink" Target="file:///C:\Users\hcannell\AppData\Local\Microsoft\Windows\INetCache\Content.Outlook\2JLDWSFP\www.hqsc.govt.nz\consumer-hub\engaging-consumers-and-whanau\code-of-expectations-for-health-entities-engagement-with-consumers-and-whanau\" TargetMode="External"/><Relationship Id="rId10" Type="http://schemas.openxmlformats.org/officeDocument/2006/relationships/hyperlink" Target="http://www.hqsc.govt.nz/resources/resource-library/covid-19-care-in-the-community-system-learning-opportunities-kowheori-19-he-whai-wahi-hei-ako-punaha-manaaki-i-te-hapori" TargetMode="External"/><Relationship Id="rId4" Type="http://schemas.openxmlformats.org/officeDocument/2006/relationships/hyperlink" Target="http://www.health.govt.nz/new-zealand-health-system/overview-health-system/health-and-disability-system-reforms/health-and-disability-system-review" TargetMode="External"/><Relationship Id="rId9" Type="http://schemas.openxmlformats.org/officeDocument/2006/relationships/hyperlink" Target="http://www.hqsc.govt.nz/our-data/patient-exper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ingham\Desktop\Templates%20for%20new%20logo\FINALS\Comms%20kit%20templates%20final\Templates\Report%20template%20-%20new%20tohu%20on%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Jane Lester</DisplayName>
        <AccountId>74</AccountId>
        <AccountType/>
      </UserInfo>
      <UserInfo>
        <DisplayName>Shelley Hanifan</DisplayName>
        <AccountId>19</AccountId>
        <AccountType/>
      </UserInfo>
      <UserInfo>
        <DisplayName>Simona D’Silva</DisplayName>
        <AccountId>425</AccountId>
        <AccountType/>
      </UserInfo>
      <UserInfo>
        <DisplayName>Heidi Cannell</DisplayName>
        <AccountId>142</AccountId>
        <AccountType/>
      </UserInfo>
    </SharedWithUsers>
    <_dlc_DocId xmlns="bef9904b-9bca-4a1b-aca3-78dad2044d15">DOCS-1129490080-82792</_dlc_DocId>
    <_dlc_DocIdUrl xmlns="bef9904b-9bca-4a1b-aca3-78dad2044d15">
      <Url>https://hqsc.sharepoint.com/sites/dms-comms/_layouts/15/DocIdRedir.aspx?ID=DOCS-1129490080-82792</Url>
      <Description>DOCS-1129490080-82792</Description>
    </_dlc_DocIdUrl>
    <TaxCatchAll xmlns="bef9904b-9bca-4a1b-aca3-78dad2044d15" xsi:nil="true"/>
    <lcf76f155ced4ddcb4097134ff3c332f xmlns="83c1f819-1d2e-4aad-8c9d-234667bc50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2.xml><?xml version="1.0" encoding="utf-8"?>
<ds:datastoreItem xmlns:ds="http://schemas.openxmlformats.org/officeDocument/2006/customXml" ds:itemID="{CF0F79D8-F389-4FE6-955F-6B8F11DB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2A38A-F894-4ED8-BDBD-B0DE763C2972}">
  <ds:schemaRefs>
    <ds:schemaRef ds:uri="http://schemas.microsoft.com/sharepoint/events"/>
  </ds:schemaRefs>
</ds:datastoreItem>
</file>

<file path=customXml/itemProps4.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customXml/itemProps5.xml><?xml version="1.0" encoding="utf-8"?>
<ds:datastoreItem xmlns:ds="http://schemas.openxmlformats.org/officeDocument/2006/customXml" ds:itemID="{8104217C-7EC6-4166-B6FA-B188E2D0B934}">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Report template - new tohu on cover.dotx</Template>
  <TotalTime>5</TotalTime>
  <Pages>28</Pages>
  <Words>8805</Words>
  <Characters>50190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58878</CharactersWithSpaces>
  <SharedDoc>false</SharedDoc>
  <HLinks>
    <vt:vector size="102" baseType="variant">
      <vt:variant>
        <vt:i4>4390938</vt:i4>
      </vt:variant>
      <vt:variant>
        <vt:i4>9</vt:i4>
      </vt:variant>
      <vt:variant>
        <vt:i4>0</vt:i4>
      </vt:variant>
      <vt:variant>
        <vt:i4>5</vt:i4>
      </vt:variant>
      <vt:variant>
        <vt:lpwstr>https://creativecommons.org/licenses/by-nc-sa/4.0</vt:lpwstr>
      </vt:variant>
      <vt:variant>
        <vt:lpwstr/>
      </vt:variant>
      <vt:variant>
        <vt:i4>7995403</vt:i4>
      </vt:variant>
      <vt:variant>
        <vt:i4>6</vt:i4>
      </vt:variant>
      <vt:variant>
        <vt:i4>0</vt:i4>
      </vt:variant>
      <vt:variant>
        <vt:i4>5</vt:i4>
      </vt:variant>
      <vt:variant>
        <vt:lpwstr>mailto:info@hqsc.govt.nz</vt:lpwstr>
      </vt:variant>
      <vt:variant>
        <vt:lpwstr/>
      </vt:variant>
      <vt:variant>
        <vt:i4>4456455</vt:i4>
      </vt:variant>
      <vt:variant>
        <vt:i4>3</vt:i4>
      </vt:variant>
      <vt:variant>
        <vt:i4>0</vt:i4>
      </vt:variant>
      <vt:variant>
        <vt:i4>5</vt:i4>
      </vt:variant>
      <vt:variant>
        <vt:lpwstr>http://www.hqsc.govt.nz/</vt:lpwstr>
      </vt:variant>
      <vt:variant>
        <vt:lpwstr/>
      </vt:variant>
      <vt:variant>
        <vt:i4>7536675</vt:i4>
      </vt:variant>
      <vt:variant>
        <vt:i4>39</vt:i4>
      </vt:variant>
      <vt:variant>
        <vt:i4>0</vt:i4>
      </vt:variant>
      <vt:variant>
        <vt:i4>5</vt:i4>
      </vt:variant>
      <vt:variant>
        <vt:lpwstr>https://www.legislation.govt.nz/act/public/2020/0040/latest/LMS356875.html</vt:lpwstr>
      </vt:variant>
      <vt:variant>
        <vt:lpwstr/>
      </vt:variant>
      <vt:variant>
        <vt:i4>3932217</vt:i4>
      </vt:variant>
      <vt:variant>
        <vt:i4>36</vt:i4>
      </vt:variant>
      <vt:variant>
        <vt:i4>0</vt:i4>
      </vt:variant>
      <vt:variant>
        <vt:i4>5</vt:i4>
      </vt:variant>
      <vt:variant>
        <vt:lpwstr>https://www.teakawhaiora.nz/our-work/kahu-taurima/</vt:lpwstr>
      </vt:variant>
      <vt:variant>
        <vt:lpwstr/>
      </vt:variant>
      <vt:variant>
        <vt:i4>2031621</vt:i4>
      </vt:variant>
      <vt:variant>
        <vt:i4>33</vt:i4>
      </vt:variant>
      <vt:variant>
        <vt:i4>0</vt:i4>
      </vt:variant>
      <vt:variant>
        <vt:i4>5</vt:i4>
      </vt:variant>
      <vt:variant>
        <vt:lpwstr>https://www.hqsc.govt.nz/resources/resource-library/bula-sautu-a-window-on-quality-2021-pacific-health-in-the-year-of-covid-19-bula-sautu-he-mata-kounga-2021-hauora-pasifika-i-te-tau-covid-19/</vt:lpwstr>
      </vt:variant>
      <vt:variant>
        <vt:lpwstr/>
      </vt:variant>
      <vt:variant>
        <vt:i4>1572952</vt:i4>
      </vt:variant>
      <vt:variant>
        <vt:i4>30</vt:i4>
      </vt:variant>
      <vt:variant>
        <vt:i4>0</vt:i4>
      </vt:variant>
      <vt:variant>
        <vt:i4>5</vt:i4>
      </vt:variant>
      <vt:variant>
        <vt:lpwstr>https://www.hqsc.govt.nz/assets/Our-data/Publications-resources/COVID-care-in-the-community-report-FINAL2023.pdf</vt:lpwstr>
      </vt:variant>
      <vt:variant>
        <vt:lpwstr/>
      </vt:variant>
      <vt:variant>
        <vt:i4>589827</vt:i4>
      </vt:variant>
      <vt:variant>
        <vt:i4>27</vt:i4>
      </vt:variant>
      <vt:variant>
        <vt:i4>0</vt:i4>
      </vt:variant>
      <vt:variant>
        <vt:i4>5</vt:i4>
      </vt:variant>
      <vt:variant>
        <vt:lpwstr>https://www.hqsc.govt.nz/our-data/patient-experience/</vt:lpwstr>
      </vt:variant>
      <vt:variant>
        <vt:lpwstr/>
      </vt:variant>
      <vt:variant>
        <vt:i4>131083</vt:i4>
      </vt:variant>
      <vt:variant>
        <vt:i4>24</vt:i4>
      </vt:variant>
      <vt:variant>
        <vt:i4>0</vt:i4>
      </vt:variant>
      <vt:variant>
        <vt:i4>5</vt:i4>
      </vt:variant>
      <vt:variant>
        <vt:lpwstr>https://www.hqsc.govt.nz/our-work/system-safety/reducing-harm/medicines/</vt:lpwstr>
      </vt:variant>
      <vt:variant>
        <vt:lpwstr/>
      </vt:variant>
      <vt:variant>
        <vt:i4>1966156</vt:i4>
      </vt:variant>
      <vt:variant>
        <vt:i4>21</vt:i4>
      </vt:variant>
      <vt:variant>
        <vt:i4>0</vt:i4>
      </vt:variant>
      <vt:variant>
        <vt:i4>5</vt:i4>
      </vt:variant>
      <vt:variant>
        <vt:lpwstr>https://www.hqsc.govt.nz/our-data/atlas-of-healthcare-variation/</vt:lpwstr>
      </vt:variant>
      <vt:variant>
        <vt:lpwstr/>
      </vt:variant>
      <vt:variant>
        <vt:i4>3276897</vt:i4>
      </vt:variant>
      <vt:variant>
        <vt:i4>18</vt:i4>
      </vt:variant>
      <vt:variant>
        <vt:i4>0</vt:i4>
      </vt:variant>
      <vt:variant>
        <vt:i4>5</vt:i4>
      </vt:variant>
      <vt:variant>
        <vt:lpwstr>https://www.hqsc.govt.nz/our-data/window-on-the-quality-of-health-care/</vt:lpwstr>
      </vt:variant>
      <vt:variant>
        <vt:lpwstr/>
      </vt:variant>
      <vt:variant>
        <vt:i4>3014698</vt:i4>
      </vt:variant>
      <vt:variant>
        <vt:i4>15</vt:i4>
      </vt:variant>
      <vt:variant>
        <vt:i4>0</vt:i4>
      </vt:variant>
      <vt:variant>
        <vt:i4>5</vt:i4>
      </vt:variant>
      <vt:variant>
        <vt:lpwstr>https://www.hqsc.govt.nz/consumer-hub/engaging-consumers-and-whanau/code-of-expectations-for-health-entities-engagement-with-consumers-and-whanau/</vt:lpwstr>
      </vt:variant>
      <vt:variant>
        <vt:lpwstr/>
      </vt:variant>
      <vt:variant>
        <vt:i4>1245270</vt:i4>
      </vt:variant>
      <vt:variant>
        <vt:i4>12</vt:i4>
      </vt:variant>
      <vt:variant>
        <vt:i4>0</vt:i4>
      </vt:variant>
      <vt:variant>
        <vt:i4>5</vt:i4>
      </vt:variant>
      <vt:variant>
        <vt:lpwstr>https://www.hqsc.govt.nz/resources/resource-library/quality-improvement-no-quality-without-equity</vt:lpwstr>
      </vt:variant>
      <vt:variant>
        <vt:lpwstr/>
      </vt:variant>
      <vt:variant>
        <vt:i4>6684715</vt:i4>
      </vt:variant>
      <vt:variant>
        <vt:i4>9</vt:i4>
      </vt:variant>
      <vt:variant>
        <vt:i4>0</vt:i4>
      </vt:variant>
      <vt:variant>
        <vt:i4>5</vt:i4>
      </vt:variant>
      <vt:variant>
        <vt:lpwstr>http://www.health.govt.nz/new-zealand-health-system/overview-health-system/health-and-disability-system-reforms/health-and-disability-system-review</vt:lpwstr>
      </vt:variant>
      <vt:variant>
        <vt:lpwstr/>
      </vt:variant>
      <vt:variant>
        <vt:i4>7405608</vt:i4>
      </vt:variant>
      <vt:variant>
        <vt:i4>6</vt:i4>
      </vt:variant>
      <vt:variant>
        <vt:i4>0</vt:i4>
      </vt:variant>
      <vt:variant>
        <vt:i4>5</vt:i4>
      </vt:variant>
      <vt:variant>
        <vt:lpwstr>https://www.legislation.govt.nz/act/public/2022/0030/latest/LMS575405.html</vt:lpwstr>
      </vt:variant>
      <vt:variant>
        <vt:lpwstr/>
      </vt:variant>
      <vt:variant>
        <vt:i4>6291515</vt:i4>
      </vt:variant>
      <vt:variant>
        <vt:i4>3</vt:i4>
      </vt:variant>
      <vt:variant>
        <vt:i4>0</vt:i4>
      </vt:variant>
      <vt:variant>
        <vt:i4>5</vt:i4>
      </vt:variant>
      <vt:variant>
        <vt:lpwstr>https://www.hqsc.govt.nz/assets/Core-pages/HQSC-general-resources/StatementOfIntent2020-24.pdf</vt:lpwstr>
      </vt:variant>
      <vt:variant>
        <vt:lpwstr/>
      </vt:variant>
      <vt:variant>
        <vt:i4>6619188</vt:i4>
      </vt:variant>
      <vt:variant>
        <vt:i4>0</vt:i4>
      </vt:variant>
      <vt:variant>
        <vt:i4>0</vt:i4>
      </vt:variant>
      <vt:variant>
        <vt:i4>5</vt:i4>
      </vt:variant>
      <vt:variant>
        <vt:lpwstr>https://www.hqsc.govt.nz/assets/Core-pages/HQSC-general-resources/HQSC_PIFSelf-Review2019_web.pdf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Jocasta Whittingham</cp:lastModifiedBy>
  <cp:revision>3</cp:revision>
  <cp:lastPrinted>2023-06-27T02:32:00Z</cp:lastPrinted>
  <dcterms:created xsi:type="dcterms:W3CDTF">2023-06-27T02:31:00Z</dcterms:created>
  <dcterms:modified xsi:type="dcterms:W3CDTF">2023-06-27T02:32:00Z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AuthorIds_UIVersion_1024">
    <vt:lpwstr>17</vt:lpwstr>
  </property>
  <property fmtid="{D5CDD505-2E9C-101B-9397-08002B2CF9AE}" pid="4" name="MediaServiceImageTags">
    <vt:lpwstr/>
  </property>
  <property fmtid="{D5CDD505-2E9C-101B-9397-08002B2CF9AE}" pid="5" name="_dlc_DocIdItemGuid">
    <vt:lpwstr>1e090fd9-f688-4fd3-b41f-5a4da33588c1</vt:lpwstr>
  </property>
</Properties>
</file>