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8761" w14:textId="77777777" w:rsidR="00D12FC1" w:rsidRPr="00183294" w:rsidRDefault="00667365" w:rsidP="00A313E6">
      <w:pPr>
        <w:jc w:val="center"/>
        <w:rPr>
          <w:rFonts w:cs="Arial"/>
        </w:rPr>
      </w:pPr>
      <w:r w:rsidRPr="00183294">
        <w:rPr>
          <w:rFonts w:cs="Arial"/>
          <w:noProof/>
        </w:rPr>
        <w:drawing>
          <wp:anchor distT="0" distB="0" distL="114300" distR="114300" simplePos="0" relativeHeight="251658240" behindDoc="1" locked="0" layoutInCell="1" allowOverlap="1" wp14:anchorId="590E79C2" wp14:editId="4A2D771A">
            <wp:simplePos x="0" y="0"/>
            <wp:positionH relativeFrom="page">
              <wp:posOffset>20681</wp:posOffset>
            </wp:positionH>
            <wp:positionV relativeFrom="paragraph">
              <wp:posOffset>-900430</wp:posOffset>
            </wp:positionV>
            <wp:extent cx="7537998" cy="10662621"/>
            <wp:effectExtent l="0" t="0" r="6350" b="5715"/>
            <wp:wrapNone/>
            <wp:docPr id="1" name="Picture 1" descr="Health Quality &amp; Safety Commission Te Tāhū Hauora logo in the top right corner. This logo is made up of the words Health Quality &amp; Safety Commission with the words Te Tāhū Hauora underneath. To the right of the words is a stylised version of a wharenui in a triangle shape, with the tāhū (ridgepole), heke (rafters) and niho taniwha (triangle pattern) beneath. The bottom third of the page comprises an orange and blue tessellated pattern made up of the Te Tāhū Hauora logo. The pattern is a stylised version of a wharenui in a triangle shape, with the tāhū (ridgepole), heke (rafters) and niho taniwha (triangle patter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lth Quality &amp; Safety Commission Te Tāhū Hauora logo in the top right corner. This logo is made up of the words Health Quality &amp; Safety Commission with the words Te Tāhū Hauora underneath. To the right of the words is a stylised version of a wharenui in a triangle shape, with the tāhū (ridgepole), heke (rafters) and niho taniwha (triangle pattern) beneath. The bottom third of the page comprises an orange and blue tessellated pattern made up of the Te Tāhū Hauora logo. The pattern is a stylised version of a wharenui in a triangle shape, with the tāhū (ridgepole), heke (rafters) and niho taniwha (triangle pattern beneath)."/>
                    <pic:cNvPicPr/>
                  </pic:nvPicPr>
                  <pic:blipFill>
                    <a:blip r:embed="rId8"/>
                    <a:stretch>
                      <a:fillRect/>
                    </a:stretch>
                  </pic:blipFill>
                  <pic:spPr>
                    <a:xfrm>
                      <a:off x="0" y="0"/>
                      <a:ext cx="7537998" cy="10662621"/>
                    </a:xfrm>
                    <a:prstGeom prst="rect">
                      <a:avLst/>
                    </a:prstGeom>
                  </pic:spPr>
                </pic:pic>
              </a:graphicData>
            </a:graphic>
            <wp14:sizeRelH relativeFrom="page">
              <wp14:pctWidth>0</wp14:pctWidth>
            </wp14:sizeRelH>
            <wp14:sizeRelV relativeFrom="page">
              <wp14:pctHeight>0</wp14:pctHeight>
            </wp14:sizeRelV>
          </wp:anchor>
        </w:drawing>
      </w:r>
    </w:p>
    <w:p w14:paraId="6D634E75" w14:textId="77777777" w:rsidR="00433D6F" w:rsidRPr="00183294" w:rsidRDefault="00433D6F" w:rsidP="00D12FC1">
      <w:pPr>
        <w:jc w:val="center"/>
        <w:rPr>
          <w:rFonts w:cs="Arial"/>
          <w:b/>
          <w:sz w:val="36"/>
          <w:szCs w:val="36"/>
        </w:rPr>
      </w:pPr>
    </w:p>
    <w:p w14:paraId="15C5BD84" w14:textId="77777777" w:rsidR="00E01E56" w:rsidRPr="00183294" w:rsidRDefault="00E01E56" w:rsidP="00D12FC1">
      <w:pPr>
        <w:jc w:val="center"/>
        <w:rPr>
          <w:rFonts w:cs="Arial"/>
          <w:b/>
          <w:sz w:val="36"/>
          <w:szCs w:val="36"/>
        </w:rPr>
      </w:pPr>
    </w:p>
    <w:p w14:paraId="5E0430B7" w14:textId="77777777" w:rsidR="00A313E6" w:rsidRPr="00183294" w:rsidRDefault="00A313E6" w:rsidP="00D12FC1">
      <w:pPr>
        <w:jc w:val="center"/>
        <w:rPr>
          <w:rFonts w:cs="Arial"/>
          <w:b/>
          <w:sz w:val="36"/>
          <w:szCs w:val="36"/>
        </w:rPr>
      </w:pPr>
    </w:p>
    <w:p w14:paraId="61CDCC6C" w14:textId="77777777" w:rsidR="00A313E6" w:rsidRPr="00183294" w:rsidRDefault="00A313E6" w:rsidP="002D1E1F">
      <w:pPr>
        <w:pStyle w:val="Heading1HQSC"/>
      </w:pPr>
    </w:p>
    <w:p w14:paraId="2F283350" w14:textId="77777777" w:rsidR="00A313E6" w:rsidRPr="00183294" w:rsidRDefault="00A313E6" w:rsidP="00D12FC1">
      <w:pPr>
        <w:jc w:val="center"/>
        <w:rPr>
          <w:rFonts w:cs="Arial"/>
          <w:b/>
          <w:sz w:val="36"/>
          <w:szCs w:val="36"/>
        </w:rPr>
      </w:pPr>
    </w:p>
    <w:p w14:paraId="34454301" w14:textId="77777777" w:rsidR="00A313E6" w:rsidRPr="00183294" w:rsidRDefault="00A313E6" w:rsidP="00D12FC1">
      <w:pPr>
        <w:jc w:val="center"/>
        <w:rPr>
          <w:rFonts w:cs="Arial"/>
          <w:b/>
          <w:sz w:val="36"/>
          <w:szCs w:val="36"/>
        </w:rPr>
      </w:pPr>
    </w:p>
    <w:p w14:paraId="60284704" w14:textId="77777777" w:rsidR="00A313E6" w:rsidRPr="00183294" w:rsidRDefault="00A313E6" w:rsidP="00D12FC1">
      <w:pPr>
        <w:jc w:val="center"/>
        <w:rPr>
          <w:rFonts w:cs="Arial"/>
          <w:b/>
          <w:sz w:val="36"/>
          <w:szCs w:val="36"/>
        </w:rPr>
      </w:pPr>
    </w:p>
    <w:p w14:paraId="052DB195" w14:textId="77777777" w:rsidR="0093767A" w:rsidRPr="00183294" w:rsidRDefault="0093767A" w:rsidP="0093767A">
      <w:pPr>
        <w:jc w:val="center"/>
        <w:rPr>
          <w:rFonts w:cs="Arial"/>
          <w:b/>
          <w:color w:val="FFFFFF" w:themeColor="background1"/>
          <w:sz w:val="44"/>
          <w:szCs w:val="44"/>
        </w:rPr>
      </w:pPr>
      <w:r w:rsidRPr="00183294">
        <w:rPr>
          <w:rFonts w:cs="Arial"/>
          <w:b/>
          <w:color w:val="FFFFFF" w:themeColor="background1"/>
          <w:sz w:val="44"/>
          <w:szCs w:val="44"/>
        </w:rPr>
        <w:t>Atlas of Healthcare Variation:</w:t>
      </w:r>
    </w:p>
    <w:p w14:paraId="26451052" w14:textId="4502640A" w:rsidR="009B60E1" w:rsidRPr="00183294" w:rsidRDefault="0093767A" w:rsidP="0093767A">
      <w:pPr>
        <w:jc w:val="center"/>
        <w:rPr>
          <w:rFonts w:cs="Arial"/>
          <w:b/>
          <w:color w:val="FFFFFF" w:themeColor="background1"/>
          <w:sz w:val="36"/>
          <w:szCs w:val="36"/>
        </w:rPr>
      </w:pPr>
      <w:r w:rsidRPr="00183294">
        <w:rPr>
          <w:rFonts w:cs="Arial"/>
          <w:b/>
          <w:color w:val="FFFFFF" w:themeColor="background1"/>
          <w:sz w:val="44"/>
          <w:szCs w:val="44"/>
        </w:rPr>
        <w:t>Methodology | Gout</w:t>
      </w:r>
    </w:p>
    <w:p w14:paraId="428FE3D2" w14:textId="658A0538" w:rsidR="002E1666" w:rsidRPr="00183294" w:rsidRDefault="00B965F6" w:rsidP="0093767A">
      <w:pPr>
        <w:pStyle w:val="coverdateHQSC"/>
        <w:jc w:val="center"/>
      </w:pPr>
      <w:r>
        <w:t>September</w:t>
      </w:r>
      <w:r w:rsidRPr="00183294">
        <w:t xml:space="preserve"> </w:t>
      </w:r>
      <w:r w:rsidR="0093767A" w:rsidRPr="00183294">
        <w:t>2026</w:t>
      </w:r>
    </w:p>
    <w:p w14:paraId="2523B473" w14:textId="77777777" w:rsidR="002E1666" w:rsidRPr="00183294" w:rsidRDefault="002E1666">
      <w:pPr>
        <w:rPr>
          <w:rFonts w:cs="Arial"/>
          <w:color w:val="FFFFFF" w:themeColor="background1"/>
          <w:sz w:val="56"/>
          <w:szCs w:val="56"/>
        </w:rPr>
      </w:pPr>
      <w:r w:rsidRPr="00183294">
        <w:rPr>
          <w:rFonts w:cs="Arial"/>
          <w:color w:val="FFFFFF" w:themeColor="background1"/>
          <w:sz w:val="56"/>
          <w:szCs w:val="56"/>
        </w:rPr>
        <w:br w:type="page"/>
      </w:r>
    </w:p>
    <w:p w14:paraId="34D3C3D3" w14:textId="77777777" w:rsidR="00EB566A" w:rsidRDefault="00EB566A" w:rsidP="005A4781">
      <w:pPr>
        <w:pStyle w:val="BodytextHQSC"/>
        <w:sectPr w:rsidR="00EB566A" w:rsidSect="006B61D0">
          <w:footerReference w:type="default" r:id="rId9"/>
          <w:pgSz w:w="11906" w:h="16838"/>
          <w:pgMar w:top="1418" w:right="1418" w:bottom="1418" w:left="1418" w:header="709" w:footer="709" w:gutter="0"/>
          <w:cols w:space="708"/>
          <w:docGrid w:linePitch="360"/>
        </w:sectPr>
      </w:pPr>
    </w:p>
    <w:p w14:paraId="3A3F477D" w14:textId="4DF70B13" w:rsidR="00EB566A" w:rsidRDefault="00EB566A" w:rsidP="005A4781">
      <w:pPr>
        <w:pStyle w:val="BodytextHQSC"/>
      </w:pPr>
      <w:r w:rsidRPr="00EB566A">
        <w:lastRenderedPageBreak/>
        <w:t xml:space="preserve">Published </w:t>
      </w:r>
      <w:r w:rsidR="00B965F6">
        <w:t>September</w:t>
      </w:r>
      <w:r w:rsidRPr="00EB566A">
        <w:t xml:space="preserve"> 2026 by Health Quality &amp; Safety Commission Te Tāhū Hauora, PO Box 25496, Wellington, 6146. </w:t>
      </w:r>
    </w:p>
    <w:p w14:paraId="38FD57AF" w14:textId="0F47D7BC" w:rsidR="00195DD1" w:rsidRDefault="00EB566A" w:rsidP="005A4781">
      <w:pPr>
        <w:pStyle w:val="BodytextHQSC"/>
      </w:pPr>
      <w:r w:rsidRPr="00EB566A">
        <w:t xml:space="preserve">ISBN </w:t>
      </w:r>
      <w:r w:rsidR="006F7428" w:rsidRPr="001057BC">
        <w:rPr>
          <w:rFonts w:eastAsia="Arial" w:cstheme="minorHAnsi"/>
          <w:color w:val="000000"/>
        </w:rPr>
        <w:t>978-1-991122-50-6</w:t>
      </w:r>
    </w:p>
    <w:p w14:paraId="6BD1116F" w14:textId="7471F096" w:rsidR="00195DD1" w:rsidRDefault="00EB566A" w:rsidP="005A4781">
      <w:pPr>
        <w:pStyle w:val="BodytextHQSC"/>
      </w:pPr>
      <w:r w:rsidRPr="00EB566A">
        <w:t>Available online at</w:t>
      </w:r>
      <w:r w:rsidR="00BF0C53">
        <w:t>:</w:t>
      </w:r>
      <w:r w:rsidRPr="00EB566A">
        <w:t xml:space="preserve"> </w:t>
      </w:r>
      <w:hyperlink r:id="rId10" w:history="1">
        <w:r w:rsidR="00195DD1" w:rsidRPr="00E0599F">
          <w:rPr>
            <w:rStyle w:val="Hyperlink"/>
          </w:rPr>
          <w:t>www.hqsc.govt.nz</w:t>
        </w:r>
      </w:hyperlink>
      <w:r w:rsidRPr="00EB566A">
        <w:t xml:space="preserve"> </w:t>
      </w:r>
      <w:r w:rsidR="00195DD1">
        <w:br/>
      </w:r>
      <w:r w:rsidRPr="00EB566A">
        <w:t xml:space="preserve">Enquiries to: </w:t>
      </w:r>
      <w:hyperlink r:id="rId11" w:history="1">
        <w:r w:rsidR="00195DD1" w:rsidRPr="00E0599F">
          <w:rPr>
            <w:rStyle w:val="Hyperlink"/>
          </w:rPr>
          <w:t>info@hqsc.govt.nz</w:t>
        </w:r>
      </w:hyperlink>
      <w:r w:rsidRPr="00EB566A">
        <w:t xml:space="preserve"> </w:t>
      </w:r>
    </w:p>
    <w:p w14:paraId="503EA76B" w14:textId="57A47400" w:rsidR="00284CDD" w:rsidRDefault="00EB566A" w:rsidP="005A4781">
      <w:pPr>
        <w:pStyle w:val="BodytextHQSC"/>
      </w:pPr>
      <w:r w:rsidRPr="00EB566A">
        <w:t xml:space="preserve">This work is licensed under the Creative Commons </w:t>
      </w:r>
      <w:proofErr w:type="spellStart"/>
      <w:r w:rsidRPr="00EB566A">
        <w:t>AttributionNonCommercial-ShareAlike</w:t>
      </w:r>
      <w:proofErr w:type="spellEnd"/>
      <w:r w:rsidRPr="00EB566A">
        <w:t xml:space="preserve"> 4.0 International (CC BY-NC-SA 4.0). To view a copy of this licence, visit</w:t>
      </w:r>
      <w:r w:rsidR="00BF0C53">
        <w:t>:</w:t>
      </w:r>
      <w:r w:rsidRPr="00EB566A">
        <w:t xml:space="preserve"> </w:t>
      </w:r>
      <w:hyperlink r:id="rId12" w:history="1">
        <w:r w:rsidRPr="00195DD1">
          <w:rPr>
            <w:rStyle w:val="Hyperlink"/>
          </w:rPr>
          <w:t>https://creativecommons.org/licenses/by-nc-sa/4.0</w:t>
        </w:r>
      </w:hyperlink>
    </w:p>
    <w:p w14:paraId="6E605881" w14:textId="55CFDCF8" w:rsidR="00214067" w:rsidRDefault="00214067" w:rsidP="00214067">
      <w:pPr>
        <w:pStyle w:val="BodytextHQSC"/>
      </w:pPr>
      <w:r w:rsidRPr="00214067">
        <w:rPr>
          <w:noProof/>
        </w:rPr>
        <w:drawing>
          <wp:inline distT="0" distB="0" distL="0" distR="0" wp14:anchorId="03ABBC38" wp14:editId="252D39BE">
            <wp:extent cx="1062604" cy="372966"/>
            <wp:effectExtent l="0" t="0" r="4445" b="8255"/>
            <wp:docPr id="1048357522" name="Picture 2" descr="Creative Commons logo, with a grey background, a white circle with the letters CC in it on the left, then a smaller white circle with a stick person it in and the letters BY underneath, then a smaller white circle with a crossed-out dollar symbol on it and the letters NC underneath it, then a smaller white circle with a circular arrow in it and the letters SA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57522" name="Picture 2" descr="Creative Commons logo, with a grey background, a white circle with the letters CC in it on the left, then a smaller white circle with a stick person it in and the letters BY underneath, then a smaller white circle with a crossed-out dollar symbol on it and the letters NC underneath it, then a smaller white circle with a circular arrow in it and the letters SA underneath i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2232" cy="383365"/>
                    </a:xfrm>
                    <a:prstGeom prst="rect">
                      <a:avLst/>
                    </a:prstGeom>
                    <a:noFill/>
                    <a:ln>
                      <a:noFill/>
                    </a:ln>
                  </pic:spPr>
                </pic:pic>
              </a:graphicData>
            </a:graphic>
          </wp:inline>
        </w:drawing>
      </w:r>
    </w:p>
    <w:p w14:paraId="53748F71" w14:textId="694765EA" w:rsidR="00195DD1" w:rsidRDefault="008A2329" w:rsidP="005A4781">
      <w:pPr>
        <w:pStyle w:val="BodytextHQSC"/>
      </w:pPr>
      <w:r w:rsidRPr="008A2329">
        <w:rPr>
          <w:noProof/>
        </w:rPr>
        <w:drawing>
          <wp:inline distT="0" distB="0" distL="0" distR="0" wp14:anchorId="4F7F0AA4" wp14:editId="09F0C724">
            <wp:extent cx="2249373" cy="516835"/>
            <wp:effectExtent l="0" t="0" r="0" b="0"/>
            <wp:docPr id="1911896403" name="Picture 4" descr="The New Zealand Government logo is made up of the words New Zealand Government in bold, with Te Kāwanatanga o Aotearoa writte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96403" name="Picture 4" descr="The New Zealand Government logo is made up of the words New Zealand Government in bold, with Te Kāwanatanga o Aotearoa written beneat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8472" cy="535009"/>
                    </a:xfrm>
                    <a:prstGeom prst="rect">
                      <a:avLst/>
                    </a:prstGeom>
                    <a:noFill/>
                    <a:ln>
                      <a:noFill/>
                    </a:ln>
                  </pic:spPr>
                </pic:pic>
              </a:graphicData>
            </a:graphic>
          </wp:inline>
        </w:drawing>
      </w:r>
    </w:p>
    <w:p w14:paraId="0646EE67" w14:textId="271500EB" w:rsidR="00195DD1" w:rsidRPr="00183294" w:rsidRDefault="00195DD1" w:rsidP="005A4781">
      <w:pPr>
        <w:pStyle w:val="BodytextHQSC"/>
        <w:sectPr w:rsidR="00195DD1" w:rsidRPr="00183294" w:rsidSect="004A6944">
          <w:pgSz w:w="11906" w:h="16838"/>
          <w:pgMar w:top="10065" w:right="1418" w:bottom="1418" w:left="1418" w:header="709" w:footer="709" w:gutter="0"/>
          <w:cols w:space="708"/>
          <w:docGrid w:linePitch="360"/>
        </w:sectPr>
      </w:pPr>
    </w:p>
    <w:bookmarkStart w:id="0" w:name="_Toc237508321" w:displacedByCustomXml="next"/>
    <w:sdt>
      <w:sdtPr>
        <w:rPr>
          <w:rFonts w:eastAsiaTheme="minorEastAsia" w:cs="Arial"/>
          <w:b w:val="0"/>
          <w:color w:val="auto"/>
          <w:sz w:val="22"/>
          <w:szCs w:val="22"/>
        </w:rPr>
        <w:id w:val="-344779145"/>
        <w:docPartObj>
          <w:docPartGallery w:val="Table of Contents"/>
          <w:docPartUnique/>
        </w:docPartObj>
      </w:sdtPr>
      <w:sdtEndPr>
        <w:rPr>
          <w:noProof/>
        </w:rPr>
      </w:sdtEndPr>
      <w:sdtContent>
        <w:p w14:paraId="6A752F45" w14:textId="6B7CCA2D" w:rsidR="00141381" w:rsidRPr="00296176" w:rsidRDefault="0064198B" w:rsidP="004A6944">
          <w:pPr>
            <w:pStyle w:val="TOCHeading"/>
            <w:rPr>
              <w:rFonts w:asciiTheme="minorHAnsi" w:eastAsiaTheme="minorEastAsia" w:hAnsiTheme="minorHAnsi"/>
              <w:noProof/>
              <w:kern w:val="2"/>
              <w:sz w:val="24"/>
              <w:szCs w:val="24"/>
              <w:lang w:eastAsia="en-NZ"/>
              <w14:ligatures w14:val="standardContextual"/>
            </w:rPr>
          </w:pPr>
          <w:r w:rsidRPr="00183294">
            <w:rPr>
              <w:rFonts w:cs="Arial"/>
            </w:rPr>
            <w:t>Contents</w:t>
          </w:r>
          <w:bookmarkEnd w:id="0"/>
          <w:r w:rsidRPr="00183294">
            <w:rPr>
              <w:rFonts w:cs="Arial"/>
            </w:rPr>
            <w:fldChar w:fldCharType="begin"/>
          </w:r>
          <w:r w:rsidRPr="00183294">
            <w:rPr>
              <w:rFonts w:cs="Arial"/>
            </w:rPr>
            <w:instrText xml:space="preserve"> TOC \o "1-3" \h \z \u </w:instrText>
          </w:r>
          <w:r w:rsidRPr="00183294">
            <w:rPr>
              <w:rFonts w:cs="Arial"/>
            </w:rPr>
            <w:fldChar w:fldCharType="separate"/>
          </w:r>
        </w:p>
        <w:p w14:paraId="2CA34C60" w14:textId="264F47D0" w:rsidR="00141381" w:rsidRPr="00296176" w:rsidRDefault="00141381">
          <w:pPr>
            <w:pStyle w:val="TOC3"/>
            <w:rPr>
              <w:rFonts w:asciiTheme="minorHAnsi" w:eastAsiaTheme="minorEastAsia" w:hAnsiTheme="minorHAnsi"/>
              <w:noProof/>
              <w:kern w:val="2"/>
              <w:sz w:val="24"/>
              <w:szCs w:val="24"/>
              <w:lang w:eastAsia="en-NZ"/>
              <w14:ligatures w14:val="standardContextual"/>
            </w:rPr>
          </w:pPr>
          <w:hyperlink w:anchor="_Toc237508322" w:history="1">
            <w:r w:rsidRPr="00296176">
              <w:rPr>
                <w:rStyle w:val="Hyperlink"/>
                <w:rFonts w:cs="Arial"/>
                <w:noProof/>
              </w:rPr>
              <w:t>General points</w:t>
            </w:r>
            <w:r w:rsidRPr="00296176">
              <w:rPr>
                <w:noProof/>
                <w:webHidden/>
              </w:rPr>
              <w:tab/>
            </w:r>
            <w:r w:rsidRPr="00296176">
              <w:rPr>
                <w:noProof/>
                <w:webHidden/>
              </w:rPr>
              <w:fldChar w:fldCharType="begin"/>
            </w:r>
            <w:r w:rsidRPr="00296176">
              <w:rPr>
                <w:noProof/>
                <w:webHidden/>
              </w:rPr>
              <w:instrText xml:space="preserve"> PAGEREF _Toc237508322 \h </w:instrText>
            </w:r>
            <w:r w:rsidRPr="00296176">
              <w:rPr>
                <w:noProof/>
                <w:webHidden/>
              </w:rPr>
            </w:r>
            <w:r w:rsidRPr="00296176">
              <w:rPr>
                <w:noProof/>
                <w:webHidden/>
              </w:rPr>
              <w:fldChar w:fldCharType="separate"/>
            </w:r>
            <w:r w:rsidR="00296176">
              <w:rPr>
                <w:noProof/>
                <w:webHidden/>
              </w:rPr>
              <w:t>3</w:t>
            </w:r>
            <w:r w:rsidRPr="00296176">
              <w:rPr>
                <w:noProof/>
                <w:webHidden/>
              </w:rPr>
              <w:fldChar w:fldCharType="end"/>
            </w:r>
          </w:hyperlink>
        </w:p>
        <w:p w14:paraId="0FB5BE58" w14:textId="4A82C0E4" w:rsidR="00141381" w:rsidRPr="00296176" w:rsidRDefault="00141381">
          <w:pPr>
            <w:pStyle w:val="TOC3"/>
            <w:rPr>
              <w:rFonts w:asciiTheme="minorHAnsi" w:eastAsiaTheme="minorEastAsia" w:hAnsiTheme="minorHAnsi"/>
              <w:noProof/>
              <w:kern w:val="2"/>
              <w:sz w:val="24"/>
              <w:szCs w:val="24"/>
              <w:lang w:eastAsia="en-NZ"/>
              <w14:ligatures w14:val="standardContextual"/>
            </w:rPr>
          </w:pPr>
          <w:hyperlink w:anchor="_Toc237508323" w:history="1">
            <w:r w:rsidRPr="00296176">
              <w:rPr>
                <w:rStyle w:val="Hyperlink"/>
                <w:noProof/>
              </w:rPr>
              <w:t>Exclusions</w:t>
            </w:r>
            <w:r w:rsidRPr="00296176">
              <w:rPr>
                <w:noProof/>
                <w:webHidden/>
              </w:rPr>
              <w:tab/>
            </w:r>
            <w:r w:rsidRPr="00296176">
              <w:rPr>
                <w:noProof/>
                <w:webHidden/>
              </w:rPr>
              <w:fldChar w:fldCharType="begin"/>
            </w:r>
            <w:r w:rsidRPr="00296176">
              <w:rPr>
                <w:noProof/>
                <w:webHidden/>
              </w:rPr>
              <w:instrText xml:space="preserve"> PAGEREF _Toc237508323 \h </w:instrText>
            </w:r>
            <w:r w:rsidRPr="00296176">
              <w:rPr>
                <w:noProof/>
                <w:webHidden/>
              </w:rPr>
            </w:r>
            <w:r w:rsidRPr="00296176">
              <w:rPr>
                <w:noProof/>
                <w:webHidden/>
              </w:rPr>
              <w:fldChar w:fldCharType="separate"/>
            </w:r>
            <w:r w:rsidR="00296176">
              <w:rPr>
                <w:noProof/>
                <w:webHidden/>
              </w:rPr>
              <w:t>4</w:t>
            </w:r>
            <w:r w:rsidRPr="00296176">
              <w:rPr>
                <w:noProof/>
                <w:webHidden/>
              </w:rPr>
              <w:fldChar w:fldCharType="end"/>
            </w:r>
          </w:hyperlink>
        </w:p>
        <w:p w14:paraId="4A53E3AD" w14:textId="152ECBDD" w:rsidR="00141381" w:rsidRPr="00296176" w:rsidRDefault="00141381">
          <w:pPr>
            <w:pStyle w:val="TOC3"/>
            <w:rPr>
              <w:rFonts w:asciiTheme="minorHAnsi" w:eastAsiaTheme="minorEastAsia" w:hAnsiTheme="minorHAnsi"/>
              <w:noProof/>
              <w:kern w:val="2"/>
              <w:sz w:val="24"/>
              <w:szCs w:val="24"/>
              <w:lang w:eastAsia="en-NZ"/>
              <w14:ligatures w14:val="standardContextual"/>
            </w:rPr>
          </w:pPr>
          <w:hyperlink w:anchor="_Toc237508324" w:history="1">
            <w:r w:rsidRPr="00296176">
              <w:rPr>
                <w:rStyle w:val="Hyperlink"/>
                <w:noProof/>
              </w:rPr>
              <w:t>People estimated to have gout but not enrolled in a PHO</w:t>
            </w:r>
            <w:r w:rsidRPr="00296176">
              <w:rPr>
                <w:noProof/>
                <w:webHidden/>
              </w:rPr>
              <w:tab/>
            </w:r>
            <w:r w:rsidRPr="00296176">
              <w:rPr>
                <w:noProof/>
                <w:webHidden/>
              </w:rPr>
              <w:fldChar w:fldCharType="begin"/>
            </w:r>
            <w:r w:rsidRPr="00296176">
              <w:rPr>
                <w:noProof/>
                <w:webHidden/>
              </w:rPr>
              <w:instrText xml:space="preserve"> PAGEREF _Toc237508324 \h </w:instrText>
            </w:r>
            <w:r w:rsidRPr="00296176">
              <w:rPr>
                <w:noProof/>
                <w:webHidden/>
              </w:rPr>
            </w:r>
            <w:r w:rsidRPr="00296176">
              <w:rPr>
                <w:noProof/>
                <w:webHidden/>
              </w:rPr>
              <w:fldChar w:fldCharType="separate"/>
            </w:r>
            <w:r w:rsidR="00296176">
              <w:rPr>
                <w:noProof/>
                <w:webHidden/>
              </w:rPr>
              <w:t>4</w:t>
            </w:r>
            <w:r w:rsidRPr="00296176">
              <w:rPr>
                <w:noProof/>
                <w:webHidden/>
              </w:rPr>
              <w:fldChar w:fldCharType="end"/>
            </w:r>
          </w:hyperlink>
        </w:p>
        <w:p w14:paraId="0F52360C" w14:textId="3F4F9961" w:rsidR="00141381" w:rsidRPr="00296176" w:rsidRDefault="00141381">
          <w:pPr>
            <w:pStyle w:val="TOC3"/>
            <w:rPr>
              <w:rFonts w:asciiTheme="minorHAnsi" w:eastAsiaTheme="minorEastAsia" w:hAnsiTheme="minorHAnsi"/>
              <w:noProof/>
              <w:kern w:val="2"/>
              <w:sz w:val="24"/>
              <w:szCs w:val="24"/>
              <w:lang w:eastAsia="en-NZ"/>
              <w14:ligatures w14:val="standardContextual"/>
            </w:rPr>
          </w:pPr>
          <w:hyperlink w:anchor="_Toc237508325" w:history="1">
            <w:r w:rsidRPr="00296176">
              <w:rPr>
                <w:rStyle w:val="Hyperlink"/>
                <w:noProof/>
              </w:rPr>
              <w:t>Acknowledgements</w:t>
            </w:r>
            <w:r w:rsidRPr="00296176">
              <w:rPr>
                <w:noProof/>
                <w:webHidden/>
              </w:rPr>
              <w:tab/>
            </w:r>
            <w:r w:rsidRPr="00296176">
              <w:rPr>
                <w:noProof/>
                <w:webHidden/>
              </w:rPr>
              <w:fldChar w:fldCharType="begin"/>
            </w:r>
            <w:r w:rsidRPr="00296176">
              <w:rPr>
                <w:noProof/>
                <w:webHidden/>
              </w:rPr>
              <w:instrText xml:space="preserve"> PAGEREF _Toc237508325 \h </w:instrText>
            </w:r>
            <w:r w:rsidRPr="00296176">
              <w:rPr>
                <w:noProof/>
                <w:webHidden/>
              </w:rPr>
            </w:r>
            <w:r w:rsidRPr="00296176">
              <w:rPr>
                <w:noProof/>
                <w:webHidden/>
              </w:rPr>
              <w:fldChar w:fldCharType="separate"/>
            </w:r>
            <w:r w:rsidR="00296176">
              <w:rPr>
                <w:noProof/>
                <w:webHidden/>
              </w:rPr>
              <w:t>5</w:t>
            </w:r>
            <w:r w:rsidRPr="00296176">
              <w:rPr>
                <w:noProof/>
                <w:webHidden/>
              </w:rPr>
              <w:fldChar w:fldCharType="end"/>
            </w:r>
          </w:hyperlink>
        </w:p>
        <w:p w14:paraId="5FF027CD" w14:textId="6BBBEBA3" w:rsidR="00141381" w:rsidRPr="00296176" w:rsidRDefault="00141381">
          <w:pPr>
            <w:pStyle w:val="TOC3"/>
            <w:rPr>
              <w:rFonts w:asciiTheme="minorHAnsi" w:eastAsiaTheme="minorEastAsia" w:hAnsiTheme="minorHAnsi"/>
              <w:noProof/>
              <w:kern w:val="2"/>
              <w:sz w:val="24"/>
              <w:szCs w:val="24"/>
              <w:lang w:eastAsia="en-NZ"/>
              <w14:ligatures w14:val="standardContextual"/>
            </w:rPr>
          </w:pPr>
          <w:hyperlink w:anchor="_Toc237508326" w:history="1">
            <w:r w:rsidRPr="00296176">
              <w:rPr>
                <w:rStyle w:val="Hyperlink"/>
                <w:noProof/>
              </w:rPr>
              <w:t>Disclaimer</w:t>
            </w:r>
            <w:r w:rsidRPr="00296176">
              <w:rPr>
                <w:noProof/>
                <w:webHidden/>
              </w:rPr>
              <w:tab/>
            </w:r>
            <w:r w:rsidRPr="00296176">
              <w:rPr>
                <w:noProof/>
                <w:webHidden/>
              </w:rPr>
              <w:fldChar w:fldCharType="begin"/>
            </w:r>
            <w:r w:rsidRPr="00296176">
              <w:rPr>
                <w:noProof/>
                <w:webHidden/>
              </w:rPr>
              <w:instrText xml:space="preserve"> PAGEREF _Toc237508326 \h </w:instrText>
            </w:r>
            <w:r w:rsidRPr="00296176">
              <w:rPr>
                <w:noProof/>
                <w:webHidden/>
              </w:rPr>
            </w:r>
            <w:r w:rsidRPr="00296176">
              <w:rPr>
                <w:noProof/>
                <w:webHidden/>
              </w:rPr>
              <w:fldChar w:fldCharType="separate"/>
            </w:r>
            <w:r w:rsidR="00296176">
              <w:rPr>
                <w:noProof/>
                <w:webHidden/>
              </w:rPr>
              <w:t>5</w:t>
            </w:r>
            <w:r w:rsidRPr="00296176">
              <w:rPr>
                <w:noProof/>
                <w:webHidden/>
              </w:rPr>
              <w:fldChar w:fldCharType="end"/>
            </w:r>
          </w:hyperlink>
        </w:p>
        <w:p w14:paraId="1B33BB37" w14:textId="234BBE68" w:rsidR="00141381" w:rsidRPr="00296176" w:rsidRDefault="00141381">
          <w:pPr>
            <w:pStyle w:val="TOC3"/>
            <w:rPr>
              <w:rFonts w:asciiTheme="minorHAnsi" w:eastAsiaTheme="minorEastAsia" w:hAnsiTheme="minorHAnsi"/>
              <w:noProof/>
              <w:kern w:val="2"/>
              <w:sz w:val="24"/>
              <w:szCs w:val="24"/>
              <w:lang w:eastAsia="en-NZ"/>
              <w14:ligatures w14:val="standardContextual"/>
            </w:rPr>
          </w:pPr>
          <w:hyperlink w:anchor="_Toc237508327" w:history="1">
            <w:r w:rsidRPr="00296176">
              <w:rPr>
                <w:rStyle w:val="Hyperlink"/>
                <w:noProof/>
              </w:rPr>
              <w:t>Data sources</w:t>
            </w:r>
            <w:r w:rsidRPr="00296176">
              <w:rPr>
                <w:noProof/>
                <w:webHidden/>
              </w:rPr>
              <w:tab/>
            </w:r>
            <w:r w:rsidRPr="00296176">
              <w:rPr>
                <w:noProof/>
                <w:webHidden/>
              </w:rPr>
              <w:fldChar w:fldCharType="begin"/>
            </w:r>
            <w:r w:rsidRPr="00296176">
              <w:rPr>
                <w:noProof/>
                <w:webHidden/>
              </w:rPr>
              <w:instrText xml:space="preserve"> PAGEREF _Toc237508327 \h </w:instrText>
            </w:r>
            <w:r w:rsidRPr="00296176">
              <w:rPr>
                <w:noProof/>
                <w:webHidden/>
              </w:rPr>
            </w:r>
            <w:r w:rsidRPr="00296176">
              <w:rPr>
                <w:noProof/>
                <w:webHidden/>
              </w:rPr>
              <w:fldChar w:fldCharType="separate"/>
            </w:r>
            <w:r w:rsidR="00296176">
              <w:rPr>
                <w:noProof/>
                <w:webHidden/>
              </w:rPr>
              <w:t>5</w:t>
            </w:r>
            <w:r w:rsidRPr="00296176">
              <w:rPr>
                <w:noProof/>
                <w:webHidden/>
              </w:rPr>
              <w:fldChar w:fldCharType="end"/>
            </w:r>
          </w:hyperlink>
        </w:p>
        <w:p w14:paraId="2AA1FB5B" w14:textId="2BD46EBA" w:rsidR="00141381" w:rsidRDefault="00141381">
          <w:pPr>
            <w:pStyle w:val="TOC3"/>
            <w:rPr>
              <w:rFonts w:asciiTheme="minorHAnsi" w:eastAsiaTheme="minorEastAsia" w:hAnsiTheme="minorHAnsi"/>
              <w:noProof/>
              <w:kern w:val="2"/>
              <w:sz w:val="24"/>
              <w:szCs w:val="24"/>
              <w:lang w:eastAsia="en-NZ"/>
              <w14:ligatures w14:val="standardContextual"/>
            </w:rPr>
          </w:pPr>
          <w:hyperlink w:anchor="_Toc237508328" w:history="1">
            <w:r w:rsidRPr="00296176">
              <w:rPr>
                <w:rStyle w:val="Hyperlink"/>
                <w:noProof/>
              </w:rPr>
              <w:t>Confidence intervals</w:t>
            </w:r>
            <w:r w:rsidRPr="00296176">
              <w:rPr>
                <w:noProof/>
                <w:webHidden/>
              </w:rPr>
              <w:tab/>
            </w:r>
            <w:r w:rsidRPr="00296176">
              <w:rPr>
                <w:noProof/>
                <w:webHidden/>
              </w:rPr>
              <w:fldChar w:fldCharType="begin"/>
            </w:r>
            <w:r w:rsidRPr="00296176">
              <w:rPr>
                <w:noProof/>
                <w:webHidden/>
              </w:rPr>
              <w:instrText xml:space="preserve"> PAGEREF _Toc237508328 \h </w:instrText>
            </w:r>
            <w:r w:rsidRPr="00296176">
              <w:rPr>
                <w:noProof/>
                <w:webHidden/>
              </w:rPr>
            </w:r>
            <w:r w:rsidRPr="00296176">
              <w:rPr>
                <w:noProof/>
                <w:webHidden/>
              </w:rPr>
              <w:fldChar w:fldCharType="separate"/>
            </w:r>
            <w:r w:rsidR="00296176">
              <w:rPr>
                <w:noProof/>
                <w:webHidden/>
              </w:rPr>
              <w:t>5</w:t>
            </w:r>
            <w:r w:rsidRPr="00296176">
              <w:rPr>
                <w:noProof/>
                <w:webHidden/>
              </w:rPr>
              <w:fldChar w:fldCharType="end"/>
            </w:r>
          </w:hyperlink>
        </w:p>
        <w:p w14:paraId="2334ABC0" w14:textId="0FA8B256"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29" w:history="1">
            <w:r w:rsidRPr="00001972">
              <w:rPr>
                <w:rStyle w:val="Hyperlink"/>
                <w:noProof/>
              </w:rPr>
              <w:t>1.</w:t>
            </w:r>
            <w:r>
              <w:rPr>
                <w:rFonts w:asciiTheme="minorHAnsi" w:eastAsiaTheme="minorEastAsia" w:hAnsiTheme="minorHAnsi"/>
                <w:noProof/>
                <w:kern w:val="2"/>
                <w:sz w:val="24"/>
                <w:szCs w:val="24"/>
                <w:lang w:eastAsia="en-NZ"/>
                <w14:ligatures w14:val="standardContextual"/>
              </w:rPr>
              <w:tab/>
            </w:r>
            <w:r w:rsidRPr="00001972">
              <w:rPr>
                <w:rStyle w:val="Hyperlink"/>
                <w:noProof/>
              </w:rPr>
              <w:t>PHO-enrolled population aged 20 years or over estimated to have gout, percent</w:t>
            </w:r>
            <w:r>
              <w:rPr>
                <w:noProof/>
                <w:webHidden/>
              </w:rPr>
              <w:tab/>
            </w:r>
            <w:r>
              <w:rPr>
                <w:noProof/>
                <w:webHidden/>
              </w:rPr>
              <w:fldChar w:fldCharType="begin"/>
            </w:r>
            <w:r>
              <w:rPr>
                <w:noProof/>
                <w:webHidden/>
              </w:rPr>
              <w:instrText xml:space="preserve"> PAGEREF _Toc237508329 \h </w:instrText>
            </w:r>
            <w:r>
              <w:rPr>
                <w:noProof/>
                <w:webHidden/>
              </w:rPr>
            </w:r>
            <w:r>
              <w:rPr>
                <w:noProof/>
                <w:webHidden/>
              </w:rPr>
              <w:fldChar w:fldCharType="separate"/>
            </w:r>
            <w:r w:rsidR="00296176">
              <w:rPr>
                <w:noProof/>
                <w:webHidden/>
              </w:rPr>
              <w:t>6</w:t>
            </w:r>
            <w:r>
              <w:rPr>
                <w:noProof/>
                <w:webHidden/>
              </w:rPr>
              <w:fldChar w:fldCharType="end"/>
            </w:r>
          </w:hyperlink>
        </w:p>
        <w:p w14:paraId="36ADA87C" w14:textId="55CE3BC6"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0" w:history="1">
            <w:r w:rsidRPr="00001972">
              <w:rPr>
                <w:rStyle w:val="Hyperlink"/>
                <w:noProof/>
              </w:rPr>
              <w:t>2.</w:t>
            </w:r>
            <w:r>
              <w:rPr>
                <w:rFonts w:asciiTheme="minorHAnsi" w:eastAsiaTheme="minorEastAsia" w:hAnsiTheme="minorHAnsi"/>
                <w:noProof/>
                <w:kern w:val="2"/>
                <w:sz w:val="24"/>
                <w:szCs w:val="24"/>
                <w:lang w:eastAsia="en-NZ"/>
                <w14:ligatures w14:val="standardContextual"/>
              </w:rPr>
              <w:tab/>
            </w:r>
            <w:r w:rsidRPr="00001972">
              <w:rPr>
                <w:rStyle w:val="Hyperlink"/>
                <w:noProof/>
              </w:rPr>
              <w:t>People with estimated gout who received urate-lowering therapy at least once in a year, percent</w:t>
            </w:r>
            <w:r>
              <w:rPr>
                <w:noProof/>
                <w:webHidden/>
              </w:rPr>
              <w:tab/>
            </w:r>
            <w:r>
              <w:rPr>
                <w:noProof/>
                <w:webHidden/>
              </w:rPr>
              <w:fldChar w:fldCharType="begin"/>
            </w:r>
            <w:r>
              <w:rPr>
                <w:noProof/>
                <w:webHidden/>
              </w:rPr>
              <w:instrText xml:space="preserve"> PAGEREF _Toc237508330 \h </w:instrText>
            </w:r>
            <w:r>
              <w:rPr>
                <w:noProof/>
                <w:webHidden/>
              </w:rPr>
            </w:r>
            <w:r>
              <w:rPr>
                <w:noProof/>
                <w:webHidden/>
              </w:rPr>
              <w:fldChar w:fldCharType="separate"/>
            </w:r>
            <w:r w:rsidR="00296176">
              <w:rPr>
                <w:noProof/>
                <w:webHidden/>
              </w:rPr>
              <w:t>8</w:t>
            </w:r>
            <w:r>
              <w:rPr>
                <w:noProof/>
                <w:webHidden/>
              </w:rPr>
              <w:fldChar w:fldCharType="end"/>
            </w:r>
          </w:hyperlink>
        </w:p>
        <w:p w14:paraId="3F257EAE" w14:textId="63D7ED0D"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1" w:history="1">
            <w:r w:rsidRPr="00001972">
              <w:rPr>
                <w:rStyle w:val="Hyperlink"/>
                <w:noProof/>
              </w:rPr>
              <w:t>3.</w:t>
            </w:r>
            <w:r>
              <w:rPr>
                <w:rFonts w:asciiTheme="minorHAnsi" w:eastAsiaTheme="minorEastAsia" w:hAnsiTheme="minorHAnsi"/>
                <w:noProof/>
                <w:kern w:val="2"/>
                <w:sz w:val="24"/>
                <w:szCs w:val="24"/>
                <w:lang w:eastAsia="en-NZ"/>
                <w14:ligatures w14:val="standardContextual"/>
              </w:rPr>
              <w:tab/>
            </w:r>
            <w:r w:rsidRPr="00001972">
              <w:rPr>
                <w:rStyle w:val="Hyperlink"/>
                <w:noProof/>
              </w:rPr>
              <w:t>People with estimated gout who regularly received urate-lowering therapy, percent</w:t>
            </w:r>
            <w:r>
              <w:rPr>
                <w:noProof/>
                <w:webHidden/>
              </w:rPr>
              <w:tab/>
            </w:r>
            <w:r>
              <w:rPr>
                <w:noProof/>
                <w:webHidden/>
              </w:rPr>
              <w:fldChar w:fldCharType="begin"/>
            </w:r>
            <w:r>
              <w:rPr>
                <w:noProof/>
                <w:webHidden/>
              </w:rPr>
              <w:instrText xml:space="preserve"> PAGEREF _Toc237508331 \h </w:instrText>
            </w:r>
            <w:r>
              <w:rPr>
                <w:noProof/>
                <w:webHidden/>
              </w:rPr>
            </w:r>
            <w:r>
              <w:rPr>
                <w:noProof/>
                <w:webHidden/>
              </w:rPr>
              <w:fldChar w:fldCharType="separate"/>
            </w:r>
            <w:r w:rsidR="00296176">
              <w:rPr>
                <w:noProof/>
                <w:webHidden/>
              </w:rPr>
              <w:t>9</w:t>
            </w:r>
            <w:r>
              <w:rPr>
                <w:noProof/>
                <w:webHidden/>
              </w:rPr>
              <w:fldChar w:fldCharType="end"/>
            </w:r>
          </w:hyperlink>
        </w:p>
        <w:p w14:paraId="1C79A6B0" w14:textId="6DADE88E"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2" w:history="1">
            <w:r w:rsidRPr="00001972">
              <w:rPr>
                <w:rStyle w:val="Hyperlink"/>
                <w:noProof/>
              </w:rPr>
              <w:t>4.</w:t>
            </w:r>
            <w:r>
              <w:rPr>
                <w:rFonts w:asciiTheme="minorHAnsi" w:eastAsiaTheme="minorEastAsia" w:hAnsiTheme="minorHAnsi"/>
                <w:noProof/>
                <w:kern w:val="2"/>
                <w:sz w:val="24"/>
                <w:szCs w:val="24"/>
                <w:lang w:eastAsia="en-NZ"/>
                <w14:ligatures w14:val="standardContextual"/>
              </w:rPr>
              <w:tab/>
            </w:r>
            <w:r w:rsidRPr="00001972">
              <w:rPr>
                <w:rStyle w:val="Hyperlink"/>
                <w:noProof/>
              </w:rPr>
              <w:t>People with estimated gout dispensed funded non-steroidal anti-inflammatory drugs (NSAIDs), percent</w:t>
            </w:r>
            <w:r>
              <w:rPr>
                <w:noProof/>
                <w:webHidden/>
              </w:rPr>
              <w:tab/>
            </w:r>
            <w:r>
              <w:rPr>
                <w:noProof/>
                <w:webHidden/>
              </w:rPr>
              <w:fldChar w:fldCharType="begin"/>
            </w:r>
            <w:r>
              <w:rPr>
                <w:noProof/>
                <w:webHidden/>
              </w:rPr>
              <w:instrText xml:space="preserve"> PAGEREF _Toc237508332 \h </w:instrText>
            </w:r>
            <w:r>
              <w:rPr>
                <w:noProof/>
                <w:webHidden/>
              </w:rPr>
            </w:r>
            <w:r>
              <w:rPr>
                <w:noProof/>
                <w:webHidden/>
              </w:rPr>
              <w:fldChar w:fldCharType="separate"/>
            </w:r>
            <w:r w:rsidR="00296176">
              <w:rPr>
                <w:noProof/>
                <w:webHidden/>
              </w:rPr>
              <w:t>11</w:t>
            </w:r>
            <w:r>
              <w:rPr>
                <w:noProof/>
                <w:webHidden/>
              </w:rPr>
              <w:fldChar w:fldCharType="end"/>
            </w:r>
          </w:hyperlink>
        </w:p>
        <w:p w14:paraId="01FC80BD" w14:textId="43BF91D0"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3" w:history="1">
            <w:r w:rsidRPr="00001972">
              <w:rPr>
                <w:rStyle w:val="Hyperlink"/>
                <w:noProof/>
              </w:rPr>
              <w:t>5.</w:t>
            </w:r>
            <w:r>
              <w:rPr>
                <w:rFonts w:asciiTheme="minorHAnsi" w:eastAsiaTheme="minorEastAsia" w:hAnsiTheme="minorHAnsi"/>
                <w:noProof/>
                <w:kern w:val="2"/>
                <w:sz w:val="24"/>
                <w:szCs w:val="24"/>
                <w:lang w:eastAsia="en-NZ"/>
                <w14:ligatures w14:val="standardContextual"/>
              </w:rPr>
              <w:tab/>
            </w:r>
            <w:r w:rsidRPr="00001972">
              <w:rPr>
                <w:rStyle w:val="Hyperlink"/>
                <w:noProof/>
              </w:rPr>
              <w:t>People with estimated gout who were dispensed funded NSAIDs but not dispensed urate-lowering therapy, percent</w:t>
            </w:r>
            <w:r>
              <w:rPr>
                <w:noProof/>
                <w:webHidden/>
              </w:rPr>
              <w:tab/>
            </w:r>
            <w:r>
              <w:rPr>
                <w:noProof/>
                <w:webHidden/>
              </w:rPr>
              <w:fldChar w:fldCharType="begin"/>
            </w:r>
            <w:r>
              <w:rPr>
                <w:noProof/>
                <w:webHidden/>
              </w:rPr>
              <w:instrText xml:space="preserve"> PAGEREF _Toc237508333 \h </w:instrText>
            </w:r>
            <w:r>
              <w:rPr>
                <w:noProof/>
                <w:webHidden/>
              </w:rPr>
            </w:r>
            <w:r>
              <w:rPr>
                <w:noProof/>
                <w:webHidden/>
              </w:rPr>
              <w:fldChar w:fldCharType="separate"/>
            </w:r>
            <w:r w:rsidR="00296176">
              <w:rPr>
                <w:noProof/>
                <w:webHidden/>
              </w:rPr>
              <w:t>12</w:t>
            </w:r>
            <w:r>
              <w:rPr>
                <w:noProof/>
                <w:webHidden/>
              </w:rPr>
              <w:fldChar w:fldCharType="end"/>
            </w:r>
          </w:hyperlink>
        </w:p>
        <w:p w14:paraId="4EE37B1F" w14:textId="2749A6B7"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4" w:history="1">
            <w:r w:rsidRPr="00001972">
              <w:rPr>
                <w:rStyle w:val="Hyperlink"/>
                <w:noProof/>
              </w:rPr>
              <w:t>6.</w:t>
            </w:r>
            <w:r>
              <w:rPr>
                <w:rFonts w:asciiTheme="minorHAnsi" w:eastAsiaTheme="minorEastAsia" w:hAnsiTheme="minorHAnsi"/>
                <w:noProof/>
                <w:kern w:val="2"/>
                <w:sz w:val="24"/>
                <w:szCs w:val="24"/>
                <w:lang w:eastAsia="en-NZ"/>
                <w14:ligatures w14:val="standardContextual"/>
              </w:rPr>
              <w:tab/>
            </w:r>
            <w:r w:rsidRPr="00001972">
              <w:rPr>
                <w:rStyle w:val="Hyperlink"/>
                <w:noProof/>
              </w:rPr>
              <w:t>People with estimated gout dispensed any of colchicine, prednisone or funded NSAIDs in a year, percent</w:t>
            </w:r>
            <w:r>
              <w:rPr>
                <w:noProof/>
                <w:webHidden/>
              </w:rPr>
              <w:tab/>
            </w:r>
            <w:r>
              <w:rPr>
                <w:noProof/>
                <w:webHidden/>
              </w:rPr>
              <w:fldChar w:fldCharType="begin"/>
            </w:r>
            <w:r>
              <w:rPr>
                <w:noProof/>
                <w:webHidden/>
              </w:rPr>
              <w:instrText xml:space="preserve"> PAGEREF _Toc237508334 \h </w:instrText>
            </w:r>
            <w:r>
              <w:rPr>
                <w:noProof/>
                <w:webHidden/>
              </w:rPr>
            </w:r>
            <w:r>
              <w:rPr>
                <w:noProof/>
                <w:webHidden/>
              </w:rPr>
              <w:fldChar w:fldCharType="separate"/>
            </w:r>
            <w:r w:rsidR="00296176">
              <w:rPr>
                <w:noProof/>
                <w:webHidden/>
              </w:rPr>
              <w:t>13</w:t>
            </w:r>
            <w:r>
              <w:rPr>
                <w:noProof/>
                <w:webHidden/>
              </w:rPr>
              <w:fldChar w:fldCharType="end"/>
            </w:r>
          </w:hyperlink>
        </w:p>
        <w:p w14:paraId="07F73167" w14:textId="4F8D7F44"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5" w:history="1">
            <w:r w:rsidRPr="00001972">
              <w:rPr>
                <w:rStyle w:val="Hyperlink"/>
                <w:noProof/>
              </w:rPr>
              <w:t>7.</w:t>
            </w:r>
            <w:r>
              <w:rPr>
                <w:rFonts w:asciiTheme="minorHAnsi" w:eastAsiaTheme="minorEastAsia" w:hAnsiTheme="minorHAnsi"/>
                <w:noProof/>
                <w:kern w:val="2"/>
                <w:sz w:val="24"/>
                <w:szCs w:val="24"/>
                <w:lang w:eastAsia="en-NZ"/>
                <w14:ligatures w14:val="standardContextual"/>
              </w:rPr>
              <w:tab/>
            </w:r>
            <w:r w:rsidRPr="00001972">
              <w:rPr>
                <w:rStyle w:val="Hyperlink"/>
                <w:noProof/>
              </w:rPr>
              <w:t>People with estimated gout dispensed any of colchicine, prednisone or funded NSAIDs but not urate-lowering therapy in a year, percent</w:t>
            </w:r>
            <w:r>
              <w:rPr>
                <w:noProof/>
                <w:webHidden/>
              </w:rPr>
              <w:tab/>
            </w:r>
            <w:r>
              <w:rPr>
                <w:noProof/>
                <w:webHidden/>
              </w:rPr>
              <w:fldChar w:fldCharType="begin"/>
            </w:r>
            <w:r>
              <w:rPr>
                <w:noProof/>
                <w:webHidden/>
              </w:rPr>
              <w:instrText xml:space="preserve"> PAGEREF _Toc237508335 \h </w:instrText>
            </w:r>
            <w:r>
              <w:rPr>
                <w:noProof/>
                <w:webHidden/>
              </w:rPr>
            </w:r>
            <w:r>
              <w:rPr>
                <w:noProof/>
                <w:webHidden/>
              </w:rPr>
              <w:fldChar w:fldCharType="separate"/>
            </w:r>
            <w:r w:rsidR="00296176">
              <w:rPr>
                <w:noProof/>
                <w:webHidden/>
              </w:rPr>
              <w:t>14</w:t>
            </w:r>
            <w:r>
              <w:rPr>
                <w:noProof/>
                <w:webHidden/>
              </w:rPr>
              <w:fldChar w:fldCharType="end"/>
            </w:r>
          </w:hyperlink>
        </w:p>
        <w:p w14:paraId="312EFE6E" w14:textId="025823CE"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6" w:history="1">
            <w:r w:rsidRPr="00001972">
              <w:rPr>
                <w:rStyle w:val="Hyperlink"/>
                <w:noProof/>
              </w:rPr>
              <w:t>8.</w:t>
            </w:r>
            <w:r>
              <w:rPr>
                <w:rFonts w:asciiTheme="minorHAnsi" w:eastAsiaTheme="minorEastAsia" w:hAnsiTheme="minorHAnsi"/>
                <w:noProof/>
                <w:kern w:val="2"/>
                <w:sz w:val="24"/>
                <w:szCs w:val="24"/>
                <w:lang w:eastAsia="en-NZ"/>
                <w14:ligatures w14:val="standardContextual"/>
              </w:rPr>
              <w:tab/>
            </w:r>
            <w:r w:rsidRPr="00001972">
              <w:rPr>
                <w:rStyle w:val="Hyperlink"/>
                <w:noProof/>
              </w:rPr>
              <w:t>The number of admissions with a primary diagnosis of gout in those estimated with gout, rate per 100,000</w:t>
            </w:r>
            <w:r>
              <w:rPr>
                <w:noProof/>
                <w:webHidden/>
              </w:rPr>
              <w:tab/>
            </w:r>
            <w:r>
              <w:rPr>
                <w:noProof/>
                <w:webHidden/>
              </w:rPr>
              <w:fldChar w:fldCharType="begin"/>
            </w:r>
            <w:r>
              <w:rPr>
                <w:noProof/>
                <w:webHidden/>
              </w:rPr>
              <w:instrText xml:space="preserve"> PAGEREF _Toc237508336 \h </w:instrText>
            </w:r>
            <w:r>
              <w:rPr>
                <w:noProof/>
                <w:webHidden/>
              </w:rPr>
            </w:r>
            <w:r>
              <w:rPr>
                <w:noProof/>
                <w:webHidden/>
              </w:rPr>
              <w:fldChar w:fldCharType="separate"/>
            </w:r>
            <w:r w:rsidR="00296176">
              <w:rPr>
                <w:noProof/>
                <w:webHidden/>
              </w:rPr>
              <w:t>16</w:t>
            </w:r>
            <w:r>
              <w:rPr>
                <w:noProof/>
                <w:webHidden/>
              </w:rPr>
              <w:fldChar w:fldCharType="end"/>
            </w:r>
          </w:hyperlink>
        </w:p>
        <w:p w14:paraId="72E39CC5" w14:textId="0A624FFC" w:rsidR="00141381" w:rsidRDefault="00141381">
          <w:pPr>
            <w:pStyle w:val="TOC3"/>
            <w:tabs>
              <w:tab w:val="left" w:pos="1440"/>
            </w:tabs>
            <w:rPr>
              <w:rFonts w:asciiTheme="minorHAnsi" w:eastAsiaTheme="minorEastAsia" w:hAnsiTheme="minorHAnsi"/>
              <w:noProof/>
              <w:kern w:val="2"/>
              <w:sz w:val="24"/>
              <w:szCs w:val="24"/>
              <w:lang w:eastAsia="en-NZ"/>
              <w14:ligatures w14:val="standardContextual"/>
            </w:rPr>
          </w:pPr>
          <w:hyperlink w:anchor="_Toc237508337" w:history="1">
            <w:r w:rsidRPr="00001972">
              <w:rPr>
                <w:rStyle w:val="Hyperlink"/>
                <w:noProof/>
              </w:rPr>
              <w:t>9.</w:t>
            </w:r>
            <w:r>
              <w:rPr>
                <w:rFonts w:asciiTheme="minorHAnsi" w:eastAsiaTheme="minorEastAsia" w:hAnsiTheme="minorHAnsi"/>
                <w:noProof/>
                <w:kern w:val="2"/>
                <w:sz w:val="24"/>
                <w:szCs w:val="24"/>
                <w:lang w:eastAsia="en-NZ"/>
                <w14:ligatures w14:val="standardContextual"/>
              </w:rPr>
              <w:tab/>
            </w:r>
            <w:r w:rsidRPr="00001972">
              <w:rPr>
                <w:rStyle w:val="Hyperlink"/>
                <w:noProof/>
              </w:rPr>
              <w:t>The number of admissions with a primary diagnosis of gout among all PHO-enrolled population, rate per 100,000</w:t>
            </w:r>
            <w:r>
              <w:rPr>
                <w:noProof/>
                <w:webHidden/>
              </w:rPr>
              <w:tab/>
            </w:r>
            <w:r>
              <w:rPr>
                <w:noProof/>
                <w:webHidden/>
              </w:rPr>
              <w:fldChar w:fldCharType="begin"/>
            </w:r>
            <w:r>
              <w:rPr>
                <w:noProof/>
                <w:webHidden/>
              </w:rPr>
              <w:instrText xml:space="preserve"> PAGEREF _Toc237508337 \h </w:instrText>
            </w:r>
            <w:r>
              <w:rPr>
                <w:noProof/>
                <w:webHidden/>
              </w:rPr>
            </w:r>
            <w:r>
              <w:rPr>
                <w:noProof/>
                <w:webHidden/>
              </w:rPr>
              <w:fldChar w:fldCharType="separate"/>
            </w:r>
            <w:r w:rsidR="00296176">
              <w:rPr>
                <w:noProof/>
                <w:webHidden/>
              </w:rPr>
              <w:t>17</w:t>
            </w:r>
            <w:r>
              <w:rPr>
                <w:noProof/>
                <w:webHidden/>
              </w:rPr>
              <w:fldChar w:fldCharType="end"/>
            </w:r>
          </w:hyperlink>
        </w:p>
        <w:p w14:paraId="21023777" w14:textId="78A32839" w:rsidR="00141381" w:rsidRDefault="00141381">
          <w:pPr>
            <w:pStyle w:val="TOC3"/>
            <w:rPr>
              <w:rFonts w:asciiTheme="minorHAnsi" w:eastAsiaTheme="minorEastAsia" w:hAnsiTheme="minorHAnsi"/>
              <w:noProof/>
              <w:kern w:val="2"/>
              <w:sz w:val="24"/>
              <w:szCs w:val="24"/>
              <w:lang w:eastAsia="en-NZ"/>
              <w14:ligatures w14:val="standardContextual"/>
            </w:rPr>
          </w:pPr>
          <w:hyperlink w:anchor="_Toc237508338" w:history="1">
            <w:r w:rsidRPr="00001972">
              <w:rPr>
                <w:rStyle w:val="Hyperlink"/>
                <w:rFonts w:cs="Arial"/>
                <w:noProof/>
              </w:rPr>
              <w:t>HealthTracker definition</w:t>
            </w:r>
            <w:r>
              <w:rPr>
                <w:noProof/>
                <w:webHidden/>
              </w:rPr>
              <w:tab/>
            </w:r>
            <w:r>
              <w:rPr>
                <w:noProof/>
                <w:webHidden/>
              </w:rPr>
              <w:fldChar w:fldCharType="begin"/>
            </w:r>
            <w:r>
              <w:rPr>
                <w:noProof/>
                <w:webHidden/>
              </w:rPr>
              <w:instrText xml:space="preserve"> PAGEREF _Toc237508338 \h </w:instrText>
            </w:r>
            <w:r>
              <w:rPr>
                <w:noProof/>
                <w:webHidden/>
              </w:rPr>
            </w:r>
            <w:r>
              <w:rPr>
                <w:noProof/>
                <w:webHidden/>
              </w:rPr>
              <w:fldChar w:fldCharType="separate"/>
            </w:r>
            <w:r w:rsidR="00296176">
              <w:rPr>
                <w:noProof/>
                <w:webHidden/>
              </w:rPr>
              <w:t>18</w:t>
            </w:r>
            <w:r>
              <w:rPr>
                <w:noProof/>
                <w:webHidden/>
              </w:rPr>
              <w:fldChar w:fldCharType="end"/>
            </w:r>
          </w:hyperlink>
        </w:p>
        <w:p w14:paraId="6D169A7B" w14:textId="264B13F3" w:rsidR="00141381" w:rsidRDefault="00141381">
          <w:pPr>
            <w:pStyle w:val="TOC3"/>
            <w:rPr>
              <w:rFonts w:asciiTheme="minorHAnsi" w:eastAsiaTheme="minorEastAsia" w:hAnsiTheme="minorHAnsi"/>
              <w:noProof/>
              <w:kern w:val="2"/>
              <w:sz w:val="24"/>
              <w:szCs w:val="24"/>
              <w:lang w:eastAsia="en-NZ"/>
              <w14:ligatures w14:val="standardContextual"/>
            </w:rPr>
          </w:pPr>
          <w:hyperlink w:anchor="_Toc237508339" w:history="1">
            <w:r w:rsidRPr="00001972">
              <w:rPr>
                <w:rStyle w:val="Hyperlink"/>
                <w:rFonts w:cs="Arial"/>
                <w:noProof/>
              </w:rPr>
              <w:t>Data sources used</w:t>
            </w:r>
            <w:r>
              <w:rPr>
                <w:noProof/>
                <w:webHidden/>
              </w:rPr>
              <w:tab/>
            </w:r>
            <w:r>
              <w:rPr>
                <w:noProof/>
                <w:webHidden/>
              </w:rPr>
              <w:fldChar w:fldCharType="begin"/>
            </w:r>
            <w:r>
              <w:rPr>
                <w:noProof/>
                <w:webHidden/>
              </w:rPr>
              <w:instrText xml:space="preserve"> PAGEREF _Toc237508339 \h </w:instrText>
            </w:r>
            <w:r>
              <w:rPr>
                <w:noProof/>
                <w:webHidden/>
              </w:rPr>
            </w:r>
            <w:r>
              <w:rPr>
                <w:noProof/>
                <w:webHidden/>
              </w:rPr>
              <w:fldChar w:fldCharType="separate"/>
            </w:r>
            <w:r w:rsidR="00296176">
              <w:rPr>
                <w:noProof/>
                <w:webHidden/>
              </w:rPr>
              <w:t>18</w:t>
            </w:r>
            <w:r>
              <w:rPr>
                <w:noProof/>
                <w:webHidden/>
              </w:rPr>
              <w:fldChar w:fldCharType="end"/>
            </w:r>
          </w:hyperlink>
        </w:p>
        <w:p w14:paraId="1731611D" w14:textId="29492892" w:rsidR="00141381" w:rsidRDefault="00141381">
          <w:pPr>
            <w:pStyle w:val="TOC3"/>
            <w:rPr>
              <w:rFonts w:asciiTheme="minorHAnsi" w:eastAsiaTheme="minorEastAsia" w:hAnsiTheme="minorHAnsi"/>
              <w:noProof/>
              <w:kern w:val="2"/>
              <w:sz w:val="24"/>
              <w:szCs w:val="24"/>
              <w:lang w:eastAsia="en-NZ"/>
              <w14:ligatures w14:val="standardContextual"/>
            </w:rPr>
          </w:pPr>
          <w:hyperlink w:anchor="_Toc237508340" w:history="1">
            <w:r w:rsidRPr="00001972">
              <w:rPr>
                <w:rStyle w:val="Hyperlink"/>
                <w:rFonts w:cs="Arial"/>
                <w:noProof/>
              </w:rPr>
              <w:t>Values of the main indicator variable</w:t>
            </w:r>
            <w:r>
              <w:rPr>
                <w:noProof/>
                <w:webHidden/>
              </w:rPr>
              <w:tab/>
            </w:r>
            <w:r>
              <w:rPr>
                <w:noProof/>
                <w:webHidden/>
              </w:rPr>
              <w:fldChar w:fldCharType="begin"/>
            </w:r>
            <w:r>
              <w:rPr>
                <w:noProof/>
                <w:webHidden/>
              </w:rPr>
              <w:instrText xml:space="preserve"> PAGEREF _Toc237508340 \h </w:instrText>
            </w:r>
            <w:r>
              <w:rPr>
                <w:noProof/>
                <w:webHidden/>
              </w:rPr>
            </w:r>
            <w:r>
              <w:rPr>
                <w:noProof/>
                <w:webHidden/>
              </w:rPr>
              <w:fldChar w:fldCharType="separate"/>
            </w:r>
            <w:r w:rsidR="00296176">
              <w:rPr>
                <w:noProof/>
                <w:webHidden/>
              </w:rPr>
              <w:t>18</w:t>
            </w:r>
            <w:r>
              <w:rPr>
                <w:noProof/>
                <w:webHidden/>
              </w:rPr>
              <w:fldChar w:fldCharType="end"/>
            </w:r>
          </w:hyperlink>
        </w:p>
        <w:p w14:paraId="5C6755E6" w14:textId="76A633F7" w:rsidR="00141381" w:rsidRDefault="00141381">
          <w:pPr>
            <w:pStyle w:val="TOC3"/>
            <w:rPr>
              <w:rFonts w:asciiTheme="minorHAnsi" w:eastAsiaTheme="minorEastAsia" w:hAnsiTheme="minorHAnsi"/>
              <w:noProof/>
              <w:kern w:val="2"/>
              <w:sz w:val="24"/>
              <w:szCs w:val="24"/>
              <w:lang w:eastAsia="en-NZ"/>
              <w14:ligatures w14:val="standardContextual"/>
            </w:rPr>
          </w:pPr>
          <w:hyperlink w:anchor="_Toc237508341" w:history="1">
            <w:r w:rsidRPr="00001972">
              <w:rPr>
                <w:rStyle w:val="Hyperlink"/>
                <w:rFonts w:cs="Arial"/>
                <w:noProof/>
              </w:rPr>
              <w:t>References</w:t>
            </w:r>
            <w:r>
              <w:rPr>
                <w:noProof/>
                <w:webHidden/>
              </w:rPr>
              <w:tab/>
            </w:r>
            <w:r>
              <w:rPr>
                <w:noProof/>
                <w:webHidden/>
              </w:rPr>
              <w:fldChar w:fldCharType="begin"/>
            </w:r>
            <w:r>
              <w:rPr>
                <w:noProof/>
                <w:webHidden/>
              </w:rPr>
              <w:instrText xml:space="preserve"> PAGEREF _Toc237508341 \h </w:instrText>
            </w:r>
            <w:r>
              <w:rPr>
                <w:noProof/>
                <w:webHidden/>
              </w:rPr>
            </w:r>
            <w:r>
              <w:rPr>
                <w:noProof/>
                <w:webHidden/>
              </w:rPr>
              <w:fldChar w:fldCharType="separate"/>
            </w:r>
            <w:r w:rsidR="00296176">
              <w:rPr>
                <w:noProof/>
                <w:webHidden/>
              </w:rPr>
              <w:t>19</w:t>
            </w:r>
            <w:r>
              <w:rPr>
                <w:noProof/>
                <w:webHidden/>
              </w:rPr>
              <w:fldChar w:fldCharType="end"/>
            </w:r>
          </w:hyperlink>
        </w:p>
        <w:p w14:paraId="62A9E62D" w14:textId="1A36DFD0" w:rsidR="0064198B" w:rsidRPr="00183294" w:rsidRDefault="0064198B" w:rsidP="0064198B">
          <w:pPr>
            <w:pStyle w:val="TOC1"/>
            <w:rPr>
              <w:rFonts w:cs="Arial"/>
              <w:bCs/>
              <w:noProof/>
            </w:rPr>
          </w:pPr>
          <w:r w:rsidRPr="00183294">
            <w:rPr>
              <w:rFonts w:cs="Arial"/>
              <w:b/>
              <w:bCs/>
              <w:noProof/>
            </w:rPr>
            <w:fldChar w:fldCharType="end"/>
          </w:r>
        </w:p>
      </w:sdtContent>
    </w:sdt>
    <w:p w14:paraId="2AF026A3" w14:textId="77777777" w:rsidR="0064198B" w:rsidRPr="00183294" w:rsidRDefault="0064198B" w:rsidP="00E54CD1">
      <w:pPr>
        <w:pStyle w:val="BodytextHQSC"/>
      </w:pPr>
    </w:p>
    <w:p w14:paraId="5A071055" w14:textId="77777777" w:rsidR="0064198B" w:rsidRPr="00183294" w:rsidRDefault="0064198B" w:rsidP="00E54CD1">
      <w:pPr>
        <w:pStyle w:val="BodytextHQSC"/>
      </w:pPr>
    </w:p>
    <w:p w14:paraId="5C0A73E7" w14:textId="77777777" w:rsidR="0064198B" w:rsidRPr="00183294" w:rsidRDefault="0064198B" w:rsidP="00E54CD1">
      <w:pPr>
        <w:pStyle w:val="BodytextHQSC"/>
      </w:pPr>
    </w:p>
    <w:p w14:paraId="180D5BC2" w14:textId="77777777" w:rsidR="0064198B" w:rsidRPr="00183294" w:rsidRDefault="0064198B" w:rsidP="00E54CD1">
      <w:pPr>
        <w:pStyle w:val="BodytextHQSC"/>
      </w:pPr>
    </w:p>
    <w:p w14:paraId="5385D819" w14:textId="77777777" w:rsidR="0064198B" w:rsidRPr="00183294" w:rsidRDefault="0064198B" w:rsidP="005A4781">
      <w:pPr>
        <w:pStyle w:val="BodytextHQSC"/>
      </w:pPr>
      <w:r w:rsidRPr="00183294">
        <w:br w:type="page"/>
      </w:r>
    </w:p>
    <w:p w14:paraId="1B132520" w14:textId="0178DBAF" w:rsidR="0093767A" w:rsidRPr="00C402AF" w:rsidRDefault="0093767A" w:rsidP="0093767A">
      <w:pPr>
        <w:pStyle w:val="Heading3"/>
        <w:rPr>
          <w:rFonts w:cs="Arial"/>
        </w:rPr>
      </w:pPr>
      <w:bookmarkStart w:id="1" w:name="_Toc237508322"/>
      <w:r w:rsidRPr="00C402AF">
        <w:rPr>
          <w:rFonts w:cs="Arial"/>
        </w:rPr>
        <w:lastRenderedPageBreak/>
        <w:t>General points</w:t>
      </w:r>
      <w:bookmarkEnd w:id="1"/>
    </w:p>
    <w:p w14:paraId="1D2C9DEE" w14:textId="2D650295" w:rsidR="0093767A" w:rsidRPr="00C402AF" w:rsidRDefault="0093767A" w:rsidP="00A57432">
      <w:pPr>
        <w:pStyle w:val="TeThHauorabodytext"/>
        <w:numPr>
          <w:ilvl w:val="0"/>
          <w:numId w:val="6"/>
        </w:numPr>
      </w:pPr>
      <w:r w:rsidRPr="00C402AF">
        <w:t xml:space="preserve">Data </w:t>
      </w:r>
      <w:r w:rsidR="00B55D05">
        <w:t>has</w:t>
      </w:r>
      <w:r w:rsidR="00B55D05" w:rsidRPr="00C402AF">
        <w:t xml:space="preserve"> </w:t>
      </w:r>
      <w:r w:rsidRPr="00C402AF">
        <w:t>not</w:t>
      </w:r>
      <w:r w:rsidR="00B55D05">
        <w:t xml:space="preserve"> been</w:t>
      </w:r>
      <w:r w:rsidRPr="00C402AF">
        <w:t xml:space="preserve"> presented where the number of people in the numerator was less than 10. This is to preserve confidentiality. </w:t>
      </w:r>
    </w:p>
    <w:p w14:paraId="53B38821" w14:textId="7B90F054" w:rsidR="0093767A" w:rsidRPr="00C402AF" w:rsidRDefault="0093767A" w:rsidP="00A57432">
      <w:pPr>
        <w:pStyle w:val="TeThHauorabodytext"/>
        <w:numPr>
          <w:ilvl w:val="0"/>
          <w:numId w:val="6"/>
        </w:numPr>
      </w:pPr>
      <w:r w:rsidRPr="00C402AF">
        <w:t xml:space="preserve">People </w:t>
      </w:r>
      <w:r w:rsidR="00564C0C">
        <w:t>have been</w:t>
      </w:r>
      <w:r w:rsidR="00564C0C" w:rsidRPr="00C402AF">
        <w:t xml:space="preserve"> </w:t>
      </w:r>
      <w:r w:rsidRPr="00C402AF">
        <w:t xml:space="preserve">assigned to their Health New Zealand </w:t>
      </w:r>
      <w:r w:rsidR="008F3CEC">
        <w:t xml:space="preserve">| </w:t>
      </w:r>
      <w:r w:rsidRPr="00C402AF">
        <w:t>Te Whatu Ora (Health N</w:t>
      </w:r>
      <w:r w:rsidR="003C7D7B" w:rsidRPr="00C402AF">
        <w:t>Z</w:t>
      </w:r>
      <w:r w:rsidRPr="00C402AF">
        <w:t>) district of domicile</w:t>
      </w:r>
      <w:r w:rsidR="00D10AD7">
        <w:t>.</w:t>
      </w:r>
      <w:r w:rsidR="00564C0C">
        <w:t xml:space="preserve"> W</w:t>
      </w:r>
      <w:r w:rsidRPr="00C402AF">
        <w:t xml:space="preserve">here more than one domicile was recorded, the most recent value </w:t>
      </w:r>
      <w:r w:rsidR="00564C0C">
        <w:t>has been</w:t>
      </w:r>
      <w:r w:rsidR="00564C0C" w:rsidRPr="00C402AF">
        <w:t xml:space="preserve"> </w:t>
      </w:r>
      <w:r w:rsidRPr="00C402AF">
        <w:t>selected.</w:t>
      </w:r>
    </w:p>
    <w:p w14:paraId="6E9E656E" w14:textId="72DBE38D" w:rsidR="007343E3" w:rsidRPr="00C402AF" w:rsidRDefault="0093767A" w:rsidP="00A57432">
      <w:pPr>
        <w:pStyle w:val="ListParagraph"/>
        <w:numPr>
          <w:ilvl w:val="0"/>
          <w:numId w:val="6"/>
        </w:numPr>
        <w:ind w:left="357" w:hanging="357"/>
        <w:contextualSpacing w:val="0"/>
        <w:rPr>
          <w:rFonts w:cs="Arial"/>
        </w:rPr>
      </w:pPr>
      <w:r w:rsidRPr="00C402AF">
        <w:rPr>
          <w:rFonts w:cs="Arial"/>
        </w:rPr>
        <w:t xml:space="preserve">Ethnicity data </w:t>
      </w:r>
      <w:r w:rsidR="004B3769">
        <w:rPr>
          <w:rFonts w:cs="Arial"/>
        </w:rPr>
        <w:t xml:space="preserve">has been </w:t>
      </w:r>
      <w:r w:rsidRPr="00C402AF">
        <w:rPr>
          <w:rFonts w:cs="Arial"/>
        </w:rPr>
        <w:t xml:space="preserve">presented </w:t>
      </w:r>
      <w:r w:rsidR="004B3769">
        <w:rPr>
          <w:rFonts w:cs="Arial"/>
        </w:rPr>
        <w:t>by</w:t>
      </w:r>
      <w:r w:rsidR="004B3769" w:rsidRPr="00C402AF">
        <w:rPr>
          <w:rFonts w:cs="Arial"/>
        </w:rPr>
        <w:t xml:space="preserve"> </w:t>
      </w:r>
      <w:r w:rsidRPr="00C402AF">
        <w:rPr>
          <w:rFonts w:cs="Arial"/>
        </w:rPr>
        <w:t>prioritised ethnic group (Māori, Pacific peoples, non-Māori, non-Pacific</w:t>
      </w:r>
      <w:r w:rsidR="009D304B" w:rsidRPr="00C402AF">
        <w:rPr>
          <w:rFonts w:cs="Arial"/>
        </w:rPr>
        <w:t xml:space="preserve"> peoples</w:t>
      </w:r>
      <w:r w:rsidRPr="00C402AF">
        <w:rPr>
          <w:rFonts w:cs="Arial"/>
        </w:rPr>
        <w:t xml:space="preserve">). </w:t>
      </w:r>
      <w:r w:rsidR="00B845E7" w:rsidRPr="00C402AF">
        <w:rPr>
          <w:rFonts w:cs="Arial"/>
        </w:rPr>
        <w:t xml:space="preserve">Prioritised ethnic groups involve each participant being assigned to a single ethnic group, based on the ethnicities they </w:t>
      </w:r>
      <w:r w:rsidR="00ED142C" w:rsidRPr="00C402AF">
        <w:rPr>
          <w:rFonts w:cs="Arial"/>
        </w:rPr>
        <w:t xml:space="preserve">most recently </w:t>
      </w:r>
      <w:r w:rsidR="002B49A7" w:rsidRPr="00C402AF">
        <w:rPr>
          <w:rFonts w:cs="Arial"/>
        </w:rPr>
        <w:t>identified</w:t>
      </w:r>
      <w:r w:rsidR="00B845E7" w:rsidRPr="00C402AF">
        <w:rPr>
          <w:rFonts w:cs="Arial"/>
        </w:rPr>
        <w:t xml:space="preserve"> with</w:t>
      </w:r>
      <w:r w:rsidR="00C02B02">
        <w:rPr>
          <w:rFonts w:cs="Arial"/>
        </w:rPr>
        <w:t>. These are</w:t>
      </w:r>
      <w:r w:rsidR="00B845E7" w:rsidRPr="00C402AF">
        <w:rPr>
          <w:rFonts w:cs="Arial"/>
        </w:rPr>
        <w:t xml:space="preserve"> prioritised </w:t>
      </w:r>
      <w:r w:rsidR="004B76AE">
        <w:rPr>
          <w:rFonts w:cs="Arial"/>
        </w:rPr>
        <w:t xml:space="preserve">in the </w:t>
      </w:r>
      <w:r w:rsidR="00B845E7" w:rsidRPr="00C402AF">
        <w:rPr>
          <w:rFonts w:cs="Arial"/>
        </w:rPr>
        <w:t>order of Māori, Pacific peoples, non-Māori non-Pacific</w:t>
      </w:r>
      <w:r w:rsidR="002661D1" w:rsidRPr="00C402AF">
        <w:rPr>
          <w:rFonts w:cs="Arial"/>
        </w:rPr>
        <w:t xml:space="preserve"> peoples</w:t>
      </w:r>
      <w:r w:rsidR="00B845E7" w:rsidRPr="00C402AF">
        <w:rPr>
          <w:rFonts w:cs="Arial"/>
        </w:rPr>
        <w:t xml:space="preserve">. </w:t>
      </w:r>
      <w:r w:rsidR="004B76AE">
        <w:rPr>
          <w:rFonts w:cs="Arial"/>
        </w:rPr>
        <w:t>T</w:t>
      </w:r>
      <w:r w:rsidR="007343E3" w:rsidRPr="00C402AF">
        <w:rPr>
          <w:rFonts w:cs="Arial"/>
        </w:rPr>
        <w:t xml:space="preserve">his method may underestimate results for Pacific peoples, as individuals who identify with both Pacific and Māori ethnicities </w:t>
      </w:r>
      <w:r w:rsidR="00E67FB5">
        <w:rPr>
          <w:rFonts w:cs="Arial"/>
        </w:rPr>
        <w:t>have been</w:t>
      </w:r>
      <w:r w:rsidR="00E67FB5" w:rsidRPr="00C402AF">
        <w:rPr>
          <w:rFonts w:cs="Arial"/>
        </w:rPr>
        <w:t xml:space="preserve"> </w:t>
      </w:r>
      <w:r w:rsidR="007343E3" w:rsidRPr="00C402AF">
        <w:rPr>
          <w:rFonts w:cs="Arial"/>
        </w:rPr>
        <w:t xml:space="preserve">classified </w:t>
      </w:r>
      <w:r w:rsidR="00E67FB5">
        <w:rPr>
          <w:rFonts w:cs="Arial"/>
        </w:rPr>
        <w:t>as</w:t>
      </w:r>
      <w:r w:rsidR="007343E3" w:rsidRPr="00C402AF">
        <w:rPr>
          <w:rFonts w:cs="Arial"/>
        </w:rPr>
        <w:t xml:space="preserve"> Māori. We also acknowledge that Pacific peoples are not a homogenous population, comprising various communities with distinct languages, cultures and identities. If you are interested in estimates for the total Pacific population or for specific Pacific ethnic groups, please contact us at info@hqsc.govt.nz.</w:t>
      </w:r>
    </w:p>
    <w:p w14:paraId="2B214F8A" w14:textId="50E3C15F" w:rsidR="003968FB" w:rsidRPr="00C402AF" w:rsidRDefault="003968FB" w:rsidP="00A57432">
      <w:pPr>
        <w:pStyle w:val="ListParagraph"/>
        <w:numPr>
          <w:ilvl w:val="0"/>
          <w:numId w:val="6"/>
        </w:numPr>
        <w:ind w:left="357" w:hanging="357"/>
        <w:contextualSpacing w:val="0"/>
        <w:rPr>
          <w:rFonts w:cs="Arial"/>
        </w:rPr>
      </w:pPr>
      <w:r w:rsidRPr="00C402AF">
        <w:rPr>
          <w:rFonts w:cs="Arial"/>
        </w:rPr>
        <w:t xml:space="preserve">The non-Māori, non-Pacific ethnic group includes people identifying with European (including New Zealand European), Asian, Middle Eastern, Latin American and African (MELAA), and </w:t>
      </w:r>
      <w:r w:rsidR="000C3579">
        <w:rPr>
          <w:rFonts w:cs="Arial"/>
        </w:rPr>
        <w:t>o</w:t>
      </w:r>
      <w:r w:rsidRPr="00C402AF">
        <w:rPr>
          <w:rFonts w:cs="Arial"/>
        </w:rPr>
        <w:t xml:space="preserve">ther ethnic groups. In this </w:t>
      </w:r>
      <w:r w:rsidR="000C3579">
        <w:rPr>
          <w:rFonts w:cs="Arial"/>
        </w:rPr>
        <w:t>a</w:t>
      </w:r>
      <w:r w:rsidRPr="00C402AF">
        <w:rPr>
          <w:rFonts w:cs="Arial"/>
        </w:rPr>
        <w:t>tlas, Asian and MELAA populations have been combined with the European/Other grouping within the non-Māori, non-Pacific category. This is because the estimated prevalence of gout among Asian populations (3.7%) is lower than that among the European/Other population (5.6%)</w:t>
      </w:r>
      <w:r w:rsidR="005D037E">
        <w:rPr>
          <w:rFonts w:cs="Arial"/>
        </w:rPr>
        <w:t>. I</w:t>
      </w:r>
      <w:r w:rsidRPr="00C402AF">
        <w:rPr>
          <w:rFonts w:cs="Arial"/>
        </w:rPr>
        <w:t>n some districts</w:t>
      </w:r>
      <w:r w:rsidR="00DD2C0E">
        <w:rPr>
          <w:rFonts w:cs="Arial"/>
        </w:rPr>
        <w:t>,</w:t>
      </w:r>
      <w:r w:rsidRPr="00C402AF">
        <w:rPr>
          <w:rFonts w:cs="Arial"/>
        </w:rPr>
        <w:t xml:space="preserve"> the relatively small size of Asian populations results in suppression of estimates. MELAA populations are also included within the European/Other grouping and therefore within the non-Māori, non-Pacific category.</w:t>
      </w:r>
    </w:p>
    <w:p w14:paraId="47DB6ED6" w14:textId="1A5756DE" w:rsidR="00D47804" w:rsidRPr="00C402AF" w:rsidRDefault="00D47804" w:rsidP="00A57432">
      <w:pPr>
        <w:pStyle w:val="TeThHauorabodytext"/>
        <w:numPr>
          <w:ilvl w:val="0"/>
          <w:numId w:val="6"/>
        </w:numPr>
        <w:rPr>
          <w:color w:val="000000" w:themeColor="text1"/>
        </w:rPr>
      </w:pPr>
      <w:r w:rsidRPr="00C402AF">
        <w:rPr>
          <w:bCs/>
          <w:color w:val="000000" w:themeColor="text1"/>
        </w:rPr>
        <w:t>Age group is assigned using 30 June of each calendar year as the cut</w:t>
      </w:r>
      <w:r w:rsidR="00351DBE">
        <w:rPr>
          <w:bCs/>
          <w:color w:val="000000" w:themeColor="text1"/>
        </w:rPr>
        <w:t>-</w:t>
      </w:r>
      <w:r w:rsidRPr="00C402AF">
        <w:rPr>
          <w:bCs/>
          <w:color w:val="000000" w:themeColor="text1"/>
        </w:rPr>
        <w:t xml:space="preserve">off point. For example, a person turning 65 years old on </w:t>
      </w:r>
      <w:r w:rsidR="0082035C" w:rsidRPr="00C402AF">
        <w:rPr>
          <w:bCs/>
          <w:color w:val="000000" w:themeColor="text1"/>
        </w:rPr>
        <w:t xml:space="preserve">1 July 2024 </w:t>
      </w:r>
      <w:r w:rsidR="009A477F">
        <w:rPr>
          <w:bCs/>
          <w:color w:val="000000" w:themeColor="text1"/>
        </w:rPr>
        <w:t>would have been</w:t>
      </w:r>
      <w:r w:rsidRPr="00C402AF">
        <w:rPr>
          <w:bCs/>
          <w:color w:val="000000" w:themeColor="text1"/>
        </w:rPr>
        <w:t xml:space="preserve"> assigned to the 65</w:t>
      </w:r>
      <w:r w:rsidR="0036467D" w:rsidRPr="00C402AF">
        <w:rPr>
          <w:bCs/>
          <w:color w:val="000000" w:themeColor="text1"/>
        </w:rPr>
        <w:t xml:space="preserve"> years or over</w:t>
      </w:r>
      <w:r w:rsidRPr="00C402AF">
        <w:rPr>
          <w:bCs/>
          <w:color w:val="000000" w:themeColor="text1"/>
        </w:rPr>
        <w:t xml:space="preserve"> age group for 202</w:t>
      </w:r>
      <w:r w:rsidR="0036467D" w:rsidRPr="00C402AF">
        <w:rPr>
          <w:bCs/>
          <w:color w:val="000000" w:themeColor="text1"/>
        </w:rPr>
        <w:t>4</w:t>
      </w:r>
      <w:r w:rsidRPr="00C402AF">
        <w:rPr>
          <w:bCs/>
          <w:color w:val="000000" w:themeColor="text1"/>
        </w:rPr>
        <w:t>, while a person turning 65 on</w:t>
      </w:r>
      <w:r w:rsidR="0082035C" w:rsidRPr="00C402AF">
        <w:rPr>
          <w:bCs/>
          <w:color w:val="000000" w:themeColor="text1"/>
        </w:rPr>
        <w:t xml:space="preserve"> 30 June</w:t>
      </w:r>
      <w:r w:rsidRPr="00C402AF">
        <w:rPr>
          <w:bCs/>
          <w:color w:val="000000" w:themeColor="text1"/>
        </w:rPr>
        <w:t xml:space="preserve"> 202</w:t>
      </w:r>
      <w:r w:rsidR="0036467D" w:rsidRPr="00C402AF">
        <w:rPr>
          <w:bCs/>
          <w:color w:val="000000" w:themeColor="text1"/>
        </w:rPr>
        <w:t>4</w:t>
      </w:r>
      <w:r w:rsidRPr="00C402AF">
        <w:rPr>
          <w:bCs/>
          <w:color w:val="000000" w:themeColor="text1"/>
        </w:rPr>
        <w:t xml:space="preserve"> </w:t>
      </w:r>
      <w:r w:rsidR="009A477F">
        <w:rPr>
          <w:bCs/>
          <w:color w:val="000000" w:themeColor="text1"/>
        </w:rPr>
        <w:t>would have been</w:t>
      </w:r>
      <w:r w:rsidRPr="00C402AF">
        <w:rPr>
          <w:bCs/>
          <w:color w:val="000000" w:themeColor="text1"/>
        </w:rPr>
        <w:t xml:space="preserve"> assigned </w:t>
      </w:r>
      <w:r w:rsidR="009A477F">
        <w:rPr>
          <w:bCs/>
          <w:color w:val="000000" w:themeColor="text1"/>
        </w:rPr>
        <w:t xml:space="preserve">to </w:t>
      </w:r>
      <w:r w:rsidRPr="00C402AF">
        <w:rPr>
          <w:bCs/>
          <w:color w:val="000000" w:themeColor="text1"/>
        </w:rPr>
        <w:t xml:space="preserve">the 45–64 </w:t>
      </w:r>
      <w:r w:rsidR="00E84420">
        <w:rPr>
          <w:bCs/>
          <w:color w:val="000000" w:themeColor="text1"/>
        </w:rPr>
        <w:t xml:space="preserve">years age </w:t>
      </w:r>
      <w:r w:rsidRPr="00C402AF">
        <w:rPr>
          <w:bCs/>
          <w:color w:val="000000" w:themeColor="text1"/>
        </w:rPr>
        <w:t>group for the same year.</w:t>
      </w:r>
    </w:p>
    <w:p w14:paraId="358E47C2" w14:textId="23AC4436" w:rsidR="00066171" w:rsidRPr="00C402AF" w:rsidRDefault="00880939" w:rsidP="00A57432">
      <w:pPr>
        <w:pStyle w:val="TeThHauorabodytext"/>
        <w:numPr>
          <w:ilvl w:val="0"/>
          <w:numId w:val="6"/>
        </w:numPr>
        <w:rPr>
          <w:bCs/>
        </w:rPr>
      </w:pPr>
      <w:r w:rsidRPr="00C402AF">
        <w:rPr>
          <w:bCs/>
          <w:color w:val="000000" w:themeColor="text1"/>
        </w:rPr>
        <w:t xml:space="preserve">The </w:t>
      </w:r>
      <w:r w:rsidR="00E84420">
        <w:rPr>
          <w:bCs/>
          <w:color w:val="000000" w:themeColor="text1"/>
        </w:rPr>
        <w:t>a</w:t>
      </w:r>
      <w:r w:rsidRPr="00C402AF">
        <w:rPr>
          <w:bCs/>
          <w:color w:val="000000" w:themeColor="text1"/>
        </w:rPr>
        <w:t>tlas presents observed (crude) rates a</w:t>
      </w:r>
      <w:r w:rsidR="006960D0" w:rsidRPr="00C402AF">
        <w:rPr>
          <w:bCs/>
          <w:color w:val="000000" w:themeColor="text1"/>
        </w:rPr>
        <w:t xml:space="preserve">s this best supports the purpose of </w:t>
      </w:r>
      <w:r w:rsidR="004015F9" w:rsidRPr="00C402AF">
        <w:rPr>
          <w:bCs/>
          <w:color w:val="000000" w:themeColor="text1"/>
        </w:rPr>
        <w:t xml:space="preserve">quality improvement. These rates reflect the actual experience of the population and support local service planning and improvement activities. However, when comparing ethnic groups to understand equity, we </w:t>
      </w:r>
      <w:r w:rsidR="003C664D" w:rsidRPr="00C402AF">
        <w:rPr>
          <w:bCs/>
          <w:color w:val="000000" w:themeColor="text1"/>
        </w:rPr>
        <w:t>recommend</w:t>
      </w:r>
      <w:r w:rsidR="004015F9" w:rsidRPr="00C402AF">
        <w:rPr>
          <w:bCs/>
          <w:color w:val="000000" w:themeColor="text1"/>
        </w:rPr>
        <w:t xml:space="preserve"> us</w:t>
      </w:r>
      <w:r w:rsidR="003C664D" w:rsidRPr="00C402AF">
        <w:rPr>
          <w:bCs/>
          <w:color w:val="000000" w:themeColor="text1"/>
        </w:rPr>
        <w:t>ing</w:t>
      </w:r>
      <w:r w:rsidR="004015F9" w:rsidRPr="00C402AF">
        <w:rPr>
          <w:bCs/>
          <w:color w:val="000000" w:themeColor="text1"/>
        </w:rPr>
        <w:t xml:space="preserve"> age-specific rates.</w:t>
      </w:r>
      <w:bookmarkStart w:id="2" w:name="_Hlk164064723"/>
    </w:p>
    <w:p w14:paraId="1B827EB9" w14:textId="7062B30A" w:rsidR="00A6596B" w:rsidRPr="00C402AF" w:rsidRDefault="00A6596B" w:rsidP="00A57432">
      <w:pPr>
        <w:pStyle w:val="TeThHauorabodytext"/>
        <w:numPr>
          <w:ilvl w:val="0"/>
          <w:numId w:val="6"/>
        </w:numPr>
        <w:rPr>
          <w:bCs/>
        </w:rPr>
      </w:pPr>
      <w:r w:rsidRPr="00C402AF">
        <w:rPr>
          <w:bCs/>
        </w:rPr>
        <w:t xml:space="preserve">For </w:t>
      </w:r>
      <w:r w:rsidR="004C3B76">
        <w:rPr>
          <w:bCs/>
        </w:rPr>
        <w:t>primary health organisation (</w:t>
      </w:r>
      <w:r w:rsidRPr="00C402AF">
        <w:rPr>
          <w:bCs/>
        </w:rPr>
        <w:t>PHO</w:t>
      </w:r>
      <w:r w:rsidR="004C3B76">
        <w:rPr>
          <w:bCs/>
        </w:rPr>
        <w:t>)</w:t>
      </w:r>
      <w:r w:rsidRPr="00C402AF">
        <w:rPr>
          <w:bCs/>
        </w:rPr>
        <w:t xml:space="preserve"> analyses, we analysed </w:t>
      </w:r>
      <w:r w:rsidR="0060073B">
        <w:rPr>
          <w:bCs/>
        </w:rPr>
        <w:t>i</w:t>
      </w:r>
      <w:r w:rsidRPr="00C402AF">
        <w:rPr>
          <w:bCs/>
        </w:rPr>
        <w:t xml:space="preserve">ndicator 1 to determine the size of population </w:t>
      </w:r>
      <w:r w:rsidR="00186ECF" w:rsidRPr="00C402AF">
        <w:rPr>
          <w:bCs/>
        </w:rPr>
        <w:t>estimated to have</w:t>
      </w:r>
      <w:r w:rsidRPr="00C402AF">
        <w:rPr>
          <w:bCs/>
        </w:rPr>
        <w:t xml:space="preserve"> gout </w:t>
      </w:r>
      <w:r w:rsidR="0060073B">
        <w:rPr>
          <w:bCs/>
        </w:rPr>
        <w:t xml:space="preserve">that </w:t>
      </w:r>
      <w:r w:rsidRPr="00C402AF">
        <w:rPr>
          <w:bCs/>
        </w:rPr>
        <w:t>each PHO serves. Then we categorised them into small</w:t>
      </w:r>
      <w:r w:rsidR="007E2F75" w:rsidRPr="00C402AF">
        <w:rPr>
          <w:bCs/>
        </w:rPr>
        <w:t xml:space="preserve"> (</w:t>
      </w:r>
      <w:r w:rsidR="00F57FF6" w:rsidRPr="00C402AF">
        <w:rPr>
          <w:bCs/>
        </w:rPr>
        <w:t>&lt;3,000</w:t>
      </w:r>
      <w:r w:rsidR="007E2F75" w:rsidRPr="00C402AF">
        <w:rPr>
          <w:bCs/>
        </w:rPr>
        <w:t>)</w:t>
      </w:r>
      <w:r w:rsidRPr="00C402AF">
        <w:rPr>
          <w:bCs/>
        </w:rPr>
        <w:t>, medium</w:t>
      </w:r>
      <w:r w:rsidR="007E2F75" w:rsidRPr="00C402AF">
        <w:rPr>
          <w:bCs/>
        </w:rPr>
        <w:t xml:space="preserve"> (</w:t>
      </w:r>
      <w:r w:rsidR="00F57FF6" w:rsidRPr="00C402AF">
        <w:rPr>
          <w:bCs/>
        </w:rPr>
        <w:t>3,000</w:t>
      </w:r>
      <w:r w:rsidR="0060073B">
        <w:rPr>
          <w:bCs/>
        </w:rPr>
        <w:t>–</w:t>
      </w:r>
      <w:r w:rsidR="00F57FF6" w:rsidRPr="00C402AF">
        <w:rPr>
          <w:bCs/>
        </w:rPr>
        <w:t>5,999</w:t>
      </w:r>
      <w:r w:rsidR="007E2F75" w:rsidRPr="00C402AF">
        <w:rPr>
          <w:bCs/>
        </w:rPr>
        <w:t>)</w:t>
      </w:r>
      <w:r w:rsidRPr="00C402AF">
        <w:rPr>
          <w:bCs/>
        </w:rPr>
        <w:t>, medium</w:t>
      </w:r>
      <w:r w:rsidR="0060073B">
        <w:rPr>
          <w:bCs/>
        </w:rPr>
        <w:t>-</w:t>
      </w:r>
      <w:r w:rsidRPr="00C402AF">
        <w:rPr>
          <w:bCs/>
        </w:rPr>
        <w:t>large</w:t>
      </w:r>
      <w:r w:rsidR="007E2F75" w:rsidRPr="00C402AF">
        <w:rPr>
          <w:bCs/>
        </w:rPr>
        <w:t xml:space="preserve"> (</w:t>
      </w:r>
      <w:r w:rsidR="00F57FF6" w:rsidRPr="00C402AF">
        <w:rPr>
          <w:bCs/>
        </w:rPr>
        <w:t>6,000</w:t>
      </w:r>
      <w:r w:rsidR="0060073B">
        <w:rPr>
          <w:bCs/>
        </w:rPr>
        <w:t>–</w:t>
      </w:r>
      <w:r w:rsidR="00ED142C" w:rsidRPr="00C402AF">
        <w:rPr>
          <w:bCs/>
        </w:rPr>
        <w:t>9,999</w:t>
      </w:r>
      <w:r w:rsidR="007E2F75" w:rsidRPr="00C402AF">
        <w:rPr>
          <w:bCs/>
        </w:rPr>
        <w:t>)</w:t>
      </w:r>
      <w:r w:rsidRPr="00C402AF">
        <w:rPr>
          <w:bCs/>
        </w:rPr>
        <w:t xml:space="preserve"> and large</w:t>
      </w:r>
      <w:r w:rsidR="007E2F75" w:rsidRPr="00C402AF">
        <w:rPr>
          <w:bCs/>
        </w:rPr>
        <w:t xml:space="preserve"> (</w:t>
      </w:r>
      <w:r w:rsidR="00ED142C" w:rsidRPr="00C402AF">
        <w:rPr>
          <w:bCs/>
        </w:rPr>
        <w:t>10,000 and above</w:t>
      </w:r>
      <w:r w:rsidR="007E2F75" w:rsidRPr="00C402AF">
        <w:rPr>
          <w:bCs/>
        </w:rPr>
        <w:t>)</w:t>
      </w:r>
      <w:r w:rsidRPr="00C402AF">
        <w:rPr>
          <w:bCs/>
        </w:rPr>
        <w:t>.</w:t>
      </w:r>
      <w:bookmarkEnd w:id="2"/>
    </w:p>
    <w:p w14:paraId="78444BC8" w14:textId="405F7069" w:rsidR="00A6596B" w:rsidRPr="00C402AF" w:rsidRDefault="00824853" w:rsidP="00A57432">
      <w:pPr>
        <w:pStyle w:val="TeThHauorabodytext"/>
        <w:numPr>
          <w:ilvl w:val="0"/>
          <w:numId w:val="6"/>
        </w:numPr>
        <w:rPr>
          <w:rFonts w:eastAsia="Arial"/>
          <w:color w:val="000000" w:themeColor="text1"/>
        </w:rPr>
      </w:pPr>
      <w:r>
        <w:rPr>
          <w:rFonts w:eastAsia="Arial"/>
          <w:color w:val="000000" w:themeColor="text1"/>
        </w:rPr>
        <w:t>T</w:t>
      </w:r>
      <w:r w:rsidR="00A6596B" w:rsidRPr="00C402AF">
        <w:rPr>
          <w:rFonts w:eastAsia="Arial"/>
          <w:color w:val="000000" w:themeColor="text1"/>
        </w:rPr>
        <w:t xml:space="preserve">he following PHOs were combined in the </w:t>
      </w:r>
      <w:r>
        <w:rPr>
          <w:rFonts w:eastAsia="Arial"/>
          <w:color w:val="000000" w:themeColor="text1"/>
        </w:rPr>
        <w:t>a</w:t>
      </w:r>
      <w:r w:rsidR="00A6596B" w:rsidRPr="00C402AF">
        <w:rPr>
          <w:rFonts w:eastAsia="Arial"/>
          <w:color w:val="000000" w:themeColor="text1"/>
        </w:rPr>
        <w:t>tlas</w:t>
      </w:r>
      <w:r w:rsidR="00A950A1" w:rsidRPr="00C402AF">
        <w:rPr>
          <w:rFonts w:eastAsia="Arial"/>
          <w:color w:val="000000" w:themeColor="text1"/>
        </w:rPr>
        <w:t>.</w:t>
      </w:r>
      <w:r w:rsidR="00A6596B" w:rsidRPr="00C402AF">
        <w:rPr>
          <w:rFonts w:eastAsia="Arial"/>
          <w:color w:val="000000" w:themeColor="text1"/>
        </w:rPr>
        <w:t xml:space="preserve"> </w:t>
      </w:r>
      <w:r w:rsidR="00A950A1" w:rsidRPr="00C402AF">
        <w:rPr>
          <w:rFonts w:eastAsia="Arial"/>
          <w:color w:val="000000" w:themeColor="text1"/>
        </w:rPr>
        <w:t>T</w:t>
      </w:r>
      <w:r w:rsidR="00A6596B" w:rsidRPr="00C402AF">
        <w:rPr>
          <w:rFonts w:eastAsia="Arial"/>
          <w:color w:val="000000" w:themeColor="text1"/>
        </w:rPr>
        <w:t xml:space="preserve">his was done where PHOs had changed entities or where there were regional subsidiaries with enrolled populations that were too small to report separately. </w:t>
      </w:r>
    </w:p>
    <w:tbl>
      <w:tblPr>
        <w:tblW w:w="8842" w:type="dxa"/>
        <w:tblInd w:w="615" w:type="dxa"/>
        <w:tblLayout w:type="fixed"/>
        <w:tblLook w:val="04A0" w:firstRow="1" w:lastRow="0" w:firstColumn="1" w:lastColumn="0" w:noHBand="0" w:noVBand="1"/>
      </w:tblPr>
      <w:tblGrid>
        <w:gridCol w:w="4420"/>
        <w:gridCol w:w="4422"/>
      </w:tblGrid>
      <w:tr w:rsidR="00A6596B" w:rsidRPr="00C402AF" w14:paraId="4237C4E4" w14:textId="77777777">
        <w:trPr>
          <w:trHeight w:val="300"/>
        </w:trPr>
        <w:tc>
          <w:tcPr>
            <w:tcW w:w="44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F1C29EB" w14:textId="77777777" w:rsidR="00A6596B" w:rsidRPr="00C402AF" w:rsidRDefault="00A6596B" w:rsidP="00A6596B">
            <w:pPr>
              <w:pStyle w:val="TablecolumnheadingHQSC"/>
            </w:pPr>
            <w:r w:rsidRPr="00C402AF">
              <w:t>Recorded PHO name</w:t>
            </w:r>
          </w:p>
        </w:tc>
        <w:tc>
          <w:tcPr>
            <w:tcW w:w="4422" w:type="dxa"/>
            <w:tcBorders>
              <w:top w:val="single" w:sz="8" w:space="0" w:color="auto"/>
              <w:left w:val="single" w:sz="8" w:space="0" w:color="auto"/>
              <w:bottom w:val="single" w:sz="8" w:space="0" w:color="auto"/>
              <w:right w:val="single" w:sz="8" w:space="0" w:color="auto"/>
            </w:tcBorders>
            <w:tcMar>
              <w:left w:w="108" w:type="dxa"/>
              <w:right w:w="108" w:type="dxa"/>
            </w:tcMar>
          </w:tcPr>
          <w:p w14:paraId="26811CBA" w14:textId="77777777" w:rsidR="00A6596B" w:rsidRPr="00C402AF" w:rsidRDefault="00A6596B" w:rsidP="00A6596B">
            <w:pPr>
              <w:pStyle w:val="TablecolumnheadingHQSC"/>
            </w:pPr>
            <w:r w:rsidRPr="00C402AF">
              <w:t>Atlas reporting PHO name</w:t>
            </w:r>
          </w:p>
        </w:tc>
      </w:tr>
      <w:tr w:rsidR="00A6596B" w:rsidRPr="00C402AF" w14:paraId="36A9C6BA" w14:textId="77777777">
        <w:trPr>
          <w:trHeight w:val="300"/>
        </w:trPr>
        <w:tc>
          <w:tcPr>
            <w:tcW w:w="44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8936F1" w14:textId="77777777" w:rsidR="00A6596B" w:rsidRPr="00C402AF" w:rsidRDefault="00A6596B" w:rsidP="00A6596B">
            <w:pPr>
              <w:pStyle w:val="TabletextHQSC"/>
            </w:pPr>
            <w:r w:rsidRPr="00C402AF">
              <w:t>Alliance Health Plus Trust</w:t>
            </w:r>
          </w:p>
        </w:tc>
        <w:tc>
          <w:tcPr>
            <w:tcW w:w="4422" w:type="dxa"/>
            <w:tcBorders>
              <w:top w:val="single" w:sz="8" w:space="0" w:color="auto"/>
              <w:left w:val="single" w:sz="8" w:space="0" w:color="auto"/>
              <w:bottom w:val="single" w:sz="8" w:space="0" w:color="auto"/>
              <w:right w:val="single" w:sz="8" w:space="0" w:color="auto"/>
            </w:tcBorders>
            <w:tcMar>
              <w:left w:w="108" w:type="dxa"/>
              <w:right w:w="108" w:type="dxa"/>
            </w:tcMar>
          </w:tcPr>
          <w:p w14:paraId="5B0DACC4" w14:textId="77777777" w:rsidR="00A6596B" w:rsidRPr="00C402AF" w:rsidRDefault="00A6596B" w:rsidP="00A6596B">
            <w:pPr>
              <w:pStyle w:val="TabletextHQSC"/>
            </w:pPr>
            <w:r w:rsidRPr="00C402AF">
              <w:t>Included in The Cause Collective</w:t>
            </w:r>
          </w:p>
        </w:tc>
      </w:tr>
      <w:tr w:rsidR="00A6596B" w:rsidRPr="00C402AF" w14:paraId="43594CAB" w14:textId="77777777" w:rsidTr="00592258">
        <w:trPr>
          <w:trHeight w:val="300"/>
        </w:trPr>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2A399A26" w14:textId="28685592" w:rsidR="00A6596B" w:rsidRPr="00C402AF" w:rsidRDefault="00A6596B" w:rsidP="001653C7">
            <w:pPr>
              <w:pStyle w:val="TabletextHQSC"/>
            </w:pPr>
            <w:r w:rsidRPr="00C402AF">
              <w:lastRenderedPageBreak/>
              <w:t xml:space="preserve">Comprehensive Care PHO </w:t>
            </w:r>
            <w:r w:rsidR="001653C7">
              <w:t>–</w:t>
            </w:r>
            <w:r w:rsidR="001653C7" w:rsidRPr="00C402AF">
              <w:t xml:space="preserve"> </w:t>
            </w:r>
            <w:r w:rsidRPr="00C402AF">
              <w:t>Northland</w:t>
            </w:r>
          </w:p>
        </w:tc>
        <w:tc>
          <w:tcPr>
            <w:tcW w:w="4422" w:type="dxa"/>
            <w:tcBorders>
              <w:top w:val="single" w:sz="8" w:space="0" w:color="auto"/>
              <w:left w:val="single" w:sz="8" w:space="0" w:color="auto"/>
              <w:bottom w:val="single" w:sz="8" w:space="0" w:color="auto"/>
              <w:right w:val="single" w:sz="8" w:space="0" w:color="auto"/>
            </w:tcBorders>
            <w:tcMar>
              <w:left w:w="108" w:type="dxa"/>
              <w:right w:w="108" w:type="dxa"/>
            </w:tcMar>
          </w:tcPr>
          <w:p w14:paraId="7EDB6FB4" w14:textId="77777777" w:rsidR="00A6596B" w:rsidRPr="00C402AF" w:rsidRDefault="00A6596B" w:rsidP="00A6596B">
            <w:pPr>
              <w:pStyle w:val="TabletextHQSC"/>
            </w:pPr>
            <w:r w:rsidRPr="00C402AF">
              <w:t>Included with Comprehensive Care PHO Limited</w:t>
            </w:r>
          </w:p>
        </w:tc>
      </w:tr>
      <w:tr w:rsidR="00A6596B" w:rsidRPr="00C402AF" w14:paraId="2F56CAC6" w14:textId="77777777" w:rsidTr="00592258">
        <w:trPr>
          <w:trHeight w:val="300"/>
        </w:trPr>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53DF14C3" w14:textId="45A78B52" w:rsidR="00A6596B" w:rsidRPr="00C402AF" w:rsidRDefault="00A6596B" w:rsidP="001653C7">
            <w:pPr>
              <w:pStyle w:val="TabletextHQSC"/>
            </w:pPr>
            <w:r w:rsidRPr="00C402AF">
              <w:t xml:space="preserve">National Hauora Coalition </w:t>
            </w:r>
            <w:r w:rsidR="001653C7">
              <w:t>–</w:t>
            </w:r>
            <w:r w:rsidR="001653C7" w:rsidRPr="00C402AF">
              <w:t xml:space="preserve"> </w:t>
            </w:r>
            <w:r w:rsidRPr="00C402AF">
              <w:t>Northland</w:t>
            </w:r>
          </w:p>
        </w:tc>
        <w:tc>
          <w:tcPr>
            <w:tcW w:w="4422" w:type="dxa"/>
            <w:tcBorders>
              <w:top w:val="single" w:sz="8" w:space="0" w:color="auto"/>
              <w:left w:val="single" w:sz="8" w:space="0" w:color="auto"/>
              <w:bottom w:val="single" w:sz="8" w:space="0" w:color="auto"/>
              <w:right w:val="single" w:sz="8" w:space="0" w:color="auto"/>
            </w:tcBorders>
            <w:tcMar>
              <w:left w:w="108" w:type="dxa"/>
              <w:right w:w="108" w:type="dxa"/>
            </w:tcMar>
          </w:tcPr>
          <w:p w14:paraId="302C521C" w14:textId="77777777" w:rsidR="00A6596B" w:rsidRPr="00C402AF" w:rsidRDefault="00A6596B" w:rsidP="00A6596B">
            <w:pPr>
              <w:pStyle w:val="TabletextHQSC"/>
            </w:pPr>
            <w:r w:rsidRPr="00C402AF">
              <w:t>Included with National Hauora Coalition</w:t>
            </w:r>
          </w:p>
        </w:tc>
      </w:tr>
      <w:tr w:rsidR="00A6596B" w:rsidRPr="00C402AF" w14:paraId="33D3C33F" w14:textId="77777777" w:rsidTr="00592258">
        <w:trPr>
          <w:trHeight w:val="300"/>
        </w:trPr>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2FADD629" w14:textId="479894FE" w:rsidR="00A6596B" w:rsidRPr="00C402AF" w:rsidRDefault="00A6596B" w:rsidP="001653C7">
            <w:pPr>
              <w:pStyle w:val="TabletextHQSC"/>
            </w:pPr>
            <w:r w:rsidRPr="00C402AF">
              <w:t xml:space="preserve">ProCare Health (PHO) Limited </w:t>
            </w:r>
            <w:r w:rsidR="001653C7">
              <w:t>–</w:t>
            </w:r>
            <w:r w:rsidR="001653C7" w:rsidRPr="00C402AF">
              <w:t xml:space="preserve"> </w:t>
            </w:r>
            <w:r w:rsidRPr="00C402AF">
              <w:t>Northland</w:t>
            </w:r>
          </w:p>
        </w:tc>
        <w:tc>
          <w:tcPr>
            <w:tcW w:w="4422" w:type="dxa"/>
            <w:tcBorders>
              <w:top w:val="single" w:sz="8" w:space="0" w:color="auto"/>
              <w:left w:val="single" w:sz="8" w:space="0" w:color="auto"/>
              <w:bottom w:val="single" w:sz="8" w:space="0" w:color="auto"/>
              <w:right w:val="single" w:sz="8" w:space="0" w:color="auto"/>
            </w:tcBorders>
            <w:tcMar>
              <w:left w:w="108" w:type="dxa"/>
              <w:right w:w="108" w:type="dxa"/>
            </w:tcMar>
          </w:tcPr>
          <w:p w14:paraId="3AFDC0A1" w14:textId="77777777" w:rsidR="00A6596B" w:rsidRPr="00C402AF" w:rsidRDefault="00A6596B" w:rsidP="00A6596B">
            <w:pPr>
              <w:pStyle w:val="TabletextHQSC"/>
            </w:pPr>
            <w:r w:rsidRPr="00C402AF">
              <w:t>Included with ProCare Health (PHO) Limited</w:t>
            </w:r>
          </w:p>
        </w:tc>
      </w:tr>
    </w:tbl>
    <w:p w14:paraId="6134EE91" w14:textId="77777777" w:rsidR="0093767A" w:rsidRPr="00C402AF" w:rsidRDefault="0093767A" w:rsidP="00A958A0">
      <w:pPr>
        <w:pStyle w:val="Heading3HQSC"/>
      </w:pPr>
      <w:bookmarkStart w:id="3" w:name="_Toc237508323"/>
      <w:r w:rsidRPr="00C402AF">
        <w:t>Exclusions</w:t>
      </w:r>
      <w:bookmarkEnd w:id="3"/>
    </w:p>
    <w:p w14:paraId="1E0F0169" w14:textId="03A6BDFC" w:rsidR="0093767A" w:rsidRPr="00C402AF" w:rsidRDefault="0093767A" w:rsidP="006957E1">
      <w:pPr>
        <w:pStyle w:val="BodytextHQSC"/>
      </w:pPr>
      <w:r w:rsidRPr="00C402AF">
        <w:t xml:space="preserve">People were excluded from analysis </w:t>
      </w:r>
      <w:r w:rsidR="00C23C6C">
        <w:t>if they</w:t>
      </w:r>
      <w:r w:rsidRPr="00C402AF">
        <w:t>:</w:t>
      </w:r>
    </w:p>
    <w:p w14:paraId="40B5C8E0" w14:textId="76C21DDB" w:rsidR="0093767A" w:rsidRPr="00C402AF" w:rsidRDefault="00C23C6C" w:rsidP="00A57432">
      <w:pPr>
        <w:pStyle w:val="ListParagraph"/>
        <w:numPr>
          <w:ilvl w:val="0"/>
          <w:numId w:val="11"/>
        </w:numPr>
        <w:spacing w:after="240"/>
        <w:rPr>
          <w:rFonts w:cs="Arial"/>
          <w:color w:val="000000" w:themeColor="text1"/>
        </w:rPr>
      </w:pPr>
      <w:r>
        <w:rPr>
          <w:rFonts w:cs="Arial"/>
          <w:color w:val="000000" w:themeColor="text1"/>
        </w:rPr>
        <w:t>we</w:t>
      </w:r>
      <w:r w:rsidR="0093767A" w:rsidRPr="00C402AF">
        <w:rPr>
          <w:rFonts w:cs="Arial"/>
          <w:color w:val="000000" w:themeColor="text1"/>
        </w:rPr>
        <w:t>ren’t enrolled in a PHO in the calendar year</w:t>
      </w:r>
      <w:r>
        <w:rPr>
          <w:rFonts w:cs="Arial"/>
          <w:color w:val="000000" w:themeColor="text1"/>
        </w:rPr>
        <w:t xml:space="preserve"> (</w:t>
      </w:r>
      <w:r w:rsidR="0093767A" w:rsidRPr="00C402AF">
        <w:rPr>
          <w:rFonts w:eastAsia="Arial" w:cs="Arial"/>
          <w:color w:val="000000" w:themeColor="text1"/>
        </w:rPr>
        <w:t>This allowed us to use the number of PHO-enrolled people as the denominator.</w:t>
      </w:r>
      <w:r>
        <w:rPr>
          <w:rFonts w:eastAsia="Arial" w:cs="Arial"/>
          <w:color w:val="000000" w:themeColor="text1"/>
        </w:rPr>
        <w:t>)</w:t>
      </w:r>
      <w:r w:rsidR="0093767A" w:rsidRPr="00C402AF">
        <w:rPr>
          <w:rFonts w:eastAsia="Arial" w:cs="Arial"/>
          <w:color w:val="000000" w:themeColor="text1"/>
        </w:rPr>
        <w:t xml:space="preserve"> </w:t>
      </w:r>
    </w:p>
    <w:p w14:paraId="6C6877DA" w14:textId="14A2B682" w:rsidR="0093767A" w:rsidRPr="00C402AF" w:rsidRDefault="00C23C6C" w:rsidP="00A57432">
      <w:pPr>
        <w:pStyle w:val="ListParagraph"/>
        <w:numPr>
          <w:ilvl w:val="0"/>
          <w:numId w:val="11"/>
        </w:numPr>
        <w:spacing w:after="240"/>
        <w:rPr>
          <w:rFonts w:cs="Arial"/>
          <w:color w:val="000000" w:themeColor="text1"/>
        </w:rPr>
      </w:pPr>
      <w:r>
        <w:rPr>
          <w:rFonts w:eastAsia="Arial" w:cs="Arial"/>
          <w:color w:val="000000" w:themeColor="text1"/>
        </w:rPr>
        <w:t>had</w:t>
      </w:r>
      <w:r w:rsidR="0093767A" w:rsidRPr="00C402AF">
        <w:rPr>
          <w:rFonts w:eastAsia="Arial" w:cs="Arial"/>
          <w:color w:val="000000" w:themeColor="text1"/>
        </w:rPr>
        <w:t xml:space="preserve"> died during the calendar year</w:t>
      </w:r>
      <w:r w:rsidR="00522D10" w:rsidRPr="00C402AF">
        <w:rPr>
          <w:rStyle w:val="FootnoteReference"/>
          <w:rFonts w:ascii="Arial" w:eastAsia="Arial" w:hAnsi="Arial" w:cs="Arial"/>
        </w:rPr>
        <w:footnoteReference w:id="1"/>
      </w:r>
    </w:p>
    <w:p w14:paraId="2D7B29AD" w14:textId="2A40EFF6" w:rsidR="0093767A" w:rsidRPr="00C402AF" w:rsidRDefault="005000D3" w:rsidP="00A57432">
      <w:pPr>
        <w:pStyle w:val="ListParagraph"/>
        <w:numPr>
          <w:ilvl w:val="0"/>
          <w:numId w:val="11"/>
        </w:numPr>
        <w:spacing w:after="240"/>
        <w:rPr>
          <w:rFonts w:cs="Arial"/>
          <w:color w:val="000000" w:themeColor="text1"/>
        </w:rPr>
      </w:pPr>
      <w:r>
        <w:rPr>
          <w:rFonts w:eastAsia="Arial" w:cs="Arial"/>
          <w:color w:val="000000" w:themeColor="text1"/>
        </w:rPr>
        <w:t>were</w:t>
      </w:r>
      <w:r w:rsidRPr="00C402AF">
        <w:rPr>
          <w:rFonts w:eastAsia="Arial" w:cs="Arial"/>
          <w:color w:val="000000" w:themeColor="text1"/>
        </w:rPr>
        <w:t xml:space="preserve"> </w:t>
      </w:r>
      <w:r w:rsidR="0093767A" w:rsidRPr="00C402AF">
        <w:rPr>
          <w:rFonts w:eastAsia="Arial" w:cs="Arial"/>
          <w:color w:val="000000" w:themeColor="text1"/>
        </w:rPr>
        <w:t>under 20 years of age</w:t>
      </w:r>
    </w:p>
    <w:p w14:paraId="18E807E7" w14:textId="7664EAE4" w:rsidR="0093767A" w:rsidRPr="00C402AF" w:rsidRDefault="005000D3" w:rsidP="00A57432">
      <w:pPr>
        <w:pStyle w:val="ListParagraph"/>
        <w:numPr>
          <w:ilvl w:val="0"/>
          <w:numId w:val="11"/>
        </w:numPr>
        <w:spacing w:after="240"/>
        <w:rPr>
          <w:rFonts w:cs="Arial"/>
          <w:color w:val="000000" w:themeColor="text1"/>
        </w:rPr>
      </w:pPr>
      <w:r>
        <w:rPr>
          <w:rFonts w:cs="Arial"/>
          <w:color w:val="000000" w:themeColor="text1"/>
        </w:rPr>
        <w:t>had</w:t>
      </w:r>
      <w:r w:rsidR="0093767A" w:rsidRPr="00C402AF">
        <w:rPr>
          <w:rFonts w:cs="Arial"/>
          <w:color w:val="000000" w:themeColor="text1"/>
        </w:rPr>
        <w:t xml:space="preserve"> missing demographics, </w:t>
      </w:r>
      <w:r w:rsidR="0093767A" w:rsidRPr="00C402AF">
        <w:rPr>
          <w:rFonts w:eastAsia="Arial" w:cs="Arial"/>
          <w:color w:val="000000" w:themeColor="text1"/>
        </w:rPr>
        <w:t xml:space="preserve">that is, those with no recorded value for one or more of the NHI fields used to derive the demographic variables </w:t>
      </w:r>
      <w:r>
        <w:rPr>
          <w:rFonts w:eastAsia="Arial" w:cs="Arial"/>
          <w:color w:val="000000" w:themeColor="text1"/>
        </w:rPr>
        <w:t xml:space="preserve">of interest </w:t>
      </w:r>
      <w:r w:rsidR="0093767A" w:rsidRPr="00C402AF">
        <w:rPr>
          <w:rFonts w:cs="Arial"/>
          <w:color w:val="000000" w:themeColor="text1"/>
        </w:rPr>
        <w:t>(age, gender, ethnicity and district of domicile). This</w:t>
      </w:r>
      <w:r w:rsidR="00C20301" w:rsidRPr="00C402AF">
        <w:rPr>
          <w:rFonts w:cs="Arial"/>
          <w:color w:val="000000" w:themeColor="text1"/>
        </w:rPr>
        <w:t xml:space="preserve"> </w:t>
      </w:r>
      <w:r w:rsidR="0093767A" w:rsidRPr="00C402AF">
        <w:rPr>
          <w:rFonts w:cs="Arial"/>
          <w:color w:val="000000" w:themeColor="text1"/>
        </w:rPr>
        <w:t>means individuals with a missing value for age would be excluded from all analyses. This approach ensures a consistent denominator throughout the analyses.</w:t>
      </w:r>
      <w:r w:rsidR="00342533" w:rsidRPr="00C402AF">
        <w:rPr>
          <w:rFonts w:cs="Arial"/>
          <w:color w:val="000000" w:themeColor="text1"/>
        </w:rPr>
        <w:t xml:space="preserve"> </w:t>
      </w:r>
      <w:r w:rsidR="00044120" w:rsidRPr="00C402AF">
        <w:rPr>
          <w:rFonts w:cs="Arial"/>
          <w:color w:val="000000" w:themeColor="text1"/>
        </w:rPr>
        <w:t xml:space="preserve">In total, </w:t>
      </w:r>
      <w:r w:rsidR="00682807" w:rsidRPr="00C402AF">
        <w:rPr>
          <w:rFonts w:cs="Arial"/>
          <w:color w:val="000000" w:themeColor="text1"/>
        </w:rPr>
        <w:t xml:space="preserve">missing demographic information </w:t>
      </w:r>
      <w:r w:rsidR="00044120" w:rsidRPr="00C402AF">
        <w:rPr>
          <w:rFonts w:cs="Arial"/>
          <w:color w:val="000000" w:themeColor="text1"/>
        </w:rPr>
        <w:t>excluded approximately 12,500 people who could otherwise have been identified with gout</w:t>
      </w:r>
      <w:r w:rsidR="00186ECF" w:rsidRPr="00C402AF">
        <w:rPr>
          <w:rFonts w:cs="Arial"/>
          <w:color w:val="000000" w:themeColor="text1"/>
        </w:rPr>
        <w:t xml:space="preserve"> (</w:t>
      </w:r>
      <w:r w:rsidR="00D27A08" w:rsidRPr="00C402AF">
        <w:rPr>
          <w:rFonts w:cs="Arial"/>
          <w:color w:val="000000" w:themeColor="text1"/>
        </w:rPr>
        <w:t>5</w:t>
      </w:r>
      <w:r w:rsidR="00D83D15" w:rsidRPr="00C402AF">
        <w:rPr>
          <w:rFonts w:cs="Arial"/>
          <w:color w:val="000000" w:themeColor="text1"/>
        </w:rPr>
        <w:t>.2</w:t>
      </w:r>
      <w:r w:rsidR="00186ECF" w:rsidRPr="00C402AF">
        <w:rPr>
          <w:rFonts w:cs="Arial"/>
          <w:color w:val="000000" w:themeColor="text1"/>
        </w:rPr>
        <w:t>% of the total)</w:t>
      </w:r>
      <w:r w:rsidR="00044120" w:rsidRPr="00C402AF">
        <w:rPr>
          <w:rFonts w:cs="Arial"/>
          <w:color w:val="000000" w:themeColor="text1"/>
        </w:rPr>
        <w:t xml:space="preserve"> and around 175,000 individuals from the overall denominator</w:t>
      </w:r>
      <w:r w:rsidR="00186ECF" w:rsidRPr="00C402AF">
        <w:rPr>
          <w:rFonts w:cs="Arial"/>
          <w:color w:val="000000" w:themeColor="text1"/>
        </w:rPr>
        <w:t xml:space="preserve"> (</w:t>
      </w:r>
      <w:r w:rsidR="00322BE9" w:rsidRPr="00C402AF">
        <w:rPr>
          <w:rFonts w:cs="Arial"/>
          <w:color w:val="000000" w:themeColor="text1"/>
        </w:rPr>
        <w:t>4.7</w:t>
      </w:r>
      <w:r w:rsidR="00186ECF" w:rsidRPr="00C402AF">
        <w:rPr>
          <w:rFonts w:cs="Arial"/>
          <w:color w:val="000000" w:themeColor="text1"/>
        </w:rPr>
        <w:t>% of the total)</w:t>
      </w:r>
      <w:r w:rsidR="00044120" w:rsidRPr="00C402AF">
        <w:rPr>
          <w:rFonts w:cs="Arial"/>
          <w:color w:val="000000" w:themeColor="text1"/>
        </w:rPr>
        <w:t>.</w:t>
      </w:r>
    </w:p>
    <w:p w14:paraId="4DCEC6B4" w14:textId="77777777" w:rsidR="00321EA9" w:rsidRPr="00C402AF" w:rsidRDefault="00321EA9" w:rsidP="0036468A">
      <w:pPr>
        <w:pStyle w:val="HQSChead3"/>
      </w:pPr>
      <w:bookmarkStart w:id="4" w:name="_Toc237508324"/>
      <w:r w:rsidRPr="00C402AF">
        <w:t>People estimated to have gout but not enrolled in a PHO</w:t>
      </w:r>
      <w:bookmarkEnd w:id="4"/>
    </w:p>
    <w:p w14:paraId="10A9CFFE" w14:textId="5EBA0E89" w:rsidR="00321EA9" w:rsidRPr="00C402AF" w:rsidRDefault="00321EA9" w:rsidP="00A57432">
      <w:pPr>
        <w:pStyle w:val="BodytextHQSC"/>
        <w:numPr>
          <w:ilvl w:val="0"/>
          <w:numId w:val="11"/>
        </w:numPr>
      </w:pPr>
      <w:r w:rsidRPr="00C402AF">
        <w:t xml:space="preserve">People are eligible to enrol with a PHO if they are New Zealand citizens, permanent residents or meet other criteria, such as holding a relevant visa. </w:t>
      </w:r>
      <w:r w:rsidR="00751561">
        <w:t>P</w:t>
      </w:r>
      <w:r w:rsidRPr="00C402AF">
        <w:t xml:space="preserve">eople are not enrolled in PHOs for a range of reasons, including being unable to find a primary </w:t>
      </w:r>
      <w:r w:rsidR="004871D9">
        <w:t xml:space="preserve">health </w:t>
      </w:r>
      <w:r w:rsidRPr="00C402AF">
        <w:t>care provider in their local area who is accepting new patients</w:t>
      </w:r>
      <w:r w:rsidR="00751561">
        <w:t>;</w:t>
      </w:r>
      <w:r w:rsidR="00751561" w:rsidRPr="00C402AF">
        <w:t xml:space="preserve"> </w:t>
      </w:r>
      <w:r w:rsidRPr="00C402AF">
        <w:t xml:space="preserve">barriers to access such as cost, transport, primary </w:t>
      </w:r>
      <w:r w:rsidR="00CE2925">
        <w:t xml:space="preserve">health </w:t>
      </w:r>
      <w:r w:rsidRPr="00C402AF">
        <w:t xml:space="preserve">care offered is not perceived as acceptable, appropriate or safe for them or they may receive their health care through a separate system, for example, Defence Force staff or Corrections health service for those in prison. Subsidised medicines are available to New Zealand residents and citizens </w:t>
      </w:r>
      <w:proofErr w:type="gramStart"/>
      <w:r w:rsidRPr="00C402AF">
        <w:t>whether or not</w:t>
      </w:r>
      <w:proofErr w:type="gramEnd"/>
      <w:r w:rsidRPr="00C402AF">
        <w:t xml:space="preserve"> they are enrolled with a PHO. </w:t>
      </w:r>
    </w:p>
    <w:p w14:paraId="0AEF1F7E" w14:textId="22CC96B5" w:rsidR="006957E1" w:rsidRPr="00C402AF" w:rsidRDefault="00461690" w:rsidP="00A57432">
      <w:pPr>
        <w:pStyle w:val="BodytextHQSC"/>
        <w:numPr>
          <w:ilvl w:val="0"/>
          <w:numId w:val="11"/>
        </w:numPr>
      </w:pPr>
      <w:r w:rsidRPr="00C402AF">
        <w:t xml:space="preserve">Our method uses the PHO-enrolled population as the denominator because it provides a linkable population through the National Health Index (NHI), enabling consistent </w:t>
      </w:r>
      <w:r w:rsidR="00AA6BD1" w:rsidRPr="00C402AF">
        <w:t>link</w:t>
      </w:r>
      <w:r w:rsidR="00AA6BD1">
        <w:t xml:space="preserve">s </w:t>
      </w:r>
      <w:r w:rsidRPr="00C402AF">
        <w:t>across datasets.</w:t>
      </w:r>
    </w:p>
    <w:p w14:paraId="6CFA4FA8" w14:textId="1DBE57AD" w:rsidR="00321EA9" w:rsidRPr="00C402AF" w:rsidRDefault="00321EA9" w:rsidP="00A57432">
      <w:pPr>
        <w:pStyle w:val="TeThHauorabodytext"/>
        <w:numPr>
          <w:ilvl w:val="0"/>
          <w:numId w:val="11"/>
        </w:numPr>
        <w:rPr>
          <w:b/>
        </w:rPr>
      </w:pPr>
      <w:r w:rsidRPr="00C402AF">
        <w:t>In 2024, we identified about 6,800 people</w:t>
      </w:r>
      <w:r w:rsidR="004A4642">
        <w:t xml:space="preserve"> who</w:t>
      </w:r>
      <w:r w:rsidRPr="00C402AF">
        <w:t xml:space="preserve"> were estimated to have gout but were not included in our cohort (indicator 1) because they were not currently enrolled in a PHO.</w:t>
      </w:r>
    </w:p>
    <w:p w14:paraId="78FECE24" w14:textId="77777777" w:rsidR="00321EA9" w:rsidRPr="00C402AF" w:rsidRDefault="00321EA9" w:rsidP="0036468A">
      <w:pPr>
        <w:spacing w:after="240"/>
        <w:rPr>
          <w:rFonts w:cs="Arial"/>
          <w:color w:val="000000" w:themeColor="text1"/>
        </w:rPr>
      </w:pPr>
    </w:p>
    <w:p w14:paraId="01F50E29" w14:textId="2A364AFC" w:rsidR="0093767A" w:rsidRPr="00C402AF" w:rsidRDefault="0093767A" w:rsidP="00A958A0">
      <w:pPr>
        <w:pStyle w:val="Heading3HQSC"/>
      </w:pPr>
      <w:bookmarkStart w:id="5" w:name="_Toc237508325"/>
      <w:r w:rsidRPr="00C402AF">
        <w:lastRenderedPageBreak/>
        <w:t>Acknowledgements</w:t>
      </w:r>
      <w:bookmarkEnd w:id="5"/>
    </w:p>
    <w:p w14:paraId="312CDD23" w14:textId="2DAEB666" w:rsidR="0093767A" w:rsidRPr="00C402AF" w:rsidRDefault="0093767A" w:rsidP="0093767A">
      <w:pPr>
        <w:rPr>
          <w:rFonts w:cs="Arial"/>
        </w:rPr>
      </w:pPr>
      <w:r w:rsidRPr="00C402AF">
        <w:rPr>
          <w:rFonts w:cs="Arial"/>
        </w:rPr>
        <w:t xml:space="preserve">Health Quality &amp; Safety Commission </w:t>
      </w:r>
      <w:r w:rsidR="00672F1B">
        <w:rPr>
          <w:rFonts w:cs="Arial"/>
        </w:rPr>
        <w:t>Te Tāhū Hauora</w:t>
      </w:r>
      <w:r w:rsidR="00B229BF">
        <w:rPr>
          <w:rFonts w:cs="Arial"/>
        </w:rPr>
        <w:t xml:space="preserve"> </w:t>
      </w:r>
      <w:r w:rsidRPr="00C402AF">
        <w:rPr>
          <w:rFonts w:cs="Arial"/>
        </w:rPr>
        <w:t xml:space="preserve">(the </w:t>
      </w:r>
      <w:r w:rsidR="004A4642">
        <w:rPr>
          <w:rFonts w:cs="Arial"/>
        </w:rPr>
        <w:t>c</w:t>
      </w:r>
      <w:r w:rsidRPr="00C402AF">
        <w:rPr>
          <w:rFonts w:cs="Arial"/>
        </w:rPr>
        <w:t xml:space="preserve">ommission) acknowledges the contribution of </w:t>
      </w:r>
      <w:r w:rsidR="005F2209" w:rsidRPr="00C402AF">
        <w:rPr>
          <w:rFonts w:cs="Arial"/>
        </w:rPr>
        <w:t xml:space="preserve">people involved </w:t>
      </w:r>
      <w:r w:rsidRPr="00C402AF">
        <w:rPr>
          <w:rFonts w:cs="Arial"/>
        </w:rPr>
        <w:t xml:space="preserve">in developing </w:t>
      </w:r>
      <w:r w:rsidR="00737238" w:rsidRPr="00C402AF">
        <w:rPr>
          <w:rFonts w:cs="Arial"/>
        </w:rPr>
        <w:t>th</w:t>
      </w:r>
      <w:r w:rsidR="00737238">
        <w:rPr>
          <w:rFonts w:cs="Arial"/>
        </w:rPr>
        <w:t>e</w:t>
      </w:r>
      <w:r w:rsidR="00737238" w:rsidRPr="00C402AF">
        <w:rPr>
          <w:rFonts w:cs="Arial"/>
        </w:rPr>
        <w:t xml:space="preserve"> </w:t>
      </w:r>
      <w:r w:rsidR="00806EDE">
        <w:rPr>
          <w:rFonts w:cs="Arial"/>
        </w:rPr>
        <w:t xml:space="preserve">Gout </w:t>
      </w:r>
      <w:r w:rsidRPr="00C402AF">
        <w:rPr>
          <w:rFonts w:cs="Arial"/>
        </w:rPr>
        <w:t>Atlas of Healthcare Variation:</w:t>
      </w:r>
    </w:p>
    <w:p w14:paraId="212C61EF" w14:textId="424144EF" w:rsidR="0093767A" w:rsidRPr="00C402AF" w:rsidRDefault="0093767A" w:rsidP="00A57432">
      <w:pPr>
        <w:pStyle w:val="ListParagraph"/>
        <w:numPr>
          <w:ilvl w:val="0"/>
          <w:numId w:val="7"/>
        </w:numPr>
        <w:spacing w:after="0"/>
        <w:rPr>
          <w:rFonts w:cs="Arial"/>
        </w:rPr>
      </w:pPr>
      <w:r w:rsidRPr="00C402AF">
        <w:rPr>
          <w:rFonts w:cs="Arial"/>
        </w:rPr>
        <w:t xml:space="preserve">Prof Nicola Dalbeth, (chair) rheumatologist, Department of Rheumatology, </w:t>
      </w:r>
      <w:r w:rsidR="009A4731" w:rsidRPr="00C402AF">
        <w:rPr>
          <w:rFonts w:cs="Arial"/>
        </w:rPr>
        <w:t>Te Toka Tumai Auckland District</w:t>
      </w:r>
      <w:r w:rsidRPr="00C402AF">
        <w:rPr>
          <w:rFonts w:cs="Arial"/>
        </w:rPr>
        <w:t xml:space="preserve"> and Department of Medicine, University of Auckland</w:t>
      </w:r>
    </w:p>
    <w:p w14:paraId="3EB5CC9D" w14:textId="258C39F6" w:rsidR="0093767A" w:rsidRPr="00C402AF" w:rsidRDefault="0093767A" w:rsidP="00A57432">
      <w:pPr>
        <w:pStyle w:val="ListParagraph"/>
        <w:numPr>
          <w:ilvl w:val="0"/>
          <w:numId w:val="7"/>
        </w:numPr>
        <w:spacing w:after="0"/>
        <w:rPr>
          <w:rFonts w:cs="Arial"/>
        </w:rPr>
      </w:pPr>
      <w:r w:rsidRPr="00C402AF">
        <w:rPr>
          <w:rFonts w:cs="Arial"/>
        </w:rPr>
        <w:t xml:space="preserve">Dr Doone </w:t>
      </w:r>
      <w:proofErr w:type="spellStart"/>
      <w:r w:rsidRPr="00C402AF">
        <w:rPr>
          <w:rFonts w:cs="Arial"/>
        </w:rPr>
        <w:t>Winnard</w:t>
      </w:r>
      <w:proofErr w:type="spellEnd"/>
      <w:r w:rsidRPr="00C402AF">
        <w:rPr>
          <w:rFonts w:cs="Arial"/>
        </w:rPr>
        <w:t xml:space="preserve">, public health physician, </w:t>
      </w:r>
      <w:r w:rsidR="00E91FCA" w:rsidRPr="00C402AF">
        <w:rPr>
          <w:rFonts w:cs="Arial"/>
        </w:rPr>
        <w:t>Planning, Funding and Outcomes, Health New Zealand | Te Whatu Ora</w:t>
      </w:r>
    </w:p>
    <w:p w14:paraId="5F77851D" w14:textId="7E9A0F1C" w:rsidR="0093767A" w:rsidRPr="00C402AF" w:rsidRDefault="00F540FB" w:rsidP="00A57432">
      <w:pPr>
        <w:pStyle w:val="ListParagraph"/>
        <w:numPr>
          <w:ilvl w:val="0"/>
          <w:numId w:val="7"/>
        </w:numPr>
        <w:spacing w:after="0"/>
        <w:rPr>
          <w:rFonts w:cs="Arial"/>
        </w:rPr>
      </w:pPr>
      <w:r w:rsidRPr="00C402AF">
        <w:rPr>
          <w:rFonts w:cs="Arial"/>
        </w:rPr>
        <w:t xml:space="preserve">Assoc Prof </w:t>
      </w:r>
      <w:r w:rsidR="0093767A" w:rsidRPr="00C402AF">
        <w:rPr>
          <w:rFonts w:cs="Arial"/>
        </w:rPr>
        <w:t>Leanne Te Karu, pharmacist prescriber – general practice, University of Auckland</w:t>
      </w:r>
    </w:p>
    <w:p w14:paraId="073AA0D3" w14:textId="057656AC" w:rsidR="0093767A" w:rsidRPr="00C402AF" w:rsidRDefault="00F540FB" w:rsidP="00A57432">
      <w:pPr>
        <w:pStyle w:val="ListParagraph"/>
        <w:numPr>
          <w:ilvl w:val="0"/>
          <w:numId w:val="7"/>
        </w:numPr>
        <w:spacing w:after="0"/>
        <w:rPr>
          <w:rFonts w:cs="Arial"/>
        </w:rPr>
      </w:pPr>
      <w:r w:rsidRPr="00C402AF">
        <w:rPr>
          <w:rFonts w:cs="Arial"/>
        </w:rPr>
        <w:t xml:space="preserve">Assoc Prof </w:t>
      </w:r>
      <w:r w:rsidR="0093767A" w:rsidRPr="00C402AF">
        <w:rPr>
          <w:rFonts w:cs="Arial"/>
        </w:rPr>
        <w:t>Peter Gow, rheumatologist, Middlemore Hospital</w:t>
      </w:r>
    </w:p>
    <w:p w14:paraId="6F3878B8" w14:textId="77777777" w:rsidR="0093767A" w:rsidRPr="00C402AF" w:rsidRDefault="0093767A" w:rsidP="00A57432">
      <w:pPr>
        <w:pStyle w:val="ListParagraph"/>
        <w:numPr>
          <w:ilvl w:val="0"/>
          <w:numId w:val="7"/>
        </w:numPr>
        <w:spacing w:after="0"/>
        <w:rPr>
          <w:rFonts w:cs="Arial"/>
        </w:rPr>
      </w:pPr>
      <w:r w:rsidRPr="00C402AF">
        <w:rPr>
          <w:rFonts w:cs="Arial"/>
        </w:rPr>
        <w:t>Prof Tony Dowell, professor of primary health care and general practice, University of Otago, Wellington.</w:t>
      </w:r>
    </w:p>
    <w:p w14:paraId="1E99CB5C" w14:textId="77777777" w:rsidR="008715CB" w:rsidRPr="00C402AF" w:rsidRDefault="008715CB" w:rsidP="008715CB">
      <w:pPr>
        <w:spacing w:after="0"/>
        <w:rPr>
          <w:rFonts w:cs="Arial"/>
        </w:rPr>
      </w:pPr>
    </w:p>
    <w:p w14:paraId="4484BA45" w14:textId="5CFE4C61" w:rsidR="00321B2C" w:rsidRPr="00C402AF" w:rsidRDefault="00321B2C" w:rsidP="00321B2C">
      <w:pPr>
        <w:spacing w:after="0"/>
        <w:rPr>
          <w:rFonts w:cs="Arial"/>
        </w:rPr>
      </w:pPr>
      <w:r w:rsidRPr="00C402AF">
        <w:rPr>
          <w:rFonts w:cs="Arial"/>
        </w:rPr>
        <w:t xml:space="preserve">The </w:t>
      </w:r>
      <w:r w:rsidR="009D5675">
        <w:rPr>
          <w:rFonts w:cs="Arial"/>
        </w:rPr>
        <w:t>c</w:t>
      </w:r>
      <w:r w:rsidRPr="00C402AF">
        <w:rPr>
          <w:rFonts w:cs="Arial"/>
        </w:rPr>
        <w:t xml:space="preserve">ommission also acknowledges the contribution of the following </w:t>
      </w:r>
      <w:r w:rsidR="005F2209" w:rsidRPr="00C402AF">
        <w:rPr>
          <w:rFonts w:cs="Arial"/>
        </w:rPr>
        <w:t>people</w:t>
      </w:r>
      <w:r w:rsidRPr="00C402AF">
        <w:rPr>
          <w:rFonts w:cs="Arial"/>
        </w:rPr>
        <w:t xml:space="preserve"> involved in the 2026 update of this domain:</w:t>
      </w:r>
    </w:p>
    <w:p w14:paraId="3AC95AB7" w14:textId="3A7B7372" w:rsidR="00321B2C" w:rsidRPr="00C402AF" w:rsidRDefault="00321B2C" w:rsidP="00A57432">
      <w:pPr>
        <w:pStyle w:val="ListParagraph"/>
        <w:numPr>
          <w:ilvl w:val="0"/>
          <w:numId w:val="7"/>
        </w:numPr>
        <w:spacing w:after="0"/>
        <w:rPr>
          <w:rFonts w:cs="Arial"/>
        </w:rPr>
      </w:pPr>
      <w:r w:rsidRPr="00C402AF">
        <w:rPr>
          <w:rFonts w:cs="Arial"/>
        </w:rPr>
        <w:t>Prof Nicola Dalbeth, rheumatologist, Department of Rheumatology, Te Toka Tumai Auckland District and Department of Medicine, University of Auckland</w:t>
      </w:r>
    </w:p>
    <w:p w14:paraId="40A68CD0" w14:textId="58434FAB" w:rsidR="00321B2C" w:rsidRPr="00C402AF" w:rsidRDefault="00321B2C" w:rsidP="00A57432">
      <w:pPr>
        <w:pStyle w:val="ListParagraph"/>
        <w:numPr>
          <w:ilvl w:val="0"/>
          <w:numId w:val="7"/>
        </w:numPr>
        <w:spacing w:after="0"/>
        <w:rPr>
          <w:rFonts w:cs="Arial"/>
        </w:rPr>
      </w:pPr>
      <w:r w:rsidRPr="00C402AF">
        <w:rPr>
          <w:rFonts w:cs="Arial"/>
        </w:rPr>
        <w:t xml:space="preserve">Dr Doone </w:t>
      </w:r>
      <w:proofErr w:type="spellStart"/>
      <w:r w:rsidRPr="00C402AF">
        <w:rPr>
          <w:rFonts w:cs="Arial"/>
        </w:rPr>
        <w:t>Winnard</w:t>
      </w:r>
      <w:proofErr w:type="spellEnd"/>
      <w:r w:rsidRPr="00C402AF">
        <w:rPr>
          <w:rFonts w:cs="Arial"/>
        </w:rPr>
        <w:t>, public health physician, Planning, Funding and Outcomes, Health New Zealand | Te Whatu Ora</w:t>
      </w:r>
    </w:p>
    <w:p w14:paraId="47D8AAD2" w14:textId="53BAE55C" w:rsidR="00821810" w:rsidRPr="00C402AF" w:rsidRDefault="00383DFC" w:rsidP="00A57432">
      <w:pPr>
        <w:pStyle w:val="ListParagraph"/>
        <w:numPr>
          <w:ilvl w:val="0"/>
          <w:numId w:val="7"/>
        </w:numPr>
        <w:spacing w:after="0"/>
        <w:rPr>
          <w:rFonts w:cs="Arial"/>
        </w:rPr>
      </w:pPr>
      <w:r w:rsidRPr="00C402AF">
        <w:rPr>
          <w:rFonts w:cs="Arial"/>
        </w:rPr>
        <w:t xml:space="preserve">Dr </w:t>
      </w:r>
      <w:r w:rsidR="00821810" w:rsidRPr="00C402AF">
        <w:rPr>
          <w:rFonts w:cs="Arial"/>
        </w:rPr>
        <w:t xml:space="preserve">Linda Bryant, </w:t>
      </w:r>
      <w:r w:rsidR="00E41A0B" w:rsidRPr="00C402AF">
        <w:rPr>
          <w:rFonts w:cs="Arial"/>
        </w:rPr>
        <w:t>pharmacist prescriber</w:t>
      </w:r>
      <w:r w:rsidR="005B28AA" w:rsidRPr="00C402AF">
        <w:rPr>
          <w:rFonts w:cs="Arial"/>
        </w:rPr>
        <w:t xml:space="preserve">, </w:t>
      </w:r>
      <w:r w:rsidR="00B8154E" w:rsidRPr="00C402AF">
        <w:rPr>
          <w:rFonts w:cs="Arial"/>
        </w:rPr>
        <w:t>Newtown Union Health</w:t>
      </w:r>
      <w:r w:rsidR="004B7A58" w:rsidRPr="00C402AF">
        <w:rPr>
          <w:rFonts w:cs="Arial"/>
        </w:rPr>
        <w:t xml:space="preserve"> Service</w:t>
      </w:r>
      <w:r w:rsidR="00B8154E" w:rsidRPr="00C402AF">
        <w:rPr>
          <w:rFonts w:cs="Arial"/>
        </w:rPr>
        <w:t>, Wellington.</w:t>
      </w:r>
    </w:p>
    <w:p w14:paraId="647C2247" w14:textId="77777777" w:rsidR="0093767A" w:rsidRPr="00C402AF" w:rsidRDefault="0093767A" w:rsidP="00A958A0">
      <w:pPr>
        <w:pStyle w:val="Heading3HQSC"/>
      </w:pPr>
      <w:bookmarkStart w:id="6" w:name="_Toc237508326"/>
      <w:r w:rsidRPr="00C402AF">
        <w:t>Disclaimer</w:t>
      </w:r>
      <w:bookmarkEnd w:id="6"/>
    </w:p>
    <w:p w14:paraId="557CE8B3" w14:textId="4272AB37" w:rsidR="00513398" w:rsidRPr="00C402AF" w:rsidRDefault="0093767A" w:rsidP="00513398">
      <w:pPr>
        <w:pStyle w:val="BodytextHQSC"/>
      </w:pPr>
      <w:r w:rsidRPr="00C402AF">
        <w:t xml:space="preserve">The </w:t>
      </w:r>
      <w:r w:rsidR="00033186">
        <w:t>c</w:t>
      </w:r>
      <w:r w:rsidRPr="00C402AF">
        <w:t xml:space="preserve">ommission is responsible for the content of the gout </w:t>
      </w:r>
      <w:r w:rsidR="00873F37">
        <w:t>a</w:t>
      </w:r>
      <w:r w:rsidRPr="00C402AF">
        <w:t>tlas domain and methodology; any errors of fact or interpretation are ours alone.</w:t>
      </w:r>
    </w:p>
    <w:p w14:paraId="26F01CFC" w14:textId="210B9C6E" w:rsidR="00645A0E" w:rsidRPr="00C402AF" w:rsidRDefault="00645A0E" w:rsidP="00513398">
      <w:pPr>
        <w:pStyle w:val="Heading3"/>
      </w:pPr>
      <w:bookmarkStart w:id="7" w:name="_Toc237508327"/>
      <w:r w:rsidRPr="00C402AF">
        <w:t>Data sources</w:t>
      </w:r>
      <w:bookmarkEnd w:id="7"/>
    </w:p>
    <w:p w14:paraId="4D24CA5D" w14:textId="7E13961C" w:rsidR="00191179" w:rsidRPr="00C402AF" w:rsidRDefault="00191179" w:rsidP="00066171">
      <w:pPr>
        <w:pStyle w:val="BulletsHQSC"/>
      </w:pPr>
      <w:r w:rsidRPr="00C402AF">
        <w:t xml:space="preserve">Pharmaceutical </w:t>
      </w:r>
      <w:r w:rsidR="00873F37">
        <w:t>c</w:t>
      </w:r>
      <w:r w:rsidRPr="00C402AF">
        <w:t xml:space="preserve">ollection, Health </w:t>
      </w:r>
      <w:r w:rsidR="00873F37">
        <w:t>NZ</w:t>
      </w:r>
      <w:r w:rsidRPr="00C402AF">
        <w:t>.</w:t>
      </w:r>
    </w:p>
    <w:p w14:paraId="1774276E" w14:textId="5072B6AB" w:rsidR="00191179" w:rsidRPr="00C402AF" w:rsidRDefault="00191179" w:rsidP="00066171">
      <w:pPr>
        <w:pStyle w:val="BulletsHQSC"/>
      </w:pPr>
      <w:r w:rsidRPr="00C402AF">
        <w:t xml:space="preserve">National </w:t>
      </w:r>
      <w:r w:rsidR="00873F37" w:rsidRPr="00C402AF">
        <w:t xml:space="preserve">minimum dataset </w:t>
      </w:r>
      <w:r w:rsidRPr="00C402AF">
        <w:t xml:space="preserve">(NMDS), Health </w:t>
      </w:r>
      <w:r w:rsidR="00873F37">
        <w:t>NZ</w:t>
      </w:r>
      <w:r w:rsidRPr="00C402AF">
        <w:t>.</w:t>
      </w:r>
    </w:p>
    <w:p w14:paraId="5E19720A" w14:textId="5BD699C2" w:rsidR="00191179" w:rsidRPr="00C402AF" w:rsidRDefault="00191179" w:rsidP="00066171">
      <w:pPr>
        <w:pStyle w:val="BulletsHQSC"/>
        <w:rPr>
          <w:color w:val="000000" w:themeColor="text1"/>
        </w:rPr>
      </w:pPr>
      <w:r w:rsidRPr="00C402AF">
        <w:t xml:space="preserve">PHO </w:t>
      </w:r>
      <w:r w:rsidR="00F0005F" w:rsidRPr="00C402AF">
        <w:t>enrolment collection</w:t>
      </w:r>
      <w:r w:rsidRPr="00C402AF">
        <w:t xml:space="preserve">, Health </w:t>
      </w:r>
      <w:r w:rsidR="00F0005F">
        <w:t>NZ</w:t>
      </w:r>
      <w:r w:rsidRPr="00C402AF">
        <w:t xml:space="preserve">. </w:t>
      </w:r>
    </w:p>
    <w:p w14:paraId="5AE58FD4" w14:textId="52D586EF" w:rsidR="0093767A" w:rsidRPr="00C402AF" w:rsidRDefault="00191179" w:rsidP="00066171">
      <w:pPr>
        <w:pStyle w:val="BulletsHQSC"/>
        <w:rPr>
          <w:color w:val="000000" w:themeColor="text1"/>
        </w:rPr>
      </w:pPr>
      <w:r w:rsidRPr="00C402AF">
        <w:rPr>
          <w:color w:val="000000" w:themeColor="text1"/>
        </w:rPr>
        <w:t xml:space="preserve">All information on demographics </w:t>
      </w:r>
      <w:r w:rsidR="00F0005F">
        <w:rPr>
          <w:color w:val="000000" w:themeColor="text1"/>
        </w:rPr>
        <w:t>was</w:t>
      </w:r>
      <w:r w:rsidR="00F0005F" w:rsidRPr="00C402AF">
        <w:rPr>
          <w:color w:val="000000" w:themeColor="text1"/>
        </w:rPr>
        <w:t xml:space="preserve"> </w:t>
      </w:r>
      <w:r w:rsidRPr="00C402AF">
        <w:rPr>
          <w:color w:val="000000" w:themeColor="text1"/>
        </w:rPr>
        <w:t xml:space="preserve">obtained from </w:t>
      </w:r>
      <w:r w:rsidR="00F0005F">
        <w:rPr>
          <w:color w:val="000000" w:themeColor="text1"/>
        </w:rPr>
        <w:t xml:space="preserve">the </w:t>
      </w:r>
      <w:r w:rsidR="007A009D" w:rsidRPr="00C402AF">
        <w:rPr>
          <w:color w:val="000000" w:themeColor="text1"/>
        </w:rPr>
        <w:t>National Health Index</w:t>
      </w:r>
      <w:r w:rsidRPr="00C402AF">
        <w:rPr>
          <w:color w:val="000000" w:themeColor="text1"/>
        </w:rPr>
        <w:t xml:space="preserve"> </w:t>
      </w:r>
      <w:r w:rsidR="007A009D" w:rsidRPr="00C402AF">
        <w:rPr>
          <w:color w:val="000000" w:themeColor="text1"/>
        </w:rPr>
        <w:t>(</w:t>
      </w:r>
      <w:r w:rsidRPr="00C402AF">
        <w:rPr>
          <w:color w:val="000000" w:themeColor="text1"/>
        </w:rPr>
        <w:t>NHI</w:t>
      </w:r>
      <w:r w:rsidR="007A009D" w:rsidRPr="00C402AF">
        <w:rPr>
          <w:color w:val="000000" w:themeColor="text1"/>
        </w:rPr>
        <w:t>)</w:t>
      </w:r>
      <w:r w:rsidRPr="00C402AF">
        <w:rPr>
          <w:color w:val="000000" w:themeColor="text1"/>
        </w:rPr>
        <w:t xml:space="preserve"> database</w:t>
      </w:r>
      <w:r w:rsidR="00F0005F">
        <w:rPr>
          <w:color w:val="000000" w:themeColor="text1"/>
        </w:rPr>
        <w:t>, Health NZ</w:t>
      </w:r>
      <w:r w:rsidRPr="00C402AF">
        <w:rPr>
          <w:color w:val="000000" w:themeColor="text1"/>
        </w:rPr>
        <w:t>.</w:t>
      </w:r>
    </w:p>
    <w:p w14:paraId="3469BBCA" w14:textId="77777777" w:rsidR="000E44A4" w:rsidRPr="00C402AF" w:rsidRDefault="000E44A4" w:rsidP="000E44A4">
      <w:pPr>
        <w:pStyle w:val="Heading3HQSC"/>
      </w:pPr>
      <w:bookmarkStart w:id="8" w:name="_Toc237508328"/>
      <w:r w:rsidRPr="00C402AF">
        <w:t>Confidence intervals</w:t>
      </w:r>
      <w:bookmarkEnd w:id="8"/>
    </w:p>
    <w:p w14:paraId="075E6C65" w14:textId="64A66865" w:rsidR="0079592E" w:rsidRDefault="000E44A4" w:rsidP="000E44A4">
      <w:pPr>
        <w:pStyle w:val="BodytextHQSC"/>
      </w:pPr>
      <w:r w:rsidRPr="00C402AF">
        <w:t xml:space="preserve">We present indicator data as a percentage or rate per 1,000 or 100,000, calculated for each Health </w:t>
      </w:r>
      <w:r w:rsidR="006723EE">
        <w:t>NZ</w:t>
      </w:r>
      <w:r w:rsidRPr="00C402AF">
        <w:t xml:space="preserve"> district. We use 95% confidence intervals to understand the range of likely values for each result</w:t>
      </w:r>
      <w:r w:rsidR="000E3B9D" w:rsidRPr="00C402AF">
        <w:t xml:space="preserve">. </w:t>
      </w:r>
    </w:p>
    <w:p w14:paraId="57560322" w14:textId="71D4AF85" w:rsidR="000E44A4" w:rsidRPr="00C402AF" w:rsidRDefault="000E44A4" w:rsidP="000E44A4">
      <w:pPr>
        <w:pStyle w:val="BodytextHQSC"/>
      </w:pPr>
      <w:r w:rsidRPr="00C402AF">
        <w:t xml:space="preserve">Comparing confidence intervals is a quick heuristic method to determine whether there is a statistically significant difference between rates. If the confidence intervals don’t overlap, the difference can be considered significant at the 0.05 level. If they do overlap, the difference may or may not be significant at the 0.05 level. </w:t>
      </w:r>
    </w:p>
    <w:p w14:paraId="19C30586" w14:textId="1A7E8964" w:rsidR="000E44A4" w:rsidRPr="00C402AF" w:rsidRDefault="000E44A4" w:rsidP="000E44A4">
      <w:pPr>
        <w:pStyle w:val="BulletsHQSC"/>
      </w:pPr>
      <w:r w:rsidRPr="00C402AF">
        <w:lastRenderedPageBreak/>
        <w:t xml:space="preserve">If the district’s upper limit is below the New Zealand rate, we say the district’s result is </w:t>
      </w:r>
      <w:r w:rsidR="0079592E">
        <w:t>‘</w:t>
      </w:r>
      <w:r w:rsidRPr="00C402AF">
        <w:t>Significantly lower</w:t>
      </w:r>
      <w:r w:rsidR="0079592E">
        <w:t>’</w:t>
      </w:r>
      <w:r w:rsidRPr="00C402AF">
        <w:t xml:space="preserve">. </w:t>
      </w:r>
    </w:p>
    <w:p w14:paraId="69B794CF" w14:textId="03FFC2FB" w:rsidR="000E44A4" w:rsidRPr="00C402AF" w:rsidRDefault="000E44A4" w:rsidP="000E44A4">
      <w:pPr>
        <w:pStyle w:val="BulletsHQSC"/>
      </w:pPr>
      <w:r w:rsidRPr="00C402AF">
        <w:t xml:space="preserve">If the district’s lower limit is above </w:t>
      </w:r>
      <w:r w:rsidR="0079592E">
        <w:t xml:space="preserve">the </w:t>
      </w:r>
      <w:r w:rsidRPr="00C402AF">
        <w:t xml:space="preserve">New Zealand rate, we say the result is </w:t>
      </w:r>
      <w:r w:rsidR="0079592E">
        <w:t>‘</w:t>
      </w:r>
      <w:r w:rsidRPr="00C402AF">
        <w:t>Significantly higher</w:t>
      </w:r>
      <w:r w:rsidR="0079592E">
        <w:t>’</w:t>
      </w:r>
      <w:r w:rsidRPr="00C402AF">
        <w:t>.</w:t>
      </w:r>
    </w:p>
    <w:p w14:paraId="42D4ACB4" w14:textId="12CDC335" w:rsidR="000E44A4" w:rsidRPr="00C402AF" w:rsidRDefault="000E44A4" w:rsidP="000E44A4">
      <w:pPr>
        <w:pStyle w:val="BulletsHQSC"/>
      </w:pPr>
      <w:r w:rsidRPr="00C402AF">
        <w:t xml:space="preserve">If the confidence intervals overlap, we say the result is </w:t>
      </w:r>
      <w:r w:rsidR="00F57724">
        <w:t>‘</w:t>
      </w:r>
      <w:r w:rsidRPr="00C402AF">
        <w:t>Not significantly different</w:t>
      </w:r>
      <w:r w:rsidR="00F57724">
        <w:t>’</w:t>
      </w:r>
      <w:r w:rsidRPr="00C402AF">
        <w:t xml:space="preserve">. </w:t>
      </w:r>
    </w:p>
    <w:p w14:paraId="73F2579E" w14:textId="7AC678E1" w:rsidR="000E44A4" w:rsidRPr="00C402AF" w:rsidRDefault="00F57724" w:rsidP="000E44A4">
      <w:pPr>
        <w:pStyle w:val="BulletsHQSC"/>
        <w:numPr>
          <w:ilvl w:val="0"/>
          <w:numId w:val="0"/>
        </w:numPr>
      </w:pPr>
      <w:r>
        <w:t>T</w:t>
      </w:r>
      <w:r w:rsidR="000E44A4" w:rsidRPr="00C402AF">
        <w:t>his method is a conservative test of statistical significance; results with overlapping confidence intervals may still be significantly different at the 0.05 level if a formal statistical test is undertaken.</w:t>
      </w:r>
    </w:p>
    <w:p w14:paraId="434A4A79" w14:textId="2B184B85" w:rsidR="0093767A" w:rsidRPr="00C402AF" w:rsidRDefault="005537D0" w:rsidP="00A57432">
      <w:pPr>
        <w:pStyle w:val="Heading3HQSC"/>
        <w:numPr>
          <w:ilvl w:val="0"/>
          <w:numId w:val="13"/>
        </w:numPr>
      </w:pPr>
      <w:bookmarkStart w:id="9" w:name="_Toc237508329"/>
      <w:r w:rsidRPr="00C402AF">
        <w:t>PHO</w:t>
      </w:r>
      <w:r w:rsidR="00CB5AE2" w:rsidRPr="00C402AF">
        <w:t>-</w:t>
      </w:r>
      <w:r w:rsidRPr="00C402AF">
        <w:t>enrolled po</w:t>
      </w:r>
      <w:r w:rsidR="00A341D7" w:rsidRPr="00C402AF">
        <w:t>pulation</w:t>
      </w:r>
      <w:r w:rsidR="00CB5AE2" w:rsidRPr="00C402AF">
        <w:t xml:space="preserve"> aged 20 years or over</w:t>
      </w:r>
      <w:r w:rsidR="00E22793" w:rsidRPr="00C402AF">
        <w:t>estimated to have</w:t>
      </w:r>
      <w:r w:rsidRPr="00C402AF">
        <w:t xml:space="preserve"> gout, percent</w:t>
      </w:r>
      <w:bookmarkEnd w:id="9"/>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0D6977FB" w14:textId="77777777">
        <w:trPr>
          <w:trHeight w:val="327"/>
        </w:trPr>
        <w:tc>
          <w:tcPr>
            <w:tcW w:w="1951" w:type="dxa"/>
          </w:tcPr>
          <w:p w14:paraId="1417D183" w14:textId="5E1609DA" w:rsidR="0093767A" w:rsidRPr="004A6944" w:rsidRDefault="0093767A" w:rsidP="00785962">
            <w:pPr>
              <w:pStyle w:val="TabletextHQSC"/>
              <w:rPr>
                <w:b/>
                <w:bCs/>
                <w:color w:val="808080"/>
              </w:rPr>
            </w:pPr>
            <w:r w:rsidRPr="004A6944">
              <w:rPr>
                <w:b/>
                <w:bCs/>
              </w:rPr>
              <w:t>Indicator 1</w:t>
            </w:r>
          </w:p>
        </w:tc>
        <w:tc>
          <w:tcPr>
            <w:tcW w:w="7371" w:type="dxa"/>
            <w:vAlign w:val="bottom"/>
          </w:tcPr>
          <w:p w14:paraId="70CD41FD" w14:textId="04B732DB" w:rsidR="0093767A" w:rsidRPr="00C402AF" w:rsidRDefault="00AD57A3" w:rsidP="00785962">
            <w:pPr>
              <w:pStyle w:val="TabletextHQSC"/>
              <w:rPr>
                <w:color w:val="000000"/>
              </w:rPr>
            </w:pPr>
            <w:r w:rsidRPr="00C402AF">
              <w:rPr>
                <w:color w:val="000000"/>
              </w:rPr>
              <w:t xml:space="preserve">Estimate of </w:t>
            </w:r>
            <w:r w:rsidR="005D65F2" w:rsidRPr="00C402AF">
              <w:rPr>
                <w:color w:val="000000"/>
              </w:rPr>
              <w:t>those</w:t>
            </w:r>
            <w:r w:rsidR="0093767A" w:rsidRPr="00C402AF">
              <w:rPr>
                <w:color w:val="000000"/>
              </w:rPr>
              <w:t xml:space="preserve"> </w:t>
            </w:r>
            <w:r w:rsidR="00C10AA2" w:rsidRPr="00C402AF">
              <w:rPr>
                <w:color w:val="000000"/>
              </w:rPr>
              <w:t>identified</w:t>
            </w:r>
            <w:r w:rsidR="005D65F2" w:rsidRPr="00C402AF">
              <w:rPr>
                <w:color w:val="000000"/>
              </w:rPr>
              <w:t xml:space="preserve"> with</w:t>
            </w:r>
            <w:r w:rsidR="0093767A" w:rsidRPr="00C402AF">
              <w:rPr>
                <w:color w:val="000000"/>
              </w:rPr>
              <w:t xml:space="preserve"> </w:t>
            </w:r>
            <w:r w:rsidR="00C10AA2" w:rsidRPr="00C402AF">
              <w:rPr>
                <w:color w:val="000000"/>
              </w:rPr>
              <w:t xml:space="preserve">parameters indicative of </w:t>
            </w:r>
            <w:r w:rsidR="0093767A" w:rsidRPr="00C402AF">
              <w:rPr>
                <w:color w:val="000000"/>
              </w:rPr>
              <w:t xml:space="preserve">gout </w:t>
            </w:r>
            <w:r w:rsidR="00A341D7" w:rsidRPr="00C402AF">
              <w:rPr>
                <w:color w:val="000000"/>
              </w:rPr>
              <w:t>among</w:t>
            </w:r>
            <w:r w:rsidR="0093767A" w:rsidRPr="00C402AF">
              <w:rPr>
                <w:color w:val="000000"/>
              </w:rPr>
              <w:t xml:space="preserve"> those enrolled with </w:t>
            </w:r>
            <w:r w:rsidR="00E21357">
              <w:rPr>
                <w:color w:val="000000"/>
              </w:rPr>
              <w:t xml:space="preserve">a </w:t>
            </w:r>
            <w:r w:rsidR="0093767A" w:rsidRPr="00C402AF">
              <w:rPr>
                <w:color w:val="000000"/>
              </w:rPr>
              <w:t>primary health organisation</w:t>
            </w:r>
          </w:p>
        </w:tc>
      </w:tr>
      <w:tr w:rsidR="0093767A" w:rsidRPr="00C402AF" w14:paraId="7B5AA809" w14:textId="77777777">
        <w:trPr>
          <w:trHeight w:val="327"/>
        </w:trPr>
        <w:tc>
          <w:tcPr>
            <w:tcW w:w="1951" w:type="dxa"/>
          </w:tcPr>
          <w:p w14:paraId="222C8F68" w14:textId="77777777" w:rsidR="0093767A" w:rsidRPr="004A6944" w:rsidRDefault="0093767A" w:rsidP="00785962">
            <w:pPr>
              <w:pStyle w:val="TabletextHQSC"/>
              <w:rPr>
                <w:b/>
                <w:bCs/>
              </w:rPr>
            </w:pPr>
            <w:r w:rsidRPr="004A6944">
              <w:rPr>
                <w:b/>
                <w:bCs/>
              </w:rPr>
              <w:t>Numerator</w:t>
            </w:r>
          </w:p>
        </w:tc>
        <w:tc>
          <w:tcPr>
            <w:tcW w:w="7371" w:type="dxa"/>
            <w:vAlign w:val="bottom"/>
          </w:tcPr>
          <w:p w14:paraId="2257E5E3" w14:textId="5F9CF244" w:rsidR="00842E48" w:rsidRPr="00C402AF" w:rsidRDefault="00D7543C" w:rsidP="00084593">
            <w:pPr>
              <w:pStyle w:val="TabletextHQSC"/>
              <w:rPr>
                <w:color w:val="000000"/>
              </w:rPr>
            </w:pPr>
            <w:r w:rsidRPr="00C402AF">
              <w:rPr>
                <w:color w:val="000000"/>
              </w:rPr>
              <w:t>PHO-enrolled population</w:t>
            </w:r>
            <w:r w:rsidR="0093767A" w:rsidRPr="00C402AF">
              <w:rPr>
                <w:color w:val="000000"/>
              </w:rPr>
              <w:t xml:space="preserve"> aged 20 years and over</w:t>
            </w:r>
            <w:r w:rsidR="00F540FB" w:rsidRPr="00C402AF">
              <w:rPr>
                <w:color w:val="000000"/>
              </w:rPr>
              <w:t>,</w:t>
            </w:r>
            <w:r w:rsidR="0093767A" w:rsidRPr="00C402AF">
              <w:rPr>
                <w:color w:val="000000"/>
              </w:rPr>
              <w:t xml:space="preserve"> </w:t>
            </w:r>
            <w:r w:rsidR="005D65F2" w:rsidRPr="00C402AF">
              <w:rPr>
                <w:color w:val="000000"/>
              </w:rPr>
              <w:t>estimated to have</w:t>
            </w:r>
            <w:r w:rsidR="0093767A" w:rsidRPr="00C402AF">
              <w:rPr>
                <w:color w:val="000000"/>
              </w:rPr>
              <w:t xml:space="preserve"> gout using </w:t>
            </w:r>
            <w:r w:rsidR="00C10AA2" w:rsidRPr="00C402AF">
              <w:rPr>
                <w:color w:val="000000"/>
              </w:rPr>
              <w:t>an adapt</w:t>
            </w:r>
            <w:r w:rsidR="003E203C" w:rsidRPr="00C402AF">
              <w:rPr>
                <w:color w:val="000000"/>
              </w:rPr>
              <w:t>at</w:t>
            </w:r>
            <w:r w:rsidR="00C10AA2" w:rsidRPr="00C402AF">
              <w:rPr>
                <w:color w:val="000000"/>
              </w:rPr>
              <w:t xml:space="preserve">ion of </w:t>
            </w:r>
            <w:r w:rsidR="0093767A" w:rsidRPr="00C402AF">
              <w:rPr>
                <w:color w:val="000000"/>
              </w:rPr>
              <w:t xml:space="preserve">the </w:t>
            </w:r>
            <w:proofErr w:type="spellStart"/>
            <w:r w:rsidR="0093767A" w:rsidRPr="00C402AF">
              <w:rPr>
                <w:color w:val="000000"/>
              </w:rPr>
              <w:t>HealthTracker</w:t>
            </w:r>
            <w:proofErr w:type="spellEnd"/>
            <w:r w:rsidR="0093767A" w:rsidRPr="00C402AF">
              <w:rPr>
                <w:color w:val="000000"/>
              </w:rPr>
              <w:t xml:space="preserve"> method</w:t>
            </w:r>
            <w:r w:rsidR="0093767A" w:rsidRPr="00C402AF">
              <w:rPr>
                <w:rStyle w:val="FootnoteReference"/>
                <w:rFonts w:ascii="Arial" w:hAnsi="Arial"/>
                <w:color w:val="000000"/>
              </w:rPr>
              <w:footnoteReference w:id="2"/>
            </w:r>
            <w:r w:rsidR="0093767A" w:rsidRPr="00C402AF">
              <w:rPr>
                <w:color w:val="000000"/>
              </w:rPr>
              <w:t xml:space="preserve"> (</w:t>
            </w:r>
            <w:r w:rsidR="00853195" w:rsidRPr="00C402AF">
              <w:rPr>
                <w:color w:val="000000"/>
              </w:rPr>
              <w:t xml:space="preserve">any </w:t>
            </w:r>
            <w:r w:rsidR="0093767A" w:rsidRPr="00C402AF">
              <w:rPr>
                <w:color w:val="000000"/>
              </w:rPr>
              <w:t xml:space="preserve">discharge diagnosis of gout (ICD 9 274, ICD 10 M10) from a public hospital admission from 1 January </w:t>
            </w:r>
            <w:r w:rsidRPr="00C402AF">
              <w:rPr>
                <w:color w:val="000000"/>
              </w:rPr>
              <w:t>2005</w:t>
            </w:r>
            <w:r w:rsidR="0093767A" w:rsidRPr="00C402AF">
              <w:rPr>
                <w:color w:val="000000"/>
              </w:rPr>
              <w:t xml:space="preserve"> to 31 December 20</w:t>
            </w:r>
            <w:r w:rsidRPr="00C402AF">
              <w:rPr>
                <w:color w:val="000000"/>
              </w:rPr>
              <w:t>24</w:t>
            </w:r>
            <w:r w:rsidR="0093767A" w:rsidRPr="00C402AF">
              <w:rPr>
                <w:color w:val="000000"/>
              </w:rPr>
              <w:t xml:space="preserve"> or who have been dispensed urate-lowering therapy</w:t>
            </w:r>
            <w:r w:rsidR="004D2B4F">
              <w:rPr>
                <w:color w:val="000000"/>
              </w:rPr>
              <w:t xml:space="preserve"> (ULT)</w:t>
            </w:r>
            <w:r w:rsidR="0093767A" w:rsidRPr="00C402AF">
              <w:rPr>
                <w:color w:val="000000"/>
              </w:rPr>
              <w:t xml:space="preserve"> (allopurinol, febuxostat, benzbromarone) or colchicine from a community pharmacy between 20</w:t>
            </w:r>
            <w:r w:rsidRPr="00C402AF">
              <w:rPr>
                <w:color w:val="000000"/>
              </w:rPr>
              <w:t>05</w:t>
            </w:r>
            <w:r w:rsidR="0093767A" w:rsidRPr="00C402AF">
              <w:rPr>
                <w:color w:val="000000"/>
              </w:rPr>
              <w:t xml:space="preserve"> and 20</w:t>
            </w:r>
            <w:r w:rsidRPr="00C402AF">
              <w:rPr>
                <w:color w:val="000000"/>
              </w:rPr>
              <w:t>24</w:t>
            </w:r>
            <w:r w:rsidR="0093767A" w:rsidRPr="00C402AF">
              <w:rPr>
                <w:color w:val="000000"/>
              </w:rPr>
              <w:t>)</w:t>
            </w:r>
            <w:r w:rsidR="00842E48" w:rsidRPr="00C402AF">
              <w:rPr>
                <w:color w:val="000000"/>
              </w:rPr>
              <w:t>.</w:t>
            </w:r>
          </w:p>
          <w:p w14:paraId="05959706" w14:textId="0E84D68D" w:rsidR="00842E48" w:rsidRPr="00C402AF" w:rsidRDefault="00633A63" w:rsidP="00084593">
            <w:pPr>
              <w:pStyle w:val="TabletextHQSC"/>
              <w:rPr>
                <w:color w:val="000000"/>
              </w:rPr>
            </w:pPr>
            <w:r w:rsidRPr="00C402AF">
              <w:rPr>
                <w:color w:val="000000"/>
              </w:rPr>
              <w:t>A 15-year</w:t>
            </w:r>
            <w:r w:rsidR="00A33811">
              <w:rPr>
                <w:color w:val="000000"/>
              </w:rPr>
              <w:t>,</w:t>
            </w:r>
            <w:r w:rsidRPr="00C402AF">
              <w:rPr>
                <w:color w:val="000000"/>
              </w:rPr>
              <w:t xml:space="preserve"> rolling</w:t>
            </w:r>
            <w:r w:rsidR="00A33811">
              <w:rPr>
                <w:color w:val="000000"/>
              </w:rPr>
              <w:t>,</w:t>
            </w:r>
            <w:r w:rsidRPr="00C402AF">
              <w:rPr>
                <w:color w:val="000000"/>
              </w:rPr>
              <w:t xml:space="preserve"> look</w:t>
            </w:r>
            <w:r w:rsidRPr="00C402AF">
              <w:rPr>
                <w:rFonts w:ascii="Cambria Math" w:hAnsi="Cambria Math" w:cs="Cambria Math"/>
                <w:color w:val="000000"/>
              </w:rPr>
              <w:t>‑</w:t>
            </w:r>
            <w:r w:rsidRPr="00C402AF">
              <w:rPr>
                <w:color w:val="000000"/>
              </w:rPr>
              <w:t>back period was applied to identify prevalent gout cases for each reporting year. For example, for the 2024 reporting year, gout status was determined using data from 1 January 20</w:t>
            </w:r>
            <w:r w:rsidR="00C10AA2" w:rsidRPr="00C402AF">
              <w:rPr>
                <w:color w:val="000000"/>
              </w:rPr>
              <w:t>1</w:t>
            </w:r>
            <w:r w:rsidRPr="00C402AF">
              <w:rPr>
                <w:color w:val="000000"/>
              </w:rPr>
              <w:t xml:space="preserve">0 to </w:t>
            </w:r>
            <w:r w:rsidR="00A33811" w:rsidRPr="00C402AF">
              <w:rPr>
                <w:color w:val="000000"/>
              </w:rPr>
              <w:t>31</w:t>
            </w:r>
            <w:r w:rsidR="00A33811">
              <w:rPr>
                <w:color w:val="000000"/>
              </w:rPr>
              <w:t> </w:t>
            </w:r>
            <w:r w:rsidRPr="00C402AF">
              <w:rPr>
                <w:color w:val="000000"/>
              </w:rPr>
              <w:t>December 2024.</w:t>
            </w:r>
          </w:p>
          <w:p w14:paraId="0FFA623E" w14:textId="58935DAB" w:rsidR="00753E97" w:rsidRPr="00C402AF" w:rsidRDefault="00753E97" w:rsidP="00753E97">
            <w:pPr>
              <w:pStyle w:val="TabletextHQSC"/>
              <w:rPr>
                <w:color w:val="000000"/>
              </w:rPr>
            </w:pPr>
            <w:r w:rsidRPr="00C402AF">
              <w:rPr>
                <w:color w:val="000000"/>
              </w:rPr>
              <w:t xml:space="preserve">Individuals with a recent diagnosis of leukaemia or lymphoma (ICD-10 codes C81–C96) were excluded if the diagnosis was recorded within the </w:t>
            </w:r>
            <w:r w:rsidR="004562E8">
              <w:rPr>
                <w:color w:val="000000"/>
              </w:rPr>
              <w:t>2</w:t>
            </w:r>
            <w:r w:rsidR="004562E8" w:rsidRPr="00C402AF">
              <w:rPr>
                <w:color w:val="000000"/>
              </w:rPr>
              <w:t xml:space="preserve"> </w:t>
            </w:r>
            <w:r w:rsidRPr="00C402AF">
              <w:rPr>
                <w:color w:val="000000"/>
              </w:rPr>
              <w:t xml:space="preserve">years </w:t>
            </w:r>
            <w:r w:rsidR="00A33811">
              <w:rPr>
                <w:color w:val="000000"/>
              </w:rPr>
              <w:t>before</w:t>
            </w:r>
            <w:r w:rsidRPr="00C402AF">
              <w:rPr>
                <w:color w:val="000000"/>
              </w:rPr>
              <w:t xml:space="preserve"> their first ULT or colchicine dispensing. However, individuals were otherwise included</w:t>
            </w:r>
            <w:r w:rsidR="009514A3">
              <w:rPr>
                <w:color w:val="000000"/>
              </w:rPr>
              <w:t>,</w:t>
            </w:r>
            <w:r w:rsidRPr="00C402AF">
              <w:rPr>
                <w:color w:val="000000"/>
              </w:rPr>
              <w:t xml:space="preserve"> regardless of coexisting diagnoses (including leukaemia or lymphoma) if they had a gout diagnosis within the 15-year look-back period.</w:t>
            </w:r>
          </w:p>
          <w:p w14:paraId="13978B6A" w14:textId="5958F4BA" w:rsidR="00753E97" w:rsidRPr="00C402AF" w:rsidRDefault="00753E97" w:rsidP="00753E97">
            <w:pPr>
              <w:pStyle w:val="TabletextHQSC"/>
              <w:rPr>
                <w:color w:val="000000"/>
              </w:rPr>
            </w:pPr>
            <w:r w:rsidRPr="00C402AF">
              <w:rPr>
                <w:color w:val="000000"/>
              </w:rPr>
              <w:t xml:space="preserve">To improve specificity, individuals dispensed colchicine were excluded if they had a hospital diagnosis within the </w:t>
            </w:r>
            <w:r w:rsidR="009514A3">
              <w:rPr>
                <w:color w:val="000000"/>
              </w:rPr>
              <w:t>2</w:t>
            </w:r>
            <w:r w:rsidR="009514A3" w:rsidRPr="00C402AF">
              <w:rPr>
                <w:color w:val="000000"/>
              </w:rPr>
              <w:t xml:space="preserve"> </w:t>
            </w:r>
            <w:r w:rsidRPr="00C402AF">
              <w:rPr>
                <w:color w:val="000000"/>
              </w:rPr>
              <w:t xml:space="preserve">years </w:t>
            </w:r>
            <w:r w:rsidR="004562E8">
              <w:rPr>
                <w:color w:val="000000"/>
              </w:rPr>
              <w:t>before</w:t>
            </w:r>
            <w:r w:rsidRPr="00C402AF">
              <w:rPr>
                <w:color w:val="000000"/>
              </w:rPr>
              <w:t xml:space="preserve"> dispensing for conditions where colchicine </w:t>
            </w:r>
            <w:r w:rsidR="004562E8">
              <w:rPr>
                <w:color w:val="000000"/>
              </w:rPr>
              <w:t>might have been</w:t>
            </w:r>
            <w:r w:rsidRPr="00C402AF">
              <w:rPr>
                <w:color w:val="000000"/>
              </w:rPr>
              <w:t xml:space="preserve"> prescribed for non-gout indications. These conditions included:</w:t>
            </w:r>
          </w:p>
          <w:p w14:paraId="3BCD91D6" w14:textId="77777777" w:rsidR="00FB61E8" w:rsidRPr="00C402AF" w:rsidRDefault="00FB61E8" w:rsidP="00A57432">
            <w:pPr>
              <w:pStyle w:val="TabletextHQSC"/>
              <w:numPr>
                <w:ilvl w:val="0"/>
                <w:numId w:val="14"/>
              </w:numPr>
              <w:rPr>
                <w:color w:val="000000"/>
              </w:rPr>
            </w:pPr>
            <w:r w:rsidRPr="00C402AF">
              <w:rPr>
                <w:color w:val="000000"/>
              </w:rPr>
              <w:t>I010</w:t>
            </w:r>
            <w:r w:rsidRPr="00C402AF">
              <w:rPr>
                <w:color w:val="000000"/>
              </w:rPr>
              <w:tab/>
              <w:t>Acute rheumatic pericarditis</w:t>
            </w:r>
          </w:p>
          <w:p w14:paraId="58608E9D" w14:textId="77777777" w:rsidR="00FB61E8" w:rsidRPr="00C402AF" w:rsidRDefault="00FB61E8" w:rsidP="00A57432">
            <w:pPr>
              <w:pStyle w:val="TabletextHQSC"/>
              <w:numPr>
                <w:ilvl w:val="0"/>
                <w:numId w:val="14"/>
              </w:numPr>
              <w:rPr>
                <w:color w:val="000000"/>
              </w:rPr>
            </w:pPr>
            <w:r w:rsidRPr="00C402AF">
              <w:rPr>
                <w:color w:val="000000"/>
              </w:rPr>
              <w:t>I092</w:t>
            </w:r>
            <w:r w:rsidRPr="00C402AF">
              <w:rPr>
                <w:color w:val="000000"/>
              </w:rPr>
              <w:tab/>
              <w:t>Chronic rheumatic pericarditis</w:t>
            </w:r>
          </w:p>
          <w:p w14:paraId="0B4C0F01" w14:textId="77777777" w:rsidR="00FB61E8" w:rsidRPr="00C402AF" w:rsidRDefault="00FB61E8" w:rsidP="00A57432">
            <w:pPr>
              <w:pStyle w:val="TabletextHQSC"/>
              <w:numPr>
                <w:ilvl w:val="0"/>
                <w:numId w:val="14"/>
              </w:numPr>
              <w:rPr>
                <w:color w:val="000000"/>
              </w:rPr>
            </w:pPr>
            <w:r w:rsidRPr="00C402AF">
              <w:rPr>
                <w:color w:val="000000"/>
              </w:rPr>
              <w:t>I300</w:t>
            </w:r>
            <w:r w:rsidRPr="00C402AF">
              <w:rPr>
                <w:color w:val="000000"/>
              </w:rPr>
              <w:tab/>
              <w:t>Acute nonspecific idiopathic pericarditis</w:t>
            </w:r>
          </w:p>
          <w:p w14:paraId="7FE85766" w14:textId="77777777" w:rsidR="00FB61E8" w:rsidRPr="00C402AF" w:rsidRDefault="00FB61E8" w:rsidP="00A57432">
            <w:pPr>
              <w:pStyle w:val="TabletextHQSC"/>
              <w:numPr>
                <w:ilvl w:val="0"/>
                <w:numId w:val="14"/>
              </w:numPr>
              <w:rPr>
                <w:color w:val="000000"/>
              </w:rPr>
            </w:pPr>
            <w:r w:rsidRPr="00C402AF">
              <w:rPr>
                <w:color w:val="000000"/>
              </w:rPr>
              <w:t>I301</w:t>
            </w:r>
            <w:r w:rsidRPr="00C402AF">
              <w:rPr>
                <w:color w:val="000000"/>
              </w:rPr>
              <w:tab/>
              <w:t>Infective pericarditis</w:t>
            </w:r>
          </w:p>
          <w:p w14:paraId="0F6DF38C" w14:textId="77777777" w:rsidR="00FB61E8" w:rsidRPr="00C402AF" w:rsidRDefault="00FB61E8" w:rsidP="00A57432">
            <w:pPr>
              <w:pStyle w:val="TabletextHQSC"/>
              <w:numPr>
                <w:ilvl w:val="0"/>
                <w:numId w:val="14"/>
              </w:numPr>
              <w:rPr>
                <w:color w:val="000000"/>
              </w:rPr>
            </w:pPr>
            <w:r w:rsidRPr="00C402AF">
              <w:rPr>
                <w:color w:val="000000"/>
              </w:rPr>
              <w:t>I308</w:t>
            </w:r>
            <w:r w:rsidRPr="00C402AF">
              <w:rPr>
                <w:color w:val="000000"/>
              </w:rPr>
              <w:tab/>
              <w:t>Other forms of acute pericarditis</w:t>
            </w:r>
          </w:p>
          <w:p w14:paraId="0824EF58" w14:textId="77777777" w:rsidR="00FB61E8" w:rsidRPr="00C402AF" w:rsidRDefault="00FB61E8" w:rsidP="00A57432">
            <w:pPr>
              <w:pStyle w:val="TabletextHQSC"/>
              <w:numPr>
                <w:ilvl w:val="0"/>
                <w:numId w:val="14"/>
              </w:numPr>
              <w:rPr>
                <w:color w:val="000000"/>
              </w:rPr>
            </w:pPr>
            <w:r w:rsidRPr="00C402AF">
              <w:rPr>
                <w:color w:val="000000"/>
              </w:rPr>
              <w:t>I309</w:t>
            </w:r>
            <w:r w:rsidRPr="00C402AF">
              <w:rPr>
                <w:color w:val="000000"/>
              </w:rPr>
              <w:tab/>
              <w:t>Acute pericarditis, unspecified</w:t>
            </w:r>
          </w:p>
          <w:p w14:paraId="0BFEC043" w14:textId="77777777" w:rsidR="00FB61E8" w:rsidRPr="00C402AF" w:rsidRDefault="00FB61E8" w:rsidP="00A57432">
            <w:pPr>
              <w:pStyle w:val="TabletextHQSC"/>
              <w:numPr>
                <w:ilvl w:val="0"/>
                <w:numId w:val="14"/>
              </w:numPr>
              <w:rPr>
                <w:color w:val="000000"/>
              </w:rPr>
            </w:pPr>
            <w:r w:rsidRPr="00C402AF">
              <w:rPr>
                <w:color w:val="000000"/>
              </w:rPr>
              <w:t>I310</w:t>
            </w:r>
            <w:r w:rsidRPr="00C402AF">
              <w:rPr>
                <w:color w:val="000000"/>
              </w:rPr>
              <w:tab/>
              <w:t>Chronic adhesive pericarditis</w:t>
            </w:r>
          </w:p>
          <w:p w14:paraId="47229425" w14:textId="77777777" w:rsidR="00FB61E8" w:rsidRPr="00C402AF" w:rsidRDefault="00FB61E8" w:rsidP="00A57432">
            <w:pPr>
              <w:pStyle w:val="TabletextHQSC"/>
              <w:numPr>
                <w:ilvl w:val="0"/>
                <w:numId w:val="14"/>
              </w:numPr>
              <w:rPr>
                <w:color w:val="000000"/>
              </w:rPr>
            </w:pPr>
            <w:r w:rsidRPr="00C402AF">
              <w:rPr>
                <w:color w:val="000000"/>
              </w:rPr>
              <w:t>I311</w:t>
            </w:r>
            <w:r w:rsidRPr="00C402AF">
              <w:rPr>
                <w:color w:val="000000"/>
              </w:rPr>
              <w:tab/>
              <w:t>Chronic constrictive pericarditis</w:t>
            </w:r>
          </w:p>
          <w:p w14:paraId="149A2610" w14:textId="168DA0F0" w:rsidR="00FB61E8" w:rsidRPr="00C402AF" w:rsidRDefault="00FB61E8" w:rsidP="00A57432">
            <w:pPr>
              <w:pStyle w:val="TabletextHQSC"/>
              <w:numPr>
                <w:ilvl w:val="0"/>
                <w:numId w:val="14"/>
              </w:numPr>
              <w:rPr>
                <w:color w:val="000000"/>
              </w:rPr>
            </w:pPr>
            <w:r w:rsidRPr="00C402AF">
              <w:rPr>
                <w:color w:val="000000"/>
              </w:rPr>
              <w:lastRenderedPageBreak/>
              <w:t>I32</w:t>
            </w:r>
            <w:r w:rsidRPr="00C402AF">
              <w:rPr>
                <w:color w:val="000000"/>
              </w:rPr>
              <w:tab/>
              <w:t>Pericarditis in diseases classified elsewhere</w:t>
            </w:r>
          </w:p>
          <w:p w14:paraId="78B2E663" w14:textId="77777777" w:rsidR="00FB61E8" w:rsidRPr="00C402AF" w:rsidRDefault="00FB61E8" w:rsidP="00A57432">
            <w:pPr>
              <w:pStyle w:val="TabletextHQSC"/>
              <w:numPr>
                <w:ilvl w:val="0"/>
                <w:numId w:val="14"/>
              </w:numPr>
              <w:rPr>
                <w:color w:val="000000"/>
              </w:rPr>
            </w:pPr>
            <w:r w:rsidRPr="00C402AF">
              <w:rPr>
                <w:color w:val="000000"/>
              </w:rPr>
              <w:t>I319</w:t>
            </w:r>
            <w:r w:rsidRPr="00C402AF">
              <w:rPr>
                <w:color w:val="000000"/>
              </w:rPr>
              <w:tab/>
              <w:t>Diseases of pericardium, unspecified</w:t>
            </w:r>
          </w:p>
          <w:p w14:paraId="023D551C" w14:textId="77777777" w:rsidR="00FB61E8" w:rsidRPr="00C402AF" w:rsidRDefault="00FB61E8" w:rsidP="00A57432">
            <w:pPr>
              <w:pStyle w:val="TabletextHQSC"/>
              <w:numPr>
                <w:ilvl w:val="0"/>
                <w:numId w:val="14"/>
              </w:numPr>
              <w:rPr>
                <w:color w:val="000000"/>
              </w:rPr>
            </w:pPr>
            <w:r w:rsidRPr="00C402AF">
              <w:rPr>
                <w:color w:val="000000"/>
              </w:rPr>
              <w:t>M11</w:t>
            </w:r>
            <w:r w:rsidRPr="00C402AF">
              <w:rPr>
                <w:color w:val="000000"/>
              </w:rPr>
              <w:tab/>
            </w:r>
            <w:r w:rsidRPr="00C402AF">
              <w:t>Other crystal arthropathies</w:t>
            </w:r>
          </w:p>
          <w:p w14:paraId="7AFE2A52" w14:textId="7341EEDC" w:rsidR="00753E97" w:rsidRPr="00C402AF" w:rsidRDefault="00FB61E8" w:rsidP="00A57432">
            <w:pPr>
              <w:pStyle w:val="TabletextHQSC"/>
              <w:numPr>
                <w:ilvl w:val="0"/>
                <w:numId w:val="14"/>
              </w:numPr>
              <w:rPr>
                <w:color w:val="000000"/>
              </w:rPr>
            </w:pPr>
            <w:r w:rsidRPr="00C402AF">
              <w:rPr>
                <w:color w:val="000000"/>
              </w:rPr>
              <w:t>E85.0</w:t>
            </w:r>
            <w:r w:rsidRPr="00C402AF">
              <w:rPr>
                <w:color w:val="000000"/>
              </w:rPr>
              <w:tab/>
            </w:r>
            <w:proofErr w:type="gramStart"/>
            <w:r w:rsidRPr="00C402AF">
              <w:rPr>
                <w:color w:val="000000"/>
              </w:rPr>
              <w:t>Non-neuropathic</w:t>
            </w:r>
            <w:proofErr w:type="gramEnd"/>
            <w:r w:rsidRPr="00C402AF">
              <w:rPr>
                <w:color w:val="000000"/>
              </w:rPr>
              <w:t xml:space="preserve"> heredofamilial amyloidosis</w:t>
            </w:r>
            <w:r w:rsidR="00742B6C">
              <w:rPr>
                <w:color w:val="000000"/>
              </w:rPr>
              <w:t>.</w:t>
            </w:r>
          </w:p>
          <w:p w14:paraId="17C1A81A" w14:textId="470CE1F1" w:rsidR="004D5A79" w:rsidRPr="00C402AF" w:rsidRDefault="00753E97" w:rsidP="004D5A79">
            <w:pPr>
              <w:pStyle w:val="TabletextHQSC"/>
              <w:rPr>
                <w:color w:val="000000"/>
              </w:rPr>
            </w:pPr>
            <w:r w:rsidRPr="00C402AF">
              <w:rPr>
                <w:color w:val="000000"/>
              </w:rPr>
              <w:t>These exclusions applied only to colchicine-based identification. Individuals with these conditions were retained in the cohort if they met other gout inclusion criteria.</w:t>
            </w:r>
          </w:p>
        </w:tc>
      </w:tr>
      <w:tr w:rsidR="0093767A" w:rsidRPr="00C402AF" w14:paraId="78836357" w14:textId="77777777">
        <w:trPr>
          <w:trHeight w:val="327"/>
        </w:trPr>
        <w:tc>
          <w:tcPr>
            <w:tcW w:w="1951" w:type="dxa"/>
          </w:tcPr>
          <w:p w14:paraId="5FED631E" w14:textId="77777777" w:rsidR="0093767A" w:rsidRPr="004A6944" w:rsidRDefault="0093767A" w:rsidP="00785962">
            <w:pPr>
              <w:pStyle w:val="TabletextHQSC"/>
              <w:rPr>
                <w:b/>
                <w:bCs/>
              </w:rPr>
            </w:pPr>
            <w:r w:rsidRPr="004A6944">
              <w:rPr>
                <w:b/>
                <w:bCs/>
              </w:rPr>
              <w:lastRenderedPageBreak/>
              <w:t>Denominator</w:t>
            </w:r>
          </w:p>
        </w:tc>
        <w:tc>
          <w:tcPr>
            <w:tcW w:w="7371" w:type="dxa"/>
            <w:vAlign w:val="bottom"/>
          </w:tcPr>
          <w:p w14:paraId="31006DDC" w14:textId="4E81C9B8" w:rsidR="0093767A" w:rsidRPr="00C402AF" w:rsidRDefault="00F50007" w:rsidP="00785962">
            <w:pPr>
              <w:pStyle w:val="TabletextHQSC"/>
            </w:pPr>
            <w:r w:rsidRPr="00C402AF">
              <w:t xml:space="preserve">PHO enrolments for relevant years </w:t>
            </w:r>
          </w:p>
        </w:tc>
      </w:tr>
      <w:tr w:rsidR="0093767A" w:rsidRPr="00C402AF" w14:paraId="43860D42" w14:textId="77777777">
        <w:trPr>
          <w:trHeight w:val="327"/>
        </w:trPr>
        <w:tc>
          <w:tcPr>
            <w:tcW w:w="1951" w:type="dxa"/>
          </w:tcPr>
          <w:p w14:paraId="6386F950" w14:textId="77777777" w:rsidR="0093767A" w:rsidRPr="004A6944" w:rsidRDefault="0093767A" w:rsidP="00785962">
            <w:pPr>
              <w:pStyle w:val="TabletextHQSC"/>
              <w:rPr>
                <w:b/>
                <w:bCs/>
              </w:rPr>
            </w:pPr>
            <w:r w:rsidRPr="004A6944">
              <w:rPr>
                <w:b/>
                <w:bCs/>
              </w:rPr>
              <w:t>Data source</w:t>
            </w:r>
          </w:p>
        </w:tc>
        <w:tc>
          <w:tcPr>
            <w:tcW w:w="7371" w:type="dxa"/>
            <w:vAlign w:val="bottom"/>
          </w:tcPr>
          <w:p w14:paraId="385F8535" w14:textId="0A9439A9" w:rsidR="0093767A" w:rsidRPr="00C402AF" w:rsidRDefault="007468C8" w:rsidP="00785962">
            <w:pPr>
              <w:pStyle w:val="TabletextHQSC"/>
            </w:pPr>
            <w:r w:rsidRPr="00C402AF">
              <w:t xml:space="preserve">NMDS, </w:t>
            </w:r>
            <w:r w:rsidR="00742B6C" w:rsidRPr="00C402AF">
              <w:t>pharmaceutical collection</w:t>
            </w:r>
            <w:r w:rsidR="0093767A" w:rsidRPr="00C402AF">
              <w:t xml:space="preserve">, </w:t>
            </w:r>
            <w:r w:rsidRPr="00C402AF">
              <w:t xml:space="preserve">PHO </w:t>
            </w:r>
            <w:r w:rsidR="00742B6C" w:rsidRPr="00C402AF">
              <w:t>enrolment collection</w:t>
            </w:r>
            <w:r w:rsidR="0093767A" w:rsidRPr="00C402AF">
              <w:t>, New Zealand Cancer Registry</w:t>
            </w:r>
            <w:r w:rsidR="00FF244F">
              <w:t xml:space="preserve"> (NZCR)</w:t>
            </w:r>
            <w:r w:rsidR="00A54A90" w:rsidRPr="00C402AF">
              <w:t xml:space="preserve"> and NHI database</w:t>
            </w:r>
            <w:r w:rsidR="0093767A" w:rsidRPr="00C402AF">
              <w:t>.</w:t>
            </w:r>
          </w:p>
        </w:tc>
      </w:tr>
      <w:tr w:rsidR="0093767A" w:rsidRPr="00C402AF" w14:paraId="28807FEC" w14:textId="77777777">
        <w:trPr>
          <w:trHeight w:val="327"/>
        </w:trPr>
        <w:tc>
          <w:tcPr>
            <w:tcW w:w="1951" w:type="dxa"/>
          </w:tcPr>
          <w:p w14:paraId="08B77000" w14:textId="77777777" w:rsidR="0093767A" w:rsidRPr="004A6944" w:rsidRDefault="0093767A" w:rsidP="00785962">
            <w:pPr>
              <w:pStyle w:val="TabletextHQSC"/>
              <w:rPr>
                <w:b/>
                <w:bCs/>
              </w:rPr>
            </w:pPr>
            <w:r w:rsidRPr="004A6944">
              <w:rPr>
                <w:b/>
                <w:bCs/>
              </w:rPr>
              <w:t>Analysis</w:t>
            </w:r>
          </w:p>
        </w:tc>
        <w:tc>
          <w:tcPr>
            <w:tcW w:w="7371" w:type="dxa"/>
            <w:vAlign w:val="bottom"/>
          </w:tcPr>
          <w:p w14:paraId="05790ABD" w14:textId="44B16534" w:rsidR="003F3DBD" w:rsidRPr="00C402AF" w:rsidRDefault="003F3DBD" w:rsidP="00785962">
            <w:pPr>
              <w:pStyle w:val="TabletextHQSC"/>
            </w:pPr>
            <w:r w:rsidRPr="00C402AF">
              <w:t>For single map analysis: By year (2019‒</w:t>
            </w:r>
            <w:r w:rsidR="00FF244F">
              <w:t>20</w:t>
            </w:r>
            <w:r w:rsidRPr="00C402AF">
              <w:t xml:space="preserve">24), age group (20‒44 years, 45‒64 years, 65 years and over), gender (female and male), ethnic group (Māori, Pacific peoples, non-Māori non-Pacific) and Health </w:t>
            </w:r>
            <w:r w:rsidR="00FF244F">
              <w:t>NZ</w:t>
            </w:r>
            <w:r w:rsidRPr="00C402AF">
              <w:t xml:space="preserve"> district of domicile. </w:t>
            </w:r>
          </w:p>
          <w:p w14:paraId="00506D5F" w14:textId="6484495D" w:rsidR="003F3DBD" w:rsidRPr="00C402AF" w:rsidRDefault="003F3DBD" w:rsidP="00785962">
            <w:pPr>
              <w:pStyle w:val="TabletextHQSC"/>
            </w:pPr>
            <w:r w:rsidRPr="00C402AF">
              <w:t>For PHO analysis: By year (2024), age group</w:t>
            </w:r>
            <w:r w:rsidR="00FF244F">
              <w:t xml:space="preserve"> (in years)</w:t>
            </w:r>
            <w:r w:rsidRPr="00C402AF">
              <w:t>, gender, ethnic group, PHO most recently enrolled with (for the relevant year), PHO group (small, medium, medium</w:t>
            </w:r>
            <w:r w:rsidR="00FF244F">
              <w:t>-</w:t>
            </w:r>
            <w:r w:rsidRPr="00C402AF">
              <w:t>large and large).</w:t>
            </w:r>
          </w:p>
        </w:tc>
      </w:tr>
      <w:tr w:rsidR="0093767A" w:rsidRPr="00C402AF" w14:paraId="43528F2D" w14:textId="77777777">
        <w:trPr>
          <w:trHeight w:val="327"/>
        </w:trPr>
        <w:tc>
          <w:tcPr>
            <w:tcW w:w="1951" w:type="dxa"/>
          </w:tcPr>
          <w:p w14:paraId="64B8533B" w14:textId="41FF6DF2" w:rsidR="0093767A" w:rsidRPr="004A6944" w:rsidRDefault="0093767A" w:rsidP="00785962">
            <w:pPr>
              <w:pStyle w:val="TabletextHQSC"/>
              <w:rPr>
                <w:b/>
                <w:bCs/>
              </w:rPr>
            </w:pPr>
            <w:r w:rsidRPr="004A6944">
              <w:rPr>
                <w:b/>
                <w:bCs/>
              </w:rPr>
              <w:t>Comment</w:t>
            </w:r>
          </w:p>
        </w:tc>
        <w:tc>
          <w:tcPr>
            <w:tcW w:w="7371" w:type="dxa"/>
            <w:vAlign w:val="bottom"/>
          </w:tcPr>
          <w:p w14:paraId="0E5DE623" w14:textId="49100A25" w:rsidR="0093767A" w:rsidRPr="00C402AF" w:rsidRDefault="0093767A" w:rsidP="00785962">
            <w:pPr>
              <w:pStyle w:val="TabletextHQSC"/>
            </w:pPr>
            <w:r w:rsidRPr="00C402AF">
              <w:rPr>
                <w:lang w:val="en-AU"/>
              </w:rPr>
              <w:t xml:space="preserve">The method used to calculate gout prevalence is similar to that described by </w:t>
            </w:r>
            <w:r w:rsidRPr="00C402AF">
              <w:rPr>
                <w:lang w:val="en-AU"/>
              </w:rPr>
              <w:fldChar w:fldCharType="begin"/>
            </w:r>
            <w:r w:rsidRPr="00C402AF">
              <w:rPr>
                <w:lang w:val="en-AU"/>
              </w:rPr>
              <w:instrText xml:space="preserve"> ADDIN EN.CITE &lt;EndNote&gt;&lt;Cite&gt;&lt;Author&gt;Winnard&lt;/Author&gt;&lt;Year&gt;2012&lt;/Year&gt;&lt;RecNum&gt;66&lt;/RecNum&gt;&lt;DisplayText&gt;(Winnard, Wright et al. 2012)&lt;/DisplayText&gt;&lt;record&gt;&lt;rec-number&gt;66&lt;/rec-number&gt;&lt;foreign-keys&gt;&lt;key app="EN" db-id="z0dvtsaavvr0djevz01xews9dweass9x0s00"&gt;66&lt;/key&gt;&lt;/foreign-keys&gt;&lt;ref-type name="Journal Article"&gt;17&lt;/ref-type&gt;&lt;contributors&gt;&lt;authors&gt;&lt;author&gt;Winnard, D&lt;/author&gt;&lt;author&gt;Wright, C&lt;/author&gt;&lt;author&gt;Taylor, WJ&lt;/author&gt;&lt;author&gt;Jackson, G&lt;/author&gt;&lt;author&gt;Te Karu, L&lt;/author&gt;&lt;author&gt;Gow, P&lt;/author&gt;&lt;author&gt;Arroll, B&lt;/author&gt;&lt;author&gt;Thornley, S&lt;/author&gt;&lt;author&gt;Gribben, B&lt;/author&gt;&lt;author&gt;Dalbeth, N&lt;/author&gt;&lt;/authors&gt;&lt;/contributors&gt;&lt;titles&gt;&lt;title&gt;National prevalence of gout derived from administrative health data in Aotearoa New Zealand.&lt;/title&gt;&lt;secondary-title&gt;Rheumatology&lt;/secondary-title&gt;&lt;/titles&gt;&lt;periodical&gt;&lt;full-title&gt;Rheumatology&lt;/full-title&gt;&lt;/periodical&gt;&lt;pages&gt;Jan 16 [Epub ahead of print]&lt;/pages&gt;&lt;dates&gt;&lt;year&gt;2012&lt;/year&gt;&lt;/dates&gt;&lt;urls&gt;&lt;/urls&gt;&lt;/record&gt;&lt;/Cite&gt;&lt;/EndNote&gt;</w:instrText>
            </w:r>
            <w:r w:rsidRPr="00C402AF">
              <w:rPr>
                <w:lang w:val="en-AU"/>
              </w:rPr>
              <w:fldChar w:fldCharType="separate"/>
            </w:r>
            <w:hyperlink w:anchor="_ENREF_1" w:tooltip="Winnard, 2012 #66" w:history="1">
              <w:r w:rsidRPr="00C402AF">
                <w:rPr>
                  <w:noProof/>
                  <w:lang w:val="en-AU"/>
                </w:rPr>
                <w:t>Winnard et al (2012</w:t>
              </w:r>
            </w:hyperlink>
            <w:r w:rsidRPr="00C402AF">
              <w:rPr>
                <w:noProof/>
                <w:lang w:val="en-AU"/>
              </w:rPr>
              <w:t>)</w:t>
            </w:r>
            <w:r w:rsidRPr="00C402AF">
              <w:rPr>
                <w:lang w:val="en-AU"/>
              </w:rPr>
              <w:fldChar w:fldCharType="end"/>
            </w:r>
            <w:r w:rsidRPr="00C402AF">
              <w:rPr>
                <w:lang w:val="en-AU"/>
              </w:rPr>
              <w:t xml:space="preserve">. </w:t>
            </w:r>
          </w:p>
        </w:tc>
      </w:tr>
      <w:tr w:rsidR="00290FD5" w:rsidRPr="00C402AF" w14:paraId="13280715" w14:textId="77777777" w:rsidTr="006C0A76">
        <w:trPr>
          <w:trHeight w:val="484"/>
        </w:trPr>
        <w:tc>
          <w:tcPr>
            <w:tcW w:w="1951" w:type="dxa"/>
          </w:tcPr>
          <w:p w14:paraId="0BD59410" w14:textId="11053FA1" w:rsidR="00290FD5" w:rsidRPr="004A6944" w:rsidRDefault="00290FD5" w:rsidP="00785962">
            <w:pPr>
              <w:pStyle w:val="TabletextHQSC"/>
              <w:rPr>
                <w:b/>
                <w:bCs/>
              </w:rPr>
            </w:pPr>
            <w:r w:rsidRPr="004A6944">
              <w:rPr>
                <w:b/>
                <w:bCs/>
              </w:rPr>
              <w:t>Rationale</w:t>
            </w:r>
          </w:p>
        </w:tc>
        <w:tc>
          <w:tcPr>
            <w:tcW w:w="7371" w:type="dxa"/>
            <w:vAlign w:val="bottom"/>
          </w:tcPr>
          <w:p w14:paraId="1B9DE35C" w14:textId="4611B98E" w:rsidR="00290FD5" w:rsidRPr="00C402AF" w:rsidRDefault="001D6130" w:rsidP="00785962">
            <w:pPr>
              <w:pStyle w:val="TabletextHQSC"/>
            </w:pPr>
            <w:r w:rsidRPr="00C402AF">
              <w:t xml:space="preserve">Gout is the most common form of inflammatory arthritis and contributes significantly to morbidity, pain and reduced quality of life. </w:t>
            </w:r>
            <w:r w:rsidR="00174FB1" w:rsidRPr="00C402AF">
              <w:t>Understanding demographic and geographic variation in gout prevalence helps identify inequities, highlight</w:t>
            </w:r>
            <w:r w:rsidR="008E3409">
              <w:t>s</w:t>
            </w:r>
            <w:r w:rsidR="00174FB1" w:rsidRPr="00C402AF">
              <w:t xml:space="preserve"> populations with higher need and informs targeted prevention, management strategies and resource allocation.</w:t>
            </w:r>
          </w:p>
        </w:tc>
      </w:tr>
      <w:tr w:rsidR="0093767A" w:rsidRPr="00C402AF" w14:paraId="2C8AEF81" w14:textId="77777777">
        <w:trPr>
          <w:trHeight w:val="327"/>
        </w:trPr>
        <w:tc>
          <w:tcPr>
            <w:tcW w:w="1951" w:type="dxa"/>
          </w:tcPr>
          <w:p w14:paraId="514B8F9B" w14:textId="77777777" w:rsidR="0093767A" w:rsidRPr="004A6944" w:rsidRDefault="0093767A" w:rsidP="00785962">
            <w:pPr>
              <w:pStyle w:val="TabletextHQSC"/>
              <w:rPr>
                <w:b/>
                <w:bCs/>
              </w:rPr>
            </w:pPr>
            <w:r w:rsidRPr="004A6944">
              <w:rPr>
                <w:b/>
                <w:bCs/>
              </w:rPr>
              <w:t>Commentary</w:t>
            </w:r>
          </w:p>
        </w:tc>
        <w:tc>
          <w:tcPr>
            <w:tcW w:w="7371" w:type="dxa"/>
            <w:vAlign w:val="bottom"/>
          </w:tcPr>
          <w:p w14:paraId="0B1C8F51" w14:textId="77777777" w:rsidR="00D7543C" w:rsidRPr="00C402AF" w:rsidRDefault="00607ADA" w:rsidP="00785962">
            <w:pPr>
              <w:pStyle w:val="TabletextHQSC"/>
              <w:rPr>
                <w:bCs/>
              </w:rPr>
            </w:pPr>
            <w:r w:rsidRPr="00C402AF">
              <w:rPr>
                <w:bCs/>
              </w:rPr>
              <w:t>Descriptio</w:t>
            </w:r>
            <w:r w:rsidR="00D7543C" w:rsidRPr="00C402AF">
              <w:rPr>
                <w:bCs/>
              </w:rPr>
              <w:t>n</w:t>
            </w:r>
          </w:p>
          <w:p w14:paraId="5DE02123" w14:textId="31086783" w:rsidR="00E65CDB" w:rsidRPr="00C402AF" w:rsidRDefault="00E65CDB" w:rsidP="00785962">
            <w:pPr>
              <w:pStyle w:val="TabletextHQSC"/>
              <w:rPr>
                <w:bCs/>
              </w:rPr>
            </w:pPr>
            <w:r w:rsidRPr="00C402AF">
              <w:t xml:space="preserve">Data </w:t>
            </w:r>
            <w:r w:rsidR="00B779F0">
              <w:t>was</w:t>
            </w:r>
            <w:r w:rsidR="00B779F0" w:rsidRPr="00C402AF">
              <w:t xml:space="preserve"> </w:t>
            </w:r>
            <w:r w:rsidRPr="00C402AF">
              <w:t>presented by year, ethnicity, age and gender.</w:t>
            </w:r>
          </w:p>
          <w:p w14:paraId="708CDCB7" w14:textId="12D91EC2" w:rsidR="007033C6" w:rsidRPr="00C402AF" w:rsidRDefault="00D7543C" w:rsidP="00785962">
            <w:pPr>
              <w:pStyle w:val="TabletextHQSC"/>
            </w:pPr>
            <w:r w:rsidRPr="00C402AF">
              <w:t xml:space="preserve">This indicator shows the number and percent of the New Zealand </w:t>
            </w:r>
            <w:r w:rsidR="00F345E8" w:rsidRPr="00C402AF">
              <w:t xml:space="preserve">PHO-enrolled </w:t>
            </w:r>
            <w:r w:rsidRPr="00C402AF">
              <w:t>population, aged 20 years and over</w:t>
            </w:r>
            <w:r w:rsidR="007D0F17" w:rsidRPr="00C402AF">
              <w:t>,</w:t>
            </w:r>
            <w:r w:rsidRPr="00C402AF">
              <w:t xml:space="preserve"> </w:t>
            </w:r>
            <w:r w:rsidR="0026080F" w:rsidRPr="00C402AF">
              <w:t xml:space="preserve">estimated to have </w:t>
            </w:r>
            <w:r w:rsidRPr="00C402AF">
              <w:t xml:space="preserve">gout. </w:t>
            </w:r>
          </w:p>
          <w:p w14:paraId="298D0358" w14:textId="2F107FB8" w:rsidR="00D7543C" w:rsidRPr="00C402AF" w:rsidRDefault="00D7543C" w:rsidP="00785962">
            <w:pPr>
              <w:pStyle w:val="TabletextHQSC"/>
            </w:pPr>
            <w:r w:rsidRPr="00C402AF">
              <w:t xml:space="preserve">The method used to calculate gout prevalence was </w:t>
            </w:r>
            <w:r w:rsidR="00C10AA2" w:rsidRPr="00C402AF">
              <w:t xml:space="preserve">based on </w:t>
            </w:r>
            <w:r w:rsidRPr="00C402AF">
              <w:t>the</w:t>
            </w:r>
            <w:r w:rsidR="00C10AA2" w:rsidRPr="00C402AF">
              <w:t xml:space="preserve"> method</w:t>
            </w:r>
            <w:r w:rsidRPr="00C402AF">
              <w:t xml:space="preserve"> described by </w:t>
            </w:r>
            <w:proofErr w:type="spellStart"/>
            <w:r w:rsidRPr="00C402AF">
              <w:t>Winnard</w:t>
            </w:r>
            <w:proofErr w:type="spellEnd"/>
            <w:r w:rsidRPr="00C402AF">
              <w:t xml:space="preserve"> et al (2012), combining those who have either been in a public hospital with a</w:t>
            </w:r>
            <w:r w:rsidR="00CE39EF" w:rsidRPr="00C402AF">
              <w:t>ny</w:t>
            </w:r>
            <w:r w:rsidRPr="00C402AF">
              <w:t xml:space="preserve"> diagnosis for gout or been </w:t>
            </w:r>
            <w:r w:rsidR="00F345E8" w:rsidRPr="00C402AF">
              <w:t>dispensed</w:t>
            </w:r>
            <w:r w:rsidR="003E7E65" w:rsidRPr="00C402AF">
              <w:t xml:space="preserve"> </w:t>
            </w:r>
            <w:r w:rsidR="00EB0A92">
              <w:t>ULT</w:t>
            </w:r>
            <w:r w:rsidRPr="00C402AF">
              <w:t xml:space="preserve"> or colchicine </w:t>
            </w:r>
            <w:r w:rsidR="00586CE4" w:rsidRPr="00C402AF">
              <w:t xml:space="preserve">in the </w:t>
            </w:r>
            <w:r w:rsidR="00586CE4" w:rsidRPr="00C402AF">
              <w:rPr>
                <w:color w:val="000000"/>
              </w:rPr>
              <w:t>15-year</w:t>
            </w:r>
            <w:r w:rsidR="00EB0A92">
              <w:rPr>
                <w:color w:val="000000"/>
              </w:rPr>
              <w:t>,</w:t>
            </w:r>
            <w:r w:rsidR="00586CE4" w:rsidRPr="00C402AF">
              <w:rPr>
                <w:color w:val="000000"/>
              </w:rPr>
              <w:t xml:space="preserve"> rolling</w:t>
            </w:r>
            <w:r w:rsidR="00EB0A92">
              <w:rPr>
                <w:color w:val="000000"/>
              </w:rPr>
              <w:t>,</w:t>
            </w:r>
            <w:r w:rsidR="00586CE4" w:rsidRPr="00C402AF">
              <w:rPr>
                <w:color w:val="000000"/>
              </w:rPr>
              <w:t xml:space="preserve"> lookback period. </w:t>
            </w:r>
          </w:p>
          <w:p w14:paraId="5AD11A7A" w14:textId="4267F774" w:rsidR="0093767A" w:rsidRPr="00C402AF" w:rsidRDefault="0093767A" w:rsidP="00785962">
            <w:pPr>
              <w:pStyle w:val="TabletextHQSC"/>
              <w:rPr>
                <w:bCs/>
              </w:rPr>
            </w:pPr>
            <w:r w:rsidRPr="00C402AF">
              <w:rPr>
                <w:bCs/>
              </w:rPr>
              <w:t xml:space="preserve">Why is this important? </w:t>
            </w:r>
          </w:p>
          <w:p w14:paraId="57D115EA" w14:textId="77C0E9D0" w:rsidR="0093767A" w:rsidRPr="00C402AF" w:rsidRDefault="00174FB1" w:rsidP="00785962">
            <w:pPr>
              <w:pStyle w:val="TabletextHQSC"/>
            </w:pPr>
            <w:r w:rsidRPr="00C402AF">
              <w:t>Understanding demographic and geographic variation in gout prevalence helps identify inequities, highlight</w:t>
            </w:r>
            <w:r w:rsidR="0045625C">
              <w:t>s</w:t>
            </w:r>
            <w:r w:rsidRPr="00C402AF">
              <w:t xml:space="preserve"> populations with higher need and informs targeted prevention</w:t>
            </w:r>
            <w:r w:rsidR="001855AF">
              <w:t xml:space="preserve"> and</w:t>
            </w:r>
            <w:r w:rsidR="001855AF" w:rsidRPr="00C402AF">
              <w:t xml:space="preserve"> </w:t>
            </w:r>
            <w:r w:rsidRPr="00C402AF">
              <w:t xml:space="preserve">management strategies and resource allocation. </w:t>
            </w:r>
            <w:r w:rsidR="0093767A" w:rsidRPr="00C402AF">
              <w:t xml:space="preserve">Rates of </w:t>
            </w:r>
            <w:r w:rsidR="00443CD7" w:rsidRPr="00C402AF">
              <w:t xml:space="preserve">identification of </w:t>
            </w:r>
            <w:r w:rsidR="0093767A" w:rsidRPr="00C402AF">
              <w:t xml:space="preserve">gout are particularly high in male Māori and Pacific peoples, meaning districts with a high Māori and/or Pacific population have higher prevalence. </w:t>
            </w:r>
          </w:p>
          <w:p w14:paraId="3103C953" w14:textId="77777777" w:rsidR="006106E8" w:rsidRPr="00C402AF" w:rsidRDefault="006106E8" w:rsidP="00785962">
            <w:pPr>
              <w:pStyle w:val="TabletextHQSC"/>
              <w:rPr>
                <w:bCs/>
              </w:rPr>
            </w:pPr>
            <w:r w:rsidRPr="00C402AF">
              <w:rPr>
                <w:bCs/>
              </w:rPr>
              <w:t>What questions does this prompt?</w:t>
            </w:r>
          </w:p>
          <w:p w14:paraId="22F1AD1D" w14:textId="0EE77B00" w:rsidR="00F63213" w:rsidRPr="00C402AF" w:rsidRDefault="006106E8" w:rsidP="00A57432">
            <w:pPr>
              <w:pStyle w:val="BulletsHQSC"/>
            </w:pPr>
            <w:r w:rsidRPr="00C402AF">
              <w:t xml:space="preserve">Why are there regional differences in gout </w:t>
            </w:r>
            <w:r w:rsidR="004F6A08" w:rsidRPr="00C402AF">
              <w:t>estimates</w:t>
            </w:r>
            <w:r w:rsidRPr="00C402AF">
              <w:t xml:space="preserve"> in different ethnic groups?</w:t>
            </w:r>
            <w:r w:rsidR="00C26A59" w:rsidRPr="00C402AF">
              <w:t xml:space="preserve"> </w:t>
            </w:r>
          </w:p>
        </w:tc>
      </w:tr>
    </w:tbl>
    <w:p w14:paraId="72513B0C" w14:textId="0CA54A0A" w:rsidR="006106E8" w:rsidRPr="00C402AF" w:rsidRDefault="006106E8" w:rsidP="00A57432">
      <w:pPr>
        <w:pStyle w:val="Heading3HQSC"/>
        <w:numPr>
          <w:ilvl w:val="0"/>
          <w:numId w:val="13"/>
        </w:numPr>
      </w:pPr>
      <w:bookmarkStart w:id="10" w:name="_Toc237508330"/>
      <w:r w:rsidRPr="00C402AF">
        <w:rPr>
          <w:color w:val="000000"/>
        </w:rPr>
        <w:lastRenderedPageBreak/>
        <w:t xml:space="preserve">People with </w:t>
      </w:r>
      <w:r w:rsidR="00C63734" w:rsidRPr="00C402AF">
        <w:rPr>
          <w:color w:val="000000"/>
        </w:rPr>
        <w:t xml:space="preserve">estimated </w:t>
      </w:r>
      <w:r w:rsidRPr="00C402AF">
        <w:rPr>
          <w:color w:val="000000"/>
        </w:rPr>
        <w:t>gout who received urate-lowering therapy at least once in a year, percent</w:t>
      </w:r>
      <w:bookmarkEnd w:id="10"/>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69B342CE"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14B47BED" w14:textId="3ED6C0E1" w:rsidR="0093767A" w:rsidRPr="00C402AF" w:rsidRDefault="0093767A" w:rsidP="00133CAD">
            <w:pPr>
              <w:pStyle w:val="TabletextHQSC"/>
            </w:pPr>
            <w:r w:rsidRPr="00C402AF">
              <w:t>Indicator 2</w:t>
            </w:r>
          </w:p>
        </w:tc>
        <w:tc>
          <w:tcPr>
            <w:tcW w:w="7371" w:type="dxa"/>
            <w:tcBorders>
              <w:top w:val="single" w:sz="4" w:space="0" w:color="C2D69B"/>
              <w:left w:val="single" w:sz="4" w:space="0" w:color="C2D69B"/>
              <w:bottom w:val="single" w:sz="4" w:space="0" w:color="C2D69B"/>
              <w:right w:val="single" w:sz="4" w:space="0" w:color="C2D69B"/>
            </w:tcBorders>
            <w:vAlign w:val="bottom"/>
          </w:tcPr>
          <w:p w14:paraId="6B02E90B" w14:textId="5317FA71" w:rsidR="0093767A" w:rsidRPr="00C402AF" w:rsidRDefault="0093767A" w:rsidP="00133CAD">
            <w:pPr>
              <w:pStyle w:val="TabletextHQSC"/>
              <w:rPr>
                <w:color w:val="000000"/>
              </w:rPr>
            </w:pPr>
            <w:r w:rsidRPr="00C402AF">
              <w:rPr>
                <w:color w:val="000000"/>
              </w:rPr>
              <w:t xml:space="preserve">People with </w:t>
            </w:r>
            <w:r w:rsidR="00C63734" w:rsidRPr="00C402AF">
              <w:rPr>
                <w:color w:val="000000"/>
              </w:rPr>
              <w:t xml:space="preserve">estimated </w:t>
            </w:r>
            <w:r w:rsidRPr="00C402AF">
              <w:rPr>
                <w:color w:val="000000"/>
              </w:rPr>
              <w:t xml:space="preserve">gout who received urate-lowering therapy at least once in a year, </w:t>
            </w:r>
            <w:r w:rsidR="006106E8" w:rsidRPr="00C402AF">
              <w:rPr>
                <w:color w:val="000000"/>
              </w:rPr>
              <w:t>percent</w:t>
            </w:r>
          </w:p>
        </w:tc>
      </w:tr>
      <w:tr w:rsidR="0093767A" w:rsidRPr="00C402AF" w14:paraId="5559DEC7"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1D16C3C3" w14:textId="77777777" w:rsidR="0093767A" w:rsidRPr="00C402AF" w:rsidRDefault="0093767A" w:rsidP="00133CAD">
            <w:pPr>
              <w:pStyle w:val="TabletextHQSC"/>
            </w:pPr>
            <w:r w:rsidRPr="00C402AF">
              <w:t>Numerator</w:t>
            </w:r>
          </w:p>
        </w:tc>
        <w:tc>
          <w:tcPr>
            <w:tcW w:w="7371" w:type="dxa"/>
            <w:tcBorders>
              <w:top w:val="single" w:sz="4" w:space="0" w:color="C2D69B"/>
              <w:left w:val="single" w:sz="4" w:space="0" w:color="C2D69B"/>
              <w:bottom w:val="single" w:sz="4" w:space="0" w:color="C2D69B"/>
              <w:right w:val="single" w:sz="4" w:space="0" w:color="C2D69B"/>
            </w:tcBorders>
            <w:vAlign w:val="bottom"/>
          </w:tcPr>
          <w:p w14:paraId="0D60CB09" w14:textId="4FB25C5E" w:rsidR="0093767A" w:rsidRPr="00C402AF" w:rsidRDefault="0093767A" w:rsidP="00133CAD">
            <w:pPr>
              <w:pStyle w:val="TabletextHQSC"/>
              <w:rPr>
                <w:color w:val="000000"/>
              </w:rPr>
            </w:pPr>
            <w:r w:rsidRPr="00C402AF">
              <w:rPr>
                <w:color w:val="000000"/>
              </w:rPr>
              <w:t xml:space="preserve">Number of people aged 20 years and over with </w:t>
            </w:r>
            <w:r w:rsidR="00C63734" w:rsidRPr="00C402AF">
              <w:rPr>
                <w:color w:val="000000"/>
              </w:rPr>
              <w:t xml:space="preserve">estimated </w:t>
            </w:r>
            <w:r w:rsidRPr="00C402AF">
              <w:rPr>
                <w:color w:val="000000"/>
              </w:rPr>
              <w:t xml:space="preserve">gout who were dispensed a gout-specific </w:t>
            </w:r>
            <w:r w:rsidR="00F31EA9">
              <w:rPr>
                <w:color w:val="000000"/>
              </w:rPr>
              <w:t>ULT</w:t>
            </w:r>
            <w:r w:rsidRPr="00C402AF">
              <w:rPr>
                <w:color w:val="000000"/>
              </w:rPr>
              <w:t xml:space="preserve"> (allopurinol, febuxostat, benzbromarone) at least once in </w:t>
            </w:r>
            <w:r w:rsidR="00443CD7" w:rsidRPr="00C402AF">
              <w:rPr>
                <w:color w:val="000000"/>
              </w:rPr>
              <w:t>the</w:t>
            </w:r>
            <w:r w:rsidR="00B45B92" w:rsidRPr="00C402AF">
              <w:rPr>
                <w:color w:val="000000"/>
              </w:rPr>
              <w:t xml:space="preserve"> calendar</w:t>
            </w:r>
            <w:r w:rsidR="00443CD7" w:rsidRPr="00C402AF">
              <w:rPr>
                <w:color w:val="000000"/>
              </w:rPr>
              <w:t xml:space="preserve"> </w:t>
            </w:r>
            <w:r w:rsidRPr="00C402AF">
              <w:rPr>
                <w:color w:val="000000"/>
              </w:rPr>
              <w:t>year</w:t>
            </w:r>
            <w:r w:rsidR="00443CD7" w:rsidRPr="00C402AF">
              <w:rPr>
                <w:color w:val="000000"/>
              </w:rPr>
              <w:t xml:space="preserve"> </w:t>
            </w:r>
          </w:p>
        </w:tc>
      </w:tr>
      <w:tr w:rsidR="0093767A" w:rsidRPr="00C402AF" w14:paraId="42960E3A"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73C44F35" w14:textId="77777777" w:rsidR="0093767A" w:rsidRPr="00C402AF" w:rsidRDefault="0093767A" w:rsidP="00133CAD">
            <w:pPr>
              <w:pStyle w:val="TabletextHQSC"/>
            </w:pPr>
            <w:r w:rsidRPr="00C402AF">
              <w:t>Denominator</w:t>
            </w:r>
          </w:p>
        </w:tc>
        <w:tc>
          <w:tcPr>
            <w:tcW w:w="7371" w:type="dxa"/>
            <w:tcBorders>
              <w:top w:val="single" w:sz="4" w:space="0" w:color="C2D69B"/>
              <w:left w:val="single" w:sz="4" w:space="0" w:color="C2D69B"/>
              <w:bottom w:val="single" w:sz="4" w:space="0" w:color="C2D69B"/>
              <w:right w:val="single" w:sz="4" w:space="0" w:color="C2D69B"/>
            </w:tcBorders>
            <w:vAlign w:val="bottom"/>
          </w:tcPr>
          <w:p w14:paraId="504001E8" w14:textId="088E59D1" w:rsidR="0093767A" w:rsidRPr="00C402AF" w:rsidRDefault="002F5884" w:rsidP="00133CAD">
            <w:pPr>
              <w:pStyle w:val="TabletextHQSC"/>
              <w:rPr>
                <w:color w:val="000000"/>
              </w:rPr>
            </w:pPr>
            <w:r w:rsidRPr="00C402AF">
              <w:rPr>
                <w:color w:val="000000"/>
              </w:rPr>
              <w:t>PHO-enrolled population</w:t>
            </w:r>
            <w:r w:rsidR="0093767A" w:rsidRPr="00C402AF">
              <w:rPr>
                <w:color w:val="000000"/>
              </w:rPr>
              <w:t xml:space="preserve"> aged 20 years and over with </w:t>
            </w:r>
            <w:r w:rsidR="00DB7D0D" w:rsidRPr="00C402AF">
              <w:rPr>
                <w:color w:val="000000"/>
              </w:rPr>
              <w:t>estimated</w:t>
            </w:r>
            <w:r w:rsidR="0093767A" w:rsidRPr="00C402AF">
              <w:rPr>
                <w:color w:val="000000"/>
              </w:rPr>
              <w:t xml:space="preserve"> gout using the </w:t>
            </w:r>
            <w:r w:rsidR="00443CD7" w:rsidRPr="00C402AF">
              <w:rPr>
                <w:color w:val="000000"/>
              </w:rPr>
              <w:t xml:space="preserve">adapted </w:t>
            </w:r>
            <w:proofErr w:type="spellStart"/>
            <w:r w:rsidR="0093767A" w:rsidRPr="00C402AF">
              <w:rPr>
                <w:color w:val="000000"/>
              </w:rPr>
              <w:t>HealthTracker</w:t>
            </w:r>
            <w:proofErr w:type="spellEnd"/>
            <w:r w:rsidR="0093767A" w:rsidRPr="00C402AF">
              <w:rPr>
                <w:color w:val="000000"/>
              </w:rPr>
              <w:t xml:space="preserve"> method (numerator indicator 1).</w:t>
            </w:r>
          </w:p>
        </w:tc>
      </w:tr>
      <w:tr w:rsidR="00E92E32" w:rsidRPr="00C402AF" w14:paraId="06DC3EEA"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11ACA4F5" w14:textId="5A668285" w:rsidR="00E92E32" w:rsidRPr="00C402AF" w:rsidRDefault="00E92E32" w:rsidP="00133CAD">
            <w:pPr>
              <w:pStyle w:val="TabletextHQSC"/>
            </w:pPr>
            <w:r w:rsidRPr="00C402AF">
              <w:t>Data source</w:t>
            </w:r>
          </w:p>
        </w:tc>
        <w:tc>
          <w:tcPr>
            <w:tcW w:w="7371" w:type="dxa"/>
            <w:tcBorders>
              <w:top w:val="single" w:sz="4" w:space="0" w:color="C2D69B"/>
              <w:left w:val="single" w:sz="4" w:space="0" w:color="C2D69B"/>
              <w:bottom w:val="single" w:sz="4" w:space="0" w:color="C2D69B"/>
              <w:right w:val="single" w:sz="4" w:space="0" w:color="C2D69B"/>
            </w:tcBorders>
            <w:vAlign w:val="bottom"/>
          </w:tcPr>
          <w:p w14:paraId="27411556" w14:textId="58186E55" w:rsidR="00E92E32" w:rsidRPr="00C402AF" w:rsidRDefault="00E92E32" w:rsidP="00133CAD">
            <w:pPr>
              <w:pStyle w:val="TabletextHQSC"/>
            </w:pPr>
            <w:r w:rsidRPr="00C402AF">
              <w:t xml:space="preserve">NMDS, </w:t>
            </w:r>
            <w:r w:rsidR="001855AF" w:rsidRPr="00C402AF">
              <w:t>pharmaceutical collection</w:t>
            </w:r>
            <w:r w:rsidRPr="00C402AF">
              <w:t xml:space="preserve">, PHO </w:t>
            </w:r>
            <w:r w:rsidR="001855AF" w:rsidRPr="00C402AF">
              <w:t>enrolment collection</w:t>
            </w:r>
            <w:r w:rsidRPr="00C402AF">
              <w:t xml:space="preserve">, </w:t>
            </w:r>
            <w:r w:rsidR="001855AF">
              <w:t>NZCR</w:t>
            </w:r>
            <w:r w:rsidR="00A54A90" w:rsidRPr="00C402AF">
              <w:t xml:space="preserve"> and NHI database</w:t>
            </w:r>
            <w:r w:rsidRPr="00C402AF">
              <w:t>.</w:t>
            </w:r>
          </w:p>
        </w:tc>
      </w:tr>
      <w:tr w:rsidR="00E92E32" w:rsidRPr="00C402AF" w14:paraId="4D4825A9"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4A66531A" w14:textId="47CF800B" w:rsidR="00E92E32" w:rsidRPr="00C402AF" w:rsidRDefault="00E92E32" w:rsidP="00133CAD">
            <w:pPr>
              <w:pStyle w:val="TabletextHQSC"/>
            </w:pPr>
            <w:r w:rsidRPr="00C402AF">
              <w:t>Analysis</w:t>
            </w:r>
          </w:p>
        </w:tc>
        <w:tc>
          <w:tcPr>
            <w:tcW w:w="7371" w:type="dxa"/>
            <w:tcBorders>
              <w:top w:val="single" w:sz="4" w:space="0" w:color="C2D69B"/>
              <w:left w:val="single" w:sz="4" w:space="0" w:color="C2D69B"/>
              <w:bottom w:val="single" w:sz="4" w:space="0" w:color="C2D69B"/>
              <w:right w:val="single" w:sz="4" w:space="0" w:color="C2D69B"/>
            </w:tcBorders>
            <w:vAlign w:val="bottom"/>
          </w:tcPr>
          <w:p w14:paraId="283DF75C" w14:textId="3C4D90B1" w:rsidR="00E92E32" w:rsidRPr="00C402AF" w:rsidRDefault="00E92E32" w:rsidP="00133CAD">
            <w:pPr>
              <w:pStyle w:val="TabletextHQSC"/>
            </w:pPr>
            <w:r w:rsidRPr="00C402AF">
              <w:t>For single map analysis: By year (2019‒</w:t>
            </w:r>
            <w:r w:rsidR="001855AF">
              <w:t>20</w:t>
            </w:r>
            <w:r w:rsidRPr="00C402AF">
              <w:t xml:space="preserve">24), age group (20‒44 years, 45‒64 years, 65 years and over), gender (female and male), ethnic group (Māori, Pacific peoples, non-Māori non-Pacific) and Health </w:t>
            </w:r>
            <w:r w:rsidR="001855AF">
              <w:t>NZ</w:t>
            </w:r>
            <w:r w:rsidRPr="00C402AF">
              <w:t xml:space="preserve"> district of domicile. </w:t>
            </w:r>
          </w:p>
          <w:p w14:paraId="528ED9D8" w14:textId="06B499AA" w:rsidR="00E92E32" w:rsidRPr="00C402AF" w:rsidRDefault="00E92E32" w:rsidP="00133CAD">
            <w:pPr>
              <w:pStyle w:val="TabletextHQSC"/>
            </w:pPr>
            <w:r w:rsidRPr="00C402AF">
              <w:t>For PHO analysis: By year (2024), age group</w:t>
            </w:r>
            <w:r w:rsidR="001855AF">
              <w:t xml:space="preserve"> (in years)</w:t>
            </w:r>
            <w:r w:rsidRPr="00C402AF">
              <w:t>, gender, ethnic group, PHO most recently enrolled with (for the relevant year), PHO group (small, medium, medium</w:t>
            </w:r>
            <w:r w:rsidR="001855AF">
              <w:t>-</w:t>
            </w:r>
            <w:r w:rsidRPr="00C402AF">
              <w:t>large and large).</w:t>
            </w:r>
          </w:p>
        </w:tc>
      </w:tr>
      <w:tr w:rsidR="0093767A" w:rsidRPr="00C402AF" w14:paraId="7EFA080A"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63D99757" w14:textId="77777777" w:rsidR="0093767A" w:rsidRPr="00C402AF" w:rsidRDefault="0093767A" w:rsidP="00133CAD">
            <w:pPr>
              <w:pStyle w:val="TabletextHQSC"/>
            </w:pPr>
            <w:r w:rsidRPr="00C402AF">
              <w:t>Medicines</w:t>
            </w:r>
          </w:p>
        </w:tc>
        <w:tc>
          <w:tcPr>
            <w:tcW w:w="7371" w:type="dxa"/>
            <w:tcBorders>
              <w:top w:val="single" w:sz="4" w:space="0" w:color="C2D69B"/>
              <w:left w:val="single" w:sz="4" w:space="0" w:color="C2D69B"/>
              <w:bottom w:val="single" w:sz="4" w:space="0" w:color="C2D69B"/>
              <w:right w:val="single" w:sz="4" w:space="0" w:color="C2D69B"/>
            </w:tcBorders>
            <w:vAlign w:val="bottom"/>
          </w:tcPr>
          <w:p w14:paraId="05991521" w14:textId="5977CD8C" w:rsidR="0093767A" w:rsidRPr="00C402AF" w:rsidRDefault="002B740D" w:rsidP="00133CAD">
            <w:pPr>
              <w:pStyle w:val="TabletextHQSC"/>
            </w:pPr>
            <w:r>
              <w:t>ULT</w:t>
            </w:r>
            <w:r w:rsidR="0093767A" w:rsidRPr="00C402AF">
              <w:t xml:space="preserve">: 1026 allopurinol, 4026 febuxostat, and 4003 </w:t>
            </w:r>
            <w:proofErr w:type="gramStart"/>
            <w:r w:rsidR="0093767A" w:rsidRPr="00C402AF">
              <w:t>benzbromarone</w:t>
            </w:r>
            <w:proofErr w:type="gramEnd"/>
            <w:r w:rsidR="0093767A" w:rsidRPr="00C402AF">
              <w:t>.</w:t>
            </w:r>
          </w:p>
          <w:p w14:paraId="2D8FC15E" w14:textId="7EBA3563" w:rsidR="00443E53" w:rsidRPr="00C402AF" w:rsidRDefault="00443E53" w:rsidP="00133CAD">
            <w:pPr>
              <w:pStyle w:val="TabletextHQSC"/>
            </w:pPr>
            <w:r w:rsidRPr="00C402AF">
              <w:rPr>
                <w:lang w:eastAsia="en-NZ"/>
              </w:rPr>
              <w:t xml:space="preserve">This indicator does not include probenecid, as it is commonly used as an adjunct to certain antibiotics to enhance their efficacy. While probenecid is most often dispensed alongside antibiotics, it may also be prescribed for gout in patients who are unable to tolerate other </w:t>
            </w:r>
            <w:r w:rsidR="002B740D">
              <w:rPr>
                <w:lang w:eastAsia="en-NZ"/>
              </w:rPr>
              <w:t>ULTs</w:t>
            </w:r>
            <w:r w:rsidRPr="00C402AF">
              <w:rPr>
                <w:lang w:eastAsia="en-NZ"/>
              </w:rPr>
              <w:t>.</w:t>
            </w:r>
            <w:r w:rsidR="001D15BA">
              <w:rPr>
                <w:lang w:eastAsia="en-NZ"/>
              </w:rPr>
              <w:t xml:space="preserve"> </w:t>
            </w:r>
            <w:r w:rsidR="001D15BA" w:rsidRPr="00A35D61">
              <w:rPr>
                <w:lang w:eastAsia="en-NZ"/>
              </w:rPr>
              <w:t>In 2024, approximately 8</w:t>
            </w:r>
            <w:r w:rsidR="001D15BA">
              <w:rPr>
                <w:lang w:eastAsia="en-NZ"/>
              </w:rPr>
              <w:t>70</w:t>
            </w:r>
            <w:r w:rsidR="001D15BA" w:rsidRPr="00A35D61">
              <w:rPr>
                <w:lang w:eastAsia="en-NZ"/>
              </w:rPr>
              <w:t xml:space="preserve"> people </w:t>
            </w:r>
            <w:r w:rsidR="001D15BA">
              <w:rPr>
                <w:lang w:eastAsia="en-NZ"/>
              </w:rPr>
              <w:t>who were estimated</w:t>
            </w:r>
            <w:r w:rsidR="001D15BA" w:rsidRPr="00A35D61">
              <w:rPr>
                <w:lang w:eastAsia="en-NZ"/>
              </w:rPr>
              <w:t xml:space="preserve"> with gout were regularly dispensed probenecid. Of these, </w:t>
            </w:r>
            <w:r w:rsidR="002B740D">
              <w:rPr>
                <w:lang w:eastAsia="en-NZ"/>
              </w:rPr>
              <w:t xml:space="preserve">approximately </w:t>
            </w:r>
            <w:r w:rsidR="001D15BA" w:rsidRPr="00A35D61">
              <w:rPr>
                <w:lang w:eastAsia="en-NZ"/>
              </w:rPr>
              <w:t>80</w:t>
            </w:r>
            <w:r w:rsidR="001D15BA">
              <w:rPr>
                <w:lang w:eastAsia="en-NZ"/>
              </w:rPr>
              <w:t>0</w:t>
            </w:r>
            <w:r w:rsidR="001D15BA" w:rsidRPr="00A35D61">
              <w:rPr>
                <w:lang w:eastAsia="en-NZ"/>
              </w:rPr>
              <w:t xml:space="preserve"> individuals did not receive antibiotics within </w:t>
            </w:r>
            <w:r w:rsidR="001855AF">
              <w:rPr>
                <w:lang w:eastAsia="en-NZ"/>
              </w:rPr>
              <w:t>7</w:t>
            </w:r>
            <w:r w:rsidR="001855AF" w:rsidRPr="00A35D61">
              <w:rPr>
                <w:lang w:eastAsia="en-NZ"/>
              </w:rPr>
              <w:t xml:space="preserve"> </w:t>
            </w:r>
            <w:r w:rsidR="001D15BA" w:rsidRPr="00A35D61">
              <w:rPr>
                <w:lang w:eastAsia="en-NZ"/>
              </w:rPr>
              <w:t>days of probenecid dispensing, suggesting that probenecid may have been used for gout management in this group.</w:t>
            </w:r>
          </w:p>
        </w:tc>
      </w:tr>
      <w:tr w:rsidR="00174FB1" w:rsidRPr="00C402AF" w14:paraId="6B165E7C"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5ED889E0" w14:textId="60AB57AF" w:rsidR="00174FB1" w:rsidRPr="00C402AF" w:rsidRDefault="00174FB1" w:rsidP="00133CAD">
            <w:pPr>
              <w:pStyle w:val="TabletextHQSC"/>
            </w:pPr>
            <w:r w:rsidRPr="00C402AF">
              <w:t>Rationale</w:t>
            </w:r>
          </w:p>
        </w:tc>
        <w:tc>
          <w:tcPr>
            <w:tcW w:w="7371" w:type="dxa"/>
            <w:tcBorders>
              <w:top w:val="single" w:sz="4" w:space="0" w:color="C2D69B"/>
              <w:left w:val="single" w:sz="4" w:space="0" w:color="C2D69B"/>
              <w:bottom w:val="single" w:sz="4" w:space="0" w:color="C2D69B"/>
              <w:right w:val="single" w:sz="4" w:space="0" w:color="C2D69B"/>
            </w:tcBorders>
            <w:vAlign w:val="bottom"/>
          </w:tcPr>
          <w:p w14:paraId="74F2E3F4" w14:textId="489F0E66" w:rsidR="00584CF8" w:rsidRPr="00C402AF" w:rsidRDefault="00174FB1" w:rsidP="00174FB1">
            <w:pPr>
              <w:pStyle w:val="TabletextHQSC"/>
            </w:pPr>
            <w:r w:rsidRPr="00C402AF">
              <w:t xml:space="preserve">Long-term </w:t>
            </w:r>
            <w:r w:rsidR="002B740D">
              <w:t>ULT</w:t>
            </w:r>
            <w:r w:rsidRPr="00C402AF">
              <w:t xml:space="preserve"> is used to prevent gout flares and prevent tophus formation, bony erosions and permanent disability in people with gout. </w:t>
            </w:r>
          </w:p>
          <w:p w14:paraId="342E30E4" w14:textId="08C4D72C" w:rsidR="00174FB1" w:rsidRPr="00C402AF" w:rsidRDefault="00584CF8" w:rsidP="00584CF8">
            <w:pPr>
              <w:pStyle w:val="TabletextHQSC"/>
            </w:pPr>
            <w:r w:rsidRPr="00C402AF">
              <w:t>Understanding variation in dispensing patterns provides insight into treatment uptake, adherence and continuity of care and helps identify opportunities to improve long-term management and health outcomes for people with gout.</w:t>
            </w:r>
          </w:p>
        </w:tc>
      </w:tr>
      <w:tr w:rsidR="0093767A" w:rsidRPr="00C402AF" w14:paraId="17EABC50"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5913601E" w14:textId="77777777" w:rsidR="0093767A" w:rsidRPr="00C402AF" w:rsidRDefault="0093767A" w:rsidP="00133CAD">
            <w:pPr>
              <w:pStyle w:val="TabletextHQSC"/>
            </w:pPr>
            <w:r w:rsidRPr="00C402AF">
              <w:t>Commentary</w:t>
            </w:r>
          </w:p>
        </w:tc>
        <w:tc>
          <w:tcPr>
            <w:tcW w:w="7371" w:type="dxa"/>
            <w:tcBorders>
              <w:top w:val="single" w:sz="4" w:space="0" w:color="C2D69B"/>
              <w:left w:val="single" w:sz="4" w:space="0" w:color="C2D69B"/>
              <w:bottom w:val="single" w:sz="4" w:space="0" w:color="C2D69B"/>
              <w:right w:val="single" w:sz="4" w:space="0" w:color="C2D69B"/>
            </w:tcBorders>
            <w:vAlign w:val="bottom"/>
          </w:tcPr>
          <w:p w14:paraId="76307DE0" w14:textId="2BB464E0" w:rsidR="00920D2A" w:rsidRPr="00C402AF" w:rsidRDefault="00133CAD" w:rsidP="00133CAD">
            <w:pPr>
              <w:pStyle w:val="TabletextHQSC"/>
              <w:rPr>
                <w:bCs/>
              </w:rPr>
            </w:pPr>
            <w:r w:rsidRPr="00C402AF">
              <w:rPr>
                <w:bCs/>
              </w:rPr>
              <w:t>Description</w:t>
            </w:r>
          </w:p>
          <w:p w14:paraId="50722F16" w14:textId="027F7380" w:rsidR="00A958A0" w:rsidRPr="00C402AF" w:rsidRDefault="00A958A0" w:rsidP="00133CAD">
            <w:pPr>
              <w:pStyle w:val="TabletextHQSC"/>
              <w:rPr>
                <w:bCs/>
              </w:rPr>
            </w:pPr>
            <w:r w:rsidRPr="00C402AF">
              <w:t xml:space="preserve">Data </w:t>
            </w:r>
            <w:r w:rsidR="001855AF">
              <w:t>was</w:t>
            </w:r>
            <w:r w:rsidR="001855AF" w:rsidRPr="00C402AF">
              <w:t xml:space="preserve"> </w:t>
            </w:r>
            <w:r w:rsidRPr="00C402AF">
              <w:t>presented by year, ethnicity, age and gender.</w:t>
            </w:r>
          </w:p>
          <w:p w14:paraId="74B88749" w14:textId="0E671681" w:rsidR="00133CAD" w:rsidRPr="00C402AF" w:rsidRDefault="00133CAD" w:rsidP="00133CAD">
            <w:pPr>
              <w:pStyle w:val="TabletextHQSC"/>
              <w:rPr>
                <w:bCs/>
              </w:rPr>
            </w:pPr>
            <w:r w:rsidRPr="00C402AF">
              <w:rPr>
                <w:bCs/>
              </w:rPr>
              <w:t xml:space="preserve">This indicator shows the number and percent of people </w:t>
            </w:r>
            <w:r w:rsidR="00C63734" w:rsidRPr="00C402AF">
              <w:rPr>
                <w:bCs/>
              </w:rPr>
              <w:t>estimated</w:t>
            </w:r>
            <w:r w:rsidRPr="00C402AF">
              <w:rPr>
                <w:bCs/>
              </w:rPr>
              <w:t xml:space="preserve"> with gout who </w:t>
            </w:r>
            <w:r w:rsidR="00587A35" w:rsidRPr="00C402AF">
              <w:rPr>
                <w:bCs/>
              </w:rPr>
              <w:t>received</w:t>
            </w:r>
            <w:r w:rsidRPr="00C402AF">
              <w:rPr>
                <w:bCs/>
              </w:rPr>
              <w:t xml:space="preserve"> </w:t>
            </w:r>
            <w:r w:rsidR="001708BC">
              <w:rPr>
                <w:bCs/>
              </w:rPr>
              <w:t>ULT</w:t>
            </w:r>
            <w:r w:rsidR="00587A35" w:rsidRPr="00C402AF">
              <w:rPr>
                <w:bCs/>
              </w:rPr>
              <w:t xml:space="preserve"> at least once a year</w:t>
            </w:r>
            <w:r w:rsidRPr="00C402AF">
              <w:rPr>
                <w:bCs/>
              </w:rPr>
              <w:t xml:space="preserve">. This indicator does not assess whether medicine was clinically </w:t>
            </w:r>
            <w:proofErr w:type="gramStart"/>
            <w:r w:rsidRPr="00C402AF">
              <w:rPr>
                <w:bCs/>
              </w:rPr>
              <w:t>indicated,</w:t>
            </w:r>
            <w:proofErr w:type="gramEnd"/>
            <w:r w:rsidRPr="00C402AF">
              <w:rPr>
                <w:bCs/>
              </w:rPr>
              <w:t xml:space="preserve"> whether the dose was optimal or whether the dose was taken.</w:t>
            </w:r>
          </w:p>
          <w:p w14:paraId="575B3BBC" w14:textId="33950012" w:rsidR="0093767A" w:rsidRPr="00C402AF" w:rsidRDefault="0093767A" w:rsidP="00133CAD">
            <w:pPr>
              <w:pStyle w:val="TabletextHQSC"/>
              <w:rPr>
                <w:bCs/>
              </w:rPr>
            </w:pPr>
            <w:r w:rsidRPr="00C402AF">
              <w:rPr>
                <w:bCs/>
              </w:rPr>
              <w:t xml:space="preserve">Why is this important? </w:t>
            </w:r>
          </w:p>
          <w:p w14:paraId="620F7728" w14:textId="778BCDFC" w:rsidR="0093767A" w:rsidRPr="00C402AF" w:rsidRDefault="0093767A" w:rsidP="00133CAD">
            <w:pPr>
              <w:pStyle w:val="TabletextHQSC"/>
            </w:pPr>
            <w:r w:rsidRPr="00C402AF">
              <w:t xml:space="preserve">Long-term </w:t>
            </w:r>
            <w:r w:rsidR="001708BC">
              <w:t>ULT</w:t>
            </w:r>
            <w:r w:rsidRPr="00C402AF">
              <w:t xml:space="preserve"> is used to prevent gout flares and tophus formation, bony erosions and permanent disability in people with gout. Many studies have demonstrated underutilisation of </w:t>
            </w:r>
            <w:r w:rsidR="001708BC">
              <w:t>ULT</w:t>
            </w:r>
            <w:r w:rsidRPr="00C402AF">
              <w:t xml:space="preserve"> continuously and long term. The results of this indicator are combined with indicator 3 to prompt questions and actions about ‘the persistence gap’ (see commentary for indicator 3).</w:t>
            </w:r>
          </w:p>
          <w:p w14:paraId="065B2DE6" w14:textId="77777777" w:rsidR="0093767A" w:rsidRPr="00C402AF" w:rsidRDefault="0093767A" w:rsidP="00133CAD">
            <w:pPr>
              <w:pStyle w:val="TabletextHQSC"/>
              <w:rPr>
                <w:bCs/>
              </w:rPr>
            </w:pPr>
            <w:r w:rsidRPr="00C402AF">
              <w:rPr>
                <w:bCs/>
              </w:rPr>
              <w:t>What questions does this prompt?</w:t>
            </w:r>
          </w:p>
          <w:p w14:paraId="72FC8766" w14:textId="496A31BC" w:rsidR="0093767A" w:rsidRPr="00C402AF" w:rsidRDefault="0093767A" w:rsidP="00A57432">
            <w:pPr>
              <w:pStyle w:val="TabletextHQSC"/>
              <w:numPr>
                <w:ilvl w:val="0"/>
                <w:numId w:val="12"/>
              </w:numPr>
            </w:pPr>
            <w:r w:rsidRPr="00C402AF">
              <w:lastRenderedPageBreak/>
              <w:t xml:space="preserve">Why is there variation in the rate of </w:t>
            </w:r>
            <w:r w:rsidR="001708BC">
              <w:t>ULT</w:t>
            </w:r>
            <w:r w:rsidRPr="00C402AF">
              <w:t xml:space="preserve"> dispensing between districts? </w:t>
            </w:r>
          </w:p>
          <w:p w14:paraId="5CE352C2" w14:textId="0A02D670" w:rsidR="0093767A" w:rsidRPr="00C402AF" w:rsidRDefault="0093767A" w:rsidP="00A57432">
            <w:pPr>
              <w:pStyle w:val="TabletextHQSC"/>
              <w:numPr>
                <w:ilvl w:val="0"/>
                <w:numId w:val="12"/>
              </w:numPr>
            </w:pPr>
            <w:r w:rsidRPr="00C402AF">
              <w:t xml:space="preserve">What factors might be contributing to low </w:t>
            </w:r>
            <w:r w:rsidR="001708BC">
              <w:t>ULT</w:t>
            </w:r>
            <w:r w:rsidRPr="00C402AF">
              <w:t xml:space="preserve"> use?</w:t>
            </w:r>
          </w:p>
        </w:tc>
      </w:tr>
    </w:tbl>
    <w:p w14:paraId="694BBE65" w14:textId="28C59077" w:rsidR="00D52199" w:rsidRPr="00C402AF" w:rsidRDefault="00D52199" w:rsidP="00A57432">
      <w:pPr>
        <w:pStyle w:val="Heading3HQSC"/>
        <w:numPr>
          <w:ilvl w:val="0"/>
          <w:numId w:val="13"/>
        </w:numPr>
      </w:pPr>
      <w:bookmarkStart w:id="11" w:name="_Toc237508331"/>
      <w:r w:rsidRPr="00C402AF">
        <w:lastRenderedPageBreak/>
        <w:t xml:space="preserve">People with </w:t>
      </w:r>
      <w:r w:rsidR="009478A6" w:rsidRPr="00C402AF">
        <w:t xml:space="preserve">estimated </w:t>
      </w:r>
      <w:r w:rsidRPr="00C402AF">
        <w:t>gout who regularly received urate-lowering therapy, percent</w:t>
      </w:r>
      <w:bookmarkEnd w:id="11"/>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33310B59"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772796B9" w14:textId="78257C34" w:rsidR="0093767A" w:rsidRPr="00C402AF" w:rsidRDefault="0093767A" w:rsidP="00510D39">
            <w:pPr>
              <w:pStyle w:val="TabletextHQSC"/>
            </w:pPr>
            <w:r w:rsidRPr="00C402AF">
              <w:t>Indicator 3</w:t>
            </w:r>
          </w:p>
        </w:tc>
        <w:tc>
          <w:tcPr>
            <w:tcW w:w="7371" w:type="dxa"/>
            <w:tcBorders>
              <w:top w:val="single" w:sz="4" w:space="0" w:color="C2D69B"/>
              <w:left w:val="single" w:sz="4" w:space="0" w:color="C2D69B"/>
              <w:bottom w:val="single" w:sz="4" w:space="0" w:color="C2D69B"/>
              <w:right w:val="single" w:sz="4" w:space="0" w:color="C2D69B"/>
            </w:tcBorders>
            <w:vAlign w:val="bottom"/>
          </w:tcPr>
          <w:p w14:paraId="44CE2367" w14:textId="21AA6181" w:rsidR="0093767A" w:rsidRPr="00C402AF" w:rsidRDefault="00D52199" w:rsidP="00510D39">
            <w:pPr>
              <w:pStyle w:val="TabletextHQSC"/>
            </w:pPr>
            <w:r w:rsidRPr="00C402AF">
              <w:rPr>
                <w:color w:val="000000"/>
              </w:rPr>
              <w:t xml:space="preserve">People with </w:t>
            </w:r>
            <w:r w:rsidR="009478A6" w:rsidRPr="00C402AF">
              <w:rPr>
                <w:color w:val="000000"/>
              </w:rPr>
              <w:t xml:space="preserve">estimated </w:t>
            </w:r>
            <w:r w:rsidRPr="00C402AF">
              <w:rPr>
                <w:color w:val="000000"/>
              </w:rPr>
              <w:t>gout who regularly received urate-lowering therapy, percent</w:t>
            </w:r>
          </w:p>
        </w:tc>
      </w:tr>
      <w:tr w:rsidR="0093767A" w:rsidRPr="00C402AF" w14:paraId="54DA2AF9"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7B8D2281" w14:textId="77777777" w:rsidR="0093767A" w:rsidRPr="00C402AF" w:rsidRDefault="0093767A" w:rsidP="00510D39">
            <w:pPr>
              <w:pStyle w:val="TabletextHQSC"/>
            </w:pPr>
            <w:r w:rsidRPr="00C402AF">
              <w:t>Numerator</w:t>
            </w:r>
          </w:p>
        </w:tc>
        <w:tc>
          <w:tcPr>
            <w:tcW w:w="7371" w:type="dxa"/>
            <w:tcBorders>
              <w:top w:val="single" w:sz="4" w:space="0" w:color="C2D69B"/>
              <w:left w:val="single" w:sz="4" w:space="0" w:color="C2D69B"/>
              <w:bottom w:val="single" w:sz="4" w:space="0" w:color="C2D69B"/>
              <w:right w:val="single" w:sz="4" w:space="0" w:color="C2D69B"/>
            </w:tcBorders>
            <w:vAlign w:val="bottom"/>
          </w:tcPr>
          <w:p w14:paraId="7071B282" w14:textId="2E68FD55" w:rsidR="0093767A" w:rsidRPr="00C402AF" w:rsidRDefault="005B66C3" w:rsidP="00510D39">
            <w:pPr>
              <w:pStyle w:val="TabletextHQSC"/>
              <w:rPr>
                <w:color w:val="000000"/>
              </w:rPr>
            </w:pPr>
            <w:r w:rsidRPr="00C402AF">
              <w:rPr>
                <w:color w:val="000000"/>
              </w:rPr>
              <w:t>People</w:t>
            </w:r>
            <w:r w:rsidR="0093767A" w:rsidRPr="00C402AF">
              <w:rPr>
                <w:color w:val="000000"/>
              </w:rPr>
              <w:t xml:space="preserve"> aged 20 years and over with </w:t>
            </w:r>
            <w:r w:rsidR="009478A6" w:rsidRPr="00C402AF">
              <w:rPr>
                <w:color w:val="000000"/>
              </w:rPr>
              <w:t xml:space="preserve">estimated </w:t>
            </w:r>
            <w:r w:rsidR="0093767A" w:rsidRPr="00C402AF">
              <w:rPr>
                <w:color w:val="000000"/>
              </w:rPr>
              <w:t xml:space="preserve">gout who were dispensed gout-specific </w:t>
            </w:r>
            <w:r w:rsidR="001708BC">
              <w:rPr>
                <w:color w:val="000000"/>
              </w:rPr>
              <w:t>ULT</w:t>
            </w:r>
            <w:r w:rsidR="0093767A" w:rsidRPr="00C402AF">
              <w:rPr>
                <w:color w:val="000000"/>
              </w:rPr>
              <w:t xml:space="preserve"> (allopurinol, febuxostat, benzbromarone) for three or </w:t>
            </w:r>
            <w:r w:rsidR="00AA2F6D" w:rsidRPr="00C402AF">
              <w:rPr>
                <w:color w:val="000000"/>
              </w:rPr>
              <w:t>four</w:t>
            </w:r>
            <w:r w:rsidR="00AA2F6D">
              <w:rPr>
                <w:color w:val="000000"/>
              </w:rPr>
              <w:t xml:space="preserve"> </w:t>
            </w:r>
            <w:r w:rsidR="0093767A" w:rsidRPr="00C402AF">
              <w:rPr>
                <w:color w:val="000000"/>
              </w:rPr>
              <w:t xml:space="preserve">quarters </w:t>
            </w:r>
            <w:r w:rsidR="00AA2F6D">
              <w:rPr>
                <w:color w:val="000000"/>
              </w:rPr>
              <w:t>of</w:t>
            </w:r>
            <w:r w:rsidR="00AA2F6D" w:rsidRPr="00C402AF">
              <w:rPr>
                <w:color w:val="000000"/>
              </w:rPr>
              <w:t xml:space="preserve"> </w:t>
            </w:r>
            <w:r w:rsidR="0093767A" w:rsidRPr="00C402AF">
              <w:rPr>
                <w:color w:val="000000"/>
              </w:rPr>
              <w:t xml:space="preserve">a year </w:t>
            </w:r>
          </w:p>
        </w:tc>
      </w:tr>
      <w:tr w:rsidR="005B66C3" w:rsidRPr="00C402AF" w14:paraId="4E06B116"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50AF7523" w14:textId="67FF532D" w:rsidR="005B66C3" w:rsidRPr="00C402AF" w:rsidRDefault="005B66C3" w:rsidP="00510D39">
            <w:pPr>
              <w:pStyle w:val="TabletextHQSC"/>
            </w:pPr>
            <w:r w:rsidRPr="00C402AF">
              <w:t>Denominator</w:t>
            </w:r>
          </w:p>
        </w:tc>
        <w:tc>
          <w:tcPr>
            <w:tcW w:w="7371" w:type="dxa"/>
            <w:tcBorders>
              <w:top w:val="single" w:sz="4" w:space="0" w:color="C2D69B"/>
              <w:left w:val="single" w:sz="4" w:space="0" w:color="C2D69B"/>
              <w:bottom w:val="single" w:sz="4" w:space="0" w:color="C2D69B"/>
              <w:right w:val="single" w:sz="4" w:space="0" w:color="C2D69B"/>
            </w:tcBorders>
            <w:vAlign w:val="bottom"/>
          </w:tcPr>
          <w:p w14:paraId="4FAD7FA5" w14:textId="0CCB6ECA" w:rsidR="005B66C3" w:rsidRPr="00C402AF" w:rsidRDefault="005B66C3" w:rsidP="00510D39">
            <w:pPr>
              <w:pStyle w:val="TabletextHQSC"/>
              <w:rPr>
                <w:color w:val="000000"/>
              </w:rPr>
            </w:pPr>
            <w:r w:rsidRPr="00C402AF">
              <w:rPr>
                <w:color w:val="000000"/>
              </w:rPr>
              <w:t xml:space="preserve">PHO-enrolled population aged 20 years and over with </w:t>
            </w:r>
            <w:r w:rsidR="009478A6" w:rsidRPr="00C402AF">
              <w:rPr>
                <w:color w:val="000000"/>
              </w:rPr>
              <w:t xml:space="preserve">estimated </w:t>
            </w:r>
            <w:r w:rsidRPr="00C402AF">
              <w:rPr>
                <w:color w:val="000000"/>
              </w:rPr>
              <w:t>gout using the</w:t>
            </w:r>
            <w:r w:rsidR="0036468A" w:rsidRPr="00C402AF">
              <w:rPr>
                <w:color w:val="000000"/>
              </w:rPr>
              <w:t xml:space="preserve"> adapted</w:t>
            </w:r>
            <w:r w:rsidRPr="00C402AF">
              <w:rPr>
                <w:color w:val="000000"/>
              </w:rPr>
              <w:t xml:space="preserve"> </w:t>
            </w:r>
            <w:proofErr w:type="spellStart"/>
            <w:r w:rsidRPr="00C402AF">
              <w:rPr>
                <w:color w:val="000000"/>
              </w:rPr>
              <w:t>HealthTracker</w:t>
            </w:r>
            <w:proofErr w:type="spellEnd"/>
            <w:r w:rsidRPr="00C402AF">
              <w:rPr>
                <w:color w:val="000000"/>
              </w:rPr>
              <w:t xml:space="preserve"> method (numerator indicator 1).</w:t>
            </w:r>
          </w:p>
        </w:tc>
      </w:tr>
      <w:tr w:rsidR="005B66C3" w:rsidRPr="00C402AF" w14:paraId="274B3E2C"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71C47227" w14:textId="08B876A2" w:rsidR="005B66C3" w:rsidRPr="00C402AF" w:rsidRDefault="005B66C3" w:rsidP="00510D39">
            <w:pPr>
              <w:pStyle w:val="TabletextHQSC"/>
            </w:pPr>
            <w:r w:rsidRPr="00C402AF">
              <w:t>Data source</w:t>
            </w:r>
          </w:p>
        </w:tc>
        <w:tc>
          <w:tcPr>
            <w:tcW w:w="7371" w:type="dxa"/>
            <w:tcBorders>
              <w:top w:val="single" w:sz="4" w:space="0" w:color="C2D69B"/>
              <w:left w:val="single" w:sz="4" w:space="0" w:color="C2D69B"/>
              <w:bottom w:val="single" w:sz="4" w:space="0" w:color="C2D69B"/>
              <w:right w:val="single" w:sz="4" w:space="0" w:color="C2D69B"/>
            </w:tcBorders>
            <w:vAlign w:val="bottom"/>
          </w:tcPr>
          <w:p w14:paraId="185C4838" w14:textId="7365E4BE" w:rsidR="005B66C3" w:rsidRPr="00C402AF" w:rsidRDefault="005B66C3" w:rsidP="00510D39">
            <w:pPr>
              <w:pStyle w:val="TabletextHQSC"/>
            </w:pPr>
            <w:r w:rsidRPr="00C402AF">
              <w:t xml:space="preserve">NMDS, </w:t>
            </w:r>
            <w:r w:rsidR="00EB4923" w:rsidRPr="00C402AF">
              <w:t>pharmaceutical collection</w:t>
            </w:r>
            <w:r w:rsidRPr="00C402AF">
              <w:t xml:space="preserve">, PHO </w:t>
            </w:r>
            <w:r w:rsidR="00EB4923" w:rsidRPr="00C402AF">
              <w:t>enrolment collection</w:t>
            </w:r>
            <w:r w:rsidRPr="00C402AF">
              <w:t xml:space="preserve">, </w:t>
            </w:r>
            <w:r w:rsidR="00EB4923">
              <w:t>NZCR</w:t>
            </w:r>
            <w:r w:rsidR="00024E72" w:rsidRPr="00C402AF">
              <w:t>, NHI database</w:t>
            </w:r>
            <w:r w:rsidRPr="00C402AF">
              <w:t>.</w:t>
            </w:r>
          </w:p>
        </w:tc>
      </w:tr>
      <w:tr w:rsidR="005B66C3" w:rsidRPr="00C402AF" w14:paraId="0E08A63F"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0C9CEFCF" w14:textId="774A1394" w:rsidR="005B66C3" w:rsidRPr="00C402AF" w:rsidRDefault="005B66C3" w:rsidP="00510D39">
            <w:pPr>
              <w:pStyle w:val="TabletextHQSC"/>
            </w:pPr>
            <w:r w:rsidRPr="00C402AF">
              <w:t>Analysis</w:t>
            </w:r>
          </w:p>
        </w:tc>
        <w:tc>
          <w:tcPr>
            <w:tcW w:w="7371" w:type="dxa"/>
            <w:tcBorders>
              <w:top w:val="single" w:sz="4" w:space="0" w:color="C2D69B"/>
              <w:left w:val="single" w:sz="4" w:space="0" w:color="C2D69B"/>
              <w:bottom w:val="single" w:sz="4" w:space="0" w:color="C2D69B"/>
              <w:right w:val="single" w:sz="4" w:space="0" w:color="C2D69B"/>
            </w:tcBorders>
            <w:vAlign w:val="bottom"/>
          </w:tcPr>
          <w:p w14:paraId="35198861" w14:textId="2705310E" w:rsidR="005B66C3" w:rsidRPr="00C402AF" w:rsidRDefault="005B66C3" w:rsidP="00510D39">
            <w:pPr>
              <w:pStyle w:val="TabletextHQSC"/>
            </w:pPr>
            <w:r w:rsidRPr="00C402AF">
              <w:t>For single map analysis: By year (2019‒</w:t>
            </w:r>
            <w:r w:rsidR="0075688B">
              <w:t>20</w:t>
            </w:r>
            <w:r w:rsidRPr="00C402AF">
              <w:t xml:space="preserve">24), age group (20‒44 years, 45‒64 years, 65 years and over), gender (female and male), ethnic group (Māori, Pacific peoples, non-Māori non-Pacific) and Health </w:t>
            </w:r>
            <w:r w:rsidR="006959CE">
              <w:t>NZ</w:t>
            </w:r>
            <w:r w:rsidRPr="00C402AF">
              <w:t xml:space="preserve"> district of domicile. </w:t>
            </w:r>
          </w:p>
          <w:p w14:paraId="7BA89929" w14:textId="0D37AC72" w:rsidR="005B66C3" w:rsidRPr="00C402AF" w:rsidRDefault="005B66C3" w:rsidP="00510D39">
            <w:pPr>
              <w:pStyle w:val="TabletextHQSC"/>
            </w:pPr>
            <w:r w:rsidRPr="00C402AF">
              <w:t>For PHO analysis: By year (2024), age group</w:t>
            </w:r>
            <w:r w:rsidR="006959CE">
              <w:t xml:space="preserve"> (in years)</w:t>
            </w:r>
            <w:r w:rsidRPr="00C402AF">
              <w:t>, gender, ethnic group, PHO most recently enrolled with (for the relevant year), PHO group (small, medium, medium</w:t>
            </w:r>
            <w:r w:rsidR="006959CE">
              <w:t>-</w:t>
            </w:r>
            <w:r w:rsidRPr="00C402AF">
              <w:t>large and large).</w:t>
            </w:r>
          </w:p>
        </w:tc>
      </w:tr>
      <w:tr w:rsidR="0093767A" w:rsidRPr="00C402AF" w14:paraId="6EE53449" w14:textId="77777777">
        <w:trPr>
          <w:trHeight w:val="325"/>
        </w:trPr>
        <w:tc>
          <w:tcPr>
            <w:tcW w:w="1951" w:type="dxa"/>
            <w:tcBorders>
              <w:top w:val="single" w:sz="4" w:space="0" w:color="C2D69B"/>
              <w:left w:val="single" w:sz="4" w:space="0" w:color="C2D69B"/>
              <w:bottom w:val="single" w:sz="4" w:space="0" w:color="C2D69B"/>
              <w:right w:val="single" w:sz="4" w:space="0" w:color="C2D69B"/>
            </w:tcBorders>
          </w:tcPr>
          <w:p w14:paraId="7CDE652C" w14:textId="77777777" w:rsidR="0093767A" w:rsidRPr="00C402AF" w:rsidRDefault="0093767A" w:rsidP="00510D39">
            <w:pPr>
              <w:pStyle w:val="TabletextHQSC"/>
            </w:pPr>
            <w:r w:rsidRPr="00C402AF">
              <w:t>Medicines</w:t>
            </w:r>
          </w:p>
        </w:tc>
        <w:tc>
          <w:tcPr>
            <w:tcW w:w="7371" w:type="dxa"/>
            <w:tcBorders>
              <w:top w:val="single" w:sz="4" w:space="0" w:color="C2D69B"/>
              <w:left w:val="single" w:sz="4" w:space="0" w:color="C2D69B"/>
              <w:bottom w:val="single" w:sz="4" w:space="0" w:color="C2D69B"/>
              <w:right w:val="single" w:sz="4" w:space="0" w:color="C2D69B"/>
            </w:tcBorders>
          </w:tcPr>
          <w:p w14:paraId="177DDCD5" w14:textId="2BDF5A65" w:rsidR="0093767A" w:rsidRPr="00C402AF" w:rsidRDefault="006959CE" w:rsidP="00510D39">
            <w:pPr>
              <w:pStyle w:val="TabletextHQSC"/>
            </w:pPr>
            <w:r>
              <w:t>ULT</w:t>
            </w:r>
            <w:r w:rsidR="0093767A" w:rsidRPr="00C402AF">
              <w:t xml:space="preserve">: 1026 allopurinol, 4026 febuxostat, 4003 </w:t>
            </w:r>
            <w:proofErr w:type="gramStart"/>
            <w:r w:rsidR="0093767A" w:rsidRPr="00C402AF">
              <w:t>benzbromarone</w:t>
            </w:r>
            <w:proofErr w:type="gramEnd"/>
            <w:r w:rsidR="0093767A" w:rsidRPr="00C402AF">
              <w:t>.</w:t>
            </w:r>
          </w:p>
          <w:p w14:paraId="7ADC4237" w14:textId="49D59E3F" w:rsidR="00072854" w:rsidRPr="00C402AF" w:rsidRDefault="00072854" w:rsidP="00510D39">
            <w:pPr>
              <w:pStyle w:val="TabletextHQSC"/>
            </w:pPr>
            <w:r w:rsidRPr="00C402AF">
              <w:rPr>
                <w:lang w:eastAsia="en-NZ"/>
              </w:rPr>
              <w:t xml:space="preserve">This indicator does not include probenecid, as it is commonly used as an adjunct to certain antibiotics to enhance their efficacy. While probenecid is most often dispensed alongside antibiotics, it may also be prescribed for gout in patients who are unable to tolerate other </w:t>
            </w:r>
            <w:r w:rsidR="006959CE">
              <w:rPr>
                <w:lang w:eastAsia="en-NZ"/>
              </w:rPr>
              <w:t>ULTs</w:t>
            </w:r>
            <w:r w:rsidRPr="00C402AF">
              <w:rPr>
                <w:lang w:eastAsia="en-NZ"/>
              </w:rPr>
              <w:t>.</w:t>
            </w:r>
            <w:r w:rsidR="001D15BA">
              <w:rPr>
                <w:lang w:eastAsia="en-NZ"/>
              </w:rPr>
              <w:t xml:space="preserve"> </w:t>
            </w:r>
            <w:r w:rsidR="001D15BA" w:rsidRPr="00A35D61">
              <w:rPr>
                <w:lang w:eastAsia="en-NZ"/>
              </w:rPr>
              <w:t>In 2024, approximately 8</w:t>
            </w:r>
            <w:r w:rsidR="001D15BA">
              <w:rPr>
                <w:lang w:eastAsia="en-NZ"/>
              </w:rPr>
              <w:t>70</w:t>
            </w:r>
            <w:r w:rsidR="001D15BA" w:rsidRPr="00A35D61">
              <w:rPr>
                <w:lang w:eastAsia="en-NZ"/>
              </w:rPr>
              <w:t xml:space="preserve"> people </w:t>
            </w:r>
            <w:r w:rsidR="001D15BA">
              <w:rPr>
                <w:lang w:eastAsia="en-NZ"/>
              </w:rPr>
              <w:t>who were estimated</w:t>
            </w:r>
            <w:r w:rsidR="001D15BA" w:rsidRPr="00A35D61">
              <w:rPr>
                <w:lang w:eastAsia="en-NZ"/>
              </w:rPr>
              <w:t xml:space="preserve"> with gout were regularly dispensed probenecid. Of these, </w:t>
            </w:r>
            <w:r w:rsidR="006959CE">
              <w:rPr>
                <w:lang w:eastAsia="en-NZ"/>
              </w:rPr>
              <w:t xml:space="preserve">approximately </w:t>
            </w:r>
            <w:r w:rsidR="001D15BA" w:rsidRPr="00A35D61">
              <w:rPr>
                <w:lang w:eastAsia="en-NZ"/>
              </w:rPr>
              <w:t>80</w:t>
            </w:r>
            <w:r w:rsidR="001D15BA">
              <w:rPr>
                <w:lang w:eastAsia="en-NZ"/>
              </w:rPr>
              <w:t>0</w:t>
            </w:r>
            <w:r w:rsidR="001D15BA" w:rsidRPr="00A35D61">
              <w:rPr>
                <w:lang w:eastAsia="en-NZ"/>
              </w:rPr>
              <w:t xml:space="preserve"> individuals did not receive antibiotics within </w:t>
            </w:r>
            <w:r w:rsidR="006959CE">
              <w:rPr>
                <w:lang w:eastAsia="en-NZ"/>
              </w:rPr>
              <w:t>7</w:t>
            </w:r>
            <w:r w:rsidR="006959CE" w:rsidRPr="00A35D61">
              <w:rPr>
                <w:lang w:eastAsia="en-NZ"/>
              </w:rPr>
              <w:t xml:space="preserve"> </w:t>
            </w:r>
            <w:r w:rsidR="001D15BA" w:rsidRPr="00A35D61">
              <w:rPr>
                <w:lang w:eastAsia="en-NZ"/>
              </w:rPr>
              <w:t>days of probenecid dispensing, suggesting that probenecid may have been used for gout management in this group.</w:t>
            </w:r>
          </w:p>
        </w:tc>
      </w:tr>
      <w:tr w:rsidR="00584CF8" w:rsidRPr="00C402AF" w14:paraId="0887AFA3" w14:textId="77777777">
        <w:trPr>
          <w:trHeight w:val="325"/>
        </w:trPr>
        <w:tc>
          <w:tcPr>
            <w:tcW w:w="1951" w:type="dxa"/>
            <w:tcBorders>
              <w:top w:val="single" w:sz="4" w:space="0" w:color="C2D69B"/>
              <w:left w:val="single" w:sz="4" w:space="0" w:color="C2D69B"/>
              <w:bottom w:val="single" w:sz="4" w:space="0" w:color="C2D69B"/>
              <w:right w:val="single" w:sz="4" w:space="0" w:color="C2D69B"/>
            </w:tcBorders>
          </w:tcPr>
          <w:p w14:paraId="2FA24FCA" w14:textId="35E906FA" w:rsidR="00584CF8" w:rsidRPr="00C402AF" w:rsidRDefault="0060084D" w:rsidP="00510D39">
            <w:pPr>
              <w:pStyle w:val="TabletextHQSC"/>
            </w:pPr>
            <w:r w:rsidRPr="00C402AF">
              <w:t>Rationale</w:t>
            </w:r>
          </w:p>
        </w:tc>
        <w:tc>
          <w:tcPr>
            <w:tcW w:w="7371" w:type="dxa"/>
            <w:tcBorders>
              <w:top w:val="single" w:sz="4" w:space="0" w:color="C2D69B"/>
              <w:left w:val="single" w:sz="4" w:space="0" w:color="C2D69B"/>
              <w:bottom w:val="single" w:sz="4" w:space="0" w:color="C2D69B"/>
              <w:right w:val="single" w:sz="4" w:space="0" w:color="C2D69B"/>
            </w:tcBorders>
          </w:tcPr>
          <w:p w14:paraId="2931962B" w14:textId="53516ED7" w:rsidR="00584CF8" w:rsidRPr="00C402AF" w:rsidRDefault="00584CF8" w:rsidP="00584CF8">
            <w:pPr>
              <w:pStyle w:val="TabletextHQSC"/>
            </w:pPr>
            <w:r w:rsidRPr="00C402AF">
              <w:t xml:space="preserve">Long-term </w:t>
            </w:r>
            <w:r w:rsidR="00AE6F92">
              <w:t>ULT</w:t>
            </w:r>
            <w:r w:rsidRPr="00C402AF">
              <w:t xml:space="preserve"> is used to prevent gout flares and tophus formation, bony erosions and permanent disability in people with gout. </w:t>
            </w:r>
            <w:r w:rsidR="00E84675" w:rsidRPr="00C402AF">
              <w:t xml:space="preserve">For treatment benefit, </w:t>
            </w:r>
            <w:r w:rsidR="00AE6F92">
              <w:t>ULT</w:t>
            </w:r>
            <w:r w:rsidR="00E84675" w:rsidRPr="00C402AF">
              <w:t xml:space="preserve"> needs to be taken regularly. </w:t>
            </w:r>
          </w:p>
          <w:p w14:paraId="00DBBA53" w14:textId="46FF17CB" w:rsidR="00584CF8" w:rsidRPr="00C402AF" w:rsidRDefault="00584CF8" w:rsidP="00584CF8">
            <w:pPr>
              <w:pStyle w:val="TabletextHQSC"/>
            </w:pPr>
            <w:r w:rsidRPr="00C402AF">
              <w:t>Understanding variation in dispensing patterns provides insight into treatment uptake and continuity of care and helps identify opportunities to improve long-term management and health outcomes for people with gout.</w:t>
            </w:r>
          </w:p>
        </w:tc>
      </w:tr>
      <w:tr w:rsidR="0093767A" w:rsidRPr="00C402AF" w14:paraId="21EF4DCA" w14:textId="77777777">
        <w:trPr>
          <w:trHeight w:val="327"/>
        </w:trPr>
        <w:tc>
          <w:tcPr>
            <w:tcW w:w="1951" w:type="dxa"/>
            <w:tcBorders>
              <w:top w:val="single" w:sz="4" w:space="0" w:color="C2D69B"/>
              <w:left w:val="single" w:sz="4" w:space="0" w:color="C2D69B"/>
              <w:bottom w:val="single" w:sz="4" w:space="0" w:color="C2D69B"/>
              <w:right w:val="single" w:sz="4" w:space="0" w:color="C2D69B"/>
            </w:tcBorders>
          </w:tcPr>
          <w:p w14:paraId="6A13BB8B" w14:textId="77777777" w:rsidR="0093767A" w:rsidRPr="00C402AF" w:rsidRDefault="0093767A" w:rsidP="00510D39">
            <w:pPr>
              <w:pStyle w:val="TabletextHQSC"/>
            </w:pPr>
            <w:r w:rsidRPr="00C402AF">
              <w:t>Commentary</w:t>
            </w:r>
          </w:p>
        </w:tc>
        <w:tc>
          <w:tcPr>
            <w:tcW w:w="7371" w:type="dxa"/>
            <w:tcBorders>
              <w:top w:val="single" w:sz="4" w:space="0" w:color="C2D69B"/>
              <w:left w:val="single" w:sz="4" w:space="0" w:color="C2D69B"/>
              <w:bottom w:val="single" w:sz="4" w:space="0" w:color="C2D69B"/>
              <w:right w:val="single" w:sz="4" w:space="0" w:color="C2D69B"/>
            </w:tcBorders>
            <w:vAlign w:val="bottom"/>
          </w:tcPr>
          <w:p w14:paraId="7BF824AF" w14:textId="7BEA5FFD" w:rsidR="005B66C3" w:rsidRPr="00C402AF" w:rsidRDefault="005B66C3" w:rsidP="00510D39">
            <w:pPr>
              <w:pStyle w:val="TabletextHQSC"/>
              <w:rPr>
                <w:bCs/>
              </w:rPr>
            </w:pPr>
            <w:r w:rsidRPr="00C402AF">
              <w:rPr>
                <w:bCs/>
              </w:rPr>
              <w:t>Description</w:t>
            </w:r>
          </w:p>
          <w:p w14:paraId="3B572F66" w14:textId="43409499" w:rsidR="00871E47" w:rsidRPr="00C402AF" w:rsidRDefault="00871E47" w:rsidP="00510D39">
            <w:pPr>
              <w:pStyle w:val="TabletextHQSC"/>
              <w:rPr>
                <w:bCs/>
              </w:rPr>
            </w:pPr>
            <w:r w:rsidRPr="00C402AF">
              <w:t xml:space="preserve">Data </w:t>
            </w:r>
            <w:r w:rsidR="00AE6F92">
              <w:t>was</w:t>
            </w:r>
            <w:r w:rsidR="00AE6F92" w:rsidRPr="00C402AF">
              <w:t xml:space="preserve"> </w:t>
            </w:r>
            <w:r w:rsidRPr="00C402AF">
              <w:t>presented by year, ethnicity, age and gender.</w:t>
            </w:r>
          </w:p>
          <w:p w14:paraId="14D7654C" w14:textId="51ED281E" w:rsidR="00510D39" w:rsidRPr="00C402AF" w:rsidRDefault="0051584E" w:rsidP="00510D39">
            <w:pPr>
              <w:pStyle w:val="TabletextHQSC"/>
              <w:rPr>
                <w:bCs/>
              </w:rPr>
            </w:pPr>
            <w:r w:rsidRPr="00C402AF">
              <w:rPr>
                <w:bCs/>
              </w:rPr>
              <w:t xml:space="preserve">This </w:t>
            </w:r>
            <w:r w:rsidR="00510D39" w:rsidRPr="00C402AF">
              <w:rPr>
                <w:bCs/>
              </w:rPr>
              <w:t>indicator</w:t>
            </w:r>
            <w:r w:rsidRPr="00C402AF">
              <w:rPr>
                <w:bCs/>
              </w:rPr>
              <w:t xml:space="preserve"> shows the number and percent of people </w:t>
            </w:r>
            <w:r w:rsidR="009478A6" w:rsidRPr="00C402AF">
              <w:rPr>
                <w:bCs/>
              </w:rPr>
              <w:t xml:space="preserve">estimated </w:t>
            </w:r>
            <w:r w:rsidRPr="00C402AF">
              <w:rPr>
                <w:bCs/>
              </w:rPr>
              <w:t xml:space="preserve">with gout </w:t>
            </w:r>
            <w:r w:rsidR="00AE6F92">
              <w:rPr>
                <w:bCs/>
              </w:rPr>
              <w:t xml:space="preserve">who </w:t>
            </w:r>
            <w:r w:rsidR="00510D39" w:rsidRPr="00C402AF">
              <w:rPr>
                <w:bCs/>
              </w:rPr>
              <w:t xml:space="preserve">were regularly receiving long-term </w:t>
            </w:r>
            <w:r w:rsidR="00AE6F92">
              <w:rPr>
                <w:bCs/>
              </w:rPr>
              <w:t>ULT</w:t>
            </w:r>
            <w:r w:rsidR="00510D39" w:rsidRPr="00C402AF">
              <w:rPr>
                <w:bCs/>
              </w:rPr>
              <w:t xml:space="preserve">. This was defined as </w:t>
            </w:r>
            <w:r w:rsidR="0068295F">
              <w:rPr>
                <w:bCs/>
              </w:rPr>
              <w:t>ULT</w:t>
            </w:r>
            <w:r w:rsidR="00510D39" w:rsidRPr="00C402AF">
              <w:rPr>
                <w:bCs/>
              </w:rPr>
              <w:t xml:space="preserve"> being dispensed </w:t>
            </w:r>
            <w:r w:rsidR="002D2555">
              <w:rPr>
                <w:bCs/>
              </w:rPr>
              <w:t xml:space="preserve">for </w:t>
            </w:r>
            <w:r w:rsidR="00510D39" w:rsidRPr="00C402AF">
              <w:rPr>
                <w:bCs/>
              </w:rPr>
              <w:t xml:space="preserve">at least </w:t>
            </w:r>
            <w:r w:rsidR="0068295F" w:rsidRPr="00C402AF">
              <w:rPr>
                <w:bCs/>
              </w:rPr>
              <w:t>three</w:t>
            </w:r>
            <w:r w:rsidR="002D2555">
              <w:rPr>
                <w:bCs/>
              </w:rPr>
              <w:t xml:space="preserve"> </w:t>
            </w:r>
            <w:r w:rsidR="00510D39" w:rsidRPr="00C402AF">
              <w:rPr>
                <w:bCs/>
              </w:rPr>
              <w:t xml:space="preserve">quarters </w:t>
            </w:r>
            <w:r w:rsidR="0068295F">
              <w:rPr>
                <w:bCs/>
              </w:rPr>
              <w:t xml:space="preserve">of </w:t>
            </w:r>
            <w:r w:rsidR="00510D39" w:rsidRPr="00C402AF">
              <w:rPr>
                <w:bCs/>
              </w:rPr>
              <w:t xml:space="preserve">a year. This indicator does not assess whether medicine was clinically </w:t>
            </w:r>
            <w:proofErr w:type="gramStart"/>
            <w:r w:rsidR="00510D39" w:rsidRPr="00C402AF">
              <w:rPr>
                <w:bCs/>
              </w:rPr>
              <w:t>indicated,</w:t>
            </w:r>
            <w:proofErr w:type="gramEnd"/>
            <w:r w:rsidR="00510D39" w:rsidRPr="00C402AF">
              <w:rPr>
                <w:bCs/>
              </w:rPr>
              <w:t xml:space="preserve"> whether the dose was optimal or whether the dose was taken.</w:t>
            </w:r>
          </w:p>
          <w:p w14:paraId="120EBA69" w14:textId="370CAA90" w:rsidR="0093767A" w:rsidRPr="00C402AF" w:rsidRDefault="0093767A" w:rsidP="00510D39">
            <w:pPr>
              <w:pStyle w:val="TabletextHQSC"/>
              <w:rPr>
                <w:bCs/>
              </w:rPr>
            </w:pPr>
            <w:r w:rsidRPr="00C402AF">
              <w:rPr>
                <w:bCs/>
              </w:rPr>
              <w:t xml:space="preserve">Why is this important? </w:t>
            </w:r>
          </w:p>
          <w:p w14:paraId="5A120BBC" w14:textId="3E38D939" w:rsidR="0093767A" w:rsidRPr="00C402AF" w:rsidRDefault="0093767A" w:rsidP="00510D39">
            <w:pPr>
              <w:pStyle w:val="TabletextHQSC"/>
            </w:pPr>
            <w:r w:rsidRPr="00C402AF">
              <w:lastRenderedPageBreak/>
              <w:t xml:space="preserve">Long-term </w:t>
            </w:r>
            <w:r w:rsidR="0068295F">
              <w:t>ULT</w:t>
            </w:r>
            <w:r w:rsidRPr="00C402AF">
              <w:t xml:space="preserve"> is used to prevent gout flares and tophus formation, bony erosions and permanent disability in people with gout. </w:t>
            </w:r>
            <w:r w:rsidR="00E84675" w:rsidRPr="00C402AF">
              <w:t xml:space="preserve">For treatment benefit, </w:t>
            </w:r>
            <w:r w:rsidR="0068295F">
              <w:t>ULT</w:t>
            </w:r>
            <w:r w:rsidR="00E84675" w:rsidRPr="00C402AF">
              <w:t xml:space="preserve"> needs to be taken regularly. </w:t>
            </w:r>
            <w:r w:rsidRPr="00C402AF">
              <w:t xml:space="preserve">Many studies have demonstrated </w:t>
            </w:r>
            <w:r w:rsidR="00E84675" w:rsidRPr="00C402AF">
              <w:t>low persistence</w:t>
            </w:r>
            <w:r w:rsidRPr="00C402AF">
              <w:t xml:space="preserve"> of </w:t>
            </w:r>
            <w:r w:rsidR="0068295F">
              <w:t>ULT</w:t>
            </w:r>
            <w:r w:rsidRPr="00C402AF">
              <w:t xml:space="preserve">. The map for this indicator suggests there is wide variation in the regular dispensing of </w:t>
            </w:r>
            <w:r w:rsidR="0068295F">
              <w:t>ULT</w:t>
            </w:r>
            <w:r w:rsidRPr="00C402AF">
              <w:t xml:space="preserve"> to those with a diagnosis of gout.</w:t>
            </w:r>
          </w:p>
          <w:p w14:paraId="015910FB" w14:textId="77777777" w:rsidR="0093767A" w:rsidRPr="00C402AF" w:rsidRDefault="0093767A" w:rsidP="00510D39">
            <w:pPr>
              <w:pStyle w:val="TabletextHQSC"/>
              <w:rPr>
                <w:bCs/>
              </w:rPr>
            </w:pPr>
            <w:r w:rsidRPr="00C402AF">
              <w:rPr>
                <w:bCs/>
              </w:rPr>
              <w:t>What questions does this prompt?</w:t>
            </w:r>
          </w:p>
          <w:p w14:paraId="50ED0CF4" w14:textId="25F22C49" w:rsidR="0093767A" w:rsidRPr="00C402AF" w:rsidRDefault="0093767A" w:rsidP="00871E47">
            <w:pPr>
              <w:pStyle w:val="BulletsHQSC"/>
            </w:pPr>
            <w:r w:rsidRPr="00C402AF">
              <w:t xml:space="preserve">Why is there variation in the rate of </w:t>
            </w:r>
            <w:r w:rsidR="0068295F">
              <w:t>ULT</w:t>
            </w:r>
            <w:r w:rsidRPr="00C402AF">
              <w:t xml:space="preserve"> dispensing between districts?</w:t>
            </w:r>
          </w:p>
          <w:p w14:paraId="3116C715" w14:textId="5699B86C" w:rsidR="0093767A" w:rsidRPr="00C402AF" w:rsidRDefault="0093767A" w:rsidP="00871E47">
            <w:pPr>
              <w:pStyle w:val="BulletsHQSC"/>
            </w:pPr>
            <w:r w:rsidRPr="00C402AF">
              <w:t xml:space="preserve">Why are rates of </w:t>
            </w:r>
            <w:r w:rsidR="00B325C1" w:rsidRPr="00C402AF">
              <w:t xml:space="preserve">any </w:t>
            </w:r>
            <w:r w:rsidR="0068295F">
              <w:t>ULT</w:t>
            </w:r>
            <w:r w:rsidRPr="00C402AF">
              <w:t xml:space="preserve"> dispensing in Māori and Pacific peoples with gout higher than rates for non-Māori, non-Pacific populations but lower for regular dispensing?</w:t>
            </w:r>
          </w:p>
          <w:p w14:paraId="51E038C9" w14:textId="6244E126" w:rsidR="0093767A" w:rsidRPr="00C402AF" w:rsidRDefault="0093767A" w:rsidP="00871E47">
            <w:pPr>
              <w:pStyle w:val="BulletsHQSC"/>
            </w:pPr>
            <w:r w:rsidRPr="00C402AF">
              <w:t xml:space="preserve">What other factors might be contributing to a persistent gap in </w:t>
            </w:r>
            <w:r w:rsidR="00443CD7" w:rsidRPr="00C402AF">
              <w:t xml:space="preserve">regular </w:t>
            </w:r>
            <w:r w:rsidR="0068295F">
              <w:t>ULT</w:t>
            </w:r>
            <w:r w:rsidRPr="00C402AF">
              <w:t xml:space="preserve"> use?</w:t>
            </w:r>
          </w:p>
        </w:tc>
      </w:tr>
    </w:tbl>
    <w:p w14:paraId="204A8018" w14:textId="7B51C92C" w:rsidR="0093767A" w:rsidRPr="00C402AF" w:rsidRDefault="00442396" w:rsidP="00A57432">
      <w:pPr>
        <w:pStyle w:val="Heading3HQSC"/>
        <w:numPr>
          <w:ilvl w:val="0"/>
          <w:numId w:val="13"/>
        </w:numPr>
      </w:pPr>
      <w:bookmarkStart w:id="12" w:name="_Toc237508332"/>
      <w:r w:rsidRPr="00C402AF">
        <w:rPr>
          <w:color w:val="000000"/>
        </w:rPr>
        <w:lastRenderedPageBreak/>
        <w:t xml:space="preserve">People with </w:t>
      </w:r>
      <w:r w:rsidR="009478A6" w:rsidRPr="00C402AF">
        <w:rPr>
          <w:color w:val="000000"/>
        </w:rPr>
        <w:t xml:space="preserve">estimated </w:t>
      </w:r>
      <w:r w:rsidRPr="00C402AF">
        <w:rPr>
          <w:color w:val="000000"/>
        </w:rPr>
        <w:t>gout dispensed funded non-</w:t>
      </w:r>
      <w:r w:rsidR="00B325C1" w:rsidRPr="00C402AF">
        <w:rPr>
          <w:color w:val="000000"/>
        </w:rPr>
        <w:t>steroidal</w:t>
      </w:r>
      <w:r w:rsidRPr="00C402AF">
        <w:rPr>
          <w:color w:val="000000"/>
        </w:rPr>
        <w:t xml:space="preserve"> anti-inflammatory drugs (NSAIDs), percent</w:t>
      </w:r>
      <w:bookmarkEnd w:id="12"/>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4072A983" w14:textId="77777777">
        <w:trPr>
          <w:trHeight w:val="327"/>
        </w:trPr>
        <w:tc>
          <w:tcPr>
            <w:tcW w:w="1951" w:type="dxa"/>
          </w:tcPr>
          <w:p w14:paraId="6520D795" w14:textId="0B9F8B95" w:rsidR="0093767A" w:rsidRPr="00C402AF" w:rsidRDefault="0093767A" w:rsidP="009A3B2D">
            <w:pPr>
              <w:pStyle w:val="TabletextHQSC"/>
              <w:rPr>
                <w:color w:val="808080"/>
              </w:rPr>
            </w:pPr>
            <w:r w:rsidRPr="00C402AF">
              <w:t>Indicator 4</w:t>
            </w:r>
          </w:p>
        </w:tc>
        <w:tc>
          <w:tcPr>
            <w:tcW w:w="7371" w:type="dxa"/>
            <w:vAlign w:val="bottom"/>
          </w:tcPr>
          <w:p w14:paraId="37FB582E" w14:textId="5D4610B3" w:rsidR="0093767A" w:rsidRPr="00C402AF" w:rsidRDefault="0093767A" w:rsidP="009A3B2D">
            <w:pPr>
              <w:pStyle w:val="TabletextHQSC"/>
              <w:rPr>
                <w:color w:val="000000"/>
              </w:rPr>
            </w:pPr>
            <w:r w:rsidRPr="00C402AF">
              <w:rPr>
                <w:color w:val="000000"/>
              </w:rPr>
              <w:t xml:space="preserve">People with </w:t>
            </w:r>
            <w:r w:rsidR="009478A6" w:rsidRPr="00C402AF">
              <w:rPr>
                <w:color w:val="000000"/>
              </w:rPr>
              <w:t xml:space="preserve">estimated </w:t>
            </w:r>
            <w:r w:rsidRPr="00C402AF">
              <w:rPr>
                <w:color w:val="000000"/>
              </w:rPr>
              <w:t>gout dispensed funded non-</w:t>
            </w:r>
            <w:r w:rsidR="00B325C1" w:rsidRPr="00C402AF">
              <w:rPr>
                <w:color w:val="000000"/>
              </w:rPr>
              <w:t>steroidal</w:t>
            </w:r>
            <w:r w:rsidRPr="00C402AF">
              <w:rPr>
                <w:color w:val="000000"/>
              </w:rPr>
              <w:t xml:space="preserve"> anti-inflammatory drugs (NSAIDs), </w:t>
            </w:r>
            <w:r w:rsidR="00BB3A26" w:rsidRPr="00C402AF">
              <w:rPr>
                <w:color w:val="000000"/>
              </w:rPr>
              <w:t>percent</w:t>
            </w:r>
          </w:p>
        </w:tc>
      </w:tr>
      <w:tr w:rsidR="0093767A" w:rsidRPr="00C402AF" w14:paraId="0B617114" w14:textId="77777777">
        <w:trPr>
          <w:trHeight w:val="327"/>
        </w:trPr>
        <w:tc>
          <w:tcPr>
            <w:tcW w:w="1951" w:type="dxa"/>
          </w:tcPr>
          <w:p w14:paraId="09DDE767" w14:textId="77777777" w:rsidR="0093767A" w:rsidRPr="00C402AF" w:rsidRDefault="0093767A" w:rsidP="009A3B2D">
            <w:pPr>
              <w:pStyle w:val="TabletextHQSC"/>
            </w:pPr>
            <w:r w:rsidRPr="00C402AF">
              <w:t>Numerator</w:t>
            </w:r>
          </w:p>
        </w:tc>
        <w:tc>
          <w:tcPr>
            <w:tcW w:w="7371" w:type="dxa"/>
            <w:vAlign w:val="bottom"/>
          </w:tcPr>
          <w:p w14:paraId="2103019C" w14:textId="461B4E09" w:rsidR="0093767A" w:rsidRPr="00C402AF" w:rsidRDefault="0093767A" w:rsidP="009A3B2D">
            <w:pPr>
              <w:pStyle w:val="TabletextHQSC"/>
              <w:rPr>
                <w:color w:val="000000"/>
              </w:rPr>
            </w:pPr>
            <w:r w:rsidRPr="00C402AF">
              <w:rPr>
                <w:color w:val="000000"/>
              </w:rPr>
              <w:t xml:space="preserve">People with </w:t>
            </w:r>
            <w:r w:rsidR="009478A6" w:rsidRPr="00C402AF">
              <w:rPr>
                <w:color w:val="000000"/>
              </w:rPr>
              <w:t xml:space="preserve">estimated </w:t>
            </w:r>
            <w:r w:rsidRPr="00C402AF">
              <w:rPr>
                <w:color w:val="000000"/>
              </w:rPr>
              <w:t>gout aged 20 years and over dispensed publicly funded NSAIDs.</w:t>
            </w:r>
          </w:p>
        </w:tc>
      </w:tr>
      <w:tr w:rsidR="00D16EE4" w:rsidRPr="00C402AF" w14:paraId="6087216D" w14:textId="77777777">
        <w:trPr>
          <w:trHeight w:val="327"/>
        </w:trPr>
        <w:tc>
          <w:tcPr>
            <w:tcW w:w="1951" w:type="dxa"/>
          </w:tcPr>
          <w:p w14:paraId="343BB09B" w14:textId="371F922B" w:rsidR="00D16EE4" w:rsidRPr="00C402AF" w:rsidRDefault="00D16EE4" w:rsidP="009A3B2D">
            <w:pPr>
              <w:pStyle w:val="TabletextHQSC"/>
            </w:pPr>
            <w:r w:rsidRPr="00C402AF">
              <w:t>Denominator</w:t>
            </w:r>
          </w:p>
        </w:tc>
        <w:tc>
          <w:tcPr>
            <w:tcW w:w="7371" w:type="dxa"/>
            <w:vAlign w:val="bottom"/>
          </w:tcPr>
          <w:p w14:paraId="367FD124" w14:textId="02BA8A81" w:rsidR="00D16EE4" w:rsidRPr="00C402AF" w:rsidRDefault="00D16EE4" w:rsidP="009A3B2D">
            <w:pPr>
              <w:pStyle w:val="TabletextHQSC"/>
              <w:rPr>
                <w:color w:val="000000"/>
              </w:rPr>
            </w:pPr>
            <w:r w:rsidRPr="00C402AF">
              <w:rPr>
                <w:color w:val="000000"/>
              </w:rPr>
              <w:t xml:space="preserve">PHO-enrolled population aged 20 years and over with </w:t>
            </w:r>
            <w:r w:rsidR="00DB7D0D" w:rsidRPr="00C402AF">
              <w:rPr>
                <w:color w:val="000000"/>
              </w:rPr>
              <w:t>estimated</w:t>
            </w:r>
            <w:r w:rsidRPr="00C402AF">
              <w:rPr>
                <w:color w:val="000000"/>
              </w:rPr>
              <w:t xml:space="preserve"> gout using the</w:t>
            </w:r>
            <w:r w:rsidR="0036468A" w:rsidRPr="00C402AF">
              <w:rPr>
                <w:color w:val="000000"/>
              </w:rPr>
              <w:t xml:space="preserve"> adapted</w:t>
            </w:r>
            <w:r w:rsidRPr="00C402AF">
              <w:rPr>
                <w:color w:val="000000"/>
              </w:rPr>
              <w:t xml:space="preserve"> </w:t>
            </w:r>
            <w:proofErr w:type="spellStart"/>
            <w:r w:rsidRPr="00C402AF">
              <w:rPr>
                <w:color w:val="000000"/>
              </w:rPr>
              <w:t>HealthTracker</w:t>
            </w:r>
            <w:proofErr w:type="spellEnd"/>
            <w:r w:rsidRPr="00C402AF">
              <w:rPr>
                <w:color w:val="000000"/>
              </w:rPr>
              <w:t xml:space="preserve"> method (numerator indicator 1).</w:t>
            </w:r>
          </w:p>
        </w:tc>
      </w:tr>
      <w:tr w:rsidR="00D16EE4" w:rsidRPr="00C402AF" w14:paraId="3C15D2CE" w14:textId="77777777">
        <w:trPr>
          <w:trHeight w:val="327"/>
        </w:trPr>
        <w:tc>
          <w:tcPr>
            <w:tcW w:w="1951" w:type="dxa"/>
          </w:tcPr>
          <w:p w14:paraId="3B1A3A26" w14:textId="162E96DF" w:rsidR="00D16EE4" w:rsidRPr="00C402AF" w:rsidRDefault="00D16EE4" w:rsidP="009A3B2D">
            <w:pPr>
              <w:pStyle w:val="TabletextHQSC"/>
            </w:pPr>
            <w:r w:rsidRPr="00C402AF">
              <w:t>Data source</w:t>
            </w:r>
          </w:p>
        </w:tc>
        <w:tc>
          <w:tcPr>
            <w:tcW w:w="7371" w:type="dxa"/>
            <w:vAlign w:val="bottom"/>
          </w:tcPr>
          <w:p w14:paraId="78359EB1" w14:textId="49603341" w:rsidR="00D16EE4" w:rsidRPr="00C402AF" w:rsidRDefault="00D16EE4" w:rsidP="009A3B2D">
            <w:pPr>
              <w:pStyle w:val="TabletextHQSC"/>
            </w:pPr>
            <w:r w:rsidRPr="00C402AF">
              <w:t xml:space="preserve">NMDS, </w:t>
            </w:r>
            <w:r w:rsidR="00346768" w:rsidRPr="00C402AF">
              <w:t>pharmaceutical collection</w:t>
            </w:r>
            <w:r w:rsidRPr="00C402AF">
              <w:t xml:space="preserve">, PHO </w:t>
            </w:r>
            <w:r w:rsidR="00346768" w:rsidRPr="00C402AF">
              <w:t>enrolment collection</w:t>
            </w:r>
            <w:r w:rsidRPr="00C402AF">
              <w:t xml:space="preserve">, </w:t>
            </w:r>
            <w:r w:rsidR="00346768">
              <w:t>NZCR</w:t>
            </w:r>
            <w:r w:rsidR="00024E72" w:rsidRPr="00C402AF">
              <w:t>, NHI database</w:t>
            </w:r>
            <w:r w:rsidRPr="00C402AF">
              <w:t>.</w:t>
            </w:r>
          </w:p>
        </w:tc>
      </w:tr>
      <w:tr w:rsidR="00D16EE4" w:rsidRPr="00C402AF" w14:paraId="32732C92" w14:textId="77777777">
        <w:trPr>
          <w:trHeight w:val="327"/>
        </w:trPr>
        <w:tc>
          <w:tcPr>
            <w:tcW w:w="1951" w:type="dxa"/>
          </w:tcPr>
          <w:p w14:paraId="2C44EEE5" w14:textId="6AC580A3" w:rsidR="00D16EE4" w:rsidRPr="00C402AF" w:rsidRDefault="00D16EE4" w:rsidP="009A3B2D">
            <w:pPr>
              <w:pStyle w:val="TabletextHQSC"/>
            </w:pPr>
            <w:r w:rsidRPr="00C402AF">
              <w:t>Analysis</w:t>
            </w:r>
          </w:p>
        </w:tc>
        <w:tc>
          <w:tcPr>
            <w:tcW w:w="7371" w:type="dxa"/>
            <w:vAlign w:val="bottom"/>
          </w:tcPr>
          <w:p w14:paraId="2A977211" w14:textId="0A9B2DE5" w:rsidR="00D16EE4" w:rsidRPr="00C402AF" w:rsidRDefault="00D16EE4" w:rsidP="009A3B2D">
            <w:pPr>
              <w:pStyle w:val="TabletextHQSC"/>
            </w:pPr>
            <w:r w:rsidRPr="00C402AF">
              <w:t>For single map analysis: By year (2019‒</w:t>
            </w:r>
            <w:r w:rsidR="0004561D">
              <w:t>20</w:t>
            </w:r>
            <w:r w:rsidRPr="00C402AF">
              <w:t xml:space="preserve">24), age group (20‒44 years, 45‒64 years, 65 years and over), gender (female and male), ethnic group (Māori, Pacific peoples, non-Māori non-Pacific) and Health </w:t>
            </w:r>
            <w:r w:rsidR="00346768">
              <w:t>NZ</w:t>
            </w:r>
            <w:r w:rsidRPr="00C402AF">
              <w:t xml:space="preserve"> district of domicile. </w:t>
            </w:r>
          </w:p>
          <w:p w14:paraId="6B8D9AA9" w14:textId="7E3C562C" w:rsidR="00D16EE4" w:rsidRPr="00C402AF" w:rsidRDefault="00D16EE4" w:rsidP="009A3B2D">
            <w:pPr>
              <w:pStyle w:val="TabletextHQSC"/>
            </w:pPr>
            <w:r w:rsidRPr="00C402AF">
              <w:t>For PHO analysis: By year (2024), age group</w:t>
            </w:r>
            <w:r w:rsidR="00346768">
              <w:t xml:space="preserve"> (in years)</w:t>
            </w:r>
            <w:r w:rsidRPr="00C402AF">
              <w:t>, gender, ethnic group, PHO most recently enrolled with (for the relevant year), PHO group (small, medium, medium</w:t>
            </w:r>
            <w:r w:rsidR="00346768">
              <w:t>-</w:t>
            </w:r>
            <w:r w:rsidRPr="00C402AF">
              <w:t>large and large).</w:t>
            </w:r>
          </w:p>
        </w:tc>
      </w:tr>
      <w:tr w:rsidR="0093767A" w:rsidRPr="00C402AF" w14:paraId="0A9DE5C2" w14:textId="77777777">
        <w:trPr>
          <w:trHeight w:val="327"/>
        </w:trPr>
        <w:tc>
          <w:tcPr>
            <w:tcW w:w="1951" w:type="dxa"/>
          </w:tcPr>
          <w:p w14:paraId="0781BB87" w14:textId="77777777" w:rsidR="0093767A" w:rsidRPr="00C402AF" w:rsidRDefault="0093767A" w:rsidP="009A3B2D">
            <w:pPr>
              <w:pStyle w:val="TabletextHQSC"/>
            </w:pPr>
            <w:r w:rsidRPr="00C402AF">
              <w:t>Medicines</w:t>
            </w:r>
          </w:p>
        </w:tc>
        <w:tc>
          <w:tcPr>
            <w:tcW w:w="7371" w:type="dxa"/>
            <w:vAlign w:val="bottom"/>
          </w:tcPr>
          <w:p w14:paraId="1703DF65" w14:textId="08CC2185" w:rsidR="0093767A" w:rsidRPr="00C402AF" w:rsidRDefault="0093767A" w:rsidP="009A3B2D">
            <w:pPr>
              <w:pStyle w:val="TabletextHQSC"/>
            </w:pPr>
            <w:r w:rsidRPr="00C402AF">
              <w:t>NSAIDs:</w:t>
            </w:r>
            <w:r w:rsidR="001800E7" w:rsidRPr="00C402AF">
              <w:t xml:space="preserve"> 1401</w:t>
            </w:r>
            <w:r w:rsidRPr="00C402AF">
              <w:t xml:space="preserve"> diclofenac sodium, </w:t>
            </w:r>
            <w:r w:rsidR="001800E7" w:rsidRPr="00C402AF">
              <w:t xml:space="preserve">2798 </w:t>
            </w:r>
            <w:r w:rsidRPr="00C402AF">
              <w:t xml:space="preserve">ibuprofen, </w:t>
            </w:r>
            <w:r w:rsidR="001800E7" w:rsidRPr="00C402AF">
              <w:t xml:space="preserve">1697 </w:t>
            </w:r>
            <w:r w:rsidRPr="00C402AF">
              <w:t xml:space="preserve">ketoprofen, </w:t>
            </w:r>
            <w:r w:rsidR="001800E7" w:rsidRPr="00C402AF">
              <w:t xml:space="preserve">1769 </w:t>
            </w:r>
            <w:r w:rsidRPr="00C402AF">
              <w:t xml:space="preserve">mefenamic acid, </w:t>
            </w:r>
            <w:r w:rsidR="008938BC" w:rsidRPr="00C402AF">
              <w:t xml:space="preserve">3912 </w:t>
            </w:r>
            <w:r w:rsidRPr="00C402AF">
              <w:t xml:space="preserve">meloxicam, </w:t>
            </w:r>
            <w:r w:rsidR="00896126" w:rsidRPr="00C402AF">
              <w:t xml:space="preserve">2782 </w:t>
            </w:r>
            <w:r w:rsidRPr="00C402AF">
              <w:t xml:space="preserve">naproxen, </w:t>
            </w:r>
            <w:r w:rsidR="009B1D5C" w:rsidRPr="00C402AF">
              <w:t xml:space="preserve">2536 </w:t>
            </w:r>
            <w:r w:rsidRPr="00C402AF">
              <w:t xml:space="preserve">tenoxicam, </w:t>
            </w:r>
            <w:r w:rsidR="00D4716B" w:rsidRPr="00C402AF">
              <w:t xml:space="preserve">4081 </w:t>
            </w:r>
            <w:r w:rsidRPr="00C402AF">
              <w:t xml:space="preserve">celecoxib and </w:t>
            </w:r>
            <w:r w:rsidR="009B1D5C" w:rsidRPr="00C402AF">
              <w:t xml:space="preserve">2193 </w:t>
            </w:r>
            <w:r w:rsidRPr="00C402AF">
              <w:t>sulindac.</w:t>
            </w:r>
          </w:p>
        </w:tc>
      </w:tr>
      <w:tr w:rsidR="0093767A" w:rsidRPr="00C402AF" w14:paraId="0971B382" w14:textId="77777777">
        <w:trPr>
          <w:trHeight w:val="327"/>
        </w:trPr>
        <w:tc>
          <w:tcPr>
            <w:tcW w:w="1951" w:type="dxa"/>
          </w:tcPr>
          <w:p w14:paraId="66840290" w14:textId="77777777" w:rsidR="0093767A" w:rsidRPr="00C402AF" w:rsidRDefault="0093767A" w:rsidP="009A3B2D">
            <w:pPr>
              <w:pStyle w:val="TabletextHQSC"/>
            </w:pPr>
            <w:r w:rsidRPr="00C402AF">
              <w:t>Comment</w:t>
            </w:r>
          </w:p>
        </w:tc>
        <w:tc>
          <w:tcPr>
            <w:tcW w:w="7371" w:type="dxa"/>
            <w:vAlign w:val="bottom"/>
          </w:tcPr>
          <w:p w14:paraId="71634C44" w14:textId="2A74FA39" w:rsidR="0093767A" w:rsidRPr="00C402AF" w:rsidRDefault="0093767A" w:rsidP="009A3B2D">
            <w:pPr>
              <w:pStyle w:val="TabletextHQSC"/>
            </w:pPr>
            <w:r w:rsidRPr="00C402AF">
              <w:t xml:space="preserve">This indicator only includes NSAIDs dispensed at community pharmacies, </w:t>
            </w:r>
            <w:r w:rsidR="00346768">
              <w:t>that is</w:t>
            </w:r>
            <w:r w:rsidRPr="00C402AF">
              <w:t>, not medicines given in hospital or purchased over the counter. NSAID dispensing may not be related to gout symptoms.</w:t>
            </w:r>
          </w:p>
        </w:tc>
      </w:tr>
      <w:tr w:rsidR="0060084D" w:rsidRPr="00C402AF" w14:paraId="5A95F7AB" w14:textId="77777777">
        <w:trPr>
          <w:trHeight w:val="327"/>
        </w:trPr>
        <w:tc>
          <w:tcPr>
            <w:tcW w:w="1951" w:type="dxa"/>
          </w:tcPr>
          <w:p w14:paraId="7B4475D9" w14:textId="1EDBCA19" w:rsidR="0060084D" w:rsidRPr="00C402AF" w:rsidRDefault="00F03CA7" w:rsidP="009A3B2D">
            <w:pPr>
              <w:pStyle w:val="TabletextHQSC"/>
            </w:pPr>
            <w:r w:rsidRPr="00C402AF">
              <w:t>Rationale</w:t>
            </w:r>
          </w:p>
        </w:tc>
        <w:tc>
          <w:tcPr>
            <w:tcW w:w="7371" w:type="dxa"/>
            <w:vAlign w:val="bottom"/>
          </w:tcPr>
          <w:p w14:paraId="6131FA7C" w14:textId="51E8270E" w:rsidR="00F03CA7" w:rsidRPr="00C402AF" w:rsidRDefault="00F03CA7" w:rsidP="00F03CA7">
            <w:pPr>
              <w:pStyle w:val="TabletextHQSC"/>
            </w:pPr>
            <w:r w:rsidRPr="00C402AF">
              <w:t>NSAIDs are commonly used as first-line treatment for acute gout flares, and some are available over the counter without prescription. Higher rates of NSAID use may reflect people experiencing acute gout flares who are not receiving or adhering to long-term preventive therapy.</w:t>
            </w:r>
          </w:p>
          <w:p w14:paraId="0C6A06DD" w14:textId="328C3D1E" w:rsidR="0060084D" w:rsidRPr="00C402AF" w:rsidRDefault="00F03CA7" w:rsidP="00F03CA7">
            <w:pPr>
              <w:pStyle w:val="TabletextHQSC"/>
            </w:pPr>
            <w:r w:rsidRPr="00C402AF">
              <w:t>Variation in NSAID dispensing patterns can help identify populations at risk of recurrent flares and supports targeted improvements in long-term gout management.</w:t>
            </w:r>
          </w:p>
        </w:tc>
      </w:tr>
      <w:tr w:rsidR="0093767A" w:rsidRPr="00C402AF" w14:paraId="74BF97A7" w14:textId="77777777">
        <w:trPr>
          <w:trHeight w:val="327"/>
        </w:trPr>
        <w:tc>
          <w:tcPr>
            <w:tcW w:w="1951" w:type="dxa"/>
          </w:tcPr>
          <w:p w14:paraId="6A003DCB" w14:textId="77777777" w:rsidR="0093767A" w:rsidRPr="00C402AF" w:rsidRDefault="0093767A" w:rsidP="009A3B2D">
            <w:pPr>
              <w:pStyle w:val="TabletextHQSC"/>
            </w:pPr>
            <w:r w:rsidRPr="00C402AF">
              <w:lastRenderedPageBreak/>
              <w:t>Commentary</w:t>
            </w:r>
          </w:p>
        </w:tc>
        <w:tc>
          <w:tcPr>
            <w:tcW w:w="7371" w:type="dxa"/>
            <w:vAlign w:val="bottom"/>
          </w:tcPr>
          <w:p w14:paraId="71B7443C" w14:textId="71B20B0E" w:rsidR="00D67FDD" w:rsidRPr="00C402AF" w:rsidRDefault="00D67FDD" w:rsidP="009A3B2D">
            <w:pPr>
              <w:pStyle w:val="TabletextHQSC"/>
              <w:rPr>
                <w:bCs/>
              </w:rPr>
            </w:pPr>
            <w:r w:rsidRPr="00C402AF">
              <w:rPr>
                <w:bCs/>
              </w:rPr>
              <w:t>Description</w:t>
            </w:r>
          </w:p>
          <w:p w14:paraId="186607F1" w14:textId="522F27F7" w:rsidR="00871E47" w:rsidRPr="00C402AF" w:rsidRDefault="00871E47" w:rsidP="009A3B2D">
            <w:pPr>
              <w:pStyle w:val="TabletextHQSC"/>
              <w:rPr>
                <w:bCs/>
              </w:rPr>
            </w:pPr>
            <w:r w:rsidRPr="00C402AF">
              <w:t xml:space="preserve">Data </w:t>
            </w:r>
            <w:r w:rsidR="002072B9">
              <w:t>was</w:t>
            </w:r>
            <w:r w:rsidR="002072B9" w:rsidRPr="00C402AF">
              <w:t xml:space="preserve"> </w:t>
            </w:r>
            <w:r w:rsidRPr="00C402AF">
              <w:t>presented by year, ethnicity, age and gender.</w:t>
            </w:r>
          </w:p>
          <w:p w14:paraId="737B578A" w14:textId="5E5F1FE9" w:rsidR="00D67FDD" w:rsidRPr="00C402AF" w:rsidRDefault="0070662E" w:rsidP="009A3B2D">
            <w:pPr>
              <w:pStyle w:val="TabletextHQSC"/>
              <w:rPr>
                <w:bCs/>
              </w:rPr>
            </w:pPr>
            <w:r w:rsidRPr="00C402AF">
              <w:rPr>
                <w:bCs/>
              </w:rPr>
              <w:t xml:space="preserve">This indicator shows the number and percent of people with gout who received an NSAID in a year. </w:t>
            </w:r>
            <w:r w:rsidRPr="00C402AF">
              <w:t>This indicator does not capture over-the-counter NSAID use and does not assess the indication for NSAID use.</w:t>
            </w:r>
          </w:p>
          <w:p w14:paraId="264F7E19" w14:textId="040C94DB" w:rsidR="0093767A" w:rsidRPr="00C402AF" w:rsidRDefault="0093767A" w:rsidP="009A3B2D">
            <w:pPr>
              <w:pStyle w:val="TabletextHQSC"/>
            </w:pPr>
            <w:r w:rsidRPr="00C402AF">
              <w:rPr>
                <w:bCs/>
              </w:rPr>
              <w:t>Why is this important?</w:t>
            </w:r>
            <w:r w:rsidRPr="00C402AF">
              <w:t xml:space="preserve"> </w:t>
            </w:r>
          </w:p>
          <w:p w14:paraId="52A54765" w14:textId="02581A4B" w:rsidR="0093767A" w:rsidRPr="00C402AF" w:rsidRDefault="0093767A" w:rsidP="009A3B2D">
            <w:pPr>
              <w:pStyle w:val="TabletextHQSC"/>
            </w:pPr>
            <w:r w:rsidRPr="00C402AF">
              <w:t>NSAIDs are often the first line of treatment for acute gout flares</w:t>
            </w:r>
            <w:r w:rsidR="000845FC" w:rsidRPr="00C402AF">
              <w:t>,</w:t>
            </w:r>
            <w:r w:rsidRPr="00C402AF">
              <w:t xml:space="preserve"> and some can be purchased from a pharmacy without a prescription. This indicator may reflect people experiencing acute gout flares who are not on long-term preventive therapy for gout. Gout management guidelines state that people experiencing frequent (two or more) acute gout flares per year should be offered long-term </w:t>
            </w:r>
            <w:r w:rsidR="004B51A9">
              <w:t>ULT</w:t>
            </w:r>
            <w:r w:rsidRPr="00C402AF">
              <w:t>. Although NSAIDs are effective at treating acute gout flares, these medicines have important side effects including kidney injury and peptic ulcer disease.</w:t>
            </w:r>
          </w:p>
          <w:p w14:paraId="29B0BE04" w14:textId="77777777" w:rsidR="0093767A" w:rsidRPr="00C402AF" w:rsidRDefault="0093767A" w:rsidP="009A3B2D">
            <w:pPr>
              <w:pStyle w:val="TabletextHQSC"/>
              <w:rPr>
                <w:bCs/>
              </w:rPr>
            </w:pPr>
            <w:r w:rsidRPr="00C402AF">
              <w:rPr>
                <w:bCs/>
              </w:rPr>
              <w:t>What questions does this prompt?</w:t>
            </w:r>
          </w:p>
          <w:p w14:paraId="2F42176D" w14:textId="159AF5E3" w:rsidR="000432B5" w:rsidRPr="00C402AF" w:rsidRDefault="000432B5" w:rsidP="00364E2B">
            <w:pPr>
              <w:pStyle w:val="Bullet"/>
            </w:pPr>
            <w:r w:rsidRPr="00C402AF">
              <w:rPr>
                <w:rFonts w:ascii="Arial" w:hAnsi="Arial" w:cs="Arial"/>
              </w:rPr>
              <w:t>Why are younger people with estimated gout more likely to be dispensed NSAIDs than older people?</w:t>
            </w:r>
          </w:p>
          <w:p w14:paraId="667A168A" w14:textId="45DA94D6" w:rsidR="0093767A" w:rsidRPr="00C402AF" w:rsidRDefault="0093767A" w:rsidP="004A6944">
            <w:pPr>
              <w:pStyle w:val="BulletsHQSC"/>
            </w:pPr>
            <w:r w:rsidRPr="00C402AF">
              <w:t xml:space="preserve">Should some of those receiving NSAIDs for gout flares be treated with long-term </w:t>
            </w:r>
            <w:r w:rsidR="004B51A9">
              <w:t>ULT</w:t>
            </w:r>
            <w:r w:rsidRPr="00C402AF">
              <w:t>?</w:t>
            </w:r>
          </w:p>
        </w:tc>
      </w:tr>
    </w:tbl>
    <w:p w14:paraId="00445681" w14:textId="7252F783" w:rsidR="009A3B2D" w:rsidRPr="00C402AF" w:rsidRDefault="001B75C1" w:rsidP="00A57432">
      <w:pPr>
        <w:pStyle w:val="Heading3HQSC"/>
        <w:numPr>
          <w:ilvl w:val="0"/>
          <w:numId w:val="13"/>
        </w:numPr>
      </w:pPr>
      <w:bookmarkStart w:id="13" w:name="_Toc237508333"/>
      <w:r w:rsidRPr="00C402AF">
        <w:t xml:space="preserve">People with </w:t>
      </w:r>
      <w:r w:rsidR="009478A6" w:rsidRPr="00C402AF">
        <w:t xml:space="preserve">estimated </w:t>
      </w:r>
      <w:r w:rsidRPr="00C402AF">
        <w:t>gout who were dispensed funded NSAIDs but not dispensed urate-lowering therapy, percent</w:t>
      </w:r>
      <w:bookmarkEnd w:id="13"/>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0C0E1CB9" w14:textId="77777777">
        <w:trPr>
          <w:trHeight w:val="327"/>
        </w:trPr>
        <w:tc>
          <w:tcPr>
            <w:tcW w:w="1951" w:type="dxa"/>
          </w:tcPr>
          <w:p w14:paraId="60CE30B9" w14:textId="08A827A4" w:rsidR="0093767A" w:rsidRPr="00C402AF" w:rsidRDefault="0093767A" w:rsidP="00C0381B">
            <w:pPr>
              <w:pStyle w:val="TabletextHQSC"/>
              <w:rPr>
                <w:color w:val="808080"/>
              </w:rPr>
            </w:pPr>
            <w:r w:rsidRPr="00C402AF">
              <w:t>Indicator 5</w:t>
            </w:r>
          </w:p>
        </w:tc>
        <w:tc>
          <w:tcPr>
            <w:tcW w:w="7371" w:type="dxa"/>
            <w:vAlign w:val="bottom"/>
          </w:tcPr>
          <w:p w14:paraId="61301122" w14:textId="73EE4D34" w:rsidR="0093767A" w:rsidRPr="00C402AF" w:rsidRDefault="0093767A" w:rsidP="00C0381B">
            <w:pPr>
              <w:pStyle w:val="TabletextHQSC"/>
              <w:rPr>
                <w:color w:val="000000"/>
              </w:rPr>
            </w:pPr>
            <w:r w:rsidRPr="00C402AF">
              <w:rPr>
                <w:color w:val="000000"/>
              </w:rPr>
              <w:t xml:space="preserve">People with </w:t>
            </w:r>
            <w:r w:rsidR="009478A6" w:rsidRPr="00C402AF">
              <w:rPr>
                <w:color w:val="000000"/>
              </w:rPr>
              <w:t xml:space="preserve">estimated </w:t>
            </w:r>
            <w:r w:rsidRPr="00C402AF">
              <w:rPr>
                <w:color w:val="000000"/>
              </w:rPr>
              <w:t>gout who were dispensed funded NSAIDs but not dispensed urate-lowering therapy, percent</w:t>
            </w:r>
          </w:p>
        </w:tc>
      </w:tr>
      <w:tr w:rsidR="0093767A" w:rsidRPr="00C402AF" w14:paraId="2F5EC8DE" w14:textId="77777777">
        <w:trPr>
          <w:trHeight w:val="327"/>
        </w:trPr>
        <w:tc>
          <w:tcPr>
            <w:tcW w:w="1951" w:type="dxa"/>
          </w:tcPr>
          <w:p w14:paraId="147090BE" w14:textId="77777777" w:rsidR="0093767A" w:rsidRPr="00C402AF" w:rsidRDefault="0093767A" w:rsidP="00C0381B">
            <w:pPr>
              <w:pStyle w:val="TabletextHQSC"/>
            </w:pPr>
            <w:r w:rsidRPr="00C402AF">
              <w:t>Numerator</w:t>
            </w:r>
          </w:p>
        </w:tc>
        <w:tc>
          <w:tcPr>
            <w:tcW w:w="7371" w:type="dxa"/>
            <w:vAlign w:val="bottom"/>
          </w:tcPr>
          <w:p w14:paraId="3D6D90F5" w14:textId="36056BB0" w:rsidR="0093767A" w:rsidRPr="00C402AF" w:rsidRDefault="0093767A" w:rsidP="00C0381B">
            <w:pPr>
              <w:pStyle w:val="TabletextHQSC"/>
              <w:rPr>
                <w:color w:val="000000"/>
              </w:rPr>
            </w:pPr>
            <w:r w:rsidRPr="00C402AF">
              <w:rPr>
                <w:color w:val="000000"/>
              </w:rPr>
              <w:t xml:space="preserve">People with </w:t>
            </w:r>
            <w:r w:rsidR="009478A6" w:rsidRPr="00C402AF">
              <w:rPr>
                <w:color w:val="000000"/>
              </w:rPr>
              <w:t xml:space="preserve">estimated </w:t>
            </w:r>
            <w:r w:rsidRPr="00C402AF">
              <w:rPr>
                <w:color w:val="000000"/>
              </w:rPr>
              <w:t>gout</w:t>
            </w:r>
            <w:r w:rsidR="007111E9" w:rsidRPr="00C402AF">
              <w:rPr>
                <w:color w:val="000000"/>
              </w:rPr>
              <w:t>,</w:t>
            </w:r>
            <w:r w:rsidRPr="00C402AF">
              <w:rPr>
                <w:color w:val="000000"/>
              </w:rPr>
              <w:t xml:space="preserve"> aged 20 years and over, dispensed publicly funded NSAIDs in a year but not dispensed gout-specific </w:t>
            </w:r>
            <w:r w:rsidR="0004561D">
              <w:rPr>
                <w:color w:val="000000"/>
              </w:rPr>
              <w:t>ULT</w:t>
            </w:r>
            <w:r w:rsidRPr="00C402AF">
              <w:rPr>
                <w:color w:val="000000"/>
              </w:rPr>
              <w:t xml:space="preserve"> (allopurinol, febuxostat, benzbromarone) in the same year.</w:t>
            </w:r>
          </w:p>
        </w:tc>
      </w:tr>
      <w:tr w:rsidR="001B75C1" w:rsidRPr="00C402AF" w14:paraId="773390F6" w14:textId="77777777">
        <w:trPr>
          <w:trHeight w:val="327"/>
        </w:trPr>
        <w:tc>
          <w:tcPr>
            <w:tcW w:w="1951" w:type="dxa"/>
          </w:tcPr>
          <w:p w14:paraId="624CB986" w14:textId="0265FDD5" w:rsidR="001B75C1" w:rsidRPr="00C402AF" w:rsidRDefault="001B75C1" w:rsidP="00C0381B">
            <w:pPr>
              <w:pStyle w:val="TabletextHQSC"/>
            </w:pPr>
            <w:r w:rsidRPr="00C402AF">
              <w:t>Denominator</w:t>
            </w:r>
          </w:p>
        </w:tc>
        <w:tc>
          <w:tcPr>
            <w:tcW w:w="7371" w:type="dxa"/>
            <w:vAlign w:val="bottom"/>
          </w:tcPr>
          <w:p w14:paraId="35541EEF" w14:textId="0900FFC1" w:rsidR="001B75C1" w:rsidRPr="00C402AF" w:rsidRDefault="001B75C1" w:rsidP="00C0381B">
            <w:pPr>
              <w:pStyle w:val="TabletextHQSC"/>
              <w:rPr>
                <w:color w:val="000000"/>
              </w:rPr>
            </w:pPr>
            <w:r w:rsidRPr="00C402AF">
              <w:rPr>
                <w:color w:val="000000"/>
              </w:rPr>
              <w:t xml:space="preserve">PHO-enrolled population aged 20 years and over with </w:t>
            </w:r>
            <w:r w:rsidR="009478A6" w:rsidRPr="00C402AF">
              <w:rPr>
                <w:color w:val="000000"/>
              </w:rPr>
              <w:t xml:space="preserve">estimated </w:t>
            </w:r>
            <w:r w:rsidRPr="00C402AF">
              <w:rPr>
                <w:color w:val="000000"/>
              </w:rPr>
              <w:t>gout using the</w:t>
            </w:r>
            <w:r w:rsidR="0036468A" w:rsidRPr="00C402AF">
              <w:rPr>
                <w:color w:val="000000"/>
              </w:rPr>
              <w:t xml:space="preserve"> adapted</w:t>
            </w:r>
            <w:r w:rsidRPr="00C402AF">
              <w:rPr>
                <w:color w:val="000000"/>
              </w:rPr>
              <w:t xml:space="preserve"> </w:t>
            </w:r>
            <w:proofErr w:type="spellStart"/>
            <w:r w:rsidRPr="00C402AF">
              <w:rPr>
                <w:color w:val="000000"/>
              </w:rPr>
              <w:t>HealthTracker</w:t>
            </w:r>
            <w:proofErr w:type="spellEnd"/>
            <w:r w:rsidRPr="00C402AF">
              <w:rPr>
                <w:color w:val="000000"/>
              </w:rPr>
              <w:t xml:space="preserve"> method (numerator indicator 1).</w:t>
            </w:r>
          </w:p>
        </w:tc>
      </w:tr>
      <w:tr w:rsidR="001B75C1" w:rsidRPr="00C402AF" w14:paraId="3488DF79" w14:textId="77777777">
        <w:trPr>
          <w:trHeight w:val="327"/>
        </w:trPr>
        <w:tc>
          <w:tcPr>
            <w:tcW w:w="1951" w:type="dxa"/>
          </w:tcPr>
          <w:p w14:paraId="104D1AEA" w14:textId="5BE54F8F" w:rsidR="001B75C1" w:rsidRPr="00C402AF" w:rsidRDefault="001B75C1" w:rsidP="00C0381B">
            <w:pPr>
              <w:pStyle w:val="TabletextHQSC"/>
            </w:pPr>
            <w:r w:rsidRPr="00C402AF">
              <w:t>Data source</w:t>
            </w:r>
          </w:p>
        </w:tc>
        <w:tc>
          <w:tcPr>
            <w:tcW w:w="7371" w:type="dxa"/>
            <w:vAlign w:val="bottom"/>
          </w:tcPr>
          <w:p w14:paraId="790E4C0F" w14:textId="0660472A" w:rsidR="001B75C1" w:rsidRPr="00C402AF" w:rsidRDefault="001B75C1" w:rsidP="00C0381B">
            <w:pPr>
              <w:pStyle w:val="TabletextHQSC"/>
            </w:pPr>
            <w:r w:rsidRPr="00C402AF">
              <w:t xml:space="preserve">NMDS, </w:t>
            </w:r>
            <w:r w:rsidR="0004561D" w:rsidRPr="00C402AF">
              <w:t>pharmaceutical collection</w:t>
            </w:r>
            <w:r w:rsidRPr="00C402AF">
              <w:t xml:space="preserve">, PHO </w:t>
            </w:r>
            <w:r w:rsidR="0004561D" w:rsidRPr="00C402AF">
              <w:t>enrolment collection</w:t>
            </w:r>
            <w:r w:rsidRPr="00C402AF">
              <w:t xml:space="preserve">, </w:t>
            </w:r>
            <w:r w:rsidR="0004561D">
              <w:t>NZCR</w:t>
            </w:r>
            <w:r w:rsidR="00024E72" w:rsidRPr="00C402AF">
              <w:t>, NHI database</w:t>
            </w:r>
            <w:r w:rsidRPr="00C402AF">
              <w:t>.</w:t>
            </w:r>
          </w:p>
        </w:tc>
      </w:tr>
      <w:tr w:rsidR="001B75C1" w:rsidRPr="00C402AF" w14:paraId="2BD9CBFD" w14:textId="77777777">
        <w:trPr>
          <w:trHeight w:val="327"/>
        </w:trPr>
        <w:tc>
          <w:tcPr>
            <w:tcW w:w="1951" w:type="dxa"/>
          </w:tcPr>
          <w:p w14:paraId="01F200E6" w14:textId="413C0529" w:rsidR="001B75C1" w:rsidRPr="00C402AF" w:rsidRDefault="001B75C1" w:rsidP="00C0381B">
            <w:pPr>
              <w:pStyle w:val="TabletextHQSC"/>
            </w:pPr>
            <w:r w:rsidRPr="00C402AF">
              <w:t>Analysis</w:t>
            </w:r>
          </w:p>
        </w:tc>
        <w:tc>
          <w:tcPr>
            <w:tcW w:w="7371" w:type="dxa"/>
            <w:vAlign w:val="bottom"/>
          </w:tcPr>
          <w:p w14:paraId="058E713B" w14:textId="2AA2A04B" w:rsidR="001B75C1" w:rsidRPr="00C402AF" w:rsidRDefault="001B75C1" w:rsidP="00C0381B">
            <w:pPr>
              <w:pStyle w:val="TabletextHQSC"/>
            </w:pPr>
            <w:r w:rsidRPr="00C402AF">
              <w:t>For single map analysis: By year (2019‒</w:t>
            </w:r>
            <w:r w:rsidR="0004561D">
              <w:t>20</w:t>
            </w:r>
            <w:r w:rsidRPr="00C402AF">
              <w:t xml:space="preserve">24), age group (20‒44 years, 45‒64 years, 65 years and over), gender (female and male), ethnic group (Māori, Pacific peoples, non-Māori non-Pacific) and Health New Zealand district of domicile. </w:t>
            </w:r>
          </w:p>
          <w:p w14:paraId="3C192629" w14:textId="3696C4A4" w:rsidR="001B75C1" w:rsidRPr="00C402AF" w:rsidRDefault="001B75C1" w:rsidP="00C0381B">
            <w:pPr>
              <w:pStyle w:val="TabletextHQSC"/>
            </w:pPr>
            <w:r w:rsidRPr="00C402AF">
              <w:t>For PHO analysis: By year (2024), age group, gender, ethnic group, PHO most recently enrolled with (for the relevant year), PHO group (small, medium, medium</w:t>
            </w:r>
            <w:r w:rsidR="0075688B">
              <w:t>-</w:t>
            </w:r>
            <w:r w:rsidRPr="00C402AF">
              <w:t>large and large).</w:t>
            </w:r>
          </w:p>
        </w:tc>
      </w:tr>
      <w:tr w:rsidR="0093767A" w:rsidRPr="00C402AF" w14:paraId="563FDCBE" w14:textId="77777777">
        <w:trPr>
          <w:trHeight w:val="327"/>
        </w:trPr>
        <w:tc>
          <w:tcPr>
            <w:tcW w:w="1951" w:type="dxa"/>
          </w:tcPr>
          <w:p w14:paraId="5D737243" w14:textId="77777777" w:rsidR="0093767A" w:rsidRPr="00C402AF" w:rsidRDefault="0093767A" w:rsidP="00C0381B">
            <w:pPr>
              <w:pStyle w:val="TabletextHQSC"/>
            </w:pPr>
            <w:r w:rsidRPr="00C402AF">
              <w:t xml:space="preserve">Medicines </w:t>
            </w:r>
          </w:p>
        </w:tc>
        <w:tc>
          <w:tcPr>
            <w:tcW w:w="7371" w:type="dxa"/>
            <w:vAlign w:val="bottom"/>
          </w:tcPr>
          <w:p w14:paraId="30F36DE0" w14:textId="09ED7F27" w:rsidR="0093767A" w:rsidRPr="00C402AF" w:rsidRDefault="009B1D5C" w:rsidP="00C0381B">
            <w:pPr>
              <w:pStyle w:val="TabletextHQSC"/>
            </w:pPr>
            <w:r w:rsidRPr="00C402AF">
              <w:t xml:space="preserve">NSAIDs: 1401 diclofenac sodium, 2798 ibuprofen, 1697 ketoprofen, 1769 mefenamic acid, </w:t>
            </w:r>
            <w:r w:rsidR="00482494" w:rsidRPr="00C402AF">
              <w:t xml:space="preserve">3912 </w:t>
            </w:r>
            <w:r w:rsidRPr="00C402AF">
              <w:t>meloxicam, 2782 naproxen, 2536 tenoxicam, 4081 celecoxib and 2193 sulindac.</w:t>
            </w:r>
          </w:p>
          <w:p w14:paraId="05CAF5AF" w14:textId="51028BC3" w:rsidR="0093767A" w:rsidRPr="00C402AF" w:rsidRDefault="002E5A0A" w:rsidP="00C0381B">
            <w:pPr>
              <w:pStyle w:val="TabletextHQSC"/>
            </w:pPr>
            <w:r>
              <w:t>ULT</w:t>
            </w:r>
            <w:r w:rsidR="0093767A" w:rsidRPr="00C402AF">
              <w:t xml:space="preserve">: 1026 allopurinol, 4026 febuxostat, 4003 </w:t>
            </w:r>
            <w:proofErr w:type="gramStart"/>
            <w:r w:rsidR="0093767A" w:rsidRPr="00C402AF">
              <w:t>benzbromarone</w:t>
            </w:r>
            <w:proofErr w:type="gramEnd"/>
            <w:r w:rsidR="0093767A" w:rsidRPr="00C402AF">
              <w:t>.</w:t>
            </w:r>
          </w:p>
        </w:tc>
      </w:tr>
      <w:tr w:rsidR="0093767A" w:rsidRPr="00C402AF" w14:paraId="4E41AB2A" w14:textId="77777777">
        <w:trPr>
          <w:trHeight w:val="327"/>
        </w:trPr>
        <w:tc>
          <w:tcPr>
            <w:tcW w:w="1951" w:type="dxa"/>
          </w:tcPr>
          <w:p w14:paraId="6B043844" w14:textId="77777777" w:rsidR="0093767A" w:rsidRPr="00C402AF" w:rsidRDefault="0093767A" w:rsidP="00C0381B">
            <w:pPr>
              <w:pStyle w:val="TabletextHQSC"/>
            </w:pPr>
            <w:r w:rsidRPr="00C402AF">
              <w:t>Comment</w:t>
            </w:r>
          </w:p>
        </w:tc>
        <w:tc>
          <w:tcPr>
            <w:tcW w:w="7371" w:type="dxa"/>
            <w:vAlign w:val="bottom"/>
          </w:tcPr>
          <w:p w14:paraId="1BEF8157" w14:textId="6A68BE7B" w:rsidR="0093767A" w:rsidRPr="00C402AF" w:rsidRDefault="0093767A" w:rsidP="00C0381B">
            <w:pPr>
              <w:pStyle w:val="TabletextHQSC"/>
            </w:pPr>
            <w:r w:rsidRPr="00C402AF">
              <w:t xml:space="preserve">This indicator only includes NSAIDs dispensed at community pharmacies, </w:t>
            </w:r>
            <w:r w:rsidR="001874D9">
              <w:t>that is,</w:t>
            </w:r>
            <w:r w:rsidRPr="00C402AF">
              <w:t xml:space="preserve"> not medicines given in hospital or purchased over </w:t>
            </w:r>
            <w:r w:rsidRPr="00C402AF">
              <w:lastRenderedPageBreak/>
              <w:t xml:space="preserve">the counter. </w:t>
            </w:r>
            <w:r w:rsidR="002E5A0A">
              <w:t>T</w:t>
            </w:r>
            <w:r w:rsidRPr="00C402AF">
              <w:t>he NSAID dispensing may not necessarily be related to gout symptoms.</w:t>
            </w:r>
          </w:p>
        </w:tc>
      </w:tr>
      <w:tr w:rsidR="00B64035" w:rsidRPr="00C402AF" w14:paraId="15612517" w14:textId="77777777">
        <w:trPr>
          <w:trHeight w:val="327"/>
        </w:trPr>
        <w:tc>
          <w:tcPr>
            <w:tcW w:w="1951" w:type="dxa"/>
          </w:tcPr>
          <w:p w14:paraId="65A4D97E" w14:textId="71C940AD" w:rsidR="00B64035" w:rsidRPr="00C402AF" w:rsidRDefault="00B64035" w:rsidP="00C0381B">
            <w:pPr>
              <w:pStyle w:val="TabletextHQSC"/>
            </w:pPr>
            <w:r w:rsidRPr="00C402AF">
              <w:lastRenderedPageBreak/>
              <w:t>Rationale</w:t>
            </w:r>
          </w:p>
        </w:tc>
        <w:tc>
          <w:tcPr>
            <w:tcW w:w="7371" w:type="dxa"/>
            <w:vAlign w:val="bottom"/>
          </w:tcPr>
          <w:p w14:paraId="003892B7" w14:textId="4F607017" w:rsidR="00B64035" w:rsidRPr="00C402AF" w:rsidRDefault="006535A0" w:rsidP="00C0381B">
            <w:pPr>
              <w:pStyle w:val="TabletextHQSC"/>
            </w:pPr>
            <w:r w:rsidRPr="00C402AF">
              <w:t xml:space="preserve">Variation in NSAID dispensing patterns, particularly where not accompanied by </w:t>
            </w:r>
            <w:r w:rsidR="002E5A0A">
              <w:t>ULT</w:t>
            </w:r>
            <w:r w:rsidRPr="00C402AF">
              <w:t xml:space="preserve"> use, may highlight gaps in preventive care. This indicator provides insight into potential over-reliance on acute treatment and supports identification of opportunities to strengthen long-term gout management.</w:t>
            </w:r>
          </w:p>
        </w:tc>
      </w:tr>
      <w:tr w:rsidR="0093767A" w:rsidRPr="00C402AF" w14:paraId="4E580D89" w14:textId="77777777">
        <w:trPr>
          <w:trHeight w:val="327"/>
        </w:trPr>
        <w:tc>
          <w:tcPr>
            <w:tcW w:w="1951" w:type="dxa"/>
          </w:tcPr>
          <w:p w14:paraId="48504BD0" w14:textId="77777777" w:rsidR="0093767A" w:rsidRPr="00C402AF" w:rsidRDefault="0093767A" w:rsidP="00C0381B">
            <w:pPr>
              <w:pStyle w:val="TabletextHQSC"/>
            </w:pPr>
            <w:r w:rsidRPr="00C402AF">
              <w:t>Commentary</w:t>
            </w:r>
          </w:p>
        </w:tc>
        <w:tc>
          <w:tcPr>
            <w:tcW w:w="7371" w:type="dxa"/>
            <w:vAlign w:val="bottom"/>
          </w:tcPr>
          <w:p w14:paraId="3B20FE3B" w14:textId="747F3BEE" w:rsidR="001B75C1" w:rsidRPr="00C402AF" w:rsidRDefault="00C0381B" w:rsidP="00C0381B">
            <w:pPr>
              <w:pStyle w:val="TabletextHQSC"/>
            </w:pPr>
            <w:r w:rsidRPr="00C402AF">
              <w:t>Description</w:t>
            </w:r>
            <w:r w:rsidR="001B75C1" w:rsidRPr="00C402AF">
              <w:t>:</w:t>
            </w:r>
          </w:p>
          <w:p w14:paraId="4A2D72B5" w14:textId="77777777" w:rsidR="001B75C1" w:rsidRPr="00C402AF" w:rsidRDefault="001B75C1" w:rsidP="00C0381B">
            <w:pPr>
              <w:pStyle w:val="TabletextHQSC"/>
            </w:pPr>
          </w:p>
          <w:p w14:paraId="040B556C" w14:textId="41B9026A" w:rsidR="00C0381B" w:rsidRPr="00C402AF" w:rsidRDefault="00C0381B" w:rsidP="00C0381B">
            <w:pPr>
              <w:pStyle w:val="TabletextHQSC"/>
            </w:pPr>
            <w:r w:rsidRPr="00C402AF">
              <w:t xml:space="preserve">Data </w:t>
            </w:r>
            <w:r w:rsidR="00F676B5">
              <w:t>was</w:t>
            </w:r>
            <w:r w:rsidR="00F676B5" w:rsidRPr="00C402AF">
              <w:t xml:space="preserve"> </w:t>
            </w:r>
            <w:r w:rsidRPr="00C402AF">
              <w:t>presented by age group, gender, ethnic group and year.</w:t>
            </w:r>
          </w:p>
          <w:p w14:paraId="61CFD119" w14:textId="77777777" w:rsidR="00C0381B" w:rsidRPr="00C402AF" w:rsidRDefault="00C0381B" w:rsidP="00C0381B">
            <w:pPr>
              <w:pStyle w:val="TabletextHQSC"/>
            </w:pPr>
          </w:p>
          <w:p w14:paraId="119285A4" w14:textId="719E7119" w:rsidR="00C0381B" w:rsidRPr="00C402AF" w:rsidRDefault="00C0381B" w:rsidP="00C0381B">
            <w:pPr>
              <w:pStyle w:val="TabletextHQSC"/>
            </w:pPr>
            <w:r w:rsidRPr="00C402AF">
              <w:t xml:space="preserve">This indicator shows the number and percent of people </w:t>
            </w:r>
            <w:r w:rsidR="002F2893" w:rsidRPr="00C402AF">
              <w:t xml:space="preserve">estimated </w:t>
            </w:r>
            <w:r w:rsidRPr="00C402AF">
              <w:t xml:space="preserve">with gout who were dispensed a funded NSAID in a community pharmacy and were not dispensed </w:t>
            </w:r>
            <w:r w:rsidR="00F676B5">
              <w:t>ULT</w:t>
            </w:r>
            <w:r w:rsidRPr="00C402AF">
              <w:t xml:space="preserve"> in the same year.</w:t>
            </w:r>
          </w:p>
          <w:p w14:paraId="71FD0902" w14:textId="77777777" w:rsidR="001B75C1" w:rsidRPr="00C402AF" w:rsidRDefault="001B75C1" w:rsidP="00C0381B">
            <w:pPr>
              <w:pStyle w:val="TabletextHQSC"/>
              <w:rPr>
                <w:bCs/>
              </w:rPr>
            </w:pPr>
          </w:p>
          <w:p w14:paraId="4B79576F" w14:textId="7BC5E55D" w:rsidR="0093767A" w:rsidRPr="00C402AF" w:rsidRDefault="0093767A" w:rsidP="00C0381B">
            <w:pPr>
              <w:pStyle w:val="TabletextHQSC"/>
              <w:rPr>
                <w:bCs/>
              </w:rPr>
            </w:pPr>
            <w:r w:rsidRPr="00C402AF">
              <w:rPr>
                <w:bCs/>
              </w:rPr>
              <w:t xml:space="preserve">Why is this important? </w:t>
            </w:r>
          </w:p>
          <w:p w14:paraId="091C143F" w14:textId="6AC53967" w:rsidR="0093767A" w:rsidRPr="00C402AF" w:rsidRDefault="0093767A" w:rsidP="00C0381B">
            <w:pPr>
              <w:pStyle w:val="TabletextHQSC"/>
            </w:pPr>
            <w:r w:rsidRPr="00C402AF">
              <w:t xml:space="preserve">While it is not known whether it was gout that led to an NSAID being dispensed, high rates of NSAID dispensing without </w:t>
            </w:r>
            <w:r w:rsidR="00F676B5">
              <w:t>ULT</w:t>
            </w:r>
            <w:r w:rsidRPr="00C402AF">
              <w:t xml:space="preserve"> use may reflect people using NSAIDs to manage their acute gout flares. International best practice indicates that people experiencing frequent gout flares (two or more per year) should be offered long-term </w:t>
            </w:r>
            <w:r w:rsidR="00F676B5">
              <w:t>ULT</w:t>
            </w:r>
            <w:r w:rsidRPr="00C402AF">
              <w:t xml:space="preserve">. Large variation may reflect variable clinical practice. </w:t>
            </w:r>
          </w:p>
          <w:p w14:paraId="15415CFA" w14:textId="77777777" w:rsidR="0093767A" w:rsidRPr="00C402AF" w:rsidRDefault="0093767A" w:rsidP="00C0381B">
            <w:pPr>
              <w:pStyle w:val="TabletextHQSC"/>
            </w:pPr>
            <w:r w:rsidRPr="00C402AF">
              <w:t>This indicator does not capture those who use over-the-counter medicine.</w:t>
            </w:r>
          </w:p>
          <w:p w14:paraId="07989D1E" w14:textId="77777777" w:rsidR="0093767A" w:rsidRPr="00C402AF" w:rsidRDefault="0093767A" w:rsidP="00C0381B">
            <w:pPr>
              <w:pStyle w:val="TabletextHQSC"/>
              <w:rPr>
                <w:bCs/>
              </w:rPr>
            </w:pPr>
            <w:r w:rsidRPr="00C402AF">
              <w:rPr>
                <w:bCs/>
              </w:rPr>
              <w:t>What questions does this prompt?</w:t>
            </w:r>
          </w:p>
          <w:p w14:paraId="65A8E317" w14:textId="2B382525" w:rsidR="00BB726E" w:rsidRPr="00C402AF" w:rsidRDefault="00BB726E" w:rsidP="00BB726E">
            <w:pPr>
              <w:pStyle w:val="BulletsHQSC"/>
            </w:pPr>
            <w:r w:rsidRPr="00C402AF">
              <w:t xml:space="preserve">Does the pattern of NSAID dispensing without </w:t>
            </w:r>
            <w:r w:rsidR="003900C4">
              <w:t>ULT</w:t>
            </w:r>
            <w:r w:rsidRPr="00C402AF">
              <w:t xml:space="preserve"> suggest missed opportunities for long-term gout management?</w:t>
            </w:r>
          </w:p>
          <w:p w14:paraId="45544E99" w14:textId="23F5D8AE" w:rsidR="0093767A" w:rsidRPr="00C402AF" w:rsidRDefault="0093767A" w:rsidP="00C0381B">
            <w:pPr>
              <w:pStyle w:val="BulletsHQSC"/>
            </w:pPr>
            <w:r w:rsidRPr="00C402AF">
              <w:t xml:space="preserve">Should some of those receiving NSAIDs for acute gout flares be treated with </w:t>
            </w:r>
            <w:r w:rsidR="003900C4">
              <w:t>ULT</w:t>
            </w:r>
            <w:r w:rsidRPr="00C402AF">
              <w:t>?</w:t>
            </w:r>
          </w:p>
        </w:tc>
      </w:tr>
    </w:tbl>
    <w:p w14:paraId="7FCE1B82" w14:textId="43077AEC" w:rsidR="00C0381B" w:rsidRPr="00C402AF" w:rsidRDefault="00C0381B" w:rsidP="00A57432">
      <w:pPr>
        <w:pStyle w:val="Heading3HQSC"/>
        <w:numPr>
          <w:ilvl w:val="0"/>
          <w:numId w:val="13"/>
        </w:numPr>
      </w:pPr>
      <w:bookmarkStart w:id="14" w:name="_Toc237508334"/>
      <w:r w:rsidRPr="00C402AF">
        <w:t xml:space="preserve">People with </w:t>
      </w:r>
      <w:r w:rsidR="002F2893" w:rsidRPr="00C402AF">
        <w:t xml:space="preserve">estimated </w:t>
      </w:r>
      <w:r w:rsidRPr="00C402AF">
        <w:t xml:space="preserve">gout dispensed any of colchicine, prednisone or funded NSAIDs in a year, </w:t>
      </w:r>
      <w:r w:rsidR="00241EEA" w:rsidRPr="00C402AF">
        <w:t>percent</w:t>
      </w:r>
      <w:bookmarkEnd w:id="14"/>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10686DA5" w14:textId="77777777">
        <w:trPr>
          <w:trHeight w:val="327"/>
        </w:trPr>
        <w:tc>
          <w:tcPr>
            <w:tcW w:w="1951" w:type="dxa"/>
          </w:tcPr>
          <w:p w14:paraId="2400B1DA" w14:textId="0044B180" w:rsidR="0093767A" w:rsidRPr="00C402AF" w:rsidRDefault="0093767A" w:rsidP="006B1AE7">
            <w:pPr>
              <w:pStyle w:val="TabletextHQSC"/>
              <w:rPr>
                <w:color w:val="808080"/>
              </w:rPr>
            </w:pPr>
            <w:r w:rsidRPr="00C402AF">
              <w:t>Indicator 6</w:t>
            </w:r>
          </w:p>
        </w:tc>
        <w:tc>
          <w:tcPr>
            <w:tcW w:w="7371" w:type="dxa"/>
            <w:vAlign w:val="bottom"/>
          </w:tcPr>
          <w:p w14:paraId="49B3C3B9" w14:textId="11037BB7" w:rsidR="0093767A" w:rsidRPr="00C402AF" w:rsidRDefault="0093767A" w:rsidP="006B1AE7">
            <w:pPr>
              <w:pStyle w:val="TabletextHQSC"/>
              <w:rPr>
                <w:color w:val="000000"/>
              </w:rPr>
            </w:pPr>
            <w:r w:rsidRPr="00C402AF">
              <w:rPr>
                <w:color w:val="000000"/>
              </w:rPr>
              <w:t xml:space="preserve">People with </w:t>
            </w:r>
            <w:r w:rsidR="002F2893" w:rsidRPr="00C402AF">
              <w:rPr>
                <w:color w:val="000000"/>
              </w:rPr>
              <w:t xml:space="preserve">estimated </w:t>
            </w:r>
            <w:r w:rsidRPr="00C402AF">
              <w:rPr>
                <w:color w:val="000000"/>
              </w:rPr>
              <w:t xml:space="preserve">gout dispensed any of colchicine, prednisone or funded NSAIDs in a year, </w:t>
            </w:r>
            <w:r w:rsidR="00241EEA" w:rsidRPr="00C402AF">
              <w:rPr>
                <w:color w:val="000000"/>
              </w:rPr>
              <w:t>percent</w:t>
            </w:r>
          </w:p>
        </w:tc>
      </w:tr>
      <w:tr w:rsidR="0093767A" w:rsidRPr="00C402AF" w14:paraId="5143B791" w14:textId="77777777">
        <w:trPr>
          <w:trHeight w:val="327"/>
        </w:trPr>
        <w:tc>
          <w:tcPr>
            <w:tcW w:w="1951" w:type="dxa"/>
          </w:tcPr>
          <w:p w14:paraId="114319D4" w14:textId="77777777" w:rsidR="0093767A" w:rsidRPr="00C402AF" w:rsidRDefault="0093767A" w:rsidP="006B1AE7">
            <w:pPr>
              <w:pStyle w:val="TabletextHQSC"/>
            </w:pPr>
            <w:r w:rsidRPr="00C402AF">
              <w:t>Numerator</w:t>
            </w:r>
          </w:p>
        </w:tc>
        <w:tc>
          <w:tcPr>
            <w:tcW w:w="7371" w:type="dxa"/>
            <w:vAlign w:val="bottom"/>
          </w:tcPr>
          <w:p w14:paraId="5642870C" w14:textId="4DADD600" w:rsidR="0093767A" w:rsidRPr="00C402AF" w:rsidRDefault="0093767A" w:rsidP="006B1AE7">
            <w:pPr>
              <w:pStyle w:val="TabletextHQSC"/>
              <w:rPr>
                <w:color w:val="000000"/>
              </w:rPr>
            </w:pPr>
            <w:r w:rsidRPr="00C402AF">
              <w:rPr>
                <w:color w:val="000000"/>
              </w:rPr>
              <w:t xml:space="preserve">People with </w:t>
            </w:r>
            <w:r w:rsidR="002F2893" w:rsidRPr="00C402AF">
              <w:rPr>
                <w:color w:val="000000"/>
              </w:rPr>
              <w:t xml:space="preserve">estimated </w:t>
            </w:r>
            <w:r w:rsidRPr="00C402AF">
              <w:rPr>
                <w:color w:val="000000"/>
              </w:rPr>
              <w:t xml:space="preserve">gout, aged 20 years and over dispensed </w:t>
            </w:r>
            <w:r w:rsidRPr="00C402AF">
              <w:rPr>
                <w:bCs/>
                <w:color w:val="000000"/>
              </w:rPr>
              <w:t>any of colchicine, prednisone or funded NSAIDs in a year</w:t>
            </w:r>
            <w:r w:rsidRPr="00C402AF">
              <w:rPr>
                <w:color w:val="000000"/>
              </w:rPr>
              <w:t>.</w:t>
            </w:r>
          </w:p>
        </w:tc>
      </w:tr>
      <w:tr w:rsidR="00241EEA" w:rsidRPr="00C402AF" w14:paraId="702B00C5" w14:textId="77777777">
        <w:trPr>
          <w:trHeight w:val="327"/>
        </w:trPr>
        <w:tc>
          <w:tcPr>
            <w:tcW w:w="1951" w:type="dxa"/>
          </w:tcPr>
          <w:p w14:paraId="2DE61835" w14:textId="799A7976" w:rsidR="00241EEA" w:rsidRPr="00C402AF" w:rsidRDefault="00241EEA" w:rsidP="006B1AE7">
            <w:pPr>
              <w:pStyle w:val="TabletextHQSC"/>
            </w:pPr>
            <w:r w:rsidRPr="00C402AF">
              <w:t>Denominator</w:t>
            </w:r>
          </w:p>
        </w:tc>
        <w:tc>
          <w:tcPr>
            <w:tcW w:w="7371" w:type="dxa"/>
            <w:vAlign w:val="bottom"/>
          </w:tcPr>
          <w:p w14:paraId="584F2AD5" w14:textId="665A2349" w:rsidR="00241EEA" w:rsidRPr="00C402AF" w:rsidRDefault="00241EEA" w:rsidP="006B1AE7">
            <w:pPr>
              <w:pStyle w:val="TabletextHQSC"/>
              <w:rPr>
                <w:color w:val="000000"/>
              </w:rPr>
            </w:pPr>
            <w:r w:rsidRPr="00C402AF">
              <w:rPr>
                <w:color w:val="000000"/>
              </w:rPr>
              <w:t xml:space="preserve">PHO-enrolled population aged 20 years and over with </w:t>
            </w:r>
            <w:r w:rsidR="002F2893" w:rsidRPr="00C402AF">
              <w:rPr>
                <w:color w:val="000000"/>
              </w:rPr>
              <w:t xml:space="preserve">estimated </w:t>
            </w:r>
            <w:r w:rsidRPr="00C402AF">
              <w:rPr>
                <w:color w:val="000000"/>
              </w:rPr>
              <w:t xml:space="preserve">gout using the </w:t>
            </w:r>
            <w:r w:rsidR="0036468A" w:rsidRPr="00C402AF">
              <w:rPr>
                <w:color w:val="000000"/>
              </w:rPr>
              <w:t xml:space="preserve">adapted </w:t>
            </w:r>
            <w:proofErr w:type="spellStart"/>
            <w:r w:rsidRPr="00C402AF">
              <w:rPr>
                <w:color w:val="000000"/>
              </w:rPr>
              <w:t>HealthTracker</w:t>
            </w:r>
            <w:proofErr w:type="spellEnd"/>
            <w:r w:rsidRPr="00C402AF">
              <w:rPr>
                <w:color w:val="000000"/>
              </w:rPr>
              <w:t xml:space="preserve"> method (numerator indicator 1).</w:t>
            </w:r>
          </w:p>
        </w:tc>
      </w:tr>
      <w:tr w:rsidR="00241EEA" w:rsidRPr="00C402AF" w14:paraId="1C2D2E42" w14:textId="77777777">
        <w:trPr>
          <w:trHeight w:val="327"/>
        </w:trPr>
        <w:tc>
          <w:tcPr>
            <w:tcW w:w="1951" w:type="dxa"/>
          </w:tcPr>
          <w:p w14:paraId="3CC98C23" w14:textId="1A1C242B" w:rsidR="00241EEA" w:rsidRPr="00C402AF" w:rsidRDefault="00241EEA" w:rsidP="006B1AE7">
            <w:pPr>
              <w:pStyle w:val="TabletextHQSC"/>
            </w:pPr>
            <w:r w:rsidRPr="00C402AF">
              <w:t>Data source</w:t>
            </w:r>
          </w:p>
        </w:tc>
        <w:tc>
          <w:tcPr>
            <w:tcW w:w="7371" w:type="dxa"/>
            <w:vAlign w:val="bottom"/>
          </w:tcPr>
          <w:p w14:paraId="1B11FD40" w14:textId="2B0892AC" w:rsidR="00241EEA" w:rsidRPr="00C402AF" w:rsidRDefault="00241EEA" w:rsidP="006B1AE7">
            <w:pPr>
              <w:pStyle w:val="TabletextHQSC"/>
            </w:pPr>
            <w:r w:rsidRPr="00C402AF">
              <w:t xml:space="preserve">NMDS, </w:t>
            </w:r>
            <w:r w:rsidR="002727FB" w:rsidRPr="00C402AF">
              <w:t>pharmaceutical collection</w:t>
            </w:r>
            <w:r w:rsidRPr="00C402AF">
              <w:t xml:space="preserve">, PHO </w:t>
            </w:r>
            <w:r w:rsidR="002727FB" w:rsidRPr="00C402AF">
              <w:t>enrolment collection</w:t>
            </w:r>
            <w:r w:rsidRPr="00C402AF">
              <w:t xml:space="preserve">, </w:t>
            </w:r>
            <w:r w:rsidR="002727FB">
              <w:t>NZCR</w:t>
            </w:r>
            <w:r w:rsidR="00024E72" w:rsidRPr="00C402AF">
              <w:t>, NHI database</w:t>
            </w:r>
            <w:r w:rsidRPr="00C402AF">
              <w:t>.</w:t>
            </w:r>
          </w:p>
        </w:tc>
      </w:tr>
      <w:tr w:rsidR="00241EEA" w:rsidRPr="00C402AF" w14:paraId="1D03AF6F" w14:textId="77777777">
        <w:trPr>
          <w:trHeight w:val="327"/>
        </w:trPr>
        <w:tc>
          <w:tcPr>
            <w:tcW w:w="1951" w:type="dxa"/>
          </w:tcPr>
          <w:p w14:paraId="0C5461B0" w14:textId="20635778" w:rsidR="00241EEA" w:rsidRPr="00C402AF" w:rsidRDefault="00241EEA" w:rsidP="006B1AE7">
            <w:pPr>
              <w:pStyle w:val="TabletextHQSC"/>
            </w:pPr>
            <w:r w:rsidRPr="00C402AF">
              <w:t>Analysis</w:t>
            </w:r>
          </w:p>
        </w:tc>
        <w:tc>
          <w:tcPr>
            <w:tcW w:w="7371" w:type="dxa"/>
            <w:vAlign w:val="bottom"/>
          </w:tcPr>
          <w:p w14:paraId="358B369F" w14:textId="02EF889C" w:rsidR="00241EEA" w:rsidRPr="00C402AF" w:rsidRDefault="00241EEA" w:rsidP="006B1AE7">
            <w:pPr>
              <w:pStyle w:val="TabletextHQSC"/>
            </w:pPr>
            <w:r w:rsidRPr="00C402AF">
              <w:t>For single map analysis: By year (2019‒</w:t>
            </w:r>
            <w:r w:rsidR="002727FB">
              <w:t>20</w:t>
            </w:r>
            <w:r w:rsidRPr="00C402AF">
              <w:t xml:space="preserve">24), age group (20‒44 years, 45‒64 years, 65 years and over), gender (female and male), ethnic group (Māori, Pacific peoples, non-Māori non-Pacific) and Health </w:t>
            </w:r>
            <w:r w:rsidR="002727FB">
              <w:t>NZ</w:t>
            </w:r>
            <w:r w:rsidRPr="00C402AF">
              <w:t xml:space="preserve"> district of domicile. </w:t>
            </w:r>
          </w:p>
          <w:p w14:paraId="1C3449E6" w14:textId="3A587E06" w:rsidR="00241EEA" w:rsidRPr="00C402AF" w:rsidRDefault="00241EEA" w:rsidP="006B1AE7">
            <w:pPr>
              <w:pStyle w:val="TabletextHQSC"/>
            </w:pPr>
            <w:r w:rsidRPr="00C402AF">
              <w:lastRenderedPageBreak/>
              <w:t>For PHO analysis: By year (2024), age group</w:t>
            </w:r>
            <w:r w:rsidR="002727FB">
              <w:t xml:space="preserve"> (in years)</w:t>
            </w:r>
            <w:r w:rsidRPr="00C402AF">
              <w:t>, gender, ethnic group, PHO most recently enrolled with (for the relevant year), PHO group (small, medium, medium</w:t>
            </w:r>
            <w:r w:rsidR="002727FB">
              <w:t>-</w:t>
            </w:r>
            <w:r w:rsidRPr="00C402AF">
              <w:t>large and large).</w:t>
            </w:r>
          </w:p>
        </w:tc>
      </w:tr>
      <w:tr w:rsidR="0093767A" w:rsidRPr="00C402AF" w14:paraId="24FB6A23" w14:textId="77777777">
        <w:trPr>
          <w:trHeight w:val="327"/>
        </w:trPr>
        <w:tc>
          <w:tcPr>
            <w:tcW w:w="1951" w:type="dxa"/>
          </w:tcPr>
          <w:p w14:paraId="316DF59D" w14:textId="77777777" w:rsidR="0093767A" w:rsidRPr="00C402AF" w:rsidRDefault="0093767A" w:rsidP="006B1AE7">
            <w:pPr>
              <w:pStyle w:val="TabletextHQSC"/>
            </w:pPr>
            <w:r w:rsidRPr="00C402AF">
              <w:lastRenderedPageBreak/>
              <w:t>Medicines</w:t>
            </w:r>
          </w:p>
        </w:tc>
        <w:tc>
          <w:tcPr>
            <w:tcW w:w="7371" w:type="dxa"/>
            <w:vAlign w:val="bottom"/>
          </w:tcPr>
          <w:p w14:paraId="62745C07" w14:textId="6FE76C3E" w:rsidR="0093767A" w:rsidRPr="00C402AF" w:rsidRDefault="004E70AC" w:rsidP="006B1AE7">
            <w:pPr>
              <w:pStyle w:val="TabletextHQSC"/>
            </w:pPr>
            <w:r w:rsidRPr="00C402AF">
              <w:t xml:space="preserve">1341 </w:t>
            </w:r>
            <w:r w:rsidR="00081BDF">
              <w:t>c</w:t>
            </w:r>
            <w:r w:rsidR="0093767A" w:rsidRPr="00C402AF">
              <w:t xml:space="preserve">olchicine, </w:t>
            </w:r>
            <w:r w:rsidRPr="00C402AF">
              <w:t xml:space="preserve">2038 </w:t>
            </w:r>
            <w:r w:rsidR="0093767A" w:rsidRPr="00C402AF">
              <w:t xml:space="preserve">prednisone, </w:t>
            </w:r>
            <w:r w:rsidR="009B1D5C" w:rsidRPr="00C402AF">
              <w:t xml:space="preserve">1401 diclofenac sodium, 2798 ibuprofen, 1697 ketoprofen, 1769 mefenamic acid, </w:t>
            </w:r>
            <w:r w:rsidR="003A5B9E" w:rsidRPr="00C402AF">
              <w:t xml:space="preserve">3912 </w:t>
            </w:r>
            <w:r w:rsidR="009B1D5C" w:rsidRPr="00C402AF">
              <w:t>meloxicam, 2782 naproxen, 2536 tenoxicam, 4081 celecoxib and 2193 sulindac.</w:t>
            </w:r>
          </w:p>
        </w:tc>
      </w:tr>
      <w:tr w:rsidR="0093767A" w:rsidRPr="00C402AF" w14:paraId="7BB7B7CA" w14:textId="77777777">
        <w:trPr>
          <w:trHeight w:val="327"/>
        </w:trPr>
        <w:tc>
          <w:tcPr>
            <w:tcW w:w="1951" w:type="dxa"/>
          </w:tcPr>
          <w:p w14:paraId="5C238247" w14:textId="77777777" w:rsidR="0093767A" w:rsidRPr="00C402AF" w:rsidRDefault="0093767A" w:rsidP="006B1AE7">
            <w:pPr>
              <w:pStyle w:val="TabletextHQSC"/>
            </w:pPr>
            <w:r w:rsidRPr="00C402AF">
              <w:t>Comment</w:t>
            </w:r>
          </w:p>
        </w:tc>
        <w:tc>
          <w:tcPr>
            <w:tcW w:w="7371" w:type="dxa"/>
            <w:vAlign w:val="bottom"/>
          </w:tcPr>
          <w:p w14:paraId="5949B528" w14:textId="0C1DA5C9" w:rsidR="0093767A" w:rsidRPr="00C402AF" w:rsidRDefault="0093767A" w:rsidP="006B1AE7">
            <w:pPr>
              <w:pStyle w:val="TabletextHQSC"/>
            </w:pPr>
            <w:r w:rsidRPr="00C402AF">
              <w:t xml:space="preserve">This indicator only includes colchicine, prednisone or NSAIDs dispensed at community pharmacies, </w:t>
            </w:r>
            <w:r w:rsidR="00081BDF">
              <w:t>that is</w:t>
            </w:r>
            <w:r w:rsidRPr="00C402AF">
              <w:t xml:space="preserve">, medicines given in hospital or purchased over the counter are not included. </w:t>
            </w:r>
            <w:r w:rsidR="00081BDF">
              <w:t>T</w:t>
            </w:r>
            <w:r w:rsidRPr="00C402AF">
              <w:t>he NSAID dispensing may not necessarily be related to gout symptoms.</w:t>
            </w:r>
          </w:p>
        </w:tc>
      </w:tr>
      <w:tr w:rsidR="005D3E4C" w:rsidRPr="00C402AF" w14:paraId="67F851ED" w14:textId="77777777">
        <w:trPr>
          <w:trHeight w:val="327"/>
        </w:trPr>
        <w:tc>
          <w:tcPr>
            <w:tcW w:w="1951" w:type="dxa"/>
          </w:tcPr>
          <w:p w14:paraId="64E0F20A" w14:textId="6FC553A9" w:rsidR="005D3E4C" w:rsidRPr="00C402AF" w:rsidRDefault="00024E72" w:rsidP="006B1AE7">
            <w:pPr>
              <w:pStyle w:val="TabletextHQSC"/>
            </w:pPr>
            <w:r w:rsidRPr="00C402AF">
              <w:t xml:space="preserve">Rationale </w:t>
            </w:r>
          </w:p>
        </w:tc>
        <w:tc>
          <w:tcPr>
            <w:tcW w:w="7371" w:type="dxa"/>
            <w:vAlign w:val="bottom"/>
          </w:tcPr>
          <w:p w14:paraId="24B251C9" w14:textId="0649624E" w:rsidR="005D3E4C" w:rsidRPr="00C402AF" w:rsidRDefault="005D3E4C" w:rsidP="001874D9">
            <w:pPr>
              <w:pStyle w:val="TabletextHQSC"/>
            </w:pPr>
            <w:r w:rsidRPr="00C402AF">
              <w:t>Acute gout flares are treated with NSAIDs, colchicine or oral corticosteroids such as prednisone.</w:t>
            </w:r>
            <w:r w:rsidR="00024E72" w:rsidRPr="00C402AF">
              <w:t xml:space="preserve"> Understanding variation in dispensing of medicines used to treat acute flares provides insight into patterns of care, including potential reliance on short-term treatment rather than preventive management</w:t>
            </w:r>
            <w:r w:rsidR="001874D9">
              <w:t>.</w:t>
            </w:r>
          </w:p>
        </w:tc>
      </w:tr>
      <w:tr w:rsidR="0093767A" w:rsidRPr="00C402AF" w14:paraId="1C45D318" w14:textId="77777777">
        <w:trPr>
          <w:trHeight w:val="327"/>
        </w:trPr>
        <w:tc>
          <w:tcPr>
            <w:tcW w:w="1951" w:type="dxa"/>
          </w:tcPr>
          <w:p w14:paraId="5212AEAD" w14:textId="77777777" w:rsidR="0093767A" w:rsidRPr="00C402AF" w:rsidRDefault="0093767A" w:rsidP="006B1AE7">
            <w:pPr>
              <w:pStyle w:val="TabletextHQSC"/>
            </w:pPr>
            <w:r w:rsidRPr="00C402AF">
              <w:t>Commentary</w:t>
            </w:r>
          </w:p>
        </w:tc>
        <w:tc>
          <w:tcPr>
            <w:tcW w:w="7371" w:type="dxa"/>
            <w:vAlign w:val="bottom"/>
          </w:tcPr>
          <w:p w14:paraId="1CD2C877" w14:textId="595EC6AC" w:rsidR="00241EEA" w:rsidRPr="00C402AF" w:rsidRDefault="00241EEA" w:rsidP="006B1AE7">
            <w:pPr>
              <w:pStyle w:val="TabletextHQSC"/>
              <w:rPr>
                <w:bCs/>
              </w:rPr>
            </w:pPr>
            <w:r w:rsidRPr="00C402AF">
              <w:rPr>
                <w:bCs/>
              </w:rPr>
              <w:t>Description</w:t>
            </w:r>
          </w:p>
          <w:p w14:paraId="0D097A03" w14:textId="3F9A8FB8" w:rsidR="00871E47" w:rsidRPr="00C402AF" w:rsidRDefault="00871E47" w:rsidP="006B1AE7">
            <w:pPr>
              <w:pStyle w:val="TabletextHQSC"/>
              <w:rPr>
                <w:bCs/>
              </w:rPr>
            </w:pPr>
            <w:r w:rsidRPr="00C402AF">
              <w:t>Data are presented by year, ethnicity, age and gender.</w:t>
            </w:r>
          </w:p>
          <w:p w14:paraId="15F0E45B" w14:textId="54BCCDF5" w:rsidR="00241EEA" w:rsidRPr="00C402AF" w:rsidRDefault="006B1AE7" w:rsidP="006B1AE7">
            <w:pPr>
              <w:pStyle w:val="TabletextHQSC"/>
            </w:pPr>
            <w:r w:rsidRPr="00C402AF">
              <w:t xml:space="preserve">This indicator shows the number and percent of people </w:t>
            </w:r>
            <w:r w:rsidR="002F2893" w:rsidRPr="00C402AF">
              <w:t xml:space="preserve">estimated </w:t>
            </w:r>
            <w:r w:rsidRPr="00C402AF">
              <w:t>with gout who were dispensed any of colchicine, prednisone or funded NSAIDs in a year.</w:t>
            </w:r>
          </w:p>
          <w:p w14:paraId="1E07179B" w14:textId="77777777" w:rsidR="006B1AE7" w:rsidRPr="00C402AF" w:rsidRDefault="006B1AE7" w:rsidP="006B1AE7">
            <w:pPr>
              <w:pStyle w:val="TabletextHQSC"/>
              <w:rPr>
                <w:bCs/>
              </w:rPr>
            </w:pPr>
          </w:p>
          <w:p w14:paraId="31C40B13" w14:textId="49B41692" w:rsidR="0093767A" w:rsidRPr="00C402AF" w:rsidRDefault="0093767A" w:rsidP="006B1AE7">
            <w:pPr>
              <w:pStyle w:val="TabletextHQSC"/>
              <w:rPr>
                <w:bCs/>
              </w:rPr>
            </w:pPr>
            <w:r w:rsidRPr="00C402AF">
              <w:rPr>
                <w:bCs/>
              </w:rPr>
              <w:t xml:space="preserve">Why is this important? </w:t>
            </w:r>
          </w:p>
          <w:p w14:paraId="253E5303" w14:textId="1C839AAA" w:rsidR="00CA26BE" w:rsidRPr="00C402AF" w:rsidRDefault="0093767A" w:rsidP="00CA26BE">
            <w:pPr>
              <w:pStyle w:val="TabletextHQSC"/>
            </w:pPr>
            <w:r w:rsidRPr="00C402AF">
              <w:t xml:space="preserve">Acute gout flares are treated with NSAIDs, colchicine or oral corticosteroids such as prednisone. Gout management guidelines state that people experiencing frequent (two or more) acute gout flares per year should be offered long-term </w:t>
            </w:r>
            <w:r w:rsidR="00081BDF">
              <w:t>ULT</w:t>
            </w:r>
            <w:r w:rsidRPr="00C402AF">
              <w:t>. Although NSAIDs are effective at treating acute gout flares, these medicines have important side effects including kidney injury and peptic ulcer disease.</w:t>
            </w:r>
            <w:r w:rsidR="00CA26BE" w:rsidRPr="00C402AF">
              <w:t xml:space="preserve"> Prednisone can also worsen glycaemic control. These adverse effects are particularly important in people with gout, who commonly have comorbidities such as chronic kidney disease, cardiovascular disease, diabetes and metabolic syndrome.</w:t>
            </w:r>
          </w:p>
          <w:p w14:paraId="48E9A4C7" w14:textId="63036CCF" w:rsidR="0093767A" w:rsidRPr="00C402AF" w:rsidRDefault="0093767A" w:rsidP="006B1AE7">
            <w:pPr>
              <w:pStyle w:val="TabletextHQSC"/>
            </w:pPr>
          </w:p>
          <w:p w14:paraId="46634E12" w14:textId="77777777" w:rsidR="0093767A" w:rsidRPr="00C402AF" w:rsidRDefault="0093767A" w:rsidP="006B1AE7">
            <w:pPr>
              <w:pStyle w:val="TabletextHQSC"/>
            </w:pPr>
            <w:r w:rsidRPr="00C402AF">
              <w:t>This indicator does not capture over-the-counter NSAID use and does not assess the indication for NSAID use.</w:t>
            </w:r>
          </w:p>
          <w:p w14:paraId="6AB6D1F7" w14:textId="77777777" w:rsidR="0093767A" w:rsidRPr="00C402AF" w:rsidRDefault="0093767A" w:rsidP="006B1AE7">
            <w:pPr>
              <w:pStyle w:val="TabletextHQSC"/>
              <w:rPr>
                <w:bCs/>
              </w:rPr>
            </w:pPr>
            <w:r w:rsidRPr="00C402AF">
              <w:rPr>
                <w:bCs/>
              </w:rPr>
              <w:t>What questions does this prompt?</w:t>
            </w:r>
          </w:p>
          <w:p w14:paraId="02A1F13D" w14:textId="7FD13A6E" w:rsidR="0093767A" w:rsidRPr="00C402AF" w:rsidRDefault="0093767A" w:rsidP="006B1AE7">
            <w:pPr>
              <w:pStyle w:val="BulletsHQSC"/>
            </w:pPr>
            <w:r w:rsidRPr="00C402AF">
              <w:t xml:space="preserve">Should some of those receiving colchicine, prednisone or NSAIDs for gout flares be treated with long-term </w:t>
            </w:r>
            <w:r w:rsidR="00081BDF">
              <w:t>ULT</w:t>
            </w:r>
            <w:r w:rsidRPr="00C402AF">
              <w:t>?</w:t>
            </w:r>
          </w:p>
          <w:p w14:paraId="19B051FB" w14:textId="18BB8387" w:rsidR="0093767A" w:rsidRPr="00C402AF" w:rsidRDefault="0093767A" w:rsidP="006B1AE7">
            <w:pPr>
              <w:pStyle w:val="BulletsHQSC"/>
            </w:pPr>
            <w:r w:rsidRPr="00C402AF">
              <w:t xml:space="preserve">Would providing long-term </w:t>
            </w:r>
            <w:r w:rsidR="00081BDF">
              <w:t>ULT</w:t>
            </w:r>
            <w:r w:rsidRPr="00C402AF">
              <w:t xml:space="preserve"> offer a better risk:</w:t>
            </w:r>
            <w:r w:rsidR="00B354C8" w:rsidRPr="00C402AF">
              <w:t xml:space="preserve"> </w:t>
            </w:r>
            <w:r w:rsidRPr="00C402AF">
              <w:t>benefit ratio?</w:t>
            </w:r>
          </w:p>
        </w:tc>
      </w:tr>
    </w:tbl>
    <w:p w14:paraId="7CAD59C5" w14:textId="6A362171" w:rsidR="00422D63" w:rsidRPr="00C402AF" w:rsidRDefault="00422D63" w:rsidP="00A57432">
      <w:pPr>
        <w:pStyle w:val="Heading3HQSC"/>
        <w:numPr>
          <w:ilvl w:val="0"/>
          <w:numId w:val="13"/>
        </w:numPr>
      </w:pPr>
      <w:bookmarkStart w:id="15" w:name="_Toc237508335"/>
      <w:r w:rsidRPr="00C402AF">
        <w:t xml:space="preserve">People with </w:t>
      </w:r>
      <w:r w:rsidR="00E11E87" w:rsidRPr="00C402AF">
        <w:t xml:space="preserve">estimated </w:t>
      </w:r>
      <w:r w:rsidRPr="00C402AF">
        <w:t>gout dispensed any of colchicine, prednisone or funded NSAIDs but not urate-lowering therapy in a year, percent</w:t>
      </w:r>
      <w:bookmarkEnd w:id="15"/>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0267EE75" w14:textId="77777777">
        <w:trPr>
          <w:trHeight w:val="327"/>
        </w:trPr>
        <w:tc>
          <w:tcPr>
            <w:tcW w:w="1951" w:type="dxa"/>
          </w:tcPr>
          <w:p w14:paraId="09D00098" w14:textId="1777BF85" w:rsidR="0093767A" w:rsidRPr="00C402AF" w:rsidRDefault="0093767A" w:rsidP="00210F0E">
            <w:pPr>
              <w:pStyle w:val="TabletextHQSC"/>
              <w:rPr>
                <w:color w:val="808080"/>
              </w:rPr>
            </w:pPr>
            <w:r w:rsidRPr="00C402AF">
              <w:t>Indicator 7</w:t>
            </w:r>
          </w:p>
        </w:tc>
        <w:tc>
          <w:tcPr>
            <w:tcW w:w="7371" w:type="dxa"/>
            <w:vAlign w:val="bottom"/>
          </w:tcPr>
          <w:p w14:paraId="0BB38E54" w14:textId="39ADEC67" w:rsidR="0093767A" w:rsidRPr="00C402AF" w:rsidRDefault="0093767A" w:rsidP="00210F0E">
            <w:pPr>
              <w:pStyle w:val="TabletextHQSC"/>
              <w:rPr>
                <w:color w:val="000000"/>
              </w:rPr>
            </w:pPr>
            <w:r w:rsidRPr="00C402AF">
              <w:rPr>
                <w:color w:val="000000"/>
              </w:rPr>
              <w:t xml:space="preserve">People with </w:t>
            </w:r>
            <w:r w:rsidR="00E11E87" w:rsidRPr="00C402AF">
              <w:rPr>
                <w:color w:val="000000"/>
              </w:rPr>
              <w:t xml:space="preserve">estimated </w:t>
            </w:r>
            <w:r w:rsidRPr="00C402AF">
              <w:rPr>
                <w:color w:val="000000"/>
              </w:rPr>
              <w:t>gout dispensed any of colchicine, prednisone or funded NSAIDs but not urate-lowering therapy in a year,</w:t>
            </w:r>
            <w:r w:rsidR="00422D63" w:rsidRPr="00C402AF">
              <w:rPr>
                <w:color w:val="000000"/>
              </w:rPr>
              <w:t xml:space="preserve"> percent</w:t>
            </w:r>
          </w:p>
        </w:tc>
      </w:tr>
      <w:tr w:rsidR="0093767A" w:rsidRPr="00C402AF" w14:paraId="0C1599B4" w14:textId="77777777">
        <w:trPr>
          <w:trHeight w:val="327"/>
        </w:trPr>
        <w:tc>
          <w:tcPr>
            <w:tcW w:w="1951" w:type="dxa"/>
          </w:tcPr>
          <w:p w14:paraId="6833ABFC" w14:textId="77777777" w:rsidR="0093767A" w:rsidRPr="00C402AF" w:rsidRDefault="0093767A" w:rsidP="00210F0E">
            <w:pPr>
              <w:pStyle w:val="TabletextHQSC"/>
            </w:pPr>
            <w:r w:rsidRPr="00C402AF">
              <w:t>Numerator</w:t>
            </w:r>
          </w:p>
        </w:tc>
        <w:tc>
          <w:tcPr>
            <w:tcW w:w="7371" w:type="dxa"/>
            <w:vAlign w:val="bottom"/>
          </w:tcPr>
          <w:p w14:paraId="2159C635" w14:textId="67FB1EDD" w:rsidR="0093767A" w:rsidRPr="00C402AF" w:rsidRDefault="0093767A" w:rsidP="00210F0E">
            <w:pPr>
              <w:pStyle w:val="TabletextHQSC"/>
              <w:rPr>
                <w:color w:val="000000"/>
              </w:rPr>
            </w:pPr>
            <w:r w:rsidRPr="00C402AF">
              <w:rPr>
                <w:color w:val="000000"/>
              </w:rPr>
              <w:t xml:space="preserve">People with </w:t>
            </w:r>
            <w:r w:rsidR="00E11E87" w:rsidRPr="00C402AF">
              <w:rPr>
                <w:color w:val="000000"/>
              </w:rPr>
              <w:t xml:space="preserve">estimated </w:t>
            </w:r>
            <w:r w:rsidRPr="00C402AF">
              <w:rPr>
                <w:color w:val="000000"/>
              </w:rPr>
              <w:t xml:space="preserve">gout, aged 20 years and over dispensed </w:t>
            </w:r>
            <w:r w:rsidRPr="00C402AF">
              <w:rPr>
                <w:bCs/>
                <w:color w:val="000000"/>
              </w:rPr>
              <w:t>any of colchicine, prednisone or funded NSAIDs i</w:t>
            </w:r>
            <w:r w:rsidRPr="00C402AF">
              <w:rPr>
                <w:color w:val="000000"/>
              </w:rPr>
              <w:t xml:space="preserve">n a year but not dispensed </w:t>
            </w:r>
            <w:r w:rsidRPr="00C402AF">
              <w:rPr>
                <w:color w:val="000000"/>
              </w:rPr>
              <w:lastRenderedPageBreak/>
              <w:t xml:space="preserve">gout-specific </w:t>
            </w:r>
            <w:r w:rsidR="005F5361">
              <w:rPr>
                <w:color w:val="000000"/>
              </w:rPr>
              <w:t>ULT</w:t>
            </w:r>
            <w:r w:rsidRPr="00C402AF">
              <w:rPr>
                <w:color w:val="000000"/>
              </w:rPr>
              <w:t xml:space="preserve"> (allopurinol, febuxostat, benzbromarone) in the same year.</w:t>
            </w:r>
          </w:p>
        </w:tc>
      </w:tr>
      <w:tr w:rsidR="00D4784D" w:rsidRPr="00C402AF" w14:paraId="514893C2" w14:textId="77777777">
        <w:trPr>
          <w:trHeight w:val="327"/>
        </w:trPr>
        <w:tc>
          <w:tcPr>
            <w:tcW w:w="1951" w:type="dxa"/>
          </w:tcPr>
          <w:p w14:paraId="33B63594" w14:textId="79AB808D" w:rsidR="00D4784D" w:rsidRPr="00C402AF" w:rsidRDefault="00D4784D" w:rsidP="00210F0E">
            <w:pPr>
              <w:pStyle w:val="TabletextHQSC"/>
            </w:pPr>
            <w:r w:rsidRPr="00C402AF">
              <w:lastRenderedPageBreak/>
              <w:t>Denominator</w:t>
            </w:r>
          </w:p>
        </w:tc>
        <w:tc>
          <w:tcPr>
            <w:tcW w:w="7371" w:type="dxa"/>
            <w:vAlign w:val="bottom"/>
          </w:tcPr>
          <w:p w14:paraId="5415541C" w14:textId="27DC046A" w:rsidR="00D4784D" w:rsidRPr="00C402AF" w:rsidRDefault="00D4784D" w:rsidP="00210F0E">
            <w:pPr>
              <w:pStyle w:val="TabletextHQSC"/>
              <w:rPr>
                <w:color w:val="000000"/>
              </w:rPr>
            </w:pPr>
            <w:r w:rsidRPr="00C402AF">
              <w:rPr>
                <w:color w:val="000000"/>
              </w:rPr>
              <w:t xml:space="preserve">PHO-enrolled population aged 20 years and over with </w:t>
            </w:r>
            <w:r w:rsidR="00E11E87" w:rsidRPr="00C402AF">
              <w:rPr>
                <w:color w:val="000000"/>
              </w:rPr>
              <w:t xml:space="preserve">estimated </w:t>
            </w:r>
            <w:r w:rsidRPr="00C402AF">
              <w:rPr>
                <w:color w:val="000000"/>
              </w:rPr>
              <w:t>gout using the</w:t>
            </w:r>
            <w:r w:rsidR="0036468A" w:rsidRPr="00C402AF">
              <w:rPr>
                <w:color w:val="000000"/>
              </w:rPr>
              <w:t xml:space="preserve"> adapted</w:t>
            </w:r>
            <w:r w:rsidRPr="00C402AF">
              <w:rPr>
                <w:color w:val="000000"/>
              </w:rPr>
              <w:t xml:space="preserve"> </w:t>
            </w:r>
            <w:proofErr w:type="spellStart"/>
            <w:r w:rsidRPr="00C402AF">
              <w:rPr>
                <w:color w:val="000000"/>
              </w:rPr>
              <w:t>HealthTracker</w:t>
            </w:r>
            <w:proofErr w:type="spellEnd"/>
            <w:r w:rsidRPr="00C402AF">
              <w:rPr>
                <w:color w:val="000000"/>
              </w:rPr>
              <w:t xml:space="preserve"> method (numerator indicator 1).</w:t>
            </w:r>
          </w:p>
        </w:tc>
      </w:tr>
      <w:tr w:rsidR="00504481" w:rsidRPr="00C402AF" w14:paraId="187B0DCD" w14:textId="77777777">
        <w:trPr>
          <w:trHeight w:val="327"/>
        </w:trPr>
        <w:tc>
          <w:tcPr>
            <w:tcW w:w="1951" w:type="dxa"/>
          </w:tcPr>
          <w:p w14:paraId="68594E4B" w14:textId="5FB34BC9" w:rsidR="00504481" w:rsidRPr="00C402AF" w:rsidRDefault="00504481" w:rsidP="00504481">
            <w:pPr>
              <w:pStyle w:val="TabletextHQSC"/>
            </w:pPr>
            <w:r w:rsidRPr="00C402AF">
              <w:t>Data source</w:t>
            </w:r>
          </w:p>
        </w:tc>
        <w:tc>
          <w:tcPr>
            <w:tcW w:w="7371" w:type="dxa"/>
            <w:vAlign w:val="bottom"/>
          </w:tcPr>
          <w:p w14:paraId="451D84C3" w14:textId="3EA22136" w:rsidR="00504481" w:rsidRPr="00C402AF" w:rsidRDefault="00504481" w:rsidP="00504481">
            <w:pPr>
              <w:pStyle w:val="TabletextHQSC"/>
            </w:pPr>
            <w:r w:rsidRPr="00C402AF">
              <w:t xml:space="preserve">NMDS, </w:t>
            </w:r>
            <w:r w:rsidR="005F5361" w:rsidRPr="00C402AF">
              <w:t>pharmaceutical collection</w:t>
            </w:r>
            <w:r w:rsidRPr="00C402AF">
              <w:t xml:space="preserve">, PHO </w:t>
            </w:r>
            <w:r w:rsidR="005F5361" w:rsidRPr="00C402AF">
              <w:t>enrolment collection</w:t>
            </w:r>
            <w:r w:rsidRPr="00C402AF">
              <w:t xml:space="preserve">, </w:t>
            </w:r>
            <w:r w:rsidR="005F5361">
              <w:t>NZCR</w:t>
            </w:r>
            <w:r w:rsidR="00024E72" w:rsidRPr="00C402AF">
              <w:t>, NHI database</w:t>
            </w:r>
            <w:r w:rsidRPr="00C402AF">
              <w:t>.</w:t>
            </w:r>
          </w:p>
        </w:tc>
      </w:tr>
      <w:tr w:rsidR="00504481" w:rsidRPr="00C402AF" w14:paraId="50881043" w14:textId="77777777">
        <w:trPr>
          <w:trHeight w:val="327"/>
        </w:trPr>
        <w:tc>
          <w:tcPr>
            <w:tcW w:w="1951" w:type="dxa"/>
          </w:tcPr>
          <w:p w14:paraId="43CD2699" w14:textId="568036C4" w:rsidR="00504481" w:rsidRPr="00C402AF" w:rsidRDefault="00504481" w:rsidP="00504481">
            <w:pPr>
              <w:pStyle w:val="TabletextHQSC"/>
            </w:pPr>
            <w:r w:rsidRPr="00C402AF">
              <w:t>Analysis</w:t>
            </w:r>
          </w:p>
        </w:tc>
        <w:tc>
          <w:tcPr>
            <w:tcW w:w="7371" w:type="dxa"/>
            <w:vAlign w:val="bottom"/>
          </w:tcPr>
          <w:p w14:paraId="1DB0ACA6" w14:textId="6CE0F220" w:rsidR="00504481" w:rsidRPr="00C402AF" w:rsidRDefault="00504481" w:rsidP="00504481">
            <w:pPr>
              <w:pStyle w:val="TabletextHQSC"/>
            </w:pPr>
            <w:r w:rsidRPr="00C402AF">
              <w:t>For single map analysis: By year (2019‒</w:t>
            </w:r>
            <w:r w:rsidR="005F5361">
              <w:t>20</w:t>
            </w:r>
            <w:r w:rsidRPr="00C402AF">
              <w:t xml:space="preserve">24), age group (20‒44 years, 45‒64 years, 65 years and over), gender (female and male), ethnic group (Māori, Pacific peoples, non-Māori non-Pacific) and Health </w:t>
            </w:r>
            <w:r w:rsidR="005F5361">
              <w:t>NZ</w:t>
            </w:r>
            <w:r w:rsidRPr="00C402AF">
              <w:t xml:space="preserve"> district of domicile. </w:t>
            </w:r>
          </w:p>
          <w:p w14:paraId="304E8D1B" w14:textId="0CB5A9D8" w:rsidR="00504481" w:rsidRPr="00C402AF" w:rsidRDefault="00504481" w:rsidP="00504481">
            <w:pPr>
              <w:pStyle w:val="TabletextHQSC"/>
            </w:pPr>
            <w:r w:rsidRPr="00C402AF">
              <w:t>For PHO analysis: By year (2024), age group, gender, ethnic group, PHO most recently enrolled with (for the relevant year), PHO group (small, medium, medium</w:t>
            </w:r>
            <w:r w:rsidR="005F5361">
              <w:t>-</w:t>
            </w:r>
            <w:r w:rsidRPr="00C402AF">
              <w:t>large and large).</w:t>
            </w:r>
          </w:p>
        </w:tc>
      </w:tr>
      <w:tr w:rsidR="0093767A" w:rsidRPr="00C402AF" w14:paraId="62E8975F" w14:textId="77777777">
        <w:trPr>
          <w:trHeight w:val="327"/>
        </w:trPr>
        <w:tc>
          <w:tcPr>
            <w:tcW w:w="1951" w:type="dxa"/>
          </w:tcPr>
          <w:p w14:paraId="0EE4B0CF" w14:textId="77777777" w:rsidR="0093767A" w:rsidRPr="00C402AF" w:rsidRDefault="0093767A" w:rsidP="00210F0E">
            <w:pPr>
              <w:pStyle w:val="TabletextHQSC"/>
            </w:pPr>
            <w:r w:rsidRPr="00C402AF">
              <w:t>Medicines</w:t>
            </w:r>
          </w:p>
        </w:tc>
        <w:tc>
          <w:tcPr>
            <w:tcW w:w="7371" w:type="dxa"/>
            <w:vAlign w:val="bottom"/>
          </w:tcPr>
          <w:p w14:paraId="5AB99677" w14:textId="30416C75" w:rsidR="004E70AC" w:rsidRPr="00C402AF" w:rsidRDefault="004E70AC" w:rsidP="00210F0E">
            <w:pPr>
              <w:pStyle w:val="TabletextHQSC"/>
            </w:pPr>
            <w:r w:rsidRPr="00C402AF">
              <w:t xml:space="preserve">1341 </w:t>
            </w:r>
            <w:r w:rsidR="005F5361">
              <w:t>c</w:t>
            </w:r>
            <w:r w:rsidRPr="00C402AF">
              <w:t xml:space="preserve">olchicine, 2038 prednisone, 1401 diclofenac sodium, 2798 ibuprofen, 1697 ketoprofen, 1769 mefenamic acid, </w:t>
            </w:r>
            <w:r w:rsidR="007B2DF3" w:rsidRPr="00C402AF">
              <w:t xml:space="preserve">3912 </w:t>
            </w:r>
            <w:r w:rsidRPr="00C402AF">
              <w:t>meloxicam, 2782 naproxen, 2536 tenoxicam, 4081 celecoxib and 2193 sulindac.</w:t>
            </w:r>
          </w:p>
          <w:p w14:paraId="525D5DE9" w14:textId="58EA85B1" w:rsidR="0093767A" w:rsidRPr="00C402AF" w:rsidRDefault="005F5361" w:rsidP="00210F0E">
            <w:pPr>
              <w:pStyle w:val="TabletextHQSC"/>
            </w:pPr>
            <w:r>
              <w:t>ULT</w:t>
            </w:r>
            <w:r w:rsidR="004E70AC" w:rsidRPr="00C402AF">
              <w:t xml:space="preserve">: 1026 allopurinol, 4026 febuxostat, 4003 </w:t>
            </w:r>
            <w:proofErr w:type="gramStart"/>
            <w:r w:rsidR="004E70AC" w:rsidRPr="00C402AF">
              <w:t>benzbromarone</w:t>
            </w:r>
            <w:proofErr w:type="gramEnd"/>
            <w:r w:rsidR="004E70AC" w:rsidRPr="00C402AF">
              <w:t>.</w:t>
            </w:r>
          </w:p>
        </w:tc>
      </w:tr>
      <w:tr w:rsidR="0093767A" w:rsidRPr="00C402AF" w14:paraId="13CE39CA" w14:textId="77777777">
        <w:trPr>
          <w:trHeight w:val="327"/>
        </w:trPr>
        <w:tc>
          <w:tcPr>
            <w:tcW w:w="1951" w:type="dxa"/>
          </w:tcPr>
          <w:p w14:paraId="10040EA7" w14:textId="77777777" w:rsidR="0093767A" w:rsidRPr="00C402AF" w:rsidRDefault="0093767A" w:rsidP="00210F0E">
            <w:pPr>
              <w:pStyle w:val="TabletextHQSC"/>
            </w:pPr>
            <w:r w:rsidRPr="00C402AF">
              <w:t>Comment</w:t>
            </w:r>
          </w:p>
        </w:tc>
        <w:tc>
          <w:tcPr>
            <w:tcW w:w="7371" w:type="dxa"/>
            <w:vAlign w:val="bottom"/>
          </w:tcPr>
          <w:p w14:paraId="06B2C8CE" w14:textId="001BC1F2" w:rsidR="0093767A" w:rsidRPr="00C402AF" w:rsidRDefault="0093767A" w:rsidP="00210F0E">
            <w:pPr>
              <w:pStyle w:val="TabletextHQSC"/>
            </w:pPr>
            <w:r w:rsidRPr="00C402AF">
              <w:t xml:space="preserve">This indicator only includes colchicine, prednisone or NSAIDs dispensed at community pharmacies, </w:t>
            </w:r>
            <w:r w:rsidR="005F5361">
              <w:t>that is</w:t>
            </w:r>
            <w:r w:rsidRPr="00C402AF">
              <w:t xml:space="preserve">, medicines given in </w:t>
            </w:r>
            <w:r w:rsidR="00822A63" w:rsidRPr="00C402AF">
              <w:t>hospital, purchased</w:t>
            </w:r>
            <w:r w:rsidRPr="00C402AF">
              <w:t xml:space="preserve"> over the counter</w:t>
            </w:r>
            <w:r w:rsidR="00AD4174" w:rsidRPr="00C402AF">
              <w:t xml:space="preserve"> or shared are not included.</w:t>
            </w:r>
            <w:r w:rsidRPr="00C402AF">
              <w:t xml:space="preserve"> </w:t>
            </w:r>
            <w:r w:rsidR="005F5361">
              <w:t>T</w:t>
            </w:r>
            <w:r w:rsidRPr="00C402AF">
              <w:t>he NSAID</w:t>
            </w:r>
            <w:r w:rsidR="00E004EC" w:rsidRPr="00C402AF">
              <w:t xml:space="preserve"> and prednisone</w:t>
            </w:r>
            <w:r w:rsidRPr="00C402AF">
              <w:t xml:space="preserve"> dispensing may not necessarily be related to gout symptoms.</w:t>
            </w:r>
          </w:p>
        </w:tc>
      </w:tr>
      <w:tr w:rsidR="00024E72" w:rsidRPr="00C402AF" w14:paraId="3FE80B63" w14:textId="77777777">
        <w:trPr>
          <w:trHeight w:val="327"/>
        </w:trPr>
        <w:tc>
          <w:tcPr>
            <w:tcW w:w="1951" w:type="dxa"/>
          </w:tcPr>
          <w:p w14:paraId="4C24D04E" w14:textId="7FD94F57" w:rsidR="00024E72" w:rsidRPr="00C402AF" w:rsidRDefault="00024E72" w:rsidP="00024E72">
            <w:pPr>
              <w:pStyle w:val="TabletextHQSC"/>
            </w:pPr>
            <w:r w:rsidRPr="00C402AF">
              <w:t xml:space="preserve">Rationale </w:t>
            </w:r>
          </w:p>
        </w:tc>
        <w:tc>
          <w:tcPr>
            <w:tcW w:w="7371" w:type="dxa"/>
            <w:vAlign w:val="bottom"/>
          </w:tcPr>
          <w:p w14:paraId="3B58274A" w14:textId="673D3EA3" w:rsidR="00024E72" w:rsidRPr="00C402AF" w:rsidRDefault="00024E72" w:rsidP="001874D9">
            <w:pPr>
              <w:pStyle w:val="TabletextHQSC"/>
            </w:pPr>
            <w:r w:rsidRPr="00C402AF">
              <w:t>Acute gout flares are treated with NSAIDs, colchicine or oral corticosteroids</w:t>
            </w:r>
            <w:r w:rsidR="00293A60">
              <w:t>,</w:t>
            </w:r>
            <w:r w:rsidRPr="00C402AF">
              <w:t xml:space="preserve"> such as prednisone. Understanding variation in dispensing of medicines used to treat acute flares provides insight into patterns of care, including potential reliance on short-term treatment rather than preventive management</w:t>
            </w:r>
            <w:r w:rsidR="001874D9">
              <w:t>.</w:t>
            </w:r>
          </w:p>
        </w:tc>
      </w:tr>
      <w:tr w:rsidR="00024E72" w:rsidRPr="00C402AF" w14:paraId="2F36A827" w14:textId="77777777">
        <w:trPr>
          <w:trHeight w:val="327"/>
        </w:trPr>
        <w:tc>
          <w:tcPr>
            <w:tcW w:w="1951" w:type="dxa"/>
          </w:tcPr>
          <w:p w14:paraId="698BC1A3" w14:textId="77777777" w:rsidR="00024E72" w:rsidRPr="00C402AF" w:rsidRDefault="00024E72" w:rsidP="00024E72">
            <w:pPr>
              <w:pStyle w:val="TabletextHQSC"/>
            </w:pPr>
            <w:r w:rsidRPr="00C402AF">
              <w:t>Commentary</w:t>
            </w:r>
          </w:p>
        </w:tc>
        <w:tc>
          <w:tcPr>
            <w:tcW w:w="7371" w:type="dxa"/>
            <w:vAlign w:val="bottom"/>
          </w:tcPr>
          <w:p w14:paraId="7D52E590" w14:textId="77777777" w:rsidR="00024E72" w:rsidRPr="00C402AF" w:rsidRDefault="00024E72" w:rsidP="00024E72">
            <w:pPr>
              <w:pStyle w:val="TabletextHQSC"/>
              <w:rPr>
                <w:bCs/>
              </w:rPr>
            </w:pPr>
            <w:r w:rsidRPr="00C402AF">
              <w:rPr>
                <w:bCs/>
              </w:rPr>
              <w:t>Description</w:t>
            </w:r>
          </w:p>
          <w:p w14:paraId="5EFDDBA7" w14:textId="3398F332" w:rsidR="00024E72" w:rsidRPr="00C402AF" w:rsidRDefault="00024E72" w:rsidP="00024E72">
            <w:pPr>
              <w:pStyle w:val="TabletextHQSC"/>
              <w:rPr>
                <w:bCs/>
              </w:rPr>
            </w:pPr>
            <w:r w:rsidRPr="00C402AF">
              <w:t xml:space="preserve">Data </w:t>
            </w:r>
            <w:r w:rsidR="00293A60">
              <w:t>was</w:t>
            </w:r>
            <w:r w:rsidR="00293A60" w:rsidRPr="00C402AF">
              <w:t xml:space="preserve"> </w:t>
            </w:r>
            <w:r w:rsidRPr="00C402AF">
              <w:t>presented by year, ethnicity, age and gender.</w:t>
            </w:r>
          </w:p>
          <w:p w14:paraId="118AEF19" w14:textId="0DB681EF" w:rsidR="00024E72" w:rsidRPr="00C402AF" w:rsidRDefault="00024E72" w:rsidP="00024E72">
            <w:pPr>
              <w:pStyle w:val="TabletextHQSC"/>
            </w:pPr>
            <w:r w:rsidRPr="00C402AF">
              <w:t xml:space="preserve">This indicator shows the number and percent of people estimated with gout who were dispensed any of colchicine, prednisone or funded NSAIDs but not dispensed a </w:t>
            </w:r>
            <w:r w:rsidR="00293A60">
              <w:t>ULT</w:t>
            </w:r>
            <w:r w:rsidRPr="00C402AF">
              <w:t xml:space="preserve"> in a year.</w:t>
            </w:r>
          </w:p>
          <w:p w14:paraId="0BD23616" w14:textId="77777777" w:rsidR="00024E72" w:rsidRPr="00C402AF" w:rsidRDefault="00024E72" w:rsidP="00024E72">
            <w:pPr>
              <w:pStyle w:val="TabletextHQSC"/>
              <w:rPr>
                <w:bCs/>
              </w:rPr>
            </w:pPr>
          </w:p>
          <w:p w14:paraId="31908074" w14:textId="703DBEEB" w:rsidR="00024E72" w:rsidRPr="00C402AF" w:rsidRDefault="00024E72" w:rsidP="00024E72">
            <w:pPr>
              <w:pStyle w:val="TabletextHQSC"/>
              <w:rPr>
                <w:bCs/>
              </w:rPr>
            </w:pPr>
            <w:r w:rsidRPr="00C402AF">
              <w:rPr>
                <w:bCs/>
              </w:rPr>
              <w:t xml:space="preserve">Why is this important? </w:t>
            </w:r>
          </w:p>
          <w:p w14:paraId="0F9CADBF" w14:textId="71A1A414" w:rsidR="00024E72" w:rsidRPr="00C402AF" w:rsidRDefault="00024E72" w:rsidP="00024E72">
            <w:pPr>
              <w:pStyle w:val="TabletextHQSC"/>
            </w:pPr>
            <w:r w:rsidRPr="00C402AF">
              <w:t>Acute gout flares are treated with NSAIDs, colchicine or oral corticosteroids</w:t>
            </w:r>
            <w:r w:rsidR="000C107C">
              <w:t>,</w:t>
            </w:r>
            <w:r w:rsidRPr="00C402AF">
              <w:t xml:space="preserve"> such as prednisone. This indicator may reflect people experiencing acute gout flares who are not on long-term preventive therapy for gout. Gout management guidelines state that people experiencing frequent (two or more) acute gout flares per year should be offered long-term </w:t>
            </w:r>
            <w:r w:rsidR="000C107C">
              <w:t>ULT</w:t>
            </w:r>
            <w:r w:rsidRPr="00C402AF">
              <w:t>. Although NSAIDs are effective at treating acute gout flares, these medicines have important side effects</w:t>
            </w:r>
            <w:r w:rsidR="000C107C">
              <w:t>,</w:t>
            </w:r>
            <w:r w:rsidRPr="00C402AF">
              <w:t xml:space="preserve"> including kidney injury and peptic ulcer disease.</w:t>
            </w:r>
            <w:r w:rsidR="00E004EC" w:rsidRPr="00C402AF">
              <w:t xml:space="preserve"> Prednisone may also impact glycaemic control.</w:t>
            </w:r>
            <w:r w:rsidR="00F31544" w:rsidRPr="00C402AF">
              <w:t xml:space="preserve"> These adverse effects are particularly important in people with gout, who commonly have comorbidities such as chronic kidney disease, cardiovascular disease, diabetes and metabolic syndrome.</w:t>
            </w:r>
          </w:p>
          <w:p w14:paraId="08C2366E" w14:textId="77777777" w:rsidR="00024E72" w:rsidRPr="00C402AF" w:rsidRDefault="00024E72" w:rsidP="00024E72">
            <w:pPr>
              <w:pStyle w:val="TabletextHQSC"/>
            </w:pPr>
            <w:r w:rsidRPr="00C402AF">
              <w:t>This indicator does not capture over-the-counter NSAID use and does not assess the indication for NSAID or prednisone use.</w:t>
            </w:r>
          </w:p>
          <w:p w14:paraId="1DAEDCB9" w14:textId="77777777" w:rsidR="00024E72" w:rsidRPr="00C402AF" w:rsidRDefault="00024E72" w:rsidP="00024E72">
            <w:pPr>
              <w:pStyle w:val="TabletextHQSC"/>
              <w:rPr>
                <w:bCs/>
              </w:rPr>
            </w:pPr>
            <w:r w:rsidRPr="00C402AF">
              <w:rPr>
                <w:bCs/>
              </w:rPr>
              <w:t>What questions does this prompt?</w:t>
            </w:r>
          </w:p>
          <w:p w14:paraId="585678FA" w14:textId="61208FF2" w:rsidR="00024E72" w:rsidRPr="00C402AF" w:rsidRDefault="00024E72" w:rsidP="00024E72">
            <w:pPr>
              <w:pStyle w:val="BulletsHQSC"/>
            </w:pPr>
            <w:r w:rsidRPr="00C402AF">
              <w:lastRenderedPageBreak/>
              <w:t xml:space="preserve">Are people with gout using </w:t>
            </w:r>
            <w:proofErr w:type="gramStart"/>
            <w:r w:rsidRPr="00C402AF">
              <w:t>more or less colchicine</w:t>
            </w:r>
            <w:proofErr w:type="gramEnd"/>
            <w:r w:rsidRPr="00C402AF">
              <w:t xml:space="preserve">, prednisone or NSAIDs without </w:t>
            </w:r>
            <w:r w:rsidR="000C107C">
              <w:t>ULT</w:t>
            </w:r>
            <w:r w:rsidRPr="00C402AF">
              <w:t xml:space="preserve"> than might be expected?</w:t>
            </w:r>
          </w:p>
          <w:p w14:paraId="086BEB83" w14:textId="393F1A58" w:rsidR="00024E72" w:rsidRPr="00C402AF" w:rsidRDefault="00024E72" w:rsidP="00024E72">
            <w:pPr>
              <w:pStyle w:val="BulletsHQSC"/>
            </w:pPr>
            <w:r w:rsidRPr="00C402AF">
              <w:t xml:space="preserve">Should some of those receiving colchicine, prednisone or NSAIDs for acute gout flares be treated with </w:t>
            </w:r>
            <w:r w:rsidR="000C107C">
              <w:t>ULT</w:t>
            </w:r>
            <w:r w:rsidRPr="00C402AF">
              <w:t>?</w:t>
            </w:r>
          </w:p>
        </w:tc>
      </w:tr>
    </w:tbl>
    <w:p w14:paraId="1C341FBE" w14:textId="7F4205A6" w:rsidR="00D6717D" w:rsidRPr="00C402AF" w:rsidRDefault="00B17AD6" w:rsidP="00A57432">
      <w:pPr>
        <w:pStyle w:val="Heading3HQSC"/>
        <w:numPr>
          <w:ilvl w:val="0"/>
          <w:numId w:val="13"/>
        </w:numPr>
      </w:pPr>
      <w:bookmarkStart w:id="16" w:name="_Toc237508336"/>
      <w:r w:rsidRPr="00C402AF">
        <w:lastRenderedPageBreak/>
        <w:t xml:space="preserve">The number of admissions with a primary diagnosis of gout in those </w:t>
      </w:r>
      <w:r w:rsidR="0019421C" w:rsidRPr="00C402AF">
        <w:t xml:space="preserve">estimated </w:t>
      </w:r>
      <w:r w:rsidRPr="00C402AF">
        <w:t>with gout, rate per 100,000</w:t>
      </w:r>
      <w:bookmarkEnd w:id="16"/>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36F48CEA" w14:textId="77777777">
        <w:trPr>
          <w:trHeight w:val="327"/>
        </w:trPr>
        <w:tc>
          <w:tcPr>
            <w:tcW w:w="1951" w:type="dxa"/>
          </w:tcPr>
          <w:p w14:paraId="3CC92666" w14:textId="445BA7B4" w:rsidR="0093767A" w:rsidRPr="00C402AF" w:rsidRDefault="0093767A" w:rsidP="00176938">
            <w:pPr>
              <w:pStyle w:val="TabletextHQSC"/>
              <w:rPr>
                <w:color w:val="808080"/>
              </w:rPr>
            </w:pPr>
            <w:r w:rsidRPr="00C402AF">
              <w:t xml:space="preserve">Indicator </w:t>
            </w:r>
            <w:r w:rsidR="00F31EA9">
              <w:t>8</w:t>
            </w:r>
          </w:p>
        </w:tc>
        <w:tc>
          <w:tcPr>
            <w:tcW w:w="7371" w:type="dxa"/>
            <w:vAlign w:val="bottom"/>
          </w:tcPr>
          <w:p w14:paraId="0BD2F458" w14:textId="22DFAEBD" w:rsidR="0093767A" w:rsidRPr="00C402AF" w:rsidRDefault="0093767A" w:rsidP="00176938">
            <w:pPr>
              <w:pStyle w:val="TabletextHQSC"/>
              <w:rPr>
                <w:color w:val="000000"/>
              </w:rPr>
            </w:pPr>
            <w:r w:rsidRPr="00C402AF">
              <w:rPr>
                <w:color w:val="000000"/>
              </w:rPr>
              <w:t xml:space="preserve">The number of admissions with a primary diagnosis of gout in those </w:t>
            </w:r>
            <w:r w:rsidR="0019421C" w:rsidRPr="00C402AF">
              <w:rPr>
                <w:color w:val="000000"/>
              </w:rPr>
              <w:t xml:space="preserve">estimated </w:t>
            </w:r>
            <w:r w:rsidRPr="00C402AF">
              <w:rPr>
                <w:color w:val="000000"/>
              </w:rPr>
              <w:t>with gout, rate per 100,000</w:t>
            </w:r>
          </w:p>
        </w:tc>
      </w:tr>
      <w:tr w:rsidR="0093767A" w:rsidRPr="00C402AF" w14:paraId="5E7DCFA1" w14:textId="77777777">
        <w:trPr>
          <w:trHeight w:val="327"/>
        </w:trPr>
        <w:tc>
          <w:tcPr>
            <w:tcW w:w="1951" w:type="dxa"/>
          </w:tcPr>
          <w:p w14:paraId="5ECEC8A5" w14:textId="77777777" w:rsidR="0093767A" w:rsidRPr="00C402AF" w:rsidRDefault="0093767A" w:rsidP="00176938">
            <w:pPr>
              <w:pStyle w:val="TabletextHQSC"/>
            </w:pPr>
            <w:r w:rsidRPr="00C402AF">
              <w:t>Numerator</w:t>
            </w:r>
          </w:p>
        </w:tc>
        <w:tc>
          <w:tcPr>
            <w:tcW w:w="7371" w:type="dxa"/>
            <w:vAlign w:val="bottom"/>
          </w:tcPr>
          <w:p w14:paraId="3DF44167" w14:textId="0B3D8EDE" w:rsidR="0093767A" w:rsidRPr="00C402AF" w:rsidRDefault="0093767A" w:rsidP="00176938">
            <w:pPr>
              <w:pStyle w:val="TabletextHQSC"/>
              <w:rPr>
                <w:color w:val="000000"/>
              </w:rPr>
            </w:pPr>
            <w:r w:rsidRPr="00C402AF">
              <w:rPr>
                <w:color w:val="000000"/>
              </w:rPr>
              <w:t xml:space="preserve">The number of admissions in people aged 20 years and over with a publicly funded hospital discharge with primary diagnosis of gout (ICD 9 274, ICD 10 M10) </w:t>
            </w:r>
            <w:r w:rsidR="00B17AD6" w:rsidRPr="00C402AF">
              <w:rPr>
                <w:color w:val="000000"/>
              </w:rPr>
              <w:t>in a year</w:t>
            </w:r>
          </w:p>
        </w:tc>
      </w:tr>
      <w:tr w:rsidR="0093767A" w:rsidRPr="00C402AF" w14:paraId="3443C74B" w14:textId="77777777">
        <w:trPr>
          <w:trHeight w:val="327"/>
        </w:trPr>
        <w:tc>
          <w:tcPr>
            <w:tcW w:w="1951" w:type="dxa"/>
          </w:tcPr>
          <w:p w14:paraId="1B932AB5" w14:textId="77777777" w:rsidR="0093767A" w:rsidRPr="00C402AF" w:rsidRDefault="0093767A" w:rsidP="00176938">
            <w:pPr>
              <w:pStyle w:val="TabletextHQSC"/>
            </w:pPr>
            <w:r w:rsidRPr="00C402AF">
              <w:t>Denominator</w:t>
            </w:r>
          </w:p>
        </w:tc>
        <w:tc>
          <w:tcPr>
            <w:tcW w:w="7371" w:type="dxa"/>
            <w:vAlign w:val="bottom"/>
          </w:tcPr>
          <w:p w14:paraId="06E5ADA8" w14:textId="539E9265" w:rsidR="0093767A" w:rsidRPr="00C402AF" w:rsidRDefault="00B17AD6" w:rsidP="00176938">
            <w:pPr>
              <w:pStyle w:val="TabletextHQSC"/>
              <w:rPr>
                <w:color w:val="000000"/>
              </w:rPr>
            </w:pPr>
            <w:r w:rsidRPr="00C402AF">
              <w:rPr>
                <w:color w:val="000000"/>
              </w:rPr>
              <w:t>PHO-enrolled population</w:t>
            </w:r>
            <w:r w:rsidR="0093767A" w:rsidRPr="00C402AF">
              <w:rPr>
                <w:color w:val="000000"/>
              </w:rPr>
              <w:t xml:space="preserve"> aged 20 years and over with </w:t>
            </w:r>
            <w:r w:rsidR="0019421C" w:rsidRPr="00C402AF">
              <w:rPr>
                <w:color w:val="000000"/>
              </w:rPr>
              <w:t xml:space="preserve">estimated </w:t>
            </w:r>
            <w:r w:rsidR="0093767A" w:rsidRPr="00C402AF">
              <w:rPr>
                <w:color w:val="000000"/>
              </w:rPr>
              <w:t>gout using the</w:t>
            </w:r>
            <w:r w:rsidR="0036468A" w:rsidRPr="00C402AF">
              <w:rPr>
                <w:color w:val="000000"/>
              </w:rPr>
              <w:t xml:space="preserve"> adapted</w:t>
            </w:r>
            <w:r w:rsidR="0093767A" w:rsidRPr="00C402AF">
              <w:rPr>
                <w:color w:val="000000"/>
              </w:rPr>
              <w:t xml:space="preserve"> </w:t>
            </w:r>
            <w:proofErr w:type="spellStart"/>
            <w:r w:rsidR="0093767A" w:rsidRPr="00C402AF">
              <w:rPr>
                <w:color w:val="000000"/>
              </w:rPr>
              <w:t>HealthTracker</w:t>
            </w:r>
            <w:proofErr w:type="spellEnd"/>
            <w:r w:rsidR="0093767A" w:rsidRPr="00C402AF">
              <w:rPr>
                <w:color w:val="000000"/>
              </w:rPr>
              <w:t xml:space="preserve"> method (numerator indicator 1).</w:t>
            </w:r>
          </w:p>
        </w:tc>
      </w:tr>
      <w:tr w:rsidR="00B17AD6" w:rsidRPr="00C402AF" w14:paraId="216D1073" w14:textId="77777777">
        <w:trPr>
          <w:trHeight w:val="327"/>
        </w:trPr>
        <w:tc>
          <w:tcPr>
            <w:tcW w:w="1951" w:type="dxa"/>
          </w:tcPr>
          <w:p w14:paraId="27416A1B" w14:textId="1E8D4DE4" w:rsidR="00B17AD6" w:rsidRPr="00C402AF" w:rsidRDefault="00B17AD6" w:rsidP="00176938">
            <w:pPr>
              <w:pStyle w:val="TabletextHQSC"/>
            </w:pPr>
            <w:r w:rsidRPr="00C402AF">
              <w:t>Data source</w:t>
            </w:r>
          </w:p>
        </w:tc>
        <w:tc>
          <w:tcPr>
            <w:tcW w:w="7371" w:type="dxa"/>
            <w:vAlign w:val="bottom"/>
          </w:tcPr>
          <w:p w14:paraId="139049D4" w14:textId="05630BEE" w:rsidR="00B17AD6" w:rsidRPr="00C402AF" w:rsidRDefault="00B17AD6" w:rsidP="00176938">
            <w:pPr>
              <w:pStyle w:val="TabletextHQSC"/>
              <w:rPr>
                <w:color w:val="000000"/>
              </w:rPr>
            </w:pPr>
            <w:r w:rsidRPr="00C402AF">
              <w:t xml:space="preserve">NMDS, </w:t>
            </w:r>
            <w:r w:rsidR="00E070B8" w:rsidRPr="00C402AF">
              <w:t>pharmaceutical collection</w:t>
            </w:r>
            <w:r w:rsidRPr="00C402AF">
              <w:t xml:space="preserve">, PHO </w:t>
            </w:r>
            <w:r w:rsidR="00E070B8" w:rsidRPr="00C402AF">
              <w:t>enrolment collection</w:t>
            </w:r>
            <w:r w:rsidRPr="00C402AF">
              <w:t xml:space="preserve">, </w:t>
            </w:r>
            <w:r w:rsidR="00E070B8">
              <w:t>NZCR</w:t>
            </w:r>
            <w:r w:rsidR="00024E72" w:rsidRPr="00C402AF">
              <w:t>, NHI database</w:t>
            </w:r>
            <w:r w:rsidRPr="00C402AF">
              <w:t>.</w:t>
            </w:r>
          </w:p>
        </w:tc>
      </w:tr>
      <w:tr w:rsidR="00B17AD6" w:rsidRPr="00C402AF" w14:paraId="3C9DE283" w14:textId="77777777">
        <w:trPr>
          <w:trHeight w:val="327"/>
        </w:trPr>
        <w:tc>
          <w:tcPr>
            <w:tcW w:w="1951" w:type="dxa"/>
          </w:tcPr>
          <w:p w14:paraId="701CDBB9" w14:textId="7791C2F6" w:rsidR="00B17AD6" w:rsidRPr="00C402AF" w:rsidRDefault="00B17AD6" w:rsidP="00176938">
            <w:pPr>
              <w:pStyle w:val="TabletextHQSC"/>
            </w:pPr>
            <w:r w:rsidRPr="00C402AF">
              <w:t>Analysis</w:t>
            </w:r>
          </w:p>
        </w:tc>
        <w:tc>
          <w:tcPr>
            <w:tcW w:w="7371" w:type="dxa"/>
            <w:vAlign w:val="bottom"/>
          </w:tcPr>
          <w:p w14:paraId="1AF938FC" w14:textId="43CD57C4" w:rsidR="00B17AD6" w:rsidRPr="00C402AF" w:rsidRDefault="00B17AD6" w:rsidP="00176938">
            <w:pPr>
              <w:pStyle w:val="TabletextHQSC"/>
            </w:pPr>
            <w:r w:rsidRPr="00C402AF">
              <w:t>For single map analysis: By year (2019‒</w:t>
            </w:r>
            <w:r w:rsidR="00E070B8">
              <w:t>20</w:t>
            </w:r>
            <w:r w:rsidRPr="00C402AF">
              <w:t xml:space="preserve">24), age group (20‒44 years, 45‒64 years, 65 years and over), gender (female and male), ethnic group (Māori, Pacific peoples, non-Māori non-Pacific) and Health </w:t>
            </w:r>
            <w:r w:rsidR="00E070B8">
              <w:t>NZ</w:t>
            </w:r>
            <w:r w:rsidRPr="00C402AF">
              <w:t xml:space="preserve"> district of domicile. </w:t>
            </w:r>
          </w:p>
          <w:p w14:paraId="1E264125" w14:textId="37ACDDC9" w:rsidR="00B17AD6" w:rsidRPr="00C402AF" w:rsidRDefault="00B17AD6" w:rsidP="00176938">
            <w:pPr>
              <w:pStyle w:val="TabletextHQSC"/>
            </w:pPr>
            <w:r w:rsidRPr="00C402AF">
              <w:t>For PHO analysis: By year (2024), age group, gender, ethnic group, PHO most recently enrolled with (for the relevant year), PHO group (small, medium, medium</w:t>
            </w:r>
            <w:r w:rsidR="00E070B8">
              <w:t>-</w:t>
            </w:r>
            <w:r w:rsidRPr="00C402AF">
              <w:t>large and large).</w:t>
            </w:r>
          </w:p>
        </w:tc>
      </w:tr>
      <w:tr w:rsidR="00024E72" w:rsidRPr="00C402AF" w14:paraId="03D1D1FC" w14:textId="77777777">
        <w:trPr>
          <w:trHeight w:val="327"/>
        </w:trPr>
        <w:tc>
          <w:tcPr>
            <w:tcW w:w="1951" w:type="dxa"/>
          </w:tcPr>
          <w:p w14:paraId="3599C15D" w14:textId="53B75B92" w:rsidR="00024E72" w:rsidRPr="00C402AF" w:rsidRDefault="00024E72" w:rsidP="00176938">
            <w:pPr>
              <w:pStyle w:val="TabletextHQSC"/>
            </w:pPr>
            <w:r w:rsidRPr="00C402AF">
              <w:t>Rationale</w:t>
            </w:r>
          </w:p>
        </w:tc>
        <w:tc>
          <w:tcPr>
            <w:tcW w:w="7371" w:type="dxa"/>
            <w:vAlign w:val="bottom"/>
          </w:tcPr>
          <w:p w14:paraId="669BD89C" w14:textId="6807B23F" w:rsidR="00024E72" w:rsidRPr="00C402AF" w:rsidRDefault="00024E72" w:rsidP="00176938">
            <w:pPr>
              <w:pStyle w:val="TabletextHQSC"/>
            </w:pPr>
            <w:r w:rsidRPr="00C402AF">
              <w:t xml:space="preserve">Variation in admission rates to hospital due to gout may indicate different admission criteria between districts, poor gout control or limited access to primary </w:t>
            </w:r>
            <w:r w:rsidR="00367984">
              <w:t xml:space="preserve">health </w:t>
            </w:r>
            <w:r w:rsidRPr="00C402AF">
              <w:t>care.</w:t>
            </w:r>
          </w:p>
        </w:tc>
      </w:tr>
      <w:tr w:rsidR="0093767A" w:rsidRPr="00C402AF" w14:paraId="1A1028C2" w14:textId="77777777">
        <w:trPr>
          <w:trHeight w:val="327"/>
        </w:trPr>
        <w:tc>
          <w:tcPr>
            <w:tcW w:w="1951" w:type="dxa"/>
          </w:tcPr>
          <w:p w14:paraId="10078CAA" w14:textId="77777777" w:rsidR="0093767A" w:rsidRPr="00C402AF" w:rsidRDefault="0093767A" w:rsidP="00176938">
            <w:pPr>
              <w:pStyle w:val="TabletextHQSC"/>
            </w:pPr>
            <w:r w:rsidRPr="00C402AF">
              <w:t>Commentary</w:t>
            </w:r>
          </w:p>
        </w:tc>
        <w:tc>
          <w:tcPr>
            <w:tcW w:w="7371" w:type="dxa"/>
            <w:vAlign w:val="bottom"/>
          </w:tcPr>
          <w:p w14:paraId="367CC8A7" w14:textId="77777777" w:rsidR="00B17AD6" w:rsidRPr="00C402AF" w:rsidRDefault="00B17AD6" w:rsidP="00176938">
            <w:pPr>
              <w:pStyle w:val="TabletextHQSC"/>
              <w:rPr>
                <w:bCs/>
              </w:rPr>
            </w:pPr>
            <w:r w:rsidRPr="00C402AF">
              <w:rPr>
                <w:bCs/>
              </w:rPr>
              <w:t>Description</w:t>
            </w:r>
          </w:p>
          <w:p w14:paraId="35D23FC3" w14:textId="6EC8368D" w:rsidR="00B17AD6" w:rsidRPr="00C402AF" w:rsidRDefault="00B17AD6" w:rsidP="00176938">
            <w:pPr>
              <w:pStyle w:val="TabletextHQSC"/>
              <w:rPr>
                <w:bCs/>
              </w:rPr>
            </w:pPr>
            <w:r w:rsidRPr="00C402AF">
              <w:rPr>
                <w:bCs/>
              </w:rPr>
              <w:t xml:space="preserve">This indicator shows the number and rate per 100,000 population of hospital </w:t>
            </w:r>
            <w:r w:rsidR="00176938" w:rsidRPr="00C402AF">
              <w:rPr>
                <w:bCs/>
              </w:rPr>
              <w:t>admissions</w:t>
            </w:r>
            <w:r w:rsidRPr="00C402AF">
              <w:rPr>
                <w:bCs/>
              </w:rPr>
              <w:t xml:space="preserve"> with a primary </w:t>
            </w:r>
            <w:r w:rsidR="00176938" w:rsidRPr="00C402AF">
              <w:rPr>
                <w:bCs/>
              </w:rPr>
              <w:t xml:space="preserve">diagnosis </w:t>
            </w:r>
            <w:r w:rsidRPr="00C402AF">
              <w:rPr>
                <w:bCs/>
              </w:rPr>
              <w:t>of gout</w:t>
            </w:r>
            <w:r w:rsidR="00176938" w:rsidRPr="00C402AF">
              <w:rPr>
                <w:bCs/>
              </w:rPr>
              <w:t xml:space="preserve"> (events</w:t>
            </w:r>
            <w:r w:rsidR="00857B7F" w:rsidRPr="00C402AF">
              <w:rPr>
                <w:bCs/>
              </w:rPr>
              <w:t>), not the number of people.</w:t>
            </w:r>
          </w:p>
          <w:p w14:paraId="0CAC1DC4" w14:textId="6C2A8236" w:rsidR="0093767A" w:rsidRPr="00C402AF" w:rsidRDefault="0093767A" w:rsidP="00176938">
            <w:pPr>
              <w:pStyle w:val="TabletextHQSC"/>
              <w:rPr>
                <w:bCs/>
              </w:rPr>
            </w:pPr>
            <w:r w:rsidRPr="00C402AF">
              <w:rPr>
                <w:bCs/>
              </w:rPr>
              <w:t xml:space="preserve">Why is this important? </w:t>
            </w:r>
          </w:p>
          <w:p w14:paraId="41FEB109" w14:textId="15CAE684" w:rsidR="0093767A" w:rsidRPr="00C402AF" w:rsidRDefault="0093767A" w:rsidP="00176938">
            <w:pPr>
              <w:pStyle w:val="TabletextHQSC"/>
            </w:pPr>
            <w:r w:rsidRPr="00C402AF">
              <w:t xml:space="preserve">Variation in admission rates to hospital due to gout may indicate different admission criteria between districts, poor gout control or limited access to primary </w:t>
            </w:r>
            <w:r w:rsidR="00E070B8">
              <w:t xml:space="preserve">health </w:t>
            </w:r>
            <w:r w:rsidRPr="00C402AF">
              <w:t>care.</w:t>
            </w:r>
          </w:p>
          <w:p w14:paraId="62DA6F06" w14:textId="77777777" w:rsidR="0093767A" w:rsidRPr="00C402AF" w:rsidRDefault="0093767A" w:rsidP="00176938">
            <w:pPr>
              <w:pStyle w:val="TabletextHQSC"/>
              <w:rPr>
                <w:bCs/>
              </w:rPr>
            </w:pPr>
            <w:r w:rsidRPr="00C402AF">
              <w:rPr>
                <w:bCs/>
              </w:rPr>
              <w:t>What questions does this prompt?</w:t>
            </w:r>
          </w:p>
          <w:p w14:paraId="45FD94E2" w14:textId="0A4E1686" w:rsidR="00C43D41" w:rsidRPr="00C402AF" w:rsidRDefault="00C43D41" w:rsidP="00C43D41">
            <w:pPr>
              <w:pStyle w:val="BulletsHQSC"/>
            </w:pPr>
            <w:r w:rsidRPr="00C402AF">
              <w:t>How much of the variation reflects differences in the characteristics of the gout population (</w:t>
            </w:r>
            <w:r w:rsidR="00367984">
              <w:t xml:space="preserve">for example, </w:t>
            </w:r>
            <w:r w:rsidRPr="00C402AF">
              <w:t xml:space="preserve">age, ethnicity, comorbidities, disease severity) versus modifiable factors? </w:t>
            </w:r>
          </w:p>
          <w:p w14:paraId="2C45866F" w14:textId="79899199" w:rsidR="00C43D41" w:rsidRPr="00C402AF" w:rsidRDefault="00C43D41" w:rsidP="00C43D41">
            <w:pPr>
              <w:pStyle w:val="BulletsHQSC"/>
            </w:pPr>
            <w:r w:rsidRPr="00C402AF">
              <w:t xml:space="preserve">To what extent could high admission rates be reduced through more effective primary </w:t>
            </w:r>
            <w:r w:rsidR="00367984">
              <w:t xml:space="preserve">health </w:t>
            </w:r>
            <w:r w:rsidRPr="00C402AF">
              <w:t>care management (</w:t>
            </w:r>
            <w:r w:rsidR="00367984">
              <w:t>for example,</w:t>
            </w:r>
            <w:r w:rsidRPr="00C402AF">
              <w:t xml:space="preserve"> optimal </w:t>
            </w:r>
            <w:r w:rsidR="00F46686">
              <w:t>ULT</w:t>
            </w:r>
            <w:r w:rsidRPr="00C402AF">
              <w:t>, flare prevention)?</w:t>
            </w:r>
          </w:p>
          <w:p w14:paraId="6FA42DFD" w14:textId="77777777" w:rsidR="0093767A" w:rsidRPr="00C402AF" w:rsidRDefault="0093767A" w:rsidP="00176938">
            <w:pPr>
              <w:pStyle w:val="BulletsHQSC"/>
            </w:pPr>
            <w:r w:rsidRPr="00C402AF">
              <w:t>Do some of these admissions reflect higher disease severity?</w:t>
            </w:r>
          </w:p>
          <w:p w14:paraId="0885394D" w14:textId="24BDFE1D" w:rsidR="0093767A" w:rsidRPr="00C402AF" w:rsidRDefault="0093767A" w:rsidP="00176938">
            <w:pPr>
              <w:pStyle w:val="TabletextHQSC"/>
            </w:pPr>
            <w:r w:rsidRPr="00C402AF">
              <w:lastRenderedPageBreak/>
              <w:t>Note: The denominator of this indicator has been changed to match the denominator for indicators 2–7</w:t>
            </w:r>
            <w:r w:rsidR="00F46686">
              <w:t>,</w:t>
            </w:r>
            <w:r w:rsidRPr="00C402AF">
              <w:t xml:space="preserve"> so it now display</w:t>
            </w:r>
            <w:r w:rsidR="00F46686">
              <w:t>s</w:t>
            </w:r>
            <w:r w:rsidRPr="00C402AF">
              <w:t xml:space="preserve"> hospital admissions for people with gout, rather than for the general population.</w:t>
            </w:r>
          </w:p>
          <w:p w14:paraId="1E9D77F8" w14:textId="77777777" w:rsidR="0093767A" w:rsidRPr="00C402AF" w:rsidRDefault="0093767A" w:rsidP="00176938">
            <w:pPr>
              <w:pStyle w:val="TabletextHQSC"/>
            </w:pPr>
            <w:r w:rsidRPr="00C402AF">
              <w:t>This indicator shows differences in admission rates within the gout population. It isn’t affected by the prevalence of gout.</w:t>
            </w:r>
          </w:p>
        </w:tc>
      </w:tr>
    </w:tbl>
    <w:p w14:paraId="68F2F9E3" w14:textId="1EC0F45F" w:rsidR="0093767A" w:rsidRPr="00C402AF" w:rsidRDefault="008E684F" w:rsidP="00A57432">
      <w:pPr>
        <w:pStyle w:val="Heading3HQSC"/>
        <w:numPr>
          <w:ilvl w:val="0"/>
          <w:numId w:val="13"/>
        </w:numPr>
      </w:pPr>
      <w:r w:rsidRPr="00C402AF">
        <w:lastRenderedPageBreak/>
        <w:t xml:space="preserve"> </w:t>
      </w:r>
      <w:bookmarkStart w:id="17" w:name="_Toc237508337"/>
      <w:r w:rsidRPr="00C402AF">
        <w:t xml:space="preserve">The number of admissions with a primary diagnosis of gout </w:t>
      </w:r>
      <w:r w:rsidR="001F580F" w:rsidRPr="00C402AF">
        <w:t>among all PHO-enrolled population</w:t>
      </w:r>
      <w:r w:rsidRPr="00C402AF">
        <w:t>, rate per 100,000</w:t>
      </w:r>
      <w:bookmarkEnd w:id="17"/>
    </w:p>
    <w:tbl>
      <w:tblPr>
        <w:tblW w:w="932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A0" w:firstRow="1" w:lastRow="0" w:firstColumn="1" w:lastColumn="0" w:noHBand="0" w:noVBand="0"/>
      </w:tblPr>
      <w:tblGrid>
        <w:gridCol w:w="1951"/>
        <w:gridCol w:w="7371"/>
      </w:tblGrid>
      <w:tr w:rsidR="0093767A" w:rsidRPr="00C402AF" w14:paraId="1A18C9DA" w14:textId="77777777">
        <w:trPr>
          <w:trHeight w:val="327"/>
        </w:trPr>
        <w:tc>
          <w:tcPr>
            <w:tcW w:w="1951" w:type="dxa"/>
          </w:tcPr>
          <w:p w14:paraId="4C697253" w14:textId="53AFDF79" w:rsidR="0093767A" w:rsidRPr="00C402AF" w:rsidRDefault="0093767A" w:rsidP="004F5C5C">
            <w:pPr>
              <w:pStyle w:val="TabletextHQSC"/>
              <w:rPr>
                <w:color w:val="808080"/>
              </w:rPr>
            </w:pPr>
            <w:r w:rsidRPr="00C402AF">
              <w:t xml:space="preserve">Indicator </w:t>
            </w:r>
            <w:r w:rsidR="00F31EA9">
              <w:t>9</w:t>
            </w:r>
          </w:p>
        </w:tc>
        <w:tc>
          <w:tcPr>
            <w:tcW w:w="7371" w:type="dxa"/>
            <w:vAlign w:val="bottom"/>
          </w:tcPr>
          <w:p w14:paraId="0453B379" w14:textId="6B6BA36C" w:rsidR="0093767A" w:rsidRPr="00C402AF" w:rsidRDefault="0093767A" w:rsidP="004F5C5C">
            <w:pPr>
              <w:pStyle w:val="TabletextHQSC"/>
              <w:rPr>
                <w:color w:val="000000"/>
              </w:rPr>
            </w:pPr>
            <w:r w:rsidRPr="00C402AF">
              <w:rPr>
                <w:color w:val="000000"/>
              </w:rPr>
              <w:t xml:space="preserve">The number of admissions with a primary diagnosis of gout </w:t>
            </w:r>
            <w:r w:rsidR="00F64BDE" w:rsidRPr="00C402AF">
              <w:rPr>
                <w:color w:val="000000"/>
              </w:rPr>
              <w:t>among all PHO-enrolled population</w:t>
            </w:r>
            <w:r w:rsidRPr="00C402AF">
              <w:rPr>
                <w:color w:val="000000"/>
              </w:rPr>
              <w:t>, rate per 100,000</w:t>
            </w:r>
          </w:p>
        </w:tc>
      </w:tr>
      <w:tr w:rsidR="0093767A" w:rsidRPr="00C402AF" w14:paraId="766F8F7B" w14:textId="77777777">
        <w:trPr>
          <w:trHeight w:val="327"/>
        </w:trPr>
        <w:tc>
          <w:tcPr>
            <w:tcW w:w="1951" w:type="dxa"/>
          </w:tcPr>
          <w:p w14:paraId="44048012" w14:textId="77777777" w:rsidR="0093767A" w:rsidRPr="00C402AF" w:rsidRDefault="0093767A" w:rsidP="004F5C5C">
            <w:pPr>
              <w:pStyle w:val="TabletextHQSC"/>
            </w:pPr>
            <w:r w:rsidRPr="00C402AF">
              <w:t>Numerator</w:t>
            </w:r>
          </w:p>
        </w:tc>
        <w:tc>
          <w:tcPr>
            <w:tcW w:w="7371" w:type="dxa"/>
            <w:vAlign w:val="bottom"/>
          </w:tcPr>
          <w:p w14:paraId="7BB1FE23" w14:textId="6D08CE40" w:rsidR="0093767A" w:rsidRPr="00C402AF" w:rsidRDefault="0093767A" w:rsidP="004F5C5C">
            <w:pPr>
              <w:pStyle w:val="TabletextHQSC"/>
              <w:rPr>
                <w:color w:val="000000"/>
              </w:rPr>
            </w:pPr>
            <w:r w:rsidRPr="00C402AF">
              <w:rPr>
                <w:color w:val="000000"/>
              </w:rPr>
              <w:t>The number of admissions in people aged 20 years and over with a publicly funded hospital discharge with primary diagnosis of gout (ICD 9 274, ICD 10 M10)</w:t>
            </w:r>
            <w:r w:rsidR="00057098" w:rsidRPr="00C402AF">
              <w:rPr>
                <w:color w:val="000000"/>
              </w:rPr>
              <w:t>.</w:t>
            </w:r>
          </w:p>
        </w:tc>
      </w:tr>
      <w:tr w:rsidR="0093767A" w:rsidRPr="00C402AF" w14:paraId="28EE78A7" w14:textId="77777777">
        <w:trPr>
          <w:trHeight w:val="327"/>
        </w:trPr>
        <w:tc>
          <w:tcPr>
            <w:tcW w:w="1951" w:type="dxa"/>
          </w:tcPr>
          <w:p w14:paraId="30E04ACF" w14:textId="77777777" w:rsidR="0093767A" w:rsidRPr="00C402AF" w:rsidRDefault="0093767A" w:rsidP="004F5C5C">
            <w:pPr>
              <w:pStyle w:val="TabletextHQSC"/>
            </w:pPr>
            <w:r w:rsidRPr="00C402AF">
              <w:t>Denominator</w:t>
            </w:r>
          </w:p>
        </w:tc>
        <w:tc>
          <w:tcPr>
            <w:tcW w:w="7371" w:type="dxa"/>
            <w:vAlign w:val="bottom"/>
          </w:tcPr>
          <w:p w14:paraId="27A2BB0C" w14:textId="72F49B48" w:rsidR="0093767A" w:rsidRPr="00C402AF" w:rsidRDefault="004F5C5C" w:rsidP="004F5C5C">
            <w:pPr>
              <w:pStyle w:val="TabletextHQSC"/>
              <w:rPr>
                <w:color w:val="000000"/>
              </w:rPr>
            </w:pPr>
            <w:r w:rsidRPr="00C402AF">
              <w:rPr>
                <w:color w:val="000000"/>
              </w:rPr>
              <w:t>PHO-enrolled population aged 20 years or over</w:t>
            </w:r>
          </w:p>
        </w:tc>
      </w:tr>
      <w:tr w:rsidR="0093767A" w:rsidRPr="00C402AF" w14:paraId="33A31AC0" w14:textId="77777777">
        <w:trPr>
          <w:trHeight w:val="327"/>
        </w:trPr>
        <w:tc>
          <w:tcPr>
            <w:tcW w:w="1951" w:type="dxa"/>
          </w:tcPr>
          <w:p w14:paraId="5F976879" w14:textId="77777777" w:rsidR="0093767A" w:rsidRPr="00C402AF" w:rsidRDefault="0093767A" w:rsidP="004F5C5C">
            <w:pPr>
              <w:pStyle w:val="TabletextHQSC"/>
            </w:pPr>
            <w:r w:rsidRPr="00C402AF">
              <w:t>Data source</w:t>
            </w:r>
          </w:p>
        </w:tc>
        <w:tc>
          <w:tcPr>
            <w:tcW w:w="7371" w:type="dxa"/>
            <w:vAlign w:val="bottom"/>
          </w:tcPr>
          <w:p w14:paraId="7BDBA057" w14:textId="02061BF3" w:rsidR="0093767A" w:rsidRPr="00C402AF" w:rsidRDefault="00FF5CA9" w:rsidP="004F5C5C">
            <w:pPr>
              <w:pStyle w:val="TabletextHQSC"/>
              <w:rPr>
                <w:color w:val="000000"/>
              </w:rPr>
            </w:pPr>
            <w:r w:rsidRPr="00C402AF">
              <w:t xml:space="preserve">NMDS, PHO </w:t>
            </w:r>
            <w:r w:rsidR="002E1AF9" w:rsidRPr="00C402AF">
              <w:t>enrolment collection</w:t>
            </w:r>
            <w:r w:rsidR="00024E72" w:rsidRPr="00C402AF">
              <w:t>, NHI database</w:t>
            </w:r>
          </w:p>
        </w:tc>
      </w:tr>
      <w:tr w:rsidR="00FF5CA9" w:rsidRPr="00C402AF" w14:paraId="40459FAB" w14:textId="77777777">
        <w:trPr>
          <w:trHeight w:val="327"/>
        </w:trPr>
        <w:tc>
          <w:tcPr>
            <w:tcW w:w="1951" w:type="dxa"/>
          </w:tcPr>
          <w:p w14:paraId="1345F605" w14:textId="6AB91A79" w:rsidR="00FF5CA9" w:rsidRPr="00C402AF" w:rsidRDefault="00FF5CA9" w:rsidP="004F5C5C">
            <w:pPr>
              <w:pStyle w:val="TabletextHQSC"/>
            </w:pPr>
            <w:r w:rsidRPr="00C402AF">
              <w:t>Analysis</w:t>
            </w:r>
          </w:p>
        </w:tc>
        <w:tc>
          <w:tcPr>
            <w:tcW w:w="7371" w:type="dxa"/>
            <w:vAlign w:val="bottom"/>
          </w:tcPr>
          <w:p w14:paraId="6BF051D8" w14:textId="1D1D004C" w:rsidR="00FF5CA9" w:rsidRPr="00C402AF" w:rsidRDefault="00FF5CA9" w:rsidP="004F5C5C">
            <w:pPr>
              <w:pStyle w:val="TabletextHQSC"/>
            </w:pPr>
            <w:r w:rsidRPr="00C402AF">
              <w:t>For single map analysis: By year (2019‒</w:t>
            </w:r>
            <w:r w:rsidR="002E1AF9">
              <w:t>20</w:t>
            </w:r>
            <w:r w:rsidRPr="00C402AF">
              <w:t xml:space="preserve">24), age group (20‒44 years, 45‒64 years, 65 years and over), gender (female and male), ethnic group (Māori, Pacific peoples, non-Māori non-Pacific) and Health </w:t>
            </w:r>
            <w:r w:rsidR="002E1AF9">
              <w:t>NZ</w:t>
            </w:r>
            <w:r w:rsidRPr="00C402AF">
              <w:t xml:space="preserve"> district of domicile. </w:t>
            </w:r>
          </w:p>
          <w:p w14:paraId="7DFBCF1E" w14:textId="7CA12731" w:rsidR="00FF5CA9" w:rsidRPr="00C402AF" w:rsidRDefault="00FF5CA9" w:rsidP="004F5C5C">
            <w:pPr>
              <w:pStyle w:val="TabletextHQSC"/>
            </w:pPr>
            <w:r w:rsidRPr="00C402AF">
              <w:t>For PHO analysis: By year (2024), age group</w:t>
            </w:r>
            <w:r w:rsidR="002E1AF9">
              <w:t xml:space="preserve"> (in years)</w:t>
            </w:r>
            <w:r w:rsidRPr="00C402AF">
              <w:t>, gender, ethnic group, PHO most recently enrolled with (for the relevant year), PHO group (small, medium, medium</w:t>
            </w:r>
            <w:r w:rsidR="002E1AF9">
              <w:t>-</w:t>
            </w:r>
            <w:r w:rsidRPr="00C402AF">
              <w:t>large and large).</w:t>
            </w:r>
          </w:p>
        </w:tc>
      </w:tr>
      <w:tr w:rsidR="00024E72" w:rsidRPr="00C402AF" w14:paraId="733FA16A" w14:textId="77777777">
        <w:trPr>
          <w:trHeight w:val="327"/>
        </w:trPr>
        <w:tc>
          <w:tcPr>
            <w:tcW w:w="1951" w:type="dxa"/>
          </w:tcPr>
          <w:p w14:paraId="7B805236" w14:textId="3F41BDEB" w:rsidR="00024E72" w:rsidRPr="00C402AF" w:rsidRDefault="00024E72" w:rsidP="004F5C5C">
            <w:pPr>
              <w:pStyle w:val="TabletextHQSC"/>
            </w:pPr>
            <w:r w:rsidRPr="00C402AF">
              <w:t>Rationale</w:t>
            </w:r>
          </w:p>
        </w:tc>
        <w:tc>
          <w:tcPr>
            <w:tcW w:w="7371" w:type="dxa"/>
            <w:vAlign w:val="bottom"/>
          </w:tcPr>
          <w:p w14:paraId="04DED28A" w14:textId="24C71E65" w:rsidR="00024E72" w:rsidRPr="00C402AF" w:rsidRDefault="00024E72" w:rsidP="004F5C5C">
            <w:pPr>
              <w:pStyle w:val="TabletextHQSC"/>
            </w:pPr>
            <w:r w:rsidRPr="00C402AF">
              <w:t xml:space="preserve">Variation in admission rates to hospital due to gout may indicate different admission criteria between districts, poor gout control or limited access to primary </w:t>
            </w:r>
            <w:r w:rsidR="00367984">
              <w:t xml:space="preserve">health </w:t>
            </w:r>
            <w:r w:rsidRPr="00C402AF">
              <w:t>care.</w:t>
            </w:r>
          </w:p>
        </w:tc>
      </w:tr>
      <w:tr w:rsidR="0093767A" w:rsidRPr="00C402AF" w14:paraId="19AA2438" w14:textId="77777777">
        <w:trPr>
          <w:trHeight w:val="327"/>
        </w:trPr>
        <w:tc>
          <w:tcPr>
            <w:tcW w:w="1951" w:type="dxa"/>
          </w:tcPr>
          <w:p w14:paraId="4A0B4102" w14:textId="77777777" w:rsidR="0093767A" w:rsidRPr="00C402AF" w:rsidRDefault="0093767A" w:rsidP="004F5C5C">
            <w:pPr>
              <w:pStyle w:val="TabletextHQSC"/>
            </w:pPr>
            <w:r w:rsidRPr="00C402AF">
              <w:t>Commentary</w:t>
            </w:r>
          </w:p>
        </w:tc>
        <w:tc>
          <w:tcPr>
            <w:tcW w:w="7371" w:type="dxa"/>
            <w:vAlign w:val="bottom"/>
          </w:tcPr>
          <w:p w14:paraId="2099C4B9" w14:textId="77777777" w:rsidR="00FF5CA9" w:rsidRPr="00C402AF" w:rsidRDefault="00FF5CA9" w:rsidP="004F5C5C">
            <w:pPr>
              <w:pStyle w:val="TabletextHQSC"/>
              <w:rPr>
                <w:bCs/>
              </w:rPr>
            </w:pPr>
            <w:r w:rsidRPr="00C402AF">
              <w:rPr>
                <w:bCs/>
              </w:rPr>
              <w:t>Description</w:t>
            </w:r>
          </w:p>
          <w:p w14:paraId="5649C8D8" w14:textId="3ED417AD" w:rsidR="00FF5CA9" w:rsidRPr="00C402AF" w:rsidRDefault="006531B9" w:rsidP="004F5C5C">
            <w:pPr>
              <w:pStyle w:val="TabletextHQSC"/>
              <w:rPr>
                <w:bCs/>
              </w:rPr>
            </w:pPr>
            <w:r w:rsidRPr="00C402AF">
              <w:rPr>
                <w:bCs/>
              </w:rPr>
              <w:t xml:space="preserve">This indicator shows the number and rate per 100,000 population of hospital </w:t>
            </w:r>
            <w:r w:rsidR="00B354C8" w:rsidRPr="00C402AF">
              <w:rPr>
                <w:bCs/>
              </w:rPr>
              <w:t>admissions</w:t>
            </w:r>
            <w:r w:rsidRPr="00C402AF">
              <w:rPr>
                <w:bCs/>
              </w:rPr>
              <w:t xml:space="preserve"> </w:t>
            </w:r>
            <w:r w:rsidR="008E684F" w:rsidRPr="00C402AF">
              <w:rPr>
                <w:bCs/>
              </w:rPr>
              <w:t>among all PHO</w:t>
            </w:r>
            <w:r w:rsidR="00B354C8" w:rsidRPr="00C402AF">
              <w:rPr>
                <w:bCs/>
              </w:rPr>
              <w:t>-enrolled</w:t>
            </w:r>
            <w:r w:rsidR="008E684F" w:rsidRPr="00C402AF">
              <w:rPr>
                <w:bCs/>
              </w:rPr>
              <w:t xml:space="preserve"> population</w:t>
            </w:r>
            <w:r w:rsidRPr="00C402AF">
              <w:rPr>
                <w:bCs/>
              </w:rPr>
              <w:t xml:space="preserve">. This indicator presents </w:t>
            </w:r>
            <w:r w:rsidR="008E684F" w:rsidRPr="00C402AF">
              <w:rPr>
                <w:bCs/>
              </w:rPr>
              <w:t>the total number of admissions due to gout</w:t>
            </w:r>
            <w:r w:rsidR="00B67BED" w:rsidRPr="00C402AF">
              <w:rPr>
                <w:bCs/>
              </w:rPr>
              <w:t xml:space="preserve"> </w:t>
            </w:r>
            <w:r w:rsidR="008E684F" w:rsidRPr="00C402AF">
              <w:rPr>
                <w:bCs/>
              </w:rPr>
              <w:t>(events), not the number of people</w:t>
            </w:r>
            <w:r w:rsidR="00B67BED" w:rsidRPr="00C402AF">
              <w:rPr>
                <w:bCs/>
              </w:rPr>
              <w:t xml:space="preserve"> admitted</w:t>
            </w:r>
            <w:r w:rsidR="008E684F" w:rsidRPr="00C402AF">
              <w:rPr>
                <w:bCs/>
              </w:rPr>
              <w:t>.</w:t>
            </w:r>
          </w:p>
          <w:p w14:paraId="2CC9B40F" w14:textId="5BD1F466" w:rsidR="0093767A" w:rsidRPr="00C402AF" w:rsidRDefault="0093767A" w:rsidP="004F5C5C">
            <w:pPr>
              <w:pStyle w:val="TabletextHQSC"/>
              <w:rPr>
                <w:bCs/>
              </w:rPr>
            </w:pPr>
            <w:r w:rsidRPr="00C402AF">
              <w:rPr>
                <w:bCs/>
              </w:rPr>
              <w:t xml:space="preserve">Why is this important? </w:t>
            </w:r>
          </w:p>
          <w:p w14:paraId="510D5E1E" w14:textId="2E39E4C0" w:rsidR="0093767A" w:rsidRPr="00C402AF" w:rsidRDefault="0093767A" w:rsidP="004F5C5C">
            <w:pPr>
              <w:pStyle w:val="TabletextHQSC"/>
            </w:pPr>
            <w:r w:rsidRPr="00C402AF">
              <w:t xml:space="preserve">Variation in admission rates to hospital due to gout may indicate different admission criteria between districts, poor gout control or limited access to primary </w:t>
            </w:r>
            <w:r w:rsidR="00367984">
              <w:t xml:space="preserve">health </w:t>
            </w:r>
            <w:r w:rsidRPr="00C402AF">
              <w:t>care.</w:t>
            </w:r>
          </w:p>
          <w:p w14:paraId="08E0875C" w14:textId="77777777" w:rsidR="0093767A" w:rsidRPr="00C402AF" w:rsidRDefault="0093767A" w:rsidP="004F5C5C">
            <w:pPr>
              <w:pStyle w:val="TabletextHQSC"/>
              <w:rPr>
                <w:bCs/>
              </w:rPr>
            </w:pPr>
            <w:r w:rsidRPr="00C402AF">
              <w:rPr>
                <w:bCs/>
              </w:rPr>
              <w:t>What questions does this prompt?</w:t>
            </w:r>
          </w:p>
          <w:p w14:paraId="3C1C2E8B" w14:textId="23C6A5CB" w:rsidR="003177D6" w:rsidRPr="00C402AF" w:rsidRDefault="003177D6" w:rsidP="003177D6">
            <w:pPr>
              <w:pStyle w:val="BulletsHQSC"/>
            </w:pPr>
            <w:r w:rsidRPr="00C402AF">
              <w:t>How much of the variation reflects differences in the underlying prevalence of gout across districts versus modifiable factors</w:t>
            </w:r>
            <w:r w:rsidR="000E0685" w:rsidRPr="00C402AF">
              <w:t>?</w:t>
            </w:r>
          </w:p>
          <w:p w14:paraId="554E29B2" w14:textId="49DA9D38" w:rsidR="0093767A" w:rsidRPr="00C402AF" w:rsidRDefault="0093767A" w:rsidP="004F5C5C">
            <w:pPr>
              <w:pStyle w:val="BulletsHQSC"/>
            </w:pPr>
            <w:r w:rsidRPr="00C402AF">
              <w:t xml:space="preserve">Could some of the high admission rates be prevented by more intensive primary </w:t>
            </w:r>
            <w:r w:rsidR="00367984">
              <w:t xml:space="preserve">health </w:t>
            </w:r>
            <w:r w:rsidRPr="00C402AF">
              <w:t>care management?</w:t>
            </w:r>
          </w:p>
          <w:p w14:paraId="32A2649C" w14:textId="77777777" w:rsidR="0093767A" w:rsidRPr="00C402AF" w:rsidRDefault="0093767A" w:rsidP="004F5C5C">
            <w:pPr>
              <w:pStyle w:val="BulletsHQSC"/>
            </w:pPr>
            <w:r w:rsidRPr="00C402AF">
              <w:t>Do some of these admissions reflect higher disease severity?</w:t>
            </w:r>
          </w:p>
          <w:p w14:paraId="1AFA9170" w14:textId="26D02D74" w:rsidR="0093767A" w:rsidRPr="00C402AF" w:rsidRDefault="0093767A" w:rsidP="004F5C5C">
            <w:pPr>
              <w:pStyle w:val="TabletextHQSC"/>
            </w:pPr>
            <w:r w:rsidRPr="00C402AF">
              <w:t>This indicator shows the impact of a higher gout prevalence on admission rates.</w:t>
            </w:r>
          </w:p>
        </w:tc>
      </w:tr>
    </w:tbl>
    <w:p w14:paraId="6E5C1824" w14:textId="77777777" w:rsidR="0093767A" w:rsidRPr="00C402AF" w:rsidRDefault="0093767A" w:rsidP="0093767A">
      <w:pPr>
        <w:pStyle w:val="Heading3"/>
        <w:rPr>
          <w:rFonts w:cs="Arial"/>
        </w:rPr>
      </w:pPr>
      <w:bookmarkStart w:id="18" w:name="_Toc237508338"/>
      <w:proofErr w:type="spellStart"/>
      <w:r w:rsidRPr="00C402AF">
        <w:rPr>
          <w:rFonts w:cs="Arial"/>
        </w:rPr>
        <w:lastRenderedPageBreak/>
        <w:t>HealthTracker</w:t>
      </w:r>
      <w:proofErr w:type="spellEnd"/>
      <w:r w:rsidRPr="00C402AF">
        <w:rPr>
          <w:rFonts w:cs="Arial"/>
        </w:rPr>
        <w:t xml:space="preserve"> definition</w:t>
      </w:r>
      <w:bookmarkEnd w:id="18"/>
    </w:p>
    <w:p w14:paraId="5E170DEB" w14:textId="73981A7E" w:rsidR="0093767A" w:rsidRPr="00C402AF" w:rsidRDefault="0093767A" w:rsidP="00DA1A02">
      <w:pPr>
        <w:spacing w:after="0"/>
        <w:rPr>
          <w:rFonts w:cs="Arial"/>
        </w:rPr>
      </w:pPr>
      <w:r w:rsidRPr="00C402AF">
        <w:rPr>
          <w:rFonts w:cs="Arial"/>
        </w:rPr>
        <w:t xml:space="preserve">This definition aligns with the definition used by </w:t>
      </w:r>
      <w:proofErr w:type="spellStart"/>
      <w:r w:rsidRPr="00C402AF">
        <w:rPr>
          <w:rFonts w:cs="Arial"/>
        </w:rPr>
        <w:t>Winnard</w:t>
      </w:r>
      <w:proofErr w:type="spellEnd"/>
      <w:r w:rsidRPr="00C402AF">
        <w:rPr>
          <w:rFonts w:cs="Arial"/>
        </w:rPr>
        <w:t xml:space="preserve"> et al (2012) with</w:t>
      </w:r>
      <w:r w:rsidR="00A21C9C" w:rsidRPr="00C402AF">
        <w:rPr>
          <w:rFonts w:cs="Arial"/>
        </w:rPr>
        <w:t xml:space="preserve"> </w:t>
      </w:r>
      <w:r w:rsidR="003435A2">
        <w:rPr>
          <w:rFonts w:cs="Arial"/>
        </w:rPr>
        <w:t>the following</w:t>
      </w:r>
      <w:r w:rsidRPr="00C402AF">
        <w:rPr>
          <w:rFonts w:cs="Arial"/>
        </w:rPr>
        <w:t xml:space="preserve"> exceptions: </w:t>
      </w:r>
    </w:p>
    <w:p w14:paraId="357DEAE1" w14:textId="77777777" w:rsidR="0093767A" w:rsidRPr="00C402AF" w:rsidRDefault="0093767A" w:rsidP="00A57432">
      <w:pPr>
        <w:pStyle w:val="BulletsHQSC"/>
        <w:numPr>
          <w:ilvl w:val="0"/>
          <w:numId w:val="15"/>
        </w:numPr>
      </w:pPr>
      <w:r w:rsidRPr="00C402AF">
        <w:t>The cancer exclusion codes used in this indicator were C81–C96 (not C80–C96).</w:t>
      </w:r>
    </w:p>
    <w:p w14:paraId="3AA892E7" w14:textId="2D3D4BE3" w:rsidR="0093767A" w:rsidRPr="00C402AF" w:rsidRDefault="0093767A" w:rsidP="00A57432">
      <w:pPr>
        <w:pStyle w:val="BulletsHQSC"/>
        <w:numPr>
          <w:ilvl w:val="0"/>
          <w:numId w:val="15"/>
        </w:numPr>
      </w:pPr>
      <w:r w:rsidRPr="00C402AF">
        <w:t xml:space="preserve">Benzbromarone and febuxostat were added to allopurinol in the definition to become </w:t>
      </w:r>
      <w:r w:rsidR="00366872" w:rsidRPr="00C402AF">
        <w:t xml:space="preserve">part of </w:t>
      </w:r>
      <w:r w:rsidR="00A62BC0">
        <w:t>ULT</w:t>
      </w:r>
      <w:r w:rsidRPr="00C402AF">
        <w:t>. Febuxostat, but not benzbromarone, was excluded alongside allopurinol as an indicator of gout when the relevant cancer(s) were diagnosed in the 24 months before the period end date.</w:t>
      </w:r>
    </w:p>
    <w:p w14:paraId="0BDFE62A" w14:textId="2929790C" w:rsidR="00DA1A02" w:rsidRPr="00C402AF" w:rsidRDefault="004F13B2" w:rsidP="00A57432">
      <w:pPr>
        <w:pStyle w:val="BulletsHQSC"/>
        <w:numPr>
          <w:ilvl w:val="0"/>
          <w:numId w:val="15"/>
        </w:numPr>
        <w:rPr>
          <w:color w:val="000000"/>
        </w:rPr>
      </w:pPr>
      <w:r w:rsidRPr="00C402AF">
        <w:rPr>
          <w:color w:val="000000"/>
        </w:rPr>
        <w:t>A 15-year rolling look</w:t>
      </w:r>
      <w:r w:rsidRPr="00C402AF">
        <w:rPr>
          <w:rFonts w:ascii="Cambria Math" w:hAnsi="Cambria Math" w:cs="Cambria Math"/>
          <w:color w:val="000000"/>
        </w:rPr>
        <w:t>‑</w:t>
      </w:r>
      <w:r w:rsidRPr="00C402AF">
        <w:rPr>
          <w:color w:val="000000"/>
        </w:rPr>
        <w:t>back period was applied to identify prevalent gout cases for each reporting year. For example, for the 2024 reporting year, gout status was determined using data from 1 January 2010 to 31 December 2024.</w:t>
      </w:r>
    </w:p>
    <w:p w14:paraId="2C031D7B" w14:textId="25CF41D8" w:rsidR="00AF5E26" w:rsidRPr="00C402AF" w:rsidRDefault="00AF5E26" w:rsidP="00A57432">
      <w:pPr>
        <w:pStyle w:val="BulletsHQSC"/>
        <w:numPr>
          <w:ilvl w:val="0"/>
          <w:numId w:val="15"/>
        </w:numPr>
      </w:pPr>
      <w:r w:rsidRPr="00C402AF">
        <w:t xml:space="preserve">To improve specificity, individuals dispensed colchicine were excluded if they had a hospital diagnosis within the </w:t>
      </w:r>
      <w:r w:rsidR="00766661">
        <w:t>2</w:t>
      </w:r>
      <w:r w:rsidR="00766661" w:rsidRPr="00C402AF">
        <w:t xml:space="preserve"> </w:t>
      </w:r>
      <w:r w:rsidRPr="00C402AF">
        <w:t xml:space="preserve">years </w:t>
      </w:r>
      <w:r w:rsidR="004A174F">
        <w:t>before</w:t>
      </w:r>
      <w:r w:rsidRPr="00C402AF">
        <w:t xml:space="preserve"> dispensing for conditions where colchicine may be prescribed for non-gout indications. These conditions included:</w:t>
      </w:r>
    </w:p>
    <w:p w14:paraId="0E8EB474"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I010</w:t>
      </w:r>
      <w:r w:rsidRPr="00C402AF">
        <w:rPr>
          <w:color w:val="000000"/>
        </w:rPr>
        <w:tab/>
        <w:t>Acute rheumatic pericarditis</w:t>
      </w:r>
    </w:p>
    <w:p w14:paraId="13AD8588"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I092</w:t>
      </w:r>
      <w:r w:rsidRPr="00C402AF">
        <w:rPr>
          <w:color w:val="000000"/>
        </w:rPr>
        <w:tab/>
        <w:t>Chronic rheumatic pericarditis</w:t>
      </w:r>
    </w:p>
    <w:p w14:paraId="02E87F83" w14:textId="6843188C" w:rsidR="00AF5E26" w:rsidRPr="00C402AF" w:rsidRDefault="00AF5E26" w:rsidP="00A57432">
      <w:pPr>
        <w:pStyle w:val="TabletextHQSC"/>
        <w:numPr>
          <w:ilvl w:val="0"/>
          <w:numId w:val="14"/>
        </w:numPr>
        <w:spacing w:before="0" w:line="276" w:lineRule="auto"/>
        <w:rPr>
          <w:color w:val="000000"/>
        </w:rPr>
      </w:pPr>
      <w:r w:rsidRPr="00C402AF">
        <w:rPr>
          <w:color w:val="000000"/>
        </w:rPr>
        <w:t>I300</w:t>
      </w:r>
      <w:r w:rsidRPr="00C402AF">
        <w:rPr>
          <w:color w:val="000000"/>
        </w:rPr>
        <w:tab/>
        <w:t>Acute non</w:t>
      </w:r>
      <w:r w:rsidR="00766661">
        <w:rPr>
          <w:color w:val="000000"/>
        </w:rPr>
        <w:t>-</w:t>
      </w:r>
      <w:r w:rsidRPr="00C402AF">
        <w:rPr>
          <w:color w:val="000000"/>
        </w:rPr>
        <w:t>specific idiopathic pericarditis</w:t>
      </w:r>
    </w:p>
    <w:p w14:paraId="2C70748C"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I301</w:t>
      </w:r>
      <w:r w:rsidRPr="00C402AF">
        <w:rPr>
          <w:color w:val="000000"/>
        </w:rPr>
        <w:tab/>
        <w:t>Infective pericarditis</w:t>
      </w:r>
    </w:p>
    <w:p w14:paraId="7133DBED"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I308</w:t>
      </w:r>
      <w:r w:rsidRPr="00C402AF">
        <w:rPr>
          <w:color w:val="000000"/>
        </w:rPr>
        <w:tab/>
        <w:t>Other forms of acute pericarditis</w:t>
      </w:r>
    </w:p>
    <w:p w14:paraId="6D89055C"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I309</w:t>
      </w:r>
      <w:r w:rsidRPr="00C402AF">
        <w:rPr>
          <w:color w:val="000000"/>
        </w:rPr>
        <w:tab/>
        <w:t>Acute pericarditis, unspecified</w:t>
      </w:r>
    </w:p>
    <w:p w14:paraId="3C9F9AC6"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I310</w:t>
      </w:r>
      <w:r w:rsidRPr="00C402AF">
        <w:rPr>
          <w:color w:val="000000"/>
        </w:rPr>
        <w:tab/>
        <w:t>Chronic adhesive pericarditis</w:t>
      </w:r>
    </w:p>
    <w:p w14:paraId="52017D9D"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I311</w:t>
      </w:r>
      <w:r w:rsidRPr="00C402AF">
        <w:rPr>
          <w:color w:val="000000"/>
        </w:rPr>
        <w:tab/>
        <w:t>Chronic constrictive pericarditis</w:t>
      </w:r>
    </w:p>
    <w:p w14:paraId="1E3CC827"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I32</w:t>
      </w:r>
      <w:r w:rsidRPr="00C402AF">
        <w:rPr>
          <w:color w:val="000000"/>
        </w:rPr>
        <w:tab/>
        <w:t>Pericarditis in diseases classified elsewhere</w:t>
      </w:r>
    </w:p>
    <w:p w14:paraId="1CD74B06"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I319</w:t>
      </w:r>
      <w:r w:rsidRPr="00C402AF">
        <w:rPr>
          <w:color w:val="000000"/>
        </w:rPr>
        <w:tab/>
        <w:t>Diseases of pericardium, unspecified</w:t>
      </w:r>
    </w:p>
    <w:p w14:paraId="0A65EA44" w14:textId="77777777" w:rsidR="00AF5E26" w:rsidRPr="00C402AF" w:rsidRDefault="00AF5E26" w:rsidP="00A57432">
      <w:pPr>
        <w:pStyle w:val="TabletextHQSC"/>
        <w:numPr>
          <w:ilvl w:val="0"/>
          <w:numId w:val="14"/>
        </w:numPr>
        <w:spacing w:before="0" w:line="276" w:lineRule="auto"/>
        <w:rPr>
          <w:color w:val="000000"/>
        </w:rPr>
      </w:pPr>
      <w:r w:rsidRPr="00C402AF">
        <w:rPr>
          <w:color w:val="000000"/>
        </w:rPr>
        <w:t>M11</w:t>
      </w:r>
      <w:r w:rsidRPr="00C402AF">
        <w:rPr>
          <w:color w:val="000000"/>
        </w:rPr>
        <w:tab/>
      </w:r>
      <w:r w:rsidRPr="00C402AF">
        <w:t>Other crystal arthropathies</w:t>
      </w:r>
    </w:p>
    <w:p w14:paraId="02D8F851" w14:textId="64FE44CC" w:rsidR="00AF5E26" w:rsidRPr="00C402AF" w:rsidRDefault="00AF5E26" w:rsidP="00A57432">
      <w:pPr>
        <w:pStyle w:val="TabletextHQSC"/>
        <w:numPr>
          <w:ilvl w:val="0"/>
          <w:numId w:val="14"/>
        </w:numPr>
        <w:spacing w:before="0" w:line="276" w:lineRule="auto"/>
        <w:rPr>
          <w:color w:val="000000"/>
        </w:rPr>
      </w:pPr>
      <w:r w:rsidRPr="00C402AF">
        <w:rPr>
          <w:color w:val="000000"/>
        </w:rPr>
        <w:t>E85.0</w:t>
      </w:r>
      <w:r w:rsidRPr="00C402AF">
        <w:rPr>
          <w:color w:val="000000"/>
        </w:rPr>
        <w:tab/>
      </w:r>
      <w:proofErr w:type="gramStart"/>
      <w:r w:rsidRPr="00C402AF">
        <w:rPr>
          <w:color w:val="000000"/>
        </w:rPr>
        <w:t>Non-neuropathic</w:t>
      </w:r>
      <w:proofErr w:type="gramEnd"/>
      <w:r w:rsidRPr="00C402AF">
        <w:rPr>
          <w:color w:val="000000"/>
        </w:rPr>
        <w:t xml:space="preserve"> heredofamilial amyloidosis</w:t>
      </w:r>
      <w:r w:rsidR="00766661">
        <w:rPr>
          <w:color w:val="000000"/>
        </w:rPr>
        <w:t>.</w:t>
      </w:r>
    </w:p>
    <w:p w14:paraId="2B3690D5" w14:textId="710C0101" w:rsidR="004F13B2" w:rsidRPr="00C402AF" w:rsidRDefault="00AF5E26" w:rsidP="00AF5E26">
      <w:pPr>
        <w:contextualSpacing/>
        <w:rPr>
          <w:rFonts w:cs="Arial"/>
        </w:rPr>
      </w:pPr>
      <w:r w:rsidRPr="00C402AF">
        <w:rPr>
          <w:color w:val="000000"/>
        </w:rPr>
        <w:t>These exclusions applied only to colchicine-based identification. Individuals with these conditions were retained in the cohort if they met other gout inclusion criteria.</w:t>
      </w:r>
    </w:p>
    <w:p w14:paraId="70188799" w14:textId="77777777" w:rsidR="0093767A" w:rsidRPr="00C402AF" w:rsidRDefault="0093767A" w:rsidP="0093767A">
      <w:pPr>
        <w:pStyle w:val="Heading3"/>
        <w:rPr>
          <w:rFonts w:cs="Arial"/>
        </w:rPr>
      </w:pPr>
      <w:bookmarkStart w:id="19" w:name="_Toc237508339"/>
      <w:r w:rsidRPr="00C402AF">
        <w:rPr>
          <w:rFonts w:cs="Arial"/>
        </w:rPr>
        <w:t>Data sources used</w:t>
      </w:r>
      <w:bookmarkEnd w:id="19"/>
    </w:p>
    <w:p w14:paraId="7816F70F" w14:textId="1B1DC37A" w:rsidR="0093767A" w:rsidRPr="00C402AF" w:rsidRDefault="00766661" w:rsidP="00AD0FAB">
      <w:pPr>
        <w:pStyle w:val="BulletsHQSC"/>
      </w:pPr>
      <w:r>
        <w:t>NMDS</w:t>
      </w:r>
    </w:p>
    <w:p w14:paraId="4ECFCABB" w14:textId="5FE0E826" w:rsidR="0093767A" w:rsidRPr="00C402AF" w:rsidRDefault="0093767A" w:rsidP="00AD0FAB">
      <w:pPr>
        <w:pStyle w:val="BulletsHQSC"/>
      </w:pPr>
      <w:r w:rsidRPr="00C402AF">
        <w:t xml:space="preserve">Pharmaceutical </w:t>
      </w:r>
      <w:r w:rsidR="00766661">
        <w:t>c</w:t>
      </w:r>
      <w:r w:rsidRPr="00C402AF">
        <w:t>ollection</w:t>
      </w:r>
    </w:p>
    <w:p w14:paraId="14A15A34" w14:textId="6CEB3641" w:rsidR="0093767A" w:rsidRPr="00C402AF" w:rsidRDefault="0093767A" w:rsidP="00AD0FAB">
      <w:pPr>
        <w:pStyle w:val="BulletsHQSC"/>
      </w:pPr>
      <w:r w:rsidRPr="00C402AF">
        <w:t>PHO enrolment</w:t>
      </w:r>
      <w:r w:rsidR="00766661">
        <w:t xml:space="preserve"> collection</w:t>
      </w:r>
    </w:p>
    <w:p w14:paraId="0D0E3072" w14:textId="545A035F" w:rsidR="0093767A" w:rsidRPr="00C402AF" w:rsidRDefault="00766661" w:rsidP="00AD0FAB">
      <w:pPr>
        <w:pStyle w:val="BulletsHQSC"/>
      </w:pPr>
      <w:r>
        <w:t>NZCR</w:t>
      </w:r>
      <w:r w:rsidR="0093767A" w:rsidRPr="00C402AF">
        <w:t>.</w:t>
      </w:r>
    </w:p>
    <w:p w14:paraId="746537B0" w14:textId="77777777" w:rsidR="0093767A" w:rsidRPr="00C402AF" w:rsidRDefault="0093767A" w:rsidP="0093767A">
      <w:pPr>
        <w:pStyle w:val="Heading3"/>
        <w:rPr>
          <w:rFonts w:cs="Arial"/>
        </w:rPr>
      </w:pPr>
      <w:bookmarkStart w:id="20" w:name="_Toc237508340"/>
      <w:r w:rsidRPr="00C402AF">
        <w:rPr>
          <w:rFonts w:cs="Arial"/>
        </w:rPr>
        <w:t>Values of the main indicator variable</w:t>
      </w:r>
      <w:bookmarkEnd w:id="20"/>
    </w:p>
    <w:p w14:paraId="7603EDC9" w14:textId="4E234A30" w:rsidR="0093767A" w:rsidRPr="00C402AF" w:rsidRDefault="0093767A" w:rsidP="0093767A">
      <w:pPr>
        <w:rPr>
          <w:rFonts w:cs="Arial"/>
        </w:rPr>
      </w:pPr>
      <w:r w:rsidRPr="00C402AF">
        <w:rPr>
          <w:rFonts w:cs="Arial"/>
        </w:rPr>
        <w:t>1 = Yes, the person showed an indication of having gout, as recorded in national health</w:t>
      </w:r>
      <w:r w:rsidR="00766661">
        <w:rPr>
          <w:rFonts w:cs="Arial"/>
        </w:rPr>
        <w:t xml:space="preserve"> </w:t>
      </w:r>
      <w:r w:rsidRPr="00C402AF">
        <w:rPr>
          <w:rFonts w:cs="Arial"/>
        </w:rPr>
        <w:t xml:space="preserve">information </w:t>
      </w:r>
      <w:r w:rsidR="00366872" w:rsidRPr="00C402AF">
        <w:rPr>
          <w:rFonts w:cs="Arial"/>
        </w:rPr>
        <w:t>datasets</w:t>
      </w:r>
      <w:r w:rsidRPr="00C402AF">
        <w:rPr>
          <w:rFonts w:cs="Arial"/>
        </w:rPr>
        <w:t>.</w:t>
      </w:r>
    </w:p>
    <w:p w14:paraId="0FC6348E" w14:textId="39F47668" w:rsidR="0093767A" w:rsidRPr="00C402AF" w:rsidRDefault="0093767A" w:rsidP="0093767A">
      <w:pPr>
        <w:rPr>
          <w:rFonts w:cs="Arial"/>
        </w:rPr>
      </w:pPr>
      <w:r w:rsidRPr="00C402AF">
        <w:rPr>
          <w:rFonts w:cs="Arial"/>
        </w:rPr>
        <w:lastRenderedPageBreak/>
        <w:t xml:space="preserve">A person </w:t>
      </w:r>
      <w:r w:rsidR="00766661">
        <w:rPr>
          <w:rFonts w:cs="Arial"/>
        </w:rPr>
        <w:t>was</w:t>
      </w:r>
      <w:r w:rsidR="00766661" w:rsidRPr="00C402AF">
        <w:rPr>
          <w:rFonts w:cs="Arial"/>
        </w:rPr>
        <w:t xml:space="preserve"> </w:t>
      </w:r>
      <w:r w:rsidRPr="00C402AF">
        <w:rPr>
          <w:rFonts w:cs="Arial"/>
        </w:rPr>
        <w:t xml:space="preserve">counted as having showed an indication of gout if they </w:t>
      </w:r>
      <w:r w:rsidR="00766661">
        <w:rPr>
          <w:rFonts w:cs="Arial"/>
        </w:rPr>
        <w:t>had</w:t>
      </w:r>
      <w:r w:rsidR="00766661" w:rsidRPr="00C402AF">
        <w:rPr>
          <w:rFonts w:cs="Arial"/>
        </w:rPr>
        <w:t xml:space="preserve"> </w:t>
      </w:r>
      <w:r w:rsidRPr="00C402AF">
        <w:rPr>
          <w:rFonts w:cs="Arial"/>
        </w:rPr>
        <w:t xml:space="preserve">one of the codes specified below (from any data collection) within the </w:t>
      </w:r>
      <w:proofErr w:type="gramStart"/>
      <w:r w:rsidRPr="00C402AF">
        <w:rPr>
          <w:rFonts w:cs="Arial"/>
        </w:rPr>
        <w:t>time period</w:t>
      </w:r>
      <w:proofErr w:type="gramEnd"/>
      <w:r w:rsidRPr="00C402AF">
        <w:rPr>
          <w:rFonts w:cs="Arial"/>
        </w:rPr>
        <w:t xml:space="preserve"> searched (</w:t>
      </w:r>
      <w:r w:rsidR="00766661">
        <w:rPr>
          <w:rFonts w:cs="Arial"/>
        </w:rPr>
        <w:t>for example</w:t>
      </w:r>
      <w:r w:rsidRPr="00C402AF">
        <w:rPr>
          <w:rFonts w:cs="Arial"/>
        </w:rPr>
        <w:t xml:space="preserve">, 12-month or </w:t>
      </w:r>
      <w:r w:rsidR="00366872" w:rsidRPr="00C402AF">
        <w:rPr>
          <w:rFonts w:cs="Arial"/>
        </w:rPr>
        <w:t xml:space="preserve">relevant </w:t>
      </w:r>
      <w:r w:rsidR="00766661" w:rsidRPr="00C402AF">
        <w:rPr>
          <w:rFonts w:cs="Arial"/>
        </w:rPr>
        <w:t>look</w:t>
      </w:r>
      <w:r w:rsidR="00766661">
        <w:rPr>
          <w:rFonts w:cs="Arial"/>
        </w:rPr>
        <w:t>-</w:t>
      </w:r>
      <w:r w:rsidR="00366872" w:rsidRPr="00C402AF">
        <w:rPr>
          <w:rFonts w:cs="Arial"/>
        </w:rPr>
        <w:t xml:space="preserve">back period, </w:t>
      </w:r>
      <w:r w:rsidR="00766661">
        <w:rPr>
          <w:rFonts w:cs="Arial"/>
        </w:rPr>
        <w:t xml:space="preserve">for </w:t>
      </w:r>
      <w:r w:rsidR="00366872" w:rsidRPr="00C402AF">
        <w:rPr>
          <w:rFonts w:cs="Arial"/>
        </w:rPr>
        <w:t>e</w:t>
      </w:r>
      <w:r w:rsidR="00766661">
        <w:rPr>
          <w:rFonts w:cs="Arial"/>
        </w:rPr>
        <w:t>xample,</w:t>
      </w:r>
      <w:r w:rsidR="00366872" w:rsidRPr="00C402AF">
        <w:rPr>
          <w:rFonts w:cs="Arial"/>
        </w:rPr>
        <w:t xml:space="preserve"> 15 years from</w:t>
      </w:r>
      <w:r w:rsidR="00CA5098" w:rsidRPr="00C402AF">
        <w:rPr>
          <w:rFonts w:cs="Arial"/>
        </w:rPr>
        <w:t xml:space="preserve"> the</w:t>
      </w:r>
      <w:r w:rsidR="00366872" w:rsidRPr="00C402AF">
        <w:rPr>
          <w:rFonts w:cs="Arial"/>
        </w:rPr>
        <w:t xml:space="preserve"> year being reported</w:t>
      </w:r>
      <w:r w:rsidRPr="00C402AF">
        <w:rPr>
          <w:rFonts w:cs="Arial"/>
        </w:rPr>
        <w:t>).</w:t>
      </w:r>
    </w:p>
    <w:p w14:paraId="41DADADE" w14:textId="726F4F0B" w:rsidR="0093767A" w:rsidRPr="00C402AF" w:rsidRDefault="00766661" w:rsidP="0093767A">
      <w:pPr>
        <w:rPr>
          <w:rFonts w:cs="Arial"/>
        </w:rPr>
      </w:pPr>
      <w:r>
        <w:rPr>
          <w:rFonts w:cs="Arial"/>
        </w:rPr>
        <w:t>NMDS</w:t>
      </w:r>
      <w:r w:rsidR="0093767A" w:rsidRPr="00C402AF">
        <w:rPr>
          <w:rFonts w:cs="Arial"/>
        </w:rPr>
        <w:t xml:space="preserve"> codes:</w:t>
      </w:r>
    </w:p>
    <w:p w14:paraId="040B41BB" w14:textId="77777777" w:rsidR="0093767A" w:rsidRPr="00C402AF" w:rsidRDefault="0093767A" w:rsidP="00AD0FAB">
      <w:pPr>
        <w:pStyle w:val="BulletsHQSC"/>
      </w:pPr>
      <w:r w:rsidRPr="00C402AF">
        <w:t>ICD10 diagnosis codes: M10</w:t>
      </w:r>
    </w:p>
    <w:p w14:paraId="3EE5568F" w14:textId="77777777" w:rsidR="0093767A" w:rsidRPr="00C402AF" w:rsidRDefault="0093767A" w:rsidP="00AD0FAB">
      <w:pPr>
        <w:pStyle w:val="BulletsHQSC"/>
      </w:pPr>
      <w:r w:rsidRPr="00C402AF">
        <w:t>ICD 9 CM diagnosis codes: 274.</w:t>
      </w:r>
    </w:p>
    <w:p w14:paraId="7F368B8E" w14:textId="33383BFA" w:rsidR="0093767A" w:rsidRPr="00C402AF" w:rsidRDefault="0093767A" w:rsidP="0093767A">
      <w:pPr>
        <w:rPr>
          <w:rFonts w:cs="Arial"/>
        </w:rPr>
      </w:pPr>
      <w:r w:rsidRPr="00C402AF">
        <w:rPr>
          <w:rFonts w:cs="Arial"/>
        </w:rPr>
        <w:t xml:space="preserve">Pharmaceutical </w:t>
      </w:r>
      <w:r w:rsidR="00766661">
        <w:rPr>
          <w:rFonts w:cs="Arial"/>
        </w:rPr>
        <w:t>c</w:t>
      </w:r>
      <w:r w:rsidRPr="00C402AF">
        <w:rPr>
          <w:rFonts w:cs="Arial"/>
        </w:rPr>
        <w:t>ollection:</w:t>
      </w:r>
    </w:p>
    <w:p w14:paraId="6A94BE18" w14:textId="77777777" w:rsidR="0093767A" w:rsidRPr="00C402AF" w:rsidRDefault="0093767A" w:rsidP="00AD0FAB">
      <w:pPr>
        <w:pStyle w:val="BulletsHQSC"/>
      </w:pPr>
      <w:r w:rsidRPr="00C402AF">
        <w:t>1341 – colchicine</w:t>
      </w:r>
    </w:p>
    <w:p w14:paraId="674D9421" w14:textId="77777777" w:rsidR="0093767A" w:rsidRPr="00C402AF" w:rsidRDefault="0093767A" w:rsidP="00AD0FAB">
      <w:pPr>
        <w:pStyle w:val="BulletsHQSC"/>
      </w:pPr>
      <w:r w:rsidRPr="00C402AF">
        <w:t>1026 – allopurinol*</w:t>
      </w:r>
    </w:p>
    <w:p w14:paraId="2638A808" w14:textId="77777777" w:rsidR="0093767A" w:rsidRPr="00C402AF" w:rsidRDefault="0093767A" w:rsidP="00AD0FAB">
      <w:pPr>
        <w:pStyle w:val="BulletsHQSC"/>
      </w:pPr>
      <w:r w:rsidRPr="00C402AF">
        <w:t>4026 – febuxostat*</w:t>
      </w:r>
    </w:p>
    <w:p w14:paraId="6692FFEA" w14:textId="77777777" w:rsidR="0093767A" w:rsidRPr="00C402AF" w:rsidRDefault="0093767A" w:rsidP="00AD0FAB">
      <w:pPr>
        <w:pStyle w:val="BulletsHQSC"/>
      </w:pPr>
      <w:r w:rsidRPr="00C402AF">
        <w:t>3754 – benzbromarone</w:t>
      </w:r>
    </w:p>
    <w:p w14:paraId="30709903" w14:textId="77777777" w:rsidR="0093767A" w:rsidRPr="00C402AF" w:rsidRDefault="0093767A" w:rsidP="00AD0FAB">
      <w:pPr>
        <w:pStyle w:val="BulletsHQSC"/>
      </w:pPr>
      <w:r w:rsidRPr="00C402AF">
        <w:t>4003 – benzbromarone.</w:t>
      </w:r>
    </w:p>
    <w:p w14:paraId="6AAADC3B" w14:textId="0F5CDCA2" w:rsidR="0093767A" w:rsidRPr="00C402AF" w:rsidRDefault="0093767A" w:rsidP="0093767A">
      <w:pPr>
        <w:contextualSpacing/>
        <w:rPr>
          <w:rFonts w:cs="Arial"/>
        </w:rPr>
      </w:pPr>
      <w:r w:rsidRPr="00C402AF">
        <w:rPr>
          <w:rFonts w:cs="Arial"/>
        </w:rPr>
        <w:t xml:space="preserve">* </w:t>
      </w:r>
      <w:proofErr w:type="spellStart"/>
      <w:r w:rsidRPr="00C402AF">
        <w:rPr>
          <w:rFonts w:cs="Arial"/>
        </w:rPr>
        <w:t>Dispensings</w:t>
      </w:r>
      <w:proofErr w:type="spellEnd"/>
      <w:r w:rsidRPr="00C402AF">
        <w:rPr>
          <w:rFonts w:cs="Arial"/>
        </w:rPr>
        <w:t xml:space="preserve"> of allopurinol or febuxostat </w:t>
      </w:r>
      <w:r w:rsidR="00766661">
        <w:rPr>
          <w:rFonts w:cs="Arial"/>
        </w:rPr>
        <w:t>were</w:t>
      </w:r>
      <w:r w:rsidR="00766661" w:rsidRPr="00C402AF">
        <w:rPr>
          <w:rFonts w:cs="Arial"/>
        </w:rPr>
        <w:t xml:space="preserve"> </w:t>
      </w:r>
      <w:r w:rsidRPr="00C402AF">
        <w:rPr>
          <w:rFonts w:cs="Arial"/>
        </w:rPr>
        <w:t xml:space="preserve">excluded as indications of gout if there </w:t>
      </w:r>
      <w:r w:rsidR="00766661">
        <w:rPr>
          <w:rFonts w:cs="Arial"/>
        </w:rPr>
        <w:t>was</w:t>
      </w:r>
      <w:r w:rsidR="00766661" w:rsidRPr="00C402AF">
        <w:rPr>
          <w:rFonts w:cs="Arial"/>
        </w:rPr>
        <w:t xml:space="preserve"> </w:t>
      </w:r>
      <w:r w:rsidRPr="00C402AF">
        <w:rPr>
          <w:rFonts w:cs="Arial"/>
        </w:rPr>
        <w:t>a diagnosis of malignant neopla</w:t>
      </w:r>
      <w:r w:rsidR="00785021" w:rsidRPr="00C402AF">
        <w:rPr>
          <w:rFonts w:cs="Arial"/>
        </w:rPr>
        <w:t>s</w:t>
      </w:r>
      <w:r w:rsidRPr="00C402AF">
        <w:rPr>
          <w:rFonts w:cs="Arial"/>
        </w:rPr>
        <w:t xml:space="preserve">m of lymphoid, haematopoietic and related tissues (ICD-10-AM C81-C96) recorded in either the </w:t>
      </w:r>
      <w:r w:rsidR="00766661">
        <w:rPr>
          <w:rFonts w:cs="Arial"/>
        </w:rPr>
        <w:t>NZCR</w:t>
      </w:r>
      <w:r w:rsidRPr="00C402AF">
        <w:rPr>
          <w:rFonts w:cs="Arial"/>
        </w:rPr>
        <w:t xml:space="preserve"> or in the publicly funded hospitalisations in the </w:t>
      </w:r>
      <w:r w:rsidR="00766661">
        <w:rPr>
          <w:rFonts w:cs="Arial"/>
        </w:rPr>
        <w:t>NMDS</w:t>
      </w:r>
      <w:r w:rsidRPr="00C402AF">
        <w:rPr>
          <w:rFonts w:cs="Arial"/>
        </w:rPr>
        <w:t xml:space="preserve"> in the 24 months before the period end date.</w:t>
      </w:r>
    </w:p>
    <w:p w14:paraId="37CFC2F6" w14:textId="77777777" w:rsidR="0093767A" w:rsidRPr="00C402AF" w:rsidRDefault="0093767A" w:rsidP="0093767A">
      <w:pPr>
        <w:pStyle w:val="Heading3"/>
        <w:rPr>
          <w:rFonts w:cs="Arial"/>
        </w:rPr>
      </w:pPr>
      <w:bookmarkStart w:id="21" w:name="_Toc237508341"/>
      <w:r w:rsidRPr="00C402AF">
        <w:rPr>
          <w:rFonts w:cs="Arial"/>
        </w:rPr>
        <w:t>References</w:t>
      </w:r>
      <w:bookmarkEnd w:id="21"/>
    </w:p>
    <w:p w14:paraId="3877370D" w14:textId="07957BCA" w:rsidR="0093767A" w:rsidRPr="00C402AF" w:rsidRDefault="0093767A" w:rsidP="0093767A">
      <w:pPr>
        <w:rPr>
          <w:rFonts w:cs="Arial"/>
        </w:rPr>
      </w:pPr>
      <w:r w:rsidRPr="00C402AF">
        <w:rPr>
          <w:rFonts w:cs="Arial"/>
        </w:rPr>
        <w:t xml:space="preserve">Jackson G, Wright C, Thornley S, et al. 2012. Potential unmet need for gout diagnosis and treatment: capture-recapture analysis of a national administrative dataset. </w:t>
      </w:r>
      <w:r w:rsidRPr="00C402AF">
        <w:rPr>
          <w:rFonts w:cs="Arial"/>
          <w:i/>
        </w:rPr>
        <w:t>Rheumatology</w:t>
      </w:r>
      <w:r w:rsidRPr="00C402AF">
        <w:rPr>
          <w:rFonts w:cs="Arial"/>
        </w:rPr>
        <w:t xml:space="preserve"> 51(10): 1</w:t>
      </w:r>
      <w:r w:rsidR="001874D9">
        <w:rPr>
          <w:rFonts w:cs="Arial"/>
        </w:rPr>
        <w:t>,</w:t>
      </w:r>
      <w:r w:rsidRPr="00C402AF">
        <w:rPr>
          <w:rFonts w:cs="Arial"/>
        </w:rPr>
        <w:t>820–4.</w:t>
      </w:r>
    </w:p>
    <w:p w14:paraId="669FE4F3" w14:textId="7888E713" w:rsidR="009A3E9A" w:rsidRPr="000845FC" w:rsidRDefault="0093767A" w:rsidP="0093767A">
      <w:pPr>
        <w:pStyle w:val="BodytextHQSC"/>
        <w:rPr>
          <w:lang w:val="en-US"/>
        </w:rPr>
      </w:pPr>
      <w:proofErr w:type="spellStart"/>
      <w:r w:rsidRPr="00C402AF">
        <w:t>Winnard</w:t>
      </w:r>
      <w:proofErr w:type="spellEnd"/>
      <w:r w:rsidRPr="00C402AF">
        <w:t xml:space="preserve"> D, Wright C, Taylor W, et al. 2012. National prevalence of gout derived from administrative health data in Aotearoa New Zealand</w:t>
      </w:r>
      <w:r w:rsidR="00D33AEA" w:rsidRPr="00C402AF">
        <w:t xml:space="preserve">. </w:t>
      </w:r>
      <w:r w:rsidR="00D33AEA" w:rsidRPr="00C402AF">
        <w:rPr>
          <w:i/>
        </w:rPr>
        <w:t>Rheumatology</w:t>
      </w:r>
      <w:r w:rsidR="007E5931" w:rsidRPr="00C402AF">
        <w:rPr>
          <w:i/>
        </w:rPr>
        <w:t xml:space="preserve"> </w:t>
      </w:r>
      <w:r w:rsidR="007E5931" w:rsidRPr="00C402AF">
        <w:rPr>
          <w:iCs/>
        </w:rPr>
        <w:t>51(5): 901–9</w:t>
      </w:r>
      <w:r w:rsidR="002F269E" w:rsidRPr="00C402AF">
        <w:rPr>
          <w:iCs/>
        </w:rPr>
        <w:t>.</w:t>
      </w:r>
    </w:p>
    <w:p w14:paraId="1DF587A2" w14:textId="77777777" w:rsidR="00087711" w:rsidRPr="000845FC" w:rsidRDefault="00087711" w:rsidP="0093767A">
      <w:pPr>
        <w:pStyle w:val="BodytextHQSC"/>
      </w:pPr>
    </w:p>
    <w:p w14:paraId="71ED1ADB" w14:textId="77777777" w:rsidR="00087711" w:rsidRPr="000845FC" w:rsidRDefault="00087711" w:rsidP="0093767A">
      <w:pPr>
        <w:pStyle w:val="BodytextHQSC"/>
      </w:pPr>
    </w:p>
    <w:p w14:paraId="681A3E7B" w14:textId="77777777" w:rsidR="00087711" w:rsidRPr="000845FC" w:rsidRDefault="00087711" w:rsidP="0093767A">
      <w:pPr>
        <w:pStyle w:val="BodytextHQSC"/>
      </w:pPr>
    </w:p>
    <w:p w14:paraId="57FBFDB7" w14:textId="25EDE7E4" w:rsidR="00087711" w:rsidRPr="000845FC" w:rsidRDefault="00087711" w:rsidP="0093767A">
      <w:pPr>
        <w:pStyle w:val="BodytextHQSC"/>
      </w:pPr>
    </w:p>
    <w:sectPr w:rsidR="00087711" w:rsidRPr="000845FC" w:rsidSect="0017350C">
      <w:footerReference w:type="even" r:id="rId15"/>
      <w:footerReference w:type="default" r:id="rId16"/>
      <w:pgSz w:w="11906" w:h="16838" w:code="9"/>
      <w:pgMar w:top="141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AB1D5" w14:textId="77777777" w:rsidR="00F91B92" w:rsidRDefault="00F91B92" w:rsidP="003C45E1">
      <w:pPr>
        <w:spacing w:after="0" w:line="240" w:lineRule="auto"/>
      </w:pPr>
      <w:r>
        <w:separator/>
      </w:r>
    </w:p>
  </w:endnote>
  <w:endnote w:type="continuationSeparator" w:id="0">
    <w:p w14:paraId="4FAD1B2C" w14:textId="77777777" w:rsidR="00F91B92" w:rsidRDefault="00F91B92" w:rsidP="003C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779842"/>
      <w:docPartObj>
        <w:docPartGallery w:val="Page Numbers (Bottom of Page)"/>
        <w:docPartUnique/>
      </w:docPartObj>
    </w:sdtPr>
    <w:sdtEndPr/>
    <w:sdtContent>
      <w:sdt>
        <w:sdtPr>
          <w:id w:val="-1769616900"/>
          <w:docPartObj>
            <w:docPartGallery w:val="Page Numbers (Top of Page)"/>
            <w:docPartUnique/>
          </w:docPartObj>
        </w:sdtPr>
        <w:sdtEndPr/>
        <w:sdtContent>
          <w:p w14:paraId="2B831FC7" w14:textId="77777777" w:rsidR="004907D7" w:rsidRPr="00314261" w:rsidRDefault="00314261" w:rsidP="0017350C">
            <w:pPr>
              <w:pStyle w:val="Footer"/>
            </w:pPr>
            <w:r w:rsidRPr="00314261">
              <w:t>[Title of document]</w:t>
            </w:r>
            <w:r w:rsidRPr="00314261">
              <w:tab/>
            </w:r>
            <w:r w:rsidRPr="00314261">
              <w:tab/>
            </w:r>
            <w:r w:rsidRPr="00314261">
              <w:fldChar w:fldCharType="begin"/>
            </w:r>
            <w:r w:rsidRPr="00314261">
              <w:instrText xml:space="preserve"> PAGE </w:instrText>
            </w:r>
            <w:r w:rsidRPr="00314261">
              <w:fldChar w:fldCharType="separate"/>
            </w:r>
            <w:r w:rsidRPr="00314261">
              <w:rPr>
                <w:noProof/>
              </w:rPr>
              <w:t>2</w:t>
            </w:r>
            <w:r w:rsidRPr="00314261">
              <w:fldChar w:fldCharType="end"/>
            </w:r>
            <w:r w:rsidRPr="00314261">
              <w:t xml:space="preserve"> of </w:t>
            </w:r>
            <w:r>
              <w:fldChar w:fldCharType="begin"/>
            </w:r>
            <w:r>
              <w:instrText>NUMPAGES</w:instrText>
            </w:r>
            <w:r>
              <w:fldChar w:fldCharType="separate"/>
            </w:r>
            <w:r w:rsidRPr="00314261">
              <w:rPr>
                <w:noProof/>
              </w:rPr>
              <w:t>2</w:t>
            </w:r>
            <w: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60B7" w14:textId="769A344A" w:rsidR="0017350C" w:rsidRDefault="0017350C" w:rsidP="0017350C">
    <w:pPr>
      <w:pStyle w:val="Footer"/>
    </w:pPr>
    <w:r w:rsidRPr="00314261">
      <w:fldChar w:fldCharType="begin"/>
    </w:r>
    <w:r w:rsidRPr="00314261">
      <w:instrText xml:space="preserve"> PAGE </w:instrText>
    </w:r>
    <w:r w:rsidRPr="00314261">
      <w:fldChar w:fldCharType="separate"/>
    </w:r>
    <w:r>
      <w:t>3</w:t>
    </w:r>
    <w:r w:rsidRPr="00314261">
      <w:fldChar w:fldCharType="end"/>
    </w:r>
    <w:r w:rsidRPr="00314261">
      <w:t xml:space="preserve"> of </w:t>
    </w:r>
    <w:r>
      <w:fldChar w:fldCharType="begin"/>
    </w:r>
    <w:r>
      <w:instrText>NUMPAGES</w:instrText>
    </w:r>
    <w:r>
      <w:fldChar w:fldCharType="separate"/>
    </w:r>
    <w:r>
      <w:t>4</w:t>
    </w:r>
    <w:r>
      <w:fldChar w:fldCharType="end"/>
    </w:r>
    <w:r>
      <w:tab/>
    </w:r>
    <w:sdt>
      <w:sdtPr>
        <w:id w:val="-1067563459"/>
        <w:docPartObj>
          <w:docPartGallery w:val="Page Numbers (Top of Page)"/>
          <w:docPartUnique/>
        </w:docPartObj>
      </w:sdtPr>
      <w:sdtEndPr/>
      <w:sdtContent>
        <w:r w:rsidR="0093767A" w:rsidRPr="00A256CC">
          <w:rPr>
            <w:i/>
            <w:noProof/>
            <w:sz w:val="18"/>
            <w:szCs w:val="18"/>
          </w:rPr>
          <w:t>Methodology</w:t>
        </w:r>
        <w:r w:rsidR="0093767A">
          <w:rPr>
            <w:i/>
            <w:noProof/>
            <w:sz w:val="18"/>
            <w:szCs w:val="18"/>
          </w:rPr>
          <w:t xml:space="preserve"> | Gout Atlas of Healthcare Variation</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FF4D" w14:textId="56B70ACF" w:rsidR="0017350C" w:rsidRPr="00314261" w:rsidRDefault="00F91B92" w:rsidP="0017350C">
    <w:pPr>
      <w:pStyle w:val="Footer"/>
    </w:pPr>
    <w:sdt>
      <w:sdtPr>
        <w:id w:val="1955210856"/>
        <w:docPartObj>
          <w:docPartGallery w:val="Page Numbers (Bottom of Page)"/>
          <w:docPartUnique/>
        </w:docPartObj>
      </w:sdtPr>
      <w:sdtEndPr/>
      <w:sdtContent>
        <w:sdt>
          <w:sdtPr>
            <w:id w:val="-1312715153"/>
            <w:docPartObj>
              <w:docPartGallery w:val="Page Numbers (Top of Page)"/>
              <w:docPartUnique/>
            </w:docPartObj>
          </w:sdtPr>
          <w:sdtEndPr/>
          <w:sdtContent>
            <w:sdt>
              <w:sdtPr>
                <w:rPr>
                  <w:iCs/>
                </w:rPr>
                <w:id w:val="-1972518206"/>
                <w:docPartObj>
                  <w:docPartGallery w:val="Page Numbers (Top of Page)"/>
                  <w:docPartUnique/>
                </w:docPartObj>
              </w:sdtPr>
              <w:sdtEndPr/>
              <w:sdtContent>
                <w:r w:rsidR="001874D9" w:rsidRPr="005F69C6">
                  <w:rPr>
                    <w:iCs/>
                    <w:noProof/>
                    <w:sz w:val="18"/>
                    <w:szCs w:val="18"/>
                  </w:rPr>
                  <w:t>Methodology | Gout Atlas of Healthcare Variation</w:t>
                </w:r>
              </w:sdtContent>
            </w:sdt>
            <w:r w:rsidR="001874D9" w:rsidRPr="00314261" w:rsidDel="001874D9">
              <w:t xml:space="preserve"> </w:t>
            </w:r>
          </w:sdtContent>
        </w:sdt>
      </w:sdtContent>
    </w:sdt>
    <w:r w:rsidR="0017350C">
      <w:tab/>
    </w:r>
    <w:r w:rsidR="0017350C" w:rsidRPr="00314261">
      <w:fldChar w:fldCharType="begin"/>
    </w:r>
    <w:r w:rsidR="0017350C" w:rsidRPr="00314261">
      <w:instrText xml:space="preserve"> PAGE </w:instrText>
    </w:r>
    <w:r w:rsidR="0017350C" w:rsidRPr="00314261">
      <w:fldChar w:fldCharType="separate"/>
    </w:r>
    <w:r w:rsidR="0017350C">
      <w:t>3</w:t>
    </w:r>
    <w:r w:rsidR="0017350C" w:rsidRPr="00314261">
      <w:fldChar w:fldCharType="end"/>
    </w:r>
    <w:r w:rsidR="0017350C" w:rsidRPr="00314261">
      <w:t xml:space="preserve"> of </w:t>
    </w:r>
    <w:r w:rsidR="003A5F18">
      <w:fldChar w:fldCharType="begin"/>
    </w:r>
    <w:r w:rsidR="003A5F18">
      <w:instrText>NUMPAGES</w:instrText>
    </w:r>
    <w:r w:rsidR="003A5F18">
      <w:fldChar w:fldCharType="separate"/>
    </w:r>
    <w:r w:rsidR="0017350C">
      <w:t>4</w:t>
    </w:r>
    <w:r w:rsidR="003A5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C8494" w14:textId="77777777" w:rsidR="00F91B92" w:rsidRDefault="00F91B92" w:rsidP="003C45E1">
      <w:pPr>
        <w:spacing w:after="0" w:line="240" w:lineRule="auto"/>
      </w:pPr>
      <w:r>
        <w:separator/>
      </w:r>
    </w:p>
  </w:footnote>
  <w:footnote w:type="continuationSeparator" w:id="0">
    <w:p w14:paraId="1C87EF66" w14:textId="77777777" w:rsidR="00F91B92" w:rsidRDefault="00F91B92" w:rsidP="003C45E1">
      <w:pPr>
        <w:spacing w:after="0" w:line="240" w:lineRule="auto"/>
      </w:pPr>
      <w:r>
        <w:continuationSeparator/>
      </w:r>
    </w:p>
  </w:footnote>
  <w:footnote w:id="1">
    <w:p w14:paraId="4EA7470B" w14:textId="282827B0" w:rsidR="00522D10" w:rsidRPr="0093767A" w:rsidRDefault="00522D10" w:rsidP="00653A83">
      <w:pPr>
        <w:pStyle w:val="ListParagraph"/>
        <w:spacing w:after="240"/>
        <w:ind w:left="0"/>
        <w:rPr>
          <w:color w:val="000000" w:themeColor="text1"/>
        </w:rPr>
      </w:pPr>
      <w:r>
        <w:rPr>
          <w:rStyle w:val="FootnoteReference"/>
        </w:rPr>
        <w:footnoteRef/>
      </w:r>
      <w:r>
        <w:t xml:space="preserve"> </w:t>
      </w:r>
      <w:r>
        <w:rPr>
          <w:rFonts w:eastAsia="Arial"/>
          <w:color w:val="000000" w:themeColor="text1"/>
        </w:rPr>
        <w:t xml:space="preserve">This information is obtained from </w:t>
      </w:r>
      <w:r w:rsidR="007A009D" w:rsidRPr="007A009D">
        <w:rPr>
          <w:rFonts w:eastAsia="Arial"/>
          <w:color w:val="000000" w:themeColor="text1"/>
        </w:rPr>
        <w:t>National</w:t>
      </w:r>
      <w:r w:rsidR="00BD7A72" w:rsidRPr="007A009D">
        <w:rPr>
          <w:rFonts w:eastAsia="Arial"/>
          <w:color w:val="000000" w:themeColor="text1"/>
        </w:rPr>
        <w:t xml:space="preserve"> Health Index</w:t>
      </w:r>
      <w:r w:rsidR="00E969FF">
        <w:rPr>
          <w:rFonts w:eastAsia="Arial"/>
          <w:color w:val="000000" w:themeColor="text1"/>
        </w:rPr>
        <w:t xml:space="preserve"> database</w:t>
      </w:r>
    </w:p>
    <w:p w14:paraId="73E1A0A9" w14:textId="025D5F12" w:rsidR="00522D10" w:rsidRDefault="00522D10">
      <w:pPr>
        <w:pStyle w:val="FootnoteText"/>
      </w:pPr>
    </w:p>
  </w:footnote>
  <w:footnote w:id="2">
    <w:p w14:paraId="448820A3" w14:textId="044EBA42" w:rsidR="0093767A" w:rsidRDefault="0093767A" w:rsidP="0093767A">
      <w:pPr>
        <w:pStyle w:val="FootnoteText"/>
      </w:pPr>
      <w:r>
        <w:rPr>
          <w:rStyle w:val="FootnoteReference"/>
        </w:rPr>
        <w:footnoteRef/>
      </w:r>
      <w:r>
        <w:t xml:space="preserve"> See </w:t>
      </w:r>
      <w:proofErr w:type="spellStart"/>
      <w:r>
        <w:t>HealthTracker</w:t>
      </w:r>
      <w:proofErr w:type="spellEnd"/>
      <w:r>
        <w:t xml:space="preserve"> definition</w:t>
      </w:r>
      <w:r w:rsidR="00EE5510">
        <w:t xml:space="preserve"> at the end of this report for </w:t>
      </w:r>
      <w:r w:rsidR="004A174F">
        <w:t xml:space="preserve">more details on </w:t>
      </w:r>
      <w:r w:rsidR="00637021">
        <w:t>this</w:t>
      </w:r>
      <w:r w:rsidR="004A174F">
        <w:t xml:space="preserve"> </w:t>
      </w:r>
      <w:r w:rsidR="004C53BA">
        <w:t xml:space="preserve">estimation </w:t>
      </w:r>
      <w:r w:rsidR="00E57AB5">
        <w:t>method</w:t>
      </w:r>
      <w:r>
        <w:t>.</w:t>
      </w:r>
    </w:p>
    <w:p w14:paraId="3558E70E" w14:textId="77777777" w:rsidR="0093767A" w:rsidRDefault="0093767A" w:rsidP="0093767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8A0D36"/>
    <w:lvl w:ilvl="0">
      <w:start w:val="1"/>
      <w:numFmt w:val="decimal"/>
      <w:pStyle w:val="ListNumber"/>
      <w:lvlText w:val="%1."/>
      <w:lvlJc w:val="left"/>
      <w:pPr>
        <w:tabs>
          <w:tab w:val="num" w:pos="360"/>
        </w:tabs>
        <w:ind w:left="360" w:hanging="360"/>
      </w:pPr>
    </w:lvl>
  </w:abstractNum>
  <w:abstractNum w:abstractNumId="1" w15:restartNumberingAfterBreak="0">
    <w:nsid w:val="03440283"/>
    <w:multiLevelType w:val="multilevel"/>
    <w:tmpl w:val="2266EBF2"/>
    <w:lvl w:ilvl="0">
      <w:start w:val="1"/>
      <w:numFmt w:val="decimal"/>
      <w:lvlText w:val="%1."/>
      <w:lvlJc w:val="left"/>
      <w:pPr>
        <w:tabs>
          <w:tab w:val="num" w:pos="397"/>
        </w:tabs>
        <w:ind w:left="397" w:hanging="397"/>
      </w:pPr>
      <w:rPr>
        <w:rFonts w:hint="default"/>
        <w:color w:val="auto"/>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FB2C5A"/>
    <w:multiLevelType w:val="multilevel"/>
    <w:tmpl w:val="8CDE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D2732"/>
    <w:multiLevelType w:val="hybridMultilevel"/>
    <w:tmpl w:val="D8642F2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22D74E51"/>
    <w:multiLevelType w:val="hybridMultilevel"/>
    <w:tmpl w:val="6F7E9E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AE01868"/>
    <w:multiLevelType w:val="hybridMultilevel"/>
    <w:tmpl w:val="1410E7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3D29109C"/>
    <w:multiLevelType w:val="hybridMultilevel"/>
    <w:tmpl w:val="CC4AF280"/>
    <w:styleLink w:val="Dash"/>
    <w:lvl w:ilvl="0" w:tplc="A5D216C6">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4A48D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A2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002358">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D21FE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0F854">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B0596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A4DEF6">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42160">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D465A16"/>
    <w:multiLevelType w:val="multilevel"/>
    <w:tmpl w:val="7024B24E"/>
    <w:lvl w:ilvl="0">
      <w:start w:val="1"/>
      <w:numFmt w:val="bullet"/>
      <w:pStyle w:val="Bullet"/>
      <w:lvlText w:val=""/>
      <w:lvlJc w:val="left"/>
      <w:pPr>
        <w:tabs>
          <w:tab w:val="num" w:pos="397"/>
        </w:tabs>
        <w:ind w:left="397" w:hanging="397"/>
      </w:pPr>
      <w:rPr>
        <w:rFonts w:ascii="Symbol" w:hAnsi="Symbol" w:hint="default"/>
        <w:color w:val="auto"/>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27701FB"/>
    <w:multiLevelType w:val="multilevel"/>
    <w:tmpl w:val="F012ABEA"/>
    <w:lvl w:ilvl="0">
      <w:start w:val="1"/>
      <w:numFmt w:val="bullet"/>
      <w:pStyle w:val="Sub-bulletHQSC"/>
      <w:lvlText w:val=""/>
      <w:lvlJc w:val="left"/>
      <w:pPr>
        <w:tabs>
          <w:tab w:val="num" w:pos="397"/>
        </w:tabs>
        <w:ind w:left="794"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F758FD"/>
    <w:multiLevelType w:val="multilevel"/>
    <w:tmpl w:val="2090BD38"/>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19164DA"/>
    <w:multiLevelType w:val="hybridMultilevel"/>
    <w:tmpl w:val="D00AA9B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6DF5E6B"/>
    <w:multiLevelType w:val="multilevel"/>
    <w:tmpl w:val="E9AC264C"/>
    <w:styleLink w:val="Style1"/>
    <w:lvl w:ilvl="0">
      <w:start w:val="1"/>
      <w:numFmt w:val="bullet"/>
      <w:lvlText w:val=""/>
      <w:lvlJc w:val="left"/>
      <w:pPr>
        <w:ind w:left="360" w:hanging="360"/>
      </w:pPr>
      <w:rPr>
        <w:rFonts w:ascii="Symbol" w:hAnsi="Symbol" w:hint="default"/>
        <w:b w:val="0"/>
        <w:bCs w:val="0"/>
        <w:i w:val="0"/>
        <w:iCs w:val="0"/>
        <w:color w:val="auto"/>
        <w:w w:val="100"/>
        <w:sz w:val="22"/>
        <w:szCs w:val="22"/>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15:restartNumberingAfterBreak="0">
    <w:nsid w:val="5BE47260"/>
    <w:multiLevelType w:val="hybridMultilevel"/>
    <w:tmpl w:val="2FB6DE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D4020BA"/>
    <w:multiLevelType w:val="hybridMultilevel"/>
    <w:tmpl w:val="2A4C14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65AD66E6"/>
    <w:multiLevelType w:val="hybridMultilevel"/>
    <w:tmpl w:val="A6B01E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60C07CC"/>
    <w:multiLevelType w:val="hybridMultilevel"/>
    <w:tmpl w:val="B20AAA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99098544">
    <w:abstractNumId w:val="6"/>
  </w:num>
  <w:num w:numId="2" w16cid:durableId="999843847">
    <w:abstractNumId w:val="0"/>
  </w:num>
  <w:num w:numId="3" w16cid:durableId="68894586">
    <w:abstractNumId w:val="11"/>
  </w:num>
  <w:num w:numId="4" w16cid:durableId="1016423024">
    <w:abstractNumId w:val="7"/>
  </w:num>
  <w:num w:numId="5" w16cid:durableId="519121977">
    <w:abstractNumId w:val="8"/>
  </w:num>
  <w:num w:numId="6" w16cid:durableId="1020005615">
    <w:abstractNumId w:val="5"/>
  </w:num>
  <w:num w:numId="7" w16cid:durableId="503470425">
    <w:abstractNumId w:val="13"/>
  </w:num>
  <w:num w:numId="8" w16cid:durableId="235941615">
    <w:abstractNumId w:val="15"/>
  </w:num>
  <w:num w:numId="9" w16cid:durableId="1206989486">
    <w:abstractNumId w:val="3"/>
  </w:num>
  <w:num w:numId="10" w16cid:durableId="1273244074">
    <w:abstractNumId w:val="4"/>
  </w:num>
  <w:num w:numId="11" w16cid:durableId="1345665900">
    <w:abstractNumId w:val="12"/>
  </w:num>
  <w:num w:numId="12" w16cid:durableId="212352550">
    <w:abstractNumId w:val="14"/>
  </w:num>
  <w:num w:numId="13" w16cid:durableId="1223296963">
    <w:abstractNumId w:val="10"/>
  </w:num>
  <w:num w:numId="14" w16cid:durableId="1160846570">
    <w:abstractNumId w:val="2"/>
  </w:num>
  <w:num w:numId="15" w16cid:durableId="286551040">
    <w:abstractNumId w:val="1"/>
  </w:num>
  <w:num w:numId="16" w16cid:durableId="96122662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7A"/>
    <w:rsid w:val="00000224"/>
    <w:rsid w:val="000012B6"/>
    <w:rsid w:val="00003978"/>
    <w:rsid w:val="00005986"/>
    <w:rsid w:val="00006679"/>
    <w:rsid w:val="00006B91"/>
    <w:rsid w:val="000072B5"/>
    <w:rsid w:val="00010C9C"/>
    <w:rsid w:val="00012CD3"/>
    <w:rsid w:val="00013921"/>
    <w:rsid w:val="00014BDF"/>
    <w:rsid w:val="000154D5"/>
    <w:rsid w:val="00015F44"/>
    <w:rsid w:val="00017216"/>
    <w:rsid w:val="00021A1A"/>
    <w:rsid w:val="000235D4"/>
    <w:rsid w:val="00024845"/>
    <w:rsid w:val="00024E72"/>
    <w:rsid w:val="000257A9"/>
    <w:rsid w:val="000257D7"/>
    <w:rsid w:val="000258DA"/>
    <w:rsid w:val="00026401"/>
    <w:rsid w:val="00027510"/>
    <w:rsid w:val="00033186"/>
    <w:rsid w:val="0003438B"/>
    <w:rsid w:val="00040C2D"/>
    <w:rsid w:val="00043083"/>
    <w:rsid w:val="000432B5"/>
    <w:rsid w:val="00044120"/>
    <w:rsid w:val="0004561D"/>
    <w:rsid w:val="00046A87"/>
    <w:rsid w:val="00050155"/>
    <w:rsid w:val="00051CC0"/>
    <w:rsid w:val="0005287A"/>
    <w:rsid w:val="00052B4C"/>
    <w:rsid w:val="0005318A"/>
    <w:rsid w:val="0005504C"/>
    <w:rsid w:val="00057098"/>
    <w:rsid w:val="00057F11"/>
    <w:rsid w:val="00062644"/>
    <w:rsid w:val="00062B82"/>
    <w:rsid w:val="000660B2"/>
    <w:rsid w:val="00066171"/>
    <w:rsid w:val="00070AEC"/>
    <w:rsid w:val="00071CE6"/>
    <w:rsid w:val="00072854"/>
    <w:rsid w:val="00072B90"/>
    <w:rsid w:val="00077C36"/>
    <w:rsid w:val="00081524"/>
    <w:rsid w:val="00081BDF"/>
    <w:rsid w:val="00081E3B"/>
    <w:rsid w:val="000822D3"/>
    <w:rsid w:val="00084593"/>
    <w:rsid w:val="000845FC"/>
    <w:rsid w:val="00085D5A"/>
    <w:rsid w:val="0008726B"/>
    <w:rsid w:val="00087711"/>
    <w:rsid w:val="00092A37"/>
    <w:rsid w:val="00096C19"/>
    <w:rsid w:val="000A1461"/>
    <w:rsid w:val="000A33FA"/>
    <w:rsid w:val="000A5622"/>
    <w:rsid w:val="000B111C"/>
    <w:rsid w:val="000B3931"/>
    <w:rsid w:val="000C107C"/>
    <w:rsid w:val="000C1227"/>
    <w:rsid w:val="000C1317"/>
    <w:rsid w:val="000C3579"/>
    <w:rsid w:val="000C71F5"/>
    <w:rsid w:val="000D57BF"/>
    <w:rsid w:val="000D7E4B"/>
    <w:rsid w:val="000E0685"/>
    <w:rsid w:val="000E13B5"/>
    <w:rsid w:val="000E26F9"/>
    <w:rsid w:val="000E3B9D"/>
    <w:rsid w:val="000E44A4"/>
    <w:rsid w:val="000E5B30"/>
    <w:rsid w:val="000E7AAA"/>
    <w:rsid w:val="000F32D0"/>
    <w:rsid w:val="000F3D49"/>
    <w:rsid w:val="000F7471"/>
    <w:rsid w:val="00101302"/>
    <w:rsid w:val="00104BBC"/>
    <w:rsid w:val="00105E23"/>
    <w:rsid w:val="00106ECE"/>
    <w:rsid w:val="00111058"/>
    <w:rsid w:val="001111D6"/>
    <w:rsid w:val="001123E1"/>
    <w:rsid w:val="00115489"/>
    <w:rsid w:val="00115AEB"/>
    <w:rsid w:val="001249E2"/>
    <w:rsid w:val="0013118C"/>
    <w:rsid w:val="00131E3D"/>
    <w:rsid w:val="00133CAD"/>
    <w:rsid w:val="00133F6A"/>
    <w:rsid w:val="00134B76"/>
    <w:rsid w:val="00134F5C"/>
    <w:rsid w:val="001378CA"/>
    <w:rsid w:val="00140AAC"/>
    <w:rsid w:val="00141381"/>
    <w:rsid w:val="00144808"/>
    <w:rsid w:val="00147145"/>
    <w:rsid w:val="00150EC1"/>
    <w:rsid w:val="00150EE7"/>
    <w:rsid w:val="00150F2F"/>
    <w:rsid w:val="00153C73"/>
    <w:rsid w:val="00155C17"/>
    <w:rsid w:val="001567AD"/>
    <w:rsid w:val="00157D74"/>
    <w:rsid w:val="00163433"/>
    <w:rsid w:val="001639FA"/>
    <w:rsid w:val="00164036"/>
    <w:rsid w:val="001653C7"/>
    <w:rsid w:val="00165B6D"/>
    <w:rsid w:val="001708BC"/>
    <w:rsid w:val="00172C43"/>
    <w:rsid w:val="0017350C"/>
    <w:rsid w:val="00173B88"/>
    <w:rsid w:val="00174916"/>
    <w:rsid w:val="00174FB1"/>
    <w:rsid w:val="00176938"/>
    <w:rsid w:val="001800E7"/>
    <w:rsid w:val="001808A1"/>
    <w:rsid w:val="00183219"/>
    <w:rsid w:val="00183294"/>
    <w:rsid w:val="00183F98"/>
    <w:rsid w:val="001855AF"/>
    <w:rsid w:val="001855EA"/>
    <w:rsid w:val="00185F52"/>
    <w:rsid w:val="00185FC8"/>
    <w:rsid w:val="00186ECF"/>
    <w:rsid w:val="001874D9"/>
    <w:rsid w:val="00191179"/>
    <w:rsid w:val="00193951"/>
    <w:rsid w:val="0019407B"/>
    <w:rsid w:val="0019421C"/>
    <w:rsid w:val="00195CA8"/>
    <w:rsid w:val="00195DD1"/>
    <w:rsid w:val="00196007"/>
    <w:rsid w:val="001A02AD"/>
    <w:rsid w:val="001A132C"/>
    <w:rsid w:val="001A2D6F"/>
    <w:rsid w:val="001A3A83"/>
    <w:rsid w:val="001A44E7"/>
    <w:rsid w:val="001A6553"/>
    <w:rsid w:val="001B161C"/>
    <w:rsid w:val="001B4650"/>
    <w:rsid w:val="001B599E"/>
    <w:rsid w:val="001B6919"/>
    <w:rsid w:val="001B6AEC"/>
    <w:rsid w:val="001B75C1"/>
    <w:rsid w:val="001C2409"/>
    <w:rsid w:val="001D0822"/>
    <w:rsid w:val="001D15BA"/>
    <w:rsid w:val="001D493A"/>
    <w:rsid w:val="001D6130"/>
    <w:rsid w:val="001D6AAD"/>
    <w:rsid w:val="001E06DF"/>
    <w:rsid w:val="001E0B57"/>
    <w:rsid w:val="001E5EE7"/>
    <w:rsid w:val="001E6A9F"/>
    <w:rsid w:val="001F04FD"/>
    <w:rsid w:val="001F1896"/>
    <w:rsid w:val="001F2B89"/>
    <w:rsid w:val="001F2C3E"/>
    <w:rsid w:val="001F3461"/>
    <w:rsid w:val="001F580F"/>
    <w:rsid w:val="0020107E"/>
    <w:rsid w:val="00203EA2"/>
    <w:rsid w:val="00204A3A"/>
    <w:rsid w:val="00204C23"/>
    <w:rsid w:val="00204D5C"/>
    <w:rsid w:val="00205657"/>
    <w:rsid w:val="00205AD6"/>
    <w:rsid w:val="00207184"/>
    <w:rsid w:val="002072B9"/>
    <w:rsid w:val="00207606"/>
    <w:rsid w:val="002078C0"/>
    <w:rsid w:val="00210F0E"/>
    <w:rsid w:val="002121B9"/>
    <w:rsid w:val="0021261B"/>
    <w:rsid w:val="00214067"/>
    <w:rsid w:val="0021619F"/>
    <w:rsid w:val="00216F8D"/>
    <w:rsid w:val="00217705"/>
    <w:rsid w:val="002201B7"/>
    <w:rsid w:val="00225BC0"/>
    <w:rsid w:val="00225E3E"/>
    <w:rsid w:val="0023054B"/>
    <w:rsid w:val="00232A4B"/>
    <w:rsid w:val="002339EA"/>
    <w:rsid w:val="002350AA"/>
    <w:rsid w:val="002357F4"/>
    <w:rsid w:val="002371B4"/>
    <w:rsid w:val="00237533"/>
    <w:rsid w:val="002403A0"/>
    <w:rsid w:val="00241492"/>
    <w:rsid w:val="00241EEA"/>
    <w:rsid w:val="002431B4"/>
    <w:rsid w:val="0024350D"/>
    <w:rsid w:val="00244839"/>
    <w:rsid w:val="00245178"/>
    <w:rsid w:val="0024579F"/>
    <w:rsid w:val="00245B70"/>
    <w:rsid w:val="002514A1"/>
    <w:rsid w:val="00252B7B"/>
    <w:rsid w:val="00255FF4"/>
    <w:rsid w:val="0026080F"/>
    <w:rsid w:val="00261837"/>
    <w:rsid w:val="002654FB"/>
    <w:rsid w:val="002661D1"/>
    <w:rsid w:val="00266486"/>
    <w:rsid w:val="002665C5"/>
    <w:rsid w:val="00271246"/>
    <w:rsid w:val="0027152B"/>
    <w:rsid w:val="002727FB"/>
    <w:rsid w:val="00272AA4"/>
    <w:rsid w:val="002732A8"/>
    <w:rsid w:val="0027349F"/>
    <w:rsid w:val="00277A57"/>
    <w:rsid w:val="00280BED"/>
    <w:rsid w:val="00280BF7"/>
    <w:rsid w:val="00284CDD"/>
    <w:rsid w:val="00285335"/>
    <w:rsid w:val="00286FBB"/>
    <w:rsid w:val="0028796F"/>
    <w:rsid w:val="00287D53"/>
    <w:rsid w:val="0029029C"/>
    <w:rsid w:val="0029076C"/>
    <w:rsid w:val="00290FD5"/>
    <w:rsid w:val="00291E66"/>
    <w:rsid w:val="002924EE"/>
    <w:rsid w:val="00292A3B"/>
    <w:rsid w:val="00293A60"/>
    <w:rsid w:val="00295824"/>
    <w:rsid w:val="00296176"/>
    <w:rsid w:val="0029676C"/>
    <w:rsid w:val="002969D8"/>
    <w:rsid w:val="00297582"/>
    <w:rsid w:val="00297676"/>
    <w:rsid w:val="00297B4B"/>
    <w:rsid w:val="00297EE7"/>
    <w:rsid w:val="002A2337"/>
    <w:rsid w:val="002A31DA"/>
    <w:rsid w:val="002A3516"/>
    <w:rsid w:val="002A50F3"/>
    <w:rsid w:val="002B1199"/>
    <w:rsid w:val="002B49A7"/>
    <w:rsid w:val="002B4FF6"/>
    <w:rsid w:val="002B5C36"/>
    <w:rsid w:val="002B740D"/>
    <w:rsid w:val="002C0F0C"/>
    <w:rsid w:val="002C436C"/>
    <w:rsid w:val="002C79E3"/>
    <w:rsid w:val="002C79E4"/>
    <w:rsid w:val="002D1C4E"/>
    <w:rsid w:val="002D1E1F"/>
    <w:rsid w:val="002D22C7"/>
    <w:rsid w:val="002D2555"/>
    <w:rsid w:val="002D418A"/>
    <w:rsid w:val="002E1666"/>
    <w:rsid w:val="002E1AF9"/>
    <w:rsid w:val="002E2CCF"/>
    <w:rsid w:val="002E547C"/>
    <w:rsid w:val="002E5A0A"/>
    <w:rsid w:val="002E7831"/>
    <w:rsid w:val="002F269E"/>
    <w:rsid w:val="002F2893"/>
    <w:rsid w:val="002F5884"/>
    <w:rsid w:val="002F60F1"/>
    <w:rsid w:val="002F6704"/>
    <w:rsid w:val="002F6DFC"/>
    <w:rsid w:val="003003DA"/>
    <w:rsid w:val="00300830"/>
    <w:rsid w:val="0030109F"/>
    <w:rsid w:val="00301AB6"/>
    <w:rsid w:val="00303EF1"/>
    <w:rsid w:val="00310A90"/>
    <w:rsid w:val="00314261"/>
    <w:rsid w:val="00316108"/>
    <w:rsid w:val="003177D6"/>
    <w:rsid w:val="003202D0"/>
    <w:rsid w:val="00321B2C"/>
    <w:rsid w:val="00321EA9"/>
    <w:rsid w:val="00322BE9"/>
    <w:rsid w:val="00322D9D"/>
    <w:rsid w:val="003249D2"/>
    <w:rsid w:val="00324F07"/>
    <w:rsid w:val="00331952"/>
    <w:rsid w:val="00331D2C"/>
    <w:rsid w:val="0033327B"/>
    <w:rsid w:val="0033386F"/>
    <w:rsid w:val="003357FE"/>
    <w:rsid w:val="003362F8"/>
    <w:rsid w:val="00340841"/>
    <w:rsid w:val="00342533"/>
    <w:rsid w:val="0034255E"/>
    <w:rsid w:val="003435A2"/>
    <w:rsid w:val="00343AEE"/>
    <w:rsid w:val="003444D1"/>
    <w:rsid w:val="003451B3"/>
    <w:rsid w:val="00345201"/>
    <w:rsid w:val="00345ACC"/>
    <w:rsid w:val="00346768"/>
    <w:rsid w:val="003470AA"/>
    <w:rsid w:val="00350934"/>
    <w:rsid w:val="00351DBE"/>
    <w:rsid w:val="00351F00"/>
    <w:rsid w:val="00351FFF"/>
    <w:rsid w:val="003557A9"/>
    <w:rsid w:val="003558C2"/>
    <w:rsid w:val="00356454"/>
    <w:rsid w:val="0035680A"/>
    <w:rsid w:val="0036225A"/>
    <w:rsid w:val="0036467D"/>
    <w:rsid w:val="0036468A"/>
    <w:rsid w:val="00364E2B"/>
    <w:rsid w:val="00366645"/>
    <w:rsid w:val="00366872"/>
    <w:rsid w:val="00366971"/>
    <w:rsid w:val="00367984"/>
    <w:rsid w:val="00370C0F"/>
    <w:rsid w:val="003720D9"/>
    <w:rsid w:val="00372989"/>
    <w:rsid w:val="00373415"/>
    <w:rsid w:val="00373749"/>
    <w:rsid w:val="00374EB2"/>
    <w:rsid w:val="003751B1"/>
    <w:rsid w:val="00377158"/>
    <w:rsid w:val="00380044"/>
    <w:rsid w:val="0038042C"/>
    <w:rsid w:val="00381131"/>
    <w:rsid w:val="00383DFC"/>
    <w:rsid w:val="00386712"/>
    <w:rsid w:val="003900C4"/>
    <w:rsid w:val="00390A08"/>
    <w:rsid w:val="00392536"/>
    <w:rsid w:val="00392C96"/>
    <w:rsid w:val="003968FB"/>
    <w:rsid w:val="003975AF"/>
    <w:rsid w:val="003A1838"/>
    <w:rsid w:val="003A3D1C"/>
    <w:rsid w:val="003A5B9E"/>
    <w:rsid w:val="003A5F18"/>
    <w:rsid w:val="003A7CB9"/>
    <w:rsid w:val="003B13D7"/>
    <w:rsid w:val="003B2535"/>
    <w:rsid w:val="003B5AD7"/>
    <w:rsid w:val="003B5D9C"/>
    <w:rsid w:val="003B6C8D"/>
    <w:rsid w:val="003B7471"/>
    <w:rsid w:val="003B784D"/>
    <w:rsid w:val="003C45E1"/>
    <w:rsid w:val="003C62EC"/>
    <w:rsid w:val="003C664D"/>
    <w:rsid w:val="003C7D7B"/>
    <w:rsid w:val="003D19E6"/>
    <w:rsid w:val="003D3177"/>
    <w:rsid w:val="003E0E28"/>
    <w:rsid w:val="003E1978"/>
    <w:rsid w:val="003E203C"/>
    <w:rsid w:val="003E2238"/>
    <w:rsid w:val="003E38E3"/>
    <w:rsid w:val="003E3AAE"/>
    <w:rsid w:val="003E4E71"/>
    <w:rsid w:val="003E52D6"/>
    <w:rsid w:val="003E7E65"/>
    <w:rsid w:val="003F0791"/>
    <w:rsid w:val="003F3DBD"/>
    <w:rsid w:val="003F5A26"/>
    <w:rsid w:val="003F6758"/>
    <w:rsid w:val="00401049"/>
    <w:rsid w:val="004015F9"/>
    <w:rsid w:val="00402A50"/>
    <w:rsid w:val="0040657D"/>
    <w:rsid w:val="00407713"/>
    <w:rsid w:val="00407CA8"/>
    <w:rsid w:val="00410D2D"/>
    <w:rsid w:val="004114BA"/>
    <w:rsid w:val="00411BBC"/>
    <w:rsid w:val="0041311D"/>
    <w:rsid w:val="00416629"/>
    <w:rsid w:val="004201E0"/>
    <w:rsid w:val="00422D63"/>
    <w:rsid w:val="004241B9"/>
    <w:rsid w:val="004258F9"/>
    <w:rsid w:val="00425AA0"/>
    <w:rsid w:val="00427E39"/>
    <w:rsid w:val="00430126"/>
    <w:rsid w:val="00430DB9"/>
    <w:rsid w:val="00432DE0"/>
    <w:rsid w:val="00433D6F"/>
    <w:rsid w:val="004363F2"/>
    <w:rsid w:val="0043743D"/>
    <w:rsid w:val="00442396"/>
    <w:rsid w:val="00442889"/>
    <w:rsid w:val="00443CD7"/>
    <w:rsid w:val="00443E53"/>
    <w:rsid w:val="00444364"/>
    <w:rsid w:val="00444CA0"/>
    <w:rsid w:val="004458DE"/>
    <w:rsid w:val="00445D3F"/>
    <w:rsid w:val="004466EF"/>
    <w:rsid w:val="00447327"/>
    <w:rsid w:val="0045000E"/>
    <w:rsid w:val="0045625C"/>
    <w:rsid w:val="004562E8"/>
    <w:rsid w:val="00457006"/>
    <w:rsid w:val="0045730F"/>
    <w:rsid w:val="00461116"/>
    <w:rsid w:val="00461690"/>
    <w:rsid w:val="00461A9A"/>
    <w:rsid w:val="00461AE6"/>
    <w:rsid w:val="00462C4A"/>
    <w:rsid w:val="00462D7A"/>
    <w:rsid w:val="004639D3"/>
    <w:rsid w:val="004646D9"/>
    <w:rsid w:val="004660F2"/>
    <w:rsid w:val="00470861"/>
    <w:rsid w:val="0047638D"/>
    <w:rsid w:val="0047654C"/>
    <w:rsid w:val="00481FB8"/>
    <w:rsid w:val="0048247F"/>
    <w:rsid w:val="00482494"/>
    <w:rsid w:val="004846B0"/>
    <w:rsid w:val="004857E1"/>
    <w:rsid w:val="004871D9"/>
    <w:rsid w:val="004907D7"/>
    <w:rsid w:val="00491A4B"/>
    <w:rsid w:val="004947A0"/>
    <w:rsid w:val="00494D22"/>
    <w:rsid w:val="0049681B"/>
    <w:rsid w:val="004968AD"/>
    <w:rsid w:val="004A0DE8"/>
    <w:rsid w:val="004A174F"/>
    <w:rsid w:val="004A182F"/>
    <w:rsid w:val="004A1ACA"/>
    <w:rsid w:val="004A1E32"/>
    <w:rsid w:val="004A4642"/>
    <w:rsid w:val="004A54CE"/>
    <w:rsid w:val="004A6075"/>
    <w:rsid w:val="004A6944"/>
    <w:rsid w:val="004B0E7D"/>
    <w:rsid w:val="004B2CAB"/>
    <w:rsid w:val="004B3769"/>
    <w:rsid w:val="004B387A"/>
    <w:rsid w:val="004B51A9"/>
    <w:rsid w:val="004B7369"/>
    <w:rsid w:val="004B753E"/>
    <w:rsid w:val="004B76AE"/>
    <w:rsid w:val="004B7A58"/>
    <w:rsid w:val="004B7CE3"/>
    <w:rsid w:val="004C24CF"/>
    <w:rsid w:val="004C3B76"/>
    <w:rsid w:val="004C4B0B"/>
    <w:rsid w:val="004C53BA"/>
    <w:rsid w:val="004C5EEA"/>
    <w:rsid w:val="004C5F44"/>
    <w:rsid w:val="004C6CC9"/>
    <w:rsid w:val="004C7A4B"/>
    <w:rsid w:val="004D0AD0"/>
    <w:rsid w:val="004D1D5A"/>
    <w:rsid w:val="004D2A1D"/>
    <w:rsid w:val="004D2B4F"/>
    <w:rsid w:val="004D441C"/>
    <w:rsid w:val="004D5A79"/>
    <w:rsid w:val="004D6605"/>
    <w:rsid w:val="004D6696"/>
    <w:rsid w:val="004E0317"/>
    <w:rsid w:val="004E04D9"/>
    <w:rsid w:val="004E1A8C"/>
    <w:rsid w:val="004E1DD4"/>
    <w:rsid w:val="004E2761"/>
    <w:rsid w:val="004E3AC4"/>
    <w:rsid w:val="004E4BE9"/>
    <w:rsid w:val="004E6CE7"/>
    <w:rsid w:val="004E70AC"/>
    <w:rsid w:val="004F0CFB"/>
    <w:rsid w:val="004F103C"/>
    <w:rsid w:val="004F13B2"/>
    <w:rsid w:val="004F5C5C"/>
    <w:rsid w:val="004F6871"/>
    <w:rsid w:val="004F6A08"/>
    <w:rsid w:val="004F77D9"/>
    <w:rsid w:val="005000D3"/>
    <w:rsid w:val="005025A1"/>
    <w:rsid w:val="00504481"/>
    <w:rsid w:val="005046A6"/>
    <w:rsid w:val="0050473D"/>
    <w:rsid w:val="00504F4D"/>
    <w:rsid w:val="00505999"/>
    <w:rsid w:val="00510D39"/>
    <w:rsid w:val="00513398"/>
    <w:rsid w:val="00513B6B"/>
    <w:rsid w:val="0051584E"/>
    <w:rsid w:val="00515879"/>
    <w:rsid w:val="005166FD"/>
    <w:rsid w:val="00522D10"/>
    <w:rsid w:val="005240E9"/>
    <w:rsid w:val="005267A2"/>
    <w:rsid w:val="0052725F"/>
    <w:rsid w:val="00530F66"/>
    <w:rsid w:val="00533F38"/>
    <w:rsid w:val="005351ED"/>
    <w:rsid w:val="0053548A"/>
    <w:rsid w:val="0053668A"/>
    <w:rsid w:val="005369FF"/>
    <w:rsid w:val="005378C9"/>
    <w:rsid w:val="00540003"/>
    <w:rsid w:val="00547A7D"/>
    <w:rsid w:val="00547B8C"/>
    <w:rsid w:val="00551DD8"/>
    <w:rsid w:val="005537D0"/>
    <w:rsid w:val="00553FE5"/>
    <w:rsid w:val="005557C1"/>
    <w:rsid w:val="00555C13"/>
    <w:rsid w:val="00561028"/>
    <w:rsid w:val="00564044"/>
    <w:rsid w:val="00564C0C"/>
    <w:rsid w:val="00566A3D"/>
    <w:rsid w:val="00572C53"/>
    <w:rsid w:val="00577519"/>
    <w:rsid w:val="00580F29"/>
    <w:rsid w:val="005820DB"/>
    <w:rsid w:val="005825AC"/>
    <w:rsid w:val="0058260A"/>
    <w:rsid w:val="0058455D"/>
    <w:rsid w:val="00584623"/>
    <w:rsid w:val="00584CF8"/>
    <w:rsid w:val="00585C3E"/>
    <w:rsid w:val="005868D0"/>
    <w:rsid w:val="00586CE4"/>
    <w:rsid w:val="00587A35"/>
    <w:rsid w:val="00592258"/>
    <w:rsid w:val="00594523"/>
    <w:rsid w:val="005A4781"/>
    <w:rsid w:val="005A56FB"/>
    <w:rsid w:val="005A5B29"/>
    <w:rsid w:val="005A6D47"/>
    <w:rsid w:val="005A700E"/>
    <w:rsid w:val="005B033F"/>
    <w:rsid w:val="005B28AA"/>
    <w:rsid w:val="005B59BC"/>
    <w:rsid w:val="005B66C3"/>
    <w:rsid w:val="005B68AE"/>
    <w:rsid w:val="005C0C4B"/>
    <w:rsid w:val="005C48F2"/>
    <w:rsid w:val="005C5699"/>
    <w:rsid w:val="005C5F23"/>
    <w:rsid w:val="005D037E"/>
    <w:rsid w:val="005D0EEA"/>
    <w:rsid w:val="005D3E4C"/>
    <w:rsid w:val="005D65F2"/>
    <w:rsid w:val="005E1C29"/>
    <w:rsid w:val="005E2D94"/>
    <w:rsid w:val="005E3A56"/>
    <w:rsid w:val="005E404B"/>
    <w:rsid w:val="005E41F1"/>
    <w:rsid w:val="005E48B0"/>
    <w:rsid w:val="005E6731"/>
    <w:rsid w:val="005F0F0E"/>
    <w:rsid w:val="005F2209"/>
    <w:rsid w:val="005F2B44"/>
    <w:rsid w:val="005F35AD"/>
    <w:rsid w:val="005F469B"/>
    <w:rsid w:val="005F4B73"/>
    <w:rsid w:val="005F4F38"/>
    <w:rsid w:val="005F5361"/>
    <w:rsid w:val="005F6985"/>
    <w:rsid w:val="005F69C6"/>
    <w:rsid w:val="0060073B"/>
    <w:rsid w:val="0060084D"/>
    <w:rsid w:val="00601C44"/>
    <w:rsid w:val="00602DDF"/>
    <w:rsid w:val="00602F25"/>
    <w:rsid w:val="0060398B"/>
    <w:rsid w:val="0060435D"/>
    <w:rsid w:val="00604689"/>
    <w:rsid w:val="00605688"/>
    <w:rsid w:val="00606E99"/>
    <w:rsid w:val="00607ADA"/>
    <w:rsid w:val="006106E8"/>
    <w:rsid w:val="006107EF"/>
    <w:rsid w:val="00610BC7"/>
    <w:rsid w:val="00611534"/>
    <w:rsid w:val="0061212E"/>
    <w:rsid w:val="00615048"/>
    <w:rsid w:val="0061799B"/>
    <w:rsid w:val="00617FC2"/>
    <w:rsid w:val="0062308A"/>
    <w:rsid w:val="00625245"/>
    <w:rsid w:val="00630927"/>
    <w:rsid w:val="00630A1A"/>
    <w:rsid w:val="00630E96"/>
    <w:rsid w:val="00632295"/>
    <w:rsid w:val="00632461"/>
    <w:rsid w:val="00633A63"/>
    <w:rsid w:val="00635F6B"/>
    <w:rsid w:val="00636A85"/>
    <w:rsid w:val="00637021"/>
    <w:rsid w:val="00640803"/>
    <w:rsid w:val="00640F2D"/>
    <w:rsid w:val="0064198B"/>
    <w:rsid w:val="00641AC2"/>
    <w:rsid w:val="00645029"/>
    <w:rsid w:val="00645A0E"/>
    <w:rsid w:val="006469DF"/>
    <w:rsid w:val="00646AB1"/>
    <w:rsid w:val="006501CA"/>
    <w:rsid w:val="0065073D"/>
    <w:rsid w:val="00651E9F"/>
    <w:rsid w:val="00651EE8"/>
    <w:rsid w:val="00652731"/>
    <w:rsid w:val="006531B9"/>
    <w:rsid w:val="006535A0"/>
    <w:rsid w:val="0065374E"/>
    <w:rsid w:val="00653A83"/>
    <w:rsid w:val="0065535B"/>
    <w:rsid w:val="00655CAB"/>
    <w:rsid w:val="00655CCE"/>
    <w:rsid w:val="00657071"/>
    <w:rsid w:val="00662839"/>
    <w:rsid w:val="00662F45"/>
    <w:rsid w:val="006654B8"/>
    <w:rsid w:val="006657D7"/>
    <w:rsid w:val="00665C19"/>
    <w:rsid w:val="00665D22"/>
    <w:rsid w:val="0066692C"/>
    <w:rsid w:val="00666DCC"/>
    <w:rsid w:val="00667365"/>
    <w:rsid w:val="00672126"/>
    <w:rsid w:val="006723EE"/>
    <w:rsid w:val="00672B38"/>
    <w:rsid w:val="00672F1B"/>
    <w:rsid w:val="0067432D"/>
    <w:rsid w:val="00674368"/>
    <w:rsid w:val="00675B7E"/>
    <w:rsid w:val="0067764B"/>
    <w:rsid w:val="0067780B"/>
    <w:rsid w:val="00677DF6"/>
    <w:rsid w:val="00680240"/>
    <w:rsid w:val="006821D2"/>
    <w:rsid w:val="00682788"/>
    <w:rsid w:val="00682807"/>
    <w:rsid w:val="0068295F"/>
    <w:rsid w:val="00682F03"/>
    <w:rsid w:val="0068435B"/>
    <w:rsid w:val="00684453"/>
    <w:rsid w:val="0069060A"/>
    <w:rsid w:val="006907DA"/>
    <w:rsid w:val="00691F5B"/>
    <w:rsid w:val="00692595"/>
    <w:rsid w:val="0069441C"/>
    <w:rsid w:val="0069577C"/>
    <w:rsid w:val="006957E1"/>
    <w:rsid w:val="006959CE"/>
    <w:rsid w:val="00695C2D"/>
    <w:rsid w:val="006960D0"/>
    <w:rsid w:val="00696DEB"/>
    <w:rsid w:val="00697C79"/>
    <w:rsid w:val="006A3910"/>
    <w:rsid w:val="006A473A"/>
    <w:rsid w:val="006A4D2F"/>
    <w:rsid w:val="006A4E3B"/>
    <w:rsid w:val="006A6F8D"/>
    <w:rsid w:val="006A7E69"/>
    <w:rsid w:val="006B1AE7"/>
    <w:rsid w:val="006B2F4A"/>
    <w:rsid w:val="006B4B65"/>
    <w:rsid w:val="006B4D89"/>
    <w:rsid w:val="006B4E4A"/>
    <w:rsid w:val="006B61D0"/>
    <w:rsid w:val="006B7508"/>
    <w:rsid w:val="006C0A76"/>
    <w:rsid w:val="006C29BC"/>
    <w:rsid w:val="006C4DC7"/>
    <w:rsid w:val="006C6809"/>
    <w:rsid w:val="006D2995"/>
    <w:rsid w:val="006D341B"/>
    <w:rsid w:val="006D3D27"/>
    <w:rsid w:val="006D4188"/>
    <w:rsid w:val="006D4BD1"/>
    <w:rsid w:val="006D666D"/>
    <w:rsid w:val="006E00EE"/>
    <w:rsid w:val="006E0CBC"/>
    <w:rsid w:val="006E1EC2"/>
    <w:rsid w:val="006E3D7B"/>
    <w:rsid w:val="006E4525"/>
    <w:rsid w:val="006E5039"/>
    <w:rsid w:val="006E706A"/>
    <w:rsid w:val="006F07CA"/>
    <w:rsid w:val="006F0864"/>
    <w:rsid w:val="006F4F4B"/>
    <w:rsid w:val="006F65C5"/>
    <w:rsid w:val="006F6E26"/>
    <w:rsid w:val="006F7428"/>
    <w:rsid w:val="00701E69"/>
    <w:rsid w:val="00702438"/>
    <w:rsid w:val="00703375"/>
    <w:rsid w:val="007033C6"/>
    <w:rsid w:val="0070662E"/>
    <w:rsid w:val="00707E7B"/>
    <w:rsid w:val="00710234"/>
    <w:rsid w:val="00710F71"/>
    <w:rsid w:val="007111E9"/>
    <w:rsid w:val="00712ECD"/>
    <w:rsid w:val="00713B85"/>
    <w:rsid w:val="00716634"/>
    <w:rsid w:val="00717062"/>
    <w:rsid w:val="00721558"/>
    <w:rsid w:val="00722C09"/>
    <w:rsid w:val="007248A2"/>
    <w:rsid w:val="00726CFD"/>
    <w:rsid w:val="00732FBC"/>
    <w:rsid w:val="007343E3"/>
    <w:rsid w:val="007347F0"/>
    <w:rsid w:val="007351D5"/>
    <w:rsid w:val="00735402"/>
    <w:rsid w:val="00737238"/>
    <w:rsid w:val="007415A2"/>
    <w:rsid w:val="00742B6C"/>
    <w:rsid w:val="007468C8"/>
    <w:rsid w:val="00747414"/>
    <w:rsid w:val="00751561"/>
    <w:rsid w:val="00752144"/>
    <w:rsid w:val="00753E97"/>
    <w:rsid w:val="00755B43"/>
    <w:rsid w:val="0075688B"/>
    <w:rsid w:val="00757C3D"/>
    <w:rsid w:val="00757FD8"/>
    <w:rsid w:val="00760894"/>
    <w:rsid w:val="00762438"/>
    <w:rsid w:val="00763701"/>
    <w:rsid w:val="00763715"/>
    <w:rsid w:val="00764327"/>
    <w:rsid w:val="00764E9F"/>
    <w:rsid w:val="00766661"/>
    <w:rsid w:val="00770D2E"/>
    <w:rsid w:val="00771E61"/>
    <w:rsid w:val="00774EA9"/>
    <w:rsid w:val="00777261"/>
    <w:rsid w:val="00785021"/>
    <w:rsid w:val="007852F8"/>
    <w:rsid w:val="00785962"/>
    <w:rsid w:val="00786552"/>
    <w:rsid w:val="00790B45"/>
    <w:rsid w:val="007922E7"/>
    <w:rsid w:val="00792BD4"/>
    <w:rsid w:val="00792E41"/>
    <w:rsid w:val="00792E4C"/>
    <w:rsid w:val="0079592E"/>
    <w:rsid w:val="00796EFF"/>
    <w:rsid w:val="00797213"/>
    <w:rsid w:val="007A009D"/>
    <w:rsid w:val="007A0445"/>
    <w:rsid w:val="007A13D0"/>
    <w:rsid w:val="007A2C61"/>
    <w:rsid w:val="007A4FB8"/>
    <w:rsid w:val="007A570B"/>
    <w:rsid w:val="007B151D"/>
    <w:rsid w:val="007B2DF3"/>
    <w:rsid w:val="007B2E6E"/>
    <w:rsid w:val="007B490D"/>
    <w:rsid w:val="007C1183"/>
    <w:rsid w:val="007C13AC"/>
    <w:rsid w:val="007C2E58"/>
    <w:rsid w:val="007C309C"/>
    <w:rsid w:val="007C3522"/>
    <w:rsid w:val="007C454E"/>
    <w:rsid w:val="007C4613"/>
    <w:rsid w:val="007C501E"/>
    <w:rsid w:val="007C6591"/>
    <w:rsid w:val="007C7ED1"/>
    <w:rsid w:val="007D09BE"/>
    <w:rsid w:val="007D0E79"/>
    <w:rsid w:val="007D0F17"/>
    <w:rsid w:val="007D219A"/>
    <w:rsid w:val="007D34AD"/>
    <w:rsid w:val="007D58A3"/>
    <w:rsid w:val="007E0634"/>
    <w:rsid w:val="007E2105"/>
    <w:rsid w:val="007E2912"/>
    <w:rsid w:val="007E2F75"/>
    <w:rsid w:val="007E5241"/>
    <w:rsid w:val="007E5931"/>
    <w:rsid w:val="007E6C31"/>
    <w:rsid w:val="007F2D3B"/>
    <w:rsid w:val="007F694F"/>
    <w:rsid w:val="007F7612"/>
    <w:rsid w:val="007F79FC"/>
    <w:rsid w:val="0080177C"/>
    <w:rsid w:val="00801A1F"/>
    <w:rsid w:val="00801CF5"/>
    <w:rsid w:val="0080238B"/>
    <w:rsid w:val="00802A41"/>
    <w:rsid w:val="00803339"/>
    <w:rsid w:val="008036BA"/>
    <w:rsid w:val="00803A71"/>
    <w:rsid w:val="0080549C"/>
    <w:rsid w:val="00806A50"/>
    <w:rsid w:val="00806EDE"/>
    <w:rsid w:val="00811357"/>
    <w:rsid w:val="008115CF"/>
    <w:rsid w:val="008131B0"/>
    <w:rsid w:val="00816A83"/>
    <w:rsid w:val="0081771A"/>
    <w:rsid w:val="0082035C"/>
    <w:rsid w:val="00821810"/>
    <w:rsid w:val="00822A63"/>
    <w:rsid w:val="00824853"/>
    <w:rsid w:val="00824B1B"/>
    <w:rsid w:val="008332F5"/>
    <w:rsid w:val="00833405"/>
    <w:rsid w:val="00833922"/>
    <w:rsid w:val="00836C24"/>
    <w:rsid w:val="00841260"/>
    <w:rsid w:val="00842E48"/>
    <w:rsid w:val="00845529"/>
    <w:rsid w:val="0084592B"/>
    <w:rsid w:val="00845F20"/>
    <w:rsid w:val="0084633E"/>
    <w:rsid w:val="00846C16"/>
    <w:rsid w:val="008474CD"/>
    <w:rsid w:val="0085071D"/>
    <w:rsid w:val="008508B8"/>
    <w:rsid w:val="00851905"/>
    <w:rsid w:val="00853195"/>
    <w:rsid w:val="0085597F"/>
    <w:rsid w:val="00857B7F"/>
    <w:rsid w:val="008601B0"/>
    <w:rsid w:val="00861C08"/>
    <w:rsid w:val="00865172"/>
    <w:rsid w:val="00866799"/>
    <w:rsid w:val="00866ECA"/>
    <w:rsid w:val="0087040B"/>
    <w:rsid w:val="008715CB"/>
    <w:rsid w:val="00871E47"/>
    <w:rsid w:val="008739C8"/>
    <w:rsid w:val="00873F37"/>
    <w:rsid w:val="00875747"/>
    <w:rsid w:val="00880939"/>
    <w:rsid w:val="00881869"/>
    <w:rsid w:val="00882706"/>
    <w:rsid w:val="00886A53"/>
    <w:rsid w:val="00887402"/>
    <w:rsid w:val="008917AD"/>
    <w:rsid w:val="00892145"/>
    <w:rsid w:val="008938BC"/>
    <w:rsid w:val="008946E7"/>
    <w:rsid w:val="00895625"/>
    <w:rsid w:val="008960B0"/>
    <w:rsid w:val="00896126"/>
    <w:rsid w:val="008A2329"/>
    <w:rsid w:val="008A60AE"/>
    <w:rsid w:val="008B0E06"/>
    <w:rsid w:val="008B10BC"/>
    <w:rsid w:val="008B27C9"/>
    <w:rsid w:val="008B3F3C"/>
    <w:rsid w:val="008B4E25"/>
    <w:rsid w:val="008B61F2"/>
    <w:rsid w:val="008B738F"/>
    <w:rsid w:val="008C2C50"/>
    <w:rsid w:val="008C329A"/>
    <w:rsid w:val="008C4218"/>
    <w:rsid w:val="008C5B21"/>
    <w:rsid w:val="008C5E97"/>
    <w:rsid w:val="008D1E6C"/>
    <w:rsid w:val="008D7ACA"/>
    <w:rsid w:val="008D7B48"/>
    <w:rsid w:val="008E1024"/>
    <w:rsid w:val="008E3409"/>
    <w:rsid w:val="008E58E3"/>
    <w:rsid w:val="008E684F"/>
    <w:rsid w:val="008F0563"/>
    <w:rsid w:val="008F0E73"/>
    <w:rsid w:val="008F12DC"/>
    <w:rsid w:val="008F3CEC"/>
    <w:rsid w:val="008F6B3D"/>
    <w:rsid w:val="008F6ECF"/>
    <w:rsid w:val="008F749A"/>
    <w:rsid w:val="008F7E81"/>
    <w:rsid w:val="00900AFF"/>
    <w:rsid w:val="00905630"/>
    <w:rsid w:val="00906793"/>
    <w:rsid w:val="00911920"/>
    <w:rsid w:val="00914500"/>
    <w:rsid w:val="00915BB7"/>
    <w:rsid w:val="00915D2C"/>
    <w:rsid w:val="009200C0"/>
    <w:rsid w:val="00920D2A"/>
    <w:rsid w:val="0092294D"/>
    <w:rsid w:val="00922C33"/>
    <w:rsid w:val="00923481"/>
    <w:rsid w:val="00923DCF"/>
    <w:rsid w:val="009304D5"/>
    <w:rsid w:val="00930B7A"/>
    <w:rsid w:val="00930BF3"/>
    <w:rsid w:val="00933622"/>
    <w:rsid w:val="009350E4"/>
    <w:rsid w:val="0093767A"/>
    <w:rsid w:val="0094131A"/>
    <w:rsid w:val="00944659"/>
    <w:rsid w:val="009478A6"/>
    <w:rsid w:val="00951121"/>
    <w:rsid w:val="009514A3"/>
    <w:rsid w:val="009522ED"/>
    <w:rsid w:val="00952FE6"/>
    <w:rsid w:val="009538DA"/>
    <w:rsid w:val="009560C0"/>
    <w:rsid w:val="00960486"/>
    <w:rsid w:val="0096081E"/>
    <w:rsid w:val="00960D67"/>
    <w:rsid w:val="00962138"/>
    <w:rsid w:val="009622A5"/>
    <w:rsid w:val="009669C1"/>
    <w:rsid w:val="009727E5"/>
    <w:rsid w:val="009740A1"/>
    <w:rsid w:val="0097679C"/>
    <w:rsid w:val="0097723F"/>
    <w:rsid w:val="00980E85"/>
    <w:rsid w:val="00981701"/>
    <w:rsid w:val="009818B4"/>
    <w:rsid w:val="00982D14"/>
    <w:rsid w:val="00983827"/>
    <w:rsid w:val="00985A70"/>
    <w:rsid w:val="009860B1"/>
    <w:rsid w:val="00987573"/>
    <w:rsid w:val="00987D1B"/>
    <w:rsid w:val="00991FC7"/>
    <w:rsid w:val="00992D7B"/>
    <w:rsid w:val="00994889"/>
    <w:rsid w:val="00995BAE"/>
    <w:rsid w:val="00995C74"/>
    <w:rsid w:val="009966AF"/>
    <w:rsid w:val="009A0136"/>
    <w:rsid w:val="009A02FD"/>
    <w:rsid w:val="009A0EF7"/>
    <w:rsid w:val="009A0EFC"/>
    <w:rsid w:val="009A15FC"/>
    <w:rsid w:val="009A265A"/>
    <w:rsid w:val="009A270D"/>
    <w:rsid w:val="009A3B2D"/>
    <w:rsid w:val="009A3E9A"/>
    <w:rsid w:val="009A4731"/>
    <w:rsid w:val="009A477F"/>
    <w:rsid w:val="009A4F53"/>
    <w:rsid w:val="009A5930"/>
    <w:rsid w:val="009A65BA"/>
    <w:rsid w:val="009A6B75"/>
    <w:rsid w:val="009A7126"/>
    <w:rsid w:val="009B0A87"/>
    <w:rsid w:val="009B0C3F"/>
    <w:rsid w:val="009B1229"/>
    <w:rsid w:val="009B1D5C"/>
    <w:rsid w:val="009B25F5"/>
    <w:rsid w:val="009B4816"/>
    <w:rsid w:val="009B4E57"/>
    <w:rsid w:val="009B5C4F"/>
    <w:rsid w:val="009B60E1"/>
    <w:rsid w:val="009B6390"/>
    <w:rsid w:val="009B6DBE"/>
    <w:rsid w:val="009B6EA4"/>
    <w:rsid w:val="009C107F"/>
    <w:rsid w:val="009C22A0"/>
    <w:rsid w:val="009C2B26"/>
    <w:rsid w:val="009D2C5E"/>
    <w:rsid w:val="009D2F73"/>
    <w:rsid w:val="009D304B"/>
    <w:rsid w:val="009D4AF8"/>
    <w:rsid w:val="009D5675"/>
    <w:rsid w:val="009D56D9"/>
    <w:rsid w:val="009D622E"/>
    <w:rsid w:val="009D652B"/>
    <w:rsid w:val="009D79CD"/>
    <w:rsid w:val="009E1ED9"/>
    <w:rsid w:val="009E2620"/>
    <w:rsid w:val="009E2C9C"/>
    <w:rsid w:val="009E52B6"/>
    <w:rsid w:val="009E5660"/>
    <w:rsid w:val="009F498A"/>
    <w:rsid w:val="009F65B3"/>
    <w:rsid w:val="009F713A"/>
    <w:rsid w:val="009F77A0"/>
    <w:rsid w:val="00A00630"/>
    <w:rsid w:val="00A00662"/>
    <w:rsid w:val="00A00EBD"/>
    <w:rsid w:val="00A03AF2"/>
    <w:rsid w:val="00A0512B"/>
    <w:rsid w:val="00A052F6"/>
    <w:rsid w:val="00A0692D"/>
    <w:rsid w:val="00A13A94"/>
    <w:rsid w:val="00A15B1A"/>
    <w:rsid w:val="00A203DB"/>
    <w:rsid w:val="00A21C9C"/>
    <w:rsid w:val="00A225AF"/>
    <w:rsid w:val="00A2381C"/>
    <w:rsid w:val="00A23E68"/>
    <w:rsid w:val="00A23F96"/>
    <w:rsid w:val="00A2546E"/>
    <w:rsid w:val="00A256E6"/>
    <w:rsid w:val="00A26CAA"/>
    <w:rsid w:val="00A278C8"/>
    <w:rsid w:val="00A279AE"/>
    <w:rsid w:val="00A313E6"/>
    <w:rsid w:val="00A31A8E"/>
    <w:rsid w:val="00A322BB"/>
    <w:rsid w:val="00A33811"/>
    <w:rsid w:val="00A341D7"/>
    <w:rsid w:val="00A41608"/>
    <w:rsid w:val="00A5024A"/>
    <w:rsid w:val="00A53296"/>
    <w:rsid w:val="00A533FF"/>
    <w:rsid w:val="00A54A90"/>
    <w:rsid w:val="00A54C80"/>
    <w:rsid w:val="00A54CFC"/>
    <w:rsid w:val="00A55435"/>
    <w:rsid w:val="00A56998"/>
    <w:rsid w:val="00A57261"/>
    <w:rsid w:val="00A57432"/>
    <w:rsid w:val="00A6040B"/>
    <w:rsid w:val="00A61FC0"/>
    <w:rsid w:val="00A627C3"/>
    <w:rsid w:val="00A62BC0"/>
    <w:rsid w:val="00A64FAA"/>
    <w:rsid w:val="00A6596B"/>
    <w:rsid w:val="00A65BDE"/>
    <w:rsid w:val="00A66C36"/>
    <w:rsid w:val="00A67C26"/>
    <w:rsid w:val="00A70B1C"/>
    <w:rsid w:val="00A712A1"/>
    <w:rsid w:val="00A71E4A"/>
    <w:rsid w:val="00A7257A"/>
    <w:rsid w:val="00A7328E"/>
    <w:rsid w:val="00A73C41"/>
    <w:rsid w:val="00A75C6B"/>
    <w:rsid w:val="00A7698C"/>
    <w:rsid w:val="00A77418"/>
    <w:rsid w:val="00A80094"/>
    <w:rsid w:val="00A87AEA"/>
    <w:rsid w:val="00A916E9"/>
    <w:rsid w:val="00A9188E"/>
    <w:rsid w:val="00A9198C"/>
    <w:rsid w:val="00A91C2D"/>
    <w:rsid w:val="00A92C02"/>
    <w:rsid w:val="00A94A67"/>
    <w:rsid w:val="00A950A1"/>
    <w:rsid w:val="00A958A0"/>
    <w:rsid w:val="00A959BB"/>
    <w:rsid w:val="00A95C29"/>
    <w:rsid w:val="00A97B76"/>
    <w:rsid w:val="00A97B93"/>
    <w:rsid w:val="00AA090D"/>
    <w:rsid w:val="00AA0B5D"/>
    <w:rsid w:val="00AA26A6"/>
    <w:rsid w:val="00AA2F6D"/>
    <w:rsid w:val="00AA4FB3"/>
    <w:rsid w:val="00AA52D6"/>
    <w:rsid w:val="00AA6BD1"/>
    <w:rsid w:val="00AA7B43"/>
    <w:rsid w:val="00AB31F7"/>
    <w:rsid w:val="00AB43EE"/>
    <w:rsid w:val="00AB7496"/>
    <w:rsid w:val="00AB7832"/>
    <w:rsid w:val="00AC0387"/>
    <w:rsid w:val="00AC1F59"/>
    <w:rsid w:val="00AC3D8C"/>
    <w:rsid w:val="00AC637F"/>
    <w:rsid w:val="00AD0CDA"/>
    <w:rsid w:val="00AD0FAB"/>
    <w:rsid w:val="00AD2B4B"/>
    <w:rsid w:val="00AD4174"/>
    <w:rsid w:val="00AD52B8"/>
    <w:rsid w:val="00AD57A3"/>
    <w:rsid w:val="00AE117F"/>
    <w:rsid w:val="00AE2BA6"/>
    <w:rsid w:val="00AE36B1"/>
    <w:rsid w:val="00AE6F92"/>
    <w:rsid w:val="00AE7F4C"/>
    <w:rsid w:val="00AF29E6"/>
    <w:rsid w:val="00AF5E26"/>
    <w:rsid w:val="00AF681D"/>
    <w:rsid w:val="00B0636C"/>
    <w:rsid w:val="00B0744F"/>
    <w:rsid w:val="00B10A60"/>
    <w:rsid w:val="00B10CC1"/>
    <w:rsid w:val="00B153A5"/>
    <w:rsid w:val="00B17AD6"/>
    <w:rsid w:val="00B20E20"/>
    <w:rsid w:val="00B2149E"/>
    <w:rsid w:val="00B229BF"/>
    <w:rsid w:val="00B23E77"/>
    <w:rsid w:val="00B23EF3"/>
    <w:rsid w:val="00B2634F"/>
    <w:rsid w:val="00B30D37"/>
    <w:rsid w:val="00B325C1"/>
    <w:rsid w:val="00B33B6D"/>
    <w:rsid w:val="00B347E2"/>
    <w:rsid w:val="00B354C8"/>
    <w:rsid w:val="00B36433"/>
    <w:rsid w:val="00B42814"/>
    <w:rsid w:val="00B42FDE"/>
    <w:rsid w:val="00B43090"/>
    <w:rsid w:val="00B4452B"/>
    <w:rsid w:val="00B45B92"/>
    <w:rsid w:val="00B4731B"/>
    <w:rsid w:val="00B51A14"/>
    <w:rsid w:val="00B545F3"/>
    <w:rsid w:val="00B558C9"/>
    <w:rsid w:val="00B55D05"/>
    <w:rsid w:val="00B57F3B"/>
    <w:rsid w:val="00B61DF2"/>
    <w:rsid w:val="00B62029"/>
    <w:rsid w:val="00B625E1"/>
    <w:rsid w:val="00B63514"/>
    <w:rsid w:val="00B64035"/>
    <w:rsid w:val="00B648E2"/>
    <w:rsid w:val="00B650A6"/>
    <w:rsid w:val="00B660B9"/>
    <w:rsid w:val="00B673CF"/>
    <w:rsid w:val="00B67BED"/>
    <w:rsid w:val="00B7148C"/>
    <w:rsid w:val="00B728CA"/>
    <w:rsid w:val="00B74276"/>
    <w:rsid w:val="00B75AFD"/>
    <w:rsid w:val="00B7606A"/>
    <w:rsid w:val="00B77943"/>
    <w:rsid w:val="00B779F0"/>
    <w:rsid w:val="00B8154E"/>
    <w:rsid w:val="00B845E7"/>
    <w:rsid w:val="00B86B40"/>
    <w:rsid w:val="00B87E81"/>
    <w:rsid w:val="00B9100C"/>
    <w:rsid w:val="00B92BA8"/>
    <w:rsid w:val="00B94E9E"/>
    <w:rsid w:val="00B965F6"/>
    <w:rsid w:val="00B96A41"/>
    <w:rsid w:val="00B96BE4"/>
    <w:rsid w:val="00B97AD4"/>
    <w:rsid w:val="00BA1ECC"/>
    <w:rsid w:val="00BA37BF"/>
    <w:rsid w:val="00BA3F77"/>
    <w:rsid w:val="00BA4CAD"/>
    <w:rsid w:val="00BA7FA4"/>
    <w:rsid w:val="00BB125F"/>
    <w:rsid w:val="00BB145B"/>
    <w:rsid w:val="00BB18D0"/>
    <w:rsid w:val="00BB3A26"/>
    <w:rsid w:val="00BB51D5"/>
    <w:rsid w:val="00BB7084"/>
    <w:rsid w:val="00BB726E"/>
    <w:rsid w:val="00BB7FC7"/>
    <w:rsid w:val="00BC1F1C"/>
    <w:rsid w:val="00BC354E"/>
    <w:rsid w:val="00BC3DF4"/>
    <w:rsid w:val="00BC75FA"/>
    <w:rsid w:val="00BD1AA4"/>
    <w:rsid w:val="00BD217B"/>
    <w:rsid w:val="00BD305F"/>
    <w:rsid w:val="00BD3899"/>
    <w:rsid w:val="00BD7A72"/>
    <w:rsid w:val="00BD7D1B"/>
    <w:rsid w:val="00BD7F74"/>
    <w:rsid w:val="00BE162D"/>
    <w:rsid w:val="00BE2A2D"/>
    <w:rsid w:val="00BE3307"/>
    <w:rsid w:val="00BE52A6"/>
    <w:rsid w:val="00BF08F7"/>
    <w:rsid w:val="00BF0C53"/>
    <w:rsid w:val="00BF3BCD"/>
    <w:rsid w:val="00BF64D9"/>
    <w:rsid w:val="00BF76B3"/>
    <w:rsid w:val="00BF7889"/>
    <w:rsid w:val="00C02B02"/>
    <w:rsid w:val="00C0381B"/>
    <w:rsid w:val="00C07928"/>
    <w:rsid w:val="00C109D3"/>
    <w:rsid w:val="00C10AA2"/>
    <w:rsid w:val="00C11053"/>
    <w:rsid w:val="00C127A5"/>
    <w:rsid w:val="00C1691A"/>
    <w:rsid w:val="00C1717A"/>
    <w:rsid w:val="00C1781F"/>
    <w:rsid w:val="00C20301"/>
    <w:rsid w:val="00C23346"/>
    <w:rsid w:val="00C23C37"/>
    <w:rsid w:val="00C23C6C"/>
    <w:rsid w:val="00C24F48"/>
    <w:rsid w:val="00C26977"/>
    <w:rsid w:val="00C26A59"/>
    <w:rsid w:val="00C27859"/>
    <w:rsid w:val="00C31730"/>
    <w:rsid w:val="00C402AF"/>
    <w:rsid w:val="00C41617"/>
    <w:rsid w:val="00C42384"/>
    <w:rsid w:val="00C43D41"/>
    <w:rsid w:val="00C478E2"/>
    <w:rsid w:val="00C51579"/>
    <w:rsid w:val="00C53AC9"/>
    <w:rsid w:val="00C55DAB"/>
    <w:rsid w:val="00C61B89"/>
    <w:rsid w:val="00C61DB7"/>
    <w:rsid w:val="00C621BD"/>
    <w:rsid w:val="00C62D69"/>
    <w:rsid w:val="00C63734"/>
    <w:rsid w:val="00C66C08"/>
    <w:rsid w:val="00C6752C"/>
    <w:rsid w:val="00C678D4"/>
    <w:rsid w:val="00C72098"/>
    <w:rsid w:val="00C73020"/>
    <w:rsid w:val="00C749C8"/>
    <w:rsid w:val="00C761F8"/>
    <w:rsid w:val="00C764B2"/>
    <w:rsid w:val="00C80A14"/>
    <w:rsid w:val="00C83077"/>
    <w:rsid w:val="00C8315E"/>
    <w:rsid w:val="00C8455C"/>
    <w:rsid w:val="00C865CE"/>
    <w:rsid w:val="00C8730E"/>
    <w:rsid w:val="00C9095C"/>
    <w:rsid w:val="00C9186D"/>
    <w:rsid w:val="00C928BB"/>
    <w:rsid w:val="00C92BEA"/>
    <w:rsid w:val="00C954AC"/>
    <w:rsid w:val="00CA26BE"/>
    <w:rsid w:val="00CA34D7"/>
    <w:rsid w:val="00CA42F1"/>
    <w:rsid w:val="00CA4AD9"/>
    <w:rsid w:val="00CA5098"/>
    <w:rsid w:val="00CA7F3D"/>
    <w:rsid w:val="00CB02E0"/>
    <w:rsid w:val="00CB13B0"/>
    <w:rsid w:val="00CB187D"/>
    <w:rsid w:val="00CB5AE2"/>
    <w:rsid w:val="00CB75EE"/>
    <w:rsid w:val="00CC1141"/>
    <w:rsid w:val="00CC30F0"/>
    <w:rsid w:val="00CC32F3"/>
    <w:rsid w:val="00CD1784"/>
    <w:rsid w:val="00CD1AAF"/>
    <w:rsid w:val="00CD3D63"/>
    <w:rsid w:val="00CD5674"/>
    <w:rsid w:val="00CD6333"/>
    <w:rsid w:val="00CD67A5"/>
    <w:rsid w:val="00CD7562"/>
    <w:rsid w:val="00CE0C4E"/>
    <w:rsid w:val="00CE0FC3"/>
    <w:rsid w:val="00CE13F7"/>
    <w:rsid w:val="00CE24F8"/>
    <w:rsid w:val="00CE2925"/>
    <w:rsid w:val="00CE2C7D"/>
    <w:rsid w:val="00CE39EF"/>
    <w:rsid w:val="00CE468C"/>
    <w:rsid w:val="00D002F5"/>
    <w:rsid w:val="00D02530"/>
    <w:rsid w:val="00D02CC6"/>
    <w:rsid w:val="00D105CA"/>
    <w:rsid w:val="00D10AD7"/>
    <w:rsid w:val="00D10D67"/>
    <w:rsid w:val="00D116BA"/>
    <w:rsid w:val="00D12FC1"/>
    <w:rsid w:val="00D132F2"/>
    <w:rsid w:val="00D16A30"/>
    <w:rsid w:val="00D16EE4"/>
    <w:rsid w:val="00D20568"/>
    <w:rsid w:val="00D228B4"/>
    <w:rsid w:val="00D229A8"/>
    <w:rsid w:val="00D230FD"/>
    <w:rsid w:val="00D23541"/>
    <w:rsid w:val="00D23DEF"/>
    <w:rsid w:val="00D241F5"/>
    <w:rsid w:val="00D25A5D"/>
    <w:rsid w:val="00D271E6"/>
    <w:rsid w:val="00D27A08"/>
    <w:rsid w:val="00D33AEA"/>
    <w:rsid w:val="00D37168"/>
    <w:rsid w:val="00D41B94"/>
    <w:rsid w:val="00D42BD4"/>
    <w:rsid w:val="00D43C3C"/>
    <w:rsid w:val="00D44EB1"/>
    <w:rsid w:val="00D4716B"/>
    <w:rsid w:val="00D47804"/>
    <w:rsid w:val="00D4784D"/>
    <w:rsid w:val="00D50662"/>
    <w:rsid w:val="00D517B8"/>
    <w:rsid w:val="00D52199"/>
    <w:rsid w:val="00D521A1"/>
    <w:rsid w:val="00D627A8"/>
    <w:rsid w:val="00D64D6E"/>
    <w:rsid w:val="00D6540B"/>
    <w:rsid w:val="00D6717D"/>
    <w:rsid w:val="00D67FDD"/>
    <w:rsid w:val="00D745DC"/>
    <w:rsid w:val="00D74DFB"/>
    <w:rsid w:val="00D7543C"/>
    <w:rsid w:val="00D76C8D"/>
    <w:rsid w:val="00D76CD7"/>
    <w:rsid w:val="00D76D56"/>
    <w:rsid w:val="00D76E62"/>
    <w:rsid w:val="00D80231"/>
    <w:rsid w:val="00D81314"/>
    <w:rsid w:val="00D81D1A"/>
    <w:rsid w:val="00D82206"/>
    <w:rsid w:val="00D82520"/>
    <w:rsid w:val="00D83ACB"/>
    <w:rsid w:val="00D83D15"/>
    <w:rsid w:val="00D83DCB"/>
    <w:rsid w:val="00D83F43"/>
    <w:rsid w:val="00D86B58"/>
    <w:rsid w:val="00D87399"/>
    <w:rsid w:val="00D90665"/>
    <w:rsid w:val="00D923F9"/>
    <w:rsid w:val="00D927B8"/>
    <w:rsid w:val="00D931A7"/>
    <w:rsid w:val="00D933BC"/>
    <w:rsid w:val="00D946EB"/>
    <w:rsid w:val="00DA010F"/>
    <w:rsid w:val="00DA06C6"/>
    <w:rsid w:val="00DA1A02"/>
    <w:rsid w:val="00DA43F4"/>
    <w:rsid w:val="00DA5A8C"/>
    <w:rsid w:val="00DA60DF"/>
    <w:rsid w:val="00DA77E1"/>
    <w:rsid w:val="00DB10A5"/>
    <w:rsid w:val="00DB2E04"/>
    <w:rsid w:val="00DB3901"/>
    <w:rsid w:val="00DB648B"/>
    <w:rsid w:val="00DB7060"/>
    <w:rsid w:val="00DB7D0D"/>
    <w:rsid w:val="00DB7F7B"/>
    <w:rsid w:val="00DC1D67"/>
    <w:rsid w:val="00DC47C0"/>
    <w:rsid w:val="00DD021B"/>
    <w:rsid w:val="00DD0E2D"/>
    <w:rsid w:val="00DD1F89"/>
    <w:rsid w:val="00DD2C0E"/>
    <w:rsid w:val="00DD3430"/>
    <w:rsid w:val="00DD3C7C"/>
    <w:rsid w:val="00DD3D3C"/>
    <w:rsid w:val="00DD3F10"/>
    <w:rsid w:val="00DD708A"/>
    <w:rsid w:val="00DE0E3A"/>
    <w:rsid w:val="00DE102A"/>
    <w:rsid w:val="00DE26FF"/>
    <w:rsid w:val="00DE2AD1"/>
    <w:rsid w:val="00DE2B2E"/>
    <w:rsid w:val="00DE3170"/>
    <w:rsid w:val="00DE3C40"/>
    <w:rsid w:val="00DE479B"/>
    <w:rsid w:val="00DE4C43"/>
    <w:rsid w:val="00DF539A"/>
    <w:rsid w:val="00DF7671"/>
    <w:rsid w:val="00E004EC"/>
    <w:rsid w:val="00E01E56"/>
    <w:rsid w:val="00E01FFF"/>
    <w:rsid w:val="00E02112"/>
    <w:rsid w:val="00E0234F"/>
    <w:rsid w:val="00E03981"/>
    <w:rsid w:val="00E04D7E"/>
    <w:rsid w:val="00E07049"/>
    <w:rsid w:val="00E070B8"/>
    <w:rsid w:val="00E079E5"/>
    <w:rsid w:val="00E118F9"/>
    <w:rsid w:val="00E11A1F"/>
    <w:rsid w:val="00E11E87"/>
    <w:rsid w:val="00E11F33"/>
    <w:rsid w:val="00E12CA0"/>
    <w:rsid w:val="00E1323D"/>
    <w:rsid w:val="00E16359"/>
    <w:rsid w:val="00E21357"/>
    <w:rsid w:val="00E21CD7"/>
    <w:rsid w:val="00E222DA"/>
    <w:rsid w:val="00E22793"/>
    <w:rsid w:val="00E2650A"/>
    <w:rsid w:val="00E30C2D"/>
    <w:rsid w:val="00E31E8D"/>
    <w:rsid w:val="00E34D4A"/>
    <w:rsid w:val="00E355BB"/>
    <w:rsid w:val="00E36E61"/>
    <w:rsid w:val="00E36FF7"/>
    <w:rsid w:val="00E41A0B"/>
    <w:rsid w:val="00E426BD"/>
    <w:rsid w:val="00E4339E"/>
    <w:rsid w:val="00E462D4"/>
    <w:rsid w:val="00E5420C"/>
    <w:rsid w:val="00E54CD1"/>
    <w:rsid w:val="00E56485"/>
    <w:rsid w:val="00E57AB5"/>
    <w:rsid w:val="00E60914"/>
    <w:rsid w:val="00E642B7"/>
    <w:rsid w:val="00E64AB3"/>
    <w:rsid w:val="00E65439"/>
    <w:rsid w:val="00E65A90"/>
    <w:rsid w:val="00E65CDB"/>
    <w:rsid w:val="00E6626F"/>
    <w:rsid w:val="00E66443"/>
    <w:rsid w:val="00E66736"/>
    <w:rsid w:val="00E66F97"/>
    <w:rsid w:val="00E67FB5"/>
    <w:rsid w:val="00E71A8A"/>
    <w:rsid w:val="00E72E09"/>
    <w:rsid w:val="00E83591"/>
    <w:rsid w:val="00E84420"/>
    <w:rsid w:val="00E84675"/>
    <w:rsid w:val="00E8479C"/>
    <w:rsid w:val="00E850A1"/>
    <w:rsid w:val="00E91FCA"/>
    <w:rsid w:val="00E92E32"/>
    <w:rsid w:val="00E9563D"/>
    <w:rsid w:val="00E95A46"/>
    <w:rsid w:val="00E969FF"/>
    <w:rsid w:val="00EA1FEE"/>
    <w:rsid w:val="00EA3651"/>
    <w:rsid w:val="00EA3858"/>
    <w:rsid w:val="00EA3D4F"/>
    <w:rsid w:val="00EA564E"/>
    <w:rsid w:val="00EA5F51"/>
    <w:rsid w:val="00EA6F68"/>
    <w:rsid w:val="00EA7589"/>
    <w:rsid w:val="00EA7DC7"/>
    <w:rsid w:val="00EB026B"/>
    <w:rsid w:val="00EB0555"/>
    <w:rsid w:val="00EB0A92"/>
    <w:rsid w:val="00EB21BE"/>
    <w:rsid w:val="00EB21E0"/>
    <w:rsid w:val="00EB25CD"/>
    <w:rsid w:val="00EB2B83"/>
    <w:rsid w:val="00EB4923"/>
    <w:rsid w:val="00EB5095"/>
    <w:rsid w:val="00EB566A"/>
    <w:rsid w:val="00EB5DC9"/>
    <w:rsid w:val="00EB5FDA"/>
    <w:rsid w:val="00EB6194"/>
    <w:rsid w:val="00EB6D9B"/>
    <w:rsid w:val="00EC12F2"/>
    <w:rsid w:val="00EC1904"/>
    <w:rsid w:val="00EC1B30"/>
    <w:rsid w:val="00EC2147"/>
    <w:rsid w:val="00EC34B0"/>
    <w:rsid w:val="00EC4023"/>
    <w:rsid w:val="00EC4242"/>
    <w:rsid w:val="00EC6DCD"/>
    <w:rsid w:val="00ED142C"/>
    <w:rsid w:val="00ED22E2"/>
    <w:rsid w:val="00ED2F33"/>
    <w:rsid w:val="00ED3470"/>
    <w:rsid w:val="00ED43F3"/>
    <w:rsid w:val="00ED72F9"/>
    <w:rsid w:val="00EE2D0E"/>
    <w:rsid w:val="00EE5510"/>
    <w:rsid w:val="00EE69F8"/>
    <w:rsid w:val="00EF14C4"/>
    <w:rsid w:val="00EF2AA8"/>
    <w:rsid w:val="00EF2B11"/>
    <w:rsid w:val="00EF452B"/>
    <w:rsid w:val="00EF581A"/>
    <w:rsid w:val="00EF5915"/>
    <w:rsid w:val="00EF6E77"/>
    <w:rsid w:val="00EF7332"/>
    <w:rsid w:val="00F0005F"/>
    <w:rsid w:val="00F00803"/>
    <w:rsid w:val="00F00CB3"/>
    <w:rsid w:val="00F030B6"/>
    <w:rsid w:val="00F03CA7"/>
    <w:rsid w:val="00F0456A"/>
    <w:rsid w:val="00F05F33"/>
    <w:rsid w:val="00F078EB"/>
    <w:rsid w:val="00F11B64"/>
    <w:rsid w:val="00F13190"/>
    <w:rsid w:val="00F202A4"/>
    <w:rsid w:val="00F20B5F"/>
    <w:rsid w:val="00F23333"/>
    <w:rsid w:val="00F23E5D"/>
    <w:rsid w:val="00F248BD"/>
    <w:rsid w:val="00F25CD6"/>
    <w:rsid w:val="00F2720B"/>
    <w:rsid w:val="00F279B1"/>
    <w:rsid w:val="00F31544"/>
    <w:rsid w:val="00F31EA9"/>
    <w:rsid w:val="00F320C2"/>
    <w:rsid w:val="00F345E8"/>
    <w:rsid w:val="00F34739"/>
    <w:rsid w:val="00F370B1"/>
    <w:rsid w:val="00F3785E"/>
    <w:rsid w:val="00F408BF"/>
    <w:rsid w:val="00F4119E"/>
    <w:rsid w:val="00F4155F"/>
    <w:rsid w:val="00F41840"/>
    <w:rsid w:val="00F41DBF"/>
    <w:rsid w:val="00F43049"/>
    <w:rsid w:val="00F4325E"/>
    <w:rsid w:val="00F458AC"/>
    <w:rsid w:val="00F45D90"/>
    <w:rsid w:val="00F46686"/>
    <w:rsid w:val="00F47A01"/>
    <w:rsid w:val="00F50007"/>
    <w:rsid w:val="00F5137A"/>
    <w:rsid w:val="00F52026"/>
    <w:rsid w:val="00F540FB"/>
    <w:rsid w:val="00F5417A"/>
    <w:rsid w:val="00F55EAA"/>
    <w:rsid w:val="00F56E9F"/>
    <w:rsid w:val="00F57724"/>
    <w:rsid w:val="00F57FF6"/>
    <w:rsid w:val="00F60AAE"/>
    <w:rsid w:val="00F61D1E"/>
    <w:rsid w:val="00F63213"/>
    <w:rsid w:val="00F63852"/>
    <w:rsid w:val="00F63A38"/>
    <w:rsid w:val="00F64542"/>
    <w:rsid w:val="00F64BDE"/>
    <w:rsid w:val="00F65321"/>
    <w:rsid w:val="00F65643"/>
    <w:rsid w:val="00F664B1"/>
    <w:rsid w:val="00F67255"/>
    <w:rsid w:val="00F676B5"/>
    <w:rsid w:val="00F70ABE"/>
    <w:rsid w:val="00F7226A"/>
    <w:rsid w:val="00F73289"/>
    <w:rsid w:val="00F748D4"/>
    <w:rsid w:val="00F74B80"/>
    <w:rsid w:val="00F7695E"/>
    <w:rsid w:val="00F77A3D"/>
    <w:rsid w:val="00F8363C"/>
    <w:rsid w:val="00F83DB3"/>
    <w:rsid w:val="00F83FF6"/>
    <w:rsid w:val="00F85C21"/>
    <w:rsid w:val="00F87366"/>
    <w:rsid w:val="00F877C8"/>
    <w:rsid w:val="00F91B92"/>
    <w:rsid w:val="00F9215E"/>
    <w:rsid w:val="00F92637"/>
    <w:rsid w:val="00F94DE8"/>
    <w:rsid w:val="00F96DAA"/>
    <w:rsid w:val="00F97891"/>
    <w:rsid w:val="00FA1095"/>
    <w:rsid w:val="00FA159A"/>
    <w:rsid w:val="00FA3201"/>
    <w:rsid w:val="00FA37F8"/>
    <w:rsid w:val="00FA50C7"/>
    <w:rsid w:val="00FA5A33"/>
    <w:rsid w:val="00FB290C"/>
    <w:rsid w:val="00FB2DE4"/>
    <w:rsid w:val="00FB5B33"/>
    <w:rsid w:val="00FB61E8"/>
    <w:rsid w:val="00FB62F6"/>
    <w:rsid w:val="00FC10B7"/>
    <w:rsid w:val="00FC5E45"/>
    <w:rsid w:val="00FD4119"/>
    <w:rsid w:val="00FD5821"/>
    <w:rsid w:val="00FD5936"/>
    <w:rsid w:val="00FD5DB7"/>
    <w:rsid w:val="00FD5E12"/>
    <w:rsid w:val="00FE0228"/>
    <w:rsid w:val="00FE24DE"/>
    <w:rsid w:val="00FF109D"/>
    <w:rsid w:val="00FF244F"/>
    <w:rsid w:val="00FF5CA9"/>
    <w:rsid w:val="0334D563"/>
    <w:rsid w:val="34598F5B"/>
    <w:rsid w:val="35CFAF9A"/>
    <w:rsid w:val="708831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46DA6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uiPriority="1" w:unhideWhenUsed="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882706"/>
    <w:pPr>
      <w:spacing w:after="120"/>
    </w:pPr>
    <w:rPr>
      <w:rFonts w:ascii="Arial" w:hAnsi="Arial"/>
    </w:rPr>
  </w:style>
  <w:style w:type="paragraph" w:styleId="Heading1">
    <w:name w:val="heading 1"/>
    <w:basedOn w:val="Normal"/>
    <w:next w:val="Normal"/>
    <w:link w:val="Heading1Char"/>
    <w:uiPriority w:val="9"/>
    <w:semiHidden/>
    <w:rsid w:val="004846B0"/>
    <w:pPr>
      <w:keepNext/>
      <w:keepLines/>
      <w:spacing w:before="360" w:after="240" w:line="240"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semiHidden/>
    <w:rsid w:val="006A473A"/>
    <w:pPr>
      <w:keepNext/>
      <w:keepLines/>
      <w:spacing w:before="360" w:line="240" w:lineRule="auto"/>
      <w:outlineLvl w:val="1"/>
    </w:pPr>
    <w:rPr>
      <w:rFonts w:eastAsiaTheme="majorEastAsia" w:cstheme="majorBidi"/>
      <w:b/>
      <w:i/>
      <w:sz w:val="28"/>
      <w:szCs w:val="26"/>
    </w:rPr>
  </w:style>
  <w:style w:type="paragraph" w:styleId="Heading3">
    <w:name w:val="heading 3"/>
    <w:basedOn w:val="Normal"/>
    <w:next w:val="Normal"/>
    <w:link w:val="Heading3Char"/>
    <w:qFormat/>
    <w:rsid w:val="00EC4242"/>
    <w:pPr>
      <w:keepNext/>
      <w:keepLines/>
      <w:spacing w:before="280" w:after="200" w:line="240" w:lineRule="auto"/>
      <w:outlineLvl w:val="2"/>
    </w:pPr>
    <w:rPr>
      <w:rFonts w:eastAsiaTheme="majorEastAsia" w:cstheme="majorBidi"/>
      <w:b/>
      <w:sz w:val="24"/>
      <w:szCs w:val="24"/>
    </w:rPr>
  </w:style>
  <w:style w:type="paragraph" w:styleId="Heading4">
    <w:name w:val="heading 4"/>
    <w:basedOn w:val="Normal"/>
    <w:next w:val="Normal"/>
    <w:link w:val="Heading4Char"/>
    <w:uiPriority w:val="9"/>
    <w:semiHidden/>
    <w:rsid w:val="00980E85"/>
    <w:pPr>
      <w:keepNext/>
      <w:keepLines/>
      <w:spacing w:before="40" w:after="0"/>
      <w:outlineLvl w:val="3"/>
    </w:pPr>
    <w:rPr>
      <w:rFonts w:asciiTheme="majorHAnsi" w:eastAsiaTheme="majorEastAsia" w:hAnsiTheme="majorHAnsi" w:cstheme="majorBidi"/>
      <w:i/>
      <w:iCs/>
      <w:color w:val="201B4D" w:themeColor="accent1" w:themeShade="BF"/>
    </w:rPr>
  </w:style>
  <w:style w:type="paragraph" w:styleId="Heading5">
    <w:name w:val="heading 5"/>
    <w:basedOn w:val="Normal"/>
    <w:next w:val="Normal"/>
    <w:link w:val="Heading5Char"/>
    <w:uiPriority w:val="9"/>
    <w:semiHidden/>
    <w:rsid w:val="00461A9A"/>
    <w:pPr>
      <w:keepNext/>
      <w:keepLines/>
      <w:spacing w:before="40" w:after="0"/>
      <w:outlineLvl w:val="4"/>
    </w:pPr>
    <w:rPr>
      <w:rFonts w:asciiTheme="majorHAnsi" w:eastAsiaTheme="majorEastAsia" w:hAnsiTheme="majorHAnsi" w:cstheme="majorBidi"/>
      <w:color w:val="201B4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4198B"/>
    <w:rPr>
      <w:rFonts w:ascii="Arial" w:eastAsiaTheme="majorEastAsia" w:hAnsi="Arial" w:cstheme="majorBidi"/>
      <w:b/>
      <w:i/>
      <w:sz w:val="28"/>
      <w:szCs w:val="26"/>
    </w:rPr>
  </w:style>
  <w:style w:type="character" w:customStyle="1" w:styleId="Heading1Char">
    <w:name w:val="Heading 1 Char"/>
    <w:basedOn w:val="DefaultParagraphFont"/>
    <w:link w:val="Heading1"/>
    <w:uiPriority w:val="9"/>
    <w:semiHidden/>
    <w:rsid w:val="0064198B"/>
    <w:rPr>
      <w:rFonts w:ascii="Arial" w:eastAsiaTheme="majorEastAsia" w:hAnsi="Arial" w:cstheme="majorBidi"/>
      <w:b/>
      <w:color w:val="000000" w:themeColor="text1"/>
      <w:sz w:val="36"/>
      <w:szCs w:val="32"/>
    </w:rPr>
  </w:style>
  <w:style w:type="paragraph" w:styleId="TOCHeading">
    <w:name w:val="TOC Heading"/>
    <w:basedOn w:val="Heading1"/>
    <w:next w:val="Normal"/>
    <w:uiPriority w:val="39"/>
    <w:unhideWhenUsed/>
    <w:rsid w:val="00E54CD1"/>
    <w:pPr>
      <w:spacing w:before="0" w:after="360"/>
    </w:pPr>
    <w:rPr>
      <w:color w:val="293868"/>
    </w:rPr>
  </w:style>
  <w:style w:type="paragraph" w:styleId="TOC2">
    <w:name w:val="toc 2"/>
    <w:basedOn w:val="Normal"/>
    <w:next w:val="Normal"/>
    <w:autoRedefine/>
    <w:uiPriority w:val="39"/>
    <w:unhideWhenUsed/>
    <w:rsid w:val="001D0822"/>
    <w:pPr>
      <w:tabs>
        <w:tab w:val="left" w:pos="880"/>
        <w:tab w:val="right" w:leader="dot" w:pos="9016"/>
      </w:tabs>
      <w:spacing w:after="60"/>
      <w:ind w:left="425"/>
    </w:pPr>
  </w:style>
  <w:style w:type="character" w:styleId="Hyperlink">
    <w:name w:val="Hyperlink"/>
    <w:basedOn w:val="DefaultParagraphFont"/>
    <w:uiPriority w:val="99"/>
    <w:unhideWhenUsed/>
    <w:rsid w:val="00BB7FC7"/>
    <w:rPr>
      <w:color w:val="2C2568" w:themeColor="hyperlink"/>
      <w:u w:val="single"/>
    </w:rPr>
  </w:style>
  <w:style w:type="table" w:styleId="TableGrid">
    <w:name w:val="Table Grid"/>
    <w:basedOn w:val="TableNormal"/>
    <w:uiPriority w:val="59"/>
    <w:rsid w:val="00BB7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Normal"/>
    <w:basedOn w:val="Normal"/>
    <w:link w:val="ListParagraphChar"/>
    <w:uiPriority w:val="34"/>
    <w:qFormat/>
    <w:rsid w:val="00BB7FC7"/>
    <w:pPr>
      <w:ind w:left="720"/>
      <w:contextualSpacing/>
    </w:pPr>
  </w:style>
  <w:style w:type="paragraph" w:styleId="Caption">
    <w:name w:val="caption"/>
    <w:basedOn w:val="Normal"/>
    <w:next w:val="Normal"/>
    <w:uiPriority w:val="35"/>
    <w:unhideWhenUsed/>
    <w:rsid w:val="004D0AD0"/>
    <w:pPr>
      <w:spacing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64198B"/>
    <w:rPr>
      <w:rFonts w:ascii="Arial" w:eastAsiaTheme="majorEastAsia" w:hAnsi="Arial" w:cstheme="majorBidi"/>
      <w:b/>
      <w:sz w:val="24"/>
      <w:szCs w:val="24"/>
    </w:rPr>
  </w:style>
  <w:style w:type="paragraph" w:styleId="Quote">
    <w:name w:val="Quote"/>
    <w:basedOn w:val="Normal"/>
    <w:next w:val="Normal"/>
    <w:link w:val="QuoteChar"/>
    <w:uiPriority w:val="29"/>
    <w:semiHidden/>
    <w:rsid w:val="007351D5"/>
    <w:pPr>
      <w:spacing w:before="240" w:after="60"/>
      <w:ind w:left="709" w:right="709"/>
    </w:pPr>
    <w:rPr>
      <w:iCs/>
      <w:color w:val="595959" w:themeColor="text1" w:themeTint="A6"/>
    </w:rPr>
  </w:style>
  <w:style w:type="character" w:customStyle="1" w:styleId="QuoteChar">
    <w:name w:val="Quote Char"/>
    <w:basedOn w:val="DefaultParagraphFont"/>
    <w:link w:val="Quote"/>
    <w:uiPriority w:val="29"/>
    <w:semiHidden/>
    <w:rsid w:val="0064198B"/>
    <w:rPr>
      <w:rFonts w:ascii="Arial" w:hAnsi="Arial"/>
      <w:iCs/>
      <w:color w:val="595959" w:themeColor="text1" w:themeTint="A6"/>
    </w:rPr>
  </w:style>
  <w:style w:type="paragraph" w:styleId="TOC3">
    <w:name w:val="toc 3"/>
    <w:basedOn w:val="Normal"/>
    <w:next w:val="Normal"/>
    <w:autoRedefine/>
    <w:uiPriority w:val="39"/>
    <w:unhideWhenUsed/>
    <w:rsid w:val="004C24CF"/>
    <w:pPr>
      <w:tabs>
        <w:tab w:val="right" w:leader="dot" w:pos="9016"/>
      </w:tabs>
      <w:spacing w:after="40"/>
      <w:ind w:left="851"/>
    </w:pPr>
  </w:style>
  <w:style w:type="paragraph" w:customStyle="1" w:styleId="Body">
    <w:name w:val="Body"/>
    <w:semiHidden/>
    <w:rsid w:val="00CC32F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NZ"/>
    </w:rPr>
  </w:style>
  <w:style w:type="numbering" w:customStyle="1" w:styleId="Dash">
    <w:name w:val="Dash"/>
    <w:rsid w:val="00CC32F3"/>
    <w:pPr>
      <w:numPr>
        <w:numId w:val="1"/>
      </w:numPr>
    </w:pPr>
  </w:style>
  <w:style w:type="character" w:customStyle="1" w:styleId="Heading4Char">
    <w:name w:val="Heading 4 Char"/>
    <w:basedOn w:val="DefaultParagraphFont"/>
    <w:link w:val="Heading4"/>
    <w:uiPriority w:val="9"/>
    <w:semiHidden/>
    <w:rsid w:val="0064198B"/>
    <w:rPr>
      <w:rFonts w:asciiTheme="majorHAnsi" w:eastAsiaTheme="majorEastAsia" w:hAnsiTheme="majorHAnsi" w:cstheme="majorBidi"/>
      <w:i/>
      <w:iCs/>
      <w:color w:val="201B4D" w:themeColor="accent1" w:themeShade="BF"/>
    </w:rPr>
  </w:style>
  <w:style w:type="paragraph" w:styleId="BalloonText">
    <w:name w:val="Balloon Text"/>
    <w:basedOn w:val="Normal"/>
    <w:link w:val="BalloonTextChar"/>
    <w:uiPriority w:val="99"/>
    <w:semiHidden/>
    <w:rsid w:val="006E1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98B"/>
    <w:rPr>
      <w:rFonts w:ascii="Segoe UI" w:hAnsi="Segoe UI" w:cs="Segoe UI"/>
      <w:sz w:val="18"/>
      <w:szCs w:val="18"/>
    </w:rPr>
  </w:style>
  <w:style w:type="character" w:styleId="CommentReference">
    <w:name w:val="annotation reference"/>
    <w:basedOn w:val="DefaultParagraphFont"/>
    <w:uiPriority w:val="99"/>
    <w:rsid w:val="00C61DB7"/>
    <w:rPr>
      <w:sz w:val="16"/>
      <w:szCs w:val="16"/>
    </w:rPr>
  </w:style>
  <w:style w:type="paragraph" w:styleId="CommentText">
    <w:name w:val="annotation text"/>
    <w:basedOn w:val="Normal"/>
    <w:link w:val="CommentTextChar"/>
    <w:uiPriority w:val="99"/>
    <w:rsid w:val="00C61DB7"/>
    <w:pPr>
      <w:spacing w:line="240" w:lineRule="auto"/>
    </w:pPr>
    <w:rPr>
      <w:sz w:val="20"/>
      <w:szCs w:val="20"/>
    </w:rPr>
  </w:style>
  <w:style w:type="character" w:customStyle="1" w:styleId="CommentTextChar">
    <w:name w:val="Comment Text Char"/>
    <w:basedOn w:val="DefaultParagraphFont"/>
    <w:link w:val="CommentText"/>
    <w:uiPriority w:val="99"/>
    <w:rsid w:val="0064198B"/>
    <w:rPr>
      <w:rFonts w:ascii="Arial" w:hAnsi="Arial"/>
      <w:sz w:val="20"/>
      <w:szCs w:val="20"/>
    </w:rPr>
  </w:style>
  <w:style w:type="paragraph" w:styleId="CommentSubject">
    <w:name w:val="annotation subject"/>
    <w:basedOn w:val="CommentText"/>
    <w:next w:val="CommentText"/>
    <w:link w:val="CommentSubjectChar"/>
    <w:uiPriority w:val="99"/>
    <w:semiHidden/>
    <w:rsid w:val="00C61DB7"/>
    <w:rPr>
      <w:b/>
      <w:bCs/>
    </w:rPr>
  </w:style>
  <w:style w:type="character" w:customStyle="1" w:styleId="CommentSubjectChar">
    <w:name w:val="Comment Subject Char"/>
    <w:basedOn w:val="CommentTextChar"/>
    <w:link w:val="CommentSubject"/>
    <w:uiPriority w:val="99"/>
    <w:semiHidden/>
    <w:rsid w:val="0064198B"/>
    <w:rPr>
      <w:rFonts w:ascii="Arial" w:hAnsi="Arial"/>
      <w:b/>
      <w:bCs/>
      <w:sz w:val="20"/>
      <w:szCs w:val="20"/>
    </w:rPr>
  </w:style>
  <w:style w:type="character" w:customStyle="1" w:styleId="Heading5Char">
    <w:name w:val="Heading 5 Char"/>
    <w:basedOn w:val="DefaultParagraphFont"/>
    <w:link w:val="Heading5"/>
    <w:uiPriority w:val="9"/>
    <w:semiHidden/>
    <w:rsid w:val="0064198B"/>
    <w:rPr>
      <w:rFonts w:asciiTheme="majorHAnsi" w:eastAsiaTheme="majorEastAsia" w:hAnsiTheme="majorHAnsi" w:cstheme="majorBidi"/>
      <w:color w:val="201B4D" w:themeColor="accent1" w:themeShade="BF"/>
    </w:rPr>
  </w:style>
  <w:style w:type="paragraph" w:styleId="EndnoteText">
    <w:name w:val="endnote text"/>
    <w:basedOn w:val="Normal"/>
    <w:link w:val="EndnoteTextChar"/>
    <w:uiPriority w:val="99"/>
    <w:semiHidden/>
    <w:rsid w:val="003C45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198B"/>
    <w:rPr>
      <w:rFonts w:ascii="Arial" w:hAnsi="Arial"/>
      <w:sz w:val="20"/>
      <w:szCs w:val="20"/>
    </w:rPr>
  </w:style>
  <w:style w:type="character" w:styleId="EndnoteReference">
    <w:name w:val="endnote reference"/>
    <w:basedOn w:val="DefaultParagraphFont"/>
    <w:uiPriority w:val="99"/>
    <w:semiHidden/>
    <w:rsid w:val="003C45E1"/>
    <w:rPr>
      <w:vertAlign w:val="superscript"/>
    </w:rPr>
  </w:style>
  <w:style w:type="paragraph" w:styleId="Header">
    <w:name w:val="header"/>
    <w:basedOn w:val="Normal"/>
    <w:link w:val="HeaderChar"/>
    <w:uiPriority w:val="99"/>
    <w:rsid w:val="00792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98B"/>
    <w:rPr>
      <w:rFonts w:ascii="Arial" w:hAnsi="Arial"/>
    </w:rPr>
  </w:style>
  <w:style w:type="paragraph" w:styleId="Footer">
    <w:name w:val="footer"/>
    <w:basedOn w:val="Normal"/>
    <w:link w:val="FooterChar"/>
    <w:uiPriority w:val="99"/>
    <w:unhideWhenUsed/>
    <w:rsid w:val="0017350C"/>
    <w:pPr>
      <w:tabs>
        <w:tab w:val="right" w:pos="9026"/>
      </w:tabs>
      <w:spacing w:after="0" w:line="240" w:lineRule="auto"/>
    </w:pPr>
    <w:rPr>
      <w:sz w:val="20"/>
      <w:szCs w:val="20"/>
    </w:rPr>
  </w:style>
  <w:style w:type="character" w:customStyle="1" w:styleId="FooterChar">
    <w:name w:val="Footer Char"/>
    <w:basedOn w:val="DefaultParagraphFont"/>
    <w:link w:val="Footer"/>
    <w:uiPriority w:val="99"/>
    <w:rsid w:val="0017350C"/>
    <w:rPr>
      <w:rFonts w:ascii="Arial" w:hAnsi="Arial"/>
      <w:sz w:val="20"/>
      <w:szCs w:val="20"/>
    </w:rPr>
  </w:style>
  <w:style w:type="paragraph" w:styleId="Revision">
    <w:name w:val="Revision"/>
    <w:hidden/>
    <w:uiPriority w:val="99"/>
    <w:semiHidden/>
    <w:rsid w:val="00356454"/>
    <w:pPr>
      <w:spacing w:after="0" w:line="240" w:lineRule="auto"/>
    </w:pPr>
  </w:style>
  <w:style w:type="paragraph" w:styleId="NormalIndent">
    <w:name w:val="Normal Indent"/>
    <w:basedOn w:val="Normal"/>
    <w:uiPriority w:val="99"/>
    <w:semiHidden/>
    <w:rsid w:val="00851905"/>
    <w:pPr>
      <w:ind w:left="720"/>
    </w:pPr>
  </w:style>
  <w:style w:type="paragraph" w:styleId="ListContinue">
    <w:name w:val="List Continue"/>
    <w:basedOn w:val="Normal"/>
    <w:uiPriority w:val="99"/>
    <w:semiHidden/>
    <w:rsid w:val="002665C5"/>
    <w:pPr>
      <w:ind w:left="283"/>
      <w:contextualSpacing/>
    </w:pPr>
  </w:style>
  <w:style w:type="paragraph" w:styleId="List">
    <w:name w:val="List"/>
    <w:basedOn w:val="Normal"/>
    <w:uiPriority w:val="99"/>
    <w:semiHidden/>
    <w:rsid w:val="00FD5821"/>
    <w:pPr>
      <w:ind w:left="283" w:hanging="283"/>
      <w:contextualSpacing/>
    </w:pPr>
  </w:style>
  <w:style w:type="paragraph" w:styleId="TOC1">
    <w:name w:val="toc 1"/>
    <w:basedOn w:val="Normal"/>
    <w:next w:val="Normal"/>
    <w:autoRedefine/>
    <w:uiPriority w:val="39"/>
    <w:unhideWhenUsed/>
    <w:rsid w:val="004C24CF"/>
    <w:pPr>
      <w:tabs>
        <w:tab w:val="left" w:pos="425"/>
      </w:tabs>
      <w:spacing w:after="100"/>
    </w:pPr>
  </w:style>
  <w:style w:type="paragraph" w:styleId="ListBullet">
    <w:name w:val="List Bullet"/>
    <w:basedOn w:val="Normal"/>
    <w:link w:val="ListBulletChar"/>
    <w:uiPriority w:val="99"/>
    <w:semiHidden/>
    <w:rsid w:val="00205AD6"/>
    <w:pPr>
      <w:contextualSpacing/>
    </w:pPr>
  </w:style>
  <w:style w:type="paragraph" w:styleId="ListNumber">
    <w:name w:val="List Number"/>
    <w:basedOn w:val="Normal"/>
    <w:uiPriority w:val="99"/>
    <w:semiHidden/>
    <w:rsid w:val="00A54CFC"/>
    <w:pPr>
      <w:numPr>
        <w:numId w:val="2"/>
      </w:numPr>
      <w:contextualSpacing/>
    </w:pPr>
  </w:style>
  <w:style w:type="paragraph" w:styleId="BodyText">
    <w:name w:val="Body Text"/>
    <w:basedOn w:val="Normal"/>
    <w:link w:val="BodyTextChar"/>
    <w:uiPriority w:val="1"/>
    <w:rsid w:val="007E0634"/>
    <w:pPr>
      <w:widowControl w:val="0"/>
    </w:pPr>
    <w:rPr>
      <w:rFonts w:eastAsia="Arial" w:cs="Arial"/>
    </w:rPr>
  </w:style>
  <w:style w:type="character" w:customStyle="1" w:styleId="BodyTextChar">
    <w:name w:val="Body Text Char"/>
    <w:basedOn w:val="DefaultParagraphFont"/>
    <w:link w:val="BodyText"/>
    <w:uiPriority w:val="1"/>
    <w:rsid w:val="007E0634"/>
    <w:rPr>
      <w:rFonts w:ascii="Arial" w:eastAsia="Arial" w:hAnsi="Arial" w:cs="Arial"/>
    </w:rPr>
  </w:style>
  <w:style w:type="paragraph" w:customStyle="1" w:styleId="Figuretableheading">
    <w:name w:val="Figure table heading"/>
    <w:basedOn w:val="Normal"/>
    <w:link w:val="FiguretableheadingChar"/>
    <w:qFormat/>
    <w:rsid w:val="006A473A"/>
    <w:rPr>
      <w:rFonts w:cs="Arial"/>
      <w:b/>
    </w:rPr>
  </w:style>
  <w:style w:type="character" w:customStyle="1" w:styleId="FiguretableheadingChar">
    <w:name w:val="Figure table heading Char"/>
    <w:basedOn w:val="DefaultParagraphFont"/>
    <w:link w:val="Figuretableheading"/>
    <w:rsid w:val="006A473A"/>
    <w:rPr>
      <w:rFonts w:ascii="Arial" w:hAnsi="Arial" w:cs="Arial"/>
      <w:b/>
    </w:rPr>
  </w:style>
  <w:style w:type="paragraph" w:customStyle="1" w:styleId="Bullets">
    <w:name w:val="Bullets"/>
    <w:basedOn w:val="ListBullet"/>
    <w:link w:val="BulletsChar"/>
    <w:semiHidden/>
    <w:rsid w:val="008D7ACA"/>
    <w:pPr>
      <w:spacing w:after="60"/>
      <w:ind w:left="357" w:hanging="357"/>
      <w:contextualSpacing w:val="0"/>
    </w:pPr>
    <w:rPr>
      <w:rFonts w:cs="Arial"/>
    </w:rPr>
  </w:style>
  <w:style w:type="character" w:customStyle="1" w:styleId="ListBulletChar">
    <w:name w:val="List Bullet Char"/>
    <w:basedOn w:val="DefaultParagraphFont"/>
    <w:link w:val="ListBullet"/>
    <w:uiPriority w:val="99"/>
    <w:semiHidden/>
    <w:rsid w:val="0064198B"/>
    <w:rPr>
      <w:rFonts w:ascii="Arial" w:hAnsi="Arial"/>
    </w:rPr>
  </w:style>
  <w:style w:type="character" w:customStyle="1" w:styleId="BulletsChar">
    <w:name w:val="Bullets Char"/>
    <w:basedOn w:val="ListBulletChar"/>
    <w:link w:val="Bullets"/>
    <w:semiHidden/>
    <w:rsid w:val="0064198B"/>
    <w:rPr>
      <w:rFonts w:ascii="Arial" w:hAnsi="Arial" w:cs="Arial"/>
    </w:rPr>
  </w:style>
  <w:style w:type="paragraph" w:customStyle="1" w:styleId="Heading1HQSC">
    <w:name w:val="Heading 1 HQSC"/>
    <w:basedOn w:val="Heading1"/>
    <w:next w:val="BodytextHQSC"/>
    <w:qFormat/>
    <w:rsid w:val="00A313E6"/>
    <w:rPr>
      <w:rFonts w:cs="Arial"/>
      <w:color w:val="293868"/>
    </w:rPr>
  </w:style>
  <w:style w:type="paragraph" w:customStyle="1" w:styleId="BodytextHQSC">
    <w:name w:val="Body text HQSC"/>
    <w:basedOn w:val="Normal"/>
    <w:qFormat/>
    <w:rsid w:val="005C5699"/>
    <w:pPr>
      <w:spacing w:before="120" w:line="300" w:lineRule="atLeast"/>
    </w:pPr>
    <w:rPr>
      <w:rFonts w:cs="Arial"/>
    </w:rPr>
  </w:style>
  <w:style w:type="paragraph" w:customStyle="1" w:styleId="BulletsHQSC">
    <w:name w:val="Bullets HQSC"/>
    <w:basedOn w:val="Bullet"/>
    <w:qFormat/>
    <w:rsid w:val="00882706"/>
    <w:pPr>
      <w:tabs>
        <w:tab w:val="left" w:pos="397"/>
      </w:tabs>
    </w:pPr>
    <w:rPr>
      <w:rFonts w:ascii="Arial" w:hAnsi="Arial" w:cs="Arial"/>
    </w:rPr>
  </w:style>
  <w:style w:type="paragraph" w:customStyle="1" w:styleId="IndentedquoteHQSC">
    <w:name w:val="Indented quote HQSC"/>
    <w:basedOn w:val="Quote"/>
    <w:qFormat/>
    <w:rsid w:val="009B60E1"/>
    <w:rPr>
      <w:rFonts w:cs="Arial"/>
      <w:color w:val="auto"/>
    </w:rPr>
  </w:style>
  <w:style w:type="paragraph" w:customStyle="1" w:styleId="SourceHQSC">
    <w:name w:val="Source HQSC"/>
    <w:basedOn w:val="NormalIndent"/>
    <w:qFormat/>
    <w:rsid w:val="00792E41"/>
    <w:rPr>
      <w:rFonts w:cs="Arial"/>
    </w:rPr>
  </w:style>
  <w:style w:type="paragraph" w:customStyle="1" w:styleId="Heading2HQSC">
    <w:name w:val="Heading 2 HQSC"/>
    <w:basedOn w:val="Heading2"/>
    <w:next w:val="BodytextHQSC"/>
    <w:qFormat/>
    <w:rsid w:val="00280BED"/>
    <w:pPr>
      <w:keepLines w:val="0"/>
      <w:spacing w:after="0"/>
    </w:pPr>
    <w:rPr>
      <w:rFonts w:cs="Arial"/>
      <w:i w:val="0"/>
      <w:color w:val="293868"/>
    </w:rPr>
  </w:style>
  <w:style w:type="paragraph" w:customStyle="1" w:styleId="Heading3HQSC">
    <w:name w:val="Heading 3 HQSC"/>
    <w:basedOn w:val="Heading3"/>
    <w:next w:val="BodytextHQSC"/>
    <w:qFormat/>
    <w:rsid w:val="00AF681D"/>
    <w:pPr>
      <w:spacing w:after="120"/>
    </w:pPr>
    <w:rPr>
      <w:rFonts w:cs="Arial"/>
    </w:rPr>
  </w:style>
  <w:style w:type="paragraph" w:customStyle="1" w:styleId="FigurecaptionHQSC">
    <w:name w:val="Figure caption HQSC"/>
    <w:basedOn w:val="Figuretableheading"/>
    <w:next w:val="BodytextHQSC"/>
    <w:qFormat/>
    <w:rsid w:val="001B599E"/>
    <w:pPr>
      <w:keepNext/>
      <w:spacing w:before="120" w:line="300" w:lineRule="atLeast"/>
    </w:pPr>
  </w:style>
  <w:style w:type="paragraph" w:customStyle="1" w:styleId="TablecolumnheadingHQSC">
    <w:name w:val="Table column heading HQSC"/>
    <w:basedOn w:val="Normal"/>
    <w:qFormat/>
    <w:rsid w:val="00E54CD1"/>
    <w:pPr>
      <w:spacing w:before="60" w:after="60" w:line="240" w:lineRule="auto"/>
    </w:pPr>
    <w:rPr>
      <w:rFonts w:cs="Arial"/>
      <w:b/>
    </w:rPr>
  </w:style>
  <w:style w:type="paragraph" w:customStyle="1" w:styleId="TabletextHQSC">
    <w:name w:val="Table text HQSC"/>
    <w:basedOn w:val="Normal"/>
    <w:qFormat/>
    <w:rsid w:val="00E54CD1"/>
    <w:pPr>
      <w:spacing w:before="60" w:after="60" w:line="240" w:lineRule="auto"/>
    </w:pPr>
    <w:rPr>
      <w:rFonts w:cs="Arial"/>
    </w:rPr>
  </w:style>
  <w:style w:type="character" w:styleId="UnresolvedMention">
    <w:name w:val="Unresolved Mention"/>
    <w:basedOn w:val="DefaultParagraphFont"/>
    <w:uiPriority w:val="99"/>
    <w:semiHidden/>
    <w:unhideWhenUsed/>
    <w:rsid w:val="009B60E1"/>
    <w:rPr>
      <w:color w:val="605E5C"/>
      <w:shd w:val="clear" w:color="auto" w:fill="E1DFDD"/>
    </w:rPr>
  </w:style>
  <w:style w:type="table" w:customStyle="1" w:styleId="TeThHauoratable">
    <w:name w:val="Te Tāhū Hauora table"/>
    <w:basedOn w:val="TableNormal"/>
    <w:uiPriority w:val="99"/>
    <w:rsid w:val="004D6696"/>
    <w:pPr>
      <w:spacing w:after="0" w:line="240" w:lineRule="auto"/>
    </w:pPr>
    <w:rPr>
      <w:rFonts w:ascii="Arial" w:hAnsi="Arial"/>
    </w:rPr>
    <w:tblPr/>
  </w:style>
  <w:style w:type="paragraph" w:customStyle="1" w:styleId="CovertitleHQSC">
    <w:name w:val="Cover title HQSC"/>
    <w:basedOn w:val="Normal"/>
    <w:link w:val="CovertitleHQSCChar"/>
    <w:uiPriority w:val="99"/>
    <w:qFormat/>
    <w:rsid w:val="00E01E56"/>
    <w:pPr>
      <w:ind w:right="1796"/>
    </w:pPr>
    <w:rPr>
      <w:rFonts w:cs="Arial"/>
      <w:b/>
      <w:color w:val="FFFFFF" w:themeColor="background1"/>
      <w:sz w:val="44"/>
      <w:szCs w:val="44"/>
    </w:rPr>
  </w:style>
  <w:style w:type="character" w:customStyle="1" w:styleId="CovertitleHQSCChar">
    <w:name w:val="Cover title HQSC Char"/>
    <w:basedOn w:val="DefaultParagraphFont"/>
    <w:link w:val="CovertitleHQSC"/>
    <w:uiPriority w:val="99"/>
    <w:rsid w:val="005A4781"/>
    <w:rPr>
      <w:rFonts w:ascii="Arial" w:hAnsi="Arial" w:cs="Arial"/>
      <w:b/>
      <w:color w:val="FFFFFF" w:themeColor="background1"/>
      <w:sz w:val="44"/>
      <w:szCs w:val="44"/>
    </w:rPr>
  </w:style>
  <w:style w:type="paragraph" w:customStyle="1" w:styleId="coverdateHQSC">
    <w:name w:val="cover date HQSC"/>
    <w:basedOn w:val="Normal"/>
    <w:link w:val="coverdateHQSCChar"/>
    <w:uiPriority w:val="99"/>
    <w:qFormat/>
    <w:rsid w:val="00E01E56"/>
    <w:rPr>
      <w:rFonts w:cs="Arial"/>
      <w:bCs/>
      <w:color w:val="FFFFFF" w:themeColor="background1"/>
      <w:sz w:val="28"/>
      <w:szCs w:val="28"/>
    </w:rPr>
  </w:style>
  <w:style w:type="character" w:customStyle="1" w:styleId="coverdateHQSCChar">
    <w:name w:val="cover date HQSC Char"/>
    <w:basedOn w:val="DefaultParagraphFont"/>
    <w:link w:val="coverdateHQSC"/>
    <w:uiPriority w:val="99"/>
    <w:rsid w:val="005A4781"/>
    <w:rPr>
      <w:rFonts w:ascii="Arial" w:hAnsi="Arial" w:cs="Arial"/>
      <w:bCs/>
      <w:color w:val="FFFFFF" w:themeColor="background1"/>
      <w:sz w:val="28"/>
      <w:szCs w:val="28"/>
    </w:rPr>
  </w:style>
  <w:style w:type="paragraph" w:styleId="NoSpacing">
    <w:name w:val="No Spacing"/>
    <w:uiPriority w:val="1"/>
    <w:semiHidden/>
    <w:rsid w:val="00BA4CAD"/>
    <w:pPr>
      <w:spacing w:after="0" w:line="240" w:lineRule="auto"/>
    </w:pPr>
    <w:rPr>
      <w:rFonts w:ascii="Arial" w:hAnsi="Arial"/>
    </w:rPr>
  </w:style>
  <w:style w:type="numbering" w:customStyle="1" w:styleId="Style1">
    <w:name w:val="Style1"/>
    <w:uiPriority w:val="99"/>
    <w:rsid w:val="00245B70"/>
    <w:pPr>
      <w:numPr>
        <w:numId w:val="3"/>
      </w:numPr>
    </w:pPr>
  </w:style>
  <w:style w:type="paragraph" w:customStyle="1" w:styleId="Bullet">
    <w:name w:val="Bullet"/>
    <w:basedOn w:val="Normal"/>
    <w:link w:val="BulletChar"/>
    <w:semiHidden/>
    <w:qFormat/>
    <w:rsid w:val="002078C0"/>
    <w:pPr>
      <w:numPr>
        <w:numId w:val="4"/>
      </w:numPr>
      <w:spacing w:line="280" w:lineRule="atLeast"/>
    </w:pPr>
    <w:rPr>
      <w:rFonts w:ascii="Calibri" w:eastAsia="Times New Roman" w:hAnsi="Calibri" w:cs="Times New Roman"/>
      <w:szCs w:val="20"/>
      <w:lang w:eastAsia="en-NZ"/>
    </w:rPr>
  </w:style>
  <w:style w:type="character" w:customStyle="1" w:styleId="BulletChar">
    <w:name w:val="Bullet Char"/>
    <w:basedOn w:val="DefaultParagraphFont"/>
    <w:link w:val="Bullet"/>
    <w:semiHidden/>
    <w:locked/>
    <w:rsid w:val="00882706"/>
    <w:rPr>
      <w:rFonts w:ascii="Calibri" w:eastAsia="Times New Roman" w:hAnsi="Calibri" w:cs="Times New Roman"/>
      <w:szCs w:val="20"/>
      <w:lang w:eastAsia="en-NZ"/>
    </w:rPr>
  </w:style>
  <w:style w:type="paragraph" w:customStyle="1" w:styleId="Sub-bulletHQSC">
    <w:name w:val="Sub-bullet HQSC"/>
    <w:basedOn w:val="Normal"/>
    <w:qFormat/>
    <w:rsid w:val="00D931A7"/>
    <w:pPr>
      <w:numPr>
        <w:numId w:val="5"/>
      </w:numPr>
      <w:tabs>
        <w:tab w:val="left" w:pos="794"/>
      </w:tabs>
      <w:spacing w:line="280" w:lineRule="atLeast"/>
    </w:pPr>
    <w:rPr>
      <w:rFonts w:eastAsiaTheme="minorEastAsia"/>
      <w:lang w:eastAsia="en-NZ"/>
    </w:rPr>
  </w:style>
  <w:style w:type="character" w:styleId="FootnoteReference">
    <w:name w:val="footnote reference"/>
    <w:rsid w:val="00882706"/>
    <w:rPr>
      <w:rFonts w:ascii="Calibri" w:hAnsi="Calibri"/>
      <w:color w:val="auto"/>
      <w:sz w:val="22"/>
      <w:vertAlign w:val="superscript"/>
    </w:rPr>
  </w:style>
  <w:style w:type="paragraph" w:styleId="FootnoteText">
    <w:name w:val="footnote text"/>
    <w:basedOn w:val="Normal"/>
    <w:link w:val="FootnoteTextChar"/>
    <w:rsid w:val="00882706"/>
    <w:pPr>
      <w:spacing w:after="60" w:line="240" w:lineRule="atLeast"/>
      <w:ind w:left="284" w:hanging="284"/>
    </w:pPr>
    <w:rPr>
      <w:rFonts w:ascii="Calibri" w:eastAsiaTheme="minorEastAsia" w:hAnsi="Calibri"/>
      <w:sz w:val="19"/>
      <w:lang w:eastAsia="en-NZ"/>
    </w:rPr>
  </w:style>
  <w:style w:type="character" w:customStyle="1" w:styleId="FootnoteTextChar">
    <w:name w:val="Footnote Text Char"/>
    <w:basedOn w:val="DefaultParagraphFont"/>
    <w:link w:val="FootnoteText"/>
    <w:rsid w:val="00882706"/>
    <w:rPr>
      <w:rFonts w:ascii="Calibri" w:eastAsiaTheme="minorEastAsia" w:hAnsi="Calibri"/>
      <w:sz w:val="19"/>
      <w:lang w:eastAsia="en-NZ"/>
    </w:rPr>
  </w:style>
  <w:style w:type="paragraph" w:customStyle="1" w:styleId="TablecaptionHQSC">
    <w:name w:val="Table caption HQSC"/>
    <w:basedOn w:val="FigurecaptionHQSC"/>
    <w:qFormat/>
    <w:rsid w:val="001B599E"/>
  </w:style>
  <w:style w:type="character" w:customStyle="1" w:styleId="ListParagraphChar">
    <w:name w:val="List Paragraph Char"/>
    <w:aliases w:val="Bullet Normal Char"/>
    <w:link w:val="ListParagraph"/>
    <w:uiPriority w:val="34"/>
    <w:locked/>
    <w:rsid w:val="0093767A"/>
    <w:rPr>
      <w:rFonts w:ascii="Arial" w:hAnsi="Arial"/>
    </w:rPr>
  </w:style>
  <w:style w:type="paragraph" w:customStyle="1" w:styleId="Pa7">
    <w:name w:val="Pa7"/>
    <w:basedOn w:val="Normal"/>
    <w:next w:val="Normal"/>
    <w:uiPriority w:val="99"/>
    <w:rsid w:val="0093767A"/>
    <w:pPr>
      <w:autoSpaceDE w:val="0"/>
      <w:autoSpaceDN w:val="0"/>
      <w:adjustRightInd w:val="0"/>
      <w:spacing w:after="60" w:line="261" w:lineRule="atLeast"/>
    </w:pPr>
    <w:rPr>
      <w:rFonts w:ascii="Adobe Garamond Pro Bold" w:eastAsia="Times New Roman" w:hAnsi="Adobe Garamond Pro Bold" w:cs="Times New Roman"/>
      <w:sz w:val="24"/>
      <w:szCs w:val="24"/>
      <w:lang w:eastAsia="en-NZ"/>
    </w:rPr>
  </w:style>
  <w:style w:type="paragraph" w:customStyle="1" w:styleId="TeThHauorabodytext">
    <w:name w:val="Te Tāhū Hauora body text"/>
    <w:basedOn w:val="Normal"/>
    <w:qFormat/>
    <w:rsid w:val="0093767A"/>
    <w:rPr>
      <w:rFonts w:cs="Arial"/>
    </w:rPr>
  </w:style>
  <w:style w:type="character" w:styleId="Mention">
    <w:name w:val="Mention"/>
    <w:basedOn w:val="DefaultParagraphFont"/>
    <w:uiPriority w:val="99"/>
    <w:semiHidden/>
    <w:rsid w:val="00F25CD6"/>
    <w:rPr>
      <w:color w:val="2B579A"/>
      <w:shd w:val="clear" w:color="auto" w:fill="E1DFDD"/>
    </w:rPr>
  </w:style>
  <w:style w:type="paragraph" w:customStyle="1" w:styleId="HQSChead3">
    <w:name w:val="HQSC head 3"/>
    <w:basedOn w:val="Heading3"/>
    <w:qFormat/>
    <w:rsid w:val="00321EA9"/>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hqsc.govt.n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hqsc.govt.n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Te Tāhū Hauora">
      <a:dk1>
        <a:sysClr val="windowText" lastClr="000000"/>
      </a:dk1>
      <a:lt1>
        <a:sysClr val="window" lastClr="FFFFFF"/>
      </a:lt1>
      <a:dk2>
        <a:srgbClr val="44546A"/>
      </a:dk2>
      <a:lt2>
        <a:srgbClr val="E8E5E5"/>
      </a:lt2>
      <a:accent1>
        <a:srgbClr val="2C2568"/>
      </a:accent1>
      <a:accent2>
        <a:srgbClr val="107383"/>
      </a:accent2>
      <a:accent3>
        <a:srgbClr val="37B0A8"/>
      </a:accent3>
      <a:accent4>
        <a:srgbClr val="904281"/>
      </a:accent4>
      <a:accent5>
        <a:srgbClr val="BB7CB3"/>
      </a:accent5>
      <a:accent6>
        <a:srgbClr val="FF4F2D"/>
      </a:accent6>
      <a:hlink>
        <a:srgbClr val="2C2568"/>
      </a:hlink>
      <a:folHlink>
        <a:srgbClr val="2C25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2443-E160-4C8C-BEEE-7F1914246692}">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 id="{b75eb9d1-7479-4f8a-9240-cc5b19dbbc64}" enabled="1" method="Standard" siteId="{d1b36e95-0d50-42e9-958f-b63fa906beaa}"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6278</Words>
  <Characters>35724</Characters>
  <Application>Microsoft Office Word</Application>
  <DocSecurity>0</DocSecurity>
  <Lines>615</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2026-09-03T02:51:00Z</dcterms:created>
  <dcterms:modified xsi:type="dcterms:W3CDTF">2026-09-03T02:51:00Z</dcterms:modified>
</cp:coreProperties>
</file>