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91E3" w14:textId="77777777" w:rsidR="00D12FC1" w:rsidRPr="00A313E6" w:rsidRDefault="00667365" w:rsidP="00A313E6">
      <w:pPr>
        <w:jc w:val="center"/>
        <w:rPr>
          <w:rFonts w:cs="Arial"/>
        </w:rPr>
      </w:pPr>
      <w:r>
        <w:rPr>
          <w:noProof/>
        </w:rPr>
        <w:drawing>
          <wp:anchor distT="0" distB="0" distL="114300" distR="114300" simplePos="0" relativeHeight="251671552" behindDoc="1" locked="0" layoutInCell="1" allowOverlap="1" wp14:anchorId="7DF30430" wp14:editId="4117FD10">
            <wp:simplePos x="0" y="0"/>
            <wp:positionH relativeFrom="page">
              <wp:posOffset>20681</wp:posOffset>
            </wp:positionH>
            <wp:positionV relativeFrom="paragraph">
              <wp:posOffset>-900430</wp:posOffset>
            </wp:positionV>
            <wp:extent cx="7537998" cy="10662621"/>
            <wp:effectExtent l="0" t="0" r="6350" b="5715"/>
            <wp:wrapNone/>
            <wp:docPr id="1" name="Picture 1" descr="Report cover with a dark blue background and the Health Quality &amp; Safety Commission Te Tāhū Hauora logo at the top right. An orange and purple pattern made up of a section of the logo sits along the bottom. The logo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port cover with a dark blue background and the Health Quality &amp; Safety Commission Te Tāhū Hauora logo at the top right. An orange and purple pattern made up of a section of the logo sits along the bottom. The logo is a stylised version of a wharenui in a triangle shape, with the tāhū (ridgepole), heke (rafters) and niho taniwha (triangle pattern beneath)."/>
                    <pic:cNvPicPr/>
                  </pic:nvPicPr>
                  <pic:blipFill>
                    <a:blip r:embed="rId8"/>
                    <a:stretch>
                      <a:fillRect/>
                    </a:stretch>
                  </pic:blipFill>
                  <pic:spPr>
                    <a:xfrm>
                      <a:off x="0" y="0"/>
                      <a:ext cx="7537998" cy="10662621"/>
                    </a:xfrm>
                    <a:prstGeom prst="rect">
                      <a:avLst/>
                    </a:prstGeom>
                  </pic:spPr>
                </pic:pic>
              </a:graphicData>
            </a:graphic>
            <wp14:sizeRelH relativeFrom="page">
              <wp14:pctWidth>0</wp14:pctWidth>
            </wp14:sizeRelH>
            <wp14:sizeRelV relativeFrom="page">
              <wp14:pctHeight>0</wp14:pctHeight>
            </wp14:sizeRelV>
          </wp:anchor>
        </w:drawing>
      </w:r>
    </w:p>
    <w:p w14:paraId="19C0A408" w14:textId="77777777" w:rsidR="00433D6F" w:rsidRDefault="00433D6F" w:rsidP="00D12FC1">
      <w:pPr>
        <w:jc w:val="center"/>
        <w:rPr>
          <w:rFonts w:cs="Arial"/>
          <w:b/>
          <w:sz w:val="36"/>
          <w:szCs w:val="36"/>
        </w:rPr>
      </w:pPr>
    </w:p>
    <w:p w14:paraId="0E619669" w14:textId="77777777" w:rsidR="00E01E56" w:rsidRDefault="00E01E56" w:rsidP="00D12FC1">
      <w:pPr>
        <w:jc w:val="center"/>
        <w:rPr>
          <w:rFonts w:cs="Arial"/>
          <w:b/>
          <w:sz w:val="36"/>
          <w:szCs w:val="36"/>
        </w:rPr>
      </w:pPr>
    </w:p>
    <w:p w14:paraId="50D3E2E8" w14:textId="77777777" w:rsidR="00A313E6" w:rsidRDefault="00A313E6" w:rsidP="00D12FC1">
      <w:pPr>
        <w:jc w:val="center"/>
        <w:rPr>
          <w:rFonts w:cs="Arial"/>
          <w:b/>
          <w:sz w:val="36"/>
          <w:szCs w:val="36"/>
        </w:rPr>
      </w:pPr>
    </w:p>
    <w:p w14:paraId="6BB4B0ED" w14:textId="77777777" w:rsidR="00A313E6" w:rsidRDefault="00A313E6" w:rsidP="002D1E1F">
      <w:pPr>
        <w:pStyle w:val="Heading1HQSC"/>
      </w:pPr>
    </w:p>
    <w:p w14:paraId="0DF45B5A" w14:textId="77777777" w:rsidR="00A313E6" w:rsidRDefault="00A313E6" w:rsidP="00D12FC1">
      <w:pPr>
        <w:jc w:val="center"/>
        <w:rPr>
          <w:rFonts w:cs="Arial"/>
          <w:b/>
          <w:sz w:val="36"/>
          <w:szCs w:val="36"/>
        </w:rPr>
      </w:pPr>
    </w:p>
    <w:p w14:paraId="72614ADB" w14:textId="77777777" w:rsidR="00A313E6" w:rsidRDefault="00A313E6" w:rsidP="00D12FC1">
      <w:pPr>
        <w:jc w:val="center"/>
        <w:rPr>
          <w:rFonts w:cs="Arial"/>
          <w:b/>
          <w:sz w:val="36"/>
          <w:szCs w:val="36"/>
        </w:rPr>
      </w:pPr>
    </w:p>
    <w:p w14:paraId="1981B87C" w14:textId="77777777" w:rsidR="00A313E6" w:rsidRDefault="00A313E6" w:rsidP="00D12FC1">
      <w:pPr>
        <w:jc w:val="center"/>
        <w:rPr>
          <w:rFonts w:cs="Arial"/>
          <w:b/>
          <w:sz w:val="36"/>
          <w:szCs w:val="36"/>
        </w:rPr>
      </w:pPr>
    </w:p>
    <w:p w14:paraId="53327255" w14:textId="77777777" w:rsidR="00621836" w:rsidRPr="00C70003" w:rsidRDefault="00621836" w:rsidP="00621836">
      <w:pPr>
        <w:jc w:val="center"/>
        <w:rPr>
          <w:rFonts w:cs="Arial"/>
          <w:b/>
          <w:color w:val="E8E5E5"/>
          <w:sz w:val="36"/>
          <w:szCs w:val="36"/>
        </w:rPr>
      </w:pPr>
      <w:r w:rsidRPr="00C70003">
        <w:rPr>
          <w:rFonts w:cs="Arial"/>
          <w:b/>
          <w:color w:val="E8E5E5"/>
          <w:sz w:val="44"/>
          <w:szCs w:val="44"/>
        </w:rPr>
        <w:t>Atlas of Healthcare Variation: Methodology Opioids</w:t>
      </w:r>
    </w:p>
    <w:p w14:paraId="2F3876D5" w14:textId="77777777" w:rsidR="009B60E1" w:rsidRPr="00C70003" w:rsidRDefault="009B60E1" w:rsidP="00D12FC1">
      <w:pPr>
        <w:jc w:val="center"/>
        <w:rPr>
          <w:rFonts w:cs="Arial"/>
          <w:b/>
          <w:color w:val="E8E5E5"/>
          <w:sz w:val="36"/>
          <w:szCs w:val="36"/>
        </w:rPr>
      </w:pPr>
    </w:p>
    <w:p w14:paraId="2433A6F7" w14:textId="538E2572" w:rsidR="002E1666" w:rsidRPr="00C70003" w:rsidRDefault="00621836" w:rsidP="00621836">
      <w:pPr>
        <w:pStyle w:val="coverdateHQSC"/>
        <w:jc w:val="center"/>
        <w:rPr>
          <w:color w:val="E8E5E5"/>
        </w:rPr>
      </w:pPr>
      <w:r w:rsidRPr="00C70003">
        <w:rPr>
          <w:color w:val="E8E5E5"/>
        </w:rPr>
        <w:t>November 2025</w:t>
      </w:r>
    </w:p>
    <w:p w14:paraId="6C99268C" w14:textId="77777777" w:rsidR="002E1666" w:rsidRPr="002D1E1F" w:rsidRDefault="002E1666">
      <w:pPr>
        <w:rPr>
          <w:rFonts w:cs="Arial"/>
          <w:color w:val="FFFFFF" w:themeColor="background1"/>
          <w:sz w:val="56"/>
          <w:szCs w:val="56"/>
        </w:rPr>
      </w:pPr>
      <w:r w:rsidRPr="002D1E1F">
        <w:rPr>
          <w:rFonts w:cs="Arial"/>
          <w:color w:val="FFFFFF" w:themeColor="background1"/>
          <w:sz w:val="56"/>
          <w:szCs w:val="56"/>
        </w:rPr>
        <w:br w:type="page"/>
      </w:r>
    </w:p>
    <w:bookmarkStart w:id="0" w:name="_Toc210140419" w:displacedByCustomXml="next"/>
    <w:bookmarkStart w:id="1" w:name="_Toc206597063" w:displacedByCustomXml="next"/>
    <w:bookmarkStart w:id="2" w:name="_Toc206597199" w:displacedByCustomXml="next"/>
    <w:sdt>
      <w:sdtPr>
        <w:rPr>
          <w:rFonts w:eastAsiaTheme="minorEastAsia" w:cstheme="minorBidi"/>
          <w:b w:val="0"/>
          <w:color w:val="auto"/>
          <w:sz w:val="22"/>
          <w:szCs w:val="22"/>
        </w:rPr>
        <w:id w:val="-344779145"/>
        <w:docPartObj>
          <w:docPartGallery w:val="Table of Contents"/>
          <w:docPartUnique/>
        </w:docPartObj>
      </w:sdtPr>
      <w:sdtEndPr>
        <w:rPr>
          <w:noProof/>
        </w:rPr>
      </w:sdtEndPr>
      <w:sdtContent>
        <w:p w14:paraId="48700A18" w14:textId="77777777" w:rsidR="00621836" w:rsidRPr="00A803A6" w:rsidRDefault="00621836" w:rsidP="00621836">
          <w:pPr>
            <w:pStyle w:val="Heading1"/>
          </w:pPr>
          <w:r w:rsidRPr="00A803A6">
            <w:t>Contents</w:t>
          </w:r>
          <w:bookmarkEnd w:id="2"/>
          <w:bookmarkEnd w:id="1"/>
          <w:bookmarkEnd w:id="0"/>
        </w:p>
        <w:p w14:paraId="0D400FEB" w14:textId="77777777" w:rsidR="00621836" w:rsidRDefault="00621836" w:rsidP="00621836">
          <w:pPr>
            <w:pStyle w:val="TOC1"/>
            <w:rPr>
              <w:rFonts w:asciiTheme="minorHAnsi" w:eastAsiaTheme="minorEastAsia" w:hAnsiTheme="minorHAnsi"/>
              <w:noProof/>
              <w:kern w:val="2"/>
              <w:sz w:val="24"/>
              <w:szCs w:val="24"/>
              <w:lang w:eastAsia="en-NZ"/>
              <w14:ligatures w14:val="standardContextual"/>
            </w:rPr>
          </w:pPr>
          <w:r w:rsidRPr="00A803A6">
            <w:rPr>
              <w:rFonts w:cs="Arial"/>
              <w:color w:val="000000" w:themeColor="text1"/>
            </w:rPr>
            <w:fldChar w:fldCharType="begin"/>
          </w:r>
          <w:r w:rsidRPr="00A803A6">
            <w:rPr>
              <w:rFonts w:cs="Arial"/>
              <w:color w:val="000000" w:themeColor="text1"/>
            </w:rPr>
            <w:instrText xml:space="preserve"> TOC \o "1-3" \h \z \u </w:instrText>
          </w:r>
          <w:r w:rsidRPr="00A803A6">
            <w:rPr>
              <w:rFonts w:cs="Arial"/>
              <w:color w:val="000000" w:themeColor="text1"/>
            </w:rPr>
            <w:fldChar w:fldCharType="separate"/>
          </w:r>
        </w:p>
        <w:p w14:paraId="6DAF571A" w14:textId="29419C09" w:rsidR="00621836" w:rsidRDefault="00621836" w:rsidP="00621836">
          <w:pPr>
            <w:pStyle w:val="TOC3"/>
            <w:rPr>
              <w:rFonts w:asciiTheme="minorHAnsi" w:eastAsiaTheme="minorEastAsia" w:hAnsiTheme="minorHAnsi"/>
              <w:noProof/>
              <w:kern w:val="2"/>
              <w:sz w:val="24"/>
              <w:szCs w:val="24"/>
              <w:lang w:eastAsia="en-NZ"/>
              <w14:ligatures w14:val="standardContextual"/>
            </w:rPr>
          </w:pPr>
          <w:hyperlink w:anchor="_Toc210140420" w:history="1">
            <w:r w:rsidRPr="006B3542">
              <w:rPr>
                <w:rStyle w:val="Hyperlink"/>
                <w:noProof/>
              </w:rPr>
              <w:t>Data sources</w:t>
            </w:r>
            <w:r>
              <w:rPr>
                <w:noProof/>
                <w:webHidden/>
              </w:rPr>
              <w:tab/>
            </w:r>
            <w:r>
              <w:rPr>
                <w:noProof/>
                <w:webHidden/>
              </w:rPr>
              <w:fldChar w:fldCharType="begin"/>
            </w:r>
            <w:r>
              <w:rPr>
                <w:noProof/>
                <w:webHidden/>
              </w:rPr>
              <w:instrText xml:space="preserve"> PAGEREF _Toc210140420 \h </w:instrText>
            </w:r>
            <w:r>
              <w:rPr>
                <w:noProof/>
                <w:webHidden/>
              </w:rPr>
            </w:r>
            <w:r>
              <w:rPr>
                <w:noProof/>
                <w:webHidden/>
              </w:rPr>
              <w:fldChar w:fldCharType="separate"/>
            </w:r>
            <w:r w:rsidR="00612985">
              <w:rPr>
                <w:noProof/>
                <w:webHidden/>
              </w:rPr>
              <w:t>3</w:t>
            </w:r>
            <w:r>
              <w:rPr>
                <w:noProof/>
                <w:webHidden/>
              </w:rPr>
              <w:fldChar w:fldCharType="end"/>
            </w:r>
          </w:hyperlink>
        </w:p>
        <w:p w14:paraId="7AAD6B24" w14:textId="342AF750" w:rsidR="00621836" w:rsidRDefault="00621836" w:rsidP="00621836">
          <w:pPr>
            <w:pStyle w:val="TOC3"/>
            <w:rPr>
              <w:rFonts w:asciiTheme="minorHAnsi" w:eastAsiaTheme="minorEastAsia" w:hAnsiTheme="minorHAnsi"/>
              <w:noProof/>
              <w:kern w:val="2"/>
              <w:sz w:val="24"/>
              <w:szCs w:val="24"/>
              <w:lang w:eastAsia="en-NZ"/>
              <w14:ligatures w14:val="standardContextual"/>
            </w:rPr>
          </w:pPr>
          <w:hyperlink w:anchor="_Toc210140421" w:history="1">
            <w:r w:rsidRPr="006B3542">
              <w:rPr>
                <w:rStyle w:val="Hyperlink"/>
                <w:noProof/>
              </w:rPr>
              <w:t>Exclusions</w:t>
            </w:r>
            <w:r>
              <w:rPr>
                <w:noProof/>
                <w:webHidden/>
              </w:rPr>
              <w:tab/>
            </w:r>
            <w:r>
              <w:rPr>
                <w:noProof/>
                <w:webHidden/>
              </w:rPr>
              <w:fldChar w:fldCharType="begin"/>
            </w:r>
            <w:r>
              <w:rPr>
                <w:noProof/>
                <w:webHidden/>
              </w:rPr>
              <w:instrText xml:space="preserve"> PAGEREF _Toc210140421 \h </w:instrText>
            </w:r>
            <w:r>
              <w:rPr>
                <w:noProof/>
                <w:webHidden/>
              </w:rPr>
            </w:r>
            <w:r>
              <w:rPr>
                <w:noProof/>
                <w:webHidden/>
              </w:rPr>
              <w:fldChar w:fldCharType="separate"/>
            </w:r>
            <w:r w:rsidR="00612985">
              <w:rPr>
                <w:noProof/>
                <w:webHidden/>
              </w:rPr>
              <w:t>4</w:t>
            </w:r>
            <w:r>
              <w:rPr>
                <w:noProof/>
                <w:webHidden/>
              </w:rPr>
              <w:fldChar w:fldCharType="end"/>
            </w:r>
          </w:hyperlink>
        </w:p>
        <w:p w14:paraId="69F43717" w14:textId="15D74D38" w:rsidR="00621836" w:rsidRDefault="00621836" w:rsidP="00621836">
          <w:pPr>
            <w:pStyle w:val="TOC3"/>
            <w:rPr>
              <w:rFonts w:asciiTheme="minorHAnsi" w:eastAsiaTheme="minorEastAsia" w:hAnsiTheme="minorHAnsi"/>
              <w:noProof/>
              <w:kern w:val="2"/>
              <w:sz w:val="24"/>
              <w:szCs w:val="24"/>
              <w:lang w:eastAsia="en-NZ"/>
              <w14:ligatures w14:val="standardContextual"/>
            </w:rPr>
          </w:pPr>
          <w:hyperlink w:anchor="_Toc210140422" w:history="1">
            <w:r w:rsidRPr="006B3542">
              <w:rPr>
                <w:rStyle w:val="Hyperlink"/>
                <w:noProof/>
              </w:rPr>
              <w:t>Indicators</w:t>
            </w:r>
            <w:r>
              <w:rPr>
                <w:noProof/>
                <w:webHidden/>
              </w:rPr>
              <w:tab/>
            </w:r>
            <w:r>
              <w:rPr>
                <w:noProof/>
                <w:webHidden/>
              </w:rPr>
              <w:fldChar w:fldCharType="begin"/>
            </w:r>
            <w:r>
              <w:rPr>
                <w:noProof/>
                <w:webHidden/>
              </w:rPr>
              <w:instrText xml:space="preserve"> PAGEREF _Toc210140422 \h </w:instrText>
            </w:r>
            <w:r>
              <w:rPr>
                <w:noProof/>
                <w:webHidden/>
              </w:rPr>
            </w:r>
            <w:r>
              <w:rPr>
                <w:noProof/>
                <w:webHidden/>
              </w:rPr>
              <w:fldChar w:fldCharType="separate"/>
            </w:r>
            <w:r w:rsidR="00612985">
              <w:rPr>
                <w:noProof/>
                <w:webHidden/>
              </w:rPr>
              <w:t>4</w:t>
            </w:r>
            <w:r>
              <w:rPr>
                <w:noProof/>
                <w:webHidden/>
              </w:rPr>
              <w:fldChar w:fldCharType="end"/>
            </w:r>
          </w:hyperlink>
        </w:p>
        <w:p w14:paraId="58F266AA" w14:textId="2257809D" w:rsidR="00621836" w:rsidRDefault="00621836" w:rsidP="00621836">
          <w:pPr>
            <w:pStyle w:val="TOC3"/>
            <w:tabs>
              <w:tab w:val="left" w:pos="1440"/>
            </w:tabs>
            <w:rPr>
              <w:rFonts w:asciiTheme="minorHAnsi" w:eastAsiaTheme="minorEastAsia" w:hAnsiTheme="minorHAnsi"/>
              <w:noProof/>
              <w:kern w:val="2"/>
              <w:sz w:val="24"/>
              <w:szCs w:val="24"/>
              <w:lang w:eastAsia="en-NZ"/>
              <w14:ligatures w14:val="standardContextual"/>
            </w:rPr>
          </w:pPr>
          <w:hyperlink w:anchor="_Toc210140423" w:history="1">
            <w:r w:rsidRPr="006B3542">
              <w:rPr>
                <w:rStyle w:val="Hyperlink"/>
                <w:noProof/>
              </w:rPr>
              <w:t>1.</w:t>
            </w:r>
            <w:r>
              <w:rPr>
                <w:rFonts w:asciiTheme="minorHAnsi" w:eastAsiaTheme="minorEastAsia" w:hAnsiTheme="minorHAnsi"/>
                <w:noProof/>
                <w:kern w:val="2"/>
                <w:sz w:val="24"/>
                <w:szCs w:val="24"/>
                <w:lang w:eastAsia="en-NZ"/>
                <w14:ligatures w14:val="standardContextual"/>
              </w:rPr>
              <w:tab/>
            </w:r>
            <w:r w:rsidRPr="006B3542">
              <w:rPr>
                <w:rStyle w:val="Hyperlink"/>
                <w:bCs/>
                <w:noProof/>
              </w:rPr>
              <w:t xml:space="preserve">People dispensed a strong opioid medicine </w:t>
            </w:r>
            <w:r w:rsidRPr="006B3542">
              <w:rPr>
                <w:rStyle w:val="Hyperlink"/>
                <w:noProof/>
              </w:rPr>
              <w:t>one or more times</w:t>
            </w:r>
            <w:r w:rsidRPr="006B3542">
              <w:rPr>
                <w:rStyle w:val="Hyperlink"/>
                <w:bCs/>
                <w:noProof/>
              </w:rPr>
              <w:t xml:space="preserve"> in a year</w:t>
            </w:r>
            <w:r>
              <w:rPr>
                <w:noProof/>
                <w:webHidden/>
              </w:rPr>
              <w:tab/>
            </w:r>
            <w:r>
              <w:rPr>
                <w:noProof/>
                <w:webHidden/>
              </w:rPr>
              <w:fldChar w:fldCharType="begin"/>
            </w:r>
            <w:r>
              <w:rPr>
                <w:noProof/>
                <w:webHidden/>
              </w:rPr>
              <w:instrText xml:space="preserve"> PAGEREF _Toc210140423 \h </w:instrText>
            </w:r>
            <w:r>
              <w:rPr>
                <w:noProof/>
                <w:webHidden/>
              </w:rPr>
            </w:r>
            <w:r>
              <w:rPr>
                <w:noProof/>
                <w:webHidden/>
              </w:rPr>
              <w:fldChar w:fldCharType="separate"/>
            </w:r>
            <w:r w:rsidR="00612985">
              <w:rPr>
                <w:noProof/>
                <w:webHidden/>
              </w:rPr>
              <w:t>4</w:t>
            </w:r>
            <w:r>
              <w:rPr>
                <w:noProof/>
                <w:webHidden/>
              </w:rPr>
              <w:fldChar w:fldCharType="end"/>
            </w:r>
          </w:hyperlink>
        </w:p>
        <w:p w14:paraId="66596484" w14:textId="6D7CC72F" w:rsidR="00621836" w:rsidRDefault="00621836" w:rsidP="00621836">
          <w:pPr>
            <w:pStyle w:val="TOC3"/>
            <w:tabs>
              <w:tab w:val="left" w:pos="1440"/>
            </w:tabs>
            <w:rPr>
              <w:rFonts w:asciiTheme="minorHAnsi" w:eastAsiaTheme="minorEastAsia" w:hAnsiTheme="minorHAnsi"/>
              <w:noProof/>
              <w:kern w:val="2"/>
              <w:sz w:val="24"/>
              <w:szCs w:val="24"/>
              <w:lang w:eastAsia="en-NZ"/>
              <w14:ligatures w14:val="standardContextual"/>
            </w:rPr>
          </w:pPr>
          <w:hyperlink w:anchor="_Toc210140424" w:history="1">
            <w:r w:rsidRPr="006B3542">
              <w:rPr>
                <w:rStyle w:val="Hyperlink"/>
                <w:noProof/>
              </w:rPr>
              <w:t>2.</w:t>
            </w:r>
            <w:r>
              <w:rPr>
                <w:rFonts w:asciiTheme="minorHAnsi" w:eastAsiaTheme="minorEastAsia" w:hAnsiTheme="minorHAnsi"/>
                <w:noProof/>
                <w:kern w:val="2"/>
                <w:sz w:val="24"/>
                <w:szCs w:val="24"/>
                <w:lang w:eastAsia="en-NZ"/>
                <w14:ligatures w14:val="standardContextual"/>
              </w:rPr>
              <w:tab/>
            </w:r>
            <w:r w:rsidRPr="006B3542">
              <w:rPr>
                <w:rStyle w:val="Hyperlink"/>
                <w:noProof/>
              </w:rPr>
              <w:t>People dispensed a ‘strong’ opioid for 6 weeks or more in a year</w:t>
            </w:r>
            <w:r>
              <w:rPr>
                <w:noProof/>
                <w:webHidden/>
              </w:rPr>
              <w:tab/>
            </w:r>
            <w:r>
              <w:rPr>
                <w:noProof/>
                <w:webHidden/>
              </w:rPr>
              <w:fldChar w:fldCharType="begin"/>
            </w:r>
            <w:r>
              <w:rPr>
                <w:noProof/>
                <w:webHidden/>
              </w:rPr>
              <w:instrText xml:space="preserve"> PAGEREF _Toc210140424 \h </w:instrText>
            </w:r>
            <w:r>
              <w:rPr>
                <w:noProof/>
                <w:webHidden/>
              </w:rPr>
            </w:r>
            <w:r>
              <w:rPr>
                <w:noProof/>
                <w:webHidden/>
              </w:rPr>
              <w:fldChar w:fldCharType="separate"/>
            </w:r>
            <w:r w:rsidR="00612985">
              <w:rPr>
                <w:noProof/>
                <w:webHidden/>
              </w:rPr>
              <w:t>6</w:t>
            </w:r>
            <w:r>
              <w:rPr>
                <w:noProof/>
                <w:webHidden/>
              </w:rPr>
              <w:fldChar w:fldCharType="end"/>
            </w:r>
          </w:hyperlink>
        </w:p>
        <w:p w14:paraId="0E721737" w14:textId="7697998F" w:rsidR="00621836" w:rsidRDefault="00621836" w:rsidP="00621836">
          <w:pPr>
            <w:pStyle w:val="TOC3"/>
            <w:tabs>
              <w:tab w:val="left" w:pos="1440"/>
            </w:tabs>
            <w:rPr>
              <w:rFonts w:asciiTheme="minorHAnsi" w:eastAsiaTheme="minorEastAsia" w:hAnsiTheme="minorHAnsi"/>
              <w:noProof/>
              <w:kern w:val="2"/>
              <w:sz w:val="24"/>
              <w:szCs w:val="24"/>
              <w:lang w:eastAsia="en-NZ"/>
              <w14:ligatures w14:val="standardContextual"/>
            </w:rPr>
          </w:pPr>
          <w:hyperlink w:anchor="_Toc210140425" w:history="1">
            <w:r w:rsidRPr="006B3542">
              <w:rPr>
                <w:rStyle w:val="Hyperlink"/>
                <w:rFonts w:cs="Arial"/>
                <w:noProof/>
              </w:rPr>
              <w:t>3.</w:t>
            </w:r>
            <w:r>
              <w:rPr>
                <w:rFonts w:asciiTheme="minorHAnsi" w:eastAsiaTheme="minorEastAsia" w:hAnsiTheme="minorHAnsi"/>
                <w:noProof/>
                <w:kern w:val="2"/>
                <w:sz w:val="24"/>
                <w:szCs w:val="24"/>
                <w:lang w:eastAsia="en-NZ"/>
                <w14:ligatures w14:val="standardContextual"/>
              </w:rPr>
              <w:tab/>
            </w:r>
            <w:r w:rsidRPr="006B3542">
              <w:rPr>
                <w:rStyle w:val="Hyperlink"/>
                <w:noProof/>
              </w:rPr>
              <w:t>People dispensed  weak opioid medicines one or more times in a year</w:t>
            </w:r>
            <w:r>
              <w:rPr>
                <w:noProof/>
                <w:webHidden/>
              </w:rPr>
              <w:tab/>
            </w:r>
            <w:r>
              <w:rPr>
                <w:noProof/>
                <w:webHidden/>
              </w:rPr>
              <w:fldChar w:fldCharType="begin"/>
            </w:r>
            <w:r>
              <w:rPr>
                <w:noProof/>
                <w:webHidden/>
              </w:rPr>
              <w:instrText xml:space="preserve"> PAGEREF _Toc210140425 \h </w:instrText>
            </w:r>
            <w:r>
              <w:rPr>
                <w:noProof/>
                <w:webHidden/>
              </w:rPr>
            </w:r>
            <w:r>
              <w:rPr>
                <w:noProof/>
                <w:webHidden/>
              </w:rPr>
              <w:fldChar w:fldCharType="separate"/>
            </w:r>
            <w:r w:rsidR="00612985">
              <w:rPr>
                <w:noProof/>
                <w:webHidden/>
              </w:rPr>
              <w:t>7</w:t>
            </w:r>
            <w:r>
              <w:rPr>
                <w:noProof/>
                <w:webHidden/>
              </w:rPr>
              <w:fldChar w:fldCharType="end"/>
            </w:r>
          </w:hyperlink>
        </w:p>
        <w:p w14:paraId="49F144BD" w14:textId="4177B144" w:rsidR="00621836" w:rsidRDefault="00621836" w:rsidP="00621836">
          <w:pPr>
            <w:pStyle w:val="TOC3"/>
            <w:rPr>
              <w:rFonts w:asciiTheme="minorHAnsi" w:eastAsiaTheme="minorEastAsia" w:hAnsiTheme="minorHAnsi"/>
              <w:noProof/>
              <w:kern w:val="2"/>
              <w:sz w:val="24"/>
              <w:szCs w:val="24"/>
              <w:lang w:eastAsia="en-NZ"/>
              <w14:ligatures w14:val="standardContextual"/>
            </w:rPr>
          </w:pPr>
          <w:hyperlink w:anchor="_Toc210140426" w:history="1">
            <w:r w:rsidRPr="006B3542">
              <w:rPr>
                <w:rStyle w:val="Hyperlink"/>
                <w:bCs/>
                <w:noProof/>
              </w:rPr>
              <w:t xml:space="preserve">3a. People dispensed  tramadol </w:t>
            </w:r>
            <w:r w:rsidRPr="006B3542">
              <w:rPr>
                <w:rStyle w:val="Hyperlink"/>
                <w:noProof/>
              </w:rPr>
              <w:t>one or more times</w:t>
            </w:r>
            <w:r w:rsidRPr="006B3542">
              <w:rPr>
                <w:rStyle w:val="Hyperlink"/>
                <w:bCs/>
                <w:noProof/>
              </w:rPr>
              <w:t xml:space="preserve"> in a year</w:t>
            </w:r>
            <w:r>
              <w:rPr>
                <w:noProof/>
                <w:webHidden/>
              </w:rPr>
              <w:tab/>
            </w:r>
            <w:r>
              <w:rPr>
                <w:noProof/>
                <w:webHidden/>
              </w:rPr>
              <w:fldChar w:fldCharType="begin"/>
            </w:r>
            <w:r>
              <w:rPr>
                <w:noProof/>
                <w:webHidden/>
              </w:rPr>
              <w:instrText xml:space="preserve"> PAGEREF _Toc210140426 \h </w:instrText>
            </w:r>
            <w:r>
              <w:rPr>
                <w:noProof/>
                <w:webHidden/>
              </w:rPr>
            </w:r>
            <w:r>
              <w:rPr>
                <w:noProof/>
                <w:webHidden/>
              </w:rPr>
              <w:fldChar w:fldCharType="separate"/>
            </w:r>
            <w:r w:rsidR="00612985">
              <w:rPr>
                <w:noProof/>
                <w:webHidden/>
              </w:rPr>
              <w:t>8</w:t>
            </w:r>
            <w:r>
              <w:rPr>
                <w:noProof/>
                <w:webHidden/>
              </w:rPr>
              <w:fldChar w:fldCharType="end"/>
            </w:r>
          </w:hyperlink>
        </w:p>
        <w:p w14:paraId="47E6E37F" w14:textId="2F83F99D" w:rsidR="00621836" w:rsidRDefault="00621836" w:rsidP="00621836">
          <w:pPr>
            <w:pStyle w:val="TOC3"/>
            <w:rPr>
              <w:rFonts w:asciiTheme="minorHAnsi" w:eastAsiaTheme="minorEastAsia" w:hAnsiTheme="minorHAnsi"/>
              <w:noProof/>
              <w:kern w:val="2"/>
              <w:sz w:val="24"/>
              <w:szCs w:val="24"/>
              <w:lang w:eastAsia="en-NZ"/>
              <w14:ligatures w14:val="standardContextual"/>
            </w:rPr>
          </w:pPr>
          <w:hyperlink w:anchor="_Toc210140427" w:history="1">
            <w:r w:rsidRPr="006B3542">
              <w:rPr>
                <w:rStyle w:val="Hyperlink"/>
                <w:noProof/>
              </w:rPr>
              <w:t>3b.  People dispensed codeine one or more times in a year</w:t>
            </w:r>
            <w:r>
              <w:rPr>
                <w:noProof/>
                <w:webHidden/>
              </w:rPr>
              <w:tab/>
            </w:r>
            <w:r>
              <w:rPr>
                <w:noProof/>
                <w:webHidden/>
              </w:rPr>
              <w:fldChar w:fldCharType="begin"/>
            </w:r>
            <w:r>
              <w:rPr>
                <w:noProof/>
                <w:webHidden/>
              </w:rPr>
              <w:instrText xml:space="preserve"> PAGEREF _Toc210140427 \h </w:instrText>
            </w:r>
            <w:r>
              <w:rPr>
                <w:noProof/>
                <w:webHidden/>
              </w:rPr>
            </w:r>
            <w:r>
              <w:rPr>
                <w:noProof/>
                <w:webHidden/>
              </w:rPr>
              <w:fldChar w:fldCharType="separate"/>
            </w:r>
            <w:r w:rsidR="00612985">
              <w:rPr>
                <w:noProof/>
                <w:webHidden/>
              </w:rPr>
              <w:t>9</w:t>
            </w:r>
            <w:r>
              <w:rPr>
                <w:noProof/>
                <w:webHidden/>
              </w:rPr>
              <w:fldChar w:fldCharType="end"/>
            </w:r>
          </w:hyperlink>
        </w:p>
        <w:p w14:paraId="7FB25AFF" w14:textId="5E0552FE" w:rsidR="00621836" w:rsidRDefault="00621836" w:rsidP="00621836">
          <w:pPr>
            <w:pStyle w:val="TOC3"/>
            <w:tabs>
              <w:tab w:val="left" w:pos="1440"/>
            </w:tabs>
            <w:rPr>
              <w:rFonts w:asciiTheme="minorHAnsi" w:eastAsiaTheme="minorEastAsia" w:hAnsiTheme="minorHAnsi"/>
              <w:noProof/>
              <w:kern w:val="2"/>
              <w:sz w:val="24"/>
              <w:szCs w:val="24"/>
              <w:lang w:eastAsia="en-NZ"/>
              <w14:ligatures w14:val="standardContextual"/>
            </w:rPr>
          </w:pPr>
          <w:hyperlink w:anchor="_Toc210140428" w:history="1">
            <w:r w:rsidRPr="006B3542">
              <w:rPr>
                <w:rStyle w:val="Hyperlink"/>
                <w:noProof/>
              </w:rPr>
              <w:t>4.</w:t>
            </w:r>
            <w:r>
              <w:rPr>
                <w:rFonts w:asciiTheme="minorHAnsi" w:eastAsiaTheme="minorEastAsia" w:hAnsiTheme="minorHAnsi"/>
                <w:noProof/>
                <w:kern w:val="2"/>
                <w:sz w:val="24"/>
                <w:szCs w:val="24"/>
                <w:lang w:eastAsia="en-NZ"/>
                <w14:ligatures w14:val="standardContextual"/>
              </w:rPr>
              <w:tab/>
            </w:r>
            <w:r w:rsidRPr="006B3542">
              <w:rPr>
                <w:rStyle w:val="Hyperlink"/>
                <w:noProof/>
              </w:rPr>
              <w:t>People dispensed morphine one or more times in a year</w:t>
            </w:r>
            <w:r>
              <w:rPr>
                <w:noProof/>
                <w:webHidden/>
              </w:rPr>
              <w:tab/>
            </w:r>
            <w:r>
              <w:rPr>
                <w:noProof/>
                <w:webHidden/>
              </w:rPr>
              <w:fldChar w:fldCharType="begin"/>
            </w:r>
            <w:r>
              <w:rPr>
                <w:noProof/>
                <w:webHidden/>
              </w:rPr>
              <w:instrText xml:space="preserve"> PAGEREF _Toc210140428 \h </w:instrText>
            </w:r>
            <w:r>
              <w:rPr>
                <w:noProof/>
                <w:webHidden/>
              </w:rPr>
            </w:r>
            <w:r>
              <w:rPr>
                <w:noProof/>
                <w:webHidden/>
              </w:rPr>
              <w:fldChar w:fldCharType="separate"/>
            </w:r>
            <w:r w:rsidR="00612985">
              <w:rPr>
                <w:noProof/>
                <w:webHidden/>
              </w:rPr>
              <w:t>10</w:t>
            </w:r>
            <w:r>
              <w:rPr>
                <w:noProof/>
                <w:webHidden/>
              </w:rPr>
              <w:fldChar w:fldCharType="end"/>
            </w:r>
          </w:hyperlink>
        </w:p>
        <w:p w14:paraId="7859DCFF" w14:textId="78EC8F3D" w:rsidR="00621836" w:rsidRDefault="00621836" w:rsidP="00621836">
          <w:pPr>
            <w:pStyle w:val="TOC3"/>
            <w:tabs>
              <w:tab w:val="left" w:pos="1440"/>
            </w:tabs>
            <w:rPr>
              <w:rFonts w:asciiTheme="minorHAnsi" w:eastAsiaTheme="minorEastAsia" w:hAnsiTheme="minorHAnsi"/>
              <w:noProof/>
              <w:kern w:val="2"/>
              <w:sz w:val="24"/>
              <w:szCs w:val="24"/>
              <w:lang w:eastAsia="en-NZ"/>
              <w14:ligatures w14:val="standardContextual"/>
            </w:rPr>
          </w:pPr>
          <w:hyperlink w:anchor="_Toc210140429" w:history="1">
            <w:r w:rsidRPr="006B3542">
              <w:rPr>
                <w:rStyle w:val="Hyperlink"/>
                <w:noProof/>
              </w:rPr>
              <w:t>5.</w:t>
            </w:r>
            <w:r>
              <w:rPr>
                <w:rFonts w:asciiTheme="minorHAnsi" w:eastAsiaTheme="minorEastAsia" w:hAnsiTheme="minorHAnsi"/>
                <w:noProof/>
                <w:kern w:val="2"/>
                <w:sz w:val="24"/>
                <w:szCs w:val="24"/>
                <w:lang w:eastAsia="en-NZ"/>
                <w14:ligatures w14:val="standardContextual"/>
              </w:rPr>
              <w:tab/>
            </w:r>
            <w:r w:rsidRPr="006B3542">
              <w:rPr>
                <w:rStyle w:val="Hyperlink"/>
                <w:noProof/>
              </w:rPr>
              <w:t>People dispensed morphine for 6 weeks or more</w:t>
            </w:r>
            <w:r>
              <w:rPr>
                <w:noProof/>
                <w:webHidden/>
              </w:rPr>
              <w:tab/>
            </w:r>
            <w:r>
              <w:rPr>
                <w:noProof/>
                <w:webHidden/>
              </w:rPr>
              <w:fldChar w:fldCharType="begin"/>
            </w:r>
            <w:r>
              <w:rPr>
                <w:noProof/>
                <w:webHidden/>
              </w:rPr>
              <w:instrText xml:space="preserve"> PAGEREF _Toc210140429 \h </w:instrText>
            </w:r>
            <w:r>
              <w:rPr>
                <w:noProof/>
                <w:webHidden/>
              </w:rPr>
            </w:r>
            <w:r>
              <w:rPr>
                <w:noProof/>
                <w:webHidden/>
              </w:rPr>
              <w:fldChar w:fldCharType="separate"/>
            </w:r>
            <w:r w:rsidR="00612985">
              <w:rPr>
                <w:noProof/>
                <w:webHidden/>
              </w:rPr>
              <w:t>11</w:t>
            </w:r>
            <w:r>
              <w:rPr>
                <w:noProof/>
                <w:webHidden/>
              </w:rPr>
              <w:fldChar w:fldCharType="end"/>
            </w:r>
          </w:hyperlink>
        </w:p>
        <w:p w14:paraId="2A80264A" w14:textId="02ECE6A0" w:rsidR="00621836" w:rsidRDefault="00621836" w:rsidP="00621836">
          <w:pPr>
            <w:pStyle w:val="TOC3"/>
            <w:tabs>
              <w:tab w:val="left" w:pos="1440"/>
            </w:tabs>
            <w:rPr>
              <w:rFonts w:asciiTheme="minorHAnsi" w:eastAsiaTheme="minorEastAsia" w:hAnsiTheme="minorHAnsi"/>
              <w:noProof/>
              <w:kern w:val="2"/>
              <w:sz w:val="24"/>
              <w:szCs w:val="24"/>
              <w:lang w:eastAsia="en-NZ"/>
              <w14:ligatures w14:val="standardContextual"/>
            </w:rPr>
          </w:pPr>
          <w:hyperlink w:anchor="_Toc210140430" w:history="1">
            <w:r w:rsidRPr="006B3542">
              <w:rPr>
                <w:rStyle w:val="Hyperlink"/>
                <w:noProof/>
              </w:rPr>
              <w:t>6.</w:t>
            </w:r>
            <w:r>
              <w:rPr>
                <w:rFonts w:asciiTheme="minorHAnsi" w:eastAsiaTheme="minorEastAsia" w:hAnsiTheme="minorHAnsi"/>
                <w:noProof/>
                <w:kern w:val="2"/>
                <w:sz w:val="24"/>
                <w:szCs w:val="24"/>
                <w:lang w:eastAsia="en-NZ"/>
                <w14:ligatures w14:val="standardContextual"/>
              </w:rPr>
              <w:tab/>
            </w:r>
            <w:r w:rsidRPr="006B3542">
              <w:rPr>
                <w:rStyle w:val="Hyperlink"/>
                <w:noProof/>
              </w:rPr>
              <w:t>People dispensed oxycodone one or more times in a year</w:t>
            </w:r>
            <w:r>
              <w:rPr>
                <w:noProof/>
                <w:webHidden/>
              </w:rPr>
              <w:tab/>
            </w:r>
            <w:r>
              <w:rPr>
                <w:noProof/>
                <w:webHidden/>
              </w:rPr>
              <w:fldChar w:fldCharType="begin"/>
            </w:r>
            <w:r>
              <w:rPr>
                <w:noProof/>
                <w:webHidden/>
              </w:rPr>
              <w:instrText xml:space="preserve"> PAGEREF _Toc210140430 \h </w:instrText>
            </w:r>
            <w:r>
              <w:rPr>
                <w:noProof/>
                <w:webHidden/>
              </w:rPr>
            </w:r>
            <w:r>
              <w:rPr>
                <w:noProof/>
                <w:webHidden/>
              </w:rPr>
              <w:fldChar w:fldCharType="separate"/>
            </w:r>
            <w:r w:rsidR="00612985">
              <w:rPr>
                <w:noProof/>
                <w:webHidden/>
              </w:rPr>
              <w:t>12</w:t>
            </w:r>
            <w:r>
              <w:rPr>
                <w:noProof/>
                <w:webHidden/>
              </w:rPr>
              <w:fldChar w:fldCharType="end"/>
            </w:r>
          </w:hyperlink>
        </w:p>
        <w:p w14:paraId="11499DE8" w14:textId="325B527F" w:rsidR="00621836" w:rsidRDefault="00621836" w:rsidP="00621836">
          <w:pPr>
            <w:pStyle w:val="TOC3"/>
            <w:tabs>
              <w:tab w:val="left" w:pos="1440"/>
            </w:tabs>
            <w:rPr>
              <w:rFonts w:asciiTheme="minorHAnsi" w:eastAsiaTheme="minorEastAsia" w:hAnsiTheme="minorHAnsi"/>
              <w:noProof/>
              <w:kern w:val="2"/>
              <w:sz w:val="24"/>
              <w:szCs w:val="24"/>
              <w:lang w:eastAsia="en-NZ"/>
              <w14:ligatures w14:val="standardContextual"/>
            </w:rPr>
          </w:pPr>
          <w:hyperlink w:anchor="_Toc210140431" w:history="1">
            <w:r w:rsidRPr="006B3542">
              <w:rPr>
                <w:rStyle w:val="Hyperlink"/>
                <w:noProof/>
              </w:rPr>
              <w:t>7.</w:t>
            </w:r>
            <w:r>
              <w:rPr>
                <w:rFonts w:asciiTheme="minorHAnsi" w:eastAsiaTheme="minorEastAsia" w:hAnsiTheme="minorHAnsi"/>
                <w:noProof/>
                <w:kern w:val="2"/>
                <w:sz w:val="24"/>
                <w:szCs w:val="24"/>
                <w:lang w:eastAsia="en-NZ"/>
                <w14:ligatures w14:val="standardContextual"/>
              </w:rPr>
              <w:tab/>
            </w:r>
            <w:r w:rsidRPr="006B3542">
              <w:rPr>
                <w:rStyle w:val="Hyperlink"/>
                <w:noProof/>
              </w:rPr>
              <w:t>People dispensed oxycodone for 6 weeks or more</w:t>
            </w:r>
            <w:r>
              <w:rPr>
                <w:noProof/>
                <w:webHidden/>
              </w:rPr>
              <w:tab/>
            </w:r>
            <w:r>
              <w:rPr>
                <w:noProof/>
                <w:webHidden/>
              </w:rPr>
              <w:fldChar w:fldCharType="begin"/>
            </w:r>
            <w:r>
              <w:rPr>
                <w:noProof/>
                <w:webHidden/>
              </w:rPr>
              <w:instrText xml:space="preserve"> PAGEREF _Toc210140431 \h </w:instrText>
            </w:r>
            <w:r>
              <w:rPr>
                <w:noProof/>
                <w:webHidden/>
              </w:rPr>
            </w:r>
            <w:r>
              <w:rPr>
                <w:noProof/>
                <w:webHidden/>
              </w:rPr>
              <w:fldChar w:fldCharType="separate"/>
            </w:r>
            <w:r w:rsidR="00612985">
              <w:rPr>
                <w:noProof/>
                <w:webHidden/>
              </w:rPr>
              <w:t>13</w:t>
            </w:r>
            <w:r>
              <w:rPr>
                <w:noProof/>
                <w:webHidden/>
              </w:rPr>
              <w:fldChar w:fldCharType="end"/>
            </w:r>
          </w:hyperlink>
        </w:p>
        <w:p w14:paraId="503B8986" w14:textId="50FACF11" w:rsidR="00621836" w:rsidRDefault="00621836" w:rsidP="00621836">
          <w:pPr>
            <w:pStyle w:val="TOC3"/>
            <w:tabs>
              <w:tab w:val="left" w:pos="1440"/>
            </w:tabs>
            <w:rPr>
              <w:rFonts w:asciiTheme="minorHAnsi" w:eastAsiaTheme="minorEastAsia" w:hAnsiTheme="minorHAnsi"/>
              <w:noProof/>
              <w:kern w:val="2"/>
              <w:sz w:val="24"/>
              <w:szCs w:val="24"/>
              <w:lang w:eastAsia="en-NZ"/>
              <w14:ligatures w14:val="standardContextual"/>
            </w:rPr>
          </w:pPr>
          <w:hyperlink w:anchor="_Toc210140432" w:history="1">
            <w:r w:rsidRPr="006B3542">
              <w:rPr>
                <w:rStyle w:val="Hyperlink"/>
                <w:noProof/>
              </w:rPr>
              <w:t>8.</w:t>
            </w:r>
            <w:r>
              <w:rPr>
                <w:rFonts w:asciiTheme="minorHAnsi" w:eastAsiaTheme="minorEastAsia" w:hAnsiTheme="minorHAnsi"/>
                <w:noProof/>
                <w:kern w:val="2"/>
                <w:sz w:val="24"/>
                <w:szCs w:val="24"/>
                <w:lang w:eastAsia="en-NZ"/>
                <w14:ligatures w14:val="standardContextual"/>
              </w:rPr>
              <w:tab/>
            </w:r>
            <w:r w:rsidRPr="006B3542">
              <w:rPr>
                <w:rStyle w:val="Hyperlink"/>
                <w:noProof/>
              </w:rPr>
              <w:t>People dispensed fentanyl one or more times in a year</w:t>
            </w:r>
            <w:r>
              <w:rPr>
                <w:noProof/>
                <w:webHidden/>
              </w:rPr>
              <w:tab/>
            </w:r>
            <w:r>
              <w:rPr>
                <w:noProof/>
                <w:webHidden/>
              </w:rPr>
              <w:fldChar w:fldCharType="begin"/>
            </w:r>
            <w:r>
              <w:rPr>
                <w:noProof/>
                <w:webHidden/>
              </w:rPr>
              <w:instrText xml:space="preserve"> PAGEREF _Toc210140432 \h </w:instrText>
            </w:r>
            <w:r>
              <w:rPr>
                <w:noProof/>
                <w:webHidden/>
              </w:rPr>
            </w:r>
            <w:r>
              <w:rPr>
                <w:noProof/>
                <w:webHidden/>
              </w:rPr>
              <w:fldChar w:fldCharType="separate"/>
            </w:r>
            <w:r w:rsidR="00612985">
              <w:rPr>
                <w:noProof/>
                <w:webHidden/>
              </w:rPr>
              <w:t>14</w:t>
            </w:r>
            <w:r>
              <w:rPr>
                <w:noProof/>
                <w:webHidden/>
              </w:rPr>
              <w:fldChar w:fldCharType="end"/>
            </w:r>
          </w:hyperlink>
        </w:p>
        <w:p w14:paraId="1717B505" w14:textId="68BA096F" w:rsidR="00621836" w:rsidRDefault="00621836" w:rsidP="00621836">
          <w:pPr>
            <w:pStyle w:val="TOC3"/>
            <w:tabs>
              <w:tab w:val="left" w:pos="1440"/>
            </w:tabs>
            <w:rPr>
              <w:rFonts w:asciiTheme="minorHAnsi" w:eastAsiaTheme="minorEastAsia" w:hAnsiTheme="minorHAnsi"/>
              <w:noProof/>
              <w:kern w:val="2"/>
              <w:sz w:val="24"/>
              <w:szCs w:val="24"/>
              <w:lang w:eastAsia="en-NZ"/>
              <w14:ligatures w14:val="standardContextual"/>
            </w:rPr>
          </w:pPr>
          <w:hyperlink w:anchor="_Toc210140433" w:history="1">
            <w:r w:rsidRPr="006B3542">
              <w:rPr>
                <w:rStyle w:val="Hyperlink"/>
                <w:noProof/>
              </w:rPr>
              <w:t>9.</w:t>
            </w:r>
            <w:r>
              <w:rPr>
                <w:rFonts w:asciiTheme="minorHAnsi" w:eastAsiaTheme="minorEastAsia" w:hAnsiTheme="minorHAnsi"/>
                <w:noProof/>
                <w:kern w:val="2"/>
                <w:sz w:val="24"/>
                <w:szCs w:val="24"/>
                <w:lang w:eastAsia="en-NZ"/>
                <w14:ligatures w14:val="standardContextual"/>
              </w:rPr>
              <w:tab/>
            </w:r>
            <w:r w:rsidRPr="006B3542">
              <w:rPr>
                <w:rStyle w:val="Hyperlink"/>
                <w:noProof/>
              </w:rPr>
              <w:t>People dispensed fentanyl for 6 or more weeks</w:t>
            </w:r>
            <w:r>
              <w:rPr>
                <w:noProof/>
                <w:webHidden/>
              </w:rPr>
              <w:tab/>
            </w:r>
            <w:r>
              <w:rPr>
                <w:noProof/>
                <w:webHidden/>
              </w:rPr>
              <w:fldChar w:fldCharType="begin"/>
            </w:r>
            <w:r>
              <w:rPr>
                <w:noProof/>
                <w:webHidden/>
              </w:rPr>
              <w:instrText xml:space="preserve"> PAGEREF _Toc210140433 \h </w:instrText>
            </w:r>
            <w:r>
              <w:rPr>
                <w:noProof/>
                <w:webHidden/>
              </w:rPr>
            </w:r>
            <w:r>
              <w:rPr>
                <w:noProof/>
                <w:webHidden/>
              </w:rPr>
              <w:fldChar w:fldCharType="separate"/>
            </w:r>
            <w:r w:rsidR="00612985">
              <w:rPr>
                <w:noProof/>
                <w:webHidden/>
              </w:rPr>
              <w:t>15</w:t>
            </w:r>
            <w:r>
              <w:rPr>
                <w:noProof/>
                <w:webHidden/>
              </w:rPr>
              <w:fldChar w:fldCharType="end"/>
            </w:r>
          </w:hyperlink>
        </w:p>
        <w:p w14:paraId="03884468" w14:textId="230ECA15" w:rsidR="00621836" w:rsidRDefault="00621836" w:rsidP="00621836">
          <w:pPr>
            <w:pStyle w:val="TOC3"/>
            <w:tabs>
              <w:tab w:val="left" w:pos="1440"/>
            </w:tabs>
            <w:rPr>
              <w:rFonts w:asciiTheme="minorHAnsi" w:eastAsiaTheme="minorEastAsia" w:hAnsiTheme="minorHAnsi"/>
              <w:noProof/>
              <w:kern w:val="2"/>
              <w:sz w:val="24"/>
              <w:szCs w:val="24"/>
              <w:lang w:eastAsia="en-NZ"/>
              <w14:ligatures w14:val="standardContextual"/>
            </w:rPr>
          </w:pPr>
          <w:hyperlink w:anchor="_Toc210140434" w:history="1">
            <w:r w:rsidRPr="006B3542">
              <w:rPr>
                <w:rStyle w:val="Hyperlink"/>
                <w:noProof/>
              </w:rPr>
              <w:t>10.</w:t>
            </w:r>
            <w:r>
              <w:rPr>
                <w:rFonts w:asciiTheme="minorHAnsi" w:eastAsiaTheme="minorEastAsia" w:hAnsiTheme="minorHAnsi"/>
                <w:noProof/>
                <w:kern w:val="2"/>
                <w:sz w:val="24"/>
                <w:szCs w:val="24"/>
                <w:lang w:eastAsia="en-NZ"/>
                <w14:ligatures w14:val="standardContextual"/>
              </w:rPr>
              <w:tab/>
            </w:r>
            <w:r w:rsidRPr="006B3542">
              <w:rPr>
                <w:rStyle w:val="Hyperlink"/>
                <w:noProof/>
              </w:rPr>
              <w:t>People dispensed a strong opioid who had a public hospital event in the 8 days prior to dispensing</w:t>
            </w:r>
            <w:r>
              <w:rPr>
                <w:noProof/>
                <w:webHidden/>
              </w:rPr>
              <w:tab/>
            </w:r>
            <w:r>
              <w:rPr>
                <w:noProof/>
                <w:webHidden/>
              </w:rPr>
              <w:fldChar w:fldCharType="begin"/>
            </w:r>
            <w:r>
              <w:rPr>
                <w:noProof/>
                <w:webHidden/>
              </w:rPr>
              <w:instrText xml:space="preserve"> PAGEREF _Toc210140434 \h </w:instrText>
            </w:r>
            <w:r>
              <w:rPr>
                <w:noProof/>
                <w:webHidden/>
              </w:rPr>
            </w:r>
            <w:r>
              <w:rPr>
                <w:noProof/>
                <w:webHidden/>
              </w:rPr>
              <w:fldChar w:fldCharType="separate"/>
            </w:r>
            <w:r w:rsidR="00612985">
              <w:rPr>
                <w:noProof/>
                <w:webHidden/>
              </w:rPr>
              <w:t>16</w:t>
            </w:r>
            <w:r>
              <w:rPr>
                <w:noProof/>
                <w:webHidden/>
              </w:rPr>
              <w:fldChar w:fldCharType="end"/>
            </w:r>
          </w:hyperlink>
        </w:p>
        <w:p w14:paraId="1DB4F71E" w14:textId="77777777" w:rsidR="00621836" w:rsidRPr="00A803A6" w:rsidRDefault="00621836" w:rsidP="00621836">
          <w:pPr>
            <w:pStyle w:val="TOC1"/>
            <w:rPr>
              <w:bCs/>
              <w:noProof/>
              <w:color w:val="000000" w:themeColor="text1"/>
            </w:rPr>
          </w:pPr>
          <w:r w:rsidRPr="00A803A6">
            <w:rPr>
              <w:rFonts w:cs="Arial"/>
              <w:b/>
              <w:bCs/>
              <w:noProof/>
              <w:color w:val="000000" w:themeColor="text1"/>
            </w:rPr>
            <w:fldChar w:fldCharType="end"/>
          </w:r>
        </w:p>
      </w:sdtContent>
    </w:sdt>
    <w:p w14:paraId="4278E941" w14:textId="77777777" w:rsidR="00621836" w:rsidRPr="00A803A6" w:rsidRDefault="00621836" w:rsidP="00621836">
      <w:pPr>
        <w:pStyle w:val="BodyText"/>
        <w:rPr>
          <w:color w:val="000000" w:themeColor="text1"/>
        </w:rPr>
      </w:pPr>
    </w:p>
    <w:p w14:paraId="339934A9" w14:textId="77777777" w:rsidR="00621836" w:rsidRPr="00A803A6" w:rsidRDefault="00621836" w:rsidP="00621836">
      <w:pPr>
        <w:rPr>
          <w:rFonts w:eastAsiaTheme="majorEastAsia" w:cstheme="majorBidi"/>
          <w:b/>
          <w:color w:val="000000" w:themeColor="text1"/>
          <w:sz w:val="24"/>
          <w:szCs w:val="24"/>
        </w:rPr>
      </w:pPr>
      <w:r w:rsidRPr="00A803A6">
        <w:rPr>
          <w:rFonts w:eastAsiaTheme="majorEastAsia" w:cstheme="majorBidi"/>
          <w:b/>
          <w:color w:val="000000" w:themeColor="text1"/>
          <w:sz w:val="24"/>
          <w:szCs w:val="24"/>
        </w:rPr>
        <w:t xml:space="preserve">He mihi | Acknowledgements </w:t>
      </w:r>
    </w:p>
    <w:p w14:paraId="17860D44" w14:textId="77777777" w:rsidR="00621836" w:rsidRPr="00A803A6" w:rsidRDefault="00621836" w:rsidP="00621836">
      <w:pPr>
        <w:rPr>
          <w:color w:val="000000" w:themeColor="text1"/>
        </w:rPr>
      </w:pPr>
      <w:r w:rsidRPr="00A803A6">
        <w:rPr>
          <w:rStyle w:val="normaltextrun"/>
          <w:rFonts w:ascii="Helvetica" w:hAnsi="Helvetica" w:cs="Segoe UI"/>
          <w:color w:val="000000" w:themeColor="text1"/>
        </w:rPr>
        <w:t xml:space="preserve">Te Tāhū Hauora </w:t>
      </w:r>
      <w:r w:rsidRPr="00A803A6">
        <w:rPr>
          <w:rStyle w:val="normaltextrun"/>
          <w:rFonts w:cs="Arial"/>
          <w:color w:val="000000" w:themeColor="text1"/>
        </w:rPr>
        <w:t>Health Quality &amp; Safety Commission</w:t>
      </w:r>
      <w:r w:rsidRPr="00A803A6">
        <w:rPr>
          <w:color w:val="000000" w:themeColor="text1"/>
        </w:rPr>
        <w:t xml:space="preserve"> acknowledges the contribution of </w:t>
      </w:r>
      <w:r w:rsidRPr="00A803A6">
        <w:rPr>
          <w:rStyle w:val="normaltextrun"/>
          <w:rFonts w:cs="Arial"/>
          <w:color w:val="000000" w:themeColor="text1"/>
        </w:rPr>
        <w:t>the Expert Advisory Group members for their expertise and contribution to the</w:t>
      </w:r>
      <w:r w:rsidRPr="00A803A6">
        <w:rPr>
          <w:color w:val="000000" w:themeColor="text1"/>
        </w:rPr>
        <w:t xml:space="preserve"> Opioids Atlas of Healthcare Variation:</w:t>
      </w:r>
    </w:p>
    <w:p w14:paraId="0CB7A354" w14:textId="77777777" w:rsidR="00621836" w:rsidRPr="00A803A6" w:rsidRDefault="00621836" w:rsidP="00621836">
      <w:pPr>
        <w:pStyle w:val="ListParagraph"/>
        <w:numPr>
          <w:ilvl w:val="0"/>
          <w:numId w:val="8"/>
        </w:numPr>
        <w:spacing w:after="0"/>
        <w:rPr>
          <w:rFonts w:ascii="Calibri" w:hAnsi="Calibri"/>
          <w:color w:val="000000" w:themeColor="text1"/>
        </w:rPr>
      </w:pPr>
      <w:r w:rsidRPr="00A803A6">
        <w:rPr>
          <w:color w:val="000000" w:themeColor="text1"/>
          <w:lang w:val="mi-NZ"/>
        </w:rPr>
        <w:t>Dr Alan Davis</w:t>
      </w:r>
    </w:p>
    <w:p w14:paraId="7C0174C6" w14:textId="77777777" w:rsidR="00621836" w:rsidRPr="00A803A6" w:rsidRDefault="00621836" w:rsidP="00621836">
      <w:pPr>
        <w:pStyle w:val="ListParagraph"/>
        <w:numPr>
          <w:ilvl w:val="0"/>
          <w:numId w:val="8"/>
        </w:numPr>
        <w:spacing w:after="0"/>
        <w:rPr>
          <w:color w:val="000000" w:themeColor="text1"/>
        </w:rPr>
      </w:pPr>
      <w:r w:rsidRPr="00A803A6">
        <w:rPr>
          <w:color w:val="000000" w:themeColor="text1"/>
          <w:lang w:val="mi-NZ"/>
        </w:rPr>
        <w:t>Ms Mary-Anne O’Rourke</w:t>
      </w:r>
    </w:p>
    <w:p w14:paraId="5EE9D706" w14:textId="77777777" w:rsidR="00621836" w:rsidRPr="00A803A6" w:rsidRDefault="00621836" w:rsidP="00621836">
      <w:pPr>
        <w:pStyle w:val="ListParagraph"/>
        <w:numPr>
          <w:ilvl w:val="0"/>
          <w:numId w:val="8"/>
        </w:numPr>
        <w:spacing w:after="0"/>
        <w:rPr>
          <w:color w:val="000000" w:themeColor="text1"/>
        </w:rPr>
      </w:pPr>
      <w:r w:rsidRPr="00A803A6">
        <w:rPr>
          <w:color w:val="000000" w:themeColor="text1"/>
          <w:lang w:val="mi-NZ"/>
        </w:rPr>
        <w:t>Dr Bev Nicholls</w:t>
      </w:r>
    </w:p>
    <w:p w14:paraId="4BEAEE33" w14:textId="77777777" w:rsidR="00621836" w:rsidRPr="00A803A6" w:rsidRDefault="00621836" w:rsidP="00621836">
      <w:pPr>
        <w:pStyle w:val="ListParagraph"/>
        <w:numPr>
          <w:ilvl w:val="0"/>
          <w:numId w:val="8"/>
        </w:numPr>
        <w:spacing w:after="0"/>
        <w:rPr>
          <w:color w:val="000000" w:themeColor="text1"/>
        </w:rPr>
      </w:pPr>
      <w:r w:rsidRPr="00A803A6">
        <w:rPr>
          <w:color w:val="000000" w:themeColor="text1"/>
          <w:lang w:val="mi-NZ"/>
        </w:rPr>
        <w:t>Dr Kieran Davis</w:t>
      </w:r>
    </w:p>
    <w:p w14:paraId="0EC0FF62" w14:textId="77777777" w:rsidR="00621836" w:rsidRPr="00A803A6" w:rsidRDefault="00621836" w:rsidP="00621836">
      <w:pPr>
        <w:pStyle w:val="ListParagraph"/>
        <w:numPr>
          <w:ilvl w:val="0"/>
          <w:numId w:val="8"/>
        </w:numPr>
        <w:spacing w:after="0"/>
        <w:rPr>
          <w:color w:val="000000" w:themeColor="text1"/>
        </w:rPr>
      </w:pPr>
      <w:r w:rsidRPr="00A803A6">
        <w:rPr>
          <w:color w:val="000000" w:themeColor="text1"/>
          <w:lang w:val="mi-NZ"/>
        </w:rPr>
        <w:t>Ms Leanne Te Karu</w:t>
      </w:r>
    </w:p>
    <w:p w14:paraId="1D1218D0" w14:textId="77777777" w:rsidR="00621836" w:rsidRPr="00A803A6" w:rsidRDefault="00621836" w:rsidP="00621836">
      <w:pPr>
        <w:pStyle w:val="ListParagraph"/>
        <w:numPr>
          <w:ilvl w:val="0"/>
          <w:numId w:val="8"/>
        </w:numPr>
        <w:spacing w:after="0"/>
        <w:rPr>
          <w:color w:val="000000" w:themeColor="text1"/>
        </w:rPr>
      </w:pPr>
      <w:r w:rsidRPr="00A803A6">
        <w:rPr>
          <w:color w:val="000000" w:themeColor="text1"/>
          <w:lang w:val="mi-NZ"/>
        </w:rPr>
        <w:t>Dr Gary Jackson</w:t>
      </w:r>
    </w:p>
    <w:p w14:paraId="5A4E9E9B" w14:textId="77777777" w:rsidR="00621836" w:rsidRPr="00A803A6" w:rsidRDefault="00621836" w:rsidP="00621836">
      <w:pPr>
        <w:pStyle w:val="ListParagraph"/>
        <w:numPr>
          <w:ilvl w:val="0"/>
          <w:numId w:val="8"/>
        </w:numPr>
        <w:spacing w:after="0"/>
        <w:rPr>
          <w:color w:val="000000" w:themeColor="text1"/>
        </w:rPr>
      </w:pPr>
      <w:r w:rsidRPr="00A803A6">
        <w:rPr>
          <w:color w:val="000000" w:themeColor="text1"/>
          <w:lang w:val="mi-NZ"/>
        </w:rPr>
        <w:t>Ms Beth Loe</w:t>
      </w:r>
    </w:p>
    <w:p w14:paraId="15277F3F" w14:textId="77777777" w:rsidR="00621836" w:rsidRPr="00A803A6" w:rsidRDefault="00621836" w:rsidP="00621836">
      <w:pPr>
        <w:pStyle w:val="ListParagraph"/>
        <w:numPr>
          <w:ilvl w:val="0"/>
          <w:numId w:val="8"/>
        </w:numPr>
        <w:spacing w:after="0"/>
        <w:rPr>
          <w:color w:val="000000" w:themeColor="text1"/>
          <w:lang w:val="mi-NZ"/>
        </w:rPr>
      </w:pPr>
      <w:r w:rsidRPr="00A803A6">
        <w:rPr>
          <w:color w:val="000000" w:themeColor="text1"/>
          <w:lang w:val="mi-NZ"/>
        </w:rPr>
        <w:t>Mr Chris James</w:t>
      </w:r>
    </w:p>
    <w:p w14:paraId="27494CAF" w14:textId="77777777" w:rsidR="00621836" w:rsidRPr="00A803A6" w:rsidRDefault="00621836" w:rsidP="00621836">
      <w:pPr>
        <w:pStyle w:val="BodyText"/>
        <w:rPr>
          <w:color w:val="000000" w:themeColor="text1"/>
        </w:rPr>
      </w:pPr>
    </w:p>
    <w:p w14:paraId="420FA346" w14:textId="77777777" w:rsidR="00621836" w:rsidRPr="00A803A6" w:rsidRDefault="00621836" w:rsidP="00621836">
      <w:pPr>
        <w:pStyle w:val="BodyText"/>
        <w:rPr>
          <w:color w:val="000000" w:themeColor="text1"/>
        </w:rPr>
      </w:pPr>
    </w:p>
    <w:p w14:paraId="6CF79C21" w14:textId="77777777" w:rsidR="00621836" w:rsidRPr="00A803A6" w:rsidRDefault="00621836" w:rsidP="00621836">
      <w:pPr>
        <w:pStyle w:val="BodyText"/>
        <w:rPr>
          <w:color w:val="000000" w:themeColor="text1"/>
        </w:rPr>
      </w:pPr>
    </w:p>
    <w:p w14:paraId="722D86CF" w14:textId="77777777" w:rsidR="00621836" w:rsidRPr="00A803A6" w:rsidRDefault="00621836" w:rsidP="00621836">
      <w:pPr>
        <w:pStyle w:val="BodyText"/>
        <w:rPr>
          <w:color w:val="000000" w:themeColor="text1"/>
        </w:rPr>
      </w:pPr>
    </w:p>
    <w:p w14:paraId="5799B7E5" w14:textId="77777777" w:rsidR="00621836" w:rsidRPr="00A803A6" w:rsidRDefault="00621836" w:rsidP="00621836">
      <w:pPr>
        <w:pStyle w:val="BodyText"/>
        <w:rPr>
          <w:color w:val="000000" w:themeColor="text1"/>
        </w:rPr>
      </w:pPr>
    </w:p>
    <w:p w14:paraId="3F30C068" w14:textId="77777777" w:rsidR="00621836" w:rsidRPr="00A803A6" w:rsidRDefault="00621836" w:rsidP="00621836">
      <w:pPr>
        <w:pStyle w:val="BodyText"/>
        <w:rPr>
          <w:color w:val="000000" w:themeColor="text1"/>
        </w:rPr>
      </w:pPr>
    </w:p>
    <w:p w14:paraId="4C52250E" w14:textId="77777777" w:rsidR="00621836" w:rsidRPr="00A803A6" w:rsidRDefault="00621836" w:rsidP="00621836">
      <w:pPr>
        <w:pStyle w:val="BodyText"/>
        <w:rPr>
          <w:color w:val="000000" w:themeColor="text1"/>
        </w:rPr>
      </w:pPr>
    </w:p>
    <w:p w14:paraId="06646AAC" w14:textId="77777777" w:rsidR="00621836" w:rsidRPr="00A803A6" w:rsidRDefault="00621836" w:rsidP="00621836">
      <w:pPr>
        <w:pStyle w:val="TeThHauorahead1"/>
        <w:rPr>
          <w:color w:val="000000" w:themeColor="text1"/>
        </w:rPr>
        <w:sectPr w:rsidR="00621836" w:rsidRPr="00A803A6" w:rsidSect="00621836">
          <w:headerReference w:type="default" r:id="rId9"/>
          <w:pgSz w:w="11906" w:h="16838"/>
          <w:pgMar w:top="1440" w:right="1440" w:bottom="1440" w:left="1440" w:header="708" w:footer="708" w:gutter="0"/>
          <w:cols w:space="708"/>
          <w:docGrid w:linePitch="360"/>
        </w:sectPr>
      </w:pPr>
    </w:p>
    <w:p w14:paraId="555D0121" w14:textId="77777777" w:rsidR="00621836" w:rsidRPr="00A803A6" w:rsidRDefault="00621836" w:rsidP="00621836">
      <w:pPr>
        <w:rPr>
          <w:rFonts w:cs="Arial"/>
          <w:b/>
          <w:color w:val="000000" w:themeColor="text1"/>
        </w:rPr>
      </w:pPr>
      <w:r w:rsidRPr="00A803A6">
        <w:rPr>
          <w:rFonts w:cs="Arial"/>
          <w:b/>
          <w:color w:val="000000" w:themeColor="text1"/>
        </w:rPr>
        <w:lastRenderedPageBreak/>
        <w:t>General points</w:t>
      </w:r>
    </w:p>
    <w:p w14:paraId="6C01351D" w14:textId="77777777" w:rsidR="00621836" w:rsidRPr="00A803A6" w:rsidRDefault="00621836" w:rsidP="00621836">
      <w:pPr>
        <w:pStyle w:val="TeThHauorabodytext"/>
        <w:numPr>
          <w:ilvl w:val="0"/>
          <w:numId w:val="10"/>
        </w:numPr>
        <w:rPr>
          <w:color w:val="000000" w:themeColor="text1"/>
        </w:rPr>
      </w:pPr>
      <w:r w:rsidRPr="00A803A6">
        <w:rPr>
          <w:color w:val="000000" w:themeColor="text1"/>
        </w:rPr>
        <w:t xml:space="preserve">Data is not presented where the number of people in the numerator was less than 10. This is to preserve confidentiality. </w:t>
      </w:r>
    </w:p>
    <w:p w14:paraId="055F897B" w14:textId="77777777" w:rsidR="00621836" w:rsidRPr="00A803A6" w:rsidRDefault="00621836" w:rsidP="00621836">
      <w:pPr>
        <w:pStyle w:val="TeThHauorabodytext"/>
        <w:numPr>
          <w:ilvl w:val="0"/>
          <w:numId w:val="10"/>
        </w:numPr>
        <w:rPr>
          <w:color w:val="000000" w:themeColor="text1"/>
        </w:rPr>
      </w:pPr>
      <w:r w:rsidRPr="00A803A6">
        <w:rPr>
          <w:color w:val="000000" w:themeColor="text1"/>
        </w:rPr>
        <w:t xml:space="preserve">People were assigned to their Health New Zealand Te Whatu Ora district (previously referred to as Health New Zealand District Health Board; DHB) of domicile; where more than one domicile was recorded in the calendar year, the most recent value was selected. </w:t>
      </w:r>
    </w:p>
    <w:p w14:paraId="3D29F58C" w14:textId="77777777" w:rsidR="00621836" w:rsidRPr="00A803A6" w:rsidRDefault="00621836" w:rsidP="00621836">
      <w:pPr>
        <w:pStyle w:val="TeThHauorabodytext"/>
        <w:numPr>
          <w:ilvl w:val="0"/>
          <w:numId w:val="10"/>
        </w:numPr>
        <w:rPr>
          <w:color w:val="000000" w:themeColor="text1"/>
        </w:rPr>
      </w:pPr>
      <w:r w:rsidRPr="00A803A6">
        <w:rPr>
          <w:bCs/>
          <w:color w:val="000000" w:themeColor="text1"/>
        </w:rPr>
        <w:t>Age group is assigned using 30 June of each calendar year as the cutoff point. For example, a person turning 65 years old on 30 June 2023 will be assigned to the 65–79 years age group for 2023, while a person turning 65 on 1 July 2023 will be assigned the 25–64 group for the same year.</w:t>
      </w:r>
    </w:p>
    <w:p w14:paraId="0DBDC8BD" w14:textId="77777777" w:rsidR="00621836" w:rsidRDefault="00621836" w:rsidP="00621836">
      <w:pPr>
        <w:pStyle w:val="TeThHauorabodytext"/>
        <w:numPr>
          <w:ilvl w:val="0"/>
          <w:numId w:val="10"/>
        </w:numPr>
        <w:rPr>
          <w:color w:val="000000" w:themeColor="text1"/>
        </w:rPr>
      </w:pPr>
      <w:r w:rsidRPr="1529BD1D">
        <w:rPr>
          <w:color w:val="000000" w:themeColor="text1"/>
        </w:rPr>
        <w:t xml:space="preserve">Ethnic group data presented is prioritised ethnic group (Māori, Pacific peoples, Asian and European/Other). </w:t>
      </w:r>
    </w:p>
    <w:p w14:paraId="44CABC13" w14:textId="77777777" w:rsidR="00621836" w:rsidRPr="0065327A" w:rsidRDefault="00621836" w:rsidP="00621836">
      <w:pPr>
        <w:pStyle w:val="TeThHauorabodytext"/>
        <w:numPr>
          <w:ilvl w:val="0"/>
          <w:numId w:val="10"/>
        </w:numPr>
        <w:rPr>
          <w:color w:val="000000" w:themeColor="text1"/>
        </w:rPr>
      </w:pPr>
      <w:r w:rsidRPr="00686850">
        <w:rPr>
          <w:rFonts w:cstheme="minorBidi"/>
          <w:color w:val="000000" w:themeColor="text1"/>
        </w:rPr>
        <w:t xml:space="preserve">Unlike other atlases, the Opioid Atlas includes individuals who died during the calendar year in all indicators. This is because opioid use is higher among older adults and those in the final stages of life, due to chronic conditions, pain management, and palliative care needs. Including </w:t>
      </w:r>
      <w:r>
        <w:rPr>
          <w:rFonts w:cstheme="minorBidi"/>
          <w:color w:val="000000" w:themeColor="text1"/>
        </w:rPr>
        <w:t xml:space="preserve">them </w:t>
      </w:r>
      <w:r w:rsidRPr="00686850">
        <w:rPr>
          <w:rFonts w:cstheme="minorBidi"/>
          <w:color w:val="000000" w:themeColor="text1"/>
        </w:rPr>
        <w:t>ensures a complete and accurate picture of opioid exposure.</w:t>
      </w:r>
    </w:p>
    <w:p w14:paraId="309DEE55" w14:textId="77777777" w:rsidR="00621836" w:rsidRPr="00133505" w:rsidRDefault="00621836" w:rsidP="00621836">
      <w:pPr>
        <w:pStyle w:val="Header"/>
        <w:numPr>
          <w:ilvl w:val="0"/>
          <w:numId w:val="10"/>
        </w:numPr>
        <w:tabs>
          <w:tab w:val="clear" w:pos="4513"/>
          <w:tab w:val="clear" w:pos="9026"/>
          <w:tab w:val="center" w:pos="709"/>
          <w:tab w:val="right" w:pos="8306"/>
        </w:tabs>
        <w:spacing w:before="240" w:after="60" w:line="276" w:lineRule="auto"/>
        <w:rPr>
          <w:color w:val="000000" w:themeColor="text1"/>
        </w:rPr>
      </w:pPr>
      <w:r w:rsidRPr="00133505">
        <w:rPr>
          <w:color w:val="000000" w:themeColor="text1"/>
        </w:rPr>
        <w:t>For PHO analyses, we analysed indicator #1 to determine</w:t>
      </w:r>
      <w:r>
        <w:rPr>
          <w:color w:val="000000" w:themeColor="text1"/>
        </w:rPr>
        <w:t xml:space="preserve"> number of people who were dispensed a</w:t>
      </w:r>
      <w:r w:rsidRPr="00133505">
        <w:rPr>
          <w:color w:val="000000" w:themeColor="text1"/>
        </w:rPr>
        <w:t xml:space="preserve"> </w:t>
      </w:r>
      <w:r>
        <w:rPr>
          <w:color w:val="000000" w:themeColor="text1"/>
        </w:rPr>
        <w:t>strong opioid</w:t>
      </w:r>
      <w:r w:rsidRPr="00133505">
        <w:rPr>
          <w:color w:val="000000" w:themeColor="text1"/>
        </w:rPr>
        <w:t xml:space="preserve"> among each PHO. Then we categorised them into small (</w:t>
      </w:r>
      <w:r>
        <w:rPr>
          <w:color w:val="000000" w:themeColor="text1"/>
        </w:rPr>
        <w:t>&lt;1,000 people</w:t>
      </w:r>
      <w:r w:rsidRPr="00133505">
        <w:rPr>
          <w:color w:val="000000" w:themeColor="text1"/>
        </w:rPr>
        <w:t>), medium (between</w:t>
      </w:r>
      <w:r>
        <w:rPr>
          <w:color w:val="000000" w:themeColor="text1"/>
        </w:rPr>
        <w:t xml:space="preserve"> 1,000 </w:t>
      </w:r>
      <w:r w:rsidRPr="00133505">
        <w:rPr>
          <w:color w:val="000000" w:themeColor="text1"/>
        </w:rPr>
        <w:t xml:space="preserve">and </w:t>
      </w:r>
      <w:r>
        <w:rPr>
          <w:color w:val="000000" w:themeColor="text1"/>
        </w:rPr>
        <w:t>2,000</w:t>
      </w:r>
      <w:r w:rsidRPr="00133505">
        <w:rPr>
          <w:color w:val="000000" w:themeColor="text1"/>
        </w:rPr>
        <w:t xml:space="preserve">), medium-large (between </w:t>
      </w:r>
      <w:r>
        <w:rPr>
          <w:color w:val="000000" w:themeColor="text1"/>
        </w:rPr>
        <w:t xml:space="preserve">2,000 </w:t>
      </w:r>
      <w:r w:rsidRPr="00133505">
        <w:rPr>
          <w:color w:val="000000" w:themeColor="text1"/>
        </w:rPr>
        <w:t xml:space="preserve">and </w:t>
      </w:r>
      <w:r>
        <w:rPr>
          <w:color w:val="000000" w:themeColor="text1"/>
        </w:rPr>
        <w:t>5,000</w:t>
      </w:r>
      <w:r w:rsidRPr="00133505">
        <w:rPr>
          <w:color w:val="000000" w:themeColor="text1"/>
        </w:rPr>
        <w:t>) and large (</w:t>
      </w:r>
      <w:r>
        <w:rPr>
          <w:color w:val="000000" w:themeColor="text1"/>
        </w:rPr>
        <w:t>&gt;5,000 people</w:t>
      </w:r>
      <w:r w:rsidRPr="00133505">
        <w:rPr>
          <w:color w:val="000000" w:themeColor="text1"/>
        </w:rPr>
        <w:t>).</w:t>
      </w:r>
    </w:p>
    <w:p w14:paraId="35CD0D05" w14:textId="77777777" w:rsidR="00621836" w:rsidRPr="00133505" w:rsidRDefault="00621836" w:rsidP="00621836">
      <w:pPr>
        <w:pStyle w:val="Header"/>
        <w:numPr>
          <w:ilvl w:val="0"/>
          <w:numId w:val="10"/>
        </w:numPr>
        <w:tabs>
          <w:tab w:val="clear" w:pos="4513"/>
          <w:tab w:val="clear" w:pos="9026"/>
          <w:tab w:val="center" w:pos="709"/>
          <w:tab w:val="right" w:pos="8306"/>
        </w:tabs>
        <w:spacing w:before="240" w:after="60" w:line="276" w:lineRule="auto"/>
        <w:rPr>
          <w:rFonts w:eastAsia="Arial" w:cs="Arial"/>
          <w:color w:val="000000" w:themeColor="text1"/>
        </w:rPr>
      </w:pPr>
      <w:r w:rsidRPr="00133505">
        <w:rPr>
          <w:rFonts w:eastAsia="Arial" w:cs="Arial"/>
          <w:color w:val="000000" w:themeColor="text1"/>
        </w:rPr>
        <w:t xml:space="preserve">Please note the following PHOs were combined in the Atlas, this was done where PHOs had changed entities, or where there were regional subsidiaries with enrolled populations that were too small to report separately. </w:t>
      </w:r>
    </w:p>
    <w:tbl>
      <w:tblPr>
        <w:tblW w:w="8842" w:type="dxa"/>
        <w:tblInd w:w="615" w:type="dxa"/>
        <w:tblLayout w:type="fixed"/>
        <w:tblLook w:val="04A0" w:firstRow="1" w:lastRow="0" w:firstColumn="1" w:lastColumn="0" w:noHBand="0" w:noVBand="1"/>
      </w:tblPr>
      <w:tblGrid>
        <w:gridCol w:w="4420"/>
        <w:gridCol w:w="4422"/>
      </w:tblGrid>
      <w:tr w:rsidR="00621836" w:rsidRPr="00133505" w14:paraId="3DF77C01" w14:textId="77777777" w:rsidTr="003162C1">
        <w:trPr>
          <w:trHeight w:val="300"/>
        </w:trPr>
        <w:tc>
          <w:tcPr>
            <w:tcW w:w="4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794000" w14:textId="77777777" w:rsidR="00621836" w:rsidRPr="00133505" w:rsidRDefault="00621836" w:rsidP="003162C1">
            <w:pPr>
              <w:rPr>
                <w:rFonts w:ascii="Aptos Narrow" w:eastAsia="Aptos Narrow" w:hAnsi="Aptos Narrow" w:cs="Aptos Narrow"/>
                <w:b/>
                <w:bCs/>
                <w:color w:val="000000" w:themeColor="text1"/>
              </w:rPr>
            </w:pPr>
            <w:r w:rsidRPr="00133505">
              <w:rPr>
                <w:rFonts w:ascii="Aptos Narrow" w:eastAsia="Aptos Narrow" w:hAnsi="Aptos Narrow" w:cs="Aptos Narrow"/>
                <w:b/>
                <w:bCs/>
                <w:color w:val="000000" w:themeColor="text1"/>
              </w:rPr>
              <w:t>Recorded PHO name</w:t>
            </w:r>
          </w:p>
        </w:tc>
        <w:tc>
          <w:tcPr>
            <w:tcW w:w="4422" w:type="dxa"/>
            <w:tcBorders>
              <w:top w:val="single" w:sz="8" w:space="0" w:color="auto"/>
              <w:left w:val="single" w:sz="8" w:space="0" w:color="auto"/>
              <w:bottom w:val="single" w:sz="8" w:space="0" w:color="auto"/>
              <w:right w:val="single" w:sz="8" w:space="0" w:color="auto"/>
            </w:tcBorders>
            <w:tcMar>
              <w:left w:w="108" w:type="dxa"/>
              <w:right w:w="108" w:type="dxa"/>
            </w:tcMar>
          </w:tcPr>
          <w:p w14:paraId="449908E8" w14:textId="77777777" w:rsidR="00621836" w:rsidRPr="00133505" w:rsidRDefault="00621836" w:rsidP="003162C1">
            <w:pPr>
              <w:rPr>
                <w:rFonts w:ascii="Aptos Narrow" w:eastAsia="Aptos Narrow" w:hAnsi="Aptos Narrow" w:cs="Aptos Narrow"/>
                <w:b/>
                <w:bCs/>
                <w:color w:val="000000" w:themeColor="text1"/>
              </w:rPr>
            </w:pPr>
            <w:r w:rsidRPr="00133505">
              <w:rPr>
                <w:rFonts w:ascii="Aptos Narrow" w:eastAsia="Aptos Narrow" w:hAnsi="Aptos Narrow" w:cs="Aptos Narrow"/>
                <w:b/>
                <w:bCs/>
                <w:color w:val="000000" w:themeColor="text1"/>
              </w:rPr>
              <w:t>Atlas reporting PHO name</w:t>
            </w:r>
          </w:p>
        </w:tc>
      </w:tr>
      <w:tr w:rsidR="00621836" w:rsidRPr="00133505" w14:paraId="2F19C6D5" w14:textId="77777777" w:rsidTr="003162C1">
        <w:trPr>
          <w:trHeight w:val="300"/>
        </w:trPr>
        <w:tc>
          <w:tcPr>
            <w:tcW w:w="4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5D1664" w14:textId="77777777" w:rsidR="00621836" w:rsidRPr="00133505" w:rsidRDefault="00621836" w:rsidP="003162C1">
            <w:pPr>
              <w:rPr>
                <w:rFonts w:ascii="Aptos Narrow" w:eastAsia="Aptos Narrow" w:hAnsi="Aptos Narrow" w:cs="Aptos Narrow"/>
                <w:color w:val="000000" w:themeColor="text1"/>
              </w:rPr>
            </w:pPr>
            <w:r w:rsidRPr="00133505">
              <w:rPr>
                <w:rFonts w:ascii="Aptos Narrow" w:eastAsia="Aptos Narrow" w:hAnsi="Aptos Narrow" w:cs="Aptos Narrow"/>
                <w:color w:val="000000" w:themeColor="text1"/>
              </w:rPr>
              <w:t>Alliance Health Plus Trust</w:t>
            </w:r>
          </w:p>
        </w:tc>
        <w:tc>
          <w:tcPr>
            <w:tcW w:w="4422" w:type="dxa"/>
            <w:tcBorders>
              <w:top w:val="single" w:sz="8" w:space="0" w:color="auto"/>
              <w:left w:val="single" w:sz="8" w:space="0" w:color="auto"/>
              <w:bottom w:val="single" w:sz="8" w:space="0" w:color="auto"/>
              <w:right w:val="single" w:sz="8" w:space="0" w:color="auto"/>
            </w:tcBorders>
            <w:tcMar>
              <w:left w:w="108" w:type="dxa"/>
              <w:right w:w="108" w:type="dxa"/>
            </w:tcMar>
          </w:tcPr>
          <w:p w14:paraId="4030E6F9" w14:textId="77777777" w:rsidR="00621836" w:rsidRPr="00133505" w:rsidRDefault="00621836" w:rsidP="003162C1">
            <w:pPr>
              <w:rPr>
                <w:rFonts w:ascii="Aptos Narrow" w:eastAsia="Aptos Narrow" w:hAnsi="Aptos Narrow" w:cs="Aptos Narrow"/>
                <w:color w:val="000000" w:themeColor="text1"/>
              </w:rPr>
            </w:pPr>
            <w:r w:rsidRPr="00133505">
              <w:rPr>
                <w:rFonts w:ascii="Aptos Narrow" w:eastAsia="Aptos Narrow" w:hAnsi="Aptos Narrow" w:cs="Aptos Narrow"/>
                <w:color w:val="000000" w:themeColor="text1"/>
              </w:rPr>
              <w:t>Included in The Cause Collective</w:t>
            </w:r>
          </w:p>
        </w:tc>
      </w:tr>
      <w:tr w:rsidR="00621836" w:rsidRPr="00133505" w14:paraId="5021FC6C" w14:textId="77777777" w:rsidTr="003162C1">
        <w:trPr>
          <w:trHeight w:val="300"/>
        </w:trPr>
        <w:tc>
          <w:tcPr>
            <w:tcW w:w="4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AEDB432" w14:textId="77777777" w:rsidR="00621836" w:rsidRPr="00133505" w:rsidRDefault="00621836" w:rsidP="003162C1">
            <w:pPr>
              <w:rPr>
                <w:rFonts w:ascii="Aptos Narrow" w:eastAsia="Aptos Narrow" w:hAnsi="Aptos Narrow" w:cs="Aptos Narrow"/>
                <w:color w:val="000000" w:themeColor="text1"/>
              </w:rPr>
            </w:pPr>
            <w:r w:rsidRPr="00133505">
              <w:rPr>
                <w:rFonts w:ascii="Aptos Narrow" w:eastAsia="Aptos Narrow" w:hAnsi="Aptos Narrow" w:cs="Aptos Narrow"/>
                <w:color w:val="000000" w:themeColor="text1"/>
              </w:rPr>
              <w:t>Comprehensive Care PHO - Northland</w:t>
            </w:r>
          </w:p>
        </w:tc>
        <w:tc>
          <w:tcPr>
            <w:tcW w:w="4422" w:type="dxa"/>
            <w:tcBorders>
              <w:top w:val="single" w:sz="8" w:space="0" w:color="auto"/>
              <w:left w:val="single" w:sz="8" w:space="0" w:color="auto"/>
              <w:bottom w:val="single" w:sz="8" w:space="0" w:color="auto"/>
              <w:right w:val="single" w:sz="8" w:space="0" w:color="auto"/>
            </w:tcBorders>
            <w:tcMar>
              <w:left w:w="108" w:type="dxa"/>
              <w:right w:w="108" w:type="dxa"/>
            </w:tcMar>
          </w:tcPr>
          <w:p w14:paraId="5C269B55" w14:textId="77777777" w:rsidR="00621836" w:rsidRPr="00133505" w:rsidRDefault="00621836" w:rsidP="003162C1">
            <w:pPr>
              <w:rPr>
                <w:rFonts w:ascii="Aptos Narrow" w:eastAsia="Aptos Narrow" w:hAnsi="Aptos Narrow" w:cs="Aptos Narrow"/>
                <w:color w:val="000000" w:themeColor="text1"/>
              </w:rPr>
            </w:pPr>
            <w:r w:rsidRPr="00133505">
              <w:rPr>
                <w:rFonts w:ascii="Aptos Narrow" w:eastAsia="Aptos Narrow" w:hAnsi="Aptos Narrow" w:cs="Aptos Narrow"/>
                <w:color w:val="000000" w:themeColor="text1"/>
              </w:rPr>
              <w:t>Included with Comprehensive Care PHO Limited</w:t>
            </w:r>
          </w:p>
        </w:tc>
      </w:tr>
      <w:tr w:rsidR="00621836" w:rsidRPr="00133505" w14:paraId="404965A2" w14:textId="77777777" w:rsidTr="003162C1">
        <w:trPr>
          <w:trHeight w:val="300"/>
        </w:trPr>
        <w:tc>
          <w:tcPr>
            <w:tcW w:w="4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DD8E54" w14:textId="77777777" w:rsidR="00621836" w:rsidRPr="00133505" w:rsidRDefault="00621836" w:rsidP="003162C1">
            <w:pPr>
              <w:rPr>
                <w:rFonts w:ascii="Aptos Narrow" w:eastAsia="Aptos Narrow" w:hAnsi="Aptos Narrow" w:cs="Aptos Narrow"/>
                <w:color w:val="000000" w:themeColor="text1"/>
              </w:rPr>
            </w:pPr>
            <w:r w:rsidRPr="00133505">
              <w:rPr>
                <w:rFonts w:ascii="Aptos Narrow" w:eastAsia="Aptos Narrow" w:hAnsi="Aptos Narrow" w:cs="Aptos Narrow"/>
                <w:color w:val="000000" w:themeColor="text1"/>
              </w:rPr>
              <w:t>National Hauora Coalition - Northland</w:t>
            </w:r>
          </w:p>
        </w:tc>
        <w:tc>
          <w:tcPr>
            <w:tcW w:w="4422" w:type="dxa"/>
            <w:tcBorders>
              <w:top w:val="single" w:sz="8" w:space="0" w:color="auto"/>
              <w:left w:val="single" w:sz="8" w:space="0" w:color="auto"/>
              <w:bottom w:val="single" w:sz="8" w:space="0" w:color="auto"/>
              <w:right w:val="single" w:sz="8" w:space="0" w:color="auto"/>
            </w:tcBorders>
            <w:tcMar>
              <w:left w:w="108" w:type="dxa"/>
              <w:right w:w="108" w:type="dxa"/>
            </w:tcMar>
          </w:tcPr>
          <w:p w14:paraId="48AA1737" w14:textId="77777777" w:rsidR="00621836" w:rsidRPr="00133505" w:rsidRDefault="00621836" w:rsidP="003162C1">
            <w:pPr>
              <w:rPr>
                <w:rFonts w:ascii="Aptos Narrow" w:eastAsia="Aptos Narrow" w:hAnsi="Aptos Narrow" w:cs="Aptos Narrow"/>
                <w:color w:val="000000" w:themeColor="text1"/>
              </w:rPr>
            </w:pPr>
            <w:r w:rsidRPr="00133505">
              <w:rPr>
                <w:rFonts w:ascii="Aptos Narrow" w:eastAsia="Aptos Narrow" w:hAnsi="Aptos Narrow" w:cs="Aptos Narrow"/>
                <w:color w:val="000000" w:themeColor="text1"/>
              </w:rPr>
              <w:t>Included with National Hauora Coalition</w:t>
            </w:r>
          </w:p>
        </w:tc>
      </w:tr>
      <w:tr w:rsidR="00621836" w:rsidRPr="00133505" w14:paraId="2FEF6604" w14:textId="77777777" w:rsidTr="003162C1">
        <w:trPr>
          <w:trHeight w:val="300"/>
        </w:trPr>
        <w:tc>
          <w:tcPr>
            <w:tcW w:w="44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CCCAB9" w14:textId="77777777" w:rsidR="00621836" w:rsidRPr="00133505" w:rsidRDefault="00621836" w:rsidP="003162C1">
            <w:pPr>
              <w:rPr>
                <w:rFonts w:ascii="Aptos Narrow" w:eastAsia="Aptos Narrow" w:hAnsi="Aptos Narrow" w:cs="Aptos Narrow"/>
                <w:color w:val="000000" w:themeColor="text1"/>
              </w:rPr>
            </w:pPr>
            <w:r w:rsidRPr="00133505">
              <w:rPr>
                <w:rFonts w:ascii="Aptos Narrow" w:eastAsia="Aptos Narrow" w:hAnsi="Aptos Narrow" w:cs="Aptos Narrow"/>
                <w:color w:val="000000" w:themeColor="text1"/>
              </w:rPr>
              <w:t>ProCare Health (PHO) Limited - Northland</w:t>
            </w:r>
          </w:p>
        </w:tc>
        <w:tc>
          <w:tcPr>
            <w:tcW w:w="4422" w:type="dxa"/>
            <w:tcBorders>
              <w:top w:val="single" w:sz="8" w:space="0" w:color="auto"/>
              <w:left w:val="single" w:sz="8" w:space="0" w:color="auto"/>
              <w:bottom w:val="single" w:sz="8" w:space="0" w:color="auto"/>
              <w:right w:val="single" w:sz="8" w:space="0" w:color="auto"/>
            </w:tcBorders>
            <w:tcMar>
              <w:left w:w="108" w:type="dxa"/>
              <w:right w:w="108" w:type="dxa"/>
            </w:tcMar>
          </w:tcPr>
          <w:p w14:paraId="7D89F0FF" w14:textId="77777777" w:rsidR="00621836" w:rsidRPr="00133505" w:rsidRDefault="00621836" w:rsidP="003162C1">
            <w:pPr>
              <w:rPr>
                <w:rFonts w:ascii="Aptos Narrow" w:eastAsia="Aptos Narrow" w:hAnsi="Aptos Narrow" w:cs="Aptos Narrow"/>
                <w:color w:val="000000" w:themeColor="text1"/>
              </w:rPr>
            </w:pPr>
            <w:r w:rsidRPr="00133505">
              <w:rPr>
                <w:rFonts w:ascii="Aptos Narrow" w:eastAsia="Aptos Narrow" w:hAnsi="Aptos Narrow" w:cs="Aptos Narrow"/>
                <w:color w:val="000000" w:themeColor="text1"/>
              </w:rPr>
              <w:t>Included with ProCare Health (PHO) Limited</w:t>
            </w:r>
          </w:p>
        </w:tc>
      </w:tr>
    </w:tbl>
    <w:p w14:paraId="0E297934" w14:textId="77777777" w:rsidR="00621836" w:rsidRPr="00A803A6" w:rsidRDefault="00621836" w:rsidP="00621836">
      <w:pPr>
        <w:pStyle w:val="TeThHauorabodytext"/>
        <w:ind w:left="360"/>
        <w:rPr>
          <w:color w:val="000000" w:themeColor="text1"/>
        </w:rPr>
      </w:pPr>
    </w:p>
    <w:p w14:paraId="681B79E2" w14:textId="77777777" w:rsidR="00621836" w:rsidRPr="00A803A6" w:rsidRDefault="00621836" w:rsidP="00621836">
      <w:pPr>
        <w:pStyle w:val="TeThHauorahead3"/>
        <w:rPr>
          <w:color w:val="000000" w:themeColor="text1"/>
        </w:rPr>
      </w:pPr>
      <w:bookmarkStart w:id="3" w:name="_Toc210140420"/>
      <w:r w:rsidRPr="00A803A6">
        <w:rPr>
          <w:color w:val="000000" w:themeColor="text1"/>
        </w:rPr>
        <w:t>Data sources</w:t>
      </w:r>
      <w:bookmarkEnd w:id="3"/>
    </w:p>
    <w:p w14:paraId="011FC393" w14:textId="77777777" w:rsidR="00621836" w:rsidRPr="00A803A6" w:rsidRDefault="00621836" w:rsidP="00621836">
      <w:pPr>
        <w:pStyle w:val="Header"/>
        <w:numPr>
          <w:ilvl w:val="0"/>
          <w:numId w:val="7"/>
        </w:numPr>
        <w:tabs>
          <w:tab w:val="center" w:pos="709"/>
        </w:tabs>
        <w:spacing w:line="360" w:lineRule="auto"/>
        <w:rPr>
          <w:rFonts w:cs="Arial"/>
          <w:color w:val="000000" w:themeColor="text1"/>
        </w:rPr>
      </w:pPr>
      <w:r w:rsidRPr="00A803A6">
        <w:rPr>
          <w:rFonts w:cs="Arial"/>
          <w:color w:val="000000" w:themeColor="text1"/>
        </w:rPr>
        <w:t>National minimum dataset (NMDS), Health New Zealand.</w:t>
      </w:r>
    </w:p>
    <w:p w14:paraId="3A9E842B" w14:textId="77777777" w:rsidR="00621836" w:rsidRPr="00A803A6" w:rsidRDefault="00621836" w:rsidP="00621836">
      <w:pPr>
        <w:pStyle w:val="Header"/>
        <w:numPr>
          <w:ilvl w:val="0"/>
          <w:numId w:val="7"/>
        </w:numPr>
        <w:tabs>
          <w:tab w:val="center" w:pos="709"/>
        </w:tabs>
        <w:spacing w:line="360" w:lineRule="auto"/>
        <w:rPr>
          <w:rFonts w:cs="Arial"/>
          <w:bCs/>
          <w:color w:val="000000" w:themeColor="text1"/>
        </w:rPr>
      </w:pPr>
      <w:r w:rsidRPr="00A803A6">
        <w:rPr>
          <w:rFonts w:cs="Arial"/>
          <w:bCs/>
          <w:color w:val="000000" w:themeColor="text1"/>
        </w:rPr>
        <w:t>Primary Health Organisation (PHO) Enrolment Collection, Health New Zealand.</w:t>
      </w:r>
    </w:p>
    <w:p w14:paraId="6E412E13" w14:textId="77777777" w:rsidR="00621836" w:rsidRPr="00A803A6" w:rsidRDefault="00621836" w:rsidP="00621836">
      <w:pPr>
        <w:pStyle w:val="Header"/>
        <w:numPr>
          <w:ilvl w:val="0"/>
          <w:numId w:val="7"/>
        </w:numPr>
        <w:tabs>
          <w:tab w:val="center" w:pos="709"/>
        </w:tabs>
        <w:spacing w:line="360" w:lineRule="auto"/>
        <w:rPr>
          <w:rFonts w:cs="Arial"/>
          <w:bCs/>
          <w:color w:val="000000" w:themeColor="text1"/>
        </w:rPr>
      </w:pPr>
      <w:r w:rsidRPr="00A803A6">
        <w:rPr>
          <w:rFonts w:cs="Arial"/>
          <w:bCs/>
          <w:color w:val="000000" w:themeColor="text1"/>
        </w:rPr>
        <w:t>Pharmaceutical Collection, Health New Zealand.</w:t>
      </w:r>
    </w:p>
    <w:p w14:paraId="55918D01" w14:textId="77777777" w:rsidR="00621836" w:rsidRPr="00A803A6" w:rsidRDefault="00621836" w:rsidP="00621836">
      <w:pPr>
        <w:pStyle w:val="Header"/>
        <w:numPr>
          <w:ilvl w:val="0"/>
          <w:numId w:val="7"/>
        </w:numPr>
        <w:tabs>
          <w:tab w:val="center" w:pos="709"/>
        </w:tabs>
        <w:spacing w:line="360" w:lineRule="auto"/>
        <w:rPr>
          <w:rFonts w:cs="Arial"/>
          <w:bCs/>
          <w:color w:val="000000" w:themeColor="text1"/>
        </w:rPr>
      </w:pPr>
      <w:r w:rsidRPr="00A803A6">
        <w:rPr>
          <w:rFonts w:cs="Arial"/>
          <w:bCs/>
          <w:color w:val="000000" w:themeColor="text1"/>
        </w:rPr>
        <w:t>National Non-Admitted Patient Collection (NNPAC), Health New Zealand.</w:t>
      </w:r>
    </w:p>
    <w:p w14:paraId="4BDB542D" w14:textId="77777777" w:rsidR="00621836" w:rsidRPr="00A803A6" w:rsidRDefault="00621836" w:rsidP="00621836">
      <w:pPr>
        <w:pStyle w:val="ListParagraph"/>
        <w:numPr>
          <w:ilvl w:val="0"/>
          <w:numId w:val="7"/>
        </w:numPr>
        <w:rPr>
          <w:color w:val="000000" w:themeColor="text1"/>
        </w:rPr>
      </w:pPr>
      <w:r w:rsidRPr="00A803A6">
        <w:rPr>
          <w:color w:val="000000" w:themeColor="text1"/>
        </w:rPr>
        <w:lastRenderedPageBreak/>
        <w:t>All information on demographics were obtained from the NHI database, Health New Zealand.</w:t>
      </w:r>
    </w:p>
    <w:p w14:paraId="38392302" w14:textId="77777777" w:rsidR="00621836" w:rsidRPr="00A803A6" w:rsidRDefault="00621836" w:rsidP="00621836">
      <w:pPr>
        <w:pStyle w:val="TeThHauorahead3"/>
        <w:rPr>
          <w:color w:val="000000" w:themeColor="text1"/>
        </w:rPr>
      </w:pPr>
      <w:bookmarkStart w:id="4" w:name="_Toc210140421"/>
      <w:r w:rsidRPr="00A803A6">
        <w:rPr>
          <w:color w:val="000000" w:themeColor="text1"/>
        </w:rPr>
        <w:t>Exclusions</w:t>
      </w:r>
      <w:bookmarkEnd w:id="4"/>
    </w:p>
    <w:p w14:paraId="0300C358" w14:textId="77777777" w:rsidR="00621836" w:rsidRPr="00A803A6" w:rsidRDefault="00621836" w:rsidP="00621836">
      <w:pPr>
        <w:spacing w:after="240"/>
        <w:rPr>
          <w:rFonts w:cs="Arial"/>
          <w:color w:val="000000" w:themeColor="text1"/>
        </w:rPr>
      </w:pPr>
      <w:r w:rsidRPr="00A803A6">
        <w:rPr>
          <w:rFonts w:cs="Arial"/>
          <w:color w:val="000000" w:themeColor="text1"/>
        </w:rPr>
        <w:t>People who were excluded from the analysis were:</w:t>
      </w:r>
    </w:p>
    <w:p w14:paraId="4F52C29C" w14:textId="77777777" w:rsidR="00621836" w:rsidRPr="002A485A" w:rsidRDefault="00621836" w:rsidP="00621836">
      <w:pPr>
        <w:pStyle w:val="ListParagraph"/>
        <w:numPr>
          <w:ilvl w:val="0"/>
          <w:numId w:val="7"/>
        </w:numPr>
        <w:rPr>
          <w:rFonts w:cs="Arial"/>
          <w:color w:val="000000" w:themeColor="text1"/>
        </w:rPr>
      </w:pPr>
      <w:r w:rsidRPr="002A485A">
        <w:rPr>
          <w:rFonts w:cs="Arial"/>
          <w:color w:val="000000" w:themeColor="text1"/>
        </w:rPr>
        <w:t xml:space="preserve">individuals with missing demographics– that is, those with no recorded value for one or more of the National Health Index (NHI) fields used to derive the </w:t>
      </w:r>
      <w:r w:rsidRPr="002A485A">
        <w:rPr>
          <w:color w:val="000000" w:themeColor="text1"/>
        </w:rPr>
        <w:t>demographic variables of interest (age, gender, ethnicity and district of domicile). For instance, a person with no recorded ethnicity in 2023 is excluded from all indicators for that calendar year. This approach ensures a consistent denominator throughout the analyses.</w:t>
      </w:r>
    </w:p>
    <w:p w14:paraId="3500CAFE" w14:textId="77777777" w:rsidR="00621836" w:rsidRPr="002A485A" w:rsidRDefault="00621836" w:rsidP="00621836">
      <w:pPr>
        <w:pStyle w:val="ListParagraph"/>
        <w:numPr>
          <w:ilvl w:val="0"/>
          <w:numId w:val="7"/>
        </w:numPr>
        <w:rPr>
          <w:vanish/>
          <w:color w:val="000000" w:themeColor="text1"/>
        </w:rPr>
      </w:pPr>
      <w:r w:rsidRPr="002A485A">
        <w:rPr>
          <w:rFonts w:cs="Arial"/>
          <w:color w:val="000000" w:themeColor="text1"/>
        </w:rPr>
        <w:t xml:space="preserve">those who weren’t enrolled in a PHO in the calendar year. </w:t>
      </w:r>
    </w:p>
    <w:p w14:paraId="7A784777" w14:textId="77777777" w:rsidR="00621836" w:rsidRPr="00A803A6" w:rsidRDefault="00621836" w:rsidP="00621836">
      <w:pPr>
        <w:rPr>
          <w:rFonts w:cs="Arial"/>
          <w:color w:val="000000" w:themeColor="text1"/>
          <w:highlight w:val="yellow"/>
        </w:rPr>
      </w:pPr>
    </w:p>
    <w:tbl>
      <w:tblPr>
        <w:tblW w:w="932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9322"/>
      </w:tblGrid>
      <w:tr w:rsidR="00621836" w:rsidRPr="00A803A6" w14:paraId="740F136B" w14:textId="77777777" w:rsidTr="003162C1">
        <w:trPr>
          <w:trHeight w:val="327"/>
        </w:trPr>
        <w:tc>
          <w:tcPr>
            <w:tcW w:w="9322" w:type="dxa"/>
          </w:tcPr>
          <w:p w14:paraId="735A8E39" w14:textId="77777777" w:rsidR="00621836" w:rsidRPr="00A803A6" w:rsidRDefault="00621836" w:rsidP="003162C1">
            <w:pPr>
              <w:pStyle w:val="Header"/>
              <w:spacing w:before="60"/>
              <w:rPr>
                <w:b/>
                <w:color w:val="000000" w:themeColor="text1"/>
              </w:rPr>
            </w:pPr>
            <w:r w:rsidRPr="00A803A6">
              <w:rPr>
                <w:b/>
                <w:color w:val="000000" w:themeColor="text1"/>
              </w:rPr>
              <w:t>Confidence intervals</w:t>
            </w:r>
          </w:p>
        </w:tc>
      </w:tr>
      <w:tr w:rsidR="00621836" w:rsidRPr="00A803A6" w14:paraId="650219AA" w14:textId="77777777" w:rsidTr="003162C1">
        <w:trPr>
          <w:trHeight w:val="327"/>
        </w:trPr>
        <w:tc>
          <w:tcPr>
            <w:tcW w:w="9322" w:type="dxa"/>
          </w:tcPr>
          <w:p w14:paraId="0168F3AD" w14:textId="77777777" w:rsidR="00621836" w:rsidRPr="00A803A6" w:rsidRDefault="00621836" w:rsidP="003162C1">
            <w:pPr>
              <w:rPr>
                <w:rFonts w:eastAsia="Arial" w:cs="Arial"/>
                <w:color w:val="000000" w:themeColor="text1"/>
              </w:rPr>
            </w:pPr>
            <w:r w:rsidRPr="00A803A6">
              <w:rPr>
                <w:color w:val="000000" w:themeColor="text1"/>
              </w:rPr>
              <w:t>We present indicator data as a percentage or rate per 1,000, calculated for each Health New Zealand district. We use 95% confidence intervals to understand the range of likely values for each result.</w:t>
            </w:r>
            <w:r w:rsidRPr="00A803A6">
              <w:rPr>
                <w:rFonts w:eastAsia="Arial" w:cs="Arial"/>
                <w:color w:val="000000" w:themeColor="text1"/>
              </w:rPr>
              <w:t xml:space="preserve"> Each result is compared to the overall New Zealand rate for the same indicator.</w:t>
            </w:r>
          </w:p>
          <w:p w14:paraId="3258D471" w14:textId="77777777" w:rsidR="00621836" w:rsidRPr="00A803A6" w:rsidRDefault="00621836" w:rsidP="003162C1">
            <w:pPr>
              <w:rPr>
                <w:color w:val="000000" w:themeColor="text1"/>
              </w:rPr>
            </w:pPr>
            <w:r w:rsidRPr="00A803A6">
              <w:rPr>
                <w:rFonts w:eastAsia="Arial" w:cs="Arial"/>
                <w:color w:val="000000" w:themeColor="text1"/>
              </w:rPr>
              <w:t xml:space="preserve">Comparing two confidence intervals is a quick heuristic method to determine whether there is a statistically significant difference between rates.  </w:t>
            </w:r>
            <w:r w:rsidRPr="00A803A6">
              <w:rPr>
                <w:color w:val="000000" w:themeColor="text1"/>
              </w:rPr>
              <w:t xml:space="preserve">If the confidence intervals don’t overlap, the difference can be considered significant </w:t>
            </w:r>
            <w:r w:rsidRPr="00A803A6">
              <w:rPr>
                <w:rFonts w:eastAsia="Arial" w:cs="Arial"/>
                <w:color w:val="000000" w:themeColor="text1"/>
              </w:rPr>
              <w:t>at the 0.05 level</w:t>
            </w:r>
            <w:r w:rsidRPr="00A803A6">
              <w:rPr>
                <w:color w:val="000000" w:themeColor="text1"/>
              </w:rPr>
              <w:t xml:space="preserve">. If they do overlap, the difference may or may not be significant </w:t>
            </w:r>
            <w:r w:rsidRPr="00A803A6">
              <w:rPr>
                <w:rFonts w:eastAsia="Arial" w:cs="Arial"/>
                <w:color w:val="000000" w:themeColor="text1"/>
              </w:rPr>
              <w:t>at the 0.05 level</w:t>
            </w:r>
            <w:r w:rsidRPr="00A803A6">
              <w:rPr>
                <w:color w:val="000000" w:themeColor="text1"/>
              </w:rPr>
              <w:t>.</w:t>
            </w:r>
          </w:p>
          <w:p w14:paraId="14DACD6B" w14:textId="77777777" w:rsidR="00621836" w:rsidRPr="00A803A6" w:rsidRDefault="00621836" w:rsidP="00621836">
            <w:pPr>
              <w:pStyle w:val="ListParagraph"/>
              <w:numPr>
                <w:ilvl w:val="0"/>
                <w:numId w:val="9"/>
              </w:numPr>
              <w:spacing w:after="60"/>
              <w:contextualSpacing w:val="0"/>
              <w:rPr>
                <w:color w:val="000000" w:themeColor="text1"/>
              </w:rPr>
            </w:pPr>
            <w:r w:rsidRPr="00A803A6">
              <w:rPr>
                <w:color w:val="000000" w:themeColor="text1"/>
              </w:rPr>
              <w:t>If the district’s upper limit is below New Zealand’s lower limit, we say the district’s result is “Significantly lower.”</w:t>
            </w:r>
          </w:p>
          <w:p w14:paraId="29074319" w14:textId="77777777" w:rsidR="00621836" w:rsidRPr="00A803A6" w:rsidRDefault="00621836" w:rsidP="00621836">
            <w:pPr>
              <w:pStyle w:val="ListParagraph"/>
              <w:numPr>
                <w:ilvl w:val="0"/>
                <w:numId w:val="9"/>
              </w:numPr>
              <w:spacing w:after="60"/>
              <w:contextualSpacing w:val="0"/>
              <w:rPr>
                <w:color w:val="000000" w:themeColor="text1"/>
              </w:rPr>
            </w:pPr>
            <w:r w:rsidRPr="00A803A6">
              <w:rPr>
                <w:color w:val="000000" w:themeColor="text1"/>
              </w:rPr>
              <w:t>If the district’s lower limit is above New Zealand’s upper limit, we say the result is “Significantly higher.”</w:t>
            </w:r>
          </w:p>
          <w:p w14:paraId="16A5E147" w14:textId="77777777" w:rsidR="00621836" w:rsidRPr="00A803A6" w:rsidRDefault="00621836" w:rsidP="00621836">
            <w:pPr>
              <w:pStyle w:val="ListParagraph"/>
              <w:numPr>
                <w:ilvl w:val="0"/>
                <w:numId w:val="9"/>
              </w:numPr>
              <w:spacing w:after="60"/>
              <w:contextualSpacing w:val="0"/>
              <w:rPr>
                <w:color w:val="000000" w:themeColor="text1"/>
              </w:rPr>
            </w:pPr>
            <w:r w:rsidRPr="00A803A6">
              <w:rPr>
                <w:color w:val="000000" w:themeColor="text1"/>
              </w:rPr>
              <w:t>If the confidence intervals overlap, we say the result is “Not significantly different.”</w:t>
            </w:r>
          </w:p>
          <w:p w14:paraId="74C00BB0" w14:textId="2852924E" w:rsidR="00621836" w:rsidRPr="00A803A6" w:rsidRDefault="00621836" w:rsidP="003162C1">
            <w:pPr>
              <w:spacing w:after="0"/>
              <w:rPr>
                <w:rFonts w:eastAsia="Arial" w:cs="Arial"/>
                <w:color w:val="000000" w:themeColor="text1"/>
              </w:rPr>
            </w:pPr>
            <w:r w:rsidRPr="00A803A6">
              <w:rPr>
                <w:rFonts w:eastAsia="Arial" w:cs="Arial"/>
                <w:color w:val="000000" w:themeColor="text1"/>
              </w:rPr>
              <w:t xml:space="preserve">The same method is used for comparisons between demographic groups and time points in key findings on the </w:t>
            </w:r>
            <w:hyperlink r:id="rId10" w:history="1">
              <w:r w:rsidR="003D2346">
                <w:rPr>
                  <w:rStyle w:val="Hyperlink"/>
                  <w:rFonts w:eastAsia="Arial" w:cs="Arial"/>
                </w:rPr>
                <w:t>Atlas of healthcare variation/opioids - hqsc.govt.nz</w:t>
              </w:r>
            </w:hyperlink>
          </w:p>
          <w:p w14:paraId="068D4B8D" w14:textId="77777777" w:rsidR="00621836" w:rsidRPr="00A803A6" w:rsidRDefault="00621836" w:rsidP="003162C1">
            <w:pPr>
              <w:spacing w:after="0"/>
              <w:rPr>
                <w:rFonts w:eastAsia="Arial" w:cs="Arial"/>
                <w:color w:val="000000" w:themeColor="text1"/>
              </w:rPr>
            </w:pPr>
          </w:p>
          <w:p w14:paraId="75980B9A" w14:textId="77777777" w:rsidR="00621836" w:rsidRPr="00A803A6" w:rsidRDefault="00621836" w:rsidP="003162C1">
            <w:pPr>
              <w:spacing w:after="0"/>
              <w:rPr>
                <w:rFonts w:eastAsia="Arial" w:cs="Arial"/>
                <w:color w:val="000000" w:themeColor="text1"/>
              </w:rPr>
            </w:pPr>
            <w:r w:rsidRPr="00A803A6">
              <w:rPr>
                <w:rFonts w:eastAsia="Arial" w:cs="Arial"/>
                <w:color w:val="000000" w:themeColor="text1"/>
              </w:rPr>
              <w:t>Note that this method is a conservative test of statistical significance; results with overlapping confidence intervals may still be significantly different at the 0.05 level if a formal statistical test is undertaken.</w:t>
            </w:r>
          </w:p>
        </w:tc>
      </w:tr>
    </w:tbl>
    <w:p w14:paraId="1C9F7F61" w14:textId="77777777" w:rsidR="00621836" w:rsidRPr="00A803A6" w:rsidRDefault="00621836" w:rsidP="00621836">
      <w:pPr>
        <w:pStyle w:val="TeThHauorahead3"/>
        <w:rPr>
          <w:color w:val="000000" w:themeColor="text1"/>
        </w:rPr>
      </w:pPr>
      <w:bookmarkStart w:id="5" w:name="_Toc210140422"/>
      <w:r w:rsidRPr="00A803A6">
        <w:rPr>
          <w:color w:val="000000" w:themeColor="text1"/>
        </w:rPr>
        <w:t>Indicators</w:t>
      </w:r>
      <w:bookmarkEnd w:id="5"/>
    </w:p>
    <w:p w14:paraId="2DE65FF1" w14:textId="77777777" w:rsidR="00621836" w:rsidRPr="00A803A6" w:rsidRDefault="00621836" w:rsidP="00621836">
      <w:pPr>
        <w:pStyle w:val="TeThHauorahead3"/>
        <w:numPr>
          <w:ilvl w:val="0"/>
          <w:numId w:val="12"/>
        </w:numPr>
        <w:tabs>
          <w:tab w:val="num" w:pos="360"/>
        </w:tabs>
        <w:rPr>
          <w:color w:val="000000" w:themeColor="text1"/>
        </w:rPr>
      </w:pPr>
      <w:bookmarkStart w:id="6" w:name="_Toc210140423"/>
      <w:r w:rsidRPr="00A803A6">
        <w:rPr>
          <w:bCs/>
          <w:color w:val="000000" w:themeColor="text1"/>
        </w:rPr>
        <w:t xml:space="preserve">People dispensed </w:t>
      </w:r>
      <w:r>
        <w:rPr>
          <w:bCs/>
          <w:color w:val="000000" w:themeColor="text1"/>
        </w:rPr>
        <w:t xml:space="preserve">a </w:t>
      </w:r>
      <w:r w:rsidRPr="00A803A6">
        <w:rPr>
          <w:bCs/>
          <w:color w:val="000000" w:themeColor="text1"/>
        </w:rPr>
        <w:t>strong opioid medicine</w:t>
      </w:r>
      <w:r>
        <w:rPr>
          <w:bCs/>
          <w:color w:val="000000" w:themeColor="text1"/>
        </w:rPr>
        <w:t xml:space="preserve"> </w:t>
      </w:r>
      <w:r>
        <w:rPr>
          <w:color w:val="000000" w:themeColor="text1"/>
        </w:rPr>
        <w:t>one or more times</w:t>
      </w:r>
      <w:r w:rsidRPr="00A803A6">
        <w:rPr>
          <w:bCs/>
          <w:color w:val="000000" w:themeColor="text1"/>
        </w:rPr>
        <w:t xml:space="preserve"> in a year</w:t>
      </w:r>
      <w:bookmarkEnd w:id="6"/>
    </w:p>
    <w:tbl>
      <w:tblPr>
        <w:tblW w:w="9351"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781"/>
        <w:gridCol w:w="7570"/>
      </w:tblGrid>
      <w:tr w:rsidR="00621836" w:rsidRPr="00A803A6" w14:paraId="382E02C9" w14:textId="77777777" w:rsidTr="003162C1">
        <w:trPr>
          <w:trHeight w:val="327"/>
        </w:trPr>
        <w:tc>
          <w:tcPr>
            <w:tcW w:w="1781" w:type="dxa"/>
          </w:tcPr>
          <w:p w14:paraId="79FB60C3" w14:textId="77777777" w:rsidR="00621836" w:rsidRPr="00A803A6" w:rsidRDefault="00621836" w:rsidP="003162C1">
            <w:pPr>
              <w:pStyle w:val="BodyText"/>
              <w:rPr>
                <w:b/>
                <w:bCs/>
                <w:color w:val="000000" w:themeColor="text1"/>
              </w:rPr>
            </w:pPr>
            <w:r w:rsidRPr="00A803A6">
              <w:rPr>
                <w:b/>
                <w:bCs/>
                <w:color w:val="000000" w:themeColor="text1"/>
              </w:rPr>
              <w:t>Indicator #1:</w:t>
            </w:r>
          </w:p>
        </w:tc>
        <w:tc>
          <w:tcPr>
            <w:tcW w:w="7570" w:type="dxa"/>
            <w:vAlign w:val="center"/>
          </w:tcPr>
          <w:p w14:paraId="3BBC0C3B" w14:textId="77777777" w:rsidR="00621836" w:rsidRPr="00A803A6" w:rsidRDefault="00621836" w:rsidP="003162C1">
            <w:pPr>
              <w:pStyle w:val="BodyText"/>
              <w:rPr>
                <w:color w:val="000000" w:themeColor="text1"/>
              </w:rPr>
            </w:pPr>
            <w:r w:rsidRPr="00A803A6">
              <w:rPr>
                <w:bCs/>
                <w:color w:val="000000" w:themeColor="text1"/>
              </w:rPr>
              <w:t>People dispensed one or more strong opioid medicines in a year</w:t>
            </w:r>
          </w:p>
        </w:tc>
      </w:tr>
      <w:tr w:rsidR="00621836" w:rsidRPr="00A803A6" w14:paraId="54685194" w14:textId="77777777" w:rsidTr="003162C1">
        <w:trPr>
          <w:trHeight w:val="327"/>
        </w:trPr>
        <w:tc>
          <w:tcPr>
            <w:tcW w:w="1781" w:type="dxa"/>
          </w:tcPr>
          <w:p w14:paraId="582D9A35" w14:textId="77777777" w:rsidR="00621836" w:rsidRPr="00A803A6" w:rsidRDefault="00621836" w:rsidP="003162C1">
            <w:pPr>
              <w:pStyle w:val="BodyText"/>
              <w:rPr>
                <w:b/>
                <w:bCs/>
                <w:color w:val="000000" w:themeColor="text1"/>
              </w:rPr>
            </w:pPr>
            <w:r w:rsidRPr="00A803A6">
              <w:rPr>
                <w:b/>
                <w:bCs/>
                <w:color w:val="000000" w:themeColor="text1"/>
              </w:rPr>
              <w:t>Numerator</w:t>
            </w:r>
          </w:p>
        </w:tc>
        <w:tc>
          <w:tcPr>
            <w:tcW w:w="7570" w:type="dxa"/>
            <w:vAlign w:val="bottom"/>
          </w:tcPr>
          <w:p w14:paraId="6881BE24" w14:textId="77777777" w:rsidR="00621836" w:rsidRPr="00A803A6" w:rsidRDefault="00621836" w:rsidP="003162C1">
            <w:pPr>
              <w:pStyle w:val="BodyText"/>
              <w:rPr>
                <w:color w:val="000000" w:themeColor="text1"/>
              </w:rPr>
            </w:pPr>
            <w:r w:rsidRPr="00A803A6">
              <w:rPr>
                <w:color w:val="000000" w:themeColor="text1"/>
              </w:rPr>
              <w:t>PHO-enrolled population who were dispensed a strong opioid: morphine, fentanyl, methadone (excluding those using for substance abuse), oxycodone and pethidine during the calendar year</w:t>
            </w:r>
          </w:p>
        </w:tc>
      </w:tr>
      <w:tr w:rsidR="00621836" w:rsidRPr="00A803A6" w14:paraId="71201E74" w14:textId="77777777" w:rsidTr="003162C1">
        <w:trPr>
          <w:trHeight w:val="327"/>
        </w:trPr>
        <w:tc>
          <w:tcPr>
            <w:tcW w:w="1781" w:type="dxa"/>
          </w:tcPr>
          <w:p w14:paraId="410E8730" w14:textId="77777777" w:rsidR="00621836" w:rsidRPr="00A803A6" w:rsidRDefault="00621836" w:rsidP="003162C1">
            <w:pPr>
              <w:pStyle w:val="BodyText"/>
              <w:rPr>
                <w:b/>
                <w:bCs/>
                <w:color w:val="000000" w:themeColor="text1"/>
              </w:rPr>
            </w:pPr>
            <w:r w:rsidRPr="00A803A6">
              <w:rPr>
                <w:b/>
                <w:bCs/>
                <w:color w:val="000000" w:themeColor="text1"/>
              </w:rPr>
              <w:t>Denominator</w:t>
            </w:r>
          </w:p>
        </w:tc>
        <w:tc>
          <w:tcPr>
            <w:tcW w:w="7570" w:type="dxa"/>
            <w:vAlign w:val="bottom"/>
          </w:tcPr>
          <w:p w14:paraId="65650FE8" w14:textId="77777777" w:rsidR="00621836" w:rsidRPr="00A803A6" w:rsidRDefault="00621836" w:rsidP="003162C1">
            <w:pPr>
              <w:pStyle w:val="BodyText"/>
              <w:rPr>
                <w:color w:val="000000" w:themeColor="text1"/>
              </w:rPr>
            </w:pPr>
            <w:r w:rsidRPr="00A803A6">
              <w:rPr>
                <w:color w:val="000000" w:themeColor="text1"/>
              </w:rPr>
              <w:t>PHO-enrolled population during the calendar year</w:t>
            </w:r>
          </w:p>
        </w:tc>
      </w:tr>
      <w:tr w:rsidR="00621836" w:rsidRPr="00A803A6" w14:paraId="74CA8D5F" w14:textId="77777777" w:rsidTr="003162C1">
        <w:trPr>
          <w:trHeight w:val="327"/>
        </w:trPr>
        <w:tc>
          <w:tcPr>
            <w:tcW w:w="1781" w:type="dxa"/>
          </w:tcPr>
          <w:p w14:paraId="783D4CE9" w14:textId="77777777" w:rsidR="00621836" w:rsidRPr="00A803A6" w:rsidRDefault="00621836" w:rsidP="003162C1">
            <w:pPr>
              <w:pStyle w:val="BodyText"/>
              <w:rPr>
                <w:b/>
                <w:bCs/>
                <w:color w:val="000000" w:themeColor="text1"/>
              </w:rPr>
            </w:pPr>
            <w:r w:rsidRPr="00A803A6">
              <w:rPr>
                <w:b/>
                <w:bCs/>
                <w:color w:val="000000" w:themeColor="text1"/>
              </w:rPr>
              <w:t>Data source</w:t>
            </w:r>
          </w:p>
        </w:tc>
        <w:tc>
          <w:tcPr>
            <w:tcW w:w="7570" w:type="dxa"/>
            <w:vAlign w:val="bottom"/>
          </w:tcPr>
          <w:p w14:paraId="62BC81C0" w14:textId="77777777" w:rsidR="00621836" w:rsidRPr="00A803A6" w:rsidRDefault="00621836" w:rsidP="003162C1">
            <w:pPr>
              <w:pStyle w:val="BodyText"/>
              <w:rPr>
                <w:color w:val="000000" w:themeColor="text1"/>
              </w:rPr>
            </w:pPr>
            <w:r w:rsidRPr="00A803A6">
              <w:rPr>
                <w:color w:val="000000" w:themeColor="text1"/>
              </w:rPr>
              <w:t xml:space="preserve">Pharmaceutical Collection, </w:t>
            </w:r>
            <w:r w:rsidRPr="00A803A6">
              <w:rPr>
                <w:bCs/>
                <w:color w:val="000000" w:themeColor="text1"/>
              </w:rPr>
              <w:t>PHO Enrolment Collection</w:t>
            </w:r>
          </w:p>
        </w:tc>
      </w:tr>
      <w:tr w:rsidR="00621836" w:rsidRPr="00A803A6" w14:paraId="216E0D90" w14:textId="77777777" w:rsidTr="003162C1">
        <w:trPr>
          <w:trHeight w:val="327"/>
        </w:trPr>
        <w:tc>
          <w:tcPr>
            <w:tcW w:w="1781" w:type="dxa"/>
          </w:tcPr>
          <w:p w14:paraId="199E6190" w14:textId="77777777" w:rsidR="00621836" w:rsidRPr="00A803A6" w:rsidRDefault="00621836" w:rsidP="003162C1">
            <w:pPr>
              <w:pStyle w:val="BodyText"/>
              <w:rPr>
                <w:b/>
                <w:bCs/>
                <w:color w:val="000000" w:themeColor="text1"/>
              </w:rPr>
            </w:pPr>
            <w:r w:rsidRPr="00A803A6">
              <w:rPr>
                <w:b/>
                <w:bCs/>
                <w:color w:val="000000" w:themeColor="text1"/>
              </w:rPr>
              <w:lastRenderedPageBreak/>
              <w:t>Analysis</w:t>
            </w:r>
          </w:p>
        </w:tc>
        <w:tc>
          <w:tcPr>
            <w:tcW w:w="7570" w:type="dxa"/>
            <w:vAlign w:val="bottom"/>
          </w:tcPr>
          <w:p w14:paraId="6C118217" w14:textId="77777777" w:rsidR="00621836" w:rsidRPr="00A803A6" w:rsidRDefault="00621836" w:rsidP="003162C1">
            <w:pPr>
              <w:pStyle w:val="BodyText"/>
              <w:rPr>
                <w:color w:val="000000" w:themeColor="text1"/>
              </w:rPr>
            </w:pPr>
            <w:r w:rsidRPr="00A803A6">
              <w:rPr>
                <w:color w:val="000000" w:themeColor="text1"/>
              </w:rPr>
              <w:t>District analysis: By year (2019 –2023), age group (0–24, 25–64; 65–79 and 80 and over), gender (female, male), ethnic group (Māori, Pacific peoples,</w:t>
            </w:r>
            <w:r>
              <w:rPr>
                <w:color w:val="000000" w:themeColor="text1"/>
              </w:rPr>
              <w:t xml:space="preserve"> Asian and </w:t>
            </w:r>
            <w:r w:rsidRPr="00A803A6">
              <w:rPr>
                <w:color w:val="000000" w:themeColor="text1"/>
              </w:rPr>
              <w:t>European/Other) and Health New Zealand district of domicile.</w:t>
            </w:r>
          </w:p>
          <w:p w14:paraId="76B88FB5" w14:textId="77777777" w:rsidR="00621836" w:rsidRPr="00A803A6" w:rsidRDefault="00621836" w:rsidP="003162C1">
            <w:pPr>
              <w:pStyle w:val="BodyText"/>
              <w:rPr>
                <w:color w:val="000000" w:themeColor="text1"/>
              </w:rPr>
            </w:pPr>
            <w:r w:rsidRPr="00A803A6">
              <w:rPr>
                <w:color w:val="000000" w:themeColor="text1"/>
              </w:rPr>
              <w:t>PHO analysis: By year (2023), age group, gender, ethnic group, Primary Health Organisation (PHO) most recently enrolled with (for the relevant year), PHO group (small, medium, medium-large and large).</w:t>
            </w:r>
          </w:p>
        </w:tc>
      </w:tr>
      <w:tr w:rsidR="00621836" w:rsidRPr="00A803A6" w14:paraId="18E1DDAE" w14:textId="77777777" w:rsidTr="003162C1">
        <w:trPr>
          <w:trHeight w:val="327"/>
        </w:trPr>
        <w:tc>
          <w:tcPr>
            <w:tcW w:w="1781" w:type="dxa"/>
          </w:tcPr>
          <w:p w14:paraId="160B1C11" w14:textId="77777777" w:rsidR="00621836" w:rsidRPr="00A803A6" w:rsidRDefault="00621836" w:rsidP="003162C1">
            <w:pPr>
              <w:pStyle w:val="BodyText"/>
              <w:rPr>
                <w:b/>
                <w:bCs/>
                <w:color w:val="000000" w:themeColor="text1"/>
              </w:rPr>
            </w:pPr>
            <w:r w:rsidRPr="00A803A6">
              <w:rPr>
                <w:b/>
                <w:bCs/>
                <w:color w:val="000000" w:themeColor="text1"/>
              </w:rPr>
              <w:t xml:space="preserve">Exclusions </w:t>
            </w:r>
          </w:p>
        </w:tc>
        <w:tc>
          <w:tcPr>
            <w:tcW w:w="7570" w:type="dxa"/>
            <w:vAlign w:val="bottom"/>
          </w:tcPr>
          <w:p w14:paraId="434067FB" w14:textId="77777777" w:rsidR="00621836" w:rsidRPr="00A803A6" w:rsidRDefault="00621836" w:rsidP="003162C1">
            <w:pPr>
              <w:pStyle w:val="BodyText"/>
              <w:rPr>
                <w:color w:val="000000" w:themeColor="text1"/>
              </w:rPr>
            </w:pPr>
            <w:r w:rsidRPr="00A803A6">
              <w:rPr>
                <w:color w:val="000000" w:themeColor="text1"/>
              </w:rPr>
              <w:t xml:space="preserve">Opioid substitution treatment was excluded by identifying people who had methadone dispensed </w:t>
            </w:r>
            <w:proofErr w:type="gramStart"/>
            <w:r w:rsidRPr="00A803A6">
              <w:rPr>
                <w:color w:val="000000" w:themeColor="text1"/>
              </w:rPr>
              <w:t>every</w:t>
            </w:r>
            <w:r>
              <w:rPr>
                <w:color w:val="000000" w:themeColor="text1"/>
              </w:rPr>
              <w:t xml:space="preserve"> one</w:t>
            </w:r>
            <w:proofErr w:type="gramEnd"/>
            <w:r w:rsidRPr="00A803A6">
              <w:rPr>
                <w:color w:val="000000" w:themeColor="text1"/>
              </w:rPr>
              <w:t xml:space="preserve">, two or three days. People who met this criterion were excluded from further analysis. </w:t>
            </w:r>
            <w:r>
              <w:rPr>
                <w:color w:val="000000" w:themeColor="text1"/>
              </w:rPr>
              <w:t>Note that i</w:t>
            </w:r>
            <w:r w:rsidRPr="0073538F">
              <w:rPr>
                <w:color w:val="000000" w:themeColor="text1"/>
              </w:rPr>
              <w:t xml:space="preserve">ndividuals are excluded if they were dispensed methadone in this pattern at any time prior to or during the year of interest. </w:t>
            </w:r>
            <w:r w:rsidRPr="00A803A6">
              <w:rPr>
                <w:color w:val="000000" w:themeColor="text1"/>
              </w:rPr>
              <w:t>This method may incorrectly exclude people who had this pattern of dispensing for a different reason, however, a comparison between the number of people registered with the Ministry of Health as receiving opioid substitution treatment and the number of people excluded suggests this method is sufficiently accurate</w:t>
            </w:r>
            <w:r>
              <w:rPr>
                <w:color w:val="000000" w:themeColor="text1"/>
              </w:rPr>
              <w:t xml:space="preserve">. </w:t>
            </w:r>
          </w:p>
        </w:tc>
      </w:tr>
      <w:tr w:rsidR="00621836" w:rsidRPr="00A803A6" w14:paraId="1ED329F6" w14:textId="77777777" w:rsidTr="003162C1">
        <w:trPr>
          <w:trHeight w:val="876"/>
        </w:trPr>
        <w:tc>
          <w:tcPr>
            <w:tcW w:w="1781" w:type="dxa"/>
          </w:tcPr>
          <w:p w14:paraId="2C02195B" w14:textId="77777777" w:rsidR="00621836" w:rsidRPr="00A803A6" w:rsidRDefault="00621836" w:rsidP="003162C1">
            <w:pPr>
              <w:pStyle w:val="BodyText"/>
              <w:rPr>
                <w:b/>
                <w:bCs/>
                <w:color w:val="000000" w:themeColor="text1"/>
              </w:rPr>
            </w:pPr>
            <w:r w:rsidRPr="00A803A6">
              <w:rPr>
                <w:b/>
                <w:bCs/>
                <w:color w:val="000000" w:themeColor="text1"/>
              </w:rPr>
              <w:t>Medication</w:t>
            </w:r>
          </w:p>
        </w:tc>
        <w:tc>
          <w:tcPr>
            <w:tcW w:w="7570" w:type="dxa"/>
            <w:vAlign w:val="bottom"/>
          </w:tcPr>
          <w:p w14:paraId="679373ED" w14:textId="77777777" w:rsidR="00621836" w:rsidRPr="00A803A6" w:rsidRDefault="00621836" w:rsidP="003162C1">
            <w:pPr>
              <w:pStyle w:val="BodyText"/>
              <w:rPr>
                <w:color w:val="000000" w:themeColor="text1"/>
              </w:rPr>
            </w:pPr>
            <w:r w:rsidRPr="00A803A6">
              <w:rPr>
                <w:color w:val="000000" w:themeColor="text1"/>
              </w:rPr>
              <w:t>1274 Fentanyl citrate; 1795 Methadone hydrochloride; 1830 Morphine hydrochloride; 1831 Morphine sulphate; 2383 Morphine tartrate; 3801 Fentanyl; 3822 Oxycodone hydrochloride; 3896 Fentanyl citrate; 1953 Pethidine hydrochloride</w:t>
            </w:r>
          </w:p>
        </w:tc>
      </w:tr>
      <w:tr w:rsidR="00621836" w:rsidRPr="00A803A6" w14:paraId="0ECF2461" w14:textId="77777777" w:rsidTr="003162C1">
        <w:trPr>
          <w:trHeight w:val="558"/>
        </w:trPr>
        <w:tc>
          <w:tcPr>
            <w:tcW w:w="1781" w:type="dxa"/>
          </w:tcPr>
          <w:p w14:paraId="25FD7432" w14:textId="77777777" w:rsidR="00621836" w:rsidRPr="00A803A6" w:rsidRDefault="00621836" w:rsidP="003162C1">
            <w:pPr>
              <w:pStyle w:val="BodyText"/>
              <w:rPr>
                <w:b/>
                <w:bCs/>
                <w:color w:val="000000" w:themeColor="text1"/>
              </w:rPr>
            </w:pPr>
            <w:r w:rsidRPr="00A803A6">
              <w:rPr>
                <w:b/>
                <w:bCs/>
                <w:color w:val="000000" w:themeColor="text1"/>
              </w:rPr>
              <w:t>Commentary</w:t>
            </w:r>
          </w:p>
        </w:tc>
        <w:tc>
          <w:tcPr>
            <w:tcW w:w="7570" w:type="dxa"/>
          </w:tcPr>
          <w:p w14:paraId="075F73FD" w14:textId="77777777" w:rsidR="00621836" w:rsidRPr="00A803A6" w:rsidRDefault="00621836" w:rsidP="003162C1">
            <w:pPr>
              <w:pStyle w:val="BodyText"/>
              <w:rPr>
                <w:color w:val="000000" w:themeColor="text1"/>
              </w:rPr>
            </w:pPr>
            <w:r w:rsidRPr="00A803A6">
              <w:rPr>
                <w:color w:val="000000" w:themeColor="text1"/>
              </w:rPr>
              <w:t>Description: People dispensed one or more strong opioid medicines in a year.</w:t>
            </w:r>
          </w:p>
          <w:p w14:paraId="73F171DF" w14:textId="77777777" w:rsidR="00621836" w:rsidRPr="00EB2819" w:rsidRDefault="00621836" w:rsidP="00140865">
            <w:pPr>
              <w:pStyle w:val="BodyText"/>
              <w:rPr>
                <w:color w:val="000000" w:themeColor="text1"/>
              </w:rPr>
            </w:pPr>
            <w:r w:rsidRPr="00EB2819">
              <w:rPr>
                <w:color w:val="000000" w:themeColor="text1"/>
              </w:rPr>
              <w:t xml:space="preserve">This indicator shows the number and rate per 1,000 of the PHO-enrolled population who had a strong opioid </w:t>
            </w:r>
            <w:r>
              <w:rPr>
                <w:color w:val="000000" w:themeColor="text1"/>
              </w:rPr>
              <w:t xml:space="preserve">dispensed to them by a community pharmacy, </w:t>
            </w:r>
            <w:r w:rsidRPr="00EB2819">
              <w:rPr>
                <w:color w:val="000000" w:themeColor="text1"/>
              </w:rPr>
              <w:t>by year (2019</w:t>
            </w:r>
            <w:r>
              <w:rPr>
                <w:color w:val="000000" w:themeColor="text1"/>
              </w:rPr>
              <w:t xml:space="preserve"> to 20</w:t>
            </w:r>
            <w:r w:rsidRPr="00EB2819">
              <w:rPr>
                <w:color w:val="000000" w:themeColor="text1"/>
              </w:rPr>
              <w:t>23), ethnic group, age group and gender.</w:t>
            </w:r>
          </w:p>
          <w:p w14:paraId="10AA645C" w14:textId="77777777" w:rsidR="00621836" w:rsidRDefault="00621836" w:rsidP="00140865">
            <w:r w:rsidRPr="002D503B">
              <w:t>A ‘strong’ opioid is classed as step 3 of the World Health Organi</w:t>
            </w:r>
            <w:r>
              <w:t>z</w:t>
            </w:r>
            <w:r w:rsidRPr="002D503B">
              <w:t>ation</w:t>
            </w:r>
            <w:r>
              <w:t>’s</w:t>
            </w:r>
            <w:r w:rsidRPr="002D503B">
              <w:t xml:space="preserve"> (WHO) analgesic ladder. </w:t>
            </w:r>
            <w:r>
              <w:t>This includes</w:t>
            </w:r>
            <w:r w:rsidRPr="002D503B">
              <w:t xml:space="preserve"> fentanyl, methadone, morphine, oxycodone and pethidine</w:t>
            </w:r>
            <w:r>
              <w:t>. These opioids are subsidised in New Zealand</w:t>
            </w:r>
            <w:r w:rsidRPr="002D503B">
              <w:t>.</w:t>
            </w:r>
          </w:p>
          <w:p w14:paraId="73D8EA12" w14:textId="77777777" w:rsidR="00621836" w:rsidRPr="00EB2819" w:rsidRDefault="00621836" w:rsidP="00140865">
            <w:pPr>
              <w:pStyle w:val="BodyText"/>
              <w:rPr>
                <w:color w:val="000000" w:themeColor="text1"/>
              </w:rPr>
            </w:pPr>
            <w:r w:rsidRPr="00EB2819">
              <w:rPr>
                <w:color w:val="000000" w:themeColor="text1"/>
              </w:rPr>
              <w:t>Methadone for opioid substitution treatment was excluded from this indicator by removing records of dispensed methadone within three days of the previous dispensing.</w:t>
            </w:r>
          </w:p>
          <w:p w14:paraId="6398ADC5" w14:textId="77777777" w:rsidR="00621836" w:rsidRPr="00EB2819" w:rsidRDefault="00621836" w:rsidP="00140865">
            <w:pPr>
              <w:pStyle w:val="BodyText"/>
              <w:rPr>
                <w:color w:val="000000" w:themeColor="text1"/>
              </w:rPr>
            </w:pPr>
            <w:r w:rsidRPr="007E3173">
              <w:rPr>
                <w:b/>
                <w:bCs/>
                <w:color w:val="000000" w:themeColor="text1"/>
              </w:rPr>
              <w:t>Why this indicator is important</w:t>
            </w:r>
          </w:p>
          <w:p w14:paraId="734F5ADF" w14:textId="77777777" w:rsidR="00621836" w:rsidRPr="00EB2819" w:rsidRDefault="00621836" w:rsidP="00140865">
            <w:pPr>
              <w:pStyle w:val="BodyText"/>
              <w:rPr>
                <w:color w:val="000000" w:themeColor="text1"/>
              </w:rPr>
            </w:pPr>
            <w:r w:rsidRPr="00EB2819">
              <w:rPr>
                <w:color w:val="000000" w:themeColor="text1"/>
              </w:rPr>
              <w:t>The Institute for Healthcare Improvement (IHI) classifies opioids as one of four groups of medicines (along with anticoagulants, insulin and sedatives) that can cause harm to patients, even when used as intended.</w:t>
            </w:r>
          </w:p>
          <w:p w14:paraId="465E03F7" w14:textId="77777777" w:rsidR="00621836" w:rsidRPr="00E57A3E" w:rsidRDefault="00621836" w:rsidP="00140865">
            <w:pPr>
              <w:pStyle w:val="BodyText"/>
              <w:rPr>
                <w:b/>
                <w:bCs/>
                <w:color w:val="000000" w:themeColor="text1"/>
              </w:rPr>
            </w:pPr>
            <w:r w:rsidRPr="00E57A3E">
              <w:rPr>
                <w:b/>
                <w:bCs/>
                <w:color w:val="000000" w:themeColor="text1"/>
              </w:rPr>
              <w:t>What questions does this prompt?</w:t>
            </w:r>
          </w:p>
          <w:p w14:paraId="1FCAE463" w14:textId="77777777" w:rsidR="00621836" w:rsidRPr="00EB2819" w:rsidRDefault="00621836" w:rsidP="00140865">
            <w:pPr>
              <w:pStyle w:val="BodyText"/>
              <w:numPr>
                <w:ilvl w:val="0"/>
                <w:numId w:val="11"/>
              </w:numPr>
              <w:rPr>
                <w:color w:val="000000" w:themeColor="text1"/>
              </w:rPr>
            </w:pPr>
            <w:r w:rsidRPr="00EB2819">
              <w:rPr>
                <w:color w:val="000000" w:themeColor="text1"/>
              </w:rPr>
              <w:t>Why are some districts consistently lower or higher than the national mean?</w:t>
            </w:r>
          </w:p>
          <w:p w14:paraId="45A872A5" w14:textId="77777777" w:rsidR="00621836" w:rsidRPr="00EB2819" w:rsidRDefault="00621836" w:rsidP="00140865">
            <w:pPr>
              <w:pStyle w:val="BodyText"/>
              <w:numPr>
                <w:ilvl w:val="0"/>
                <w:numId w:val="11"/>
              </w:numPr>
              <w:rPr>
                <w:color w:val="000000" w:themeColor="text1"/>
              </w:rPr>
            </w:pPr>
            <w:r w:rsidRPr="00EB2819">
              <w:rPr>
                <w:color w:val="000000" w:themeColor="text1"/>
              </w:rPr>
              <w:t>How do similar districts compare?</w:t>
            </w:r>
          </w:p>
          <w:p w14:paraId="6A43051F" w14:textId="77777777" w:rsidR="00621836" w:rsidRPr="00EB2819" w:rsidRDefault="00621836" w:rsidP="00140865">
            <w:pPr>
              <w:pStyle w:val="TeThHauorabodytext"/>
              <w:numPr>
                <w:ilvl w:val="0"/>
                <w:numId w:val="11"/>
              </w:numPr>
            </w:pPr>
            <w:r w:rsidRPr="00EB2819">
              <w:rPr>
                <w:color w:val="000000" w:themeColor="text1"/>
              </w:rPr>
              <w:t>Why are there marked ethnic differences in the use of strong opioids?</w:t>
            </w:r>
          </w:p>
          <w:p w14:paraId="30F70031" w14:textId="51FA692A" w:rsidR="00621836" w:rsidRPr="00140865" w:rsidRDefault="00621836" w:rsidP="00140865">
            <w:pPr>
              <w:pStyle w:val="TeThHauorabodytext"/>
              <w:numPr>
                <w:ilvl w:val="0"/>
                <w:numId w:val="11"/>
              </w:numPr>
            </w:pPr>
            <w:r w:rsidRPr="00EB2819">
              <w:rPr>
                <w:color w:val="000000" w:themeColor="text1"/>
              </w:rPr>
              <w:lastRenderedPageBreak/>
              <w:t>How does increased strong opioid use relate to waiting times for elective surgeries? Would this explain district variation?</w:t>
            </w:r>
          </w:p>
        </w:tc>
      </w:tr>
    </w:tbl>
    <w:p w14:paraId="3BB36924" w14:textId="77777777" w:rsidR="00621836" w:rsidRPr="00A803A6" w:rsidRDefault="00621836" w:rsidP="00621836">
      <w:pPr>
        <w:rPr>
          <w:rFonts w:cs="Arial"/>
          <w:color w:val="000000" w:themeColor="text1"/>
        </w:rPr>
      </w:pPr>
    </w:p>
    <w:p w14:paraId="6CD563FD" w14:textId="77777777" w:rsidR="00621836" w:rsidRPr="00A803A6" w:rsidRDefault="00621836" w:rsidP="00621836">
      <w:pPr>
        <w:pStyle w:val="TeThHauorahead3"/>
        <w:numPr>
          <w:ilvl w:val="0"/>
          <w:numId w:val="12"/>
        </w:numPr>
        <w:tabs>
          <w:tab w:val="num" w:pos="360"/>
        </w:tabs>
        <w:rPr>
          <w:color w:val="000000" w:themeColor="text1"/>
        </w:rPr>
      </w:pPr>
      <w:bookmarkStart w:id="7" w:name="_Toc210140424"/>
      <w:r w:rsidRPr="00A803A6">
        <w:rPr>
          <w:color w:val="000000" w:themeColor="text1"/>
        </w:rPr>
        <w:t>People dispensed a ‘strong’ opioid for 6 weeks or more in a year</w:t>
      </w:r>
      <w:bookmarkEnd w:id="7"/>
    </w:p>
    <w:tbl>
      <w:tblPr>
        <w:tblW w:w="9351"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781"/>
        <w:gridCol w:w="7570"/>
      </w:tblGrid>
      <w:tr w:rsidR="00621836" w:rsidRPr="00A803A6" w14:paraId="0E67F744" w14:textId="77777777" w:rsidTr="003162C1">
        <w:trPr>
          <w:trHeight w:val="327"/>
        </w:trPr>
        <w:tc>
          <w:tcPr>
            <w:tcW w:w="1781" w:type="dxa"/>
          </w:tcPr>
          <w:p w14:paraId="5169DFEA" w14:textId="77777777" w:rsidR="00621836" w:rsidRPr="00A803A6" w:rsidRDefault="00621836" w:rsidP="003162C1">
            <w:pPr>
              <w:pStyle w:val="BodyText"/>
              <w:rPr>
                <w:b/>
                <w:bCs/>
                <w:color w:val="000000" w:themeColor="text1"/>
              </w:rPr>
            </w:pPr>
            <w:r w:rsidRPr="00A803A6">
              <w:rPr>
                <w:b/>
                <w:bCs/>
                <w:color w:val="000000" w:themeColor="text1"/>
              </w:rPr>
              <w:t>Indicator #2:</w:t>
            </w:r>
          </w:p>
        </w:tc>
        <w:tc>
          <w:tcPr>
            <w:tcW w:w="7570" w:type="dxa"/>
          </w:tcPr>
          <w:p w14:paraId="65BFE959" w14:textId="77777777" w:rsidR="00621836" w:rsidRPr="00A803A6" w:rsidRDefault="00621836" w:rsidP="003162C1">
            <w:pPr>
              <w:pStyle w:val="BodyText"/>
              <w:rPr>
                <w:color w:val="000000" w:themeColor="text1"/>
              </w:rPr>
            </w:pPr>
            <w:r w:rsidRPr="00A803A6">
              <w:rPr>
                <w:color w:val="000000" w:themeColor="text1"/>
              </w:rPr>
              <w:t>People dispensed a ‘strong’ opioid for 6 weeks or more in a year</w:t>
            </w:r>
          </w:p>
        </w:tc>
      </w:tr>
      <w:tr w:rsidR="00621836" w:rsidRPr="00A803A6" w14:paraId="5CA551B8" w14:textId="77777777" w:rsidTr="003162C1">
        <w:trPr>
          <w:trHeight w:val="327"/>
        </w:trPr>
        <w:tc>
          <w:tcPr>
            <w:tcW w:w="1781" w:type="dxa"/>
          </w:tcPr>
          <w:p w14:paraId="4585AFD0" w14:textId="77777777" w:rsidR="00621836" w:rsidRPr="00A803A6" w:rsidRDefault="00621836" w:rsidP="003162C1">
            <w:pPr>
              <w:pStyle w:val="BodyText"/>
              <w:rPr>
                <w:b/>
                <w:bCs/>
                <w:color w:val="000000" w:themeColor="text1"/>
              </w:rPr>
            </w:pPr>
            <w:r w:rsidRPr="00A803A6">
              <w:rPr>
                <w:b/>
                <w:bCs/>
                <w:color w:val="000000" w:themeColor="text1"/>
              </w:rPr>
              <w:t>Numerator</w:t>
            </w:r>
          </w:p>
        </w:tc>
        <w:tc>
          <w:tcPr>
            <w:tcW w:w="7570" w:type="dxa"/>
          </w:tcPr>
          <w:p w14:paraId="34B69CAC"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enrolled population who were dispensed a strong opioid for 6–12 weeks after the first dispensing during the calendar year</w:t>
            </w:r>
          </w:p>
        </w:tc>
      </w:tr>
      <w:tr w:rsidR="00621836" w:rsidRPr="00A803A6" w14:paraId="02E81FD3" w14:textId="77777777" w:rsidTr="003162C1">
        <w:trPr>
          <w:trHeight w:val="327"/>
        </w:trPr>
        <w:tc>
          <w:tcPr>
            <w:tcW w:w="1781" w:type="dxa"/>
          </w:tcPr>
          <w:p w14:paraId="4D3CD483" w14:textId="77777777" w:rsidR="00621836" w:rsidRPr="00A803A6" w:rsidRDefault="00621836" w:rsidP="003162C1">
            <w:pPr>
              <w:pStyle w:val="BodyText"/>
              <w:rPr>
                <w:b/>
                <w:bCs/>
                <w:color w:val="000000" w:themeColor="text1"/>
              </w:rPr>
            </w:pPr>
            <w:r w:rsidRPr="00A803A6">
              <w:rPr>
                <w:b/>
                <w:bCs/>
                <w:color w:val="000000" w:themeColor="text1"/>
              </w:rPr>
              <w:t>Denominator</w:t>
            </w:r>
          </w:p>
        </w:tc>
        <w:tc>
          <w:tcPr>
            <w:tcW w:w="7570" w:type="dxa"/>
            <w:vAlign w:val="bottom"/>
          </w:tcPr>
          <w:p w14:paraId="31B1892C"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enrolled population during the calendar year</w:t>
            </w:r>
          </w:p>
        </w:tc>
      </w:tr>
      <w:tr w:rsidR="00621836" w:rsidRPr="00A803A6" w14:paraId="6EF00E79" w14:textId="77777777" w:rsidTr="003162C1">
        <w:trPr>
          <w:trHeight w:val="327"/>
        </w:trPr>
        <w:tc>
          <w:tcPr>
            <w:tcW w:w="1781" w:type="dxa"/>
          </w:tcPr>
          <w:p w14:paraId="1E199608" w14:textId="77777777" w:rsidR="00621836" w:rsidRPr="00A803A6" w:rsidRDefault="00621836" w:rsidP="003162C1">
            <w:pPr>
              <w:pStyle w:val="BodyText"/>
              <w:rPr>
                <w:b/>
                <w:bCs/>
                <w:color w:val="000000" w:themeColor="text1"/>
              </w:rPr>
            </w:pPr>
            <w:r w:rsidRPr="00A803A6">
              <w:rPr>
                <w:b/>
                <w:bCs/>
                <w:color w:val="000000" w:themeColor="text1"/>
              </w:rPr>
              <w:t>Data source</w:t>
            </w:r>
          </w:p>
        </w:tc>
        <w:tc>
          <w:tcPr>
            <w:tcW w:w="7570" w:type="dxa"/>
            <w:vAlign w:val="bottom"/>
          </w:tcPr>
          <w:p w14:paraId="569D631C" w14:textId="77777777" w:rsidR="00621836" w:rsidRPr="00A803A6" w:rsidRDefault="00621836" w:rsidP="003162C1">
            <w:pPr>
              <w:pStyle w:val="BodyText"/>
              <w:rPr>
                <w:color w:val="000000" w:themeColor="text1"/>
              </w:rPr>
            </w:pPr>
            <w:r w:rsidRPr="00A803A6">
              <w:rPr>
                <w:color w:val="000000" w:themeColor="text1"/>
              </w:rPr>
              <w:t>Pharmaceutical Collection, PHO Enrolment Collection</w:t>
            </w:r>
          </w:p>
        </w:tc>
      </w:tr>
      <w:tr w:rsidR="00621836" w:rsidRPr="00A803A6" w14:paraId="51C41A7E" w14:textId="77777777" w:rsidTr="003162C1">
        <w:trPr>
          <w:trHeight w:val="327"/>
        </w:trPr>
        <w:tc>
          <w:tcPr>
            <w:tcW w:w="1781" w:type="dxa"/>
          </w:tcPr>
          <w:p w14:paraId="0A6827FA" w14:textId="77777777" w:rsidR="00621836" w:rsidRPr="00A803A6" w:rsidRDefault="00621836" w:rsidP="003162C1">
            <w:pPr>
              <w:pStyle w:val="BodyText"/>
              <w:rPr>
                <w:b/>
                <w:bCs/>
                <w:color w:val="000000" w:themeColor="text1"/>
              </w:rPr>
            </w:pPr>
            <w:r w:rsidRPr="00A803A6">
              <w:rPr>
                <w:b/>
                <w:bCs/>
                <w:color w:val="000000" w:themeColor="text1"/>
              </w:rPr>
              <w:t>Analysis</w:t>
            </w:r>
          </w:p>
        </w:tc>
        <w:tc>
          <w:tcPr>
            <w:tcW w:w="7570" w:type="dxa"/>
            <w:vAlign w:val="bottom"/>
          </w:tcPr>
          <w:p w14:paraId="58D26A93" w14:textId="77777777" w:rsidR="00621836" w:rsidRPr="00A803A6" w:rsidRDefault="00621836" w:rsidP="003162C1">
            <w:pPr>
              <w:pStyle w:val="BodyText"/>
              <w:rPr>
                <w:color w:val="000000" w:themeColor="text1"/>
              </w:rPr>
            </w:pPr>
            <w:r w:rsidRPr="00A803A6">
              <w:rPr>
                <w:color w:val="000000" w:themeColor="text1"/>
              </w:rPr>
              <w:t xml:space="preserve">District analysis: By year (2019 –2023), age group (0–24, 25–64; 65–79 and 80 and over), gender (female, male), ethnic group (Māori, Pacific peoples, </w:t>
            </w:r>
            <w:r>
              <w:rPr>
                <w:color w:val="000000" w:themeColor="text1"/>
              </w:rPr>
              <w:t xml:space="preserve">Asian and </w:t>
            </w:r>
            <w:r w:rsidRPr="00A803A6">
              <w:rPr>
                <w:color w:val="000000" w:themeColor="text1"/>
              </w:rPr>
              <w:t>European/Other) and Health New Zealand district of domicile.</w:t>
            </w:r>
          </w:p>
          <w:p w14:paraId="1B4F718E" w14:textId="77777777" w:rsidR="00621836" w:rsidRPr="00A803A6" w:rsidRDefault="00621836" w:rsidP="003162C1">
            <w:pPr>
              <w:pStyle w:val="BodyText"/>
              <w:rPr>
                <w:color w:val="000000" w:themeColor="text1"/>
              </w:rPr>
            </w:pPr>
            <w:r w:rsidRPr="00A803A6">
              <w:rPr>
                <w:color w:val="000000" w:themeColor="text1"/>
              </w:rPr>
              <w:t>PHO analysis: By year (2023), age group, gender, ethnic group, Primary Health Organisation (PHO) most recently enrolled with (for the relevant year), PHO group (small, medium, medium-large and large).</w:t>
            </w:r>
          </w:p>
        </w:tc>
      </w:tr>
      <w:tr w:rsidR="00621836" w:rsidRPr="00A803A6" w14:paraId="292F2868" w14:textId="77777777" w:rsidTr="003162C1">
        <w:trPr>
          <w:trHeight w:val="327"/>
        </w:trPr>
        <w:tc>
          <w:tcPr>
            <w:tcW w:w="1781" w:type="dxa"/>
          </w:tcPr>
          <w:p w14:paraId="6B393FAB" w14:textId="77777777" w:rsidR="00621836" w:rsidRPr="00A803A6" w:rsidRDefault="00621836" w:rsidP="003162C1">
            <w:pPr>
              <w:pStyle w:val="BodyText"/>
              <w:rPr>
                <w:b/>
                <w:bCs/>
                <w:color w:val="000000" w:themeColor="text1"/>
              </w:rPr>
            </w:pPr>
            <w:r w:rsidRPr="00A803A6">
              <w:rPr>
                <w:b/>
                <w:bCs/>
                <w:color w:val="000000" w:themeColor="text1"/>
              </w:rPr>
              <w:t>Inclusions</w:t>
            </w:r>
          </w:p>
        </w:tc>
        <w:tc>
          <w:tcPr>
            <w:tcW w:w="7570" w:type="dxa"/>
          </w:tcPr>
          <w:p w14:paraId="0E4C728B" w14:textId="77777777" w:rsidR="00621836" w:rsidRPr="00A803A6" w:rsidRDefault="00621836" w:rsidP="003162C1">
            <w:pPr>
              <w:pStyle w:val="BodyText"/>
              <w:rPr>
                <w:color w:val="000000" w:themeColor="text1"/>
              </w:rPr>
            </w:pPr>
            <w:r w:rsidRPr="00A803A6">
              <w:rPr>
                <w:color w:val="000000" w:themeColor="text1"/>
              </w:rPr>
              <w:t>Date between first dispensing in a year and any subsequent dispensing to be greater than or equal to six weeks and not more than 12 weeks.</w:t>
            </w:r>
          </w:p>
          <w:p w14:paraId="25D2F5DF" w14:textId="77777777" w:rsidR="00621836" w:rsidRPr="00A803A6" w:rsidRDefault="00621836" w:rsidP="003162C1">
            <w:pPr>
              <w:pStyle w:val="BodyText"/>
              <w:rPr>
                <w:color w:val="000000" w:themeColor="text1"/>
              </w:rPr>
            </w:pPr>
            <w:r w:rsidRPr="00A803A6">
              <w:rPr>
                <w:color w:val="000000" w:themeColor="text1"/>
              </w:rPr>
              <w:t xml:space="preserve">Only </w:t>
            </w:r>
            <w:proofErr w:type="spellStart"/>
            <w:r w:rsidRPr="00A803A6">
              <w:rPr>
                <w:color w:val="000000" w:themeColor="text1"/>
              </w:rPr>
              <w:t>dispensings</w:t>
            </w:r>
            <w:proofErr w:type="spellEnd"/>
            <w:r w:rsidRPr="00A803A6">
              <w:rPr>
                <w:color w:val="000000" w:themeColor="text1"/>
              </w:rPr>
              <w:t xml:space="preserve"> in the same calendar year were included. The year was truncated at mid-November, </w:t>
            </w:r>
            <w:proofErr w:type="spellStart"/>
            <w:r w:rsidRPr="00A803A6">
              <w:rPr>
                <w:color w:val="000000" w:themeColor="text1"/>
              </w:rPr>
              <w:t>ie</w:t>
            </w:r>
            <w:proofErr w:type="spellEnd"/>
            <w:r w:rsidRPr="00A803A6">
              <w:rPr>
                <w:color w:val="000000" w:themeColor="text1"/>
              </w:rPr>
              <w:t xml:space="preserve">, first </w:t>
            </w:r>
            <w:proofErr w:type="spellStart"/>
            <w:r w:rsidRPr="00A803A6">
              <w:rPr>
                <w:color w:val="000000" w:themeColor="text1"/>
              </w:rPr>
              <w:t>dispensings</w:t>
            </w:r>
            <w:proofErr w:type="spellEnd"/>
            <w:r w:rsidRPr="00A803A6">
              <w:rPr>
                <w:color w:val="000000" w:themeColor="text1"/>
              </w:rPr>
              <w:t xml:space="preserve"> from mid-November to 31 December were excluded as they would not meet the criteria of a subsequent dispensing 6–12 weeks after the first.</w:t>
            </w:r>
          </w:p>
        </w:tc>
      </w:tr>
      <w:tr w:rsidR="00621836" w:rsidRPr="00A803A6" w14:paraId="4D32C92C" w14:textId="77777777" w:rsidTr="003162C1">
        <w:trPr>
          <w:trHeight w:val="327"/>
        </w:trPr>
        <w:tc>
          <w:tcPr>
            <w:tcW w:w="1781" w:type="dxa"/>
          </w:tcPr>
          <w:p w14:paraId="112DE0B2" w14:textId="77777777" w:rsidR="00621836" w:rsidRPr="00A803A6" w:rsidRDefault="00621836" w:rsidP="003162C1">
            <w:pPr>
              <w:pStyle w:val="BodyText"/>
              <w:rPr>
                <w:b/>
                <w:bCs/>
                <w:color w:val="000000" w:themeColor="text1"/>
              </w:rPr>
            </w:pPr>
            <w:r w:rsidRPr="00A803A6">
              <w:rPr>
                <w:b/>
                <w:bCs/>
                <w:color w:val="000000" w:themeColor="text1"/>
              </w:rPr>
              <w:br w:type="page"/>
              <w:t>Exclusions</w:t>
            </w:r>
          </w:p>
        </w:tc>
        <w:tc>
          <w:tcPr>
            <w:tcW w:w="7570" w:type="dxa"/>
          </w:tcPr>
          <w:p w14:paraId="2811C802" w14:textId="77777777" w:rsidR="00621836" w:rsidRPr="00A803A6" w:rsidRDefault="00621836" w:rsidP="003162C1">
            <w:pPr>
              <w:pStyle w:val="BodyText"/>
              <w:rPr>
                <w:color w:val="000000" w:themeColor="text1"/>
              </w:rPr>
            </w:pPr>
            <w:r w:rsidRPr="00A803A6">
              <w:rPr>
                <w:color w:val="000000" w:themeColor="text1"/>
              </w:rPr>
              <w:t>Opioid substitution treatment was excluded by identifying people dispensed methadone every first, second or third day.</w:t>
            </w:r>
          </w:p>
        </w:tc>
      </w:tr>
      <w:tr w:rsidR="00621836" w:rsidRPr="00A803A6" w14:paraId="2998FDD6" w14:textId="77777777" w:rsidTr="003162C1">
        <w:trPr>
          <w:trHeight w:val="558"/>
        </w:trPr>
        <w:tc>
          <w:tcPr>
            <w:tcW w:w="1781" w:type="dxa"/>
          </w:tcPr>
          <w:p w14:paraId="305C6BA9" w14:textId="77777777" w:rsidR="00621836" w:rsidRPr="00A803A6" w:rsidRDefault="00621836" w:rsidP="003162C1">
            <w:pPr>
              <w:pStyle w:val="BodyText"/>
              <w:rPr>
                <w:b/>
                <w:bCs/>
                <w:color w:val="000000" w:themeColor="text1"/>
              </w:rPr>
            </w:pPr>
            <w:r w:rsidRPr="00A803A6">
              <w:rPr>
                <w:b/>
                <w:bCs/>
                <w:color w:val="000000" w:themeColor="text1"/>
              </w:rPr>
              <w:t>Medication</w:t>
            </w:r>
          </w:p>
        </w:tc>
        <w:tc>
          <w:tcPr>
            <w:tcW w:w="7570" w:type="dxa"/>
          </w:tcPr>
          <w:p w14:paraId="649B0198" w14:textId="77777777" w:rsidR="00621836" w:rsidRPr="00A803A6" w:rsidRDefault="00621836" w:rsidP="003162C1">
            <w:pPr>
              <w:pStyle w:val="BodyText"/>
              <w:rPr>
                <w:color w:val="000000" w:themeColor="text1"/>
              </w:rPr>
            </w:pPr>
            <w:r w:rsidRPr="00A803A6">
              <w:rPr>
                <w:color w:val="000000" w:themeColor="text1"/>
              </w:rPr>
              <w:t>1274 Fentanyl citrate; 1795 Methadone hydrochloride; 1830 Morphine hydrochloride; 1831 Morphine sulphate; 2383 Morphine tartrate; 3801 Fentanyl; 3822 Oxycodone hydrochloride; 3896 Fentanyl citrate; 1953 Pethidine hydrochloride</w:t>
            </w:r>
          </w:p>
        </w:tc>
      </w:tr>
      <w:tr w:rsidR="00621836" w:rsidRPr="00A803A6" w14:paraId="7C28101F" w14:textId="77777777" w:rsidTr="003162C1">
        <w:trPr>
          <w:trHeight w:val="558"/>
        </w:trPr>
        <w:tc>
          <w:tcPr>
            <w:tcW w:w="1781" w:type="dxa"/>
          </w:tcPr>
          <w:p w14:paraId="6D4EB782" w14:textId="77777777" w:rsidR="00621836" w:rsidRPr="00A803A6" w:rsidRDefault="00621836" w:rsidP="003162C1">
            <w:pPr>
              <w:pStyle w:val="BodyText"/>
              <w:rPr>
                <w:b/>
                <w:bCs/>
                <w:color w:val="000000" w:themeColor="text1"/>
              </w:rPr>
            </w:pPr>
            <w:r w:rsidRPr="00A803A6">
              <w:rPr>
                <w:b/>
                <w:bCs/>
                <w:color w:val="000000" w:themeColor="text1"/>
              </w:rPr>
              <w:t>Commentary</w:t>
            </w:r>
          </w:p>
        </w:tc>
        <w:tc>
          <w:tcPr>
            <w:tcW w:w="7570" w:type="dxa"/>
          </w:tcPr>
          <w:p w14:paraId="7FE2DBFA" w14:textId="77777777" w:rsidR="00621836" w:rsidRPr="00A803A6" w:rsidRDefault="00621836" w:rsidP="00140865">
            <w:pPr>
              <w:pStyle w:val="BodyText"/>
              <w:spacing w:after="0"/>
              <w:rPr>
                <w:color w:val="000000" w:themeColor="text1"/>
              </w:rPr>
            </w:pPr>
            <w:r w:rsidRPr="00A803A6">
              <w:rPr>
                <w:color w:val="000000" w:themeColor="text1"/>
              </w:rPr>
              <w:t>Description: People dispensed a strong opioid for 6 weeks or more in a year.</w:t>
            </w:r>
          </w:p>
          <w:p w14:paraId="3D1DF96F" w14:textId="77777777" w:rsidR="00621836" w:rsidRDefault="00621836" w:rsidP="00140865">
            <w:pPr>
              <w:pStyle w:val="BodyText"/>
              <w:spacing w:before="240" w:after="0"/>
              <w:rPr>
                <w:color w:val="000000" w:themeColor="text1"/>
              </w:rPr>
            </w:pPr>
            <w:r w:rsidRPr="00EB2819">
              <w:rPr>
                <w:color w:val="000000" w:themeColor="text1"/>
              </w:rPr>
              <w:t xml:space="preserve">This indicator shows the number and rate per 1,000 of </w:t>
            </w:r>
            <w:r>
              <w:rPr>
                <w:color w:val="000000" w:themeColor="text1"/>
              </w:rPr>
              <w:t xml:space="preserve">the </w:t>
            </w:r>
            <w:r w:rsidRPr="00EB2819">
              <w:rPr>
                <w:color w:val="000000" w:themeColor="text1"/>
              </w:rPr>
              <w:t xml:space="preserve">PHO-enrolled population who had a strong opioid </w:t>
            </w:r>
            <w:r>
              <w:rPr>
                <w:color w:val="000000" w:themeColor="text1"/>
              </w:rPr>
              <w:t xml:space="preserve">dispensed to them by a community pharmacy over </w:t>
            </w:r>
            <w:r w:rsidRPr="00EB2819">
              <w:rPr>
                <w:color w:val="000000" w:themeColor="text1"/>
              </w:rPr>
              <w:t>six weeks or more</w:t>
            </w:r>
            <w:r>
              <w:rPr>
                <w:color w:val="000000" w:themeColor="text1"/>
              </w:rPr>
              <w:t>,</w:t>
            </w:r>
            <w:r w:rsidRPr="00EB2819">
              <w:rPr>
                <w:color w:val="000000" w:themeColor="text1"/>
              </w:rPr>
              <w:t xml:space="preserve"> </w:t>
            </w:r>
            <w:r>
              <w:rPr>
                <w:color w:val="000000" w:themeColor="text1"/>
              </w:rPr>
              <w:t>between 2019 and 2023</w:t>
            </w:r>
            <w:r w:rsidRPr="00EB2819">
              <w:rPr>
                <w:color w:val="000000" w:themeColor="text1"/>
              </w:rPr>
              <w:t xml:space="preserve">. </w:t>
            </w:r>
          </w:p>
          <w:p w14:paraId="41F6FBA7" w14:textId="77777777" w:rsidR="00621836" w:rsidRPr="00EB2819" w:rsidRDefault="00621836" w:rsidP="00140865">
            <w:pPr>
              <w:pStyle w:val="BodyText"/>
              <w:spacing w:before="240" w:after="0"/>
              <w:rPr>
                <w:color w:val="000000" w:themeColor="text1"/>
              </w:rPr>
            </w:pPr>
            <w:r w:rsidRPr="00EB2819">
              <w:rPr>
                <w:color w:val="000000" w:themeColor="text1"/>
              </w:rPr>
              <w:t xml:space="preserve">To ensure that continuous use was captured, </w:t>
            </w:r>
            <w:r>
              <w:rPr>
                <w:color w:val="000000" w:themeColor="text1"/>
              </w:rPr>
              <w:t>we included strong opioids</w:t>
            </w:r>
            <w:r w:rsidRPr="00EB2819">
              <w:rPr>
                <w:color w:val="000000" w:themeColor="text1"/>
              </w:rPr>
              <w:t xml:space="preserve"> </w:t>
            </w:r>
            <w:r>
              <w:rPr>
                <w:color w:val="000000" w:themeColor="text1"/>
              </w:rPr>
              <w:t xml:space="preserve">that were dispensed </w:t>
            </w:r>
            <w:r w:rsidRPr="00EB2819">
              <w:rPr>
                <w:color w:val="000000" w:themeColor="text1"/>
              </w:rPr>
              <w:t>within 6</w:t>
            </w:r>
            <w:r>
              <w:rPr>
                <w:color w:val="000000" w:themeColor="text1"/>
              </w:rPr>
              <w:t xml:space="preserve"> to </w:t>
            </w:r>
            <w:r w:rsidRPr="00EB2819">
              <w:rPr>
                <w:color w:val="000000" w:themeColor="text1"/>
              </w:rPr>
              <w:t xml:space="preserve">12 weeks in the same calendar year. This means the year is truncated at mid-November; </w:t>
            </w:r>
            <w:proofErr w:type="gramStart"/>
            <w:r>
              <w:rPr>
                <w:color w:val="000000" w:themeColor="text1"/>
              </w:rPr>
              <w:t>so</w:t>
            </w:r>
            <w:proofErr w:type="gramEnd"/>
            <w:r>
              <w:rPr>
                <w:color w:val="000000" w:themeColor="text1"/>
              </w:rPr>
              <w:t xml:space="preserve"> the first time a strong opioid was dispensed </w:t>
            </w:r>
            <w:r w:rsidRPr="00EB2819">
              <w:rPr>
                <w:color w:val="000000" w:themeColor="text1"/>
              </w:rPr>
              <w:t xml:space="preserve">after mid-November </w:t>
            </w:r>
            <w:r>
              <w:rPr>
                <w:color w:val="000000" w:themeColor="text1"/>
              </w:rPr>
              <w:t>is</w:t>
            </w:r>
            <w:r w:rsidRPr="00EB2819">
              <w:rPr>
                <w:color w:val="000000" w:themeColor="text1"/>
              </w:rPr>
              <w:t xml:space="preserve"> not included. </w:t>
            </w:r>
          </w:p>
          <w:p w14:paraId="3B2117D3" w14:textId="77777777" w:rsidR="00621836" w:rsidRDefault="00621836" w:rsidP="00140865">
            <w:pPr>
              <w:spacing w:after="0"/>
            </w:pPr>
            <w:r w:rsidRPr="002D503B">
              <w:lastRenderedPageBreak/>
              <w:t>A ‘strong’ opioid is classed as step 3 of the World Health Organi</w:t>
            </w:r>
            <w:r>
              <w:t>z</w:t>
            </w:r>
            <w:r w:rsidRPr="002D503B">
              <w:t>ation</w:t>
            </w:r>
            <w:r>
              <w:t>’s</w:t>
            </w:r>
            <w:r w:rsidRPr="002D503B">
              <w:t xml:space="preserve"> (WHO) analgesic ladder. </w:t>
            </w:r>
            <w:r>
              <w:t>This includes</w:t>
            </w:r>
            <w:r w:rsidRPr="002D503B">
              <w:t xml:space="preserve"> fentanyl, methadone, morphine, oxycodone and pethidine</w:t>
            </w:r>
            <w:r>
              <w:t>. These opioids are subsidised in New Zealand</w:t>
            </w:r>
            <w:r w:rsidRPr="002D503B">
              <w:t>.</w:t>
            </w:r>
          </w:p>
          <w:p w14:paraId="7F9BD18A" w14:textId="77777777" w:rsidR="00621836" w:rsidRPr="00EB2819" w:rsidRDefault="00621836" w:rsidP="00140865">
            <w:pPr>
              <w:pStyle w:val="BodyText"/>
              <w:spacing w:before="240" w:after="0"/>
              <w:rPr>
                <w:color w:val="000000" w:themeColor="text1"/>
              </w:rPr>
            </w:pPr>
            <w:r w:rsidRPr="00EB2819">
              <w:rPr>
                <w:color w:val="000000" w:themeColor="text1"/>
              </w:rPr>
              <w:t>Methadone for opioid substitution treatment was excluded from this indicator by removing records dispensed methadone within three days of the previous dispensing.</w:t>
            </w:r>
          </w:p>
          <w:p w14:paraId="17C29DCF" w14:textId="77777777" w:rsidR="00621836" w:rsidRPr="00475F68" w:rsidRDefault="00621836" w:rsidP="00140865">
            <w:pPr>
              <w:pStyle w:val="BodyText"/>
              <w:spacing w:before="240" w:after="0"/>
              <w:rPr>
                <w:b/>
                <w:bCs/>
                <w:color w:val="000000" w:themeColor="text1"/>
              </w:rPr>
            </w:pPr>
            <w:r w:rsidRPr="00475F68">
              <w:rPr>
                <w:b/>
                <w:bCs/>
                <w:color w:val="000000" w:themeColor="text1"/>
              </w:rPr>
              <w:t xml:space="preserve">Why this indicator is important </w:t>
            </w:r>
          </w:p>
          <w:p w14:paraId="5751179E" w14:textId="5755ED38" w:rsidR="00140865" w:rsidRPr="00EB2819" w:rsidRDefault="00621836" w:rsidP="00140865">
            <w:pPr>
              <w:pStyle w:val="BodyText"/>
              <w:spacing w:before="240"/>
              <w:rPr>
                <w:color w:val="000000" w:themeColor="text1"/>
              </w:rPr>
            </w:pPr>
            <w:r w:rsidRPr="00EB2819">
              <w:rPr>
                <w:color w:val="000000" w:themeColor="text1"/>
              </w:rPr>
              <w:t xml:space="preserve">The Institute for Healthcare Improvement </w:t>
            </w:r>
            <w:r>
              <w:rPr>
                <w:color w:val="000000" w:themeColor="text1"/>
              </w:rPr>
              <w:t>(</w:t>
            </w:r>
            <w:r w:rsidRPr="00EB2819">
              <w:rPr>
                <w:color w:val="000000" w:themeColor="text1"/>
              </w:rPr>
              <w:t>IHI</w:t>
            </w:r>
            <w:r>
              <w:rPr>
                <w:color w:val="000000" w:themeColor="text1"/>
              </w:rPr>
              <w:t>)</w:t>
            </w:r>
            <w:r w:rsidRPr="00EB2819">
              <w:rPr>
                <w:color w:val="000000" w:themeColor="text1"/>
              </w:rPr>
              <w:t xml:space="preserve"> classifies opioids as one of four groups of medicines (along with anticoagulants, insulin and sedatives) that can cause harm to patients, even when used as intended. Except in </w:t>
            </w:r>
            <w:r>
              <w:rPr>
                <w:color w:val="000000" w:themeColor="text1"/>
              </w:rPr>
              <w:t>some</w:t>
            </w:r>
            <w:r w:rsidRPr="00EB2819">
              <w:rPr>
                <w:color w:val="000000" w:themeColor="text1"/>
              </w:rPr>
              <w:t xml:space="preserve"> circumstances, strong opioids are intended for short-term use only, with use for six weeks or more raising questions of appropriateness.</w:t>
            </w:r>
          </w:p>
          <w:p w14:paraId="748CA7C9" w14:textId="77777777" w:rsidR="00621836" w:rsidRPr="003162C1" w:rsidRDefault="00621836" w:rsidP="00140865">
            <w:pPr>
              <w:pStyle w:val="BodyText"/>
              <w:rPr>
                <w:b/>
                <w:bCs/>
                <w:color w:val="000000" w:themeColor="text1"/>
              </w:rPr>
            </w:pPr>
            <w:r w:rsidRPr="003162C1">
              <w:rPr>
                <w:b/>
                <w:bCs/>
                <w:color w:val="000000" w:themeColor="text1"/>
              </w:rPr>
              <w:t>What questions does this prompt?</w:t>
            </w:r>
          </w:p>
          <w:p w14:paraId="530DCAF8" w14:textId="77777777" w:rsidR="00621836" w:rsidRPr="00EB2819" w:rsidRDefault="00621836" w:rsidP="00140865">
            <w:pPr>
              <w:pStyle w:val="BodyText"/>
              <w:numPr>
                <w:ilvl w:val="0"/>
                <w:numId w:val="13"/>
              </w:numPr>
              <w:rPr>
                <w:color w:val="000000" w:themeColor="text1"/>
              </w:rPr>
            </w:pPr>
            <w:r w:rsidRPr="00EB2819">
              <w:rPr>
                <w:color w:val="000000" w:themeColor="text1"/>
              </w:rPr>
              <w:t>Why are some districts consistently lower or higher than the national mean?</w:t>
            </w:r>
          </w:p>
          <w:p w14:paraId="53307D29" w14:textId="77777777" w:rsidR="00621836" w:rsidRPr="00EB2819" w:rsidRDefault="00621836" w:rsidP="00140865">
            <w:pPr>
              <w:pStyle w:val="BodyText"/>
              <w:numPr>
                <w:ilvl w:val="0"/>
                <w:numId w:val="13"/>
              </w:numPr>
              <w:rPr>
                <w:color w:val="000000" w:themeColor="text1"/>
              </w:rPr>
            </w:pPr>
            <w:r w:rsidRPr="00EB2819">
              <w:rPr>
                <w:color w:val="000000" w:themeColor="text1"/>
              </w:rPr>
              <w:t>How do similar districts compare?</w:t>
            </w:r>
          </w:p>
          <w:p w14:paraId="063E6B69" w14:textId="77777777" w:rsidR="00621836" w:rsidRPr="00EB2819" w:rsidRDefault="00621836" w:rsidP="00140865">
            <w:pPr>
              <w:pStyle w:val="BodyText"/>
              <w:numPr>
                <w:ilvl w:val="0"/>
                <w:numId w:val="13"/>
              </w:numPr>
              <w:rPr>
                <w:color w:val="000000" w:themeColor="text1"/>
              </w:rPr>
            </w:pPr>
            <w:r w:rsidRPr="00EB2819">
              <w:rPr>
                <w:color w:val="000000" w:themeColor="text1"/>
              </w:rPr>
              <w:t>Why are there marked ethnic differences in the use of strong opioids?</w:t>
            </w:r>
          </w:p>
          <w:p w14:paraId="23AB42A2" w14:textId="77777777" w:rsidR="00621836" w:rsidRPr="00F342FA" w:rsidRDefault="00621836" w:rsidP="00140865">
            <w:pPr>
              <w:pStyle w:val="BodyText"/>
              <w:numPr>
                <w:ilvl w:val="0"/>
                <w:numId w:val="13"/>
              </w:numPr>
              <w:rPr>
                <w:color w:val="000000" w:themeColor="text1"/>
              </w:rPr>
            </w:pPr>
            <w:r w:rsidRPr="00EB2819">
              <w:rPr>
                <w:color w:val="000000" w:themeColor="text1"/>
              </w:rPr>
              <w:t>How does increased strong opioid use relate to waiting times for elective surgeries? Would this explain district variation?</w:t>
            </w:r>
          </w:p>
        </w:tc>
      </w:tr>
    </w:tbl>
    <w:p w14:paraId="27FF7C36" w14:textId="77777777" w:rsidR="00621836" w:rsidRPr="00A803A6" w:rsidRDefault="00621836" w:rsidP="00621836">
      <w:pPr>
        <w:rPr>
          <w:rFonts w:cs="Arial"/>
          <w:color w:val="000000" w:themeColor="text1"/>
        </w:rPr>
      </w:pPr>
    </w:p>
    <w:p w14:paraId="0F4CDC57" w14:textId="77777777" w:rsidR="00621836" w:rsidRPr="00A803A6" w:rsidRDefault="00621836" w:rsidP="00621836">
      <w:pPr>
        <w:pStyle w:val="Heading3"/>
        <w:numPr>
          <w:ilvl w:val="0"/>
          <w:numId w:val="12"/>
        </w:numPr>
        <w:tabs>
          <w:tab w:val="num" w:pos="360"/>
        </w:tabs>
        <w:rPr>
          <w:rFonts w:cs="Arial"/>
          <w:color w:val="000000" w:themeColor="text1"/>
        </w:rPr>
      </w:pPr>
      <w:bookmarkStart w:id="8" w:name="_Toc210140425"/>
      <w:r w:rsidRPr="00A803A6">
        <w:rPr>
          <w:color w:val="000000" w:themeColor="text1"/>
        </w:rPr>
        <w:t xml:space="preserve">People dispensed weak opioid medicines </w:t>
      </w:r>
      <w:r>
        <w:rPr>
          <w:color w:val="000000" w:themeColor="text1"/>
        </w:rPr>
        <w:t xml:space="preserve">one or more times </w:t>
      </w:r>
      <w:r w:rsidRPr="00A803A6">
        <w:rPr>
          <w:color w:val="000000" w:themeColor="text1"/>
        </w:rPr>
        <w:t>in a year</w:t>
      </w:r>
      <w:bookmarkEnd w:id="8"/>
    </w:p>
    <w:tbl>
      <w:tblPr>
        <w:tblW w:w="9351"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781"/>
        <w:gridCol w:w="7570"/>
      </w:tblGrid>
      <w:tr w:rsidR="00621836" w:rsidRPr="00A803A6" w14:paraId="7A5E1D42" w14:textId="77777777" w:rsidTr="003162C1">
        <w:trPr>
          <w:trHeight w:val="327"/>
        </w:trPr>
        <w:tc>
          <w:tcPr>
            <w:tcW w:w="1781" w:type="dxa"/>
            <w:vAlign w:val="center"/>
          </w:tcPr>
          <w:p w14:paraId="12ADBC57" w14:textId="77777777" w:rsidR="00621836" w:rsidRPr="00A803A6" w:rsidRDefault="00621836" w:rsidP="003162C1">
            <w:pPr>
              <w:pStyle w:val="BodyText"/>
              <w:rPr>
                <w:b/>
                <w:bCs/>
                <w:color w:val="000000" w:themeColor="text1"/>
              </w:rPr>
            </w:pPr>
            <w:r w:rsidRPr="00A803A6">
              <w:rPr>
                <w:b/>
                <w:bCs/>
                <w:color w:val="000000" w:themeColor="text1"/>
              </w:rPr>
              <w:t>Indicator #3:</w:t>
            </w:r>
          </w:p>
        </w:tc>
        <w:tc>
          <w:tcPr>
            <w:tcW w:w="7570" w:type="dxa"/>
            <w:vAlign w:val="center"/>
          </w:tcPr>
          <w:p w14:paraId="2E1F1B11" w14:textId="77777777" w:rsidR="00621836" w:rsidRPr="00A803A6" w:rsidRDefault="00621836" w:rsidP="003162C1">
            <w:pPr>
              <w:pStyle w:val="BodyText"/>
              <w:rPr>
                <w:color w:val="000000" w:themeColor="text1"/>
              </w:rPr>
            </w:pPr>
            <w:r w:rsidRPr="00A803A6">
              <w:rPr>
                <w:bCs/>
                <w:color w:val="000000" w:themeColor="text1"/>
              </w:rPr>
              <w:t>People dispensed one or more weak opioid medicines in a year</w:t>
            </w:r>
          </w:p>
        </w:tc>
      </w:tr>
      <w:tr w:rsidR="00621836" w:rsidRPr="00A803A6" w14:paraId="203EF446" w14:textId="77777777" w:rsidTr="003162C1">
        <w:trPr>
          <w:trHeight w:val="327"/>
        </w:trPr>
        <w:tc>
          <w:tcPr>
            <w:tcW w:w="1781" w:type="dxa"/>
          </w:tcPr>
          <w:p w14:paraId="07957520" w14:textId="77777777" w:rsidR="00621836" w:rsidRPr="00A803A6" w:rsidRDefault="00621836" w:rsidP="003162C1">
            <w:pPr>
              <w:pStyle w:val="BodyText"/>
              <w:rPr>
                <w:b/>
                <w:bCs/>
                <w:color w:val="000000" w:themeColor="text1"/>
              </w:rPr>
            </w:pPr>
            <w:r w:rsidRPr="00A803A6">
              <w:rPr>
                <w:b/>
                <w:bCs/>
                <w:color w:val="000000" w:themeColor="text1"/>
              </w:rPr>
              <w:t>Numerator</w:t>
            </w:r>
          </w:p>
        </w:tc>
        <w:tc>
          <w:tcPr>
            <w:tcW w:w="7570" w:type="dxa"/>
            <w:vAlign w:val="bottom"/>
          </w:tcPr>
          <w:p w14:paraId="0BBB01C1"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enrolled population who were dispensed a weak opiate during the calendar year</w:t>
            </w:r>
          </w:p>
        </w:tc>
      </w:tr>
      <w:tr w:rsidR="00621836" w:rsidRPr="00A803A6" w14:paraId="031C5C0C" w14:textId="77777777" w:rsidTr="003162C1">
        <w:trPr>
          <w:trHeight w:val="327"/>
        </w:trPr>
        <w:tc>
          <w:tcPr>
            <w:tcW w:w="1781" w:type="dxa"/>
          </w:tcPr>
          <w:p w14:paraId="2A2DECE2" w14:textId="77777777" w:rsidR="00621836" w:rsidRPr="00A803A6" w:rsidRDefault="00621836" w:rsidP="003162C1">
            <w:pPr>
              <w:pStyle w:val="BodyText"/>
              <w:rPr>
                <w:b/>
                <w:bCs/>
                <w:color w:val="000000" w:themeColor="text1"/>
              </w:rPr>
            </w:pPr>
            <w:r w:rsidRPr="00A803A6">
              <w:rPr>
                <w:b/>
                <w:bCs/>
                <w:color w:val="000000" w:themeColor="text1"/>
              </w:rPr>
              <w:t>Denominator</w:t>
            </w:r>
          </w:p>
        </w:tc>
        <w:tc>
          <w:tcPr>
            <w:tcW w:w="7570" w:type="dxa"/>
            <w:vAlign w:val="bottom"/>
          </w:tcPr>
          <w:p w14:paraId="3EE57092"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enrolled population during the calendar year</w:t>
            </w:r>
          </w:p>
        </w:tc>
      </w:tr>
      <w:tr w:rsidR="00621836" w:rsidRPr="00A803A6" w14:paraId="2FA828DA" w14:textId="77777777" w:rsidTr="003162C1">
        <w:trPr>
          <w:trHeight w:val="327"/>
        </w:trPr>
        <w:tc>
          <w:tcPr>
            <w:tcW w:w="1781" w:type="dxa"/>
          </w:tcPr>
          <w:p w14:paraId="7203E504" w14:textId="77777777" w:rsidR="00621836" w:rsidRPr="00A803A6" w:rsidRDefault="00621836" w:rsidP="003162C1">
            <w:pPr>
              <w:pStyle w:val="BodyText"/>
              <w:rPr>
                <w:b/>
                <w:bCs/>
                <w:color w:val="000000" w:themeColor="text1"/>
              </w:rPr>
            </w:pPr>
            <w:r w:rsidRPr="00A803A6">
              <w:rPr>
                <w:b/>
                <w:bCs/>
                <w:color w:val="000000" w:themeColor="text1"/>
              </w:rPr>
              <w:t>Data source</w:t>
            </w:r>
          </w:p>
        </w:tc>
        <w:tc>
          <w:tcPr>
            <w:tcW w:w="7570" w:type="dxa"/>
            <w:vAlign w:val="bottom"/>
          </w:tcPr>
          <w:p w14:paraId="1A75AE30" w14:textId="77777777" w:rsidR="00621836" w:rsidRPr="00A803A6" w:rsidRDefault="00621836" w:rsidP="003162C1">
            <w:pPr>
              <w:pStyle w:val="BodyText"/>
              <w:rPr>
                <w:color w:val="000000" w:themeColor="text1"/>
              </w:rPr>
            </w:pPr>
            <w:r w:rsidRPr="00A803A6">
              <w:rPr>
                <w:color w:val="000000" w:themeColor="text1"/>
              </w:rPr>
              <w:t xml:space="preserve">Pharmaceutical Collection, </w:t>
            </w:r>
            <w:r w:rsidRPr="00A803A6">
              <w:rPr>
                <w:bCs/>
                <w:color w:val="000000" w:themeColor="text1"/>
              </w:rPr>
              <w:t>PHO Enrolment Collection</w:t>
            </w:r>
          </w:p>
        </w:tc>
      </w:tr>
      <w:tr w:rsidR="00621836" w:rsidRPr="00A803A6" w14:paraId="3E82E85F" w14:textId="77777777" w:rsidTr="003162C1">
        <w:trPr>
          <w:trHeight w:val="327"/>
        </w:trPr>
        <w:tc>
          <w:tcPr>
            <w:tcW w:w="1781" w:type="dxa"/>
          </w:tcPr>
          <w:p w14:paraId="6133FCA0" w14:textId="77777777" w:rsidR="00621836" w:rsidRPr="00A803A6" w:rsidRDefault="00621836" w:rsidP="003162C1">
            <w:pPr>
              <w:pStyle w:val="BodyText"/>
              <w:rPr>
                <w:b/>
                <w:bCs/>
                <w:color w:val="000000" w:themeColor="text1"/>
              </w:rPr>
            </w:pPr>
            <w:r w:rsidRPr="00A803A6">
              <w:rPr>
                <w:b/>
                <w:bCs/>
                <w:color w:val="000000" w:themeColor="text1"/>
              </w:rPr>
              <w:t>Analysis</w:t>
            </w:r>
          </w:p>
        </w:tc>
        <w:tc>
          <w:tcPr>
            <w:tcW w:w="7570" w:type="dxa"/>
            <w:vAlign w:val="bottom"/>
          </w:tcPr>
          <w:p w14:paraId="226F6044" w14:textId="77777777" w:rsidR="00621836" w:rsidRPr="00A803A6" w:rsidRDefault="00621836" w:rsidP="003162C1">
            <w:pPr>
              <w:pStyle w:val="BodyText"/>
              <w:rPr>
                <w:color w:val="000000" w:themeColor="text1"/>
              </w:rPr>
            </w:pPr>
            <w:r w:rsidRPr="00A803A6">
              <w:rPr>
                <w:color w:val="000000" w:themeColor="text1"/>
              </w:rPr>
              <w:t xml:space="preserve">District analysis: By year (2019 –2023), age group (0–24, 25–64; 65–79 and 80 and over), gender (female, male), ethnic group (Māori, Pacific peoples, </w:t>
            </w:r>
            <w:r>
              <w:rPr>
                <w:color w:val="000000" w:themeColor="text1"/>
              </w:rPr>
              <w:t xml:space="preserve">Asian and </w:t>
            </w:r>
            <w:r w:rsidRPr="00A803A6">
              <w:rPr>
                <w:color w:val="000000" w:themeColor="text1"/>
              </w:rPr>
              <w:t>European/Other) and Health New Zealand district of domicile.</w:t>
            </w:r>
          </w:p>
          <w:p w14:paraId="25CCD7E3" w14:textId="77777777" w:rsidR="00621836" w:rsidRPr="00A803A6" w:rsidRDefault="00621836" w:rsidP="003162C1">
            <w:pPr>
              <w:pStyle w:val="BodyText"/>
              <w:rPr>
                <w:color w:val="000000" w:themeColor="text1"/>
              </w:rPr>
            </w:pPr>
            <w:r w:rsidRPr="00A803A6">
              <w:rPr>
                <w:color w:val="000000" w:themeColor="text1"/>
              </w:rPr>
              <w:t>PHO analysis: By year (2023), age group, gender, ethnic group, Primary Health Organisation (PHO) most recently enrolled with (for the relevant year), PHO group (small, medium, medium-large and large).</w:t>
            </w:r>
          </w:p>
        </w:tc>
      </w:tr>
      <w:tr w:rsidR="00621836" w:rsidRPr="00A803A6" w14:paraId="1B6C3C4D" w14:textId="77777777" w:rsidTr="003162C1">
        <w:trPr>
          <w:trHeight w:val="58"/>
        </w:trPr>
        <w:tc>
          <w:tcPr>
            <w:tcW w:w="1781" w:type="dxa"/>
          </w:tcPr>
          <w:p w14:paraId="3F19543C" w14:textId="77777777" w:rsidR="00621836" w:rsidRPr="00A803A6" w:rsidRDefault="00621836" w:rsidP="003162C1">
            <w:pPr>
              <w:pStyle w:val="BodyText"/>
              <w:rPr>
                <w:b/>
                <w:bCs/>
                <w:color w:val="000000" w:themeColor="text1"/>
              </w:rPr>
            </w:pPr>
            <w:r w:rsidRPr="00A803A6">
              <w:rPr>
                <w:b/>
                <w:bCs/>
                <w:color w:val="000000" w:themeColor="text1"/>
              </w:rPr>
              <w:t>Medication</w:t>
            </w:r>
          </w:p>
        </w:tc>
        <w:tc>
          <w:tcPr>
            <w:tcW w:w="7570" w:type="dxa"/>
            <w:vAlign w:val="bottom"/>
          </w:tcPr>
          <w:p w14:paraId="49C165D3" w14:textId="77777777" w:rsidR="00621836" w:rsidRPr="00A803A6" w:rsidRDefault="00621836" w:rsidP="003162C1">
            <w:pPr>
              <w:pStyle w:val="BodyText"/>
              <w:rPr>
                <w:color w:val="000000" w:themeColor="text1"/>
              </w:rPr>
            </w:pPr>
            <w:r w:rsidRPr="00A803A6">
              <w:rPr>
                <w:color w:val="000000" w:themeColor="text1"/>
              </w:rPr>
              <w:t>1229 Tramadol; 1332 Codeine phosphate; 2427 Dihydrocodeine tartrate; 3906 Tramadol hydrochloride</w:t>
            </w:r>
          </w:p>
        </w:tc>
      </w:tr>
      <w:tr w:rsidR="00621836" w:rsidRPr="00A803A6" w14:paraId="36611DF5" w14:textId="77777777" w:rsidTr="003162C1">
        <w:trPr>
          <w:trHeight w:val="276"/>
        </w:trPr>
        <w:tc>
          <w:tcPr>
            <w:tcW w:w="1781" w:type="dxa"/>
          </w:tcPr>
          <w:p w14:paraId="225217FD" w14:textId="77777777" w:rsidR="00621836" w:rsidRPr="00A803A6" w:rsidRDefault="00621836" w:rsidP="003162C1">
            <w:pPr>
              <w:pStyle w:val="BodyText"/>
              <w:rPr>
                <w:b/>
                <w:bCs/>
                <w:color w:val="000000" w:themeColor="text1"/>
              </w:rPr>
            </w:pPr>
            <w:r w:rsidRPr="00A803A6">
              <w:rPr>
                <w:b/>
                <w:bCs/>
                <w:color w:val="000000" w:themeColor="text1"/>
              </w:rPr>
              <w:t>Exclusions</w:t>
            </w:r>
          </w:p>
        </w:tc>
        <w:tc>
          <w:tcPr>
            <w:tcW w:w="7570" w:type="dxa"/>
            <w:vAlign w:val="bottom"/>
          </w:tcPr>
          <w:p w14:paraId="426EF95C" w14:textId="77777777" w:rsidR="00621836" w:rsidRPr="00A803A6" w:rsidRDefault="00621836" w:rsidP="003162C1">
            <w:pPr>
              <w:pStyle w:val="BodyText"/>
              <w:rPr>
                <w:color w:val="000000" w:themeColor="text1"/>
              </w:rPr>
            </w:pPr>
            <w:r w:rsidRPr="00A803A6">
              <w:rPr>
                <w:color w:val="000000" w:themeColor="text1"/>
              </w:rPr>
              <w:t xml:space="preserve">Paracetamol with codeine was excluded on the basis that it contains a </w:t>
            </w:r>
            <w:r w:rsidRPr="00A803A6">
              <w:rPr>
                <w:color w:val="000000" w:themeColor="text1"/>
              </w:rPr>
              <w:lastRenderedPageBreak/>
              <w:t>much lower dose of codeine.</w:t>
            </w:r>
          </w:p>
        </w:tc>
      </w:tr>
      <w:tr w:rsidR="00621836" w:rsidRPr="00A803A6" w14:paraId="2679F636" w14:textId="77777777" w:rsidTr="003162C1">
        <w:trPr>
          <w:trHeight w:val="585"/>
        </w:trPr>
        <w:tc>
          <w:tcPr>
            <w:tcW w:w="1781" w:type="dxa"/>
          </w:tcPr>
          <w:p w14:paraId="46C70A2F" w14:textId="77777777" w:rsidR="00621836" w:rsidRPr="00A803A6" w:rsidRDefault="00621836" w:rsidP="00140865">
            <w:pPr>
              <w:pStyle w:val="BodyText"/>
              <w:spacing w:after="0"/>
              <w:rPr>
                <w:b/>
                <w:bCs/>
                <w:color w:val="000000" w:themeColor="text1"/>
              </w:rPr>
            </w:pPr>
            <w:r w:rsidRPr="00A803A6">
              <w:rPr>
                <w:b/>
                <w:bCs/>
                <w:color w:val="000000" w:themeColor="text1"/>
              </w:rPr>
              <w:lastRenderedPageBreak/>
              <w:t>Commentary</w:t>
            </w:r>
          </w:p>
        </w:tc>
        <w:tc>
          <w:tcPr>
            <w:tcW w:w="7570" w:type="dxa"/>
            <w:vAlign w:val="bottom"/>
          </w:tcPr>
          <w:p w14:paraId="5CDE802B" w14:textId="77777777" w:rsidR="00621836" w:rsidRPr="00A803A6" w:rsidRDefault="00621836" w:rsidP="00140865">
            <w:pPr>
              <w:pStyle w:val="BodyText"/>
              <w:spacing w:after="0"/>
              <w:rPr>
                <w:color w:val="000000" w:themeColor="text1"/>
              </w:rPr>
            </w:pPr>
            <w:r w:rsidRPr="00A803A6">
              <w:rPr>
                <w:color w:val="000000" w:themeColor="text1"/>
              </w:rPr>
              <w:t>Description: People dispensed one or more weak opioid medicines in a year.</w:t>
            </w:r>
          </w:p>
          <w:p w14:paraId="5EE7DC51" w14:textId="77777777" w:rsidR="00621836" w:rsidRPr="00EB2819" w:rsidRDefault="00621836" w:rsidP="00140865">
            <w:pPr>
              <w:pStyle w:val="BodyText"/>
              <w:spacing w:before="240" w:after="0"/>
              <w:rPr>
                <w:color w:val="000000" w:themeColor="text1"/>
              </w:rPr>
            </w:pPr>
            <w:r w:rsidRPr="00EB2819">
              <w:rPr>
                <w:color w:val="000000" w:themeColor="text1"/>
              </w:rPr>
              <w:t xml:space="preserve">This indicator shows the number and rate per 1,000 of </w:t>
            </w:r>
            <w:r>
              <w:rPr>
                <w:color w:val="000000" w:themeColor="text1"/>
              </w:rPr>
              <w:t xml:space="preserve">the </w:t>
            </w:r>
            <w:r w:rsidRPr="00EB2819">
              <w:rPr>
                <w:color w:val="000000" w:themeColor="text1"/>
              </w:rPr>
              <w:t xml:space="preserve">PHO enrolled population who had </w:t>
            </w:r>
            <w:r>
              <w:rPr>
                <w:color w:val="000000" w:themeColor="text1"/>
              </w:rPr>
              <w:t xml:space="preserve">a weak opioid </w:t>
            </w:r>
            <w:r w:rsidRPr="00EB2819">
              <w:rPr>
                <w:color w:val="000000" w:themeColor="text1"/>
              </w:rPr>
              <w:t>(tramadol or codeine and dihydrocodeine</w:t>
            </w:r>
            <w:r>
              <w:rPr>
                <w:color w:val="000000" w:themeColor="text1"/>
              </w:rPr>
              <w:t xml:space="preserve">) dispensed to them by a community pharmacy, </w:t>
            </w:r>
            <w:r w:rsidRPr="00EB2819">
              <w:rPr>
                <w:color w:val="000000" w:themeColor="text1"/>
              </w:rPr>
              <w:t>by year (2019</w:t>
            </w:r>
            <w:r>
              <w:rPr>
                <w:color w:val="000000" w:themeColor="text1"/>
              </w:rPr>
              <w:t xml:space="preserve"> to </w:t>
            </w:r>
            <w:r w:rsidRPr="00EB2819">
              <w:rPr>
                <w:color w:val="000000" w:themeColor="text1"/>
              </w:rPr>
              <w:t>2</w:t>
            </w:r>
            <w:r>
              <w:rPr>
                <w:color w:val="000000" w:themeColor="text1"/>
              </w:rPr>
              <w:t>02</w:t>
            </w:r>
            <w:r w:rsidRPr="00EB2819">
              <w:rPr>
                <w:color w:val="000000" w:themeColor="text1"/>
              </w:rPr>
              <w:t>3), ethnic group, age group, gender</w:t>
            </w:r>
            <w:r>
              <w:rPr>
                <w:color w:val="000000" w:themeColor="text1"/>
              </w:rPr>
              <w:t>.</w:t>
            </w:r>
          </w:p>
          <w:p w14:paraId="7FFC0270" w14:textId="77777777" w:rsidR="00621836" w:rsidRPr="00EB2819" w:rsidRDefault="00621836" w:rsidP="00140865">
            <w:pPr>
              <w:pStyle w:val="BodyText"/>
              <w:spacing w:before="240" w:after="0"/>
              <w:rPr>
                <w:color w:val="000000" w:themeColor="text1"/>
              </w:rPr>
            </w:pPr>
            <w:r w:rsidRPr="002D503B">
              <w:t>A ‘weak’ opioid is classed as step 2 of WHO</w:t>
            </w:r>
            <w:r>
              <w:t>’s</w:t>
            </w:r>
            <w:r w:rsidRPr="002D503B">
              <w:t xml:space="preserve"> analgesic ladder. </w:t>
            </w:r>
            <w:r>
              <w:t>This includes</w:t>
            </w:r>
            <w:r w:rsidRPr="002D503B">
              <w:t xml:space="preserve"> tramadol, codeine and dihydrocodeine</w:t>
            </w:r>
            <w:r>
              <w:t>. These opioids are subsidised in New Zealand</w:t>
            </w:r>
            <w:r w:rsidRPr="00EB2819">
              <w:rPr>
                <w:color w:val="000000" w:themeColor="text1"/>
              </w:rPr>
              <w:t>. Paracetamol with codeine was excluded.</w:t>
            </w:r>
          </w:p>
          <w:p w14:paraId="01F67BED" w14:textId="77777777" w:rsidR="00621836" w:rsidRPr="00475F68" w:rsidRDefault="00621836" w:rsidP="00140865">
            <w:pPr>
              <w:pStyle w:val="BodyText"/>
              <w:spacing w:before="240" w:after="0"/>
              <w:rPr>
                <w:b/>
                <w:bCs/>
                <w:color w:val="000000" w:themeColor="text1"/>
              </w:rPr>
            </w:pPr>
            <w:r w:rsidRPr="00475F68">
              <w:rPr>
                <w:b/>
                <w:bCs/>
                <w:color w:val="000000" w:themeColor="text1"/>
              </w:rPr>
              <w:t xml:space="preserve">Why this indicator is important </w:t>
            </w:r>
          </w:p>
          <w:p w14:paraId="67FCE2AD" w14:textId="77777777" w:rsidR="00621836" w:rsidRPr="00EB2819" w:rsidRDefault="00621836" w:rsidP="00A47B1E">
            <w:pPr>
              <w:pStyle w:val="BodyText"/>
              <w:spacing w:before="240" w:after="0"/>
              <w:rPr>
                <w:color w:val="000000" w:themeColor="text1"/>
              </w:rPr>
            </w:pPr>
            <w:r w:rsidRPr="00EB2819">
              <w:rPr>
                <w:color w:val="000000" w:themeColor="text1"/>
              </w:rPr>
              <w:t>The IHI classifies opioids as one of four groups of medicines (along with anticoagulants, insulin and sedatives) that can cause harm to patients, even when used as intended. As with strong opioids, continuous use of a weak opioid for six weeks or more raises questions on appropriateness of use.</w:t>
            </w:r>
          </w:p>
          <w:p w14:paraId="6B90EDCD" w14:textId="77777777" w:rsidR="00621836" w:rsidRPr="00E57A3E" w:rsidRDefault="00621836" w:rsidP="00A47B1E">
            <w:pPr>
              <w:pStyle w:val="BodyText"/>
              <w:spacing w:before="240" w:after="0"/>
              <w:rPr>
                <w:b/>
                <w:bCs/>
                <w:color w:val="000000" w:themeColor="text1"/>
              </w:rPr>
            </w:pPr>
            <w:r w:rsidRPr="00E57A3E">
              <w:rPr>
                <w:b/>
                <w:bCs/>
                <w:color w:val="000000" w:themeColor="text1"/>
              </w:rPr>
              <w:t xml:space="preserve">What questions does this prompt? </w:t>
            </w:r>
          </w:p>
          <w:p w14:paraId="31FFB1FB" w14:textId="77777777" w:rsidR="00621836" w:rsidRPr="00EB2819" w:rsidRDefault="00621836" w:rsidP="00A47B1E">
            <w:pPr>
              <w:pStyle w:val="BodyText"/>
              <w:numPr>
                <w:ilvl w:val="0"/>
                <w:numId w:val="14"/>
              </w:numPr>
              <w:spacing w:before="240" w:after="0"/>
              <w:rPr>
                <w:color w:val="000000" w:themeColor="text1"/>
              </w:rPr>
            </w:pPr>
            <w:r w:rsidRPr="00EB2819">
              <w:rPr>
                <w:color w:val="000000" w:themeColor="text1"/>
              </w:rPr>
              <w:t>Why are some districts consistently lower or higher than the national mean?</w:t>
            </w:r>
          </w:p>
          <w:p w14:paraId="395BC23A" w14:textId="77777777" w:rsidR="00621836" w:rsidRPr="00EB2819" w:rsidRDefault="00621836" w:rsidP="00A47B1E">
            <w:pPr>
              <w:pStyle w:val="BodyText"/>
              <w:numPr>
                <w:ilvl w:val="0"/>
                <w:numId w:val="14"/>
              </w:numPr>
              <w:spacing w:before="240" w:after="0"/>
              <w:rPr>
                <w:color w:val="000000" w:themeColor="text1"/>
              </w:rPr>
            </w:pPr>
            <w:r w:rsidRPr="00EB2819">
              <w:rPr>
                <w:color w:val="000000" w:themeColor="text1"/>
              </w:rPr>
              <w:t>How do similar districts compare?</w:t>
            </w:r>
          </w:p>
          <w:p w14:paraId="1036EEF5" w14:textId="77777777" w:rsidR="00621836" w:rsidRPr="009D0022" w:rsidRDefault="00621836" w:rsidP="00A47B1E">
            <w:pPr>
              <w:pStyle w:val="BodyText"/>
              <w:numPr>
                <w:ilvl w:val="0"/>
                <w:numId w:val="14"/>
              </w:numPr>
              <w:spacing w:before="240" w:after="0"/>
              <w:rPr>
                <w:color w:val="000000" w:themeColor="text1"/>
              </w:rPr>
            </w:pPr>
            <w:r w:rsidRPr="00EB2819">
              <w:rPr>
                <w:color w:val="000000" w:themeColor="text1"/>
              </w:rPr>
              <w:t>Looking at local data, how many people receive a weak opioid for six or more weeks?</w:t>
            </w:r>
          </w:p>
        </w:tc>
      </w:tr>
    </w:tbl>
    <w:p w14:paraId="2FE73ADA" w14:textId="77777777" w:rsidR="00621836" w:rsidRPr="00A803A6" w:rsidRDefault="00621836" w:rsidP="00621836">
      <w:pPr>
        <w:rPr>
          <w:color w:val="000000" w:themeColor="text1"/>
        </w:rPr>
      </w:pPr>
    </w:p>
    <w:p w14:paraId="54C990BD" w14:textId="77777777" w:rsidR="00621836" w:rsidRPr="00A803A6" w:rsidRDefault="00621836" w:rsidP="00621836">
      <w:pPr>
        <w:pStyle w:val="Heading3"/>
        <w:ind w:left="720"/>
        <w:rPr>
          <w:rStyle w:val="Heading3Char"/>
          <w:b/>
          <w:bCs/>
          <w:color w:val="000000" w:themeColor="text1"/>
        </w:rPr>
      </w:pPr>
      <w:bookmarkStart w:id="9" w:name="_Toc210140426"/>
      <w:r w:rsidRPr="00A803A6">
        <w:rPr>
          <w:rStyle w:val="Heading3Char"/>
          <w:b/>
          <w:bCs/>
          <w:color w:val="000000" w:themeColor="text1"/>
        </w:rPr>
        <w:t>3a. People dispensed tramadol</w:t>
      </w:r>
      <w:r>
        <w:rPr>
          <w:rStyle w:val="Heading3Char"/>
          <w:b/>
          <w:bCs/>
          <w:color w:val="000000" w:themeColor="text1"/>
        </w:rPr>
        <w:t xml:space="preserve"> </w:t>
      </w:r>
      <w:r>
        <w:rPr>
          <w:color w:val="000000" w:themeColor="text1"/>
        </w:rPr>
        <w:t>one or more times</w:t>
      </w:r>
      <w:r w:rsidRPr="00A803A6">
        <w:rPr>
          <w:rStyle w:val="Heading3Char"/>
          <w:b/>
          <w:bCs/>
          <w:color w:val="000000" w:themeColor="text1"/>
        </w:rPr>
        <w:t xml:space="preserve"> in a year</w:t>
      </w:r>
      <w:bookmarkEnd w:id="9"/>
    </w:p>
    <w:tbl>
      <w:tblPr>
        <w:tblW w:w="9351"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781"/>
        <w:gridCol w:w="7570"/>
      </w:tblGrid>
      <w:tr w:rsidR="00621836" w:rsidRPr="00A803A6" w14:paraId="4F7CE5BE" w14:textId="77777777" w:rsidTr="003162C1">
        <w:trPr>
          <w:trHeight w:val="327"/>
        </w:trPr>
        <w:tc>
          <w:tcPr>
            <w:tcW w:w="1781" w:type="dxa"/>
          </w:tcPr>
          <w:p w14:paraId="53C290CE" w14:textId="77777777" w:rsidR="00621836" w:rsidRPr="00A803A6" w:rsidRDefault="00621836" w:rsidP="003162C1">
            <w:pPr>
              <w:pStyle w:val="TeThHauoratablefigurecaption"/>
              <w:rPr>
                <w:color w:val="000000" w:themeColor="text1"/>
              </w:rPr>
            </w:pPr>
            <w:r w:rsidRPr="00A803A6">
              <w:rPr>
                <w:color w:val="000000" w:themeColor="text1"/>
              </w:rPr>
              <w:t>Indicator #3a:</w:t>
            </w:r>
          </w:p>
        </w:tc>
        <w:tc>
          <w:tcPr>
            <w:tcW w:w="7570" w:type="dxa"/>
            <w:vAlign w:val="center"/>
          </w:tcPr>
          <w:p w14:paraId="6A3A091F" w14:textId="77777777" w:rsidR="00621836" w:rsidRPr="002A485A" w:rsidRDefault="00621836" w:rsidP="003162C1">
            <w:pPr>
              <w:pStyle w:val="BodyText"/>
              <w:rPr>
                <w:bCs/>
                <w:color w:val="000000" w:themeColor="text1"/>
              </w:rPr>
            </w:pPr>
            <w:r w:rsidRPr="002A485A">
              <w:rPr>
                <w:bCs/>
                <w:color w:val="000000" w:themeColor="text1"/>
              </w:rPr>
              <w:t xml:space="preserve">People </w:t>
            </w:r>
            <w:r w:rsidRPr="00B5285A">
              <w:rPr>
                <w:rStyle w:val="Heading3Char"/>
                <w:b w:val="0"/>
                <w:color w:val="000000" w:themeColor="text1"/>
                <w:sz w:val="22"/>
                <w:szCs w:val="22"/>
              </w:rPr>
              <w:t>dispensed tramadol</w:t>
            </w:r>
            <w:r w:rsidRPr="002A485A">
              <w:rPr>
                <w:rStyle w:val="Heading3Char"/>
                <w:bCs/>
                <w:color w:val="000000" w:themeColor="text1"/>
                <w:sz w:val="22"/>
                <w:szCs w:val="22"/>
              </w:rPr>
              <w:t xml:space="preserve"> </w:t>
            </w:r>
            <w:r w:rsidRPr="002A485A">
              <w:rPr>
                <w:bCs/>
                <w:color w:val="000000" w:themeColor="text1"/>
              </w:rPr>
              <w:t xml:space="preserve">one or more </w:t>
            </w:r>
            <w:r w:rsidRPr="00B5285A">
              <w:rPr>
                <w:bCs/>
                <w:color w:val="000000" w:themeColor="text1"/>
              </w:rPr>
              <w:t>times</w:t>
            </w:r>
            <w:r w:rsidRPr="00B5285A">
              <w:rPr>
                <w:rStyle w:val="Heading3Char"/>
                <w:bCs/>
                <w:color w:val="000000" w:themeColor="text1"/>
                <w:sz w:val="22"/>
                <w:szCs w:val="22"/>
              </w:rPr>
              <w:t xml:space="preserve"> </w:t>
            </w:r>
            <w:r w:rsidRPr="00B5285A">
              <w:rPr>
                <w:bCs/>
                <w:color w:val="000000" w:themeColor="text1"/>
              </w:rPr>
              <w:t>in a year</w:t>
            </w:r>
          </w:p>
        </w:tc>
      </w:tr>
      <w:tr w:rsidR="00621836" w:rsidRPr="00A803A6" w14:paraId="7F180B26" w14:textId="77777777" w:rsidTr="003162C1">
        <w:trPr>
          <w:trHeight w:val="327"/>
        </w:trPr>
        <w:tc>
          <w:tcPr>
            <w:tcW w:w="1781" w:type="dxa"/>
          </w:tcPr>
          <w:p w14:paraId="0586910E" w14:textId="77777777" w:rsidR="00621836" w:rsidRPr="00A803A6" w:rsidRDefault="00621836" w:rsidP="003162C1">
            <w:pPr>
              <w:pStyle w:val="TeThHauoratablefigurecaption"/>
              <w:rPr>
                <w:color w:val="000000" w:themeColor="text1"/>
              </w:rPr>
            </w:pPr>
            <w:r w:rsidRPr="00A803A6">
              <w:rPr>
                <w:color w:val="000000" w:themeColor="text1"/>
              </w:rPr>
              <w:t>Numerator</w:t>
            </w:r>
          </w:p>
        </w:tc>
        <w:tc>
          <w:tcPr>
            <w:tcW w:w="7570" w:type="dxa"/>
            <w:vAlign w:val="bottom"/>
          </w:tcPr>
          <w:p w14:paraId="16777033" w14:textId="77777777" w:rsidR="00621836" w:rsidRPr="002A485A" w:rsidRDefault="00621836" w:rsidP="003162C1">
            <w:pPr>
              <w:pStyle w:val="BodyText"/>
              <w:rPr>
                <w:bCs/>
                <w:color w:val="000000" w:themeColor="text1"/>
              </w:rPr>
            </w:pPr>
            <w:r w:rsidRPr="002A485A">
              <w:rPr>
                <w:bCs/>
                <w:color w:val="000000" w:themeColor="text1"/>
              </w:rPr>
              <w:t>PHO-enrolled population who were dispensed tramadol during the calendar year</w:t>
            </w:r>
          </w:p>
        </w:tc>
      </w:tr>
      <w:tr w:rsidR="00621836" w:rsidRPr="00A803A6" w14:paraId="473E5423" w14:textId="77777777" w:rsidTr="003162C1">
        <w:trPr>
          <w:trHeight w:val="327"/>
        </w:trPr>
        <w:tc>
          <w:tcPr>
            <w:tcW w:w="1781" w:type="dxa"/>
          </w:tcPr>
          <w:p w14:paraId="58709A9A" w14:textId="77777777" w:rsidR="00621836" w:rsidRPr="00A803A6" w:rsidRDefault="00621836" w:rsidP="003162C1">
            <w:pPr>
              <w:pStyle w:val="TeThHauoratablefigurecaption"/>
              <w:rPr>
                <w:color w:val="000000" w:themeColor="text1"/>
              </w:rPr>
            </w:pPr>
            <w:r w:rsidRPr="00A803A6">
              <w:rPr>
                <w:bCs/>
                <w:color w:val="000000" w:themeColor="text1"/>
              </w:rPr>
              <w:t>Denominator</w:t>
            </w:r>
          </w:p>
        </w:tc>
        <w:tc>
          <w:tcPr>
            <w:tcW w:w="7570" w:type="dxa"/>
            <w:vAlign w:val="bottom"/>
          </w:tcPr>
          <w:p w14:paraId="72E7F210" w14:textId="77777777" w:rsidR="00621836" w:rsidRPr="002A485A" w:rsidRDefault="00621836" w:rsidP="003162C1">
            <w:pPr>
              <w:pStyle w:val="BodyText"/>
              <w:rPr>
                <w:bCs/>
                <w:color w:val="000000" w:themeColor="text1"/>
              </w:rPr>
            </w:pPr>
            <w:r w:rsidRPr="002A485A">
              <w:rPr>
                <w:bCs/>
                <w:color w:val="000000" w:themeColor="text1"/>
              </w:rPr>
              <w:t>PHO-enrolled population during the calendar year</w:t>
            </w:r>
          </w:p>
        </w:tc>
      </w:tr>
      <w:tr w:rsidR="00621836" w:rsidRPr="00A803A6" w14:paraId="1E25FA9D" w14:textId="77777777" w:rsidTr="003162C1">
        <w:trPr>
          <w:trHeight w:val="327"/>
        </w:trPr>
        <w:tc>
          <w:tcPr>
            <w:tcW w:w="1781" w:type="dxa"/>
          </w:tcPr>
          <w:p w14:paraId="3D2E942A" w14:textId="77777777" w:rsidR="00621836" w:rsidRPr="00A803A6" w:rsidRDefault="00621836" w:rsidP="003162C1">
            <w:pPr>
              <w:pStyle w:val="TeThHauoratablefigurecaption"/>
              <w:rPr>
                <w:color w:val="000000" w:themeColor="text1"/>
              </w:rPr>
            </w:pPr>
            <w:r w:rsidRPr="00A803A6">
              <w:rPr>
                <w:bCs/>
                <w:color w:val="000000" w:themeColor="text1"/>
              </w:rPr>
              <w:t>Data source</w:t>
            </w:r>
          </w:p>
        </w:tc>
        <w:tc>
          <w:tcPr>
            <w:tcW w:w="7570" w:type="dxa"/>
            <w:vAlign w:val="bottom"/>
          </w:tcPr>
          <w:p w14:paraId="3EF6D3BE" w14:textId="77777777" w:rsidR="00621836" w:rsidRPr="002A485A" w:rsidRDefault="00621836" w:rsidP="003162C1">
            <w:pPr>
              <w:pStyle w:val="BodyText"/>
              <w:rPr>
                <w:bCs/>
                <w:color w:val="000000" w:themeColor="text1"/>
              </w:rPr>
            </w:pPr>
            <w:r w:rsidRPr="002A485A">
              <w:rPr>
                <w:bCs/>
                <w:color w:val="000000" w:themeColor="text1"/>
              </w:rPr>
              <w:t>Pharmaceutical Collection, PHO Enrolment Collection</w:t>
            </w:r>
          </w:p>
        </w:tc>
      </w:tr>
      <w:tr w:rsidR="00621836" w:rsidRPr="00A803A6" w14:paraId="2945A0D1" w14:textId="77777777" w:rsidTr="003162C1">
        <w:trPr>
          <w:trHeight w:val="327"/>
        </w:trPr>
        <w:tc>
          <w:tcPr>
            <w:tcW w:w="1781" w:type="dxa"/>
          </w:tcPr>
          <w:p w14:paraId="320C23AA" w14:textId="77777777" w:rsidR="00621836" w:rsidRPr="00A803A6" w:rsidRDefault="00621836" w:rsidP="003162C1">
            <w:pPr>
              <w:pStyle w:val="TeThHauoratablefigurecaption"/>
              <w:rPr>
                <w:color w:val="000000" w:themeColor="text1"/>
              </w:rPr>
            </w:pPr>
            <w:r w:rsidRPr="00A803A6">
              <w:rPr>
                <w:bCs/>
                <w:color w:val="000000" w:themeColor="text1"/>
              </w:rPr>
              <w:t>Analysis</w:t>
            </w:r>
          </w:p>
        </w:tc>
        <w:tc>
          <w:tcPr>
            <w:tcW w:w="7570" w:type="dxa"/>
            <w:vAlign w:val="bottom"/>
          </w:tcPr>
          <w:p w14:paraId="16C1074E" w14:textId="77777777" w:rsidR="00621836" w:rsidRPr="002A485A" w:rsidRDefault="00621836" w:rsidP="003162C1">
            <w:pPr>
              <w:pStyle w:val="BodyText"/>
              <w:rPr>
                <w:bCs/>
                <w:color w:val="000000" w:themeColor="text1"/>
              </w:rPr>
            </w:pPr>
            <w:r w:rsidRPr="002A485A">
              <w:rPr>
                <w:bCs/>
                <w:color w:val="000000" w:themeColor="text1"/>
              </w:rPr>
              <w:t>District analysis: By year (2019 –2023), age group (0–24, 25–64; 65–79 and 80 and over), gender (female, male), ethnic group (Māori, Pacific peoples, Asian and European/Other) and Health New Zealand district of domicile.</w:t>
            </w:r>
          </w:p>
          <w:p w14:paraId="0641E6F3" w14:textId="77777777" w:rsidR="00621836" w:rsidRPr="002A485A" w:rsidRDefault="00621836" w:rsidP="003162C1">
            <w:pPr>
              <w:pStyle w:val="BodyText"/>
              <w:rPr>
                <w:bCs/>
                <w:color w:val="000000" w:themeColor="text1"/>
              </w:rPr>
            </w:pPr>
            <w:r w:rsidRPr="002A485A">
              <w:rPr>
                <w:bCs/>
                <w:color w:val="000000" w:themeColor="text1"/>
              </w:rPr>
              <w:t>PHO analysis: By year (2023), age group, gender, ethnic group, Primary Health Organisation (PHO) most recently enrolled with (for the relevant year), PHO group (small, medium, medium-large and large).</w:t>
            </w:r>
          </w:p>
        </w:tc>
      </w:tr>
      <w:tr w:rsidR="00621836" w:rsidRPr="00A803A6" w14:paraId="4D45A0D7" w14:textId="77777777" w:rsidTr="003162C1">
        <w:trPr>
          <w:trHeight w:val="58"/>
        </w:trPr>
        <w:tc>
          <w:tcPr>
            <w:tcW w:w="1781" w:type="dxa"/>
          </w:tcPr>
          <w:p w14:paraId="6F372FAA" w14:textId="77777777" w:rsidR="00621836" w:rsidRPr="00A803A6" w:rsidRDefault="00621836" w:rsidP="003162C1">
            <w:pPr>
              <w:pStyle w:val="TeThHauoratablefigurecaption"/>
              <w:rPr>
                <w:color w:val="000000" w:themeColor="text1"/>
              </w:rPr>
            </w:pPr>
            <w:r w:rsidRPr="00A803A6">
              <w:rPr>
                <w:color w:val="000000" w:themeColor="text1"/>
              </w:rPr>
              <w:lastRenderedPageBreak/>
              <w:t>Medication</w:t>
            </w:r>
          </w:p>
        </w:tc>
        <w:tc>
          <w:tcPr>
            <w:tcW w:w="7570" w:type="dxa"/>
            <w:vAlign w:val="center"/>
          </w:tcPr>
          <w:p w14:paraId="332C8060" w14:textId="77777777" w:rsidR="00621836" w:rsidRPr="002A485A" w:rsidRDefault="00621836" w:rsidP="003162C1">
            <w:pPr>
              <w:pStyle w:val="BodyText"/>
              <w:rPr>
                <w:bCs/>
                <w:color w:val="000000" w:themeColor="text1"/>
              </w:rPr>
            </w:pPr>
            <w:r w:rsidRPr="002A485A">
              <w:rPr>
                <w:bCs/>
                <w:color w:val="000000" w:themeColor="text1"/>
              </w:rPr>
              <w:t>1229 Tramadol; 3906 Tramadol hydrochloride</w:t>
            </w:r>
          </w:p>
        </w:tc>
      </w:tr>
      <w:tr w:rsidR="00621836" w:rsidRPr="00A803A6" w14:paraId="2ED8742C" w14:textId="77777777" w:rsidTr="003162C1">
        <w:trPr>
          <w:trHeight w:val="58"/>
        </w:trPr>
        <w:tc>
          <w:tcPr>
            <w:tcW w:w="1781" w:type="dxa"/>
          </w:tcPr>
          <w:p w14:paraId="03383A44" w14:textId="77777777" w:rsidR="00621836" w:rsidRPr="00A803A6" w:rsidRDefault="00621836" w:rsidP="003162C1">
            <w:pPr>
              <w:pStyle w:val="TeThHauoratablefigurecaption"/>
              <w:rPr>
                <w:color w:val="000000" w:themeColor="text1"/>
              </w:rPr>
            </w:pPr>
            <w:r w:rsidRPr="00A803A6">
              <w:rPr>
                <w:color w:val="000000" w:themeColor="text1"/>
              </w:rPr>
              <w:t>Commentary</w:t>
            </w:r>
          </w:p>
        </w:tc>
        <w:tc>
          <w:tcPr>
            <w:tcW w:w="7570" w:type="dxa"/>
            <w:vAlign w:val="bottom"/>
          </w:tcPr>
          <w:p w14:paraId="1F1FF43C" w14:textId="77777777" w:rsidR="00621836" w:rsidRPr="002A485A" w:rsidRDefault="00621836" w:rsidP="00140865">
            <w:pPr>
              <w:pStyle w:val="BodyText"/>
              <w:spacing w:after="0"/>
              <w:rPr>
                <w:bCs/>
                <w:color w:val="000000" w:themeColor="text1"/>
              </w:rPr>
            </w:pPr>
            <w:r w:rsidRPr="002A485A">
              <w:rPr>
                <w:bCs/>
                <w:color w:val="000000" w:themeColor="text1"/>
              </w:rPr>
              <w:t xml:space="preserve">Description: People </w:t>
            </w:r>
            <w:r w:rsidRPr="00B5285A">
              <w:rPr>
                <w:rStyle w:val="Heading3Char"/>
                <w:b w:val="0"/>
                <w:color w:val="000000" w:themeColor="text1"/>
                <w:sz w:val="22"/>
                <w:szCs w:val="22"/>
              </w:rPr>
              <w:t xml:space="preserve">dispensed tramadol </w:t>
            </w:r>
            <w:r w:rsidRPr="00B5285A">
              <w:rPr>
                <w:bCs/>
                <w:color w:val="000000" w:themeColor="text1"/>
              </w:rPr>
              <w:t>one</w:t>
            </w:r>
            <w:r w:rsidRPr="002A485A">
              <w:rPr>
                <w:bCs/>
                <w:color w:val="000000" w:themeColor="text1"/>
              </w:rPr>
              <w:t xml:space="preserve"> or more times</w:t>
            </w:r>
            <w:r w:rsidRPr="002A485A">
              <w:rPr>
                <w:rStyle w:val="Heading3Char"/>
                <w:bCs/>
                <w:color w:val="000000" w:themeColor="text1"/>
                <w:sz w:val="22"/>
                <w:szCs w:val="22"/>
              </w:rPr>
              <w:t xml:space="preserve"> </w:t>
            </w:r>
            <w:r w:rsidRPr="002A485A">
              <w:rPr>
                <w:bCs/>
                <w:color w:val="000000" w:themeColor="text1"/>
              </w:rPr>
              <w:t>in a year.</w:t>
            </w:r>
          </w:p>
          <w:p w14:paraId="27E957C0" w14:textId="77777777" w:rsidR="00621836" w:rsidRPr="00EB2819" w:rsidRDefault="00621836" w:rsidP="00140865">
            <w:pPr>
              <w:pStyle w:val="BodyText"/>
              <w:spacing w:before="240" w:after="0"/>
              <w:rPr>
                <w:color w:val="000000" w:themeColor="text1"/>
              </w:rPr>
            </w:pPr>
            <w:r w:rsidRPr="00EB2819">
              <w:rPr>
                <w:color w:val="000000" w:themeColor="text1"/>
              </w:rPr>
              <w:t xml:space="preserve">This indicator shows the number and rate per 1,000 of </w:t>
            </w:r>
            <w:r>
              <w:rPr>
                <w:color w:val="000000" w:themeColor="text1"/>
              </w:rPr>
              <w:t xml:space="preserve">the </w:t>
            </w:r>
            <w:r w:rsidRPr="00EB2819">
              <w:rPr>
                <w:color w:val="000000" w:themeColor="text1"/>
              </w:rPr>
              <w:t xml:space="preserve">PHO-enrolled population who had </w:t>
            </w:r>
            <w:r>
              <w:rPr>
                <w:color w:val="000000" w:themeColor="text1"/>
              </w:rPr>
              <w:t xml:space="preserve">tramadol dispensed to them by a community pharmacy, </w:t>
            </w:r>
            <w:r w:rsidRPr="00EB2819">
              <w:rPr>
                <w:color w:val="000000" w:themeColor="text1"/>
              </w:rPr>
              <w:t>by year (2019</w:t>
            </w:r>
            <w:r>
              <w:rPr>
                <w:color w:val="000000" w:themeColor="text1"/>
              </w:rPr>
              <w:t xml:space="preserve"> to 20</w:t>
            </w:r>
            <w:r w:rsidRPr="00EB2819">
              <w:rPr>
                <w:color w:val="000000" w:themeColor="text1"/>
              </w:rPr>
              <w:t>23), ethnic group, age group, gender</w:t>
            </w:r>
            <w:r>
              <w:rPr>
                <w:color w:val="000000" w:themeColor="text1"/>
              </w:rPr>
              <w:t>.</w:t>
            </w:r>
          </w:p>
          <w:p w14:paraId="3DD822D6" w14:textId="77777777" w:rsidR="00621836" w:rsidRPr="00EB2819" w:rsidRDefault="00621836" w:rsidP="00140865">
            <w:pPr>
              <w:pStyle w:val="BodyText"/>
              <w:spacing w:before="240" w:after="0"/>
              <w:rPr>
                <w:color w:val="000000" w:themeColor="text1"/>
              </w:rPr>
            </w:pPr>
            <w:r w:rsidRPr="00EB2819">
              <w:rPr>
                <w:color w:val="000000" w:themeColor="text1"/>
              </w:rPr>
              <w:t xml:space="preserve">Note: </w:t>
            </w:r>
            <w:r w:rsidRPr="002D503B">
              <w:t>A ‘weak’ opioid is classed as step 2 of WHO</w:t>
            </w:r>
            <w:r>
              <w:t>’s</w:t>
            </w:r>
            <w:r w:rsidRPr="002D503B">
              <w:t xml:space="preserve"> analgesic ladder. </w:t>
            </w:r>
            <w:r>
              <w:t>This includes</w:t>
            </w:r>
            <w:r w:rsidRPr="002D503B">
              <w:t xml:space="preserve"> tramadol</w:t>
            </w:r>
            <w:r>
              <w:t xml:space="preserve">, which is subsidised in New Zealand. </w:t>
            </w:r>
            <w:r w:rsidRPr="00EB2819">
              <w:rPr>
                <w:color w:val="000000" w:themeColor="text1"/>
              </w:rPr>
              <w:t>Paracetamol with codeine was excluded.</w:t>
            </w:r>
          </w:p>
          <w:p w14:paraId="27BD4D87" w14:textId="77777777" w:rsidR="00621836" w:rsidRPr="00475F68" w:rsidRDefault="00621836" w:rsidP="00140865">
            <w:pPr>
              <w:pStyle w:val="BodyText"/>
              <w:spacing w:before="240" w:after="0"/>
              <w:rPr>
                <w:b/>
                <w:bCs/>
                <w:color w:val="000000" w:themeColor="text1"/>
              </w:rPr>
            </w:pPr>
            <w:r w:rsidRPr="00475F68">
              <w:rPr>
                <w:b/>
                <w:bCs/>
                <w:color w:val="000000" w:themeColor="text1"/>
              </w:rPr>
              <w:t xml:space="preserve">Why this indicator is important </w:t>
            </w:r>
          </w:p>
          <w:p w14:paraId="2453E918" w14:textId="77777777" w:rsidR="00621836" w:rsidRPr="00EB2819" w:rsidRDefault="00621836" w:rsidP="00140865">
            <w:pPr>
              <w:pStyle w:val="BodyText"/>
              <w:spacing w:before="240" w:after="0"/>
              <w:rPr>
                <w:color w:val="000000" w:themeColor="text1"/>
              </w:rPr>
            </w:pPr>
            <w:r w:rsidRPr="00EB2819">
              <w:rPr>
                <w:color w:val="000000" w:themeColor="text1"/>
              </w:rPr>
              <w:t>The IHI classifies opioids as one of four groups of medicines (along with anticoagulants, insulin and sedatives) that can cause harm to patients, even when used as intended. As with strong opioids, continuous use of a weak opioid for six weeks or more raises questions on appropriateness of use.</w:t>
            </w:r>
          </w:p>
          <w:p w14:paraId="42220846" w14:textId="77777777" w:rsidR="00621836" w:rsidRPr="00E57A3E" w:rsidRDefault="00621836" w:rsidP="00140865">
            <w:pPr>
              <w:pStyle w:val="BodyText"/>
              <w:spacing w:before="240" w:after="0"/>
              <w:rPr>
                <w:b/>
                <w:bCs/>
                <w:color w:val="000000" w:themeColor="text1"/>
              </w:rPr>
            </w:pPr>
            <w:r w:rsidRPr="00E57A3E">
              <w:rPr>
                <w:b/>
                <w:bCs/>
                <w:color w:val="000000" w:themeColor="text1"/>
              </w:rPr>
              <w:t xml:space="preserve">What questions does this prompt? </w:t>
            </w:r>
          </w:p>
          <w:p w14:paraId="2EA43501" w14:textId="77777777" w:rsidR="00621836" w:rsidRPr="00EB2819" w:rsidRDefault="00621836" w:rsidP="00140865">
            <w:pPr>
              <w:pStyle w:val="BodyText"/>
              <w:numPr>
                <w:ilvl w:val="0"/>
                <w:numId w:val="15"/>
              </w:numPr>
              <w:spacing w:before="240" w:after="0"/>
              <w:rPr>
                <w:color w:val="000000" w:themeColor="text1"/>
              </w:rPr>
            </w:pPr>
            <w:r w:rsidRPr="00EB2819">
              <w:rPr>
                <w:color w:val="000000" w:themeColor="text1"/>
              </w:rPr>
              <w:t>Why are some districts consistently lower or higher than the national mean?</w:t>
            </w:r>
          </w:p>
          <w:p w14:paraId="6C923D74" w14:textId="77777777" w:rsidR="00621836" w:rsidRPr="00EB2819" w:rsidRDefault="00621836" w:rsidP="00140865">
            <w:pPr>
              <w:pStyle w:val="BodyText"/>
              <w:numPr>
                <w:ilvl w:val="0"/>
                <w:numId w:val="15"/>
              </w:numPr>
              <w:spacing w:before="240" w:after="0"/>
              <w:rPr>
                <w:color w:val="000000" w:themeColor="text1"/>
              </w:rPr>
            </w:pPr>
            <w:r w:rsidRPr="00EB2819">
              <w:rPr>
                <w:color w:val="000000" w:themeColor="text1"/>
              </w:rPr>
              <w:t>How do similar districts compare?</w:t>
            </w:r>
          </w:p>
          <w:p w14:paraId="414C8007" w14:textId="77777777" w:rsidR="00621836" w:rsidRPr="000E1FA6" w:rsidRDefault="00621836" w:rsidP="00140865">
            <w:pPr>
              <w:pStyle w:val="BodyText"/>
              <w:numPr>
                <w:ilvl w:val="0"/>
                <w:numId w:val="15"/>
              </w:numPr>
              <w:spacing w:before="240" w:after="0"/>
              <w:rPr>
                <w:color w:val="000000" w:themeColor="text1"/>
              </w:rPr>
            </w:pPr>
            <w:r w:rsidRPr="00EB2819">
              <w:rPr>
                <w:color w:val="000000" w:themeColor="text1"/>
              </w:rPr>
              <w:t xml:space="preserve">Looking at local data, how many people receive a </w:t>
            </w:r>
            <w:r>
              <w:rPr>
                <w:color w:val="000000" w:themeColor="text1"/>
              </w:rPr>
              <w:t>tramadol</w:t>
            </w:r>
            <w:r w:rsidRPr="00EB2819">
              <w:rPr>
                <w:color w:val="000000" w:themeColor="text1"/>
              </w:rPr>
              <w:t xml:space="preserve"> for six or more weeks?</w:t>
            </w:r>
          </w:p>
        </w:tc>
      </w:tr>
    </w:tbl>
    <w:p w14:paraId="40ED777A" w14:textId="77777777" w:rsidR="00621836" w:rsidRPr="00A803A6" w:rsidRDefault="00621836" w:rsidP="00621836">
      <w:pPr>
        <w:pStyle w:val="Heading3"/>
        <w:ind w:left="720"/>
        <w:rPr>
          <w:rStyle w:val="Heading3Char"/>
          <w:b/>
          <w:color w:val="000000" w:themeColor="text1"/>
        </w:rPr>
      </w:pPr>
      <w:bookmarkStart w:id="10" w:name="_Toc210140427"/>
      <w:r w:rsidRPr="00A803A6">
        <w:rPr>
          <w:color w:val="000000" w:themeColor="text1"/>
        </w:rPr>
        <w:t>3b</w:t>
      </w:r>
      <w:r w:rsidRPr="00A803A6">
        <w:rPr>
          <w:rStyle w:val="Heading3Char"/>
          <w:b/>
          <w:color w:val="000000" w:themeColor="text1"/>
        </w:rPr>
        <w:t xml:space="preserve">. </w:t>
      </w:r>
      <w:r>
        <w:rPr>
          <w:rStyle w:val="Heading3Char"/>
          <w:b/>
          <w:color w:val="000000" w:themeColor="text1"/>
        </w:rPr>
        <w:t xml:space="preserve"> </w:t>
      </w:r>
      <w:r w:rsidRPr="00A803A6">
        <w:rPr>
          <w:color w:val="000000" w:themeColor="text1"/>
        </w:rPr>
        <w:t xml:space="preserve">People dispensed codeine </w:t>
      </w:r>
      <w:r>
        <w:rPr>
          <w:color w:val="000000" w:themeColor="text1"/>
        </w:rPr>
        <w:t xml:space="preserve">one or more times </w:t>
      </w:r>
      <w:r w:rsidRPr="00A803A6">
        <w:rPr>
          <w:color w:val="000000" w:themeColor="text1"/>
        </w:rPr>
        <w:t>in a year</w:t>
      </w:r>
      <w:bookmarkEnd w:id="10"/>
    </w:p>
    <w:tbl>
      <w:tblPr>
        <w:tblW w:w="9351"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2122"/>
        <w:gridCol w:w="7229"/>
      </w:tblGrid>
      <w:tr w:rsidR="00621836" w:rsidRPr="00A803A6" w14:paraId="610C1E99" w14:textId="77777777" w:rsidTr="003162C1">
        <w:trPr>
          <w:trHeight w:val="327"/>
        </w:trPr>
        <w:tc>
          <w:tcPr>
            <w:tcW w:w="2122" w:type="dxa"/>
          </w:tcPr>
          <w:p w14:paraId="710D65B3" w14:textId="77777777" w:rsidR="00621836" w:rsidRPr="00A803A6" w:rsidRDefault="00621836" w:rsidP="003162C1">
            <w:pPr>
              <w:pStyle w:val="BodyText"/>
              <w:rPr>
                <w:color w:val="000000" w:themeColor="text1"/>
              </w:rPr>
            </w:pPr>
            <w:r w:rsidRPr="00A803A6">
              <w:rPr>
                <w:color w:val="000000" w:themeColor="text1"/>
              </w:rPr>
              <w:t>Indicator #3b:</w:t>
            </w:r>
          </w:p>
        </w:tc>
        <w:tc>
          <w:tcPr>
            <w:tcW w:w="7229" w:type="dxa"/>
            <w:vAlign w:val="center"/>
          </w:tcPr>
          <w:p w14:paraId="2A0370D3" w14:textId="77777777" w:rsidR="00621836" w:rsidRPr="00A803A6" w:rsidRDefault="00621836" w:rsidP="003162C1">
            <w:pPr>
              <w:pStyle w:val="BodyText"/>
              <w:rPr>
                <w:bCs/>
                <w:color w:val="000000" w:themeColor="text1"/>
              </w:rPr>
            </w:pPr>
            <w:r w:rsidRPr="00A803A6">
              <w:rPr>
                <w:bCs/>
                <w:color w:val="000000" w:themeColor="text1"/>
              </w:rPr>
              <w:t xml:space="preserve">People </w:t>
            </w:r>
            <w:r w:rsidRPr="00A803A6">
              <w:rPr>
                <w:color w:val="000000" w:themeColor="text1"/>
              </w:rPr>
              <w:t xml:space="preserve">dispensed codeine </w:t>
            </w:r>
            <w:r w:rsidRPr="00EF1225">
              <w:rPr>
                <w:color w:val="000000" w:themeColor="text1"/>
              </w:rPr>
              <w:t xml:space="preserve">one or more times </w:t>
            </w:r>
            <w:r w:rsidRPr="00EF1225">
              <w:rPr>
                <w:bCs/>
                <w:color w:val="000000" w:themeColor="text1"/>
              </w:rPr>
              <w:t>in a year</w:t>
            </w:r>
          </w:p>
        </w:tc>
      </w:tr>
      <w:tr w:rsidR="00621836" w:rsidRPr="00A803A6" w14:paraId="4F8D1B4C" w14:textId="77777777" w:rsidTr="003162C1">
        <w:trPr>
          <w:trHeight w:val="327"/>
        </w:trPr>
        <w:tc>
          <w:tcPr>
            <w:tcW w:w="2122" w:type="dxa"/>
          </w:tcPr>
          <w:p w14:paraId="28FECC85" w14:textId="77777777" w:rsidR="00621836" w:rsidRPr="00A803A6" w:rsidRDefault="00621836" w:rsidP="003162C1">
            <w:pPr>
              <w:pStyle w:val="BodyText"/>
              <w:rPr>
                <w:color w:val="000000" w:themeColor="text1"/>
              </w:rPr>
            </w:pPr>
            <w:r w:rsidRPr="00A803A6">
              <w:rPr>
                <w:color w:val="000000" w:themeColor="text1"/>
              </w:rPr>
              <w:t>Numerator</w:t>
            </w:r>
          </w:p>
        </w:tc>
        <w:tc>
          <w:tcPr>
            <w:tcW w:w="7229" w:type="dxa"/>
            <w:vAlign w:val="bottom"/>
          </w:tcPr>
          <w:p w14:paraId="51F8C43C"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enrolled population who were dispensed codeine during the calendar year</w:t>
            </w:r>
          </w:p>
        </w:tc>
      </w:tr>
      <w:tr w:rsidR="00621836" w:rsidRPr="00A803A6" w14:paraId="01AC4851" w14:textId="77777777" w:rsidTr="003162C1">
        <w:trPr>
          <w:trHeight w:val="327"/>
        </w:trPr>
        <w:tc>
          <w:tcPr>
            <w:tcW w:w="2122" w:type="dxa"/>
          </w:tcPr>
          <w:p w14:paraId="735D02DB" w14:textId="77777777" w:rsidR="00621836" w:rsidRPr="00A803A6" w:rsidRDefault="00621836" w:rsidP="003162C1">
            <w:pPr>
              <w:pStyle w:val="BodyText"/>
              <w:rPr>
                <w:color w:val="000000" w:themeColor="text1"/>
              </w:rPr>
            </w:pPr>
            <w:r w:rsidRPr="00A803A6">
              <w:rPr>
                <w:bCs/>
                <w:color w:val="000000" w:themeColor="text1"/>
              </w:rPr>
              <w:t>Denominator</w:t>
            </w:r>
          </w:p>
        </w:tc>
        <w:tc>
          <w:tcPr>
            <w:tcW w:w="7229" w:type="dxa"/>
            <w:vAlign w:val="bottom"/>
          </w:tcPr>
          <w:p w14:paraId="52437A01"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enrolled population during the calendar year</w:t>
            </w:r>
          </w:p>
        </w:tc>
      </w:tr>
      <w:tr w:rsidR="00621836" w:rsidRPr="00A803A6" w14:paraId="7C4632DA" w14:textId="77777777" w:rsidTr="003162C1">
        <w:trPr>
          <w:trHeight w:val="327"/>
        </w:trPr>
        <w:tc>
          <w:tcPr>
            <w:tcW w:w="2122" w:type="dxa"/>
          </w:tcPr>
          <w:p w14:paraId="495EF7A2" w14:textId="77777777" w:rsidR="00621836" w:rsidRPr="00A803A6" w:rsidRDefault="00621836" w:rsidP="003162C1">
            <w:pPr>
              <w:pStyle w:val="BodyText"/>
              <w:rPr>
                <w:color w:val="000000" w:themeColor="text1"/>
              </w:rPr>
            </w:pPr>
            <w:r w:rsidRPr="00A803A6">
              <w:rPr>
                <w:bCs/>
                <w:color w:val="000000" w:themeColor="text1"/>
              </w:rPr>
              <w:t>Data source</w:t>
            </w:r>
          </w:p>
        </w:tc>
        <w:tc>
          <w:tcPr>
            <w:tcW w:w="7229" w:type="dxa"/>
            <w:vAlign w:val="bottom"/>
          </w:tcPr>
          <w:p w14:paraId="5B4EE223" w14:textId="77777777" w:rsidR="00621836" w:rsidRPr="00A803A6" w:rsidRDefault="00621836" w:rsidP="003162C1">
            <w:pPr>
              <w:pStyle w:val="BodyText"/>
              <w:rPr>
                <w:color w:val="000000" w:themeColor="text1"/>
              </w:rPr>
            </w:pPr>
            <w:r w:rsidRPr="00A803A6">
              <w:rPr>
                <w:color w:val="000000" w:themeColor="text1"/>
              </w:rPr>
              <w:t xml:space="preserve">Pharmaceutical Collection, </w:t>
            </w:r>
            <w:r w:rsidRPr="00A803A6">
              <w:rPr>
                <w:bCs/>
                <w:color w:val="000000" w:themeColor="text1"/>
              </w:rPr>
              <w:t>PHO Enrolment Collection</w:t>
            </w:r>
          </w:p>
        </w:tc>
      </w:tr>
      <w:tr w:rsidR="00621836" w:rsidRPr="00A803A6" w14:paraId="33CAE809" w14:textId="77777777" w:rsidTr="003162C1">
        <w:trPr>
          <w:trHeight w:val="327"/>
        </w:trPr>
        <w:tc>
          <w:tcPr>
            <w:tcW w:w="2122" w:type="dxa"/>
          </w:tcPr>
          <w:p w14:paraId="2C19C2BE" w14:textId="77777777" w:rsidR="00621836" w:rsidRPr="00A803A6" w:rsidRDefault="00621836" w:rsidP="003162C1">
            <w:pPr>
              <w:pStyle w:val="BodyText"/>
              <w:rPr>
                <w:color w:val="000000" w:themeColor="text1"/>
              </w:rPr>
            </w:pPr>
            <w:r w:rsidRPr="00A803A6">
              <w:rPr>
                <w:bCs/>
                <w:color w:val="000000" w:themeColor="text1"/>
              </w:rPr>
              <w:t>Analysis</w:t>
            </w:r>
          </w:p>
        </w:tc>
        <w:tc>
          <w:tcPr>
            <w:tcW w:w="7229" w:type="dxa"/>
            <w:vAlign w:val="bottom"/>
          </w:tcPr>
          <w:p w14:paraId="7350BC13" w14:textId="77777777" w:rsidR="00621836" w:rsidRPr="00A803A6" w:rsidRDefault="00621836" w:rsidP="003162C1">
            <w:pPr>
              <w:pStyle w:val="BodyText"/>
              <w:rPr>
                <w:color w:val="000000" w:themeColor="text1"/>
              </w:rPr>
            </w:pPr>
            <w:r w:rsidRPr="00A803A6">
              <w:rPr>
                <w:color w:val="000000" w:themeColor="text1"/>
              </w:rPr>
              <w:t xml:space="preserve">District analysis: By year (2019 –2023), age group (0–24, 25–64; 65–79 and 80 and over), gender (female, male), ethnic group (Māori, Pacific peoples, </w:t>
            </w:r>
            <w:r>
              <w:rPr>
                <w:color w:val="000000" w:themeColor="text1"/>
              </w:rPr>
              <w:t xml:space="preserve">Asian and </w:t>
            </w:r>
            <w:r w:rsidRPr="00A803A6">
              <w:rPr>
                <w:color w:val="000000" w:themeColor="text1"/>
              </w:rPr>
              <w:t>European/Other) and Health New Zealand district of domicile.</w:t>
            </w:r>
          </w:p>
          <w:p w14:paraId="7B4C28EC" w14:textId="77777777" w:rsidR="00621836" w:rsidRPr="00A803A6" w:rsidRDefault="00621836" w:rsidP="003162C1">
            <w:pPr>
              <w:pStyle w:val="BodyText"/>
              <w:rPr>
                <w:color w:val="000000" w:themeColor="text1"/>
              </w:rPr>
            </w:pPr>
            <w:r w:rsidRPr="00A803A6">
              <w:rPr>
                <w:color w:val="000000" w:themeColor="text1"/>
              </w:rPr>
              <w:t>PHO analysis: By year (2023), age group, gender, ethnic group, Primary Health Organisation (PHO) most recently enrolled with (for the relevant year), PHO group (small, medium, medium-large and large).</w:t>
            </w:r>
          </w:p>
        </w:tc>
      </w:tr>
      <w:tr w:rsidR="00621836" w:rsidRPr="00A803A6" w14:paraId="6C3668DA" w14:textId="77777777" w:rsidTr="003162C1">
        <w:trPr>
          <w:trHeight w:val="58"/>
        </w:trPr>
        <w:tc>
          <w:tcPr>
            <w:tcW w:w="2122" w:type="dxa"/>
          </w:tcPr>
          <w:p w14:paraId="0A347651" w14:textId="77777777" w:rsidR="00621836" w:rsidRPr="00A803A6" w:rsidRDefault="00621836" w:rsidP="003162C1">
            <w:pPr>
              <w:pStyle w:val="BodyText"/>
              <w:rPr>
                <w:color w:val="000000" w:themeColor="text1"/>
              </w:rPr>
            </w:pPr>
            <w:r w:rsidRPr="00A803A6">
              <w:rPr>
                <w:color w:val="000000" w:themeColor="text1"/>
              </w:rPr>
              <w:t>Medication</w:t>
            </w:r>
          </w:p>
        </w:tc>
        <w:tc>
          <w:tcPr>
            <w:tcW w:w="7229" w:type="dxa"/>
            <w:vAlign w:val="bottom"/>
          </w:tcPr>
          <w:p w14:paraId="19ABBB20" w14:textId="77777777" w:rsidR="00621836" w:rsidRPr="00A803A6" w:rsidRDefault="00621836" w:rsidP="003162C1">
            <w:pPr>
              <w:pStyle w:val="BodyText"/>
              <w:rPr>
                <w:color w:val="000000" w:themeColor="text1"/>
              </w:rPr>
            </w:pPr>
            <w:r w:rsidRPr="00A803A6">
              <w:rPr>
                <w:color w:val="000000" w:themeColor="text1"/>
              </w:rPr>
              <w:t>1332 Codeine phosphate; 2427 Dihydrocodeine tartrate</w:t>
            </w:r>
          </w:p>
        </w:tc>
      </w:tr>
      <w:tr w:rsidR="00621836" w:rsidRPr="00A803A6" w14:paraId="09D1C3FE" w14:textId="77777777" w:rsidTr="003162C1">
        <w:trPr>
          <w:trHeight w:val="585"/>
        </w:trPr>
        <w:tc>
          <w:tcPr>
            <w:tcW w:w="2122" w:type="dxa"/>
          </w:tcPr>
          <w:p w14:paraId="7E61762B" w14:textId="77777777" w:rsidR="00621836" w:rsidRPr="00A803A6" w:rsidRDefault="00621836" w:rsidP="003162C1">
            <w:pPr>
              <w:pStyle w:val="BodyText"/>
              <w:rPr>
                <w:color w:val="000000" w:themeColor="text1"/>
              </w:rPr>
            </w:pPr>
            <w:r w:rsidRPr="00A803A6">
              <w:rPr>
                <w:color w:val="000000" w:themeColor="text1"/>
              </w:rPr>
              <w:t>Comment</w:t>
            </w:r>
          </w:p>
        </w:tc>
        <w:tc>
          <w:tcPr>
            <w:tcW w:w="7229" w:type="dxa"/>
            <w:vAlign w:val="bottom"/>
          </w:tcPr>
          <w:p w14:paraId="7BFF3CF0" w14:textId="77777777" w:rsidR="00621836" w:rsidRPr="00A803A6" w:rsidRDefault="00621836" w:rsidP="003162C1">
            <w:pPr>
              <w:pStyle w:val="BodyText"/>
              <w:rPr>
                <w:color w:val="000000" w:themeColor="text1"/>
              </w:rPr>
            </w:pPr>
            <w:r w:rsidRPr="00A803A6">
              <w:rPr>
                <w:color w:val="000000" w:themeColor="text1"/>
              </w:rPr>
              <w:t xml:space="preserve">Paracetamol with codeine was excluded on the basis that these contain </w:t>
            </w:r>
            <w:r w:rsidRPr="00A803A6">
              <w:rPr>
                <w:color w:val="000000" w:themeColor="text1"/>
              </w:rPr>
              <w:lastRenderedPageBreak/>
              <w:t>a much lower dose of codeine.</w:t>
            </w:r>
          </w:p>
        </w:tc>
      </w:tr>
      <w:tr w:rsidR="00621836" w:rsidRPr="00A803A6" w14:paraId="0B8CA2DF" w14:textId="77777777" w:rsidTr="003162C1">
        <w:trPr>
          <w:trHeight w:val="585"/>
        </w:trPr>
        <w:tc>
          <w:tcPr>
            <w:tcW w:w="2122" w:type="dxa"/>
          </w:tcPr>
          <w:p w14:paraId="4F58A40A" w14:textId="77777777" w:rsidR="00621836" w:rsidRPr="00A803A6" w:rsidRDefault="00621836" w:rsidP="003162C1">
            <w:pPr>
              <w:pStyle w:val="BodyText"/>
              <w:rPr>
                <w:color w:val="000000" w:themeColor="text1"/>
              </w:rPr>
            </w:pPr>
            <w:r w:rsidRPr="00A803A6">
              <w:rPr>
                <w:color w:val="000000" w:themeColor="text1"/>
              </w:rPr>
              <w:lastRenderedPageBreak/>
              <w:t>Commentary</w:t>
            </w:r>
          </w:p>
        </w:tc>
        <w:tc>
          <w:tcPr>
            <w:tcW w:w="7229" w:type="dxa"/>
            <w:vAlign w:val="bottom"/>
          </w:tcPr>
          <w:p w14:paraId="1699F963" w14:textId="77777777" w:rsidR="00621836" w:rsidRPr="00A803A6" w:rsidRDefault="00621836" w:rsidP="00140865">
            <w:pPr>
              <w:pStyle w:val="BodyText"/>
              <w:spacing w:after="0"/>
              <w:rPr>
                <w:color w:val="000000" w:themeColor="text1"/>
              </w:rPr>
            </w:pPr>
            <w:r w:rsidRPr="00A803A6">
              <w:rPr>
                <w:color w:val="000000" w:themeColor="text1"/>
              </w:rPr>
              <w:t xml:space="preserve">Description: People dispensed codeine </w:t>
            </w:r>
            <w:r>
              <w:rPr>
                <w:color w:val="000000" w:themeColor="text1"/>
              </w:rPr>
              <w:t xml:space="preserve">one or more times </w:t>
            </w:r>
            <w:r w:rsidRPr="00A803A6">
              <w:rPr>
                <w:color w:val="000000" w:themeColor="text1"/>
              </w:rPr>
              <w:t>in a year.</w:t>
            </w:r>
          </w:p>
          <w:p w14:paraId="2C011811" w14:textId="77777777" w:rsidR="00621836" w:rsidRPr="00EB2819" w:rsidRDefault="00621836" w:rsidP="00140865">
            <w:pPr>
              <w:pStyle w:val="BodyText"/>
              <w:spacing w:before="240" w:after="0"/>
              <w:rPr>
                <w:color w:val="000000" w:themeColor="text1"/>
              </w:rPr>
            </w:pPr>
            <w:r w:rsidRPr="00EB2819">
              <w:rPr>
                <w:color w:val="000000" w:themeColor="text1"/>
              </w:rPr>
              <w:t xml:space="preserve">This indicator shows the number and rate per 1,000 of </w:t>
            </w:r>
            <w:r>
              <w:rPr>
                <w:color w:val="000000" w:themeColor="text1"/>
              </w:rPr>
              <w:t xml:space="preserve">the </w:t>
            </w:r>
            <w:r w:rsidRPr="00EB2819">
              <w:rPr>
                <w:color w:val="000000" w:themeColor="text1"/>
              </w:rPr>
              <w:t xml:space="preserve">PHO-enrolled population who had </w:t>
            </w:r>
            <w:r>
              <w:rPr>
                <w:color w:val="000000" w:themeColor="text1"/>
              </w:rPr>
              <w:t xml:space="preserve">dispensed </w:t>
            </w:r>
            <w:r w:rsidRPr="00EB2819">
              <w:rPr>
                <w:color w:val="000000" w:themeColor="text1"/>
              </w:rPr>
              <w:t>codeine and dihydrocodeine</w:t>
            </w:r>
            <w:r>
              <w:rPr>
                <w:color w:val="000000" w:themeColor="text1"/>
              </w:rPr>
              <w:t xml:space="preserve"> to them by a community pharmacy,</w:t>
            </w:r>
            <w:r w:rsidRPr="00EB2819">
              <w:rPr>
                <w:color w:val="000000" w:themeColor="text1"/>
              </w:rPr>
              <w:t xml:space="preserve"> by year (2019</w:t>
            </w:r>
            <w:r>
              <w:rPr>
                <w:color w:val="000000" w:themeColor="text1"/>
              </w:rPr>
              <w:t xml:space="preserve"> to 2023</w:t>
            </w:r>
            <w:r w:rsidRPr="00EB2819">
              <w:rPr>
                <w:color w:val="000000" w:themeColor="text1"/>
              </w:rPr>
              <w:t>),</w:t>
            </w:r>
            <w:r>
              <w:rPr>
                <w:color w:val="000000" w:themeColor="text1"/>
              </w:rPr>
              <w:t xml:space="preserve"> </w:t>
            </w:r>
            <w:r w:rsidRPr="00EB2819">
              <w:rPr>
                <w:color w:val="000000" w:themeColor="text1"/>
              </w:rPr>
              <w:t>ethnic group, age group, gender</w:t>
            </w:r>
            <w:r>
              <w:rPr>
                <w:color w:val="000000" w:themeColor="text1"/>
              </w:rPr>
              <w:t>.</w:t>
            </w:r>
            <w:r w:rsidRPr="00EB2819">
              <w:rPr>
                <w:color w:val="000000" w:themeColor="text1"/>
              </w:rPr>
              <w:t xml:space="preserve"> </w:t>
            </w:r>
          </w:p>
          <w:p w14:paraId="41051A7E" w14:textId="77777777" w:rsidR="00621836" w:rsidRPr="00EB2819" w:rsidRDefault="00621836" w:rsidP="00140865">
            <w:pPr>
              <w:pStyle w:val="BodyText"/>
              <w:spacing w:before="240" w:after="0"/>
              <w:rPr>
                <w:color w:val="000000" w:themeColor="text1"/>
              </w:rPr>
            </w:pPr>
            <w:r w:rsidRPr="00EB2819">
              <w:rPr>
                <w:color w:val="000000" w:themeColor="text1"/>
              </w:rPr>
              <w:t xml:space="preserve">Note: A weak opioid is classed as step 2 of the WHO analgesic ladder. </w:t>
            </w:r>
            <w:r>
              <w:rPr>
                <w:color w:val="000000" w:themeColor="text1"/>
              </w:rPr>
              <w:t>This includes codeine and dihydrocodeine, which is subsidised i</w:t>
            </w:r>
            <w:r w:rsidRPr="00EB2819">
              <w:rPr>
                <w:color w:val="000000" w:themeColor="text1"/>
              </w:rPr>
              <w:t>n New Zealand</w:t>
            </w:r>
            <w:r>
              <w:rPr>
                <w:color w:val="000000" w:themeColor="text1"/>
              </w:rPr>
              <w:t>.</w:t>
            </w:r>
            <w:r w:rsidRPr="00EB2819">
              <w:rPr>
                <w:color w:val="000000" w:themeColor="text1"/>
              </w:rPr>
              <w:t xml:space="preserve"> Paracetamol with codeine was excluded.</w:t>
            </w:r>
          </w:p>
          <w:p w14:paraId="7BD63733" w14:textId="77777777" w:rsidR="00621836" w:rsidRPr="003162C1" w:rsidRDefault="00621836" w:rsidP="00140865">
            <w:pPr>
              <w:pStyle w:val="BodyText"/>
              <w:spacing w:before="240" w:after="0"/>
              <w:rPr>
                <w:b/>
                <w:bCs/>
                <w:color w:val="000000" w:themeColor="text1"/>
              </w:rPr>
            </w:pPr>
            <w:r w:rsidRPr="003162C1">
              <w:rPr>
                <w:b/>
                <w:bCs/>
                <w:color w:val="000000" w:themeColor="text1"/>
              </w:rPr>
              <w:t xml:space="preserve">Why this indicator is important </w:t>
            </w:r>
          </w:p>
          <w:p w14:paraId="6410A127" w14:textId="77777777" w:rsidR="00621836" w:rsidRPr="00EB2819" w:rsidRDefault="00621836" w:rsidP="00140865">
            <w:pPr>
              <w:pStyle w:val="BodyText"/>
              <w:spacing w:before="240" w:after="0"/>
              <w:rPr>
                <w:color w:val="000000" w:themeColor="text1"/>
              </w:rPr>
            </w:pPr>
            <w:r w:rsidRPr="00EB2819">
              <w:rPr>
                <w:color w:val="000000" w:themeColor="text1"/>
              </w:rPr>
              <w:t>The IHI classes opioids as one of four groups of medicines (along with anticoagulants, insulin and sedatives) that can cause harm to patients, even when used as intended. As with strong opioids, continuous use of a weak opioid for six weeks or more raises questions on appropriateness of use.</w:t>
            </w:r>
          </w:p>
          <w:p w14:paraId="6D03384C" w14:textId="77777777" w:rsidR="00621836" w:rsidRPr="00E57A3E" w:rsidRDefault="00621836" w:rsidP="00140865">
            <w:pPr>
              <w:pStyle w:val="BodyText"/>
              <w:spacing w:before="240" w:after="0"/>
              <w:rPr>
                <w:b/>
                <w:bCs/>
                <w:color w:val="000000" w:themeColor="text1"/>
              </w:rPr>
            </w:pPr>
            <w:r w:rsidRPr="00E57A3E">
              <w:rPr>
                <w:b/>
                <w:bCs/>
                <w:color w:val="000000" w:themeColor="text1"/>
              </w:rPr>
              <w:t xml:space="preserve">What questions does this prompt? </w:t>
            </w:r>
          </w:p>
          <w:p w14:paraId="2F93A15D" w14:textId="77777777" w:rsidR="00621836" w:rsidRPr="00EB2819" w:rsidRDefault="00621836" w:rsidP="00140865">
            <w:pPr>
              <w:pStyle w:val="BodyText"/>
              <w:numPr>
                <w:ilvl w:val="0"/>
                <w:numId w:val="16"/>
              </w:numPr>
              <w:spacing w:before="240" w:after="0"/>
              <w:rPr>
                <w:color w:val="000000" w:themeColor="text1"/>
              </w:rPr>
            </w:pPr>
            <w:r w:rsidRPr="00EB2819">
              <w:rPr>
                <w:color w:val="000000" w:themeColor="text1"/>
              </w:rPr>
              <w:t>Why are some districts consistently lower or higher than the national mean?</w:t>
            </w:r>
          </w:p>
          <w:p w14:paraId="4DA23A09" w14:textId="77777777" w:rsidR="00621836" w:rsidRPr="00EB2819" w:rsidRDefault="00621836" w:rsidP="00140865">
            <w:pPr>
              <w:pStyle w:val="BodyText"/>
              <w:numPr>
                <w:ilvl w:val="0"/>
                <w:numId w:val="16"/>
              </w:numPr>
              <w:spacing w:before="240" w:after="0"/>
              <w:rPr>
                <w:color w:val="000000" w:themeColor="text1"/>
              </w:rPr>
            </w:pPr>
            <w:r w:rsidRPr="00EB2819">
              <w:rPr>
                <w:color w:val="000000" w:themeColor="text1"/>
              </w:rPr>
              <w:t>How do similar districts compare?</w:t>
            </w:r>
          </w:p>
          <w:p w14:paraId="63994F86" w14:textId="77777777" w:rsidR="00621836" w:rsidRPr="00C0387F" w:rsidRDefault="00621836" w:rsidP="00140865">
            <w:pPr>
              <w:pStyle w:val="BodyText"/>
              <w:numPr>
                <w:ilvl w:val="0"/>
                <w:numId w:val="16"/>
              </w:numPr>
              <w:spacing w:before="240" w:after="0"/>
              <w:rPr>
                <w:color w:val="000000" w:themeColor="text1"/>
              </w:rPr>
            </w:pPr>
            <w:r w:rsidRPr="00EB2819">
              <w:rPr>
                <w:color w:val="000000" w:themeColor="text1"/>
              </w:rPr>
              <w:t xml:space="preserve">Looking at local data, how many people receive a </w:t>
            </w:r>
            <w:r>
              <w:rPr>
                <w:color w:val="000000" w:themeColor="text1"/>
              </w:rPr>
              <w:t>codeine</w:t>
            </w:r>
            <w:r w:rsidRPr="00EB2819">
              <w:rPr>
                <w:color w:val="000000" w:themeColor="text1"/>
              </w:rPr>
              <w:t xml:space="preserve"> for six or more weeks?</w:t>
            </w:r>
          </w:p>
        </w:tc>
      </w:tr>
    </w:tbl>
    <w:p w14:paraId="2D50FAA9" w14:textId="77777777" w:rsidR="00621836" w:rsidRPr="00A803A6" w:rsidRDefault="00621836" w:rsidP="00621836">
      <w:pPr>
        <w:rPr>
          <w:color w:val="000000" w:themeColor="text1"/>
        </w:rPr>
      </w:pPr>
    </w:p>
    <w:p w14:paraId="16AD0156" w14:textId="77777777" w:rsidR="00621836" w:rsidRPr="00A803A6" w:rsidRDefault="00621836" w:rsidP="00621836">
      <w:pPr>
        <w:pStyle w:val="Heading3"/>
        <w:numPr>
          <w:ilvl w:val="0"/>
          <w:numId w:val="12"/>
        </w:numPr>
        <w:tabs>
          <w:tab w:val="num" w:pos="360"/>
        </w:tabs>
        <w:rPr>
          <w:color w:val="000000" w:themeColor="text1"/>
        </w:rPr>
      </w:pPr>
      <w:bookmarkStart w:id="11" w:name="_Toc210140428"/>
      <w:r w:rsidRPr="00A803A6">
        <w:rPr>
          <w:color w:val="000000" w:themeColor="text1"/>
        </w:rPr>
        <w:t>People dispensed morphine one or more times in a year</w:t>
      </w:r>
      <w:bookmarkEnd w:id="11"/>
    </w:p>
    <w:tbl>
      <w:tblPr>
        <w:tblW w:w="9351"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781"/>
        <w:gridCol w:w="7570"/>
      </w:tblGrid>
      <w:tr w:rsidR="00621836" w:rsidRPr="00A803A6" w14:paraId="79C1DD72" w14:textId="77777777" w:rsidTr="003162C1">
        <w:trPr>
          <w:trHeight w:val="327"/>
        </w:trPr>
        <w:tc>
          <w:tcPr>
            <w:tcW w:w="1781" w:type="dxa"/>
          </w:tcPr>
          <w:p w14:paraId="0618EEDA" w14:textId="77777777" w:rsidR="00621836" w:rsidRPr="00A803A6" w:rsidRDefault="00621836" w:rsidP="003162C1">
            <w:pPr>
              <w:pStyle w:val="BodyText"/>
              <w:rPr>
                <w:b/>
                <w:bCs/>
                <w:color w:val="000000" w:themeColor="text1"/>
              </w:rPr>
            </w:pPr>
            <w:r w:rsidRPr="00A803A6">
              <w:rPr>
                <w:b/>
                <w:bCs/>
                <w:color w:val="000000" w:themeColor="text1"/>
              </w:rPr>
              <w:br w:type="page"/>
              <w:t>Indicator #4:</w:t>
            </w:r>
          </w:p>
        </w:tc>
        <w:tc>
          <w:tcPr>
            <w:tcW w:w="7570" w:type="dxa"/>
            <w:vAlign w:val="bottom"/>
          </w:tcPr>
          <w:p w14:paraId="058FD3ED" w14:textId="77777777" w:rsidR="00621836" w:rsidRPr="00A803A6" w:rsidRDefault="00621836" w:rsidP="003162C1">
            <w:pPr>
              <w:pStyle w:val="BodyText"/>
              <w:rPr>
                <w:color w:val="000000" w:themeColor="text1"/>
              </w:rPr>
            </w:pPr>
            <w:r w:rsidRPr="00A803A6">
              <w:rPr>
                <w:bCs/>
                <w:color w:val="000000" w:themeColor="text1"/>
              </w:rPr>
              <w:t>People dispensed morphine one or more times in a year</w:t>
            </w:r>
          </w:p>
        </w:tc>
      </w:tr>
      <w:tr w:rsidR="00621836" w:rsidRPr="00A803A6" w14:paraId="528C994D" w14:textId="77777777" w:rsidTr="003162C1">
        <w:trPr>
          <w:trHeight w:val="327"/>
        </w:trPr>
        <w:tc>
          <w:tcPr>
            <w:tcW w:w="1781" w:type="dxa"/>
          </w:tcPr>
          <w:p w14:paraId="1D596104" w14:textId="77777777" w:rsidR="00621836" w:rsidRPr="00A803A6" w:rsidRDefault="00621836" w:rsidP="003162C1">
            <w:pPr>
              <w:pStyle w:val="BodyText"/>
              <w:rPr>
                <w:b/>
                <w:bCs/>
                <w:color w:val="000000" w:themeColor="text1"/>
              </w:rPr>
            </w:pPr>
            <w:r w:rsidRPr="00A803A6">
              <w:rPr>
                <w:b/>
                <w:bCs/>
                <w:color w:val="000000" w:themeColor="text1"/>
              </w:rPr>
              <w:t>Numerator</w:t>
            </w:r>
          </w:p>
        </w:tc>
        <w:tc>
          <w:tcPr>
            <w:tcW w:w="7570" w:type="dxa"/>
            <w:vAlign w:val="bottom"/>
          </w:tcPr>
          <w:p w14:paraId="08EBA103"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enrolled population who were dispensed morphine during the calendar year</w:t>
            </w:r>
          </w:p>
        </w:tc>
      </w:tr>
      <w:tr w:rsidR="00621836" w:rsidRPr="00A803A6" w14:paraId="2B61C9A8" w14:textId="77777777" w:rsidTr="003162C1">
        <w:trPr>
          <w:trHeight w:val="327"/>
        </w:trPr>
        <w:tc>
          <w:tcPr>
            <w:tcW w:w="1781" w:type="dxa"/>
          </w:tcPr>
          <w:p w14:paraId="76E1F510" w14:textId="77777777" w:rsidR="00621836" w:rsidRPr="00A803A6" w:rsidRDefault="00621836" w:rsidP="003162C1">
            <w:pPr>
              <w:pStyle w:val="BodyText"/>
              <w:rPr>
                <w:b/>
                <w:bCs/>
                <w:color w:val="000000" w:themeColor="text1"/>
              </w:rPr>
            </w:pPr>
            <w:r w:rsidRPr="00A803A6">
              <w:rPr>
                <w:b/>
                <w:bCs/>
                <w:color w:val="000000" w:themeColor="text1"/>
              </w:rPr>
              <w:t>Denominator</w:t>
            </w:r>
          </w:p>
        </w:tc>
        <w:tc>
          <w:tcPr>
            <w:tcW w:w="7570" w:type="dxa"/>
            <w:vAlign w:val="bottom"/>
          </w:tcPr>
          <w:p w14:paraId="55835BB3"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enrolled population during the calendar year</w:t>
            </w:r>
          </w:p>
        </w:tc>
      </w:tr>
      <w:tr w:rsidR="00621836" w:rsidRPr="00A803A6" w14:paraId="28AEFC3F" w14:textId="77777777" w:rsidTr="003162C1">
        <w:trPr>
          <w:trHeight w:val="327"/>
        </w:trPr>
        <w:tc>
          <w:tcPr>
            <w:tcW w:w="1781" w:type="dxa"/>
          </w:tcPr>
          <w:p w14:paraId="6181ED86" w14:textId="77777777" w:rsidR="00621836" w:rsidRPr="00A803A6" w:rsidRDefault="00621836" w:rsidP="003162C1">
            <w:pPr>
              <w:pStyle w:val="BodyText"/>
              <w:rPr>
                <w:b/>
                <w:bCs/>
                <w:color w:val="000000" w:themeColor="text1"/>
              </w:rPr>
            </w:pPr>
            <w:r w:rsidRPr="00A803A6">
              <w:rPr>
                <w:b/>
                <w:bCs/>
                <w:color w:val="000000" w:themeColor="text1"/>
              </w:rPr>
              <w:t>Data source</w:t>
            </w:r>
          </w:p>
        </w:tc>
        <w:tc>
          <w:tcPr>
            <w:tcW w:w="7570" w:type="dxa"/>
            <w:vAlign w:val="bottom"/>
          </w:tcPr>
          <w:p w14:paraId="5082100F" w14:textId="77777777" w:rsidR="00621836" w:rsidRPr="00A803A6" w:rsidRDefault="00621836" w:rsidP="003162C1">
            <w:pPr>
              <w:pStyle w:val="BodyText"/>
              <w:rPr>
                <w:color w:val="000000" w:themeColor="text1"/>
              </w:rPr>
            </w:pPr>
            <w:r w:rsidRPr="00A803A6">
              <w:rPr>
                <w:color w:val="000000" w:themeColor="text1"/>
              </w:rPr>
              <w:t xml:space="preserve">Pharmaceutical Collection, </w:t>
            </w:r>
            <w:r w:rsidRPr="00A803A6">
              <w:rPr>
                <w:bCs/>
                <w:color w:val="000000" w:themeColor="text1"/>
              </w:rPr>
              <w:t>PHO Enrolment Collection</w:t>
            </w:r>
          </w:p>
        </w:tc>
      </w:tr>
      <w:tr w:rsidR="00621836" w:rsidRPr="00A803A6" w14:paraId="02326279" w14:textId="77777777" w:rsidTr="003162C1">
        <w:trPr>
          <w:trHeight w:val="327"/>
        </w:trPr>
        <w:tc>
          <w:tcPr>
            <w:tcW w:w="1781" w:type="dxa"/>
          </w:tcPr>
          <w:p w14:paraId="5C0FCCD5" w14:textId="77777777" w:rsidR="00621836" w:rsidRPr="00A803A6" w:rsidRDefault="00621836" w:rsidP="003162C1">
            <w:pPr>
              <w:pStyle w:val="BodyText"/>
              <w:rPr>
                <w:b/>
                <w:bCs/>
                <w:color w:val="000000" w:themeColor="text1"/>
              </w:rPr>
            </w:pPr>
            <w:r w:rsidRPr="00A803A6">
              <w:rPr>
                <w:b/>
                <w:bCs/>
                <w:color w:val="000000" w:themeColor="text1"/>
              </w:rPr>
              <w:t>Analysis</w:t>
            </w:r>
          </w:p>
        </w:tc>
        <w:tc>
          <w:tcPr>
            <w:tcW w:w="7570" w:type="dxa"/>
            <w:vAlign w:val="bottom"/>
          </w:tcPr>
          <w:p w14:paraId="65320050" w14:textId="77777777" w:rsidR="00621836" w:rsidRPr="00A803A6" w:rsidRDefault="00621836" w:rsidP="003162C1">
            <w:pPr>
              <w:pStyle w:val="BodyText"/>
              <w:rPr>
                <w:color w:val="000000" w:themeColor="text1"/>
              </w:rPr>
            </w:pPr>
            <w:r w:rsidRPr="00A803A6">
              <w:rPr>
                <w:color w:val="000000" w:themeColor="text1"/>
              </w:rPr>
              <w:t xml:space="preserve">District analysis: By year (2019 –2023), age group (0–24, 25–64; 65–79 and 80 and over), gender (female, male), ethnic group (Māori, Pacific peoples, </w:t>
            </w:r>
            <w:r>
              <w:rPr>
                <w:color w:val="000000" w:themeColor="text1"/>
              </w:rPr>
              <w:t xml:space="preserve">Asian and </w:t>
            </w:r>
            <w:r w:rsidRPr="00A803A6">
              <w:rPr>
                <w:color w:val="000000" w:themeColor="text1"/>
              </w:rPr>
              <w:t>European/Other) and Health New Zealand district of domicile.</w:t>
            </w:r>
          </w:p>
          <w:p w14:paraId="4A42DD58" w14:textId="77777777" w:rsidR="00621836" w:rsidRPr="00A803A6" w:rsidRDefault="00621836" w:rsidP="003162C1">
            <w:pPr>
              <w:pStyle w:val="BodyText"/>
              <w:rPr>
                <w:color w:val="000000" w:themeColor="text1"/>
              </w:rPr>
            </w:pPr>
            <w:r w:rsidRPr="00A803A6">
              <w:rPr>
                <w:color w:val="000000" w:themeColor="text1"/>
              </w:rPr>
              <w:t>PHO analysis: By year (2023), age group, gender, ethnic group, Primary Health Organisation (PHO) most recently enrolled with (for the relevant year), PHO group (small, medium, medium-large and large).</w:t>
            </w:r>
          </w:p>
        </w:tc>
      </w:tr>
      <w:tr w:rsidR="00621836" w:rsidRPr="00A803A6" w14:paraId="57C52306" w14:textId="77777777" w:rsidTr="003162C1">
        <w:trPr>
          <w:trHeight w:val="58"/>
        </w:trPr>
        <w:tc>
          <w:tcPr>
            <w:tcW w:w="1781" w:type="dxa"/>
          </w:tcPr>
          <w:p w14:paraId="61F865D7" w14:textId="77777777" w:rsidR="00621836" w:rsidRPr="00A803A6" w:rsidRDefault="00621836" w:rsidP="003162C1">
            <w:pPr>
              <w:pStyle w:val="BodyText"/>
              <w:rPr>
                <w:b/>
                <w:bCs/>
                <w:color w:val="000000" w:themeColor="text1"/>
              </w:rPr>
            </w:pPr>
            <w:r w:rsidRPr="00A803A6">
              <w:rPr>
                <w:b/>
                <w:bCs/>
                <w:color w:val="000000" w:themeColor="text1"/>
              </w:rPr>
              <w:lastRenderedPageBreak/>
              <w:t xml:space="preserve">Medication </w:t>
            </w:r>
          </w:p>
        </w:tc>
        <w:tc>
          <w:tcPr>
            <w:tcW w:w="7570" w:type="dxa"/>
            <w:vAlign w:val="center"/>
          </w:tcPr>
          <w:p w14:paraId="1167D78E" w14:textId="77777777" w:rsidR="00621836" w:rsidRPr="00A803A6" w:rsidRDefault="00621836" w:rsidP="003162C1">
            <w:pPr>
              <w:pStyle w:val="BodyText"/>
              <w:rPr>
                <w:color w:val="000000" w:themeColor="text1"/>
              </w:rPr>
            </w:pPr>
            <w:r w:rsidRPr="00A803A6">
              <w:rPr>
                <w:color w:val="000000" w:themeColor="text1"/>
              </w:rPr>
              <w:t>1830 Morphine hydrochloride; 1831 Morphine sulphate; 2383 Morphine tartrate</w:t>
            </w:r>
          </w:p>
        </w:tc>
      </w:tr>
      <w:tr w:rsidR="00621836" w:rsidRPr="00A803A6" w14:paraId="779DAD89" w14:textId="77777777" w:rsidTr="003162C1">
        <w:trPr>
          <w:trHeight w:val="58"/>
        </w:trPr>
        <w:tc>
          <w:tcPr>
            <w:tcW w:w="1781" w:type="dxa"/>
          </w:tcPr>
          <w:p w14:paraId="40DD7F1C" w14:textId="77777777" w:rsidR="00621836" w:rsidRPr="00A803A6" w:rsidRDefault="00621836" w:rsidP="00140865">
            <w:pPr>
              <w:pStyle w:val="BodyText"/>
              <w:spacing w:after="0"/>
              <w:rPr>
                <w:b/>
                <w:bCs/>
                <w:color w:val="000000" w:themeColor="text1"/>
              </w:rPr>
            </w:pPr>
            <w:r w:rsidRPr="00A803A6">
              <w:rPr>
                <w:b/>
                <w:bCs/>
                <w:color w:val="000000" w:themeColor="text1"/>
              </w:rPr>
              <w:t>Commentary</w:t>
            </w:r>
          </w:p>
        </w:tc>
        <w:tc>
          <w:tcPr>
            <w:tcW w:w="7570" w:type="dxa"/>
            <w:vAlign w:val="bottom"/>
          </w:tcPr>
          <w:p w14:paraId="0C623E86" w14:textId="77777777" w:rsidR="00621836" w:rsidRPr="00A803A6" w:rsidRDefault="00621836" w:rsidP="00140865">
            <w:pPr>
              <w:pStyle w:val="BodyText"/>
              <w:spacing w:after="0"/>
              <w:rPr>
                <w:color w:val="000000" w:themeColor="text1"/>
              </w:rPr>
            </w:pPr>
            <w:r w:rsidRPr="00A803A6">
              <w:rPr>
                <w:color w:val="000000" w:themeColor="text1"/>
              </w:rPr>
              <w:t>Description: People dispensed morphine one or more times in a year.</w:t>
            </w:r>
          </w:p>
          <w:p w14:paraId="30055CFE" w14:textId="77777777" w:rsidR="00621836" w:rsidRPr="00EB2819" w:rsidRDefault="00621836" w:rsidP="00140865">
            <w:pPr>
              <w:pStyle w:val="BodyText"/>
              <w:spacing w:before="240" w:after="0"/>
              <w:rPr>
                <w:color w:val="000000" w:themeColor="text1"/>
              </w:rPr>
            </w:pPr>
            <w:r w:rsidRPr="00EB2819">
              <w:rPr>
                <w:color w:val="000000" w:themeColor="text1"/>
              </w:rPr>
              <w:t xml:space="preserve">This indicator shows the number and rate per 1,000 of </w:t>
            </w:r>
            <w:r>
              <w:rPr>
                <w:color w:val="000000" w:themeColor="text1"/>
              </w:rPr>
              <w:t xml:space="preserve">the </w:t>
            </w:r>
            <w:r w:rsidRPr="00EB2819">
              <w:rPr>
                <w:color w:val="000000" w:themeColor="text1"/>
              </w:rPr>
              <w:t xml:space="preserve">PHO-enrolled population who had </w:t>
            </w:r>
            <w:r>
              <w:rPr>
                <w:color w:val="000000" w:themeColor="text1"/>
              </w:rPr>
              <w:t>morphine dispensed to them by a community pharmacy,</w:t>
            </w:r>
            <w:r w:rsidRPr="00EB2819">
              <w:rPr>
                <w:color w:val="000000" w:themeColor="text1"/>
              </w:rPr>
              <w:t xml:space="preserve"> by year (2019</w:t>
            </w:r>
            <w:r>
              <w:rPr>
                <w:color w:val="000000" w:themeColor="text1"/>
              </w:rPr>
              <w:t xml:space="preserve"> to 2023</w:t>
            </w:r>
            <w:r w:rsidRPr="00EB2819">
              <w:rPr>
                <w:color w:val="000000" w:themeColor="text1"/>
              </w:rPr>
              <w:t>),</w:t>
            </w:r>
            <w:r>
              <w:rPr>
                <w:color w:val="000000" w:themeColor="text1"/>
              </w:rPr>
              <w:t xml:space="preserve"> </w:t>
            </w:r>
            <w:r w:rsidRPr="00EB2819">
              <w:rPr>
                <w:color w:val="000000" w:themeColor="text1"/>
              </w:rPr>
              <w:t xml:space="preserve">ethnic group, age group, </w:t>
            </w:r>
            <w:r>
              <w:rPr>
                <w:color w:val="000000" w:themeColor="text1"/>
              </w:rPr>
              <w:t xml:space="preserve">and </w:t>
            </w:r>
            <w:r w:rsidRPr="00EB2819">
              <w:rPr>
                <w:color w:val="000000" w:themeColor="text1"/>
              </w:rPr>
              <w:t>gender.</w:t>
            </w:r>
          </w:p>
          <w:p w14:paraId="58CD4C98" w14:textId="77777777" w:rsidR="00621836" w:rsidRPr="001F1CBA" w:rsidRDefault="00621836" w:rsidP="00140865">
            <w:pPr>
              <w:pStyle w:val="BodyText"/>
              <w:spacing w:before="240" w:after="0"/>
              <w:rPr>
                <w:b/>
                <w:bCs/>
                <w:color w:val="000000" w:themeColor="text1"/>
              </w:rPr>
            </w:pPr>
            <w:r w:rsidRPr="001F1CBA">
              <w:rPr>
                <w:b/>
                <w:bCs/>
                <w:color w:val="000000" w:themeColor="text1"/>
              </w:rPr>
              <w:t xml:space="preserve">Why this indicator is important </w:t>
            </w:r>
          </w:p>
          <w:p w14:paraId="570058A1" w14:textId="77777777" w:rsidR="00621836" w:rsidRPr="00EB2819" w:rsidRDefault="00621836" w:rsidP="00140865">
            <w:pPr>
              <w:pStyle w:val="BodyText"/>
              <w:spacing w:before="240" w:after="0"/>
              <w:rPr>
                <w:color w:val="000000" w:themeColor="text1"/>
              </w:rPr>
            </w:pPr>
            <w:r w:rsidRPr="00EB2819">
              <w:rPr>
                <w:color w:val="000000" w:themeColor="text1"/>
              </w:rPr>
              <w:t>Morphine is a strong opiate that is considered ‘gold standard’ treatment for severe acute pain, particularly in the palliative care setting. NICE recommends that morphine should not be used for neuropathic pain without specialist assessment.</w:t>
            </w:r>
          </w:p>
          <w:p w14:paraId="43550A87" w14:textId="77777777" w:rsidR="00621836" w:rsidRPr="00936576" w:rsidRDefault="00621836" w:rsidP="00140865">
            <w:pPr>
              <w:pStyle w:val="BodyText"/>
              <w:spacing w:before="240" w:after="0"/>
              <w:rPr>
                <w:b/>
                <w:bCs/>
                <w:color w:val="000000" w:themeColor="text1"/>
              </w:rPr>
            </w:pPr>
            <w:r w:rsidRPr="00936576">
              <w:rPr>
                <w:b/>
                <w:bCs/>
                <w:color w:val="000000" w:themeColor="text1"/>
              </w:rPr>
              <w:t xml:space="preserve">What questions does this prompt? </w:t>
            </w:r>
          </w:p>
          <w:p w14:paraId="3081C86B" w14:textId="77777777" w:rsidR="00621836" w:rsidRPr="00EB2819" w:rsidRDefault="00621836" w:rsidP="00140865">
            <w:pPr>
              <w:pStyle w:val="BodyText"/>
              <w:numPr>
                <w:ilvl w:val="0"/>
                <w:numId w:val="24"/>
              </w:numPr>
              <w:spacing w:before="240" w:after="0"/>
              <w:rPr>
                <w:color w:val="000000" w:themeColor="text1"/>
              </w:rPr>
            </w:pPr>
            <w:r w:rsidRPr="00EB2819">
              <w:rPr>
                <w:color w:val="000000" w:themeColor="text1"/>
              </w:rPr>
              <w:t>Why are some districts consistently lower or higher than the national mean?</w:t>
            </w:r>
          </w:p>
          <w:p w14:paraId="7DF26F82" w14:textId="77777777" w:rsidR="00621836" w:rsidRPr="00EB2819" w:rsidRDefault="00621836" w:rsidP="00140865">
            <w:pPr>
              <w:pStyle w:val="BodyText"/>
              <w:numPr>
                <w:ilvl w:val="0"/>
                <w:numId w:val="24"/>
              </w:numPr>
              <w:spacing w:before="240" w:after="0"/>
              <w:rPr>
                <w:color w:val="000000" w:themeColor="text1"/>
              </w:rPr>
            </w:pPr>
            <w:r w:rsidRPr="00EB2819">
              <w:rPr>
                <w:color w:val="000000" w:themeColor="text1"/>
              </w:rPr>
              <w:t>How do similar districts compare?</w:t>
            </w:r>
          </w:p>
          <w:p w14:paraId="58ACC8BC" w14:textId="77777777" w:rsidR="00621836" w:rsidRPr="00676655" w:rsidRDefault="00621836" w:rsidP="00140865">
            <w:pPr>
              <w:pStyle w:val="BodyText"/>
              <w:numPr>
                <w:ilvl w:val="0"/>
                <w:numId w:val="24"/>
              </w:numPr>
              <w:spacing w:before="240" w:after="0"/>
              <w:rPr>
                <w:color w:val="000000" w:themeColor="text1"/>
              </w:rPr>
            </w:pPr>
            <w:r w:rsidRPr="00EB2819">
              <w:rPr>
                <w:color w:val="000000" w:themeColor="text1"/>
              </w:rPr>
              <w:t>How long are people receiving morphine for?</w:t>
            </w:r>
          </w:p>
        </w:tc>
      </w:tr>
    </w:tbl>
    <w:p w14:paraId="7717476B" w14:textId="77777777" w:rsidR="00621836" w:rsidRPr="00A803A6" w:rsidRDefault="00621836" w:rsidP="00621836">
      <w:pPr>
        <w:rPr>
          <w:rFonts w:cs="Arial"/>
          <w:color w:val="000000" w:themeColor="text1"/>
        </w:rPr>
      </w:pPr>
    </w:p>
    <w:p w14:paraId="531BCE61" w14:textId="77777777" w:rsidR="00621836" w:rsidRPr="00A803A6" w:rsidRDefault="00621836" w:rsidP="00621836">
      <w:pPr>
        <w:pStyle w:val="Heading3"/>
        <w:numPr>
          <w:ilvl w:val="0"/>
          <w:numId w:val="12"/>
        </w:numPr>
        <w:tabs>
          <w:tab w:val="num" w:pos="360"/>
        </w:tabs>
        <w:rPr>
          <w:color w:val="000000" w:themeColor="text1"/>
        </w:rPr>
      </w:pPr>
      <w:bookmarkStart w:id="12" w:name="_Toc210140429"/>
      <w:r w:rsidRPr="00A803A6">
        <w:rPr>
          <w:color w:val="000000" w:themeColor="text1"/>
        </w:rPr>
        <w:t>People dispensed morphine for 6 weeks or more</w:t>
      </w:r>
      <w:bookmarkEnd w:id="12"/>
    </w:p>
    <w:tbl>
      <w:tblPr>
        <w:tblW w:w="9351"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781"/>
        <w:gridCol w:w="7570"/>
      </w:tblGrid>
      <w:tr w:rsidR="00621836" w:rsidRPr="00A803A6" w14:paraId="56AED29A" w14:textId="77777777" w:rsidTr="003162C1">
        <w:trPr>
          <w:trHeight w:val="327"/>
        </w:trPr>
        <w:tc>
          <w:tcPr>
            <w:tcW w:w="1781" w:type="dxa"/>
          </w:tcPr>
          <w:p w14:paraId="6CC9387A" w14:textId="77777777" w:rsidR="00621836" w:rsidRPr="00A803A6" w:rsidRDefault="00621836" w:rsidP="003162C1">
            <w:pPr>
              <w:pStyle w:val="BodyText"/>
              <w:rPr>
                <w:b/>
                <w:bCs/>
                <w:color w:val="000000" w:themeColor="text1"/>
              </w:rPr>
            </w:pPr>
            <w:r w:rsidRPr="00A803A6">
              <w:rPr>
                <w:b/>
                <w:bCs/>
                <w:color w:val="000000" w:themeColor="text1"/>
              </w:rPr>
              <w:t>Indicator #5:</w:t>
            </w:r>
          </w:p>
        </w:tc>
        <w:tc>
          <w:tcPr>
            <w:tcW w:w="7570" w:type="dxa"/>
            <w:vAlign w:val="bottom"/>
          </w:tcPr>
          <w:p w14:paraId="7E8886F8" w14:textId="77777777" w:rsidR="00621836" w:rsidRPr="00A803A6" w:rsidRDefault="00621836" w:rsidP="003162C1">
            <w:pPr>
              <w:pStyle w:val="BodyText"/>
              <w:rPr>
                <w:color w:val="000000" w:themeColor="text1"/>
              </w:rPr>
            </w:pPr>
            <w:r w:rsidRPr="00A803A6">
              <w:rPr>
                <w:color w:val="000000" w:themeColor="text1"/>
              </w:rPr>
              <w:t>People dispensed morphine for 6 weeks or more</w:t>
            </w:r>
          </w:p>
        </w:tc>
      </w:tr>
      <w:tr w:rsidR="00621836" w:rsidRPr="00A803A6" w14:paraId="6AD56F90" w14:textId="77777777" w:rsidTr="003162C1">
        <w:trPr>
          <w:trHeight w:val="327"/>
        </w:trPr>
        <w:tc>
          <w:tcPr>
            <w:tcW w:w="1781" w:type="dxa"/>
          </w:tcPr>
          <w:p w14:paraId="0BD23730" w14:textId="77777777" w:rsidR="00621836" w:rsidRPr="00A803A6" w:rsidRDefault="00621836" w:rsidP="003162C1">
            <w:pPr>
              <w:pStyle w:val="BodyText"/>
              <w:rPr>
                <w:b/>
                <w:bCs/>
                <w:color w:val="000000" w:themeColor="text1"/>
              </w:rPr>
            </w:pPr>
            <w:r w:rsidRPr="00A803A6">
              <w:rPr>
                <w:b/>
                <w:bCs/>
                <w:color w:val="000000" w:themeColor="text1"/>
              </w:rPr>
              <w:t>Numerator</w:t>
            </w:r>
          </w:p>
        </w:tc>
        <w:tc>
          <w:tcPr>
            <w:tcW w:w="7570" w:type="dxa"/>
            <w:vAlign w:val="bottom"/>
          </w:tcPr>
          <w:p w14:paraId="1A9BECBB"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 xml:space="preserve">enrolled population </w:t>
            </w:r>
            <w:r>
              <w:rPr>
                <w:color w:val="000000" w:themeColor="text1"/>
              </w:rPr>
              <w:t xml:space="preserve">who were </w:t>
            </w:r>
            <w:r w:rsidRPr="00A803A6">
              <w:rPr>
                <w:color w:val="000000" w:themeColor="text1"/>
              </w:rPr>
              <w:t xml:space="preserve">dispensed morphine for 6–12 weeks following first dispensing in a year </w:t>
            </w:r>
          </w:p>
        </w:tc>
      </w:tr>
      <w:tr w:rsidR="00621836" w:rsidRPr="00A803A6" w14:paraId="605D1ED5" w14:textId="77777777" w:rsidTr="003162C1">
        <w:trPr>
          <w:trHeight w:val="327"/>
        </w:trPr>
        <w:tc>
          <w:tcPr>
            <w:tcW w:w="1781" w:type="dxa"/>
          </w:tcPr>
          <w:p w14:paraId="1925D8E8" w14:textId="77777777" w:rsidR="00621836" w:rsidRPr="00A803A6" w:rsidRDefault="00621836" w:rsidP="003162C1">
            <w:pPr>
              <w:pStyle w:val="BodyText"/>
              <w:rPr>
                <w:b/>
                <w:bCs/>
                <w:color w:val="000000" w:themeColor="text1"/>
              </w:rPr>
            </w:pPr>
            <w:r w:rsidRPr="00A803A6">
              <w:rPr>
                <w:b/>
                <w:bCs/>
                <w:color w:val="000000" w:themeColor="text1"/>
              </w:rPr>
              <w:t>Denominator</w:t>
            </w:r>
          </w:p>
        </w:tc>
        <w:tc>
          <w:tcPr>
            <w:tcW w:w="7570" w:type="dxa"/>
            <w:vAlign w:val="bottom"/>
          </w:tcPr>
          <w:p w14:paraId="5BFEFDD8"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enrolled population during the calendar year</w:t>
            </w:r>
          </w:p>
        </w:tc>
      </w:tr>
      <w:tr w:rsidR="00621836" w:rsidRPr="00A803A6" w14:paraId="354B4374" w14:textId="77777777" w:rsidTr="003162C1">
        <w:trPr>
          <w:trHeight w:val="327"/>
        </w:trPr>
        <w:tc>
          <w:tcPr>
            <w:tcW w:w="1781" w:type="dxa"/>
          </w:tcPr>
          <w:p w14:paraId="6F74C9A3" w14:textId="77777777" w:rsidR="00621836" w:rsidRPr="00A803A6" w:rsidRDefault="00621836" w:rsidP="003162C1">
            <w:pPr>
              <w:pStyle w:val="BodyText"/>
              <w:rPr>
                <w:b/>
                <w:bCs/>
                <w:color w:val="000000" w:themeColor="text1"/>
              </w:rPr>
            </w:pPr>
            <w:r w:rsidRPr="00A803A6">
              <w:rPr>
                <w:b/>
                <w:bCs/>
                <w:color w:val="000000" w:themeColor="text1"/>
              </w:rPr>
              <w:t>Data source</w:t>
            </w:r>
          </w:p>
        </w:tc>
        <w:tc>
          <w:tcPr>
            <w:tcW w:w="7570" w:type="dxa"/>
            <w:vAlign w:val="bottom"/>
          </w:tcPr>
          <w:p w14:paraId="6E686082" w14:textId="77777777" w:rsidR="00621836" w:rsidRPr="00A803A6" w:rsidRDefault="00621836" w:rsidP="003162C1">
            <w:pPr>
              <w:pStyle w:val="BodyText"/>
              <w:rPr>
                <w:color w:val="000000" w:themeColor="text1"/>
              </w:rPr>
            </w:pPr>
            <w:r w:rsidRPr="00A803A6">
              <w:rPr>
                <w:color w:val="000000" w:themeColor="text1"/>
              </w:rPr>
              <w:t xml:space="preserve">Pharmaceutical Collection, </w:t>
            </w:r>
            <w:r w:rsidRPr="00A803A6">
              <w:rPr>
                <w:bCs/>
                <w:color w:val="000000" w:themeColor="text1"/>
              </w:rPr>
              <w:t>PHO Enrolment Collection</w:t>
            </w:r>
          </w:p>
        </w:tc>
      </w:tr>
      <w:tr w:rsidR="00621836" w:rsidRPr="00A803A6" w14:paraId="23A24FA1" w14:textId="77777777" w:rsidTr="003162C1">
        <w:trPr>
          <w:trHeight w:val="327"/>
        </w:trPr>
        <w:tc>
          <w:tcPr>
            <w:tcW w:w="1781" w:type="dxa"/>
          </w:tcPr>
          <w:p w14:paraId="23678618" w14:textId="77777777" w:rsidR="00621836" w:rsidRPr="00A803A6" w:rsidRDefault="00621836" w:rsidP="003162C1">
            <w:pPr>
              <w:pStyle w:val="BodyText"/>
              <w:rPr>
                <w:b/>
                <w:bCs/>
                <w:color w:val="000000" w:themeColor="text1"/>
              </w:rPr>
            </w:pPr>
            <w:r w:rsidRPr="00A803A6">
              <w:rPr>
                <w:b/>
                <w:bCs/>
                <w:color w:val="000000" w:themeColor="text1"/>
              </w:rPr>
              <w:t>Analysis</w:t>
            </w:r>
          </w:p>
        </w:tc>
        <w:tc>
          <w:tcPr>
            <w:tcW w:w="7570" w:type="dxa"/>
            <w:vAlign w:val="bottom"/>
          </w:tcPr>
          <w:p w14:paraId="55900F19" w14:textId="77777777" w:rsidR="00621836" w:rsidRPr="00A803A6" w:rsidRDefault="00621836" w:rsidP="003162C1">
            <w:pPr>
              <w:pStyle w:val="BodyText"/>
              <w:rPr>
                <w:color w:val="000000" w:themeColor="text1"/>
              </w:rPr>
            </w:pPr>
            <w:r w:rsidRPr="00A803A6">
              <w:rPr>
                <w:color w:val="000000" w:themeColor="text1"/>
              </w:rPr>
              <w:t xml:space="preserve">District analysis: By year (2019 –2023), age group (0–24, 25–64; 65–79 and 80 and over), gender (female, male), ethnic group (Māori, Pacific peoples, </w:t>
            </w:r>
            <w:r>
              <w:rPr>
                <w:color w:val="000000" w:themeColor="text1"/>
              </w:rPr>
              <w:t xml:space="preserve">Asian and </w:t>
            </w:r>
            <w:r w:rsidRPr="00A803A6">
              <w:rPr>
                <w:color w:val="000000" w:themeColor="text1"/>
              </w:rPr>
              <w:t>European/Other) and Health New Zealand district of domicile.</w:t>
            </w:r>
          </w:p>
          <w:p w14:paraId="12A01DC2" w14:textId="77777777" w:rsidR="00621836" w:rsidRPr="00A803A6" w:rsidRDefault="00621836" w:rsidP="003162C1">
            <w:pPr>
              <w:pStyle w:val="BodyText"/>
              <w:rPr>
                <w:color w:val="000000" w:themeColor="text1"/>
              </w:rPr>
            </w:pPr>
            <w:r w:rsidRPr="00A803A6">
              <w:rPr>
                <w:color w:val="000000" w:themeColor="text1"/>
              </w:rPr>
              <w:t>PHO analysis: By year (2023), age group, gender, ethnic group, Primary Health Organisation (PHO) most recently enrolled with (for the relevant year), PHO group (small, medium, medium-large and large).</w:t>
            </w:r>
          </w:p>
        </w:tc>
      </w:tr>
      <w:tr w:rsidR="00621836" w:rsidRPr="00A803A6" w14:paraId="76D23830" w14:textId="77777777" w:rsidTr="003162C1">
        <w:trPr>
          <w:trHeight w:val="58"/>
        </w:trPr>
        <w:tc>
          <w:tcPr>
            <w:tcW w:w="1781" w:type="dxa"/>
            <w:vAlign w:val="center"/>
          </w:tcPr>
          <w:p w14:paraId="24D59727" w14:textId="77777777" w:rsidR="00621836" w:rsidRPr="00A803A6" w:rsidRDefault="00621836" w:rsidP="003162C1">
            <w:pPr>
              <w:pStyle w:val="BodyText"/>
              <w:rPr>
                <w:b/>
                <w:bCs/>
                <w:color w:val="000000" w:themeColor="text1"/>
              </w:rPr>
            </w:pPr>
            <w:r w:rsidRPr="00A803A6">
              <w:rPr>
                <w:b/>
                <w:bCs/>
                <w:color w:val="000000" w:themeColor="text1"/>
              </w:rPr>
              <w:t>Medication</w:t>
            </w:r>
          </w:p>
        </w:tc>
        <w:tc>
          <w:tcPr>
            <w:tcW w:w="7570" w:type="dxa"/>
            <w:vAlign w:val="center"/>
          </w:tcPr>
          <w:p w14:paraId="31146778" w14:textId="77777777" w:rsidR="00621836" w:rsidRPr="00A803A6" w:rsidRDefault="00621836" w:rsidP="003162C1">
            <w:pPr>
              <w:pStyle w:val="BodyText"/>
              <w:rPr>
                <w:color w:val="000000" w:themeColor="text1"/>
              </w:rPr>
            </w:pPr>
            <w:r w:rsidRPr="00A803A6">
              <w:rPr>
                <w:color w:val="000000" w:themeColor="text1"/>
              </w:rPr>
              <w:t>1830 Morphine hydrochloride; 1831 Morphine sulphate; 2383 Morphine tartrate</w:t>
            </w:r>
          </w:p>
        </w:tc>
      </w:tr>
      <w:tr w:rsidR="00621836" w:rsidRPr="00A803A6" w14:paraId="0E2DE79A" w14:textId="77777777" w:rsidTr="003162C1">
        <w:trPr>
          <w:trHeight w:val="58"/>
        </w:trPr>
        <w:tc>
          <w:tcPr>
            <w:tcW w:w="1781" w:type="dxa"/>
          </w:tcPr>
          <w:p w14:paraId="79C28238" w14:textId="77777777" w:rsidR="00621836" w:rsidRPr="00A803A6" w:rsidRDefault="00621836" w:rsidP="003162C1">
            <w:pPr>
              <w:pStyle w:val="BodyText"/>
              <w:rPr>
                <w:b/>
                <w:bCs/>
                <w:color w:val="000000" w:themeColor="text1"/>
              </w:rPr>
            </w:pPr>
            <w:r w:rsidRPr="00A803A6">
              <w:rPr>
                <w:b/>
                <w:bCs/>
                <w:color w:val="000000" w:themeColor="text1"/>
              </w:rPr>
              <w:t xml:space="preserve">Inclusions </w:t>
            </w:r>
          </w:p>
        </w:tc>
        <w:tc>
          <w:tcPr>
            <w:tcW w:w="7570" w:type="dxa"/>
            <w:vAlign w:val="bottom"/>
          </w:tcPr>
          <w:p w14:paraId="360A970E" w14:textId="77777777" w:rsidR="00621836" w:rsidRPr="00A803A6" w:rsidRDefault="00621836" w:rsidP="003162C1">
            <w:pPr>
              <w:pStyle w:val="BodyText"/>
              <w:rPr>
                <w:color w:val="000000" w:themeColor="text1"/>
              </w:rPr>
            </w:pPr>
            <w:r w:rsidRPr="00A803A6">
              <w:rPr>
                <w:color w:val="000000" w:themeColor="text1"/>
              </w:rPr>
              <w:t>Date between first dispensing in year and any subsequent dispensing to be greater than or equal to six weeks but not more than 12 weeks.</w:t>
            </w:r>
          </w:p>
          <w:p w14:paraId="4F51BF8A" w14:textId="77777777" w:rsidR="00621836" w:rsidRPr="00A803A6" w:rsidRDefault="00621836" w:rsidP="003162C1">
            <w:pPr>
              <w:pStyle w:val="BodyText"/>
              <w:rPr>
                <w:color w:val="000000" w:themeColor="text1"/>
              </w:rPr>
            </w:pPr>
            <w:r w:rsidRPr="00A803A6">
              <w:rPr>
                <w:color w:val="000000" w:themeColor="text1"/>
              </w:rPr>
              <w:t xml:space="preserve">Only </w:t>
            </w:r>
            <w:proofErr w:type="spellStart"/>
            <w:r w:rsidRPr="00A803A6">
              <w:rPr>
                <w:color w:val="000000" w:themeColor="text1"/>
              </w:rPr>
              <w:t>dispensings</w:t>
            </w:r>
            <w:proofErr w:type="spellEnd"/>
            <w:r w:rsidRPr="00A803A6">
              <w:rPr>
                <w:color w:val="000000" w:themeColor="text1"/>
              </w:rPr>
              <w:t xml:space="preserve"> in the same calendar year were included. The year was truncated at mid-November, </w:t>
            </w:r>
            <w:proofErr w:type="spellStart"/>
            <w:r w:rsidRPr="00A803A6">
              <w:rPr>
                <w:color w:val="000000" w:themeColor="text1"/>
              </w:rPr>
              <w:t>ie</w:t>
            </w:r>
            <w:proofErr w:type="spellEnd"/>
            <w:r w:rsidRPr="00A803A6">
              <w:rPr>
                <w:color w:val="000000" w:themeColor="text1"/>
              </w:rPr>
              <w:t xml:space="preserve">, first </w:t>
            </w:r>
            <w:proofErr w:type="spellStart"/>
            <w:r w:rsidRPr="00A803A6">
              <w:rPr>
                <w:color w:val="000000" w:themeColor="text1"/>
              </w:rPr>
              <w:t>dispensings</w:t>
            </w:r>
            <w:proofErr w:type="spellEnd"/>
            <w:r w:rsidRPr="00A803A6">
              <w:rPr>
                <w:color w:val="000000" w:themeColor="text1"/>
              </w:rPr>
              <w:t xml:space="preserve"> from mid-November to 31 </w:t>
            </w:r>
            <w:r w:rsidRPr="00A803A6">
              <w:rPr>
                <w:color w:val="000000" w:themeColor="text1"/>
              </w:rPr>
              <w:lastRenderedPageBreak/>
              <w:t>December were excluded as they would not meet the criteria of a subsequent dispensing 6–12 weeks after the first.</w:t>
            </w:r>
          </w:p>
        </w:tc>
      </w:tr>
      <w:tr w:rsidR="00621836" w:rsidRPr="00A803A6" w14:paraId="625460B0" w14:textId="77777777" w:rsidTr="003162C1">
        <w:trPr>
          <w:trHeight w:val="58"/>
        </w:trPr>
        <w:tc>
          <w:tcPr>
            <w:tcW w:w="1781" w:type="dxa"/>
          </w:tcPr>
          <w:p w14:paraId="121AC9F4" w14:textId="77777777" w:rsidR="00621836" w:rsidRPr="00A803A6" w:rsidRDefault="00621836" w:rsidP="003162C1">
            <w:pPr>
              <w:pStyle w:val="BodyText"/>
              <w:rPr>
                <w:b/>
                <w:bCs/>
                <w:color w:val="000000" w:themeColor="text1"/>
              </w:rPr>
            </w:pPr>
            <w:r w:rsidRPr="00A803A6">
              <w:rPr>
                <w:b/>
                <w:bCs/>
                <w:color w:val="000000" w:themeColor="text1"/>
              </w:rPr>
              <w:lastRenderedPageBreak/>
              <w:t>Commentary</w:t>
            </w:r>
          </w:p>
        </w:tc>
        <w:tc>
          <w:tcPr>
            <w:tcW w:w="7570" w:type="dxa"/>
            <w:vAlign w:val="bottom"/>
          </w:tcPr>
          <w:p w14:paraId="28C2424D" w14:textId="77777777" w:rsidR="00621836" w:rsidRPr="00A803A6" w:rsidRDefault="00621836" w:rsidP="00140865">
            <w:pPr>
              <w:pStyle w:val="BodyText"/>
              <w:spacing w:after="0"/>
              <w:rPr>
                <w:color w:val="000000" w:themeColor="text1"/>
              </w:rPr>
            </w:pPr>
            <w:r w:rsidRPr="00A803A6">
              <w:rPr>
                <w:color w:val="000000" w:themeColor="text1"/>
              </w:rPr>
              <w:t>Description: People dispensed morphine for 6 weeks or more in a year.</w:t>
            </w:r>
          </w:p>
          <w:p w14:paraId="3F764157" w14:textId="77777777" w:rsidR="00621836" w:rsidRDefault="00621836" w:rsidP="00140865">
            <w:pPr>
              <w:pStyle w:val="BodyText"/>
              <w:spacing w:before="240" w:after="0"/>
              <w:rPr>
                <w:color w:val="000000" w:themeColor="text1"/>
              </w:rPr>
            </w:pPr>
            <w:r w:rsidRPr="00EB2819">
              <w:rPr>
                <w:color w:val="000000" w:themeColor="text1"/>
              </w:rPr>
              <w:t xml:space="preserve">This indicator shows the number and rate per 1,000 of the PHO-enrolled population who had </w:t>
            </w:r>
            <w:r>
              <w:rPr>
                <w:color w:val="000000" w:themeColor="text1"/>
              </w:rPr>
              <w:t xml:space="preserve">morphine dispensed to them by a community pharmacy </w:t>
            </w:r>
            <w:r w:rsidRPr="00EB2819">
              <w:rPr>
                <w:color w:val="000000" w:themeColor="text1"/>
              </w:rPr>
              <w:t>for six weeks or more</w:t>
            </w:r>
            <w:r>
              <w:rPr>
                <w:color w:val="000000" w:themeColor="text1"/>
              </w:rPr>
              <w:t>,</w:t>
            </w:r>
            <w:r w:rsidRPr="00EB2819">
              <w:rPr>
                <w:color w:val="000000" w:themeColor="text1"/>
              </w:rPr>
              <w:t xml:space="preserve"> </w:t>
            </w:r>
            <w:r>
              <w:rPr>
                <w:color w:val="000000" w:themeColor="text1"/>
              </w:rPr>
              <w:t xml:space="preserve">between </w:t>
            </w:r>
            <w:r w:rsidRPr="00EB2819">
              <w:rPr>
                <w:color w:val="000000" w:themeColor="text1"/>
              </w:rPr>
              <w:t>2019</w:t>
            </w:r>
            <w:r>
              <w:rPr>
                <w:color w:val="000000" w:themeColor="text1"/>
              </w:rPr>
              <w:t xml:space="preserve"> and </w:t>
            </w:r>
            <w:r w:rsidRPr="00EB2819">
              <w:rPr>
                <w:color w:val="000000" w:themeColor="text1"/>
              </w:rPr>
              <w:t>2</w:t>
            </w:r>
            <w:r>
              <w:rPr>
                <w:color w:val="000000" w:themeColor="text1"/>
              </w:rPr>
              <w:t>02</w:t>
            </w:r>
            <w:r w:rsidRPr="00EB2819">
              <w:rPr>
                <w:color w:val="000000" w:themeColor="text1"/>
              </w:rPr>
              <w:t xml:space="preserve">3. </w:t>
            </w:r>
          </w:p>
          <w:p w14:paraId="36B57761" w14:textId="77777777" w:rsidR="00621836" w:rsidRDefault="00621836" w:rsidP="00140865">
            <w:pPr>
              <w:pStyle w:val="BodyText"/>
              <w:spacing w:before="240" w:after="0"/>
              <w:rPr>
                <w:color w:val="000000" w:themeColor="text1"/>
              </w:rPr>
            </w:pPr>
            <w:r w:rsidRPr="00EB2819">
              <w:rPr>
                <w:color w:val="000000" w:themeColor="text1"/>
              </w:rPr>
              <w:t xml:space="preserve">To ensure that continuous use was captured, </w:t>
            </w:r>
            <w:r>
              <w:rPr>
                <w:color w:val="000000" w:themeColor="text1"/>
              </w:rPr>
              <w:t>we included morphine</w:t>
            </w:r>
            <w:r w:rsidRPr="00EB2819">
              <w:rPr>
                <w:color w:val="000000" w:themeColor="text1"/>
              </w:rPr>
              <w:t xml:space="preserve"> </w:t>
            </w:r>
            <w:r>
              <w:rPr>
                <w:color w:val="000000" w:themeColor="text1"/>
              </w:rPr>
              <w:t xml:space="preserve">that was dispensed </w:t>
            </w:r>
            <w:r w:rsidRPr="00EB2819">
              <w:rPr>
                <w:color w:val="000000" w:themeColor="text1"/>
              </w:rPr>
              <w:t>within 6</w:t>
            </w:r>
            <w:r>
              <w:rPr>
                <w:color w:val="000000" w:themeColor="text1"/>
              </w:rPr>
              <w:t xml:space="preserve"> to </w:t>
            </w:r>
            <w:r w:rsidRPr="00EB2819">
              <w:rPr>
                <w:color w:val="000000" w:themeColor="text1"/>
              </w:rPr>
              <w:t xml:space="preserve">12 weeks in the same calendar year. This means the year is truncated at mid-November; </w:t>
            </w:r>
            <w:proofErr w:type="gramStart"/>
            <w:r>
              <w:rPr>
                <w:color w:val="000000" w:themeColor="text1"/>
              </w:rPr>
              <w:t>so</w:t>
            </w:r>
            <w:proofErr w:type="gramEnd"/>
            <w:r>
              <w:rPr>
                <w:color w:val="000000" w:themeColor="text1"/>
              </w:rPr>
              <w:t xml:space="preserve"> the first time a strong opioid was dispensed </w:t>
            </w:r>
            <w:r w:rsidRPr="00EB2819">
              <w:rPr>
                <w:color w:val="000000" w:themeColor="text1"/>
              </w:rPr>
              <w:t xml:space="preserve">after mid-November </w:t>
            </w:r>
            <w:r>
              <w:rPr>
                <w:color w:val="000000" w:themeColor="text1"/>
              </w:rPr>
              <w:t>is</w:t>
            </w:r>
            <w:r w:rsidRPr="00EB2819">
              <w:rPr>
                <w:color w:val="000000" w:themeColor="text1"/>
              </w:rPr>
              <w:t xml:space="preserve"> not included</w:t>
            </w:r>
          </w:p>
          <w:p w14:paraId="6AB196BB" w14:textId="77777777" w:rsidR="00621836" w:rsidRPr="00E57A3E" w:rsidRDefault="00621836" w:rsidP="00140865">
            <w:pPr>
              <w:pStyle w:val="BodyText"/>
              <w:spacing w:before="240" w:after="0"/>
              <w:rPr>
                <w:b/>
                <w:bCs/>
                <w:color w:val="000000" w:themeColor="text1"/>
              </w:rPr>
            </w:pPr>
            <w:r w:rsidRPr="00E57A3E">
              <w:rPr>
                <w:b/>
                <w:bCs/>
                <w:color w:val="000000" w:themeColor="text1"/>
              </w:rPr>
              <w:t xml:space="preserve">Why this indicator is important </w:t>
            </w:r>
          </w:p>
          <w:p w14:paraId="39F0839D" w14:textId="77777777" w:rsidR="00621836" w:rsidRPr="00EB2819" w:rsidRDefault="00621836" w:rsidP="00140865">
            <w:pPr>
              <w:pStyle w:val="BodyText"/>
              <w:spacing w:before="240" w:after="0"/>
              <w:rPr>
                <w:color w:val="000000" w:themeColor="text1"/>
              </w:rPr>
            </w:pPr>
            <w:r w:rsidRPr="00EB2819">
              <w:rPr>
                <w:color w:val="000000" w:themeColor="text1"/>
              </w:rPr>
              <w:t xml:space="preserve">The IHI classes opioids as one of four groups of medicines (along with anticoagulants, insulin and sedatives) that can cause harm to patients, even when used as intended. Except in </w:t>
            </w:r>
            <w:r>
              <w:rPr>
                <w:color w:val="000000" w:themeColor="text1"/>
              </w:rPr>
              <w:t>some</w:t>
            </w:r>
            <w:r w:rsidRPr="00EB2819">
              <w:rPr>
                <w:color w:val="000000" w:themeColor="text1"/>
              </w:rPr>
              <w:t xml:space="preserve"> circumstances, morphine is intended for short-term use only, with use for six weeks or more raising questions of appropriateness.</w:t>
            </w:r>
          </w:p>
          <w:p w14:paraId="5AF5E54A" w14:textId="77777777" w:rsidR="00621836" w:rsidRPr="00E57A3E" w:rsidRDefault="00621836" w:rsidP="00140865">
            <w:pPr>
              <w:pStyle w:val="BodyText"/>
              <w:spacing w:before="240" w:after="0"/>
              <w:rPr>
                <w:b/>
                <w:bCs/>
                <w:color w:val="000000" w:themeColor="text1"/>
              </w:rPr>
            </w:pPr>
            <w:r w:rsidRPr="00E57A3E">
              <w:rPr>
                <w:b/>
                <w:bCs/>
                <w:color w:val="000000" w:themeColor="text1"/>
              </w:rPr>
              <w:t xml:space="preserve">What questions does this prompt? </w:t>
            </w:r>
          </w:p>
          <w:p w14:paraId="266A3E1F" w14:textId="77777777" w:rsidR="00621836" w:rsidRPr="00EB2819" w:rsidRDefault="00621836" w:rsidP="00140865">
            <w:pPr>
              <w:pStyle w:val="BodyText"/>
              <w:numPr>
                <w:ilvl w:val="0"/>
                <w:numId w:val="18"/>
              </w:numPr>
              <w:spacing w:before="240" w:after="0"/>
              <w:rPr>
                <w:color w:val="000000" w:themeColor="text1"/>
              </w:rPr>
            </w:pPr>
            <w:r w:rsidRPr="00EB2819">
              <w:rPr>
                <w:color w:val="000000" w:themeColor="text1"/>
              </w:rPr>
              <w:t>Why are some districts consistently lower or higher than the national mean?</w:t>
            </w:r>
          </w:p>
          <w:p w14:paraId="54DDF6DD" w14:textId="77777777" w:rsidR="00621836" w:rsidRPr="00EA7666" w:rsidRDefault="00621836" w:rsidP="00140865">
            <w:pPr>
              <w:pStyle w:val="ListParagraph"/>
              <w:numPr>
                <w:ilvl w:val="0"/>
                <w:numId w:val="18"/>
              </w:numPr>
              <w:spacing w:before="240" w:after="0"/>
              <w:contextualSpacing w:val="0"/>
              <w:rPr>
                <w:rFonts w:cs="Arial"/>
              </w:rPr>
            </w:pPr>
            <w:r w:rsidRPr="00EB2819">
              <w:rPr>
                <w:rFonts w:cs="Arial"/>
                <w:color w:val="000000" w:themeColor="text1"/>
              </w:rPr>
              <w:t>How do similar districts compare?</w:t>
            </w:r>
          </w:p>
        </w:tc>
      </w:tr>
    </w:tbl>
    <w:p w14:paraId="5A0E2910" w14:textId="77777777" w:rsidR="00621836" w:rsidRPr="00A803A6" w:rsidRDefault="00621836" w:rsidP="00621836">
      <w:pPr>
        <w:rPr>
          <w:rFonts w:cs="Arial"/>
          <w:color w:val="000000" w:themeColor="text1"/>
        </w:rPr>
      </w:pPr>
    </w:p>
    <w:p w14:paraId="6C4A1E94" w14:textId="77777777" w:rsidR="00621836" w:rsidRPr="00A803A6" w:rsidRDefault="00621836" w:rsidP="00621836">
      <w:pPr>
        <w:pStyle w:val="Heading3"/>
        <w:numPr>
          <w:ilvl w:val="0"/>
          <w:numId w:val="12"/>
        </w:numPr>
        <w:tabs>
          <w:tab w:val="num" w:pos="360"/>
        </w:tabs>
        <w:rPr>
          <w:color w:val="000000" w:themeColor="text1"/>
        </w:rPr>
      </w:pPr>
      <w:bookmarkStart w:id="13" w:name="_Toc210140430"/>
      <w:r w:rsidRPr="00A803A6">
        <w:rPr>
          <w:color w:val="000000" w:themeColor="text1"/>
        </w:rPr>
        <w:t>People dispensed oxycodone one or more times in a year</w:t>
      </w:r>
      <w:bookmarkEnd w:id="13"/>
    </w:p>
    <w:tbl>
      <w:tblPr>
        <w:tblW w:w="9351"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781"/>
        <w:gridCol w:w="7570"/>
      </w:tblGrid>
      <w:tr w:rsidR="00621836" w:rsidRPr="00A803A6" w14:paraId="5EC4EA62" w14:textId="77777777" w:rsidTr="003162C1">
        <w:trPr>
          <w:trHeight w:val="327"/>
        </w:trPr>
        <w:tc>
          <w:tcPr>
            <w:tcW w:w="1781" w:type="dxa"/>
          </w:tcPr>
          <w:p w14:paraId="728416D0" w14:textId="77777777" w:rsidR="00621836" w:rsidRPr="00A803A6" w:rsidRDefault="00621836" w:rsidP="003162C1">
            <w:pPr>
              <w:pStyle w:val="BodyText"/>
              <w:rPr>
                <w:b/>
                <w:bCs/>
                <w:color w:val="000000" w:themeColor="text1"/>
              </w:rPr>
            </w:pPr>
            <w:r w:rsidRPr="00A803A6">
              <w:rPr>
                <w:b/>
                <w:bCs/>
                <w:color w:val="000000" w:themeColor="text1"/>
              </w:rPr>
              <w:t>Indicator #6:</w:t>
            </w:r>
          </w:p>
        </w:tc>
        <w:tc>
          <w:tcPr>
            <w:tcW w:w="7570" w:type="dxa"/>
            <w:vAlign w:val="center"/>
          </w:tcPr>
          <w:p w14:paraId="506C1DED" w14:textId="77777777" w:rsidR="00621836" w:rsidRPr="00A803A6" w:rsidRDefault="00621836" w:rsidP="003162C1">
            <w:pPr>
              <w:pStyle w:val="BodyText"/>
              <w:rPr>
                <w:color w:val="000000" w:themeColor="text1"/>
              </w:rPr>
            </w:pPr>
            <w:r w:rsidRPr="00A803A6">
              <w:rPr>
                <w:bCs/>
                <w:color w:val="000000" w:themeColor="text1"/>
              </w:rPr>
              <w:t>People dispensed oxycodone one or more times in a year</w:t>
            </w:r>
          </w:p>
        </w:tc>
      </w:tr>
      <w:tr w:rsidR="00621836" w:rsidRPr="00A803A6" w14:paraId="33F7A79E" w14:textId="77777777" w:rsidTr="003162C1">
        <w:trPr>
          <w:trHeight w:val="327"/>
        </w:trPr>
        <w:tc>
          <w:tcPr>
            <w:tcW w:w="1781" w:type="dxa"/>
          </w:tcPr>
          <w:p w14:paraId="436090E9" w14:textId="77777777" w:rsidR="00621836" w:rsidRPr="00A803A6" w:rsidRDefault="00621836" w:rsidP="003162C1">
            <w:pPr>
              <w:pStyle w:val="BodyText"/>
              <w:rPr>
                <w:b/>
                <w:bCs/>
                <w:color w:val="000000" w:themeColor="text1"/>
              </w:rPr>
            </w:pPr>
            <w:r w:rsidRPr="00A803A6">
              <w:rPr>
                <w:b/>
                <w:bCs/>
                <w:color w:val="000000" w:themeColor="text1"/>
              </w:rPr>
              <w:t>Numerator</w:t>
            </w:r>
          </w:p>
        </w:tc>
        <w:tc>
          <w:tcPr>
            <w:tcW w:w="7570" w:type="dxa"/>
            <w:vAlign w:val="bottom"/>
          </w:tcPr>
          <w:p w14:paraId="6AA41648"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enrolled population</w:t>
            </w:r>
            <w:r>
              <w:rPr>
                <w:color w:val="000000" w:themeColor="text1"/>
              </w:rPr>
              <w:t xml:space="preserve"> who were</w:t>
            </w:r>
            <w:r w:rsidRPr="00A803A6">
              <w:rPr>
                <w:color w:val="000000" w:themeColor="text1"/>
              </w:rPr>
              <w:t xml:space="preserve"> dispensed oxycodone</w:t>
            </w:r>
            <w:r>
              <w:rPr>
                <w:color w:val="000000" w:themeColor="text1"/>
              </w:rPr>
              <w:t xml:space="preserve"> during the calendar year</w:t>
            </w:r>
          </w:p>
        </w:tc>
      </w:tr>
      <w:tr w:rsidR="00621836" w:rsidRPr="00A803A6" w14:paraId="411B1CCA" w14:textId="77777777" w:rsidTr="003162C1">
        <w:trPr>
          <w:trHeight w:val="327"/>
        </w:trPr>
        <w:tc>
          <w:tcPr>
            <w:tcW w:w="1781" w:type="dxa"/>
          </w:tcPr>
          <w:p w14:paraId="3EE61B9C" w14:textId="77777777" w:rsidR="00621836" w:rsidRPr="00A803A6" w:rsidRDefault="00621836" w:rsidP="003162C1">
            <w:pPr>
              <w:pStyle w:val="BodyText"/>
              <w:rPr>
                <w:b/>
                <w:bCs/>
                <w:color w:val="000000" w:themeColor="text1"/>
              </w:rPr>
            </w:pPr>
            <w:r w:rsidRPr="00A803A6">
              <w:rPr>
                <w:b/>
                <w:bCs/>
                <w:color w:val="000000" w:themeColor="text1"/>
              </w:rPr>
              <w:t>Denominator</w:t>
            </w:r>
          </w:p>
        </w:tc>
        <w:tc>
          <w:tcPr>
            <w:tcW w:w="7570" w:type="dxa"/>
            <w:vAlign w:val="bottom"/>
          </w:tcPr>
          <w:p w14:paraId="1CBE06E4"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enrolled population during the calendar year</w:t>
            </w:r>
          </w:p>
        </w:tc>
      </w:tr>
      <w:tr w:rsidR="00621836" w:rsidRPr="00A803A6" w14:paraId="5F3055BB" w14:textId="77777777" w:rsidTr="003162C1">
        <w:trPr>
          <w:trHeight w:val="327"/>
        </w:trPr>
        <w:tc>
          <w:tcPr>
            <w:tcW w:w="1781" w:type="dxa"/>
          </w:tcPr>
          <w:p w14:paraId="482C418E" w14:textId="77777777" w:rsidR="00621836" w:rsidRPr="00A803A6" w:rsidRDefault="00621836" w:rsidP="003162C1">
            <w:pPr>
              <w:pStyle w:val="BodyText"/>
              <w:rPr>
                <w:b/>
                <w:bCs/>
                <w:color w:val="000000" w:themeColor="text1"/>
              </w:rPr>
            </w:pPr>
            <w:r w:rsidRPr="00A803A6">
              <w:rPr>
                <w:b/>
                <w:bCs/>
                <w:color w:val="000000" w:themeColor="text1"/>
              </w:rPr>
              <w:t>Data source</w:t>
            </w:r>
          </w:p>
        </w:tc>
        <w:tc>
          <w:tcPr>
            <w:tcW w:w="7570" w:type="dxa"/>
            <w:vAlign w:val="bottom"/>
          </w:tcPr>
          <w:p w14:paraId="64DBCC0F" w14:textId="77777777" w:rsidR="00621836" w:rsidRPr="00A803A6" w:rsidRDefault="00621836" w:rsidP="003162C1">
            <w:pPr>
              <w:pStyle w:val="BodyText"/>
              <w:rPr>
                <w:color w:val="000000" w:themeColor="text1"/>
              </w:rPr>
            </w:pPr>
            <w:r w:rsidRPr="00A803A6">
              <w:rPr>
                <w:color w:val="000000" w:themeColor="text1"/>
              </w:rPr>
              <w:t xml:space="preserve">Pharmaceutical Collection, </w:t>
            </w:r>
            <w:r w:rsidRPr="00A803A6">
              <w:rPr>
                <w:bCs/>
                <w:color w:val="000000" w:themeColor="text1"/>
              </w:rPr>
              <w:t>PHO Enrolment Collection</w:t>
            </w:r>
          </w:p>
        </w:tc>
      </w:tr>
      <w:tr w:rsidR="00621836" w:rsidRPr="00A803A6" w14:paraId="306CDCE3" w14:textId="77777777" w:rsidTr="003162C1">
        <w:trPr>
          <w:trHeight w:val="327"/>
        </w:trPr>
        <w:tc>
          <w:tcPr>
            <w:tcW w:w="1781" w:type="dxa"/>
          </w:tcPr>
          <w:p w14:paraId="5C55D18E" w14:textId="77777777" w:rsidR="00621836" w:rsidRPr="00A803A6" w:rsidRDefault="00621836" w:rsidP="003162C1">
            <w:pPr>
              <w:pStyle w:val="BodyText"/>
              <w:rPr>
                <w:b/>
                <w:bCs/>
                <w:color w:val="000000" w:themeColor="text1"/>
              </w:rPr>
            </w:pPr>
            <w:r w:rsidRPr="00A803A6">
              <w:rPr>
                <w:b/>
                <w:bCs/>
                <w:color w:val="000000" w:themeColor="text1"/>
              </w:rPr>
              <w:t>Analysis</w:t>
            </w:r>
          </w:p>
        </w:tc>
        <w:tc>
          <w:tcPr>
            <w:tcW w:w="7570" w:type="dxa"/>
            <w:vAlign w:val="bottom"/>
          </w:tcPr>
          <w:p w14:paraId="635520A1" w14:textId="77777777" w:rsidR="00621836" w:rsidRPr="00A803A6" w:rsidRDefault="00621836" w:rsidP="003162C1">
            <w:pPr>
              <w:pStyle w:val="BodyText"/>
              <w:rPr>
                <w:color w:val="000000" w:themeColor="text1"/>
              </w:rPr>
            </w:pPr>
            <w:r w:rsidRPr="00A803A6">
              <w:rPr>
                <w:color w:val="000000" w:themeColor="text1"/>
              </w:rPr>
              <w:t xml:space="preserve">District analysis: By year (2019 –2023), age group (0–24, 25–64; 65–79 and 80 and over), gender (female, male), ethnic group (Māori, Pacific peoples, </w:t>
            </w:r>
            <w:r>
              <w:rPr>
                <w:color w:val="000000" w:themeColor="text1"/>
              </w:rPr>
              <w:t xml:space="preserve">Asian and </w:t>
            </w:r>
            <w:r w:rsidRPr="00A803A6">
              <w:rPr>
                <w:color w:val="000000" w:themeColor="text1"/>
              </w:rPr>
              <w:t>European/Other) and Health New Zealand district of domicile.</w:t>
            </w:r>
          </w:p>
          <w:p w14:paraId="53D1BDD8" w14:textId="77777777" w:rsidR="00621836" w:rsidRPr="00A803A6" w:rsidRDefault="00621836" w:rsidP="003162C1">
            <w:pPr>
              <w:pStyle w:val="BodyText"/>
              <w:rPr>
                <w:color w:val="000000" w:themeColor="text1"/>
              </w:rPr>
            </w:pPr>
            <w:r w:rsidRPr="00A803A6">
              <w:rPr>
                <w:color w:val="000000" w:themeColor="text1"/>
              </w:rPr>
              <w:t>PHO analysis: By year (2023), age group, gender, ethnic group, Primary Health Organisation (PHO) most recently enrolled with (for the relevant year), PHO group (small, medium, medium-large and large).</w:t>
            </w:r>
          </w:p>
        </w:tc>
      </w:tr>
      <w:tr w:rsidR="00621836" w:rsidRPr="00A803A6" w14:paraId="7DD9DE2D" w14:textId="77777777" w:rsidTr="003162C1">
        <w:trPr>
          <w:trHeight w:val="327"/>
        </w:trPr>
        <w:tc>
          <w:tcPr>
            <w:tcW w:w="1781" w:type="dxa"/>
          </w:tcPr>
          <w:p w14:paraId="5B62CD00" w14:textId="77777777" w:rsidR="00621836" w:rsidRPr="00A803A6" w:rsidRDefault="00621836" w:rsidP="003162C1">
            <w:pPr>
              <w:pStyle w:val="BodyText"/>
              <w:rPr>
                <w:b/>
                <w:bCs/>
                <w:color w:val="000000" w:themeColor="text1"/>
              </w:rPr>
            </w:pPr>
            <w:r w:rsidRPr="00A803A6">
              <w:rPr>
                <w:b/>
                <w:bCs/>
                <w:color w:val="000000" w:themeColor="text1"/>
              </w:rPr>
              <w:t>Medication</w:t>
            </w:r>
          </w:p>
        </w:tc>
        <w:tc>
          <w:tcPr>
            <w:tcW w:w="7570" w:type="dxa"/>
          </w:tcPr>
          <w:p w14:paraId="785F5F59" w14:textId="77777777" w:rsidR="00621836" w:rsidRPr="00A803A6" w:rsidRDefault="00621836" w:rsidP="003162C1">
            <w:pPr>
              <w:pStyle w:val="BodyText"/>
              <w:rPr>
                <w:color w:val="000000" w:themeColor="text1"/>
              </w:rPr>
            </w:pPr>
            <w:r w:rsidRPr="00A803A6">
              <w:rPr>
                <w:color w:val="000000" w:themeColor="text1"/>
              </w:rPr>
              <w:t>3822 Oxycodone hydrochloride</w:t>
            </w:r>
          </w:p>
        </w:tc>
      </w:tr>
      <w:tr w:rsidR="00621836" w:rsidRPr="00A803A6" w14:paraId="5FE11296" w14:textId="77777777" w:rsidTr="003162C1">
        <w:trPr>
          <w:trHeight w:val="327"/>
        </w:trPr>
        <w:tc>
          <w:tcPr>
            <w:tcW w:w="1781" w:type="dxa"/>
          </w:tcPr>
          <w:p w14:paraId="2A2D6680" w14:textId="77777777" w:rsidR="00621836" w:rsidRPr="00A803A6" w:rsidRDefault="00621836" w:rsidP="003162C1">
            <w:pPr>
              <w:pStyle w:val="BodyText"/>
              <w:rPr>
                <w:b/>
                <w:bCs/>
                <w:color w:val="000000" w:themeColor="text1"/>
              </w:rPr>
            </w:pPr>
            <w:r w:rsidRPr="00A803A6">
              <w:rPr>
                <w:b/>
                <w:bCs/>
                <w:color w:val="000000" w:themeColor="text1"/>
              </w:rPr>
              <w:t>Commentary</w:t>
            </w:r>
          </w:p>
        </w:tc>
        <w:tc>
          <w:tcPr>
            <w:tcW w:w="7570" w:type="dxa"/>
          </w:tcPr>
          <w:p w14:paraId="2AC2039C" w14:textId="77777777" w:rsidR="00621836" w:rsidRPr="00A803A6" w:rsidRDefault="00621836" w:rsidP="003162C1">
            <w:pPr>
              <w:pStyle w:val="BodyText"/>
              <w:rPr>
                <w:color w:val="000000" w:themeColor="text1"/>
              </w:rPr>
            </w:pPr>
            <w:r w:rsidRPr="00A803A6">
              <w:rPr>
                <w:color w:val="000000" w:themeColor="text1"/>
              </w:rPr>
              <w:t>Description: People dispensed oxycodone one or more times in a year.</w:t>
            </w:r>
          </w:p>
          <w:p w14:paraId="7011399B" w14:textId="77777777" w:rsidR="00621836" w:rsidRPr="00EB2819" w:rsidRDefault="00621836" w:rsidP="00140865">
            <w:pPr>
              <w:pStyle w:val="BodyText"/>
              <w:spacing w:before="240" w:after="0"/>
              <w:rPr>
                <w:color w:val="000000" w:themeColor="text1"/>
              </w:rPr>
            </w:pPr>
            <w:r w:rsidRPr="00EB2819">
              <w:rPr>
                <w:color w:val="000000" w:themeColor="text1"/>
              </w:rPr>
              <w:lastRenderedPageBreak/>
              <w:t xml:space="preserve">This indicator shows the number and rate per 1,000 of </w:t>
            </w:r>
            <w:r>
              <w:rPr>
                <w:color w:val="000000" w:themeColor="text1"/>
              </w:rPr>
              <w:t xml:space="preserve">the </w:t>
            </w:r>
            <w:r w:rsidRPr="00EB2819">
              <w:rPr>
                <w:color w:val="000000" w:themeColor="text1"/>
              </w:rPr>
              <w:t xml:space="preserve">PHO-enrolled population who had </w:t>
            </w:r>
            <w:r>
              <w:rPr>
                <w:color w:val="000000" w:themeColor="text1"/>
              </w:rPr>
              <w:t>oxycodone dispensed to them by a community pharmacy,</w:t>
            </w:r>
            <w:r w:rsidRPr="00EB2819">
              <w:rPr>
                <w:color w:val="000000" w:themeColor="text1"/>
              </w:rPr>
              <w:t xml:space="preserve"> by year (2019</w:t>
            </w:r>
            <w:r>
              <w:rPr>
                <w:color w:val="000000" w:themeColor="text1"/>
              </w:rPr>
              <w:t xml:space="preserve"> to 2023</w:t>
            </w:r>
            <w:r w:rsidRPr="00EB2819">
              <w:rPr>
                <w:color w:val="000000" w:themeColor="text1"/>
              </w:rPr>
              <w:t>),</w:t>
            </w:r>
            <w:r>
              <w:rPr>
                <w:color w:val="000000" w:themeColor="text1"/>
              </w:rPr>
              <w:t xml:space="preserve"> </w:t>
            </w:r>
            <w:r w:rsidRPr="00EB2819">
              <w:rPr>
                <w:color w:val="000000" w:themeColor="text1"/>
              </w:rPr>
              <w:t xml:space="preserve">ethnic group, age group, </w:t>
            </w:r>
            <w:r>
              <w:rPr>
                <w:color w:val="000000" w:themeColor="text1"/>
              </w:rPr>
              <w:t xml:space="preserve">and </w:t>
            </w:r>
            <w:r w:rsidRPr="00EB2819">
              <w:rPr>
                <w:color w:val="000000" w:themeColor="text1"/>
              </w:rPr>
              <w:t>gender</w:t>
            </w:r>
            <w:r>
              <w:rPr>
                <w:color w:val="000000" w:themeColor="text1"/>
              </w:rPr>
              <w:t>.</w:t>
            </w:r>
          </w:p>
          <w:p w14:paraId="5FDBE984" w14:textId="77777777" w:rsidR="00621836" w:rsidRPr="00E57A3E" w:rsidRDefault="00621836" w:rsidP="00140865">
            <w:pPr>
              <w:pStyle w:val="BodyText"/>
              <w:spacing w:before="240" w:after="0"/>
              <w:rPr>
                <w:b/>
                <w:bCs/>
                <w:color w:val="000000" w:themeColor="text1"/>
              </w:rPr>
            </w:pPr>
            <w:r w:rsidRPr="00E57A3E">
              <w:rPr>
                <w:b/>
                <w:bCs/>
                <w:color w:val="000000" w:themeColor="text1"/>
              </w:rPr>
              <w:t xml:space="preserve">Why this indicator is important </w:t>
            </w:r>
          </w:p>
          <w:p w14:paraId="129A50B0" w14:textId="77777777" w:rsidR="00621836" w:rsidRPr="00EB2819" w:rsidRDefault="00621836" w:rsidP="00140865">
            <w:pPr>
              <w:pStyle w:val="BodyText"/>
              <w:spacing w:before="240" w:after="0"/>
              <w:rPr>
                <w:color w:val="000000" w:themeColor="text1"/>
              </w:rPr>
            </w:pPr>
            <w:r w:rsidRPr="00EB2819">
              <w:rPr>
                <w:color w:val="000000" w:themeColor="text1"/>
              </w:rPr>
              <w:t>In palliative care</w:t>
            </w:r>
            <w:r>
              <w:rPr>
                <w:color w:val="000000" w:themeColor="text1"/>
              </w:rPr>
              <w:t>,</w:t>
            </w:r>
            <w:r w:rsidRPr="00EB2819">
              <w:rPr>
                <w:color w:val="000000" w:themeColor="text1"/>
              </w:rPr>
              <w:t xml:space="preserve"> oxycodone is recommended as second-line treatment for people who cannot tolerate morphine. NICE recommends that oxycodone should not be used for neuropathic pain without specialist assessment. A </w:t>
            </w:r>
            <w:hyperlink r:id="rId11" w:history="1">
              <w:proofErr w:type="spellStart"/>
              <w:r w:rsidRPr="00EB2819">
                <w:rPr>
                  <w:rStyle w:val="Hyperlink"/>
                  <w:color w:val="000000" w:themeColor="text1"/>
                </w:rPr>
                <w:t>bpac</w:t>
              </w:r>
              <w:r w:rsidRPr="00EB2819">
                <w:rPr>
                  <w:rStyle w:val="Hyperlink"/>
                  <w:color w:val="000000" w:themeColor="text1"/>
                  <w:vertAlign w:val="superscript"/>
                </w:rPr>
                <w:t>nz</w:t>
              </w:r>
              <w:proofErr w:type="spellEnd"/>
              <w:r w:rsidRPr="00EB2819">
                <w:rPr>
                  <w:rStyle w:val="Hyperlink"/>
                  <w:color w:val="000000" w:themeColor="text1"/>
                </w:rPr>
                <w:t xml:space="preserve"> review</w:t>
              </w:r>
            </w:hyperlink>
            <w:r w:rsidRPr="00EB2819">
              <w:rPr>
                <w:color w:val="000000" w:themeColor="text1"/>
              </w:rPr>
              <w:t xml:space="preserve"> noted that oxycodone is more addictive than morphine and does not have a better side-effect profile.</w:t>
            </w:r>
          </w:p>
          <w:p w14:paraId="45161A59" w14:textId="77777777" w:rsidR="00621836" w:rsidRPr="00E57A3E" w:rsidRDefault="00621836" w:rsidP="00140865">
            <w:pPr>
              <w:pStyle w:val="BodyText"/>
              <w:spacing w:before="240" w:after="0"/>
              <w:rPr>
                <w:b/>
                <w:bCs/>
                <w:color w:val="000000" w:themeColor="text1"/>
              </w:rPr>
            </w:pPr>
            <w:r w:rsidRPr="00E57A3E">
              <w:rPr>
                <w:b/>
                <w:bCs/>
                <w:color w:val="000000" w:themeColor="text1"/>
              </w:rPr>
              <w:t xml:space="preserve">What questions does this prompt? </w:t>
            </w:r>
          </w:p>
          <w:p w14:paraId="7BFD9AD3" w14:textId="77777777" w:rsidR="00621836" w:rsidRPr="00EB2819" w:rsidRDefault="00621836" w:rsidP="00140865">
            <w:pPr>
              <w:pStyle w:val="BodyText"/>
              <w:numPr>
                <w:ilvl w:val="0"/>
                <w:numId w:val="23"/>
              </w:numPr>
              <w:spacing w:before="240" w:after="0"/>
              <w:rPr>
                <w:color w:val="000000" w:themeColor="text1"/>
              </w:rPr>
            </w:pPr>
            <w:r w:rsidRPr="00EB2819">
              <w:rPr>
                <w:color w:val="000000" w:themeColor="text1"/>
              </w:rPr>
              <w:t>Why are some districts consistently lower or higher than the national mean?</w:t>
            </w:r>
          </w:p>
          <w:p w14:paraId="4B299054" w14:textId="77777777" w:rsidR="00621836" w:rsidRPr="00EB2819" w:rsidRDefault="00621836" w:rsidP="00140865">
            <w:pPr>
              <w:pStyle w:val="BodyText"/>
              <w:numPr>
                <w:ilvl w:val="0"/>
                <w:numId w:val="23"/>
              </w:numPr>
              <w:spacing w:before="240" w:after="0"/>
              <w:rPr>
                <w:color w:val="000000" w:themeColor="text1"/>
              </w:rPr>
            </w:pPr>
            <w:r w:rsidRPr="00EB2819">
              <w:rPr>
                <w:color w:val="000000" w:themeColor="text1"/>
              </w:rPr>
              <w:t>How do similar districts compare?</w:t>
            </w:r>
          </w:p>
          <w:p w14:paraId="1492D424" w14:textId="77777777" w:rsidR="00621836" w:rsidRPr="007F0567" w:rsidRDefault="00621836" w:rsidP="00140865">
            <w:pPr>
              <w:pStyle w:val="ListParagraph"/>
              <w:numPr>
                <w:ilvl w:val="0"/>
                <w:numId w:val="23"/>
              </w:numPr>
              <w:spacing w:before="240" w:after="0"/>
              <w:contextualSpacing w:val="0"/>
              <w:rPr>
                <w:rFonts w:cs="Arial"/>
              </w:rPr>
            </w:pPr>
            <w:r w:rsidRPr="00EB2819">
              <w:rPr>
                <w:rFonts w:cs="Arial"/>
                <w:color w:val="000000" w:themeColor="text1"/>
              </w:rPr>
              <w:t>How long are people receiving oxycodone for?</w:t>
            </w:r>
          </w:p>
        </w:tc>
      </w:tr>
    </w:tbl>
    <w:p w14:paraId="5892F675" w14:textId="77777777" w:rsidR="00621836" w:rsidRPr="00A803A6" w:rsidRDefault="00621836" w:rsidP="00621836">
      <w:pPr>
        <w:rPr>
          <w:rFonts w:cs="Arial"/>
          <w:color w:val="000000" w:themeColor="text1"/>
        </w:rPr>
      </w:pPr>
    </w:p>
    <w:p w14:paraId="1905CAE9" w14:textId="77777777" w:rsidR="00621836" w:rsidRPr="00A803A6" w:rsidRDefault="00621836" w:rsidP="00621836">
      <w:pPr>
        <w:pStyle w:val="Heading3"/>
        <w:numPr>
          <w:ilvl w:val="0"/>
          <w:numId w:val="12"/>
        </w:numPr>
        <w:tabs>
          <w:tab w:val="num" w:pos="360"/>
        </w:tabs>
        <w:rPr>
          <w:color w:val="000000" w:themeColor="text1"/>
        </w:rPr>
      </w:pPr>
      <w:bookmarkStart w:id="14" w:name="_Toc210140431"/>
      <w:r w:rsidRPr="00A803A6">
        <w:rPr>
          <w:color w:val="000000" w:themeColor="text1"/>
        </w:rPr>
        <w:t>People dispensed oxycodone for 6 weeks or more</w:t>
      </w:r>
      <w:bookmarkEnd w:id="14"/>
    </w:p>
    <w:tbl>
      <w:tblPr>
        <w:tblW w:w="9351"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781"/>
        <w:gridCol w:w="7570"/>
      </w:tblGrid>
      <w:tr w:rsidR="00621836" w:rsidRPr="00A803A6" w14:paraId="4B1EE9E9" w14:textId="77777777" w:rsidTr="003162C1">
        <w:trPr>
          <w:trHeight w:val="327"/>
        </w:trPr>
        <w:tc>
          <w:tcPr>
            <w:tcW w:w="1781" w:type="dxa"/>
          </w:tcPr>
          <w:p w14:paraId="0E460F69" w14:textId="77777777" w:rsidR="00621836" w:rsidRPr="00A803A6" w:rsidRDefault="00621836" w:rsidP="003162C1">
            <w:pPr>
              <w:pStyle w:val="BodyText"/>
              <w:rPr>
                <w:b/>
                <w:bCs/>
                <w:color w:val="000000" w:themeColor="text1"/>
              </w:rPr>
            </w:pPr>
            <w:r w:rsidRPr="00A803A6">
              <w:rPr>
                <w:b/>
                <w:bCs/>
                <w:color w:val="000000" w:themeColor="text1"/>
              </w:rPr>
              <w:t>Indicator #7:</w:t>
            </w:r>
          </w:p>
        </w:tc>
        <w:tc>
          <w:tcPr>
            <w:tcW w:w="7570" w:type="dxa"/>
            <w:vAlign w:val="center"/>
          </w:tcPr>
          <w:p w14:paraId="30C9DC8D" w14:textId="77777777" w:rsidR="00621836" w:rsidRPr="00A803A6" w:rsidRDefault="00621836" w:rsidP="003162C1">
            <w:pPr>
              <w:pStyle w:val="BodyText"/>
              <w:rPr>
                <w:color w:val="000000" w:themeColor="text1"/>
              </w:rPr>
            </w:pPr>
            <w:r w:rsidRPr="00A803A6">
              <w:rPr>
                <w:color w:val="000000" w:themeColor="text1"/>
              </w:rPr>
              <w:t>People dispensed oxycodone for 6 weeks or more</w:t>
            </w:r>
          </w:p>
        </w:tc>
      </w:tr>
      <w:tr w:rsidR="00621836" w:rsidRPr="00A803A6" w14:paraId="21D026B2" w14:textId="77777777" w:rsidTr="003162C1">
        <w:trPr>
          <w:trHeight w:val="327"/>
        </w:trPr>
        <w:tc>
          <w:tcPr>
            <w:tcW w:w="1781" w:type="dxa"/>
          </w:tcPr>
          <w:p w14:paraId="7C005D91" w14:textId="77777777" w:rsidR="00621836" w:rsidRPr="00A803A6" w:rsidRDefault="00621836" w:rsidP="003162C1">
            <w:pPr>
              <w:pStyle w:val="BodyText"/>
              <w:rPr>
                <w:b/>
                <w:bCs/>
                <w:color w:val="000000" w:themeColor="text1"/>
              </w:rPr>
            </w:pPr>
            <w:r w:rsidRPr="00A803A6">
              <w:rPr>
                <w:b/>
                <w:bCs/>
                <w:color w:val="000000" w:themeColor="text1"/>
              </w:rPr>
              <w:t>Numerator</w:t>
            </w:r>
          </w:p>
        </w:tc>
        <w:tc>
          <w:tcPr>
            <w:tcW w:w="7570" w:type="dxa"/>
            <w:vAlign w:val="bottom"/>
          </w:tcPr>
          <w:p w14:paraId="35128048"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 xml:space="preserve">enrolled population </w:t>
            </w:r>
            <w:r>
              <w:rPr>
                <w:color w:val="000000" w:themeColor="text1"/>
              </w:rPr>
              <w:t xml:space="preserve">who were </w:t>
            </w:r>
            <w:r w:rsidRPr="00A803A6">
              <w:rPr>
                <w:color w:val="000000" w:themeColor="text1"/>
              </w:rPr>
              <w:t>dispensed oxycodone for 6–12 weeks after first dispensing in a year</w:t>
            </w:r>
          </w:p>
        </w:tc>
      </w:tr>
      <w:tr w:rsidR="00621836" w:rsidRPr="00A803A6" w14:paraId="31456EE2" w14:textId="77777777" w:rsidTr="003162C1">
        <w:trPr>
          <w:trHeight w:val="327"/>
        </w:trPr>
        <w:tc>
          <w:tcPr>
            <w:tcW w:w="1781" w:type="dxa"/>
          </w:tcPr>
          <w:p w14:paraId="49693AA7" w14:textId="77777777" w:rsidR="00621836" w:rsidRPr="00A803A6" w:rsidRDefault="00621836" w:rsidP="003162C1">
            <w:pPr>
              <w:pStyle w:val="BodyText"/>
              <w:rPr>
                <w:b/>
                <w:bCs/>
                <w:color w:val="000000" w:themeColor="text1"/>
              </w:rPr>
            </w:pPr>
            <w:r w:rsidRPr="00A803A6">
              <w:rPr>
                <w:b/>
                <w:bCs/>
                <w:color w:val="000000" w:themeColor="text1"/>
              </w:rPr>
              <w:t>Denominator</w:t>
            </w:r>
          </w:p>
        </w:tc>
        <w:tc>
          <w:tcPr>
            <w:tcW w:w="7570" w:type="dxa"/>
            <w:vAlign w:val="bottom"/>
          </w:tcPr>
          <w:p w14:paraId="64FBF727"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enrolled population during the calendar year</w:t>
            </w:r>
          </w:p>
        </w:tc>
      </w:tr>
      <w:tr w:rsidR="00621836" w:rsidRPr="00A803A6" w14:paraId="4CCBC1B5" w14:textId="77777777" w:rsidTr="003162C1">
        <w:trPr>
          <w:trHeight w:val="327"/>
        </w:trPr>
        <w:tc>
          <w:tcPr>
            <w:tcW w:w="1781" w:type="dxa"/>
          </w:tcPr>
          <w:p w14:paraId="4FBB942A" w14:textId="77777777" w:rsidR="00621836" w:rsidRPr="00A803A6" w:rsidRDefault="00621836" w:rsidP="003162C1">
            <w:pPr>
              <w:pStyle w:val="BodyText"/>
              <w:rPr>
                <w:b/>
                <w:bCs/>
                <w:color w:val="000000" w:themeColor="text1"/>
              </w:rPr>
            </w:pPr>
            <w:r w:rsidRPr="00A803A6">
              <w:rPr>
                <w:b/>
                <w:bCs/>
                <w:color w:val="000000" w:themeColor="text1"/>
              </w:rPr>
              <w:t>Data source</w:t>
            </w:r>
          </w:p>
        </w:tc>
        <w:tc>
          <w:tcPr>
            <w:tcW w:w="7570" w:type="dxa"/>
            <w:vAlign w:val="bottom"/>
          </w:tcPr>
          <w:p w14:paraId="6A2FF4B5" w14:textId="77777777" w:rsidR="00621836" w:rsidRPr="00A803A6" w:rsidRDefault="00621836" w:rsidP="003162C1">
            <w:pPr>
              <w:pStyle w:val="BodyText"/>
              <w:rPr>
                <w:color w:val="000000" w:themeColor="text1"/>
              </w:rPr>
            </w:pPr>
            <w:r w:rsidRPr="00A803A6">
              <w:rPr>
                <w:color w:val="000000" w:themeColor="text1"/>
              </w:rPr>
              <w:t xml:space="preserve">Pharmaceutical Collection, </w:t>
            </w:r>
            <w:r w:rsidRPr="00A803A6">
              <w:rPr>
                <w:bCs/>
                <w:color w:val="000000" w:themeColor="text1"/>
              </w:rPr>
              <w:t>PHO Enrolment Collection</w:t>
            </w:r>
          </w:p>
        </w:tc>
      </w:tr>
      <w:tr w:rsidR="00621836" w:rsidRPr="00A803A6" w14:paraId="78CD9FA5" w14:textId="77777777" w:rsidTr="003162C1">
        <w:trPr>
          <w:trHeight w:val="327"/>
        </w:trPr>
        <w:tc>
          <w:tcPr>
            <w:tcW w:w="1781" w:type="dxa"/>
          </w:tcPr>
          <w:p w14:paraId="3FD3238E" w14:textId="77777777" w:rsidR="00621836" w:rsidRPr="00A803A6" w:rsidRDefault="00621836" w:rsidP="003162C1">
            <w:pPr>
              <w:pStyle w:val="BodyText"/>
              <w:rPr>
                <w:b/>
                <w:bCs/>
                <w:color w:val="000000" w:themeColor="text1"/>
              </w:rPr>
            </w:pPr>
            <w:r w:rsidRPr="00A803A6">
              <w:rPr>
                <w:b/>
                <w:bCs/>
                <w:color w:val="000000" w:themeColor="text1"/>
              </w:rPr>
              <w:t>Analysis</w:t>
            </w:r>
          </w:p>
        </w:tc>
        <w:tc>
          <w:tcPr>
            <w:tcW w:w="7570" w:type="dxa"/>
            <w:vAlign w:val="bottom"/>
          </w:tcPr>
          <w:p w14:paraId="2207E085" w14:textId="77777777" w:rsidR="00621836" w:rsidRPr="00A803A6" w:rsidRDefault="00621836" w:rsidP="003162C1">
            <w:pPr>
              <w:pStyle w:val="BodyText"/>
              <w:rPr>
                <w:color w:val="000000" w:themeColor="text1"/>
              </w:rPr>
            </w:pPr>
            <w:r w:rsidRPr="00A803A6">
              <w:rPr>
                <w:color w:val="000000" w:themeColor="text1"/>
              </w:rPr>
              <w:t xml:space="preserve">District analysis: By year (2019 –2023), age group (0–24, 25–64; 65–79 and 80 and over), gender (female, male), ethnic group (Māori, Pacific peoples, </w:t>
            </w:r>
            <w:r>
              <w:rPr>
                <w:color w:val="000000" w:themeColor="text1"/>
              </w:rPr>
              <w:t xml:space="preserve">Asian and </w:t>
            </w:r>
            <w:r w:rsidRPr="00A803A6">
              <w:rPr>
                <w:color w:val="000000" w:themeColor="text1"/>
              </w:rPr>
              <w:t>European/Other) and Health New Zealand district of domicile.</w:t>
            </w:r>
          </w:p>
          <w:p w14:paraId="233D114E" w14:textId="77777777" w:rsidR="00621836" w:rsidRPr="00A803A6" w:rsidRDefault="00621836" w:rsidP="003162C1">
            <w:pPr>
              <w:pStyle w:val="BodyText"/>
              <w:rPr>
                <w:color w:val="000000" w:themeColor="text1"/>
              </w:rPr>
            </w:pPr>
            <w:r w:rsidRPr="00A803A6">
              <w:rPr>
                <w:color w:val="000000" w:themeColor="text1"/>
              </w:rPr>
              <w:t>PHO analysis: By year (2023), age group, gender, ethnic group, Primary Health Organisation (PHO) most recently enrolled with (for the relevant year), PHO group (small, medium, medium-large and large).</w:t>
            </w:r>
          </w:p>
        </w:tc>
      </w:tr>
      <w:tr w:rsidR="00621836" w:rsidRPr="00A803A6" w14:paraId="73C997CF" w14:textId="77777777" w:rsidTr="003162C1">
        <w:trPr>
          <w:trHeight w:val="327"/>
        </w:trPr>
        <w:tc>
          <w:tcPr>
            <w:tcW w:w="1781" w:type="dxa"/>
          </w:tcPr>
          <w:p w14:paraId="037273A2" w14:textId="77777777" w:rsidR="00621836" w:rsidRPr="00A803A6" w:rsidRDefault="00621836" w:rsidP="003162C1">
            <w:pPr>
              <w:pStyle w:val="BodyText"/>
              <w:rPr>
                <w:b/>
                <w:bCs/>
                <w:color w:val="000000" w:themeColor="text1"/>
              </w:rPr>
            </w:pPr>
            <w:r w:rsidRPr="00A803A6">
              <w:rPr>
                <w:b/>
                <w:bCs/>
                <w:color w:val="000000" w:themeColor="text1"/>
              </w:rPr>
              <w:t>Medication</w:t>
            </w:r>
          </w:p>
        </w:tc>
        <w:tc>
          <w:tcPr>
            <w:tcW w:w="7570" w:type="dxa"/>
          </w:tcPr>
          <w:p w14:paraId="58CAB689" w14:textId="77777777" w:rsidR="00621836" w:rsidRPr="00A803A6" w:rsidRDefault="00621836" w:rsidP="003162C1">
            <w:pPr>
              <w:pStyle w:val="BodyText"/>
              <w:rPr>
                <w:color w:val="000000" w:themeColor="text1"/>
              </w:rPr>
            </w:pPr>
            <w:r w:rsidRPr="00A803A6">
              <w:rPr>
                <w:color w:val="000000" w:themeColor="text1"/>
              </w:rPr>
              <w:t>3822 Oxycodone hydrochloride</w:t>
            </w:r>
          </w:p>
        </w:tc>
      </w:tr>
      <w:tr w:rsidR="00621836" w:rsidRPr="00A803A6" w14:paraId="66E36722" w14:textId="77777777" w:rsidTr="003162C1">
        <w:trPr>
          <w:trHeight w:val="327"/>
        </w:trPr>
        <w:tc>
          <w:tcPr>
            <w:tcW w:w="1781" w:type="dxa"/>
          </w:tcPr>
          <w:p w14:paraId="17D1CB93" w14:textId="77777777" w:rsidR="00621836" w:rsidRPr="00A803A6" w:rsidRDefault="00621836" w:rsidP="003162C1">
            <w:pPr>
              <w:pStyle w:val="BodyText"/>
              <w:rPr>
                <w:b/>
                <w:bCs/>
                <w:color w:val="000000" w:themeColor="text1"/>
              </w:rPr>
            </w:pPr>
            <w:r w:rsidRPr="00A803A6">
              <w:rPr>
                <w:b/>
                <w:bCs/>
                <w:color w:val="000000" w:themeColor="text1"/>
              </w:rPr>
              <w:t xml:space="preserve">Inclusions </w:t>
            </w:r>
          </w:p>
        </w:tc>
        <w:tc>
          <w:tcPr>
            <w:tcW w:w="7570" w:type="dxa"/>
            <w:vAlign w:val="bottom"/>
          </w:tcPr>
          <w:p w14:paraId="667B851E" w14:textId="77777777" w:rsidR="00621836" w:rsidRPr="00A803A6" w:rsidRDefault="00621836" w:rsidP="003162C1">
            <w:pPr>
              <w:pStyle w:val="BodyText"/>
              <w:rPr>
                <w:color w:val="000000" w:themeColor="text1"/>
              </w:rPr>
            </w:pPr>
            <w:r w:rsidRPr="00A803A6">
              <w:rPr>
                <w:color w:val="000000" w:themeColor="text1"/>
              </w:rPr>
              <w:t>Date between first dispensing in year and any subsequent dispensing to be greater than or equal to six weeks but not more than 12 weeks.</w:t>
            </w:r>
          </w:p>
          <w:p w14:paraId="2BAEAB03" w14:textId="77777777" w:rsidR="00621836" w:rsidRPr="00A803A6" w:rsidRDefault="00621836" w:rsidP="003162C1">
            <w:pPr>
              <w:pStyle w:val="BodyText"/>
              <w:rPr>
                <w:color w:val="000000" w:themeColor="text1"/>
              </w:rPr>
            </w:pPr>
            <w:r w:rsidRPr="00A803A6">
              <w:rPr>
                <w:color w:val="000000" w:themeColor="text1"/>
              </w:rPr>
              <w:t xml:space="preserve">Only </w:t>
            </w:r>
            <w:proofErr w:type="spellStart"/>
            <w:r w:rsidRPr="00A803A6">
              <w:rPr>
                <w:color w:val="000000" w:themeColor="text1"/>
              </w:rPr>
              <w:t>dispensings</w:t>
            </w:r>
            <w:proofErr w:type="spellEnd"/>
            <w:r w:rsidRPr="00A803A6">
              <w:rPr>
                <w:color w:val="000000" w:themeColor="text1"/>
              </w:rPr>
              <w:t xml:space="preserve"> in the same calendar year were included. The year was truncated at mid-November, </w:t>
            </w:r>
            <w:proofErr w:type="spellStart"/>
            <w:r w:rsidRPr="00A803A6">
              <w:rPr>
                <w:color w:val="000000" w:themeColor="text1"/>
              </w:rPr>
              <w:t>ie</w:t>
            </w:r>
            <w:proofErr w:type="spellEnd"/>
            <w:r w:rsidRPr="00A803A6">
              <w:rPr>
                <w:color w:val="000000" w:themeColor="text1"/>
              </w:rPr>
              <w:t xml:space="preserve">, first </w:t>
            </w:r>
            <w:proofErr w:type="spellStart"/>
            <w:r w:rsidRPr="00A803A6">
              <w:rPr>
                <w:color w:val="000000" w:themeColor="text1"/>
              </w:rPr>
              <w:t>dispensings</w:t>
            </w:r>
            <w:proofErr w:type="spellEnd"/>
            <w:r w:rsidRPr="00A803A6">
              <w:rPr>
                <w:color w:val="000000" w:themeColor="text1"/>
              </w:rPr>
              <w:t xml:space="preserve"> from mid-November to 31 December were excluded as they would not meet the criteria of a subsequent dispensing 6–12 weeks after the first.</w:t>
            </w:r>
          </w:p>
        </w:tc>
      </w:tr>
      <w:tr w:rsidR="00621836" w:rsidRPr="00A803A6" w14:paraId="59D7390F" w14:textId="77777777" w:rsidTr="003162C1">
        <w:trPr>
          <w:trHeight w:val="327"/>
        </w:trPr>
        <w:tc>
          <w:tcPr>
            <w:tcW w:w="1781" w:type="dxa"/>
          </w:tcPr>
          <w:p w14:paraId="3CF86369" w14:textId="77777777" w:rsidR="00621836" w:rsidRPr="00A803A6" w:rsidRDefault="00621836" w:rsidP="003162C1">
            <w:pPr>
              <w:pStyle w:val="BodyText"/>
              <w:rPr>
                <w:b/>
                <w:bCs/>
                <w:color w:val="000000" w:themeColor="text1"/>
              </w:rPr>
            </w:pPr>
            <w:r w:rsidRPr="00A803A6">
              <w:rPr>
                <w:b/>
                <w:bCs/>
                <w:color w:val="000000" w:themeColor="text1"/>
              </w:rPr>
              <w:lastRenderedPageBreak/>
              <w:t>Commentary</w:t>
            </w:r>
          </w:p>
        </w:tc>
        <w:tc>
          <w:tcPr>
            <w:tcW w:w="7570" w:type="dxa"/>
            <w:vAlign w:val="bottom"/>
          </w:tcPr>
          <w:p w14:paraId="200A87BE" w14:textId="77777777" w:rsidR="00621836" w:rsidRPr="00A803A6" w:rsidRDefault="00621836" w:rsidP="00140865">
            <w:pPr>
              <w:pStyle w:val="BodyText"/>
              <w:spacing w:after="0"/>
              <w:rPr>
                <w:color w:val="000000" w:themeColor="text1"/>
              </w:rPr>
            </w:pPr>
            <w:r w:rsidRPr="00A803A6">
              <w:rPr>
                <w:color w:val="000000" w:themeColor="text1"/>
              </w:rPr>
              <w:t>Description: People dispensed oxycodone for 6 weeks or more in a year.</w:t>
            </w:r>
          </w:p>
          <w:p w14:paraId="4F063A45" w14:textId="77777777" w:rsidR="00621836" w:rsidRDefault="00621836" w:rsidP="00140865">
            <w:pPr>
              <w:pStyle w:val="BodyText"/>
              <w:spacing w:before="240" w:after="0"/>
              <w:rPr>
                <w:color w:val="000000" w:themeColor="text1"/>
              </w:rPr>
            </w:pPr>
            <w:r w:rsidRPr="00EB2819">
              <w:rPr>
                <w:color w:val="000000" w:themeColor="text1"/>
              </w:rPr>
              <w:t xml:space="preserve">This indicator shows the number and rate per 1,000 of the PHO-enrolled population who had who had </w:t>
            </w:r>
            <w:r>
              <w:rPr>
                <w:color w:val="000000" w:themeColor="text1"/>
              </w:rPr>
              <w:t xml:space="preserve">oxycodone dispensed to them by a community pharmacy </w:t>
            </w:r>
            <w:r w:rsidRPr="00EB2819">
              <w:rPr>
                <w:color w:val="000000" w:themeColor="text1"/>
              </w:rPr>
              <w:t xml:space="preserve">for six weeks or </w:t>
            </w:r>
            <w:r>
              <w:rPr>
                <w:color w:val="000000" w:themeColor="text1"/>
              </w:rPr>
              <w:t>between 2019 and 2023.</w:t>
            </w:r>
          </w:p>
          <w:p w14:paraId="3CF65663" w14:textId="77777777" w:rsidR="00621836" w:rsidRPr="00EB2819" w:rsidRDefault="00621836" w:rsidP="00140865">
            <w:pPr>
              <w:pStyle w:val="BodyText"/>
              <w:spacing w:before="240" w:after="0"/>
              <w:rPr>
                <w:color w:val="000000" w:themeColor="text1"/>
              </w:rPr>
            </w:pPr>
            <w:r w:rsidRPr="00EB2819">
              <w:rPr>
                <w:color w:val="000000" w:themeColor="text1"/>
              </w:rPr>
              <w:t xml:space="preserve">To ensure that continuous use was captured, </w:t>
            </w:r>
            <w:r>
              <w:rPr>
                <w:color w:val="000000" w:themeColor="text1"/>
              </w:rPr>
              <w:t>we included oxycodone</w:t>
            </w:r>
            <w:r w:rsidRPr="00EB2819">
              <w:rPr>
                <w:color w:val="000000" w:themeColor="text1"/>
              </w:rPr>
              <w:t xml:space="preserve"> </w:t>
            </w:r>
            <w:r>
              <w:rPr>
                <w:color w:val="000000" w:themeColor="text1"/>
              </w:rPr>
              <w:t xml:space="preserve">that was dispensed </w:t>
            </w:r>
            <w:r w:rsidRPr="00EB2819">
              <w:rPr>
                <w:color w:val="000000" w:themeColor="text1"/>
              </w:rPr>
              <w:t>within 6</w:t>
            </w:r>
            <w:r>
              <w:rPr>
                <w:color w:val="000000" w:themeColor="text1"/>
              </w:rPr>
              <w:t xml:space="preserve"> to </w:t>
            </w:r>
            <w:r w:rsidRPr="00EB2819">
              <w:rPr>
                <w:color w:val="000000" w:themeColor="text1"/>
              </w:rPr>
              <w:t xml:space="preserve">12 weeks in the same calendar year. This means the year is truncated at mid-November; </w:t>
            </w:r>
            <w:proofErr w:type="gramStart"/>
            <w:r>
              <w:rPr>
                <w:color w:val="000000" w:themeColor="text1"/>
              </w:rPr>
              <w:t>so</w:t>
            </w:r>
            <w:proofErr w:type="gramEnd"/>
            <w:r>
              <w:rPr>
                <w:color w:val="000000" w:themeColor="text1"/>
              </w:rPr>
              <w:t xml:space="preserve"> the first time a strong opioid was dispensed </w:t>
            </w:r>
            <w:r w:rsidRPr="00EB2819">
              <w:rPr>
                <w:color w:val="000000" w:themeColor="text1"/>
              </w:rPr>
              <w:t xml:space="preserve">after mid-November </w:t>
            </w:r>
            <w:r>
              <w:rPr>
                <w:color w:val="000000" w:themeColor="text1"/>
              </w:rPr>
              <w:t>is</w:t>
            </w:r>
            <w:r w:rsidRPr="00EB2819">
              <w:rPr>
                <w:color w:val="000000" w:themeColor="text1"/>
              </w:rPr>
              <w:t xml:space="preserve"> not included. </w:t>
            </w:r>
          </w:p>
          <w:p w14:paraId="515CEE54" w14:textId="77777777" w:rsidR="00621836" w:rsidRPr="00E57A3E" w:rsidRDefault="00621836" w:rsidP="00140865">
            <w:pPr>
              <w:pStyle w:val="BodyText"/>
              <w:spacing w:before="240" w:after="0"/>
              <w:rPr>
                <w:b/>
                <w:bCs/>
                <w:color w:val="000000" w:themeColor="text1"/>
              </w:rPr>
            </w:pPr>
            <w:r w:rsidRPr="00E57A3E">
              <w:rPr>
                <w:b/>
                <w:bCs/>
                <w:color w:val="000000" w:themeColor="text1"/>
              </w:rPr>
              <w:t xml:space="preserve">Why this indicator is important </w:t>
            </w:r>
          </w:p>
          <w:p w14:paraId="752FE899" w14:textId="77777777" w:rsidR="00621836" w:rsidRPr="00EB2819" w:rsidRDefault="00621836" w:rsidP="00140865">
            <w:pPr>
              <w:pStyle w:val="BodyText"/>
              <w:spacing w:before="240" w:after="0"/>
              <w:rPr>
                <w:color w:val="000000" w:themeColor="text1"/>
              </w:rPr>
            </w:pPr>
            <w:r w:rsidRPr="00EB2819">
              <w:rPr>
                <w:color w:val="000000" w:themeColor="text1"/>
              </w:rPr>
              <w:t xml:space="preserve">The IHI classes opioids as one of four groups of medicines (along with anticoagulants, insulin and sedatives) that can cause harm to patients, even when used as intended. Except in </w:t>
            </w:r>
            <w:r>
              <w:rPr>
                <w:color w:val="000000" w:themeColor="text1"/>
              </w:rPr>
              <w:t>some</w:t>
            </w:r>
            <w:r w:rsidRPr="00EB2819">
              <w:rPr>
                <w:color w:val="000000" w:themeColor="text1"/>
              </w:rPr>
              <w:t xml:space="preserve"> circumstances, oxycodone is intended for short-term use only, with use for six weeks or more raising questions of appropriateness.</w:t>
            </w:r>
          </w:p>
          <w:p w14:paraId="49FB3EDA" w14:textId="77777777" w:rsidR="00621836" w:rsidRPr="00936576" w:rsidRDefault="00621836" w:rsidP="00140865">
            <w:pPr>
              <w:pStyle w:val="BodyText"/>
              <w:spacing w:before="240" w:after="0"/>
              <w:rPr>
                <w:b/>
                <w:bCs/>
                <w:color w:val="000000" w:themeColor="text1"/>
              </w:rPr>
            </w:pPr>
            <w:r w:rsidRPr="00936576">
              <w:rPr>
                <w:b/>
                <w:bCs/>
                <w:color w:val="000000" w:themeColor="text1"/>
              </w:rPr>
              <w:t xml:space="preserve">What questions does this prompt? </w:t>
            </w:r>
          </w:p>
          <w:p w14:paraId="46A7020B" w14:textId="77777777" w:rsidR="00621836" w:rsidRPr="00EB2819" w:rsidRDefault="00621836" w:rsidP="00140865">
            <w:pPr>
              <w:pStyle w:val="BodyText"/>
              <w:numPr>
                <w:ilvl w:val="0"/>
                <w:numId w:val="22"/>
              </w:numPr>
              <w:spacing w:before="240" w:after="0"/>
              <w:rPr>
                <w:color w:val="000000" w:themeColor="text1"/>
              </w:rPr>
            </w:pPr>
            <w:r w:rsidRPr="00EB2819">
              <w:rPr>
                <w:color w:val="000000" w:themeColor="text1"/>
              </w:rPr>
              <w:t>Why are some districts consistently lower or higher than the national mean?</w:t>
            </w:r>
          </w:p>
          <w:p w14:paraId="10063977" w14:textId="77777777" w:rsidR="00621836" w:rsidRPr="00C14774" w:rsidRDefault="00621836" w:rsidP="00140865">
            <w:pPr>
              <w:pStyle w:val="ListParagraph"/>
              <w:numPr>
                <w:ilvl w:val="0"/>
                <w:numId w:val="22"/>
              </w:numPr>
              <w:spacing w:before="240" w:after="0"/>
              <w:contextualSpacing w:val="0"/>
              <w:rPr>
                <w:rFonts w:cs="Arial"/>
              </w:rPr>
            </w:pPr>
            <w:r w:rsidRPr="00EB2819">
              <w:rPr>
                <w:rFonts w:cs="Arial"/>
                <w:color w:val="000000" w:themeColor="text1"/>
              </w:rPr>
              <w:t>How do similar districts compare?</w:t>
            </w:r>
          </w:p>
        </w:tc>
      </w:tr>
    </w:tbl>
    <w:p w14:paraId="30B4E272" w14:textId="77777777" w:rsidR="00621836" w:rsidRPr="00A803A6" w:rsidRDefault="00621836" w:rsidP="00621836">
      <w:pPr>
        <w:rPr>
          <w:rFonts w:cs="Arial"/>
          <w:color w:val="000000" w:themeColor="text1"/>
        </w:rPr>
      </w:pPr>
    </w:p>
    <w:p w14:paraId="265FFBC5" w14:textId="77777777" w:rsidR="00621836" w:rsidRPr="00A803A6" w:rsidRDefault="00621836" w:rsidP="00621836">
      <w:pPr>
        <w:pStyle w:val="Heading3"/>
        <w:numPr>
          <w:ilvl w:val="0"/>
          <w:numId w:val="20"/>
        </w:numPr>
        <w:rPr>
          <w:color w:val="000000" w:themeColor="text1"/>
        </w:rPr>
      </w:pPr>
      <w:bookmarkStart w:id="15" w:name="_Toc210140432"/>
      <w:r w:rsidRPr="00A803A6">
        <w:rPr>
          <w:color w:val="000000" w:themeColor="text1"/>
        </w:rPr>
        <w:t>People dispensed fentanyl one or more times in a year</w:t>
      </w:r>
      <w:bookmarkEnd w:id="15"/>
    </w:p>
    <w:tbl>
      <w:tblPr>
        <w:tblW w:w="9351"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781"/>
        <w:gridCol w:w="7570"/>
      </w:tblGrid>
      <w:tr w:rsidR="00621836" w:rsidRPr="00A803A6" w14:paraId="7832CD5E" w14:textId="77777777" w:rsidTr="003162C1">
        <w:trPr>
          <w:trHeight w:val="327"/>
        </w:trPr>
        <w:tc>
          <w:tcPr>
            <w:tcW w:w="1781" w:type="dxa"/>
          </w:tcPr>
          <w:p w14:paraId="4B4A6B90" w14:textId="77777777" w:rsidR="00621836" w:rsidRPr="00A803A6" w:rsidRDefault="00621836" w:rsidP="003162C1">
            <w:pPr>
              <w:pStyle w:val="BodyText"/>
              <w:rPr>
                <w:color w:val="000000" w:themeColor="text1"/>
              </w:rPr>
            </w:pPr>
            <w:r w:rsidRPr="00A803A6">
              <w:rPr>
                <w:color w:val="000000" w:themeColor="text1"/>
              </w:rPr>
              <w:t>Indicator #8:</w:t>
            </w:r>
          </w:p>
        </w:tc>
        <w:tc>
          <w:tcPr>
            <w:tcW w:w="7570" w:type="dxa"/>
            <w:vAlign w:val="center"/>
          </w:tcPr>
          <w:p w14:paraId="010D5998" w14:textId="77777777" w:rsidR="00621836" w:rsidRPr="00A803A6" w:rsidRDefault="00621836" w:rsidP="003162C1">
            <w:pPr>
              <w:pStyle w:val="BodyText"/>
              <w:rPr>
                <w:color w:val="000000" w:themeColor="text1"/>
              </w:rPr>
            </w:pPr>
            <w:r w:rsidRPr="00A803A6">
              <w:rPr>
                <w:bCs/>
                <w:color w:val="000000" w:themeColor="text1"/>
              </w:rPr>
              <w:t>People dispensed fentanyl one or more times in a year</w:t>
            </w:r>
          </w:p>
        </w:tc>
      </w:tr>
      <w:tr w:rsidR="00621836" w:rsidRPr="00A803A6" w14:paraId="04A42FC0" w14:textId="77777777" w:rsidTr="003162C1">
        <w:trPr>
          <w:trHeight w:val="327"/>
        </w:trPr>
        <w:tc>
          <w:tcPr>
            <w:tcW w:w="1781" w:type="dxa"/>
          </w:tcPr>
          <w:p w14:paraId="4FFD9558" w14:textId="77777777" w:rsidR="00621836" w:rsidRPr="00A803A6" w:rsidRDefault="00621836" w:rsidP="003162C1">
            <w:pPr>
              <w:pStyle w:val="BodyText"/>
              <w:rPr>
                <w:color w:val="000000" w:themeColor="text1"/>
              </w:rPr>
            </w:pPr>
            <w:r w:rsidRPr="00A803A6">
              <w:rPr>
                <w:color w:val="000000" w:themeColor="text1"/>
              </w:rPr>
              <w:t>Numerator</w:t>
            </w:r>
          </w:p>
        </w:tc>
        <w:tc>
          <w:tcPr>
            <w:tcW w:w="7570" w:type="dxa"/>
            <w:vAlign w:val="bottom"/>
          </w:tcPr>
          <w:p w14:paraId="4E5742A2"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enrolled population who were dispensed fentanyl during the calendar year</w:t>
            </w:r>
          </w:p>
        </w:tc>
      </w:tr>
      <w:tr w:rsidR="00621836" w:rsidRPr="00A803A6" w14:paraId="0CE3120A" w14:textId="77777777" w:rsidTr="003162C1">
        <w:trPr>
          <w:trHeight w:val="327"/>
        </w:trPr>
        <w:tc>
          <w:tcPr>
            <w:tcW w:w="1781" w:type="dxa"/>
          </w:tcPr>
          <w:p w14:paraId="29C885A2" w14:textId="77777777" w:rsidR="00621836" w:rsidRPr="00A803A6" w:rsidRDefault="00621836" w:rsidP="003162C1">
            <w:pPr>
              <w:pStyle w:val="BodyText"/>
              <w:rPr>
                <w:color w:val="000000" w:themeColor="text1"/>
              </w:rPr>
            </w:pPr>
            <w:r w:rsidRPr="00A803A6">
              <w:rPr>
                <w:bCs/>
                <w:color w:val="000000" w:themeColor="text1"/>
              </w:rPr>
              <w:t>Denominator</w:t>
            </w:r>
          </w:p>
        </w:tc>
        <w:tc>
          <w:tcPr>
            <w:tcW w:w="7570" w:type="dxa"/>
            <w:vAlign w:val="bottom"/>
          </w:tcPr>
          <w:p w14:paraId="0CBB6A20"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enrolled population during the calendar year</w:t>
            </w:r>
          </w:p>
        </w:tc>
      </w:tr>
      <w:tr w:rsidR="00621836" w:rsidRPr="00A803A6" w14:paraId="79455F01" w14:textId="77777777" w:rsidTr="003162C1">
        <w:trPr>
          <w:trHeight w:val="327"/>
        </w:trPr>
        <w:tc>
          <w:tcPr>
            <w:tcW w:w="1781" w:type="dxa"/>
          </w:tcPr>
          <w:p w14:paraId="7E37B6E3" w14:textId="77777777" w:rsidR="00621836" w:rsidRPr="00A803A6" w:rsidRDefault="00621836" w:rsidP="003162C1">
            <w:pPr>
              <w:pStyle w:val="BodyText"/>
              <w:rPr>
                <w:color w:val="000000" w:themeColor="text1"/>
              </w:rPr>
            </w:pPr>
            <w:r w:rsidRPr="00A803A6">
              <w:rPr>
                <w:bCs/>
                <w:color w:val="000000" w:themeColor="text1"/>
              </w:rPr>
              <w:t>Data source</w:t>
            </w:r>
          </w:p>
        </w:tc>
        <w:tc>
          <w:tcPr>
            <w:tcW w:w="7570" w:type="dxa"/>
            <w:vAlign w:val="bottom"/>
          </w:tcPr>
          <w:p w14:paraId="3A701794" w14:textId="77777777" w:rsidR="00621836" w:rsidRPr="00A803A6" w:rsidRDefault="00621836" w:rsidP="003162C1">
            <w:pPr>
              <w:pStyle w:val="BodyText"/>
              <w:rPr>
                <w:color w:val="000000" w:themeColor="text1"/>
              </w:rPr>
            </w:pPr>
            <w:r w:rsidRPr="00A803A6">
              <w:rPr>
                <w:color w:val="000000" w:themeColor="text1"/>
              </w:rPr>
              <w:t xml:space="preserve">Pharmaceutical Collection, </w:t>
            </w:r>
            <w:r w:rsidRPr="00A803A6">
              <w:rPr>
                <w:bCs/>
                <w:color w:val="000000" w:themeColor="text1"/>
              </w:rPr>
              <w:t>PHO Enrolment Collection</w:t>
            </w:r>
          </w:p>
        </w:tc>
      </w:tr>
      <w:tr w:rsidR="00621836" w:rsidRPr="00A803A6" w14:paraId="53ED7E2E" w14:textId="77777777" w:rsidTr="003162C1">
        <w:trPr>
          <w:trHeight w:val="327"/>
        </w:trPr>
        <w:tc>
          <w:tcPr>
            <w:tcW w:w="1781" w:type="dxa"/>
          </w:tcPr>
          <w:p w14:paraId="755AAC2F" w14:textId="77777777" w:rsidR="00621836" w:rsidRPr="00A803A6" w:rsidRDefault="00621836" w:rsidP="003162C1">
            <w:pPr>
              <w:pStyle w:val="BodyText"/>
              <w:rPr>
                <w:color w:val="000000" w:themeColor="text1"/>
              </w:rPr>
            </w:pPr>
            <w:r w:rsidRPr="00A803A6">
              <w:rPr>
                <w:bCs/>
                <w:color w:val="000000" w:themeColor="text1"/>
              </w:rPr>
              <w:t>Analysis</w:t>
            </w:r>
          </w:p>
        </w:tc>
        <w:tc>
          <w:tcPr>
            <w:tcW w:w="7570" w:type="dxa"/>
            <w:vAlign w:val="bottom"/>
          </w:tcPr>
          <w:p w14:paraId="328C8CF9" w14:textId="77777777" w:rsidR="00621836" w:rsidRPr="00A803A6" w:rsidRDefault="00621836" w:rsidP="003162C1">
            <w:pPr>
              <w:pStyle w:val="BodyText"/>
              <w:rPr>
                <w:color w:val="000000" w:themeColor="text1"/>
              </w:rPr>
            </w:pPr>
            <w:r w:rsidRPr="00A803A6">
              <w:rPr>
                <w:color w:val="000000" w:themeColor="text1"/>
              </w:rPr>
              <w:t xml:space="preserve">District analysis: By year (2019 –2023), age group (0–24, 25–64; 65–79 and 80 and over), gender (female, male), ethnic group (Māori, Pacific peoples, </w:t>
            </w:r>
            <w:r>
              <w:rPr>
                <w:color w:val="000000" w:themeColor="text1"/>
              </w:rPr>
              <w:t xml:space="preserve">Asian and </w:t>
            </w:r>
            <w:r w:rsidRPr="00A803A6">
              <w:rPr>
                <w:color w:val="000000" w:themeColor="text1"/>
              </w:rPr>
              <w:t>European/Other) and Health New Zealand district of domicile.</w:t>
            </w:r>
          </w:p>
          <w:p w14:paraId="5508F6B6" w14:textId="77777777" w:rsidR="00621836" w:rsidRPr="00A803A6" w:rsidRDefault="00621836" w:rsidP="003162C1">
            <w:pPr>
              <w:pStyle w:val="BodyText"/>
              <w:rPr>
                <w:color w:val="000000" w:themeColor="text1"/>
              </w:rPr>
            </w:pPr>
            <w:r w:rsidRPr="00A803A6">
              <w:rPr>
                <w:color w:val="000000" w:themeColor="text1"/>
              </w:rPr>
              <w:t>PHO analysis: By year (2023), age group, gender, ethnic group, Primary Health Organisation (PHO) most recently enrolled with (for the relevant year), PHO group (small, medium, medium-large and large).</w:t>
            </w:r>
          </w:p>
        </w:tc>
      </w:tr>
      <w:tr w:rsidR="00621836" w:rsidRPr="00A803A6" w14:paraId="5B0C09FE" w14:textId="77777777" w:rsidTr="003162C1">
        <w:trPr>
          <w:trHeight w:val="327"/>
        </w:trPr>
        <w:tc>
          <w:tcPr>
            <w:tcW w:w="1781" w:type="dxa"/>
          </w:tcPr>
          <w:p w14:paraId="590E9149" w14:textId="77777777" w:rsidR="00621836" w:rsidRPr="00A803A6" w:rsidRDefault="00621836" w:rsidP="003162C1">
            <w:pPr>
              <w:pStyle w:val="BodyText"/>
              <w:rPr>
                <w:color w:val="000000" w:themeColor="text1"/>
              </w:rPr>
            </w:pPr>
            <w:r w:rsidRPr="00A803A6">
              <w:rPr>
                <w:color w:val="000000" w:themeColor="text1"/>
              </w:rPr>
              <w:t>Medication</w:t>
            </w:r>
          </w:p>
        </w:tc>
        <w:tc>
          <w:tcPr>
            <w:tcW w:w="7570" w:type="dxa"/>
          </w:tcPr>
          <w:p w14:paraId="1EE890E9" w14:textId="77777777" w:rsidR="00621836" w:rsidRPr="00A803A6" w:rsidRDefault="00621836" w:rsidP="003162C1">
            <w:pPr>
              <w:pStyle w:val="BodyText"/>
              <w:rPr>
                <w:color w:val="000000" w:themeColor="text1"/>
              </w:rPr>
            </w:pPr>
            <w:r w:rsidRPr="00A803A6">
              <w:rPr>
                <w:color w:val="000000" w:themeColor="text1"/>
              </w:rPr>
              <w:t>1274 Fentanyl citrate; 3801 Fentanyl; 3896 Fentanyl citrate</w:t>
            </w:r>
          </w:p>
        </w:tc>
      </w:tr>
      <w:tr w:rsidR="00621836" w:rsidRPr="00A803A6" w14:paraId="0862E2D3" w14:textId="77777777" w:rsidTr="003162C1">
        <w:trPr>
          <w:trHeight w:val="327"/>
        </w:trPr>
        <w:tc>
          <w:tcPr>
            <w:tcW w:w="1781" w:type="dxa"/>
          </w:tcPr>
          <w:p w14:paraId="77E83CD2" w14:textId="77777777" w:rsidR="00621836" w:rsidRPr="00A803A6" w:rsidRDefault="00621836" w:rsidP="00140865">
            <w:pPr>
              <w:pStyle w:val="BodyText"/>
              <w:spacing w:after="0"/>
              <w:rPr>
                <w:color w:val="000000" w:themeColor="text1"/>
              </w:rPr>
            </w:pPr>
            <w:r w:rsidRPr="00A803A6">
              <w:rPr>
                <w:color w:val="000000" w:themeColor="text1"/>
              </w:rPr>
              <w:t>Commentary</w:t>
            </w:r>
          </w:p>
        </w:tc>
        <w:tc>
          <w:tcPr>
            <w:tcW w:w="7570" w:type="dxa"/>
          </w:tcPr>
          <w:p w14:paraId="2372458B" w14:textId="77777777" w:rsidR="00621836" w:rsidRPr="00A803A6" w:rsidRDefault="00621836" w:rsidP="00140865">
            <w:pPr>
              <w:pStyle w:val="BodyText"/>
              <w:spacing w:after="0"/>
              <w:rPr>
                <w:color w:val="000000" w:themeColor="text1"/>
              </w:rPr>
            </w:pPr>
            <w:r w:rsidRPr="00A803A6">
              <w:rPr>
                <w:color w:val="000000" w:themeColor="text1"/>
              </w:rPr>
              <w:t>Description: People dispensed fentanyl one or more times in a year.</w:t>
            </w:r>
          </w:p>
          <w:p w14:paraId="71E2A5B5" w14:textId="77777777" w:rsidR="00621836" w:rsidRPr="00EB2819" w:rsidRDefault="00621836" w:rsidP="00140865">
            <w:pPr>
              <w:pStyle w:val="BodyText"/>
              <w:spacing w:before="240" w:after="0"/>
              <w:rPr>
                <w:color w:val="000000" w:themeColor="text1"/>
              </w:rPr>
            </w:pPr>
            <w:r w:rsidRPr="00EB2819">
              <w:rPr>
                <w:color w:val="000000" w:themeColor="text1"/>
              </w:rPr>
              <w:t xml:space="preserve">This indicator shows the number and rate per 1,000 of </w:t>
            </w:r>
            <w:r>
              <w:rPr>
                <w:color w:val="000000" w:themeColor="text1"/>
              </w:rPr>
              <w:t xml:space="preserve">the </w:t>
            </w:r>
            <w:r w:rsidRPr="00EB2819">
              <w:rPr>
                <w:color w:val="000000" w:themeColor="text1"/>
              </w:rPr>
              <w:t xml:space="preserve">PHO-enrolled population who had </w:t>
            </w:r>
            <w:r>
              <w:rPr>
                <w:color w:val="000000" w:themeColor="text1"/>
              </w:rPr>
              <w:t>fentanyl dispensed to them by a community pharmacy,</w:t>
            </w:r>
            <w:r w:rsidRPr="00EB2819">
              <w:rPr>
                <w:color w:val="000000" w:themeColor="text1"/>
              </w:rPr>
              <w:t xml:space="preserve"> </w:t>
            </w:r>
            <w:r w:rsidRPr="00EB2819">
              <w:rPr>
                <w:color w:val="000000" w:themeColor="text1"/>
              </w:rPr>
              <w:lastRenderedPageBreak/>
              <w:t>by year (2019</w:t>
            </w:r>
            <w:r>
              <w:rPr>
                <w:color w:val="000000" w:themeColor="text1"/>
              </w:rPr>
              <w:t xml:space="preserve"> to 2023</w:t>
            </w:r>
            <w:r w:rsidRPr="00EB2819">
              <w:rPr>
                <w:color w:val="000000" w:themeColor="text1"/>
              </w:rPr>
              <w:t>)</w:t>
            </w:r>
            <w:r>
              <w:rPr>
                <w:color w:val="000000" w:themeColor="text1"/>
              </w:rPr>
              <w:t>.</w:t>
            </w:r>
          </w:p>
          <w:p w14:paraId="1EFC0425" w14:textId="77777777" w:rsidR="00621836" w:rsidRPr="00E57A3E" w:rsidRDefault="00621836" w:rsidP="00140865">
            <w:pPr>
              <w:pStyle w:val="BodyText"/>
              <w:spacing w:before="240" w:after="0"/>
              <w:rPr>
                <w:b/>
                <w:bCs/>
                <w:color w:val="000000" w:themeColor="text1"/>
              </w:rPr>
            </w:pPr>
            <w:r w:rsidRPr="00E57A3E">
              <w:rPr>
                <w:b/>
                <w:bCs/>
                <w:color w:val="000000" w:themeColor="text1"/>
              </w:rPr>
              <w:t xml:space="preserve">Why this indicator is important </w:t>
            </w:r>
          </w:p>
          <w:p w14:paraId="4537CECA" w14:textId="77777777" w:rsidR="00621836" w:rsidRPr="00EB2819" w:rsidRDefault="00621836" w:rsidP="00140865">
            <w:pPr>
              <w:pStyle w:val="BodyText"/>
              <w:spacing w:before="240" w:after="0"/>
              <w:rPr>
                <w:color w:val="000000" w:themeColor="text1"/>
              </w:rPr>
            </w:pPr>
            <w:r w:rsidRPr="00EB2819">
              <w:rPr>
                <w:color w:val="000000" w:themeColor="text1"/>
              </w:rPr>
              <w:t>Fentanyl is recommended for people with moderate to severe pain as an alternate option after morphine and depending on patient circumstances.</w:t>
            </w:r>
          </w:p>
          <w:p w14:paraId="090502F0" w14:textId="77777777" w:rsidR="00621836" w:rsidRPr="00E57A3E" w:rsidRDefault="00621836" w:rsidP="00140865">
            <w:pPr>
              <w:pStyle w:val="BodyText"/>
              <w:spacing w:before="240" w:after="0"/>
              <w:rPr>
                <w:b/>
                <w:bCs/>
                <w:color w:val="000000" w:themeColor="text1"/>
              </w:rPr>
            </w:pPr>
            <w:r w:rsidRPr="00E57A3E">
              <w:rPr>
                <w:b/>
                <w:bCs/>
                <w:color w:val="000000" w:themeColor="text1"/>
              </w:rPr>
              <w:t xml:space="preserve">What questions does this prompt? </w:t>
            </w:r>
          </w:p>
          <w:p w14:paraId="204E65B7" w14:textId="77777777" w:rsidR="00621836" w:rsidRPr="00EB2819" w:rsidRDefault="00621836" w:rsidP="00140865">
            <w:pPr>
              <w:pStyle w:val="BodyText"/>
              <w:numPr>
                <w:ilvl w:val="0"/>
                <w:numId w:val="21"/>
              </w:numPr>
              <w:spacing w:before="240" w:after="0"/>
              <w:rPr>
                <w:color w:val="000000" w:themeColor="text1"/>
              </w:rPr>
            </w:pPr>
            <w:r w:rsidRPr="00EB2819">
              <w:rPr>
                <w:color w:val="000000" w:themeColor="text1"/>
              </w:rPr>
              <w:t>Why are some districts consistently lower or higher than the national mean?</w:t>
            </w:r>
          </w:p>
          <w:p w14:paraId="7AA0DD9E" w14:textId="77777777" w:rsidR="00621836" w:rsidRPr="00314894" w:rsidRDefault="00621836" w:rsidP="00140865">
            <w:pPr>
              <w:pStyle w:val="ListParagraph"/>
              <w:numPr>
                <w:ilvl w:val="0"/>
                <w:numId w:val="21"/>
              </w:numPr>
              <w:spacing w:before="240" w:after="0"/>
              <w:contextualSpacing w:val="0"/>
              <w:rPr>
                <w:rFonts w:cs="Arial"/>
              </w:rPr>
            </w:pPr>
            <w:r w:rsidRPr="00EB2819">
              <w:rPr>
                <w:rFonts w:cs="Arial"/>
                <w:color w:val="000000" w:themeColor="text1"/>
              </w:rPr>
              <w:t>How do similar districts compare?</w:t>
            </w:r>
          </w:p>
        </w:tc>
      </w:tr>
    </w:tbl>
    <w:p w14:paraId="54A465D5" w14:textId="77777777" w:rsidR="00621836" w:rsidRPr="00A803A6" w:rsidRDefault="00621836" w:rsidP="00621836">
      <w:pPr>
        <w:rPr>
          <w:rFonts w:cs="Arial"/>
          <w:color w:val="000000" w:themeColor="text1"/>
        </w:rPr>
      </w:pPr>
    </w:p>
    <w:p w14:paraId="41E38A86" w14:textId="77777777" w:rsidR="00621836" w:rsidRPr="008903DA" w:rsidRDefault="00621836" w:rsidP="00621836">
      <w:pPr>
        <w:pStyle w:val="Heading3"/>
        <w:numPr>
          <w:ilvl w:val="0"/>
          <w:numId w:val="20"/>
        </w:numPr>
      </w:pPr>
      <w:r w:rsidRPr="008903DA">
        <w:t xml:space="preserve"> </w:t>
      </w:r>
      <w:bookmarkStart w:id="16" w:name="_Toc210140433"/>
      <w:r w:rsidRPr="008903DA">
        <w:t>People dispensed fentanyl for 6 or more weeks</w:t>
      </w:r>
      <w:bookmarkEnd w:id="16"/>
    </w:p>
    <w:tbl>
      <w:tblPr>
        <w:tblW w:w="9351"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781"/>
        <w:gridCol w:w="7570"/>
      </w:tblGrid>
      <w:tr w:rsidR="00621836" w:rsidRPr="00A803A6" w14:paraId="61EB31A4" w14:textId="77777777" w:rsidTr="003162C1">
        <w:trPr>
          <w:trHeight w:val="327"/>
        </w:trPr>
        <w:tc>
          <w:tcPr>
            <w:tcW w:w="1781" w:type="dxa"/>
          </w:tcPr>
          <w:p w14:paraId="514610F8" w14:textId="77777777" w:rsidR="00621836" w:rsidRPr="00A803A6" w:rsidRDefault="00621836" w:rsidP="003162C1">
            <w:pPr>
              <w:pStyle w:val="BodyText"/>
              <w:rPr>
                <w:color w:val="000000" w:themeColor="text1"/>
              </w:rPr>
            </w:pPr>
            <w:r w:rsidRPr="00A803A6">
              <w:rPr>
                <w:color w:val="000000" w:themeColor="text1"/>
              </w:rPr>
              <w:t>Indicator #9:</w:t>
            </w:r>
          </w:p>
        </w:tc>
        <w:tc>
          <w:tcPr>
            <w:tcW w:w="7570" w:type="dxa"/>
            <w:vAlign w:val="center"/>
          </w:tcPr>
          <w:p w14:paraId="0805CF37" w14:textId="77777777" w:rsidR="00621836" w:rsidRPr="00A803A6" w:rsidRDefault="00621836" w:rsidP="003162C1">
            <w:pPr>
              <w:pStyle w:val="BodyText"/>
              <w:rPr>
                <w:color w:val="000000" w:themeColor="text1"/>
              </w:rPr>
            </w:pPr>
            <w:r w:rsidRPr="00A803A6">
              <w:rPr>
                <w:color w:val="000000" w:themeColor="text1"/>
              </w:rPr>
              <w:t>People dispensed fentanyl for 6 or more weeks</w:t>
            </w:r>
          </w:p>
        </w:tc>
      </w:tr>
      <w:tr w:rsidR="00621836" w:rsidRPr="00A803A6" w14:paraId="41267D93" w14:textId="77777777" w:rsidTr="003162C1">
        <w:trPr>
          <w:trHeight w:val="327"/>
        </w:trPr>
        <w:tc>
          <w:tcPr>
            <w:tcW w:w="1781" w:type="dxa"/>
          </w:tcPr>
          <w:p w14:paraId="16DC576B" w14:textId="77777777" w:rsidR="00621836" w:rsidRPr="00A803A6" w:rsidRDefault="00621836" w:rsidP="003162C1">
            <w:pPr>
              <w:pStyle w:val="BodyText"/>
              <w:rPr>
                <w:color w:val="000000" w:themeColor="text1"/>
              </w:rPr>
            </w:pPr>
            <w:r w:rsidRPr="00A803A6">
              <w:rPr>
                <w:color w:val="000000" w:themeColor="text1"/>
              </w:rPr>
              <w:t>Numerator</w:t>
            </w:r>
          </w:p>
        </w:tc>
        <w:tc>
          <w:tcPr>
            <w:tcW w:w="7570" w:type="dxa"/>
            <w:vAlign w:val="bottom"/>
          </w:tcPr>
          <w:p w14:paraId="1E125A7F"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enrolled population who were dispensed fentanyl during the calendar year</w:t>
            </w:r>
          </w:p>
        </w:tc>
      </w:tr>
      <w:tr w:rsidR="00621836" w:rsidRPr="00A803A6" w14:paraId="1475C302" w14:textId="77777777" w:rsidTr="003162C1">
        <w:trPr>
          <w:trHeight w:val="327"/>
        </w:trPr>
        <w:tc>
          <w:tcPr>
            <w:tcW w:w="1781" w:type="dxa"/>
          </w:tcPr>
          <w:p w14:paraId="7CAC3628" w14:textId="77777777" w:rsidR="00621836" w:rsidRPr="00A803A6" w:rsidRDefault="00621836" w:rsidP="003162C1">
            <w:pPr>
              <w:pStyle w:val="BodyText"/>
              <w:rPr>
                <w:color w:val="000000" w:themeColor="text1"/>
              </w:rPr>
            </w:pPr>
            <w:r w:rsidRPr="00A803A6">
              <w:rPr>
                <w:bCs/>
                <w:color w:val="000000" w:themeColor="text1"/>
              </w:rPr>
              <w:t>Denominator</w:t>
            </w:r>
          </w:p>
        </w:tc>
        <w:tc>
          <w:tcPr>
            <w:tcW w:w="7570" w:type="dxa"/>
            <w:vAlign w:val="bottom"/>
          </w:tcPr>
          <w:p w14:paraId="75A6A0DA"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enrolled population during the calendar year</w:t>
            </w:r>
          </w:p>
        </w:tc>
      </w:tr>
      <w:tr w:rsidR="00621836" w:rsidRPr="00A803A6" w14:paraId="2D5737C6" w14:textId="77777777" w:rsidTr="003162C1">
        <w:trPr>
          <w:trHeight w:val="327"/>
        </w:trPr>
        <w:tc>
          <w:tcPr>
            <w:tcW w:w="1781" w:type="dxa"/>
          </w:tcPr>
          <w:p w14:paraId="04C6E84A" w14:textId="77777777" w:rsidR="00621836" w:rsidRPr="00A803A6" w:rsidRDefault="00621836" w:rsidP="003162C1">
            <w:pPr>
              <w:pStyle w:val="BodyText"/>
              <w:rPr>
                <w:color w:val="000000" w:themeColor="text1"/>
              </w:rPr>
            </w:pPr>
            <w:r w:rsidRPr="00A803A6">
              <w:rPr>
                <w:bCs/>
                <w:color w:val="000000" w:themeColor="text1"/>
              </w:rPr>
              <w:t>Data source</w:t>
            </w:r>
          </w:p>
        </w:tc>
        <w:tc>
          <w:tcPr>
            <w:tcW w:w="7570" w:type="dxa"/>
            <w:vAlign w:val="bottom"/>
          </w:tcPr>
          <w:p w14:paraId="5DCA1A13" w14:textId="77777777" w:rsidR="00621836" w:rsidRPr="00A803A6" w:rsidRDefault="00621836" w:rsidP="003162C1">
            <w:pPr>
              <w:pStyle w:val="BodyText"/>
              <w:rPr>
                <w:color w:val="000000" w:themeColor="text1"/>
              </w:rPr>
            </w:pPr>
            <w:r w:rsidRPr="00A803A6">
              <w:rPr>
                <w:color w:val="000000" w:themeColor="text1"/>
              </w:rPr>
              <w:t xml:space="preserve">Pharmaceutical Collection, </w:t>
            </w:r>
            <w:r w:rsidRPr="00A803A6">
              <w:rPr>
                <w:bCs/>
                <w:color w:val="000000" w:themeColor="text1"/>
              </w:rPr>
              <w:t>PHO Enrolment Collection</w:t>
            </w:r>
          </w:p>
        </w:tc>
      </w:tr>
      <w:tr w:rsidR="00621836" w:rsidRPr="00A803A6" w14:paraId="0E976F8B" w14:textId="77777777" w:rsidTr="003162C1">
        <w:trPr>
          <w:trHeight w:val="327"/>
        </w:trPr>
        <w:tc>
          <w:tcPr>
            <w:tcW w:w="1781" w:type="dxa"/>
          </w:tcPr>
          <w:p w14:paraId="06037DDA" w14:textId="77777777" w:rsidR="00621836" w:rsidRPr="00A803A6" w:rsidRDefault="00621836" w:rsidP="003162C1">
            <w:pPr>
              <w:pStyle w:val="BodyText"/>
              <w:rPr>
                <w:color w:val="000000" w:themeColor="text1"/>
              </w:rPr>
            </w:pPr>
            <w:r w:rsidRPr="00A803A6">
              <w:rPr>
                <w:bCs/>
                <w:color w:val="000000" w:themeColor="text1"/>
              </w:rPr>
              <w:t>Analysis</w:t>
            </w:r>
          </w:p>
        </w:tc>
        <w:tc>
          <w:tcPr>
            <w:tcW w:w="7570" w:type="dxa"/>
            <w:vAlign w:val="bottom"/>
          </w:tcPr>
          <w:p w14:paraId="4EFFBC48" w14:textId="77777777" w:rsidR="00621836" w:rsidRPr="00A803A6" w:rsidRDefault="00621836" w:rsidP="003162C1">
            <w:pPr>
              <w:pStyle w:val="BodyText"/>
              <w:rPr>
                <w:color w:val="000000" w:themeColor="text1"/>
              </w:rPr>
            </w:pPr>
            <w:r w:rsidRPr="00A803A6">
              <w:rPr>
                <w:color w:val="000000" w:themeColor="text1"/>
              </w:rPr>
              <w:t xml:space="preserve">District analysis: By year (2019 –2023), age group (0–24, 25–64; 65–79 and 80 and over), gender (female, male), ethnic group (Māori, Pacific peoples, </w:t>
            </w:r>
            <w:r>
              <w:rPr>
                <w:color w:val="000000" w:themeColor="text1"/>
              </w:rPr>
              <w:t xml:space="preserve">Asian and </w:t>
            </w:r>
            <w:r w:rsidRPr="00A803A6">
              <w:rPr>
                <w:color w:val="000000" w:themeColor="text1"/>
              </w:rPr>
              <w:t>European/Other) and Health New Zealand district of domicile.</w:t>
            </w:r>
          </w:p>
          <w:p w14:paraId="43E6F6D0" w14:textId="77777777" w:rsidR="00621836" w:rsidRPr="00A803A6" w:rsidRDefault="00621836" w:rsidP="003162C1">
            <w:pPr>
              <w:pStyle w:val="BodyText"/>
              <w:rPr>
                <w:color w:val="000000" w:themeColor="text1"/>
              </w:rPr>
            </w:pPr>
            <w:r w:rsidRPr="00A803A6">
              <w:rPr>
                <w:color w:val="000000" w:themeColor="text1"/>
              </w:rPr>
              <w:t>PHO analysis: By year (2023), age group, gender, ethnic group, Primary Health Organisation (PHO) most recently enrolled with (for the relevant year), PHO group (small, medium, medium-large and large).</w:t>
            </w:r>
          </w:p>
        </w:tc>
      </w:tr>
      <w:tr w:rsidR="00621836" w:rsidRPr="00A803A6" w14:paraId="3CFA6576" w14:textId="77777777" w:rsidTr="003162C1">
        <w:trPr>
          <w:trHeight w:val="327"/>
        </w:trPr>
        <w:tc>
          <w:tcPr>
            <w:tcW w:w="1781" w:type="dxa"/>
          </w:tcPr>
          <w:p w14:paraId="629EE323" w14:textId="77777777" w:rsidR="00621836" w:rsidRPr="00A803A6" w:rsidRDefault="00621836" w:rsidP="003162C1">
            <w:pPr>
              <w:pStyle w:val="BodyText"/>
              <w:rPr>
                <w:color w:val="000000" w:themeColor="text1"/>
              </w:rPr>
            </w:pPr>
            <w:r w:rsidRPr="00A803A6">
              <w:rPr>
                <w:color w:val="000000" w:themeColor="text1"/>
              </w:rPr>
              <w:t xml:space="preserve">Medication </w:t>
            </w:r>
          </w:p>
        </w:tc>
        <w:tc>
          <w:tcPr>
            <w:tcW w:w="7570" w:type="dxa"/>
          </w:tcPr>
          <w:p w14:paraId="047CA609" w14:textId="77777777" w:rsidR="00621836" w:rsidRPr="00A803A6" w:rsidRDefault="00621836" w:rsidP="003162C1">
            <w:pPr>
              <w:pStyle w:val="BodyText"/>
              <w:rPr>
                <w:color w:val="000000" w:themeColor="text1"/>
              </w:rPr>
            </w:pPr>
            <w:r w:rsidRPr="00A803A6">
              <w:rPr>
                <w:color w:val="000000" w:themeColor="text1"/>
              </w:rPr>
              <w:t xml:space="preserve">1274 Fentanyl citrate; 3801 Fentanyl; 3896 Fentanyl citrate </w:t>
            </w:r>
          </w:p>
        </w:tc>
      </w:tr>
      <w:tr w:rsidR="00621836" w:rsidRPr="00A803A6" w14:paraId="21C69421" w14:textId="77777777" w:rsidTr="003162C1">
        <w:trPr>
          <w:trHeight w:val="404"/>
        </w:trPr>
        <w:tc>
          <w:tcPr>
            <w:tcW w:w="1781" w:type="dxa"/>
          </w:tcPr>
          <w:p w14:paraId="6D133090" w14:textId="77777777" w:rsidR="00621836" w:rsidRPr="00A803A6" w:rsidRDefault="00621836" w:rsidP="00140865">
            <w:pPr>
              <w:pStyle w:val="BodyText"/>
              <w:spacing w:after="0"/>
              <w:rPr>
                <w:color w:val="000000" w:themeColor="text1"/>
              </w:rPr>
            </w:pPr>
            <w:r w:rsidRPr="00A803A6">
              <w:rPr>
                <w:color w:val="000000" w:themeColor="text1"/>
              </w:rPr>
              <w:t>Commentary</w:t>
            </w:r>
          </w:p>
        </w:tc>
        <w:tc>
          <w:tcPr>
            <w:tcW w:w="7570" w:type="dxa"/>
          </w:tcPr>
          <w:p w14:paraId="143AF635" w14:textId="77777777" w:rsidR="00621836" w:rsidRPr="00A803A6" w:rsidRDefault="00621836" w:rsidP="00140865">
            <w:pPr>
              <w:pStyle w:val="BodyText"/>
              <w:spacing w:after="0"/>
              <w:rPr>
                <w:color w:val="000000" w:themeColor="text1"/>
              </w:rPr>
            </w:pPr>
            <w:r w:rsidRPr="00A803A6">
              <w:rPr>
                <w:color w:val="000000" w:themeColor="text1"/>
              </w:rPr>
              <w:t>Description: People dispensed fentanyl for 6 or more weeks.</w:t>
            </w:r>
          </w:p>
          <w:p w14:paraId="35040654" w14:textId="77777777" w:rsidR="00621836" w:rsidRPr="00EB2819" w:rsidRDefault="00621836" w:rsidP="00140865">
            <w:pPr>
              <w:pStyle w:val="BodyText"/>
              <w:spacing w:before="240" w:after="0"/>
              <w:rPr>
                <w:color w:val="000000" w:themeColor="text1"/>
              </w:rPr>
            </w:pPr>
            <w:r w:rsidRPr="00EB2819">
              <w:rPr>
                <w:color w:val="000000" w:themeColor="text1"/>
              </w:rPr>
              <w:t xml:space="preserve">This indicator shows the number and rate per 1,000 of </w:t>
            </w:r>
            <w:r>
              <w:rPr>
                <w:color w:val="000000" w:themeColor="text1"/>
              </w:rPr>
              <w:t xml:space="preserve">the </w:t>
            </w:r>
            <w:r w:rsidRPr="00EB2819">
              <w:rPr>
                <w:color w:val="000000" w:themeColor="text1"/>
              </w:rPr>
              <w:t xml:space="preserve">PHO-enrolled population who had </w:t>
            </w:r>
            <w:r>
              <w:rPr>
                <w:color w:val="000000" w:themeColor="text1"/>
              </w:rPr>
              <w:t>fentanyl dispensed to them by a community pharmacy</w:t>
            </w:r>
            <w:r w:rsidRPr="00EB2819" w:rsidDel="007277D5">
              <w:rPr>
                <w:color w:val="000000" w:themeColor="text1"/>
              </w:rPr>
              <w:t xml:space="preserve"> </w:t>
            </w:r>
            <w:r w:rsidRPr="00EB2819">
              <w:rPr>
                <w:color w:val="000000" w:themeColor="text1"/>
              </w:rPr>
              <w:t>for six or more weeks in a year (2019</w:t>
            </w:r>
            <w:r>
              <w:rPr>
                <w:color w:val="000000" w:themeColor="text1"/>
              </w:rPr>
              <w:t xml:space="preserve"> to 2023</w:t>
            </w:r>
            <w:r w:rsidRPr="00EB2819">
              <w:rPr>
                <w:color w:val="000000" w:themeColor="text1"/>
              </w:rPr>
              <w:t>).</w:t>
            </w:r>
          </w:p>
          <w:p w14:paraId="76738B65" w14:textId="77777777" w:rsidR="00621836" w:rsidRPr="00E57A3E" w:rsidRDefault="00621836" w:rsidP="00140865">
            <w:pPr>
              <w:pStyle w:val="BodyText"/>
              <w:spacing w:before="240" w:after="0"/>
              <w:rPr>
                <w:b/>
                <w:bCs/>
                <w:color w:val="000000" w:themeColor="text1"/>
              </w:rPr>
            </w:pPr>
            <w:r w:rsidRPr="00E57A3E">
              <w:rPr>
                <w:b/>
                <w:bCs/>
                <w:color w:val="000000" w:themeColor="text1"/>
              </w:rPr>
              <w:t xml:space="preserve">Why this indicator is important </w:t>
            </w:r>
          </w:p>
          <w:p w14:paraId="49B79B73" w14:textId="77777777" w:rsidR="00621836" w:rsidRPr="00EB2819" w:rsidRDefault="00621836" w:rsidP="00140865">
            <w:pPr>
              <w:pStyle w:val="BodyText"/>
              <w:spacing w:before="240" w:after="0"/>
              <w:rPr>
                <w:color w:val="000000" w:themeColor="text1"/>
              </w:rPr>
            </w:pPr>
            <w:r w:rsidRPr="00EB2819">
              <w:rPr>
                <w:color w:val="000000" w:themeColor="text1"/>
              </w:rPr>
              <w:t>Fentanyl is recommended for people with moderate to severe pain as an alternate option after morphine and depending on patient circumstances.</w:t>
            </w:r>
          </w:p>
          <w:p w14:paraId="23D36B10" w14:textId="77777777" w:rsidR="00621836" w:rsidRPr="00E57A3E" w:rsidRDefault="00621836" w:rsidP="00140865">
            <w:pPr>
              <w:pStyle w:val="BodyText"/>
              <w:spacing w:before="240" w:after="0"/>
              <w:rPr>
                <w:b/>
                <w:bCs/>
                <w:color w:val="000000" w:themeColor="text1"/>
              </w:rPr>
            </w:pPr>
            <w:r w:rsidRPr="00E57A3E">
              <w:rPr>
                <w:b/>
                <w:bCs/>
                <w:color w:val="000000" w:themeColor="text1"/>
              </w:rPr>
              <w:t xml:space="preserve">What questions does this prompt? </w:t>
            </w:r>
          </w:p>
          <w:p w14:paraId="00BF07F4" w14:textId="77777777" w:rsidR="00621836" w:rsidRPr="00EB2819" w:rsidRDefault="00621836" w:rsidP="00140865">
            <w:pPr>
              <w:pStyle w:val="BodyText"/>
              <w:numPr>
                <w:ilvl w:val="0"/>
                <w:numId w:val="19"/>
              </w:numPr>
              <w:spacing w:before="240" w:after="0"/>
              <w:rPr>
                <w:color w:val="000000" w:themeColor="text1"/>
              </w:rPr>
            </w:pPr>
            <w:r w:rsidRPr="00EB2819">
              <w:rPr>
                <w:color w:val="000000" w:themeColor="text1"/>
              </w:rPr>
              <w:t>Why are some districts consistently lower or higher than the national mean?</w:t>
            </w:r>
          </w:p>
          <w:p w14:paraId="3BA0C587" w14:textId="77777777" w:rsidR="00621836" w:rsidRPr="006C0A0E" w:rsidRDefault="00621836" w:rsidP="00140865">
            <w:pPr>
              <w:pStyle w:val="ListParagraph"/>
              <w:numPr>
                <w:ilvl w:val="0"/>
                <w:numId w:val="19"/>
              </w:numPr>
              <w:spacing w:before="240" w:after="0"/>
              <w:contextualSpacing w:val="0"/>
              <w:rPr>
                <w:rFonts w:cs="Arial"/>
              </w:rPr>
            </w:pPr>
            <w:r w:rsidRPr="00EB2819">
              <w:rPr>
                <w:rFonts w:cs="Arial"/>
                <w:color w:val="000000" w:themeColor="text1"/>
              </w:rPr>
              <w:lastRenderedPageBreak/>
              <w:t>How do similar districts compare?</w:t>
            </w:r>
          </w:p>
        </w:tc>
      </w:tr>
    </w:tbl>
    <w:p w14:paraId="5A2D6AE3" w14:textId="77777777" w:rsidR="00621836" w:rsidRPr="00A803A6" w:rsidRDefault="00621836" w:rsidP="00621836">
      <w:pPr>
        <w:rPr>
          <w:rFonts w:cs="Arial"/>
          <w:color w:val="000000" w:themeColor="text1"/>
        </w:rPr>
      </w:pPr>
    </w:p>
    <w:p w14:paraId="1B6A6973" w14:textId="77777777" w:rsidR="00621836" w:rsidRPr="008903DA" w:rsidRDefault="00621836" w:rsidP="00621836">
      <w:pPr>
        <w:pStyle w:val="Heading3"/>
        <w:numPr>
          <w:ilvl w:val="0"/>
          <w:numId w:val="20"/>
        </w:numPr>
      </w:pPr>
      <w:r w:rsidRPr="008903DA">
        <w:t xml:space="preserve"> </w:t>
      </w:r>
      <w:bookmarkStart w:id="17" w:name="_Toc210140434"/>
      <w:r w:rsidRPr="008903DA">
        <w:t>People dispensed a strong opioid who had a public hospital event in the 8 days prior to dispensing</w:t>
      </w:r>
      <w:bookmarkEnd w:id="17"/>
      <w:r w:rsidRPr="008903DA">
        <w:t xml:space="preserve"> </w:t>
      </w:r>
    </w:p>
    <w:tbl>
      <w:tblPr>
        <w:tblW w:w="9351"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A0" w:firstRow="1" w:lastRow="0" w:firstColumn="1" w:lastColumn="0" w:noHBand="0" w:noVBand="0"/>
      </w:tblPr>
      <w:tblGrid>
        <w:gridCol w:w="1809"/>
        <w:gridCol w:w="7542"/>
      </w:tblGrid>
      <w:tr w:rsidR="00621836" w:rsidRPr="00A803A6" w14:paraId="152645DD" w14:textId="77777777" w:rsidTr="003162C1">
        <w:trPr>
          <w:trHeight w:val="327"/>
        </w:trPr>
        <w:tc>
          <w:tcPr>
            <w:tcW w:w="1809" w:type="dxa"/>
          </w:tcPr>
          <w:p w14:paraId="5C5C123B" w14:textId="77777777" w:rsidR="00621836" w:rsidRPr="00A803A6" w:rsidRDefault="00621836" w:rsidP="003162C1">
            <w:pPr>
              <w:pStyle w:val="BodyText"/>
              <w:rPr>
                <w:b/>
                <w:bCs/>
                <w:color w:val="000000" w:themeColor="text1"/>
              </w:rPr>
            </w:pPr>
            <w:r w:rsidRPr="00A803A6">
              <w:rPr>
                <w:b/>
                <w:bCs/>
                <w:color w:val="000000" w:themeColor="text1"/>
              </w:rPr>
              <w:t>Indicator #10:</w:t>
            </w:r>
          </w:p>
        </w:tc>
        <w:tc>
          <w:tcPr>
            <w:tcW w:w="7542" w:type="dxa"/>
            <w:vAlign w:val="bottom"/>
          </w:tcPr>
          <w:p w14:paraId="533436C7" w14:textId="77777777" w:rsidR="00621836" w:rsidRPr="00A803A6" w:rsidRDefault="00621836" w:rsidP="003162C1">
            <w:pPr>
              <w:pStyle w:val="BodyText"/>
              <w:rPr>
                <w:color w:val="000000" w:themeColor="text1"/>
              </w:rPr>
            </w:pPr>
            <w:r w:rsidRPr="00A803A6">
              <w:rPr>
                <w:color w:val="000000" w:themeColor="text1"/>
              </w:rPr>
              <w:t>People dispensed a strong opioid who had a public hospital event in the 8 days prior to dispensing</w:t>
            </w:r>
          </w:p>
        </w:tc>
      </w:tr>
      <w:tr w:rsidR="00621836" w:rsidRPr="00A803A6" w14:paraId="1FDF62B5" w14:textId="77777777" w:rsidTr="003162C1">
        <w:trPr>
          <w:trHeight w:val="327"/>
        </w:trPr>
        <w:tc>
          <w:tcPr>
            <w:tcW w:w="1809" w:type="dxa"/>
          </w:tcPr>
          <w:p w14:paraId="7852F364" w14:textId="77777777" w:rsidR="00621836" w:rsidRPr="00A803A6" w:rsidRDefault="00621836" w:rsidP="003162C1">
            <w:pPr>
              <w:pStyle w:val="BodyText"/>
              <w:rPr>
                <w:b/>
                <w:bCs/>
                <w:color w:val="000000" w:themeColor="text1"/>
              </w:rPr>
            </w:pPr>
            <w:r w:rsidRPr="00A803A6">
              <w:rPr>
                <w:b/>
                <w:bCs/>
                <w:color w:val="000000" w:themeColor="text1"/>
              </w:rPr>
              <w:t>Numerator</w:t>
            </w:r>
          </w:p>
        </w:tc>
        <w:tc>
          <w:tcPr>
            <w:tcW w:w="7542" w:type="dxa"/>
            <w:vAlign w:val="bottom"/>
          </w:tcPr>
          <w:p w14:paraId="215047CE"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 xml:space="preserve">enrolled population having a ‘trigger event’ in National Minimum Dataset (NMDS) or National Non-Admitted Patients Collection (NNPAC) in the eight days prior to first dispensing of a strong opioid. </w:t>
            </w:r>
          </w:p>
        </w:tc>
      </w:tr>
      <w:tr w:rsidR="00621836" w:rsidRPr="00A803A6" w14:paraId="0CD71CC4" w14:textId="77777777" w:rsidTr="003162C1">
        <w:trPr>
          <w:trHeight w:val="327"/>
        </w:trPr>
        <w:tc>
          <w:tcPr>
            <w:tcW w:w="1809" w:type="dxa"/>
          </w:tcPr>
          <w:p w14:paraId="57DA8E6C" w14:textId="77777777" w:rsidR="00621836" w:rsidRPr="00A803A6" w:rsidRDefault="00621836" w:rsidP="003162C1">
            <w:pPr>
              <w:pStyle w:val="BodyText"/>
              <w:rPr>
                <w:b/>
                <w:bCs/>
                <w:color w:val="000000" w:themeColor="text1"/>
              </w:rPr>
            </w:pPr>
            <w:r w:rsidRPr="00A803A6">
              <w:rPr>
                <w:b/>
                <w:bCs/>
                <w:color w:val="000000" w:themeColor="text1"/>
              </w:rPr>
              <w:t>Denominator</w:t>
            </w:r>
          </w:p>
        </w:tc>
        <w:tc>
          <w:tcPr>
            <w:tcW w:w="7542" w:type="dxa"/>
            <w:vAlign w:val="bottom"/>
          </w:tcPr>
          <w:p w14:paraId="7696A8D0" w14:textId="77777777" w:rsidR="00621836" w:rsidRPr="00A803A6" w:rsidRDefault="00621836" w:rsidP="003162C1">
            <w:pPr>
              <w:pStyle w:val="BodyText"/>
              <w:rPr>
                <w:color w:val="000000" w:themeColor="text1"/>
              </w:rPr>
            </w:pPr>
            <w:r w:rsidRPr="00A803A6">
              <w:rPr>
                <w:color w:val="000000" w:themeColor="text1"/>
              </w:rPr>
              <w:t>PHO</w:t>
            </w:r>
            <w:r>
              <w:rPr>
                <w:color w:val="000000" w:themeColor="text1"/>
              </w:rPr>
              <w:t>-</w:t>
            </w:r>
            <w:r w:rsidRPr="00A803A6">
              <w:rPr>
                <w:color w:val="000000" w:themeColor="text1"/>
              </w:rPr>
              <w:t xml:space="preserve">enrolled population who were dispensed a strong opioid, excluding those dispensed for opioid substitution treatment. </w:t>
            </w:r>
          </w:p>
        </w:tc>
      </w:tr>
      <w:tr w:rsidR="00621836" w:rsidRPr="00A803A6" w14:paraId="1CDA302E" w14:textId="77777777" w:rsidTr="003162C1">
        <w:trPr>
          <w:trHeight w:val="327"/>
        </w:trPr>
        <w:tc>
          <w:tcPr>
            <w:tcW w:w="1809" w:type="dxa"/>
          </w:tcPr>
          <w:p w14:paraId="33773F94" w14:textId="77777777" w:rsidR="00621836" w:rsidRPr="00A803A6" w:rsidRDefault="00621836" w:rsidP="003162C1">
            <w:pPr>
              <w:pStyle w:val="BodyText"/>
              <w:rPr>
                <w:b/>
                <w:bCs/>
                <w:color w:val="000000" w:themeColor="text1"/>
              </w:rPr>
            </w:pPr>
            <w:r w:rsidRPr="00A803A6">
              <w:rPr>
                <w:b/>
                <w:bCs/>
                <w:color w:val="000000" w:themeColor="text1"/>
              </w:rPr>
              <w:t>Data source</w:t>
            </w:r>
          </w:p>
        </w:tc>
        <w:tc>
          <w:tcPr>
            <w:tcW w:w="7542" w:type="dxa"/>
            <w:vAlign w:val="bottom"/>
          </w:tcPr>
          <w:p w14:paraId="00CEE956" w14:textId="77777777" w:rsidR="00621836" w:rsidRPr="00A803A6" w:rsidRDefault="00621836" w:rsidP="003162C1">
            <w:pPr>
              <w:pStyle w:val="BodyText"/>
              <w:rPr>
                <w:color w:val="000000" w:themeColor="text1"/>
              </w:rPr>
            </w:pPr>
            <w:r w:rsidRPr="00A803A6">
              <w:rPr>
                <w:color w:val="000000" w:themeColor="text1"/>
              </w:rPr>
              <w:t>Pharmaceutical collection, NMDS, NNPAC, PHO enrolment Collection</w:t>
            </w:r>
          </w:p>
        </w:tc>
      </w:tr>
      <w:tr w:rsidR="00621836" w:rsidRPr="00A803A6" w14:paraId="32015731" w14:textId="77777777" w:rsidTr="003162C1">
        <w:trPr>
          <w:trHeight w:val="327"/>
        </w:trPr>
        <w:tc>
          <w:tcPr>
            <w:tcW w:w="1809" w:type="dxa"/>
          </w:tcPr>
          <w:p w14:paraId="7977276E" w14:textId="77777777" w:rsidR="00621836" w:rsidRPr="00A803A6" w:rsidRDefault="00621836" w:rsidP="003162C1">
            <w:pPr>
              <w:pStyle w:val="BodyText"/>
              <w:rPr>
                <w:b/>
                <w:bCs/>
                <w:color w:val="000000" w:themeColor="text1"/>
              </w:rPr>
            </w:pPr>
            <w:r w:rsidRPr="00A803A6">
              <w:rPr>
                <w:b/>
                <w:bCs/>
                <w:color w:val="000000" w:themeColor="text1"/>
              </w:rPr>
              <w:t>Analysis</w:t>
            </w:r>
          </w:p>
        </w:tc>
        <w:tc>
          <w:tcPr>
            <w:tcW w:w="7542" w:type="dxa"/>
            <w:vAlign w:val="bottom"/>
          </w:tcPr>
          <w:p w14:paraId="6B30A0AE" w14:textId="77777777" w:rsidR="00621836" w:rsidRPr="00A803A6" w:rsidRDefault="00621836" w:rsidP="003162C1">
            <w:pPr>
              <w:pStyle w:val="BodyText"/>
              <w:rPr>
                <w:color w:val="000000" w:themeColor="text1"/>
              </w:rPr>
            </w:pPr>
            <w:r w:rsidRPr="00A803A6">
              <w:rPr>
                <w:color w:val="000000" w:themeColor="text1"/>
              </w:rPr>
              <w:t>District analysis: By year (2019 –2023), age group (0–24, 25–64; 65–79 and 80 and over), gender (female, male), ethnic group (Māori, Pacific peoples,</w:t>
            </w:r>
            <w:r>
              <w:rPr>
                <w:color w:val="000000" w:themeColor="text1"/>
              </w:rPr>
              <w:t xml:space="preserve"> Asian and</w:t>
            </w:r>
            <w:r w:rsidRPr="00A803A6">
              <w:rPr>
                <w:color w:val="000000" w:themeColor="text1"/>
              </w:rPr>
              <w:t xml:space="preserve"> European/Other) and Health New Zealand district of domicile.</w:t>
            </w:r>
          </w:p>
          <w:p w14:paraId="4391233B" w14:textId="77777777" w:rsidR="00621836" w:rsidRPr="00A803A6" w:rsidRDefault="00621836" w:rsidP="003162C1">
            <w:pPr>
              <w:pStyle w:val="BodyText"/>
              <w:rPr>
                <w:color w:val="000000" w:themeColor="text1"/>
              </w:rPr>
            </w:pPr>
            <w:r w:rsidRPr="00A803A6">
              <w:rPr>
                <w:color w:val="000000" w:themeColor="text1"/>
              </w:rPr>
              <w:t>PHO analysis: By year (2023), age group, gender, ethnic group, Primary Health Organisation (PHO) most recently enrolled with (for the relevant year), PHO group (small, medium, medium-large and large).</w:t>
            </w:r>
          </w:p>
        </w:tc>
      </w:tr>
      <w:tr w:rsidR="00621836" w:rsidRPr="00A803A6" w14:paraId="336586D0" w14:textId="77777777" w:rsidTr="003162C1">
        <w:trPr>
          <w:trHeight w:val="327"/>
        </w:trPr>
        <w:tc>
          <w:tcPr>
            <w:tcW w:w="1809" w:type="dxa"/>
          </w:tcPr>
          <w:p w14:paraId="787AB496" w14:textId="77777777" w:rsidR="00621836" w:rsidRPr="00A803A6" w:rsidRDefault="00621836" w:rsidP="003162C1">
            <w:pPr>
              <w:pStyle w:val="BodyText"/>
              <w:rPr>
                <w:b/>
                <w:bCs/>
                <w:color w:val="000000" w:themeColor="text1"/>
              </w:rPr>
            </w:pPr>
            <w:r w:rsidRPr="00A803A6">
              <w:rPr>
                <w:b/>
                <w:bCs/>
                <w:color w:val="000000" w:themeColor="text1"/>
              </w:rPr>
              <w:t>Comment</w:t>
            </w:r>
          </w:p>
        </w:tc>
        <w:tc>
          <w:tcPr>
            <w:tcW w:w="7542" w:type="dxa"/>
            <w:vAlign w:val="bottom"/>
          </w:tcPr>
          <w:p w14:paraId="166ECAC4" w14:textId="77777777" w:rsidR="00621836" w:rsidRPr="00A803A6" w:rsidRDefault="00621836" w:rsidP="003162C1">
            <w:pPr>
              <w:pStyle w:val="BodyText"/>
              <w:rPr>
                <w:color w:val="000000" w:themeColor="text1"/>
              </w:rPr>
            </w:pPr>
            <w:r w:rsidRPr="00A803A6">
              <w:rPr>
                <w:color w:val="000000" w:themeColor="text1"/>
              </w:rPr>
              <w:t xml:space="preserve">See below for further analysis of conditions identified from the NMDS. This only includes public hospital events. </w:t>
            </w:r>
          </w:p>
        </w:tc>
      </w:tr>
      <w:tr w:rsidR="00621836" w:rsidRPr="00A803A6" w14:paraId="71C099D3" w14:textId="77777777" w:rsidTr="003162C1">
        <w:trPr>
          <w:trHeight w:val="327"/>
        </w:trPr>
        <w:tc>
          <w:tcPr>
            <w:tcW w:w="1809" w:type="dxa"/>
          </w:tcPr>
          <w:p w14:paraId="58F1A996" w14:textId="77777777" w:rsidR="00621836" w:rsidRPr="00A803A6" w:rsidRDefault="00621836" w:rsidP="003162C1">
            <w:pPr>
              <w:pStyle w:val="BodyText"/>
              <w:rPr>
                <w:b/>
                <w:bCs/>
                <w:color w:val="000000" w:themeColor="text1"/>
              </w:rPr>
            </w:pPr>
            <w:r w:rsidRPr="00A803A6">
              <w:rPr>
                <w:b/>
                <w:bCs/>
                <w:color w:val="000000" w:themeColor="text1"/>
              </w:rPr>
              <w:t>Commentary</w:t>
            </w:r>
          </w:p>
        </w:tc>
        <w:tc>
          <w:tcPr>
            <w:tcW w:w="7542" w:type="dxa"/>
            <w:vAlign w:val="bottom"/>
          </w:tcPr>
          <w:p w14:paraId="4A03B908" w14:textId="77777777" w:rsidR="00621836" w:rsidRPr="00EB2819" w:rsidRDefault="00621836" w:rsidP="00140865">
            <w:pPr>
              <w:pStyle w:val="BodyText"/>
              <w:rPr>
                <w:color w:val="000000" w:themeColor="text1"/>
              </w:rPr>
            </w:pPr>
            <w:bookmarkStart w:id="18" w:name="_Hlk84858997"/>
            <w:r w:rsidRPr="00EB2819">
              <w:rPr>
                <w:color w:val="000000" w:themeColor="text1"/>
              </w:rPr>
              <w:t>This indicator shows the number and rate per 1,000 of the PHO-enrolled population who had received a strong opioid and had a public hospital event in the eight days prior to dispensing of a strong opioid during the calendar year. Data is presented by year (2019</w:t>
            </w:r>
            <w:r>
              <w:rPr>
                <w:color w:val="000000" w:themeColor="text1"/>
              </w:rPr>
              <w:t xml:space="preserve"> to 2023</w:t>
            </w:r>
            <w:r w:rsidRPr="00EB2819">
              <w:rPr>
                <w:color w:val="000000" w:themeColor="text1"/>
              </w:rPr>
              <w:t xml:space="preserve">), ethnic group, age, gender and health district. </w:t>
            </w:r>
          </w:p>
          <w:p w14:paraId="0BDE4412" w14:textId="77777777" w:rsidR="00621836" w:rsidRPr="00EB2819" w:rsidRDefault="00621836" w:rsidP="00140865">
            <w:pPr>
              <w:pStyle w:val="BodyText"/>
              <w:rPr>
                <w:color w:val="000000" w:themeColor="text1"/>
              </w:rPr>
            </w:pPr>
            <w:r w:rsidRPr="00EB2819">
              <w:rPr>
                <w:color w:val="000000" w:themeColor="text1"/>
              </w:rPr>
              <w:t>A trigger event was defined as any public hospital inpatient or outpatient event that occurred no more than eight days before a strong opioid was dispensed. Only events occurring in public hospitals were included.</w:t>
            </w:r>
          </w:p>
          <w:p w14:paraId="68E62A0C" w14:textId="77777777" w:rsidR="00621836" w:rsidRPr="00E57A3E" w:rsidRDefault="00621836" w:rsidP="00140865">
            <w:pPr>
              <w:pStyle w:val="BodyText"/>
              <w:rPr>
                <w:b/>
                <w:bCs/>
                <w:color w:val="000000" w:themeColor="text1"/>
              </w:rPr>
            </w:pPr>
            <w:r w:rsidRPr="00E57A3E">
              <w:rPr>
                <w:b/>
                <w:bCs/>
                <w:color w:val="000000" w:themeColor="text1"/>
              </w:rPr>
              <w:t>Why this indicator is important</w:t>
            </w:r>
          </w:p>
          <w:p w14:paraId="60E80173" w14:textId="77777777" w:rsidR="00621836" w:rsidRPr="00EB2819" w:rsidRDefault="00621836" w:rsidP="00140865">
            <w:pPr>
              <w:pStyle w:val="BodyText"/>
              <w:rPr>
                <w:color w:val="000000" w:themeColor="text1"/>
              </w:rPr>
            </w:pPr>
            <w:r w:rsidRPr="00EB2819">
              <w:rPr>
                <w:color w:val="000000" w:themeColor="text1"/>
              </w:rPr>
              <w:t xml:space="preserve">All people starting a strong opioid will have a medical reason for doing so, and it is likely that many </w:t>
            </w:r>
            <w:r>
              <w:rPr>
                <w:color w:val="000000" w:themeColor="text1"/>
              </w:rPr>
              <w:t>go to hospital</w:t>
            </w:r>
            <w:r w:rsidRPr="00EB2819">
              <w:rPr>
                <w:color w:val="000000" w:themeColor="text1"/>
              </w:rPr>
              <w:t>. People receiving a strong opioid without a hospital event are expected to have received their prescription from either a private hospital or their GP.</w:t>
            </w:r>
          </w:p>
          <w:p w14:paraId="3F8C729E" w14:textId="77777777" w:rsidR="00621836" w:rsidRPr="00E57A3E" w:rsidRDefault="00621836" w:rsidP="00140865">
            <w:pPr>
              <w:pStyle w:val="BodyText"/>
              <w:rPr>
                <w:b/>
                <w:bCs/>
                <w:color w:val="000000" w:themeColor="text1"/>
              </w:rPr>
            </w:pPr>
            <w:r w:rsidRPr="00E57A3E">
              <w:rPr>
                <w:b/>
                <w:bCs/>
                <w:color w:val="000000" w:themeColor="text1"/>
              </w:rPr>
              <w:t xml:space="preserve">What questions does this prompt? </w:t>
            </w:r>
          </w:p>
          <w:p w14:paraId="0A15E913" w14:textId="77777777" w:rsidR="00621836" w:rsidRPr="00EB2819" w:rsidRDefault="00621836" w:rsidP="00140865">
            <w:pPr>
              <w:pStyle w:val="BodyText"/>
              <w:numPr>
                <w:ilvl w:val="0"/>
                <w:numId w:val="17"/>
              </w:numPr>
              <w:rPr>
                <w:color w:val="000000" w:themeColor="text1"/>
              </w:rPr>
            </w:pPr>
            <w:r w:rsidRPr="00EB2819">
              <w:rPr>
                <w:color w:val="000000" w:themeColor="text1"/>
              </w:rPr>
              <w:t>If there is wide variation in patients not identified as having a trigger event, what might this mean?</w:t>
            </w:r>
          </w:p>
          <w:p w14:paraId="059B30EF" w14:textId="77777777" w:rsidR="00621836" w:rsidRPr="00EB2819" w:rsidRDefault="00621836" w:rsidP="00140865">
            <w:pPr>
              <w:pStyle w:val="BodyText"/>
              <w:numPr>
                <w:ilvl w:val="0"/>
                <w:numId w:val="17"/>
              </w:numPr>
              <w:rPr>
                <w:color w:val="000000" w:themeColor="text1"/>
              </w:rPr>
            </w:pPr>
            <w:r w:rsidRPr="00EB2819">
              <w:rPr>
                <w:color w:val="000000" w:themeColor="text1"/>
              </w:rPr>
              <w:t>Why are some districts consistently lower or higher than the national mean?</w:t>
            </w:r>
          </w:p>
          <w:p w14:paraId="2DB0E8B0" w14:textId="77777777" w:rsidR="00621836" w:rsidRPr="00EB2819" w:rsidRDefault="00621836" w:rsidP="00140865">
            <w:pPr>
              <w:pStyle w:val="BodyText"/>
              <w:numPr>
                <w:ilvl w:val="0"/>
                <w:numId w:val="17"/>
              </w:numPr>
              <w:rPr>
                <w:color w:val="000000" w:themeColor="text1"/>
              </w:rPr>
            </w:pPr>
            <w:r w:rsidRPr="00EB2819">
              <w:rPr>
                <w:color w:val="000000" w:themeColor="text1"/>
              </w:rPr>
              <w:lastRenderedPageBreak/>
              <w:t>How many patients were surgical or non-surgical?</w:t>
            </w:r>
          </w:p>
          <w:p w14:paraId="5BF21947" w14:textId="17C5B41A" w:rsidR="00621836" w:rsidRPr="00621836" w:rsidRDefault="00621836" w:rsidP="00140865">
            <w:pPr>
              <w:pStyle w:val="ListParagraph"/>
              <w:numPr>
                <w:ilvl w:val="0"/>
                <w:numId w:val="17"/>
              </w:numPr>
              <w:contextualSpacing w:val="0"/>
              <w:rPr>
                <w:rFonts w:cs="Arial"/>
              </w:rPr>
            </w:pPr>
            <w:r w:rsidRPr="00A803A6">
              <w:rPr>
                <w:color w:val="000000" w:themeColor="text1"/>
              </w:rPr>
              <w:t>How do similar districts compare?</w:t>
            </w:r>
            <w:bookmarkEnd w:id="18"/>
          </w:p>
        </w:tc>
      </w:tr>
    </w:tbl>
    <w:p w14:paraId="04DA161D" w14:textId="77777777" w:rsidR="00621836" w:rsidRPr="00A803A6" w:rsidRDefault="00621836" w:rsidP="00621836">
      <w:pPr>
        <w:rPr>
          <w:rFonts w:cs="Arial"/>
          <w:color w:val="000000" w:themeColor="text1"/>
          <w:sz w:val="20"/>
        </w:rPr>
      </w:pPr>
    </w:p>
    <w:p w14:paraId="3D8EFDB9" w14:textId="77777777" w:rsidR="00621836" w:rsidRPr="00A803A6" w:rsidRDefault="00621836" w:rsidP="00621836">
      <w:pPr>
        <w:rPr>
          <w:rFonts w:cs="Arial"/>
          <w:color w:val="000000" w:themeColor="text1"/>
        </w:rPr>
      </w:pPr>
    </w:p>
    <w:p w14:paraId="1E16740A" w14:textId="77777777" w:rsidR="00284CDD" w:rsidRDefault="00284CDD" w:rsidP="006B61D0">
      <w:pPr>
        <w:pStyle w:val="BodytextHQSC"/>
      </w:pPr>
    </w:p>
    <w:p w14:paraId="5E6E5A1B" w14:textId="77777777" w:rsidR="00284CDD" w:rsidRDefault="00284CDD" w:rsidP="006B61D0">
      <w:pPr>
        <w:pStyle w:val="BodytextHQSC"/>
      </w:pPr>
    </w:p>
    <w:p w14:paraId="4A8399AC" w14:textId="77777777" w:rsidR="0064198B" w:rsidRDefault="0064198B" w:rsidP="006B61D0">
      <w:pPr>
        <w:pStyle w:val="BodytextHQSC"/>
      </w:pPr>
    </w:p>
    <w:p w14:paraId="35AB297C" w14:textId="77777777" w:rsidR="0064198B" w:rsidRDefault="0064198B" w:rsidP="006B61D0">
      <w:pPr>
        <w:pStyle w:val="BodytextHQSC"/>
      </w:pPr>
    </w:p>
    <w:p w14:paraId="02635743" w14:textId="77777777" w:rsidR="0064198B" w:rsidRDefault="0064198B" w:rsidP="006B61D0">
      <w:pPr>
        <w:pStyle w:val="BodytextHQSC"/>
      </w:pPr>
    </w:p>
    <w:p w14:paraId="38175751" w14:textId="77777777" w:rsidR="00284CDD" w:rsidRDefault="00284CDD" w:rsidP="006B61D0">
      <w:pPr>
        <w:pStyle w:val="BodytextHQSC"/>
      </w:pPr>
    </w:p>
    <w:p w14:paraId="727D9E2F" w14:textId="77777777" w:rsidR="00284CDD" w:rsidRDefault="00284CDD" w:rsidP="006B61D0">
      <w:pPr>
        <w:pStyle w:val="BodytextHQSC"/>
      </w:pPr>
    </w:p>
    <w:sectPr w:rsidR="00284CDD" w:rsidSect="00621836">
      <w:footerReference w:type="even"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63884" w14:textId="77777777" w:rsidR="002E1392" w:rsidRDefault="002E1392" w:rsidP="003C45E1">
      <w:pPr>
        <w:spacing w:after="0" w:line="240" w:lineRule="auto"/>
      </w:pPr>
      <w:r>
        <w:separator/>
      </w:r>
    </w:p>
  </w:endnote>
  <w:endnote w:type="continuationSeparator" w:id="0">
    <w:p w14:paraId="62D64FE7" w14:textId="77777777" w:rsidR="002E1392" w:rsidRDefault="002E1392" w:rsidP="003C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E110" w14:textId="77777777" w:rsidR="0017350C" w:rsidRDefault="0017350C" w:rsidP="0017350C">
    <w:pPr>
      <w:pStyle w:val="Footer"/>
    </w:pPr>
    <w:r w:rsidRPr="00314261">
      <w:fldChar w:fldCharType="begin"/>
    </w:r>
    <w:r w:rsidRPr="00314261">
      <w:instrText xml:space="preserve"> PAGE </w:instrText>
    </w:r>
    <w:r w:rsidRPr="00314261">
      <w:fldChar w:fldCharType="separate"/>
    </w:r>
    <w:r>
      <w:t>3</w:t>
    </w:r>
    <w:r w:rsidRPr="00314261">
      <w:fldChar w:fldCharType="end"/>
    </w:r>
    <w:r w:rsidRPr="00314261">
      <w:t xml:space="preserve"> of </w:t>
    </w:r>
    <w:r>
      <w:fldChar w:fldCharType="begin"/>
    </w:r>
    <w:r>
      <w:instrText xml:space="preserve"> NUMPAGES  </w:instrText>
    </w:r>
    <w:r>
      <w:fldChar w:fldCharType="separate"/>
    </w:r>
    <w:r>
      <w:t>4</w:t>
    </w:r>
    <w:r>
      <w:fldChar w:fldCharType="end"/>
    </w:r>
    <w:r>
      <w:tab/>
    </w:r>
    <w:sdt>
      <w:sdtPr>
        <w:id w:val="-1067563459"/>
        <w:docPartObj>
          <w:docPartGallery w:val="Page Numbers (Top of Page)"/>
          <w:docPartUnique/>
        </w:docPartObj>
      </w:sdtPr>
      <w:sdtContent>
        <w:r w:rsidRPr="00314261">
          <w:t>[Title of document]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A26B" w14:textId="5531586D" w:rsidR="0017350C" w:rsidRPr="00314261" w:rsidRDefault="00000000" w:rsidP="0017350C">
    <w:pPr>
      <w:pStyle w:val="Footer"/>
    </w:pPr>
    <w:sdt>
      <w:sdtPr>
        <w:id w:val="1955210856"/>
        <w:docPartObj>
          <w:docPartGallery w:val="Page Numbers (Bottom of Page)"/>
          <w:docPartUnique/>
        </w:docPartObj>
      </w:sdtPr>
      <w:sdtContent>
        <w:sdt>
          <w:sdtPr>
            <w:id w:val="-1312715153"/>
            <w:docPartObj>
              <w:docPartGallery w:val="Page Numbers (Top of Page)"/>
              <w:docPartUnique/>
            </w:docPartObj>
          </w:sdtPr>
          <w:sdtContent>
            <w:r w:rsidR="00621836" w:rsidRPr="00A256CC">
              <w:rPr>
                <w:i/>
                <w:noProof/>
                <w:sz w:val="18"/>
                <w:szCs w:val="18"/>
              </w:rPr>
              <w:t>Methodology</w:t>
            </w:r>
            <w:r w:rsidR="00621836">
              <w:rPr>
                <w:i/>
                <w:noProof/>
                <w:sz w:val="18"/>
                <w:szCs w:val="18"/>
              </w:rPr>
              <w:t xml:space="preserve"> | Opioids Atlas of Healthcare Variation (November 2025)</w:t>
            </w:r>
          </w:sdtContent>
        </w:sdt>
      </w:sdtContent>
    </w:sdt>
    <w:r w:rsidR="0017350C">
      <w:tab/>
    </w:r>
    <w:r w:rsidR="0017350C" w:rsidRPr="00314261">
      <w:fldChar w:fldCharType="begin"/>
    </w:r>
    <w:r w:rsidR="0017350C" w:rsidRPr="00314261">
      <w:instrText xml:space="preserve"> PAGE </w:instrText>
    </w:r>
    <w:r w:rsidR="0017350C" w:rsidRPr="00314261">
      <w:fldChar w:fldCharType="separate"/>
    </w:r>
    <w:r w:rsidR="0017350C">
      <w:t>3</w:t>
    </w:r>
    <w:r w:rsidR="0017350C" w:rsidRPr="00314261">
      <w:fldChar w:fldCharType="end"/>
    </w:r>
    <w:r w:rsidR="0017350C" w:rsidRPr="00314261">
      <w:t xml:space="preserve"> of </w:t>
    </w:r>
    <w:r w:rsidR="0017350C">
      <w:fldChar w:fldCharType="begin"/>
    </w:r>
    <w:r w:rsidR="0017350C">
      <w:instrText xml:space="preserve"> NUMPAGES  </w:instrText>
    </w:r>
    <w:r w:rsidR="0017350C">
      <w:fldChar w:fldCharType="separate"/>
    </w:r>
    <w:r w:rsidR="0017350C">
      <w:t>4</w:t>
    </w:r>
    <w:r w:rsidR="0017350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A9D81" w14:textId="77777777" w:rsidR="002E1392" w:rsidRDefault="002E1392" w:rsidP="003C45E1">
      <w:pPr>
        <w:spacing w:after="0" w:line="240" w:lineRule="auto"/>
      </w:pPr>
      <w:r>
        <w:separator/>
      </w:r>
    </w:p>
  </w:footnote>
  <w:footnote w:type="continuationSeparator" w:id="0">
    <w:p w14:paraId="01D75503" w14:textId="77777777" w:rsidR="002E1392" w:rsidRDefault="002E1392" w:rsidP="003C4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21836" w14:paraId="39F8B7A2" w14:textId="77777777" w:rsidTr="0D81CB07">
      <w:trPr>
        <w:trHeight w:val="300"/>
      </w:trPr>
      <w:tc>
        <w:tcPr>
          <w:tcW w:w="3005" w:type="dxa"/>
        </w:tcPr>
        <w:p w14:paraId="31A87BF9" w14:textId="77777777" w:rsidR="00621836" w:rsidRDefault="00621836" w:rsidP="0D81CB07">
          <w:pPr>
            <w:pStyle w:val="Header"/>
            <w:ind w:left="-115"/>
          </w:pPr>
        </w:p>
      </w:tc>
      <w:tc>
        <w:tcPr>
          <w:tcW w:w="3005" w:type="dxa"/>
        </w:tcPr>
        <w:p w14:paraId="27A8CA2A" w14:textId="77777777" w:rsidR="00621836" w:rsidRDefault="00621836" w:rsidP="0D81CB07">
          <w:pPr>
            <w:pStyle w:val="Header"/>
            <w:jc w:val="center"/>
          </w:pPr>
        </w:p>
      </w:tc>
      <w:tc>
        <w:tcPr>
          <w:tcW w:w="3005" w:type="dxa"/>
        </w:tcPr>
        <w:p w14:paraId="11606469" w14:textId="77777777" w:rsidR="00621836" w:rsidRDefault="00621836" w:rsidP="0D81CB07">
          <w:pPr>
            <w:pStyle w:val="Header"/>
            <w:ind w:right="-115"/>
            <w:jc w:val="right"/>
          </w:pPr>
        </w:p>
      </w:tc>
    </w:tr>
  </w:tbl>
  <w:p w14:paraId="15A99121" w14:textId="77777777" w:rsidR="00621836" w:rsidRDefault="00621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02163816"/>
    <w:multiLevelType w:val="hybridMultilevel"/>
    <w:tmpl w:val="A31C1C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A66096"/>
    <w:multiLevelType w:val="hybridMultilevel"/>
    <w:tmpl w:val="539E4832"/>
    <w:lvl w:ilvl="0" w:tplc="14090001">
      <w:start w:val="1"/>
      <w:numFmt w:val="bullet"/>
      <w:lvlText w:val=""/>
      <w:lvlJc w:val="left"/>
      <w:pPr>
        <w:ind w:left="360" w:hanging="360"/>
      </w:pPr>
      <w:rPr>
        <w:rFonts w:ascii="Symbol" w:hAnsi="Symbol"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C047A39"/>
    <w:multiLevelType w:val="hybridMultilevel"/>
    <w:tmpl w:val="743A65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589414C"/>
    <w:multiLevelType w:val="hybridMultilevel"/>
    <w:tmpl w:val="6A1E9B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736775A"/>
    <w:multiLevelType w:val="hybridMultilevel"/>
    <w:tmpl w:val="05EEBD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FE1B65"/>
    <w:multiLevelType w:val="hybridMultilevel"/>
    <w:tmpl w:val="94B20028"/>
    <w:lvl w:ilvl="0" w:tplc="1409000F">
      <w:start w:val="8"/>
      <w:numFmt w:val="decimal"/>
      <w:lvlText w:val="%1."/>
      <w:lvlJc w:val="left"/>
      <w:pPr>
        <w:ind w:left="360" w:hanging="360"/>
      </w:pPr>
      <w:rPr>
        <w:rFonts w:hint="default"/>
        <w:color w:val="auto"/>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39012D42"/>
    <w:multiLevelType w:val="hybridMultilevel"/>
    <w:tmpl w:val="0B785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D465A16"/>
    <w:multiLevelType w:val="multilevel"/>
    <w:tmpl w:val="7024B24E"/>
    <w:lvl w:ilvl="0">
      <w:start w:val="1"/>
      <w:numFmt w:val="bullet"/>
      <w:pStyle w:val="Bullet"/>
      <w:lvlText w:val=""/>
      <w:lvlJc w:val="left"/>
      <w:pPr>
        <w:tabs>
          <w:tab w:val="num" w:pos="397"/>
        </w:tabs>
        <w:ind w:left="397" w:hanging="397"/>
      </w:pPr>
      <w:rPr>
        <w:rFonts w:ascii="Symbol" w:hAnsi="Symbol" w:hint="default"/>
        <w:color w:val="auto"/>
        <w:sz w:val="22"/>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D5448E"/>
    <w:multiLevelType w:val="hybridMultilevel"/>
    <w:tmpl w:val="963E6C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2556FCB"/>
    <w:multiLevelType w:val="hybridMultilevel"/>
    <w:tmpl w:val="27F66F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27701FB"/>
    <w:multiLevelType w:val="multilevel"/>
    <w:tmpl w:val="F012ABEA"/>
    <w:lvl w:ilvl="0">
      <w:start w:val="1"/>
      <w:numFmt w:val="bullet"/>
      <w:pStyle w:val="Sub-bulletHQSC"/>
      <w:lvlText w:val=""/>
      <w:lvlJc w:val="left"/>
      <w:pPr>
        <w:tabs>
          <w:tab w:val="num" w:pos="397"/>
        </w:tabs>
        <w:ind w:left="794"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4B4637"/>
    <w:multiLevelType w:val="hybridMultilevel"/>
    <w:tmpl w:val="DC24D870"/>
    <w:lvl w:ilvl="0" w:tplc="14090001">
      <w:start w:val="1"/>
      <w:numFmt w:val="bullet"/>
      <w:pStyle w:val="TeThHauora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6DF5E6B"/>
    <w:multiLevelType w:val="multilevel"/>
    <w:tmpl w:val="E9AC264C"/>
    <w:styleLink w:val="Style1"/>
    <w:lvl w:ilvl="0">
      <w:start w:val="1"/>
      <w:numFmt w:val="bullet"/>
      <w:lvlText w:val=""/>
      <w:lvlJc w:val="left"/>
      <w:pPr>
        <w:ind w:left="360" w:hanging="360"/>
      </w:pPr>
      <w:rPr>
        <w:rFonts w:ascii="Symbol" w:hAnsi="Symbol" w:hint="default"/>
        <w:b w:val="0"/>
        <w:bCs w:val="0"/>
        <w:i w:val="0"/>
        <w:iCs w:val="0"/>
        <w:color w:val="auto"/>
        <w:w w:val="100"/>
        <w:sz w:val="22"/>
        <w:szCs w:val="22"/>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15:restartNumberingAfterBreak="0">
    <w:nsid w:val="571C22DB"/>
    <w:multiLevelType w:val="hybridMultilevel"/>
    <w:tmpl w:val="73B699D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592B19F5"/>
    <w:multiLevelType w:val="hybridMultilevel"/>
    <w:tmpl w:val="20EEC4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AD72708"/>
    <w:multiLevelType w:val="hybridMultilevel"/>
    <w:tmpl w:val="3F5AB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BE47260"/>
    <w:multiLevelType w:val="hybridMultilevel"/>
    <w:tmpl w:val="2FB6DE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62756E17"/>
    <w:multiLevelType w:val="hybridMultilevel"/>
    <w:tmpl w:val="4C4C6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91E6553"/>
    <w:multiLevelType w:val="hybridMultilevel"/>
    <w:tmpl w:val="DDE07C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0665314"/>
    <w:multiLevelType w:val="hybridMultilevel"/>
    <w:tmpl w:val="DFB822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28C37BD"/>
    <w:multiLevelType w:val="hybridMultilevel"/>
    <w:tmpl w:val="FADA43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8D66914"/>
    <w:multiLevelType w:val="hybridMultilevel"/>
    <w:tmpl w:val="D15648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664695360">
    <w:abstractNumId w:val="13"/>
  </w:num>
  <w:num w:numId="2" w16cid:durableId="199098544">
    <w:abstractNumId w:val="8"/>
  </w:num>
  <w:num w:numId="3" w16cid:durableId="999843847">
    <w:abstractNumId w:val="0"/>
  </w:num>
  <w:num w:numId="4" w16cid:durableId="68894586">
    <w:abstractNumId w:val="14"/>
  </w:num>
  <w:num w:numId="5" w16cid:durableId="1016423024">
    <w:abstractNumId w:val="9"/>
  </w:num>
  <w:num w:numId="6" w16cid:durableId="519121977">
    <w:abstractNumId w:val="12"/>
  </w:num>
  <w:num w:numId="7" w16cid:durableId="893005123">
    <w:abstractNumId w:val="18"/>
  </w:num>
  <w:num w:numId="8" w16cid:durableId="81028811">
    <w:abstractNumId w:val="16"/>
  </w:num>
  <w:num w:numId="9" w16cid:durableId="939677263">
    <w:abstractNumId w:val="17"/>
  </w:num>
  <w:num w:numId="10" w16cid:durableId="110324188">
    <w:abstractNumId w:val="23"/>
  </w:num>
  <w:num w:numId="11" w16cid:durableId="454836540">
    <w:abstractNumId w:val="20"/>
  </w:num>
  <w:num w:numId="12" w16cid:durableId="171071678">
    <w:abstractNumId w:val="15"/>
  </w:num>
  <w:num w:numId="13" w16cid:durableId="278340717">
    <w:abstractNumId w:val="4"/>
  </w:num>
  <w:num w:numId="14" w16cid:durableId="1160925981">
    <w:abstractNumId w:val="11"/>
  </w:num>
  <w:num w:numId="15" w16cid:durableId="1042174031">
    <w:abstractNumId w:val="7"/>
  </w:num>
  <w:num w:numId="16" w16cid:durableId="1713653263">
    <w:abstractNumId w:val="21"/>
  </w:num>
  <w:num w:numId="17" w16cid:durableId="609044453">
    <w:abstractNumId w:val="22"/>
  </w:num>
  <w:num w:numId="18" w16cid:durableId="409078578">
    <w:abstractNumId w:val="10"/>
  </w:num>
  <w:num w:numId="19" w16cid:durableId="845705313">
    <w:abstractNumId w:val="3"/>
  </w:num>
  <w:num w:numId="20" w16cid:durableId="984047427">
    <w:abstractNumId w:val="6"/>
  </w:num>
  <w:num w:numId="21" w16cid:durableId="1126966684">
    <w:abstractNumId w:val="1"/>
  </w:num>
  <w:num w:numId="22" w16cid:durableId="1131167039">
    <w:abstractNumId w:val="19"/>
  </w:num>
  <w:num w:numId="23" w16cid:durableId="1265260276">
    <w:abstractNumId w:val="5"/>
  </w:num>
  <w:num w:numId="24" w16cid:durableId="66212263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evenAndOddHeaders/>
  <w:characterSpacingControl w:val="doNotCompress"/>
  <w:hdrShapeDefaults>
    <o:shapedefaults v:ext="edit" spidmax="2050">
      <o:colormru v:ext="edit" colors="#2c2568"/>
    </o:shapedefaults>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36"/>
    <w:rsid w:val="00000224"/>
    <w:rsid w:val="00003978"/>
    <w:rsid w:val="00005986"/>
    <w:rsid w:val="000072B5"/>
    <w:rsid w:val="00012CD3"/>
    <w:rsid w:val="00013E2E"/>
    <w:rsid w:val="00014BDF"/>
    <w:rsid w:val="000154D5"/>
    <w:rsid w:val="00015F44"/>
    <w:rsid w:val="00017216"/>
    <w:rsid w:val="00021A1A"/>
    <w:rsid w:val="000235D4"/>
    <w:rsid w:val="00024845"/>
    <w:rsid w:val="000257A9"/>
    <w:rsid w:val="000257D7"/>
    <w:rsid w:val="00026401"/>
    <w:rsid w:val="00027510"/>
    <w:rsid w:val="0003438B"/>
    <w:rsid w:val="00043083"/>
    <w:rsid w:val="00051CC0"/>
    <w:rsid w:val="0005287A"/>
    <w:rsid w:val="00052B4C"/>
    <w:rsid w:val="0005504C"/>
    <w:rsid w:val="00057F11"/>
    <w:rsid w:val="00062B82"/>
    <w:rsid w:val="000660B2"/>
    <w:rsid w:val="00071CE6"/>
    <w:rsid w:val="00072B90"/>
    <w:rsid w:val="00081524"/>
    <w:rsid w:val="00081E3B"/>
    <w:rsid w:val="0008726B"/>
    <w:rsid w:val="00092A37"/>
    <w:rsid w:val="00096C19"/>
    <w:rsid w:val="000A33FA"/>
    <w:rsid w:val="000A5622"/>
    <w:rsid w:val="000B111C"/>
    <w:rsid w:val="000C1227"/>
    <w:rsid w:val="000C71F5"/>
    <w:rsid w:val="000D7E4B"/>
    <w:rsid w:val="000E5B30"/>
    <w:rsid w:val="000F32D0"/>
    <w:rsid w:val="000F3D49"/>
    <w:rsid w:val="000F7471"/>
    <w:rsid w:val="00101302"/>
    <w:rsid w:val="00104BBC"/>
    <w:rsid w:val="00105E23"/>
    <w:rsid w:val="00106ECE"/>
    <w:rsid w:val="001111D6"/>
    <w:rsid w:val="001123E1"/>
    <w:rsid w:val="00115489"/>
    <w:rsid w:val="00115AEB"/>
    <w:rsid w:val="001249E2"/>
    <w:rsid w:val="0013118C"/>
    <w:rsid w:val="00131E3D"/>
    <w:rsid w:val="00133F6A"/>
    <w:rsid w:val="00134F5C"/>
    <w:rsid w:val="001378CA"/>
    <w:rsid w:val="00140865"/>
    <w:rsid w:val="00140AAC"/>
    <w:rsid w:val="00147145"/>
    <w:rsid w:val="00150EC1"/>
    <w:rsid w:val="00150EE7"/>
    <w:rsid w:val="00150F2F"/>
    <w:rsid w:val="00153C73"/>
    <w:rsid w:val="001639FA"/>
    <w:rsid w:val="00164036"/>
    <w:rsid w:val="00165B6D"/>
    <w:rsid w:val="0017350C"/>
    <w:rsid w:val="00173B88"/>
    <w:rsid w:val="00183219"/>
    <w:rsid w:val="00183F98"/>
    <w:rsid w:val="001855EA"/>
    <w:rsid w:val="00185F52"/>
    <w:rsid w:val="00193951"/>
    <w:rsid w:val="0019407B"/>
    <w:rsid w:val="00196007"/>
    <w:rsid w:val="001A02AD"/>
    <w:rsid w:val="001A132C"/>
    <w:rsid w:val="001A44E7"/>
    <w:rsid w:val="001A6553"/>
    <w:rsid w:val="001B161C"/>
    <w:rsid w:val="001B599E"/>
    <w:rsid w:val="001B6AEC"/>
    <w:rsid w:val="001C2409"/>
    <w:rsid w:val="001C3A8F"/>
    <w:rsid w:val="001D0822"/>
    <w:rsid w:val="001D6AAD"/>
    <w:rsid w:val="001E06DF"/>
    <w:rsid w:val="001E0B57"/>
    <w:rsid w:val="001E5EE7"/>
    <w:rsid w:val="001E6A9F"/>
    <w:rsid w:val="001F1896"/>
    <w:rsid w:val="001F3461"/>
    <w:rsid w:val="0020107E"/>
    <w:rsid w:val="00203EA2"/>
    <w:rsid w:val="00205657"/>
    <w:rsid w:val="00205AD6"/>
    <w:rsid w:val="002078C0"/>
    <w:rsid w:val="002121B9"/>
    <w:rsid w:val="0021261B"/>
    <w:rsid w:val="00216F8D"/>
    <w:rsid w:val="00217705"/>
    <w:rsid w:val="002201B7"/>
    <w:rsid w:val="00225BC0"/>
    <w:rsid w:val="00225E3E"/>
    <w:rsid w:val="0023054B"/>
    <w:rsid w:val="002339EA"/>
    <w:rsid w:val="002371B4"/>
    <w:rsid w:val="00237533"/>
    <w:rsid w:val="002424FF"/>
    <w:rsid w:val="00244839"/>
    <w:rsid w:val="00245178"/>
    <w:rsid w:val="00245B70"/>
    <w:rsid w:val="002514A1"/>
    <w:rsid w:val="00252B7B"/>
    <w:rsid w:val="002665C5"/>
    <w:rsid w:val="0027152B"/>
    <w:rsid w:val="00272AA4"/>
    <w:rsid w:val="00280BED"/>
    <w:rsid w:val="00284CDD"/>
    <w:rsid w:val="00287D53"/>
    <w:rsid w:val="0029029C"/>
    <w:rsid w:val="0029076C"/>
    <w:rsid w:val="00291E66"/>
    <w:rsid w:val="0029676C"/>
    <w:rsid w:val="002969D8"/>
    <w:rsid w:val="00297582"/>
    <w:rsid w:val="00297676"/>
    <w:rsid w:val="00297B4B"/>
    <w:rsid w:val="002B4FF6"/>
    <w:rsid w:val="002C79E3"/>
    <w:rsid w:val="002D1E1F"/>
    <w:rsid w:val="002D22C7"/>
    <w:rsid w:val="002D418A"/>
    <w:rsid w:val="002E1392"/>
    <w:rsid w:val="002E1666"/>
    <w:rsid w:val="002E2CCF"/>
    <w:rsid w:val="002E547C"/>
    <w:rsid w:val="002E7831"/>
    <w:rsid w:val="002F6704"/>
    <w:rsid w:val="00300830"/>
    <w:rsid w:val="0030109F"/>
    <w:rsid w:val="00301AB6"/>
    <w:rsid w:val="00303EF1"/>
    <w:rsid w:val="00310A90"/>
    <w:rsid w:val="00314261"/>
    <w:rsid w:val="00316108"/>
    <w:rsid w:val="00327544"/>
    <w:rsid w:val="00331D2C"/>
    <w:rsid w:val="003357FE"/>
    <w:rsid w:val="003362F8"/>
    <w:rsid w:val="00340841"/>
    <w:rsid w:val="0034255E"/>
    <w:rsid w:val="003443B2"/>
    <w:rsid w:val="003451B3"/>
    <w:rsid w:val="00345201"/>
    <w:rsid w:val="00345ACC"/>
    <w:rsid w:val="003470AA"/>
    <w:rsid w:val="00350934"/>
    <w:rsid w:val="00351FFF"/>
    <w:rsid w:val="00354A91"/>
    <w:rsid w:val="003557A9"/>
    <w:rsid w:val="003558C2"/>
    <w:rsid w:val="00356454"/>
    <w:rsid w:val="0035680A"/>
    <w:rsid w:val="0036225A"/>
    <w:rsid w:val="00370C0F"/>
    <w:rsid w:val="003720D9"/>
    <w:rsid w:val="00372989"/>
    <w:rsid w:val="00374EB2"/>
    <w:rsid w:val="003751B1"/>
    <w:rsid w:val="00380044"/>
    <w:rsid w:val="0038042C"/>
    <w:rsid w:val="00386712"/>
    <w:rsid w:val="00390A08"/>
    <w:rsid w:val="00392C96"/>
    <w:rsid w:val="003A1838"/>
    <w:rsid w:val="003A3D1C"/>
    <w:rsid w:val="003B13D7"/>
    <w:rsid w:val="003B2535"/>
    <w:rsid w:val="003B6C8D"/>
    <w:rsid w:val="003B784D"/>
    <w:rsid w:val="003C45E1"/>
    <w:rsid w:val="003D19E6"/>
    <w:rsid w:val="003D2346"/>
    <w:rsid w:val="003E1978"/>
    <w:rsid w:val="003E2238"/>
    <w:rsid w:val="003E38E3"/>
    <w:rsid w:val="003E52D6"/>
    <w:rsid w:val="003F0791"/>
    <w:rsid w:val="003F5A26"/>
    <w:rsid w:val="00402A50"/>
    <w:rsid w:val="0040657D"/>
    <w:rsid w:val="00407CA8"/>
    <w:rsid w:val="00410D2D"/>
    <w:rsid w:val="004114BA"/>
    <w:rsid w:val="00411BBC"/>
    <w:rsid w:val="00416629"/>
    <w:rsid w:val="004201E0"/>
    <w:rsid w:val="004241B9"/>
    <w:rsid w:val="004258F9"/>
    <w:rsid w:val="00425AA0"/>
    <w:rsid w:val="00427E39"/>
    <w:rsid w:val="00432DE0"/>
    <w:rsid w:val="00433D6F"/>
    <w:rsid w:val="004363F2"/>
    <w:rsid w:val="0043743D"/>
    <w:rsid w:val="00442889"/>
    <w:rsid w:val="00444364"/>
    <w:rsid w:val="004458DE"/>
    <w:rsid w:val="004466EF"/>
    <w:rsid w:val="00447327"/>
    <w:rsid w:val="0045000E"/>
    <w:rsid w:val="0045730F"/>
    <w:rsid w:val="00461A9A"/>
    <w:rsid w:val="00461AE6"/>
    <w:rsid w:val="00462D7A"/>
    <w:rsid w:val="004639D3"/>
    <w:rsid w:val="00470861"/>
    <w:rsid w:val="0047638D"/>
    <w:rsid w:val="0047654C"/>
    <w:rsid w:val="0048247F"/>
    <w:rsid w:val="004846B0"/>
    <w:rsid w:val="004857E1"/>
    <w:rsid w:val="004907D7"/>
    <w:rsid w:val="004947A0"/>
    <w:rsid w:val="0049681B"/>
    <w:rsid w:val="004968AD"/>
    <w:rsid w:val="004A0DE8"/>
    <w:rsid w:val="004A182F"/>
    <w:rsid w:val="004A1ACA"/>
    <w:rsid w:val="004A1E32"/>
    <w:rsid w:val="004A54CE"/>
    <w:rsid w:val="004A6075"/>
    <w:rsid w:val="004B0E7D"/>
    <w:rsid w:val="004B387A"/>
    <w:rsid w:val="004B7369"/>
    <w:rsid w:val="004B7CE3"/>
    <w:rsid w:val="004C24CF"/>
    <w:rsid w:val="004C4B0B"/>
    <w:rsid w:val="004C6CC9"/>
    <w:rsid w:val="004D0AD0"/>
    <w:rsid w:val="004D441C"/>
    <w:rsid w:val="004D6696"/>
    <w:rsid w:val="004E0317"/>
    <w:rsid w:val="004E04D9"/>
    <w:rsid w:val="004E1DD4"/>
    <w:rsid w:val="004E4BE9"/>
    <w:rsid w:val="004E6CE7"/>
    <w:rsid w:val="004F0CFB"/>
    <w:rsid w:val="004F6871"/>
    <w:rsid w:val="005025A1"/>
    <w:rsid w:val="00505999"/>
    <w:rsid w:val="005166FD"/>
    <w:rsid w:val="005240E9"/>
    <w:rsid w:val="005267A2"/>
    <w:rsid w:val="00530F66"/>
    <w:rsid w:val="00533F38"/>
    <w:rsid w:val="005351ED"/>
    <w:rsid w:val="005369FF"/>
    <w:rsid w:val="00540003"/>
    <w:rsid w:val="00544344"/>
    <w:rsid w:val="00551DD8"/>
    <w:rsid w:val="005557C1"/>
    <w:rsid w:val="00555C13"/>
    <w:rsid w:val="00561028"/>
    <w:rsid w:val="00566A3D"/>
    <w:rsid w:val="00572C53"/>
    <w:rsid w:val="00580F29"/>
    <w:rsid w:val="005820DB"/>
    <w:rsid w:val="005825AC"/>
    <w:rsid w:val="0058260A"/>
    <w:rsid w:val="0058455D"/>
    <w:rsid w:val="00584623"/>
    <w:rsid w:val="00594523"/>
    <w:rsid w:val="005A4781"/>
    <w:rsid w:val="005A5B29"/>
    <w:rsid w:val="005A6D47"/>
    <w:rsid w:val="005B033F"/>
    <w:rsid w:val="005B59BC"/>
    <w:rsid w:val="005B68AE"/>
    <w:rsid w:val="005C48F2"/>
    <w:rsid w:val="005C5699"/>
    <w:rsid w:val="005E1C29"/>
    <w:rsid w:val="005E3A56"/>
    <w:rsid w:val="005F2B44"/>
    <w:rsid w:val="005F4F38"/>
    <w:rsid w:val="00602F25"/>
    <w:rsid w:val="00606E99"/>
    <w:rsid w:val="006107EF"/>
    <w:rsid w:val="00612985"/>
    <w:rsid w:val="00621836"/>
    <w:rsid w:val="0062308A"/>
    <w:rsid w:val="00630927"/>
    <w:rsid w:val="00630A1A"/>
    <w:rsid w:val="00632295"/>
    <w:rsid w:val="00632461"/>
    <w:rsid w:val="00635F6B"/>
    <w:rsid w:val="00640803"/>
    <w:rsid w:val="00640F2D"/>
    <w:rsid w:val="0064198B"/>
    <w:rsid w:val="00641AC2"/>
    <w:rsid w:val="006469DF"/>
    <w:rsid w:val="00646AB1"/>
    <w:rsid w:val="006501CA"/>
    <w:rsid w:val="00651EE8"/>
    <w:rsid w:val="0065374E"/>
    <w:rsid w:val="0065535B"/>
    <w:rsid w:val="00662F45"/>
    <w:rsid w:val="006657D7"/>
    <w:rsid w:val="00665D22"/>
    <w:rsid w:val="00667365"/>
    <w:rsid w:val="00672126"/>
    <w:rsid w:val="0067432D"/>
    <w:rsid w:val="00675B7E"/>
    <w:rsid w:val="00677DF6"/>
    <w:rsid w:val="00680240"/>
    <w:rsid w:val="006821D2"/>
    <w:rsid w:val="0068435B"/>
    <w:rsid w:val="0069060A"/>
    <w:rsid w:val="006907DA"/>
    <w:rsid w:val="00691F5B"/>
    <w:rsid w:val="00695C2D"/>
    <w:rsid w:val="00696DEB"/>
    <w:rsid w:val="00697C79"/>
    <w:rsid w:val="006A3910"/>
    <w:rsid w:val="006A473A"/>
    <w:rsid w:val="006A4E3B"/>
    <w:rsid w:val="006A6F8D"/>
    <w:rsid w:val="006A7E69"/>
    <w:rsid w:val="006B2F4A"/>
    <w:rsid w:val="006B4B65"/>
    <w:rsid w:val="006B4E4A"/>
    <w:rsid w:val="006B61D0"/>
    <w:rsid w:val="006B7508"/>
    <w:rsid w:val="006C6809"/>
    <w:rsid w:val="006D2995"/>
    <w:rsid w:val="006D341B"/>
    <w:rsid w:val="006D3D27"/>
    <w:rsid w:val="006D4188"/>
    <w:rsid w:val="006D4BD1"/>
    <w:rsid w:val="006D666D"/>
    <w:rsid w:val="006E00EE"/>
    <w:rsid w:val="006E0CBC"/>
    <w:rsid w:val="006E1EC2"/>
    <w:rsid w:val="006E3D7B"/>
    <w:rsid w:val="006E4525"/>
    <w:rsid w:val="006E5039"/>
    <w:rsid w:val="006E706A"/>
    <w:rsid w:val="006F4F4B"/>
    <w:rsid w:val="00702438"/>
    <w:rsid w:val="00703375"/>
    <w:rsid w:val="00707E7B"/>
    <w:rsid w:val="00716634"/>
    <w:rsid w:val="00722C09"/>
    <w:rsid w:val="007248A2"/>
    <w:rsid w:val="00732FBC"/>
    <w:rsid w:val="007347F0"/>
    <w:rsid w:val="007351D5"/>
    <w:rsid w:val="007415A2"/>
    <w:rsid w:val="00752144"/>
    <w:rsid w:val="00757FD8"/>
    <w:rsid w:val="00760894"/>
    <w:rsid w:val="00762438"/>
    <w:rsid w:val="00763701"/>
    <w:rsid w:val="00763715"/>
    <w:rsid w:val="0076371E"/>
    <w:rsid w:val="00764327"/>
    <w:rsid w:val="00764E9F"/>
    <w:rsid w:val="00770D2E"/>
    <w:rsid w:val="00771E61"/>
    <w:rsid w:val="00777261"/>
    <w:rsid w:val="007852F8"/>
    <w:rsid w:val="00786552"/>
    <w:rsid w:val="00790B45"/>
    <w:rsid w:val="007922E7"/>
    <w:rsid w:val="00792BD4"/>
    <w:rsid w:val="00792E41"/>
    <w:rsid w:val="00792E4C"/>
    <w:rsid w:val="00797213"/>
    <w:rsid w:val="007A0445"/>
    <w:rsid w:val="007A13D0"/>
    <w:rsid w:val="007A570B"/>
    <w:rsid w:val="007B151D"/>
    <w:rsid w:val="007B2E6E"/>
    <w:rsid w:val="007C13AC"/>
    <w:rsid w:val="007C2E58"/>
    <w:rsid w:val="007C3522"/>
    <w:rsid w:val="007C454E"/>
    <w:rsid w:val="007C4613"/>
    <w:rsid w:val="007C7ED1"/>
    <w:rsid w:val="007D219A"/>
    <w:rsid w:val="007D34AD"/>
    <w:rsid w:val="007E0634"/>
    <w:rsid w:val="007E2912"/>
    <w:rsid w:val="007E5241"/>
    <w:rsid w:val="007F2D3B"/>
    <w:rsid w:val="007F694F"/>
    <w:rsid w:val="007F7612"/>
    <w:rsid w:val="007F79FC"/>
    <w:rsid w:val="00801A1F"/>
    <w:rsid w:val="0080238B"/>
    <w:rsid w:val="00802A41"/>
    <w:rsid w:val="00803339"/>
    <w:rsid w:val="008036BA"/>
    <w:rsid w:val="0080549C"/>
    <w:rsid w:val="00806A50"/>
    <w:rsid w:val="00811357"/>
    <w:rsid w:val="008115CF"/>
    <w:rsid w:val="008131B0"/>
    <w:rsid w:val="00816A83"/>
    <w:rsid w:val="008332F5"/>
    <w:rsid w:val="00833405"/>
    <w:rsid w:val="00833922"/>
    <w:rsid w:val="00836C24"/>
    <w:rsid w:val="00841260"/>
    <w:rsid w:val="00845529"/>
    <w:rsid w:val="00845F20"/>
    <w:rsid w:val="0084633E"/>
    <w:rsid w:val="00846C16"/>
    <w:rsid w:val="0085071D"/>
    <w:rsid w:val="008508B8"/>
    <w:rsid w:val="00851905"/>
    <w:rsid w:val="0085597F"/>
    <w:rsid w:val="008601B0"/>
    <w:rsid w:val="00861C08"/>
    <w:rsid w:val="00865172"/>
    <w:rsid w:val="0087040B"/>
    <w:rsid w:val="008739C8"/>
    <w:rsid w:val="00875747"/>
    <w:rsid w:val="00881869"/>
    <w:rsid w:val="00882706"/>
    <w:rsid w:val="008917AD"/>
    <w:rsid w:val="008946E7"/>
    <w:rsid w:val="008960B0"/>
    <w:rsid w:val="008A60AE"/>
    <w:rsid w:val="008B0E06"/>
    <w:rsid w:val="008B4E25"/>
    <w:rsid w:val="008C329A"/>
    <w:rsid w:val="008C4218"/>
    <w:rsid w:val="008C5E97"/>
    <w:rsid w:val="008D1E6C"/>
    <w:rsid w:val="008D7ACA"/>
    <w:rsid w:val="008D7B48"/>
    <w:rsid w:val="008E1024"/>
    <w:rsid w:val="008F0563"/>
    <w:rsid w:val="008F12DC"/>
    <w:rsid w:val="008F6B3D"/>
    <w:rsid w:val="008F6ECF"/>
    <w:rsid w:val="008F749A"/>
    <w:rsid w:val="008F7E81"/>
    <w:rsid w:val="00900AFF"/>
    <w:rsid w:val="00905630"/>
    <w:rsid w:val="00906793"/>
    <w:rsid w:val="00911920"/>
    <w:rsid w:val="00914500"/>
    <w:rsid w:val="00915D2C"/>
    <w:rsid w:val="009200C0"/>
    <w:rsid w:val="0092294D"/>
    <w:rsid w:val="00923481"/>
    <w:rsid w:val="00930B7A"/>
    <w:rsid w:val="00930BF3"/>
    <w:rsid w:val="009350E4"/>
    <w:rsid w:val="0094131A"/>
    <w:rsid w:val="00944659"/>
    <w:rsid w:val="00951121"/>
    <w:rsid w:val="009522ED"/>
    <w:rsid w:val="00952FE6"/>
    <w:rsid w:val="009538DA"/>
    <w:rsid w:val="00960486"/>
    <w:rsid w:val="0096081E"/>
    <w:rsid w:val="00962138"/>
    <w:rsid w:val="009622A5"/>
    <w:rsid w:val="009669C1"/>
    <w:rsid w:val="009727E5"/>
    <w:rsid w:val="009740A1"/>
    <w:rsid w:val="0097679C"/>
    <w:rsid w:val="00980E85"/>
    <w:rsid w:val="009860B1"/>
    <w:rsid w:val="00987573"/>
    <w:rsid w:val="00987D1B"/>
    <w:rsid w:val="00991FC7"/>
    <w:rsid w:val="00992D7B"/>
    <w:rsid w:val="00994889"/>
    <w:rsid w:val="00995BAE"/>
    <w:rsid w:val="009A0136"/>
    <w:rsid w:val="009A02FD"/>
    <w:rsid w:val="009A0EF7"/>
    <w:rsid w:val="009A0EFC"/>
    <w:rsid w:val="009A15FC"/>
    <w:rsid w:val="009A270D"/>
    <w:rsid w:val="009A3E9A"/>
    <w:rsid w:val="009A4F53"/>
    <w:rsid w:val="009A5930"/>
    <w:rsid w:val="009A65BA"/>
    <w:rsid w:val="009A7126"/>
    <w:rsid w:val="009B0A87"/>
    <w:rsid w:val="009B1229"/>
    <w:rsid w:val="009B25F5"/>
    <w:rsid w:val="009B4E57"/>
    <w:rsid w:val="009B5C4F"/>
    <w:rsid w:val="009B60E1"/>
    <w:rsid w:val="009B6390"/>
    <w:rsid w:val="009B6DBE"/>
    <w:rsid w:val="009C107F"/>
    <w:rsid w:val="009C22A0"/>
    <w:rsid w:val="009D4AF8"/>
    <w:rsid w:val="009D56D9"/>
    <w:rsid w:val="009D622E"/>
    <w:rsid w:val="009D79CD"/>
    <w:rsid w:val="009E1ED9"/>
    <w:rsid w:val="009E2620"/>
    <w:rsid w:val="009E52B6"/>
    <w:rsid w:val="009E5660"/>
    <w:rsid w:val="009F713A"/>
    <w:rsid w:val="00A00662"/>
    <w:rsid w:val="00A03AF2"/>
    <w:rsid w:val="00A0512B"/>
    <w:rsid w:val="00A052F6"/>
    <w:rsid w:val="00A13A94"/>
    <w:rsid w:val="00A203DB"/>
    <w:rsid w:val="00A225AF"/>
    <w:rsid w:val="00A2381C"/>
    <w:rsid w:val="00A23F96"/>
    <w:rsid w:val="00A278C8"/>
    <w:rsid w:val="00A313E6"/>
    <w:rsid w:val="00A322BB"/>
    <w:rsid w:val="00A41608"/>
    <w:rsid w:val="00A47B1E"/>
    <w:rsid w:val="00A53296"/>
    <w:rsid w:val="00A533FF"/>
    <w:rsid w:val="00A54C80"/>
    <w:rsid w:val="00A54CFC"/>
    <w:rsid w:val="00A56998"/>
    <w:rsid w:val="00A57261"/>
    <w:rsid w:val="00A6040B"/>
    <w:rsid w:val="00A627C3"/>
    <w:rsid w:val="00A64FAA"/>
    <w:rsid w:val="00A66C36"/>
    <w:rsid w:val="00A67C26"/>
    <w:rsid w:val="00A70B1C"/>
    <w:rsid w:val="00A7257A"/>
    <w:rsid w:val="00A7328E"/>
    <w:rsid w:val="00A75C6B"/>
    <w:rsid w:val="00A7698C"/>
    <w:rsid w:val="00A80094"/>
    <w:rsid w:val="00A87AEA"/>
    <w:rsid w:val="00A9188E"/>
    <w:rsid w:val="00A9198C"/>
    <w:rsid w:val="00A92C02"/>
    <w:rsid w:val="00A94A67"/>
    <w:rsid w:val="00A959BB"/>
    <w:rsid w:val="00A95C29"/>
    <w:rsid w:val="00A97B76"/>
    <w:rsid w:val="00AA4FB3"/>
    <w:rsid w:val="00AA7B43"/>
    <w:rsid w:val="00AB5360"/>
    <w:rsid w:val="00AB7496"/>
    <w:rsid w:val="00AB7832"/>
    <w:rsid w:val="00AC0387"/>
    <w:rsid w:val="00AC1F59"/>
    <w:rsid w:val="00AC3D8C"/>
    <w:rsid w:val="00AC637F"/>
    <w:rsid w:val="00AD52B8"/>
    <w:rsid w:val="00AE117F"/>
    <w:rsid w:val="00AE7F4C"/>
    <w:rsid w:val="00AF29E6"/>
    <w:rsid w:val="00AF681D"/>
    <w:rsid w:val="00B0744F"/>
    <w:rsid w:val="00B10CC1"/>
    <w:rsid w:val="00B20E20"/>
    <w:rsid w:val="00B23E77"/>
    <w:rsid w:val="00B23EF3"/>
    <w:rsid w:val="00B2634F"/>
    <w:rsid w:val="00B33B6D"/>
    <w:rsid w:val="00B347E2"/>
    <w:rsid w:val="00B36433"/>
    <w:rsid w:val="00B42FDE"/>
    <w:rsid w:val="00B43090"/>
    <w:rsid w:val="00B4731B"/>
    <w:rsid w:val="00B51A14"/>
    <w:rsid w:val="00B57F3B"/>
    <w:rsid w:val="00B61DF2"/>
    <w:rsid w:val="00B63514"/>
    <w:rsid w:val="00B648E2"/>
    <w:rsid w:val="00B660B9"/>
    <w:rsid w:val="00B673CF"/>
    <w:rsid w:val="00B74276"/>
    <w:rsid w:val="00B7606A"/>
    <w:rsid w:val="00B86B40"/>
    <w:rsid w:val="00B94E9E"/>
    <w:rsid w:val="00B96A41"/>
    <w:rsid w:val="00B97AD4"/>
    <w:rsid w:val="00BA1ECC"/>
    <w:rsid w:val="00BA37BF"/>
    <w:rsid w:val="00BA3F77"/>
    <w:rsid w:val="00BA4CAD"/>
    <w:rsid w:val="00BA7FA4"/>
    <w:rsid w:val="00BB145B"/>
    <w:rsid w:val="00BB18D0"/>
    <w:rsid w:val="00BB51D5"/>
    <w:rsid w:val="00BB7084"/>
    <w:rsid w:val="00BB7FC7"/>
    <w:rsid w:val="00BC1F1C"/>
    <w:rsid w:val="00BD1AA4"/>
    <w:rsid w:val="00BD217B"/>
    <w:rsid w:val="00BD305F"/>
    <w:rsid w:val="00BD3899"/>
    <w:rsid w:val="00BD7F74"/>
    <w:rsid w:val="00BE162D"/>
    <w:rsid w:val="00BE2A2D"/>
    <w:rsid w:val="00BE3307"/>
    <w:rsid w:val="00BE52A6"/>
    <w:rsid w:val="00BF08F7"/>
    <w:rsid w:val="00C07928"/>
    <w:rsid w:val="00C109D3"/>
    <w:rsid w:val="00C11053"/>
    <w:rsid w:val="00C1691A"/>
    <w:rsid w:val="00C1717A"/>
    <w:rsid w:val="00C1781F"/>
    <w:rsid w:val="00C23346"/>
    <w:rsid w:val="00C27859"/>
    <w:rsid w:val="00C3114D"/>
    <w:rsid w:val="00C31730"/>
    <w:rsid w:val="00C41617"/>
    <w:rsid w:val="00C51579"/>
    <w:rsid w:val="00C55DAB"/>
    <w:rsid w:val="00C61DB7"/>
    <w:rsid w:val="00C6752C"/>
    <w:rsid w:val="00C678D4"/>
    <w:rsid w:val="00C70003"/>
    <w:rsid w:val="00C73020"/>
    <w:rsid w:val="00C761F8"/>
    <w:rsid w:val="00C764B2"/>
    <w:rsid w:val="00C83077"/>
    <w:rsid w:val="00C8315E"/>
    <w:rsid w:val="00C8455C"/>
    <w:rsid w:val="00C865CE"/>
    <w:rsid w:val="00C9095C"/>
    <w:rsid w:val="00C92BEA"/>
    <w:rsid w:val="00C954AC"/>
    <w:rsid w:val="00CA34D7"/>
    <w:rsid w:val="00CA42F1"/>
    <w:rsid w:val="00CA4AD9"/>
    <w:rsid w:val="00CA7F3D"/>
    <w:rsid w:val="00CB02E0"/>
    <w:rsid w:val="00CB187D"/>
    <w:rsid w:val="00CC30F0"/>
    <w:rsid w:val="00CC32F3"/>
    <w:rsid w:val="00CD1784"/>
    <w:rsid w:val="00CD1AAF"/>
    <w:rsid w:val="00CD3D63"/>
    <w:rsid w:val="00CD6333"/>
    <w:rsid w:val="00CD67A5"/>
    <w:rsid w:val="00CE0FC3"/>
    <w:rsid w:val="00CE13F7"/>
    <w:rsid w:val="00CE24F8"/>
    <w:rsid w:val="00CE468C"/>
    <w:rsid w:val="00D02530"/>
    <w:rsid w:val="00D02CC6"/>
    <w:rsid w:val="00D105CA"/>
    <w:rsid w:val="00D10D67"/>
    <w:rsid w:val="00D116BA"/>
    <w:rsid w:val="00D12FC1"/>
    <w:rsid w:val="00D132F2"/>
    <w:rsid w:val="00D16A30"/>
    <w:rsid w:val="00D20568"/>
    <w:rsid w:val="00D229A8"/>
    <w:rsid w:val="00D230FD"/>
    <w:rsid w:val="00D23541"/>
    <w:rsid w:val="00D23DEF"/>
    <w:rsid w:val="00D241F5"/>
    <w:rsid w:val="00D25A5D"/>
    <w:rsid w:val="00D271E6"/>
    <w:rsid w:val="00D37168"/>
    <w:rsid w:val="00D41B94"/>
    <w:rsid w:val="00D44EB1"/>
    <w:rsid w:val="00D50662"/>
    <w:rsid w:val="00D627A8"/>
    <w:rsid w:val="00D64D6E"/>
    <w:rsid w:val="00D6540B"/>
    <w:rsid w:val="00D74DFB"/>
    <w:rsid w:val="00D76C8D"/>
    <w:rsid w:val="00D76D56"/>
    <w:rsid w:val="00D81314"/>
    <w:rsid w:val="00D81D1A"/>
    <w:rsid w:val="00D82520"/>
    <w:rsid w:val="00D83ACB"/>
    <w:rsid w:val="00D83DCB"/>
    <w:rsid w:val="00D83F43"/>
    <w:rsid w:val="00D86B58"/>
    <w:rsid w:val="00D923F9"/>
    <w:rsid w:val="00D927B8"/>
    <w:rsid w:val="00D931A7"/>
    <w:rsid w:val="00D933BC"/>
    <w:rsid w:val="00DA60DF"/>
    <w:rsid w:val="00DB10A5"/>
    <w:rsid w:val="00DB3901"/>
    <w:rsid w:val="00DB6A53"/>
    <w:rsid w:val="00DB7060"/>
    <w:rsid w:val="00DB7F7B"/>
    <w:rsid w:val="00DC1D67"/>
    <w:rsid w:val="00DC47C0"/>
    <w:rsid w:val="00DD3430"/>
    <w:rsid w:val="00DD3C52"/>
    <w:rsid w:val="00DD3D3C"/>
    <w:rsid w:val="00DD3F10"/>
    <w:rsid w:val="00DD708A"/>
    <w:rsid w:val="00DE0E3A"/>
    <w:rsid w:val="00DE102A"/>
    <w:rsid w:val="00DE26FF"/>
    <w:rsid w:val="00DE2AD1"/>
    <w:rsid w:val="00DE3C40"/>
    <w:rsid w:val="00DF539A"/>
    <w:rsid w:val="00DF7671"/>
    <w:rsid w:val="00E01E56"/>
    <w:rsid w:val="00E0234F"/>
    <w:rsid w:val="00E03981"/>
    <w:rsid w:val="00E04D7E"/>
    <w:rsid w:val="00E07049"/>
    <w:rsid w:val="00E11A1F"/>
    <w:rsid w:val="00E1323D"/>
    <w:rsid w:val="00E16359"/>
    <w:rsid w:val="00E34D4A"/>
    <w:rsid w:val="00E355BB"/>
    <w:rsid w:val="00E36E61"/>
    <w:rsid w:val="00E36FF7"/>
    <w:rsid w:val="00E426BD"/>
    <w:rsid w:val="00E4339E"/>
    <w:rsid w:val="00E462D4"/>
    <w:rsid w:val="00E5420C"/>
    <w:rsid w:val="00E54CD1"/>
    <w:rsid w:val="00E56485"/>
    <w:rsid w:val="00E60914"/>
    <w:rsid w:val="00E642B7"/>
    <w:rsid w:val="00E65439"/>
    <w:rsid w:val="00E6626F"/>
    <w:rsid w:val="00E66736"/>
    <w:rsid w:val="00E66F97"/>
    <w:rsid w:val="00E73D2E"/>
    <w:rsid w:val="00E83591"/>
    <w:rsid w:val="00E95A46"/>
    <w:rsid w:val="00EA1FEE"/>
    <w:rsid w:val="00EA3D4F"/>
    <w:rsid w:val="00EA564E"/>
    <w:rsid w:val="00EA5F51"/>
    <w:rsid w:val="00EA6F68"/>
    <w:rsid w:val="00EB026B"/>
    <w:rsid w:val="00EB21BE"/>
    <w:rsid w:val="00EB21E0"/>
    <w:rsid w:val="00EB25CD"/>
    <w:rsid w:val="00EB2B83"/>
    <w:rsid w:val="00EB5095"/>
    <w:rsid w:val="00EB5FDA"/>
    <w:rsid w:val="00EB6194"/>
    <w:rsid w:val="00EB6D9B"/>
    <w:rsid w:val="00EC12F2"/>
    <w:rsid w:val="00EC2147"/>
    <w:rsid w:val="00EC4023"/>
    <w:rsid w:val="00EC4242"/>
    <w:rsid w:val="00EC6DCD"/>
    <w:rsid w:val="00ED72F9"/>
    <w:rsid w:val="00EE69F8"/>
    <w:rsid w:val="00EF2B11"/>
    <w:rsid w:val="00EF581A"/>
    <w:rsid w:val="00EF6E77"/>
    <w:rsid w:val="00EF7332"/>
    <w:rsid w:val="00F00CB3"/>
    <w:rsid w:val="00F0456A"/>
    <w:rsid w:val="00F078EB"/>
    <w:rsid w:val="00F13190"/>
    <w:rsid w:val="00F20B5F"/>
    <w:rsid w:val="00F23E5D"/>
    <w:rsid w:val="00F248BD"/>
    <w:rsid w:val="00F320C2"/>
    <w:rsid w:val="00F34739"/>
    <w:rsid w:val="00F408BF"/>
    <w:rsid w:val="00F43049"/>
    <w:rsid w:val="00F4325E"/>
    <w:rsid w:val="00F45D90"/>
    <w:rsid w:val="00F47A01"/>
    <w:rsid w:val="00F5137A"/>
    <w:rsid w:val="00F5417A"/>
    <w:rsid w:val="00F56E9F"/>
    <w:rsid w:val="00F61D1E"/>
    <w:rsid w:val="00F63852"/>
    <w:rsid w:val="00F63A38"/>
    <w:rsid w:val="00F64542"/>
    <w:rsid w:val="00F65321"/>
    <w:rsid w:val="00F65643"/>
    <w:rsid w:val="00F67255"/>
    <w:rsid w:val="00F70ABE"/>
    <w:rsid w:val="00F7226A"/>
    <w:rsid w:val="00F73289"/>
    <w:rsid w:val="00F748D4"/>
    <w:rsid w:val="00F77A3D"/>
    <w:rsid w:val="00F83DB3"/>
    <w:rsid w:val="00F83FF6"/>
    <w:rsid w:val="00F85C21"/>
    <w:rsid w:val="00F87366"/>
    <w:rsid w:val="00F877C8"/>
    <w:rsid w:val="00F9215E"/>
    <w:rsid w:val="00F94DE8"/>
    <w:rsid w:val="00F96DAA"/>
    <w:rsid w:val="00F97891"/>
    <w:rsid w:val="00FA159A"/>
    <w:rsid w:val="00FA37F8"/>
    <w:rsid w:val="00FA50C7"/>
    <w:rsid w:val="00FA5A33"/>
    <w:rsid w:val="00FB5B33"/>
    <w:rsid w:val="00FC10B7"/>
    <w:rsid w:val="00FD4119"/>
    <w:rsid w:val="00FD5821"/>
    <w:rsid w:val="00FD5DB7"/>
    <w:rsid w:val="00FD5E12"/>
    <w:rsid w:val="00FE0228"/>
    <w:rsid w:val="00FE24DE"/>
    <w:rsid w:val="00FF10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c2568"/>
    </o:shapedefaults>
    <o:shapelayout v:ext="edit">
      <o:idmap v:ext="edit" data="2"/>
    </o:shapelayout>
  </w:shapeDefaults>
  <w:decimalSymbol w:val="."/>
  <w:listSeparator w:val=","/>
  <w14:docId w14:val="38940C8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uiPriority="1" w:unhideWhenUsed="1" w:qFormat="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82706"/>
    <w:pPr>
      <w:spacing w:after="120"/>
    </w:pPr>
    <w:rPr>
      <w:rFonts w:ascii="Arial" w:hAnsi="Arial"/>
    </w:rPr>
  </w:style>
  <w:style w:type="paragraph" w:styleId="Heading1">
    <w:name w:val="heading 1"/>
    <w:basedOn w:val="Normal"/>
    <w:next w:val="Normal"/>
    <w:link w:val="Heading1Char"/>
    <w:uiPriority w:val="9"/>
    <w:qFormat/>
    <w:rsid w:val="004846B0"/>
    <w:pPr>
      <w:keepNext/>
      <w:keepLines/>
      <w:spacing w:before="360" w:after="240" w:line="240" w:lineRule="auto"/>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qFormat/>
    <w:rsid w:val="00EC4242"/>
    <w:pPr>
      <w:keepNext/>
      <w:keepLines/>
      <w:spacing w:before="280" w:after="20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qFormat/>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qFormat/>
    <w:rsid w:val="00461A9A"/>
    <w:pPr>
      <w:keepNext/>
      <w:keepLines/>
      <w:spacing w:before="40" w:after="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198B"/>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rsid w:val="0064198B"/>
    <w:rPr>
      <w:rFonts w:ascii="Arial" w:eastAsiaTheme="majorEastAsia" w:hAnsi="Arial" w:cstheme="majorBidi"/>
      <w:b/>
      <w:color w:val="000000" w:themeColor="text1"/>
      <w:sz w:val="36"/>
      <w:szCs w:val="32"/>
    </w:rPr>
  </w:style>
  <w:style w:type="paragraph" w:styleId="TOCHeading">
    <w:name w:val="TOC Heading"/>
    <w:basedOn w:val="Heading1"/>
    <w:next w:val="Normal"/>
    <w:uiPriority w:val="39"/>
    <w:unhideWhenUsed/>
    <w:qFormat/>
    <w:rsid w:val="00E54CD1"/>
    <w:pPr>
      <w:spacing w:before="0" w:after="360"/>
    </w:pPr>
    <w:rPr>
      <w:color w:val="293868"/>
    </w:rPr>
  </w:style>
  <w:style w:type="paragraph" w:styleId="TOC2">
    <w:name w:val="toc 2"/>
    <w:basedOn w:val="Normal"/>
    <w:next w:val="Normal"/>
    <w:autoRedefine/>
    <w:uiPriority w:val="39"/>
    <w:unhideWhenUsed/>
    <w:rsid w:val="001D0822"/>
    <w:pPr>
      <w:tabs>
        <w:tab w:val="left" w:pos="880"/>
        <w:tab w:val="right" w:leader="dot" w:pos="9016"/>
      </w:tabs>
      <w:spacing w:after="60"/>
      <w:ind w:left="425"/>
    </w:pPr>
  </w:style>
  <w:style w:type="character" w:styleId="Hyperlink">
    <w:name w:val="Hyperlink"/>
    <w:basedOn w:val="DefaultParagraphFont"/>
    <w:uiPriority w:val="99"/>
    <w:unhideWhenUsed/>
    <w:rsid w:val="00BB7FC7"/>
    <w:rPr>
      <w:color w:val="2C2568" w:themeColor="hyperlink"/>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Normal"/>
    <w:basedOn w:val="Normal"/>
    <w:link w:val="ListParagraphChar"/>
    <w:uiPriority w:val="34"/>
    <w:qFormat/>
    <w:rsid w:val="00BB7FC7"/>
    <w:pPr>
      <w:ind w:left="720"/>
      <w:contextualSpacing/>
    </w:pPr>
  </w:style>
  <w:style w:type="paragraph" w:styleId="Caption">
    <w:name w:val="caption"/>
    <w:basedOn w:val="Normal"/>
    <w:next w:val="Normal"/>
    <w:uiPriority w:val="35"/>
    <w:unhideWhenUsed/>
    <w:qFormat/>
    <w:rsid w:val="004D0AD0"/>
    <w:pPr>
      <w:spacing w:line="240" w:lineRule="auto"/>
    </w:pPr>
    <w:rPr>
      <w:i/>
      <w:iCs/>
      <w:color w:val="44546A" w:themeColor="text2"/>
      <w:sz w:val="18"/>
      <w:szCs w:val="18"/>
    </w:rPr>
  </w:style>
  <w:style w:type="character" w:customStyle="1" w:styleId="Heading3Char">
    <w:name w:val="Heading 3 Char"/>
    <w:basedOn w:val="DefaultParagraphFont"/>
    <w:link w:val="Heading3"/>
    <w:uiPriority w:val="9"/>
    <w:rsid w:val="0064198B"/>
    <w:rPr>
      <w:rFonts w:ascii="Arial" w:eastAsiaTheme="majorEastAsia" w:hAnsi="Arial" w:cstheme="majorBidi"/>
      <w:b/>
      <w:sz w:val="24"/>
      <w:szCs w:val="24"/>
    </w:rPr>
  </w:style>
  <w:style w:type="paragraph" w:styleId="Quote">
    <w:name w:val="Quote"/>
    <w:basedOn w:val="Normal"/>
    <w:next w:val="Normal"/>
    <w:link w:val="QuoteChar"/>
    <w:uiPriority w:val="29"/>
    <w:qFormat/>
    <w:rsid w:val="007351D5"/>
    <w:pPr>
      <w:spacing w:before="240" w:after="60"/>
      <w:ind w:left="709" w:right="709"/>
    </w:pPr>
    <w:rPr>
      <w:iCs/>
      <w:color w:val="595959" w:themeColor="text1" w:themeTint="A6"/>
    </w:rPr>
  </w:style>
  <w:style w:type="character" w:customStyle="1" w:styleId="QuoteChar">
    <w:name w:val="Quote Char"/>
    <w:basedOn w:val="DefaultParagraphFont"/>
    <w:link w:val="Quote"/>
    <w:uiPriority w:val="29"/>
    <w:rsid w:val="0064198B"/>
    <w:rPr>
      <w:rFonts w:ascii="Arial" w:hAnsi="Arial"/>
      <w:iCs/>
      <w:color w:val="595959" w:themeColor="text1" w:themeTint="A6"/>
    </w:rPr>
  </w:style>
  <w:style w:type="paragraph" w:styleId="TOC3">
    <w:name w:val="toc 3"/>
    <w:basedOn w:val="Normal"/>
    <w:next w:val="Normal"/>
    <w:autoRedefine/>
    <w:uiPriority w:val="39"/>
    <w:unhideWhenUsed/>
    <w:rsid w:val="004C24CF"/>
    <w:pPr>
      <w:tabs>
        <w:tab w:val="right" w:leader="dot" w:pos="9016"/>
      </w:tabs>
      <w:spacing w:after="40"/>
      <w:ind w:left="851"/>
    </w:pPr>
  </w:style>
  <w:style w:type="paragraph" w:customStyle="1" w:styleId="Body">
    <w:name w:val="Body"/>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2"/>
      </w:numPr>
    </w:pPr>
  </w:style>
  <w:style w:type="character" w:customStyle="1" w:styleId="Heading4Char">
    <w:name w:val="Heading 4 Char"/>
    <w:basedOn w:val="DefaultParagraphFont"/>
    <w:link w:val="Heading4"/>
    <w:uiPriority w:val="9"/>
    <w:rsid w:val="0064198B"/>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98B"/>
    <w:rPr>
      <w:rFonts w:ascii="Segoe UI" w:hAnsi="Segoe UI" w:cs="Segoe UI"/>
      <w:sz w:val="18"/>
      <w:szCs w:val="18"/>
    </w:rPr>
  </w:style>
  <w:style w:type="character" w:styleId="CommentReference">
    <w:name w:val="annotation reference"/>
    <w:basedOn w:val="DefaultParagraphFont"/>
    <w:uiPriority w:val="99"/>
    <w:semiHidden/>
    <w:rsid w:val="00C61DB7"/>
    <w:rPr>
      <w:sz w:val="16"/>
      <w:szCs w:val="16"/>
    </w:rPr>
  </w:style>
  <w:style w:type="paragraph" w:styleId="CommentText">
    <w:name w:val="annotation text"/>
    <w:basedOn w:val="Normal"/>
    <w:link w:val="CommentTextChar"/>
    <w:uiPriority w:val="99"/>
    <w:rsid w:val="00C61DB7"/>
    <w:pPr>
      <w:spacing w:line="240" w:lineRule="auto"/>
    </w:pPr>
    <w:rPr>
      <w:sz w:val="20"/>
      <w:szCs w:val="20"/>
    </w:rPr>
  </w:style>
  <w:style w:type="character" w:customStyle="1" w:styleId="CommentTextChar">
    <w:name w:val="Comment Text Char"/>
    <w:basedOn w:val="DefaultParagraphFont"/>
    <w:link w:val="CommentText"/>
    <w:uiPriority w:val="99"/>
    <w:rsid w:val="0064198B"/>
    <w:rPr>
      <w:rFonts w:ascii="Arial" w:hAnsi="Arial"/>
      <w:sz w:val="20"/>
      <w:szCs w:val="20"/>
    </w:rPr>
  </w:style>
  <w:style w:type="paragraph" w:styleId="CommentSubject">
    <w:name w:val="annotation subject"/>
    <w:basedOn w:val="CommentText"/>
    <w:next w:val="CommentText"/>
    <w:link w:val="CommentSubjectChar"/>
    <w:uiPriority w:val="99"/>
    <w:semiHidden/>
    <w:rsid w:val="00C61DB7"/>
    <w:rPr>
      <w:b/>
      <w:bCs/>
    </w:rPr>
  </w:style>
  <w:style w:type="character" w:customStyle="1" w:styleId="CommentSubjectChar">
    <w:name w:val="Comment Subject Char"/>
    <w:basedOn w:val="CommentTextChar"/>
    <w:link w:val="CommentSubject"/>
    <w:uiPriority w:val="99"/>
    <w:semiHidden/>
    <w:rsid w:val="0064198B"/>
    <w:rPr>
      <w:rFonts w:ascii="Arial" w:hAnsi="Arial"/>
      <w:b/>
      <w:bCs/>
      <w:sz w:val="20"/>
      <w:szCs w:val="20"/>
    </w:rPr>
  </w:style>
  <w:style w:type="character" w:customStyle="1" w:styleId="Heading5Char">
    <w:name w:val="Heading 5 Char"/>
    <w:basedOn w:val="DefaultParagraphFont"/>
    <w:link w:val="Heading5"/>
    <w:uiPriority w:val="9"/>
    <w:rsid w:val="0064198B"/>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198B"/>
    <w:rPr>
      <w:rFonts w:ascii="Arial" w:hAnsi="Arial"/>
      <w:sz w:val="20"/>
      <w:szCs w:val="20"/>
    </w:rPr>
  </w:style>
  <w:style w:type="character" w:styleId="EndnoteReference">
    <w:name w:val="endnote reference"/>
    <w:basedOn w:val="DefaultParagraphFont"/>
    <w:uiPriority w:val="99"/>
    <w:semiHidden/>
    <w:rsid w:val="003C45E1"/>
    <w:rPr>
      <w:vertAlign w:val="superscript"/>
    </w:rPr>
  </w:style>
  <w:style w:type="paragraph" w:styleId="Header">
    <w:name w:val="header"/>
    <w:basedOn w:val="Normal"/>
    <w:link w:val="HeaderChar"/>
    <w:uiPriority w:val="99"/>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8B"/>
    <w:rPr>
      <w:rFonts w:ascii="Arial" w:hAnsi="Arial"/>
    </w:rPr>
  </w:style>
  <w:style w:type="paragraph" w:styleId="Footer">
    <w:name w:val="footer"/>
    <w:basedOn w:val="Normal"/>
    <w:link w:val="FooterChar"/>
    <w:uiPriority w:val="99"/>
    <w:unhideWhenUsed/>
    <w:rsid w:val="0017350C"/>
    <w:pPr>
      <w:tabs>
        <w:tab w:val="right" w:pos="9026"/>
      </w:tabs>
      <w:spacing w:after="0" w:line="240" w:lineRule="auto"/>
    </w:pPr>
    <w:rPr>
      <w:sz w:val="20"/>
      <w:szCs w:val="20"/>
    </w:rPr>
  </w:style>
  <w:style w:type="character" w:customStyle="1" w:styleId="FooterChar">
    <w:name w:val="Footer Char"/>
    <w:basedOn w:val="DefaultParagraphFont"/>
    <w:link w:val="Footer"/>
    <w:uiPriority w:val="99"/>
    <w:rsid w:val="0017350C"/>
    <w:rPr>
      <w:rFonts w:ascii="Arial" w:hAnsi="Arial"/>
      <w:sz w:val="20"/>
      <w:szCs w:val="20"/>
    </w:rPr>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rsid w:val="00851905"/>
    <w:pPr>
      <w:ind w:left="720"/>
    </w:pPr>
  </w:style>
  <w:style w:type="paragraph" w:styleId="ListContinue">
    <w:name w:val="List Continue"/>
    <w:basedOn w:val="Normal"/>
    <w:uiPriority w:val="99"/>
    <w:rsid w:val="002665C5"/>
    <w:pPr>
      <w:ind w:left="283"/>
      <w:contextualSpacing/>
    </w:pPr>
  </w:style>
  <w:style w:type="paragraph" w:styleId="List">
    <w:name w:val="List"/>
    <w:basedOn w:val="Normal"/>
    <w:uiPriority w:val="99"/>
    <w:rsid w:val="00FD5821"/>
    <w:pPr>
      <w:ind w:left="283" w:hanging="283"/>
      <w:contextualSpacing/>
    </w:pPr>
  </w:style>
  <w:style w:type="paragraph" w:styleId="TOC1">
    <w:name w:val="toc 1"/>
    <w:basedOn w:val="Normal"/>
    <w:next w:val="Normal"/>
    <w:autoRedefine/>
    <w:uiPriority w:val="39"/>
    <w:unhideWhenUsed/>
    <w:rsid w:val="004C24CF"/>
    <w:pPr>
      <w:tabs>
        <w:tab w:val="left" w:pos="425"/>
      </w:tabs>
      <w:spacing w:after="100"/>
    </w:pPr>
  </w:style>
  <w:style w:type="paragraph" w:styleId="ListBullet">
    <w:name w:val="List Bullet"/>
    <w:basedOn w:val="Normal"/>
    <w:link w:val="ListBulletChar"/>
    <w:uiPriority w:val="99"/>
    <w:rsid w:val="00205AD6"/>
    <w:pPr>
      <w:contextualSpacing/>
    </w:pPr>
  </w:style>
  <w:style w:type="paragraph" w:styleId="ListNumber">
    <w:name w:val="List Number"/>
    <w:basedOn w:val="Normal"/>
    <w:uiPriority w:val="99"/>
    <w:rsid w:val="00A54CFC"/>
    <w:pPr>
      <w:numPr>
        <w:numId w:val="3"/>
      </w:numPr>
      <w:contextualSpacing/>
    </w:pPr>
  </w:style>
  <w:style w:type="paragraph" w:styleId="BodyText">
    <w:name w:val="Body Text"/>
    <w:basedOn w:val="Normal"/>
    <w:link w:val="BodyTextChar"/>
    <w:uiPriority w:val="1"/>
    <w:qFormat/>
    <w:rsid w:val="007E0634"/>
    <w:pPr>
      <w:widowControl w:val="0"/>
    </w:pPr>
    <w:rPr>
      <w:rFonts w:eastAsia="Arial" w:cs="Arial"/>
    </w:rPr>
  </w:style>
  <w:style w:type="character" w:customStyle="1" w:styleId="BodyTextChar">
    <w:name w:val="Body Text Char"/>
    <w:basedOn w:val="DefaultParagraphFont"/>
    <w:link w:val="BodyText"/>
    <w:uiPriority w:val="1"/>
    <w:rsid w:val="007E0634"/>
    <w:rPr>
      <w:rFonts w:ascii="Arial" w:eastAsia="Arial" w:hAnsi="Arial" w:cs="Arial"/>
    </w:rPr>
  </w:style>
  <w:style w:type="paragraph" w:customStyle="1" w:styleId="Figuretableheading">
    <w:name w:val="Figure table heading"/>
    <w:basedOn w:val="Normal"/>
    <w:link w:val="FiguretableheadingChar"/>
    <w:qFormat/>
    <w:rsid w:val="006A473A"/>
    <w:rPr>
      <w:rFonts w:cs="Arial"/>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qFormat/>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rsid w:val="0064198B"/>
    <w:rPr>
      <w:rFonts w:ascii="Arial" w:hAnsi="Arial"/>
    </w:rPr>
  </w:style>
  <w:style w:type="character" w:customStyle="1" w:styleId="BulletsChar">
    <w:name w:val="Bullets Char"/>
    <w:basedOn w:val="ListBulletChar"/>
    <w:link w:val="Bullets"/>
    <w:rsid w:val="0064198B"/>
    <w:rPr>
      <w:rFonts w:ascii="Arial" w:hAnsi="Arial" w:cs="Arial"/>
    </w:rPr>
  </w:style>
  <w:style w:type="paragraph" w:customStyle="1" w:styleId="Heading1HQSC">
    <w:name w:val="Heading 1 HQSC"/>
    <w:basedOn w:val="Heading1"/>
    <w:next w:val="BodytextHQSC"/>
    <w:qFormat/>
    <w:rsid w:val="00A313E6"/>
    <w:rPr>
      <w:rFonts w:cs="Arial"/>
      <w:color w:val="293868"/>
    </w:rPr>
  </w:style>
  <w:style w:type="paragraph" w:customStyle="1" w:styleId="BodytextHQSC">
    <w:name w:val="Body text HQSC"/>
    <w:basedOn w:val="Normal"/>
    <w:qFormat/>
    <w:rsid w:val="005C5699"/>
    <w:pPr>
      <w:spacing w:before="120" w:line="300" w:lineRule="atLeast"/>
    </w:pPr>
    <w:rPr>
      <w:rFonts w:cs="Arial"/>
    </w:rPr>
  </w:style>
  <w:style w:type="paragraph" w:customStyle="1" w:styleId="BulletsHQSC">
    <w:name w:val="Bullets HQSC"/>
    <w:basedOn w:val="Bullet"/>
    <w:qFormat/>
    <w:rsid w:val="00882706"/>
    <w:pPr>
      <w:tabs>
        <w:tab w:val="left" w:pos="397"/>
      </w:tabs>
    </w:pPr>
    <w:rPr>
      <w:rFonts w:ascii="Arial" w:hAnsi="Arial" w:cs="Arial"/>
    </w:rPr>
  </w:style>
  <w:style w:type="paragraph" w:customStyle="1" w:styleId="IndentedquoteHQSC">
    <w:name w:val="Indented quote HQSC"/>
    <w:basedOn w:val="Quote"/>
    <w:qFormat/>
    <w:rsid w:val="009B60E1"/>
    <w:rPr>
      <w:rFonts w:cs="Arial"/>
      <w:color w:val="auto"/>
    </w:rPr>
  </w:style>
  <w:style w:type="paragraph" w:customStyle="1" w:styleId="SourceHQSC">
    <w:name w:val="Source HQSC"/>
    <w:basedOn w:val="NormalIndent"/>
    <w:qFormat/>
    <w:rsid w:val="00792E41"/>
    <w:rPr>
      <w:rFonts w:cs="Arial"/>
    </w:rPr>
  </w:style>
  <w:style w:type="paragraph" w:customStyle="1" w:styleId="Heading2HQSC">
    <w:name w:val="Heading 2 HQSC"/>
    <w:basedOn w:val="Heading2"/>
    <w:next w:val="BodytextHQSC"/>
    <w:qFormat/>
    <w:rsid w:val="00280BED"/>
    <w:pPr>
      <w:keepLines w:val="0"/>
      <w:spacing w:after="0"/>
    </w:pPr>
    <w:rPr>
      <w:rFonts w:cs="Arial"/>
      <w:i w:val="0"/>
      <w:color w:val="293868"/>
    </w:rPr>
  </w:style>
  <w:style w:type="paragraph" w:customStyle="1" w:styleId="Heading3HQSC">
    <w:name w:val="Heading 3 HQSC"/>
    <w:basedOn w:val="Heading3"/>
    <w:next w:val="BodytextHQSC"/>
    <w:qFormat/>
    <w:rsid w:val="00AF681D"/>
    <w:pPr>
      <w:spacing w:after="120"/>
    </w:pPr>
    <w:rPr>
      <w:rFonts w:cs="Arial"/>
    </w:rPr>
  </w:style>
  <w:style w:type="paragraph" w:customStyle="1" w:styleId="FigurecaptionHQSC">
    <w:name w:val="Figure caption HQSC"/>
    <w:basedOn w:val="Figuretableheading"/>
    <w:next w:val="BodytextHQSC"/>
    <w:qFormat/>
    <w:rsid w:val="001B599E"/>
    <w:pPr>
      <w:keepNext/>
      <w:spacing w:before="120" w:line="300" w:lineRule="atLeast"/>
    </w:pPr>
  </w:style>
  <w:style w:type="paragraph" w:customStyle="1" w:styleId="TablecolumnheadingHQSC">
    <w:name w:val="Table column heading HQSC"/>
    <w:basedOn w:val="Normal"/>
    <w:qFormat/>
    <w:rsid w:val="00E54CD1"/>
    <w:pPr>
      <w:spacing w:before="60" w:after="60" w:line="240" w:lineRule="auto"/>
    </w:pPr>
    <w:rPr>
      <w:rFonts w:cs="Arial"/>
      <w:b/>
    </w:rPr>
  </w:style>
  <w:style w:type="paragraph" w:customStyle="1" w:styleId="TabletextHQSC">
    <w:name w:val="Table text HQSC"/>
    <w:basedOn w:val="Normal"/>
    <w:qFormat/>
    <w:rsid w:val="00E54CD1"/>
    <w:pPr>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customStyle="1" w:styleId="CovertitleHQSC">
    <w:name w:val="Cover title HQSC"/>
    <w:basedOn w:val="Normal"/>
    <w:link w:val="CovertitleHQSCChar"/>
    <w:uiPriority w:val="99"/>
    <w:qFormat/>
    <w:rsid w:val="00E01E56"/>
    <w:pPr>
      <w:ind w:right="1796"/>
    </w:pPr>
    <w:rPr>
      <w:rFonts w:cs="Arial"/>
      <w:b/>
      <w:color w:val="FFFFFF" w:themeColor="background1"/>
      <w:sz w:val="44"/>
      <w:szCs w:val="44"/>
    </w:rPr>
  </w:style>
  <w:style w:type="character" w:customStyle="1" w:styleId="CovertitleHQSCChar">
    <w:name w:val="Cover title HQSC Char"/>
    <w:basedOn w:val="DefaultParagraphFont"/>
    <w:link w:val="CovertitleHQSC"/>
    <w:uiPriority w:val="99"/>
    <w:rsid w:val="005A4781"/>
    <w:rPr>
      <w:rFonts w:ascii="Arial" w:hAnsi="Arial" w:cs="Arial"/>
      <w:b/>
      <w:color w:val="FFFFFF" w:themeColor="background1"/>
      <w:sz w:val="44"/>
      <w:szCs w:val="44"/>
    </w:rPr>
  </w:style>
  <w:style w:type="paragraph" w:customStyle="1" w:styleId="coverdateHQSC">
    <w:name w:val="cover date HQSC"/>
    <w:basedOn w:val="Normal"/>
    <w:link w:val="coverdateHQSCChar"/>
    <w:uiPriority w:val="99"/>
    <w:qFormat/>
    <w:rsid w:val="00E01E56"/>
    <w:rPr>
      <w:rFonts w:cs="Arial"/>
      <w:bCs/>
      <w:color w:val="FFFFFF" w:themeColor="background1"/>
      <w:sz w:val="28"/>
      <w:szCs w:val="28"/>
    </w:rPr>
  </w:style>
  <w:style w:type="character" w:customStyle="1" w:styleId="coverdateHQSCChar">
    <w:name w:val="cover date HQSC Char"/>
    <w:basedOn w:val="DefaultParagraphFont"/>
    <w:link w:val="coverdateHQSC"/>
    <w:uiPriority w:val="99"/>
    <w:rsid w:val="005A4781"/>
    <w:rPr>
      <w:rFonts w:ascii="Arial" w:hAnsi="Arial" w:cs="Arial"/>
      <w:bCs/>
      <w:color w:val="FFFFFF" w:themeColor="background1"/>
      <w:sz w:val="28"/>
      <w:szCs w:val="28"/>
    </w:rPr>
  </w:style>
  <w:style w:type="paragraph" w:styleId="NoSpacing">
    <w:name w:val="No Spacing"/>
    <w:uiPriority w:val="1"/>
    <w:semiHidden/>
    <w:rsid w:val="00BA4CAD"/>
    <w:pPr>
      <w:spacing w:after="0" w:line="240" w:lineRule="auto"/>
    </w:pPr>
    <w:rPr>
      <w:rFonts w:ascii="Arial" w:hAnsi="Arial"/>
    </w:rPr>
  </w:style>
  <w:style w:type="numbering" w:customStyle="1" w:styleId="Style1">
    <w:name w:val="Style1"/>
    <w:uiPriority w:val="99"/>
    <w:rsid w:val="00245B70"/>
    <w:pPr>
      <w:numPr>
        <w:numId w:val="4"/>
      </w:numPr>
    </w:pPr>
  </w:style>
  <w:style w:type="paragraph" w:customStyle="1" w:styleId="Bullet">
    <w:name w:val="Bullet"/>
    <w:basedOn w:val="Normal"/>
    <w:link w:val="BulletChar"/>
    <w:semiHidden/>
    <w:qFormat/>
    <w:rsid w:val="002078C0"/>
    <w:pPr>
      <w:numPr>
        <w:numId w:val="5"/>
      </w:numPr>
      <w:spacing w:line="280" w:lineRule="atLeast"/>
    </w:pPr>
    <w:rPr>
      <w:rFonts w:ascii="Calibri" w:eastAsia="Times New Roman" w:hAnsi="Calibri" w:cs="Times New Roman"/>
      <w:szCs w:val="20"/>
      <w:lang w:eastAsia="en-NZ"/>
    </w:rPr>
  </w:style>
  <w:style w:type="character" w:customStyle="1" w:styleId="BulletChar">
    <w:name w:val="Bullet Char"/>
    <w:basedOn w:val="DefaultParagraphFont"/>
    <w:link w:val="Bullet"/>
    <w:semiHidden/>
    <w:locked/>
    <w:rsid w:val="00882706"/>
    <w:rPr>
      <w:rFonts w:ascii="Calibri" w:eastAsia="Times New Roman" w:hAnsi="Calibri" w:cs="Times New Roman"/>
      <w:szCs w:val="20"/>
      <w:lang w:eastAsia="en-NZ"/>
    </w:rPr>
  </w:style>
  <w:style w:type="paragraph" w:customStyle="1" w:styleId="Sub-bulletHQSC">
    <w:name w:val="Sub-bullet HQSC"/>
    <w:basedOn w:val="Normal"/>
    <w:qFormat/>
    <w:rsid w:val="00D931A7"/>
    <w:pPr>
      <w:numPr>
        <w:numId w:val="6"/>
      </w:numPr>
      <w:tabs>
        <w:tab w:val="left" w:pos="794"/>
      </w:tabs>
      <w:spacing w:line="280" w:lineRule="atLeast"/>
    </w:pPr>
    <w:rPr>
      <w:rFonts w:eastAsiaTheme="minorEastAsia"/>
      <w:lang w:eastAsia="en-NZ"/>
    </w:rPr>
  </w:style>
  <w:style w:type="character" w:styleId="FootnoteReference">
    <w:name w:val="footnote reference"/>
    <w:rsid w:val="00882706"/>
    <w:rPr>
      <w:rFonts w:ascii="Calibri" w:hAnsi="Calibri"/>
      <w:color w:val="auto"/>
      <w:sz w:val="22"/>
      <w:vertAlign w:val="superscript"/>
    </w:rPr>
  </w:style>
  <w:style w:type="paragraph" w:styleId="FootnoteText">
    <w:name w:val="footnote text"/>
    <w:basedOn w:val="Normal"/>
    <w:link w:val="FootnoteTextChar"/>
    <w:rsid w:val="00882706"/>
    <w:pPr>
      <w:spacing w:after="60" w:line="240" w:lineRule="atLeast"/>
      <w:ind w:left="284" w:hanging="284"/>
    </w:pPr>
    <w:rPr>
      <w:rFonts w:ascii="Calibri" w:eastAsiaTheme="minorEastAsia" w:hAnsi="Calibri"/>
      <w:sz w:val="19"/>
      <w:lang w:eastAsia="en-NZ"/>
    </w:rPr>
  </w:style>
  <w:style w:type="character" w:customStyle="1" w:styleId="FootnoteTextChar">
    <w:name w:val="Footnote Text Char"/>
    <w:basedOn w:val="DefaultParagraphFont"/>
    <w:link w:val="FootnoteText"/>
    <w:rsid w:val="00882706"/>
    <w:rPr>
      <w:rFonts w:ascii="Calibri" w:eastAsiaTheme="minorEastAsia" w:hAnsi="Calibri"/>
      <w:sz w:val="19"/>
      <w:lang w:eastAsia="en-NZ"/>
    </w:rPr>
  </w:style>
  <w:style w:type="paragraph" w:customStyle="1" w:styleId="TablecaptionHQSC">
    <w:name w:val="Table caption HQSC"/>
    <w:basedOn w:val="FigurecaptionHQSC"/>
    <w:qFormat/>
    <w:rsid w:val="001B599E"/>
  </w:style>
  <w:style w:type="paragraph" w:customStyle="1" w:styleId="TeThHauorahead1">
    <w:name w:val="Te Tāhū Hauora head 1"/>
    <w:basedOn w:val="Heading1"/>
    <w:qFormat/>
    <w:rsid w:val="00621836"/>
    <w:rPr>
      <w:rFonts w:cs="Arial"/>
      <w:color w:val="293868"/>
    </w:rPr>
  </w:style>
  <w:style w:type="paragraph" w:customStyle="1" w:styleId="TeThHauorabodytext">
    <w:name w:val="Te Tāhū Hauora body text"/>
    <w:basedOn w:val="Normal"/>
    <w:qFormat/>
    <w:rsid w:val="00621836"/>
    <w:rPr>
      <w:rFonts w:cs="Arial"/>
    </w:rPr>
  </w:style>
  <w:style w:type="paragraph" w:customStyle="1" w:styleId="TeThHauorabullets">
    <w:name w:val="Te Tāhū Hauora bullets"/>
    <w:basedOn w:val="Bullets"/>
    <w:qFormat/>
    <w:rsid w:val="00621836"/>
    <w:pPr>
      <w:numPr>
        <w:numId w:val="1"/>
      </w:numPr>
      <w:ind w:left="357" w:hanging="357"/>
    </w:pPr>
  </w:style>
  <w:style w:type="paragraph" w:customStyle="1" w:styleId="TeThHauoraindentedquote">
    <w:name w:val="Te Tāhū Hauora indented quote"/>
    <w:basedOn w:val="Quote"/>
    <w:qFormat/>
    <w:rsid w:val="00621836"/>
    <w:rPr>
      <w:rFonts w:cs="Arial"/>
      <w:color w:val="auto"/>
    </w:rPr>
  </w:style>
  <w:style w:type="paragraph" w:customStyle="1" w:styleId="TeThHauorasource">
    <w:name w:val="Te Tāhū Hauora source"/>
    <w:basedOn w:val="NormalIndent"/>
    <w:qFormat/>
    <w:rsid w:val="00621836"/>
    <w:rPr>
      <w:rFonts w:cs="Arial"/>
    </w:rPr>
  </w:style>
  <w:style w:type="paragraph" w:customStyle="1" w:styleId="TeThHauorahead2">
    <w:name w:val="Te Tāhū Hauora head 2"/>
    <w:basedOn w:val="Heading2"/>
    <w:qFormat/>
    <w:rsid w:val="00621836"/>
    <w:rPr>
      <w:rFonts w:cs="Arial"/>
      <w:color w:val="293868"/>
    </w:rPr>
  </w:style>
  <w:style w:type="paragraph" w:customStyle="1" w:styleId="TeThHauorahead3">
    <w:name w:val="Te Tāhū Hauora head 3"/>
    <w:basedOn w:val="Heading3"/>
    <w:qFormat/>
    <w:rsid w:val="00621836"/>
    <w:rPr>
      <w:rFonts w:cs="Arial"/>
    </w:rPr>
  </w:style>
  <w:style w:type="paragraph" w:customStyle="1" w:styleId="TeThHauoratablefigurecaption">
    <w:name w:val="Te Tāhū Hauora table/figure caption"/>
    <w:basedOn w:val="Figuretableheading"/>
    <w:qFormat/>
    <w:rsid w:val="00621836"/>
  </w:style>
  <w:style w:type="paragraph" w:customStyle="1" w:styleId="TeThHauoratablecolumnhead">
    <w:name w:val="Te Tāhū Hauora table column head"/>
    <w:basedOn w:val="Normal"/>
    <w:qFormat/>
    <w:rsid w:val="00621836"/>
    <w:pPr>
      <w:framePr w:hSpace="180" w:wrap="around" w:vAnchor="text" w:hAnchor="margin" w:y="2"/>
      <w:spacing w:before="60" w:after="60" w:line="240" w:lineRule="auto"/>
    </w:pPr>
    <w:rPr>
      <w:rFonts w:cs="Arial"/>
      <w:b/>
    </w:rPr>
  </w:style>
  <w:style w:type="paragraph" w:customStyle="1" w:styleId="TeThHauoratablecontent">
    <w:name w:val="Te Tāhū Hauora table content"/>
    <w:basedOn w:val="Normal"/>
    <w:qFormat/>
    <w:rsid w:val="00621836"/>
    <w:pPr>
      <w:framePr w:hSpace="180" w:wrap="around" w:vAnchor="text" w:hAnchor="margin" w:y="2"/>
      <w:spacing w:before="60" w:after="60" w:line="240" w:lineRule="auto"/>
    </w:pPr>
    <w:rPr>
      <w:rFonts w:cs="Arial"/>
    </w:rPr>
  </w:style>
  <w:style w:type="character" w:styleId="PageNumber">
    <w:name w:val="page number"/>
    <w:basedOn w:val="DefaultParagraphFont"/>
    <w:rsid w:val="00621836"/>
  </w:style>
  <w:style w:type="character" w:customStyle="1" w:styleId="ListParagraphChar">
    <w:name w:val="List Paragraph Char"/>
    <w:aliases w:val="Bullet Normal Char"/>
    <w:link w:val="ListParagraph"/>
    <w:uiPriority w:val="34"/>
    <w:locked/>
    <w:rsid w:val="00621836"/>
    <w:rPr>
      <w:rFonts w:ascii="Arial" w:hAnsi="Arial"/>
    </w:rPr>
  </w:style>
  <w:style w:type="character" w:customStyle="1" w:styleId="normaltextrun">
    <w:name w:val="normaltextrun"/>
    <w:basedOn w:val="DefaultParagraphFont"/>
    <w:rsid w:val="00621836"/>
  </w:style>
  <w:style w:type="character" w:styleId="Mention">
    <w:name w:val="Mention"/>
    <w:basedOn w:val="DefaultParagraphFont"/>
    <w:uiPriority w:val="99"/>
    <w:unhideWhenUsed/>
    <w:rsid w:val="006218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pac.org.nz/Report/2016/February/oxycodone.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qsc.govt.nz/our-data/atlas-of-healthcare-variation/opioid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Te Tāhū Hauora">
      <a:dk1>
        <a:sysClr val="windowText" lastClr="000000"/>
      </a:dk1>
      <a:lt1>
        <a:sysClr val="window" lastClr="FFFFFF"/>
      </a:lt1>
      <a:dk2>
        <a:srgbClr val="44546A"/>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8F2D7-38AB-4438-A18B-316E7526A976}">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5443</Words>
  <Characters>26458</Characters>
  <Application>Microsoft Office Word</Application>
  <DocSecurity>0</DocSecurity>
  <Lines>1102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2025-11-05T23:55:00Z</dcterms:created>
  <dcterms:modified xsi:type="dcterms:W3CDTF">2025-11-06T00:58:00Z</dcterms:modified>
</cp:coreProperties>
</file>