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E626" w14:textId="77777777" w:rsidR="00D12FC1" w:rsidRPr="00A313E6" w:rsidRDefault="00667365" w:rsidP="00A313E6">
      <w:pPr>
        <w:jc w:val="center"/>
        <w:rPr>
          <w:rFonts w:cs="Arial"/>
        </w:rPr>
      </w:pPr>
      <w:r>
        <w:rPr>
          <w:noProof/>
        </w:rPr>
        <w:drawing>
          <wp:anchor distT="0" distB="0" distL="114300" distR="114300" simplePos="0" relativeHeight="251658240" behindDoc="1" locked="0" layoutInCell="1" allowOverlap="1" wp14:anchorId="00F2D512" wp14:editId="393699CA">
            <wp:simplePos x="0" y="0"/>
            <wp:positionH relativeFrom="page">
              <wp:posOffset>20681</wp:posOffset>
            </wp:positionH>
            <wp:positionV relativeFrom="paragraph">
              <wp:posOffset>-900430</wp:posOffset>
            </wp:positionV>
            <wp:extent cx="7537998" cy="10662621"/>
            <wp:effectExtent l="0" t="0" r="6350" b="5715"/>
            <wp:wrapNone/>
            <wp:docPr id="1" name="Picture 1" descr="Report cover with a dark blue background and the Health Quality &amp; Safety Commission Te Tāhū Hauora logo at the top right. An orange and purple pattern made up of a section of the logo sits along the bottom. The logo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port cover with a dark blue background and the Health Quality &amp; Safety Commission Te Tāhū Hauora logo at the top right. An orange and purple pattern made up of a section of the logo sits along the bottom. The logo is a stylised version of a wharenui in a triangle shape, with the tāhū (ridgepole), heke (rafters) and niho taniwha (triangle pattern beneath)."/>
                    <pic:cNvPicPr/>
                  </pic:nvPicPr>
                  <pic:blipFill>
                    <a:blip r:embed="rId7"/>
                    <a:stretch>
                      <a:fillRect/>
                    </a:stretch>
                  </pic:blipFill>
                  <pic:spPr>
                    <a:xfrm>
                      <a:off x="0" y="0"/>
                      <a:ext cx="7537998" cy="10662621"/>
                    </a:xfrm>
                    <a:prstGeom prst="rect">
                      <a:avLst/>
                    </a:prstGeom>
                  </pic:spPr>
                </pic:pic>
              </a:graphicData>
            </a:graphic>
            <wp14:sizeRelH relativeFrom="page">
              <wp14:pctWidth>0</wp14:pctWidth>
            </wp14:sizeRelH>
            <wp14:sizeRelV relativeFrom="page">
              <wp14:pctHeight>0</wp14:pctHeight>
            </wp14:sizeRelV>
          </wp:anchor>
        </w:drawing>
      </w:r>
    </w:p>
    <w:p w14:paraId="2AB8F1C9" w14:textId="77777777" w:rsidR="00433D6F" w:rsidRDefault="00433D6F" w:rsidP="00D12FC1">
      <w:pPr>
        <w:jc w:val="center"/>
        <w:rPr>
          <w:rFonts w:cs="Arial"/>
          <w:b/>
          <w:sz w:val="36"/>
          <w:szCs w:val="36"/>
        </w:rPr>
      </w:pPr>
    </w:p>
    <w:p w14:paraId="1420656B" w14:textId="77777777" w:rsidR="00E01E56" w:rsidRDefault="00E01E56" w:rsidP="00D12FC1">
      <w:pPr>
        <w:jc w:val="center"/>
        <w:rPr>
          <w:rFonts w:cs="Arial"/>
          <w:b/>
          <w:sz w:val="36"/>
          <w:szCs w:val="36"/>
        </w:rPr>
      </w:pPr>
    </w:p>
    <w:p w14:paraId="39DF7298" w14:textId="77777777" w:rsidR="00A313E6" w:rsidRDefault="00A313E6" w:rsidP="00D12FC1">
      <w:pPr>
        <w:jc w:val="center"/>
        <w:rPr>
          <w:rFonts w:cs="Arial"/>
          <w:b/>
          <w:sz w:val="36"/>
          <w:szCs w:val="36"/>
        </w:rPr>
      </w:pPr>
    </w:p>
    <w:p w14:paraId="4C3BF7F3" w14:textId="77777777" w:rsidR="00A313E6" w:rsidRDefault="00A313E6" w:rsidP="002D1E1F">
      <w:pPr>
        <w:pStyle w:val="Heading1HQSC"/>
      </w:pPr>
    </w:p>
    <w:p w14:paraId="33A4111A" w14:textId="77777777" w:rsidR="00A313E6" w:rsidRDefault="00A313E6" w:rsidP="00D12FC1">
      <w:pPr>
        <w:jc w:val="center"/>
        <w:rPr>
          <w:rFonts w:cs="Arial"/>
          <w:b/>
          <w:sz w:val="36"/>
          <w:szCs w:val="36"/>
        </w:rPr>
      </w:pPr>
    </w:p>
    <w:p w14:paraId="3830D488" w14:textId="77777777" w:rsidR="00A313E6" w:rsidRDefault="00A313E6" w:rsidP="00D12FC1">
      <w:pPr>
        <w:jc w:val="center"/>
        <w:rPr>
          <w:rFonts w:cs="Arial"/>
          <w:b/>
          <w:sz w:val="36"/>
          <w:szCs w:val="36"/>
        </w:rPr>
      </w:pPr>
    </w:p>
    <w:p w14:paraId="44564730" w14:textId="77777777" w:rsidR="00A313E6" w:rsidRDefault="00A313E6" w:rsidP="00D12FC1">
      <w:pPr>
        <w:jc w:val="center"/>
        <w:rPr>
          <w:rFonts w:cs="Arial"/>
          <w:b/>
          <w:sz w:val="36"/>
          <w:szCs w:val="36"/>
        </w:rPr>
      </w:pPr>
    </w:p>
    <w:p w14:paraId="0F06A11A" w14:textId="77777777" w:rsidR="00650F88" w:rsidRPr="00FD6AEC" w:rsidRDefault="00650F88" w:rsidP="00650F88">
      <w:pPr>
        <w:jc w:val="center"/>
        <w:rPr>
          <w:rFonts w:cs="Arial"/>
          <w:b/>
          <w:color w:val="FFFFFF" w:themeColor="background1"/>
          <w:sz w:val="36"/>
          <w:szCs w:val="36"/>
        </w:rPr>
      </w:pPr>
      <w:r w:rsidRPr="00FD6AEC">
        <w:rPr>
          <w:rFonts w:cs="Arial"/>
          <w:b/>
          <w:color w:val="FFFFFF" w:themeColor="background1"/>
          <w:sz w:val="36"/>
          <w:szCs w:val="36"/>
        </w:rPr>
        <w:t>Atlas of Healthcare Variation:</w:t>
      </w:r>
    </w:p>
    <w:p w14:paraId="0C5F1879" w14:textId="77777777" w:rsidR="00650F88" w:rsidRPr="00FD6AEC" w:rsidRDefault="00650F88" w:rsidP="00650F88">
      <w:pPr>
        <w:jc w:val="center"/>
        <w:rPr>
          <w:rFonts w:cs="Arial"/>
          <w:b/>
          <w:color w:val="FFFFFF" w:themeColor="background1"/>
          <w:sz w:val="36"/>
          <w:szCs w:val="36"/>
        </w:rPr>
      </w:pPr>
      <w:r w:rsidRPr="00824A02">
        <w:rPr>
          <w:rFonts w:cs="Arial"/>
          <w:b/>
          <w:color w:val="FFFFFF" w:themeColor="background1"/>
          <w:sz w:val="36"/>
          <w:szCs w:val="36"/>
        </w:rPr>
        <w:t>Methodology | Polypharmacy in older people</w:t>
      </w:r>
    </w:p>
    <w:p w14:paraId="4C29773F" w14:textId="655DEE30" w:rsidR="002E1666" w:rsidRPr="002D1E1F" w:rsidRDefault="009A1DE1" w:rsidP="00650F88">
      <w:pPr>
        <w:jc w:val="center"/>
        <w:rPr>
          <w:rFonts w:cs="Arial"/>
          <w:color w:val="FFFFFF" w:themeColor="background1"/>
          <w:sz w:val="56"/>
          <w:szCs w:val="56"/>
        </w:rPr>
      </w:pPr>
      <w:r>
        <w:rPr>
          <w:rFonts w:cs="Arial"/>
          <w:b/>
          <w:color w:val="FFFFFF" w:themeColor="background1"/>
          <w:sz w:val="28"/>
          <w:szCs w:val="28"/>
        </w:rPr>
        <w:t>Decembe</w:t>
      </w:r>
      <w:r w:rsidR="00650F88">
        <w:rPr>
          <w:rFonts w:cs="Arial"/>
          <w:b/>
          <w:color w:val="FFFFFF" w:themeColor="background1"/>
          <w:sz w:val="28"/>
          <w:szCs w:val="28"/>
        </w:rPr>
        <w:t xml:space="preserve">r </w:t>
      </w:r>
      <w:r w:rsidR="00650F88" w:rsidRPr="00FD6AEC">
        <w:rPr>
          <w:rFonts w:cs="Arial"/>
          <w:b/>
          <w:color w:val="FFFFFF" w:themeColor="background1"/>
          <w:sz w:val="28"/>
          <w:szCs w:val="28"/>
        </w:rPr>
        <w:t>202</w:t>
      </w:r>
      <w:r w:rsidR="00650F88">
        <w:rPr>
          <w:rFonts w:cs="Arial"/>
          <w:b/>
          <w:color w:val="FFFFFF" w:themeColor="background1"/>
          <w:sz w:val="28"/>
          <w:szCs w:val="28"/>
        </w:rPr>
        <w:t>5</w:t>
      </w:r>
      <w:r w:rsidR="002E1666" w:rsidRPr="002D1E1F">
        <w:rPr>
          <w:rFonts w:cs="Arial"/>
          <w:color w:val="FFFFFF" w:themeColor="background1"/>
          <w:sz w:val="56"/>
          <w:szCs w:val="56"/>
        </w:rPr>
        <w:br w:type="page"/>
      </w:r>
    </w:p>
    <w:bookmarkStart w:id="0" w:name="_Toc215603187" w:displacedByCustomXml="next"/>
    <w:bookmarkStart w:id="1" w:name="_Toc215555059" w:displacedByCustomXml="next"/>
    <w:sdt>
      <w:sdtPr>
        <w:rPr>
          <w:rFonts w:eastAsiaTheme="minorHAnsi" w:cstheme="minorBidi"/>
          <w:b w:val="0"/>
          <w:sz w:val="22"/>
          <w:szCs w:val="22"/>
          <w:lang w:eastAsia="en-US"/>
        </w:rPr>
        <w:id w:val="790480132"/>
        <w:docPartObj>
          <w:docPartGallery w:val="Table of Contents"/>
          <w:docPartUnique/>
        </w:docPartObj>
      </w:sdtPr>
      <w:sdtEndPr>
        <w:rPr>
          <w:bCs/>
          <w:noProof/>
        </w:rPr>
      </w:sdtEndPr>
      <w:sdtContent>
        <w:p w14:paraId="3265A85E" w14:textId="29B075FC" w:rsidR="001504A0" w:rsidRDefault="00DB3F3A" w:rsidP="00677816">
          <w:pPr>
            <w:pStyle w:val="TeThHauorahead3"/>
            <w:rPr>
              <w:rFonts w:asciiTheme="minorHAnsi" w:eastAsiaTheme="minorEastAsia" w:hAnsiTheme="minorHAnsi"/>
              <w:noProof/>
              <w:kern w:val="2"/>
              <w:lang w:eastAsia="en-NZ"/>
              <w14:ligatures w14:val="standardContextual"/>
            </w:rPr>
          </w:pPr>
          <w:r>
            <w:t>Contents</w:t>
          </w:r>
          <w:bookmarkEnd w:id="1"/>
          <w:bookmarkEnd w:id="0"/>
          <w:r>
            <w:rPr>
              <w:rFonts w:cstheme="majorBidi"/>
              <w:color w:val="293868"/>
              <w:sz w:val="36"/>
              <w:szCs w:val="32"/>
            </w:rPr>
            <w:fldChar w:fldCharType="begin"/>
          </w:r>
          <w:r>
            <w:instrText xml:space="preserve"> TOC \o "1-3" \h \z \u </w:instrText>
          </w:r>
          <w:r>
            <w:rPr>
              <w:rFonts w:cstheme="majorBidi"/>
              <w:color w:val="293868"/>
              <w:sz w:val="36"/>
              <w:szCs w:val="32"/>
            </w:rPr>
            <w:fldChar w:fldCharType="separate"/>
          </w:r>
        </w:p>
        <w:p w14:paraId="00F8F718" w14:textId="71808AC6" w:rsidR="001504A0" w:rsidRDefault="001504A0" w:rsidP="00677816">
          <w:pPr>
            <w:pStyle w:val="TOC3"/>
            <w:ind w:left="0"/>
            <w:rPr>
              <w:rFonts w:asciiTheme="minorHAnsi" w:eastAsiaTheme="minorEastAsia" w:hAnsiTheme="minorHAnsi"/>
              <w:noProof/>
              <w:kern w:val="2"/>
              <w:sz w:val="24"/>
              <w:szCs w:val="24"/>
              <w:lang w:eastAsia="en-NZ"/>
              <w14:ligatures w14:val="standardContextual"/>
            </w:rPr>
          </w:pPr>
          <w:hyperlink w:anchor="_Toc215603188" w:history="1">
            <w:r w:rsidRPr="004D538F">
              <w:rPr>
                <w:rStyle w:val="Hyperlink"/>
                <w:noProof/>
              </w:rPr>
              <w:t>General points</w:t>
            </w:r>
            <w:r>
              <w:rPr>
                <w:noProof/>
                <w:webHidden/>
              </w:rPr>
              <w:tab/>
            </w:r>
            <w:r>
              <w:rPr>
                <w:noProof/>
                <w:webHidden/>
              </w:rPr>
              <w:fldChar w:fldCharType="begin"/>
            </w:r>
            <w:r>
              <w:rPr>
                <w:noProof/>
                <w:webHidden/>
              </w:rPr>
              <w:instrText xml:space="preserve"> PAGEREF _Toc215603188 \h </w:instrText>
            </w:r>
            <w:r>
              <w:rPr>
                <w:noProof/>
                <w:webHidden/>
              </w:rPr>
            </w:r>
            <w:r>
              <w:rPr>
                <w:noProof/>
                <w:webHidden/>
              </w:rPr>
              <w:fldChar w:fldCharType="separate"/>
            </w:r>
            <w:r w:rsidR="005572DF">
              <w:rPr>
                <w:noProof/>
                <w:webHidden/>
              </w:rPr>
              <w:t>3</w:t>
            </w:r>
            <w:r>
              <w:rPr>
                <w:noProof/>
                <w:webHidden/>
              </w:rPr>
              <w:fldChar w:fldCharType="end"/>
            </w:r>
          </w:hyperlink>
        </w:p>
        <w:p w14:paraId="6A2BF822" w14:textId="73653E2D" w:rsidR="001504A0" w:rsidRDefault="001504A0" w:rsidP="00677816">
          <w:pPr>
            <w:pStyle w:val="TOC3"/>
            <w:ind w:left="0"/>
            <w:rPr>
              <w:rFonts w:asciiTheme="minorHAnsi" w:eastAsiaTheme="minorEastAsia" w:hAnsiTheme="minorHAnsi"/>
              <w:noProof/>
              <w:kern w:val="2"/>
              <w:sz w:val="24"/>
              <w:szCs w:val="24"/>
              <w:lang w:eastAsia="en-NZ"/>
              <w14:ligatures w14:val="standardContextual"/>
            </w:rPr>
          </w:pPr>
          <w:hyperlink w:anchor="_Toc215603189" w:history="1">
            <w:r w:rsidRPr="004D538F">
              <w:rPr>
                <w:rStyle w:val="Hyperlink"/>
                <w:noProof/>
              </w:rPr>
              <w:t>Acknowledgements</w:t>
            </w:r>
            <w:r>
              <w:rPr>
                <w:noProof/>
                <w:webHidden/>
              </w:rPr>
              <w:tab/>
            </w:r>
            <w:r>
              <w:rPr>
                <w:noProof/>
                <w:webHidden/>
              </w:rPr>
              <w:fldChar w:fldCharType="begin"/>
            </w:r>
            <w:r>
              <w:rPr>
                <w:noProof/>
                <w:webHidden/>
              </w:rPr>
              <w:instrText xml:space="preserve"> PAGEREF _Toc215603189 \h </w:instrText>
            </w:r>
            <w:r>
              <w:rPr>
                <w:noProof/>
                <w:webHidden/>
              </w:rPr>
            </w:r>
            <w:r>
              <w:rPr>
                <w:noProof/>
                <w:webHidden/>
              </w:rPr>
              <w:fldChar w:fldCharType="separate"/>
            </w:r>
            <w:r w:rsidR="005572DF">
              <w:rPr>
                <w:noProof/>
                <w:webHidden/>
              </w:rPr>
              <w:t>4</w:t>
            </w:r>
            <w:r>
              <w:rPr>
                <w:noProof/>
                <w:webHidden/>
              </w:rPr>
              <w:fldChar w:fldCharType="end"/>
            </w:r>
          </w:hyperlink>
        </w:p>
        <w:p w14:paraId="33DB14D5" w14:textId="788C8093" w:rsidR="001504A0" w:rsidRDefault="001504A0" w:rsidP="00677816">
          <w:pPr>
            <w:pStyle w:val="TOC3"/>
            <w:ind w:left="0"/>
            <w:rPr>
              <w:rFonts w:asciiTheme="minorHAnsi" w:eastAsiaTheme="minorEastAsia" w:hAnsiTheme="minorHAnsi"/>
              <w:noProof/>
              <w:kern w:val="2"/>
              <w:sz w:val="24"/>
              <w:szCs w:val="24"/>
              <w:lang w:eastAsia="en-NZ"/>
              <w14:ligatures w14:val="standardContextual"/>
            </w:rPr>
          </w:pPr>
          <w:hyperlink w:anchor="_Toc215603190" w:history="1">
            <w:r w:rsidRPr="004D538F">
              <w:rPr>
                <w:rStyle w:val="Hyperlink"/>
                <w:noProof/>
              </w:rPr>
              <w:t>Exclusions</w:t>
            </w:r>
            <w:r>
              <w:rPr>
                <w:noProof/>
                <w:webHidden/>
              </w:rPr>
              <w:tab/>
            </w:r>
            <w:r>
              <w:rPr>
                <w:noProof/>
                <w:webHidden/>
              </w:rPr>
              <w:fldChar w:fldCharType="begin"/>
            </w:r>
            <w:r>
              <w:rPr>
                <w:noProof/>
                <w:webHidden/>
              </w:rPr>
              <w:instrText xml:space="preserve"> PAGEREF _Toc215603190 \h </w:instrText>
            </w:r>
            <w:r>
              <w:rPr>
                <w:noProof/>
                <w:webHidden/>
              </w:rPr>
            </w:r>
            <w:r>
              <w:rPr>
                <w:noProof/>
                <w:webHidden/>
              </w:rPr>
              <w:fldChar w:fldCharType="separate"/>
            </w:r>
            <w:r w:rsidR="005572DF">
              <w:rPr>
                <w:noProof/>
                <w:webHidden/>
              </w:rPr>
              <w:t>4</w:t>
            </w:r>
            <w:r>
              <w:rPr>
                <w:noProof/>
                <w:webHidden/>
              </w:rPr>
              <w:fldChar w:fldCharType="end"/>
            </w:r>
          </w:hyperlink>
        </w:p>
        <w:p w14:paraId="76BB0492" w14:textId="077F1C1A" w:rsidR="001504A0" w:rsidRDefault="001504A0" w:rsidP="009C357F">
          <w:pPr>
            <w:pStyle w:val="TOC3"/>
            <w:numPr>
              <w:ilvl w:val="0"/>
              <w:numId w:val="48"/>
            </w:numPr>
            <w:tabs>
              <w:tab w:val="left" w:pos="1440"/>
            </w:tabs>
            <w:rPr>
              <w:rFonts w:asciiTheme="minorHAnsi" w:eastAsiaTheme="minorEastAsia" w:hAnsiTheme="minorHAnsi"/>
              <w:noProof/>
              <w:kern w:val="2"/>
              <w:sz w:val="24"/>
              <w:szCs w:val="24"/>
              <w:lang w:eastAsia="en-NZ"/>
              <w14:ligatures w14:val="standardContextual"/>
            </w:rPr>
          </w:pPr>
          <w:hyperlink w:anchor="_Toc215603191" w:history="1">
            <w:r w:rsidRPr="004D538F">
              <w:rPr>
                <w:rStyle w:val="Hyperlink"/>
                <w:noProof/>
              </w:rPr>
              <w:t>People aged 65 years and over dispensed five or more unique long-term medicines</w:t>
            </w:r>
            <w:r w:rsidR="00677816">
              <w:rPr>
                <w:rStyle w:val="Hyperlink"/>
                <w:noProof/>
              </w:rPr>
              <w:t>…………………..</w:t>
            </w:r>
            <w:r>
              <w:rPr>
                <w:noProof/>
                <w:webHidden/>
              </w:rPr>
              <w:tab/>
            </w:r>
            <w:r>
              <w:rPr>
                <w:noProof/>
                <w:webHidden/>
              </w:rPr>
              <w:fldChar w:fldCharType="begin"/>
            </w:r>
            <w:r>
              <w:rPr>
                <w:noProof/>
                <w:webHidden/>
              </w:rPr>
              <w:instrText xml:space="preserve"> PAGEREF _Toc215603191 \h </w:instrText>
            </w:r>
            <w:r>
              <w:rPr>
                <w:noProof/>
                <w:webHidden/>
              </w:rPr>
            </w:r>
            <w:r>
              <w:rPr>
                <w:noProof/>
                <w:webHidden/>
              </w:rPr>
              <w:fldChar w:fldCharType="separate"/>
            </w:r>
            <w:r w:rsidR="005572DF">
              <w:rPr>
                <w:noProof/>
                <w:webHidden/>
              </w:rPr>
              <w:t>6</w:t>
            </w:r>
            <w:r>
              <w:rPr>
                <w:noProof/>
                <w:webHidden/>
              </w:rPr>
              <w:fldChar w:fldCharType="end"/>
            </w:r>
          </w:hyperlink>
        </w:p>
        <w:p w14:paraId="7FAB4308" w14:textId="04350F70" w:rsidR="001504A0" w:rsidRDefault="001504A0" w:rsidP="009C357F">
          <w:pPr>
            <w:pStyle w:val="TOC3"/>
            <w:numPr>
              <w:ilvl w:val="0"/>
              <w:numId w:val="48"/>
            </w:numPr>
            <w:tabs>
              <w:tab w:val="left" w:pos="1440"/>
            </w:tabs>
            <w:rPr>
              <w:rFonts w:asciiTheme="minorHAnsi" w:eastAsiaTheme="minorEastAsia" w:hAnsiTheme="minorHAnsi"/>
              <w:noProof/>
              <w:kern w:val="2"/>
              <w:sz w:val="24"/>
              <w:szCs w:val="24"/>
              <w:lang w:eastAsia="en-NZ"/>
              <w14:ligatures w14:val="standardContextual"/>
            </w:rPr>
          </w:pPr>
          <w:hyperlink w:anchor="_Toc215603192" w:history="1">
            <w:r w:rsidRPr="004D538F">
              <w:rPr>
                <w:rStyle w:val="Hyperlink"/>
                <w:noProof/>
              </w:rPr>
              <w:t>People aged 65 years and over dispensed five, six or seven unique long-term medicines</w:t>
            </w:r>
            <w:r w:rsidR="00677816">
              <w:rPr>
                <w:rStyle w:val="Hyperlink"/>
                <w:noProof/>
              </w:rPr>
              <w:t>……………….</w:t>
            </w:r>
            <w:r>
              <w:rPr>
                <w:noProof/>
                <w:webHidden/>
              </w:rPr>
              <w:tab/>
            </w:r>
            <w:r>
              <w:rPr>
                <w:noProof/>
                <w:webHidden/>
              </w:rPr>
              <w:fldChar w:fldCharType="begin"/>
            </w:r>
            <w:r>
              <w:rPr>
                <w:noProof/>
                <w:webHidden/>
              </w:rPr>
              <w:instrText xml:space="preserve"> PAGEREF _Toc215603192 \h </w:instrText>
            </w:r>
            <w:r>
              <w:rPr>
                <w:noProof/>
                <w:webHidden/>
              </w:rPr>
            </w:r>
            <w:r>
              <w:rPr>
                <w:noProof/>
                <w:webHidden/>
              </w:rPr>
              <w:fldChar w:fldCharType="separate"/>
            </w:r>
            <w:r w:rsidR="005572DF">
              <w:rPr>
                <w:noProof/>
                <w:webHidden/>
              </w:rPr>
              <w:t>7</w:t>
            </w:r>
            <w:r>
              <w:rPr>
                <w:noProof/>
                <w:webHidden/>
              </w:rPr>
              <w:fldChar w:fldCharType="end"/>
            </w:r>
          </w:hyperlink>
        </w:p>
        <w:p w14:paraId="68377C9F" w14:textId="7FCD5159" w:rsidR="001504A0" w:rsidRDefault="001504A0" w:rsidP="009C357F">
          <w:pPr>
            <w:pStyle w:val="TOC3"/>
            <w:numPr>
              <w:ilvl w:val="0"/>
              <w:numId w:val="48"/>
            </w:numPr>
            <w:tabs>
              <w:tab w:val="left" w:pos="1440"/>
            </w:tabs>
            <w:rPr>
              <w:rFonts w:asciiTheme="minorHAnsi" w:eastAsiaTheme="minorEastAsia" w:hAnsiTheme="minorHAnsi"/>
              <w:noProof/>
              <w:kern w:val="2"/>
              <w:sz w:val="24"/>
              <w:szCs w:val="24"/>
              <w:lang w:eastAsia="en-NZ"/>
              <w14:ligatures w14:val="standardContextual"/>
            </w:rPr>
          </w:pPr>
          <w:hyperlink w:anchor="_Toc215603193" w:history="1">
            <w:r w:rsidRPr="004D538F">
              <w:rPr>
                <w:rStyle w:val="Hyperlink"/>
                <w:noProof/>
              </w:rPr>
              <w:t>People aged 65 years and over dispensed eight, nine or ten unique long-term medicines</w:t>
            </w:r>
            <w:r w:rsidR="009C357F">
              <w:rPr>
                <w:rStyle w:val="Hyperlink"/>
                <w:noProof/>
              </w:rPr>
              <w:t>………….</w:t>
            </w:r>
            <w:r>
              <w:rPr>
                <w:noProof/>
                <w:webHidden/>
              </w:rPr>
              <w:tab/>
            </w:r>
            <w:r>
              <w:rPr>
                <w:noProof/>
                <w:webHidden/>
              </w:rPr>
              <w:fldChar w:fldCharType="begin"/>
            </w:r>
            <w:r>
              <w:rPr>
                <w:noProof/>
                <w:webHidden/>
              </w:rPr>
              <w:instrText xml:space="preserve"> PAGEREF _Toc215603193 \h </w:instrText>
            </w:r>
            <w:r>
              <w:rPr>
                <w:noProof/>
                <w:webHidden/>
              </w:rPr>
            </w:r>
            <w:r>
              <w:rPr>
                <w:noProof/>
                <w:webHidden/>
              </w:rPr>
              <w:fldChar w:fldCharType="separate"/>
            </w:r>
            <w:r w:rsidR="005572DF">
              <w:rPr>
                <w:noProof/>
                <w:webHidden/>
              </w:rPr>
              <w:t>9</w:t>
            </w:r>
            <w:r>
              <w:rPr>
                <w:noProof/>
                <w:webHidden/>
              </w:rPr>
              <w:fldChar w:fldCharType="end"/>
            </w:r>
          </w:hyperlink>
        </w:p>
        <w:p w14:paraId="33B4BD33" w14:textId="39725C45" w:rsidR="001504A0" w:rsidRDefault="001504A0" w:rsidP="009C357F">
          <w:pPr>
            <w:pStyle w:val="TOC3"/>
            <w:numPr>
              <w:ilvl w:val="0"/>
              <w:numId w:val="48"/>
            </w:numPr>
            <w:rPr>
              <w:rFonts w:asciiTheme="minorHAnsi" w:eastAsiaTheme="minorEastAsia" w:hAnsiTheme="minorHAnsi"/>
              <w:noProof/>
              <w:kern w:val="2"/>
              <w:sz w:val="24"/>
              <w:szCs w:val="24"/>
              <w:lang w:eastAsia="en-NZ"/>
              <w14:ligatures w14:val="standardContextual"/>
            </w:rPr>
          </w:pPr>
          <w:hyperlink w:anchor="_Toc215603194" w:history="1">
            <w:r w:rsidRPr="004D538F">
              <w:rPr>
                <w:rStyle w:val="Hyperlink"/>
                <w:noProof/>
              </w:rPr>
              <w:t>People aged 65 years and over dispensed 11 or more unique long-term medicines</w:t>
            </w:r>
            <w:r>
              <w:rPr>
                <w:noProof/>
                <w:webHidden/>
              </w:rPr>
              <w:tab/>
            </w:r>
            <w:r>
              <w:rPr>
                <w:noProof/>
                <w:webHidden/>
              </w:rPr>
              <w:fldChar w:fldCharType="begin"/>
            </w:r>
            <w:r>
              <w:rPr>
                <w:noProof/>
                <w:webHidden/>
              </w:rPr>
              <w:instrText xml:space="preserve"> PAGEREF _Toc215603194 \h </w:instrText>
            </w:r>
            <w:r>
              <w:rPr>
                <w:noProof/>
                <w:webHidden/>
              </w:rPr>
            </w:r>
            <w:r>
              <w:rPr>
                <w:noProof/>
                <w:webHidden/>
              </w:rPr>
              <w:fldChar w:fldCharType="separate"/>
            </w:r>
            <w:r w:rsidR="005572DF">
              <w:rPr>
                <w:noProof/>
                <w:webHidden/>
              </w:rPr>
              <w:t>11</w:t>
            </w:r>
            <w:r>
              <w:rPr>
                <w:noProof/>
                <w:webHidden/>
              </w:rPr>
              <w:fldChar w:fldCharType="end"/>
            </w:r>
          </w:hyperlink>
        </w:p>
        <w:p w14:paraId="37CB1469" w14:textId="0E13D43F" w:rsidR="001504A0" w:rsidRDefault="001504A0" w:rsidP="009C357F">
          <w:pPr>
            <w:pStyle w:val="TOC3"/>
            <w:numPr>
              <w:ilvl w:val="0"/>
              <w:numId w:val="48"/>
            </w:numPr>
            <w:tabs>
              <w:tab w:val="left" w:pos="1440"/>
            </w:tabs>
            <w:rPr>
              <w:rFonts w:asciiTheme="minorHAnsi" w:eastAsiaTheme="minorEastAsia" w:hAnsiTheme="minorHAnsi"/>
              <w:noProof/>
              <w:kern w:val="2"/>
              <w:sz w:val="24"/>
              <w:szCs w:val="24"/>
              <w:lang w:eastAsia="en-NZ"/>
              <w14:ligatures w14:val="standardContextual"/>
            </w:rPr>
          </w:pPr>
          <w:hyperlink w:anchor="_Toc215603195" w:history="1">
            <w:r w:rsidRPr="004D538F">
              <w:rPr>
                <w:rStyle w:val="Hyperlink"/>
                <w:noProof/>
              </w:rPr>
              <w:t>People aged 65 years and over who received the ‘triple whammy’</w:t>
            </w:r>
            <w:r>
              <w:rPr>
                <w:noProof/>
                <w:webHidden/>
              </w:rPr>
              <w:tab/>
            </w:r>
            <w:r>
              <w:rPr>
                <w:noProof/>
                <w:webHidden/>
              </w:rPr>
              <w:fldChar w:fldCharType="begin"/>
            </w:r>
            <w:r>
              <w:rPr>
                <w:noProof/>
                <w:webHidden/>
              </w:rPr>
              <w:instrText xml:space="preserve"> PAGEREF _Toc215603195 \h </w:instrText>
            </w:r>
            <w:r>
              <w:rPr>
                <w:noProof/>
                <w:webHidden/>
              </w:rPr>
            </w:r>
            <w:r>
              <w:rPr>
                <w:noProof/>
                <w:webHidden/>
              </w:rPr>
              <w:fldChar w:fldCharType="separate"/>
            </w:r>
            <w:r w:rsidR="005572DF">
              <w:rPr>
                <w:noProof/>
                <w:webHidden/>
              </w:rPr>
              <w:t>12</w:t>
            </w:r>
            <w:r>
              <w:rPr>
                <w:noProof/>
                <w:webHidden/>
              </w:rPr>
              <w:fldChar w:fldCharType="end"/>
            </w:r>
          </w:hyperlink>
        </w:p>
        <w:p w14:paraId="04DAD38B" w14:textId="1B002D86" w:rsidR="001504A0" w:rsidRDefault="001504A0" w:rsidP="009C357F">
          <w:pPr>
            <w:pStyle w:val="TOC3"/>
            <w:numPr>
              <w:ilvl w:val="0"/>
              <w:numId w:val="48"/>
            </w:numPr>
            <w:tabs>
              <w:tab w:val="left" w:pos="1440"/>
            </w:tabs>
            <w:rPr>
              <w:rFonts w:asciiTheme="minorHAnsi" w:eastAsiaTheme="minorEastAsia" w:hAnsiTheme="minorHAnsi"/>
              <w:noProof/>
              <w:kern w:val="2"/>
              <w:sz w:val="24"/>
              <w:szCs w:val="24"/>
              <w:lang w:eastAsia="en-NZ"/>
              <w14:ligatures w14:val="standardContextual"/>
            </w:rPr>
          </w:pPr>
          <w:hyperlink w:anchor="_Toc215603196" w:history="1">
            <w:r w:rsidRPr="004D538F">
              <w:rPr>
                <w:rStyle w:val="Hyperlink"/>
                <w:noProof/>
              </w:rPr>
              <w:t>PHO-enrolled population aged 65 years and over who received an antipsychotic during the year</w:t>
            </w:r>
            <w:r>
              <w:rPr>
                <w:noProof/>
                <w:webHidden/>
              </w:rPr>
              <w:tab/>
            </w:r>
            <w:r>
              <w:rPr>
                <w:noProof/>
                <w:webHidden/>
              </w:rPr>
              <w:fldChar w:fldCharType="begin"/>
            </w:r>
            <w:r>
              <w:rPr>
                <w:noProof/>
                <w:webHidden/>
              </w:rPr>
              <w:instrText xml:space="preserve"> PAGEREF _Toc215603196 \h </w:instrText>
            </w:r>
            <w:r>
              <w:rPr>
                <w:noProof/>
                <w:webHidden/>
              </w:rPr>
            </w:r>
            <w:r>
              <w:rPr>
                <w:noProof/>
                <w:webHidden/>
              </w:rPr>
              <w:fldChar w:fldCharType="separate"/>
            </w:r>
            <w:r w:rsidR="005572DF">
              <w:rPr>
                <w:noProof/>
                <w:webHidden/>
              </w:rPr>
              <w:t>14</w:t>
            </w:r>
            <w:r>
              <w:rPr>
                <w:noProof/>
                <w:webHidden/>
              </w:rPr>
              <w:fldChar w:fldCharType="end"/>
            </w:r>
          </w:hyperlink>
        </w:p>
        <w:p w14:paraId="59F23557" w14:textId="3F8B5937" w:rsidR="001504A0" w:rsidRDefault="001504A0" w:rsidP="009C357F">
          <w:pPr>
            <w:pStyle w:val="TOC3"/>
            <w:numPr>
              <w:ilvl w:val="0"/>
              <w:numId w:val="48"/>
            </w:numPr>
            <w:tabs>
              <w:tab w:val="left" w:pos="1440"/>
            </w:tabs>
            <w:rPr>
              <w:rFonts w:asciiTheme="minorHAnsi" w:eastAsiaTheme="minorEastAsia" w:hAnsiTheme="minorHAnsi"/>
              <w:noProof/>
              <w:kern w:val="2"/>
              <w:sz w:val="24"/>
              <w:szCs w:val="24"/>
              <w:lang w:eastAsia="en-NZ"/>
              <w14:ligatures w14:val="standardContextual"/>
            </w:rPr>
          </w:pPr>
          <w:hyperlink w:anchor="_Toc215603197" w:history="1">
            <w:r w:rsidRPr="004D538F">
              <w:rPr>
                <w:rStyle w:val="Hyperlink"/>
                <w:noProof/>
              </w:rPr>
              <w:t>PHO-enrolled population aged 65 years and over who received a benzodiazepine or zopiclone</w:t>
            </w:r>
            <w:r>
              <w:rPr>
                <w:noProof/>
                <w:webHidden/>
              </w:rPr>
              <w:tab/>
            </w:r>
            <w:r>
              <w:rPr>
                <w:noProof/>
                <w:webHidden/>
              </w:rPr>
              <w:fldChar w:fldCharType="begin"/>
            </w:r>
            <w:r>
              <w:rPr>
                <w:noProof/>
                <w:webHidden/>
              </w:rPr>
              <w:instrText xml:space="preserve"> PAGEREF _Toc215603197 \h </w:instrText>
            </w:r>
            <w:r>
              <w:rPr>
                <w:noProof/>
                <w:webHidden/>
              </w:rPr>
            </w:r>
            <w:r>
              <w:rPr>
                <w:noProof/>
                <w:webHidden/>
              </w:rPr>
              <w:fldChar w:fldCharType="separate"/>
            </w:r>
            <w:r w:rsidR="005572DF">
              <w:rPr>
                <w:noProof/>
                <w:webHidden/>
              </w:rPr>
              <w:t>15</w:t>
            </w:r>
            <w:r>
              <w:rPr>
                <w:noProof/>
                <w:webHidden/>
              </w:rPr>
              <w:fldChar w:fldCharType="end"/>
            </w:r>
          </w:hyperlink>
        </w:p>
        <w:p w14:paraId="3BF52D23" w14:textId="3E3E12E5" w:rsidR="001504A0" w:rsidRDefault="001504A0" w:rsidP="009C357F">
          <w:pPr>
            <w:pStyle w:val="TOC3"/>
            <w:numPr>
              <w:ilvl w:val="0"/>
              <w:numId w:val="48"/>
            </w:numPr>
            <w:tabs>
              <w:tab w:val="left" w:pos="1440"/>
            </w:tabs>
            <w:rPr>
              <w:rFonts w:asciiTheme="minorHAnsi" w:eastAsiaTheme="minorEastAsia" w:hAnsiTheme="minorHAnsi"/>
              <w:noProof/>
              <w:kern w:val="2"/>
              <w:sz w:val="24"/>
              <w:szCs w:val="24"/>
              <w:lang w:eastAsia="en-NZ"/>
              <w14:ligatures w14:val="standardContextual"/>
            </w:rPr>
          </w:pPr>
          <w:hyperlink w:anchor="_Toc215603198" w:history="1">
            <w:r w:rsidRPr="004D538F">
              <w:rPr>
                <w:rStyle w:val="Hyperlink"/>
                <w:noProof/>
              </w:rPr>
              <w:t>People aged 65 years and over who received both a benzodiazepine or zopiclone and an antipsychotic in the same quarter during the calendar year</w:t>
            </w:r>
            <w:r>
              <w:rPr>
                <w:noProof/>
                <w:webHidden/>
              </w:rPr>
              <w:tab/>
            </w:r>
            <w:r>
              <w:rPr>
                <w:noProof/>
                <w:webHidden/>
              </w:rPr>
              <w:fldChar w:fldCharType="begin"/>
            </w:r>
            <w:r>
              <w:rPr>
                <w:noProof/>
                <w:webHidden/>
              </w:rPr>
              <w:instrText xml:space="preserve"> PAGEREF _Toc215603198 \h </w:instrText>
            </w:r>
            <w:r>
              <w:rPr>
                <w:noProof/>
                <w:webHidden/>
              </w:rPr>
            </w:r>
            <w:r>
              <w:rPr>
                <w:noProof/>
                <w:webHidden/>
              </w:rPr>
              <w:fldChar w:fldCharType="separate"/>
            </w:r>
            <w:r w:rsidR="005572DF">
              <w:rPr>
                <w:noProof/>
                <w:webHidden/>
              </w:rPr>
              <w:t>16</w:t>
            </w:r>
            <w:r>
              <w:rPr>
                <w:noProof/>
                <w:webHidden/>
              </w:rPr>
              <w:fldChar w:fldCharType="end"/>
            </w:r>
          </w:hyperlink>
        </w:p>
        <w:p w14:paraId="4EEC3E9C" w14:textId="1556E0EA" w:rsidR="00DB3F3A" w:rsidRDefault="00DB3F3A">
          <w:r>
            <w:rPr>
              <w:b/>
              <w:bCs/>
              <w:noProof/>
            </w:rPr>
            <w:fldChar w:fldCharType="end"/>
          </w:r>
        </w:p>
      </w:sdtContent>
    </w:sdt>
    <w:p w14:paraId="753C7403" w14:textId="77777777" w:rsidR="0064198B" w:rsidRDefault="0064198B" w:rsidP="00E54CD1">
      <w:pPr>
        <w:pStyle w:val="BodytextHQSC"/>
      </w:pPr>
    </w:p>
    <w:p w14:paraId="2B3B7A85" w14:textId="77777777" w:rsidR="0064198B" w:rsidRDefault="0064198B" w:rsidP="00E54CD1">
      <w:pPr>
        <w:pStyle w:val="BodytextHQSC"/>
      </w:pPr>
    </w:p>
    <w:p w14:paraId="23D81BA8" w14:textId="77777777" w:rsidR="0064198B" w:rsidRDefault="0064198B" w:rsidP="00E54CD1">
      <w:pPr>
        <w:pStyle w:val="BodytextHQSC"/>
      </w:pPr>
    </w:p>
    <w:p w14:paraId="34A9BF9E" w14:textId="77777777" w:rsidR="0064198B" w:rsidRDefault="0064198B" w:rsidP="00E54CD1">
      <w:pPr>
        <w:pStyle w:val="BodytextHQSC"/>
      </w:pPr>
    </w:p>
    <w:p w14:paraId="6F28E417" w14:textId="77777777" w:rsidR="0064198B" w:rsidRPr="0064198B" w:rsidRDefault="0064198B" w:rsidP="005A4781">
      <w:pPr>
        <w:pStyle w:val="BodytextHQSC"/>
      </w:pPr>
      <w:r w:rsidRPr="0064198B">
        <w:br w:type="page"/>
      </w:r>
    </w:p>
    <w:p w14:paraId="1DF968ED" w14:textId="77777777" w:rsidR="00650F88" w:rsidRPr="008F54F1" w:rsidRDefault="00650F88" w:rsidP="00FB7DA2">
      <w:pPr>
        <w:pStyle w:val="TeThHauorahead3"/>
      </w:pPr>
      <w:bookmarkStart w:id="2" w:name="_Toc215603188"/>
      <w:bookmarkStart w:id="3" w:name="_Hlk164768965"/>
      <w:r w:rsidRPr="008F54F1">
        <w:lastRenderedPageBreak/>
        <w:t>General points</w:t>
      </w:r>
      <w:bookmarkEnd w:id="2"/>
    </w:p>
    <w:p w14:paraId="043B215F" w14:textId="77777777" w:rsidR="00650F88" w:rsidRDefault="00650F88" w:rsidP="00650F88">
      <w:pPr>
        <w:pStyle w:val="TeThHauorabodytext"/>
        <w:numPr>
          <w:ilvl w:val="0"/>
          <w:numId w:val="33"/>
        </w:numPr>
      </w:pPr>
      <w:r>
        <w:t xml:space="preserve">A ‘long-term’ medicine was defined as the same medicine dispensed in two consecutive quarters. </w:t>
      </w:r>
    </w:p>
    <w:p w14:paraId="6B7BF022" w14:textId="77777777" w:rsidR="00650F88" w:rsidRPr="00A803A6" w:rsidRDefault="00650F88" w:rsidP="00650F88">
      <w:pPr>
        <w:pStyle w:val="TeThHauorabodytext"/>
        <w:numPr>
          <w:ilvl w:val="0"/>
          <w:numId w:val="33"/>
        </w:numPr>
        <w:rPr>
          <w:color w:val="000000" w:themeColor="text1"/>
        </w:rPr>
      </w:pPr>
      <w:r w:rsidRPr="00A803A6">
        <w:rPr>
          <w:color w:val="000000" w:themeColor="text1"/>
        </w:rPr>
        <w:t xml:space="preserve">Data is not presented where the number of people in the numerator was less than 10. This is to preserve confidentiality. </w:t>
      </w:r>
    </w:p>
    <w:p w14:paraId="0CB83227" w14:textId="77777777" w:rsidR="00650F88" w:rsidRPr="00A803A6" w:rsidRDefault="00650F88" w:rsidP="00650F88">
      <w:pPr>
        <w:pStyle w:val="TeThHauorabodytext"/>
        <w:numPr>
          <w:ilvl w:val="0"/>
          <w:numId w:val="33"/>
        </w:numPr>
        <w:rPr>
          <w:color w:val="000000" w:themeColor="text1"/>
        </w:rPr>
      </w:pPr>
      <w:r w:rsidRPr="00A803A6">
        <w:rPr>
          <w:color w:val="000000" w:themeColor="text1"/>
        </w:rPr>
        <w:t xml:space="preserve">People were assigned to their Health New Zealand Te Whatu Ora district (previously referred to as Health New Zealand District Health Board; DHB) of domicile where more than one domicile was recorded in the calendar year, the most recent value was selected. </w:t>
      </w:r>
    </w:p>
    <w:p w14:paraId="1168C7EE" w14:textId="77777777" w:rsidR="00650F88" w:rsidRPr="00A803A6" w:rsidRDefault="00650F88" w:rsidP="00650F88">
      <w:pPr>
        <w:pStyle w:val="TeThHauorabodytext"/>
        <w:numPr>
          <w:ilvl w:val="0"/>
          <w:numId w:val="33"/>
        </w:numPr>
        <w:rPr>
          <w:color w:val="000000" w:themeColor="text1"/>
        </w:rPr>
      </w:pPr>
      <w:r w:rsidRPr="00A803A6">
        <w:rPr>
          <w:bCs/>
          <w:color w:val="000000" w:themeColor="text1"/>
        </w:rPr>
        <w:t>Age group is assigned using 30 June of each calendar year as the cutoff point. For example, a person turning 65 years old on 30 June 2023 will be assigned to the 65–79 years age group for 2023, while a person turning 65 on 1 July 2023 will be assigned the 25–64 group for the same year.</w:t>
      </w:r>
    </w:p>
    <w:p w14:paraId="7BCAAD0E" w14:textId="77777777" w:rsidR="00650F88" w:rsidRDefault="00650F88" w:rsidP="00650F88">
      <w:pPr>
        <w:pStyle w:val="TeThHauorabodytext"/>
        <w:numPr>
          <w:ilvl w:val="0"/>
          <w:numId w:val="33"/>
        </w:numPr>
        <w:rPr>
          <w:color w:val="000000" w:themeColor="text1"/>
        </w:rPr>
      </w:pPr>
      <w:r w:rsidRPr="1529BD1D">
        <w:rPr>
          <w:color w:val="000000" w:themeColor="text1"/>
        </w:rPr>
        <w:t xml:space="preserve">Ethnic group data presented is prioritised ethnic group (Māori, Pacific peoples, Asian and European/Other). </w:t>
      </w:r>
    </w:p>
    <w:p w14:paraId="295DE9C0" w14:textId="77777777" w:rsidR="00650F88" w:rsidRPr="005F252E" w:rsidRDefault="00650F88" w:rsidP="00650F88">
      <w:pPr>
        <w:pStyle w:val="TeThHauorabodytext"/>
        <w:numPr>
          <w:ilvl w:val="0"/>
          <w:numId w:val="33"/>
        </w:numPr>
        <w:rPr>
          <w:color w:val="000000" w:themeColor="text1"/>
        </w:rPr>
      </w:pPr>
      <w:r w:rsidRPr="00686850">
        <w:rPr>
          <w:rFonts w:cstheme="minorBidi"/>
          <w:color w:val="000000" w:themeColor="text1"/>
        </w:rPr>
        <w:t xml:space="preserve">Unlike other atlases, the </w:t>
      </w:r>
      <w:r>
        <w:rPr>
          <w:rFonts w:cstheme="minorBidi"/>
          <w:color w:val="000000" w:themeColor="text1"/>
        </w:rPr>
        <w:t xml:space="preserve">Polypharmacy </w:t>
      </w:r>
      <w:r w:rsidRPr="00686850">
        <w:rPr>
          <w:rFonts w:cstheme="minorBidi"/>
          <w:color w:val="000000" w:themeColor="text1"/>
        </w:rPr>
        <w:t xml:space="preserve">Atlas includes individuals who died during the calendar year in all indicators. This is because </w:t>
      </w:r>
      <w:r>
        <w:rPr>
          <w:rFonts w:cstheme="minorBidi"/>
          <w:color w:val="000000" w:themeColor="text1"/>
        </w:rPr>
        <w:t>polypharmacy</w:t>
      </w:r>
      <w:r w:rsidRPr="00686850">
        <w:rPr>
          <w:rFonts w:cstheme="minorBidi"/>
          <w:color w:val="000000" w:themeColor="text1"/>
        </w:rPr>
        <w:t xml:space="preserve"> is higher among older adults and those in the final stages of life, due to chronic conditions, pain management, and palliative care needs. </w:t>
      </w:r>
    </w:p>
    <w:p w14:paraId="12DD2160" w14:textId="77777777" w:rsidR="00650F88" w:rsidRPr="00133505" w:rsidRDefault="00650F88" w:rsidP="00650F88">
      <w:pPr>
        <w:pStyle w:val="TeThHauorabodytext"/>
        <w:numPr>
          <w:ilvl w:val="0"/>
          <w:numId w:val="33"/>
        </w:numPr>
        <w:rPr>
          <w:color w:val="000000" w:themeColor="text1"/>
        </w:rPr>
      </w:pPr>
      <w:r w:rsidRPr="00133505">
        <w:rPr>
          <w:color w:val="000000" w:themeColor="text1"/>
        </w:rPr>
        <w:t>For PHO analyses, we analysed indicator #1 to determine</w:t>
      </w:r>
      <w:r>
        <w:rPr>
          <w:color w:val="000000" w:themeColor="text1"/>
        </w:rPr>
        <w:t xml:space="preserve"> number of people who were dispensed a</w:t>
      </w:r>
      <w:r w:rsidRPr="00133505">
        <w:rPr>
          <w:color w:val="000000" w:themeColor="text1"/>
        </w:rPr>
        <w:t xml:space="preserve"> </w:t>
      </w:r>
      <w:r>
        <w:rPr>
          <w:color w:val="000000" w:themeColor="text1"/>
        </w:rPr>
        <w:t>5 or more medicines in two consecutive quarters</w:t>
      </w:r>
      <w:r w:rsidRPr="00133505">
        <w:rPr>
          <w:color w:val="000000" w:themeColor="text1"/>
        </w:rPr>
        <w:t xml:space="preserve"> among each PHO. Then we categorised them into small (</w:t>
      </w:r>
      <w:r>
        <w:rPr>
          <w:color w:val="000000" w:themeColor="text1"/>
        </w:rPr>
        <w:t>&lt;3,500 people</w:t>
      </w:r>
      <w:r w:rsidRPr="00133505">
        <w:rPr>
          <w:color w:val="000000" w:themeColor="text1"/>
        </w:rPr>
        <w:t>), medium (between</w:t>
      </w:r>
      <w:r>
        <w:rPr>
          <w:color w:val="000000" w:themeColor="text1"/>
        </w:rPr>
        <w:t xml:space="preserve"> 3,500 </w:t>
      </w:r>
      <w:r w:rsidRPr="00133505">
        <w:rPr>
          <w:color w:val="000000" w:themeColor="text1"/>
        </w:rPr>
        <w:t xml:space="preserve">and </w:t>
      </w:r>
      <w:r>
        <w:rPr>
          <w:color w:val="000000" w:themeColor="text1"/>
        </w:rPr>
        <w:t>7,000</w:t>
      </w:r>
      <w:r w:rsidRPr="00133505">
        <w:rPr>
          <w:color w:val="000000" w:themeColor="text1"/>
        </w:rPr>
        <w:t xml:space="preserve">), medium-large (between </w:t>
      </w:r>
      <w:r>
        <w:rPr>
          <w:color w:val="000000" w:themeColor="text1"/>
        </w:rPr>
        <w:t xml:space="preserve">7,000 </w:t>
      </w:r>
      <w:r w:rsidRPr="00133505">
        <w:rPr>
          <w:color w:val="000000" w:themeColor="text1"/>
        </w:rPr>
        <w:t xml:space="preserve">and </w:t>
      </w:r>
      <w:r>
        <w:rPr>
          <w:color w:val="000000" w:themeColor="text1"/>
        </w:rPr>
        <w:t>10,500</w:t>
      </w:r>
      <w:r w:rsidRPr="00133505">
        <w:rPr>
          <w:color w:val="000000" w:themeColor="text1"/>
        </w:rPr>
        <w:t>) and large (</w:t>
      </w:r>
      <w:r>
        <w:rPr>
          <w:color w:val="000000" w:themeColor="text1"/>
        </w:rPr>
        <w:t>&gt;10,500 people</w:t>
      </w:r>
      <w:r w:rsidRPr="00133505">
        <w:rPr>
          <w:color w:val="000000" w:themeColor="text1"/>
        </w:rPr>
        <w:t>).</w:t>
      </w:r>
    </w:p>
    <w:p w14:paraId="4856234F" w14:textId="77777777" w:rsidR="00650F88" w:rsidRPr="00133505" w:rsidRDefault="00650F88" w:rsidP="00650F88">
      <w:pPr>
        <w:pStyle w:val="TeThHauorabodytext"/>
        <w:numPr>
          <w:ilvl w:val="0"/>
          <w:numId w:val="33"/>
        </w:numPr>
        <w:rPr>
          <w:rFonts w:eastAsia="Arial"/>
          <w:color w:val="000000" w:themeColor="text1"/>
        </w:rPr>
      </w:pPr>
      <w:r w:rsidRPr="00133505">
        <w:rPr>
          <w:rFonts w:eastAsia="Arial"/>
          <w:color w:val="000000" w:themeColor="text1"/>
        </w:rPr>
        <w:t xml:space="preserve">Please note the following PHOs were combined in the Atlas, this was done where PHOs had changed entities, or where there were regional subsidiaries with enrolled populations that were too small to report separately. </w:t>
      </w:r>
    </w:p>
    <w:tbl>
      <w:tblPr>
        <w:tblW w:w="8842" w:type="dxa"/>
        <w:tblInd w:w="615" w:type="dxa"/>
        <w:tblLayout w:type="fixed"/>
        <w:tblLook w:val="04A0" w:firstRow="1" w:lastRow="0" w:firstColumn="1" w:lastColumn="0" w:noHBand="0" w:noVBand="1"/>
      </w:tblPr>
      <w:tblGrid>
        <w:gridCol w:w="4420"/>
        <w:gridCol w:w="4422"/>
      </w:tblGrid>
      <w:tr w:rsidR="00650F88" w:rsidRPr="00133505" w14:paraId="68A6A78C" w14:textId="77777777" w:rsidTr="00336E4E">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9579D3" w14:textId="77777777" w:rsidR="00650F88" w:rsidRPr="008F7EE5" w:rsidRDefault="00650F88" w:rsidP="00336E4E">
            <w:pPr>
              <w:rPr>
                <w:rFonts w:eastAsia="Aptos Narrow" w:cs="Arial"/>
                <w:b/>
                <w:bCs/>
                <w:color w:val="000000" w:themeColor="text1"/>
              </w:rPr>
            </w:pPr>
            <w:r w:rsidRPr="008F7EE5">
              <w:rPr>
                <w:rFonts w:eastAsia="Aptos Narrow" w:cs="Arial"/>
                <w:b/>
                <w:bCs/>
                <w:color w:val="000000" w:themeColor="text1"/>
              </w:rPr>
              <w:t>Recorded PHO name</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206F4B40" w14:textId="77777777" w:rsidR="00650F88" w:rsidRPr="008F7EE5" w:rsidRDefault="00650F88" w:rsidP="00336E4E">
            <w:pPr>
              <w:rPr>
                <w:rFonts w:eastAsia="Aptos Narrow" w:cs="Arial"/>
                <w:b/>
                <w:bCs/>
                <w:color w:val="000000" w:themeColor="text1"/>
              </w:rPr>
            </w:pPr>
            <w:r w:rsidRPr="008F7EE5">
              <w:rPr>
                <w:rFonts w:eastAsia="Aptos Narrow" w:cs="Arial"/>
                <w:b/>
                <w:bCs/>
                <w:color w:val="000000" w:themeColor="text1"/>
              </w:rPr>
              <w:t>Atlas reporting PHO name</w:t>
            </w:r>
          </w:p>
        </w:tc>
      </w:tr>
      <w:tr w:rsidR="00650F88" w:rsidRPr="00133505" w14:paraId="59F9ECEF" w14:textId="77777777" w:rsidTr="00336E4E">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7682C5"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Alliance Health Plus Trust</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4983A266"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Included in The Cause Collective</w:t>
            </w:r>
          </w:p>
        </w:tc>
      </w:tr>
      <w:tr w:rsidR="00650F88" w:rsidRPr="00133505" w14:paraId="53E258E2" w14:textId="77777777" w:rsidTr="00336E4E">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036A68"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Comprehensive Care PHO - Northland</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721612F6"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Included with Comprehensive Care PHO Limited</w:t>
            </w:r>
          </w:p>
        </w:tc>
      </w:tr>
      <w:tr w:rsidR="00650F88" w:rsidRPr="00133505" w14:paraId="77B25399" w14:textId="77777777" w:rsidTr="00336E4E">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78B723"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National Hauora Coalition - Northland</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0B1675D0"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Included with National Hauora Coalition</w:t>
            </w:r>
          </w:p>
        </w:tc>
      </w:tr>
      <w:tr w:rsidR="00650F88" w:rsidRPr="00133505" w14:paraId="0472EA24" w14:textId="77777777" w:rsidTr="00336E4E">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3E06C7"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ProCare Health (PHO) Limited - Northland</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5996ACE0" w14:textId="77777777" w:rsidR="00650F88" w:rsidRPr="008F7EE5" w:rsidRDefault="00650F88" w:rsidP="00336E4E">
            <w:pPr>
              <w:rPr>
                <w:rFonts w:eastAsia="Aptos Narrow" w:cs="Arial"/>
                <w:color w:val="000000" w:themeColor="text1"/>
              </w:rPr>
            </w:pPr>
            <w:r w:rsidRPr="008F7EE5">
              <w:rPr>
                <w:rFonts w:eastAsia="Aptos Narrow" w:cs="Arial"/>
                <w:color w:val="000000" w:themeColor="text1"/>
              </w:rPr>
              <w:t>Included with ProCare Health (PHO) Limited</w:t>
            </w:r>
          </w:p>
        </w:tc>
      </w:tr>
    </w:tbl>
    <w:p w14:paraId="478D159C" w14:textId="77777777" w:rsidR="00650F88" w:rsidRPr="002A77F5" w:rsidRDefault="00650F88" w:rsidP="00650F88">
      <w:pPr>
        <w:pStyle w:val="ListParagraph"/>
        <w:spacing w:before="240"/>
        <w:ind w:left="0"/>
        <w:rPr>
          <w:b/>
          <w:color w:val="000000" w:themeColor="text1"/>
        </w:rPr>
      </w:pPr>
      <w:r w:rsidRPr="002A77F5">
        <w:rPr>
          <w:b/>
          <w:color w:val="000000" w:themeColor="text1"/>
        </w:rPr>
        <w:t>Key methodological changes in this update</w:t>
      </w:r>
    </w:p>
    <w:p w14:paraId="0A82D3CC" w14:textId="77777777" w:rsidR="00650F88" w:rsidRPr="005F252E" w:rsidRDefault="00650F88" w:rsidP="00650F88">
      <w:pPr>
        <w:pStyle w:val="TeThHauorabodytext"/>
        <w:numPr>
          <w:ilvl w:val="0"/>
          <w:numId w:val="34"/>
        </w:numPr>
      </w:pPr>
      <w:r w:rsidRPr="005F252E">
        <w:t xml:space="preserve">This update uses primary health organisation (PHO) enrolled population aged 65 years and over as the denominator, replacing Stats NZ estimated population projections. </w:t>
      </w:r>
    </w:p>
    <w:p w14:paraId="5803EF95" w14:textId="77777777" w:rsidR="00650F88" w:rsidRPr="005F252E" w:rsidRDefault="00650F88" w:rsidP="00650F88">
      <w:pPr>
        <w:pStyle w:val="TeThHauorabodytext"/>
        <w:numPr>
          <w:ilvl w:val="0"/>
          <w:numId w:val="34"/>
        </w:numPr>
      </w:pPr>
      <w:r w:rsidRPr="005F252E">
        <w:t xml:space="preserve">Changes to indicators #1–#4: Previously, the numerator was calculated as the sum of individuals who received medications </w:t>
      </w:r>
      <w:proofErr w:type="gramStart"/>
      <w:r w:rsidRPr="005F252E">
        <w:t>in a given</w:t>
      </w:r>
      <w:proofErr w:type="gramEnd"/>
      <w:r w:rsidRPr="005F252E">
        <w:t xml:space="preserve"> quarter and had also been dispensed the same medications in the preceding quarter, averaged across four quarters. In the current update, it reflects the distinct number of PHO-enrolled individuals aged 65 </w:t>
      </w:r>
      <w:r w:rsidRPr="005F252E">
        <w:lastRenderedPageBreak/>
        <w:t>years or over who received the same medications in two consecutive quarters. Therefore, current figures are not directly comparable with those from the previous update.</w:t>
      </w:r>
    </w:p>
    <w:p w14:paraId="2A0B02FE" w14:textId="77777777" w:rsidR="00650F88" w:rsidRPr="005F252E" w:rsidRDefault="00650F88" w:rsidP="00650F88">
      <w:pPr>
        <w:pStyle w:val="TeThHauorabodytext"/>
        <w:numPr>
          <w:ilvl w:val="0"/>
          <w:numId w:val="34"/>
        </w:numPr>
      </w:pPr>
      <w:r w:rsidRPr="005F252E">
        <w:t>Changes to indicators #6–#7: The earlier method used a quarterly average of individuals dispensed medications. This update instead counts the distinct number of PHO-enrolled individuals aged 65 years or over who received medications at any point during the year.</w:t>
      </w:r>
    </w:p>
    <w:p w14:paraId="037E9847" w14:textId="77777777" w:rsidR="00650F88" w:rsidRDefault="00650F88" w:rsidP="00650F88">
      <w:pPr>
        <w:pStyle w:val="TeThHauorabodytext"/>
        <w:numPr>
          <w:ilvl w:val="0"/>
          <w:numId w:val="34"/>
        </w:numPr>
      </w:pPr>
      <w:r w:rsidRPr="005F252E">
        <w:t>Change to indicator #8: The numerator now represents the count of distinct individuals who received medications in any quarter of the calendar year.</w:t>
      </w:r>
    </w:p>
    <w:p w14:paraId="2AA492A4" w14:textId="77777777" w:rsidR="00650F88" w:rsidRDefault="00650F88" w:rsidP="00650F88">
      <w:pPr>
        <w:rPr>
          <w:b/>
          <w:bCs/>
        </w:rPr>
      </w:pPr>
    </w:p>
    <w:p w14:paraId="069A75EC" w14:textId="77777777" w:rsidR="00650F88" w:rsidRPr="00824A02" w:rsidRDefault="00650F88" w:rsidP="00FB7DA2">
      <w:pPr>
        <w:pStyle w:val="TeThHauorahead3"/>
      </w:pPr>
      <w:bookmarkStart w:id="4" w:name="_Toc215603189"/>
      <w:r w:rsidRPr="00824A02">
        <w:t>Acknowledgements</w:t>
      </w:r>
      <w:bookmarkEnd w:id="4"/>
    </w:p>
    <w:p w14:paraId="6EAA9820" w14:textId="77777777" w:rsidR="00650F88" w:rsidRPr="00945F83" w:rsidRDefault="00650F88" w:rsidP="00650F88">
      <w:r>
        <w:t xml:space="preserve">The </w:t>
      </w:r>
      <w:r w:rsidRPr="00945F83">
        <w:t xml:space="preserve">Health Quality &amp; Safety Commission </w:t>
      </w:r>
      <w:r w:rsidRPr="002723D0">
        <w:t>Te Tāhū </w:t>
      </w:r>
      <w:proofErr w:type="gramStart"/>
      <w:r w:rsidRPr="002723D0">
        <w:t>Hauora</w:t>
      </w:r>
      <w:r w:rsidRPr="00945F83">
        <w:t xml:space="preserve"> </w:t>
      </w:r>
      <w:r>
        <w:t xml:space="preserve"> </w:t>
      </w:r>
      <w:r w:rsidRPr="00945F83">
        <w:t>acknowledges</w:t>
      </w:r>
      <w:proofErr w:type="gramEnd"/>
      <w:r w:rsidRPr="00945F83">
        <w:t xml:space="preserve"> the contribution of the </w:t>
      </w:r>
      <w:r>
        <w:t>polypharmacy in older people</w:t>
      </w:r>
      <w:r w:rsidRPr="00945F83">
        <w:t xml:space="preserve"> expert advisory group in developing </w:t>
      </w:r>
      <w:r>
        <w:t>earlier iterations of this</w:t>
      </w:r>
      <w:r w:rsidRPr="00945F83">
        <w:t xml:space="preserve"> Atlas of Healthcare Variation domain:</w:t>
      </w:r>
    </w:p>
    <w:p w14:paraId="219B0913" w14:textId="77777777" w:rsidR="00650F88" w:rsidRPr="00DD0AF2" w:rsidRDefault="00650F88" w:rsidP="00650F88">
      <w:pPr>
        <w:pStyle w:val="ListParagraph"/>
        <w:numPr>
          <w:ilvl w:val="0"/>
          <w:numId w:val="31"/>
        </w:numPr>
        <w:spacing w:after="60"/>
        <w:ind w:left="357" w:hanging="357"/>
        <w:contextualSpacing w:val="0"/>
        <w:rPr>
          <w:rFonts w:ascii="Calibri" w:hAnsi="Calibri"/>
        </w:rPr>
      </w:pPr>
      <w:r>
        <w:t>Dr John Gommans</w:t>
      </w:r>
    </w:p>
    <w:p w14:paraId="53B7E4B5" w14:textId="77777777" w:rsidR="00650F88" w:rsidRPr="00DD0AF2" w:rsidRDefault="00650F88" w:rsidP="00650F88">
      <w:pPr>
        <w:pStyle w:val="ListParagraph"/>
        <w:numPr>
          <w:ilvl w:val="0"/>
          <w:numId w:val="31"/>
        </w:numPr>
        <w:spacing w:after="60"/>
        <w:ind w:left="357" w:hanging="357"/>
        <w:contextualSpacing w:val="0"/>
        <w:rPr>
          <w:lang w:val="mi-NZ"/>
        </w:rPr>
      </w:pPr>
      <w:r w:rsidRPr="00DD0AF2">
        <w:rPr>
          <w:lang w:val="mi-NZ"/>
        </w:rPr>
        <w:t>Dr Carl Hanger</w:t>
      </w:r>
    </w:p>
    <w:p w14:paraId="50CDE68B" w14:textId="77777777" w:rsidR="00650F88" w:rsidRDefault="00650F88" w:rsidP="00650F88">
      <w:pPr>
        <w:pStyle w:val="ListParagraph"/>
        <w:numPr>
          <w:ilvl w:val="0"/>
          <w:numId w:val="31"/>
        </w:numPr>
        <w:spacing w:after="60"/>
        <w:ind w:left="357" w:hanging="357"/>
        <w:contextualSpacing w:val="0"/>
      </w:pPr>
      <w:r>
        <w:t>Dr Gary Jackson</w:t>
      </w:r>
    </w:p>
    <w:p w14:paraId="061246D4" w14:textId="77777777" w:rsidR="00650F88" w:rsidRPr="00DD0AF2" w:rsidRDefault="00650F88" w:rsidP="00650F88">
      <w:pPr>
        <w:pStyle w:val="ListParagraph"/>
        <w:numPr>
          <w:ilvl w:val="0"/>
          <w:numId w:val="31"/>
        </w:numPr>
        <w:spacing w:after="60"/>
        <w:ind w:left="357" w:hanging="357"/>
        <w:contextualSpacing w:val="0"/>
        <w:rPr>
          <w:lang w:val="mi-NZ"/>
        </w:rPr>
      </w:pPr>
      <w:r w:rsidRPr="00DD0AF2">
        <w:rPr>
          <w:lang w:val="mi-NZ"/>
        </w:rPr>
        <w:t>Professor Timothy Maling</w:t>
      </w:r>
    </w:p>
    <w:p w14:paraId="0633EED0" w14:textId="77777777" w:rsidR="00650F88" w:rsidRPr="00DD0AF2" w:rsidRDefault="00650F88" w:rsidP="00650F88">
      <w:pPr>
        <w:pStyle w:val="ListParagraph"/>
        <w:numPr>
          <w:ilvl w:val="0"/>
          <w:numId w:val="31"/>
        </w:numPr>
        <w:spacing w:after="60"/>
        <w:ind w:left="357" w:hanging="357"/>
        <w:contextualSpacing w:val="0"/>
        <w:rPr>
          <w:lang w:val="mi-NZ"/>
        </w:rPr>
      </w:pPr>
      <w:r w:rsidRPr="00DD0AF2">
        <w:rPr>
          <w:lang w:val="mi-NZ"/>
        </w:rPr>
        <w:t>Dr Nigel Millar</w:t>
      </w:r>
    </w:p>
    <w:p w14:paraId="115D5318" w14:textId="77777777" w:rsidR="00650F88" w:rsidRDefault="00650F88" w:rsidP="00650F88">
      <w:pPr>
        <w:pStyle w:val="ListParagraph"/>
        <w:numPr>
          <w:ilvl w:val="0"/>
          <w:numId w:val="31"/>
        </w:numPr>
        <w:spacing w:after="60"/>
        <w:ind w:left="357" w:hanging="357"/>
        <w:contextualSpacing w:val="0"/>
      </w:pPr>
      <w:r>
        <w:t>Dr Helen Rodenburg</w:t>
      </w:r>
    </w:p>
    <w:p w14:paraId="444975AB" w14:textId="77777777" w:rsidR="00650F88" w:rsidRDefault="00650F88" w:rsidP="00650F88">
      <w:pPr>
        <w:pStyle w:val="ListParagraph"/>
        <w:numPr>
          <w:ilvl w:val="0"/>
          <w:numId w:val="31"/>
        </w:numPr>
        <w:spacing w:after="60"/>
        <w:ind w:left="357" w:hanging="357"/>
        <w:contextualSpacing w:val="0"/>
      </w:pPr>
      <w:r>
        <w:t>Ms Leanne Te Karu</w:t>
      </w:r>
    </w:p>
    <w:p w14:paraId="5133F291" w14:textId="77777777" w:rsidR="00650F88" w:rsidRPr="00DD0AF2" w:rsidRDefault="00650F88" w:rsidP="00650F88">
      <w:pPr>
        <w:pStyle w:val="ListParagraph"/>
        <w:numPr>
          <w:ilvl w:val="0"/>
          <w:numId w:val="31"/>
        </w:numPr>
        <w:spacing w:after="60"/>
        <w:ind w:left="357" w:hanging="357"/>
        <w:contextualSpacing w:val="0"/>
        <w:rPr>
          <w:lang w:val="mi-NZ"/>
        </w:rPr>
      </w:pPr>
      <w:r w:rsidRPr="00DD0AF2">
        <w:rPr>
          <w:lang w:val="mi-NZ"/>
        </w:rPr>
        <w:t>Dr Maree Todd</w:t>
      </w:r>
    </w:p>
    <w:p w14:paraId="50ED8F86" w14:textId="77777777" w:rsidR="00650F88" w:rsidRDefault="00650F88" w:rsidP="00650F88">
      <w:pPr>
        <w:pStyle w:val="ListParagraph"/>
        <w:numPr>
          <w:ilvl w:val="0"/>
          <w:numId w:val="31"/>
        </w:numPr>
        <w:spacing w:after="0"/>
      </w:pPr>
      <w:r>
        <w:t>Dr Natasha Smith.</w:t>
      </w:r>
    </w:p>
    <w:p w14:paraId="44A7E245" w14:textId="77777777" w:rsidR="00650F88" w:rsidRDefault="00650F88" w:rsidP="00650F88">
      <w:pPr>
        <w:pStyle w:val="ListParagraph"/>
        <w:spacing w:after="0"/>
        <w:ind w:left="360"/>
      </w:pPr>
    </w:p>
    <w:p w14:paraId="77A03BB1" w14:textId="77777777" w:rsidR="00650F88" w:rsidRPr="00824A02" w:rsidRDefault="00650F88" w:rsidP="00650F88">
      <w:pPr>
        <w:rPr>
          <w:b/>
          <w:bCs/>
        </w:rPr>
      </w:pPr>
      <w:r w:rsidRPr="00824A02">
        <w:rPr>
          <w:b/>
          <w:bCs/>
        </w:rPr>
        <w:t>Disclaimer</w:t>
      </w:r>
    </w:p>
    <w:p w14:paraId="591EF234" w14:textId="77777777" w:rsidR="00650F88" w:rsidRPr="0000087A" w:rsidRDefault="00650F88" w:rsidP="00650F88">
      <w:pPr>
        <w:spacing w:after="240"/>
      </w:pPr>
      <w:r w:rsidRPr="00945F83">
        <w:t>The Commission is responsible for the content of th</w:t>
      </w:r>
      <w:r>
        <w:t>e polypharmacy in older people</w:t>
      </w:r>
      <w:r w:rsidRPr="00945F83">
        <w:t xml:space="preserve"> </w:t>
      </w:r>
      <w:r>
        <w:t>Atlas</w:t>
      </w:r>
      <w:r w:rsidRPr="00945F83">
        <w:t xml:space="preserve"> domain and methodology</w:t>
      </w:r>
      <w:r>
        <w:t>;</w:t>
      </w:r>
      <w:r w:rsidRPr="00945F83">
        <w:t xml:space="preserve"> any errors of fact or interpretation are ours alone</w:t>
      </w:r>
      <w:r>
        <w:t>.</w:t>
      </w:r>
    </w:p>
    <w:p w14:paraId="133EAD4E" w14:textId="77777777" w:rsidR="00650F88" w:rsidRPr="00997D78" w:rsidRDefault="00650F88" w:rsidP="00650F88">
      <w:pPr>
        <w:pStyle w:val="Header"/>
        <w:tabs>
          <w:tab w:val="center" w:pos="709"/>
        </w:tabs>
        <w:spacing w:before="240"/>
        <w:rPr>
          <w:rFonts w:cs="Arial"/>
          <w:b/>
        </w:rPr>
      </w:pPr>
      <w:r w:rsidRPr="00997D78">
        <w:rPr>
          <w:rFonts w:cs="Arial"/>
          <w:b/>
        </w:rPr>
        <w:t>Data source</w:t>
      </w:r>
    </w:p>
    <w:p w14:paraId="668B38D7" w14:textId="77777777" w:rsidR="00650F88" w:rsidRPr="00A803A6" w:rsidRDefault="00650F88" w:rsidP="00650F88">
      <w:pPr>
        <w:pStyle w:val="Header"/>
        <w:numPr>
          <w:ilvl w:val="0"/>
          <w:numId w:val="23"/>
        </w:numPr>
        <w:tabs>
          <w:tab w:val="center" w:pos="709"/>
        </w:tabs>
        <w:spacing w:line="360" w:lineRule="auto"/>
        <w:rPr>
          <w:rFonts w:cs="Arial"/>
          <w:color w:val="000000" w:themeColor="text1"/>
        </w:rPr>
      </w:pPr>
      <w:r w:rsidRPr="00A803A6">
        <w:rPr>
          <w:rFonts w:cs="Arial"/>
          <w:color w:val="000000" w:themeColor="text1"/>
        </w:rPr>
        <w:t>National minimum dataset (NMDS), Health New Zealand.</w:t>
      </w:r>
    </w:p>
    <w:p w14:paraId="06107018" w14:textId="77777777" w:rsidR="00650F88" w:rsidRPr="00A803A6" w:rsidRDefault="00650F88" w:rsidP="00650F88">
      <w:pPr>
        <w:pStyle w:val="Header"/>
        <w:numPr>
          <w:ilvl w:val="0"/>
          <w:numId w:val="23"/>
        </w:numPr>
        <w:tabs>
          <w:tab w:val="center" w:pos="709"/>
        </w:tabs>
        <w:spacing w:line="360" w:lineRule="auto"/>
        <w:rPr>
          <w:rFonts w:cs="Arial"/>
          <w:bCs/>
          <w:color w:val="000000" w:themeColor="text1"/>
        </w:rPr>
      </w:pPr>
      <w:r w:rsidRPr="00A803A6">
        <w:rPr>
          <w:rFonts w:cs="Arial"/>
          <w:bCs/>
          <w:color w:val="000000" w:themeColor="text1"/>
        </w:rPr>
        <w:t>Primary Health Organisation (PHO) Enrolment Collection, Health New Zealand.</w:t>
      </w:r>
    </w:p>
    <w:p w14:paraId="3FA8EFFB" w14:textId="77777777" w:rsidR="00650F88" w:rsidRPr="00A803A6" w:rsidRDefault="00650F88" w:rsidP="00650F88">
      <w:pPr>
        <w:pStyle w:val="Header"/>
        <w:numPr>
          <w:ilvl w:val="0"/>
          <w:numId w:val="23"/>
        </w:numPr>
        <w:tabs>
          <w:tab w:val="center" w:pos="709"/>
        </w:tabs>
        <w:spacing w:line="360" w:lineRule="auto"/>
        <w:rPr>
          <w:rFonts w:cs="Arial"/>
          <w:bCs/>
          <w:color w:val="000000" w:themeColor="text1"/>
        </w:rPr>
      </w:pPr>
      <w:r w:rsidRPr="00A803A6">
        <w:rPr>
          <w:rFonts w:cs="Arial"/>
          <w:bCs/>
          <w:color w:val="000000" w:themeColor="text1"/>
        </w:rPr>
        <w:t>Pharmaceutical Collection, Health New Zealand.</w:t>
      </w:r>
    </w:p>
    <w:p w14:paraId="4F0B50EA" w14:textId="77777777" w:rsidR="00650F88" w:rsidRDefault="00650F88" w:rsidP="00650F88">
      <w:pPr>
        <w:pStyle w:val="ListParagraph"/>
        <w:numPr>
          <w:ilvl w:val="0"/>
          <w:numId w:val="23"/>
        </w:numPr>
        <w:rPr>
          <w:color w:val="000000" w:themeColor="text1"/>
        </w:rPr>
      </w:pPr>
      <w:r w:rsidRPr="00A803A6">
        <w:rPr>
          <w:color w:val="000000" w:themeColor="text1"/>
        </w:rPr>
        <w:t>All information on demographics were obtained from the NHI database, Health New Zealand.</w:t>
      </w:r>
    </w:p>
    <w:p w14:paraId="002C0DF5" w14:textId="77777777" w:rsidR="00650F88" w:rsidRPr="00FB7DA2" w:rsidRDefault="00650F88" w:rsidP="00FB7DA2">
      <w:pPr>
        <w:pStyle w:val="TeThHauorahead3"/>
      </w:pPr>
      <w:bookmarkStart w:id="5" w:name="_Toc210140421"/>
      <w:bookmarkStart w:id="6" w:name="_Toc215603190"/>
      <w:r w:rsidRPr="00FB7DA2">
        <w:t>Exclusions</w:t>
      </w:r>
      <w:bookmarkEnd w:id="5"/>
      <w:bookmarkEnd w:id="6"/>
    </w:p>
    <w:p w14:paraId="35202787" w14:textId="77777777" w:rsidR="00650F88" w:rsidRPr="00A803A6" w:rsidRDefault="00650F88" w:rsidP="00650F88">
      <w:pPr>
        <w:spacing w:after="240"/>
        <w:rPr>
          <w:rFonts w:cs="Arial"/>
          <w:color w:val="000000" w:themeColor="text1"/>
        </w:rPr>
      </w:pPr>
      <w:r w:rsidRPr="00A803A6">
        <w:rPr>
          <w:rFonts w:cs="Arial"/>
          <w:color w:val="000000" w:themeColor="text1"/>
        </w:rPr>
        <w:t>People who were excluded from the analysis were:</w:t>
      </w:r>
    </w:p>
    <w:p w14:paraId="2D993060" w14:textId="77777777" w:rsidR="00650F88" w:rsidRDefault="00650F88" w:rsidP="00650F88">
      <w:pPr>
        <w:pStyle w:val="ListParagraph"/>
        <w:numPr>
          <w:ilvl w:val="0"/>
          <w:numId w:val="23"/>
        </w:numPr>
        <w:rPr>
          <w:color w:val="000000" w:themeColor="text1"/>
        </w:rPr>
      </w:pPr>
      <w:r w:rsidRPr="00581343">
        <w:rPr>
          <w:rFonts w:cs="Arial"/>
          <w:color w:val="000000" w:themeColor="text1"/>
        </w:rPr>
        <w:t xml:space="preserve">individuals with missing demographics– that is, those with no recorded value for one or more of the National Health Index (NHI) fields used to derive the </w:t>
      </w:r>
      <w:r w:rsidRPr="00581343">
        <w:rPr>
          <w:color w:val="000000" w:themeColor="text1"/>
        </w:rPr>
        <w:t xml:space="preserve">demographic variables </w:t>
      </w:r>
      <w:r w:rsidRPr="00581343">
        <w:rPr>
          <w:color w:val="000000" w:themeColor="text1"/>
        </w:rPr>
        <w:lastRenderedPageBreak/>
        <w:t>of interest (age, gender, ethnicity and district of domicile). For instance, a person with no recorded ethnicity in 2023 is excluded from all indicators for that calendar year. This approach ensures a consistent denominator throughout the analyses.</w:t>
      </w:r>
    </w:p>
    <w:p w14:paraId="68E19BEE" w14:textId="77777777" w:rsidR="00650F88" w:rsidRPr="0022117C" w:rsidRDefault="00650F88" w:rsidP="00650F88">
      <w:pPr>
        <w:pStyle w:val="ListParagraph"/>
        <w:numPr>
          <w:ilvl w:val="0"/>
          <w:numId w:val="23"/>
        </w:numPr>
        <w:rPr>
          <w:color w:val="000000" w:themeColor="text1"/>
        </w:rPr>
      </w:pPr>
      <w:r w:rsidRPr="00581343">
        <w:rPr>
          <w:rFonts w:cs="Arial"/>
          <w:color w:val="000000" w:themeColor="text1"/>
        </w:rPr>
        <w:t>those who weren’t enrolled in a PHO in the calendar year.</w:t>
      </w:r>
      <w:r>
        <w:rPr>
          <w:rFonts w:cs="Arial"/>
          <w:color w:val="000000" w:themeColor="text1"/>
        </w:rPr>
        <w:t xml:space="preserve"> </w:t>
      </w:r>
    </w:p>
    <w:p w14:paraId="3227D71F" w14:textId="53519106" w:rsidR="00650F88" w:rsidRDefault="00B93E2C" w:rsidP="00650F88">
      <w:pPr>
        <w:rPr>
          <w:rFonts w:cs="Arial"/>
          <w:b/>
        </w:rPr>
      </w:pPr>
      <w:r w:rsidRPr="006D0484">
        <w:rPr>
          <w:rFonts w:cs="Arial"/>
          <w:b/>
        </w:rPr>
        <w:t>Confidence intervals</w:t>
      </w:r>
    </w:p>
    <w:p w14:paraId="3FC67DA6" w14:textId="77777777" w:rsidR="00B93E2C" w:rsidRPr="00A803A6" w:rsidRDefault="00B93E2C" w:rsidP="00B93E2C">
      <w:pPr>
        <w:rPr>
          <w:rFonts w:eastAsia="Arial" w:cs="Arial"/>
          <w:color w:val="000000" w:themeColor="text1"/>
        </w:rPr>
      </w:pPr>
      <w:r w:rsidRPr="00A803A6">
        <w:rPr>
          <w:color w:val="000000" w:themeColor="text1"/>
        </w:rPr>
        <w:t>We present indicator data as a percentage or rate per 1,000, calculated for each Health New Zealand district. We use 95% confidence intervals to understand the range of likely values for each result.</w:t>
      </w:r>
      <w:r w:rsidRPr="00A803A6">
        <w:rPr>
          <w:rFonts w:eastAsia="Arial" w:cs="Arial"/>
          <w:color w:val="000000" w:themeColor="text1"/>
        </w:rPr>
        <w:t xml:space="preserve"> Each result is compared to the overall New Zealand rate for the same indicator.</w:t>
      </w:r>
    </w:p>
    <w:p w14:paraId="3CCF1D13" w14:textId="77777777" w:rsidR="00B93E2C" w:rsidRPr="00A803A6" w:rsidRDefault="00B93E2C" w:rsidP="00B93E2C">
      <w:pPr>
        <w:rPr>
          <w:color w:val="000000" w:themeColor="text1"/>
        </w:rPr>
      </w:pPr>
      <w:r w:rsidRPr="00A803A6">
        <w:rPr>
          <w:rFonts w:eastAsia="Arial" w:cs="Arial"/>
          <w:color w:val="000000" w:themeColor="text1"/>
        </w:rPr>
        <w:t xml:space="preserve">Comparing two confidence intervals is a quick heuristic method to determine whether there is a statistically significant difference between rates.  </w:t>
      </w:r>
      <w:r w:rsidRPr="00A803A6">
        <w:rPr>
          <w:color w:val="000000" w:themeColor="text1"/>
        </w:rPr>
        <w:t xml:space="preserve">If the confidence intervals don’t overlap, the difference can be considered significant </w:t>
      </w:r>
      <w:r w:rsidRPr="00A803A6">
        <w:rPr>
          <w:rFonts w:eastAsia="Arial" w:cs="Arial"/>
          <w:color w:val="000000" w:themeColor="text1"/>
        </w:rPr>
        <w:t>at the 0.05 level</w:t>
      </w:r>
      <w:r w:rsidRPr="00A803A6">
        <w:rPr>
          <w:color w:val="000000" w:themeColor="text1"/>
        </w:rPr>
        <w:t xml:space="preserve">. If they do overlap, the difference may or may not be significant </w:t>
      </w:r>
      <w:r w:rsidRPr="00A803A6">
        <w:rPr>
          <w:rFonts w:eastAsia="Arial" w:cs="Arial"/>
          <w:color w:val="000000" w:themeColor="text1"/>
        </w:rPr>
        <w:t>at the 0.05 level</w:t>
      </w:r>
      <w:r w:rsidRPr="00A803A6">
        <w:rPr>
          <w:color w:val="000000" w:themeColor="text1"/>
        </w:rPr>
        <w:t>.</w:t>
      </w:r>
    </w:p>
    <w:p w14:paraId="709B3E96" w14:textId="77777777" w:rsidR="00B93E2C" w:rsidRPr="00A803A6" w:rsidRDefault="00B93E2C" w:rsidP="00B93E2C">
      <w:pPr>
        <w:pStyle w:val="ListParagraph"/>
        <w:numPr>
          <w:ilvl w:val="0"/>
          <w:numId w:val="32"/>
        </w:numPr>
        <w:spacing w:after="60"/>
        <w:contextualSpacing w:val="0"/>
        <w:rPr>
          <w:color w:val="000000" w:themeColor="text1"/>
        </w:rPr>
      </w:pPr>
      <w:r w:rsidRPr="00A803A6">
        <w:rPr>
          <w:color w:val="000000" w:themeColor="text1"/>
        </w:rPr>
        <w:t>If the district’s upper limit is below New Zealand’s lower limit, we say the district’s result is “Significantly lower.”</w:t>
      </w:r>
    </w:p>
    <w:p w14:paraId="0EBCF4C9" w14:textId="77777777" w:rsidR="00B93E2C" w:rsidRPr="00A803A6" w:rsidRDefault="00B93E2C" w:rsidP="00B93E2C">
      <w:pPr>
        <w:pStyle w:val="ListParagraph"/>
        <w:numPr>
          <w:ilvl w:val="0"/>
          <w:numId w:val="32"/>
        </w:numPr>
        <w:spacing w:after="60"/>
        <w:contextualSpacing w:val="0"/>
        <w:rPr>
          <w:color w:val="000000" w:themeColor="text1"/>
        </w:rPr>
      </w:pPr>
      <w:r w:rsidRPr="00A803A6">
        <w:rPr>
          <w:color w:val="000000" w:themeColor="text1"/>
        </w:rPr>
        <w:t>If the district’s lower limit is above New Zealand’s upper limit, we say the result is “Significantly higher.”</w:t>
      </w:r>
    </w:p>
    <w:p w14:paraId="020772E7" w14:textId="77777777" w:rsidR="00B93E2C" w:rsidRPr="00A803A6" w:rsidRDefault="00B93E2C" w:rsidP="00B93E2C">
      <w:pPr>
        <w:pStyle w:val="ListParagraph"/>
        <w:numPr>
          <w:ilvl w:val="0"/>
          <w:numId w:val="32"/>
        </w:numPr>
        <w:spacing w:after="60"/>
        <w:contextualSpacing w:val="0"/>
        <w:rPr>
          <w:color w:val="000000" w:themeColor="text1"/>
        </w:rPr>
      </w:pPr>
      <w:r w:rsidRPr="00A803A6">
        <w:rPr>
          <w:color w:val="000000" w:themeColor="text1"/>
        </w:rPr>
        <w:t>If the confidence intervals overlap, we say the result is “Not significantly different.”</w:t>
      </w:r>
    </w:p>
    <w:p w14:paraId="72CFBE03" w14:textId="77777777" w:rsidR="00B93E2C" w:rsidRPr="00A803A6" w:rsidRDefault="00B93E2C" w:rsidP="00B93E2C">
      <w:pPr>
        <w:spacing w:after="0"/>
        <w:rPr>
          <w:rFonts w:eastAsia="Arial" w:cs="Arial"/>
          <w:color w:val="000000" w:themeColor="text1"/>
        </w:rPr>
      </w:pPr>
      <w:r w:rsidRPr="00A803A6">
        <w:rPr>
          <w:rFonts w:eastAsia="Arial" w:cs="Arial"/>
          <w:color w:val="000000" w:themeColor="text1"/>
        </w:rPr>
        <w:t xml:space="preserve">The same method is used for comparisons between demographic groups and time points in key findings on the </w:t>
      </w:r>
      <w:hyperlink r:id="rId8" w:history="1">
        <w:r w:rsidRPr="00DF0A8D">
          <w:rPr>
            <w:rStyle w:val="Hyperlink"/>
            <w:rFonts w:eastAsia="Arial" w:cs="Arial"/>
          </w:rPr>
          <w:t>landing page</w:t>
        </w:r>
      </w:hyperlink>
      <w:r>
        <w:rPr>
          <w:rFonts w:eastAsia="Arial" w:cs="Arial"/>
          <w:color w:val="000000" w:themeColor="text1"/>
        </w:rPr>
        <w:t>.</w:t>
      </w:r>
    </w:p>
    <w:p w14:paraId="26B97ED7" w14:textId="77777777" w:rsidR="00B93E2C" w:rsidRPr="00A803A6" w:rsidRDefault="00B93E2C" w:rsidP="00B93E2C">
      <w:pPr>
        <w:spacing w:after="0"/>
        <w:rPr>
          <w:rFonts w:eastAsia="Arial" w:cs="Arial"/>
          <w:color w:val="000000" w:themeColor="text1"/>
        </w:rPr>
      </w:pPr>
    </w:p>
    <w:p w14:paraId="5698D23E" w14:textId="3543D15A" w:rsidR="00B93E2C" w:rsidRDefault="00B93E2C" w:rsidP="00B93E2C">
      <w:pPr>
        <w:rPr>
          <w:vanish/>
        </w:rPr>
      </w:pPr>
      <w:r w:rsidRPr="00A803A6">
        <w:rPr>
          <w:rFonts w:eastAsia="Arial" w:cs="Arial"/>
          <w:color w:val="000000" w:themeColor="text1"/>
        </w:rPr>
        <w:t>Note that this method is a conservative test of statistical significance; results with overlapping confidence intervals may still be significantly different at the 0.05 level if a formal statistical test is undertaken.</w:t>
      </w:r>
    </w:p>
    <w:p w14:paraId="3D749C0D" w14:textId="77777777" w:rsidR="00650F88" w:rsidRPr="009E2C89" w:rsidRDefault="00650F88" w:rsidP="00650F88">
      <w:pPr>
        <w:rPr>
          <w:rFonts w:cs="Arial"/>
          <w:highlight w:val="yellow"/>
        </w:rPr>
      </w:pPr>
    </w:p>
    <w:p w14:paraId="1C4F59BF" w14:textId="77777777" w:rsidR="00B93E2C" w:rsidRPr="00997D78" w:rsidRDefault="00B93E2C" w:rsidP="00B93E2C">
      <w:pPr>
        <w:spacing w:before="60"/>
        <w:rPr>
          <w:rFonts w:cs="Arial"/>
          <w:b/>
          <w:bCs/>
        </w:rPr>
      </w:pPr>
      <w:r w:rsidRPr="00997D78">
        <w:rPr>
          <w:rFonts w:cs="Arial"/>
          <w:b/>
          <w:bCs/>
        </w:rPr>
        <w:t>Rationale for indicators measuring the number of long-term medicines</w:t>
      </w:r>
    </w:p>
    <w:p w14:paraId="2B32B6ED" w14:textId="77777777" w:rsidR="00B93E2C" w:rsidRPr="00997D78" w:rsidRDefault="00B93E2C" w:rsidP="00B93E2C">
      <w:pPr>
        <w:spacing w:before="60"/>
        <w:rPr>
          <w:rFonts w:cs="Arial"/>
        </w:rPr>
      </w:pPr>
      <w:r w:rsidRPr="00997D78">
        <w:rPr>
          <w:rFonts w:cs="Arial"/>
        </w:rPr>
        <w:t xml:space="preserve">Polypharmacy is associated with: </w:t>
      </w:r>
    </w:p>
    <w:p w14:paraId="144EC5BC" w14:textId="77777777" w:rsidR="00744133" w:rsidRPr="00DF2A81" w:rsidRDefault="00744133" w:rsidP="00744133">
      <w:pPr>
        <w:pStyle w:val="ListParagraph"/>
        <w:numPr>
          <w:ilvl w:val="0"/>
          <w:numId w:val="24"/>
        </w:numPr>
        <w:spacing w:after="200"/>
        <w:rPr>
          <w:rFonts w:cs="Arial"/>
        </w:rPr>
      </w:pPr>
      <w:r w:rsidRPr="00DF2A81">
        <w:rPr>
          <w:rFonts w:cs="Arial"/>
        </w:rPr>
        <w:t>people not taking medicines as prescribed</w:t>
      </w:r>
    </w:p>
    <w:p w14:paraId="2D047113" w14:textId="77777777" w:rsidR="00744133" w:rsidRPr="00DF2A81" w:rsidRDefault="00744133" w:rsidP="00744133">
      <w:pPr>
        <w:pStyle w:val="ListParagraph"/>
        <w:numPr>
          <w:ilvl w:val="0"/>
          <w:numId w:val="24"/>
        </w:numPr>
        <w:spacing w:after="200"/>
        <w:rPr>
          <w:rFonts w:cs="Arial"/>
        </w:rPr>
      </w:pPr>
      <w:r w:rsidRPr="00DF2A81">
        <w:rPr>
          <w:rFonts w:cs="Arial"/>
        </w:rPr>
        <w:t>significant costs to patients and health services</w:t>
      </w:r>
    </w:p>
    <w:p w14:paraId="1E72AD16" w14:textId="77777777" w:rsidR="00744133" w:rsidRPr="00DF2A81" w:rsidRDefault="00744133" w:rsidP="00744133">
      <w:pPr>
        <w:pStyle w:val="ListParagraph"/>
        <w:numPr>
          <w:ilvl w:val="0"/>
          <w:numId w:val="24"/>
        </w:numPr>
        <w:spacing w:after="200"/>
        <w:rPr>
          <w:rFonts w:cs="Arial"/>
        </w:rPr>
      </w:pPr>
      <w:r w:rsidRPr="00DF2A81">
        <w:rPr>
          <w:rFonts w:cs="Arial"/>
        </w:rPr>
        <w:t xml:space="preserve">poor health outcomes, such as adverse drug events, drug interactions, admissions to hospital and death. </w:t>
      </w:r>
    </w:p>
    <w:p w14:paraId="3066EDE6" w14:textId="77777777" w:rsidR="00744133" w:rsidRPr="00DF2A81" w:rsidRDefault="00744133" w:rsidP="00744133">
      <w:pPr>
        <w:rPr>
          <w:rFonts w:cs="Arial"/>
        </w:rPr>
      </w:pPr>
      <w:r w:rsidRPr="00DF2A81">
        <w:rPr>
          <w:rFonts w:cs="Arial"/>
        </w:rPr>
        <w:t xml:space="preserve">Older people (65 years and over) are more susceptible to medicine-related side effects, especially those who are frail or have multiple health conditions. </w:t>
      </w:r>
    </w:p>
    <w:p w14:paraId="77C16046" w14:textId="1C17B1AC" w:rsidR="00744133" w:rsidRPr="00DF2A81" w:rsidRDefault="00744133" w:rsidP="00744133">
      <w:pPr>
        <w:rPr>
          <w:rFonts w:cs="Arial"/>
        </w:rPr>
      </w:pPr>
      <w:r w:rsidRPr="00246E8C">
        <w:rPr>
          <w:rFonts w:cs="Arial"/>
        </w:rPr>
        <w:t xml:space="preserve">The risk of adverse drug events increases exponentially with the number of medications taken. </w:t>
      </w:r>
    </w:p>
    <w:p w14:paraId="509767D2" w14:textId="77777777" w:rsidR="00744133" w:rsidRPr="00DF2A81" w:rsidRDefault="00744133" w:rsidP="00744133">
      <w:pPr>
        <w:rPr>
          <w:rFonts w:cs="Arial"/>
        </w:rPr>
      </w:pPr>
      <w:r w:rsidRPr="00DF2A81">
        <w:rPr>
          <w:rFonts w:cs="Arial"/>
        </w:rPr>
        <w:t>Polypharmacy is more likely to be appropriate in the robust 'young elderly' while problematic polypharmacy is more likely to occur in the frail 'old elderly'. Focusing on the 85 years and over age group may be most appropriate, where the doses used may be as important as the number of medicines.</w:t>
      </w:r>
    </w:p>
    <w:p w14:paraId="79559895" w14:textId="77777777" w:rsidR="00B93E2C" w:rsidRPr="00997D78" w:rsidRDefault="00B93E2C" w:rsidP="00B93E2C">
      <w:pPr>
        <w:spacing w:before="60"/>
        <w:rPr>
          <w:rFonts w:cs="Arial"/>
        </w:rPr>
      </w:pPr>
      <w:r w:rsidRPr="00997D78">
        <w:rPr>
          <w:rFonts w:cs="Arial"/>
        </w:rPr>
        <w:t>The goal of this Atlas domain is to identify whether there is wide variation in rates</w:t>
      </w:r>
      <w:r>
        <w:rPr>
          <w:rFonts w:cs="Arial"/>
        </w:rPr>
        <w:t>,</w:t>
      </w:r>
      <w:r w:rsidRPr="00997D78">
        <w:rPr>
          <w:rFonts w:cs="Arial"/>
        </w:rPr>
        <w:t xml:space="preserve"> which may highlight areas for further local investigation. </w:t>
      </w:r>
    </w:p>
    <w:p w14:paraId="63CB8D4E" w14:textId="77777777" w:rsidR="00B93E2C" w:rsidRPr="00825CFB" w:rsidRDefault="00B93E2C" w:rsidP="00B93E2C">
      <w:pPr>
        <w:spacing w:before="120"/>
        <w:rPr>
          <w:rFonts w:cs="Arial"/>
          <w:b/>
          <w:bCs/>
        </w:rPr>
      </w:pPr>
      <w:r w:rsidRPr="00825CFB">
        <w:rPr>
          <w:rFonts w:cs="Arial"/>
          <w:b/>
          <w:bCs/>
        </w:rPr>
        <w:t>Rationale for measuring the rate of antipsychotic and benzodiazepine use</w:t>
      </w:r>
    </w:p>
    <w:p w14:paraId="12F8C8DF" w14:textId="77777777" w:rsidR="00B93E2C" w:rsidRPr="00997D78" w:rsidRDefault="00B93E2C" w:rsidP="00B93E2C">
      <w:pPr>
        <w:spacing w:before="60"/>
        <w:rPr>
          <w:rFonts w:cs="Arial"/>
        </w:rPr>
      </w:pPr>
      <w:r w:rsidRPr="00997D78">
        <w:rPr>
          <w:rFonts w:cs="Arial"/>
        </w:rPr>
        <w:lastRenderedPageBreak/>
        <w:t>In older people, certain classes of medicines carry a substantially higher risk of adverse effects. Two examples presented in this Atlas domain are antipsychotics and benzodiazepine or zopiclone. Common adverse effects include impaired functional ability, agitation, confusion, blurred vision, urinary retention, constipation, postural hypotension and falls. These increase if both classes of medicine are taken together. This indicator cannot assess inappropriate use of these medicines; however, high rates of prescribing may indicate misuse or overuse.</w:t>
      </w:r>
    </w:p>
    <w:p w14:paraId="024302F8" w14:textId="77777777" w:rsidR="00B93E2C" w:rsidRPr="00825CFB" w:rsidRDefault="00B93E2C" w:rsidP="00B93E2C">
      <w:pPr>
        <w:spacing w:before="120"/>
        <w:rPr>
          <w:rFonts w:cs="Arial"/>
          <w:b/>
          <w:bCs/>
        </w:rPr>
      </w:pPr>
      <w:r w:rsidRPr="00825CFB">
        <w:rPr>
          <w:rFonts w:cs="Arial"/>
          <w:b/>
          <w:bCs/>
        </w:rPr>
        <w:t xml:space="preserve">Rationale for ‘triple whammy’ </w:t>
      </w:r>
    </w:p>
    <w:p w14:paraId="3739AAD6" w14:textId="3F47359A" w:rsidR="00FB7DA2" w:rsidRDefault="00B93E2C" w:rsidP="00650F88">
      <w:pPr>
        <w:rPr>
          <w:rFonts w:cs="Arial"/>
        </w:rPr>
      </w:pPr>
      <w:r w:rsidRPr="00997D78">
        <w:rPr>
          <w:rFonts w:cs="Arial"/>
        </w:rPr>
        <w:t>Triple whammy is the combination of an angiotensin converting enzyme inhibitor</w:t>
      </w:r>
      <w:r>
        <w:rPr>
          <w:rFonts w:cs="Arial"/>
        </w:rPr>
        <w:t xml:space="preserve"> </w:t>
      </w:r>
      <w:r w:rsidRPr="00997D78">
        <w:rPr>
          <w:rFonts w:cs="Arial"/>
        </w:rPr>
        <w:t>(ACE</w:t>
      </w:r>
      <w:r>
        <w:rPr>
          <w:rFonts w:cs="Arial"/>
        </w:rPr>
        <w:t>I</w:t>
      </w:r>
      <w:r w:rsidRPr="00997D78">
        <w:rPr>
          <w:rFonts w:cs="Arial"/>
        </w:rPr>
        <w:t xml:space="preserve">)/ angiotensin receptor blocker (ARB), a diuretic and a non-steroidal anti-inflammatory (NSAID). </w:t>
      </w:r>
      <w:proofErr w:type="spellStart"/>
      <w:r w:rsidRPr="00997D78">
        <w:rPr>
          <w:rFonts w:cs="Arial"/>
        </w:rPr>
        <w:t>Medsafe</w:t>
      </w:r>
      <w:proofErr w:type="spellEnd"/>
      <w:r w:rsidRPr="00997D78">
        <w:rPr>
          <w:rFonts w:cs="Arial"/>
        </w:rPr>
        <w:t xml:space="preserve"> </w:t>
      </w:r>
      <w:hyperlink r:id="rId9" w:history="1">
        <w:r w:rsidRPr="00465ABF">
          <w:rPr>
            <w:rStyle w:val="Hyperlink"/>
            <w:rFonts w:cs="Arial"/>
          </w:rPr>
          <w:t>notes an increased risk of acute kidney injury with this combination</w:t>
        </w:r>
      </w:hyperlink>
      <w:r w:rsidRPr="00997D78">
        <w:rPr>
          <w:rFonts w:cs="Arial"/>
        </w:rPr>
        <w:t>, especially in those with risk factors for renal failure and in older adults. It is recommended this combination should be avoided if possible.</w:t>
      </w:r>
    </w:p>
    <w:p w14:paraId="49285A26" w14:textId="01DF2683" w:rsidR="00650F88" w:rsidRDefault="00DC49A3" w:rsidP="00DC49A3">
      <w:pPr>
        <w:pStyle w:val="TeThHauorahead3"/>
        <w:numPr>
          <w:ilvl w:val="0"/>
          <w:numId w:val="42"/>
        </w:numPr>
      </w:pPr>
      <w:bookmarkStart w:id="7" w:name="_Toc215603191"/>
      <w:r>
        <w:t>People aged 65 years and over dispensed five or more unique long-term medicines</w:t>
      </w:r>
      <w:bookmarkEnd w:id="7"/>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29CF3D60" w14:textId="77777777" w:rsidTr="00336E4E">
        <w:trPr>
          <w:trHeight w:val="327"/>
        </w:trPr>
        <w:tc>
          <w:tcPr>
            <w:tcW w:w="1668" w:type="dxa"/>
          </w:tcPr>
          <w:p w14:paraId="2C1752ED" w14:textId="77777777" w:rsidR="00650F88" w:rsidRPr="00D42C24" w:rsidRDefault="00650F88" w:rsidP="00FB7DA2">
            <w:pPr>
              <w:pStyle w:val="BodytextHQSC"/>
              <w:rPr>
                <w:color w:val="808080"/>
              </w:rPr>
            </w:pPr>
            <w:r>
              <w:t>Indicator #1:</w:t>
            </w:r>
          </w:p>
        </w:tc>
        <w:tc>
          <w:tcPr>
            <w:tcW w:w="7654" w:type="dxa"/>
            <w:vAlign w:val="bottom"/>
          </w:tcPr>
          <w:p w14:paraId="15D50FE3" w14:textId="77777777" w:rsidR="00650F88" w:rsidRPr="00D42C24" w:rsidRDefault="00650F88" w:rsidP="00FB7DA2">
            <w:pPr>
              <w:pStyle w:val="BodytextHQSC"/>
              <w:rPr>
                <w:color w:val="000000"/>
              </w:rPr>
            </w:pPr>
            <w:r>
              <w:rPr>
                <w:color w:val="000000"/>
              </w:rPr>
              <w:t>People aged 65 years and over dispensed five or more unique long-term medicines</w:t>
            </w:r>
          </w:p>
        </w:tc>
      </w:tr>
      <w:tr w:rsidR="00650F88" w:rsidRPr="00D42C24" w14:paraId="69EC4939" w14:textId="77777777" w:rsidTr="00336E4E">
        <w:trPr>
          <w:trHeight w:val="327"/>
        </w:trPr>
        <w:tc>
          <w:tcPr>
            <w:tcW w:w="1668" w:type="dxa"/>
          </w:tcPr>
          <w:p w14:paraId="0E725169" w14:textId="77777777" w:rsidR="00650F88" w:rsidRPr="00D42C24" w:rsidRDefault="00650F88" w:rsidP="00FB7DA2">
            <w:pPr>
              <w:pStyle w:val="BodytextHQSC"/>
            </w:pPr>
            <w:r>
              <w:t>Numerator</w:t>
            </w:r>
          </w:p>
        </w:tc>
        <w:tc>
          <w:tcPr>
            <w:tcW w:w="7654" w:type="dxa"/>
            <w:vAlign w:val="bottom"/>
          </w:tcPr>
          <w:p w14:paraId="5CBD6C30" w14:textId="72E90411" w:rsidR="00650F88" w:rsidRPr="00FB7DA2" w:rsidRDefault="00650F88" w:rsidP="00FB7DA2">
            <w:pPr>
              <w:pStyle w:val="BodytextHQSC"/>
            </w:pPr>
            <w:r w:rsidRPr="00941D51">
              <w:t xml:space="preserve">PHO-enrolled population aged ≥ 65 years (on 30 June of each calendar year) who were dispensed same set of 5 or more unique medications during a quarter of given year </w:t>
            </w:r>
            <w:r>
              <w:t>who</w:t>
            </w:r>
            <w:r w:rsidRPr="00941D51">
              <w:t xml:space="preserve"> were also dispensed in the quarter prior. </w:t>
            </w:r>
          </w:p>
        </w:tc>
      </w:tr>
      <w:tr w:rsidR="00650F88" w:rsidRPr="00D42C24" w14:paraId="0B9DF043" w14:textId="77777777" w:rsidTr="00336E4E">
        <w:trPr>
          <w:trHeight w:val="327"/>
        </w:trPr>
        <w:tc>
          <w:tcPr>
            <w:tcW w:w="1668" w:type="dxa"/>
          </w:tcPr>
          <w:p w14:paraId="28C1FD1B" w14:textId="77777777" w:rsidR="00650F88" w:rsidRPr="00D42C24" w:rsidRDefault="00650F88" w:rsidP="00FB7DA2">
            <w:pPr>
              <w:pStyle w:val="BodytextHQSC"/>
            </w:pPr>
            <w:r>
              <w:t>Denominator</w:t>
            </w:r>
          </w:p>
        </w:tc>
        <w:tc>
          <w:tcPr>
            <w:tcW w:w="7654" w:type="dxa"/>
            <w:vAlign w:val="bottom"/>
          </w:tcPr>
          <w:p w14:paraId="68BF3D42" w14:textId="35CFAD64" w:rsidR="00650F88" w:rsidRPr="00D42C24" w:rsidRDefault="00650F88" w:rsidP="00FB7DA2">
            <w:pPr>
              <w:pStyle w:val="BodytextHQSC"/>
              <w:rPr>
                <w:color w:val="000000"/>
              </w:rPr>
            </w:pPr>
            <w:r w:rsidRPr="00F36322">
              <w:rPr>
                <w:color w:val="000000"/>
              </w:rPr>
              <w:t xml:space="preserve">PHO-enrolled population aged ≥ 65 years (on 30 June of each calendar year). </w:t>
            </w:r>
          </w:p>
        </w:tc>
      </w:tr>
      <w:tr w:rsidR="00650F88" w:rsidRPr="00D42C24" w14:paraId="41E5D6D2" w14:textId="77777777" w:rsidTr="00336E4E">
        <w:trPr>
          <w:trHeight w:val="327"/>
        </w:trPr>
        <w:tc>
          <w:tcPr>
            <w:tcW w:w="1668" w:type="dxa"/>
          </w:tcPr>
          <w:p w14:paraId="4516E14D" w14:textId="77777777" w:rsidR="00650F88" w:rsidRPr="00D42C24" w:rsidRDefault="00650F88" w:rsidP="00FB7DA2">
            <w:pPr>
              <w:pStyle w:val="BodytextHQSC"/>
            </w:pPr>
            <w:r>
              <w:t>Analysis</w:t>
            </w:r>
          </w:p>
        </w:tc>
        <w:tc>
          <w:tcPr>
            <w:tcW w:w="7654" w:type="dxa"/>
            <w:vAlign w:val="bottom"/>
          </w:tcPr>
          <w:p w14:paraId="19CE3233" w14:textId="77777777" w:rsidR="00650F88" w:rsidRPr="00133505" w:rsidRDefault="00650F88" w:rsidP="00FB7DA2">
            <w:pPr>
              <w:pStyle w:val="BodytextHQSC"/>
              <w:rPr>
                <w:color w:val="000000" w:themeColor="text1"/>
              </w:rPr>
            </w:pPr>
            <w:r w:rsidRPr="00133505">
              <w:rPr>
                <w:color w:val="000000" w:themeColor="text1"/>
              </w:rPr>
              <w:t>District analysis: By year (201</w:t>
            </w:r>
            <w:r>
              <w:rPr>
                <w:color w:val="000000" w:themeColor="text1"/>
              </w:rPr>
              <w:t>9</w:t>
            </w:r>
            <w:r w:rsidRPr="00133505">
              <w:rPr>
                <w:color w:val="000000" w:themeColor="text1"/>
              </w:rPr>
              <w:t xml:space="preserve"> –2023), age group (</w:t>
            </w:r>
            <w:r w:rsidRPr="008D0ECF">
              <w:rPr>
                <w:color w:val="000000"/>
              </w:rPr>
              <w:t>65–74 years; 75–84 years; 85 years and over</w:t>
            </w:r>
            <w:r w:rsidRPr="00133505" w:rsidDel="00957B6D">
              <w:rPr>
                <w:color w:val="000000" w:themeColor="text1"/>
              </w:rPr>
              <w:t>)</w:t>
            </w:r>
            <w:r w:rsidRPr="00133505">
              <w:rPr>
                <w:color w:val="000000" w:themeColor="text1"/>
              </w:rPr>
              <w:t xml:space="preserve">, gender (female, male), ethnic group (Māori, Pacific peoples, </w:t>
            </w:r>
            <w:r>
              <w:t>Asian and European/other</w:t>
            </w:r>
            <w:r w:rsidRPr="00133505">
              <w:rPr>
                <w:color w:val="000000" w:themeColor="text1"/>
              </w:rPr>
              <w:t>) and Health New Zealand district of domicile.</w:t>
            </w:r>
          </w:p>
          <w:p w14:paraId="16687F3C" w14:textId="77777777" w:rsidR="00650F88" w:rsidRPr="00D42C24" w:rsidRDefault="00650F88" w:rsidP="00FB7DA2">
            <w:pPr>
              <w:pStyle w:val="BodytextHQSC"/>
              <w:rPr>
                <w:color w:val="000000"/>
              </w:rPr>
            </w:pPr>
            <w:r w:rsidRPr="00133505">
              <w:rPr>
                <w:color w:val="000000" w:themeColor="text1"/>
              </w:rPr>
              <w:t>PHO analysis: By year (2023), age group, gender, ethnic group, Primary Health Organisation (PHO) most recently enrolled with (for the relevant year), PHO group (small, medium, medium-large and large).</w:t>
            </w:r>
          </w:p>
        </w:tc>
      </w:tr>
      <w:tr w:rsidR="00650F88" w:rsidRPr="00D42C24" w14:paraId="494BCE01" w14:textId="77777777" w:rsidTr="00336E4E">
        <w:trPr>
          <w:trHeight w:val="327"/>
        </w:trPr>
        <w:tc>
          <w:tcPr>
            <w:tcW w:w="1668" w:type="dxa"/>
          </w:tcPr>
          <w:p w14:paraId="296F0EB5" w14:textId="77777777" w:rsidR="00650F88" w:rsidRDefault="00650F88" w:rsidP="00FB7DA2">
            <w:pPr>
              <w:pStyle w:val="BodytextHQSC"/>
            </w:pPr>
            <w:r>
              <w:t>Exclusions</w:t>
            </w:r>
          </w:p>
        </w:tc>
        <w:tc>
          <w:tcPr>
            <w:tcW w:w="7654" w:type="dxa"/>
            <w:vAlign w:val="bottom"/>
          </w:tcPr>
          <w:p w14:paraId="2493F61F" w14:textId="77777777" w:rsidR="00650F88" w:rsidRDefault="00650F88" w:rsidP="00FB7DA2">
            <w:pPr>
              <w:pStyle w:val="BulletsHQSC"/>
            </w:pPr>
            <w:r>
              <w:t xml:space="preserve">Therapeutic group 1: </w:t>
            </w:r>
            <w:proofErr w:type="spellStart"/>
            <w:r>
              <w:t>dermatologicals</w:t>
            </w:r>
            <w:proofErr w:type="spellEnd"/>
          </w:p>
          <w:p w14:paraId="5B55B7DC" w14:textId="77777777" w:rsidR="00650F88" w:rsidRDefault="00650F88" w:rsidP="00FB7DA2">
            <w:pPr>
              <w:pStyle w:val="BulletsHQSC"/>
            </w:pPr>
            <w:r>
              <w:t>Therapeutic group 1: special foods</w:t>
            </w:r>
          </w:p>
          <w:p w14:paraId="027B6065" w14:textId="77777777" w:rsidR="00650F88" w:rsidRDefault="00650F88" w:rsidP="00FB7DA2">
            <w:pPr>
              <w:pStyle w:val="BulletsHQSC"/>
            </w:pPr>
            <w:r>
              <w:t>Therapeutic group 1: sensory organs</w:t>
            </w:r>
          </w:p>
          <w:p w14:paraId="522DC4A1" w14:textId="77777777" w:rsidR="00650F88" w:rsidRDefault="00650F88" w:rsidP="00FB7DA2">
            <w:pPr>
              <w:pStyle w:val="BulletsHQSC"/>
            </w:pPr>
            <w:r>
              <w:t xml:space="preserve">Therapeutic group 1, section C – extemporaneously compounded preparations and </w:t>
            </w:r>
            <w:proofErr w:type="spellStart"/>
            <w:r>
              <w:t>galenicals</w:t>
            </w:r>
            <w:proofErr w:type="spellEnd"/>
          </w:p>
          <w:p w14:paraId="40DD2856" w14:textId="77777777" w:rsidR="00650F88" w:rsidRDefault="00650F88" w:rsidP="00FB7DA2">
            <w:pPr>
              <w:pStyle w:val="BulletsHQSC"/>
            </w:pPr>
            <w:r>
              <w:t>Therapeutic group 2: respiratory devices</w:t>
            </w:r>
          </w:p>
          <w:p w14:paraId="7F613F88" w14:textId="77777777" w:rsidR="00650F88" w:rsidRDefault="00650F88" w:rsidP="00FB7DA2">
            <w:pPr>
              <w:pStyle w:val="BulletsHQSC"/>
            </w:pPr>
            <w:r>
              <w:t>Therapeutic group 2: unknown (</w:t>
            </w:r>
            <w:proofErr w:type="spellStart"/>
            <w:r>
              <w:t>eg</w:t>
            </w:r>
            <w:proofErr w:type="spellEnd"/>
            <w:r>
              <w:t>, header rows, named patient authority)</w:t>
            </w:r>
          </w:p>
          <w:p w14:paraId="50CF51DF" w14:textId="77777777" w:rsidR="00650F88" w:rsidRDefault="00650F88" w:rsidP="00FB7DA2">
            <w:pPr>
              <w:pStyle w:val="BulletsHQSC"/>
            </w:pPr>
            <w:r>
              <w:lastRenderedPageBreak/>
              <w:t>Therapeutic group 2: various (</w:t>
            </w:r>
            <w:proofErr w:type="spellStart"/>
            <w:r>
              <w:t>eg</w:t>
            </w:r>
            <w:proofErr w:type="spellEnd"/>
            <w:r>
              <w:t>, brand switch fee)</w:t>
            </w:r>
          </w:p>
          <w:p w14:paraId="3C84AF74" w14:textId="77777777" w:rsidR="00650F88" w:rsidRPr="005B7D92" w:rsidRDefault="00650F88" w:rsidP="00FB7DA2">
            <w:pPr>
              <w:pStyle w:val="BulletsHQSC"/>
            </w:pPr>
            <w:r w:rsidRPr="005B7D92">
              <w:t xml:space="preserve">Therapeutic group 2: </w:t>
            </w:r>
            <w:r>
              <w:t>d</w:t>
            </w:r>
            <w:r w:rsidRPr="005B7D92">
              <w:t>iabetes management: ketone testing, blood glucose testing, insulin syringes and needles, insulin pumps, insulin pump consumables</w:t>
            </w:r>
          </w:p>
        </w:tc>
      </w:tr>
      <w:tr w:rsidR="00650F88" w:rsidRPr="00D42C24" w14:paraId="1A68EB93" w14:textId="77777777" w:rsidTr="00336E4E">
        <w:trPr>
          <w:trHeight w:val="327"/>
        </w:trPr>
        <w:tc>
          <w:tcPr>
            <w:tcW w:w="1668" w:type="dxa"/>
          </w:tcPr>
          <w:p w14:paraId="7C2AE689" w14:textId="77777777" w:rsidR="00650F88" w:rsidRDefault="00650F88" w:rsidP="00FB7DA2">
            <w:pPr>
              <w:pStyle w:val="BodytextHQSC"/>
            </w:pPr>
            <w:r>
              <w:lastRenderedPageBreak/>
              <w:t>Commentary</w:t>
            </w:r>
          </w:p>
        </w:tc>
        <w:tc>
          <w:tcPr>
            <w:tcW w:w="7654" w:type="dxa"/>
            <w:vAlign w:val="bottom"/>
          </w:tcPr>
          <w:p w14:paraId="14DAFE5F" w14:textId="77777777" w:rsidR="00650F88" w:rsidRPr="006557BC" w:rsidRDefault="00650F88" w:rsidP="00FB7DA2">
            <w:pPr>
              <w:pStyle w:val="BodytextHQSC"/>
            </w:pPr>
            <w:r w:rsidRPr="006557BC">
              <w:t xml:space="preserve">Description: </w:t>
            </w:r>
          </w:p>
          <w:p w14:paraId="063456D3" w14:textId="40627D16" w:rsidR="00650F88" w:rsidRPr="006557BC" w:rsidRDefault="00650F88" w:rsidP="00FB7DA2">
            <w:pPr>
              <w:pStyle w:val="BodytextHQSC"/>
            </w:pPr>
            <w:r w:rsidRPr="006557BC">
              <w:t>This indicator shows the percentage of people who were dispensed five or more long-term medicines, by</w:t>
            </w:r>
            <w:r>
              <w:t xml:space="preserve"> </w:t>
            </w:r>
            <w:r w:rsidRPr="006557BC">
              <w:t>district. Long-term medicines were defined as the number of unique chemicals dispensed in at least two consecutive quarters. This indicator does not capture unsubsidised or over-the-counter medicines; nor does it indicate whether people took the medicine.</w:t>
            </w:r>
          </w:p>
          <w:p w14:paraId="38BF6CC0" w14:textId="74FB5321" w:rsidR="00650F88" w:rsidRPr="006557BC" w:rsidRDefault="00650F88" w:rsidP="00FB7DA2">
            <w:pPr>
              <w:pStyle w:val="BodytextHQSC"/>
            </w:pPr>
            <w:r w:rsidRPr="006557BC">
              <w:t xml:space="preserve">Data are presented by year, age, </w:t>
            </w:r>
            <w:r>
              <w:t xml:space="preserve">gender </w:t>
            </w:r>
            <w:r w:rsidRPr="006557BC">
              <w:t>and ethnicity.</w:t>
            </w:r>
          </w:p>
          <w:p w14:paraId="22BBD4FF" w14:textId="77777777" w:rsidR="00650F88" w:rsidRPr="006557BC" w:rsidRDefault="00650F88" w:rsidP="00FB7DA2">
            <w:pPr>
              <w:pStyle w:val="BodytextHQSC"/>
            </w:pPr>
            <w:r w:rsidRPr="006557BC">
              <w:t>Why is this important?</w:t>
            </w:r>
          </w:p>
          <w:p w14:paraId="2CE70B0E" w14:textId="1F100945" w:rsidR="00650F88" w:rsidRPr="006557BC" w:rsidRDefault="00650F88" w:rsidP="00FB7DA2">
            <w:pPr>
              <w:pStyle w:val="BodytextHQSC"/>
            </w:pPr>
            <w:r w:rsidRPr="006557BC">
              <w:t>The number of medicines taken increases the likelihood of adverse drug reactions and poor adherence, and in the elderly can lead to geriatric syndromes such as urinary incontinence, cognitive impairment and impaired balance leading to falls. Despite these risks, these data show that those aged 85 and over receive more medicines than those aged either 65–74 or 75–84 years.</w:t>
            </w:r>
          </w:p>
          <w:p w14:paraId="369FEBB5" w14:textId="77777777" w:rsidR="00650F88" w:rsidRPr="006557BC" w:rsidRDefault="00650F88" w:rsidP="00FB7DA2">
            <w:pPr>
              <w:pStyle w:val="BodytextHQSC"/>
            </w:pPr>
            <w:r w:rsidRPr="006557BC">
              <w:t>What questions does this prompt?</w:t>
            </w:r>
          </w:p>
          <w:p w14:paraId="30224D81" w14:textId="77777777" w:rsidR="00650F88" w:rsidRPr="006557BC" w:rsidRDefault="00650F88" w:rsidP="00FB7DA2">
            <w:pPr>
              <w:pStyle w:val="BulletsHQSC"/>
            </w:pPr>
            <w:r w:rsidRPr="006557BC">
              <w:t>Is it appropriate that people aged 85 and over are more likely to receive five or more long-term medicines?</w:t>
            </w:r>
          </w:p>
          <w:p w14:paraId="2F042408" w14:textId="77777777" w:rsidR="00650F88" w:rsidRDefault="00650F88" w:rsidP="00FB7DA2">
            <w:pPr>
              <w:pStyle w:val="BulletsHQSC"/>
            </w:pPr>
            <w:r w:rsidRPr="006557BC">
              <w:t>Are the rates of people receiving long-term medicines appropriate?</w:t>
            </w:r>
          </w:p>
          <w:p w14:paraId="4CE71C66" w14:textId="77777777" w:rsidR="00650F88" w:rsidRPr="006557BC" w:rsidRDefault="00650F88" w:rsidP="00FB7DA2">
            <w:pPr>
              <w:pStyle w:val="BulletsHQSC"/>
            </w:pPr>
            <w:r>
              <w:t>How do similar districts compare?</w:t>
            </w:r>
            <w:r w:rsidRPr="006557BC">
              <w:t xml:space="preserve"> </w:t>
            </w:r>
          </w:p>
          <w:p w14:paraId="5939588F" w14:textId="77777777" w:rsidR="00650F88" w:rsidRPr="006557BC" w:rsidRDefault="00650F88" w:rsidP="00FB7DA2">
            <w:pPr>
              <w:pStyle w:val="BulletsHQSC"/>
            </w:pPr>
            <w:r w:rsidRPr="006557BC">
              <w:t xml:space="preserve">Should </w:t>
            </w:r>
            <w:r>
              <w:t>one-third</w:t>
            </w:r>
            <w:r w:rsidRPr="006557BC">
              <w:t xml:space="preserve"> people aged 65–74 be receiving five or more medicines? </w:t>
            </w:r>
          </w:p>
          <w:p w14:paraId="0807482F" w14:textId="77777777" w:rsidR="00650F88" w:rsidRPr="006557BC" w:rsidRDefault="00650F88" w:rsidP="00FB7DA2">
            <w:pPr>
              <w:pStyle w:val="BulletsHQSC"/>
            </w:pPr>
            <w:r>
              <w:t xml:space="preserve">How do ethnic groups compare? Why do </w:t>
            </w:r>
            <w:r w:rsidRPr="000574F9">
              <w:t>Māori and Pacific peoples receive more medicines at a younger age</w:t>
            </w:r>
            <w:r>
              <w:t xml:space="preserve"> compared to other ethnic groups?</w:t>
            </w:r>
          </w:p>
        </w:tc>
      </w:tr>
    </w:tbl>
    <w:p w14:paraId="4622183B" w14:textId="77777777" w:rsidR="00650F88" w:rsidRDefault="00650F88" w:rsidP="00650F88">
      <w:pPr>
        <w:rPr>
          <w:rFonts w:cs="Arial"/>
        </w:rPr>
      </w:pPr>
    </w:p>
    <w:p w14:paraId="087ED7A9" w14:textId="66DAC2A1" w:rsidR="00DC49A3" w:rsidRPr="00DC49A3" w:rsidRDefault="00DC49A3" w:rsidP="00DC49A3">
      <w:pPr>
        <w:pStyle w:val="TeThHauorahead3"/>
        <w:numPr>
          <w:ilvl w:val="0"/>
          <w:numId w:val="42"/>
        </w:numPr>
      </w:pPr>
      <w:bookmarkStart w:id="8" w:name="_Toc215603192"/>
      <w:r>
        <w:t>People aged 65 years and over dispensed five, six or seven unique long-term medicines</w:t>
      </w:r>
      <w:bookmarkEnd w:id="8"/>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70F3A088" w14:textId="77777777" w:rsidTr="00336E4E">
        <w:trPr>
          <w:trHeight w:val="327"/>
        </w:trPr>
        <w:tc>
          <w:tcPr>
            <w:tcW w:w="1668" w:type="dxa"/>
          </w:tcPr>
          <w:p w14:paraId="25086142" w14:textId="77777777" w:rsidR="00650F88" w:rsidRPr="00D42C24" w:rsidRDefault="00650F88" w:rsidP="00815F76">
            <w:pPr>
              <w:pStyle w:val="BodytextHQSC"/>
              <w:rPr>
                <w:color w:val="808080"/>
              </w:rPr>
            </w:pPr>
            <w:r>
              <w:t>Indicator #2:</w:t>
            </w:r>
          </w:p>
        </w:tc>
        <w:tc>
          <w:tcPr>
            <w:tcW w:w="7654" w:type="dxa"/>
            <w:vAlign w:val="bottom"/>
          </w:tcPr>
          <w:p w14:paraId="4D87E1F0" w14:textId="77777777" w:rsidR="00650F88" w:rsidRPr="00D42C24" w:rsidRDefault="00650F88" w:rsidP="00815F76">
            <w:pPr>
              <w:pStyle w:val="BodytextHQSC"/>
              <w:rPr>
                <w:color w:val="000000"/>
              </w:rPr>
            </w:pPr>
            <w:r>
              <w:rPr>
                <w:color w:val="000000"/>
              </w:rPr>
              <w:t>People aged 65 years and over dispensed five, six or seven unique long-term medicines</w:t>
            </w:r>
          </w:p>
        </w:tc>
      </w:tr>
      <w:tr w:rsidR="00650F88" w:rsidRPr="00D42C24" w14:paraId="644DBBB0" w14:textId="77777777" w:rsidTr="00336E4E">
        <w:trPr>
          <w:trHeight w:val="327"/>
        </w:trPr>
        <w:tc>
          <w:tcPr>
            <w:tcW w:w="1668" w:type="dxa"/>
          </w:tcPr>
          <w:p w14:paraId="4D627445" w14:textId="77777777" w:rsidR="00650F88" w:rsidRPr="00D42C24" w:rsidRDefault="00650F88" w:rsidP="00815F76">
            <w:pPr>
              <w:pStyle w:val="BodytextHQSC"/>
            </w:pPr>
            <w:r>
              <w:t>Numerator</w:t>
            </w:r>
          </w:p>
        </w:tc>
        <w:tc>
          <w:tcPr>
            <w:tcW w:w="7654" w:type="dxa"/>
            <w:vAlign w:val="bottom"/>
          </w:tcPr>
          <w:p w14:paraId="55136670" w14:textId="77777777" w:rsidR="00650F88" w:rsidRPr="00D42C24" w:rsidRDefault="00650F88" w:rsidP="00815F76">
            <w:pPr>
              <w:pStyle w:val="BodytextHQSC"/>
              <w:rPr>
                <w:color w:val="000000"/>
              </w:rPr>
            </w:pPr>
            <w:r w:rsidRPr="00941D51">
              <w:t>PHO-enrolled population aged ≥ 65 years (on 30 June of each calendar year) who were dispensed same set of 5</w:t>
            </w:r>
            <w:r>
              <w:t>, 6 or 7</w:t>
            </w:r>
            <w:r w:rsidRPr="00941D51">
              <w:t xml:space="preserve"> unique medications during a quarter of given year </w:t>
            </w:r>
            <w:r>
              <w:t xml:space="preserve">who </w:t>
            </w:r>
            <w:r w:rsidRPr="00941D51">
              <w:t>were also dispensed in the quarter prior. </w:t>
            </w:r>
          </w:p>
        </w:tc>
      </w:tr>
      <w:tr w:rsidR="00650F88" w:rsidRPr="00D42C24" w14:paraId="3C4AD473" w14:textId="77777777" w:rsidTr="00336E4E">
        <w:trPr>
          <w:trHeight w:val="327"/>
        </w:trPr>
        <w:tc>
          <w:tcPr>
            <w:tcW w:w="1668" w:type="dxa"/>
          </w:tcPr>
          <w:p w14:paraId="15264973" w14:textId="77777777" w:rsidR="00650F88" w:rsidRPr="00D42C24" w:rsidRDefault="00650F88" w:rsidP="00815F76">
            <w:pPr>
              <w:pStyle w:val="BodytextHQSC"/>
            </w:pPr>
            <w:r>
              <w:lastRenderedPageBreak/>
              <w:t>Denominator</w:t>
            </w:r>
          </w:p>
        </w:tc>
        <w:tc>
          <w:tcPr>
            <w:tcW w:w="7654" w:type="dxa"/>
            <w:vAlign w:val="bottom"/>
          </w:tcPr>
          <w:p w14:paraId="78DC7393" w14:textId="77777777" w:rsidR="00650F88" w:rsidRPr="00D42C24" w:rsidRDefault="00650F88" w:rsidP="00815F76">
            <w:pPr>
              <w:pStyle w:val="BodytextHQSC"/>
              <w:rPr>
                <w:color w:val="000000"/>
              </w:rPr>
            </w:pPr>
            <w:r w:rsidRPr="00F36322">
              <w:rPr>
                <w:color w:val="000000"/>
              </w:rPr>
              <w:t xml:space="preserve">PHO-enrolled population aged ≥ 65 years (on 30 June of each calendar year). </w:t>
            </w:r>
          </w:p>
        </w:tc>
      </w:tr>
      <w:tr w:rsidR="00650F88" w:rsidRPr="00D42C24" w14:paraId="23B5473A" w14:textId="77777777" w:rsidTr="00336E4E">
        <w:trPr>
          <w:trHeight w:val="327"/>
        </w:trPr>
        <w:tc>
          <w:tcPr>
            <w:tcW w:w="1668" w:type="dxa"/>
          </w:tcPr>
          <w:p w14:paraId="1DC517F8" w14:textId="77777777" w:rsidR="00650F88" w:rsidRPr="00D42C24" w:rsidRDefault="00650F88" w:rsidP="00815F76">
            <w:pPr>
              <w:pStyle w:val="BodytextHQSC"/>
            </w:pPr>
            <w:r>
              <w:t>Analysis</w:t>
            </w:r>
          </w:p>
        </w:tc>
        <w:tc>
          <w:tcPr>
            <w:tcW w:w="7654" w:type="dxa"/>
            <w:vAlign w:val="bottom"/>
          </w:tcPr>
          <w:p w14:paraId="2D3556EB" w14:textId="77777777" w:rsidR="00650F88" w:rsidRPr="00133505" w:rsidRDefault="00650F88" w:rsidP="00815F76">
            <w:pPr>
              <w:pStyle w:val="BodytextHQSC"/>
              <w:rPr>
                <w:color w:val="000000" w:themeColor="text1"/>
              </w:rPr>
            </w:pPr>
            <w:r w:rsidRPr="00133505">
              <w:rPr>
                <w:color w:val="000000" w:themeColor="text1"/>
              </w:rPr>
              <w:t>District analysis: By year (201</w:t>
            </w:r>
            <w:r>
              <w:rPr>
                <w:color w:val="000000" w:themeColor="text1"/>
              </w:rPr>
              <w:t>9</w:t>
            </w:r>
            <w:r w:rsidRPr="00133505">
              <w:rPr>
                <w:color w:val="000000" w:themeColor="text1"/>
              </w:rPr>
              <w:t xml:space="preserve"> –2023), age group (</w:t>
            </w:r>
            <w:r w:rsidRPr="008D0ECF">
              <w:rPr>
                <w:color w:val="000000"/>
              </w:rPr>
              <w:t xml:space="preserve">65–74 years; 75–84 years; 85 years and </w:t>
            </w:r>
            <w:proofErr w:type="gramStart"/>
            <w:r w:rsidRPr="008D0ECF">
              <w:rPr>
                <w:color w:val="000000"/>
              </w:rPr>
              <w:t>over</w:t>
            </w:r>
            <w:r w:rsidRPr="00133505" w:rsidDel="00957B6D">
              <w:rPr>
                <w:color w:val="000000" w:themeColor="text1"/>
              </w:rPr>
              <w:t xml:space="preserve"> </w:t>
            </w:r>
            <w:r w:rsidRPr="00133505">
              <w:rPr>
                <w:color w:val="000000" w:themeColor="text1"/>
              </w:rPr>
              <w:t>)</w:t>
            </w:r>
            <w:proofErr w:type="gramEnd"/>
            <w:r w:rsidRPr="00133505">
              <w:rPr>
                <w:color w:val="000000" w:themeColor="text1"/>
              </w:rPr>
              <w:t xml:space="preserve">, gender (female, male), ethnic group (Māori, Pacific peoples, </w:t>
            </w:r>
            <w:r>
              <w:t>Asian and European/other</w:t>
            </w:r>
            <w:r w:rsidRPr="00133505">
              <w:rPr>
                <w:color w:val="000000" w:themeColor="text1"/>
              </w:rPr>
              <w:t>) and Health New Zealand district of domicile.</w:t>
            </w:r>
          </w:p>
          <w:p w14:paraId="72543655" w14:textId="77777777" w:rsidR="00650F88" w:rsidRPr="0030640F" w:rsidRDefault="00650F88" w:rsidP="00815F76">
            <w:pPr>
              <w:pStyle w:val="BodytextHQSC"/>
            </w:pPr>
            <w:r w:rsidRPr="00E8769C">
              <w:rPr>
                <w:color w:val="000000" w:themeColor="text1"/>
              </w:rPr>
              <w:t>PHO analysis: By year (2023), age group, gender, ethnic group, Primary Health Organisation (PHO) most recently enrolled with (for the relevant year), PHO group (small, medium, medium-large and large).</w:t>
            </w:r>
          </w:p>
        </w:tc>
      </w:tr>
    </w:tbl>
    <w:p w14:paraId="7C7A48B8" w14:textId="77777777" w:rsidR="00650F88" w:rsidRDefault="00650F88" w:rsidP="00650F88">
      <w:r>
        <w:br w:type="page"/>
      </w:r>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127763BD" w14:textId="77777777" w:rsidTr="00336E4E">
        <w:trPr>
          <w:trHeight w:val="327"/>
        </w:trPr>
        <w:tc>
          <w:tcPr>
            <w:tcW w:w="1668" w:type="dxa"/>
          </w:tcPr>
          <w:p w14:paraId="7A44B413" w14:textId="77777777" w:rsidR="00650F88" w:rsidRPr="00D42C24" w:rsidRDefault="00650F88" w:rsidP="00815F76">
            <w:pPr>
              <w:pStyle w:val="BodytextHQSC"/>
            </w:pPr>
            <w:r>
              <w:lastRenderedPageBreak/>
              <w:t>Exclusions</w:t>
            </w:r>
          </w:p>
        </w:tc>
        <w:tc>
          <w:tcPr>
            <w:tcW w:w="7654" w:type="dxa"/>
            <w:vAlign w:val="bottom"/>
          </w:tcPr>
          <w:p w14:paraId="38BD3936" w14:textId="77777777" w:rsidR="00650F88" w:rsidRPr="005B7D92" w:rsidRDefault="00650F88" w:rsidP="008C375F">
            <w:pPr>
              <w:pStyle w:val="BulletsHQSC"/>
            </w:pPr>
            <w:r w:rsidRPr="005B7D92">
              <w:t xml:space="preserve">Therapeutic group 1: </w:t>
            </w:r>
            <w:proofErr w:type="spellStart"/>
            <w:r w:rsidRPr="005B7D92">
              <w:t>dermatologicals</w:t>
            </w:r>
            <w:proofErr w:type="spellEnd"/>
          </w:p>
          <w:p w14:paraId="4E488D48" w14:textId="77777777" w:rsidR="00650F88" w:rsidRPr="005B7D92" w:rsidRDefault="00650F88" w:rsidP="008C375F">
            <w:pPr>
              <w:pStyle w:val="BulletsHQSC"/>
            </w:pPr>
            <w:r w:rsidRPr="005B7D92">
              <w:t>Therapeutic group 1: special foods</w:t>
            </w:r>
          </w:p>
          <w:p w14:paraId="5060D3A1" w14:textId="77777777" w:rsidR="00650F88" w:rsidRPr="005B7D92" w:rsidRDefault="00650F88" w:rsidP="008C375F">
            <w:pPr>
              <w:pStyle w:val="BulletsHQSC"/>
            </w:pPr>
            <w:r w:rsidRPr="005B7D92">
              <w:t>Therapeutic group 1: sensory organs</w:t>
            </w:r>
          </w:p>
          <w:p w14:paraId="2DA3A47A" w14:textId="77777777" w:rsidR="00650F88" w:rsidRPr="005B7D92" w:rsidRDefault="00650F88" w:rsidP="008C375F">
            <w:pPr>
              <w:pStyle w:val="BulletsHQSC"/>
            </w:pPr>
            <w:r w:rsidRPr="005B7D92">
              <w:t xml:space="preserve">Therapeutic group 1, </w:t>
            </w:r>
            <w:r>
              <w:t>s</w:t>
            </w:r>
            <w:r w:rsidRPr="005B7D92">
              <w:t xml:space="preserve">ection C – extemporaneously compounded preparations and </w:t>
            </w:r>
            <w:proofErr w:type="spellStart"/>
            <w:r w:rsidRPr="005B7D92">
              <w:t>galenicals</w:t>
            </w:r>
            <w:proofErr w:type="spellEnd"/>
          </w:p>
          <w:p w14:paraId="79E99FC1" w14:textId="77777777" w:rsidR="00650F88" w:rsidRPr="005B7D92" w:rsidRDefault="00650F88" w:rsidP="008C375F">
            <w:pPr>
              <w:pStyle w:val="BulletsHQSC"/>
            </w:pPr>
            <w:r w:rsidRPr="005B7D92">
              <w:t>Therapeutic group 2: respiratory devices</w:t>
            </w:r>
          </w:p>
          <w:p w14:paraId="12A29B3D" w14:textId="77777777" w:rsidR="00650F88" w:rsidRPr="005B7D92" w:rsidRDefault="00650F88" w:rsidP="008C375F">
            <w:pPr>
              <w:pStyle w:val="BulletsHQSC"/>
            </w:pPr>
            <w:r w:rsidRPr="005B7D92">
              <w:t>Therapeutic group 2: unknown (</w:t>
            </w:r>
            <w:proofErr w:type="spellStart"/>
            <w:r w:rsidRPr="005B7D92">
              <w:t>eg</w:t>
            </w:r>
            <w:proofErr w:type="spellEnd"/>
            <w:r w:rsidRPr="005B7D92">
              <w:t>, header rows, named patient authority)</w:t>
            </w:r>
          </w:p>
          <w:p w14:paraId="032A2AD6" w14:textId="77777777" w:rsidR="00650F88" w:rsidRPr="005B7D92" w:rsidRDefault="00650F88" w:rsidP="008C375F">
            <w:pPr>
              <w:pStyle w:val="BulletsHQSC"/>
            </w:pPr>
            <w:r w:rsidRPr="005B7D92">
              <w:t xml:space="preserve">Therapeutic group 2: various </w:t>
            </w:r>
            <w:r>
              <w:t>(</w:t>
            </w:r>
            <w:proofErr w:type="spellStart"/>
            <w:r w:rsidRPr="005B7D92">
              <w:t>eg</w:t>
            </w:r>
            <w:proofErr w:type="spellEnd"/>
            <w:r w:rsidRPr="005B7D92">
              <w:t>, brand switch fee</w:t>
            </w:r>
            <w:r>
              <w:t>)</w:t>
            </w:r>
          </w:p>
          <w:p w14:paraId="03BA05A6" w14:textId="77777777" w:rsidR="00650F88" w:rsidRPr="005B7D92" w:rsidRDefault="00650F88" w:rsidP="008C375F">
            <w:pPr>
              <w:pStyle w:val="BulletsHQSC"/>
              <w:rPr>
                <w:color w:val="000000"/>
              </w:rPr>
            </w:pPr>
            <w:r w:rsidRPr="005B7D92">
              <w:t xml:space="preserve">Therapeutic group 2: </w:t>
            </w:r>
            <w:r>
              <w:t>d</w:t>
            </w:r>
            <w:r w:rsidRPr="005B7D92">
              <w:t xml:space="preserve">iabetes management: ketone testing, blood glucose testing, insulin syringes and needles, insulin pumps, insulin pump consumables </w:t>
            </w:r>
          </w:p>
        </w:tc>
      </w:tr>
      <w:tr w:rsidR="00650F88" w:rsidRPr="00D42C24" w14:paraId="68BB18BA" w14:textId="77777777" w:rsidTr="00336E4E">
        <w:trPr>
          <w:trHeight w:val="327"/>
        </w:trPr>
        <w:tc>
          <w:tcPr>
            <w:tcW w:w="1668" w:type="dxa"/>
          </w:tcPr>
          <w:p w14:paraId="0939F723" w14:textId="77777777" w:rsidR="00650F88" w:rsidRDefault="00650F88" w:rsidP="00815F76">
            <w:pPr>
              <w:pStyle w:val="BodytextHQSC"/>
            </w:pPr>
            <w:r>
              <w:t>Commentary</w:t>
            </w:r>
          </w:p>
        </w:tc>
        <w:tc>
          <w:tcPr>
            <w:tcW w:w="7654" w:type="dxa"/>
            <w:vAlign w:val="bottom"/>
          </w:tcPr>
          <w:p w14:paraId="0FCAA7C3" w14:textId="77777777" w:rsidR="00650F88" w:rsidRPr="0070532F" w:rsidRDefault="00650F88" w:rsidP="00815F76">
            <w:pPr>
              <w:pStyle w:val="BodytextHQSC"/>
            </w:pPr>
            <w:r w:rsidRPr="0070532F">
              <w:t>Description:</w:t>
            </w:r>
          </w:p>
          <w:p w14:paraId="4F71B846" w14:textId="3A5B03E0" w:rsidR="00650F88" w:rsidRPr="0070532F" w:rsidRDefault="00650F88" w:rsidP="00815F76">
            <w:pPr>
              <w:pStyle w:val="BodytextHQSC"/>
            </w:pPr>
            <w:r w:rsidRPr="0070532F">
              <w:t xml:space="preserve">This indicator shows the percentage of people who were dispensed five, six or seven long-term medicines by </w:t>
            </w:r>
            <w:r>
              <w:t>district</w:t>
            </w:r>
            <w:r w:rsidRPr="0070532F">
              <w:t>. Long-term medicines were defined as the number of unique medicines dispensed in at least two consecutive quarters. This indicator does not capture unsubsidised or over-the-counter medicines; nor does it indicate whether people took the medicine.</w:t>
            </w:r>
          </w:p>
          <w:p w14:paraId="58B72EF8" w14:textId="77777777" w:rsidR="00650F88" w:rsidRPr="0070532F" w:rsidRDefault="00650F88" w:rsidP="00815F76">
            <w:pPr>
              <w:pStyle w:val="BodytextHQSC"/>
            </w:pPr>
            <w:r w:rsidRPr="0070532F">
              <w:t xml:space="preserve">Data are presented by </w:t>
            </w:r>
            <w:r>
              <w:t xml:space="preserve">year, </w:t>
            </w:r>
            <w:r w:rsidRPr="0070532F">
              <w:t xml:space="preserve">age, </w:t>
            </w:r>
            <w:r>
              <w:t>gender</w:t>
            </w:r>
            <w:r w:rsidRPr="0070532F">
              <w:t xml:space="preserve"> and ethnicity.</w:t>
            </w:r>
          </w:p>
          <w:p w14:paraId="2A834B8E" w14:textId="77777777" w:rsidR="00650F88" w:rsidRPr="0070532F" w:rsidRDefault="00650F88" w:rsidP="00815F76">
            <w:pPr>
              <w:pStyle w:val="BodytextHQSC"/>
            </w:pPr>
            <w:r w:rsidRPr="0070532F">
              <w:t>Why is this important?</w:t>
            </w:r>
          </w:p>
          <w:p w14:paraId="4AA4B55E" w14:textId="0676EF56" w:rsidR="00650F88" w:rsidRPr="0070532F" w:rsidRDefault="00650F88" w:rsidP="00815F76">
            <w:pPr>
              <w:pStyle w:val="BodytextHQSC"/>
            </w:pPr>
            <w:r w:rsidRPr="0070532F">
              <w:t>The number of medicines taken increases the likelihood of adverse drug reactions, poor adherence and in the elderly can lead to geriatric syndromes such as urinary incontinence, cognitive impairment and impaired balance leading to falls. Despite these risks, these data show that those aged 85 and over receive more medicines than those aged either 65–74 or 75–84 years.</w:t>
            </w:r>
          </w:p>
          <w:p w14:paraId="2BCEA560" w14:textId="77777777" w:rsidR="00650F88" w:rsidRPr="0070532F" w:rsidRDefault="00650F88" w:rsidP="00815F76">
            <w:pPr>
              <w:pStyle w:val="BodytextHQSC"/>
            </w:pPr>
            <w:r w:rsidRPr="0070532F">
              <w:t xml:space="preserve">What questions does this prompt? </w:t>
            </w:r>
          </w:p>
          <w:p w14:paraId="31AB1FA1" w14:textId="77777777" w:rsidR="00650F88" w:rsidRDefault="00650F88" w:rsidP="00815F76">
            <w:pPr>
              <w:pStyle w:val="BulletsHQSC"/>
            </w:pPr>
            <w:r w:rsidRPr="0070532F">
              <w:t>Is it appropriate that people aged 85 and over are more likely to receive 5–7 long-term medicines?</w:t>
            </w:r>
          </w:p>
          <w:p w14:paraId="0CE92F78" w14:textId="77777777" w:rsidR="00650F88" w:rsidRPr="0070532F" w:rsidRDefault="00650F88" w:rsidP="00815F76">
            <w:pPr>
              <w:pStyle w:val="BulletsHQSC"/>
            </w:pPr>
            <w:r>
              <w:t>How do similar districts compare?</w:t>
            </w:r>
          </w:p>
          <w:p w14:paraId="6006320D" w14:textId="6FD4CEB1" w:rsidR="00650F88" w:rsidRPr="005B7D92" w:rsidRDefault="00650F88" w:rsidP="00815F76">
            <w:pPr>
              <w:pStyle w:val="BulletsHQSC"/>
            </w:pPr>
            <w:r w:rsidRPr="0070532F">
              <w:t xml:space="preserve">Why do Asian people appear to receive </w:t>
            </w:r>
            <w:r>
              <w:t>fewer</w:t>
            </w:r>
            <w:r w:rsidRPr="0070532F">
              <w:t xml:space="preserve"> medicine</w:t>
            </w:r>
            <w:r>
              <w:t>s</w:t>
            </w:r>
            <w:r w:rsidRPr="0070532F">
              <w:t>?</w:t>
            </w:r>
          </w:p>
        </w:tc>
      </w:tr>
    </w:tbl>
    <w:p w14:paraId="6CB08902" w14:textId="77777777" w:rsidR="00650F88" w:rsidRDefault="00650F88" w:rsidP="00650F88">
      <w:pPr>
        <w:rPr>
          <w:rFonts w:cs="Arial"/>
        </w:rPr>
      </w:pPr>
    </w:p>
    <w:p w14:paraId="77EDD1AC" w14:textId="51501517" w:rsidR="00DC49A3" w:rsidRPr="00547973" w:rsidRDefault="00547973" w:rsidP="00547973">
      <w:pPr>
        <w:pStyle w:val="TeThHauorahead3"/>
        <w:numPr>
          <w:ilvl w:val="0"/>
          <w:numId w:val="42"/>
        </w:numPr>
      </w:pPr>
      <w:bookmarkStart w:id="9" w:name="_Toc215603193"/>
      <w:r>
        <w:t>People aged 65 years and over dispensed eight, nine or ten unique long-term medicines</w:t>
      </w:r>
      <w:bookmarkEnd w:id="9"/>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42AE0A65" w14:textId="77777777" w:rsidTr="00336E4E">
        <w:trPr>
          <w:trHeight w:val="327"/>
        </w:trPr>
        <w:tc>
          <w:tcPr>
            <w:tcW w:w="1668" w:type="dxa"/>
          </w:tcPr>
          <w:p w14:paraId="4B851214" w14:textId="77777777" w:rsidR="00650F88" w:rsidRPr="00D42C24" w:rsidRDefault="00650F88" w:rsidP="00815F76">
            <w:pPr>
              <w:pStyle w:val="BodytextHQSC"/>
              <w:rPr>
                <w:color w:val="808080"/>
              </w:rPr>
            </w:pPr>
            <w:r>
              <w:t>Indicator #3:</w:t>
            </w:r>
          </w:p>
        </w:tc>
        <w:tc>
          <w:tcPr>
            <w:tcW w:w="7654" w:type="dxa"/>
            <w:vAlign w:val="bottom"/>
          </w:tcPr>
          <w:p w14:paraId="4B1368F3" w14:textId="77777777" w:rsidR="00650F88" w:rsidRPr="00D42C24" w:rsidRDefault="00650F88" w:rsidP="00815F76">
            <w:pPr>
              <w:pStyle w:val="BodytextHQSC"/>
            </w:pPr>
            <w:r>
              <w:rPr>
                <w:color w:val="000000"/>
              </w:rPr>
              <w:t>People aged 65 years and over dispensed eight, nine or ten unique long-term medicines</w:t>
            </w:r>
          </w:p>
        </w:tc>
      </w:tr>
      <w:tr w:rsidR="00650F88" w:rsidRPr="00D42C24" w14:paraId="6198EBB4" w14:textId="77777777" w:rsidTr="00336E4E">
        <w:trPr>
          <w:trHeight w:val="327"/>
        </w:trPr>
        <w:tc>
          <w:tcPr>
            <w:tcW w:w="1668" w:type="dxa"/>
          </w:tcPr>
          <w:p w14:paraId="29D18F8C" w14:textId="77777777" w:rsidR="00650F88" w:rsidRPr="00D42C24" w:rsidRDefault="00650F88" w:rsidP="00815F76">
            <w:pPr>
              <w:pStyle w:val="BodytextHQSC"/>
            </w:pPr>
            <w:r>
              <w:lastRenderedPageBreak/>
              <w:t>Numerator</w:t>
            </w:r>
          </w:p>
        </w:tc>
        <w:tc>
          <w:tcPr>
            <w:tcW w:w="7654" w:type="dxa"/>
            <w:vAlign w:val="bottom"/>
          </w:tcPr>
          <w:p w14:paraId="35E9B386" w14:textId="076FA3E7" w:rsidR="00650F88" w:rsidRPr="00A9415F" w:rsidRDefault="00650F88" w:rsidP="00815F76">
            <w:pPr>
              <w:pStyle w:val="BodytextHQSC"/>
            </w:pPr>
            <w:r w:rsidRPr="00941D51">
              <w:t xml:space="preserve">PHO-enrolled population aged ≥ 65 years (on 30 June of each calendar year) who were dispensed same set of </w:t>
            </w:r>
            <w:r>
              <w:t>8,9 or 10</w:t>
            </w:r>
            <w:r w:rsidRPr="00941D51">
              <w:t xml:space="preserve"> unique medications during a quarter of given year </w:t>
            </w:r>
            <w:r>
              <w:t>who</w:t>
            </w:r>
            <w:r w:rsidRPr="00941D51">
              <w:t xml:space="preserve"> were also dispensed in the quarter prior. </w:t>
            </w:r>
          </w:p>
        </w:tc>
      </w:tr>
      <w:tr w:rsidR="00650F88" w:rsidRPr="00D42C24" w14:paraId="5FCF0DF1" w14:textId="77777777" w:rsidTr="00336E4E">
        <w:trPr>
          <w:trHeight w:val="327"/>
        </w:trPr>
        <w:tc>
          <w:tcPr>
            <w:tcW w:w="1668" w:type="dxa"/>
          </w:tcPr>
          <w:p w14:paraId="429731EE" w14:textId="77777777" w:rsidR="00650F88" w:rsidRPr="00D42C24" w:rsidRDefault="00650F88" w:rsidP="00815F76">
            <w:pPr>
              <w:pStyle w:val="BodytextHQSC"/>
            </w:pPr>
            <w:r>
              <w:t>Denominator</w:t>
            </w:r>
          </w:p>
        </w:tc>
        <w:tc>
          <w:tcPr>
            <w:tcW w:w="7654" w:type="dxa"/>
            <w:vAlign w:val="bottom"/>
          </w:tcPr>
          <w:p w14:paraId="268BE4A3" w14:textId="483EFE01" w:rsidR="00650F88" w:rsidRPr="00D42C24" w:rsidRDefault="00650F88" w:rsidP="00815F76">
            <w:pPr>
              <w:pStyle w:val="BodytextHQSC"/>
              <w:rPr>
                <w:color w:val="000000"/>
              </w:rPr>
            </w:pPr>
            <w:r w:rsidRPr="00F36322">
              <w:rPr>
                <w:color w:val="000000"/>
              </w:rPr>
              <w:t xml:space="preserve">PHO-enrolled population aged ≥ 65 years (on 30 June of each calendar year). </w:t>
            </w:r>
          </w:p>
        </w:tc>
      </w:tr>
      <w:tr w:rsidR="00650F88" w:rsidRPr="00D42C24" w14:paraId="5D18CD8D" w14:textId="77777777" w:rsidTr="00336E4E">
        <w:trPr>
          <w:trHeight w:val="327"/>
        </w:trPr>
        <w:tc>
          <w:tcPr>
            <w:tcW w:w="1668" w:type="dxa"/>
            <w:tcBorders>
              <w:top w:val="single" w:sz="4" w:space="0" w:color="C2D69B"/>
              <w:left w:val="single" w:sz="4" w:space="0" w:color="C2D69B"/>
              <w:bottom w:val="single" w:sz="4" w:space="0" w:color="C2D69B"/>
              <w:right w:val="single" w:sz="4" w:space="0" w:color="C2D69B"/>
            </w:tcBorders>
          </w:tcPr>
          <w:p w14:paraId="2556B064" w14:textId="77777777" w:rsidR="00650F88" w:rsidRPr="00D42C24" w:rsidRDefault="00650F88" w:rsidP="00815F76">
            <w:pPr>
              <w:pStyle w:val="BodytextHQSC"/>
            </w:pPr>
            <w:r>
              <w:t>Analysis</w:t>
            </w:r>
          </w:p>
        </w:tc>
        <w:tc>
          <w:tcPr>
            <w:tcW w:w="7654" w:type="dxa"/>
            <w:tcBorders>
              <w:top w:val="single" w:sz="4" w:space="0" w:color="C2D69B"/>
              <w:left w:val="single" w:sz="4" w:space="0" w:color="C2D69B"/>
              <w:bottom w:val="single" w:sz="4" w:space="0" w:color="C2D69B"/>
              <w:right w:val="single" w:sz="4" w:space="0" w:color="C2D69B"/>
            </w:tcBorders>
            <w:vAlign w:val="bottom"/>
          </w:tcPr>
          <w:p w14:paraId="09B9BE01" w14:textId="77777777" w:rsidR="00650F88" w:rsidRPr="00133505" w:rsidRDefault="00650F88" w:rsidP="00815F76">
            <w:pPr>
              <w:pStyle w:val="BodytextHQSC"/>
              <w:rPr>
                <w:color w:val="000000" w:themeColor="text1"/>
              </w:rPr>
            </w:pPr>
            <w:r w:rsidRPr="00133505">
              <w:rPr>
                <w:color w:val="000000" w:themeColor="text1"/>
              </w:rPr>
              <w:t>District analysis: By year (201</w:t>
            </w:r>
            <w:r>
              <w:rPr>
                <w:color w:val="000000" w:themeColor="text1"/>
              </w:rPr>
              <w:t>9</w:t>
            </w:r>
            <w:r w:rsidRPr="00133505">
              <w:rPr>
                <w:color w:val="000000" w:themeColor="text1"/>
              </w:rPr>
              <w:t xml:space="preserve"> –2023), age group (</w:t>
            </w:r>
            <w:r w:rsidRPr="008D0ECF">
              <w:rPr>
                <w:color w:val="000000"/>
              </w:rPr>
              <w:t xml:space="preserve">65–74 years; 75–84 years; 85 years and </w:t>
            </w:r>
            <w:proofErr w:type="gramStart"/>
            <w:r w:rsidRPr="008D0ECF">
              <w:rPr>
                <w:color w:val="000000"/>
              </w:rPr>
              <w:t>over</w:t>
            </w:r>
            <w:r w:rsidRPr="00133505" w:rsidDel="00957B6D">
              <w:rPr>
                <w:color w:val="000000" w:themeColor="text1"/>
              </w:rPr>
              <w:t xml:space="preserve"> </w:t>
            </w:r>
            <w:r w:rsidRPr="00133505">
              <w:rPr>
                <w:color w:val="000000" w:themeColor="text1"/>
              </w:rPr>
              <w:t>)</w:t>
            </w:r>
            <w:proofErr w:type="gramEnd"/>
            <w:r w:rsidRPr="00133505">
              <w:rPr>
                <w:color w:val="000000" w:themeColor="text1"/>
              </w:rPr>
              <w:t xml:space="preserve">, gender (female, male), ethnic group (Māori, Pacific peoples, </w:t>
            </w:r>
            <w:r>
              <w:t>Asian and European/other</w:t>
            </w:r>
            <w:r w:rsidRPr="00133505">
              <w:rPr>
                <w:color w:val="000000" w:themeColor="text1"/>
              </w:rPr>
              <w:t>) and Health New Zealand district of domicile.</w:t>
            </w:r>
          </w:p>
          <w:p w14:paraId="35BADF64" w14:textId="77777777" w:rsidR="00650F88" w:rsidRPr="008D0ECF" w:rsidRDefault="00650F88" w:rsidP="00815F76">
            <w:pPr>
              <w:pStyle w:val="BodytextHQSC"/>
              <w:rPr>
                <w:color w:val="000000"/>
              </w:rPr>
            </w:pPr>
            <w:r w:rsidRPr="00133505">
              <w:rPr>
                <w:color w:val="000000" w:themeColor="text1"/>
              </w:rPr>
              <w:t>PHO analysis: By year (2023), age group, gender, ethnic group, Primary Health Organisation (PHO) most recently enrolled with (for the relevant year), PHO group (small, medium, medium-large and large).</w:t>
            </w:r>
          </w:p>
        </w:tc>
      </w:tr>
      <w:tr w:rsidR="00650F88" w:rsidRPr="005B7D92" w14:paraId="1B01EAEE" w14:textId="77777777" w:rsidTr="00336E4E">
        <w:trPr>
          <w:trHeight w:val="327"/>
        </w:trPr>
        <w:tc>
          <w:tcPr>
            <w:tcW w:w="1668" w:type="dxa"/>
            <w:tcBorders>
              <w:top w:val="single" w:sz="4" w:space="0" w:color="C2D69B"/>
              <w:left w:val="single" w:sz="4" w:space="0" w:color="C2D69B"/>
              <w:bottom w:val="single" w:sz="4" w:space="0" w:color="C2D69B"/>
              <w:right w:val="single" w:sz="4" w:space="0" w:color="C2D69B"/>
            </w:tcBorders>
          </w:tcPr>
          <w:p w14:paraId="1B928C57" w14:textId="77777777" w:rsidR="00650F88" w:rsidRPr="00D42C24" w:rsidRDefault="00650F88" w:rsidP="00815F76">
            <w:pPr>
              <w:pStyle w:val="BodytextHQSC"/>
            </w:pPr>
            <w:r>
              <w:t>Exclusions</w:t>
            </w:r>
          </w:p>
        </w:tc>
        <w:tc>
          <w:tcPr>
            <w:tcW w:w="7654" w:type="dxa"/>
            <w:tcBorders>
              <w:top w:val="single" w:sz="4" w:space="0" w:color="C2D69B"/>
              <w:left w:val="single" w:sz="4" w:space="0" w:color="C2D69B"/>
              <w:bottom w:val="single" w:sz="4" w:space="0" w:color="C2D69B"/>
              <w:right w:val="single" w:sz="4" w:space="0" w:color="C2D69B"/>
            </w:tcBorders>
            <w:vAlign w:val="bottom"/>
          </w:tcPr>
          <w:p w14:paraId="601EB195" w14:textId="77777777" w:rsidR="00650F88" w:rsidRPr="008D0ECF" w:rsidRDefault="00650F88" w:rsidP="00815F76">
            <w:pPr>
              <w:pStyle w:val="BulletsHQSC"/>
            </w:pPr>
            <w:r w:rsidRPr="008D0ECF">
              <w:t xml:space="preserve">Therapeutic group 1: </w:t>
            </w:r>
            <w:proofErr w:type="spellStart"/>
            <w:r w:rsidRPr="008D0ECF">
              <w:t>dermatologicals</w:t>
            </w:r>
            <w:proofErr w:type="spellEnd"/>
          </w:p>
          <w:p w14:paraId="148F8204" w14:textId="77777777" w:rsidR="00650F88" w:rsidRPr="008D0ECF" w:rsidRDefault="00650F88" w:rsidP="00815F76">
            <w:pPr>
              <w:pStyle w:val="BulletsHQSC"/>
            </w:pPr>
            <w:r w:rsidRPr="008D0ECF">
              <w:t>Therapeutic group 1: special foods</w:t>
            </w:r>
          </w:p>
          <w:p w14:paraId="607B819B" w14:textId="77777777" w:rsidR="00650F88" w:rsidRPr="008D0ECF" w:rsidRDefault="00650F88" w:rsidP="00815F76">
            <w:pPr>
              <w:pStyle w:val="BulletsHQSC"/>
            </w:pPr>
            <w:r w:rsidRPr="008D0ECF">
              <w:t>Therapeutic group 1: sensory organs</w:t>
            </w:r>
          </w:p>
          <w:p w14:paraId="7D281350" w14:textId="77777777" w:rsidR="00650F88" w:rsidRPr="008D0ECF" w:rsidRDefault="00650F88" w:rsidP="00815F76">
            <w:pPr>
              <w:pStyle w:val="BulletsHQSC"/>
            </w:pPr>
            <w:r w:rsidRPr="008D0ECF">
              <w:t xml:space="preserve">Therapeutic group 1, section C – extemporaneously compounded preparations and </w:t>
            </w:r>
            <w:proofErr w:type="spellStart"/>
            <w:r w:rsidRPr="008D0ECF">
              <w:t>galenicals</w:t>
            </w:r>
            <w:proofErr w:type="spellEnd"/>
          </w:p>
          <w:p w14:paraId="0579D582" w14:textId="77777777" w:rsidR="00650F88" w:rsidRPr="008D0ECF" w:rsidRDefault="00650F88" w:rsidP="00815F76">
            <w:pPr>
              <w:pStyle w:val="BulletsHQSC"/>
            </w:pPr>
            <w:r w:rsidRPr="008D0ECF">
              <w:t>Therapeutic group 2: respiratory devices</w:t>
            </w:r>
          </w:p>
          <w:p w14:paraId="2E009001" w14:textId="77777777" w:rsidR="00650F88" w:rsidRPr="008D0ECF" w:rsidRDefault="00650F88" w:rsidP="00815F76">
            <w:pPr>
              <w:pStyle w:val="BulletsHQSC"/>
            </w:pPr>
            <w:r w:rsidRPr="008D0ECF">
              <w:t>Therapeutic group 2: unknown (</w:t>
            </w:r>
            <w:proofErr w:type="spellStart"/>
            <w:r w:rsidRPr="008D0ECF">
              <w:t>eg</w:t>
            </w:r>
            <w:proofErr w:type="spellEnd"/>
            <w:r w:rsidRPr="008D0ECF">
              <w:t>, header rows, named patient authority)</w:t>
            </w:r>
          </w:p>
          <w:p w14:paraId="66A13D8B" w14:textId="77777777" w:rsidR="00650F88" w:rsidRPr="008D0ECF" w:rsidRDefault="00650F88" w:rsidP="00815F76">
            <w:pPr>
              <w:pStyle w:val="BulletsHQSC"/>
            </w:pPr>
            <w:r w:rsidRPr="008D0ECF">
              <w:t>Therapeutic group 2: various (</w:t>
            </w:r>
            <w:proofErr w:type="spellStart"/>
            <w:r w:rsidRPr="008D0ECF">
              <w:t>eg</w:t>
            </w:r>
            <w:proofErr w:type="spellEnd"/>
            <w:r w:rsidRPr="008D0ECF">
              <w:t>, brand switch fee)</w:t>
            </w:r>
          </w:p>
          <w:p w14:paraId="52C2ECC4" w14:textId="77777777" w:rsidR="00650F88" w:rsidRPr="008D0ECF" w:rsidRDefault="00650F88" w:rsidP="00815F76">
            <w:pPr>
              <w:pStyle w:val="BulletsHQSC"/>
            </w:pPr>
            <w:r w:rsidRPr="008D0ECF">
              <w:t xml:space="preserve">Therapeutic group 2: diabetes management: ketone testing, blood glucose testing, insulin syringes and needles, insulin pumps, insulin pump consumables  </w:t>
            </w:r>
          </w:p>
        </w:tc>
      </w:tr>
      <w:tr w:rsidR="00650F88" w:rsidRPr="005B7D92" w14:paraId="377C94D9" w14:textId="77777777" w:rsidTr="00336E4E">
        <w:trPr>
          <w:trHeight w:val="327"/>
        </w:trPr>
        <w:tc>
          <w:tcPr>
            <w:tcW w:w="1668" w:type="dxa"/>
            <w:tcBorders>
              <w:top w:val="single" w:sz="4" w:space="0" w:color="C2D69B"/>
              <w:left w:val="single" w:sz="4" w:space="0" w:color="C2D69B"/>
              <w:bottom w:val="single" w:sz="4" w:space="0" w:color="C2D69B"/>
              <w:right w:val="single" w:sz="4" w:space="0" w:color="C2D69B"/>
            </w:tcBorders>
          </w:tcPr>
          <w:p w14:paraId="339E6A21" w14:textId="77777777" w:rsidR="00650F88" w:rsidRDefault="00650F88" w:rsidP="00815F76">
            <w:pPr>
              <w:pStyle w:val="BodytextHQSC"/>
            </w:pPr>
            <w:r>
              <w:t>Commentary</w:t>
            </w:r>
          </w:p>
        </w:tc>
        <w:tc>
          <w:tcPr>
            <w:tcW w:w="7654" w:type="dxa"/>
            <w:tcBorders>
              <w:top w:val="single" w:sz="4" w:space="0" w:color="C2D69B"/>
              <w:left w:val="single" w:sz="4" w:space="0" w:color="C2D69B"/>
              <w:bottom w:val="single" w:sz="4" w:space="0" w:color="C2D69B"/>
              <w:right w:val="single" w:sz="4" w:space="0" w:color="C2D69B"/>
            </w:tcBorders>
            <w:vAlign w:val="bottom"/>
          </w:tcPr>
          <w:p w14:paraId="5F5A3A45" w14:textId="77777777" w:rsidR="00650F88" w:rsidRDefault="00650F88" w:rsidP="00815F76">
            <w:pPr>
              <w:pStyle w:val="BodytextHQSC"/>
            </w:pPr>
            <w:r>
              <w:t xml:space="preserve">Description: </w:t>
            </w:r>
          </w:p>
          <w:p w14:paraId="269336DE" w14:textId="2726A15F" w:rsidR="00650F88" w:rsidRDefault="00650F88" w:rsidP="00815F76">
            <w:pPr>
              <w:pStyle w:val="BodytextHQSC"/>
            </w:pPr>
            <w:r>
              <w:t xml:space="preserve">This indicator shows the percentage of people who were dispensed 8, 9 or 10 medicines by district. Long-term medicines were defined as the number of unique medicines dispensed in at least two consecutive quarters. This indicator does not capture unsubsidised or over-the-counter medicines; nor does it indicate whether people took the medicine. </w:t>
            </w:r>
          </w:p>
          <w:p w14:paraId="3DE2B961" w14:textId="1C7C00F2" w:rsidR="00650F88" w:rsidRDefault="00650F88" w:rsidP="00815F76">
            <w:pPr>
              <w:pStyle w:val="BodytextHQSC"/>
            </w:pPr>
            <w:r>
              <w:t>Data are presented by year, age, gender and ethnicity.</w:t>
            </w:r>
          </w:p>
          <w:p w14:paraId="3DEE82A6" w14:textId="77777777" w:rsidR="00650F88" w:rsidRDefault="00650F88" w:rsidP="00815F76">
            <w:pPr>
              <w:pStyle w:val="BodytextHQSC"/>
            </w:pPr>
            <w:r>
              <w:t>Why is this important?</w:t>
            </w:r>
          </w:p>
          <w:p w14:paraId="44B26BD9" w14:textId="5F74FB74" w:rsidR="00650F88" w:rsidRDefault="00650F88" w:rsidP="00815F76">
            <w:pPr>
              <w:pStyle w:val="BodytextHQSC"/>
            </w:pPr>
            <w:r>
              <w:t>The number of medicines taken increases the likelihood of adverse drug reactions, poor adherence and geriatric syndromes in the elderly. Despite these risks, these data show that those aged 85 and over receive more medicines than those aged either 65–74 or 75–84 years.</w:t>
            </w:r>
          </w:p>
          <w:p w14:paraId="0BE03A01" w14:textId="77777777" w:rsidR="00650F88" w:rsidRDefault="00650F88" w:rsidP="00815F76">
            <w:pPr>
              <w:pStyle w:val="BodytextHQSC"/>
            </w:pPr>
            <w:r>
              <w:lastRenderedPageBreak/>
              <w:t>What questions does this prompt?</w:t>
            </w:r>
          </w:p>
          <w:p w14:paraId="341DFE7F" w14:textId="77777777" w:rsidR="00650F88" w:rsidRDefault="00650F88" w:rsidP="00815F76">
            <w:pPr>
              <w:pStyle w:val="BulletsHQSC"/>
            </w:pPr>
            <w:r>
              <w:t>Is it appropriate that older people are more likely to receive 8–10 long-term medicines?</w:t>
            </w:r>
          </w:p>
          <w:p w14:paraId="7DB92892" w14:textId="77777777" w:rsidR="00650F88" w:rsidRDefault="00650F88" w:rsidP="00815F76">
            <w:pPr>
              <w:pStyle w:val="BulletsHQSC"/>
            </w:pPr>
            <w:r>
              <w:t>How do similar districts compare?</w:t>
            </w:r>
          </w:p>
          <w:p w14:paraId="6671D170" w14:textId="0A30B34B" w:rsidR="00650F88" w:rsidRPr="00815F76" w:rsidRDefault="00650F88" w:rsidP="00815F76">
            <w:pPr>
              <w:pStyle w:val="BulletsHQSC"/>
            </w:pPr>
            <w:r>
              <w:t>Why do Asian people appear to receive fewer medicines?</w:t>
            </w:r>
          </w:p>
        </w:tc>
      </w:tr>
    </w:tbl>
    <w:p w14:paraId="2AD8471C" w14:textId="4A02B12A" w:rsidR="00650F88" w:rsidRPr="00836D0A" w:rsidRDefault="00836D0A" w:rsidP="00836D0A">
      <w:pPr>
        <w:pStyle w:val="TeThHauorahead3"/>
      </w:pPr>
      <w:bookmarkStart w:id="10" w:name="_Toc215603194"/>
      <w:r w:rsidRPr="00836D0A">
        <w:lastRenderedPageBreak/>
        <w:t>4. People aged 65 years and over dispensed 11 or more unique long-term medicines</w:t>
      </w:r>
      <w:bookmarkEnd w:id="10"/>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1E328758" w14:textId="77777777" w:rsidTr="00336E4E">
        <w:trPr>
          <w:trHeight w:val="327"/>
        </w:trPr>
        <w:tc>
          <w:tcPr>
            <w:tcW w:w="1668" w:type="dxa"/>
          </w:tcPr>
          <w:p w14:paraId="462CBFA2" w14:textId="77777777" w:rsidR="00650F88" w:rsidRPr="00D42C24" w:rsidRDefault="00650F88" w:rsidP="00815F76">
            <w:pPr>
              <w:pStyle w:val="BodytextHQSC"/>
              <w:rPr>
                <w:color w:val="808080"/>
              </w:rPr>
            </w:pPr>
            <w:r>
              <w:t>Indicator #4:</w:t>
            </w:r>
          </w:p>
        </w:tc>
        <w:tc>
          <w:tcPr>
            <w:tcW w:w="7654" w:type="dxa"/>
            <w:vAlign w:val="bottom"/>
          </w:tcPr>
          <w:p w14:paraId="3DC0881D" w14:textId="77777777" w:rsidR="00650F88" w:rsidRPr="00D42C24" w:rsidRDefault="00650F88" w:rsidP="00815F76">
            <w:pPr>
              <w:pStyle w:val="BodytextHQSC"/>
              <w:rPr>
                <w:color w:val="000000"/>
              </w:rPr>
            </w:pPr>
            <w:r>
              <w:rPr>
                <w:color w:val="000000"/>
              </w:rPr>
              <w:t>People aged 65 years and over dispensed 11 or more unique long-term medicines</w:t>
            </w:r>
          </w:p>
        </w:tc>
      </w:tr>
      <w:tr w:rsidR="00650F88" w:rsidRPr="00D42C24" w14:paraId="0C2B475A" w14:textId="77777777" w:rsidTr="00336E4E">
        <w:trPr>
          <w:trHeight w:val="327"/>
        </w:trPr>
        <w:tc>
          <w:tcPr>
            <w:tcW w:w="1668" w:type="dxa"/>
          </w:tcPr>
          <w:p w14:paraId="137F0766" w14:textId="77777777" w:rsidR="00650F88" w:rsidRPr="00D42C24" w:rsidRDefault="00650F88" w:rsidP="00815F76">
            <w:pPr>
              <w:pStyle w:val="BodytextHQSC"/>
            </w:pPr>
            <w:r>
              <w:t>Numerator</w:t>
            </w:r>
          </w:p>
        </w:tc>
        <w:tc>
          <w:tcPr>
            <w:tcW w:w="7654" w:type="dxa"/>
            <w:vAlign w:val="bottom"/>
          </w:tcPr>
          <w:p w14:paraId="6D2DABF8" w14:textId="77D0D5EA" w:rsidR="00650F88" w:rsidRPr="00815F76" w:rsidRDefault="00650F88" w:rsidP="00815F76">
            <w:pPr>
              <w:pStyle w:val="BodytextHQSC"/>
            </w:pPr>
            <w:r w:rsidRPr="00941D51">
              <w:t xml:space="preserve">PHO-enrolled population aged ≥ 65 years (on 30 June of each calendar year) who were dispensed same set of </w:t>
            </w:r>
            <w:r>
              <w:t>11 or more</w:t>
            </w:r>
            <w:r w:rsidRPr="00941D51">
              <w:t xml:space="preserve"> unique medications during a quarter of given year </w:t>
            </w:r>
            <w:r>
              <w:t>who</w:t>
            </w:r>
            <w:r w:rsidRPr="00941D51">
              <w:t xml:space="preserve"> were also dispensed in the quarter prior. </w:t>
            </w:r>
          </w:p>
        </w:tc>
      </w:tr>
      <w:tr w:rsidR="00650F88" w:rsidRPr="00D42C24" w14:paraId="76734EB3" w14:textId="77777777" w:rsidTr="00336E4E">
        <w:trPr>
          <w:trHeight w:val="327"/>
        </w:trPr>
        <w:tc>
          <w:tcPr>
            <w:tcW w:w="1668" w:type="dxa"/>
          </w:tcPr>
          <w:p w14:paraId="735CFDB7" w14:textId="77777777" w:rsidR="00650F88" w:rsidRPr="00D42C24" w:rsidRDefault="00650F88" w:rsidP="00815F76">
            <w:pPr>
              <w:pStyle w:val="BodytextHQSC"/>
            </w:pPr>
            <w:r>
              <w:t>Denominator</w:t>
            </w:r>
          </w:p>
        </w:tc>
        <w:tc>
          <w:tcPr>
            <w:tcW w:w="7654" w:type="dxa"/>
            <w:vAlign w:val="bottom"/>
          </w:tcPr>
          <w:p w14:paraId="517E5442" w14:textId="77777777" w:rsidR="00650F88" w:rsidRPr="00D42C24" w:rsidRDefault="00650F88" w:rsidP="00815F76">
            <w:pPr>
              <w:pStyle w:val="BodytextHQSC"/>
              <w:rPr>
                <w:color w:val="000000"/>
              </w:rPr>
            </w:pPr>
            <w:r w:rsidRPr="00F36322">
              <w:rPr>
                <w:color w:val="000000"/>
              </w:rPr>
              <w:t xml:space="preserve">PHO-enrolled population aged ≥ 65 years (on 30 June of each calendar year). </w:t>
            </w:r>
          </w:p>
        </w:tc>
      </w:tr>
      <w:tr w:rsidR="00650F88" w:rsidRPr="00D42C24" w14:paraId="3F25A893" w14:textId="77777777" w:rsidTr="00336E4E">
        <w:trPr>
          <w:trHeight w:val="327"/>
        </w:trPr>
        <w:tc>
          <w:tcPr>
            <w:tcW w:w="1668" w:type="dxa"/>
          </w:tcPr>
          <w:p w14:paraId="409F2A5B" w14:textId="77777777" w:rsidR="00650F88" w:rsidRPr="00D42C24" w:rsidRDefault="00650F88" w:rsidP="00815F76">
            <w:pPr>
              <w:pStyle w:val="BodytextHQSC"/>
            </w:pPr>
            <w:r>
              <w:t>Analysis</w:t>
            </w:r>
          </w:p>
        </w:tc>
        <w:tc>
          <w:tcPr>
            <w:tcW w:w="7654" w:type="dxa"/>
            <w:vAlign w:val="bottom"/>
          </w:tcPr>
          <w:p w14:paraId="3528AC51" w14:textId="77777777" w:rsidR="00650F88" w:rsidRPr="00133505" w:rsidRDefault="00650F88" w:rsidP="00815F76">
            <w:pPr>
              <w:pStyle w:val="BodytextHQSC"/>
              <w:rPr>
                <w:color w:val="000000" w:themeColor="text1"/>
              </w:rPr>
            </w:pPr>
            <w:r w:rsidRPr="00133505">
              <w:rPr>
                <w:color w:val="000000" w:themeColor="text1"/>
              </w:rPr>
              <w:t>District analysis: By year (201</w:t>
            </w:r>
            <w:r>
              <w:rPr>
                <w:color w:val="000000" w:themeColor="text1"/>
              </w:rPr>
              <w:t>9</w:t>
            </w:r>
            <w:r w:rsidRPr="00133505">
              <w:rPr>
                <w:color w:val="000000" w:themeColor="text1"/>
              </w:rPr>
              <w:t xml:space="preserve"> –2023), age group (</w:t>
            </w:r>
            <w:r w:rsidRPr="008D0ECF">
              <w:rPr>
                <w:color w:val="000000"/>
              </w:rPr>
              <w:t xml:space="preserve">65–74 years; 75–84 years; 85 years and </w:t>
            </w:r>
            <w:proofErr w:type="gramStart"/>
            <w:r w:rsidRPr="008D0ECF">
              <w:rPr>
                <w:color w:val="000000"/>
              </w:rPr>
              <w:t>over</w:t>
            </w:r>
            <w:r w:rsidRPr="00133505" w:rsidDel="00957B6D">
              <w:rPr>
                <w:color w:val="000000" w:themeColor="text1"/>
              </w:rPr>
              <w:t xml:space="preserve"> </w:t>
            </w:r>
            <w:r w:rsidRPr="00133505">
              <w:rPr>
                <w:color w:val="000000" w:themeColor="text1"/>
              </w:rPr>
              <w:t>)</w:t>
            </w:r>
            <w:proofErr w:type="gramEnd"/>
            <w:r w:rsidRPr="00133505">
              <w:rPr>
                <w:color w:val="000000" w:themeColor="text1"/>
              </w:rPr>
              <w:t xml:space="preserve">, gender (female, male), ethnic group (Māori, Pacific peoples, </w:t>
            </w:r>
            <w:r>
              <w:t>Asian and European/other</w:t>
            </w:r>
            <w:r w:rsidRPr="00133505">
              <w:rPr>
                <w:color w:val="000000" w:themeColor="text1"/>
              </w:rPr>
              <w:t>) and Health New Zealand district of domicile.</w:t>
            </w:r>
          </w:p>
          <w:p w14:paraId="74676F4C" w14:textId="77777777" w:rsidR="00650F88" w:rsidRPr="00D42C24" w:rsidRDefault="00650F88" w:rsidP="00815F76">
            <w:pPr>
              <w:pStyle w:val="BodytextHQSC"/>
              <w:rPr>
                <w:color w:val="000000"/>
              </w:rPr>
            </w:pPr>
            <w:r w:rsidRPr="00133505">
              <w:rPr>
                <w:color w:val="000000" w:themeColor="text1"/>
              </w:rPr>
              <w:t>PHO analysis: By year (2023), age group, gender, ethnic group, Primary Health Organisation (PHO) most recently enrolled with (for the relevant year), PHO group (small, medium, medium-large and large).</w:t>
            </w:r>
          </w:p>
        </w:tc>
      </w:tr>
      <w:tr w:rsidR="00650F88" w:rsidRPr="00D42C24" w14:paraId="67AEF958" w14:textId="77777777" w:rsidTr="00336E4E">
        <w:trPr>
          <w:trHeight w:val="327"/>
        </w:trPr>
        <w:tc>
          <w:tcPr>
            <w:tcW w:w="1668" w:type="dxa"/>
          </w:tcPr>
          <w:p w14:paraId="22C0F3E2" w14:textId="77777777" w:rsidR="00650F88" w:rsidRDefault="00650F88" w:rsidP="00815F76">
            <w:pPr>
              <w:pStyle w:val="BodytextHQSC"/>
            </w:pPr>
            <w:r>
              <w:t>Exclusions</w:t>
            </w:r>
          </w:p>
        </w:tc>
        <w:tc>
          <w:tcPr>
            <w:tcW w:w="7654" w:type="dxa"/>
            <w:vAlign w:val="bottom"/>
          </w:tcPr>
          <w:p w14:paraId="5F58EED4" w14:textId="77777777" w:rsidR="00650F88" w:rsidRPr="005B7D92" w:rsidRDefault="00650F88" w:rsidP="008C375F">
            <w:pPr>
              <w:pStyle w:val="BulletsHQSC"/>
            </w:pPr>
            <w:r w:rsidRPr="005B7D92">
              <w:t xml:space="preserve">Therapeutic group 1: </w:t>
            </w:r>
            <w:proofErr w:type="spellStart"/>
            <w:r w:rsidRPr="005B7D92">
              <w:t>dermatologicals</w:t>
            </w:r>
            <w:proofErr w:type="spellEnd"/>
          </w:p>
          <w:p w14:paraId="71CF3106" w14:textId="77777777" w:rsidR="00650F88" w:rsidRPr="005B7D92" w:rsidRDefault="00650F88" w:rsidP="008C375F">
            <w:pPr>
              <w:pStyle w:val="BulletsHQSC"/>
            </w:pPr>
            <w:r w:rsidRPr="005B7D92">
              <w:t>Therapeutic group 1: special foods</w:t>
            </w:r>
          </w:p>
          <w:p w14:paraId="3498B69B" w14:textId="77777777" w:rsidR="00650F88" w:rsidRPr="005B7D92" w:rsidRDefault="00650F88" w:rsidP="008C375F">
            <w:pPr>
              <w:pStyle w:val="BulletsHQSC"/>
            </w:pPr>
            <w:r w:rsidRPr="005B7D92">
              <w:t>Therapeutic group 1: sensory organs</w:t>
            </w:r>
          </w:p>
          <w:p w14:paraId="61A222DC" w14:textId="77777777" w:rsidR="00650F88" w:rsidRPr="005B7D92" w:rsidRDefault="00650F88" w:rsidP="008C375F">
            <w:pPr>
              <w:pStyle w:val="BulletsHQSC"/>
            </w:pPr>
            <w:r w:rsidRPr="005B7D92">
              <w:t xml:space="preserve">Therapeutic group 1, </w:t>
            </w:r>
            <w:r>
              <w:t>s</w:t>
            </w:r>
            <w:r w:rsidRPr="005B7D92">
              <w:t xml:space="preserve">ection C – extemporaneously compounded preparations and </w:t>
            </w:r>
            <w:proofErr w:type="spellStart"/>
            <w:r w:rsidRPr="005B7D92">
              <w:t>galenicals</w:t>
            </w:r>
            <w:proofErr w:type="spellEnd"/>
          </w:p>
          <w:p w14:paraId="242047DC" w14:textId="77777777" w:rsidR="00650F88" w:rsidRPr="005B7D92" w:rsidRDefault="00650F88" w:rsidP="008C375F">
            <w:pPr>
              <w:pStyle w:val="BulletsHQSC"/>
            </w:pPr>
            <w:r w:rsidRPr="005B7D92">
              <w:t>Therapeutic group 2: respiratory devices.</w:t>
            </w:r>
          </w:p>
          <w:p w14:paraId="05719905" w14:textId="77777777" w:rsidR="00650F88" w:rsidRPr="005B7D92" w:rsidRDefault="00650F88" w:rsidP="008C375F">
            <w:pPr>
              <w:pStyle w:val="BulletsHQSC"/>
            </w:pPr>
            <w:r w:rsidRPr="005B7D92">
              <w:t>Therapeutic group 2: unknown (</w:t>
            </w:r>
            <w:proofErr w:type="spellStart"/>
            <w:r w:rsidRPr="005B7D92">
              <w:t>eg</w:t>
            </w:r>
            <w:proofErr w:type="spellEnd"/>
            <w:r w:rsidRPr="005B7D92">
              <w:t>, header rows, named patient authority)</w:t>
            </w:r>
          </w:p>
          <w:p w14:paraId="7207FCFA" w14:textId="77777777" w:rsidR="00650F88" w:rsidRPr="005B7D92" w:rsidRDefault="00650F88" w:rsidP="008C375F">
            <w:pPr>
              <w:pStyle w:val="BulletsHQSC"/>
            </w:pPr>
            <w:r w:rsidRPr="005B7D92">
              <w:t xml:space="preserve">Therapeutic group 2: various </w:t>
            </w:r>
            <w:proofErr w:type="spellStart"/>
            <w:r w:rsidRPr="005B7D92">
              <w:t>eg</w:t>
            </w:r>
            <w:proofErr w:type="spellEnd"/>
            <w:r w:rsidRPr="005B7D92">
              <w:t>, brand switch fee</w:t>
            </w:r>
          </w:p>
          <w:p w14:paraId="3780EA72" w14:textId="77777777" w:rsidR="00650F88" w:rsidRPr="005B7D92" w:rsidRDefault="00650F88" w:rsidP="008C375F">
            <w:pPr>
              <w:pStyle w:val="BulletsHQSC"/>
              <w:rPr>
                <w:color w:val="000000"/>
              </w:rPr>
            </w:pPr>
            <w:r w:rsidRPr="005B7D92">
              <w:t xml:space="preserve">Therapeutic group 2: </w:t>
            </w:r>
            <w:r>
              <w:t>d</w:t>
            </w:r>
            <w:r w:rsidRPr="005B7D92">
              <w:t>iabetes management: ketone testing, blood glucose testing, insulin syringes and needles, insulin pumps, insulin pump consumables</w:t>
            </w:r>
          </w:p>
        </w:tc>
      </w:tr>
      <w:tr w:rsidR="00650F88" w:rsidRPr="00D42C24" w14:paraId="7C0B36B1" w14:textId="77777777" w:rsidTr="00336E4E">
        <w:trPr>
          <w:trHeight w:val="327"/>
        </w:trPr>
        <w:tc>
          <w:tcPr>
            <w:tcW w:w="1668" w:type="dxa"/>
          </w:tcPr>
          <w:p w14:paraId="3EA08E51" w14:textId="77777777" w:rsidR="00650F88" w:rsidRDefault="00650F88" w:rsidP="00815F76">
            <w:pPr>
              <w:pStyle w:val="BodytextHQSC"/>
            </w:pPr>
            <w:r>
              <w:t>Commentary</w:t>
            </w:r>
          </w:p>
        </w:tc>
        <w:tc>
          <w:tcPr>
            <w:tcW w:w="7654" w:type="dxa"/>
            <w:vAlign w:val="bottom"/>
          </w:tcPr>
          <w:p w14:paraId="3080A21A" w14:textId="77777777" w:rsidR="00650F88" w:rsidRDefault="00650F88" w:rsidP="00815F76">
            <w:pPr>
              <w:pStyle w:val="BodytextHQSC"/>
            </w:pPr>
            <w:r>
              <w:t xml:space="preserve">Description: </w:t>
            </w:r>
          </w:p>
          <w:p w14:paraId="55B3479D" w14:textId="5E3A369F" w:rsidR="00650F88" w:rsidRDefault="00650F88" w:rsidP="00815F76">
            <w:pPr>
              <w:pStyle w:val="BodytextHQSC"/>
            </w:pPr>
            <w:r>
              <w:lastRenderedPageBreak/>
              <w:t>This indicator shows the percentage of people who were dispensed 11 or more medicines by district. Long-term medicines were defined as the number of unique medicines dispensed in two consecutive quarters. This indicator does not capture unsubsidised or over-the-counter medicines; nor does it indicate whether people took the medicine.</w:t>
            </w:r>
          </w:p>
          <w:p w14:paraId="59CF4413" w14:textId="77777777" w:rsidR="00650F88" w:rsidRDefault="00650F88" w:rsidP="00815F76">
            <w:pPr>
              <w:pStyle w:val="BodytextHQSC"/>
            </w:pPr>
            <w:r>
              <w:t>Data are presented by year, age, gender and ethnicity.</w:t>
            </w:r>
          </w:p>
          <w:p w14:paraId="44694878" w14:textId="77777777" w:rsidR="00650F88" w:rsidRDefault="00650F88" w:rsidP="00815F76">
            <w:pPr>
              <w:pStyle w:val="BodytextHQSC"/>
            </w:pPr>
            <w:r>
              <w:t>Why is this important?</w:t>
            </w:r>
          </w:p>
          <w:p w14:paraId="31A67E29" w14:textId="63484944" w:rsidR="00650F88" w:rsidRDefault="00650F88" w:rsidP="00815F76">
            <w:pPr>
              <w:pStyle w:val="BodytextHQSC"/>
            </w:pPr>
            <w:r>
              <w:t>The number of medicines taken increases the likelihood of adverse drug reactions, poor adherence and geriatric syndromes in the elderly. Despite these risks, these data show that those aged 85 and over receive more medicines than those aged either 65–74 or 75–84 years.</w:t>
            </w:r>
          </w:p>
          <w:p w14:paraId="5B42C302" w14:textId="77777777" w:rsidR="00650F88" w:rsidRDefault="00650F88" w:rsidP="00815F76">
            <w:pPr>
              <w:pStyle w:val="BodytextHQSC"/>
            </w:pPr>
            <w:r>
              <w:t>What questions does this prompt?</w:t>
            </w:r>
          </w:p>
          <w:p w14:paraId="2B4014F2" w14:textId="77777777" w:rsidR="00650F88" w:rsidRPr="000937F8" w:rsidRDefault="00650F88" w:rsidP="00815F76">
            <w:pPr>
              <w:pStyle w:val="BulletsHQSC"/>
            </w:pPr>
            <w:r w:rsidRPr="000937F8">
              <w:t>Is it appropriate that people aged 85 and over are 2.5 times more likely to receive 11 or more long-term medicines than people aged 65-74?</w:t>
            </w:r>
          </w:p>
          <w:p w14:paraId="54704CFF" w14:textId="77777777" w:rsidR="00650F88" w:rsidRDefault="00650F88" w:rsidP="00815F76">
            <w:pPr>
              <w:pStyle w:val="BulletsHQSC"/>
            </w:pPr>
            <w:r w:rsidRPr="000937F8">
              <w:t>Should women receive more medicine than men?</w:t>
            </w:r>
          </w:p>
          <w:p w14:paraId="7346BE9B" w14:textId="77777777" w:rsidR="00650F88" w:rsidRPr="005B7D92" w:rsidRDefault="00650F88" w:rsidP="00815F76">
            <w:pPr>
              <w:pStyle w:val="BulletsHQSC"/>
            </w:pPr>
            <w:r>
              <w:t>How do similar districts compare?</w:t>
            </w:r>
          </w:p>
        </w:tc>
      </w:tr>
    </w:tbl>
    <w:p w14:paraId="078CC7AD" w14:textId="194E925E" w:rsidR="00836D0A" w:rsidRPr="00836D0A" w:rsidRDefault="00836D0A" w:rsidP="00836D0A">
      <w:pPr>
        <w:pStyle w:val="TeThHauorahead3"/>
        <w:numPr>
          <w:ilvl w:val="0"/>
          <w:numId w:val="44"/>
        </w:numPr>
      </w:pPr>
      <w:bookmarkStart w:id="11" w:name="_Toc215603195"/>
      <w:r w:rsidRPr="00836D0A">
        <w:rPr>
          <w:color w:val="000000"/>
        </w:rPr>
        <w:lastRenderedPageBreak/>
        <w:t>People aged 65 years and over who received the ‘triple whammy’</w:t>
      </w:r>
      <w:bookmarkEnd w:id="11"/>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1050E334" w14:textId="77777777" w:rsidTr="00336E4E">
        <w:trPr>
          <w:trHeight w:val="327"/>
        </w:trPr>
        <w:tc>
          <w:tcPr>
            <w:tcW w:w="1668" w:type="dxa"/>
          </w:tcPr>
          <w:p w14:paraId="4BFFBB20" w14:textId="77777777" w:rsidR="00650F88" w:rsidRPr="00D42C24" w:rsidRDefault="00650F88" w:rsidP="008C7896">
            <w:pPr>
              <w:pStyle w:val="BodytextHQSC"/>
              <w:rPr>
                <w:color w:val="808080"/>
              </w:rPr>
            </w:pPr>
            <w:r>
              <w:t>Indicator #5:</w:t>
            </w:r>
          </w:p>
        </w:tc>
        <w:tc>
          <w:tcPr>
            <w:tcW w:w="7654" w:type="dxa"/>
            <w:vAlign w:val="bottom"/>
          </w:tcPr>
          <w:p w14:paraId="2CBAAB78" w14:textId="77777777" w:rsidR="00650F88" w:rsidRPr="00D42C24" w:rsidRDefault="00650F88" w:rsidP="008C7896">
            <w:pPr>
              <w:pStyle w:val="BodytextHQSC"/>
            </w:pPr>
            <w:r>
              <w:rPr>
                <w:color w:val="000000"/>
              </w:rPr>
              <w:t>People aged 65 years and over who received the ‘triple whammy’</w:t>
            </w:r>
          </w:p>
        </w:tc>
      </w:tr>
      <w:tr w:rsidR="00650F88" w:rsidRPr="00D42C24" w14:paraId="3DA30773" w14:textId="77777777" w:rsidTr="00336E4E">
        <w:trPr>
          <w:trHeight w:val="327"/>
        </w:trPr>
        <w:tc>
          <w:tcPr>
            <w:tcW w:w="1668" w:type="dxa"/>
          </w:tcPr>
          <w:p w14:paraId="0A28F5BF" w14:textId="77777777" w:rsidR="00650F88" w:rsidRPr="00D42C24" w:rsidRDefault="00650F88" w:rsidP="008C7896">
            <w:pPr>
              <w:pStyle w:val="BodytextHQSC"/>
            </w:pPr>
            <w:r>
              <w:t>Numerator</w:t>
            </w:r>
          </w:p>
        </w:tc>
        <w:tc>
          <w:tcPr>
            <w:tcW w:w="7654" w:type="dxa"/>
            <w:vAlign w:val="bottom"/>
          </w:tcPr>
          <w:p w14:paraId="6068482C" w14:textId="77777777" w:rsidR="00650F88" w:rsidRDefault="00650F88" w:rsidP="008C7896">
            <w:pPr>
              <w:pStyle w:val="BodytextHQSC"/>
              <w:rPr>
                <w:color w:val="000000"/>
              </w:rPr>
            </w:pPr>
            <w:r>
              <w:rPr>
                <w:color w:val="000000"/>
              </w:rPr>
              <w:t xml:space="preserve">PHO enrolled population aged 65 years or over who have received ‘triple whammy’ </w:t>
            </w:r>
            <w:r w:rsidRPr="005B7D92">
              <w:rPr>
                <w:iCs/>
                <w:color w:val="000000"/>
              </w:rPr>
              <w:t>(ACE inhibitor/ ARB, diuretic and an NSAID</w:t>
            </w:r>
            <w:r>
              <w:rPr>
                <w:iCs/>
                <w:color w:val="000000"/>
              </w:rPr>
              <w:t>) during the calendar year</w:t>
            </w:r>
          </w:p>
          <w:p w14:paraId="1BA5AB22" w14:textId="77777777" w:rsidR="00650F88" w:rsidRPr="00D42C24" w:rsidRDefault="00650F88" w:rsidP="008C7896">
            <w:pPr>
              <w:pStyle w:val="BodytextHQSC"/>
            </w:pPr>
            <w:r>
              <w:rPr>
                <w:color w:val="000000"/>
              </w:rPr>
              <w:t>Dispensing of all three medicines to be within the same 90-day period (not necessarily within the same quarter).</w:t>
            </w:r>
          </w:p>
        </w:tc>
      </w:tr>
      <w:tr w:rsidR="00650F88" w:rsidRPr="00D42C24" w14:paraId="3A6D1F33" w14:textId="77777777" w:rsidTr="00336E4E">
        <w:trPr>
          <w:trHeight w:val="327"/>
        </w:trPr>
        <w:tc>
          <w:tcPr>
            <w:tcW w:w="1668" w:type="dxa"/>
          </w:tcPr>
          <w:p w14:paraId="3261A749" w14:textId="77777777" w:rsidR="00650F88" w:rsidRPr="00D42C24" w:rsidRDefault="00650F88" w:rsidP="008C7896">
            <w:pPr>
              <w:pStyle w:val="BodytextHQSC"/>
            </w:pPr>
            <w:r>
              <w:t>Denominator</w:t>
            </w:r>
          </w:p>
        </w:tc>
        <w:tc>
          <w:tcPr>
            <w:tcW w:w="7654" w:type="dxa"/>
            <w:vAlign w:val="bottom"/>
          </w:tcPr>
          <w:p w14:paraId="675B738F" w14:textId="77777777" w:rsidR="00650F88" w:rsidRPr="00D42C24" w:rsidRDefault="00650F88" w:rsidP="008C7896">
            <w:pPr>
              <w:pStyle w:val="BodytextHQSC"/>
            </w:pPr>
            <w:r w:rsidRPr="00F36322">
              <w:rPr>
                <w:color w:val="000000"/>
              </w:rPr>
              <w:t xml:space="preserve">PHO-enrolled population aged ≥ 65 years (on 30 June of each calendar year). </w:t>
            </w:r>
          </w:p>
        </w:tc>
      </w:tr>
      <w:tr w:rsidR="00650F88" w:rsidRPr="00D42C24" w14:paraId="0E28E56D" w14:textId="77777777" w:rsidTr="00336E4E">
        <w:trPr>
          <w:trHeight w:val="327"/>
        </w:trPr>
        <w:tc>
          <w:tcPr>
            <w:tcW w:w="1668" w:type="dxa"/>
          </w:tcPr>
          <w:p w14:paraId="0752B0BC" w14:textId="77777777" w:rsidR="00650F88" w:rsidRPr="00D42C24" w:rsidRDefault="00650F88" w:rsidP="008C7896">
            <w:pPr>
              <w:pStyle w:val="BodytextHQSC"/>
            </w:pPr>
            <w:r>
              <w:t>Analysis</w:t>
            </w:r>
          </w:p>
        </w:tc>
        <w:tc>
          <w:tcPr>
            <w:tcW w:w="7654" w:type="dxa"/>
            <w:vAlign w:val="bottom"/>
          </w:tcPr>
          <w:p w14:paraId="0A52E189" w14:textId="77777777" w:rsidR="00650F88" w:rsidRPr="00133505" w:rsidRDefault="00650F88" w:rsidP="008C7896">
            <w:pPr>
              <w:pStyle w:val="BodytextHQSC"/>
              <w:rPr>
                <w:color w:val="000000" w:themeColor="text1"/>
              </w:rPr>
            </w:pPr>
            <w:r w:rsidRPr="00133505">
              <w:rPr>
                <w:color w:val="000000" w:themeColor="text1"/>
              </w:rPr>
              <w:t>District analysis: By year (201</w:t>
            </w:r>
            <w:r>
              <w:rPr>
                <w:color w:val="000000" w:themeColor="text1"/>
              </w:rPr>
              <w:t>9</w:t>
            </w:r>
            <w:r w:rsidRPr="00133505">
              <w:rPr>
                <w:color w:val="000000" w:themeColor="text1"/>
              </w:rPr>
              <w:t xml:space="preserve"> –2023), age group (</w:t>
            </w:r>
            <w:r w:rsidRPr="008D0ECF">
              <w:rPr>
                <w:color w:val="000000"/>
              </w:rPr>
              <w:t xml:space="preserve">65–74 years; 75–84 years; 85 years and </w:t>
            </w:r>
            <w:proofErr w:type="gramStart"/>
            <w:r w:rsidRPr="008D0ECF">
              <w:rPr>
                <w:color w:val="000000"/>
              </w:rPr>
              <w:t>over</w:t>
            </w:r>
            <w:r w:rsidRPr="00133505" w:rsidDel="00957B6D">
              <w:rPr>
                <w:color w:val="000000" w:themeColor="text1"/>
              </w:rPr>
              <w:t xml:space="preserve"> </w:t>
            </w:r>
            <w:r w:rsidRPr="00133505">
              <w:rPr>
                <w:color w:val="000000" w:themeColor="text1"/>
              </w:rPr>
              <w:t>)</w:t>
            </w:r>
            <w:proofErr w:type="gramEnd"/>
            <w:r w:rsidRPr="00133505">
              <w:rPr>
                <w:color w:val="000000" w:themeColor="text1"/>
              </w:rPr>
              <w:t xml:space="preserve">, gender (female, male), ethnic group (Māori, Pacific peoples, </w:t>
            </w:r>
            <w:r>
              <w:t>Asian and European/other</w:t>
            </w:r>
            <w:r w:rsidRPr="00133505">
              <w:rPr>
                <w:color w:val="000000" w:themeColor="text1"/>
              </w:rPr>
              <w:t>) and Health New Zealand district of domicile.</w:t>
            </w:r>
          </w:p>
          <w:p w14:paraId="28A2F1F4" w14:textId="77777777" w:rsidR="00650F88" w:rsidRPr="00D42C24" w:rsidRDefault="00650F88" w:rsidP="008C7896">
            <w:pPr>
              <w:pStyle w:val="BodytextHQSC"/>
              <w:rPr>
                <w:color w:val="000000"/>
              </w:rPr>
            </w:pPr>
            <w:r w:rsidRPr="00133505">
              <w:t>PHO analysis: By year (2023), age group, gender, ethnic group, Primary</w:t>
            </w:r>
            <w:r>
              <w:t xml:space="preserve"> </w:t>
            </w:r>
            <w:r w:rsidRPr="00133505">
              <w:t>Health Organisation (PHO) most recently enrolled with (for the relevant year), PHO group (small, medium, medium-large and large).</w:t>
            </w:r>
          </w:p>
        </w:tc>
      </w:tr>
    </w:tbl>
    <w:p w14:paraId="51F63A86" w14:textId="77777777" w:rsidR="00650F88" w:rsidRDefault="00650F88" w:rsidP="00650F88">
      <w:r>
        <w:br w:type="page"/>
      </w:r>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76B553C2" w14:textId="77777777" w:rsidTr="00336E4E">
        <w:trPr>
          <w:trHeight w:val="327"/>
        </w:trPr>
        <w:tc>
          <w:tcPr>
            <w:tcW w:w="1668" w:type="dxa"/>
          </w:tcPr>
          <w:p w14:paraId="6E2FFBCC" w14:textId="77777777" w:rsidR="00650F88" w:rsidRDefault="00650F88" w:rsidP="00336E4E">
            <w:pPr>
              <w:pStyle w:val="Header"/>
              <w:spacing w:before="60"/>
              <w:rPr>
                <w:rFonts w:cs="Arial"/>
              </w:rPr>
            </w:pPr>
            <w:r>
              <w:rPr>
                <w:rFonts w:cs="Arial"/>
              </w:rPr>
              <w:lastRenderedPageBreak/>
              <w:t>Medicines included</w:t>
            </w:r>
          </w:p>
        </w:tc>
        <w:tc>
          <w:tcPr>
            <w:tcW w:w="7654" w:type="dxa"/>
            <w:vAlign w:val="bottom"/>
          </w:tcPr>
          <w:p w14:paraId="41DBA823" w14:textId="77777777" w:rsidR="00650F88" w:rsidRPr="00E8769C" w:rsidRDefault="00650F88" w:rsidP="00336E4E">
            <w:pPr>
              <w:spacing w:before="60"/>
              <w:rPr>
                <w:b/>
                <w:bCs/>
                <w:color w:val="000000"/>
              </w:rPr>
            </w:pPr>
            <w:r w:rsidRPr="00E8769C">
              <w:rPr>
                <w:b/>
                <w:bCs/>
                <w:color w:val="000000"/>
              </w:rPr>
              <w:t>ACEI and ARBs</w:t>
            </w:r>
          </w:p>
          <w:p w14:paraId="22CE1744" w14:textId="77777777" w:rsidR="00650F88" w:rsidRDefault="00650F88" w:rsidP="00650F88">
            <w:pPr>
              <w:pStyle w:val="ListParagraph"/>
              <w:numPr>
                <w:ilvl w:val="0"/>
                <w:numId w:val="29"/>
              </w:numPr>
              <w:spacing w:before="60" w:after="60"/>
              <w:ind w:left="357" w:hanging="357"/>
              <w:contextualSpacing w:val="0"/>
              <w:rPr>
                <w:color w:val="000000"/>
              </w:rPr>
            </w:pPr>
            <w:r>
              <w:rPr>
                <w:color w:val="000000"/>
              </w:rPr>
              <w:t xml:space="preserve">ACEI: cilazapril 2770, enalapril maleate 2711, lisinopril 2797, perindopril 2806, quinapril 2772, trandolapril 1031, captopril 2841, </w:t>
            </w:r>
          </w:p>
          <w:p w14:paraId="575F494B" w14:textId="77777777" w:rsidR="00650F88" w:rsidRDefault="00650F88" w:rsidP="00650F88">
            <w:pPr>
              <w:pStyle w:val="ListParagraph"/>
              <w:numPr>
                <w:ilvl w:val="0"/>
                <w:numId w:val="29"/>
              </w:numPr>
              <w:spacing w:after="60"/>
              <w:ind w:left="357" w:hanging="357"/>
              <w:contextualSpacing w:val="0"/>
              <w:rPr>
                <w:color w:val="000000"/>
              </w:rPr>
            </w:pPr>
            <w:r>
              <w:rPr>
                <w:color w:val="000000"/>
              </w:rPr>
              <w:t xml:space="preserve">ARB: candesartan </w:t>
            </w:r>
            <w:proofErr w:type="spellStart"/>
            <w:r>
              <w:rPr>
                <w:color w:val="000000"/>
              </w:rPr>
              <w:t>cilexetil</w:t>
            </w:r>
            <w:proofErr w:type="spellEnd"/>
            <w:r>
              <w:rPr>
                <w:color w:val="000000"/>
              </w:rPr>
              <w:t xml:space="preserve"> 1254, losartan potassium 1061</w:t>
            </w:r>
          </w:p>
          <w:p w14:paraId="7D8BA7EC" w14:textId="77777777" w:rsidR="00650F88" w:rsidRDefault="00650F88" w:rsidP="00650F88">
            <w:pPr>
              <w:pStyle w:val="ListParagraph"/>
              <w:numPr>
                <w:ilvl w:val="0"/>
                <w:numId w:val="29"/>
              </w:numPr>
              <w:spacing w:after="60"/>
              <w:ind w:left="357" w:hanging="357"/>
              <w:contextualSpacing w:val="0"/>
              <w:rPr>
                <w:color w:val="000000"/>
              </w:rPr>
            </w:pPr>
            <w:r w:rsidRPr="00C8534F">
              <w:rPr>
                <w:color w:val="000000"/>
              </w:rPr>
              <w:t>Angiotensin II Antagonists with Neprilysin Inhibitors</w:t>
            </w:r>
            <w:r>
              <w:rPr>
                <w:color w:val="000000"/>
              </w:rPr>
              <w:t xml:space="preserve">: </w:t>
            </w:r>
            <w:r w:rsidRPr="00C8534F">
              <w:rPr>
                <w:color w:val="000000"/>
              </w:rPr>
              <w:t>Sacubitril with valsartan</w:t>
            </w:r>
            <w:r>
              <w:rPr>
                <w:color w:val="000000"/>
              </w:rPr>
              <w:t xml:space="preserve"> 4105</w:t>
            </w:r>
          </w:p>
          <w:p w14:paraId="71B5F53A" w14:textId="77777777" w:rsidR="00650F88" w:rsidRPr="00E8769C" w:rsidRDefault="00650F88" w:rsidP="00336E4E">
            <w:pPr>
              <w:spacing w:before="60"/>
              <w:rPr>
                <w:b/>
                <w:bCs/>
                <w:color w:val="000000"/>
              </w:rPr>
            </w:pPr>
            <w:r w:rsidRPr="00E8769C">
              <w:rPr>
                <w:b/>
                <w:bCs/>
                <w:color w:val="000000"/>
              </w:rPr>
              <w:t>ACEI/ARB with diuretics</w:t>
            </w:r>
          </w:p>
          <w:p w14:paraId="6C8DB2DF" w14:textId="77777777" w:rsidR="00650F88" w:rsidRDefault="00650F88" w:rsidP="00650F88">
            <w:pPr>
              <w:pStyle w:val="ListParagraph"/>
              <w:numPr>
                <w:ilvl w:val="0"/>
                <w:numId w:val="29"/>
              </w:numPr>
              <w:spacing w:after="60"/>
              <w:ind w:left="357" w:hanging="357"/>
              <w:contextualSpacing w:val="0"/>
              <w:rPr>
                <w:color w:val="000000"/>
              </w:rPr>
            </w:pPr>
            <w:r>
              <w:rPr>
                <w:color w:val="000000"/>
              </w:rPr>
              <w:t>ACEI with diuretics: cilazapril with hydrochlorothiazide 1127, quinapril with hydrochlorothiazide 3749, enalapril maleate with hydrochlorothiazide 2708</w:t>
            </w:r>
          </w:p>
          <w:p w14:paraId="1313F825" w14:textId="77777777" w:rsidR="00650F88" w:rsidRDefault="00650F88" w:rsidP="00650F88">
            <w:pPr>
              <w:pStyle w:val="ListParagraph"/>
              <w:numPr>
                <w:ilvl w:val="0"/>
                <w:numId w:val="29"/>
              </w:numPr>
              <w:spacing w:after="60"/>
              <w:ind w:left="357" w:hanging="357"/>
              <w:contextualSpacing w:val="0"/>
              <w:rPr>
                <w:color w:val="000000"/>
              </w:rPr>
            </w:pPr>
            <w:r>
              <w:rPr>
                <w:color w:val="000000"/>
              </w:rPr>
              <w:t xml:space="preserve">ARB with diuretic: losartan potassium with hydrochlorothiazide 1068, losartan with hydrochlorothiazide 3788, </w:t>
            </w:r>
            <w:r w:rsidRPr="00C4021A">
              <w:rPr>
                <w:color w:val="000000"/>
              </w:rPr>
              <w:t xml:space="preserve">Candesartan </w:t>
            </w:r>
            <w:proofErr w:type="spellStart"/>
            <w:r w:rsidRPr="00C4021A">
              <w:rPr>
                <w:color w:val="000000"/>
              </w:rPr>
              <w:t>cilexetil</w:t>
            </w:r>
            <w:proofErr w:type="spellEnd"/>
            <w:r w:rsidRPr="00C4021A">
              <w:rPr>
                <w:color w:val="000000"/>
              </w:rPr>
              <w:t xml:space="preserve"> with hydrochlorothiazide</w:t>
            </w:r>
            <w:r>
              <w:rPr>
                <w:color w:val="000000"/>
              </w:rPr>
              <w:t xml:space="preserve"> 4178</w:t>
            </w:r>
          </w:p>
          <w:p w14:paraId="002362E9" w14:textId="77777777" w:rsidR="00650F88" w:rsidRPr="00E8769C" w:rsidRDefault="00650F88" w:rsidP="00336E4E">
            <w:pPr>
              <w:rPr>
                <w:b/>
                <w:bCs/>
                <w:color w:val="000000"/>
              </w:rPr>
            </w:pPr>
            <w:r w:rsidRPr="00E8769C">
              <w:rPr>
                <w:b/>
                <w:bCs/>
                <w:color w:val="000000"/>
              </w:rPr>
              <w:t>Diuretics</w:t>
            </w:r>
          </w:p>
          <w:p w14:paraId="68963259" w14:textId="77777777" w:rsidR="00650F88" w:rsidRDefault="00650F88" w:rsidP="00650F88">
            <w:pPr>
              <w:pStyle w:val="ListParagraph"/>
              <w:numPr>
                <w:ilvl w:val="0"/>
                <w:numId w:val="29"/>
              </w:numPr>
              <w:spacing w:after="60"/>
              <w:ind w:left="357" w:hanging="357"/>
              <w:contextualSpacing w:val="0"/>
              <w:rPr>
                <w:color w:val="000000"/>
              </w:rPr>
            </w:pPr>
            <w:r>
              <w:rPr>
                <w:color w:val="000000"/>
              </w:rPr>
              <w:t xml:space="preserve">bumetanide 1171, furosemide 1544, amiloride hydrochloride 1050, metolazone 4006, spironolactone 2176, amiloride hydrochloride with furosemide 1051, amiloride hydrochloride with hydrochlorothiazide 1053, </w:t>
            </w:r>
            <w:proofErr w:type="spellStart"/>
            <w:r>
              <w:rPr>
                <w:color w:val="000000"/>
              </w:rPr>
              <w:t>bendrofluazide</w:t>
            </w:r>
            <w:proofErr w:type="spellEnd"/>
            <w:r>
              <w:rPr>
                <w:color w:val="000000"/>
              </w:rPr>
              <w:t xml:space="preserve"> 1116, chlorothiazide 1282, chlortalidone 1290, indapamide 1643, eplerenone 4100</w:t>
            </w:r>
          </w:p>
          <w:p w14:paraId="651678E4" w14:textId="77777777" w:rsidR="00650F88" w:rsidRPr="00B475E8" w:rsidRDefault="00650F88" w:rsidP="00336E4E">
            <w:pPr>
              <w:spacing w:before="60"/>
              <w:rPr>
                <w:b/>
                <w:bCs/>
                <w:color w:val="000000"/>
              </w:rPr>
            </w:pPr>
            <w:r w:rsidRPr="00B475E8">
              <w:rPr>
                <w:b/>
                <w:bCs/>
                <w:color w:val="000000"/>
              </w:rPr>
              <w:t>NSAIDs</w:t>
            </w:r>
          </w:p>
          <w:p w14:paraId="2A28B505" w14:textId="77777777" w:rsidR="00650F88" w:rsidRPr="005B7D92" w:rsidRDefault="00650F88" w:rsidP="00650F88">
            <w:pPr>
              <w:pStyle w:val="ListParagraph"/>
              <w:numPr>
                <w:ilvl w:val="0"/>
                <w:numId w:val="29"/>
              </w:numPr>
              <w:spacing w:before="60" w:after="60"/>
              <w:ind w:left="357" w:hanging="357"/>
              <w:contextualSpacing w:val="0"/>
              <w:rPr>
                <w:color w:val="000000"/>
              </w:rPr>
            </w:pPr>
            <w:r w:rsidRPr="005B7D92">
              <w:rPr>
                <w:color w:val="000000"/>
              </w:rPr>
              <w:t>diclofenac sodium 1401, ibuprofen 2798, ketoprofen 1697, mefenamic acid 1769, naproxen 2782, naproxen sodium 2783, sulindac 2193, tenoxicam 2536, celecoxib 1271 and 4081, meloxicam 3912</w:t>
            </w:r>
          </w:p>
        </w:tc>
      </w:tr>
      <w:tr w:rsidR="00650F88" w:rsidRPr="00D42C24" w14:paraId="6846032D" w14:textId="77777777" w:rsidTr="00336E4E">
        <w:trPr>
          <w:trHeight w:val="327"/>
        </w:trPr>
        <w:tc>
          <w:tcPr>
            <w:tcW w:w="1668" w:type="dxa"/>
          </w:tcPr>
          <w:p w14:paraId="255B3C9A" w14:textId="77777777" w:rsidR="00650F88" w:rsidRDefault="00650F88" w:rsidP="00336E4E">
            <w:pPr>
              <w:pStyle w:val="Header"/>
              <w:spacing w:before="60"/>
              <w:rPr>
                <w:rFonts w:cs="Arial"/>
              </w:rPr>
            </w:pPr>
            <w:r>
              <w:rPr>
                <w:rFonts w:cs="Arial"/>
              </w:rPr>
              <w:t>Rationale</w:t>
            </w:r>
          </w:p>
        </w:tc>
        <w:tc>
          <w:tcPr>
            <w:tcW w:w="7654" w:type="dxa"/>
          </w:tcPr>
          <w:p w14:paraId="3830B4FD" w14:textId="77777777" w:rsidR="00650F88" w:rsidRDefault="00650F88" w:rsidP="00336E4E">
            <w:pPr>
              <w:pStyle w:val="ListParagraph"/>
              <w:spacing w:before="60"/>
              <w:ind w:left="357" w:hanging="357"/>
              <w:jc w:val="both"/>
            </w:pPr>
            <w:proofErr w:type="spellStart"/>
            <w:r>
              <w:rPr>
                <w:color w:val="000000"/>
              </w:rPr>
              <w:t>Medsafe</w:t>
            </w:r>
            <w:proofErr w:type="spellEnd"/>
            <w:r>
              <w:rPr>
                <w:color w:val="000000"/>
              </w:rPr>
              <w:t xml:space="preserve"> notes ‘triple whammy’ as a risk:</w:t>
            </w:r>
          </w:p>
          <w:p w14:paraId="3F9C2DF8" w14:textId="77777777" w:rsidR="00650F88" w:rsidRPr="005B7D92" w:rsidRDefault="00650F88" w:rsidP="00336E4E">
            <w:pPr>
              <w:jc w:val="both"/>
              <w:rPr>
                <w:iCs/>
                <w:color w:val="000000"/>
              </w:rPr>
            </w:pPr>
            <w:r w:rsidRPr="005B7D92">
              <w:rPr>
                <w:iCs/>
                <w:color w:val="000000"/>
              </w:rPr>
              <w:t>A recent nested case-control study found that current use of triple therapy (ACE inhibitor/ ARB, diuretic and an NSAID) was associated with an increased rate of acute kidney injury (Rate Ratio 1.31, 95% CI 1.12–1.53) compared to double therapy (diuretic plus ACE inhibitor/ARB).</w:t>
            </w:r>
          </w:p>
          <w:p w14:paraId="659C57B0" w14:textId="77777777" w:rsidR="00650F88" w:rsidRPr="005B7D92" w:rsidRDefault="00650F88" w:rsidP="00336E4E">
            <w:r>
              <w:t xml:space="preserve">See: </w:t>
            </w:r>
            <w:r w:rsidRPr="005B7D92">
              <w:t xml:space="preserve">Lapi F, Azoulay L, Yin H, et al. 2013. Concurrent use of diuretics, angiotensin converting enzyme inhibitors, and angiotensin receptor blockers with non-steroidal anti-inflammatory drugs and risk of acute kidney injury: nested case-control study. </w:t>
            </w:r>
            <w:r w:rsidRPr="005B7D92">
              <w:rPr>
                <w:i/>
                <w:iCs/>
              </w:rPr>
              <w:t>BMJ</w:t>
            </w:r>
            <w:r w:rsidRPr="005B7D92">
              <w:t xml:space="preserve"> 346: e8525.</w:t>
            </w:r>
          </w:p>
          <w:p w14:paraId="39DCD78D" w14:textId="77777777" w:rsidR="00650F88" w:rsidRPr="00273FB3" w:rsidRDefault="00650F88" w:rsidP="00336E4E">
            <w:hyperlink r:id="rId10" w:history="1">
              <w:proofErr w:type="spellStart"/>
              <w:r w:rsidRPr="00273FB3">
                <w:rPr>
                  <w:rStyle w:val="Hyperlink"/>
                </w:rPr>
                <w:t>SafeRx</w:t>
              </w:r>
              <w:proofErr w:type="spellEnd"/>
              <w:r w:rsidRPr="00273FB3">
                <w:rPr>
                  <w:rStyle w:val="Hyperlink"/>
                </w:rPr>
                <w:t xml:space="preserve"> recommends this combination should be avoided if possible</w:t>
              </w:r>
            </w:hyperlink>
            <w:r>
              <w:t>, especially in those with risk factors for renal failure and in older adults. Patients prescribed ACEI and diuretics should be advised not to use NSAIDs.</w:t>
            </w:r>
          </w:p>
        </w:tc>
      </w:tr>
      <w:tr w:rsidR="00650F88" w:rsidRPr="00D42C24" w14:paraId="50D936D1" w14:textId="77777777" w:rsidTr="00336E4E">
        <w:trPr>
          <w:trHeight w:val="327"/>
        </w:trPr>
        <w:tc>
          <w:tcPr>
            <w:tcW w:w="1668" w:type="dxa"/>
          </w:tcPr>
          <w:p w14:paraId="60F4D613" w14:textId="77777777" w:rsidR="00650F88" w:rsidRDefault="00650F88" w:rsidP="00336E4E">
            <w:pPr>
              <w:pStyle w:val="Header"/>
              <w:spacing w:before="60"/>
              <w:rPr>
                <w:rFonts w:cs="Arial"/>
              </w:rPr>
            </w:pPr>
            <w:r>
              <w:rPr>
                <w:rFonts w:cs="Arial"/>
              </w:rPr>
              <w:t>Note</w:t>
            </w:r>
          </w:p>
        </w:tc>
        <w:tc>
          <w:tcPr>
            <w:tcW w:w="7654" w:type="dxa"/>
            <w:vAlign w:val="bottom"/>
          </w:tcPr>
          <w:p w14:paraId="2BC572FE" w14:textId="77777777" w:rsidR="00650F88" w:rsidRDefault="00650F88" w:rsidP="00336E4E">
            <w:r>
              <w:t>Aspirin was not included in this indicator due to the difficulties of differentiating between high dose aspirin for pain relief and low dose use for primary prevention of heart problems.</w:t>
            </w:r>
          </w:p>
        </w:tc>
      </w:tr>
      <w:tr w:rsidR="00650F88" w:rsidRPr="00D42C24" w14:paraId="1A6ACE5D" w14:textId="77777777" w:rsidTr="00336E4E">
        <w:trPr>
          <w:trHeight w:val="327"/>
        </w:trPr>
        <w:tc>
          <w:tcPr>
            <w:tcW w:w="1668" w:type="dxa"/>
          </w:tcPr>
          <w:p w14:paraId="3818C0C6" w14:textId="77777777" w:rsidR="00650F88" w:rsidRDefault="00650F88" w:rsidP="00336E4E">
            <w:pPr>
              <w:pStyle w:val="Header"/>
              <w:spacing w:before="60"/>
              <w:rPr>
                <w:rFonts w:cs="Arial"/>
              </w:rPr>
            </w:pPr>
            <w:r>
              <w:rPr>
                <w:rFonts w:cs="Arial"/>
              </w:rPr>
              <w:t>Commentary</w:t>
            </w:r>
          </w:p>
        </w:tc>
        <w:tc>
          <w:tcPr>
            <w:tcW w:w="7654" w:type="dxa"/>
            <w:vAlign w:val="bottom"/>
          </w:tcPr>
          <w:p w14:paraId="28A84565" w14:textId="77777777" w:rsidR="00650F88" w:rsidRDefault="00650F88" w:rsidP="00336E4E">
            <w:r>
              <w:t xml:space="preserve">Description: </w:t>
            </w:r>
          </w:p>
          <w:p w14:paraId="3D10B419" w14:textId="6786FA0E" w:rsidR="00650F88" w:rsidRDefault="00650F88" w:rsidP="00336E4E">
            <w:r>
              <w:lastRenderedPageBreak/>
              <w:t>This indicator shows the percentage of people who were dispensed an ACE inhibitor / ARB, a diuretic and a non-steroidal anti-inflammatory in the same quarter, by health district.</w:t>
            </w:r>
          </w:p>
          <w:p w14:paraId="77C352AF" w14:textId="4310DB8B" w:rsidR="00650F88" w:rsidRDefault="00650F88" w:rsidP="00336E4E">
            <w:r>
              <w:t>Data are presented by year, age, gender and ethnicity.</w:t>
            </w:r>
          </w:p>
          <w:p w14:paraId="1B47E9DB" w14:textId="77777777" w:rsidR="00650F88" w:rsidRDefault="00650F88" w:rsidP="00336E4E">
            <w:r>
              <w:t>Why is this important?</w:t>
            </w:r>
          </w:p>
          <w:p w14:paraId="157A30D3" w14:textId="43530EF7" w:rsidR="00650F88" w:rsidRDefault="00650F88" w:rsidP="00336E4E">
            <w:r>
              <w:t xml:space="preserve">This is a combination of medicines which when used together can increase the risk of acute kidney injury, particularly in those with risk factors for renal failure and in older adults. This risk is noted by </w:t>
            </w:r>
            <w:proofErr w:type="spellStart"/>
            <w:r>
              <w:t>Medsafe</w:t>
            </w:r>
            <w:proofErr w:type="spellEnd"/>
            <w:r>
              <w:t>, see the methodology for a link. This indicator does not include NSAIDs purchased over the counter or dispensed outside of the 3-month period, so is likely to represent an undercount.</w:t>
            </w:r>
          </w:p>
          <w:p w14:paraId="0BAFCA39" w14:textId="77777777" w:rsidR="00650F88" w:rsidRDefault="00650F88" w:rsidP="00336E4E">
            <w:r>
              <w:t>What questions does this prompt?</w:t>
            </w:r>
          </w:p>
          <w:p w14:paraId="71EDAFB1" w14:textId="77777777" w:rsidR="00650F88" w:rsidRDefault="00650F88" w:rsidP="008C7896">
            <w:pPr>
              <w:pStyle w:val="BulletsHQSC"/>
            </w:pPr>
            <w:r>
              <w:t xml:space="preserve">Why are some districts dispensing triple whammy at twice the rate of other districts? </w:t>
            </w:r>
          </w:p>
          <w:p w14:paraId="467A01FA" w14:textId="77777777" w:rsidR="00650F88" w:rsidRDefault="00650F88" w:rsidP="008C7896">
            <w:pPr>
              <w:pStyle w:val="BulletsHQSC"/>
            </w:pPr>
            <w:r>
              <w:t>Does a higher rate of dispensing result in a higher rate of adverse events?</w:t>
            </w:r>
          </w:p>
          <w:p w14:paraId="51AAA438" w14:textId="77777777" w:rsidR="00650F88" w:rsidRDefault="00650F88" w:rsidP="00336E4E"/>
        </w:tc>
      </w:tr>
    </w:tbl>
    <w:p w14:paraId="0E7B8D58" w14:textId="77777777" w:rsidR="00650F88" w:rsidRDefault="00650F88" w:rsidP="00650F88">
      <w:pPr>
        <w:rPr>
          <w:rFonts w:cs="Arial"/>
        </w:rPr>
      </w:pPr>
    </w:p>
    <w:p w14:paraId="3BEBDA76" w14:textId="585B0BB7" w:rsidR="00836D0A" w:rsidRPr="00836D0A" w:rsidRDefault="00836D0A" w:rsidP="00836D0A">
      <w:pPr>
        <w:pStyle w:val="TeThHauorahead3"/>
        <w:numPr>
          <w:ilvl w:val="0"/>
          <w:numId w:val="44"/>
        </w:numPr>
      </w:pPr>
      <w:bookmarkStart w:id="12" w:name="_Toc215603196"/>
      <w:r>
        <w:t>PHO-enrolled population aged 65 years and over who received an antipsychotic during the year</w:t>
      </w:r>
      <w:bookmarkEnd w:id="12"/>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D42C24" w14:paraId="1F6FE841" w14:textId="77777777" w:rsidTr="00336E4E">
        <w:trPr>
          <w:trHeight w:val="327"/>
        </w:trPr>
        <w:tc>
          <w:tcPr>
            <w:tcW w:w="1668" w:type="dxa"/>
          </w:tcPr>
          <w:p w14:paraId="34EA2E5A" w14:textId="77777777" w:rsidR="00650F88" w:rsidRPr="00D42C24" w:rsidRDefault="00650F88" w:rsidP="008C7896">
            <w:pPr>
              <w:pStyle w:val="BodytextHQSC"/>
              <w:rPr>
                <w:color w:val="808080"/>
              </w:rPr>
            </w:pPr>
            <w:r>
              <w:t>Indicator #6:</w:t>
            </w:r>
          </w:p>
        </w:tc>
        <w:tc>
          <w:tcPr>
            <w:tcW w:w="7654" w:type="dxa"/>
            <w:vAlign w:val="bottom"/>
          </w:tcPr>
          <w:p w14:paraId="1701142E" w14:textId="77777777" w:rsidR="00650F88" w:rsidRPr="00D42C24" w:rsidRDefault="00650F88" w:rsidP="008C7896">
            <w:pPr>
              <w:pStyle w:val="BodytextHQSC"/>
              <w:rPr>
                <w:color w:val="000000"/>
              </w:rPr>
            </w:pPr>
            <w:r>
              <w:rPr>
                <w:color w:val="000000"/>
              </w:rPr>
              <w:t>PHO-enrolled population aged 65 years and over who received an antipsychotic during the year</w:t>
            </w:r>
          </w:p>
        </w:tc>
      </w:tr>
      <w:tr w:rsidR="00650F88" w:rsidRPr="00D42C24" w14:paraId="25F0792F" w14:textId="77777777" w:rsidTr="00336E4E">
        <w:trPr>
          <w:trHeight w:val="327"/>
        </w:trPr>
        <w:tc>
          <w:tcPr>
            <w:tcW w:w="1668" w:type="dxa"/>
          </w:tcPr>
          <w:p w14:paraId="232DBA4A" w14:textId="77777777" w:rsidR="00650F88" w:rsidRPr="00D42C24" w:rsidRDefault="00650F88" w:rsidP="008C7896">
            <w:pPr>
              <w:pStyle w:val="BodytextHQSC"/>
            </w:pPr>
            <w:r>
              <w:t>Numerator</w:t>
            </w:r>
          </w:p>
        </w:tc>
        <w:tc>
          <w:tcPr>
            <w:tcW w:w="7654" w:type="dxa"/>
            <w:vAlign w:val="bottom"/>
          </w:tcPr>
          <w:p w14:paraId="2C5076F6" w14:textId="77777777" w:rsidR="00650F88" w:rsidRPr="00D42C24" w:rsidRDefault="00650F88" w:rsidP="008C7896">
            <w:pPr>
              <w:pStyle w:val="BodytextHQSC"/>
              <w:rPr>
                <w:color w:val="000000"/>
              </w:rPr>
            </w:pPr>
            <w:r>
              <w:rPr>
                <w:color w:val="000000"/>
              </w:rPr>
              <w:t xml:space="preserve">PHO-enrolled population aged 65 years or over who received an antipsychotic during the year. </w:t>
            </w:r>
          </w:p>
        </w:tc>
      </w:tr>
      <w:tr w:rsidR="00650F88" w:rsidRPr="00D42C24" w14:paraId="2DA361CD" w14:textId="77777777" w:rsidTr="00336E4E">
        <w:trPr>
          <w:trHeight w:val="327"/>
        </w:trPr>
        <w:tc>
          <w:tcPr>
            <w:tcW w:w="1668" w:type="dxa"/>
            <w:tcBorders>
              <w:top w:val="single" w:sz="4" w:space="0" w:color="C2D69B"/>
              <w:left w:val="single" w:sz="4" w:space="0" w:color="C2D69B"/>
              <w:bottom w:val="single" w:sz="4" w:space="0" w:color="C2D69B"/>
              <w:right w:val="single" w:sz="4" w:space="0" w:color="C2D69B"/>
            </w:tcBorders>
          </w:tcPr>
          <w:p w14:paraId="1565D44C" w14:textId="77777777" w:rsidR="00650F88" w:rsidRPr="00D42C24" w:rsidRDefault="00650F88" w:rsidP="008C7896">
            <w:pPr>
              <w:pStyle w:val="BodytextHQSC"/>
            </w:pPr>
            <w:r>
              <w:t>Denominator</w:t>
            </w:r>
          </w:p>
        </w:tc>
        <w:tc>
          <w:tcPr>
            <w:tcW w:w="7654" w:type="dxa"/>
            <w:tcBorders>
              <w:top w:val="single" w:sz="4" w:space="0" w:color="C2D69B"/>
              <w:left w:val="single" w:sz="4" w:space="0" w:color="C2D69B"/>
              <w:bottom w:val="single" w:sz="4" w:space="0" w:color="C2D69B"/>
              <w:right w:val="single" w:sz="4" w:space="0" w:color="C2D69B"/>
            </w:tcBorders>
            <w:vAlign w:val="bottom"/>
          </w:tcPr>
          <w:p w14:paraId="7E8E2160" w14:textId="77777777" w:rsidR="00650F88" w:rsidRPr="00310323" w:rsidRDefault="00650F88" w:rsidP="008C7896">
            <w:pPr>
              <w:pStyle w:val="BodytextHQSC"/>
              <w:rPr>
                <w:color w:val="000000"/>
              </w:rPr>
            </w:pPr>
            <w:r w:rsidRPr="00F36322">
              <w:rPr>
                <w:color w:val="000000"/>
              </w:rPr>
              <w:t xml:space="preserve">PHO-enrolled population aged ≥ 65 years (on 30 June of each calendar year). </w:t>
            </w:r>
          </w:p>
        </w:tc>
      </w:tr>
      <w:tr w:rsidR="00650F88" w:rsidRPr="00D42C24" w14:paraId="29EF84A9" w14:textId="77777777" w:rsidTr="00336E4E">
        <w:trPr>
          <w:trHeight w:val="327"/>
        </w:trPr>
        <w:tc>
          <w:tcPr>
            <w:tcW w:w="1668" w:type="dxa"/>
            <w:tcBorders>
              <w:top w:val="single" w:sz="4" w:space="0" w:color="C2D69B"/>
              <w:left w:val="single" w:sz="4" w:space="0" w:color="C2D69B"/>
              <w:bottom w:val="single" w:sz="4" w:space="0" w:color="C2D69B"/>
              <w:right w:val="single" w:sz="4" w:space="0" w:color="C2D69B"/>
            </w:tcBorders>
          </w:tcPr>
          <w:p w14:paraId="6FEBCE1C" w14:textId="77777777" w:rsidR="00650F88" w:rsidRPr="00D42C24" w:rsidRDefault="00650F88" w:rsidP="008C7896">
            <w:pPr>
              <w:pStyle w:val="BodytextHQSC"/>
            </w:pPr>
            <w:r>
              <w:t>Analysis</w:t>
            </w:r>
          </w:p>
        </w:tc>
        <w:tc>
          <w:tcPr>
            <w:tcW w:w="7654" w:type="dxa"/>
            <w:tcBorders>
              <w:top w:val="single" w:sz="4" w:space="0" w:color="C2D69B"/>
              <w:left w:val="single" w:sz="4" w:space="0" w:color="C2D69B"/>
              <w:bottom w:val="single" w:sz="4" w:space="0" w:color="C2D69B"/>
              <w:right w:val="single" w:sz="4" w:space="0" w:color="C2D69B"/>
            </w:tcBorders>
            <w:vAlign w:val="bottom"/>
          </w:tcPr>
          <w:p w14:paraId="444F03CE" w14:textId="77777777" w:rsidR="00650F88" w:rsidRPr="00310323" w:rsidRDefault="00650F88" w:rsidP="008C7896">
            <w:pPr>
              <w:pStyle w:val="BodytextHQSC"/>
              <w:rPr>
                <w:color w:val="000000"/>
              </w:rPr>
            </w:pPr>
            <w:r w:rsidRPr="00310323">
              <w:rPr>
                <w:color w:val="000000"/>
              </w:rPr>
              <w:t>District analysis: By year (2019 –2023), age group (65–74 years; 75–84 years; 85 years and over), gender (female, male), ethnic group (Māori, Pacific peoples, Asian and European/other) and Health New Zealand district of domicile.</w:t>
            </w:r>
          </w:p>
          <w:p w14:paraId="2651C496" w14:textId="77777777" w:rsidR="00650F88" w:rsidRPr="00310323" w:rsidRDefault="00650F88" w:rsidP="008C7896">
            <w:pPr>
              <w:pStyle w:val="BodytextHQSC"/>
              <w:rPr>
                <w:color w:val="000000"/>
              </w:rPr>
            </w:pPr>
            <w:r w:rsidRPr="00310323">
              <w:rPr>
                <w:color w:val="000000"/>
              </w:rPr>
              <w:t>PHO analysis: By year (2023), age group, gender, ethnic group, Primary Health Organisation (PHO) most recently enrolled with (for the relevant year), PHO group (small, medium, medium-large and large).</w:t>
            </w:r>
          </w:p>
        </w:tc>
      </w:tr>
      <w:tr w:rsidR="00650F88" w:rsidRPr="00D42C24" w14:paraId="02D0F354" w14:textId="77777777" w:rsidTr="00336E4E">
        <w:trPr>
          <w:trHeight w:val="327"/>
        </w:trPr>
        <w:tc>
          <w:tcPr>
            <w:tcW w:w="1668" w:type="dxa"/>
          </w:tcPr>
          <w:p w14:paraId="64C11CE3" w14:textId="77777777" w:rsidR="00650F88" w:rsidRPr="00D42C24" w:rsidRDefault="00650F88" w:rsidP="008C7896">
            <w:pPr>
              <w:pStyle w:val="BodytextHQSC"/>
            </w:pPr>
            <w:r w:rsidRPr="7E25738E">
              <w:rPr>
                <w:rFonts w:eastAsiaTheme="minorEastAsia"/>
              </w:rPr>
              <w:t>Medicines included</w:t>
            </w:r>
          </w:p>
        </w:tc>
        <w:tc>
          <w:tcPr>
            <w:tcW w:w="7654" w:type="dxa"/>
            <w:vAlign w:val="bottom"/>
          </w:tcPr>
          <w:p w14:paraId="5F7E13F8" w14:textId="77777777" w:rsidR="00650F88" w:rsidRPr="00D42C24" w:rsidRDefault="00650F88" w:rsidP="008C7896">
            <w:pPr>
              <w:pStyle w:val="BodytextHQSC"/>
              <w:rPr>
                <w:color w:val="000000"/>
                <w:highlight w:val="yellow"/>
              </w:rPr>
            </w:pPr>
            <w:r w:rsidRPr="7E25738E">
              <w:rPr>
                <w:rFonts w:eastAsiaTheme="minorEastAsia"/>
              </w:rPr>
              <w:t xml:space="preserve">Amisulpride 3884, aripiprazole 3878, chlorpromazine hydrochloride 1283, clozapine 1078, </w:t>
            </w:r>
            <w:proofErr w:type="spellStart"/>
            <w:r w:rsidRPr="7E25738E">
              <w:rPr>
                <w:rFonts w:eastAsiaTheme="minorEastAsia"/>
              </w:rPr>
              <w:t>flupenthixol</w:t>
            </w:r>
            <w:proofErr w:type="spellEnd"/>
            <w:r w:rsidRPr="7E25738E">
              <w:rPr>
                <w:rFonts w:eastAsiaTheme="minorEastAsia"/>
              </w:rPr>
              <w:t xml:space="preserve"> decanoate 1532, </w:t>
            </w:r>
            <w:r w:rsidRPr="00834B9F">
              <w:t>fluphenazine decanoate 1533</w:t>
            </w:r>
            <w:r w:rsidRPr="00834B9F">
              <w:rPr>
                <w:rFonts w:eastAsiaTheme="minorEastAsia"/>
              </w:rPr>
              <w:t>,</w:t>
            </w:r>
            <w:r w:rsidRPr="7E25738E">
              <w:rPr>
                <w:rFonts w:eastAsiaTheme="minorEastAsia"/>
              </w:rPr>
              <w:t xml:space="preserve"> haloperidol 1583, haloperidol decanoate 2530, levomepromazine 1799, levomepromazine hydrochloride 1798, olanzapine 1140, </w:t>
            </w:r>
            <w:r w:rsidRPr="00834B9F">
              <w:rPr>
                <w:rFonts w:eastAsiaTheme="minorEastAsia"/>
              </w:rPr>
              <w:t xml:space="preserve">olanzapine </w:t>
            </w:r>
            <w:r w:rsidRPr="00834B9F">
              <w:rPr>
                <w:rFonts w:eastAsiaTheme="minorEastAsia"/>
              </w:rPr>
              <w:lastRenderedPageBreak/>
              <w:t>pamoate monohydrate 3940</w:t>
            </w:r>
            <w:r w:rsidRPr="7E25738E">
              <w:rPr>
                <w:rFonts w:eastAsiaTheme="minorEastAsia"/>
              </w:rPr>
              <w:t xml:space="preserve">, paliperidone 4025, Paliperidone palmitate 4166, periciazine 1950, pimozide 1990, </w:t>
            </w:r>
            <w:proofErr w:type="spellStart"/>
            <w:r w:rsidRPr="008C7896">
              <w:rPr>
                <w:rFonts w:eastAsiaTheme="minorEastAsia"/>
              </w:rPr>
              <w:t>pipothiazide</w:t>
            </w:r>
            <w:proofErr w:type="spellEnd"/>
            <w:r w:rsidRPr="008C7896">
              <w:rPr>
                <w:rFonts w:eastAsiaTheme="minorEastAsia"/>
              </w:rPr>
              <w:t xml:space="preserve"> palmitate 1994, quetiapine 1183, quetiapine fumarate, risperidone 1011, thiothixene</w:t>
            </w:r>
            <w:r w:rsidRPr="7E25738E">
              <w:rPr>
                <w:rFonts w:eastAsiaTheme="minorEastAsia"/>
              </w:rPr>
              <w:t xml:space="preserve"> 2260, trifluoperazine hydrochloride 2298, ziprasidone 3873, zuclopenthixol decanoate 3803, </w:t>
            </w:r>
            <w:r w:rsidRPr="00834B9F">
              <w:rPr>
                <w:rFonts w:eastAsiaTheme="minorEastAsia"/>
              </w:rPr>
              <w:t>zuclopenthixol dihydrochloride 1126,</w:t>
            </w:r>
            <w:r w:rsidRPr="7E25738E">
              <w:rPr>
                <w:rFonts w:eastAsiaTheme="minorEastAsia"/>
              </w:rPr>
              <w:t xml:space="preserve"> zuclopenthixol hydrochloride 3898 , Lithium Carbonate 2466</w:t>
            </w:r>
          </w:p>
        </w:tc>
      </w:tr>
      <w:tr w:rsidR="00650F88" w:rsidRPr="00D42C24" w14:paraId="05D23745" w14:textId="77777777" w:rsidTr="00336E4E">
        <w:trPr>
          <w:trHeight w:val="327"/>
        </w:trPr>
        <w:tc>
          <w:tcPr>
            <w:tcW w:w="1668" w:type="dxa"/>
          </w:tcPr>
          <w:p w14:paraId="25139603" w14:textId="77777777" w:rsidR="00650F88" w:rsidRPr="7E25738E" w:rsidRDefault="00650F88" w:rsidP="008C7896">
            <w:pPr>
              <w:pStyle w:val="BodytextHQSC"/>
              <w:rPr>
                <w:rFonts w:eastAsiaTheme="minorEastAsia"/>
              </w:rPr>
            </w:pPr>
            <w:r>
              <w:rPr>
                <w:rFonts w:eastAsiaTheme="minorEastAsia"/>
              </w:rPr>
              <w:lastRenderedPageBreak/>
              <w:t>Commentary</w:t>
            </w:r>
          </w:p>
        </w:tc>
        <w:tc>
          <w:tcPr>
            <w:tcW w:w="7654" w:type="dxa"/>
            <w:vAlign w:val="bottom"/>
          </w:tcPr>
          <w:p w14:paraId="7B6EC948" w14:textId="77777777" w:rsidR="00650F88" w:rsidRDefault="00650F88" w:rsidP="008C7896">
            <w:pPr>
              <w:pStyle w:val="BodytextHQSC"/>
            </w:pPr>
            <w:r>
              <w:t xml:space="preserve">Description: </w:t>
            </w:r>
          </w:p>
          <w:p w14:paraId="642CB7FB" w14:textId="77777777" w:rsidR="00650F88" w:rsidRDefault="00650F88" w:rsidP="008C7896">
            <w:pPr>
              <w:pStyle w:val="BodytextHQSC"/>
            </w:pPr>
            <w:r>
              <w:t xml:space="preserve">This indicator shows the percentage of people who were dispensed one or more antipsychotic medicines by health </w:t>
            </w:r>
            <w:proofErr w:type="spellStart"/>
            <w:r>
              <w:t>distirct</w:t>
            </w:r>
            <w:proofErr w:type="spellEnd"/>
            <w:r>
              <w:t xml:space="preserve">. </w:t>
            </w:r>
          </w:p>
          <w:p w14:paraId="2DF01A18" w14:textId="77777777" w:rsidR="00650F88" w:rsidRDefault="00650F88" w:rsidP="008C7896">
            <w:pPr>
              <w:pStyle w:val="BodytextHQSC"/>
            </w:pPr>
            <w:r>
              <w:t>Data are presented by year, age, gender and ethnicity.</w:t>
            </w:r>
          </w:p>
          <w:p w14:paraId="2E961AF2" w14:textId="77777777" w:rsidR="00650F88" w:rsidRDefault="00650F88" w:rsidP="008C7896">
            <w:pPr>
              <w:pStyle w:val="BodytextHQSC"/>
            </w:pPr>
            <w:r>
              <w:t>Why is this important?</w:t>
            </w:r>
          </w:p>
          <w:p w14:paraId="4F949419" w14:textId="77777777" w:rsidR="00650F88" w:rsidRDefault="00650F88" w:rsidP="008C7896">
            <w:pPr>
              <w:pStyle w:val="BodytextHQSC"/>
            </w:pPr>
            <w:r>
              <w:t xml:space="preserve">In young people, antipsychotics are typically indicated for the management of schizophrenia or mania. In older people, antipsychotics are sometimes used to manage behaviours in people with dementia such as wandering, despite a lack of evidence of effectiveness. </w:t>
            </w:r>
          </w:p>
          <w:p w14:paraId="018DE612" w14:textId="77777777" w:rsidR="00650F88" w:rsidRDefault="00650F88" w:rsidP="008C7896">
            <w:pPr>
              <w:pStyle w:val="BodytextHQSC"/>
            </w:pPr>
            <w:r>
              <w:t>What questions does this prompt?</w:t>
            </w:r>
          </w:p>
          <w:p w14:paraId="3BBFFE21" w14:textId="77777777" w:rsidR="00650F88" w:rsidRDefault="00650F88" w:rsidP="008C7896">
            <w:pPr>
              <w:pStyle w:val="BulletsHQSC"/>
            </w:pPr>
            <w:r>
              <w:t>Why in some districts are up to 1 in 6 people aged 85 years and over on an antipsychotic?</w:t>
            </w:r>
          </w:p>
          <w:p w14:paraId="40CFFAB8" w14:textId="2B63D770" w:rsidR="00650F88" w:rsidRPr="008C7896" w:rsidRDefault="00650F88" w:rsidP="008C7896">
            <w:pPr>
              <w:pStyle w:val="BulletsHQSC"/>
            </w:pPr>
            <w:r>
              <w:t>How do ethnic groups compare?</w:t>
            </w:r>
          </w:p>
        </w:tc>
      </w:tr>
    </w:tbl>
    <w:p w14:paraId="6C9EFE0C" w14:textId="77777777" w:rsidR="00650F88" w:rsidRDefault="00650F88" w:rsidP="00650F88"/>
    <w:p w14:paraId="431D19E5" w14:textId="4364E48F" w:rsidR="00836D0A" w:rsidRDefault="00836D0A" w:rsidP="008C7896">
      <w:pPr>
        <w:pStyle w:val="TeThHauorahead3"/>
        <w:numPr>
          <w:ilvl w:val="0"/>
          <w:numId w:val="44"/>
        </w:numPr>
      </w:pPr>
      <w:bookmarkStart w:id="13" w:name="_Toc215603197"/>
      <w:r w:rsidRPr="00266BE0">
        <w:t>PHO-enrolled population aged 65 years and over who received a benzodiazepine or zopiclone</w:t>
      </w:r>
      <w:bookmarkEnd w:id="13"/>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68"/>
        <w:gridCol w:w="7654"/>
      </w:tblGrid>
      <w:tr w:rsidR="00650F88" w:rsidRPr="00253C3C" w14:paraId="7D645AC7" w14:textId="77777777" w:rsidTr="00336E4E">
        <w:trPr>
          <w:trHeight w:val="327"/>
        </w:trPr>
        <w:tc>
          <w:tcPr>
            <w:tcW w:w="1668" w:type="dxa"/>
          </w:tcPr>
          <w:p w14:paraId="2A85041A" w14:textId="77777777" w:rsidR="00650F88" w:rsidRPr="00253C3C" w:rsidRDefault="00650F88" w:rsidP="008C7896">
            <w:pPr>
              <w:pStyle w:val="BodytextHQSC"/>
            </w:pPr>
            <w:r>
              <w:t>Indicator #7:</w:t>
            </w:r>
          </w:p>
        </w:tc>
        <w:tc>
          <w:tcPr>
            <w:tcW w:w="7654" w:type="dxa"/>
            <w:vAlign w:val="bottom"/>
          </w:tcPr>
          <w:p w14:paraId="4BFB2918" w14:textId="77777777" w:rsidR="00650F88" w:rsidRPr="00266BE0" w:rsidRDefault="00650F88" w:rsidP="008C7896">
            <w:pPr>
              <w:pStyle w:val="BodytextHQSC"/>
            </w:pPr>
            <w:r w:rsidRPr="00266BE0">
              <w:rPr>
                <w:color w:val="000000" w:themeColor="text1"/>
              </w:rPr>
              <w:t>PHO-enrolled population aged 65 years and over who received a benzodiazepine or zopiclone</w:t>
            </w:r>
          </w:p>
        </w:tc>
      </w:tr>
      <w:tr w:rsidR="00650F88" w:rsidRPr="00D42C24" w14:paraId="1A3C01FC" w14:textId="77777777" w:rsidTr="00336E4E">
        <w:trPr>
          <w:trHeight w:val="327"/>
        </w:trPr>
        <w:tc>
          <w:tcPr>
            <w:tcW w:w="1668" w:type="dxa"/>
          </w:tcPr>
          <w:p w14:paraId="0DFB7510" w14:textId="77777777" w:rsidR="00650F88" w:rsidRPr="00D42C24" w:rsidRDefault="00650F88" w:rsidP="008C7896">
            <w:pPr>
              <w:pStyle w:val="BodytextHQSC"/>
            </w:pPr>
            <w:r>
              <w:t>Numerator</w:t>
            </w:r>
          </w:p>
        </w:tc>
        <w:tc>
          <w:tcPr>
            <w:tcW w:w="7654" w:type="dxa"/>
            <w:vAlign w:val="bottom"/>
          </w:tcPr>
          <w:p w14:paraId="02C6A887" w14:textId="77777777" w:rsidR="00650F88" w:rsidRPr="00266BE0" w:rsidRDefault="00650F88" w:rsidP="008C7896">
            <w:pPr>
              <w:pStyle w:val="BodytextHQSC"/>
              <w:rPr>
                <w:color w:val="000000"/>
              </w:rPr>
            </w:pPr>
            <w:r w:rsidRPr="00266BE0">
              <w:rPr>
                <w:color w:val="000000"/>
              </w:rPr>
              <w:t>PHO-enrolled population aged 65 years or over who received benzodiazepine or zopiclone during the calendar year</w:t>
            </w:r>
          </w:p>
        </w:tc>
      </w:tr>
      <w:tr w:rsidR="00650F88" w:rsidRPr="00D42C24" w14:paraId="199E5B85" w14:textId="77777777" w:rsidTr="00336E4E">
        <w:trPr>
          <w:trHeight w:val="327"/>
        </w:trPr>
        <w:tc>
          <w:tcPr>
            <w:tcW w:w="1668" w:type="dxa"/>
          </w:tcPr>
          <w:p w14:paraId="0B24EA35" w14:textId="77777777" w:rsidR="00650F88" w:rsidRPr="00D42C24" w:rsidRDefault="00650F88" w:rsidP="008C7896">
            <w:pPr>
              <w:pStyle w:val="BodytextHQSC"/>
            </w:pPr>
            <w:r>
              <w:t>Denominator</w:t>
            </w:r>
          </w:p>
        </w:tc>
        <w:tc>
          <w:tcPr>
            <w:tcW w:w="7654" w:type="dxa"/>
            <w:vAlign w:val="bottom"/>
          </w:tcPr>
          <w:p w14:paraId="2239AC94" w14:textId="77777777" w:rsidR="00650F88" w:rsidRPr="00D42C24" w:rsidRDefault="00650F88" w:rsidP="008C7896">
            <w:pPr>
              <w:pStyle w:val="BodytextHQSC"/>
              <w:rPr>
                <w:color w:val="000000"/>
              </w:rPr>
            </w:pPr>
            <w:r w:rsidRPr="00F36322">
              <w:rPr>
                <w:color w:val="000000"/>
              </w:rPr>
              <w:t xml:space="preserve">PHO-enrolled population aged ≥ 65 years (on 30 June of each calendar year). </w:t>
            </w:r>
          </w:p>
        </w:tc>
      </w:tr>
      <w:tr w:rsidR="00650F88" w:rsidRPr="00D42C24" w14:paraId="4074C692" w14:textId="77777777" w:rsidTr="00336E4E">
        <w:trPr>
          <w:trHeight w:val="327"/>
        </w:trPr>
        <w:tc>
          <w:tcPr>
            <w:tcW w:w="1668" w:type="dxa"/>
          </w:tcPr>
          <w:p w14:paraId="6B29C82B" w14:textId="77777777" w:rsidR="00650F88" w:rsidRPr="00D42C24" w:rsidRDefault="00650F88" w:rsidP="008C7896">
            <w:pPr>
              <w:pStyle w:val="BodytextHQSC"/>
            </w:pPr>
            <w:r>
              <w:t>Analysis</w:t>
            </w:r>
          </w:p>
        </w:tc>
        <w:tc>
          <w:tcPr>
            <w:tcW w:w="7654" w:type="dxa"/>
            <w:vAlign w:val="bottom"/>
          </w:tcPr>
          <w:p w14:paraId="3CF10512" w14:textId="77777777" w:rsidR="00650F88" w:rsidRPr="00310323" w:rsidRDefault="00650F88" w:rsidP="008C7896">
            <w:pPr>
              <w:pStyle w:val="BodytextHQSC"/>
              <w:rPr>
                <w:color w:val="000000"/>
              </w:rPr>
            </w:pPr>
            <w:r w:rsidRPr="195CBB86">
              <w:t>District analysis: By year (2019 –2023), age group (65–74 years; 75–84 years; 85 years and over), gender (female, male), ethnic group (Māori, Pacific peoples, Asian and European/other) and Health New Zealand district of domicile.</w:t>
            </w:r>
          </w:p>
          <w:p w14:paraId="055C494D" w14:textId="77777777" w:rsidR="00650F88" w:rsidRPr="00D42C24" w:rsidRDefault="00650F88" w:rsidP="008C7896">
            <w:pPr>
              <w:pStyle w:val="BodytextHQSC"/>
              <w:rPr>
                <w:color w:val="000000"/>
              </w:rPr>
            </w:pPr>
            <w:r w:rsidRPr="00310323">
              <w:rPr>
                <w:color w:val="000000"/>
              </w:rPr>
              <w:lastRenderedPageBreak/>
              <w:t>PHO analysis: By year (2023), age group, gender, ethnic group, Primary Health Organisation (PHO) most recently enrolled with (for the relevant year), PHO group (small, medium, medium-large and large).</w:t>
            </w:r>
          </w:p>
        </w:tc>
      </w:tr>
      <w:tr w:rsidR="00650F88" w:rsidRPr="00D42C24" w14:paraId="2E8D1B00" w14:textId="77777777" w:rsidTr="00336E4E">
        <w:trPr>
          <w:trHeight w:val="327"/>
        </w:trPr>
        <w:tc>
          <w:tcPr>
            <w:tcW w:w="1668" w:type="dxa"/>
            <w:tcBorders>
              <w:top w:val="single" w:sz="4" w:space="0" w:color="C2D69B"/>
              <w:left w:val="single" w:sz="4" w:space="0" w:color="C2D69B"/>
              <w:bottom w:val="single" w:sz="4" w:space="0" w:color="C2D69B"/>
              <w:right w:val="single" w:sz="4" w:space="0" w:color="C2D69B"/>
            </w:tcBorders>
          </w:tcPr>
          <w:p w14:paraId="5AF2A056" w14:textId="77777777" w:rsidR="00650F88" w:rsidRPr="00D42C24" w:rsidRDefault="00650F88" w:rsidP="008C7896">
            <w:pPr>
              <w:pStyle w:val="BodytextHQSC"/>
            </w:pPr>
            <w:r w:rsidRPr="008D0ECF">
              <w:lastRenderedPageBreak/>
              <w:t>Medicines included</w:t>
            </w:r>
          </w:p>
        </w:tc>
        <w:tc>
          <w:tcPr>
            <w:tcW w:w="7654" w:type="dxa"/>
            <w:tcBorders>
              <w:top w:val="single" w:sz="4" w:space="0" w:color="C2D69B"/>
              <w:left w:val="single" w:sz="4" w:space="0" w:color="C2D69B"/>
              <w:bottom w:val="single" w:sz="4" w:space="0" w:color="C2D69B"/>
              <w:right w:val="single" w:sz="4" w:space="0" w:color="C2D69B"/>
            </w:tcBorders>
            <w:vAlign w:val="bottom"/>
          </w:tcPr>
          <w:p w14:paraId="28FDE028" w14:textId="77777777" w:rsidR="00650F88" w:rsidRPr="008D0ECF" w:rsidRDefault="00650F88" w:rsidP="008C7896">
            <w:pPr>
              <w:pStyle w:val="BodytextHQSC"/>
            </w:pPr>
            <w:r w:rsidRPr="00834B9F">
              <w:rPr>
                <w:color w:val="000000" w:themeColor="text1"/>
              </w:rPr>
              <w:t>Alprazolam 2632,</w:t>
            </w:r>
            <w:r w:rsidRPr="7E618778">
              <w:rPr>
                <w:color w:val="000000" w:themeColor="text1"/>
              </w:rPr>
              <w:t xml:space="preserve"> clonazepam 1316, diazepam 1397, lorazepam 1730, lormetazepam 1731, midazolam 2539, nitrazepam 1865, oxazepam 1911, temazepam 2224, triazolam 2295, zopiclone 2484</w:t>
            </w:r>
          </w:p>
        </w:tc>
      </w:tr>
      <w:tr w:rsidR="00650F88" w:rsidRPr="00D42C24" w14:paraId="4DA81E03" w14:textId="77777777" w:rsidTr="00336E4E">
        <w:trPr>
          <w:trHeight w:val="327"/>
        </w:trPr>
        <w:tc>
          <w:tcPr>
            <w:tcW w:w="1668" w:type="dxa"/>
            <w:tcBorders>
              <w:top w:val="single" w:sz="4" w:space="0" w:color="C2D69B"/>
              <w:left w:val="single" w:sz="4" w:space="0" w:color="C2D69B"/>
              <w:bottom w:val="single" w:sz="4" w:space="0" w:color="C2D69B"/>
              <w:right w:val="single" w:sz="4" w:space="0" w:color="C2D69B"/>
            </w:tcBorders>
          </w:tcPr>
          <w:p w14:paraId="765198E0" w14:textId="77777777" w:rsidR="00650F88" w:rsidRPr="008D0ECF" w:rsidRDefault="00650F88" w:rsidP="008C7896">
            <w:pPr>
              <w:pStyle w:val="BodytextHQSC"/>
            </w:pPr>
            <w:r>
              <w:t>Commentary</w:t>
            </w:r>
          </w:p>
        </w:tc>
        <w:tc>
          <w:tcPr>
            <w:tcW w:w="7654" w:type="dxa"/>
            <w:tcBorders>
              <w:top w:val="single" w:sz="4" w:space="0" w:color="C2D69B"/>
              <w:left w:val="single" w:sz="4" w:space="0" w:color="C2D69B"/>
              <w:bottom w:val="single" w:sz="4" w:space="0" w:color="C2D69B"/>
              <w:right w:val="single" w:sz="4" w:space="0" w:color="C2D69B"/>
            </w:tcBorders>
            <w:vAlign w:val="bottom"/>
          </w:tcPr>
          <w:p w14:paraId="3362CD53" w14:textId="77777777" w:rsidR="00650F88" w:rsidRDefault="00650F88" w:rsidP="008C7896">
            <w:pPr>
              <w:pStyle w:val="BodytextHQSC"/>
            </w:pPr>
            <w:r>
              <w:t xml:space="preserve">Description: </w:t>
            </w:r>
          </w:p>
          <w:p w14:paraId="706BBE0B" w14:textId="77777777" w:rsidR="00650F88" w:rsidRDefault="00650F88" w:rsidP="008C7896">
            <w:pPr>
              <w:pStyle w:val="BodytextHQSC"/>
            </w:pPr>
            <w:r>
              <w:t>This indicator shows the percentage of people who received a benzodiazepine or zopiclone by health district.</w:t>
            </w:r>
          </w:p>
          <w:p w14:paraId="7066A47A" w14:textId="77777777" w:rsidR="00650F88" w:rsidRDefault="00650F88" w:rsidP="008C7896">
            <w:pPr>
              <w:pStyle w:val="BodytextHQSC"/>
            </w:pPr>
          </w:p>
          <w:p w14:paraId="2CC0DF85" w14:textId="77777777" w:rsidR="00650F88" w:rsidRDefault="00650F88" w:rsidP="008C7896">
            <w:pPr>
              <w:pStyle w:val="BodytextHQSC"/>
            </w:pPr>
            <w:r>
              <w:t>Data are presented by year, age, gender and ethnicity.</w:t>
            </w:r>
          </w:p>
          <w:p w14:paraId="7E4BCD40" w14:textId="77777777" w:rsidR="00650F88" w:rsidRDefault="00650F88" w:rsidP="008C7896">
            <w:pPr>
              <w:pStyle w:val="BodytextHQSC"/>
            </w:pPr>
          </w:p>
          <w:p w14:paraId="3D0E0B95" w14:textId="77777777" w:rsidR="00650F88" w:rsidRDefault="00650F88" w:rsidP="008C7896">
            <w:pPr>
              <w:pStyle w:val="BodytextHQSC"/>
            </w:pPr>
            <w:r>
              <w:t xml:space="preserve">Why is this important? </w:t>
            </w:r>
          </w:p>
          <w:p w14:paraId="32B5F8CD" w14:textId="7F05AC0B" w:rsidR="00650F88" w:rsidRDefault="00650F88" w:rsidP="008C7896">
            <w:pPr>
              <w:pStyle w:val="BodytextHQSC"/>
            </w:pPr>
            <w:r>
              <w:t>Benzodiazepines are an example of a medicine class which carries a higher risk of adverse effects in older people, specifically excess confusion, sedation and falls.</w:t>
            </w:r>
          </w:p>
          <w:p w14:paraId="0A16A479" w14:textId="77777777" w:rsidR="00650F88" w:rsidRDefault="00650F88" w:rsidP="008C7896">
            <w:pPr>
              <w:pStyle w:val="BodytextHQSC"/>
            </w:pPr>
            <w:r>
              <w:t>What questions does this prompt?</w:t>
            </w:r>
          </w:p>
          <w:p w14:paraId="21B05AD3" w14:textId="77777777" w:rsidR="00650F88" w:rsidRPr="008C7896" w:rsidRDefault="00650F88" w:rsidP="008C7896">
            <w:pPr>
              <w:pStyle w:val="BulletsHQSC"/>
            </w:pPr>
            <w:r w:rsidRPr="008C7896">
              <w:t xml:space="preserve">Why in some districts are up to 1 in 3 people aged 85 and over receiving a benzodiazepine or zopiclone in a quarter? </w:t>
            </w:r>
          </w:p>
          <w:p w14:paraId="05991238" w14:textId="77777777" w:rsidR="00650F88" w:rsidRPr="008C7896" w:rsidRDefault="00650F88" w:rsidP="008C7896">
            <w:pPr>
              <w:pStyle w:val="BulletsHQSC"/>
            </w:pPr>
            <w:r w:rsidRPr="008C7896">
              <w:t>Why does the dispensing of benzodiazepine or zopiclone increase so sharply with age?</w:t>
            </w:r>
          </w:p>
          <w:p w14:paraId="5C5C9F58" w14:textId="77777777" w:rsidR="00650F88" w:rsidRPr="008C7896" w:rsidRDefault="00650F88" w:rsidP="008C7896">
            <w:pPr>
              <w:pStyle w:val="BulletsHQSC"/>
            </w:pPr>
            <w:r w:rsidRPr="008C7896">
              <w:t>Why do European/Other receive this at a much higher rate than other ethnicities?</w:t>
            </w:r>
          </w:p>
          <w:p w14:paraId="5CA1FE5D" w14:textId="78AE8FD0" w:rsidR="00650F88" w:rsidRPr="008C7896" w:rsidRDefault="00650F88" w:rsidP="008C7896">
            <w:pPr>
              <w:pStyle w:val="BulletsHQSC"/>
            </w:pPr>
            <w:r w:rsidRPr="008C7896">
              <w:t>Why do females receive this at a much higher rate than males?</w:t>
            </w:r>
          </w:p>
        </w:tc>
      </w:tr>
    </w:tbl>
    <w:p w14:paraId="459425F7" w14:textId="77777777" w:rsidR="00650F88" w:rsidRDefault="00650F88" w:rsidP="00650F88"/>
    <w:p w14:paraId="1D047D55" w14:textId="0DF43CD9" w:rsidR="00836D0A" w:rsidRDefault="00836D0A" w:rsidP="00F11723">
      <w:pPr>
        <w:pStyle w:val="TeThHauorahead3"/>
        <w:numPr>
          <w:ilvl w:val="0"/>
          <w:numId w:val="44"/>
        </w:numPr>
      </w:pPr>
      <w:bookmarkStart w:id="14" w:name="_Toc215603198"/>
      <w:r>
        <w:t>People aged 65 years and over who received both a benzodiazepine or zopiclone and an antipsychotic in the same quarter during the calendar year</w:t>
      </w:r>
      <w:bookmarkEnd w:id="14"/>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696"/>
        <w:gridCol w:w="7626"/>
      </w:tblGrid>
      <w:tr w:rsidR="00650F88" w:rsidRPr="00D42C24" w14:paraId="6173F72B" w14:textId="77777777" w:rsidTr="00336E4E">
        <w:trPr>
          <w:trHeight w:val="327"/>
        </w:trPr>
        <w:tc>
          <w:tcPr>
            <w:tcW w:w="1696" w:type="dxa"/>
          </w:tcPr>
          <w:p w14:paraId="5F815C81" w14:textId="77777777" w:rsidR="00650F88" w:rsidRPr="00D42C24" w:rsidRDefault="00650F88" w:rsidP="00F11723">
            <w:pPr>
              <w:pStyle w:val="BodytextHQSC"/>
              <w:rPr>
                <w:color w:val="808080"/>
              </w:rPr>
            </w:pPr>
            <w:r>
              <w:t>Indicator #8:</w:t>
            </w:r>
          </w:p>
        </w:tc>
        <w:tc>
          <w:tcPr>
            <w:tcW w:w="7626" w:type="dxa"/>
            <w:vAlign w:val="bottom"/>
          </w:tcPr>
          <w:p w14:paraId="00C6B0A9" w14:textId="77777777" w:rsidR="00650F88" w:rsidRPr="00D42C24" w:rsidRDefault="00650F88" w:rsidP="00F11723">
            <w:pPr>
              <w:pStyle w:val="BodytextHQSC"/>
              <w:rPr>
                <w:color w:val="000000"/>
              </w:rPr>
            </w:pPr>
            <w:r>
              <w:rPr>
                <w:color w:val="000000"/>
              </w:rPr>
              <w:t>People aged 65 years and over who received both a benzodiazepine or zopiclone and an antipsychotic in the same quarter during the calendar year</w:t>
            </w:r>
          </w:p>
        </w:tc>
      </w:tr>
      <w:tr w:rsidR="00650F88" w:rsidRPr="00D42C24" w14:paraId="0E4D3A82" w14:textId="77777777" w:rsidTr="00336E4E">
        <w:trPr>
          <w:trHeight w:val="327"/>
        </w:trPr>
        <w:tc>
          <w:tcPr>
            <w:tcW w:w="1696" w:type="dxa"/>
          </w:tcPr>
          <w:p w14:paraId="38DE1A2B" w14:textId="77777777" w:rsidR="00650F88" w:rsidRPr="00D42C24" w:rsidRDefault="00650F88" w:rsidP="00F11723">
            <w:pPr>
              <w:pStyle w:val="BodytextHQSC"/>
            </w:pPr>
            <w:r>
              <w:t>Numerator</w:t>
            </w:r>
          </w:p>
        </w:tc>
        <w:tc>
          <w:tcPr>
            <w:tcW w:w="7626" w:type="dxa"/>
            <w:vAlign w:val="bottom"/>
          </w:tcPr>
          <w:p w14:paraId="530552FB" w14:textId="602BDD00" w:rsidR="00650F88" w:rsidRPr="00F11723" w:rsidRDefault="00650F88" w:rsidP="00F11723">
            <w:pPr>
              <w:pStyle w:val="BodytextHQSC"/>
              <w:rPr>
                <w:color w:val="000000"/>
              </w:rPr>
            </w:pPr>
            <w:r>
              <w:rPr>
                <w:color w:val="000000"/>
              </w:rPr>
              <w:t>PHO-enrolled population aged 65 years or over who received an antipsychotic and either a benzodiazepine or a zopiclone in the same quarter during the calendar year.</w:t>
            </w:r>
          </w:p>
        </w:tc>
      </w:tr>
      <w:tr w:rsidR="00650F88" w:rsidRPr="00310323" w14:paraId="397EEF14" w14:textId="77777777" w:rsidTr="00336E4E">
        <w:trPr>
          <w:trHeight w:val="327"/>
        </w:trPr>
        <w:tc>
          <w:tcPr>
            <w:tcW w:w="1696" w:type="dxa"/>
            <w:tcBorders>
              <w:top w:val="single" w:sz="4" w:space="0" w:color="C2D69B"/>
              <w:left w:val="single" w:sz="4" w:space="0" w:color="C2D69B"/>
              <w:bottom w:val="single" w:sz="4" w:space="0" w:color="C2D69B"/>
              <w:right w:val="single" w:sz="4" w:space="0" w:color="C2D69B"/>
            </w:tcBorders>
          </w:tcPr>
          <w:p w14:paraId="43CA401A" w14:textId="77777777" w:rsidR="00650F88" w:rsidRPr="00D42C24" w:rsidRDefault="00650F88" w:rsidP="00F11723">
            <w:pPr>
              <w:pStyle w:val="BodytextHQSC"/>
            </w:pPr>
            <w:r>
              <w:lastRenderedPageBreak/>
              <w:t>Denominator</w:t>
            </w:r>
          </w:p>
        </w:tc>
        <w:tc>
          <w:tcPr>
            <w:tcW w:w="7626" w:type="dxa"/>
            <w:tcBorders>
              <w:top w:val="single" w:sz="4" w:space="0" w:color="C2D69B"/>
              <w:left w:val="single" w:sz="4" w:space="0" w:color="C2D69B"/>
              <w:bottom w:val="single" w:sz="4" w:space="0" w:color="C2D69B"/>
              <w:right w:val="single" w:sz="4" w:space="0" w:color="C2D69B"/>
            </w:tcBorders>
            <w:vAlign w:val="bottom"/>
          </w:tcPr>
          <w:p w14:paraId="410A0C19" w14:textId="77777777" w:rsidR="00650F88" w:rsidRPr="00310323" w:rsidRDefault="00650F88" w:rsidP="00F11723">
            <w:pPr>
              <w:pStyle w:val="BodytextHQSC"/>
              <w:rPr>
                <w:color w:val="000000"/>
              </w:rPr>
            </w:pPr>
            <w:r w:rsidRPr="00F36322">
              <w:rPr>
                <w:color w:val="000000"/>
              </w:rPr>
              <w:t xml:space="preserve">PHO-enrolled population aged ≥ 65 years (on 30 June of each calendar year). </w:t>
            </w:r>
          </w:p>
        </w:tc>
      </w:tr>
      <w:tr w:rsidR="00650F88" w:rsidRPr="00310323" w14:paraId="540398BD" w14:textId="77777777" w:rsidTr="00336E4E">
        <w:trPr>
          <w:trHeight w:val="327"/>
        </w:trPr>
        <w:tc>
          <w:tcPr>
            <w:tcW w:w="1696" w:type="dxa"/>
            <w:tcBorders>
              <w:top w:val="single" w:sz="4" w:space="0" w:color="C2D69B"/>
              <w:left w:val="single" w:sz="4" w:space="0" w:color="C2D69B"/>
              <w:bottom w:val="single" w:sz="4" w:space="0" w:color="C2D69B"/>
              <w:right w:val="single" w:sz="4" w:space="0" w:color="C2D69B"/>
            </w:tcBorders>
          </w:tcPr>
          <w:p w14:paraId="55A69D7E" w14:textId="77777777" w:rsidR="00650F88" w:rsidRPr="00D42C24" w:rsidRDefault="00650F88" w:rsidP="00F11723">
            <w:pPr>
              <w:pStyle w:val="BodytextHQSC"/>
            </w:pPr>
            <w:r>
              <w:t>Analysis</w:t>
            </w:r>
          </w:p>
        </w:tc>
        <w:tc>
          <w:tcPr>
            <w:tcW w:w="7626" w:type="dxa"/>
            <w:tcBorders>
              <w:top w:val="single" w:sz="4" w:space="0" w:color="C2D69B"/>
              <w:left w:val="single" w:sz="4" w:space="0" w:color="C2D69B"/>
              <w:bottom w:val="single" w:sz="4" w:space="0" w:color="C2D69B"/>
              <w:right w:val="single" w:sz="4" w:space="0" w:color="C2D69B"/>
            </w:tcBorders>
            <w:vAlign w:val="bottom"/>
          </w:tcPr>
          <w:p w14:paraId="73F4D2B2" w14:textId="77777777" w:rsidR="00650F88" w:rsidRPr="00310323" w:rsidRDefault="00650F88" w:rsidP="00F11723">
            <w:pPr>
              <w:pStyle w:val="BodytextHQSC"/>
              <w:rPr>
                <w:color w:val="000000"/>
              </w:rPr>
            </w:pPr>
            <w:r w:rsidRPr="00310323">
              <w:rPr>
                <w:color w:val="000000"/>
              </w:rPr>
              <w:t>District analysis: By year (2019 –2023), age group (65–74 years; 75–84 years; 85 years and over), gender (female, male), ethnic group (Māori, Pacific peoples, Asian and European/other) and Health New Zealand district of domicile.</w:t>
            </w:r>
          </w:p>
          <w:p w14:paraId="1243F466" w14:textId="77777777" w:rsidR="00650F88" w:rsidRPr="00310323" w:rsidRDefault="00650F88" w:rsidP="00F11723">
            <w:pPr>
              <w:pStyle w:val="BodytextHQSC"/>
              <w:rPr>
                <w:color w:val="000000"/>
              </w:rPr>
            </w:pPr>
            <w:r w:rsidRPr="00310323">
              <w:rPr>
                <w:color w:val="000000"/>
              </w:rPr>
              <w:t>PHO analysis: By year (2023), age group, gender, ethnic group, Primary Health Organisation (PHO) most recently enrolled with (for the relevant year), PHO group (small, medium, medium-large and large).</w:t>
            </w:r>
          </w:p>
        </w:tc>
      </w:tr>
      <w:tr w:rsidR="00650F88" w:rsidRPr="00D42C24" w14:paraId="1089975B" w14:textId="77777777" w:rsidTr="00336E4E">
        <w:trPr>
          <w:trHeight w:val="327"/>
        </w:trPr>
        <w:tc>
          <w:tcPr>
            <w:tcW w:w="1696" w:type="dxa"/>
          </w:tcPr>
          <w:p w14:paraId="29076088" w14:textId="77777777" w:rsidR="00650F88" w:rsidRPr="00D42C24" w:rsidRDefault="00650F88" w:rsidP="00F11723">
            <w:pPr>
              <w:pStyle w:val="BodytextHQSC"/>
            </w:pPr>
            <w:r>
              <w:t>Medicines included</w:t>
            </w:r>
          </w:p>
        </w:tc>
        <w:tc>
          <w:tcPr>
            <w:tcW w:w="7626" w:type="dxa"/>
            <w:vAlign w:val="bottom"/>
          </w:tcPr>
          <w:p w14:paraId="1B0EFB07" w14:textId="77777777" w:rsidR="00650F88" w:rsidRDefault="00650F88" w:rsidP="00F11723">
            <w:pPr>
              <w:pStyle w:val="BodytextHQSC"/>
              <w:rPr>
                <w:color w:val="000000"/>
              </w:rPr>
            </w:pPr>
            <w:r w:rsidRPr="4EB818B4">
              <w:rPr>
                <w:color w:val="000000" w:themeColor="text1"/>
              </w:rPr>
              <w:t xml:space="preserve">Amisulpride 3884, aripiprazole 3878, chlorpromazine hydrochloride 1283, clozapine 1078, </w:t>
            </w:r>
            <w:proofErr w:type="spellStart"/>
            <w:r w:rsidRPr="4EB818B4">
              <w:rPr>
                <w:color w:val="000000" w:themeColor="text1"/>
              </w:rPr>
              <w:t>flupenthixol</w:t>
            </w:r>
            <w:proofErr w:type="spellEnd"/>
            <w:r w:rsidRPr="4EB818B4">
              <w:rPr>
                <w:color w:val="000000" w:themeColor="text1"/>
              </w:rPr>
              <w:t xml:space="preserve"> decanoate 1532, </w:t>
            </w:r>
            <w:r w:rsidRPr="00834B9F">
              <w:rPr>
                <w:color w:val="000000" w:themeColor="text1"/>
              </w:rPr>
              <w:t>fluphenazine decanoate 1533,</w:t>
            </w:r>
            <w:r w:rsidRPr="4EB818B4">
              <w:rPr>
                <w:color w:val="000000" w:themeColor="text1"/>
              </w:rPr>
              <w:t xml:space="preserve"> haloperidol 1583, haloperidol decanoate 2530, levomepromazine 1799, levomepromazine hydrochloride 1798, olanzapine 1140, </w:t>
            </w:r>
            <w:r w:rsidRPr="00834B9F">
              <w:rPr>
                <w:color w:val="000000" w:themeColor="text1"/>
              </w:rPr>
              <w:t>olanzapine pamoate monohydrate 3940</w:t>
            </w:r>
            <w:r w:rsidRPr="4EB818B4">
              <w:rPr>
                <w:color w:val="000000" w:themeColor="text1"/>
              </w:rPr>
              <w:t xml:space="preserve">, paliperidone 4025, Paliperidone palmitate 4166, periciazine 1950, pimozide 1990, </w:t>
            </w:r>
            <w:r w:rsidRPr="006603A8">
              <w:rPr>
                <w:color w:val="000000" w:themeColor="text1"/>
              </w:rPr>
              <w:t>Pipotiazine palmitate</w:t>
            </w:r>
            <w:r w:rsidRPr="006603A8" w:rsidDel="006603A8">
              <w:rPr>
                <w:color w:val="000000" w:themeColor="text1"/>
              </w:rPr>
              <w:t xml:space="preserve"> </w:t>
            </w:r>
            <w:r>
              <w:rPr>
                <w:color w:val="000000" w:themeColor="text1"/>
              </w:rPr>
              <w:t xml:space="preserve"> 1994,</w:t>
            </w:r>
            <w:r w:rsidRPr="4EB818B4">
              <w:rPr>
                <w:color w:val="000000" w:themeColor="text1"/>
              </w:rPr>
              <w:t xml:space="preserve"> quetiapine 1183, , risperidone 1011, thiothixene 2260, trifluoperazine hydrochloride 2298, ziprasidone 3873, zuclopenthixol decanoate 3803, </w:t>
            </w:r>
            <w:r w:rsidRPr="00834B9F">
              <w:rPr>
                <w:color w:val="000000" w:themeColor="text1"/>
              </w:rPr>
              <w:t>zuclopenthixol dihydrochloride 1226,</w:t>
            </w:r>
            <w:r w:rsidRPr="4EB818B4">
              <w:rPr>
                <w:color w:val="000000" w:themeColor="text1"/>
              </w:rPr>
              <w:t xml:space="preserve"> zuclopenthixol hydrochloride 3898 , Lithium Carbonate 2466</w:t>
            </w:r>
          </w:p>
          <w:p w14:paraId="28C1092C" w14:textId="77777777" w:rsidR="00650F88" w:rsidRPr="00D42C24" w:rsidRDefault="00650F88" w:rsidP="00F11723">
            <w:pPr>
              <w:pStyle w:val="BodytextHQSC"/>
            </w:pPr>
            <w:r w:rsidRPr="00834B9F">
              <w:rPr>
                <w:color w:val="000000" w:themeColor="text1"/>
              </w:rPr>
              <w:t>Alprazolam 2632,</w:t>
            </w:r>
            <w:r w:rsidRPr="59290787">
              <w:rPr>
                <w:color w:val="000000" w:themeColor="text1"/>
              </w:rPr>
              <w:t xml:space="preserve"> clonazepam 1316, diazepam 1397, lorazepam 1730, lormetazepam 1731, midazolam 2539, nitrazepam 1865, oxazepam 1911, temazepam 2224, triazolam 2295, zopiclone 2484</w:t>
            </w:r>
          </w:p>
        </w:tc>
      </w:tr>
      <w:tr w:rsidR="00650F88" w:rsidRPr="00D42C24" w14:paraId="7A432B46" w14:textId="77777777" w:rsidTr="00336E4E">
        <w:trPr>
          <w:trHeight w:val="327"/>
        </w:trPr>
        <w:tc>
          <w:tcPr>
            <w:tcW w:w="1696" w:type="dxa"/>
          </w:tcPr>
          <w:p w14:paraId="098044A5" w14:textId="77777777" w:rsidR="00650F88" w:rsidRDefault="00650F88" w:rsidP="00F11723">
            <w:pPr>
              <w:pStyle w:val="BodytextHQSC"/>
            </w:pPr>
            <w:r>
              <w:t>Commentary</w:t>
            </w:r>
          </w:p>
        </w:tc>
        <w:tc>
          <w:tcPr>
            <w:tcW w:w="7626" w:type="dxa"/>
            <w:vAlign w:val="bottom"/>
          </w:tcPr>
          <w:p w14:paraId="18D62577" w14:textId="77777777" w:rsidR="00650F88" w:rsidRDefault="00650F88" w:rsidP="00F11723">
            <w:pPr>
              <w:pStyle w:val="BodytextHQSC"/>
            </w:pPr>
            <w:r>
              <w:t xml:space="preserve">Description: </w:t>
            </w:r>
          </w:p>
          <w:p w14:paraId="35501EFB" w14:textId="37DA9384" w:rsidR="00650F88" w:rsidRDefault="00650F88" w:rsidP="00F11723">
            <w:pPr>
              <w:pStyle w:val="BodytextHQSC"/>
            </w:pPr>
            <w:r>
              <w:t xml:space="preserve">This indicator shows the percentage of people who received both an antipsychotic and a benzodiazepine or zopiclone by health district. </w:t>
            </w:r>
          </w:p>
          <w:p w14:paraId="5F6511FA" w14:textId="3EED225C" w:rsidR="00650F88" w:rsidRDefault="00650F88" w:rsidP="00F11723">
            <w:pPr>
              <w:pStyle w:val="BodytextHQSC"/>
            </w:pPr>
            <w:r>
              <w:t>Data are presented by year, age, gender and ethnicity.</w:t>
            </w:r>
          </w:p>
          <w:p w14:paraId="436F9603" w14:textId="77777777" w:rsidR="00650F88" w:rsidRDefault="00650F88" w:rsidP="00F11723">
            <w:pPr>
              <w:pStyle w:val="BodytextHQSC"/>
            </w:pPr>
            <w:r>
              <w:t>Why is this important?</w:t>
            </w:r>
          </w:p>
          <w:p w14:paraId="259F6A08" w14:textId="3E4803E6" w:rsidR="00650F88" w:rsidRDefault="00650F88" w:rsidP="00F11723">
            <w:pPr>
              <w:pStyle w:val="BodytextHQSC"/>
            </w:pPr>
            <w:r>
              <w:t xml:space="preserve">Psychoactive medicines such as antipsychotics and benzodiazepines or zopiclone commonly cause adverse effects such as impaired functional ability, agitation, confusion, blurred vision, urinary retention, constipation, postural hypotension and falls. People receiving both medicines have a higher risk of these side effects. Overall, the rate of concurrent use is reassuringly low. Some of the increased use in those aged 85 and over may reflect appropriate use for end-of-life care. </w:t>
            </w:r>
          </w:p>
          <w:p w14:paraId="6FB389CC" w14:textId="77777777" w:rsidR="00650F88" w:rsidRDefault="00650F88" w:rsidP="00F11723">
            <w:pPr>
              <w:pStyle w:val="BodytextHQSC"/>
            </w:pPr>
            <w:r>
              <w:t>What questions does this prompt?</w:t>
            </w:r>
          </w:p>
          <w:p w14:paraId="55BA4F98" w14:textId="6E835F85" w:rsidR="00650F88" w:rsidRDefault="00650F88" w:rsidP="008C7896">
            <w:pPr>
              <w:pStyle w:val="BulletsHQSC"/>
            </w:pPr>
            <w:r>
              <w:t xml:space="preserve">Why are some s dispensing both medicines at a rate 3 times higher than other districts? </w:t>
            </w:r>
          </w:p>
          <w:p w14:paraId="0DF48FF4" w14:textId="34D193BA" w:rsidR="00650F88" w:rsidRPr="008C7896" w:rsidRDefault="00650F88" w:rsidP="00F11723">
            <w:pPr>
              <w:pStyle w:val="BulletsHQSC"/>
            </w:pPr>
            <w:r>
              <w:lastRenderedPageBreak/>
              <w:t>Does a higher rate of dispensing result in a higher rate of adverse events?</w:t>
            </w:r>
          </w:p>
        </w:tc>
      </w:tr>
    </w:tbl>
    <w:p w14:paraId="7DE02000" w14:textId="77777777" w:rsidR="00650F88" w:rsidRDefault="00650F88" w:rsidP="00650F88">
      <w:pPr>
        <w:rPr>
          <w:rFonts w:cs="Arial"/>
        </w:rPr>
      </w:pPr>
    </w:p>
    <w:bookmarkEnd w:id="3"/>
    <w:p w14:paraId="29BAA4F0" w14:textId="77777777" w:rsidR="00650F88" w:rsidRDefault="00650F88" w:rsidP="004C1E3D"/>
    <w:sectPr w:rsidR="00650F88" w:rsidSect="0017350C">
      <w:headerReference w:type="default" r:id="rId11"/>
      <w:footerReference w:type="even" r:id="rId12"/>
      <w:footerReference w:type="default" r:id="rId13"/>
      <w:pgSz w:w="11906" w:h="16838"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1BBF" w14:textId="77777777" w:rsidR="00232087" w:rsidRDefault="00232087" w:rsidP="003C45E1">
      <w:pPr>
        <w:spacing w:after="0" w:line="240" w:lineRule="auto"/>
      </w:pPr>
      <w:r>
        <w:separator/>
      </w:r>
    </w:p>
  </w:endnote>
  <w:endnote w:type="continuationSeparator" w:id="0">
    <w:p w14:paraId="562AFB8E" w14:textId="77777777" w:rsidR="00232087" w:rsidRDefault="00232087"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7335" w14:textId="12E08490" w:rsidR="0017350C" w:rsidRDefault="0017350C" w:rsidP="0017350C">
    <w:pPr>
      <w:pStyle w:val="Footer"/>
    </w:pPr>
    <w:r w:rsidRPr="00314261">
      <w:fldChar w:fldCharType="begin"/>
    </w:r>
    <w:r w:rsidRPr="00314261">
      <w:instrText xml:space="preserve"> PAGE </w:instrText>
    </w:r>
    <w:r w:rsidRPr="00314261">
      <w:fldChar w:fldCharType="separate"/>
    </w:r>
    <w:r>
      <w:t>3</w:t>
    </w:r>
    <w:r w:rsidRPr="00314261">
      <w:fldChar w:fldCharType="end"/>
    </w:r>
    <w:r w:rsidRPr="00314261">
      <w:t xml:space="preserve"> of </w:t>
    </w:r>
    <w:r>
      <w:fldChar w:fldCharType="begin"/>
    </w:r>
    <w:r>
      <w:instrText xml:space="preserve"> NUMPAGES  </w:instrText>
    </w:r>
    <w:r>
      <w:fldChar w:fldCharType="separate"/>
    </w:r>
    <w:r>
      <w:t>4</w:t>
    </w:r>
    <w:r>
      <w:fldChar w:fldCharType="end"/>
    </w:r>
    <w:r>
      <w:tab/>
    </w:r>
    <w:r w:rsidR="007A7CE4" w:rsidRPr="00A256CC">
      <w:rPr>
        <w:i/>
        <w:noProof/>
        <w:sz w:val="18"/>
        <w:szCs w:val="18"/>
      </w:rPr>
      <w:t>Methodology</w:t>
    </w:r>
    <w:r w:rsidR="007A7CE4">
      <w:rPr>
        <w:i/>
        <w:noProof/>
        <w:sz w:val="18"/>
        <w:szCs w:val="18"/>
      </w:rPr>
      <w:t xml:space="preserve"> | Polypharmacy in older people Atlas of Healthcare Variation (December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60CA" w14:textId="55AA5FF2" w:rsidR="0017350C" w:rsidRPr="00314261" w:rsidRDefault="005572DF" w:rsidP="0017350C">
    <w:pPr>
      <w:pStyle w:val="Footer"/>
    </w:pPr>
    <w:sdt>
      <w:sdtPr>
        <w:id w:val="1955210856"/>
        <w:docPartObj>
          <w:docPartGallery w:val="Page Numbers (Bottom of Page)"/>
          <w:docPartUnique/>
        </w:docPartObj>
      </w:sdtPr>
      <w:sdtEndPr/>
      <w:sdtContent>
        <w:sdt>
          <w:sdtPr>
            <w:id w:val="-1312715153"/>
            <w:docPartObj>
              <w:docPartGallery w:val="Page Numbers (Top of Page)"/>
              <w:docPartUnique/>
            </w:docPartObj>
          </w:sdtPr>
          <w:sdtEndPr/>
          <w:sdtContent>
            <w:r w:rsidR="00815F76" w:rsidRPr="00A256CC">
              <w:rPr>
                <w:i/>
                <w:noProof/>
                <w:sz w:val="18"/>
                <w:szCs w:val="18"/>
              </w:rPr>
              <w:t>Methodology</w:t>
            </w:r>
            <w:r w:rsidR="00815F76">
              <w:rPr>
                <w:i/>
                <w:noProof/>
                <w:sz w:val="18"/>
                <w:szCs w:val="18"/>
              </w:rPr>
              <w:t xml:space="preserve"> | Polypharmacy in older people Atlas of Healthcare Variation (December 2025)</w:t>
            </w:r>
          </w:sdtContent>
        </w:sdt>
      </w:sdtContent>
    </w:sdt>
    <w:r w:rsidR="0017350C">
      <w:tab/>
    </w:r>
    <w:r w:rsidR="0017350C" w:rsidRPr="00314261">
      <w:fldChar w:fldCharType="begin"/>
    </w:r>
    <w:r w:rsidR="0017350C" w:rsidRPr="00314261">
      <w:instrText xml:space="preserve"> PAGE </w:instrText>
    </w:r>
    <w:r w:rsidR="0017350C" w:rsidRPr="00314261">
      <w:fldChar w:fldCharType="separate"/>
    </w:r>
    <w:r w:rsidR="0017350C">
      <w:t>3</w:t>
    </w:r>
    <w:r w:rsidR="0017350C" w:rsidRPr="00314261">
      <w:fldChar w:fldCharType="end"/>
    </w:r>
    <w:r w:rsidR="0017350C" w:rsidRPr="00314261">
      <w:t xml:space="preserve"> of </w:t>
    </w:r>
    <w:r w:rsidR="0017350C">
      <w:fldChar w:fldCharType="begin"/>
    </w:r>
    <w:r w:rsidR="0017350C">
      <w:instrText xml:space="preserve"> NUMPAGES  </w:instrText>
    </w:r>
    <w:r w:rsidR="0017350C">
      <w:fldChar w:fldCharType="separate"/>
    </w:r>
    <w:r w:rsidR="0017350C">
      <w:t>4</w:t>
    </w:r>
    <w:r w:rsidR="001735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E686" w14:textId="77777777" w:rsidR="00232087" w:rsidRDefault="00232087" w:rsidP="003C45E1">
      <w:pPr>
        <w:spacing w:after="0" w:line="240" w:lineRule="auto"/>
      </w:pPr>
      <w:r>
        <w:separator/>
      </w:r>
    </w:p>
  </w:footnote>
  <w:footnote w:type="continuationSeparator" w:id="0">
    <w:p w14:paraId="592AEBF2" w14:textId="77777777" w:rsidR="00232087" w:rsidRDefault="00232087" w:rsidP="003C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4C46" w14:textId="4A4A3A70" w:rsidR="001C3CE4" w:rsidRDefault="007A7CE4" w:rsidP="007A7CE4">
    <w:pPr>
      <w:pStyle w:val="Header"/>
      <w:tabs>
        <w:tab w:val="clear" w:pos="4513"/>
        <w:tab w:val="clear" w:pos="9026"/>
        <w:tab w:val="left" w:pos="6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AC264C"/>
    <w:lvl w:ilvl="0">
      <w:start w:val="1"/>
      <w:numFmt w:val="bullet"/>
      <w:lvlText w:val=""/>
      <w:lvlJc w:val="left"/>
      <w:pPr>
        <w:ind w:left="360" w:hanging="360"/>
      </w:pPr>
      <w:rPr>
        <w:rFonts w:ascii="Symbol" w:hAnsi="Symbol" w:hint="default"/>
        <w:b w:val="0"/>
        <w:bCs w:val="0"/>
        <w:i w:val="0"/>
        <w:iCs w:val="0"/>
        <w:color w:val="auto"/>
        <w:w w:val="100"/>
        <w:sz w:val="22"/>
        <w:szCs w:val="22"/>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DD72AF"/>
    <w:multiLevelType w:val="hybridMultilevel"/>
    <w:tmpl w:val="C302A5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FD8177D"/>
    <w:multiLevelType w:val="hybridMultilevel"/>
    <w:tmpl w:val="A24266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AA97BD2"/>
    <w:multiLevelType w:val="hybridMultilevel"/>
    <w:tmpl w:val="2E108920"/>
    <w:lvl w:ilvl="0" w:tplc="185A90E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FD2209"/>
    <w:multiLevelType w:val="hybridMultilevel"/>
    <w:tmpl w:val="49A8217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FF6557A"/>
    <w:multiLevelType w:val="hybridMultilevel"/>
    <w:tmpl w:val="CB9A7B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FC5618"/>
    <w:multiLevelType w:val="hybridMultilevel"/>
    <w:tmpl w:val="EDAEBF12"/>
    <w:lvl w:ilvl="0" w:tplc="0CC433DC">
      <w:start w:val="5"/>
      <w:numFmt w:val="decimal"/>
      <w:lvlText w:val="%1."/>
      <w:lvlJc w:val="left"/>
      <w:pPr>
        <w:ind w:left="720" w:hanging="360"/>
      </w:pPr>
      <w:rPr>
        <w:rFonts w:hint="default"/>
        <w:b/>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837095C"/>
    <w:multiLevelType w:val="hybridMultilevel"/>
    <w:tmpl w:val="8DA8DE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E0D6997"/>
    <w:multiLevelType w:val="hybridMultilevel"/>
    <w:tmpl w:val="693EF35C"/>
    <w:lvl w:ilvl="0" w:tplc="1409000F">
      <w:start w:val="5"/>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36121944"/>
    <w:multiLevelType w:val="hybridMultilevel"/>
    <w:tmpl w:val="1C54222A"/>
    <w:lvl w:ilvl="0" w:tplc="E9AC264C">
      <w:start w:val="1"/>
      <w:numFmt w:val="bullet"/>
      <w:lvlText w:val=""/>
      <w:lvlJc w:val="left"/>
      <w:pPr>
        <w:ind w:left="360" w:hanging="360"/>
      </w:pPr>
      <w:rPr>
        <w:rFonts w:ascii="Symbol" w:hAnsi="Symbol" w:hint="default"/>
        <w:b w:val="0"/>
        <w:bCs w:val="0"/>
        <w:i w:val="0"/>
        <w:iCs w:val="0"/>
        <w:color w:val="auto"/>
        <w:w w:val="1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C0C5BAA"/>
    <w:multiLevelType w:val="hybridMultilevel"/>
    <w:tmpl w:val="BC9C4A48"/>
    <w:lvl w:ilvl="0" w:tplc="28B88E2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D465A16"/>
    <w:multiLevelType w:val="multilevel"/>
    <w:tmpl w:val="7024B24E"/>
    <w:lvl w:ilvl="0">
      <w:start w:val="1"/>
      <w:numFmt w:val="bullet"/>
      <w:pStyle w:val="Bullet"/>
      <w:lvlText w:val=""/>
      <w:lvlJc w:val="left"/>
      <w:pPr>
        <w:tabs>
          <w:tab w:val="num" w:pos="397"/>
        </w:tabs>
        <w:ind w:left="397" w:hanging="397"/>
      </w:pPr>
      <w:rPr>
        <w:rFonts w:ascii="Symbol" w:hAnsi="Symbol" w:hint="default"/>
        <w:color w:val="auto"/>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multilevel"/>
    <w:tmpl w:val="F012ABEA"/>
    <w:lvl w:ilvl="0">
      <w:start w:val="1"/>
      <w:numFmt w:val="bullet"/>
      <w:pStyle w:val="Sub-bulletHQSC"/>
      <w:lvlText w:val=""/>
      <w:lvlJc w:val="left"/>
      <w:pPr>
        <w:tabs>
          <w:tab w:val="num" w:pos="397"/>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C9E7EBE"/>
    <w:multiLevelType w:val="hybridMultilevel"/>
    <w:tmpl w:val="0BECC0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1F545D"/>
    <w:multiLevelType w:val="hybridMultilevel"/>
    <w:tmpl w:val="069CE276"/>
    <w:lvl w:ilvl="0" w:tplc="E452A874">
      <w:start w:val="1"/>
      <w:numFmt w:val="decimal"/>
      <w:lvlText w:val="%1."/>
      <w:lvlJc w:val="left"/>
      <w:pPr>
        <w:ind w:left="720" w:hanging="360"/>
      </w:pPr>
      <w:rPr>
        <w:rFonts w:ascii="Arial" w:eastAsiaTheme="minorHAnsi" w:hAnsi="Arial" w:hint="default"/>
        <w:color w:val="2C2568" w:themeColor="hyperlink"/>
        <w:sz w:val="22"/>
        <w:u w:val="singl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44C20C0"/>
    <w:multiLevelType w:val="hybridMultilevel"/>
    <w:tmpl w:val="371ED1E8"/>
    <w:lvl w:ilvl="0" w:tplc="185A90E6">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551E190B"/>
    <w:multiLevelType w:val="hybridMultilevel"/>
    <w:tmpl w:val="8E9A54E4"/>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1B24DC"/>
    <w:multiLevelType w:val="hybridMultilevel"/>
    <w:tmpl w:val="99A247E0"/>
    <w:lvl w:ilvl="0" w:tplc="185A90E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6DF5E6B"/>
    <w:multiLevelType w:val="multilevel"/>
    <w:tmpl w:val="E9AC264C"/>
    <w:styleLink w:val="Style1"/>
    <w:lvl w:ilvl="0">
      <w:start w:val="1"/>
      <w:numFmt w:val="bullet"/>
      <w:lvlText w:val=""/>
      <w:lvlJc w:val="left"/>
      <w:pPr>
        <w:ind w:left="360" w:hanging="360"/>
      </w:pPr>
      <w:rPr>
        <w:rFonts w:ascii="Symbol" w:hAnsi="Symbol" w:hint="default"/>
        <w:b w:val="0"/>
        <w:bCs w:val="0"/>
        <w:i w:val="0"/>
        <w:iCs w:val="0"/>
        <w:color w:val="auto"/>
        <w:w w:val="100"/>
        <w:sz w:val="22"/>
        <w:szCs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57483FE6"/>
    <w:multiLevelType w:val="hybridMultilevel"/>
    <w:tmpl w:val="A18A9E4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CA062B"/>
    <w:multiLevelType w:val="hybridMultilevel"/>
    <w:tmpl w:val="C0BEB90A"/>
    <w:lvl w:ilvl="0" w:tplc="185A90E6">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592B19F5"/>
    <w:multiLevelType w:val="hybridMultilevel"/>
    <w:tmpl w:val="20EEC4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AD72708"/>
    <w:multiLevelType w:val="hybridMultilevel"/>
    <w:tmpl w:val="3F5AB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BE47260"/>
    <w:multiLevelType w:val="hybridMultilevel"/>
    <w:tmpl w:val="B6846B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D234CB8"/>
    <w:multiLevelType w:val="hybridMultilevel"/>
    <w:tmpl w:val="DBF4C3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1222A84"/>
    <w:multiLevelType w:val="hybridMultilevel"/>
    <w:tmpl w:val="664E2B98"/>
    <w:lvl w:ilvl="0" w:tplc="185A90E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2CF5B45"/>
    <w:multiLevelType w:val="hybridMultilevel"/>
    <w:tmpl w:val="AD44B0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8EA2E52"/>
    <w:multiLevelType w:val="hybridMultilevel"/>
    <w:tmpl w:val="85EC2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D911F38"/>
    <w:multiLevelType w:val="hybridMultilevel"/>
    <w:tmpl w:val="204C8E02"/>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D3D6DC2"/>
    <w:multiLevelType w:val="hybridMultilevel"/>
    <w:tmpl w:val="09B00F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E89104A"/>
    <w:multiLevelType w:val="hybridMultilevel"/>
    <w:tmpl w:val="2DEC11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40813112">
    <w:abstractNumId w:val="12"/>
  </w:num>
  <w:num w:numId="2" w16cid:durableId="1664695360">
    <w:abstractNumId w:val="21"/>
  </w:num>
  <w:num w:numId="3" w16cid:durableId="86075489">
    <w:abstractNumId w:val="36"/>
  </w:num>
  <w:num w:numId="4" w16cid:durableId="961226629">
    <w:abstractNumId w:val="23"/>
  </w:num>
  <w:num w:numId="5" w16cid:durableId="810247892">
    <w:abstractNumId w:val="39"/>
  </w:num>
  <w:num w:numId="6" w16cid:durableId="199098544">
    <w:abstractNumId w:val="18"/>
  </w:num>
  <w:num w:numId="7" w16cid:durableId="1829781319">
    <w:abstractNumId w:val="44"/>
  </w:num>
  <w:num w:numId="8" w16cid:durableId="534579980">
    <w:abstractNumId w:val="24"/>
  </w:num>
  <w:num w:numId="9" w16cid:durableId="1863742993">
    <w:abstractNumId w:val="9"/>
  </w:num>
  <w:num w:numId="10" w16cid:durableId="50538599">
    <w:abstractNumId w:val="7"/>
  </w:num>
  <w:num w:numId="11" w16cid:durableId="1131828693">
    <w:abstractNumId w:val="3"/>
  </w:num>
  <w:num w:numId="12" w16cid:durableId="1093433892">
    <w:abstractNumId w:val="43"/>
  </w:num>
  <w:num w:numId="13" w16cid:durableId="272787516">
    <w:abstractNumId w:val="42"/>
  </w:num>
  <w:num w:numId="14" w16cid:durableId="1390617373">
    <w:abstractNumId w:val="6"/>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164591683">
    <w:abstractNumId w:val="17"/>
  </w:num>
  <w:num w:numId="20" w16cid:durableId="68894586">
    <w:abstractNumId w:val="29"/>
  </w:num>
  <w:num w:numId="21" w16cid:durableId="1016423024">
    <w:abstractNumId w:val="19"/>
  </w:num>
  <w:num w:numId="22" w16cid:durableId="519121977">
    <w:abstractNumId w:val="20"/>
  </w:num>
  <w:num w:numId="23" w16cid:durableId="1345665900">
    <w:abstractNumId w:val="34"/>
  </w:num>
  <w:num w:numId="24" w16cid:durableId="2128623572">
    <w:abstractNumId w:val="22"/>
  </w:num>
  <w:num w:numId="25" w16cid:durableId="1069571215">
    <w:abstractNumId w:val="11"/>
  </w:num>
  <w:num w:numId="26" w16cid:durableId="542055495">
    <w:abstractNumId w:val="14"/>
  </w:num>
  <w:num w:numId="27" w16cid:durableId="1840844585">
    <w:abstractNumId w:val="45"/>
  </w:num>
  <w:num w:numId="28" w16cid:durableId="2063672570">
    <w:abstractNumId w:val="5"/>
  </w:num>
  <w:num w:numId="29" w16cid:durableId="532113049">
    <w:abstractNumId w:val="46"/>
  </w:num>
  <w:num w:numId="30" w16cid:durableId="24646091">
    <w:abstractNumId w:val="4"/>
  </w:num>
  <w:num w:numId="31" w16cid:durableId="167792442">
    <w:abstractNumId w:val="32"/>
  </w:num>
  <w:num w:numId="32" w16cid:durableId="939677263">
    <w:abstractNumId w:val="33"/>
  </w:num>
  <w:num w:numId="33" w16cid:durableId="2052656310">
    <w:abstractNumId w:val="27"/>
  </w:num>
  <w:num w:numId="34" w16cid:durableId="1448234105">
    <w:abstractNumId w:val="41"/>
  </w:num>
  <w:num w:numId="35" w16cid:durableId="207183754">
    <w:abstractNumId w:val="40"/>
  </w:num>
  <w:num w:numId="36" w16cid:durableId="1287080337">
    <w:abstractNumId w:val="8"/>
  </w:num>
  <w:num w:numId="37" w16cid:durableId="2019963518">
    <w:abstractNumId w:val="26"/>
  </w:num>
  <w:num w:numId="38" w16cid:durableId="1382485665">
    <w:abstractNumId w:val="31"/>
  </w:num>
  <w:num w:numId="39" w16cid:durableId="121194936">
    <w:abstractNumId w:val="28"/>
  </w:num>
  <w:num w:numId="40" w16cid:durableId="1124344739">
    <w:abstractNumId w:val="37"/>
  </w:num>
  <w:num w:numId="41" w16cid:durableId="2104571786">
    <w:abstractNumId w:val="38"/>
  </w:num>
  <w:num w:numId="42" w16cid:durableId="1794247167">
    <w:abstractNumId w:val="10"/>
  </w:num>
  <w:num w:numId="43" w16cid:durableId="1598557424">
    <w:abstractNumId w:val="13"/>
  </w:num>
  <w:num w:numId="44" w16cid:durableId="621421814">
    <w:abstractNumId w:val="15"/>
  </w:num>
  <w:num w:numId="45" w16cid:durableId="586620397">
    <w:abstractNumId w:val="30"/>
  </w:num>
  <w:num w:numId="46" w16cid:durableId="1825469567">
    <w:abstractNumId w:val="16"/>
  </w:num>
  <w:num w:numId="47" w16cid:durableId="103496881">
    <w:abstractNumId w:val="35"/>
  </w:num>
  <w:num w:numId="48" w16cid:durableId="318846154">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88"/>
    <w:rsid w:val="00000224"/>
    <w:rsid w:val="00003978"/>
    <w:rsid w:val="00005986"/>
    <w:rsid w:val="000072B5"/>
    <w:rsid w:val="00012CD3"/>
    <w:rsid w:val="00014BDF"/>
    <w:rsid w:val="000154D5"/>
    <w:rsid w:val="00015F44"/>
    <w:rsid w:val="00017216"/>
    <w:rsid w:val="00021A1A"/>
    <w:rsid w:val="000235D4"/>
    <w:rsid w:val="00024845"/>
    <w:rsid w:val="000257A9"/>
    <w:rsid w:val="000257D7"/>
    <w:rsid w:val="00026401"/>
    <w:rsid w:val="00027510"/>
    <w:rsid w:val="0003438B"/>
    <w:rsid w:val="00040C19"/>
    <w:rsid w:val="00043083"/>
    <w:rsid w:val="00051CC0"/>
    <w:rsid w:val="0005287A"/>
    <w:rsid w:val="00052B4C"/>
    <w:rsid w:val="0005504C"/>
    <w:rsid w:val="00057F11"/>
    <w:rsid w:val="00062B82"/>
    <w:rsid w:val="000660B2"/>
    <w:rsid w:val="00071CE6"/>
    <w:rsid w:val="00072B90"/>
    <w:rsid w:val="00081524"/>
    <w:rsid w:val="00081E3B"/>
    <w:rsid w:val="0008726B"/>
    <w:rsid w:val="00092A37"/>
    <w:rsid w:val="00096C19"/>
    <w:rsid w:val="000A33FA"/>
    <w:rsid w:val="000A5622"/>
    <w:rsid w:val="000B111C"/>
    <w:rsid w:val="000C1227"/>
    <w:rsid w:val="000C71F5"/>
    <w:rsid w:val="000D7E4B"/>
    <w:rsid w:val="000E536F"/>
    <w:rsid w:val="000E5B30"/>
    <w:rsid w:val="000F32D0"/>
    <w:rsid w:val="000F3D49"/>
    <w:rsid w:val="000F7471"/>
    <w:rsid w:val="00101302"/>
    <w:rsid w:val="00104BBC"/>
    <w:rsid w:val="00105E23"/>
    <w:rsid w:val="00106ECE"/>
    <w:rsid w:val="001111D6"/>
    <w:rsid w:val="001123E1"/>
    <w:rsid w:val="00115489"/>
    <w:rsid w:val="00115AEB"/>
    <w:rsid w:val="001249E2"/>
    <w:rsid w:val="0013118C"/>
    <w:rsid w:val="00131E3D"/>
    <w:rsid w:val="00133F6A"/>
    <w:rsid w:val="00134F5C"/>
    <w:rsid w:val="001378CA"/>
    <w:rsid w:val="00140AAC"/>
    <w:rsid w:val="00147145"/>
    <w:rsid w:val="001504A0"/>
    <w:rsid w:val="00150EC1"/>
    <w:rsid w:val="00150EE7"/>
    <w:rsid w:val="00150F2F"/>
    <w:rsid w:val="00153C73"/>
    <w:rsid w:val="001639FA"/>
    <w:rsid w:val="00164036"/>
    <w:rsid w:val="00165B6D"/>
    <w:rsid w:val="0017350C"/>
    <w:rsid w:val="00173B88"/>
    <w:rsid w:val="00183219"/>
    <w:rsid w:val="00183F98"/>
    <w:rsid w:val="001855EA"/>
    <w:rsid w:val="00185F52"/>
    <w:rsid w:val="00193951"/>
    <w:rsid w:val="0019407B"/>
    <w:rsid w:val="00196007"/>
    <w:rsid w:val="001A02AD"/>
    <w:rsid w:val="001A132C"/>
    <w:rsid w:val="001A40EE"/>
    <w:rsid w:val="001A44E7"/>
    <w:rsid w:val="001A6553"/>
    <w:rsid w:val="001B161C"/>
    <w:rsid w:val="001B599E"/>
    <w:rsid w:val="001B6AEC"/>
    <w:rsid w:val="001C2409"/>
    <w:rsid w:val="001C3CE4"/>
    <w:rsid w:val="001D0822"/>
    <w:rsid w:val="001D5AE7"/>
    <w:rsid w:val="001D6AAD"/>
    <w:rsid w:val="001E06DF"/>
    <w:rsid w:val="001E0B57"/>
    <w:rsid w:val="001E5EE7"/>
    <w:rsid w:val="001E6A9F"/>
    <w:rsid w:val="001F1896"/>
    <w:rsid w:val="001F3461"/>
    <w:rsid w:val="0020107E"/>
    <w:rsid w:val="00203EA2"/>
    <w:rsid w:val="00205657"/>
    <w:rsid w:val="00205AD6"/>
    <w:rsid w:val="002078C0"/>
    <w:rsid w:val="002121B9"/>
    <w:rsid w:val="0021261B"/>
    <w:rsid w:val="00216F8D"/>
    <w:rsid w:val="00217705"/>
    <w:rsid w:val="002201B7"/>
    <w:rsid w:val="00225BC0"/>
    <w:rsid w:val="00225E3E"/>
    <w:rsid w:val="0023054B"/>
    <w:rsid w:val="00232087"/>
    <w:rsid w:val="002339EA"/>
    <w:rsid w:val="002371B4"/>
    <w:rsid w:val="00237533"/>
    <w:rsid w:val="00244839"/>
    <w:rsid w:val="00245178"/>
    <w:rsid w:val="00245B70"/>
    <w:rsid w:val="002514A1"/>
    <w:rsid w:val="00252B7B"/>
    <w:rsid w:val="002665C5"/>
    <w:rsid w:val="0027152B"/>
    <w:rsid w:val="00272AA4"/>
    <w:rsid w:val="00280BED"/>
    <w:rsid w:val="00284CDD"/>
    <w:rsid w:val="00287D53"/>
    <w:rsid w:val="0029029C"/>
    <w:rsid w:val="0029076C"/>
    <w:rsid w:val="00291E66"/>
    <w:rsid w:val="00294F90"/>
    <w:rsid w:val="0029676C"/>
    <w:rsid w:val="002969D8"/>
    <w:rsid w:val="00297582"/>
    <w:rsid w:val="00297593"/>
    <w:rsid w:val="00297676"/>
    <w:rsid w:val="00297B4B"/>
    <w:rsid w:val="00297F84"/>
    <w:rsid w:val="002B4FF6"/>
    <w:rsid w:val="002C79E3"/>
    <w:rsid w:val="002D1E1F"/>
    <w:rsid w:val="002D22C7"/>
    <w:rsid w:val="002D418A"/>
    <w:rsid w:val="002E1666"/>
    <w:rsid w:val="002E2CCF"/>
    <w:rsid w:val="002E547C"/>
    <w:rsid w:val="002E7831"/>
    <w:rsid w:val="002F6704"/>
    <w:rsid w:val="00300830"/>
    <w:rsid w:val="0030109F"/>
    <w:rsid w:val="00301AB6"/>
    <w:rsid w:val="003031DC"/>
    <w:rsid w:val="00303EF1"/>
    <w:rsid w:val="00310A90"/>
    <w:rsid w:val="00314261"/>
    <w:rsid w:val="00316108"/>
    <w:rsid w:val="00324D75"/>
    <w:rsid w:val="00331D2C"/>
    <w:rsid w:val="003357FE"/>
    <w:rsid w:val="003362F8"/>
    <w:rsid w:val="00336E4E"/>
    <w:rsid w:val="00340841"/>
    <w:rsid w:val="0034255E"/>
    <w:rsid w:val="003451B3"/>
    <w:rsid w:val="00345201"/>
    <w:rsid w:val="00345ACC"/>
    <w:rsid w:val="003470AA"/>
    <w:rsid w:val="00350934"/>
    <w:rsid w:val="00351FFF"/>
    <w:rsid w:val="003557A9"/>
    <w:rsid w:val="003558C2"/>
    <w:rsid w:val="00356454"/>
    <w:rsid w:val="0035680A"/>
    <w:rsid w:val="0036225A"/>
    <w:rsid w:val="00362782"/>
    <w:rsid w:val="00370C0F"/>
    <w:rsid w:val="003720D9"/>
    <w:rsid w:val="00372989"/>
    <w:rsid w:val="00374EB2"/>
    <w:rsid w:val="003751B1"/>
    <w:rsid w:val="00380044"/>
    <w:rsid w:val="0038042C"/>
    <w:rsid w:val="00386712"/>
    <w:rsid w:val="00390A08"/>
    <w:rsid w:val="00392C96"/>
    <w:rsid w:val="003A1838"/>
    <w:rsid w:val="003A39AD"/>
    <w:rsid w:val="003A3D1C"/>
    <w:rsid w:val="003B13D7"/>
    <w:rsid w:val="003B1C51"/>
    <w:rsid w:val="003B2535"/>
    <w:rsid w:val="003B6C8D"/>
    <w:rsid w:val="003B784D"/>
    <w:rsid w:val="003C45E1"/>
    <w:rsid w:val="003D19E6"/>
    <w:rsid w:val="003E1978"/>
    <w:rsid w:val="003E2238"/>
    <w:rsid w:val="003E38E3"/>
    <w:rsid w:val="003E52D6"/>
    <w:rsid w:val="003F0791"/>
    <w:rsid w:val="003F5A26"/>
    <w:rsid w:val="00402A50"/>
    <w:rsid w:val="0040657D"/>
    <w:rsid w:val="00407CA8"/>
    <w:rsid w:val="00410D2D"/>
    <w:rsid w:val="004114BA"/>
    <w:rsid w:val="00411BBC"/>
    <w:rsid w:val="00416629"/>
    <w:rsid w:val="004201E0"/>
    <w:rsid w:val="00423CE0"/>
    <w:rsid w:val="004241B9"/>
    <w:rsid w:val="004258F9"/>
    <w:rsid w:val="00425AA0"/>
    <w:rsid w:val="00427E39"/>
    <w:rsid w:val="00432DE0"/>
    <w:rsid w:val="00433D6F"/>
    <w:rsid w:val="004363F2"/>
    <w:rsid w:val="0043743D"/>
    <w:rsid w:val="00442889"/>
    <w:rsid w:val="00444364"/>
    <w:rsid w:val="004458DE"/>
    <w:rsid w:val="004466EF"/>
    <w:rsid w:val="00447327"/>
    <w:rsid w:val="0045000E"/>
    <w:rsid w:val="00451B4D"/>
    <w:rsid w:val="0045730F"/>
    <w:rsid w:val="00461A9A"/>
    <w:rsid w:val="00461AE6"/>
    <w:rsid w:val="00462D7A"/>
    <w:rsid w:val="004639D3"/>
    <w:rsid w:val="00470861"/>
    <w:rsid w:val="0047638D"/>
    <w:rsid w:val="0047654C"/>
    <w:rsid w:val="0048247F"/>
    <w:rsid w:val="004846B0"/>
    <w:rsid w:val="004857E1"/>
    <w:rsid w:val="004907D7"/>
    <w:rsid w:val="004947A0"/>
    <w:rsid w:val="0049681B"/>
    <w:rsid w:val="004968AD"/>
    <w:rsid w:val="004A0DE8"/>
    <w:rsid w:val="004A182F"/>
    <w:rsid w:val="004A1ACA"/>
    <w:rsid w:val="004A1E32"/>
    <w:rsid w:val="004A54CE"/>
    <w:rsid w:val="004A6075"/>
    <w:rsid w:val="004B006A"/>
    <w:rsid w:val="004B0E7D"/>
    <w:rsid w:val="004B387A"/>
    <w:rsid w:val="004B56EF"/>
    <w:rsid w:val="004B5ED4"/>
    <w:rsid w:val="004B7369"/>
    <w:rsid w:val="004B7CE3"/>
    <w:rsid w:val="004C1E3D"/>
    <w:rsid w:val="004C24CF"/>
    <w:rsid w:val="004C4B0B"/>
    <w:rsid w:val="004C6CC9"/>
    <w:rsid w:val="004D0AD0"/>
    <w:rsid w:val="004D441C"/>
    <w:rsid w:val="004D6696"/>
    <w:rsid w:val="004E0317"/>
    <w:rsid w:val="004E04D9"/>
    <w:rsid w:val="004E1DD4"/>
    <w:rsid w:val="004E4BE9"/>
    <w:rsid w:val="004E6CE7"/>
    <w:rsid w:val="004F0CFB"/>
    <w:rsid w:val="004F6871"/>
    <w:rsid w:val="005025A1"/>
    <w:rsid w:val="00505999"/>
    <w:rsid w:val="005166FD"/>
    <w:rsid w:val="005240E9"/>
    <w:rsid w:val="005267A2"/>
    <w:rsid w:val="00530F66"/>
    <w:rsid w:val="00533F38"/>
    <w:rsid w:val="005351ED"/>
    <w:rsid w:val="005369FF"/>
    <w:rsid w:val="00540003"/>
    <w:rsid w:val="00547973"/>
    <w:rsid w:val="00551DD8"/>
    <w:rsid w:val="005557C1"/>
    <w:rsid w:val="00555C13"/>
    <w:rsid w:val="005572DF"/>
    <w:rsid w:val="00561028"/>
    <w:rsid w:val="00566A3D"/>
    <w:rsid w:val="00572C53"/>
    <w:rsid w:val="00580F29"/>
    <w:rsid w:val="005820DB"/>
    <w:rsid w:val="005825AC"/>
    <w:rsid w:val="0058260A"/>
    <w:rsid w:val="0058455D"/>
    <w:rsid w:val="00584623"/>
    <w:rsid w:val="00594523"/>
    <w:rsid w:val="005A4781"/>
    <w:rsid w:val="005A5B29"/>
    <w:rsid w:val="005A6D47"/>
    <w:rsid w:val="005B033F"/>
    <w:rsid w:val="005B59BC"/>
    <w:rsid w:val="005B68AE"/>
    <w:rsid w:val="005C3164"/>
    <w:rsid w:val="005C48F2"/>
    <w:rsid w:val="005C5699"/>
    <w:rsid w:val="005E1C29"/>
    <w:rsid w:val="005E3A56"/>
    <w:rsid w:val="005F2B44"/>
    <w:rsid w:val="005F4F38"/>
    <w:rsid w:val="00602F25"/>
    <w:rsid w:val="00606E99"/>
    <w:rsid w:val="006107EF"/>
    <w:rsid w:val="0062308A"/>
    <w:rsid w:val="0062596B"/>
    <w:rsid w:val="00630927"/>
    <w:rsid w:val="00630A1A"/>
    <w:rsid w:val="00632295"/>
    <w:rsid w:val="00632461"/>
    <w:rsid w:val="00635F6B"/>
    <w:rsid w:val="00640803"/>
    <w:rsid w:val="00640F2D"/>
    <w:rsid w:val="0064198B"/>
    <w:rsid w:val="00641AC2"/>
    <w:rsid w:val="006469DF"/>
    <w:rsid w:val="00646AB1"/>
    <w:rsid w:val="00646B82"/>
    <w:rsid w:val="006501CA"/>
    <w:rsid w:val="00650F88"/>
    <w:rsid w:val="00651EE8"/>
    <w:rsid w:val="0065374E"/>
    <w:rsid w:val="0065535B"/>
    <w:rsid w:val="00662F45"/>
    <w:rsid w:val="006657D7"/>
    <w:rsid w:val="00665D22"/>
    <w:rsid w:val="00667365"/>
    <w:rsid w:val="00672126"/>
    <w:rsid w:val="0067432D"/>
    <w:rsid w:val="00675B7E"/>
    <w:rsid w:val="00677816"/>
    <w:rsid w:val="00677DF6"/>
    <w:rsid w:val="00680240"/>
    <w:rsid w:val="006821D2"/>
    <w:rsid w:val="0068435B"/>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61D0"/>
    <w:rsid w:val="006B7508"/>
    <w:rsid w:val="006C6809"/>
    <w:rsid w:val="006D2995"/>
    <w:rsid w:val="006D341B"/>
    <w:rsid w:val="006D3D27"/>
    <w:rsid w:val="006D4188"/>
    <w:rsid w:val="006D4BD1"/>
    <w:rsid w:val="006D666D"/>
    <w:rsid w:val="006E00EE"/>
    <w:rsid w:val="006E0CBC"/>
    <w:rsid w:val="006E1EC2"/>
    <w:rsid w:val="006E3D7B"/>
    <w:rsid w:val="006E4525"/>
    <w:rsid w:val="006E5039"/>
    <w:rsid w:val="006E706A"/>
    <w:rsid w:val="006F4F4B"/>
    <w:rsid w:val="00702438"/>
    <w:rsid w:val="00703375"/>
    <w:rsid w:val="00707E7B"/>
    <w:rsid w:val="00716634"/>
    <w:rsid w:val="00722C09"/>
    <w:rsid w:val="007248A2"/>
    <w:rsid w:val="00732FBC"/>
    <w:rsid w:val="007347F0"/>
    <w:rsid w:val="007351D5"/>
    <w:rsid w:val="007415A2"/>
    <w:rsid w:val="00744133"/>
    <w:rsid w:val="00752144"/>
    <w:rsid w:val="00757FD8"/>
    <w:rsid w:val="00760894"/>
    <w:rsid w:val="00762438"/>
    <w:rsid w:val="00763701"/>
    <w:rsid w:val="00763715"/>
    <w:rsid w:val="00764327"/>
    <w:rsid w:val="00764E9F"/>
    <w:rsid w:val="00770D2E"/>
    <w:rsid w:val="00771E61"/>
    <w:rsid w:val="00777261"/>
    <w:rsid w:val="007852F8"/>
    <w:rsid w:val="00786552"/>
    <w:rsid w:val="00790B45"/>
    <w:rsid w:val="007922E7"/>
    <w:rsid w:val="00792BD4"/>
    <w:rsid w:val="00792E41"/>
    <w:rsid w:val="00792E4C"/>
    <w:rsid w:val="00797213"/>
    <w:rsid w:val="007A0445"/>
    <w:rsid w:val="007A13D0"/>
    <w:rsid w:val="007A570B"/>
    <w:rsid w:val="007A7CE4"/>
    <w:rsid w:val="007B151D"/>
    <w:rsid w:val="007B2E6E"/>
    <w:rsid w:val="007C13AC"/>
    <w:rsid w:val="007C2E58"/>
    <w:rsid w:val="007C3522"/>
    <w:rsid w:val="007C454E"/>
    <w:rsid w:val="007C4613"/>
    <w:rsid w:val="007C7ED1"/>
    <w:rsid w:val="007D219A"/>
    <w:rsid w:val="007D34AD"/>
    <w:rsid w:val="007D44FA"/>
    <w:rsid w:val="007E0634"/>
    <w:rsid w:val="007E2912"/>
    <w:rsid w:val="007E5241"/>
    <w:rsid w:val="007F2D3B"/>
    <w:rsid w:val="007F694F"/>
    <w:rsid w:val="007F7612"/>
    <w:rsid w:val="007F79FC"/>
    <w:rsid w:val="00801A1F"/>
    <w:rsid w:val="0080238B"/>
    <w:rsid w:val="00802A41"/>
    <w:rsid w:val="00803339"/>
    <w:rsid w:val="008036BA"/>
    <w:rsid w:val="0080549C"/>
    <w:rsid w:val="00806A50"/>
    <w:rsid w:val="00811357"/>
    <w:rsid w:val="008115CF"/>
    <w:rsid w:val="008131B0"/>
    <w:rsid w:val="00815F76"/>
    <w:rsid w:val="00816A83"/>
    <w:rsid w:val="008332F5"/>
    <w:rsid w:val="00833405"/>
    <w:rsid w:val="00833922"/>
    <w:rsid w:val="00836C24"/>
    <w:rsid w:val="00836D0A"/>
    <w:rsid w:val="00841260"/>
    <w:rsid w:val="00844F04"/>
    <w:rsid w:val="00845529"/>
    <w:rsid w:val="00845F20"/>
    <w:rsid w:val="0084633E"/>
    <w:rsid w:val="00846C16"/>
    <w:rsid w:val="0085071D"/>
    <w:rsid w:val="008508B8"/>
    <w:rsid w:val="00851905"/>
    <w:rsid w:val="0085597F"/>
    <w:rsid w:val="008601B0"/>
    <w:rsid w:val="00861C08"/>
    <w:rsid w:val="00865172"/>
    <w:rsid w:val="0087040B"/>
    <w:rsid w:val="008739C8"/>
    <w:rsid w:val="00875747"/>
    <w:rsid w:val="00881869"/>
    <w:rsid w:val="00882706"/>
    <w:rsid w:val="008917AD"/>
    <w:rsid w:val="008946E7"/>
    <w:rsid w:val="00895D88"/>
    <w:rsid w:val="008960B0"/>
    <w:rsid w:val="008A60AE"/>
    <w:rsid w:val="008B0E06"/>
    <w:rsid w:val="008B4E25"/>
    <w:rsid w:val="008C329A"/>
    <w:rsid w:val="008C375F"/>
    <w:rsid w:val="008C4218"/>
    <w:rsid w:val="008C5E97"/>
    <w:rsid w:val="008C7896"/>
    <w:rsid w:val="008D1E6C"/>
    <w:rsid w:val="008D7ACA"/>
    <w:rsid w:val="008D7B48"/>
    <w:rsid w:val="008E1024"/>
    <w:rsid w:val="008E611A"/>
    <w:rsid w:val="008F0563"/>
    <w:rsid w:val="008F12DC"/>
    <w:rsid w:val="008F6B3D"/>
    <w:rsid w:val="008F6ECF"/>
    <w:rsid w:val="008F749A"/>
    <w:rsid w:val="008F7CE4"/>
    <w:rsid w:val="008F7E81"/>
    <w:rsid w:val="008F7EE5"/>
    <w:rsid w:val="00900AFF"/>
    <w:rsid w:val="00905630"/>
    <w:rsid w:val="00906793"/>
    <w:rsid w:val="00911920"/>
    <w:rsid w:val="00914500"/>
    <w:rsid w:val="00915D2C"/>
    <w:rsid w:val="009200C0"/>
    <w:rsid w:val="0092294D"/>
    <w:rsid w:val="00923481"/>
    <w:rsid w:val="00930B7A"/>
    <w:rsid w:val="00930BF3"/>
    <w:rsid w:val="009350E4"/>
    <w:rsid w:val="0094131A"/>
    <w:rsid w:val="00944659"/>
    <w:rsid w:val="00951121"/>
    <w:rsid w:val="009522ED"/>
    <w:rsid w:val="00952FE6"/>
    <w:rsid w:val="009538DA"/>
    <w:rsid w:val="00960486"/>
    <w:rsid w:val="0096081E"/>
    <w:rsid w:val="00962138"/>
    <w:rsid w:val="009622A5"/>
    <w:rsid w:val="009669C1"/>
    <w:rsid w:val="009727E5"/>
    <w:rsid w:val="009740A1"/>
    <w:rsid w:val="0097679C"/>
    <w:rsid w:val="00980E85"/>
    <w:rsid w:val="009860B1"/>
    <w:rsid w:val="00987573"/>
    <w:rsid w:val="00987D1B"/>
    <w:rsid w:val="00991FC7"/>
    <w:rsid w:val="00992D7B"/>
    <w:rsid w:val="00994889"/>
    <w:rsid w:val="00995BAE"/>
    <w:rsid w:val="009A0136"/>
    <w:rsid w:val="009A02FD"/>
    <w:rsid w:val="009A0EF7"/>
    <w:rsid w:val="009A0EFC"/>
    <w:rsid w:val="009A15FC"/>
    <w:rsid w:val="009A1DE1"/>
    <w:rsid w:val="009A270D"/>
    <w:rsid w:val="009A3E9A"/>
    <w:rsid w:val="009A4F53"/>
    <w:rsid w:val="009A5930"/>
    <w:rsid w:val="009A65BA"/>
    <w:rsid w:val="009A7126"/>
    <w:rsid w:val="009B0A87"/>
    <w:rsid w:val="009B1229"/>
    <w:rsid w:val="009B25F5"/>
    <w:rsid w:val="009B4E57"/>
    <w:rsid w:val="009B5C4F"/>
    <w:rsid w:val="009B60E1"/>
    <w:rsid w:val="009B6390"/>
    <w:rsid w:val="009B6DBE"/>
    <w:rsid w:val="009C107F"/>
    <w:rsid w:val="009C22A0"/>
    <w:rsid w:val="009C357F"/>
    <w:rsid w:val="009D4AF8"/>
    <w:rsid w:val="009D56D9"/>
    <w:rsid w:val="009D622E"/>
    <w:rsid w:val="009D79CD"/>
    <w:rsid w:val="009E1ED9"/>
    <w:rsid w:val="009E2620"/>
    <w:rsid w:val="009E52B6"/>
    <w:rsid w:val="009E5660"/>
    <w:rsid w:val="009F713A"/>
    <w:rsid w:val="00A00662"/>
    <w:rsid w:val="00A03AF2"/>
    <w:rsid w:val="00A0512B"/>
    <w:rsid w:val="00A052F6"/>
    <w:rsid w:val="00A13A94"/>
    <w:rsid w:val="00A203DB"/>
    <w:rsid w:val="00A225AF"/>
    <w:rsid w:val="00A2381C"/>
    <w:rsid w:val="00A23F96"/>
    <w:rsid w:val="00A278C8"/>
    <w:rsid w:val="00A30FC1"/>
    <w:rsid w:val="00A313E6"/>
    <w:rsid w:val="00A322BB"/>
    <w:rsid w:val="00A41608"/>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5FE1"/>
    <w:rsid w:val="00A7698C"/>
    <w:rsid w:val="00A80094"/>
    <w:rsid w:val="00A87AEA"/>
    <w:rsid w:val="00A9188E"/>
    <w:rsid w:val="00A9198C"/>
    <w:rsid w:val="00A92C02"/>
    <w:rsid w:val="00A9415F"/>
    <w:rsid w:val="00A94A67"/>
    <w:rsid w:val="00A959BB"/>
    <w:rsid w:val="00A95C29"/>
    <w:rsid w:val="00A97B76"/>
    <w:rsid w:val="00AA4FB3"/>
    <w:rsid w:val="00AA7B43"/>
    <w:rsid w:val="00AB7496"/>
    <w:rsid w:val="00AB7832"/>
    <w:rsid w:val="00AC0387"/>
    <w:rsid w:val="00AC1F59"/>
    <w:rsid w:val="00AC3D8C"/>
    <w:rsid w:val="00AC637F"/>
    <w:rsid w:val="00AD52B8"/>
    <w:rsid w:val="00AE117F"/>
    <w:rsid w:val="00AE7F4C"/>
    <w:rsid w:val="00AF29E6"/>
    <w:rsid w:val="00AF681D"/>
    <w:rsid w:val="00B0744F"/>
    <w:rsid w:val="00B10CC1"/>
    <w:rsid w:val="00B20E20"/>
    <w:rsid w:val="00B23E77"/>
    <w:rsid w:val="00B23EF3"/>
    <w:rsid w:val="00B2634F"/>
    <w:rsid w:val="00B33B6D"/>
    <w:rsid w:val="00B347E2"/>
    <w:rsid w:val="00B36433"/>
    <w:rsid w:val="00B42FDE"/>
    <w:rsid w:val="00B43090"/>
    <w:rsid w:val="00B4731B"/>
    <w:rsid w:val="00B51A14"/>
    <w:rsid w:val="00B57F3B"/>
    <w:rsid w:val="00B61DF2"/>
    <w:rsid w:val="00B63514"/>
    <w:rsid w:val="00B648E2"/>
    <w:rsid w:val="00B660B9"/>
    <w:rsid w:val="00B673CF"/>
    <w:rsid w:val="00B714DA"/>
    <w:rsid w:val="00B73590"/>
    <w:rsid w:val="00B74276"/>
    <w:rsid w:val="00B7606A"/>
    <w:rsid w:val="00B86B40"/>
    <w:rsid w:val="00B93E2C"/>
    <w:rsid w:val="00B94E9E"/>
    <w:rsid w:val="00B96A41"/>
    <w:rsid w:val="00B97AD4"/>
    <w:rsid w:val="00BA1ECC"/>
    <w:rsid w:val="00BA37BF"/>
    <w:rsid w:val="00BA3F77"/>
    <w:rsid w:val="00BA4CAD"/>
    <w:rsid w:val="00BA7FA4"/>
    <w:rsid w:val="00BB145B"/>
    <w:rsid w:val="00BB18D0"/>
    <w:rsid w:val="00BB51D5"/>
    <w:rsid w:val="00BB7084"/>
    <w:rsid w:val="00BB7FC7"/>
    <w:rsid w:val="00BC1F1C"/>
    <w:rsid w:val="00BD1AA4"/>
    <w:rsid w:val="00BD217B"/>
    <w:rsid w:val="00BD305F"/>
    <w:rsid w:val="00BD3899"/>
    <w:rsid w:val="00BD7F74"/>
    <w:rsid w:val="00BE162D"/>
    <w:rsid w:val="00BE2A2D"/>
    <w:rsid w:val="00BE3307"/>
    <w:rsid w:val="00BE52A6"/>
    <w:rsid w:val="00BF08F7"/>
    <w:rsid w:val="00C07928"/>
    <w:rsid w:val="00C109D3"/>
    <w:rsid w:val="00C11053"/>
    <w:rsid w:val="00C1691A"/>
    <w:rsid w:val="00C1717A"/>
    <w:rsid w:val="00C1781F"/>
    <w:rsid w:val="00C23346"/>
    <w:rsid w:val="00C27859"/>
    <w:rsid w:val="00C31730"/>
    <w:rsid w:val="00C41617"/>
    <w:rsid w:val="00C51579"/>
    <w:rsid w:val="00C55DAB"/>
    <w:rsid w:val="00C61DB7"/>
    <w:rsid w:val="00C6752C"/>
    <w:rsid w:val="00C678D4"/>
    <w:rsid w:val="00C73020"/>
    <w:rsid w:val="00C761F8"/>
    <w:rsid w:val="00C764B2"/>
    <w:rsid w:val="00C81441"/>
    <w:rsid w:val="00C83077"/>
    <w:rsid w:val="00C8315E"/>
    <w:rsid w:val="00C8455C"/>
    <w:rsid w:val="00C865CE"/>
    <w:rsid w:val="00C9095C"/>
    <w:rsid w:val="00C92BEA"/>
    <w:rsid w:val="00C954AC"/>
    <w:rsid w:val="00CA34D7"/>
    <w:rsid w:val="00CA42F1"/>
    <w:rsid w:val="00CA4AD9"/>
    <w:rsid w:val="00CA7F3D"/>
    <w:rsid w:val="00CB02E0"/>
    <w:rsid w:val="00CB187D"/>
    <w:rsid w:val="00CC30F0"/>
    <w:rsid w:val="00CC32F3"/>
    <w:rsid w:val="00CC5547"/>
    <w:rsid w:val="00CD1784"/>
    <w:rsid w:val="00CD1AAF"/>
    <w:rsid w:val="00CD3D63"/>
    <w:rsid w:val="00CD46E9"/>
    <w:rsid w:val="00CD6333"/>
    <w:rsid w:val="00CD67A5"/>
    <w:rsid w:val="00CE0FC3"/>
    <w:rsid w:val="00CE13F7"/>
    <w:rsid w:val="00CE24F8"/>
    <w:rsid w:val="00CE468C"/>
    <w:rsid w:val="00D02530"/>
    <w:rsid w:val="00D02CC6"/>
    <w:rsid w:val="00D105CA"/>
    <w:rsid w:val="00D10D67"/>
    <w:rsid w:val="00D116BA"/>
    <w:rsid w:val="00D12FC1"/>
    <w:rsid w:val="00D132F2"/>
    <w:rsid w:val="00D16A30"/>
    <w:rsid w:val="00D20568"/>
    <w:rsid w:val="00D229A8"/>
    <w:rsid w:val="00D230FD"/>
    <w:rsid w:val="00D23541"/>
    <w:rsid w:val="00D23DEF"/>
    <w:rsid w:val="00D241F5"/>
    <w:rsid w:val="00D25A5D"/>
    <w:rsid w:val="00D271E6"/>
    <w:rsid w:val="00D37168"/>
    <w:rsid w:val="00D41B94"/>
    <w:rsid w:val="00D44EB1"/>
    <w:rsid w:val="00D50662"/>
    <w:rsid w:val="00D627A8"/>
    <w:rsid w:val="00D64D6E"/>
    <w:rsid w:val="00D6540B"/>
    <w:rsid w:val="00D65C5E"/>
    <w:rsid w:val="00D74DFB"/>
    <w:rsid w:val="00D76C8D"/>
    <w:rsid w:val="00D76D56"/>
    <w:rsid w:val="00D81314"/>
    <w:rsid w:val="00D81D1A"/>
    <w:rsid w:val="00D82520"/>
    <w:rsid w:val="00D83ACB"/>
    <w:rsid w:val="00D83DCB"/>
    <w:rsid w:val="00D83F43"/>
    <w:rsid w:val="00D86B58"/>
    <w:rsid w:val="00D91F58"/>
    <w:rsid w:val="00D923F9"/>
    <w:rsid w:val="00D927B8"/>
    <w:rsid w:val="00D931A7"/>
    <w:rsid w:val="00D933BC"/>
    <w:rsid w:val="00DA60DF"/>
    <w:rsid w:val="00DB10A5"/>
    <w:rsid w:val="00DB3901"/>
    <w:rsid w:val="00DB3F3A"/>
    <w:rsid w:val="00DB7060"/>
    <w:rsid w:val="00DB7F7B"/>
    <w:rsid w:val="00DC1D67"/>
    <w:rsid w:val="00DC47C0"/>
    <w:rsid w:val="00DC49A3"/>
    <w:rsid w:val="00DD3430"/>
    <w:rsid w:val="00DD3D3C"/>
    <w:rsid w:val="00DD3F10"/>
    <w:rsid w:val="00DD708A"/>
    <w:rsid w:val="00DE0E3A"/>
    <w:rsid w:val="00DE102A"/>
    <w:rsid w:val="00DE26FF"/>
    <w:rsid w:val="00DE2AD1"/>
    <w:rsid w:val="00DE3C40"/>
    <w:rsid w:val="00DF539A"/>
    <w:rsid w:val="00DF7671"/>
    <w:rsid w:val="00E01E56"/>
    <w:rsid w:val="00E0234F"/>
    <w:rsid w:val="00E03981"/>
    <w:rsid w:val="00E04D7E"/>
    <w:rsid w:val="00E07049"/>
    <w:rsid w:val="00E11A1F"/>
    <w:rsid w:val="00E11F04"/>
    <w:rsid w:val="00E1323D"/>
    <w:rsid w:val="00E16359"/>
    <w:rsid w:val="00E34D4A"/>
    <w:rsid w:val="00E355BB"/>
    <w:rsid w:val="00E36E61"/>
    <w:rsid w:val="00E36FF7"/>
    <w:rsid w:val="00E426BD"/>
    <w:rsid w:val="00E4339E"/>
    <w:rsid w:val="00E462D4"/>
    <w:rsid w:val="00E5420C"/>
    <w:rsid w:val="00E54CD1"/>
    <w:rsid w:val="00E56485"/>
    <w:rsid w:val="00E60914"/>
    <w:rsid w:val="00E642B7"/>
    <w:rsid w:val="00E65439"/>
    <w:rsid w:val="00E6626F"/>
    <w:rsid w:val="00E66736"/>
    <w:rsid w:val="00E66F97"/>
    <w:rsid w:val="00E83591"/>
    <w:rsid w:val="00E95A46"/>
    <w:rsid w:val="00EA1FEE"/>
    <w:rsid w:val="00EA3D4F"/>
    <w:rsid w:val="00EA564E"/>
    <w:rsid w:val="00EA5F51"/>
    <w:rsid w:val="00EA6F68"/>
    <w:rsid w:val="00EB026B"/>
    <w:rsid w:val="00EB21BE"/>
    <w:rsid w:val="00EB21E0"/>
    <w:rsid w:val="00EB25CD"/>
    <w:rsid w:val="00EB2B83"/>
    <w:rsid w:val="00EB5095"/>
    <w:rsid w:val="00EB5FDA"/>
    <w:rsid w:val="00EB6194"/>
    <w:rsid w:val="00EB6D9B"/>
    <w:rsid w:val="00EC12F2"/>
    <w:rsid w:val="00EC2147"/>
    <w:rsid w:val="00EC4023"/>
    <w:rsid w:val="00EC4242"/>
    <w:rsid w:val="00EC6DCD"/>
    <w:rsid w:val="00ED412C"/>
    <w:rsid w:val="00ED72F9"/>
    <w:rsid w:val="00EE69F8"/>
    <w:rsid w:val="00EF2B11"/>
    <w:rsid w:val="00EF581A"/>
    <w:rsid w:val="00EF6E77"/>
    <w:rsid w:val="00EF7332"/>
    <w:rsid w:val="00F00CB3"/>
    <w:rsid w:val="00F0456A"/>
    <w:rsid w:val="00F078EB"/>
    <w:rsid w:val="00F11723"/>
    <w:rsid w:val="00F13190"/>
    <w:rsid w:val="00F20B5F"/>
    <w:rsid w:val="00F23E5D"/>
    <w:rsid w:val="00F248BD"/>
    <w:rsid w:val="00F316B0"/>
    <w:rsid w:val="00F320C2"/>
    <w:rsid w:val="00F34739"/>
    <w:rsid w:val="00F408BF"/>
    <w:rsid w:val="00F43049"/>
    <w:rsid w:val="00F4325E"/>
    <w:rsid w:val="00F45D90"/>
    <w:rsid w:val="00F47A01"/>
    <w:rsid w:val="00F5137A"/>
    <w:rsid w:val="00F5417A"/>
    <w:rsid w:val="00F56E9F"/>
    <w:rsid w:val="00F61D1E"/>
    <w:rsid w:val="00F63852"/>
    <w:rsid w:val="00F63A38"/>
    <w:rsid w:val="00F64542"/>
    <w:rsid w:val="00F65321"/>
    <w:rsid w:val="00F65643"/>
    <w:rsid w:val="00F67255"/>
    <w:rsid w:val="00F70ABE"/>
    <w:rsid w:val="00F7226A"/>
    <w:rsid w:val="00F73289"/>
    <w:rsid w:val="00F748D4"/>
    <w:rsid w:val="00F77A3D"/>
    <w:rsid w:val="00F83DB3"/>
    <w:rsid w:val="00F83FF6"/>
    <w:rsid w:val="00F85C21"/>
    <w:rsid w:val="00F87366"/>
    <w:rsid w:val="00F877C8"/>
    <w:rsid w:val="00F9215E"/>
    <w:rsid w:val="00F94DE8"/>
    <w:rsid w:val="00F96DAA"/>
    <w:rsid w:val="00F97891"/>
    <w:rsid w:val="00FA159A"/>
    <w:rsid w:val="00FA37F8"/>
    <w:rsid w:val="00FA50C7"/>
    <w:rsid w:val="00FA5A33"/>
    <w:rsid w:val="00FB5B33"/>
    <w:rsid w:val="00FB7DA2"/>
    <w:rsid w:val="00FC10B7"/>
    <w:rsid w:val="00FC3DA0"/>
    <w:rsid w:val="00FD4119"/>
    <w:rsid w:val="00FD5821"/>
    <w:rsid w:val="00FD5DB7"/>
    <w:rsid w:val="00FD5E12"/>
    <w:rsid w:val="00FE0228"/>
    <w:rsid w:val="00FE24DE"/>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AB1D0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uiPriority="1"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82706"/>
    <w:pPr>
      <w:spacing w:after="120"/>
    </w:pPr>
    <w:rPr>
      <w:rFonts w:ascii="Arial" w:hAnsi="Arial"/>
    </w:rPr>
  </w:style>
  <w:style w:type="paragraph" w:styleId="Heading1">
    <w:name w:val="heading 1"/>
    <w:basedOn w:val="Normal"/>
    <w:next w:val="Normal"/>
    <w:link w:val="Heading1Char"/>
    <w:uiPriority w:val="9"/>
    <w:semiHidden/>
    <w:rsid w:val="004846B0"/>
    <w:pPr>
      <w:keepNext/>
      <w:keepLines/>
      <w:spacing w:before="360" w:after="240" w:line="240" w:lineRule="auto"/>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semiHidden/>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semiHidden/>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semiHidden/>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4198B"/>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semiHidden/>
    <w:rsid w:val="0064198B"/>
    <w:rPr>
      <w:rFonts w:ascii="Arial" w:eastAsiaTheme="majorEastAsia" w:hAnsi="Arial" w:cstheme="majorBidi"/>
      <w:b/>
      <w:color w:val="000000" w:themeColor="text1"/>
      <w:sz w:val="36"/>
      <w:szCs w:val="32"/>
    </w:rPr>
  </w:style>
  <w:style w:type="paragraph" w:styleId="TOCHeading">
    <w:name w:val="TOC Heading"/>
    <w:basedOn w:val="Heading1"/>
    <w:next w:val="Normal"/>
    <w:uiPriority w:val="39"/>
    <w:unhideWhenUsed/>
    <w:qFormat/>
    <w:rsid w:val="00E54CD1"/>
    <w:pPr>
      <w:spacing w:before="0" w:after="360"/>
    </w:pPr>
    <w:rPr>
      <w:color w:val="293868"/>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Normal"/>
    <w:basedOn w:val="Normal"/>
    <w:link w:val="ListParagraphChar"/>
    <w:uiPriority w:val="34"/>
    <w:qFormat/>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64198B"/>
    <w:rPr>
      <w:rFonts w:ascii="Arial" w:eastAsiaTheme="majorEastAsia" w:hAnsi="Arial" w:cstheme="majorBidi"/>
      <w:b/>
      <w:sz w:val="24"/>
      <w:szCs w:val="24"/>
    </w:rPr>
  </w:style>
  <w:style w:type="paragraph" w:styleId="Quote">
    <w:name w:val="Quote"/>
    <w:basedOn w:val="Normal"/>
    <w:next w:val="Normal"/>
    <w:link w:val="QuoteChar"/>
    <w:uiPriority w:val="29"/>
    <w:semiHidden/>
    <w:rsid w:val="007351D5"/>
    <w:pPr>
      <w:spacing w:before="240" w:after="60"/>
      <w:ind w:left="709" w:right="709"/>
    </w:pPr>
    <w:rPr>
      <w:iCs/>
      <w:color w:val="595959" w:themeColor="text1" w:themeTint="A6"/>
    </w:rPr>
  </w:style>
  <w:style w:type="character" w:customStyle="1" w:styleId="QuoteChar">
    <w:name w:val="Quote Char"/>
    <w:basedOn w:val="DefaultParagraphFont"/>
    <w:link w:val="Quote"/>
    <w:uiPriority w:val="29"/>
    <w:semiHidden/>
    <w:rsid w:val="0064198B"/>
    <w:rPr>
      <w:rFonts w:ascii="Arial" w:hAnsi="Arial"/>
      <w:iCs/>
      <w:color w:val="595959"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semiHidden/>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semiHidden/>
    <w:rsid w:val="0064198B"/>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8B"/>
    <w:rPr>
      <w:rFonts w:ascii="Segoe UI" w:hAnsi="Segoe UI" w:cs="Segoe UI"/>
      <w:sz w:val="18"/>
      <w:szCs w:val="18"/>
    </w:rPr>
  </w:style>
  <w:style w:type="character" w:styleId="CommentReference">
    <w:name w:val="annotation reference"/>
    <w:basedOn w:val="DefaultParagraphFont"/>
    <w:uiPriority w:val="99"/>
    <w:rsid w:val="00C61DB7"/>
    <w:rPr>
      <w:sz w:val="16"/>
      <w:szCs w:val="16"/>
    </w:rPr>
  </w:style>
  <w:style w:type="paragraph" w:styleId="CommentText">
    <w:name w:val="annotation text"/>
    <w:basedOn w:val="Normal"/>
    <w:link w:val="CommentTextChar"/>
    <w:uiPriority w:val="99"/>
    <w:rsid w:val="00C61DB7"/>
    <w:pPr>
      <w:spacing w:line="240" w:lineRule="auto"/>
    </w:pPr>
    <w:rPr>
      <w:sz w:val="20"/>
      <w:szCs w:val="20"/>
    </w:rPr>
  </w:style>
  <w:style w:type="character" w:customStyle="1" w:styleId="CommentTextChar">
    <w:name w:val="Comment Text Char"/>
    <w:basedOn w:val="DefaultParagraphFont"/>
    <w:link w:val="CommentText"/>
    <w:uiPriority w:val="99"/>
    <w:rsid w:val="0064198B"/>
    <w:rPr>
      <w:rFonts w:ascii="Arial" w:hAnsi="Arial"/>
      <w:sz w:val="20"/>
      <w:szCs w:val="20"/>
    </w:rPr>
  </w:style>
  <w:style w:type="paragraph" w:styleId="CommentSubject">
    <w:name w:val="annotation subject"/>
    <w:basedOn w:val="CommentText"/>
    <w:next w:val="CommentText"/>
    <w:link w:val="CommentSubjectChar"/>
    <w:uiPriority w:val="99"/>
    <w:semiHidden/>
    <w:rsid w:val="00C61DB7"/>
    <w:rPr>
      <w:b/>
      <w:bCs/>
    </w:rPr>
  </w:style>
  <w:style w:type="character" w:customStyle="1" w:styleId="CommentSubjectChar">
    <w:name w:val="Comment Subject Char"/>
    <w:basedOn w:val="CommentTextChar"/>
    <w:link w:val="CommentSubject"/>
    <w:uiPriority w:val="99"/>
    <w:semiHidden/>
    <w:rsid w:val="0064198B"/>
    <w:rPr>
      <w:rFonts w:ascii="Arial" w:hAnsi="Arial"/>
      <w:b/>
      <w:bCs/>
      <w:sz w:val="20"/>
      <w:szCs w:val="20"/>
    </w:rPr>
  </w:style>
  <w:style w:type="character" w:customStyle="1" w:styleId="Heading5Char">
    <w:name w:val="Heading 5 Char"/>
    <w:basedOn w:val="DefaultParagraphFont"/>
    <w:link w:val="Heading5"/>
    <w:uiPriority w:val="9"/>
    <w:semiHidden/>
    <w:rsid w:val="0064198B"/>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198B"/>
    <w:rPr>
      <w:rFonts w:ascii="Arial" w:hAnsi="Arial"/>
      <w:sz w:val="20"/>
      <w:szCs w:val="20"/>
    </w:rPr>
  </w:style>
  <w:style w:type="character" w:styleId="EndnoteReference">
    <w:name w:val="endnote reference"/>
    <w:basedOn w:val="DefaultParagraphFont"/>
    <w:uiPriority w:val="99"/>
    <w:semiHidden/>
    <w:rsid w:val="003C45E1"/>
    <w:rPr>
      <w:vertAlign w:val="superscript"/>
    </w:rPr>
  </w:style>
  <w:style w:type="paragraph" w:styleId="Header">
    <w:name w:val="header"/>
    <w:basedOn w:val="Normal"/>
    <w:link w:val="HeaderChar"/>
    <w:uiPriority w:val="99"/>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8B"/>
    <w:rPr>
      <w:rFonts w:ascii="Arial" w:hAnsi="Arial"/>
    </w:rPr>
  </w:style>
  <w:style w:type="paragraph" w:styleId="Footer">
    <w:name w:val="footer"/>
    <w:basedOn w:val="Normal"/>
    <w:link w:val="FooterChar"/>
    <w:uiPriority w:val="99"/>
    <w:unhideWhenUsed/>
    <w:rsid w:val="0017350C"/>
    <w:pPr>
      <w:tabs>
        <w:tab w:val="right" w:pos="9026"/>
      </w:tabs>
      <w:spacing w:after="0" w:line="240" w:lineRule="auto"/>
    </w:pPr>
    <w:rPr>
      <w:sz w:val="20"/>
      <w:szCs w:val="20"/>
    </w:rPr>
  </w:style>
  <w:style w:type="character" w:customStyle="1" w:styleId="FooterChar">
    <w:name w:val="Footer Char"/>
    <w:basedOn w:val="DefaultParagraphFont"/>
    <w:link w:val="Footer"/>
    <w:uiPriority w:val="99"/>
    <w:rsid w:val="0017350C"/>
    <w:rPr>
      <w:rFonts w:ascii="Arial" w:hAnsi="Arial"/>
      <w:sz w:val="20"/>
      <w:szCs w:val="20"/>
    </w:rPr>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semiHidden/>
    <w:rsid w:val="00851905"/>
    <w:pPr>
      <w:ind w:left="720"/>
    </w:pPr>
  </w:style>
  <w:style w:type="paragraph" w:styleId="ListContinue">
    <w:name w:val="List Continue"/>
    <w:basedOn w:val="Normal"/>
    <w:uiPriority w:val="99"/>
    <w:semiHidden/>
    <w:rsid w:val="002665C5"/>
    <w:pPr>
      <w:ind w:left="283"/>
      <w:contextualSpacing/>
    </w:pPr>
  </w:style>
  <w:style w:type="paragraph" w:styleId="List">
    <w:name w:val="List"/>
    <w:basedOn w:val="Normal"/>
    <w:uiPriority w:val="99"/>
    <w:semiHidden/>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semiHidden/>
    <w:rsid w:val="00205AD6"/>
    <w:pPr>
      <w:contextualSpacing/>
    </w:pPr>
  </w:style>
  <w:style w:type="paragraph" w:styleId="ListNumber">
    <w:name w:val="List Number"/>
    <w:basedOn w:val="Normal"/>
    <w:uiPriority w:val="99"/>
    <w:semiHidden/>
    <w:rsid w:val="00A54CFC"/>
    <w:pPr>
      <w:numPr>
        <w:numId w:val="17"/>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semiHidden/>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semiHidden/>
    <w:rsid w:val="0064198B"/>
    <w:rPr>
      <w:rFonts w:ascii="Arial" w:hAnsi="Arial"/>
    </w:rPr>
  </w:style>
  <w:style w:type="character" w:customStyle="1" w:styleId="BulletsChar">
    <w:name w:val="Bullets Char"/>
    <w:basedOn w:val="ListBulletChar"/>
    <w:link w:val="Bullets"/>
    <w:semiHidden/>
    <w:rsid w:val="0064198B"/>
    <w:rPr>
      <w:rFonts w:ascii="Arial" w:hAnsi="Arial" w:cs="Arial"/>
    </w:rPr>
  </w:style>
  <w:style w:type="paragraph" w:customStyle="1" w:styleId="Heading1HQSC">
    <w:name w:val="Heading 1 HQSC"/>
    <w:basedOn w:val="Heading1"/>
    <w:next w:val="BodytextHQSC"/>
    <w:qFormat/>
    <w:rsid w:val="00A313E6"/>
    <w:rPr>
      <w:rFonts w:cs="Arial"/>
      <w:color w:val="293868"/>
    </w:rPr>
  </w:style>
  <w:style w:type="paragraph" w:customStyle="1" w:styleId="BodytextHQSC">
    <w:name w:val="Body text HQSC"/>
    <w:basedOn w:val="Normal"/>
    <w:qFormat/>
    <w:rsid w:val="005C5699"/>
    <w:pPr>
      <w:spacing w:before="120" w:line="300" w:lineRule="atLeast"/>
    </w:pPr>
    <w:rPr>
      <w:rFonts w:cs="Arial"/>
    </w:rPr>
  </w:style>
  <w:style w:type="paragraph" w:customStyle="1" w:styleId="BulletsHQSC">
    <w:name w:val="Bullets HQSC"/>
    <w:basedOn w:val="Bullet"/>
    <w:qFormat/>
    <w:rsid w:val="00882706"/>
    <w:pPr>
      <w:tabs>
        <w:tab w:val="left" w:pos="397"/>
      </w:tabs>
    </w:pPr>
    <w:rPr>
      <w:rFonts w:ascii="Arial" w:hAnsi="Arial" w:cs="Arial"/>
    </w:rPr>
  </w:style>
  <w:style w:type="paragraph" w:customStyle="1" w:styleId="IndentedquoteHQSC">
    <w:name w:val="Indented quote HQSC"/>
    <w:basedOn w:val="Quote"/>
    <w:qFormat/>
    <w:rsid w:val="009B60E1"/>
    <w:rPr>
      <w:rFonts w:cs="Arial"/>
      <w:color w:val="auto"/>
    </w:rPr>
  </w:style>
  <w:style w:type="paragraph" w:customStyle="1" w:styleId="SourceHQSC">
    <w:name w:val="Source HQSC"/>
    <w:basedOn w:val="NormalIndent"/>
    <w:qFormat/>
    <w:rsid w:val="00792E41"/>
    <w:rPr>
      <w:rFonts w:cs="Arial"/>
    </w:rPr>
  </w:style>
  <w:style w:type="paragraph" w:customStyle="1" w:styleId="Heading2HQSC">
    <w:name w:val="Heading 2 HQSC"/>
    <w:basedOn w:val="Heading2"/>
    <w:next w:val="BodytextHQSC"/>
    <w:qFormat/>
    <w:rsid w:val="00280BED"/>
    <w:pPr>
      <w:keepLines w:val="0"/>
      <w:spacing w:after="0"/>
    </w:pPr>
    <w:rPr>
      <w:rFonts w:cs="Arial"/>
      <w:i w:val="0"/>
      <w:color w:val="293868"/>
    </w:rPr>
  </w:style>
  <w:style w:type="paragraph" w:customStyle="1" w:styleId="Heading3HQSC">
    <w:name w:val="Heading 3 HQSC"/>
    <w:basedOn w:val="Heading3"/>
    <w:next w:val="BodytextHQSC"/>
    <w:qFormat/>
    <w:rsid w:val="00AF681D"/>
    <w:pPr>
      <w:spacing w:after="120"/>
    </w:pPr>
    <w:rPr>
      <w:rFonts w:cs="Arial"/>
    </w:rPr>
  </w:style>
  <w:style w:type="paragraph" w:customStyle="1" w:styleId="FigurecaptionHQSC">
    <w:name w:val="Figure caption HQSC"/>
    <w:basedOn w:val="Figuretableheading"/>
    <w:next w:val="BodytextHQSC"/>
    <w:qFormat/>
    <w:rsid w:val="001B599E"/>
    <w:pPr>
      <w:keepNext/>
      <w:spacing w:before="120" w:line="300" w:lineRule="atLeast"/>
    </w:pPr>
  </w:style>
  <w:style w:type="paragraph" w:customStyle="1" w:styleId="TablecolumnheadingHQSC">
    <w:name w:val="Table column heading HQSC"/>
    <w:basedOn w:val="Normal"/>
    <w:qFormat/>
    <w:rsid w:val="00E54CD1"/>
    <w:pPr>
      <w:spacing w:before="60" w:after="60" w:line="240" w:lineRule="auto"/>
    </w:pPr>
    <w:rPr>
      <w:rFonts w:cs="Arial"/>
      <w:b/>
    </w:rPr>
  </w:style>
  <w:style w:type="paragraph" w:customStyle="1" w:styleId="TabletextHQSC">
    <w:name w:val="Table text HQSC"/>
    <w:basedOn w:val="Normal"/>
    <w:qFormat/>
    <w:rsid w:val="00E54CD1"/>
    <w:pPr>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customStyle="1" w:styleId="CovertitleHQSC">
    <w:name w:val="Cover title HQSC"/>
    <w:basedOn w:val="Normal"/>
    <w:link w:val="CovertitleHQSCChar"/>
    <w:uiPriority w:val="99"/>
    <w:qFormat/>
    <w:rsid w:val="00E01E56"/>
    <w:pPr>
      <w:ind w:right="1796"/>
    </w:pPr>
    <w:rPr>
      <w:rFonts w:cs="Arial"/>
      <w:b/>
      <w:color w:val="FFFFFF" w:themeColor="background1"/>
      <w:sz w:val="44"/>
      <w:szCs w:val="44"/>
    </w:rPr>
  </w:style>
  <w:style w:type="character" w:customStyle="1" w:styleId="CovertitleHQSCChar">
    <w:name w:val="Cover title HQSC Char"/>
    <w:basedOn w:val="DefaultParagraphFont"/>
    <w:link w:val="CovertitleHQSC"/>
    <w:uiPriority w:val="99"/>
    <w:rsid w:val="005A4781"/>
    <w:rPr>
      <w:rFonts w:ascii="Arial" w:hAnsi="Arial" w:cs="Arial"/>
      <w:b/>
      <w:color w:val="FFFFFF" w:themeColor="background1"/>
      <w:sz w:val="44"/>
      <w:szCs w:val="44"/>
    </w:rPr>
  </w:style>
  <w:style w:type="paragraph" w:customStyle="1" w:styleId="coverdateHQSC">
    <w:name w:val="cover date HQSC"/>
    <w:basedOn w:val="Normal"/>
    <w:link w:val="coverdateHQSCChar"/>
    <w:uiPriority w:val="99"/>
    <w:qFormat/>
    <w:rsid w:val="00E01E56"/>
    <w:rPr>
      <w:rFonts w:cs="Arial"/>
      <w:bCs/>
      <w:color w:val="FFFFFF" w:themeColor="background1"/>
      <w:sz w:val="28"/>
      <w:szCs w:val="28"/>
    </w:rPr>
  </w:style>
  <w:style w:type="character" w:customStyle="1" w:styleId="coverdateHQSCChar">
    <w:name w:val="cover date HQSC Char"/>
    <w:basedOn w:val="DefaultParagraphFont"/>
    <w:link w:val="coverdateHQSC"/>
    <w:uiPriority w:val="99"/>
    <w:rsid w:val="005A4781"/>
    <w:rPr>
      <w:rFonts w:ascii="Arial" w:hAnsi="Arial" w:cs="Arial"/>
      <w:bCs/>
      <w:color w:val="FFFFFF" w:themeColor="background1"/>
      <w:sz w:val="28"/>
      <w:szCs w:val="28"/>
    </w:rPr>
  </w:style>
  <w:style w:type="paragraph" w:styleId="NoSpacing">
    <w:name w:val="No Spacing"/>
    <w:uiPriority w:val="1"/>
    <w:semiHidden/>
    <w:rsid w:val="00BA4CAD"/>
    <w:pPr>
      <w:spacing w:after="0" w:line="240" w:lineRule="auto"/>
    </w:pPr>
    <w:rPr>
      <w:rFonts w:ascii="Arial" w:hAnsi="Arial"/>
    </w:rPr>
  </w:style>
  <w:style w:type="numbering" w:customStyle="1" w:styleId="Style1">
    <w:name w:val="Style1"/>
    <w:uiPriority w:val="99"/>
    <w:rsid w:val="00245B70"/>
    <w:pPr>
      <w:numPr>
        <w:numId w:val="20"/>
      </w:numPr>
    </w:pPr>
  </w:style>
  <w:style w:type="paragraph" w:customStyle="1" w:styleId="Bullet">
    <w:name w:val="Bullet"/>
    <w:basedOn w:val="Normal"/>
    <w:link w:val="BulletChar"/>
    <w:semiHidden/>
    <w:qFormat/>
    <w:rsid w:val="002078C0"/>
    <w:pPr>
      <w:numPr>
        <w:numId w:val="21"/>
      </w:numPr>
      <w:spacing w:line="280" w:lineRule="atLeast"/>
    </w:pPr>
    <w:rPr>
      <w:rFonts w:ascii="Calibri" w:eastAsia="Times New Roman" w:hAnsi="Calibri" w:cs="Times New Roman"/>
      <w:szCs w:val="20"/>
      <w:lang w:eastAsia="en-NZ"/>
    </w:rPr>
  </w:style>
  <w:style w:type="character" w:customStyle="1" w:styleId="BulletChar">
    <w:name w:val="Bullet Char"/>
    <w:basedOn w:val="DefaultParagraphFont"/>
    <w:link w:val="Bullet"/>
    <w:semiHidden/>
    <w:locked/>
    <w:rsid w:val="00882706"/>
    <w:rPr>
      <w:rFonts w:ascii="Calibri" w:eastAsia="Times New Roman" w:hAnsi="Calibri" w:cs="Times New Roman"/>
      <w:szCs w:val="20"/>
      <w:lang w:eastAsia="en-NZ"/>
    </w:rPr>
  </w:style>
  <w:style w:type="paragraph" w:customStyle="1" w:styleId="Sub-bulletHQSC">
    <w:name w:val="Sub-bullet HQSC"/>
    <w:basedOn w:val="Normal"/>
    <w:qFormat/>
    <w:rsid w:val="00D931A7"/>
    <w:pPr>
      <w:numPr>
        <w:numId w:val="22"/>
      </w:numPr>
      <w:tabs>
        <w:tab w:val="left" w:pos="794"/>
      </w:tabs>
      <w:spacing w:line="280" w:lineRule="atLeast"/>
    </w:pPr>
    <w:rPr>
      <w:rFonts w:eastAsiaTheme="minorEastAsia"/>
      <w:lang w:eastAsia="en-NZ"/>
    </w:rPr>
  </w:style>
  <w:style w:type="character" w:styleId="FootnoteReference">
    <w:name w:val="footnote reference"/>
    <w:semiHidden/>
    <w:rsid w:val="00882706"/>
    <w:rPr>
      <w:rFonts w:ascii="Calibri" w:hAnsi="Calibri"/>
      <w:color w:val="auto"/>
      <w:sz w:val="22"/>
      <w:vertAlign w:val="superscript"/>
    </w:rPr>
  </w:style>
  <w:style w:type="paragraph" w:styleId="FootnoteText">
    <w:name w:val="footnote text"/>
    <w:basedOn w:val="Normal"/>
    <w:link w:val="FootnoteTextChar"/>
    <w:uiPriority w:val="99"/>
    <w:rsid w:val="00882706"/>
    <w:pPr>
      <w:spacing w:after="60" w:line="240" w:lineRule="atLeast"/>
      <w:ind w:left="284" w:hanging="284"/>
    </w:pPr>
    <w:rPr>
      <w:rFonts w:ascii="Calibri" w:eastAsiaTheme="minorEastAsia" w:hAnsi="Calibri"/>
      <w:sz w:val="19"/>
      <w:lang w:eastAsia="en-NZ"/>
    </w:rPr>
  </w:style>
  <w:style w:type="character" w:customStyle="1" w:styleId="FootnoteTextChar">
    <w:name w:val="Footnote Text Char"/>
    <w:basedOn w:val="DefaultParagraphFont"/>
    <w:link w:val="FootnoteText"/>
    <w:uiPriority w:val="99"/>
    <w:rsid w:val="00882706"/>
    <w:rPr>
      <w:rFonts w:ascii="Calibri" w:eastAsiaTheme="minorEastAsia" w:hAnsi="Calibri"/>
      <w:sz w:val="19"/>
      <w:lang w:eastAsia="en-NZ"/>
    </w:rPr>
  </w:style>
  <w:style w:type="paragraph" w:customStyle="1" w:styleId="TablecaptionHQSC">
    <w:name w:val="Table caption HQSC"/>
    <w:basedOn w:val="FigurecaptionHQSC"/>
    <w:qFormat/>
    <w:rsid w:val="001B599E"/>
  </w:style>
  <w:style w:type="paragraph" w:customStyle="1" w:styleId="TeThHauorabodytext">
    <w:name w:val="Te Tāhū Hauora body text"/>
    <w:basedOn w:val="Normal"/>
    <w:qFormat/>
    <w:rsid w:val="00650F88"/>
    <w:pPr>
      <w:spacing w:after="60"/>
    </w:pPr>
    <w:rPr>
      <w:rFonts w:eastAsia="Times New Roman" w:cs="Arial"/>
      <w:szCs w:val="20"/>
      <w:lang w:eastAsia="en-GB"/>
    </w:rPr>
  </w:style>
  <w:style w:type="paragraph" w:customStyle="1" w:styleId="TeThHauorahead3">
    <w:name w:val="Te Tāhū Hauora head 3"/>
    <w:basedOn w:val="Heading3"/>
    <w:qFormat/>
    <w:rsid w:val="00650F88"/>
    <w:rPr>
      <w:rFonts w:cs="Arial"/>
      <w:lang w:eastAsia="en-GB"/>
    </w:rPr>
  </w:style>
  <w:style w:type="character" w:customStyle="1" w:styleId="ListParagraphChar">
    <w:name w:val="List Paragraph Char"/>
    <w:aliases w:val="Bullet Normal Char"/>
    <w:link w:val="ListParagraph"/>
    <w:uiPriority w:val="34"/>
    <w:locked/>
    <w:rsid w:val="00650F8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sc.govt.nz/our-data/atlas-of-healthcare-variation/polypharmacy-in-people-aged-65-and-ov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ferx.co.nz/full/triplewhammy.pdf" TargetMode="External"/><Relationship Id="rId4" Type="http://schemas.openxmlformats.org/officeDocument/2006/relationships/webSettings" Target="webSettings.xml"/><Relationship Id="rId9" Type="http://schemas.openxmlformats.org/officeDocument/2006/relationships/hyperlink" Target="http://www.medsafe.govt.nz/profs/PUArticles/June2013NSAID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e Tāhū Hauora">
      <a:dk1>
        <a:sysClr val="windowText" lastClr="000000"/>
      </a:dk1>
      <a:lt1>
        <a:sysClr val="window" lastClr="FFFFFF"/>
      </a:lt1>
      <a:dk2>
        <a:srgbClr val="44546A"/>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5234</Words>
  <Characters>25440</Characters>
  <Application>Microsoft Office Word</Application>
  <DocSecurity>0</DocSecurity>
  <Lines>1017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2025-12-08T21:48:00Z</dcterms:created>
  <dcterms:modified xsi:type="dcterms:W3CDTF">2025-12-08T22:09:00Z</dcterms:modified>
</cp:coreProperties>
</file>