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268B" w14:textId="6B7763A9" w:rsidR="00AF57B3" w:rsidRPr="006D1081" w:rsidRDefault="009C1104" w:rsidP="00A770E3">
      <w:pPr>
        <w:pStyle w:val="HQSChead1"/>
        <w:tabs>
          <w:tab w:val="left" w:pos="6165"/>
        </w:tabs>
        <w:rPr>
          <w:sz w:val="32"/>
          <w:szCs w:val="28"/>
        </w:rPr>
      </w:pPr>
      <w:r w:rsidRPr="006D1081">
        <w:rPr>
          <w:noProof/>
          <w:sz w:val="32"/>
          <w:szCs w:val="28"/>
        </w:rPr>
        <w:drawing>
          <wp:anchor distT="0" distB="0" distL="114300" distR="114300" simplePos="0" relativeHeight="251658240" behindDoc="1" locked="0" layoutInCell="1" allowOverlap="1" wp14:anchorId="12BED7C6" wp14:editId="090D4D26">
            <wp:simplePos x="0" y="0"/>
            <wp:positionH relativeFrom="page">
              <wp:align>right</wp:align>
            </wp:positionH>
            <wp:positionV relativeFrom="paragraph">
              <wp:posOffset>-914400</wp:posOffset>
            </wp:positionV>
            <wp:extent cx="7541254" cy="1930400"/>
            <wp:effectExtent l="0" t="0" r="3175" b="0"/>
            <wp:wrapNone/>
            <wp:docPr id="5" name="Picture 5"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background with a white tohu (Māori design) on the left and a white version of the Health Quality &amp; Safety Commission logo on the right. The logo is made up of the words Health Quality &amp; Safety Commission with the words Te Tāhū Hauora underneath. Alongside is a stylised version of a wharenui in a triangle shape, with the tāhū (ridgepole), heke (rafters) and niho taniwha (triangle pattern) beneat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1254" cy="193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70E3">
        <w:rPr>
          <w:sz w:val="32"/>
          <w:szCs w:val="28"/>
        </w:rPr>
        <w:tab/>
      </w:r>
    </w:p>
    <w:p w14:paraId="75D172D1" w14:textId="77777777" w:rsidR="00AF57B3" w:rsidRPr="006D1081" w:rsidRDefault="00AF57B3" w:rsidP="00A313E6">
      <w:pPr>
        <w:pStyle w:val="HQSChead1"/>
        <w:rPr>
          <w:sz w:val="32"/>
          <w:szCs w:val="28"/>
        </w:rPr>
      </w:pPr>
    </w:p>
    <w:p w14:paraId="4318566B" w14:textId="77777777" w:rsidR="00AA6650" w:rsidRPr="008619AC" w:rsidRDefault="00AA6650" w:rsidP="00AA6650">
      <w:pPr>
        <w:pStyle w:val="TeThHauorabodytext"/>
      </w:pPr>
      <w:r w:rsidRPr="008619AC">
        <w:rPr>
          <w:b/>
          <w:bCs/>
          <w:color w:val="293868"/>
          <w:sz w:val="36"/>
          <w:szCs w:val="36"/>
        </w:rPr>
        <w:t xml:space="preserve">Rural–urban variation in </w:t>
      </w:r>
      <w:bookmarkStart w:id="0" w:name="_Hlk200013438"/>
      <w:r>
        <w:rPr>
          <w:b/>
          <w:bCs/>
          <w:color w:val="293868"/>
          <w:sz w:val="36"/>
          <w:szCs w:val="36"/>
        </w:rPr>
        <w:t>Polypharmacy</w:t>
      </w:r>
      <w:r w:rsidRPr="008619AC">
        <w:rPr>
          <w:b/>
          <w:bCs/>
          <w:color w:val="293868"/>
          <w:sz w:val="36"/>
          <w:szCs w:val="36"/>
        </w:rPr>
        <w:t xml:space="preserve"> indicators: </w:t>
      </w:r>
      <w:bookmarkEnd w:id="0"/>
      <w:r w:rsidRPr="008619AC">
        <w:rPr>
          <w:b/>
          <w:bCs/>
          <w:color w:val="293868"/>
          <w:sz w:val="36"/>
          <w:szCs w:val="36"/>
        </w:rPr>
        <w:t xml:space="preserve">Key findings from the New Zealand Atlas of Healthcare Variation </w:t>
      </w:r>
    </w:p>
    <w:p w14:paraId="17B8207D" w14:textId="77777777" w:rsidR="00AA6650" w:rsidRDefault="00AA6650" w:rsidP="00AA6650">
      <w:pPr>
        <w:pStyle w:val="TeThHauorabodytext"/>
      </w:pPr>
      <w:r w:rsidRPr="008619AC">
        <w:t xml:space="preserve">This report </w:t>
      </w:r>
      <w:r>
        <w:t>examines</w:t>
      </w:r>
      <w:r w:rsidRPr="008619AC">
        <w:t xml:space="preserve"> differences in </w:t>
      </w:r>
      <w:r w:rsidRPr="0074074F">
        <w:t>the dispensing rates of long-term medications and specific types of medicines, such as antipsychotics and benzodiazepines, among people aged 65 and over</w:t>
      </w:r>
      <w:r w:rsidDel="00705E83">
        <w:t xml:space="preserve"> </w:t>
      </w:r>
      <w:r w:rsidRPr="008619AC">
        <w:t>living in rural and urban regions in New Zealand.</w:t>
      </w:r>
      <w:r>
        <w:t xml:space="preserve"> </w:t>
      </w:r>
      <w:r w:rsidRPr="008619AC">
        <w:t xml:space="preserve">This supports analysis and monitoring of rural health and aligns with one of the goals of the New Zealand Rural Health Strategy (Minister of Health 2023). </w:t>
      </w:r>
    </w:p>
    <w:p w14:paraId="0DC3182E" w14:textId="77777777" w:rsidR="00AA6650" w:rsidRDefault="00AA6650" w:rsidP="00AA6650">
      <w:pPr>
        <w:rPr>
          <w:rFonts w:cs="Arial"/>
        </w:rPr>
      </w:pPr>
      <w:r w:rsidRPr="00DF2A81">
        <w:rPr>
          <w:rFonts w:cs="Arial"/>
        </w:rPr>
        <w:t xml:space="preserve">Polypharmacy refers to </w:t>
      </w:r>
      <w:r>
        <w:rPr>
          <w:rFonts w:cs="Arial"/>
        </w:rPr>
        <w:t>a person using</w:t>
      </w:r>
      <w:r w:rsidRPr="00DF2A81">
        <w:rPr>
          <w:rFonts w:cs="Arial"/>
        </w:rPr>
        <w:t xml:space="preserve"> multiple (five or more in general) medicines </w:t>
      </w:r>
      <w:r>
        <w:rPr>
          <w:rFonts w:cs="Arial"/>
        </w:rPr>
        <w:t>at once</w:t>
      </w:r>
      <w:r w:rsidRPr="00DF2A81">
        <w:rPr>
          <w:rFonts w:cs="Arial"/>
        </w:rPr>
        <w:t xml:space="preserve">. </w:t>
      </w:r>
      <w:r w:rsidRPr="00120206">
        <w:rPr>
          <w:rFonts w:cs="Arial"/>
        </w:rPr>
        <w:t>It can be appropriate, when medicines are necessary for managing complex or multiple conditions and have been carefully reviewed</w:t>
      </w:r>
      <w:r>
        <w:rPr>
          <w:rFonts w:cs="Arial"/>
        </w:rPr>
        <w:t>, or it can be harmful (inappropriate polypharmacy) (</w:t>
      </w:r>
      <w:r w:rsidRPr="00F44D07">
        <w:t>Duerden</w:t>
      </w:r>
      <w:r>
        <w:t xml:space="preserve"> et al 2013)</w:t>
      </w:r>
      <w:r>
        <w:rPr>
          <w:rFonts w:cs="Arial"/>
        </w:rPr>
        <w:t>. I</w:t>
      </w:r>
      <w:r w:rsidRPr="00721AD6">
        <w:rPr>
          <w:rFonts w:cs="Arial"/>
        </w:rPr>
        <w:t xml:space="preserve">nappropriate polypharmacy is prescribing </w:t>
      </w:r>
      <w:r>
        <w:rPr>
          <w:rFonts w:cs="Arial"/>
        </w:rPr>
        <w:t xml:space="preserve">multiple </w:t>
      </w:r>
      <w:r w:rsidRPr="00721AD6">
        <w:rPr>
          <w:rFonts w:cs="Arial"/>
        </w:rPr>
        <w:t>medic</w:t>
      </w:r>
      <w:r>
        <w:rPr>
          <w:rFonts w:cs="Arial"/>
        </w:rPr>
        <w:t>ines</w:t>
      </w:r>
      <w:r w:rsidRPr="00721AD6">
        <w:rPr>
          <w:rFonts w:cs="Arial"/>
        </w:rPr>
        <w:t xml:space="preserve"> that are unnecessary, unhelpful or unwanted</w:t>
      </w:r>
      <w:r>
        <w:rPr>
          <w:rFonts w:cs="Arial"/>
        </w:rPr>
        <w:t>,</w:t>
      </w:r>
      <w:r w:rsidRPr="00721AD6">
        <w:rPr>
          <w:rFonts w:cs="Arial"/>
        </w:rPr>
        <w:t xml:space="preserve"> or have unacceptable side effects or risks.</w:t>
      </w:r>
    </w:p>
    <w:p w14:paraId="10835C1A" w14:textId="77777777" w:rsidR="00AA6650" w:rsidRPr="00DF2A81" w:rsidRDefault="00AA6650" w:rsidP="00AA6650">
      <w:pPr>
        <w:rPr>
          <w:rFonts w:cs="Arial"/>
        </w:rPr>
      </w:pPr>
      <w:r>
        <w:rPr>
          <w:rFonts w:cs="Arial"/>
        </w:rPr>
        <w:t>Polypharmacy is associated with</w:t>
      </w:r>
      <w:r w:rsidRPr="00DF2A81">
        <w:rPr>
          <w:rFonts w:cs="Arial"/>
        </w:rPr>
        <w:t xml:space="preserve">: </w:t>
      </w:r>
    </w:p>
    <w:p w14:paraId="1A711E8D" w14:textId="77777777" w:rsidR="00AA6650" w:rsidRPr="00DF2A81" w:rsidRDefault="00AA6650" w:rsidP="00AA6650">
      <w:pPr>
        <w:pStyle w:val="ListParagraph"/>
        <w:numPr>
          <w:ilvl w:val="0"/>
          <w:numId w:val="19"/>
        </w:numPr>
        <w:spacing w:after="200"/>
        <w:rPr>
          <w:rFonts w:cs="Arial"/>
        </w:rPr>
      </w:pPr>
      <w:r w:rsidRPr="00DF2A81">
        <w:rPr>
          <w:rFonts w:cs="Arial"/>
        </w:rPr>
        <w:t>people not taking medicines as prescribed</w:t>
      </w:r>
    </w:p>
    <w:p w14:paraId="00ADB72E" w14:textId="77777777" w:rsidR="00AA6650" w:rsidRDefault="00AA6650" w:rsidP="00AA6650">
      <w:pPr>
        <w:pStyle w:val="ListParagraph"/>
        <w:numPr>
          <w:ilvl w:val="0"/>
          <w:numId w:val="19"/>
        </w:numPr>
        <w:spacing w:after="200"/>
        <w:rPr>
          <w:rFonts w:cs="Arial"/>
        </w:rPr>
      </w:pPr>
      <w:r w:rsidRPr="00DF2A81">
        <w:rPr>
          <w:rFonts w:cs="Arial"/>
        </w:rPr>
        <w:t>significant costs to patients and health services</w:t>
      </w:r>
    </w:p>
    <w:p w14:paraId="23591CC8" w14:textId="77777777" w:rsidR="00AA6650" w:rsidRDefault="00AA6650" w:rsidP="00AA6650">
      <w:pPr>
        <w:pStyle w:val="ListParagraph"/>
        <w:numPr>
          <w:ilvl w:val="0"/>
          <w:numId w:val="19"/>
        </w:numPr>
        <w:spacing w:after="200"/>
        <w:rPr>
          <w:rFonts w:cs="Arial"/>
        </w:rPr>
      </w:pPr>
      <w:r w:rsidRPr="00721AD6">
        <w:rPr>
          <w:rFonts w:cs="Arial"/>
        </w:rPr>
        <w:t>adverse drug events and drug interactions that can result in poor health outcomes, such as falls, cognitive impairment, frailty, depression and lower quality of life</w:t>
      </w:r>
      <w:r>
        <w:rPr>
          <w:rFonts w:cs="Arial"/>
        </w:rPr>
        <w:t>.</w:t>
      </w:r>
    </w:p>
    <w:p w14:paraId="2CB1D98F" w14:textId="77777777" w:rsidR="00AA6650" w:rsidRPr="00721AD6" w:rsidRDefault="00AA6650" w:rsidP="00AA6650">
      <w:pPr>
        <w:spacing w:after="200"/>
        <w:rPr>
          <w:rFonts w:cs="Arial"/>
        </w:rPr>
      </w:pPr>
      <w:r w:rsidRPr="00721AD6">
        <w:rPr>
          <w:rFonts w:cs="Arial"/>
        </w:rPr>
        <w:t xml:space="preserve">Older people (65 years and over) are more susceptible to medicine-related side effects, especially </w:t>
      </w:r>
      <w:r>
        <w:rPr>
          <w:rFonts w:cs="Arial"/>
        </w:rPr>
        <w:t>older people</w:t>
      </w:r>
      <w:r w:rsidRPr="00721AD6">
        <w:rPr>
          <w:rFonts w:cs="Arial"/>
        </w:rPr>
        <w:t xml:space="preserve"> who are frail or have multiple health conditions. </w:t>
      </w:r>
    </w:p>
    <w:p w14:paraId="3DF40B11" w14:textId="77777777" w:rsidR="00AA6650" w:rsidRDefault="00AA6650" w:rsidP="00AA6650">
      <w:pPr>
        <w:pStyle w:val="TeThHauorahead2"/>
      </w:pPr>
      <w:r w:rsidRPr="008619AC">
        <w:t xml:space="preserve">Key findings </w:t>
      </w:r>
    </w:p>
    <w:p w14:paraId="565971A4" w14:textId="77777777" w:rsidR="00AA6650" w:rsidRDefault="00AA6650" w:rsidP="00AA6650">
      <w:pPr>
        <w:pStyle w:val="TeThHauorabullets"/>
        <w:numPr>
          <w:ilvl w:val="0"/>
          <w:numId w:val="19"/>
        </w:numPr>
      </w:pPr>
      <w:r>
        <w:t>People living in urban areas were significantly more likely than those living in rural areas to receive five or more medicines in two consecutive quarters in 2023.</w:t>
      </w:r>
    </w:p>
    <w:p w14:paraId="4069764C" w14:textId="623C8252" w:rsidR="00AA6650" w:rsidRDefault="00AA6650" w:rsidP="00AA6650">
      <w:pPr>
        <w:pStyle w:val="TeThHauorabullets"/>
        <w:numPr>
          <w:ilvl w:val="0"/>
          <w:numId w:val="16"/>
        </w:numPr>
        <w:tabs>
          <w:tab w:val="clear" w:pos="360"/>
        </w:tabs>
        <w:ind w:left="717"/>
      </w:pPr>
      <w:r>
        <w:t xml:space="preserve">This urban–rural pattern persisted across age </w:t>
      </w:r>
      <w:r w:rsidR="00E421E0">
        <w:t>groups and</w:t>
      </w:r>
      <w:r>
        <w:t xml:space="preserve"> was similar when stratified by aged residential care status, although not always statistically significant due to small numbers.</w:t>
      </w:r>
    </w:p>
    <w:p w14:paraId="28EC13A8" w14:textId="77777777" w:rsidR="00AA6650" w:rsidRDefault="00AA6650" w:rsidP="00AA6650">
      <w:pPr>
        <w:pStyle w:val="TeThHauorabullets"/>
        <w:numPr>
          <w:ilvl w:val="0"/>
          <w:numId w:val="19"/>
        </w:numPr>
      </w:pPr>
      <w:r>
        <w:t>People living in rural areas were less likely than those living in urban areas to receive benzodiazepine or zopiclone.</w:t>
      </w:r>
    </w:p>
    <w:p w14:paraId="03BAE9E7" w14:textId="77777777" w:rsidR="00AA6650" w:rsidRPr="008619AC" w:rsidRDefault="00AA6650" w:rsidP="00AA6650">
      <w:pPr>
        <w:pStyle w:val="TeThHauorabullets"/>
        <w:numPr>
          <w:ilvl w:val="1"/>
          <w:numId w:val="19"/>
        </w:numPr>
      </w:pPr>
      <w:r>
        <w:t>Māori consistently had lower dispensing rates for benzodiazepine or zopiclone than European/Other across rurality categories, although differences were not always statistically significant.</w:t>
      </w:r>
    </w:p>
    <w:p w14:paraId="34ABFC8A" w14:textId="77777777" w:rsidR="00AA6650" w:rsidRPr="008619AC" w:rsidRDefault="00AA6650" w:rsidP="00AA6650">
      <w:pPr>
        <w:pStyle w:val="TeThHauorahead2"/>
      </w:pPr>
      <w:r w:rsidRPr="008619AC">
        <w:lastRenderedPageBreak/>
        <w:t>Method</w:t>
      </w:r>
    </w:p>
    <w:p w14:paraId="450407C2" w14:textId="77777777" w:rsidR="00AA6650" w:rsidRDefault="00AA6650" w:rsidP="00AA6650">
      <w:pPr>
        <w:pStyle w:val="TeThHauorabodytext"/>
      </w:pPr>
      <w:r w:rsidRPr="008619AC">
        <w:t>The</w:t>
      </w:r>
      <w:r>
        <w:t xml:space="preserve"> Polypharmacy</w:t>
      </w:r>
      <w:r w:rsidRPr="008619AC">
        <w:t xml:space="preserve"> Atlas reports data from existing national collections, including the Pharmaceutical Collection </w:t>
      </w:r>
      <w:r>
        <w:t xml:space="preserve">and </w:t>
      </w:r>
      <w:r w:rsidRPr="008619AC">
        <w:t xml:space="preserve">the Primary Health Organisation Enrolment Collection. It highlights demographic and regional differences in </w:t>
      </w:r>
      <w:r>
        <w:t>dispensing long-term medicines</w:t>
      </w:r>
      <w:r w:rsidRPr="008619AC">
        <w:t>.</w:t>
      </w:r>
      <w:r>
        <w:t xml:space="preserve"> Only those who are enrolled in a PHO are included in the analysis. </w:t>
      </w:r>
    </w:p>
    <w:p w14:paraId="46AA7E35" w14:textId="77777777" w:rsidR="00AA6650" w:rsidRPr="008619AC" w:rsidRDefault="00AA6650" w:rsidP="00AA6650">
      <w:pPr>
        <w:pStyle w:val="TeThHauorahead3"/>
      </w:pPr>
      <w:r w:rsidRPr="008619AC">
        <w:t xml:space="preserve">Geographical Classification for Health </w:t>
      </w:r>
    </w:p>
    <w:p w14:paraId="15B8A434" w14:textId="77777777" w:rsidR="00AA6650" w:rsidRPr="008619AC" w:rsidRDefault="00AA6650" w:rsidP="00AA6650">
      <w:pPr>
        <w:pStyle w:val="TeThHauorabodytext"/>
      </w:pPr>
      <w:r w:rsidRPr="008619AC">
        <w:t xml:space="preserve">To determine how urban or rural an area is, we used the 2018 Geographical Classification for Health (GCH). There are three rural and two urban categories with rural 3 being the most rural and urban 1 being the most urban. </w:t>
      </w:r>
    </w:p>
    <w:p w14:paraId="67801669" w14:textId="77777777" w:rsidR="00AA6650" w:rsidRPr="008619AC" w:rsidRDefault="00AA6650" w:rsidP="00AA6650">
      <w:pPr>
        <w:pStyle w:val="TeThHauorabodytext"/>
      </w:pPr>
      <w:r w:rsidRPr="008619AC">
        <w:t xml:space="preserve">The GCH categorises areas using a health lens, considering population size (urban 1 and urban 2) and drive times to closest urban areas (rural 1, rural 2, rural 3). According to the GCH, one in five New Zealanders and one in four Māori live in rural regions. </w:t>
      </w:r>
    </w:p>
    <w:p w14:paraId="37E8AAD6" w14:textId="77777777" w:rsidR="00AA6650" w:rsidRPr="008619AC" w:rsidRDefault="00AA6650" w:rsidP="00AA6650">
      <w:pPr>
        <w:pStyle w:val="TeThHauorabodytext"/>
        <w:spacing w:line="360" w:lineRule="auto"/>
        <w:rPr>
          <w:rStyle w:val="Hyperlink"/>
          <w:b/>
          <w:bCs/>
        </w:rPr>
      </w:pPr>
      <w:r w:rsidRPr="008619AC">
        <w:fldChar w:fldCharType="begin"/>
      </w:r>
      <w:r w:rsidRPr="008619AC">
        <w:instrText>HYPERLINK "https://rhrn.nz/gch/about-gch"</w:instrText>
      </w:r>
      <w:r w:rsidRPr="008619AC">
        <w:fldChar w:fldCharType="separate"/>
      </w:r>
      <w:r w:rsidRPr="008619AC">
        <w:rPr>
          <w:rStyle w:val="Hyperlink"/>
        </w:rPr>
        <w:t xml:space="preserve">About the Geographical Classification for Health </w:t>
      </w:r>
      <w:r>
        <w:rPr>
          <w:rStyle w:val="Hyperlink"/>
        </w:rPr>
        <w:t>(</w:t>
      </w:r>
      <w:r w:rsidRPr="008619AC">
        <w:rPr>
          <w:rStyle w:val="Hyperlink"/>
        </w:rPr>
        <w:t>rhrn.nz</w:t>
      </w:r>
      <w:r>
        <w:rPr>
          <w:rStyle w:val="Hyperlink"/>
        </w:rPr>
        <w:t>)</w:t>
      </w:r>
    </w:p>
    <w:p w14:paraId="73EEB4C5" w14:textId="45C41597" w:rsidR="00AA6650" w:rsidRPr="008619AC" w:rsidRDefault="00AA6650" w:rsidP="00AA6650">
      <w:pPr>
        <w:pStyle w:val="TeThHauorabodytext"/>
      </w:pPr>
      <w:r w:rsidRPr="008619AC">
        <w:fldChar w:fldCharType="end"/>
      </w:r>
      <w:r w:rsidRPr="008619AC">
        <w:t>To determine rurality for each individual record, we linked GCH files with the domicile code information in our national datasets.</w:t>
      </w:r>
      <w:r>
        <w:t xml:space="preserve"> O</w:t>
      </w:r>
      <w:r w:rsidRPr="00141932">
        <w:t xml:space="preserve">ne limitation is that around 60 domicile codes </w:t>
      </w:r>
      <w:r w:rsidR="0077487D" w:rsidRPr="0077487D">
        <w:t>that could</w:t>
      </w:r>
      <w:r w:rsidRPr="00141932">
        <w:t xml:space="preserve"> not </w:t>
      </w:r>
      <w:r w:rsidR="0077487D" w:rsidRPr="0077487D">
        <w:t>be mapped</w:t>
      </w:r>
      <w:r w:rsidRPr="00141932">
        <w:t xml:space="preserve"> to GCH 2018 were excluded from the rurality </w:t>
      </w:r>
      <w:r w:rsidR="0077487D" w:rsidRPr="0077487D">
        <w:t>analysis.</w:t>
      </w:r>
      <w:r w:rsidR="00B75F3C">
        <w:t xml:space="preserve"> </w:t>
      </w:r>
      <w:r w:rsidR="0077487D">
        <w:t xml:space="preserve">This </w:t>
      </w:r>
      <w:r w:rsidR="00B75F3C">
        <w:t>affected</w:t>
      </w:r>
      <w:r w:rsidR="0077487D">
        <w:t xml:space="preserve"> fewer than one percent of individuals.</w:t>
      </w:r>
      <w:r>
        <w:t xml:space="preserve"> </w:t>
      </w:r>
      <w:r w:rsidRPr="008619AC">
        <w:t>For more information on methodology:</w:t>
      </w:r>
    </w:p>
    <w:p w14:paraId="2799F263" w14:textId="77777777" w:rsidR="00AA6650" w:rsidRPr="00BB6C1F" w:rsidRDefault="00AA6650" w:rsidP="00AA6650">
      <w:pPr>
        <w:pStyle w:val="TeThHauorabodytext"/>
        <w:rPr>
          <w:rStyle w:val="Hyperlink"/>
        </w:rPr>
      </w:pPr>
      <w:r>
        <w:fldChar w:fldCharType="begin"/>
      </w:r>
      <w:r>
        <w:instrText>HYPERLINK "https://www.hqsc.govt.nz/assets/Our-data/Atlases/Polypharmacy-Atlas-methodology-report-2025.pdf?hash=939862af3d4322c53e1f2b7ba808d17bef422568"</w:instrText>
      </w:r>
      <w:r>
        <w:fldChar w:fldCharType="separate"/>
      </w:r>
      <w:r w:rsidRPr="00BB6C1F">
        <w:rPr>
          <w:rStyle w:val="Hyperlink"/>
        </w:rPr>
        <w:t>Atlas of Healthcare Variation</w:t>
      </w:r>
      <w:r>
        <w:rPr>
          <w:rStyle w:val="Hyperlink"/>
        </w:rPr>
        <w:t>:</w:t>
      </w:r>
      <w:r w:rsidRPr="00BB6C1F">
        <w:rPr>
          <w:rStyle w:val="Hyperlink"/>
        </w:rPr>
        <w:t xml:space="preserve"> Methodology</w:t>
      </w:r>
      <w:r>
        <w:rPr>
          <w:rStyle w:val="Hyperlink"/>
        </w:rPr>
        <w:t xml:space="preserve"> Polypharmacy in older people (hqsc.govt.nz)</w:t>
      </w:r>
    </w:p>
    <w:p w14:paraId="57F48D84" w14:textId="77777777" w:rsidR="00AA6650" w:rsidRPr="00A511CD" w:rsidRDefault="00AA6650" w:rsidP="00AA6650">
      <w:pPr>
        <w:pStyle w:val="TeThHauorabodytext"/>
        <w:rPr>
          <w:lang w:val="en-US"/>
        </w:rPr>
      </w:pPr>
      <w:r>
        <w:fldChar w:fldCharType="end"/>
      </w:r>
      <w:r w:rsidRPr="008619AC">
        <w:t xml:space="preserve">In this report, we grouped rural 2 and 3 due to low numbers. </w:t>
      </w:r>
      <w:r w:rsidRPr="00F44D22">
        <w:t>Ethnic group comparisons were between Māori and European/Other due to the low number of Pacific peoples and Asians living in rural areas.</w:t>
      </w:r>
    </w:p>
    <w:p w14:paraId="5BE5DAB7" w14:textId="38A891E1" w:rsidR="00AA6650" w:rsidRPr="008619AC" w:rsidRDefault="00AA6650" w:rsidP="00E35D33">
      <w:pPr>
        <w:pStyle w:val="HQSCbodytext"/>
      </w:pPr>
      <w:r w:rsidRPr="008619AC">
        <w:t>We used confidence intervals to determine whether there is a statistically significant difference between two subgroups. </w:t>
      </w:r>
    </w:p>
    <w:p w14:paraId="1C048F8D" w14:textId="77777777" w:rsidR="00AA6650" w:rsidRDefault="00AA6650" w:rsidP="00AA6650">
      <w:pPr>
        <w:pStyle w:val="TeThHauorahead2"/>
      </w:pPr>
      <w:r>
        <w:t xml:space="preserve">Dispensing of five or more long-term medicines </w:t>
      </w:r>
    </w:p>
    <w:p w14:paraId="7603CB5E" w14:textId="77777777" w:rsidR="00AA6650" w:rsidRDefault="00AA6650" w:rsidP="00AA6650">
      <w:r>
        <w:t>In 2023, a</w:t>
      </w:r>
      <w:r w:rsidRPr="00DF2A81">
        <w:t>bout 46</w:t>
      </w:r>
      <w:r w:rsidRPr="00DF2A81" w:rsidDel="00E05CAB">
        <w:t>.5</w:t>
      </w:r>
      <w:r w:rsidRPr="00DF2A81">
        <w:t xml:space="preserve"> percent of people aged 65 years and over received five or more long-term medicines</w:t>
      </w:r>
      <w:r>
        <w:t>.</w:t>
      </w:r>
      <w:r w:rsidRPr="00DF2A81">
        <w:t xml:space="preserve"> Of these, 33.3 percent of people received </w:t>
      </w:r>
      <w:r>
        <w:t>five to seven</w:t>
      </w:r>
      <w:r w:rsidRPr="00DF2A81">
        <w:t xml:space="preserve"> long-term medicines, 17.9 percent of people received 8</w:t>
      </w:r>
      <w:r>
        <w:t xml:space="preserve"> to </w:t>
      </w:r>
      <w:r w:rsidRPr="00DF2A81">
        <w:t>10 long-term medicines and 8.1 percent received 11 or more long-term medications (noting that these groups are not mutually exclusive).</w:t>
      </w:r>
    </w:p>
    <w:p w14:paraId="0A9DC95E" w14:textId="77777777" w:rsidR="00AA6650" w:rsidRPr="00CE5D8E" w:rsidRDefault="00AA6650" w:rsidP="00AA6650">
      <w:r w:rsidRPr="00CE5D8E">
        <w:t>Dispensing rates increased significantly with age, with those aged 8</w:t>
      </w:r>
      <w:r>
        <w:t>5</w:t>
      </w:r>
      <w:r w:rsidRPr="00CE5D8E">
        <w:t xml:space="preserve"> years and o</w:t>
      </w:r>
      <w:r>
        <w:t>v</w:t>
      </w:r>
      <w:r w:rsidRPr="00CE5D8E">
        <w:t>er having the highest rates.</w:t>
      </w:r>
      <w:r>
        <w:t xml:space="preserve"> Ethnic differences are evident: </w:t>
      </w:r>
      <w:r w:rsidRPr="00DF2A81">
        <w:t>Māori and Pacific peoples received more medicines at a younger age compared with Asian or European/Other.</w:t>
      </w:r>
    </w:p>
    <w:p w14:paraId="6242C422" w14:textId="6C37BA59" w:rsidR="00AA6650" w:rsidRPr="008619AC" w:rsidRDefault="00AA6650" w:rsidP="00AA6650">
      <w:r w:rsidRPr="008619AC">
        <w:t>For more results</w:t>
      </w:r>
      <w:r>
        <w:t>:</w:t>
      </w:r>
      <w:r w:rsidRPr="008619AC">
        <w:t xml:space="preserve"> </w:t>
      </w:r>
      <w:hyperlink r:id="rId9" w:history="1">
        <w:r>
          <w:rPr>
            <w:rStyle w:val="Hyperlink"/>
          </w:rPr>
          <w:t>Atlas of Healthcare Variation: Polypharmacy in people aged 65 years or ove</w:t>
        </w:r>
        <w:r w:rsidR="0009422E">
          <w:rPr>
            <w:rStyle w:val="Hyperlink"/>
          </w:rPr>
          <w:t>r (hqsc.govt.nz)</w:t>
        </w:r>
      </w:hyperlink>
      <w:r w:rsidR="0009422E">
        <w:t xml:space="preserve">  </w:t>
      </w:r>
      <w:r w:rsidRPr="008619AC">
        <w:t xml:space="preserve"> </w:t>
      </w:r>
    </w:p>
    <w:p w14:paraId="366B33E7" w14:textId="77777777" w:rsidR="00AA6650" w:rsidRDefault="00AA6650" w:rsidP="00AA6650">
      <w:pPr>
        <w:pStyle w:val="TeThHauorahead3"/>
      </w:pPr>
      <w:r w:rsidRPr="008619AC">
        <w:t>By rurality</w:t>
      </w:r>
    </w:p>
    <w:p w14:paraId="49B2FFCE" w14:textId="77777777" w:rsidR="00AA6650" w:rsidRPr="00925D54" w:rsidRDefault="00AA6650" w:rsidP="00AA6650">
      <w:pPr>
        <w:pStyle w:val="TeThHauorabullets"/>
        <w:numPr>
          <w:ilvl w:val="0"/>
          <w:numId w:val="20"/>
        </w:numPr>
      </w:pPr>
      <w:r w:rsidRPr="00925D54">
        <w:t xml:space="preserve">Overall, people aged 65 years or over living in urban areas (urban 1: 47.4 percent; urban 2: 47.3 percent) were significantly more likely to receive five or more medications in two consecutive quarters in 2023 compared with those living in rural areas (rural 1: 44.3 </w:t>
      </w:r>
      <w:r w:rsidRPr="00925D54">
        <w:lastRenderedPageBreak/>
        <w:t xml:space="preserve">percent; rural 2 </w:t>
      </w:r>
      <w:r>
        <w:t>and</w:t>
      </w:r>
      <w:r w:rsidRPr="00925D54">
        <w:t xml:space="preserve"> 3: 42.0 percent). This pattern was consistent across</w:t>
      </w:r>
      <w:r>
        <w:t xml:space="preserve"> the two ethnic groups and</w:t>
      </w:r>
      <w:r w:rsidRPr="00925D54">
        <w:t xml:space="preserve"> all age groups</w:t>
      </w:r>
      <w:r>
        <w:t xml:space="preserve"> when observed separately</w:t>
      </w:r>
      <w:r w:rsidRPr="00925D54">
        <w:t>.</w:t>
      </w:r>
    </w:p>
    <w:p w14:paraId="730C6856" w14:textId="77777777" w:rsidR="00AA6650" w:rsidRPr="00925D54" w:rsidRDefault="00AA6650" w:rsidP="00AA6650">
      <w:pPr>
        <w:pStyle w:val="TeThHauorabullets"/>
        <w:numPr>
          <w:ilvl w:val="0"/>
          <w:numId w:val="20"/>
        </w:numPr>
      </w:pPr>
      <w:r w:rsidRPr="00925D54">
        <w:t>When the data was further broken down by rurality, ethnicity and age, people living in the most rural regions were consistently less likely to receive five or more medications in two consecutive quarters compared with other rurality categories. However, this pattern was not statistically significant for some subgroups due to small numbers.</w:t>
      </w:r>
    </w:p>
    <w:p w14:paraId="3E0B97AA" w14:textId="1C0BBBCB" w:rsidR="00AA6650" w:rsidRDefault="00AA6650" w:rsidP="00AA6650">
      <w:pPr>
        <w:pStyle w:val="TeThHauorabullets"/>
        <w:numPr>
          <w:ilvl w:val="0"/>
          <w:numId w:val="20"/>
        </w:numPr>
        <w:rPr>
          <w:b/>
        </w:rPr>
      </w:pPr>
      <w:r w:rsidRPr="00925D54">
        <w:t xml:space="preserve">A similar pattern was observed when results were stratified by </w:t>
      </w:r>
      <w:r>
        <w:t>aged residential care</w:t>
      </w:r>
      <w:r w:rsidRPr="00925D54">
        <w:t xml:space="preserve"> status: those living in the most rural regions were less likely to be dispensed five or more medications in two consecutive quarters than those in more urban categories. This pattern, however, was not statistically significant among </w:t>
      </w:r>
      <w:r>
        <w:t>people living in aged residential care</w:t>
      </w:r>
      <w:r w:rsidRPr="00925D54">
        <w:t>.</w:t>
      </w:r>
    </w:p>
    <w:p w14:paraId="7FB64F88" w14:textId="77777777" w:rsidR="009A1AE8" w:rsidRDefault="009A1AE8" w:rsidP="009A1AE8">
      <w:pPr>
        <w:pStyle w:val="TeThHauorabullets"/>
        <w:ind w:left="360" w:firstLine="0"/>
        <w:rPr>
          <w:b/>
        </w:rPr>
      </w:pPr>
    </w:p>
    <w:p w14:paraId="5DC6284D" w14:textId="77777777" w:rsidR="00AA6650" w:rsidRDefault="00AA6650" w:rsidP="00AA6650">
      <w:pPr>
        <w:pStyle w:val="TeThHauoratablefigurecaption"/>
      </w:pPr>
      <w:r w:rsidRPr="008619AC">
        <w:t xml:space="preserve">Figure 1: </w:t>
      </w:r>
      <w:r>
        <w:t>PHO-enrolled population aged 75–84 years dispensed five or more long-term medicines in any two consecutive quarters in 2023, by ethnic grouping and rurality, percent</w:t>
      </w:r>
    </w:p>
    <w:p w14:paraId="1605001F" w14:textId="77777777" w:rsidR="00AA6650" w:rsidRPr="008619AC" w:rsidRDefault="00AA6650" w:rsidP="00AA6650">
      <w:pPr>
        <w:pStyle w:val="TeThHauoratablefigurecaption"/>
      </w:pPr>
      <w:r w:rsidRPr="003E3DFB">
        <w:rPr>
          <w:noProof/>
        </w:rPr>
        <w:t xml:space="preserve"> </w:t>
      </w:r>
      <w:r>
        <w:rPr>
          <w:noProof/>
        </w:rPr>
        <w:drawing>
          <wp:inline distT="0" distB="0" distL="0" distR="0" wp14:anchorId="76ABB3CF" wp14:editId="5C6D859E">
            <wp:extent cx="4943475" cy="3800475"/>
            <wp:effectExtent l="0" t="0" r="9525" b="9525"/>
            <wp:docPr id="388662789" name="Chart 1" descr="Bar graph showing rural-urban differences in dispensing of 5 or more medicines by ethnicity among people aged 75–84 years, with those living in urban regions were more likely to receive 5 or more medicines than those living in rural areas.&#10;">
              <a:extLst xmlns:a="http://schemas.openxmlformats.org/drawingml/2006/main">
                <a:ext uri="{FF2B5EF4-FFF2-40B4-BE49-F238E27FC236}">
                  <a16:creationId xmlns:a16="http://schemas.microsoft.com/office/drawing/2014/main" id="{75F99CCF-167D-CDB1-3539-2509855353F6}"/>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E25930" w14:textId="77777777" w:rsidR="00AA6650" w:rsidRDefault="00AA6650" w:rsidP="00AA6650">
      <w:pPr>
        <w:pStyle w:val="TeThHauoratablefigurecaption"/>
      </w:pPr>
    </w:p>
    <w:p w14:paraId="162AF506" w14:textId="77777777" w:rsidR="009A1AE8" w:rsidRDefault="009A1AE8" w:rsidP="00AA6650">
      <w:pPr>
        <w:pStyle w:val="TeThHauoratablefigurecaption"/>
      </w:pPr>
    </w:p>
    <w:p w14:paraId="60E028BD" w14:textId="77777777" w:rsidR="009A1AE8" w:rsidRDefault="009A1AE8" w:rsidP="00AA6650">
      <w:pPr>
        <w:pStyle w:val="TeThHauoratablefigurecaption"/>
      </w:pPr>
    </w:p>
    <w:p w14:paraId="3BAB44A0" w14:textId="77777777" w:rsidR="009A1AE8" w:rsidRDefault="009A1AE8" w:rsidP="00AA6650">
      <w:pPr>
        <w:pStyle w:val="TeThHauoratablefigurecaption"/>
      </w:pPr>
    </w:p>
    <w:p w14:paraId="77206E6C" w14:textId="77777777" w:rsidR="009A1AE8" w:rsidRDefault="009A1AE8" w:rsidP="00AA6650">
      <w:pPr>
        <w:pStyle w:val="TeThHauoratablefigurecaption"/>
      </w:pPr>
    </w:p>
    <w:p w14:paraId="55B1679C" w14:textId="77777777" w:rsidR="009A1AE8" w:rsidRDefault="009A1AE8" w:rsidP="00AA6650">
      <w:pPr>
        <w:pStyle w:val="TeThHauoratablefigurecaption"/>
      </w:pPr>
    </w:p>
    <w:p w14:paraId="717F8CAA" w14:textId="77777777" w:rsidR="009A1AE8" w:rsidRDefault="009A1AE8" w:rsidP="00AA6650">
      <w:pPr>
        <w:pStyle w:val="TeThHauoratablefigurecaption"/>
      </w:pPr>
    </w:p>
    <w:p w14:paraId="697771FA" w14:textId="77777777" w:rsidR="009A1AE8" w:rsidRDefault="009A1AE8" w:rsidP="00AA6650">
      <w:pPr>
        <w:pStyle w:val="TeThHauoratablefigurecaption"/>
      </w:pPr>
    </w:p>
    <w:p w14:paraId="43F4665D" w14:textId="77777777" w:rsidR="009A1AE8" w:rsidRDefault="009A1AE8" w:rsidP="00AA6650">
      <w:pPr>
        <w:pStyle w:val="TeThHauoratablefigurecaption"/>
      </w:pPr>
    </w:p>
    <w:p w14:paraId="7E845B8D" w14:textId="77777777" w:rsidR="00AA6650" w:rsidRDefault="00AA6650" w:rsidP="00AA6650">
      <w:pPr>
        <w:pStyle w:val="TeThHauoratablefigurecaption"/>
      </w:pPr>
      <w:r w:rsidRPr="008619AC">
        <w:t xml:space="preserve">Figure </w:t>
      </w:r>
      <w:r>
        <w:t>2</w:t>
      </w:r>
      <w:r w:rsidRPr="008619AC">
        <w:t xml:space="preserve">: </w:t>
      </w:r>
      <w:r>
        <w:t>PHO-enrolled population aged 75–84 years dispensed five or more long-term medicines in any two consecutive quarters in 2023, by rurality, percent</w:t>
      </w:r>
    </w:p>
    <w:p w14:paraId="36B93D9D" w14:textId="3F955C57" w:rsidR="00AA6650" w:rsidRPr="0043718E" w:rsidRDefault="00DD04CE" w:rsidP="00AA6650">
      <w:pPr>
        <w:pStyle w:val="TeThHauorahead3"/>
        <w:rPr>
          <w:lang w:val="en-US"/>
        </w:rPr>
      </w:pPr>
      <w:r w:rsidRPr="00DD04CE">
        <w:rPr>
          <w:noProof/>
        </w:rPr>
        <w:t xml:space="preserve"> </w:t>
      </w:r>
      <w:r>
        <w:rPr>
          <w:noProof/>
        </w:rPr>
        <w:drawing>
          <wp:inline distT="0" distB="0" distL="0" distR="0" wp14:anchorId="6832264C" wp14:editId="2AC1949F">
            <wp:extent cx="6138530" cy="3119120"/>
            <wp:effectExtent l="0" t="0" r="0" b="5080"/>
            <wp:docPr id="1832889288" name="Chart 1" descr="Graph showing rural-urban differences in polypharmacy indicators among people aged 75–84 years, with those living in urban regions were more likely to receive 5 or more medicines than those living in rural areas.">
              <a:extLst xmlns:a="http://schemas.openxmlformats.org/drawingml/2006/main">
                <a:ext uri="{FF2B5EF4-FFF2-40B4-BE49-F238E27FC236}">
                  <a16:creationId xmlns:a16="http://schemas.microsoft.com/office/drawing/2014/main" id="{194DB15C-4E4E-6DF4-8619-EF8895A1F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7D8094" w14:textId="77777777" w:rsidR="00AA6650" w:rsidRDefault="00AA6650" w:rsidP="00AA6650">
      <w:pPr>
        <w:pStyle w:val="TeThHauorahead2"/>
      </w:pPr>
      <w:r>
        <w:t>Triple whammy dispensing</w:t>
      </w:r>
    </w:p>
    <w:p w14:paraId="18BAB816" w14:textId="77777777" w:rsidR="00AA6650" w:rsidRDefault="00AA6650" w:rsidP="00AA6650">
      <w:pPr>
        <w:pStyle w:val="TeThHauorabodytext"/>
      </w:pPr>
      <w:r>
        <w:t xml:space="preserve">The triple whammy is the combination of an angiotensin converting enzyme (ACE) inhibitor/angiotensin receptor blocker (ARB), a diuretic and a non-steroidal anti-inflammatory drug (NSAID). </w:t>
      </w:r>
      <w:proofErr w:type="spellStart"/>
      <w:r>
        <w:t>Medsafe</w:t>
      </w:r>
      <w:proofErr w:type="spellEnd"/>
      <w:r>
        <w:t xml:space="preserve"> (2013) notes an increased risk of acute kidney injury with this combination, especially in people with risk factors for renal failure and in older adults.</w:t>
      </w:r>
    </w:p>
    <w:p w14:paraId="4E34E375" w14:textId="77777777" w:rsidR="00AA6650" w:rsidRPr="00925D54" w:rsidRDefault="00AA6650" w:rsidP="00AA6650">
      <w:pPr>
        <w:pStyle w:val="TeThHauorabullets"/>
        <w:numPr>
          <w:ilvl w:val="0"/>
          <w:numId w:val="21"/>
        </w:numPr>
      </w:pPr>
      <w:r w:rsidRPr="00925D54">
        <w:t>In 2023, 2.7 percent (~21,750 people) were dispensed the ‘triple whammy’ within the same 90</w:t>
      </w:r>
      <w:r w:rsidRPr="00925D54">
        <w:rPr>
          <w:rFonts w:ascii="Cambria Math" w:hAnsi="Cambria Math" w:cs="Cambria Math"/>
        </w:rPr>
        <w:t>‑</w:t>
      </w:r>
      <w:r w:rsidRPr="00925D54">
        <w:t>day period. Rates varied significantly by age and ethnic group. For example, among those aged 65–74 years, rates were higher for Māori (3.6 percent) and Pacific peoples (3.4 percent) compared with Asian (1.8 percent) and European/Other (2.7 percent).</w:t>
      </w:r>
    </w:p>
    <w:p w14:paraId="5E06D392" w14:textId="77777777" w:rsidR="00AA6650" w:rsidRDefault="00AA6650" w:rsidP="00AA6650">
      <w:pPr>
        <w:pStyle w:val="TeThHauorahead3"/>
      </w:pPr>
      <w:r w:rsidRPr="006E5A5A">
        <w:t>By rurality</w:t>
      </w:r>
    </w:p>
    <w:p w14:paraId="46EF8099" w14:textId="77777777" w:rsidR="00AA6650" w:rsidRDefault="00AA6650" w:rsidP="00AA6650">
      <w:pPr>
        <w:pStyle w:val="TeThHauorabullets"/>
        <w:numPr>
          <w:ilvl w:val="0"/>
          <w:numId w:val="21"/>
        </w:numPr>
      </w:pPr>
      <w:r>
        <w:t>No significant variation when results were stratified by rurality.</w:t>
      </w:r>
    </w:p>
    <w:p w14:paraId="6D255162" w14:textId="77777777" w:rsidR="00AA6650" w:rsidRDefault="00AA6650" w:rsidP="00AA6650">
      <w:pPr>
        <w:pStyle w:val="TeThHauorahead2"/>
      </w:pPr>
      <w:r>
        <w:t>Dispensing anti-psychotics and/or benzodiazepines</w:t>
      </w:r>
    </w:p>
    <w:p w14:paraId="4BB01AB5" w14:textId="77777777" w:rsidR="00AA6650" w:rsidRDefault="00AA6650" w:rsidP="00AA6650">
      <w:pPr>
        <w:pStyle w:val="ListBullet"/>
      </w:pPr>
      <w:r>
        <w:t xml:space="preserve">In 2023: </w:t>
      </w:r>
    </w:p>
    <w:p w14:paraId="3DFD6034" w14:textId="77777777" w:rsidR="00AA6650" w:rsidRPr="0000002A" w:rsidRDefault="00AA6650" w:rsidP="00AA6650">
      <w:pPr>
        <w:pStyle w:val="TeThHauorabullets"/>
        <w:numPr>
          <w:ilvl w:val="0"/>
          <w:numId w:val="22"/>
        </w:numPr>
      </w:pPr>
      <w:r w:rsidRPr="0000002A">
        <w:t>about 4.9 percent of people aged 65 years or over received an antipsychotic and 16.2 percent received a benzodiazepine or zopiclone</w:t>
      </w:r>
    </w:p>
    <w:p w14:paraId="3C608B8C" w14:textId="77777777" w:rsidR="00AA6650" w:rsidRPr="0000002A" w:rsidRDefault="00AA6650" w:rsidP="00AA6650">
      <w:pPr>
        <w:pStyle w:val="TeThHauorabullets"/>
        <w:numPr>
          <w:ilvl w:val="0"/>
          <w:numId w:val="22"/>
        </w:numPr>
      </w:pPr>
      <w:r w:rsidRPr="0000002A">
        <w:t>nearly 2.1 percent of the PHO</w:t>
      </w:r>
      <w:r w:rsidRPr="0000002A">
        <w:rPr>
          <w:rFonts w:ascii="Cambria Math" w:hAnsi="Cambria Math" w:cs="Cambria Math"/>
        </w:rPr>
        <w:t>‑</w:t>
      </w:r>
      <w:r w:rsidRPr="0000002A">
        <w:t>enrolled population received both an antipsychotic and a benzodiazepine or zopiclone within the same 90</w:t>
      </w:r>
      <w:r w:rsidRPr="0000002A">
        <w:rPr>
          <w:rFonts w:ascii="Cambria Math" w:hAnsi="Cambria Math" w:cs="Cambria Math"/>
        </w:rPr>
        <w:t>‑</w:t>
      </w:r>
      <w:r w:rsidRPr="0000002A">
        <w:t>day period</w:t>
      </w:r>
    </w:p>
    <w:p w14:paraId="5ED65FD6" w14:textId="77777777" w:rsidR="00AA6650" w:rsidRDefault="00AA6650" w:rsidP="00AA6650">
      <w:pPr>
        <w:pStyle w:val="TeThHauorabullets"/>
        <w:numPr>
          <w:ilvl w:val="0"/>
          <w:numId w:val="22"/>
        </w:numPr>
      </w:pPr>
      <w:r w:rsidRPr="0000002A">
        <w:lastRenderedPageBreak/>
        <w:t>rates varied significantly by age and ethnic group</w:t>
      </w:r>
      <w:r>
        <w:t xml:space="preserve"> </w:t>
      </w:r>
    </w:p>
    <w:p w14:paraId="612776BF" w14:textId="77777777" w:rsidR="00AA6650" w:rsidRPr="0000002A" w:rsidRDefault="00AA6650" w:rsidP="00AA6650">
      <w:pPr>
        <w:pStyle w:val="TeThHauorabullets"/>
        <w:numPr>
          <w:ilvl w:val="0"/>
          <w:numId w:val="22"/>
        </w:numPr>
      </w:pPr>
      <w:r>
        <w:t>people living in aged residential care were significantly more likely to receive anti-psychotics and/or benzodiazepines, compared with those not living in aged residential care.</w:t>
      </w:r>
    </w:p>
    <w:p w14:paraId="42036DB4" w14:textId="77777777" w:rsidR="00AA6650" w:rsidRPr="007D187C" w:rsidRDefault="00AA6650" w:rsidP="00AA6650">
      <w:pPr>
        <w:pStyle w:val="TeThHauorahead3"/>
      </w:pPr>
      <w:r w:rsidRPr="007D187C">
        <w:t>By rurality</w:t>
      </w:r>
    </w:p>
    <w:p w14:paraId="189476F2" w14:textId="77777777" w:rsidR="00AA6650" w:rsidRDefault="00AA6650" w:rsidP="00AA6650">
      <w:pPr>
        <w:pStyle w:val="TeThHauorabodytext"/>
        <w:rPr>
          <w:b/>
          <w:bCs/>
        </w:rPr>
      </w:pPr>
      <w:r w:rsidRPr="00CF3BF6">
        <w:rPr>
          <w:b/>
          <w:bCs/>
        </w:rPr>
        <w:t>Dispensing anti-psychotics</w:t>
      </w:r>
    </w:p>
    <w:p w14:paraId="12A3F29D" w14:textId="01C5DE88" w:rsidR="00AA6650" w:rsidRPr="002770CA" w:rsidRDefault="00AA6650" w:rsidP="00AA6650">
      <w:pPr>
        <w:pStyle w:val="TeThHauorabodytext"/>
        <w:numPr>
          <w:ilvl w:val="0"/>
          <w:numId w:val="25"/>
        </w:numPr>
      </w:pPr>
      <w:r>
        <w:rPr>
          <w:lang w:val="en-US"/>
        </w:rPr>
        <w:t xml:space="preserve">Overall, there </w:t>
      </w:r>
      <w:r w:rsidR="00261AA8">
        <w:rPr>
          <w:lang w:val="en-US"/>
        </w:rPr>
        <w:t>wa</w:t>
      </w:r>
      <w:r>
        <w:rPr>
          <w:lang w:val="en-US"/>
        </w:rPr>
        <w:t>s slight variation by rurality (rural 2 and 3: 3.7 percent; rural 1: 4.4 percent; urban 2: 5.5 percent; urban 1: 5.0 percent).</w:t>
      </w:r>
    </w:p>
    <w:p w14:paraId="369F3C90" w14:textId="77777777" w:rsidR="00AA6650" w:rsidRDefault="00AA6650" w:rsidP="00AA6650">
      <w:pPr>
        <w:pStyle w:val="TeThHauorabodytext"/>
        <w:numPr>
          <w:ilvl w:val="0"/>
          <w:numId w:val="25"/>
        </w:numPr>
      </w:pPr>
      <w:r>
        <w:rPr>
          <w:lang w:val="en-US"/>
        </w:rPr>
        <w:t xml:space="preserve">Rates varied by ethnic grouping irrespective of rurality. </w:t>
      </w:r>
      <w:r w:rsidRPr="0000002A">
        <w:t>Māori were less likely to receive an antipsychotic compared with European/Other, although the differences were not always statistically significant within each rurality group.</w:t>
      </w:r>
    </w:p>
    <w:p w14:paraId="15E33DC0" w14:textId="60C2D3A2" w:rsidR="00AA6650" w:rsidRDefault="00AA6650" w:rsidP="00AA6650">
      <w:pPr>
        <w:pStyle w:val="TeThHauorabodytext"/>
        <w:numPr>
          <w:ilvl w:val="0"/>
          <w:numId w:val="25"/>
        </w:numPr>
        <w:rPr>
          <w:rFonts w:cstheme="minorBidi"/>
        </w:rPr>
      </w:pPr>
      <w:r w:rsidRPr="001F053A">
        <w:rPr>
          <w:rFonts w:cstheme="minorBidi"/>
        </w:rPr>
        <w:t xml:space="preserve">When split by </w:t>
      </w:r>
      <w:r>
        <w:rPr>
          <w:rFonts w:cstheme="minorBidi"/>
        </w:rPr>
        <w:t>aged residential care</w:t>
      </w:r>
      <w:r w:rsidRPr="001F053A">
        <w:rPr>
          <w:rFonts w:cstheme="minorBidi"/>
        </w:rPr>
        <w:t xml:space="preserve">, people living in less urban areas (urban 2) had the highest dispensing rates, while those in the most rural regions (rural 2 </w:t>
      </w:r>
      <w:r>
        <w:rPr>
          <w:rFonts w:cstheme="minorBidi"/>
        </w:rPr>
        <w:t>and</w:t>
      </w:r>
      <w:r w:rsidRPr="001F053A">
        <w:rPr>
          <w:rFonts w:cstheme="minorBidi"/>
        </w:rPr>
        <w:t xml:space="preserve"> 3) had the lowest rates among </w:t>
      </w:r>
      <w:r>
        <w:rPr>
          <w:rFonts w:cstheme="minorBidi"/>
        </w:rPr>
        <w:t>people not living in aged residential care</w:t>
      </w:r>
      <w:r w:rsidRPr="001F053A">
        <w:rPr>
          <w:rFonts w:cstheme="minorBidi"/>
        </w:rPr>
        <w:t xml:space="preserve">. A similar pattern was seen among </w:t>
      </w:r>
      <w:r>
        <w:rPr>
          <w:rFonts w:cstheme="minorBidi"/>
        </w:rPr>
        <w:t xml:space="preserve">those </w:t>
      </w:r>
      <w:r>
        <w:t>living in aged residential care</w:t>
      </w:r>
      <w:r w:rsidRPr="001F053A">
        <w:rPr>
          <w:rFonts w:cstheme="minorBidi"/>
        </w:rPr>
        <w:t>, although the differences were not statistically significant</w:t>
      </w:r>
      <w:r w:rsidR="00020CB7">
        <w:rPr>
          <w:rFonts w:cstheme="minorBidi"/>
        </w:rPr>
        <w:t>.</w:t>
      </w:r>
    </w:p>
    <w:p w14:paraId="49C4B5A2" w14:textId="77777777" w:rsidR="00AA6650" w:rsidRPr="00CF3BF6" w:rsidRDefault="00AA6650" w:rsidP="00483F73">
      <w:pPr>
        <w:pStyle w:val="TeThHauoratablefigurecaption"/>
      </w:pPr>
      <w:r w:rsidRPr="00CF3BF6">
        <w:t>Dispensing benzodiazepine or zopiclone</w:t>
      </w:r>
    </w:p>
    <w:p w14:paraId="1A78DB40" w14:textId="77777777" w:rsidR="00AA6650" w:rsidRDefault="00AA6650" w:rsidP="00AA6650">
      <w:pPr>
        <w:pStyle w:val="Bullets"/>
        <w:numPr>
          <w:ilvl w:val="0"/>
          <w:numId w:val="24"/>
        </w:numPr>
      </w:pPr>
      <w:r>
        <w:rPr>
          <w:lang w:val="en-US"/>
        </w:rPr>
        <w:t xml:space="preserve">The </w:t>
      </w:r>
      <w:r w:rsidRPr="00217E2C">
        <w:rPr>
          <w:lang w:val="en-US"/>
        </w:rPr>
        <w:t xml:space="preserve">PHO-enrolled population aged 65 years or over living in rural areas (rural 2 </w:t>
      </w:r>
      <w:r>
        <w:rPr>
          <w:lang w:val="en-US"/>
        </w:rPr>
        <w:t xml:space="preserve">and </w:t>
      </w:r>
      <w:r w:rsidRPr="00217E2C">
        <w:rPr>
          <w:lang w:val="en-US"/>
        </w:rPr>
        <w:t xml:space="preserve">3: 13.1 percent; rural 1:14.3 percent) were significantly less likely to receive benzodiazepine or zopiclone during 2023 when compared to people living in urban areas (urban 2: 16.6 percent; urban 1: 17.1 percent). </w:t>
      </w:r>
      <w:r w:rsidRPr="00217E2C">
        <w:t xml:space="preserve">This pattern </w:t>
      </w:r>
      <w:r>
        <w:t>holds</w:t>
      </w:r>
      <w:r w:rsidRPr="00217E2C">
        <w:t xml:space="preserve"> across all age groups and for European/Other but was less consistent for Māori.</w:t>
      </w:r>
    </w:p>
    <w:p w14:paraId="297FE019" w14:textId="77777777" w:rsidR="00AA6650" w:rsidRDefault="00AA6650" w:rsidP="00AA6650">
      <w:pPr>
        <w:pStyle w:val="Bullets"/>
        <w:numPr>
          <w:ilvl w:val="0"/>
          <w:numId w:val="24"/>
        </w:numPr>
        <w:rPr>
          <w:lang w:val="en-US"/>
        </w:rPr>
      </w:pPr>
      <w:r w:rsidRPr="00217E2C">
        <w:rPr>
          <w:lang w:val="en-US"/>
        </w:rPr>
        <w:t>Ethnic differences were evident irrespective of rurality. Māori were less likely to receive a benzodiazepine or zopiclone compared with European/Other, although differences were not always statistically significant within each rurality category.</w:t>
      </w:r>
      <w:r>
        <w:rPr>
          <w:lang w:val="en-US"/>
        </w:rPr>
        <w:t xml:space="preserve"> </w:t>
      </w:r>
    </w:p>
    <w:p w14:paraId="115F82CE" w14:textId="77777777" w:rsidR="00000A70" w:rsidRPr="00000A70" w:rsidRDefault="00AA6650" w:rsidP="00000A70">
      <w:pPr>
        <w:pStyle w:val="Bullets"/>
        <w:numPr>
          <w:ilvl w:val="0"/>
          <w:numId w:val="24"/>
        </w:numPr>
        <w:rPr>
          <w:b/>
          <w:bCs/>
        </w:rPr>
      </w:pPr>
      <w:r w:rsidRPr="002F0C74">
        <w:rPr>
          <w:rFonts w:cstheme="minorBidi"/>
          <w:lang w:val="en-US"/>
        </w:rPr>
        <w:t xml:space="preserve">A similar rural–urban pattern was observed when results were split by </w:t>
      </w:r>
      <w:r>
        <w:rPr>
          <w:rFonts w:cstheme="minorBidi"/>
          <w:lang w:val="en-US"/>
        </w:rPr>
        <w:t>aged residential care status</w:t>
      </w:r>
      <w:r w:rsidRPr="002F0C74">
        <w:rPr>
          <w:rFonts w:cstheme="minorBidi"/>
          <w:lang w:val="en-US"/>
        </w:rPr>
        <w:t xml:space="preserve">, but the differences were not </w:t>
      </w:r>
      <w:r w:rsidR="00020CB7" w:rsidRPr="00020CB7">
        <w:rPr>
          <w:rFonts w:cstheme="minorBidi"/>
          <w:lang w:val="en-US"/>
        </w:rPr>
        <w:t>always</w:t>
      </w:r>
      <w:r w:rsidRPr="00020CB7">
        <w:rPr>
          <w:rFonts w:cstheme="minorBidi"/>
          <w:lang w:val="en-US"/>
        </w:rPr>
        <w:t xml:space="preserve"> </w:t>
      </w:r>
      <w:r w:rsidRPr="002F0C74">
        <w:rPr>
          <w:rFonts w:cstheme="minorBidi"/>
          <w:lang w:val="en-US"/>
        </w:rPr>
        <w:t xml:space="preserve">statistically </w:t>
      </w:r>
      <w:r w:rsidRPr="00020CB7">
        <w:rPr>
          <w:rFonts w:cstheme="minorBidi"/>
          <w:lang w:val="en-US"/>
        </w:rPr>
        <w:t>significant</w:t>
      </w:r>
      <w:r w:rsidR="00000A70">
        <w:rPr>
          <w:rFonts w:cstheme="minorBidi"/>
          <w:lang w:val="en-US"/>
        </w:rPr>
        <w:t>.</w:t>
      </w:r>
    </w:p>
    <w:p w14:paraId="001BFAA0" w14:textId="4E28E17E" w:rsidR="00AA6650" w:rsidRPr="00CF3BF6" w:rsidRDefault="00AA6650" w:rsidP="00483F73">
      <w:pPr>
        <w:pStyle w:val="TeThHauoratablefigurecaption"/>
      </w:pPr>
      <w:r w:rsidRPr="00020CB7">
        <w:t>Dispensing</w:t>
      </w:r>
      <w:r w:rsidRPr="00CF3BF6">
        <w:t xml:space="preserve"> both anti-psychotics and benzodiazepine/zopiclone</w:t>
      </w:r>
      <w:r>
        <w:t xml:space="preserve"> during the same 90-day period</w:t>
      </w:r>
    </w:p>
    <w:p w14:paraId="4C6A6D78" w14:textId="578F16AF" w:rsidR="00AA6650" w:rsidRPr="00594326" w:rsidRDefault="00AA6650" w:rsidP="00AA6650">
      <w:pPr>
        <w:pStyle w:val="ListBullet"/>
        <w:numPr>
          <w:ilvl w:val="0"/>
          <w:numId w:val="23"/>
        </w:numPr>
      </w:pPr>
      <w:r w:rsidRPr="00591046">
        <w:rPr>
          <w:lang w:val="en-US"/>
        </w:rPr>
        <w:t xml:space="preserve">Overall, people aged 65 years or over living in rural areas (rural 2 </w:t>
      </w:r>
      <w:r>
        <w:rPr>
          <w:lang w:val="en-US"/>
        </w:rPr>
        <w:t>and</w:t>
      </w:r>
      <w:r w:rsidRPr="00591046">
        <w:rPr>
          <w:lang w:val="en-US"/>
        </w:rPr>
        <w:t xml:space="preserve"> 3: 1.5 percent; rural 1: 1.8 percent) were significantly less likely to receive both medicines within the same 90</w:t>
      </w:r>
      <w:r w:rsidRPr="00591046">
        <w:rPr>
          <w:rFonts w:ascii="Cambria Math" w:hAnsi="Cambria Math" w:cs="Cambria Math"/>
          <w:lang w:val="en-US"/>
        </w:rPr>
        <w:t>‑</w:t>
      </w:r>
      <w:r w:rsidRPr="00591046">
        <w:rPr>
          <w:lang w:val="en-US"/>
        </w:rPr>
        <w:t>day period in 2023 compared with those living in urban areas (urban 2: 2.4 percent; urban 1: 2.2 percent). This pattern was consistent for European/Other and for those aged 65</w:t>
      </w:r>
      <w:r w:rsidRPr="00591046">
        <w:rPr>
          <w:rFonts w:cs="Arial"/>
          <w:lang w:val="en-US"/>
        </w:rPr>
        <w:t>–</w:t>
      </w:r>
      <w:r w:rsidRPr="00591046">
        <w:rPr>
          <w:lang w:val="en-US"/>
        </w:rPr>
        <w:t>74 and 75</w:t>
      </w:r>
      <w:r w:rsidRPr="00591046">
        <w:rPr>
          <w:rFonts w:cs="Arial"/>
          <w:lang w:val="en-US"/>
        </w:rPr>
        <w:t>–</w:t>
      </w:r>
      <w:r w:rsidRPr="00591046">
        <w:rPr>
          <w:lang w:val="en-US"/>
        </w:rPr>
        <w:t>84 years, but less so for</w:t>
      </w:r>
      <w:r>
        <w:rPr>
          <w:lang w:val="en-US"/>
        </w:rPr>
        <w:t xml:space="preserve"> Māori and</w:t>
      </w:r>
      <w:r w:rsidRPr="00591046">
        <w:rPr>
          <w:lang w:val="en-US"/>
        </w:rPr>
        <w:t xml:space="preserve"> people aged 85 years or over.</w:t>
      </w:r>
    </w:p>
    <w:p w14:paraId="29F667EB" w14:textId="051F5FB3" w:rsidR="00AA6650" w:rsidRDefault="00AA6650" w:rsidP="00AA6650">
      <w:pPr>
        <w:pStyle w:val="TeThHauorabodytext"/>
        <w:numPr>
          <w:ilvl w:val="0"/>
          <w:numId w:val="23"/>
        </w:numPr>
        <w:rPr>
          <w:rFonts w:cstheme="minorBidi"/>
        </w:rPr>
      </w:pPr>
      <w:r w:rsidRPr="001F053A">
        <w:rPr>
          <w:rFonts w:cstheme="minorBidi"/>
        </w:rPr>
        <w:t xml:space="preserve">When split by ARC status, people living in less urban areas (urban 2) had the highest dispensing rates, while those in the most rural regions (rural 2 </w:t>
      </w:r>
      <w:r>
        <w:rPr>
          <w:rFonts w:cstheme="minorBidi"/>
        </w:rPr>
        <w:t>and</w:t>
      </w:r>
      <w:r w:rsidRPr="001F053A">
        <w:rPr>
          <w:rFonts w:cstheme="minorBidi"/>
        </w:rPr>
        <w:t xml:space="preserve"> 3) had the lowest rates among</w:t>
      </w:r>
      <w:r>
        <w:rPr>
          <w:rFonts w:cstheme="minorBidi"/>
        </w:rPr>
        <w:t xml:space="preserve"> both ARC and</w:t>
      </w:r>
      <w:r w:rsidRPr="001F053A">
        <w:rPr>
          <w:rFonts w:cstheme="minorBidi"/>
        </w:rPr>
        <w:t xml:space="preserve"> non</w:t>
      </w:r>
      <w:r w:rsidRPr="001F053A">
        <w:rPr>
          <w:rFonts w:ascii="Cambria Math" w:hAnsi="Cambria Math" w:cs="Cambria Math"/>
        </w:rPr>
        <w:t>‑</w:t>
      </w:r>
      <w:r w:rsidRPr="001F053A">
        <w:rPr>
          <w:rFonts w:cstheme="minorBidi"/>
        </w:rPr>
        <w:t xml:space="preserve">ARC users. </w:t>
      </w:r>
    </w:p>
    <w:p w14:paraId="109963AB" w14:textId="77777777" w:rsidR="00483F73" w:rsidRDefault="00483F73" w:rsidP="00483F73">
      <w:pPr>
        <w:pStyle w:val="TeThHauorabodytext"/>
        <w:rPr>
          <w:rFonts w:cstheme="minorBidi"/>
        </w:rPr>
      </w:pPr>
    </w:p>
    <w:p w14:paraId="4F209C23" w14:textId="77777777" w:rsidR="00483F73" w:rsidRPr="00594326" w:rsidRDefault="00483F73" w:rsidP="00483F73">
      <w:pPr>
        <w:pStyle w:val="TeThHauorabodytext"/>
        <w:rPr>
          <w:rFonts w:cstheme="minorBidi"/>
        </w:rPr>
      </w:pPr>
    </w:p>
    <w:p w14:paraId="6CFD63A2" w14:textId="77777777" w:rsidR="00AA6650" w:rsidRDefault="00AA6650" w:rsidP="00AA6650">
      <w:pPr>
        <w:pStyle w:val="Figuretableheading"/>
      </w:pPr>
      <w:r>
        <w:lastRenderedPageBreak/>
        <w:t>Figure 3: PHO-enrolled population aged 75–84 years were dispensed anti-psychotics and/or benzodiazepines in 2023, by rurality, percent</w:t>
      </w:r>
      <w:r w:rsidRPr="008619AC">
        <w:t xml:space="preserve"> </w:t>
      </w:r>
    </w:p>
    <w:p w14:paraId="00200CD0" w14:textId="7AFDFE95" w:rsidR="00483F73" w:rsidRDefault="00483F73" w:rsidP="00AA6650">
      <w:pPr>
        <w:pStyle w:val="Figuretableheading"/>
      </w:pPr>
      <w:r>
        <w:rPr>
          <w:noProof/>
        </w:rPr>
        <mc:AlternateContent>
          <mc:Choice Requires="wps">
            <w:drawing>
              <wp:anchor distT="45720" distB="45720" distL="114300" distR="114300" simplePos="0" relativeHeight="251660289" behindDoc="0" locked="0" layoutInCell="1" allowOverlap="1" wp14:anchorId="7D1C8D97" wp14:editId="39D65583">
                <wp:simplePos x="0" y="0"/>
                <wp:positionH relativeFrom="column">
                  <wp:posOffset>1913742</wp:posOffset>
                </wp:positionH>
                <wp:positionV relativeFrom="paragraph">
                  <wp:posOffset>2494487</wp:posOffset>
                </wp:positionV>
                <wp:extent cx="552893" cy="1404620"/>
                <wp:effectExtent l="0" t="0" r="0" b="5715"/>
                <wp:wrapNone/>
                <wp:docPr id="1457438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 cy="1404620"/>
                        </a:xfrm>
                        <a:prstGeom prst="rect">
                          <a:avLst/>
                        </a:prstGeom>
                        <a:solidFill>
                          <a:srgbClr val="FFFFFF"/>
                        </a:solidFill>
                        <a:ln w="9525">
                          <a:noFill/>
                          <a:miter lim="800000"/>
                          <a:headEnd/>
                          <a:tailEnd/>
                        </a:ln>
                      </wps:spPr>
                      <wps:txbx>
                        <w:txbxContent>
                          <w:p w14:paraId="5E113D18" w14:textId="61DB4BB7" w:rsidR="00483F73" w:rsidRPr="00483F73" w:rsidRDefault="00483F73">
                            <w:pPr>
                              <w:rPr>
                                <w:rFonts w:asciiTheme="minorHAnsi" w:hAnsiTheme="minorHAnsi" w:cstheme="minorHAnsi"/>
                                <w:sz w:val="18"/>
                                <w:szCs w:val="18"/>
                              </w:rPr>
                            </w:pPr>
                            <w:r w:rsidRPr="00483F73">
                              <w:rPr>
                                <w:rFonts w:asciiTheme="minorHAnsi" w:hAnsiTheme="minorHAnsi" w:cstheme="minorHAnsi"/>
                                <w:sz w:val="18"/>
                                <w:szCs w:val="18"/>
                              </w:rPr>
                              <w:t>Percent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1C8D97" id="_x0000_t202" coordsize="21600,21600" o:spt="202" path="m,l,21600r21600,l21600,xe">
                <v:stroke joinstyle="miter"/>
                <v:path gradientshapeok="t" o:connecttype="rect"/>
              </v:shapetype>
              <v:shape id="Text Box 2" o:spid="_x0000_s1026" type="#_x0000_t202" style="position:absolute;margin-left:150.7pt;margin-top:196.4pt;width:43.55pt;height:110.6pt;z-index:2516602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2hDgIAAPY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" stroked="f">
                <v:textbox style="mso-fit-shape-to-text:t">
                  <w:txbxContent>
                    <w:p w14:paraId="5E113D18" w14:textId="61DB4BB7" w:rsidR="00483F73" w:rsidRPr="00483F73" w:rsidRDefault="00483F73">
                      <w:pPr>
                        <w:rPr>
                          <w:rFonts w:asciiTheme="minorHAnsi" w:hAnsiTheme="minorHAnsi" w:cstheme="minorHAnsi"/>
                          <w:sz w:val="18"/>
                          <w:szCs w:val="18"/>
                        </w:rPr>
                      </w:pPr>
                      <w:r w:rsidRPr="00483F73">
                        <w:rPr>
                          <w:rFonts w:asciiTheme="minorHAnsi" w:hAnsiTheme="minorHAnsi" w:cstheme="minorHAnsi"/>
                          <w:sz w:val="18"/>
                          <w:szCs w:val="18"/>
                        </w:rPr>
                        <w:t>Percent</w:t>
                      </w:r>
                    </w:p>
                  </w:txbxContent>
                </v:textbox>
              </v:shape>
            </w:pict>
          </mc:Fallback>
        </mc:AlternateContent>
      </w:r>
      <w:r>
        <w:rPr>
          <w:noProof/>
        </w:rPr>
        <w:drawing>
          <wp:inline distT="0" distB="0" distL="0" distR="0" wp14:anchorId="6F7AB32A" wp14:editId="40C93B99">
            <wp:extent cx="5731510" cy="3055088"/>
            <wp:effectExtent l="0" t="0" r="2540" b="12065"/>
            <wp:docPr id="58574452" name="Chart 1" descr="Horizontal bar chart showing percentages of people prescribed psychotropic medicines by area type. The x‑axis shows percentages from 0 to 100. The y‑axis lists three medicine categories: Anti‑psychotics; Benzodiazepine or zopiclone; and Both anti‑psychotics and benzodiazepine or zopiclone.&#10;Each category includes four bars for Rural 2/3, Rural 1, Urban 2, and Urban 1.&#10;Anti‑psychotic prescribing ranges from 4.1% in Rural 2/3 to 5.7% in Urban 2.&#10;Benzodiazepine or zopiclone prescribing ranges from 14.1% in Rural 2/3 to 18.5% in Urban 1.&#10;Prescribing of both medicine types ranges from 1.7% in Rural 2/3 to 2.5% in Urban 2.">
              <a:extLst xmlns:a="http://schemas.openxmlformats.org/drawingml/2006/main">
                <a:ext uri="{FF2B5EF4-FFF2-40B4-BE49-F238E27FC236}">
                  <a16:creationId xmlns:a16="http://schemas.microsoft.com/office/drawing/2014/main" id="{E6213B48-567B-650D-57BA-6824B6BB78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EBD5E4" w14:textId="08E73783" w:rsidR="00AA6650" w:rsidRDefault="00AA6650" w:rsidP="00483F73">
      <w:pPr>
        <w:pStyle w:val="HQSChead1"/>
      </w:pPr>
      <w:r w:rsidRPr="008619AC">
        <w:t>Discussion</w:t>
      </w:r>
    </w:p>
    <w:p w14:paraId="287953B0" w14:textId="00CCBDAB" w:rsidR="00AA6650" w:rsidRPr="00536B9F" w:rsidRDefault="00AA6650" w:rsidP="00AA6650">
      <w:pPr>
        <w:pStyle w:val="TeThHauorabodytext"/>
      </w:pPr>
      <w:r>
        <w:t>Our analysis showed that people living in urban areas were more likely to receive five or more medicines compared with those in rural areas. This may reflect differences in health care access, prevalence and detection of long</w:t>
      </w:r>
      <w:r w:rsidR="22A6BD80">
        <w:t xml:space="preserve"> </w:t>
      </w:r>
      <w:r>
        <w:t>term conditions. While lower dispensing rates in rural areas may suggest reduced exposure to medication</w:t>
      </w:r>
      <w:r w:rsidR="75F26190">
        <w:t xml:space="preserve"> </w:t>
      </w:r>
      <w:r>
        <w:t>related harm, they may also indicate reduced access to care, which can lead to undertreatment if fewer conditions are diagnosed or reviewed. These results also do not account for people moving to urban areas to access specialist services, which could contribute to rural–urban differences.</w:t>
      </w:r>
    </w:p>
    <w:p w14:paraId="518C41D5" w14:textId="77777777" w:rsidR="00AA6650" w:rsidRDefault="00AA6650" w:rsidP="00AA6650">
      <w:pPr>
        <w:pStyle w:val="TeThHauorabodytext"/>
      </w:pPr>
      <w:r w:rsidRPr="00536B9F">
        <w:t>Rural residents were also consistently less likely to receive</w:t>
      </w:r>
      <w:r>
        <w:t xml:space="preserve"> </w:t>
      </w:r>
      <w:r w:rsidRPr="00536B9F">
        <w:t>benzodiazepines, or zopiclone, which may reflect differences in the prevalence of mental health conditions</w:t>
      </w:r>
      <w:r>
        <w:t xml:space="preserve">, or </w:t>
      </w:r>
      <w:r w:rsidRPr="00536B9F">
        <w:t>availability of mental health services</w:t>
      </w:r>
      <w:r>
        <w:t>.</w:t>
      </w:r>
    </w:p>
    <w:p w14:paraId="0CC65961" w14:textId="77777777" w:rsidR="00AA6650" w:rsidRPr="00536B9F" w:rsidRDefault="00AA6650" w:rsidP="00AA6650">
      <w:pPr>
        <w:pStyle w:val="TeThHauorabodytext"/>
      </w:pPr>
      <w:r w:rsidRPr="00536B9F">
        <w:t xml:space="preserve">Across all indicators, </w:t>
      </w:r>
      <w:r>
        <w:t>aged residential care</w:t>
      </w:r>
      <w:r w:rsidRPr="00536B9F">
        <w:t xml:space="preserve"> plays a major role, with </w:t>
      </w:r>
      <w:r>
        <w:t>people living in aged residential care</w:t>
      </w:r>
      <w:r w:rsidRPr="00536B9F">
        <w:t xml:space="preserve"> more likely to receive five or more medicines, antipsychotics and benzodiazepines/zopiclone. However, rural–urban differences were less pronounced within </w:t>
      </w:r>
      <w:r>
        <w:t>aged residential care</w:t>
      </w:r>
      <w:r w:rsidRPr="00536B9F">
        <w:t xml:space="preserve"> populations, likely due to the more standardised care environments in aged residential care.</w:t>
      </w:r>
    </w:p>
    <w:p w14:paraId="305F9F47" w14:textId="77777777" w:rsidR="00AA6650" w:rsidRPr="00536B9F" w:rsidRDefault="00AA6650" w:rsidP="00AA6650">
      <w:pPr>
        <w:pStyle w:val="TeThHauorabodytext"/>
      </w:pPr>
      <w:r w:rsidRPr="00536B9F">
        <w:t>Overall, these findings highlight the need for targeted rural health strategies, improved access to primary and mental health care, and strengthened medication review processes to ensure safe and equitable prescribing for older adults across New Zealand.</w:t>
      </w:r>
    </w:p>
    <w:p w14:paraId="5F6E33BE" w14:textId="77777777" w:rsidR="00AA6650" w:rsidRDefault="00AA6650" w:rsidP="00AA6650">
      <w:pPr>
        <w:pStyle w:val="TeThHauorahead2"/>
      </w:pPr>
      <w:r w:rsidRPr="008619AC">
        <w:t>References</w:t>
      </w:r>
    </w:p>
    <w:p w14:paraId="21C3EEC5" w14:textId="77777777" w:rsidR="00AA6650" w:rsidRDefault="00AA6650" w:rsidP="00AA6650">
      <w:pPr>
        <w:pStyle w:val="TeThHauorabodytext"/>
      </w:pPr>
      <w:r w:rsidRPr="00F44D07">
        <w:t xml:space="preserve">Duerden M, Avery T, Payne R. 2013. </w:t>
      </w:r>
      <w:r w:rsidRPr="008D5F73">
        <w:rPr>
          <w:i/>
          <w:iCs/>
        </w:rPr>
        <w:t>Polypharmacy and medicines optimisation. Making it safe and sound.</w:t>
      </w:r>
      <w:r w:rsidRPr="00F44D07">
        <w:t xml:space="preserve"> London: The King's Fund. URL:  </w:t>
      </w:r>
      <w:hyperlink r:id="rId13" w:history="1">
        <w:r w:rsidRPr="00236110">
          <w:rPr>
            <w:rStyle w:val="Hyperlink"/>
          </w:rPr>
          <w:t>www.kingsfund.org.uk/publications/polypharmacy-and-medicines-optimisation</w:t>
        </w:r>
      </w:hyperlink>
      <w:r>
        <w:t xml:space="preserve"> </w:t>
      </w:r>
      <w:r w:rsidRPr="00F44D07">
        <w:t xml:space="preserve"> (accessed </w:t>
      </w:r>
      <w:r>
        <w:t xml:space="preserve">February </w:t>
      </w:r>
      <w:r w:rsidRPr="00F44D07">
        <w:t>202</w:t>
      </w:r>
      <w:r>
        <w:t>6</w:t>
      </w:r>
      <w:r w:rsidRPr="00F44D07">
        <w:t>).</w:t>
      </w:r>
    </w:p>
    <w:p w14:paraId="74ABC0DF" w14:textId="77777777" w:rsidR="00AA6650" w:rsidRPr="008619AC" w:rsidRDefault="00AA6650" w:rsidP="00AA6650">
      <w:pPr>
        <w:spacing w:after="200"/>
      </w:pPr>
      <w:proofErr w:type="spellStart"/>
      <w:r w:rsidRPr="00DF2A81">
        <w:t>Medsafe</w:t>
      </w:r>
      <w:proofErr w:type="spellEnd"/>
      <w:r>
        <w:t>. 2013.</w:t>
      </w:r>
      <w:r w:rsidRPr="00104597">
        <w:t xml:space="preserve"> </w:t>
      </w:r>
      <w:r w:rsidRPr="008D5F73">
        <w:rPr>
          <w:i/>
          <w:iCs/>
        </w:rPr>
        <w:t>NSAIDs and Acute Kidney Injury</w:t>
      </w:r>
      <w:r>
        <w:rPr>
          <w:i/>
          <w:iCs/>
        </w:rPr>
        <w:t xml:space="preserve">. </w:t>
      </w:r>
      <w:r w:rsidRPr="008619AC">
        <w:t xml:space="preserve">Wellington, NZ: </w:t>
      </w:r>
      <w:proofErr w:type="spellStart"/>
      <w:r>
        <w:t>Medsafe</w:t>
      </w:r>
      <w:proofErr w:type="spellEnd"/>
      <w:r>
        <w:t>. URL</w:t>
      </w:r>
      <w:r w:rsidRPr="00DF2A81">
        <w:t xml:space="preserve">: </w:t>
      </w:r>
      <w:hyperlink r:id="rId14" w:history="1">
        <w:r w:rsidRPr="006660F4">
          <w:rPr>
            <w:rStyle w:val="Hyperlink"/>
            <w:rFonts w:cs="Arial"/>
            <w:noProof/>
          </w:rPr>
          <w:t>www.medsafe.govt.nz/profs/PUArticles/June2013NSAIDS.htm</w:t>
        </w:r>
      </w:hyperlink>
      <w:r>
        <w:t xml:space="preserve"> (a</w:t>
      </w:r>
      <w:r w:rsidRPr="005C0906">
        <w:t>ccessed</w:t>
      </w:r>
      <w:r>
        <w:t xml:space="preserve"> February </w:t>
      </w:r>
      <w:r w:rsidRPr="00F44D07">
        <w:t>202</w:t>
      </w:r>
      <w:r>
        <w:t>6)</w:t>
      </w:r>
      <w:r w:rsidRPr="005C0906">
        <w:t>.</w:t>
      </w:r>
    </w:p>
    <w:p w14:paraId="7C132BE3" w14:textId="77777777" w:rsidR="00AA6650" w:rsidRDefault="00AA6650" w:rsidP="00AA6650">
      <w:pPr>
        <w:pStyle w:val="TeThHauorabodytext"/>
      </w:pPr>
      <w:r w:rsidRPr="008619AC">
        <w:t xml:space="preserve">Minister of Health. 2023. </w:t>
      </w:r>
      <w:r w:rsidRPr="00B422DE">
        <w:rPr>
          <w:i/>
        </w:rPr>
        <w:t>Rural Health Strategy</w:t>
      </w:r>
      <w:r w:rsidRPr="008619AC">
        <w:t xml:space="preserve">. Wellington, NZ: Ministry of Health. URL: </w:t>
      </w:r>
      <w:hyperlink r:id="rId15" w:history="1">
        <w:r w:rsidRPr="008619AC">
          <w:rPr>
            <w:rStyle w:val="Hyperlink"/>
          </w:rPr>
          <w:t>https://www.health.govt.nz/system/files/documents/publications/rural-health-strategy-oct23-v2.pdf</w:t>
        </w:r>
      </w:hyperlink>
      <w:r w:rsidRPr="008619AC">
        <w:rPr>
          <w:b/>
          <w:bCs/>
        </w:rPr>
        <w:t xml:space="preserve"> </w:t>
      </w:r>
      <w:r w:rsidRPr="004E1D35">
        <w:t>(accessed February 2026)</w:t>
      </w:r>
      <w:r>
        <w:t>.</w:t>
      </w:r>
    </w:p>
    <w:p w14:paraId="06878D7E" w14:textId="77777777" w:rsidR="00AA6650" w:rsidRPr="002A2687" w:rsidRDefault="00AA6650" w:rsidP="00AA6650">
      <w:pPr>
        <w:pStyle w:val="TeThHauorabodytext"/>
      </w:pPr>
    </w:p>
    <w:p w14:paraId="37FB7883" w14:textId="77777777" w:rsidR="0080075C" w:rsidRDefault="00AA6650" w:rsidP="00AA6650">
      <w:pPr>
        <w:pStyle w:val="BodyText"/>
        <w:rPr>
          <w:rStyle w:val="Hyperlink"/>
        </w:rPr>
      </w:pPr>
      <w:r w:rsidRPr="008619AC">
        <w:t xml:space="preserve">Published </w:t>
      </w:r>
      <w:r>
        <w:t>March 2026</w:t>
      </w:r>
      <w:r w:rsidRPr="008619AC">
        <w:t xml:space="preserve"> by the Health Quality &amp; Safety Commission Te Tāhū Hauora, PO Box 25496, Wellington, 6146. Available online at </w:t>
      </w:r>
      <w:hyperlink r:id="rId16" w:history="1">
        <w:r w:rsidRPr="008619AC">
          <w:rPr>
            <w:rStyle w:val="Hyperlink"/>
          </w:rPr>
          <w:t>www.hqsc.govt.nz</w:t>
        </w:r>
      </w:hyperlink>
      <w:r w:rsidRPr="008619AC">
        <w:t>.</w:t>
      </w:r>
      <w:r w:rsidRPr="008619AC">
        <w:rPr>
          <w:rStyle w:val="Hyperlink"/>
        </w:rPr>
        <w:t xml:space="preserve"> </w:t>
      </w:r>
    </w:p>
    <w:p w14:paraId="194BCF27" w14:textId="03002797" w:rsidR="00AA6650" w:rsidRPr="008619AC" w:rsidRDefault="00AA6650" w:rsidP="00AA6650">
      <w:pPr>
        <w:pStyle w:val="BodyText"/>
      </w:pPr>
      <w:r w:rsidRPr="008619AC">
        <w:t xml:space="preserve">Enquiries to: </w:t>
      </w:r>
      <w:hyperlink r:id="rId17" w:history="1">
        <w:r w:rsidRPr="008619AC">
          <w:rPr>
            <w:rStyle w:val="Hyperlink"/>
          </w:rPr>
          <w:t>info@hqsc.govt.nz</w:t>
        </w:r>
      </w:hyperlink>
    </w:p>
    <w:p w14:paraId="0C56BD60" w14:textId="5ED1AA4E" w:rsidR="00AA6650" w:rsidRPr="004846B0" w:rsidRDefault="0080075C" w:rsidP="00AA6650">
      <w:pPr>
        <w:pStyle w:val="TeThHauorabodytext"/>
        <w:jc w:val="center"/>
      </w:pPr>
      <w:r w:rsidRPr="008619AC">
        <w:rPr>
          <w:noProof/>
        </w:rPr>
        <w:drawing>
          <wp:anchor distT="0" distB="0" distL="114300" distR="114300" simplePos="0" relativeHeight="251661313" behindDoc="0" locked="0" layoutInCell="1" allowOverlap="1" wp14:anchorId="41E51408" wp14:editId="75ACE193">
            <wp:simplePos x="0" y="0"/>
            <wp:positionH relativeFrom="column">
              <wp:posOffset>19050</wp:posOffset>
            </wp:positionH>
            <wp:positionV relativeFrom="paragraph">
              <wp:posOffset>193675</wp:posOffset>
            </wp:positionV>
            <wp:extent cx="1403350" cy="529871"/>
            <wp:effectExtent l="0" t="0" r="6350" b="3810"/>
            <wp:wrapNone/>
            <wp:docPr id="1441389136" name="Picture 1441389136"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 Zealand Government lo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3350" cy="529871"/>
                    </a:xfrm>
                    <a:prstGeom prst="rect">
                      <a:avLst/>
                    </a:prstGeom>
                  </pic:spPr>
                </pic:pic>
              </a:graphicData>
            </a:graphic>
            <wp14:sizeRelH relativeFrom="page">
              <wp14:pctWidth>0</wp14:pctWidth>
            </wp14:sizeRelH>
            <wp14:sizeRelV relativeFrom="page">
              <wp14:pctHeight>0</wp14:pctHeight>
            </wp14:sizeRelV>
          </wp:anchor>
        </w:drawing>
      </w:r>
    </w:p>
    <w:p w14:paraId="6E74D290" w14:textId="41B884F6" w:rsidR="00AF57B3" w:rsidRPr="004846B0" w:rsidRDefault="00AF57B3" w:rsidP="00685328">
      <w:pPr>
        <w:pStyle w:val="HQSCbodytext"/>
        <w:jc w:val="center"/>
      </w:pPr>
    </w:p>
    <w:sectPr w:rsidR="00AF57B3" w:rsidRPr="004846B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8C62" w14:textId="77777777" w:rsidR="001B3826" w:rsidRDefault="001B3826" w:rsidP="003C45E1">
      <w:pPr>
        <w:spacing w:after="0" w:line="240" w:lineRule="auto"/>
      </w:pPr>
      <w:r>
        <w:separator/>
      </w:r>
    </w:p>
  </w:endnote>
  <w:endnote w:type="continuationSeparator" w:id="0">
    <w:p w14:paraId="52A4A37F" w14:textId="77777777" w:rsidR="001B3826" w:rsidRDefault="001B3826"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6035805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576C467E" w14:textId="05657BE4" w:rsidR="004907D7" w:rsidRPr="004A752B" w:rsidRDefault="007E01B4" w:rsidP="004A752B">
            <w:pPr>
              <w:pStyle w:val="Footer"/>
              <w:spacing w:after="120" w:line="276" w:lineRule="auto"/>
              <w:rPr>
                <w:sz w:val="20"/>
                <w:szCs w:val="20"/>
              </w:rPr>
            </w:pPr>
            <w:r w:rsidRPr="00BB65A0">
              <w:rPr>
                <w:sz w:val="20"/>
                <w:szCs w:val="20"/>
              </w:rPr>
              <w:t xml:space="preserve">Rural–urban variation in </w:t>
            </w:r>
            <w:r>
              <w:rPr>
                <w:sz w:val="20"/>
                <w:szCs w:val="20"/>
              </w:rPr>
              <w:t>polypharmacy indicators</w:t>
            </w:r>
            <w:r w:rsidRPr="00BB65A0">
              <w:rPr>
                <w:sz w:val="20"/>
                <w:szCs w:val="20"/>
              </w:rPr>
              <w:t>: Key findings from the New Zealand Atlas of Healthcare Variation</w:t>
            </w:r>
            <w:r w:rsidR="004A752B" w:rsidRPr="004A752B">
              <w:rPr>
                <w:sz w:val="20"/>
                <w:szCs w:val="20"/>
              </w:rPr>
              <w:tab/>
            </w:r>
            <w:r w:rsidR="004A752B" w:rsidRPr="004A752B">
              <w:rPr>
                <w:sz w:val="20"/>
                <w:szCs w:val="20"/>
              </w:rPr>
              <w:tab/>
            </w:r>
            <w:r w:rsidR="004A752B" w:rsidRPr="004A752B">
              <w:rPr>
                <w:sz w:val="20"/>
                <w:szCs w:val="20"/>
              </w:rPr>
              <w:fldChar w:fldCharType="begin"/>
            </w:r>
            <w:r w:rsidR="004A752B" w:rsidRPr="004A752B">
              <w:rPr>
                <w:sz w:val="20"/>
                <w:szCs w:val="20"/>
              </w:rPr>
              <w:instrText xml:space="preserve"> PAGE </w:instrText>
            </w:r>
            <w:r w:rsidR="004A752B" w:rsidRPr="004A752B">
              <w:rPr>
                <w:sz w:val="20"/>
                <w:szCs w:val="20"/>
              </w:rPr>
              <w:fldChar w:fldCharType="separate"/>
            </w:r>
            <w:r w:rsidR="004A752B" w:rsidRPr="004A752B">
              <w:rPr>
                <w:noProof/>
                <w:sz w:val="20"/>
                <w:szCs w:val="20"/>
              </w:rPr>
              <w:t>2</w:t>
            </w:r>
            <w:r w:rsidR="004A752B" w:rsidRPr="004A752B">
              <w:rPr>
                <w:sz w:val="20"/>
                <w:szCs w:val="20"/>
              </w:rPr>
              <w:fldChar w:fldCharType="end"/>
            </w:r>
            <w:r w:rsidR="004A752B" w:rsidRPr="004A752B">
              <w:rPr>
                <w:sz w:val="20"/>
                <w:szCs w:val="20"/>
              </w:rPr>
              <w:t xml:space="preserve"> of </w:t>
            </w:r>
            <w:r w:rsidR="004A752B" w:rsidRPr="004A752B">
              <w:rPr>
                <w:sz w:val="20"/>
                <w:szCs w:val="20"/>
              </w:rPr>
              <w:fldChar w:fldCharType="begin"/>
            </w:r>
            <w:r w:rsidR="004A752B" w:rsidRPr="004A752B">
              <w:rPr>
                <w:sz w:val="20"/>
                <w:szCs w:val="20"/>
              </w:rPr>
              <w:instrText xml:space="preserve"> NUMPAGES  </w:instrText>
            </w:r>
            <w:r w:rsidR="004A752B" w:rsidRPr="004A752B">
              <w:rPr>
                <w:sz w:val="20"/>
                <w:szCs w:val="20"/>
              </w:rPr>
              <w:fldChar w:fldCharType="separate"/>
            </w:r>
            <w:r w:rsidR="004A752B" w:rsidRPr="004A752B">
              <w:rPr>
                <w:noProof/>
                <w:sz w:val="20"/>
                <w:szCs w:val="20"/>
              </w:rPr>
              <w:t>2</w:t>
            </w:r>
            <w:r w:rsidR="004A752B" w:rsidRPr="004A752B">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0950" w14:textId="77777777" w:rsidR="001B3826" w:rsidRDefault="001B3826" w:rsidP="003C45E1">
      <w:pPr>
        <w:spacing w:after="0" w:line="240" w:lineRule="auto"/>
      </w:pPr>
      <w:r>
        <w:separator/>
      </w:r>
    </w:p>
  </w:footnote>
  <w:footnote w:type="continuationSeparator" w:id="0">
    <w:p w14:paraId="0BA30BD7" w14:textId="77777777" w:rsidR="001B3826" w:rsidRDefault="001B3826" w:rsidP="003C4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5451B58"/>
    <w:multiLevelType w:val="hybridMultilevel"/>
    <w:tmpl w:val="48D0C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4BB3374"/>
    <w:multiLevelType w:val="hybridMultilevel"/>
    <w:tmpl w:val="68502C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78C42AD"/>
    <w:multiLevelType w:val="hybridMultilevel"/>
    <w:tmpl w:val="58E84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6566E2E"/>
    <w:multiLevelType w:val="hybridMultilevel"/>
    <w:tmpl w:val="1ED061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90B322E"/>
    <w:multiLevelType w:val="hybridMultilevel"/>
    <w:tmpl w:val="80466C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234CB8"/>
    <w:multiLevelType w:val="hybridMultilevel"/>
    <w:tmpl w:val="DBF4C30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1C32040"/>
    <w:multiLevelType w:val="hybridMultilevel"/>
    <w:tmpl w:val="E196CB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0813112">
    <w:abstractNumId w:val="8"/>
  </w:num>
  <w:num w:numId="2" w16cid:durableId="1664695360">
    <w:abstractNumId w:val="12"/>
  </w:num>
  <w:num w:numId="3" w16cid:durableId="86075489">
    <w:abstractNumId w:val="18"/>
  </w:num>
  <w:num w:numId="4" w16cid:durableId="961226629">
    <w:abstractNumId w:val="13"/>
  </w:num>
  <w:num w:numId="5" w16cid:durableId="810247892">
    <w:abstractNumId w:val="19"/>
  </w:num>
  <w:num w:numId="6" w16cid:durableId="199098544">
    <w:abstractNumId w:val="11"/>
  </w:num>
  <w:num w:numId="7" w16cid:durableId="1829781319">
    <w:abstractNumId w:val="23"/>
  </w:num>
  <w:num w:numId="8" w16cid:durableId="534579980">
    <w:abstractNumId w:val="14"/>
  </w:num>
  <w:num w:numId="9" w16cid:durableId="1863742993">
    <w:abstractNumId w:val="7"/>
  </w:num>
  <w:num w:numId="10" w16cid:durableId="50538599">
    <w:abstractNumId w:val="6"/>
  </w:num>
  <w:num w:numId="11" w16cid:durableId="1131828693">
    <w:abstractNumId w:val="3"/>
  </w:num>
  <w:num w:numId="12" w16cid:durableId="1093433892">
    <w:abstractNumId w:val="22"/>
  </w:num>
  <w:num w:numId="13" w16cid:durableId="272787516">
    <w:abstractNumId w:val="20"/>
  </w:num>
  <w:num w:numId="14" w16cid:durableId="1390617373">
    <w:abstractNumId w:val="4"/>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 w:numId="19" w16cid:durableId="103496881">
    <w:abstractNumId w:val="17"/>
  </w:num>
  <w:num w:numId="20" w16cid:durableId="1456212259">
    <w:abstractNumId w:val="9"/>
  </w:num>
  <w:num w:numId="21" w16cid:durableId="633365979">
    <w:abstractNumId w:val="15"/>
  </w:num>
  <w:num w:numId="22" w16cid:durableId="980038701">
    <w:abstractNumId w:val="21"/>
  </w:num>
  <w:num w:numId="23" w16cid:durableId="1324814768">
    <w:abstractNumId w:val="10"/>
  </w:num>
  <w:num w:numId="24" w16cid:durableId="1374309691">
    <w:abstractNumId w:val="5"/>
  </w:num>
  <w:num w:numId="25" w16cid:durableId="5086444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50"/>
    <w:rsid w:val="00000224"/>
    <w:rsid w:val="00000A70"/>
    <w:rsid w:val="00003978"/>
    <w:rsid w:val="00005986"/>
    <w:rsid w:val="000072B5"/>
    <w:rsid w:val="00012CD3"/>
    <w:rsid w:val="00014BDF"/>
    <w:rsid w:val="000154D5"/>
    <w:rsid w:val="00015F44"/>
    <w:rsid w:val="00017216"/>
    <w:rsid w:val="00020CB7"/>
    <w:rsid w:val="00021A1A"/>
    <w:rsid w:val="000235D4"/>
    <w:rsid w:val="0002506B"/>
    <w:rsid w:val="000257D7"/>
    <w:rsid w:val="00026401"/>
    <w:rsid w:val="00043083"/>
    <w:rsid w:val="00051CC0"/>
    <w:rsid w:val="0005287A"/>
    <w:rsid w:val="00052B4C"/>
    <w:rsid w:val="0005504C"/>
    <w:rsid w:val="00057F11"/>
    <w:rsid w:val="00062B82"/>
    <w:rsid w:val="0006393A"/>
    <w:rsid w:val="0006613A"/>
    <w:rsid w:val="00067C71"/>
    <w:rsid w:val="00071CE6"/>
    <w:rsid w:val="00072B90"/>
    <w:rsid w:val="00077897"/>
    <w:rsid w:val="00081524"/>
    <w:rsid w:val="00081E3B"/>
    <w:rsid w:val="00083C26"/>
    <w:rsid w:val="0008726B"/>
    <w:rsid w:val="00090EC0"/>
    <w:rsid w:val="00092A37"/>
    <w:rsid w:val="0009422E"/>
    <w:rsid w:val="00096C19"/>
    <w:rsid w:val="000A5622"/>
    <w:rsid w:val="000B111C"/>
    <w:rsid w:val="000C1227"/>
    <w:rsid w:val="000C71F5"/>
    <w:rsid w:val="000D7E4B"/>
    <w:rsid w:val="000E5B30"/>
    <w:rsid w:val="000E6A29"/>
    <w:rsid w:val="000E7175"/>
    <w:rsid w:val="000F32D0"/>
    <w:rsid w:val="000F7471"/>
    <w:rsid w:val="00101302"/>
    <w:rsid w:val="00104BBC"/>
    <w:rsid w:val="00105E23"/>
    <w:rsid w:val="00106ECE"/>
    <w:rsid w:val="001111D6"/>
    <w:rsid w:val="001123E1"/>
    <w:rsid w:val="00115489"/>
    <w:rsid w:val="00115AEB"/>
    <w:rsid w:val="0012275E"/>
    <w:rsid w:val="001249E2"/>
    <w:rsid w:val="00124E94"/>
    <w:rsid w:val="0013118C"/>
    <w:rsid w:val="00131E3D"/>
    <w:rsid w:val="00132993"/>
    <w:rsid w:val="00133F6A"/>
    <w:rsid w:val="00134F5C"/>
    <w:rsid w:val="001378CA"/>
    <w:rsid w:val="00140AAC"/>
    <w:rsid w:val="001410B4"/>
    <w:rsid w:val="00143651"/>
    <w:rsid w:val="00147145"/>
    <w:rsid w:val="00150EC1"/>
    <w:rsid w:val="00150EE7"/>
    <w:rsid w:val="00150F2F"/>
    <w:rsid w:val="00153C73"/>
    <w:rsid w:val="00154B52"/>
    <w:rsid w:val="00155187"/>
    <w:rsid w:val="00157F7F"/>
    <w:rsid w:val="001639FA"/>
    <w:rsid w:val="00164036"/>
    <w:rsid w:val="00165B6D"/>
    <w:rsid w:val="00173B88"/>
    <w:rsid w:val="00183219"/>
    <w:rsid w:val="00183F98"/>
    <w:rsid w:val="001855EA"/>
    <w:rsid w:val="00185F52"/>
    <w:rsid w:val="00191ADE"/>
    <w:rsid w:val="00193951"/>
    <w:rsid w:val="0019407B"/>
    <w:rsid w:val="001A02AD"/>
    <w:rsid w:val="001A132C"/>
    <w:rsid w:val="001A2A4E"/>
    <w:rsid w:val="001A44E7"/>
    <w:rsid w:val="001A6068"/>
    <w:rsid w:val="001A6553"/>
    <w:rsid w:val="001B161C"/>
    <w:rsid w:val="001B1F8A"/>
    <w:rsid w:val="001B3826"/>
    <w:rsid w:val="001B6AEC"/>
    <w:rsid w:val="001C2409"/>
    <w:rsid w:val="001D0822"/>
    <w:rsid w:val="001D6AAD"/>
    <w:rsid w:val="001E06DF"/>
    <w:rsid w:val="001E0B57"/>
    <w:rsid w:val="001E6A9F"/>
    <w:rsid w:val="001F1896"/>
    <w:rsid w:val="001F3461"/>
    <w:rsid w:val="0020107E"/>
    <w:rsid w:val="00201B60"/>
    <w:rsid w:val="00203EA2"/>
    <w:rsid w:val="00205657"/>
    <w:rsid w:val="00205AD6"/>
    <w:rsid w:val="002121B9"/>
    <w:rsid w:val="0021261B"/>
    <w:rsid w:val="002201B7"/>
    <w:rsid w:val="00225BC0"/>
    <w:rsid w:val="0023054B"/>
    <w:rsid w:val="00230A59"/>
    <w:rsid w:val="002339EA"/>
    <w:rsid w:val="002371B4"/>
    <w:rsid w:val="00237533"/>
    <w:rsid w:val="00244839"/>
    <w:rsid w:val="00245178"/>
    <w:rsid w:val="002514A1"/>
    <w:rsid w:val="002522E0"/>
    <w:rsid w:val="00252B7B"/>
    <w:rsid w:val="00261AA8"/>
    <w:rsid w:val="0026260B"/>
    <w:rsid w:val="002665C5"/>
    <w:rsid w:val="0027152B"/>
    <w:rsid w:val="00272014"/>
    <w:rsid w:val="00272AA4"/>
    <w:rsid w:val="00287D53"/>
    <w:rsid w:val="0029029C"/>
    <w:rsid w:val="00291E66"/>
    <w:rsid w:val="0029676C"/>
    <w:rsid w:val="002969D8"/>
    <w:rsid w:val="00297582"/>
    <w:rsid w:val="00297676"/>
    <w:rsid w:val="00297B4B"/>
    <w:rsid w:val="00297DA1"/>
    <w:rsid w:val="002A38FE"/>
    <w:rsid w:val="002B4FF6"/>
    <w:rsid w:val="002D22C7"/>
    <w:rsid w:val="002E1666"/>
    <w:rsid w:val="002E2CCF"/>
    <w:rsid w:val="002E547C"/>
    <w:rsid w:val="002E7831"/>
    <w:rsid w:val="002F6704"/>
    <w:rsid w:val="00300830"/>
    <w:rsid w:val="0030109F"/>
    <w:rsid w:val="00301AB6"/>
    <w:rsid w:val="00303EF1"/>
    <w:rsid w:val="00310A90"/>
    <w:rsid w:val="00322A55"/>
    <w:rsid w:val="00331D2C"/>
    <w:rsid w:val="0033326E"/>
    <w:rsid w:val="003362F8"/>
    <w:rsid w:val="00340841"/>
    <w:rsid w:val="0034255E"/>
    <w:rsid w:val="00343272"/>
    <w:rsid w:val="003451B3"/>
    <w:rsid w:val="00345201"/>
    <w:rsid w:val="003456C3"/>
    <w:rsid w:val="00345ACC"/>
    <w:rsid w:val="003470AA"/>
    <w:rsid w:val="00350934"/>
    <w:rsid w:val="00351589"/>
    <w:rsid w:val="003557A9"/>
    <w:rsid w:val="003558C2"/>
    <w:rsid w:val="00356454"/>
    <w:rsid w:val="0035680A"/>
    <w:rsid w:val="0036225A"/>
    <w:rsid w:val="00367B2E"/>
    <w:rsid w:val="00370C0F"/>
    <w:rsid w:val="003720D9"/>
    <w:rsid w:val="00372989"/>
    <w:rsid w:val="003731CD"/>
    <w:rsid w:val="00374EB2"/>
    <w:rsid w:val="003751B1"/>
    <w:rsid w:val="00380044"/>
    <w:rsid w:val="0038042C"/>
    <w:rsid w:val="003826C3"/>
    <w:rsid w:val="00386712"/>
    <w:rsid w:val="00390A08"/>
    <w:rsid w:val="00392C96"/>
    <w:rsid w:val="00393170"/>
    <w:rsid w:val="003A07A8"/>
    <w:rsid w:val="003A1715"/>
    <w:rsid w:val="003A1838"/>
    <w:rsid w:val="003A3D1C"/>
    <w:rsid w:val="003B13D7"/>
    <w:rsid w:val="003B2535"/>
    <w:rsid w:val="003B6C8D"/>
    <w:rsid w:val="003B784D"/>
    <w:rsid w:val="003C45E1"/>
    <w:rsid w:val="003C597F"/>
    <w:rsid w:val="003D0EDE"/>
    <w:rsid w:val="003D19E6"/>
    <w:rsid w:val="003E1978"/>
    <w:rsid w:val="003E2238"/>
    <w:rsid w:val="003E38E3"/>
    <w:rsid w:val="003E52D6"/>
    <w:rsid w:val="003F0791"/>
    <w:rsid w:val="003F330A"/>
    <w:rsid w:val="003F5A26"/>
    <w:rsid w:val="003F7284"/>
    <w:rsid w:val="00402A50"/>
    <w:rsid w:val="0040657D"/>
    <w:rsid w:val="00407CA8"/>
    <w:rsid w:val="00410D2D"/>
    <w:rsid w:val="004114BA"/>
    <w:rsid w:val="00411BBC"/>
    <w:rsid w:val="00416629"/>
    <w:rsid w:val="0041675A"/>
    <w:rsid w:val="004201E0"/>
    <w:rsid w:val="004241B9"/>
    <w:rsid w:val="004258F9"/>
    <w:rsid w:val="00425AA0"/>
    <w:rsid w:val="00432DE0"/>
    <w:rsid w:val="00433D6F"/>
    <w:rsid w:val="0043431E"/>
    <w:rsid w:val="0043515F"/>
    <w:rsid w:val="004363F2"/>
    <w:rsid w:val="0043718E"/>
    <w:rsid w:val="0043743D"/>
    <w:rsid w:val="00442819"/>
    <w:rsid w:val="00442889"/>
    <w:rsid w:val="004458DE"/>
    <w:rsid w:val="004466EF"/>
    <w:rsid w:val="00447327"/>
    <w:rsid w:val="0045000E"/>
    <w:rsid w:val="00453DC6"/>
    <w:rsid w:val="0045730F"/>
    <w:rsid w:val="00461A9A"/>
    <w:rsid w:val="00461AE6"/>
    <w:rsid w:val="00462D7A"/>
    <w:rsid w:val="004639D3"/>
    <w:rsid w:val="00470861"/>
    <w:rsid w:val="0047638D"/>
    <w:rsid w:val="0047654C"/>
    <w:rsid w:val="0048247F"/>
    <w:rsid w:val="00483F73"/>
    <w:rsid w:val="004846B0"/>
    <w:rsid w:val="004857E1"/>
    <w:rsid w:val="004863EB"/>
    <w:rsid w:val="004907D7"/>
    <w:rsid w:val="004947A0"/>
    <w:rsid w:val="0049681B"/>
    <w:rsid w:val="004968AD"/>
    <w:rsid w:val="004A0DE8"/>
    <w:rsid w:val="004A182F"/>
    <w:rsid w:val="004A1ACA"/>
    <w:rsid w:val="004A1E32"/>
    <w:rsid w:val="004A352D"/>
    <w:rsid w:val="004A54CE"/>
    <w:rsid w:val="004A6075"/>
    <w:rsid w:val="004A752B"/>
    <w:rsid w:val="004B0E7D"/>
    <w:rsid w:val="004B387A"/>
    <w:rsid w:val="004B7369"/>
    <w:rsid w:val="004B7CE3"/>
    <w:rsid w:val="004C24CF"/>
    <w:rsid w:val="004C5DA2"/>
    <w:rsid w:val="004C6CC9"/>
    <w:rsid w:val="004D0AD0"/>
    <w:rsid w:val="004D1423"/>
    <w:rsid w:val="004D441C"/>
    <w:rsid w:val="004D6696"/>
    <w:rsid w:val="004E0317"/>
    <w:rsid w:val="004E04D9"/>
    <w:rsid w:val="004E1DD4"/>
    <w:rsid w:val="004E4BE9"/>
    <w:rsid w:val="004E6CE7"/>
    <w:rsid w:val="004F0CFB"/>
    <w:rsid w:val="004F6871"/>
    <w:rsid w:val="005025A1"/>
    <w:rsid w:val="00505999"/>
    <w:rsid w:val="005166FD"/>
    <w:rsid w:val="005240E9"/>
    <w:rsid w:val="005267A2"/>
    <w:rsid w:val="00530F66"/>
    <w:rsid w:val="00533F38"/>
    <w:rsid w:val="005351ED"/>
    <w:rsid w:val="005369FF"/>
    <w:rsid w:val="00540003"/>
    <w:rsid w:val="00542E25"/>
    <w:rsid w:val="00551DD8"/>
    <w:rsid w:val="005557C1"/>
    <w:rsid w:val="00555C13"/>
    <w:rsid w:val="00556D51"/>
    <w:rsid w:val="00561028"/>
    <w:rsid w:val="00566A3D"/>
    <w:rsid w:val="005678BB"/>
    <w:rsid w:val="00572C53"/>
    <w:rsid w:val="00580F29"/>
    <w:rsid w:val="005820DB"/>
    <w:rsid w:val="005825AC"/>
    <w:rsid w:val="0058260A"/>
    <w:rsid w:val="0058455D"/>
    <w:rsid w:val="00584623"/>
    <w:rsid w:val="00594523"/>
    <w:rsid w:val="005A5B29"/>
    <w:rsid w:val="005A6D47"/>
    <w:rsid w:val="005B033F"/>
    <w:rsid w:val="005B59BC"/>
    <w:rsid w:val="005B68AE"/>
    <w:rsid w:val="005C48F2"/>
    <w:rsid w:val="005E1C29"/>
    <w:rsid w:val="005E3523"/>
    <w:rsid w:val="005E3A56"/>
    <w:rsid w:val="005F2B44"/>
    <w:rsid w:val="005F4F38"/>
    <w:rsid w:val="005F5545"/>
    <w:rsid w:val="005F7FAB"/>
    <w:rsid w:val="00606E99"/>
    <w:rsid w:val="00610563"/>
    <w:rsid w:val="006107EF"/>
    <w:rsid w:val="0062308A"/>
    <w:rsid w:val="00630927"/>
    <w:rsid w:val="00630A1A"/>
    <w:rsid w:val="00632295"/>
    <w:rsid w:val="00632461"/>
    <w:rsid w:val="006349BB"/>
    <w:rsid w:val="00635F6B"/>
    <w:rsid w:val="00640803"/>
    <w:rsid w:val="00640F2D"/>
    <w:rsid w:val="00641AC2"/>
    <w:rsid w:val="006469DF"/>
    <w:rsid w:val="00646AB1"/>
    <w:rsid w:val="006501CA"/>
    <w:rsid w:val="00651EE8"/>
    <w:rsid w:val="0065374E"/>
    <w:rsid w:val="0065535B"/>
    <w:rsid w:val="00662F45"/>
    <w:rsid w:val="006657D7"/>
    <w:rsid w:val="00665D22"/>
    <w:rsid w:val="00666274"/>
    <w:rsid w:val="00670BAC"/>
    <w:rsid w:val="00672126"/>
    <w:rsid w:val="0067432D"/>
    <w:rsid w:val="00675202"/>
    <w:rsid w:val="00675B7E"/>
    <w:rsid w:val="0067723C"/>
    <w:rsid w:val="00677DF6"/>
    <w:rsid w:val="00680240"/>
    <w:rsid w:val="006821D2"/>
    <w:rsid w:val="006838BC"/>
    <w:rsid w:val="0068435B"/>
    <w:rsid w:val="00685328"/>
    <w:rsid w:val="0069060A"/>
    <w:rsid w:val="006907DA"/>
    <w:rsid w:val="00691F5B"/>
    <w:rsid w:val="006941C6"/>
    <w:rsid w:val="00695C2D"/>
    <w:rsid w:val="00696DEB"/>
    <w:rsid w:val="00697C79"/>
    <w:rsid w:val="006A3910"/>
    <w:rsid w:val="006A473A"/>
    <w:rsid w:val="006A4E3B"/>
    <w:rsid w:val="006A6F8D"/>
    <w:rsid w:val="006A7E69"/>
    <w:rsid w:val="006B2F4A"/>
    <w:rsid w:val="006B4B65"/>
    <w:rsid w:val="006B4E4A"/>
    <w:rsid w:val="006B7508"/>
    <w:rsid w:val="006C6809"/>
    <w:rsid w:val="006D1081"/>
    <w:rsid w:val="006D2995"/>
    <w:rsid w:val="006D2CCB"/>
    <w:rsid w:val="006D341B"/>
    <w:rsid w:val="006D3D27"/>
    <w:rsid w:val="006D4188"/>
    <w:rsid w:val="006D4BD1"/>
    <w:rsid w:val="006D4E49"/>
    <w:rsid w:val="006D666D"/>
    <w:rsid w:val="006E00EE"/>
    <w:rsid w:val="006E0CBC"/>
    <w:rsid w:val="006E1EC2"/>
    <w:rsid w:val="006E3D7B"/>
    <w:rsid w:val="006E4229"/>
    <w:rsid w:val="006E4525"/>
    <w:rsid w:val="006E5039"/>
    <w:rsid w:val="006E706A"/>
    <w:rsid w:val="006F4F4B"/>
    <w:rsid w:val="00702438"/>
    <w:rsid w:val="00703375"/>
    <w:rsid w:val="00707E7B"/>
    <w:rsid w:val="00716634"/>
    <w:rsid w:val="00722C09"/>
    <w:rsid w:val="00724471"/>
    <w:rsid w:val="007248A2"/>
    <w:rsid w:val="00732FBC"/>
    <w:rsid w:val="007347F0"/>
    <w:rsid w:val="007351D5"/>
    <w:rsid w:val="00740542"/>
    <w:rsid w:val="007415A2"/>
    <w:rsid w:val="00752144"/>
    <w:rsid w:val="00757FD8"/>
    <w:rsid w:val="00760894"/>
    <w:rsid w:val="00762438"/>
    <w:rsid w:val="00763715"/>
    <w:rsid w:val="00764327"/>
    <w:rsid w:val="00764E9F"/>
    <w:rsid w:val="0076520C"/>
    <w:rsid w:val="007653D8"/>
    <w:rsid w:val="00770D2E"/>
    <w:rsid w:val="007715EA"/>
    <w:rsid w:val="00771E61"/>
    <w:rsid w:val="0077356B"/>
    <w:rsid w:val="0077487D"/>
    <w:rsid w:val="007804AC"/>
    <w:rsid w:val="007852F8"/>
    <w:rsid w:val="00786552"/>
    <w:rsid w:val="00790B45"/>
    <w:rsid w:val="007922E7"/>
    <w:rsid w:val="00792E41"/>
    <w:rsid w:val="00792E4C"/>
    <w:rsid w:val="00797213"/>
    <w:rsid w:val="007A0445"/>
    <w:rsid w:val="007A13D0"/>
    <w:rsid w:val="007A570B"/>
    <w:rsid w:val="007B151D"/>
    <w:rsid w:val="007B2E6E"/>
    <w:rsid w:val="007C13AC"/>
    <w:rsid w:val="007C2E58"/>
    <w:rsid w:val="007C3522"/>
    <w:rsid w:val="007C454E"/>
    <w:rsid w:val="007C7ED1"/>
    <w:rsid w:val="007D219A"/>
    <w:rsid w:val="007D34AD"/>
    <w:rsid w:val="007E01B4"/>
    <w:rsid w:val="007E0634"/>
    <w:rsid w:val="007E5241"/>
    <w:rsid w:val="007F2D3B"/>
    <w:rsid w:val="007F694F"/>
    <w:rsid w:val="007F7612"/>
    <w:rsid w:val="007F79FC"/>
    <w:rsid w:val="0080075C"/>
    <w:rsid w:val="00801A1F"/>
    <w:rsid w:val="0080238B"/>
    <w:rsid w:val="00802A41"/>
    <w:rsid w:val="00803339"/>
    <w:rsid w:val="008036BA"/>
    <w:rsid w:val="0080549C"/>
    <w:rsid w:val="00806A50"/>
    <w:rsid w:val="00811357"/>
    <w:rsid w:val="008115CF"/>
    <w:rsid w:val="00812FDF"/>
    <w:rsid w:val="008131B0"/>
    <w:rsid w:val="00813D42"/>
    <w:rsid w:val="00816A83"/>
    <w:rsid w:val="008332F5"/>
    <w:rsid w:val="00833405"/>
    <w:rsid w:val="00836C24"/>
    <w:rsid w:val="00841260"/>
    <w:rsid w:val="00845529"/>
    <w:rsid w:val="00845F20"/>
    <w:rsid w:val="0084633E"/>
    <w:rsid w:val="00846C16"/>
    <w:rsid w:val="0085071D"/>
    <w:rsid w:val="00851905"/>
    <w:rsid w:val="0085597F"/>
    <w:rsid w:val="008601B0"/>
    <w:rsid w:val="00861C08"/>
    <w:rsid w:val="00864BB7"/>
    <w:rsid w:val="00865172"/>
    <w:rsid w:val="0087040B"/>
    <w:rsid w:val="008739C8"/>
    <w:rsid w:val="00875747"/>
    <w:rsid w:val="00881869"/>
    <w:rsid w:val="008823FA"/>
    <w:rsid w:val="008917AD"/>
    <w:rsid w:val="008946E7"/>
    <w:rsid w:val="008960B0"/>
    <w:rsid w:val="008A58D2"/>
    <w:rsid w:val="008A60AE"/>
    <w:rsid w:val="008B0E06"/>
    <w:rsid w:val="008B4E25"/>
    <w:rsid w:val="008C329A"/>
    <w:rsid w:val="008C4218"/>
    <w:rsid w:val="008C5E97"/>
    <w:rsid w:val="008D1E6C"/>
    <w:rsid w:val="008D7ACA"/>
    <w:rsid w:val="008D7B48"/>
    <w:rsid w:val="008E1024"/>
    <w:rsid w:val="008F0563"/>
    <w:rsid w:val="008F12DC"/>
    <w:rsid w:val="008F6B3D"/>
    <w:rsid w:val="008F6ECF"/>
    <w:rsid w:val="008F749A"/>
    <w:rsid w:val="008F7E81"/>
    <w:rsid w:val="00900AFF"/>
    <w:rsid w:val="00905630"/>
    <w:rsid w:val="00906793"/>
    <w:rsid w:val="00911920"/>
    <w:rsid w:val="00914500"/>
    <w:rsid w:val="00915D2C"/>
    <w:rsid w:val="009200C0"/>
    <w:rsid w:val="0092294D"/>
    <w:rsid w:val="00923481"/>
    <w:rsid w:val="00930B7A"/>
    <w:rsid w:val="00930BF3"/>
    <w:rsid w:val="009350E4"/>
    <w:rsid w:val="0094131A"/>
    <w:rsid w:val="00944659"/>
    <w:rsid w:val="00945CC2"/>
    <w:rsid w:val="00951121"/>
    <w:rsid w:val="009522ED"/>
    <w:rsid w:val="00952FE6"/>
    <w:rsid w:val="009538DA"/>
    <w:rsid w:val="00960486"/>
    <w:rsid w:val="0096081E"/>
    <w:rsid w:val="00962138"/>
    <w:rsid w:val="009727E5"/>
    <w:rsid w:val="009740A1"/>
    <w:rsid w:val="0097679C"/>
    <w:rsid w:val="00980E85"/>
    <w:rsid w:val="00984936"/>
    <w:rsid w:val="009860B1"/>
    <w:rsid w:val="00987573"/>
    <w:rsid w:val="00987D1B"/>
    <w:rsid w:val="00991FC7"/>
    <w:rsid w:val="00994889"/>
    <w:rsid w:val="00995BAE"/>
    <w:rsid w:val="00996A91"/>
    <w:rsid w:val="009A0136"/>
    <w:rsid w:val="009A0EF7"/>
    <w:rsid w:val="009A0EFC"/>
    <w:rsid w:val="009A15FC"/>
    <w:rsid w:val="009A1AE8"/>
    <w:rsid w:val="009A270D"/>
    <w:rsid w:val="009A4F53"/>
    <w:rsid w:val="009A5930"/>
    <w:rsid w:val="009A65BA"/>
    <w:rsid w:val="009A7126"/>
    <w:rsid w:val="009B0A87"/>
    <w:rsid w:val="009B1229"/>
    <w:rsid w:val="009B25F5"/>
    <w:rsid w:val="009B2905"/>
    <w:rsid w:val="009B4E57"/>
    <w:rsid w:val="009B5C4F"/>
    <w:rsid w:val="009B60E1"/>
    <w:rsid w:val="009B6390"/>
    <w:rsid w:val="009B64BE"/>
    <w:rsid w:val="009B6DBE"/>
    <w:rsid w:val="009C107F"/>
    <w:rsid w:val="009C1104"/>
    <w:rsid w:val="009C22A0"/>
    <w:rsid w:val="009D4AF8"/>
    <w:rsid w:val="009D56D9"/>
    <w:rsid w:val="009D622E"/>
    <w:rsid w:val="009D79CD"/>
    <w:rsid w:val="009E1ED9"/>
    <w:rsid w:val="009E2620"/>
    <w:rsid w:val="009E52B6"/>
    <w:rsid w:val="009E5660"/>
    <w:rsid w:val="009F0199"/>
    <w:rsid w:val="009F4817"/>
    <w:rsid w:val="009F713A"/>
    <w:rsid w:val="00A001B1"/>
    <w:rsid w:val="00A00662"/>
    <w:rsid w:val="00A03AF2"/>
    <w:rsid w:val="00A0512B"/>
    <w:rsid w:val="00A052F6"/>
    <w:rsid w:val="00A13A94"/>
    <w:rsid w:val="00A203DB"/>
    <w:rsid w:val="00A225AF"/>
    <w:rsid w:val="00A2381C"/>
    <w:rsid w:val="00A23F96"/>
    <w:rsid w:val="00A278C8"/>
    <w:rsid w:val="00A313E6"/>
    <w:rsid w:val="00A322BB"/>
    <w:rsid w:val="00A32B11"/>
    <w:rsid w:val="00A41608"/>
    <w:rsid w:val="00A44379"/>
    <w:rsid w:val="00A53296"/>
    <w:rsid w:val="00A533FF"/>
    <w:rsid w:val="00A54C80"/>
    <w:rsid w:val="00A54CFC"/>
    <w:rsid w:val="00A56998"/>
    <w:rsid w:val="00A57261"/>
    <w:rsid w:val="00A6040B"/>
    <w:rsid w:val="00A627C3"/>
    <w:rsid w:val="00A64FAA"/>
    <w:rsid w:val="00A66119"/>
    <w:rsid w:val="00A66C36"/>
    <w:rsid w:val="00A67C26"/>
    <w:rsid w:val="00A70B1C"/>
    <w:rsid w:val="00A7257A"/>
    <w:rsid w:val="00A7328E"/>
    <w:rsid w:val="00A75C6B"/>
    <w:rsid w:val="00A7698C"/>
    <w:rsid w:val="00A770E3"/>
    <w:rsid w:val="00A80094"/>
    <w:rsid w:val="00A85D12"/>
    <w:rsid w:val="00A87AEA"/>
    <w:rsid w:val="00A9188E"/>
    <w:rsid w:val="00A9198C"/>
    <w:rsid w:val="00A92C02"/>
    <w:rsid w:val="00A93AD6"/>
    <w:rsid w:val="00A94A67"/>
    <w:rsid w:val="00A959BB"/>
    <w:rsid w:val="00A95C29"/>
    <w:rsid w:val="00A97B76"/>
    <w:rsid w:val="00AA6650"/>
    <w:rsid w:val="00AA7B43"/>
    <w:rsid w:val="00AC0387"/>
    <w:rsid w:val="00AC1738"/>
    <w:rsid w:val="00AC1F59"/>
    <w:rsid w:val="00AC3D8C"/>
    <w:rsid w:val="00AC588A"/>
    <w:rsid w:val="00AC637F"/>
    <w:rsid w:val="00AD52B8"/>
    <w:rsid w:val="00AE117F"/>
    <w:rsid w:val="00AE330D"/>
    <w:rsid w:val="00AE7F4C"/>
    <w:rsid w:val="00AF29E6"/>
    <w:rsid w:val="00AF57B3"/>
    <w:rsid w:val="00B0744F"/>
    <w:rsid w:val="00B10CC1"/>
    <w:rsid w:val="00B20E20"/>
    <w:rsid w:val="00B23E77"/>
    <w:rsid w:val="00B23EF3"/>
    <w:rsid w:val="00B26C04"/>
    <w:rsid w:val="00B33B6D"/>
    <w:rsid w:val="00B347E2"/>
    <w:rsid w:val="00B36433"/>
    <w:rsid w:val="00B42FDE"/>
    <w:rsid w:val="00B43090"/>
    <w:rsid w:val="00B4731B"/>
    <w:rsid w:val="00B51A14"/>
    <w:rsid w:val="00B51E26"/>
    <w:rsid w:val="00B57804"/>
    <w:rsid w:val="00B57F3B"/>
    <w:rsid w:val="00B61DF2"/>
    <w:rsid w:val="00B65DB9"/>
    <w:rsid w:val="00B660B9"/>
    <w:rsid w:val="00B673CF"/>
    <w:rsid w:val="00B74276"/>
    <w:rsid w:val="00B752EF"/>
    <w:rsid w:val="00B75F3C"/>
    <w:rsid w:val="00B7606A"/>
    <w:rsid w:val="00B811F4"/>
    <w:rsid w:val="00B86B40"/>
    <w:rsid w:val="00B94E9E"/>
    <w:rsid w:val="00B96A41"/>
    <w:rsid w:val="00B97AD4"/>
    <w:rsid w:val="00BA1ECC"/>
    <w:rsid w:val="00BA37BF"/>
    <w:rsid w:val="00BA3F77"/>
    <w:rsid w:val="00BA7FA4"/>
    <w:rsid w:val="00BB145B"/>
    <w:rsid w:val="00BB18D0"/>
    <w:rsid w:val="00BB51D5"/>
    <w:rsid w:val="00BB7084"/>
    <w:rsid w:val="00BB7FC7"/>
    <w:rsid w:val="00BC1F1C"/>
    <w:rsid w:val="00BD1AA4"/>
    <w:rsid w:val="00BD305F"/>
    <w:rsid w:val="00BD3899"/>
    <w:rsid w:val="00BD7F74"/>
    <w:rsid w:val="00BE162D"/>
    <w:rsid w:val="00BE194F"/>
    <w:rsid w:val="00BE2A2D"/>
    <w:rsid w:val="00BE3307"/>
    <w:rsid w:val="00BE52A6"/>
    <w:rsid w:val="00BF08F7"/>
    <w:rsid w:val="00BF6CBE"/>
    <w:rsid w:val="00C07928"/>
    <w:rsid w:val="00C109D3"/>
    <w:rsid w:val="00C11053"/>
    <w:rsid w:val="00C1691A"/>
    <w:rsid w:val="00C1717A"/>
    <w:rsid w:val="00C1781F"/>
    <w:rsid w:val="00C23346"/>
    <w:rsid w:val="00C27859"/>
    <w:rsid w:val="00C31730"/>
    <w:rsid w:val="00C31C40"/>
    <w:rsid w:val="00C4275F"/>
    <w:rsid w:val="00C51579"/>
    <w:rsid w:val="00C522BD"/>
    <w:rsid w:val="00C56CDE"/>
    <w:rsid w:val="00C61DB7"/>
    <w:rsid w:val="00C6752C"/>
    <w:rsid w:val="00C678D4"/>
    <w:rsid w:val="00C73020"/>
    <w:rsid w:val="00C761F8"/>
    <w:rsid w:val="00C764B2"/>
    <w:rsid w:val="00C83077"/>
    <w:rsid w:val="00C8315E"/>
    <w:rsid w:val="00C865CE"/>
    <w:rsid w:val="00C9095C"/>
    <w:rsid w:val="00C92BEA"/>
    <w:rsid w:val="00C94BF1"/>
    <w:rsid w:val="00C954AC"/>
    <w:rsid w:val="00CA34D7"/>
    <w:rsid w:val="00CA4AD9"/>
    <w:rsid w:val="00CA5D9C"/>
    <w:rsid w:val="00CA7F3D"/>
    <w:rsid w:val="00CB02E0"/>
    <w:rsid w:val="00CB187D"/>
    <w:rsid w:val="00CB7C9E"/>
    <w:rsid w:val="00CC30F0"/>
    <w:rsid w:val="00CC32F3"/>
    <w:rsid w:val="00CD1784"/>
    <w:rsid w:val="00CD1AAF"/>
    <w:rsid w:val="00CD4248"/>
    <w:rsid w:val="00CD5305"/>
    <w:rsid w:val="00CD6333"/>
    <w:rsid w:val="00CD67A5"/>
    <w:rsid w:val="00CE0FC3"/>
    <w:rsid w:val="00CE13F7"/>
    <w:rsid w:val="00CE24F8"/>
    <w:rsid w:val="00CE468C"/>
    <w:rsid w:val="00CF220E"/>
    <w:rsid w:val="00CF2697"/>
    <w:rsid w:val="00D02530"/>
    <w:rsid w:val="00D02CC6"/>
    <w:rsid w:val="00D105CA"/>
    <w:rsid w:val="00D10D67"/>
    <w:rsid w:val="00D116BA"/>
    <w:rsid w:val="00D12FC1"/>
    <w:rsid w:val="00D132F2"/>
    <w:rsid w:val="00D20568"/>
    <w:rsid w:val="00D229A8"/>
    <w:rsid w:val="00D230FD"/>
    <w:rsid w:val="00D23541"/>
    <w:rsid w:val="00D23DEF"/>
    <w:rsid w:val="00D241F5"/>
    <w:rsid w:val="00D25A5D"/>
    <w:rsid w:val="00D271E6"/>
    <w:rsid w:val="00D32ECD"/>
    <w:rsid w:val="00D37168"/>
    <w:rsid w:val="00D41B94"/>
    <w:rsid w:val="00D44EB1"/>
    <w:rsid w:val="00D50662"/>
    <w:rsid w:val="00D518E7"/>
    <w:rsid w:val="00D57F5D"/>
    <w:rsid w:val="00D627A8"/>
    <w:rsid w:val="00D64D6E"/>
    <w:rsid w:val="00D6540B"/>
    <w:rsid w:val="00D74DFB"/>
    <w:rsid w:val="00D765F1"/>
    <w:rsid w:val="00D76C8D"/>
    <w:rsid w:val="00D76D56"/>
    <w:rsid w:val="00D81314"/>
    <w:rsid w:val="00D81D1A"/>
    <w:rsid w:val="00D8248F"/>
    <w:rsid w:val="00D82520"/>
    <w:rsid w:val="00D83ACB"/>
    <w:rsid w:val="00D83DCB"/>
    <w:rsid w:val="00D83F43"/>
    <w:rsid w:val="00D86B58"/>
    <w:rsid w:val="00D927B8"/>
    <w:rsid w:val="00D933BC"/>
    <w:rsid w:val="00D9394D"/>
    <w:rsid w:val="00DA1072"/>
    <w:rsid w:val="00DA33F7"/>
    <w:rsid w:val="00DA60DF"/>
    <w:rsid w:val="00DB10A5"/>
    <w:rsid w:val="00DB3901"/>
    <w:rsid w:val="00DB7060"/>
    <w:rsid w:val="00DB7F7B"/>
    <w:rsid w:val="00DC0A53"/>
    <w:rsid w:val="00DC1D67"/>
    <w:rsid w:val="00DC47C0"/>
    <w:rsid w:val="00DD04CE"/>
    <w:rsid w:val="00DD3430"/>
    <w:rsid w:val="00DD3D3C"/>
    <w:rsid w:val="00DD3F10"/>
    <w:rsid w:val="00DD708A"/>
    <w:rsid w:val="00DE0E3A"/>
    <w:rsid w:val="00DE102A"/>
    <w:rsid w:val="00DE26FF"/>
    <w:rsid w:val="00DE32D1"/>
    <w:rsid w:val="00DE3C40"/>
    <w:rsid w:val="00DF539A"/>
    <w:rsid w:val="00DF7671"/>
    <w:rsid w:val="00E0234F"/>
    <w:rsid w:val="00E03981"/>
    <w:rsid w:val="00E04D7E"/>
    <w:rsid w:val="00E07049"/>
    <w:rsid w:val="00E11A1F"/>
    <w:rsid w:val="00E1323D"/>
    <w:rsid w:val="00E16359"/>
    <w:rsid w:val="00E166FE"/>
    <w:rsid w:val="00E2399D"/>
    <w:rsid w:val="00E34D4A"/>
    <w:rsid w:val="00E355BB"/>
    <w:rsid w:val="00E35D33"/>
    <w:rsid w:val="00E36E61"/>
    <w:rsid w:val="00E36FF7"/>
    <w:rsid w:val="00E421E0"/>
    <w:rsid w:val="00E426BD"/>
    <w:rsid w:val="00E4339E"/>
    <w:rsid w:val="00E462D4"/>
    <w:rsid w:val="00E473C4"/>
    <w:rsid w:val="00E5420C"/>
    <w:rsid w:val="00E56485"/>
    <w:rsid w:val="00E60914"/>
    <w:rsid w:val="00E65439"/>
    <w:rsid w:val="00E6626F"/>
    <w:rsid w:val="00E66736"/>
    <w:rsid w:val="00E72B3C"/>
    <w:rsid w:val="00E81591"/>
    <w:rsid w:val="00E83591"/>
    <w:rsid w:val="00E95A46"/>
    <w:rsid w:val="00EA184C"/>
    <w:rsid w:val="00EA1FEE"/>
    <w:rsid w:val="00EA3D4F"/>
    <w:rsid w:val="00EA5F51"/>
    <w:rsid w:val="00EA6F68"/>
    <w:rsid w:val="00EB026B"/>
    <w:rsid w:val="00EB21BE"/>
    <w:rsid w:val="00EB21E0"/>
    <w:rsid w:val="00EB25CD"/>
    <w:rsid w:val="00EB2B83"/>
    <w:rsid w:val="00EB5095"/>
    <w:rsid w:val="00EB5FDA"/>
    <w:rsid w:val="00EB6194"/>
    <w:rsid w:val="00EB66E6"/>
    <w:rsid w:val="00EB6D9B"/>
    <w:rsid w:val="00EC12F2"/>
    <w:rsid w:val="00EC2147"/>
    <w:rsid w:val="00EC4023"/>
    <w:rsid w:val="00EC4242"/>
    <w:rsid w:val="00EC6DCD"/>
    <w:rsid w:val="00ED5CE7"/>
    <w:rsid w:val="00ED72F9"/>
    <w:rsid w:val="00EE69F8"/>
    <w:rsid w:val="00EF2B11"/>
    <w:rsid w:val="00EF581A"/>
    <w:rsid w:val="00EF6B01"/>
    <w:rsid w:val="00EF6E77"/>
    <w:rsid w:val="00EF7332"/>
    <w:rsid w:val="00F00CB3"/>
    <w:rsid w:val="00F0456A"/>
    <w:rsid w:val="00F078EB"/>
    <w:rsid w:val="00F13190"/>
    <w:rsid w:val="00F20B5F"/>
    <w:rsid w:val="00F22DB1"/>
    <w:rsid w:val="00F23E5D"/>
    <w:rsid w:val="00F248BD"/>
    <w:rsid w:val="00F320C2"/>
    <w:rsid w:val="00F34739"/>
    <w:rsid w:val="00F408BF"/>
    <w:rsid w:val="00F43049"/>
    <w:rsid w:val="00F4325E"/>
    <w:rsid w:val="00F44D22"/>
    <w:rsid w:val="00F45D90"/>
    <w:rsid w:val="00F47A01"/>
    <w:rsid w:val="00F5415A"/>
    <w:rsid w:val="00F5417A"/>
    <w:rsid w:val="00F56E9F"/>
    <w:rsid w:val="00F61D1E"/>
    <w:rsid w:val="00F63852"/>
    <w:rsid w:val="00F63A38"/>
    <w:rsid w:val="00F63C5E"/>
    <w:rsid w:val="00F64542"/>
    <w:rsid w:val="00F65321"/>
    <w:rsid w:val="00F65643"/>
    <w:rsid w:val="00F70ABE"/>
    <w:rsid w:val="00F7226A"/>
    <w:rsid w:val="00F73289"/>
    <w:rsid w:val="00F748D4"/>
    <w:rsid w:val="00F77A3D"/>
    <w:rsid w:val="00F82C2A"/>
    <w:rsid w:val="00F83DB3"/>
    <w:rsid w:val="00F85C21"/>
    <w:rsid w:val="00F87366"/>
    <w:rsid w:val="00F877C8"/>
    <w:rsid w:val="00F94DE8"/>
    <w:rsid w:val="00F97891"/>
    <w:rsid w:val="00FA159A"/>
    <w:rsid w:val="00FA37F8"/>
    <w:rsid w:val="00FA50C7"/>
    <w:rsid w:val="00FA5A33"/>
    <w:rsid w:val="00FB5B33"/>
    <w:rsid w:val="00FD117A"/>
    <w:rsid w:val="00FD4119"/>
    <w:rsid w:val="00FD5821"/>
    <w:rsid w:val="00FD5DB7"/>
    <w:rsid w:val="00FD5E12"/>
    <w:rsid w:val="00FE0228"/>
    <w:rsid w:val="00FE24DE"/>
    <w:rsid w:val="00FF109D"/>
    <w:rsid w:val="22A6BD80"/>
    <w:rsid w:val="4BADCF9E"/>
    <w:rsid w:val="75F261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650"/>
    <w:pPr>
      <w:spacing w:after="120"/>
    </w:pPr>
    <w:rPr>
      <w:rFonts w:ascii="Arial" w:hAnsi="Arial"/>
    </w:rPr>
  </w:style>
  <w:style w:type="paragraph" w:styleId="Heading1">
    <w:name w:val="heading 1"/>
    <w:basedOn w:val="Normal"/>
    <w:next w:val="Normal"/>
    <w:link w:val="Heading1Char"/>
    <w:uiPriority w:val="9"/>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unhideWhenUsed/>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rsid w:val="00BB7FC7"/>
    <w:pPr>
      <w:spacing w:line="259" w:lineRule="auto"/>
      <w:outlineLvl w:val="9"/>
    </w:pPr>
    <w:rPr>
      <w:lang w:val="en-US"/>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EF6B01"/>
    <w:rPr>
      <w:color w:val="2C2568"/>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FC7"/>
    <w:pPr>
      <w:ind w:left="720"/>
      <w:contextualSpacing/>
    </w:pPr>
  </w:style>
  <w:style w:type="paragraph" w:styleId="Caption">
    <w:name w:val="caption"/>
    <w:basedOn w:val="Normal"/>
    <w:next w:val="Normal"/>
    <w:uiPriority w:val="35"/>
    <w:unhideWhenUsed/>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rsid w:val="007351D5"/>
    <w:rPr>
      <w:iCs/>
      <w:color w:val="646464"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pPr>
      <w:spacing w:line="240" w:lineRule="auto"/>
    </w:pPr>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16"/>
      </w:numPr>
      <w:contextualSpacing/>
    </w:pPr>
  </w:style>
  <w:style w:type="paragraph" w:styleId="ListNumber">
    <w:name w:val="List Number"/>
    <w:basedOn w:val="Normal"/>
    <w:uiPriority w:val="99"/>
    <w:unhideWhenUsed/>
    <w:rsid w:val="00A54CFC"/>
    <w:pPr>
      <w:numPr>
        <w:numId w:val="17"/>
      </w:numPr>
      <w:contextualSpacing/>
    </w:pPr>
  </w:style>
  <w:style w:type="paragraph" w:styleId="BodyText">
    <w:name w:val="Body Text"/>
    <w:basedOn w:val="Normal"/>
    <w:link w:val="BodyTextChar"/>
    <w:uiPriority w:val="1"/>
    <w:qFormat/>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qFormat/>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qFormat/>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HQSChead1">
    <w:name w:val="HQSC head 1"/>
    <w:basedOn w:val="Heading1"/>
    <w:qFormat/>
    <w:rsid w:val="00EF6B01"/>
    <w:rPr>
      <w:rFonts w:cs="Arial"/>
      <w:color w:val="2C2568"/>
    </w:rPr>
  </w:style>
  <w:style w:type="paragraph" w:customStyle="1" w:styleId="HQSCbodytext">
    <w:name w:val="HQSC body text"/>
    <w:basedOn w:val="Normal"/>
    <w:qFormat/>
    <w:rsid w:val="00D8248F"/>
    <w:rPr>
      <w:rFonts w:cs="Arial"/>
    </w:rPr>
  </w:style>
  <w:style w:type="paragraph" w:customStyle="1" w:styleId="HQSCbullets">
    <w:name w:val="HQSC bullets"/>
    <w:basedOn w:val="Bullets"/>
    <w:qFormat/>
    <w:rsid w:val="00792E41"/>
  </w:style>
  <w:style w:type="paragraph" w:customStyle="1" w:styleId="HQSCindentedquote">
    <w:name w:val="HQSC indented quote"/>
    <w:basedOn w:val="Quote"/>
    <w:qFormat/>
    <w:rsid w:val="009B60E1"/>
    <w:rPr>
      <w:rFonts w:cs="Arial"/>
      <w:color w:val="auto"/>
    </w:rPr>
  </w:style>
  <w:style w:type="paragraph" w:customStyle="1" w:styleId="HQSCsource">
    <w:name w:val="HQSC source"/>
    <w:basedOn w:val="NormalIndent"/>
    <w:qFormat/>
    <w:rsid w:val="00792E41"/>
    <w:rPr>
      <w:rFonts w:cs="Arial"/>
    </w:rPr>
  </w:style>
  <w:style w:type="paragraph" w:customStyle="1" w:styleId="HQSChead2">
    <w:name w:val="HQSC head 2"/>
    <w:basedOn w:val="Heading2"/>
    <w:qFormat/>
    <w:rsid w:val="00EF6B01"/>
    <w:rPr>
      <w:rFonts w:cs="Arial"/>
      <w:i w:val="0"/>
      <w:color w:val="2C2568"/>
    </w:rPr>
  </w:style>
  <w:style w:type="paragraph" w:customStyle="1" w:styleId="HQSChead3">
    <w:name w:val="HQSC head 3"/>
    <w:basedOn w:val="Heading3"/>
    <w:qFormat/>
    <w:rsid w:val="00792E41"/>
    <w:rPr>
      <w:rFonts w:cs="Arial"/>
    </w:rPr>
  </w:style>
  <w:style w:type="paragraph" w:customStyle="1" w:styleId="HQSCtablefigurecaption">
    <w:name w:val="HQSC table/figure caption"/>
    <w:basedOn w:val="Figuretableheading"/>
    <w:qFormat/>
    <w:rsid w:val="00792E41"/>
  </w:style>
  <w:style w:type="paragraph" w:customStyle="1" w:styleId="HQSCtablecolumnhead">
    <w:name w:val="HQSC table column head"/>
    <w:basedOn w:val="Normal"/>
    <w:qFormat/>
    <w:rsid w:val="00792E41"/>
    <w:pPr>
      <w:framePr w:hSpace="180" w:wrap="around" w:vAnchor="text" w:hAnchor="margin" w:y="2"/>
      <w:spacing w:before="60" w:after="60" w:line="240" w:lineRule="auto"/>
    </w:pPr>
    <w:rPr>
      <w:rFonts w:cs="Arial"/>
      <w:b/>
    </w:rPr>
  </w:style>
  <w:style w:type="paragraph" w:customStyle="1" w:styleId="HQSCtablecontent">
    <w:name w:val="HQSC table content"/>
    <w:basedOn w:val="Normal"/>
    <w:qFormat/>
    <w:rsid w:val="00792E41"/>
    <w:pPr>
      <w:framePr w:hSpace="180" w:wrap="around" w:vAnchor="text" w:hAnchor="margin" w:y="2"/>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styleId="Subtitle">
    <w:name w:val="Subtitle"/>
    <w:basedOn w:val="Normal"/>
    <w:next w:val="Normal"/>
    <w:link w:val="SubtitleChar"/>
    <w:uiPriority w:val="11"/>
    <w:rsid w:val="007653D8"/>
    <w:pPr>
      <w:numPr>
        <w:ilvl w:val="1"/>
      </w:numPr>
      <w:spacing w:after="160"/>
    </w:pPr>
    <w:rPr>
      <w:rFonts w:asciiTheme="minorHAnsi" w:eastAsiaTheme="minorEastAsia" w:hAnsiTheme="minorHAnsi"/>
      <w:color w:val="656565" w:themeColor="text1" w:themeTint="A5"/>
      <w:spacing w:val="15"/>
    </w:rPr>
  </w:style>
  <w:style w:type="character" w:customStyle="1" w:styleId="SubtitleChar">
    <w:name w:val="Subtitle Char"/>
    <w:basedOn w:val="DefaultParagraphFont"/>
    <w:link w:val="Subtitle"/>
    <w:uiPriority w:val="11"/>
    <w:rsid w:val="007653D8"/>
    <w:rPr>
      <w:rFonts w:eastAsiaTheme="minorEastAsia"/>
      <w:color w:val="656565" w:themeColor="text1" w:themeTint="A5"/>
      <w:spacing w:val="15"/>
    </w:rPr>
  </w:style>
  <w:style w:type="paragraph" w:customStyle="1" w:styleId="TeThHauorabodytext">
    <w:name w:val="Te Tāhū Hauora body text"/>
    <w:basedOn w:val="Normal"/>
    <w:qFormat/>
    <w:rsid w:val="00AA6650"/>
    <w:rPr>
      <w:rFonts w:cs="Arial"/>
    </w:rPr>
  </w:style>
  <w:style w:type="paragraph" w:customStyle="1" w:styleId="TeThHauorabullets">
    <w:name w:val="Te Tāhū Hauora bullets"/>
    <w:basedOn w:val="Bullets"/>
    <w:qFormat/>
    <w:rsid w:val="00AA6650"/>
    <w:pPr>
      <w:numPr>
        <w:numId w:val="0"/>
      </w:numPr>
      <w:ind w:left="357" w:hanging="357"/>
    </w:pPr>
  </w:style>
  <w:style w:type="paragraph" w:customStyle="1" w:styleId="TeThHauorahead2">
    <w:name w:val="Te Tāhū Hauora head 2"/>
    <w:basedOn w:val="Heading2"/>
    <w:qFormat/>
    <w:rsid w:val="00AA6650"/>
    <w:rPr>
      <w:rFonts w:cs="Arial"/>
      <w:i w:val="0"/>
      <w:color w:val="293868"/>
    </w:rPr>
  </w:style>
  <w:style w:type="paragraph" w:customStyle="1" w:styleId="TeThHauorahead3">
    <w:name w:val="Te Tāhū Hauora head 3"/>
    <w:basedOn w:val="Heading3"/>
    <w:qFormat/>
    <w:rsid w:val="00AA6650"/>
    <w:rPr>
      <w:rFonts w:cs="Arial"/>
    </w:rPr>
  </w:style>
  <w:style w:type="paragraph" w:customStyle="1" w:styleId="TeThHauoratablefigurecaption">
    <w:name w:val="Te Tāhū Hauora table/figure caption"/>
    <w:basedOn w:val="Figuretableheading"/>
    <w:qFormat/>
    <w:rsid w:val="00AA6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ingsfund.org.uk/publications/polypharmacy-and-medicines-optimisation"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mailto:info@hqsc.govt.nz" TargetMode="External"/><Relationship Id="rId2" Type="http://schemas.openxmlformats.org/officeDocument/2006/relationships/numbering" Target="numbering.xml"/><Relationship Id="rId16" Type="http://schemas.openxmlformats.org/officeDocument/2006/relationships/hyperlink" Target="http://www.hqsc.govt.n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health.govt.nz/system/files/documents/publications/rural-health-strategy-oct23-v2.pdf" TargetMode="Externa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qsc.govt.nz/our-data/atlas-of-healthcare-variation/polypharmacy-in-people-aged-65-and-over/" TargetMode="External"/><Relationship Id="rId14" Type="http://schemas.openxmlformats.org/officeDocument/2006/relationships/hyperlink" Target="http://www.medsafe.govt.nz/profs/PUArticles/June2013NSAIDS.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hqsc.sharepoint.com/sites/dms-hqintel/Atlas/Atlas%20Production/2025%20Polypharmacy/Polypharmacy%20rurality%20NG%20workboo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hqsc.sharepoint.com/sites/dms-hqintel/Atlas/Atlas%20Production/2025%20Polypharmacy/Polypharmacy%20rurality%20NG%20workbook.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https://hqsc.sharepoint.com/sites/dms-hqintel/Atlas/Atlas%20Production/2025%20Polypharmacy/Polypharmacy%20rurality%20NG%20workbook.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Sheet1!$A$14</c:f>
              <c:strCache>
                <c:ptCount val="1"/>
                <c:pt idx="0">
                  <c:v>Rural 2/3</c:v>
                </c:pt>
              </c:strCache>
            </c:strRef>
          </c:tx>
          <c:spPr>
            <a:solidFill>
              <a:srgbClr val="2C2568"/>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Sheet1!$B$13:$C$13</c:f>
              <c:strCache>
                <c:ptCount val="2"/>
                <c:pt idx="0">
                  <c:v>Māori</c:v>
                </c:pt>
                <c:pt idx="1">
                  <c:v>European/Other</c:v>
                </c:pt>
              </c:strCache>
            </c:strRef>
          </c:cat>
          <c:val>
            <c:numRef>
              <c:f>Sheet1!$B$14:$C$14</c:f>
              <c:numCache>
                <c:formatCode>0.0</c:formatCode>
                <c:ptCount val="2"/>
                <c:pt idx="0">
                  <c:v>59.866666666666703</c:v>
                </c:pt>
                <c:pt idx="1">
                  <c:v>51.102006949126199</c:v>
                </c:pt>
              </c:numCache>
            </c:numRef>
          </c:val>
          <c:extLst>
            <c:ext xmlns:c16="http://schemas.microsoft.com/office/drawing/2014/chart" uri="{C3380CC4-5D6E-409C-BE32-E72D297353CC}">
              <c16:uniqueId val="{00000000-C0BD-4513-A7CB-F46A7C658E16}"/>
            </c:ext>
          </c:extLst>
        </c:ser>
        <c:ser>
          <c:idx val="1"/>
          <c:order val="1"/>
          <c:tx>
            <c:strRef>
              <c:f>Sheet1!$A$15</c:f>
              <c:strCache>
                <c:ptCount val="1"/>
                <c:pt idx="0">
                  <c:v>Rural 1</c:v>
                </c:pt>
              </c:strCache>
            </c:strRef>
          </c:tx>
          <c:spPr>
            <a:solidFill>
              <a:srgbClr val="822F6B"/>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Sheet1!$B$13:$C$13</c:f>
              <c:strCache>
                <c:ptCount val="2"/>
                <c:pt idx="0">
                  <c:v>Māori</c:v>
                </c:pt>
                <c:pt idx="1">
                  <c:v>European/Other</c:v>
                </c:pt>
              </c:strCache>
            </c:strRef>
          </c:cat>
          <c:val>
            <c:numRef>
              <c:f>Sheet1!$B$15:$C$15</c:f>
              <c:numCache>
                <c:formatCode>0.0</c:formatCode>
                <c:ptCount val="2"/>
                <c:pt idx="0">
                  <c:v>63.548951048950997</c:v>
                </c:pt>
                <c:pt idx="1">
                  <c:v>52.765728073102501</c:v>
                </c:pt>
              </c:numCache>
            </c:numRef>
          </c:val>
          <c:extLst>
            <c:ext xmlns:c16="http://schemas.microsoft.com/office/drawing/2014/chart" uri="{C3380CC4-5D6E-409C-BE32-E72D297353CC}">
              <c16:uniqueId val="{00000001-C0BD-4513-A7CB-F46A7C658E16}"/>
            </c:ext>
          </c:extLst>
        </c:ser>
        <c:ser>
          <c:idx val="2"/>
          <c:order val="2"/>
          <c:tx>
            <c:strRef>
              <c:f>Sheet1!$A$16</c:f>
              <c:strCache>
                <c:ptCount val="1"/>
                <c:pt idx="0">
                  <c:v>Urban 2</c:v>
                </c:pt>
              </c:strCache>
            </c:strRef>
          </c:tx>
          <c:spPr>
            <a:solidFill>
              <a:srgbClr val="005D6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Sheet1!$B$13:$C$13</c:f>
              <c:strCache>
                <c:ptCount val="2"/>
                <c:pt idx="0">
                  <c:v>Māori</c:v>
                </c:pt>
                <c:pt idx="1">
                  <c:v>European/Other</c:v>
                </c:pt>
              </c:strCache>
            </c:strRef>
          </c:cat>
          <c:val>
            <c:numRef>
              <c:f>Sheet1!$B$16:$C$16</c:f>
              <c:numCache>
                <c:formatCode>0.0</c:formatCode>
                <c:ptCount val="2"/>
                <c:pt idx="0">
                  <c:v>62.7152988855117</c:v>
                </c:pt>
                <c:pt idx="1">
                  <c:v>55.454217941182002</c:v>
                </c:pt>
              </c:numCache>
            </c:numRef>
          </c:val>
          <c:extLst>
            <c:ext xmlns:c16="http://schemas.microsoft.com/office/drawing/2014/chart" uri="{C3380CC4-5D6E-409C-BE32-E72D297353CC}">
              <c16:uniqueId val="{00000002-C0BD-4513-A7CB-F46A7C658E16}"/>
            </c:ext>
          </c:extLst>
        </c:ser>
        <c:ser>
          <c:idx val="3"/>
          <c:order val="3"/>
          <c:tx>
            <c:strRef>
              <c:f>Sheet1!$A$17</c:f>
              <c:strCache>
                <c:ptCount val="1"/>
                <c:pt idx="0">
                  <c:v>Urban 1</c:v>
                </c:pt>
              </c:strCache>
            </c:strRef>
          </c:tx>
          <c:spPr>
            <a:solidFill>
              <a:srgbClr val="82211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Sheet1!$B$13:$C$13</c:f>
              <c:strCache>
                <c:ptCount val="2"/>
                <c:pt idx="0">
                  <c:v>Māori</c:v>
                </c:pt>
                <c:pt idx="1">
                  <c:v>European/Other</c:v>
                </c:pt>
              </c:strCache>
            </c:strRef>
          </c:cat>
          <c:val>
            <c:numRef>
              <c:f>Sheet1!$B$17:$C$17</c:f>
              <c:numCache>
                <c:formatCode>0.0</c:formatCode>
                <c:ptCount val="2"/>
                <c:pt idx="0">
                  <c:v>65.276501929083196</c:v>
                </c:pt>
                <c:pt idx="1">
                  <c:v>55.104724099523501</c:v>
                </c:pt>
              </c:numCache>
            </c:numRef>
          </c:val>
          <c:extLst>
            <c:ext xmlns:c16="http://schemas.microsoft.com/office/drawing/2014/chart" uri="{C3380CC4-5D6E-409C-BE32-E72D297353CC}">
              <c16:uniqueId val="{00000003-C0BD-4513-A7CB-F46A7C658E16}"/>
            </c:ext>
          </c:extLst>
        </c:ser>
        <c:dLbls>
          <c:dLblPos val="outEnd"/>
          <c:showLegendKey val="0"/>
          <c:showVal val="1"/>
          <c:showCatName val="0"/>
          <c:showSerName val="0"/>
          <c:showPercent val="0"/>
          <c:showBubbleSize val="0"/>
        </c:dLbls>
        <c:gapWidth val="219"/>
        <c:overlap val="-27"/>
        <c:axId val="80192880"/>
        <c:axId val="80193840"/>
      </c:barChart>
      <c:catAx>
        <c:axId val="80192880"/>
        <c:scaling>
          <c:orientation val="minMax"/>
        </c:scaling>
        <c:delete val="0"/>
        <c:axPos val="b"/>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0193840"/>
        <c:crosses val="autoZero"/>
        <c:auto val="1"/>
        <c:lblAlgn val="ctr"/>
        <c:lblOffset val="100"/>
        <c:noMultiLvlLbl val="0"/>
      </c:catAx>
      <c:valAx>
        <c:axId val="80193840"/>
        <c:scaling>
          <c:orientation val="minMax"/>
          <c:max val="100"/>
        </c:scaling>
        <c:delete val="0"/>
        <c:axPos val="l"/>
        <c:title>
          <c:tx>
            <c:rich>
              <a:bodyPr rot="0" spcFirstLastPara="1" vertOverflow="ellipsis" wrap="square" anchor="ctr" anchorCtr="1"/>
              <a:lstStyle/>
              <a:p>
                <a:pPr>
                  <a:defRPr sz="1000" b="0" i="0" u="none" strike="noStrike" kern="1200" baseline="0">
                    <a:solidFill>
                      <a:schemeClr val="tx1"/>
                    </a:solidFill>
                    <a:latin typeface="+mn-lt"/>
                    <a:ea typeface="+mn-ea"/>
                    <a:cs typeface="+mn-cs"/>
                  </a:defRPr>
                </a:pPr>
                <a:r>
                  <a:rPr lang="en-NZ"/>
                  <a:t>Percent</a:t>
                </a:r>
              </a:p>
            </c:rich>
          </c:tx>
          <c:layout>
            <c:manualLayout>
              <c:xMode val="edge"/>
              <c:yMode val="edge"/>
              <c:x val="1.3587585371457213E-2"/>
              <c:y val="2.1308118726174027E-5"/>
            </c:manualLayout>
          </c:layout>
          <c:overlay val="0"/>
          <c:spPr>
            <a:noFill/>
            <a:ln>
              <a:solidFill>
                <a:schemeClr val="bg1"/>
              </a:solidFill>
            </a:ln>
            <a:effectLst/>
          </c:spPr>
          <c:txPr>
            <a:bodyPr rot="0" spcFirstLastPara="1" vertOverflow="ellipsis"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cmpd="sng">
            <a:solidFill>
              <a:schemeClr val="accent1">
                <a:alpha val="99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019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11654781513577"/>
          <c:y val="4.4788273615635178E-2"/>
          <c:w val="0.65137693449398903"/>
          <c:h val="0.76761650721998509"/>
        </c:manualLayout>
      </c:layout>
      <c:barChart>
        <c:barDir val="bar"/>
        <c:grouping val="clustered"/>
        <c:varyColors val="0"/>
        <c:ser>
          <c:idx val="0"/>
          <c:order val="0"/>
          <c:tx>
            <c:strRef>
              <c:f>Sheet2!$A$22</c:f>
              <c:strCache>
                <c:ptCount val="1"/>
                <c:pt idx="0">
                  <c:v>Urban 1</c:v>
                </c:pt>
              </c:strCache>
            </c:strRef>
          </c:tx>
          <c:spPr>
            <a:solidFill>
              <a:srgbClr val="82211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Sheet2!$B$21:$E$21</c:f>
              <c:strCache>
                <c:ptCount val="4"/>
                <c:pt idx="0">
                  <c:v> 11 or more medicines </c:v>
                </c:pt>
                <c:pt idx="1">
                  <c:v> 8, 9 or 10 medicines </c:v>
                </c:pt>
                <c:pt idx="2">
                  <c:v>5, 6 or 7 medicines </c:v>
                </c:pt>
                <c:pt idx="3">
                  <c:v>5 or more medicines </c:v>
                </c:pt>
              </c:strCache>
            </c:strRef>
          </c:cat>
          <c:val>
            <c:numRef>
              <c:f>Sheet2!$B$22:$E$22</c:f>
              <c:numCache>
                <c:formatCode>_-* #,##0.0_-;\-* #,##0.0_-;_-* "-"??_-;_-@_-</c:formatCode>
                <c:ptCount val="4"/>
                <c:pt idx="0">
                  <c:v>8.5158349476434001</c:v>
                </c:pt>
                <c:pt idx="1">
                  <c:v>18.487637841487299</c:v>
                </c:pt>
                <c:pt idx="2">
                  <c:v>33.660681584509703</c:v>
                </c:pt>
                <c:pt idx="3">
                  <c:v>47.408866864649497</c:v>
                </c:pt>
              </c:numCache>
            </c:numRef>
          </c:val>
          <c:extLst>
            <c:ext xmlns:c16="http://schemas.microsoft.com/office/drawing/2014/chart" uri="{C3380CC4-5D6E-409C-BE32-E72D297353CC}">
              <c16:uniqueId val="{00000000-28AA-4544-BD75-8B1F0EA53DF1}"/>
            </c:ext>
          </c:extLst>
        </c:ser>
        <c:ser>
          <c:idx val="1"/>
          <c:order val="1"/>
          <c:tx>
            <c:strRef>
              <c:f>Sheet2!$A$23</c:f>
              <c:strCache>
                <c:ptCount val="1"/>
                <c:pt idx="0">
                  <c:v>Urban 2</c:v>
                </c:pt>
              </c:strCache>
            </c:strRef>
          </c:tx>
          <c:spPr>
            <a:solidFill>
              <a:srgbClr val="005D6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Sheet2!$B$21:$E$21</c:f>
              <c:strCache>
                <c:ptCount val="4"/>
                <c:pt idx="0">
                  <c:v> 11 or more medicines </c:v>
                </c:pt>
                <c:pt idx="1">
                  <c:v> 8, 9 or 10 medicines </c:v>
                </c:pt>
                <c:pt idx="2">
                  <c:v>5, 6 or 7 medicines </c:v>
                </c:pt>
                <c:pt idx="3">
                  <c:v>5 or more medicines </c:v>
                </c:pt>
              </c:strCache>
            </c:strRef>
          </c:cat>
          <c:val>
            <c:numRef>
              <c:f>Sheet2!$B$23:$E$23</c:f>
              <c:numCache>
                <c:formatCode>_-* #,##0.0_-;\-* #,##0.0_-;_-* "-"??_-;_-@_-</c:formatCode>
                <c:ptCount val="4"/>
                <c:pt idx="0">
                  <c:v>8.3914325152656595</c:v>
                </c:pt>
                <c:pt idx="1">
                  <c:v>18.240998526074399</c:v>
                </c:pt>
                <c:pt idx="2">
                  <c:v>33.854666261142199</c:v>
                </c:pt>
                <c:pt idx="3">
                  <c:v>47.293124020307403</c:v>
                </c:pt>
              </c:numCache>
            </c:numRef>
          </c:val>
          <c:extLst>
            <c:ext xmlns:c16="http://schemas.microsoft.com/office/drawing/2014/chart" uri="{C3380CC4-5D6E-409C-BE32-E72D297353CC}">
              <c16:uniqueId val="{00000001-28AA-4544-BD75-8B1F0EA53DF1}"/>
            </c:ext>
          </c:extLst>
        </c:ser>
        <c:ser>
          <c:idx val="2"/>
          <c:order val="2"/>
          <c:tx>
            <c:strRef>
              <c:f>Sheet2!$A$24</c:f>
              <c:strCache>
                <c:ptCount val="1"/>
                <c:pt idx="0">
                  <c:v>Rural 1</c:v>
                </c:pt>
              </c:strCache>
            </c:strRef>
          </c:tx>
          <c:spPr>
            <a:solidFill>
              <a:srgbClr val="822F6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Sheet2!$B$21:$E$21</c:f>
              <c:strCache>
                <c:ptCount val="4"/>
                <c:pt idx="0">
                  <c:v> 11 or more medicines </c:v>
                </c:pt>
                <c:pt idx="1">
                  <c:v> 8, 9 or 10 medicines </c:v>
                </c:pt>
                <c:pt idx="2">
                  <c:v>5, 6 or 7 medicines </c:v>
                </c:pt>
                <c:pt idx="3">
                  <c:v>5 or more medicines </c:v>
                </c:pt>
              </c:strCache>
            </c:strRef>
          </c:cat>
          <c:val>
            <c:numRef>
              <c:f>Sheet2!$B$24:$E$24</c:f>
              <c:numCache>
                <c:formatCode>_-* #,##0.0_-;\-* #,##0.0_-;_-* "-"??_-;_-@_-</c:formatCode>
                <c:ptCount val="4"/>
                <c:pt idx="0">
                  <c:v>7.1682492914217999</c:v>
                </c:pt>
                <c:pt idx="1">
                  <c:v>16.503066502265799</c:v>
                </c:pt>
                <c:pt idx="2">
                  <c:v>32.5777834713126</c:v>
                </c:pt>
                <c:pt idx="3">
                  <c:v>44.3433842015084</c:v>
                </c:pt>
              </c:numCache>
            </c:numRef>
          </c:val>
          <c:extLst>
            <c:ext xmlns:c16="http://schemas.microsoft.com/office/drawing/2014/chart" uri="{C3380CC4-5D6E-409C-BE32-E72D297353CC}">
              <c16:uniqueId val="{00000002-28AA-4544-BD75-8B1F0EA53DF1}"/>
            </c:ext>
          </c:extLst>
        </c:ser>
        <c:ser>
          <c:idx val="3"/>
          <c:order val="3"/>
          <c:tx>
            <c:strRef>
              <c:f>Sheet2!$A$25</c:f>
              <c:strCache>
                <c:ptCount val="1"/>
                <c:pt idx="0">
                  <c:v>Rural 2/3</c:v>
                </c:pt>
              </c:strCache>
            </c:strRef>
          </c:tx>
          <c:spPr>
            <a:solidFill>
              <a:srgbClr val="2C25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Sheet2!$B$21:$E$21</c:f>
              <c:strCache>
                <c:ptCount val="4"/>
                <c:pt idx="0">
                  <c:v> 11 or more medicines </c:v>
                </c:pt>
                <c:pt idx="1">
                  <c:v> 8, 9 or 10 medicines </c:v>
                </c:pt>
                <c:pt idx="2">
                  <c:v>5, 6 or 7 medicines </c:v>
                </c:pt>
                <c:pt idx="3">
                  <c:v>5 or more medicines </c:v>
                </c:pt>
              </c:strCache>
            </c:strRef>
          </c:cat>
          <c:val>
            <c:numRef>
              <c:f>Sheet2!$B$25:$E$25</c:f>
              <c:numCache>
                <c:formatCode>_-* #,##0.0_-;\-* #,##0.0_-;_-* "-"??_-;_-@_-</c:formatCode>
                <c:ptCount val="4"/>
                <c:pt idx="0">
                  <c:v>6.2666187567373299</c:v>
                </c:pt>
                <c:pt idx="1">
                  <c:v>15.3546532518865</c:v>
                </c:pt>
                <c:pt idx="2">
                  <c:v>31.379087315846199</c:v>
                </c:pt>
                <c:pt idx="3">
                  <c:v>41.950413223140501</c:v>
                </c:pt>
              </c:numCache>
            </c:numRef>
          </c:val>
          <c:extLst>
            <c:ext xmlns:c16="http://schemas.microsoft.com/office/drawing/2014/chart" uri="{C3380CC4-5D6E-409C-BE32-E72D297353CC}">
              <c16:uniqueId val="{00000003-28AA-4544-BD75-8B1F0EA53DF1}"/>
            </c:ext>
          </c:extLst>
        </c:ser>
        <c:dLbls>
          <c:dLblPos val="outEnd"/>
          <c:showLegendKey val="0"/>
          <c:showVal val="1"/>
          <c:showCatName val="0"/>
          <c:showSerName val="0"/>
          <c:showPercent val="0"/>
          <c:showBubbleSize val="0"/>
        </c:dLbls>
        <c:gapWidth val="182"/>
        <c:overlap val="-20"/>
        <c:axId val="466478304"/>
        <c:axId val="466478784"/>
      </c:barChart>
      <c:catAx>
        <c:axId val="466478304"/>
        <c:scaling>
          <c:orientation val="minMax"/>
        </c:scaling>
        <c:delete val="0"/>
        <c:axPos val="l"/>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466478784"/>
        <c:crosses val="autoZero"/>
        <c:auto val="1"/>
        <c:lblAlgn val="ctr"/>
        <c:lblOffset val="100"/>
        <c:noMultiLvlLbl val="0"/>
      </c:catAx>
      <c:valAx>
        <c:axId val="466478784"/>
        <c:scaling>
          <c:orientation val="minMax"/>
          <c:max val="100"/>
        </c:scaling>
        <c:delete val="0"/>
        <c:axPos val="b"/>
        <c:numFmt formatCode="General"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66478304"/>
        <c:crosses val="autoZero"/>
        <c:crossBetween val="between"/>
      </c:valAx>
      <c:spPr>
        <a:noFill/>
        <a:ln>
          <a:noFill/>
        </a:ln>
        <a:effectLst/>
      </c:spPr>
    </c:plotArea>
    <c:legend>
      <c:legendPos val="b"/>
      <c:layout>
        <c:manualLayout>
          <c:xMode val="edge"/>
          <c:yMode val="edge"/>
          <c:x val="0.35691587829346305"/>
          <c:y val="0.89110710713278107"/>
          <c:w val="0.44777217422699811"/>
          <c:h val="6.531249361926737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Sheet3!$A$19</c:f>
              <c:strCache>
                <c:ptCount val="1"/>
                <c:pt idx="0">
                  <c:v>Urban 1</c:v>
                </c:pt>
              </c:strCache>
            </c:strRef>
          </c:tx>
          <c:spPr>
            <a:solidFill>
              <a:srgbClr val="82211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Sheet3!$B$18:$D$18</c:f>
              <c:strCache>
                <c:ptCount val="3"/>
                <c:pt idx="0">
                  <c:v>Both anti-psychotics and benzodiazepine/zopiclone</c:v>
                </c:pt>
                <c:pt idx="1">
                  <c:v>Benzodiazepine or zopiclone</c:v>
                </c:pt>
                <c:pt idx="2">
                  <c:v> Anti-psychotics</c:v>
                </c:pt>
              </c:strCache>
            </c:strRef>
          </c:cat>
          <c:val>
            <c:numRef>
              <c:f>Sheet3!$B$19:$D$19</c:f>
              <c:numCache>
                <c:formatCode>_-* #,##0.0_-;\-* #,##0.0_-;_-* "-"??_-;_-@_-</c:formatCode>
                <c:ptCount val="3"/>
                <c:pt idx="0">
                  <c:v>2.3592471524577201</c:v>
                </c:pt>
                <c:pt idx="1">
                  <c:v>18.527467024005301</c:v>
                </c:pt>
                <c:pt idx="2">
                  <c:v>5.2842804837607202</c:v>
                </c:pt>
              </c:numCache>
            </c:numRef>
          </c:val>
          <c:extLst>
            <c:ext xmlns:c16="http://schemas.microsoft.com/office/drawing/2014/chart" uri="{C3380CC4-5D6E-409C-BE32-E72D297353CC}">
              <c16:uniqueId val="{00000000-A0D2-4FC3-BB37-F76EAA8BF0D4}"/>
            </c:ext>
          </c:extLst>
        </c:ser>
        <c:ser>
          <c:idx val="1"/>
          <c:order val="1"/>
          <c:tx>
            <c:strRef>
              <c:f>Sheet3!$A$20</c:f>
              <c:strCache>
                <c:ptCount val="1"/>
                <c:pt idx="0">
                  <c:v>Urban 2</c:v>
                </c:pt>
              </c:strCache>
            </c:strRef>
          </c:tx>
          <c:spPr>
            <a:solidFill>
              <a:srgbClr val="005D6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Sheet3!$B$18:$D$18</c:f>
              <c:strCache>
                <c:ptCount val="3"/>
                <c:pt idx="0">
                  <c:v>Both anti-psychotics and benzodiazepine/zopiclone</c:v>
                </c:pt>
                <c:pt idx="1">
                  <c:v>Benzodiazepine or zopiclone</c:v>
                </c:pt>
                <c:pt idx="2">
                  <c:v> Anti-psychotics</c:v>
                </c:pt>
              </c:strCache>
            </c:strRef>
          </c:cat>
          <c:val>
            <c:numRef>
              <c:f>Sheet3!$B$20:$D$20</c:f>
              <c:numCache>
                <c:formatCode>_-* #,##0.0_-;\-* #,##0.0_-;_-* "-"??_-;_-@_-</c:formatCode>
                <c:ptCount val="3"/>
                <c:pt idx="0">
                  <c:v>2.4528106202032798</c:v>
                </c:pt>
                <c:pt idx="1">
                  <c:v>17.859365276913501</c:v>
                </c:pt>
                <c:pt idx="2">
                  <c:v>5.6644541243172197</c:v>
                </c:pt>
              </c:numCache>
            </c:numRef>
          </c:val>
          <c:extLst>
            <c:ext xmlns:c16="http://schemas.microsoft.com/office/drawing/2014/chart" uri="{C3380CC4-5D6E-409C-BE32-E72D297353CC}">
              <c16:uniqueId val="{00000001-A0D2-4FC3-BB37-F76EAA8BF0D4}"/>
            </c:ext>
          </c:extLst>
        </c:ser>
        <c:ser>
          <c:idx val="2"/>
          <c:order val="2"/>
          <c:tx>
            <c:strRef>
              <c:f>Sheet3!$A$21</c:f>
              <c:strCache>
                <c:ptCount val="1"/>
                <c:pt idx="0">
                  <c:v>Rural 1</c:v>
                </c:pt>
              </c:strCache>
            </c:strRef>
          </c:tx>
          <c:spPr>
            <a:solidFill>
              <a:srgbClr val="822F6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Sheet3!$B$18:$D$18</c:f>
              <c:strCache>
                <c:ptCount val="3"/>
                <c:pt idx="0">
                  <c:v>Both anti-psychotics and benzodiazepine/zopiclone</c:v>
                </c:pt>
                <c:pt idx="1">
                  <c:v>Benzodiazepine or zopiclone</c:v>
                </c:pt>
                <c:pt idx="2">
                  <c:v> Anti-psychotics</c:v>
                </c:pt>
              </c:strCache>
            </c:strRef>
          </c:cat>
          <c:val>
            <c:numRef>
              <c:f>Sheet3!$B$21:$D$21</c:f>
              <c:numCache>
                <c:formatCode>_-* #,##0.0_-;\-* #,##0.0_-;_-* "-"??_-;_-@_-</c:formatCode>
                <c:ptCount val="3"/>
                <c:pt idx="0">
                  <c:v>1.93987115246958</c:v>
                </c:pt>
                <c:pt idx="1">
                  <c:v>15.540443808160299</c:v>
                </c:pt>
                <c:pt idx="2">
                  <c:v>4.6194225721784798</c:v>
                </c:pt>
              </c:numCache>
            </c:numRef>
          </c:val>
          <c:extLst>
            <c:ext xmlns:c16="http://schemas.microsoft.com/office/drawing/2014/chart" uri="{C3380CC4-5D6E-409C-BE32-E72D297353CC}">
              <c16:uniqueId val="{00000002-A0D2-4FC3-BB37-F76EAA8BF0D4}"/>
            </c:ext>
          </c:extLst>
        </c:ser>
        <c:ser>
          <c:idx val="3"/>
          <c:order val="3"/>
          <c:tx>
            <c:strRef>
              <c:f>Sheet3!$A$22</c:f>
              <c:strCache>
                <c:ptCount val="1"/>
                <c:pt idx="0">
                  <c:v>Rural 2/3</c:v>
                </c:pt>
              </c:strCache>
            </c:strRef>
          </c:tx>
          <c:spPr>
            <a:solidFill>
              <a:srgbClr val="2C25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Sheet3!$B$18:$D$18</c:f>
              <c:strCache>
                <c:ptCount val="3"/>
                <c:pt idx="0">
                  <c:v>Both anti-psychotics and benzodiazepine/zopiclone</c:v>
                </c:pt>
                <c:pt idx="1">
                  <c:v>Benzodiazepine or zopiclone</c:v>
                </c:pt>
                <c:pt idx="2">
                  <c:v> Anti-psychotics</c:v>
                </c:pt>
              </c:strCache>
            </c:strRef>
          </c:cat>
          <c:val>
            <c:numRef>
              <c:f>Sheet3!$B$22:$D$22</c:f>
              <c:numCache>
                <c:formatCode>_-* #,##0.0_-;\-* #,##0.0_-;_-* "-"??_-;_-@_-</c:formatCode>
                <c:ptCount val="3"/>
                <c:pt idx="0">
                  <c:v>1.73301461800129</c:v>
                </c:pt>
                <c:pt idx="1">
                  <c:v>14.1353314332996</c:v>
                </c:pt>
                <c:pt idx="2">
                  <c:v>4.1049921853452203</c:v>
                </c:pt>
              </c:numCache>
            </c:numRef>
          </c:val>
          <c:extLst>
            <c:ext xmlns:c16="http://schemas.microsoft.com/office/drawing/2014/chart" uri="{C3380CC4-5D6E-409C-BE32-E72D297353CC}">
              <c16:uniqueId val="{00000003-A0D2-4FC3-BB37-F76EAA8BF0D4}"/>
            </c:ext>
          </c:extLst>
        </c:ser>
        <c:dLbls>
          <c:dLblPos val="outEnd"/>
          <c:showLegendKey val="0"/>
          <c:showVal val="1"/>
          <c:showCatName val="0"/>
          <c:showSerName val="0"/>
          <c:showPercent val="0"/>
          <c:showBubbleSize val="0"/>
        </c:dLbls>
        <c:gapWidth val="182"/>
        <c:overlap val="-20"/>
        <c:axId val="541815760"/>
        <c:axId val="541816240"/>
      </c:barChart>
      <c:catAx>
        <c:axId val="541815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41816240"/>
        <c:crosses val="autoZero"/>
        <c:auto val="1"/>
        <c:lblAlgn val="ctr"/>
        <c:lblOffset val="100"/>
        <c:noMultiLvlLbl val="0"/>
      </c:catAx>
      <c:valAx>
        <c:axId val="541816240"/>
        <c:scaling>
          <c:orientation val="minMax"/>
          <c:max val="100"/>
        </c:scaling>
        <c:delete val="0"/>
        <c:axPos val="b"/>
        <c:numFmt formatCode="General" sourceLinked="0"/>
        <c:majorTickMark val="none"/>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41815760"/>
        <c:crosses val="autoZero"/>
        <c:crossBetween val="between"/>
        <c:majorUnit val="20"/>
        <c:minorUnit val="20"/>
      </c:valAx>
      <c:spPr>
        <a:noFill/>
        <a:ln>
          <a:noFill/>
        </a:ln>
        <a:effectLst/>
      </c:spPr>
    </c:plotArea>
    <c:legend>
      <c:legendPos val="b"/>
      <c:layout>
        <c:manualLayout>
          <c:xMode val="edge"/>
          <c:yMode val="edge"/>
          <c:x val="0.50763359044998624"/>
          <c:y val="0.90074779417902218"/>
          <c:w val="0.41903355311253054"/>
          <c:h val="7.0152226606677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0.08346</cdr:x>
      <cdr:y>0.80923</cdr:y>
    </cdr:from>
    <cdr:to>
      <cdr:x>0.19622</cdr:x>
      <cdr:y>0.91129</cdr:y>
    </cdr:to>
    <cdr:sp macro="" textlink="">
      <cdr:nvSpPr>
        <cdr:cNvPr id="2" name="Text Box 2"/>
        <cdr:cNvSpPr txBox="1">
          <a:spLocks xmlns:a="http://schemas.openxmlformats.org/drawingml/2006/main" noChangeArrowheads="1"/>
        </cdr:cNvSpPr>
      </cdr:nvSpPr>
      <cdr:spPr bwMode="auto">
        <a:xfrm xmlns:a="http://schemas.openxmlformats.org/drawingml/2006/main">
          <a:off x="512289" y="2524092"/>
          <a:ext cx="692114" cy="318344"/>
        </a:xfrm>
        <a:prstGeom xmlns:a="http://schemas.openxmlformats.org/drawingml/2006/main" prst="rect">
          <a:avLst/>
        </a:prstGeom>
        <a:solidFill xmlns:a="http://schemas.openxmlformats.org/drawingml/2006/main">
          <a:srgbClr val="FFFFFF"/>
        </a:solidFill>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15000"/>
            </a:lnSpc>
            <a:spcAft>
              <a:spcPts val="600"/>
            </a:spcAft>
            <a:buNone/>
          </a:pPr>
          <a:r>
            <a:rPr lang="en-NZ" sz="1000">
              <a:effectLst/>
              <a:latin typeface="Calibri" panose="020F0502020204030204" pitchFamily="34" charset="0"/>
              <a:ea typeface="Calibri" panose="020F0502020204030204" pitchFamily="34" charset="0"/>
              <a:cs typeface="Calibri" panose="020F0502020204030204" pitchFamily="34" charset="0"/>
            </a:rPr>
            <a:t>Percent</a:t>
          </a:r>
        </a:p>
        <a:p xmlns:a="http://schemas.openxmlformats.org/drawingml/2006/main">
          <a:pPr>
            <a:lnSpc>
              <a:spcPct val="115000"/>
            </a:lnSpc>
            <a:spcAft>
              <a:spcPts val="600"/>
            </a:spcAft>
            <a:buNone/>
          </a:pPr>
          <a:r>
            <a:rPr lang="en-NZ" sz="1100">
              <a:effectLst/>
              <a:latin typeface="Arial" panose="020B0604020202020204" pitchFamily="34" charset="0"/>
              <a:ea typeface="Calibri" panose="020F0502020204030204" pitchFamily="34" charset="0"/>
              <a:cs typeface="Times New Roman" panose="02020603050405020304" pitchFamily="18" charset="0"/>
            </a:rPr>
            <a:t> </a:t>
          </a:r>
        </a:p>
      </cdr:txBody>
    </cdr:sp>
  </cdr:relSizeAnchor>
</c:userShapes>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F8DD-BBA2-45B4-BCDD-3F54ACF3A3A3}">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1900</Words>
  <Characters>10944</Characters>
  <Application>Microsoft Office Word</Application>
  <DocSecurity>0</DocSecurity>
  <Lines>210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2026-03-19T01:19:00Z</dcterms:created>
  <dcterms:modified xsi:type="dcterms:W3CDTF">2026-03-19T01:30:00Z</dcterms:modified>
</cp:coreProperties>
</file>