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C4EB" w14:textId="71755BE1" w:rsidR="009822C8" w:rsidRPr="00133505" w:rsidRDefault="009822C8" w:rsidP="009822C8">
      <w:pPr>
        <w:rPr>
          <w:rFonts w:cs="Arial"/>
          <w:b/>
          <w:color w:val="000000" w:themeColor="text1"/>
          <w:szCs w:val="22"/>
        </w:rPr>
      </w:pPr>
      <w:r w:rsidRPr="00133505">
        <w:rPr>
          <w:rFonts w:cs="Arial"/>
          <w:noProof/>
          <w:color w:val="000000" w:themeColor="text1"/>
        </w:rPr>
        <w:drawing>
          <wp:anchor distT="0" distB="0" distL="114300" distR="114300" simplePos="0" relativeHeight="251658240" behindDoc="1" locked="0" layoutInCell="1" allowOverlap="1" wp14:anchorId="259F961B" wp14:editId="049EA0D0">
            <wp:simplePos x="0" y="0"/>
            <wp:positionH relativeFrom="page">
              <wp:posOffset>19050</wp:posOffset>
            </wp:positionH>
            <wp:positionV relativeFrom="paragraph">
              <wp:posOffset>-673735</wp:posOffset>
            </wp:positionV>
            <wp:extent cx="7541260" cy="10810875"/>
            <wp:effectExtent l="0" t="0" r="2540" b="9525"/>
            <wp:wrapNone/>
            <wp:docPr id="1" name="Picture 1" descr="Report cover with a dark blue background and the Health Quality &amp; Safety Commission Te Tāhū Hauora logo at the top right. The logo is a stylised  wharenui in a triangle shape, with the tāhū (ridgepole), heke (rafters) and niho taniwha (triangle pattern beneath). A pattern which is a section of the logo in pink, purple and orange covers a third of the bottom of th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port cover with a dark blue background and the Health Quality &amp; Safety Commission Te Tāhū Hauora logo at the top right. The logo is a stylised  wharenui in a triangle shape, with the tāhū (ridgepole), heke (rafters) and niho taniwha (triangle pattern beneath). A pattern which is a section of the logo in pink, purple and orange covers a third of the bottom of the page. "/>
                    <pic:cNvPicPr/>
                  </pic:nvPicPr>
                  <pic:blipFill>
                    <a:blip r:embed="rId8">
                      <a:extLst>
                        <a:ext uri="{28A0092B-C50C-407E-A947-70E740481C1C}">
                          <a14:useLocalDpi xmlns:a14="http://schemas.microsoft.com/office/drawing/2010/main" val="0"/>
                        </a:ext>
                      </a:extLst>
                    </a:blip>
                    <a:stretch>
                      <a:fillRect/>
                    </a:stretch>
                  </pic:blipFill>
                  <pic:spPr>
                    <a:xfrm>
                      <a:off x="0" y="0"/>
                      <a:ext cx="7541801" cy="10811651"/>
                    </a:xfrm>
                    <a:prstGeom prst="rect">
                      <a:avLst/>
                    </a:prstGeom>
                  </pic:spPr>
                </pic:pic>
              </a:graphicData>
            </a:graphic>
            <wp14:sizeRelH relativeFrom="page">
              <wp14:pctWidth>0</wp14:pctWidth>
            </wp14:sizeRelH>
            <wp14:sizeRelV relativeFrom="page">
              <wp14:pctHeight>0</wp14:pctHeight>
            </wp14:sizeRelV>
          </wp:anchor>
        </w:drawing>
      </w:r>
    </w:p>
    <w:p w14:paraId="00A04404" w14:textId="77777777" w:rsidR="009822C8" w:rsidRPr="00133505" w:rsidRDefault="009822C8" w:rsidP="009822C8">
      <w:pPr>
        <w:rPr>
          <w:rFonts w:cs="Arial"/>
          <w:color w:val="000000" w:themeColor="text1"/>
          <w:szCs w:val="22"/>
        </w:rPr>
      </w:pPr>
    </w:p>
    <w:p w14:paraId="1F5DFC5C" w14:textId="77777777" w:rsidR="009822C8" w:rsidRPr="00133505" w:rsidRDefault="009822C8" w:rsidP="009822C8">
      <w:pPr>
        <w:rPr>
          <w:rFonts w:cs="Arial"/>
          <w:color w:val="000000" w:themeColor="text1"/>
          <w:szCs w:val="22"/>
        </w:rPr>
      </w:pPr>
    </w:p>
    <w:p w14:paraId="73A72405" w14:textId="77777777" w:rsidR="009822C8" w:rsidRPr="00133505" w:rsidRDefault="009822C8" w:rsidP="009822C8">
      <w:pPr>
        <w:rPr>
          <w:rFonts w:cs="Arial"/>
          <w:color w:val="000000" w:themeColor="text1"/>
          <w:szCs w:val="22"/>
        </w:rPr>
      </w:pPr>
    </w:p>
    <w:p w14:paraId="6E1DCDE9" w14:textId="77777777" w:rsidR="009822C8" w:rsidRPr="00133505" w:rsidRDefault="009822C8" w:rsidP="009822C8">
      <w:pPr>
        <w:rPr>
          <w:rFonts w:cs="Arial"/>
          <w:color w:val="000000" w:themeColor="text1"/>
          <w:szCs w:val="22"/>
        </w:rPr>
      </w:pPr>
    </w:p>
    <w:p w14:paraId="08715012" w14:textId="77777777" w:rsidR="009822C8" w:rsidRPr="00133505" w:rsidRDefault="009822C8" w:rsidP="009822C8">
      <w:pPr>
        <w:rPr>
          <w:rFonts w:cs="Arial"/>
          <w:b/>
          <w:color w:val="000000" w:themeColor="text1"/>
          <w:szCs w:val="22"/>
        </w:rPr>
      </w:pPr>
    </w:p>
    <w:p w14:paraId="7E196FB8" w14:textId="77777777" w:rsidR="009822C8" w:rsidRPr="00133505" w:rsidRDefault="009822C8" w:rsidP="00F56AFB">
      <w:pPr>
        <w:jc w:val="right"/>
        <w:rPr>
          <w:rFonts w:cs="Arial"/>
          <w:color w:val="000000" w:themeColor="text1"/>
        </w:rPr>
      </w:pPr>
    </w:p>
    <w:p w14:paraId="30DFD3FD" w14:textId="77777777" w:rsidR="009822C8" w:rsidRPr="00133505" w:rsidRDefault="009822C8" w:rsidP="009822C8">
      <w:pPr>
        <w:jc w:val="center"/>
        <w:rPr>
          <w:rFonts w:cs="Arial"/>
          <w:color w:val="000000" w:themeColor="text1"/>
        </w:rPr>
      </w:pPr>
    </w:p>
    <w:p w14:paraId="15D46B5A" w14:textId="77777777" w:rsidR="009822C8" w:rsidRPr="00133505" w:rsidRDefault="009822C8" w:rsidP="009822C8">
      <w:pPr>
        <w:jc w:val="center"/>
        <w:rPr>
          <w:rFonts w:cs="Arial"/>
          <w:color w:val="000000" w:themeColor="text1"/>
          <w:sz w:val="56"/>
          <w:szCs w:val="56"/>
        </w:rPr>
      </w:pPr>
    </w:p>
    <w:p w14:paraId="11271864" w14:textId="77777777" w:rsidR="009822C8" w:rsidRPr="00133505" w:rsidRDefault="009822C8" w:rsidP="009822C8">
      <w:pPr>
        <w:jc w:val="center"/>
        <w:rPr>
          <w:rFonts w:cs="Arial"/>
          <w:color w:val="000000" w:themeColor="text1"/>
          <w:sz w:val="56"/>
          <w:szCs w:val="56"/>
        </w:rPr>
      </w:pPr>
    </w:p>
    <w:p w14:paraId="23DF6CC0" w14:textId="77777777" w:rsidR="009822C8" w:rsidRPr="00133505" w:rsidRDefault="009822C8" w:rsidP="009822C8">
      <w:pPr>
        <w:jc w:val="center"/>
        <w:rPr>
          <w:rFonts w:cs="Arial"/>
          <w:color w:val="000000" w:themeColor="text1"/>
          <w:sz w:val="56"/>
          <w:szCs w:val="56"/>
        </w:rPr>
      </w:pPr>
    </w:p>
    <w:p w14:paraId="4D5BD2F9" w14:textId="77777777" w:rsidR="009822C8" w:rsidRPr="00133505" w:rsidRDefault="009822C8" w:rsidP="009822C8">
      <w:pPr>
        <w:jc w:val="center"/>
        <w:rPr>
          <w:rFonts w:cs="Arial"/>
          <w:b/>
          <w:color w:val="000000" w:themeColor="text1"/>
          <w:sz w:val="36"/>
          <w:szCs w:val="36"/>
        </w:rPr>
      </w:pPr>
    </w:p>
    <w:p w14:paraId="56B97066" w14:textId="77777777" w:rsidR="009822C8" w:rsidRPr="00835BD3" w:rsidRDefault="009822C8" w:rsidP="009822C8">
      <w:pPr>
        <w:jc w:val="center"/>
        <w:rPr>
          <w:rFonts w:cs="Arial"/>
          <w:b/>
          <w:color w:val="FFFFFF" w:themeColor="background1"/>
          <w:sz w:val="36"/>
          <w:szCs w:val="36"/>
        </w:rPr>
      </w:pPr>
      <w:r w:rsidRPr="00835BD3">
        <w:rPr>
          <w:rFonts w:cs="Arial"/>
          <w:b/>
          <w:color w:val="FFFFFF" w:themeColor="background1"/>
          <w:sz w:val="36"/>
          <w:szCs w:val="36"/>
        </w:rPr>
        <w:t>Atlas of Healthcare Variation:</w:t>
      </w:r>
    </w:p>
    <w:p w14:paraId="2319E002" w14:textId="441A96D1" w:rsidR="009822C8" w:rsidRPr="00835BD3" w:rsidRDefault="009822C8" w:rsidP="009822C8">
      <w:pPr>
        <w:jc w:val="center"/>
        <w:rPr>
          <w:rFonts w:cs="Arial"/>
          <w:b/>
          <w:color w:val="FFFFFF" w:themeColor="background1"/>
          <w:sz w:val="36"/>
          <w:szCs w:val="36"/>
        </w:rPr>
      </w:pPr>
      <w:r w:rsidRPr="00835BD3">
        <w:rPr>
          <w:rFonts w:cs="Arial"/>
          <w:b/>
          <w:color w:val="FFFFFF" w:themeColor="background1"/>
          <w:sz w:val="36"/>
          <w:szCs w:val="36"/>
        </w:rPr>
        <w:t xml:space="preserve">Methodology | </w:t>
      </w:r>
      <w:r w:rsidR="00F30FD1" w:rsidRPr="00835BD3">
        <w:rPr>
          <w:rFonts w:cs="Arial"/>
          <w:b/>
          <w:color w:val="FFFFFF" w:themeColor="background1"/>
          <w:sz w:val="36"/>
          <w:szCs w:val="36"/>
        </w:rPr>
        <w:t>Asthma</w:t>
      </w:r>
    </w:p>
    <w:p w14:paraId="32B3763B" w14:textId="77777777" w:rsidR="009822C8" w:rsidRPr="00835BD3" w:rsidRDefault="009822C8" w:rsidP="009822C8">
      <w:pPr>
        <w:jc w:val="center"/>
        <w:rPr>
          <w:rFonts w:cs="Arial"/>
          <w:b/>
          <w:color w:val="FFFFFF" w:themeColor="background1"/>
          <w:sz w:val="36"/>
          <w:szCs w:val="36"/>
        </w:rPr>
      </w:pPr>
    </w:p>
    <w:p w14:paraId="29CB968B" w14:textId="16E478F7" w:rsidR="009822C8" w:rsidRPr="00835BD3" w:rsidRDefault="00835BD3" w:rsidP="4C5CB681">
      <w:pPr>
        <w:jc w:val="center"/>
        <w:rPr>
          <w:rFonts w:cs="Arial"/>
          <w:b/>
          <w:bCs/>
          <w:color w:val="FFFFFF" w:themeColor="background1"/>
          <w:sz w:val="28"/>
          <w:szCs w:val="28"/>
        </w:rPr>
      </w:pPr>
      <w:r>
        <w:rPr>
          <w:rFonts w:cs="Arial"/>
          <w:b/>
          <w:bCs/>
          <w:color w:val="FFFFFF" w:themeColor="background1"/>
          <w:sz w:val="28"/>
          <w:szCs w:val="28"/>
        </w:rPr>
        <w:t>September</w:t>
      </w:r>
      <w:r w:rsidR="00C9541B" w:rsidRPr="00835BD3">
        <w:rPr>
          <w:rFonts w:cs="Arial"/>
          <w:b/>
          <w:bCs/>
          <w:color w:val="FFFFFF" w:themeColor="background1"/>
          <w:sz w:val="28"/>
          <w:szCs w:val="28"/>
        </w:rPr>
        <w:t xml:space="preserve"> </w:t>
      </w:r>
      <w:r w:rsidR="009822C8" w:rsidRPr="00835BD3">
        <w:rPr>
          <w:rFonts w:cs="Arial"/>
          <w:b/>
          <w:bCs/>
          <w:color w:val="FFFFFF" w:themeColor="background1"/>
          <w:sz w:val="28"/>
          <w:szCs w:val="28"/>
        </w:rPr>
        <w:t>202</w:t>
      </w:r>
      <w:r w:rsidR="00E43E8A" w:rsidRPr="00835BD3">
        <w:rPr>
          <w:rFonts w:cs="Arial"/>
          <w:b/>
          <w:bCs/>
          <w:color w:val="FFFFFF" w:themeColor="background1"/>
          <w:sz w:val="28"/>
          <w:szCs w:val="28"/>
        </w:rPr>
        <w:t>5</w:t>
      </w:r>
    </w:p>
    <w:p w14:paraId="025B1590" w14:textId="77777777" w:rsidR="009822C8" w:rsidRPr="00133505" w:rsidRDefault="009822C8" w:rsidP="009822C8">
      <w:pPr>
        <w:jc w:val="center"/>
        <w:rPr>
          <w:rFonts w:cs="Arial"/>
          <w:i/>
          <w:color w:val="000000" w:themeColor="text1"/>
          <w:sz w:val="36"/>
          <w:szCs w:val="36"/>
        </w:rPr>
      </w:pPr>
    </w:p>
    <w:p w14:paraId="7B56D83A" w14:textId="77777777" w:rsidR="009822C8" w:rsidRPr="00133505" w:rsidRDefault="009822C8" w:rsidP="009822C8">
      <w:pPr>
        <w:jc w:val="center"/>
        <w:rPr>
          <w:rFonts w:cs="Arial"/>
          <w:i/>
          <w:color w:val="000000" w:themeColor="text1"/>
          <w:sz w:val="36"/>
          <w:szCs w:val="36"/>
        </w:rPr>
      </w:pPr>
    </w:p>
    <w:p w14:paraId="4DB21BA3" w14:textId="77777777" w:rsidR="009822C8" w:rsidRPr="00133505" w:rsidRDefault="009822C8" w:rsidP="009822C8">
      <w:pPr>
        <w:jc w:val="center"/>
        <w:rPr>
          <w:rFonts w:cs="Arial"/>
          <w:b/>
          <w:color w:val="000000" w:themeColor="text1"/>
          <w:sz w:val="36"/>
          <w:szCs w:val="36"/>
        </w:rPr>
      </w:pPr>
    </w:p>
    <w:p w14:paraId="44DB22A4" w14:textId="77777777" w:rsidR="009822C8" w:rsidRPr="00133505" w:rsidRDefault="009822C8" w:rsidP="009822C8">
      <w:pPr>
        <w:jc w:val="center"/>
        <w:rPr>
          <w:rFonts w:cs="Arial"/>
          <w:b/>
          <w:color w:val="000000" w:themeColor="text1"/>
          <w:sz w:val="36"/>
          <w:szCs w:val="36"/>
        </w:rPr>
      </w:pPr>
    </w:p>
    <w:p w14:paraId="25CCD308" w14:textId="77777777" w:rsidR="009822C8" w:rsidRPr="00133505" w:rsidRDefault="009822C8" w:rsidP="009822C8">
      <w:pPr>
        <w:jc w:val="center"/>
        <w:rPr>
          <w:rFonts w:cs="Arial"/>
          <w:b/>
          <w:color w:val="000000" w:themeColor="text1"/>
          <w:sz w:val="36"/>
          <w:szCs w:val="36"/>
        </w:rPr>
      </w:pPr>
    </w:p>
    <w:p w14:paraId="3DC8B17F" w14:textId="77777777" w:rsidR="009822C8" w:rsidRPr="00133505" w:rsidRDefault="009822C8" w:rsidP="009822C8">
      <w:pPr>
        <w:jc w:val="center"/>
        <w:rPr>
          <w:rFonts w:cs="Arial"/>
          <w:b/>
          <w:color w:val="000000" w:themeColor="text1"/>
          <w:sz w:val="36"/>
          <w:szCs w:val="36"/>
        </w:rPr>
      </w:pPr>
    </w:p>
    <w:p w14:paraId="574E3BF0" w14:textId="77777777" w:rsidR="009822C8" w:rsidRPr="00133505" w:rsidRDefault="009822C8" w:rsidP="009822C8">
      <w:pPr>
        <w:jc w:val="center"/>
        <w:rPr>
          <w:rFonts w:cs="Arial"/>
          <w:b/>
          <w:color w:val="000000" w:themeColor="text1"/>
          <w:sz w:val="36"/>
          <w:szCs w:val="36"/>
        </w:rPr>
      </w:pPr>
    </w:p>
    <w:p w14:paraId="6F5E481E" w14:textId="77777777" w:rsidR="009822C8" w:rsidRPr="00133505" w:rsidRDefault="009822C8" w:rsidP="009822C8">
      <w:pPr>
        <w:rPr>
          <w:rFonts w:cs="Arial"/>
          <w:b/>
          <w:color w:val="000000" w:themeColor="text1"/>
          <w:sz w:val="36"/>
          <w:szCs w:val="36"/>
        </w:rPr>
      </w:pPr>
    </w:p>
    <w:p w14:paraId="0F019040" w14:textId="77777777" w:rsidR="009822C8" w:rsidRPr="00133505" w:rsidRDefault="009822C8" w:rsidP="009822C8">
      <w:pPr>
        <w:rPr>
          <w:rFonts w:cs="Arial"/>
          <w:b/>
          <w:color w:val="000000" w:themeColor="text1"/>
          <w:sz w:val="36"/>
          <w:szCs w:val="36"/>
        </w:rPr>
      </w:pPr>
    </w:p>
    <w:p w14:paraId="4A07A9B6" w14:textId="77777777" w:rsidR="009822C8" w:rsidRPr="00133505" w:rsidRDefault="009822C8" w:rsidP="009822C8">
      <w:pPr>
        <w:rPr>
          <w:rFonts w:cs="Arial"/>
          <w:b/>
          <w:color w:val="000000" w:themeColor="text1"/>
          <w:sz w:val="36"/>
          <w:szCs w:val="36"/>
        </w:rPr>
      </w:pPr>
    </w:p>
    <w:p w14:paraId="23068961" w14:textId="77777777" w:rsidR="009822C8" w:rsidRPr="00133505" w:rsidRDefault="009822C8" w:rsidP="009822C8">
      <w:pPr>
        <w:rPr>
          <w:rFonts w:cs="Arial"/>
          <w:b/>
          <w:color w:val="000000" w:themeColor="text1"/>
          <w:sz w:val="36"/>
          <w:szCs w:val="36"/>
        </w:rPr>
      </w:pPr>
    </w:p>
    <w:p w14:paraId="4CD1150C" w14:textId="77777777" w:rsidR="009822C8" w:rsidRPr="00133505" w:rsidRDefault="009822C8" w:rsidP="009822C8">
      <w:pPr>
        <w:rPr>
          <w:rFonts w:cs="Arial"/>
          <w:b/>
          <w:color w:val="000000" w:themeColor="text1"/>
          <w:sz w:val="36"/>
          <w:szCs w:val="36"/>
        </w:rPr>
      </w:pPr>
    </w:p>
    <w:p w14:paraId="5E76608B" w14:textId="09B98115" w:rsidR="00F30FD1" w:rsidRPr="00133505" w:rsidRDefault="00F30FD1" w:rsidP="00F30FD1">
      <w:pPr>
        <w:rPr>
          <w:color w:val="000000" w:themeColor="text1"/>
        </w:rPr>
      </w:pPr>
    </w:p>
    <w:p w14:paraId="7E628B42" w14:textId="77777777" w:rsidR="00F30FD1" w:rsidRPr="00133505" w:rsidRDefault="00F30FD1" w:rsidP="00F30FD1">
      <w:pPr>
        <w:rPr>
          <w:b/>
          <w:color w:val="000000" w:themeColor="text1"/>
        </w:rPr>
      </w:pPr>
    </w:p>
    <w:bookmarkStart w:id="0" w:name="_Hlk164768965"/>
    <w:p w14:paraId="434C4DCF" w14:textId="1067F9AB" w:rsidR="008A5DB3" w:rsidRPr="00133505" w:rsidRDefault="00E67A7B">
      <w:pPr>
        <w:pStyle w:val="TOC2"/>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r w:rsidRPr="00133505">
        <w:rPr>
          <w:color w:val="000000" w:themeColor="text1"/>
        </w:rPr>
        <w:fldChar w:fldCharType="begin"/>
      </w:r>
      <w:r w:rsidRPr="00133505">
        <w:rPr>
          <w:color w:val="000000" w:themeColor="text1"/>
        </w:rPr>
        <w:instrText xml:space="preserve"> TOC \o "1-3" \h \z \u </w:instrText>
      </w:r>
      <w:r w:rsidRPr="00133505">
        <w:rPr>
          <w:color w:val="000000" w:themeColor="text1"/>
        </w:rPr>
        <w:fldChar w:fldCharType="separate"/>
      </w:r>
      <w:hyperlink w:anchor="_Toc196292444" w:history="1">
        <w:r w:rsidR="008A5DB3" w:rsidRPr="00133505">
          <w:rPr>
            <w:rStyle w:val="Hyperlink"/>
            <w:b/>
            <w:noProof/>
            <w:color w:val="000000" w:themeColor="text1"/>
          </w:rPr>
          <w:t>General points:</w:t>
        </w:r>
        <w:r w:rsidR="008A5DB3" w:rsidRPr="00133505">
          <w:rPr>
            <w:noProof/>
            <w:webHidden/>
            <w:color w:val="000000" w:themeColor="text1"/>
          </w:rPr>
          <w:tab/>
        </w:r>
        <w:r w:rsidR="008A5DB3" w:rsidRPr="00133505">
          <w:rPr>
            <w:noProof/>
            <w:webHidden/>
            <w:color w:val="000000" w:themeColor="text1"/>
          </w:rPr>
          <w:fldChar w:fldCharType="begin"/>
        </w:r>
        <w:r w:rsidR="008A5DB3" w:rsidRPr="00133505">
          <w:rPr>
            <w:noProof/>
            <w:webHidden/>
            <w:color w:val="000000" w:themeColor="text1"/>
          </w:rPr>
          <w:instrText xml:space="preserve"> PAGEREF _Toc196292444 \h </w:instrText>
        </w:r>
        <w:r w:rsidR="008A5DB3" w:rsidRPr="00133505">
          <w:rPr>
            <w:noProof/>
            <w:webHidden/>
            <w:color w:val="000000" w:themeColor="text1"/>
          </w:rPr>
        </w:r>
        <w:r w:rsidR="008A5DB3" w:rsidRPr="00133505">
          <w:rPr>
            <w:noProof/>
            <w:webHidden/>
            <w:color w:val="000000" w:themeColor="text1"/>
          </w:rPr>
          <w:fldChar w:fldCharType="separate"/>
        </w:r>
        <w:r w:rsidR="005C1A22">
          <w:rPr>
            <w:noProof/>
            <w:webHidden/>
            <w:color w:val="000000" w:themeColor="text1"/>
          </w:rPr>
          <w:t>3</w:t>
        </w:r>
        <w:r w:rsidR="008A5DB3" w:rsidRPr="00133505">
          <w:rPr>
            <w:noProof/>
            <w:webHidden/>
            <w:color w:val="000000" w:themeColor="text1"/>
          </w:rPr>
          <w:fldChar w:fldCharType="end"/>
        </w:r>
      </w:hyperlink>
    </w:p>
    <w:p w14:paraId="70B4E833" w14:textId="7E77EB40" w:rsidR="008A5DB3" w:rsidRPr="00133505" w:rsidRDefault="008A5DB3">
      <w:pPr>
        <w:pStyle w:val="TOC2"/>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48" w:history="1">
        <w:r w:rsidRPr="00133505">
          <w:rPr>
            <w:rStyle w:val="Hyperlink"/>
            <w:rFonts w:cs="Arial"/>
            <w:b/>
            <w:bCs/>
            <w:noProof/>
            <w:color w:val="000000" w:themeColor="text1"/>
          </w:rPr>
          <w:t>Indicators</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_Toc196292448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8</w:t>
        </w:r>
        <w:r w:rsidRPr="00133505">
          <w:rPr>
            <w:noProof/>
            <w:webHidden/>
            <w:color w:val="000000" w:themeColor="text1"/>
          </w:rPr>
          <w:fldChar w:fldCharType="end"/>
        </w:r>
      </w:hyperlink>
    </w:p>
    <w:p w14:paraId="673CD49A" w14:textId="781E3DF8"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49" w:history="1">
        <w:r w:rsidRPr="00133505">
          <w:rPr>
            <w:rStyle w:val="Hyperlink"/>
            <w:noProof/>
            <w:color w:val="000000" w:themeColor="text1"/>
          </w:rPr>
          <w:t>1. Children admitted to hospital one or more times with a primary diagnosis of asthma or wheeze</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_Toc196292449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8</w:t>
        </w:r>
        <w:r w:rsidRPr="00133505">
          <w:rPr>
            <w:noProof/>
            <w:webHidden/>
            <w:color w:val="000000" w:themeColor="text1"/>
          </w:rPr>
          <w:fldChar w:fldCharType="end"/>
        </w:r>
      </w:hyperlink>
    </w:p>
    <w:p w14:paraId="23B4FD53" w14:textId="122F54FC"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0" w:history="1">
        <w:r w:rsidRPr="00133505">
          <w:rPr>
            <w:rStyle w:val="Hyperlink"/>
            <w:noProof/>
            <w:color w:val="000000" w:themeColor="text1"/>
          </w:rPr>
          <w:t>2. People admitted to hospital one or more times with a primary diagnosis of asthma</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_Toc196292450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9</w:t>
        </w:r>
        <w:r w:rsidRPr="00133505">
          <w:rPr>
            <w:noProof/>
            <w:webHidden/>
            <w:color w:val="000000" w:themeColor="text1"/>
          </w:rPr>
          <w:fldChar w:fldCharType="end"/>
        </w:r>
      </w:hyperlink>
    </w:p>
    <w:p w14:paraId="716729C6" w14:textId="6122655B"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1" w:history="1">
        <w:r w:rsidRPr="00133505">
          <w:rPr>
            <w:rStyle w:val="Hyperlink"/>
            <w:noProof/>
            <w:color w:val="000000" w:themeColor="text1"/>
          </w:rPr>
          <w:t xml:space="preserve">3. People with multiple hospital admissions with a primary diagnosis of asthma within 90 days </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_Toc196292451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11</w:t>
        </w:r>
        <w:r w:rsidRPr="00133505">
          <w:rPr>
            <w:noProof/>
            <w:webHidden/>
            <w:color w:val="000000" w:themeColor="text1"/>
          </w:rPr>
          <w:fldChar w:fldCharType="end"/>
        </w:r>
      </w:hyperlink>
    </w:p>
    <w:p w14:paraId="1DBA7BDB" w14:textId="66BCF73B"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2" w:history="1">
        <w:r w:rsidRPr="00133505">
          <w:rPr>
            <w:rStyle w:val="Hyperlink"/>
            <w:noProof/>
            <w:color w:val="000000" w:themeColor="text1"/>
          </w:rPr>
          <w:t>4. People with at least two admissions with a primary diagnosis of asthma or wheeze in children within 91 –365 days of each other</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_Toc196292452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12</w:t>
        </w:r>
        <w:r w:rsidRPr="00133505">
          <w:rPr>
            <w:noProof/>
            <w:webHidden/>
            <w:color w:val="000000" w:themeColor="text1"/>
          </w:rPr>
          <w:fldChar w:fldCharType="end"/>
        </w:r>
      </w:hyperlink>
    </w:p>
    <w:p w14:paraId="162E3BD4" w14:textId="24E85233"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3" w:history="1">
        <w:r w:rsidRPr="00133505">
          <w:rPr>
            <w:rStyle w:val="Hyperlink"/>
            <w:noProof/>
            <w:color w:val="000000" w:themeColor="text1"/>
          </w:rPr>
          <w:t>5. People not dispensed ICS regularly in the year after admission</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_Toc196292453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13</w:t>
        </w:r>
        <w:r w:rsidRPr="00133505">
          <w:rPr>
            <w:noProof/>
            <w:webHidden/>
            <w:color w:val="000000" w:themeColor="text1"/>
          </w:rPr>
          <w:fldChar w:fldCharType="end"/>
        </w:r>
      </w:hyperlink>
    </w:p>
    <w:p w14:paraId="06BA017F" w14:textId="27A0A1ED"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4" w:history="1">
        <w:r w:rsidRPr="00133505">
          <w:rPr>
            <w:rStyle w:val="Hyperlink"/>
            <w:noProof/>
            <w:color w:val="000000" w:themeColor="text1"/>
          </w:rPr>
          <w:t>6. PHO enrolled population not given a funded influenza vaccine in the year after admission</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_Toc196292454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15</w:t>
        </w:r>
        <w:r w:rsidRPr="00133505">
          <w:rPr>
            <w:noProof/>
            <w:webHidden/>
            <w:color w:val="000000" w:themeColor="text1"/>
          </w:rPr>
          <w:fldChar w:fldCharType="end"/>
        </w:r>
      </w:hyperlink>
    </w:p>
    <w:p w14:paraId="28D81192" w14:textId="7CB9F8C9"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5" w:history="1">
        <w:r w:rsidRPr="00133505">
          <w:rPr>
            <w:rStyle w:val="Hyperlink"/>
            <w:noProof/>
            <w:color w:val="000000" w:themeColor="text1"/>
          </w:rPr>
          <w:t>7. People regularly dispensed a short-acting beta agonist (SABA) who were not dispensed preventer during the year</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_Toc196292455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17</w:t>
        </w:r>
        <w:r w:rsidRPr="00133505">
          <w:rPr>
            <w:noProof/>
            <w:webHidden/>
            <w:color w:val="000000" w:themeColor="text1"/>
          </w:rPr>
          <w:fldChar w:fldCharType="end"/>
        </w:r>
      </w:hyperlink>
    </w:p>
    <w:p w14:paraId="0426DCDE" w14:textId="2402059C"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6" w:history="1">
        <w:r w:rsidRPr="00133505">
          <w:rPr>
            <w:rStyle w:val="Hyperlink"/>
            <w:noProof/>
            <w:color w:val="000000" w:themeColor="text1"/>
          </w:rPr>
          <w:t>8. People regularly dispensed SABA and not regularly dispensed preventer during the year</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_Toc196292456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19</w:t>
        </w:r>
        <w:r w:rsidRPr="00133505">
          <w:rPr>
            <w:noProof/>
            <w:webHidden/>
            <w:color w:val="000000" w:themeColor="text1"/>
          </w:rPr>
          <w:fldChar w:fldCharType="end"/>
        </w:r>
      </w:hyperlink>
    </w:p>
    <w:p w14:paraId="61F3E76B" w14:textId="0E60B91B" w:rsidR="008A5DB3" w:rsidRPr="00133505" w:rsidRDefault="008A5DB3">
      <w:pPr>
        <w:pStyle w:val="TOC3"/>
        <w:tabs>
          <w:tab w:val="right" w:leader="dot" w:pos="9060"/>
        </w:tabs>
        <w:rPr>
          <w:rFonts w:asciiTheme="minorHAnsi" w:eastAsiaTheme="minorEastAsia" w:hAnsiTheme="minorHAnsi" w:cstheme="minorBidi"/>
          <w:noProof/>
          <w:color w:val="000000" w:themeColor="text1"/>
          <w:kern w:val="2"/>
          <w:sz w:val="24"/>
          <w:szCs w:val="24"/>
          <w:lang w:eastAsia="en-NZ"/>
          <w14:ligatures w14:val="standardContextual"/>
        </w:rPr>
      </w:pPr>
      <w:hyperlink w:anchor="_Toc196292457" w:history="1">
        <w:r w:rsidRPr="00133505">
          <w:rPr>
            <w:rStyle w:val="Hyperlink"/>
            <w:noProof/>
            <w:color w:val="000000" w:themeColor="text1"/>
          </w:rPr>
          <w:t>9. NZ resident population admitted to hospital with a primary diagnosis of asthma or wheeze in children in the year</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_Toc196292457 \h </w:instrText>
        </w:r>
        <w:r w:rsidRPr="00133505">
          <w:rPr>
            <w:noProof/>
            <w:webHidden/>
            <w:color w:val="000000" w:themeColor="text1"/>
          </w:rPr>
          <w:fldChar w:fldCharType="separate"/>
        </w:r>
        <w:r w:rsidR="005C1A22">
          <w:rPr>
            <w:b/>
            <w:bCs/>
            <w:noProof/>
            <w:webHidden/>
            <w:color w:val="000000" w:themeColor="text1"/>
            <w:lang w:val="en-US"/>
          </w:rPr>
          <w:t>Error! Bookmark not defined.</w:t>
        </w:r>
        <w:r w:rsidRPr="00133505">
          <w:rPr>
            <w:noProof/>
            <w:webHidden/>
            <w:color w:val="000000" w:themeColor="text1"/>
          </w:rPr>
          <w:fldChar w:fldCharType="end"/>
        </w:r>
      </w:hyperlink>
    </w:p>
    <w:p w14:paraId="6501EB9B" w14:textId="27A593D4" w:rsidR="008A5DB3" w:rsidRPr="00133505" w:rsidRDefault="008A5DB3">
      <w:pPr>
        <w:pStyle w:val="TOC3"/>
        <w:tabs>
          <w:tab w:val="right" w:leader="dot" w:pos="9060"/>
        </w:tabs>
        <w:rPr>
          <w:color w:val="000000" w:themeColor="text1"/>
        </w:rPr>
      </w:pPr>
      <w:hyperlink w:anchor="_Toc196292458" w:history="1">
        <w:r w:rsidRPr="00133505">
          <w:rPr>
            <w:rStyle w:val="Hyperlink"/>
            <w:noProof/>
            <w:color w:val="000000" w:themeColor="text1"/>
          </w:rPr>
          <w:t>10. People aged 12–44 who regularly (TBD) received SMART Formoterol/ICS therapy</w:t>
        </w:r>
        <w:r w:rsidRPr="00133505">
          <w:rPr>
            <w:noProof/>
            <w:webHidden/>
            <w:color w:val="000000" w:themeColor="text1"/>
          </w:rPr>
          <w:tab/>
        </w:r>
        <w:r w:rsidRPr="00133505">
          <w:rPr>
            <w:noProof/>
            <w:webHidden/>
            <w:color w:val="000000" w:themeColor="text1"/>
          </w:rPr>
          <w:fldChar w:fldCharType="begin"/>
        </w:r>
        <w:r w:rsidRPr="00133505">
          <w:rPr>
            <w:noProof/>
            <w:webHidden/>
            <w:color w:val="000000" w:themeColor="text1"/>
          </w:rPr>
          <w:instrText xml:space="preserve"> PAGEREF _Toc196292458 \h </w:instrText>
        </w:r>
        <w:r w:rsidRPr="00133505">
          <w:rPr>
            <w:noProof/>
            <w:webHidden/>
            <w:color w:val="000000" w:themeColor="text1"/>
          </w:rPr>
        </w:r>
        <w:r w:rsidRPr="00133505">
          <w:rPr>
            <w:noProof/>
            <w:webHidden/>
            <w:color w:val="000000" w:themeColor="text1"/>
          </w:rPr>
          <w:fldChar w:fldCharType="separate"/>
        </w:r>
        <w:r w:rsidR="005C1A22">
          <w:rPr>
            <w:noProof/>
            <w:webHidden/>
            <w:color w:val="000000" w:themeColor="text1"/>
          </w:rPr>
          <w:t>20</w:t>
        </w:r>
        <w:r w:rsidRPr="00133505">
          <w:rPr>
            <w:noProof/>
            <w:webHidden/>
            <w:color w:val="000000" w:themeColor="text1"/>
          </w:rPr>
          <w:fldChar w:fldCharType="end"/>
        </w:r>
      </w:hyperlink>
    </w:p>
    <w:p w14:paraId="382D4649" w14:textId="77777777" w:rsidR="00230BD9" w:rsidRPr="00133505" w:rsidRDefault="00230BD9" w:rsidP="00D54CE8">
      <w:pPr>
        <w:pStyle w:val="paragraph"/>
        <w:spacing w:before="0" w:beforeAutospacing="0" w:after="0" w:afterAutospacing="0"/>
        <w:textAlignment w:val="baseline"/>
        <w:rPr>
          <w:rStyle w:val="normaltextrun"/>
          <w:rFonts w:ascii="Arial" w:hAnsi="Arial" w:cs="Arial"/>
          <w:b/>
          <w:bCs/>
          <w:color w:val="000000" w:themeColor="text1"/>
          <w:sz w:val="22"/>
          <w:szCs w:val="22"/>
        </w:rPr>
      </w:pPr>
    </w:p>
    <w:p w14:paraId="031ABA7F" w14:textId="636516EC" w:rsidR="00D54CE8" w:rsidRPr="00133505" w:rsidRDefault="00D54CE8" w:rsidP="00D54CE8">
      <w:pPr>
        <w:pStyle w:val="paragraph"/>
        <w:spacing w:before="0" w:beforeAutospacing="0" w:after="0" w:afterAutospacing="0"/>
        <w:textAlignment w:val="baseline"/>
        <w:rPr>
          <w:rFonts w:ascii="Segoe UI" w:hAnsi="Segoe UI" w:cs="Segoe UI"/>
          <w:b/>
          <w:bCs/>
          <w:color w:val="000000" w:themeColor="text1"/>
          <w:sz w:val="22"/>
          <w:szCs w:val="22"/>
        </w:rPr>
      </w:pPr>
      <w:r w:rsidRPr="00133505">
        <w:rPr>
          <w:rStyle w:val="normaltextrun"/>
          <w:rFonts w:ascii="Arial" w:hAnsi="Arial" w:cs="Arial"/>
          <w:b/>
          <w:bCs/>
          <w:color w:val="000000" w:themeColor="text1"/>
          <w:sz w:val="22"/>
          <w:szCs w:val="22"/>
        </w:rPr>
        <w:t>He mihi | Acknowledgements</w:t>
      </w:r>
      <w:r w:rsidRPr="00133505">
        <w:rPr>
          <w:rStyle w:val="eop"/>
          <w:rFonts w:ascii="Arial" w:hAnsi="Arial" w:cs="Arial"/>
          <w:b/>
          <w:bCs/>
          <w:color w:val="000000" w:themeColor="text1"/>
          <w:sz w:val="22"/>
          <w:szCs w:val="22"/>
        </w:rPr>
        <w:t> </w:t>
      </w:r>
    </w:p>
    <w:p w14:paraId="33713C74" w14:textId="77777777" w:rsidR="00D54CE8" w:rsidRPr="00133505" w:rsidRDefault="00D54CE8" w:rsidP="00D54CE8">
      <w:pPr>
        <w:pStyle w:val="paragraph"/>
        <w:spacing w:before="0" w:beforeAutospacing="0" w:after="0" w:afterAutospacing="0"/>
        <w:textAlignment w:val="baseline"/>
        <w:rPr>
          <w:rFonts w:ascii="Segoe UI" w:hAnsi="Segoe UI" w:cs="Segoe UI"/>
          <w:color w:val="000000" w:themeColor="text1"/>
          <w:sz w:val="18"/>
          <w:szCs w:val="18"/>
        </w:rPr>
      </w:pPr>
      <w:r w:rsidRPr="00133505">
        <w:rPr>
          <w:rStyle w:val="eop"/>
          <w:rFonts w:ascii="Arial" w:hAnsi="Arial" w:cs="Arial"/>
          <w:color w:val="000000" w:themeColor="text1"/>
          <w:sz w:val="22"/>
          <w:szCs w:val="22"/>
        </w:rPr>
        <w:t> </w:t>
      </w:r>
    </w:p>
    <w:p w14:paraId="1A290F54" w14:textId="0227C462" w:rsidR="00D54CE8" w:rsidRPr="00133505" w:rsidRDefault="00D54CE8" w:rsidP="00D54CE8">
      <w:pPr>
        <w:pStyle w:val="paragraph"/>
        <w:spacing w:before="0" w:beforeAutospacing="0" w:after="0" w:afterAutospacing="0"/>
        <w:textAlignment w:val="baseline"/>
        <w:rPr>
          <w:rStyle w:val="eop"/>
          <w:rFonts w:ascii="Arial" w:hAnsi="Arial" w:cs="Arial"/>
          <w:color w:val="000000" w:themeColor="text1"/>
          <w:sz w:val="22"/>
          <w:szCs w:val="22"/>
        </w:rPr>
      </w:pPr>
      <w:r w:rsidRPr="00133505">
        <w:rPr>
          <w:rStyle w:val="normaltextrun"/>
          <w:rFonts w:ascii="Helvetica" w:hAnsi="Helvetica" w:cs="Segoe UI"/>
          <w:color w:val="000000" w:themeColor="text1"/>
          <w:sz w:val="22"/>
          <w:szCs w:val="22"/>
        </w:rPr>
        <w:t xml:space="preserve">Te Tāhū Hauora </w:t>
      </w:r>
      <w:r w:rsidRPr="00133505">
        <w:rPr>
          <w:rStyle w:val="normaltextrun"/>
          <w:rFonts w:ascii="Arial" w:hAnsi="Arial" w:cs="Arial"/>
          <w:color w:val="000000" w:themeColor="text1"/>
          <w:sz w:val="22"/>
          <w:szCs w:val="22"/>
        </w:rPr>
        <w:t xml:space="preserve">Health Quality &amp; Safety Commission thanks the Expert Advisory Group </w:t>
      </w:r>
      <w:r w:rsidR="000E5ABB" w:rsidRPr="00133505">
        <w:rPr>
          <w:rStyle w:val="normaltextrun"/>
          <w:rFonts w:ascii="Arial" w:hAnsi="Arial" w:cs="Arial"/>
          <w:color w:val="000000" w:themeColor="text1"/>
          <w:sz w:val="22"/>
          <w:szCs w:val="22"/>
        </w:rPr>
        <w:t xml:space="preserve">(EAG) </w:t>
      </w:r>
      <w:r w:rsidRPr="00133505">
        <w:rPr>
          <w:rStyle w:val="normaltextrun"/>
          <w:rFonts w:ascii="Arial" w:hAnsi="Arial" w:cs="Arial"/>
          <w:color w:val="000000" w:themeColor="text1"/>
          <w:sz w:val="22"/>
          <w:szCs w:val="22"/>
        </w:rPr>
        <w:t xml:space="preserve">members for their expertise and contribution to the </w:t>
      </w:r>
      <w:r w:rsidR="00654546" w:rsidRPr="00133505">
        <w:rPr>
          <w:rStyle w:val="normaltextrun"/>
          <w:rFonts w:ascii="Arial" w:hAnsi="Arial" w:cs="Arial"/>
          <w:color w:val="000000" w:themeColor="text1"/>
          <w:sz w:val="22"/>
          <w:szCs w:val="22"/>
        </w:rPr>
        <w:t xml:space="preserve">2025 </w:t>
      </w:r>
      <w:r w:rsidR="000E5ABB" w:rsidRPr="00133505">
        <w:rPr>
          <w:rStyle w:val="normaltextrun"/>
          <w:rFonts w:ascii="Arial" w:hAnsi="Arial" w:cs="Arial"/>
          <w:color w:val="000000" w:themeColor="text1"/>
          <w:sz w:val="22"/>
          <w:szCs w:val="22"/>
        </w:rPr>
        <w:t xml:space="preserve">update of </w:t>
      </w:r>
      <w:r w:rsidR="00654546" w:rsidRPr="00133505">
        <w:rPr>
          <w:rStyle w:val="normaltextrun"/>
          <w:rFonts w:ascii="Arial" w:hAnsi="Arial" w:cs="Arial"/>
          <w:color w:val="000000" w:themeColor="text1"/>
          <w:sz w:val="22"/>
          <w:szCs w:val="22"/>
        </w:rPr>
        <w:t>Asthma</w:t>
      </w:r>
      <w:r w:rsidRPr="00133505">
        <w:rPr>
          <w:rStyle w:val="normaltextrun"/>
          <w:rFonts w:ascii="Arial" w:hAnsi="Arial" w:cs="Arial"/>
          <w:color w:val="000000" w:themeColor="text1"/>
          <w:sz w:val="22"/>
          <w:szCs w:val="22"/>
        </w:rPr>
        <w:t xml:space="preserve"> Atlas:</w:t>
      </w:r>
      <w:r w:rsidRPr="00133505">
        <w:rPr>
          <w:rStyle w:val="eop"/>
          <w:rFonts w:ascii="Arial" w:hAnsi="Arial" w:cs="Arial"/>
          <w:color w:val="000000" w:themeColor="text1"/>
          <w:sz w:val="22"/>
          <w:szCs w:val="22"/>
        </w:rPr>
        <w:t> </w:t>
      </w:r>
    </w:p>
    <w:p w14:paraId="343DC42F" w14:textId="77777777" w:rsidR="00D54CE8" w:rsidRPr="00133505" w:rsidRDefault="00D54CE8" w:rsidP="00D54CE8">
      <w:pPr>
        <w:pStyle w:val="paragraph"/>
        <w:spacing w:before="0" w:beforeAutospacing="0" w:after="0" w:afterAutospacing="0"/>
        <w:textAlignment w:val="baseline"/>
        <w:rPr>
          <w:rStyle w:val="eop"/>
          <w:rFonts w:ascii="Arial" w:hAnsi="Arial" w:cs="Arial"/>
          <w:color w:val="000000" w:themeColor="text1"/>
          <w:sz w:val="22"/>
          <w:szCs w:val="22"/>
        </w:rPr>
      </w:pPr>
    </w:p>
    <w:p w14:paraId="0D875862" w14:textId="0242A7A3"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Dr James Fingleton, Clinical Director – Sub-specialty Medicine; Respiratory Physician, Capital, Coast and Hutt Valley</w:t>
      </w:r>
      <w:r w:rsidRPr="00133505">
        <w:rPr>
          <w:rStyle w:val="eop"/>
          <w:rFonts w:ascii="Arial" w:hAnsi="Arial" w:cs="Arial"/>
          <w:color w:val="000000" w:themeColor="text1"/>
          <w:sz w:val="22"/>
          <w:szCs w:val="22"/>
        </w:rPr>
        <w:t> </w:t>
      </w:r>
    </w:p>
    <w:p w14:paraId="40BF2BCF"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Style w:val="eop"/>
          <w:rFonts w:ascii="Arial" w:hAnsi="Arial" w:cs="Arial"/>
          <w:color w:val="000000" w:themeColor="text1"/>
          <w:sz w:val="22"/>
          <w:szCs w:val="22"/>
        </w:rPr>
      </w:pPr>
      <w:r w:rsidRPr="00133505">
        <w:rPr>
          <w:rStyle w:val="normaltextrun"/>
          <w:rFonts w:ascii="Arial" w:hAnsi="Arial" w:cs="Arial"/>
          <w:color w:val="000000" w:themeColor="text1"/>
          <w:sz w:val="22"/>
          <w:szCs w:val="22"/>
        </w:rPr>
        <w:t>Dr Bob Hancox, Respiratory Physician, Medical Director Asthma and Respiratory Foundation; Professor, Department of Preventive and Social Medicine, University of Otago</w:t>
      </w:r>
      <w:r w:rsidRPr="00133505">
        <w:rPr>
          <w:rStyle w:val="eop"/>
          <w:rFonts w:ascii="Arial" w:hAnsi="Arial" w:cs="Arial"/>
          <w:color w:val="000000" w:themeColor="text1"/>
          <w:sz w:val="22"/>
          <w:szCs w:val="22"/>
        </w:rPr>
        <w:t> </w:t>
      </w:r>
    </w:p>
    <w:p w14:paraId="6F9FFAA7" w14:textId="5E5BDA2E"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eop"/>
          <w:rFonts w:ascii="Arial" w:hAnsi="Arial" w:cs="Arial"/>
          <w:color w:val="000000" w:themeColor="text1"/>
          <w:sz w:val="22"/>
          <w:szCs w:val="22"/>
        </w:rPr>
        <w:t xml:space="preserve">Dr </w:t>
      </w:r>
      <w:r w:rsidR="00B93FA2" w:rsidRPr="00133505">
        <w:rPr>
          <w:rStyle w:val="eop"/>
          <w:rFonts w:ascii="Arial" w:hAnsi="Arial" w:cs="Arial"/>
          <w:color w:val="000000" w:themeColor="text1"/>
          <w:sz w:val="22"/>
          <w:szCs w:val="22"/>
        </w:rPr>
        <w:t xml:space="preserve">David McNamara, </w:t>
      </w:r>
      <w:r w:rsidR="0063222A" w:rsidRPr="00133505">
        <w:rPr>
          <w:rFonts w:ascii="Arial" w:hAnsi="Arial" w:cs="Arial"/>
          <w:color w:val="000000" w:themeColor="text1"/>
          <w:sz w:val="22"/>
          <w:szCs w:val="22"/>
        </w:rPr>
        <w:t xml:space="preserve">Respiratory Paediatrician and Sleep Specialist, Clinical Leader, </w:t>
      </w:r>
      <w:r w:rsidR="00230BD9" w:rsidRPr="00133505">
        <w:rPr>
          <w:rFonts w:ascii="Arial" w:hAnsi="Arial" w:cs="Arial"/>
          <w:color w:val="000000" w:themeColor="text1"/>
          <w:sz w:val="22"/>
          <w:szCs w:val="22"/>
        </w:rPr>
        <w:t>Starship</w:t>
      </w:r>
      <w:r w:rsidR="0063222A" w:rsidRPr="00133505">
        <w:rPr>
          <w:rFonts w:ascii="Arial" w:hAnsi="Arial" w:cs="Arial"/>
          <w:color w:val="000000" w:themeColor="text1"/>
          <w:sz w:val="22"/>
          <w:szCs w:val="22"/>
        </w:rPr>
        <w:t xml:space="preserve"> </w:t>
      </w:r>
      <w:r w:rsidR="00E627F8" w:rsidRPr="00133505">
        <w:rPr>
          <w:rFonts w:ascii="Arial" w:hAnsi="Arial" w:cs="Arial"/>
          <w:color w:val="000000" w:themeColor="text1"/>
          <w:sz w:val="22"/>
          <w:szCs w:val="22"/>
        </w:rPr>
        <w:t xml:space="preserve">Children's </w:t>
      </w:r>
      <w:r w:rsidR="00230BD9" w:rsidRPr="00133505">
        <w:rPr>
          <w:rFonts w:ascii="Arial" w:hAnsi="Arial" w:cs="Arial"/>
          <w:color w:val="000000" w:themeColor="text1"/>
          <w:sz w:val="22"/>
          <w:szCs w:val="22"/>
        </w:rPr>
        <w:t>Hospital</w:t>
      </w:r>
      <w:r w:rsidR="00E627F8" w:rsidRPr="00133505">
        <w:rPr>
          <w:rFonts w:ascii="Arial" w:hAnsi="Arial" w:cs="Arial"/>
          <w:color w:val="000000" w:themeColor="text1"/>
          <w:sz w:val="22"/>
          <w:szCs w:val="22"/>
        </w:rPr>
        <w:t xml:space="preserve">, </w:t>
      </w:r>
      <w:r w:rsidR="00230BD9" w:rsidRPr="00133505">
        <w:rPr>
          <w:rFonts w:ascii="Arial" w:hAnsi="Arial" w:cs="Arial"/>
          <w:color w:val="000000" w:themeColor="text1"/>
          <w:sz w:val="22"/>
          <w:szCs w:val="22"/>
        </w:rPr>
        <w:t>Auckland</w:t>
      </w:r>
    </w:p>
    <w:p w14:paraId="01007008"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Dr Tristram Ingham, Associate Professor, Department of Medicine (Wellington), University of Otago</w:t>
      </w:r>
      <w:r w:rsidRPr="00133505">
        <w:rPr>
          <w:rStyle w:val="eop"/>
          <w:rFonts w:ascii="Arial" w:hAnsi="Arial" w:cs="Arial"/>
          <w:color w:val="000000" w:themeColor="text1"/>
          <w:sz w:val="22"/>
          <w:szCs w:val="22"/>
        </w:rPr>
        <w:t> </w:t>
      </w:r>
    </w:p>
    <w:p w14:paraId="08D68F7E"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Professor Lianne Parkin, Department of Preventive and Social Medicine, University of Otago</w:t>
      </w:r>
      <w:r w:rsidRPr="00133505">
        <w:rPr>
          <w:rStyle w:val="eop"/>
          <w:rFonts w:ascii="Arial" w:hAnsi="Arial" w:cs="Arial"/>
          <w:color w:val="000000" w:themeColor="text1"/>
          <w:sz w:val="22"/>
          <w:szCs w:val="22"/>
        </w:rPr>
        <w:t> </w:t>
      </w:r>
    </w:p>
    <w:p w14:paraId="2A4B8B2D"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Dr Linda Bryant, Pharmacist Prescriber, Newtown Union Health Service</w:t>
      </w:r>
      <w:r w:rsidRPr="00133505">
        <w:rPr>
          <w:rStyle w:val="eop"/>
          <w:rFonts w:ascii="Arial" w:hAnsi="Arial" w:cs="Arial"/>
          <w:color w:val="000000" w:themeColor="text1"/>
          <w:sz w:val="22"/>
          <w:szCs w:val="22"/>
        </w:rPr>
        <w:t> </w:t>
      </w:r>
    </w:p>
    <w:p w14:paraId="2F26F762"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Dr Bronwen Chesterfield, Public Health Physician, Population Health Gain team, Health New Zealand | Te Whatu Ora</w:t>
      </w:r>
      <w:r w:rsidRPr="00133505">
        <w:rPr>
          <w:rStyle w:val="eop"/>
          <w:rFonts w:ascii="Arial" w:hAnsi="Arial" w:cs="Arial"/>
          <w:color w:val="000000" w:themeColor="text1"/>
          <w:sz w:val="22"/>
          <w:szCs w:val="22"/>
        </w:rPr>
        <w:t> </w:t>
      </w:r>
    </w:p>
    <w:p w14:paraId="04ED2503"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 xml:space="preserve">Dr Jo Scott-Jones, Clinical Director, Pinnacle PHO, </w:t>
      </w:r>
      <w:r w:rsidRPr="00133505">
        <w:rPr>
          <w:rStyle w:val="normaltextrun"/>
          <w:rFonts w:ascii="Arial" w:hAnsi="Arial" w:cs="Arial"/>
          <w:color w:val="000000" w:themeColor="text1"/>
          <w:sz w:val="22"/>
          <w:szCs w:val="22"/>
          <w:shd w:val="clear" w:color="auto" w:fill="FFFFFF"/>
        </w:rPr>
        <w:t>Te Huataki Waiora School of Health; Hon Associate Professor, University of Waikato</w:t>
      </w:r>
      <w:r w:rsidRPr="00133505">
        <w:rPr>
          <w:rStyle w:val="eop"/>
          <w:rFonts w:ascii="Arial" w:hAnsi="Arial" w:cs="Arial"/>
          <w:color w:val="000000" w:themeColor="text1"/>
          <w:sz w:val="22"/>
          <w:szCs w:val="22"/>
        </w:rPr>
        <w:t> </w:t>
      </w:r>
    </w:p>
    <w:p w14:paraId="18B19AFA"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Dr Richard Medlicott, General Practitioner, Island Bay Medical Centre</w:t>
      </w:r>
      <w:r w:rsidRPr="00133505">
        <w:rPr>
          <w:rStyle w:val="eop"/>
          <w:rFonts w:ascii="Arial" w:hAnsi="Arial" w:cs="Arial"/>
          <w:color w:val="000000" w:themeColor="text1"/>
          <w:sz w:val="22"/>
          <w:szCs w:val="22"/>
        </w:rPr>
        <w:t> </w:t>
      </w:r>
    </w:p>
    <w:p w14:paraId="70933176" w14:textId="77777777" w:rsidR="00D54CE8" w:rsidRPr="00133505" w:rsidRDefault="00D54CE8" w:rsidP="00D54CE8">
      <w:pPr>
        <w:pStyle w:val="paragraph"/>
        <w:numPr>
          <w:ilvl w:val="0"/>
          <w:numId w:val="33"/>
        </w:numPr>
        <w:spacing w:before="0" w:beforeAutospacing="0" w:after="0" w:afterAutospacing="0"/>
        <w:ind w:left="284" w:hanging="284"/>
        <w:textAlignment w:val="baseline"/>
        <w:rPr>
          <w:rFonts w:ascii="Arial" w:hAnsi="Arial" w:cs="Arial"/>
          <w:color w:val="000000" w:themeColor="text1"/>
          <w:sz w:val="22"/>
          <w:szCs w:val="22"/>
        </w:rPr>
      </w:pPr>
      <w:r w:rsidRPr="00133505">
        <w:rPr>
          <w:rStyle w:val="normaltextrun"/>
          <w:rFonts w:ascii="Arial" w:hAnsi="Arial" w:cs="Arial"/>
          <w:color w:val="000000" w:themeColor="text1"/>
          <w:sz w:val="22"/>
          <w:szCs w:val="22"/>
        </w:rPr>
        <w:t>Jason Arnold, Principal Analyst, Pharmac</w:t>
      </w:r>
      <w:r w:rsidRPr="00133505">
        <w:rPr>
          <w:rStyle w:val="eop"/>
          <w:rFonts w:ascii="Arial" w:hAnsi="Arial" w:cs="Arial"/>
          <w:color w:val="000000" w:themeColor="text1"/>
          <w:sz w:val="22"/>
          <w:szCs w:val="22"/>
        </w:rPr>
        <w:t> </w:t>
      </w:r>
    </w:p>
    <w:p w14:paraId="316E3360" w14:textId="4A8E1856" w:rsidR="00D54CE8" w:rsidRPr="00133505" w:rsidRDefault="00D54CE8" w:rsidP="3FC8A15E">
      <w:pPr>
        <w:pStyle w:val="paragraph"/>
        <w:numPr>
          <w:ilvl w:val="0"/>
          <w:numId w:val="33"/>
        </w:numPr>
        <w:spacing w:before="0" w:beforeAutospacing="0" w:after="0" w:afterAutospacing="0"/>
        <w:ind w:left="284" w:hanging="284"/>
        <w:rPr>
          <w:rFonts w:eastAsiaTheme="minorEastAsia"/>
          <w:color w:val="000000" w:themeColor="text1"/>
        </w:rPr>
      </w:pPr>
      <w:r w:rsidRPr="3FC8A15E">
        <w:rPr>
          <w:rStyle w:val="normaltextrun"/>
          <w:rFonts w:ascii="Arial" w:hAnsi="Arial" w:cs="Arial"/>
          <w:color w:val="000000" w:themeColor="text1"/>
          <w:sz w:val="22"/>
          <w:szCs w:val="22"/>
        </w:rPr>
        <w:t>Robyn Harris, Team Lead Implementation, Pharmac</w:t>
      </w:r>
      <w:r w:rsidRPr="3FC8A15E">
        <w:rPr>
          <w:rStyle w:val="eop"/>
          <w:rFonts w:ascii="Arial" w:hAnsi="Arial" w:cs="Arial"/>
          <w:color w:val="000000" w:themeColor="text1"/>
          <w:sz w:val="22"/>
          <w:szCs w:val="22"/>
        </w:rPr>
        <w:t> </w:t>
      </w:r>
    </w:p>
    <w:p w14:paraId="06822A48" w14:textId="632CACF0" w:rsidR="003B070F" w:rsidRPr="00133505" w:rsidRDefault="00E67A7B" w:rsidP="003B070F">
      <w:pPr>
        <w:rPr>
          <w:color w:val="000000" w:themeColor="text1"/>
        </w:rPr>
      </w:pPr>
      <w:r w:rsidRPr="00133505">
        <w:rPr>
          <w:color w:val="000000" w:themeColor="text1"/>
        </w:rPr>
        <w:fldChar w:fldCharType="end"/>
      </w:r>
    </w:p>
    <w:p w14:paraId="4A9CB9A3" w14:textId="51E18618" w:rsidR="00494E58" w:rsidRPr="00133505" w:rsidRDefault="00494E58">
      <w:pPr>
        <w:spacing w:after="160" w:line="259" w:lineRule="auto"/>
        <w:rPr>
          <w:b/>
          <w:color w:val="000000" w:themeColor="text1"/>
        </w:rPr>
      </w:pPr>
      <w:r w:rsidRPr="00133505">
        <w:rPr>
          <w:b/>
          <w:color w:val="000000" w:themeColor="text1"/>
        </w:rPr>
        <w:br w:type="page"/>
      </w:r>
    </w:p>
    <w:p w14:paraId="53E21C10" w14:textId="77777777" w:rsidR="003B070F" w:rsidRPr="00133505" w:rsidRDefault="003B070F" w:rsidP="003B070F">
      <w:pPr>
        <w:rPr>
          <w:b/>
          <w:color w:val="000000" w:themeColor="text1"/>
        </w:rPr>
      </w:pPr>
    </w:p>
    <w:p w14:paraId="798A85DE" w14:textId="77777777" w:rsidR="003B070F" w:rsidRPr="00133505" w:rsidRDefault="003B070F" w:rsidP="00494E58">
      <w:pPr>
        <w:outlineLvl w:val="1"/>
        <w:rPr>
          <w:b/>
          <w:color w:val="000000" w:themeColor="text1"/>
          <w:szCs w:val="22"/>
        </w:rPr>
      </w:pPr>
      <w:bookmarkStart w:id="1" w:name="_Toc196292444"/>
      <w:r w:rsidRPr="00133505">
        <w:rPr>
          <w:b/>
          <w:color w:val="000000" w:themeColor="text1"/>
          <w:szCs w:val="22"/>
        </w:rPr>
        <w:t>General points:</w:t>
      </w:r>
      <w:bookmarkEnd w:id="1"/>
    </w:p>
    <w:p w14:paraId="315BC324" w14:textId="6BBF18B0" w:rsidR="00EF10E8" w:rsidRPr="00133505" w:rsidRDefault="000C2129" w:rsidP="00B728FF">
      <w:pPr>
        <w:pStyle w:val="TeThHauorabullets"/>
        <w:rPr>
          <w:bCs/>
          <w:color w:val="000000" w:themeColor="text1"/>
        </w:rPr>
      </w:pPr>
      <w:r w:rsidRPr="00133505">
        <w:rPr>
          <w:bCs/>
          <w:color w:val="000000" w:themeColor="text1"/>
        </w:rPr>
        <w:t xml:space="preserve">In the Atlas, crude rates are reported. This is because they give a true indication of the magnitude of a problem. To make comparisons between ethnic groups, it is recommended to use age-specific rates, provided in the Atlas. While age-standardised rates are commonly used for comparison we do not report them as they are not accurate measures of actual event rates where populations have different age structures. </w:t>
      </w:r>
    </w:p>
    <w:p w14:paraId="40AC1B7A" w14:textId="50AF8544" w:rsidR="00783D33" w:rsidRPr="00133505" w:rsidRDefault="00EF10E8" w:rsidP="00B728FF">
      <w:pPr>
        <w:pStyle w:val="TeThHauorabullets"/>
        <w:rPr>
          <w:color w:val="000000" w:themeColor="text1"/>
        </w:rPr>
      </w:pPr>
      <w:r w:rsidRPr="00133505">
        <w:rPr>
          <w:color w:val="000000" w:themeColor="text1"/>
        </w:rPr>
        <w:t xml:space="preserve">Data is not presented where the number of people in the numerator was less than 10. This is to preserve confidentiality. </w:t>
      </w:r>
    </w:p>
    <w:p w14:paraId="602072BC" w14:textId="14594B58" w:rsidR="00783D33" w:rsidRPr="00133505" w:rsidRDefault="00783D33" w:rsidP="00B728FF">
      <w:pPr>
        <w:pStyle w:val="TeThHauorabullets"/>
        <w:rPr>
          <w:color w:val="000000" w:themeColor="text1"/>
        </w:rPr>
      </w:pPr>
      <w:r w:rsidRPr="00133505">
        <w:rPr>
          <w:color w:val="000000" w:themeColor="text1"/>
        </w:rPr>
        <w:t>In contrast to other atlases, and following advice, we defined regular dispensing as the medication dispensed in two or more quarters of the calendar year. The reason for this difference is that some inhalers can last for more than three months.</w:t>
      </w:r>
    </w:p>
    <w:p w14:paraId="523E85D1" w14:textId="0453F00E" w:rsidR="003B070F" w:rsidRPr="00133505" w:rsidRDefault="00632071" w:rsidP="00B728FF">
      <w:pPr>
        <w:pStyle w:val="TeThHauorahead3"/>
        <w:rPr>
          <w:color w:val="000000" w:themeColor="text1"/>
        </w:rPr>
      </w:pPr>
      <w:bookmarkStart w:id="2" w:name="_Toc196292445"/>
      <w:r w:rsidRPr="00133505">
        <w:rPr>
          <w:color w:val="000000" w:themeColor="text1"/>
        </w:rPr>
        <w:t>Sociodemographic information</w:t>
      </w:r>
      <w:bookmarkEnd w:id="2"/>
    </w:p>
    <w:p w14:paraId="17A35FB6" w14:textId="11FAA45E" w:rsidR="00925F0C" w:rsidRPr="00133505" w:rsidRDefault="00925F0C" w:rsidP="00AE2D5A">
      <w:pPr>
        <w:pStyle w:val="TeThHauorabullets"/>
        <w:numPr>
          <w:ilvl w:val="0"/>
          <w:numId w:val="34"/>
        </w:numPr>
        <w:rPr>
          <w:color w:val="000000" w:themeColor="text1"/>
        </w:rPr>
      </w:pPr>
      <w:r w:rsidRPr="00133505">
        <w:rPr>
          <w:color w:val="000000" w:themeColor="text1"/>
        </w:rPr>
        <w:t xml:space="preserve">People were assigned to their Health New Zealand Te Whatu Ora district (previously referred to as Health New Zealand </w:t>
      </w:r>
      <w:r w:rsidR="2F4E267A" w:rsidRPr="00133505">
        <w:rPr>
          <w:color w:val="000000" w:themeColor="text1"/>
        </w:rPr>
        <w:t>D</w:t>
      </w:r>
      <w:r w:rsidRPr="00133505">
        <w:rPr>
          <w:color w:val="000000" w:themeColor="text1"/>
        </w:rPr>
        <w:t>istrict Health Board; DHB) of domicile; where more than one domicile was recorded, the most recent value was selected.</w:t>
      </w:r>
    </w:p>
    <w:p w14:paraId="7CC92C6D" w14:textId="600EE20F" w:rsidR="00CE6002" w:rsidRPr="00133505" w:rsidRDefault="00925F0C" w:rsidP="3FC8A15E">
      <w:pPr>
        <w:pStyle w:val="ListParagraph"/>
        <w:numPr>
          <w:ilvl w:val="0"/>
          <w:numId w:val="34"/>
        </w:numPr>
        <w:spacing w:before="240" w:after="0"/>
        <w:rPr>
          <w:rFonts w:eastAsia="Arial" w:cs="Arial"/>
          <w:color w:val="000000" w:themeColor="text1"/>
        </w:rPr>
      </w:pPr>
      <w:r w:rsidRPr="00133505">
        <w:rPr>
          <w:color w:val="000000" w:themeColor="text1"/>
        </w:rPr>
        <w:t xml:space="preserve">Ethnicity data presented is total response ethnic group (Māori, Pacific peoples, and </w:t>
      </w:r>
      <w:r w:rsidR="00D87A33" w:rsidRPr="00133505">
        <w:rPr>
          <w:color w:val="000000" w:themeColor="text1"/>
        </w:rPr>
        <w:t>European/Other</w:t>
      </w:r>
      <w:r w:rsidRPr="00133505">
        <w:rPr>
          <w:color w:val="000000" w:themeColor="text1"/>
        </w:rPr>
        <w:t>). This means people with more than one recorded ethnic group are presented in each of those ethnic groups. This is different from prior Atlas reporting, which used prioritised ethnic group.</w:t>
      </w:r>
      <w:r w:rsidR="007B54C4" w:rsidRPr="00133505">
        <w:rPr>
          <w:color w:val="000000" w:themeColor="text1"/>
        </w:rPr>
        <w:t xml:space="preserve"> </w:t>
      </w:r>
      <w:r w:rsidR="00C9150A" w:rsidRPr="00133505">
        <w:rPr>
          <w:color w:val="000000" w:themeColor="text1"/>
        </w:rPr>
        <w:t>Reporting</w:t>
      </w:r>
      <w:r w:rsidR="00DA5870" w:rsidRPr="00133505">
        <w:rPr>
          <w:color w:val="000000" w:themeColor="text1"/>
        </w:rPr>
        <w:t xml:space="preserve"> </w:t>
      </w:r>
      <w:r w:rsidR="00997A30" w:rsidRPr="00133505">
        <w:rPr>
          <w:color w:val="000000" w:themeColor="text1"/>
        </w:rPr>
        <w:t>total response ethni</w:t>
      </w:r>
      <w:r w:rsidR="006D31AB" w:rsidRPr="00133505">
        <w:rPr>
          <w:color w:val="000000" w:themeColor="text1"/>
        </w:rPr>
        <w:t xml:space="preserve">city </w:t>
      </w:r>
      <w:r w:rsidR="0099444D" w:rsidRPr="00133505">
        <w:rPr>
          <w:color w:val="000000" w:themeColor="text1"/>
        </w:rPr>
        <w:t>help</w:t>
      </w:r>
      <w:r w:rsidR="00DB11BB" w:rsidRPr="00133505">
        <w:rPr>
          <w:color w:val="000000" w:themeColor="text1"/>
        </w:rPr>
        <w:t>s to</w:t>
      </w:r>
      <w:r w:rsidR="0099444D" w:rsidRPr="00133505">
        <w:rPr>
          <w:color w:val="000000" w:themeColor="text1"/>
        </w:rPr>
        <w:t xml:space="preserve"> avoid</w:t>
      </w:r>
      <w:r w:rsidR="006D31AB" w:rsidRPr="00133505">
        <w:rPr>
          <w:color w:val="000000" w:themeColor="text1"/>
        </w:rPr>
        <w:t xml:space="preserve"> undercounting </w:t>
      </w:r>
      <w:r w:rsidR="00495D2F" w:rsidRPr="00133505">
        <w:rPr>
          <w:color w:val="000000" w:themeColor="text1"/>
        </w:rPr>
        <w:t xml:space="preserve">of </w:t>
      </w:r>
      <w:r w:rsidR="006C5487" w:rsidRPr="00133505">
        <w:rPr>
          <w:color w:val="000000" w:themeColor="text1"/>
        </w:rPr>
        <w:t>ethnic groupings</w:t>
      </w:r>
      <w:r w:rsidR="009D785D" w:rsidRPr="00133505">
        <w:rPr>
          <w:color w:val="000000" w:themeColor="text1"/>
        </w:rPr>
        <w:t xml:space="preserve"> </w:t>
      </w:r>
      <w:r w:rsidR="0099444D" w:rsidRPr="00133505">
        <w:rPr>
          <w:color w:val="000000" w:themeColor="text1"/>
        </w:rPr>
        <w:t>where</w:t>
      </w:r>
      <w:r w:rsidR="00495D2F" w:rsidRPr="00133505">
        <w:rPr>
          <w:color w:val="000000" w:themeColor="text1"/>
        </w:rPr>
        <w:t xml:space="preserve"> individuals </w:t>
      </w:r>
      <w:r w:rsidR="0099444D" w:rsidRPr="00133505">
        <w:rPr>
          <w:color w:val="000000" w:themeColor="text1"/>
        </w:rPr>
        <w:t>identify with multiple ethnicities</w:t>
      </w:r>
      <w:r w:rsidR="00832415" w:rsidRPr="00133505">
        <w:rPr>
          <w:color w:val="000000" w:themeColor="text1"/>
        </w:rPr>
        <w:t>. This means that, at low levels of disaggregation, counts are larger</w:t>
      </w:r>
      <w:r w:rsidR="00A55C74" w:rsidRPr="00133505">
        <w:rPr>
          <w:color w:val="000000" w:themeColor="text1"/>
        </w:rPr>
        <w:t>,</w:t>
      </w:r>
      <w:r w:rsidR="00832415" w:rsidRPr="00133505">
        <w:rPr>
          <w:color w:val="000000" w:themeColor="text1"/>
        </w:rPr>
        <w:t xml:space="preserve"> and more results </w:t>
      </w:r>
      <w:r w:rsidR="00CE50CF" w:rsidRPr="00133505">
        <w:rPr>
          <w:color w:val="000000" w:themeColor="text1"/>
        </w:rPr>
        <w:t xml:space="preserve">reach the threshold for reporting in the Atlas (numerator </w:t>
      </w:r>
      <w:r w:rsidR="007B692C" w:rsidRPr="00133505">
        <w:rPr>
          <w:color w:val="000000" w:themeColor="text1"/>
        </w:rPr>
        <w:t>greater than 10).</w:t>
      </w:r>
      <w:r w:rsidR="00A87CCD" w:rsidRPr="00133505">
        <w:rPr>
          <w:color w:val="000000" w:themeColor="text1"/>
        </w:rPr>
        <w:t xml:space="preserve"> </w:t>
      </w:r>
      <w:r w:rsidR="00E85E56" w:rsidRPr="00133505">
        <w:rPr>
          <w:color w:val="000000" w:themeColor="text1"/>
        </w:rPr>
        <w:t xml:space="preserve">However, </w:t>
      </w:r>
      <w:r w:rsidR="00A50AA8" w:rsidRPr="00133505">
        <w:rPr>
          <w:color w:val="000000" w:themeColor="text1"/>
        </w:rPr>
        <w:t xml:space="preserve">standard </w:t>
      </w:r>
      <w:r w:rsidR="001648FB" w:rsidRPr="00133505">
        <w:rPr>
          <w:color w:val="000000" w:themeColor="text1"/>
        </w:rPr>
        <w:t xml:space="preserve">statistical methods for comparison between groups assume </w:t>
      </w:r>
      <w:r w:rsidR="007D1E12" w:rsidRPr="00133505">
        <w:rPr>
          <w:color w:val="000000" w:themeColor="text1"/>
        </w:rPr>
        <w:t>that</w:t>
      </w:r>
      <w:r w:rsidR="00A53E6C" w:rsidRPr="00133505">
        <w:rPr>
          <w:color w:val="000000" w:themeColor="text1"/>
        </w:rPr>
        <w:t xml:space="preserve"> group membership is mutually exclusive. With total response ethnicity, this is not the case</w:t>
      </w:r>
      <w:r w:rsidR="00A55C74" w:rsidRPr="00133505">
        <w:rPr>
          <w:color w:val="000000" w:themeColor="text1"/>
        </w:rPr>
        <w:t>,</w:t>
      </w:r>
      <w:r w:rsidR="00366B6B" w:rsidRPr="00133505">
        <w:rPr>
          <w:color w:val="000000" w:themeColor="text1"/>
        </w:rPr>
        <w:t xml:space="preserve"> and </w:t>
      </w:r>
      <w:r w:rsidR="00F85BB1" w:rsidRPr="00133505">
        <w:rPr>
          <w:color w:val="000000" w:themeColor="text1"/>
        </w:rPr>
        <w:t>results should be interpreted more cautiously.</w:t>
      </w:r>
      <w:r w:rsidR="003223D9" w:rsidRPr="00133505">
        <w:rPr>
          <w:color w:val="000000" w:themeColor="text1"/>
        </w:rPr>
        <w:t xml:space="preserve"> </w:t>
      </w:r>
    </w:p>
    <w:p w14:paraId="608D5ED8" w14:textId="079BBDB3" w:rsidR="00DD7E9B" w:rsidRPr="00133505" w:rsidRDefault="6F37B845" w:rsidP="00AE2D5A">
      <w:pPr>
        <w:pStyle w:val="ListParagraph"/>
        <w:numPr>
          <w:ilvl w:val="0"/>
          <w:numId w:val="34"/>
        </w:numPr>
        <w:spacing w:before="240"/>
        <w:rPr>
          <w:color w:val="000000" w:themeColor="text1"/>
          <w:szCs w:val="22"/>
        </w:rPr>
      </w:pPr>
      <w:r w:rsidRPr="00133505">
        <w:rPr>
          <w:rFonts w:eastAsia="Arial" w:cs="Arial"/>
          <w:color w:val="000000" w:themeColor="text1"/>
          <w:szCs w:val="22"/>
        </w:rPr>
        <w:t>Age group is assigned using</w:t>
      </w:r>
      <w:r w:rsidR="003E11EE" w:rsidRPr="00133505">
        <w:rPr>
          <w:color w:val="000000" w:themeColor="text1"/>
        </w:rPr>
        <w:t xml:space="preserve"> 30 June of each calendar year as </w:t>
      </w:r>
      <w:r w:rsidR="41B1C105" w:rsidRPr="00133505">
        <w:rPr>
          <w:color w:val="000000" w:themeColor="text1"/>
        </w:rPr>
        <w:t>the</w:t>
      </w:r>
      <w:r w:rsidR="003E11EE" w:rsidRPr="00133505">
        <w:rPr>
          <w:color w:val="000000" w:themeColor="text1"/>
        </w:rPr>
        <w:t xml:space="preserve"> cutoff point. For example, if a person turned 45 years old on 1 July 2023, they will still be considered 44 years old</w:t>
      </w:r>
      <w:r w:rsidR="08F7F874" w:rsidRPr="00133505">
        <w:rPr>
          <w:color w:val="000000" w:themeColor="text1"/>
        </w:rPr>
        <w:t xml:space="preserve"> for 2023</w:t>
      </w:r>
      <w:r w:rsidR="003E11EE" w:rsidRPr="00133505">
        <w:rPr>
          <w:color w:val="000000" w:themeColor="text1"/>
        </w:rPr>
        <w:t xml:space="preserve">. </w:t>
      </w:r>
    </w:p>
    <w:p w14:paraId="36D008B5" w14:textId="2ADB4B62" w:rsidR="0047317F" w:rsidRPr="00133505" w:rsidRDefault="00822BF4" w:rsidP="00AE2D5A">
      <w:pPr>
        <w:pStyle w:val="ListParagraph"/>
        <w:numPr>
          <w:ilvl w:val="0"/>
          <w:numId w:val="34"/>
        </w:numPr>
        <w:spacing w:before="240"/>
        <w:rPr>
          <w:bCs/>
          <w:color w:val="000000" w:themeColor="text1"/>
        </w:rPr>
      </w:pPr>
      <w:r w:rsidRPr="00133505">
        <w:rPr>
          <w:bCs/>
          <w:color w:val="000000" w:themeColor="text1"/>
        </w:rPr>
        <w:t>P</w:t>
      </w:r>
      <w:r w:rsidR="0047317F" w:rsidRPr="00133505">
        <w:rPr>
          <w:bCs/>
          <w:color w:val="000000" w:themeColor="text1"/>
        </w:rPr>
        <w:t>eople</w:t>
      </w:r>
      <w:r w:rsidR="004B5BC2" w:rsidRPr="00133505">
        <w:rPr>
          <w:bCs/>
          <w:color w:val="000000" w:themeColor="text1"/>
        </w:rPr>
        <w:t xml:space="preserve"> who</w:t>
      </w:r>
      <w:r w:rsidR="0047317F" w:rsidRPr="00133505">
        <w:rPr>
          <w:bCs/>
          <w:color w:val="000000" w:themeColor="text1"/>
        </w:rPr>
        <w:t xml:space="preserve"> died during the calendar year </w:t>
      </w:r>
      <w:r w:rsidRPr="00133505">
        <w:rPr>
          <w:bCs/>
          <w:color w:val="000000" w:themeColor="text1"/>
        </w:rPr>
        <w:t>are included in the</w:t>
      </w:r>
      <w:r w:rsidR="0047317F" w:rsidRPr="00133505">
        <w:rPr>
          <w:bCs/>
          <w:color w:val="000000" w:themeColor="text1"/>
        </w:rPr>
        <w:t xml:space="preserve"> admission indicators (#1, #2, #</w:t>
      </w:r>
      <w:r w:rsidR="00DD7FAA" w:rsidRPr="00133505">
        <w:rPr>
          <w:bCs/>
          <w:color w:val="000000" w:themeColor="text1"/>
        </w:rPr>
        <w:t>3, and</w:t>
      </w:r>
      <w:r w:rsidR="005E1182" w:rsidRPr="00133505">
        <w:rPr>
          <w:bCs/>
          <w:color w:val="000000" w:themeColor="text1"/>
        </w:rPr>
        <w:t xml:space="preserve"> </w:t>
      </w:r>
      <w:r w:rsidR="00FF43E4" w:rsidRPr="00133505">
        <w:rPr>
          <w:bCs/>
          <w:color w:val="000000" w:themeColor="text1"/>
        </w:rPr>
        <w:t>#4</w:t>
      </w:r>
      <w:r w:rsidR="0047317F" w:rsidRPr="00133505">
        <w:rPr>
          <w:bCs/>
          <w:color w:val="000000" w:themeColor="text1"/>
        </w:rPr>
        <w:t xml:space="preserve">) </w:t>
      </w:r>
      <w:r w:rsidR="00A61D85" w:rsidRPr="00133505">
        <w:rPr>
          <w:bCs/>
          <w:color w:val="000000" w:themeColor="text1"/>
        </w:rPr>
        <w:t xml:space="preserve">and </w:t>
      </w:r>
      <w:r w:rsidRPr="00133505">
        <w:rPr>
          <w:bCs/>
          <w:color w:val="000000" w:themeColor="text1"/>
        </w:rPr>
        <w:t>are</w:t>
      </w:r>
      <w:r w:rsidR="0047317F" w:rsidRPr="00133505">
        <w:rPr>
          <w:bCs/>
          <w:color w:val="000000" w:themeColor="text1"/>
        </w:rPr>
        <w:t xml:space="preserve"> excluded </w:t>
      </w:r>
      <w:r w:rsidRPr="00133505">
        <w:rPr>
          <w:bCs/>
          <w:color w:val="000000" w:themeColor="text1"/>
        </w:rPr>
        <w:t>from the</w:t>
      </w:r>
      <w:r w:rsidR="0047317F" w:rsidRPr="00133505">
        <w:rPr>
          <w:bCs/>
          <w:color w:val="000000" w:themeColor="text1"/>
        </w:rPr>
        <w:t xml:space="preserve"> management indicators (#5, #6, #7, #8</w:t>
      </w:r>
      <w:r w:rsidR="008F546F" w:rsidRPr="00133505">
        <w:rPr>
          <w:bCs/>
          <w:color w:val="000000" w:themeColor="text1"/>
        </w:rPr>
        <w:t xml:space="preserve"> </w:t>
      </w:r>
      <w:r w:rsidR="0047317F" w:rsidRPr="00133505">
        <w:rPr>
          <w:bCs/>
          <w:color w:val="000000" w:themeColor="text1"/>
        </w:rPr>
        <w:t>and #</w:t>
      </w:r>
      <w:r w:rsidR="0090637C" w:rsidRPr="00133505">
        <w:rPr>
          <w:bCs/>
          <w:color w:val="000000" w:themeColor="text1"/>
        </w:rPr>
        <w:t>9</w:t>
      </w:r>
      <w:r w:rsidR="0047317F" w:rsidRPr="00133505">
        <w:rPr>
          <w:bCs/>
          <w:color w:val="000000" w:themeColor="text1"/>
        </w:rPr>
        <w:t>).</w:t>
      </w:r>
    </w:p>
    <w:p w14:paraId="064FDF19" w14:textId="6F2E0D26" w:rsidR="00AE2D5A" w:rsidRPr="00133505" w:rsidRDefault="00B73222" w:rsidP="005B632C">
      <w:pPr>
        <w:pStyle w:val="Header"/>
        <w:tabs>
          <w:tab w:val="clear" w:pos="4153"/>
          <w:tab w:val="center" w:pos="709"/>
        </w:tabs>
        <w:spacing w:before="240"/>
        <w:ind w:left="360"/>
        <w:rPr>
          <w:color w:val="000000" w:themeColor="text1"/>
        </w:rPr>
      </w:pPr>
      <w:r w:rsidRPr="00133505">
        <w:rPr>
          <w:color w:val="000000" w:themeColor="text1"/>
        </w:rPr>
        <w:t xml:space="preserve">Where individuals </w:t>
      </w:r>
      <w:r w:rsidR="00694500" w:rsidRPr="00133505">
        <w:rPr>
          <w:color w:val="000000" w:themeColor="text1"/>
        </w:rPr>
        <w:t>have been transferred between hospitals or services on the same or consecutive days</w:t>
      </w:r>
      <w:r w:rsidR="00C87B97" w:rsidRPr="00133505">
        <w:rPr>
          <w:color w:val="000000" w:themeColor="text1"/>
        </w:rPr>
        <w:t xml:space="preserve">, </w:t>
      </w:r>
      <w:r w:rsidR="00545CC3" w:rsidRPr="00133505">
        <w:rPr>
          <w:color w:val="000000" w:themeColor="text1"/>
        </w:rPr>
        <w:t xml:space="preserve">the associated events </w:t>
      </w:r>
      <w:r w:rsidR="004615CC" w:rsidRPr="00133505">
        <w:rPr>
          <w:color w:val="000000" w:themeColor="text1"/>
        </w:rPr>
        <w:t xml:space="preserve">in the national minimum dataset are combined into a single </w:t>
      </w:r>
      <w:r w:rsidR="00E25BC5" w:rsidRPr="00133505">
        <w:rPr>
          <w:color w:val="000000" w:themeColor="text1"/>
        </w:rPr>
        <w:t>multi-day episode of care</w:t>
      </w:r>
      <w:r w:rsidR="004615CC" w:rsidRPr="00133505">
        <w:rPr>
          <w:color w:val="000000" w:themeColor="text1"/>
        </w:rPr>
        <w:t xml:space="preserve"> (</w:t>
      </w:r>
      <w:proofErr w:type="spellStart"/>
      <w:r w:rsidR="004615CC" w:rsidRPr="00133505">
        <w:rPr>
          <w:color w:val="000000" w:themeColor="text1"/>
        </w:rPr>
        <w:t>ie</w:t>
      </w:r>
      <w:proofErr w:type="spellEnd"/>
      <w:r w:rsidR="004615CC" w:rsidRPr="00133505">
        <w:rPr>
          <w:color w:val="000000" w:themeColor="text1"/>
        </w:rPr>
        <w:t>, a single row)</w:t>
      </w:r>
      <w:r w:rsidR="00BA045B" w:rsidRPr="00133505">
        <w:rPr>
          <w:rStyle w:val="FootnoteReference"/>
          <w:color w:val="000000" w:themeColor="text1"/>
        </w:rPr>
        <w:footnoteReference w:id="2"/>
      </w:r>
      <w:r w:rsidR="00B65F00" w:rsidRPr="00133505">
        <w:rPr>
          <w:color w:val="000000" w:themeColor="text1"/>
        </w:rPr>
        <w:t xml:space="preserve">. This </w:t>
      </w:r>
      <w:r w:rsidR="00E25DD3" w:rsidRPr="00133505">
        <w:rPr>
          <w:color w:val="000000" w:themeColor="text1"/>
        </w:rPr>
        <w:t xml:space="preserve">avoids </w:t>
      </w:r>
      <w:r w:rsidR="00674105" w:rsidRPr="00133505">
        <w:rPr>
          <w:color w:val="000000" w:themeColor="text1"/>
        </w:rPr>
        <w:t>double counting</w:t>
      </w:r>
      <w:r w:rsidR="00E25DD3" w:rsidRPr="00133505">
        <w:rPr>
          <w:color w:val="000000" w:themeColor="text1"/>
        </w:rPr>
        <w:t xml:space="preserve"> a person if they are admitted to one hospital and then transferred to another.</w:t>
      </w:r>
    </w:p>
    <w:p w14:paraId="54F61DF2" w14:textId="77777777" w:rsidR="005B632C" w:rsidRPr="005B632C" w:rsidRDefault="005B632C" w:rsidP="005B632C">
      <w:pPr>
        <w:pStyle w:val="Header"/>
        <w:tabs>
          <w:tab w:val="clear" w:pos="4153"/>
          <w:tab w:val="center" w:pos="709"/>
        </w:tabs>
        <w:spacing w:before="240"/>
        <w:ind w:left="360"/>
        <w:rPr>
          <w:color w:val="000000" w:themeColor="text1"/>
        </w:rPr>
      </w:pPr>
    </w:p>
    <w:p w14:paraId="2C718EE6" w14:textId="54138A0E" w:rsidR="77027A2A" w:rsidRPr="00133505" w:rsidRDefault="07472211">
      <w:pPr>
        <w:rPr>
          <w:rFonts w:eastAsia="Arial" w:cs="Arial"/>
          <w:b/>
          <w:bCs/>
          <w:color w:val="000000" w:themeColor="text1"/>
          <w:szCs w:val="22"/>
        </w:rPr>
      </w:pPr>
      <w:r w:rsidRPr="00133505">
        <w:rPr>
          <w:rFonts w:eastAsia="Arial" w:cs="Arial"/>
          <w:b/>
          <w:bCs/>
          <w:color w:val="000000" w:themeColor="text1"/>
          <w:szCs w:val="22"/>
        </w:rPr>
        <w:t>PHO analysis</w:t>
      </w:r>
    </w:p>
    <w:p w14:paraId="5E7D2004" w14:textId="34621F10" w:rsidR="07472211" w:rsidRPr="00133505" w:rsidRDefault="07472211" w:rsidP="77027A2A">
      <w:pPr>
        <w:pStyle w:val="Header"/>
        <w:numPr>
          <w:ilvl w:val="0"/>
          <w:numId w:val="15"/>
        </w:numPr>
        <w:tabs>
          <w:tab w:val="clear" w:pos="4153"/>
          <w:tab w:val="center" w:pos="709"/>
        </w:tabs>
        <w:spacing w:before="240"/>
        <w:rPr>
          <w:color w:val="000000" w:themeColor="text1"/>
          <w:szCs w:val="22"/>
        </w:rPr>
      </w:pPr>
      <w:r w:rsidRPr="00133505">
        <w:rPr>
          <w:color w:val="000000" w:themeColor="text1"/>
        </w:rPr>
        <w:lastRenderedPageBreak/>
        <w:t xml:space="preserve">For PHO analyses, we analysed indicator #1 and #2 to determine asthma admissions among each PHO. Then we categorised them into small (less </w:t>
      </w:r>
      <w:r w:rsidR="3DE4BAED" w:rsidRPr="00133505">
        <w:rPr>
          <w:color w:val="000000" w:themeColor="text1"/>
        </w:rPr>
        <w:t>than 60</w:t>
      </w:r>
      <w:r w:rsidRPr="00133505">
        <w:rPr>
          <w:color w:val="000000" w:themeColor="text1"/>
        </w:rPr>
        <w:t xml:space="preserve"> admissions), medium (between 60 and 149), medium-large (between 150 and 299) and large (300 or more admissions).</w:t>
      </w:r>
    </w:p>
    <w:p w14:paraId="20A9817E" w14:textId="4579EE97" w:rsidR="77027A2A" w:rsidRPr="00133505" w:rsidRDefault="07472211" w:rsidP="1002A1B5">
      <w:pPr>
        <w:pStyle w:val="Header"/>
        <w:numPr>
          <w:ilvl w:val="0"/>
          <w:numId w:val="15"/>
        </w:numPr>
        <w:tabs>
          <w:tab w:val="clear" w:pos="4153"/>
          <w:tab w:val="center" w:pos="709"/>
        </w:tabs>
        <w:spacing w:before="240"/>
        <w:rPr>
          <w:rFonts w:eastAsia="Arial" w:cs="Arial"/>
          <w:color w:val="000000" w:themeColor="text1"/>
          <w:szCs w:val="22"/>
        </w:rPr>
      </w:pPr>
      <w:r w:rsidRPr="00133505">
        <w:rPr>
          <w:rFonts w:eastAsia="Arial" w:cs="Arial"/>
          <w:color w:val="000000" w:themeColor="text1"/>
          <w:szCs w:val="22"/>
        </w:rPr>
        <w:t xml:space="preserve">Please note the following PHOs were combined in the Atlas, this was done where PHOs had changed entities, or where there were regional subsidiaries with enrolled populations that were too small to report separately. </w:t>
      </w:r>
    </w:p>
    <w:tbl>
      <w:tblPr>
        <w:tblW w:w="0" w:type="auto"/>
        <w:tblInd w:w="615" w:type="dxa"/>
        <w:tblLayout w:type="fixed"/>
        <w:tblLook w:val="04A0" w:firstRow="1" w:lastRow="0" w:firstColumn="1" w:lastColumn="0" w:noHBand="0" w:noVBand="1"/>
      </w:tblPr>
      <w:tblGrid>
        <w:gridCol w:w="4420"/>
        <w:gridCol w:w="4422"/>
      </w:tblGrid>
      <w:tr w:rsidR="00133505" w:rsidRPr="00133505" w14:paraId="087C39E4"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70C22" w14:textId="4DF08EC7" w:rsidR="1002A1B5" w:rsidRPr="00133505" w:rsidRDefault="1002A1B5">
            <w:pPr>
              <w:rPr>
                <w:rFonts w:ascii="Aptos Narrow" w:eastAsia="Aptos Narrow" w:hAnsi="Aptos Narrow" w:cs="Aptos Narrow"/>
                <w:b/>
                <w:bCs/>
                <w:color w:val="000000" w:themeColor="text1"/>
                <w:szCs w:val="22"/>
              </w:rPr>
            </w:pPr>
            <w:r w:rsidRPr="00133505">
              <w:rPr>
                <w:rFonts w:ascii="Aptos Narrow" w:eastAsia="Aptos Narrow" w:hAnsi="Aptos Narrow" w:cs="Aptos Narrow"/>
                <w:b/>
                <w:bCs/>
                <w:color w:val="000000" w:themeColor="text1"/>
                <w:szCs w:val="22"/>
              </w:rPr>
              <w:t>Recorded PHO name</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3673E1F0" w14:textId="47083459" w:rsidR="1002A1B5" w:rsidRPr="00133505" w:rsidRDefault="1002A1B5">
            <w:pPr>
              <w:rPr>
                <w:rFonts w:ascii="Aptos Narrow" w:eastAsia="Aptos Narrow" w:hAnsi="Aptos Narrow" w:cs="Aptos Narrow"/>
                <w:b/>
                <w:bCs/>
                <w:color w:val="000000" w:themeColor="text1"/>
                <w:szCs w:val="22"/>
              </w:rPr>
            </w:pPr>
            <w:r w:rsidRPr="00133505">
              <w:rPr>
                <w:rFonts w:ascii="Aptos Narrow" w:eastAsia="Aptos Narrow" w:hAnsi="Aptos Narrow" w:cs="Aptos Narrow"/>
                <w:b/>
                <w:bCs/>
                <w:color w:val="000000" w:themeColor="text1"/>
                <w:szCs w:val="22"/>
              </w:rPr>
              <w:t>Atlas reporting PHO name</w:t>
            </w:r>
          </w:p>
        </w:tc>
      </w:tr>
      <w:tr w:rsidR="00133505" w:rsidRPr="00133505" w14:paraId="58526ACB"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4D0576" w14:textId="585D01BA"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Alliance Health Plus Trust</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00D95C77" w14:textId="67631364"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Included in The Cause Collective</w:t>
            </w:r>
          </w:p>
        </w:tc>
      </w:tr>
      <w:tr w:rsidR="00133505" w:rsidRPr="00133505" w14:paraId="3412F5C9"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99C9C4" w14:textId="3A9FAD7F"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Comprehensive Care PHO - Northland</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341E634A" w14:textId="21929971"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Included with Comprehensive Care PHO Limited</w:t>
            </w:r>
          </w:p>
        </w:tc>
      </w:tr>
      <w:tr w:rsidR="00133505" w:rsidRPr="00133505" w14:paraId="41AE715C"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AF558A" w14:textId="71E94257"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National Hauora Coalition - Northland</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1A53A3B7" w14:textId="592DE94B"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Included with National Hauora Coalition</w:t>
            </w:r>
          </w:p>
        </w:tc>
      </w:tr>
      <w:tr w:rsidR="00133505" w:rsidRPr="00133505" w14:paraId="36A1D186"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00BCE4" w14:textId="7EFB6E34"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ProCare Health (PHO) Limited - Northland</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75F85464" w14:textId="1122DA50"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Included with ProCare Health (PHO) Limited</w:t>
            </w:r>
          </w:p>
        </w:tc>
      </w:tr>
      <w:tr w:rsidR="1002A1B5" w:rsidRPr="00133505" w14:paraId="6329A328" w14:textId="77777777" w:rsidTr="00F11C76">
        <w:trPr>
          <w:trHeight w:val="300"/>
        </w:trPr>
        <w:tc>
          <w:tcPr>
            <w:tcW w:w="4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89EF5B" w14:textId="2BB1425C" w:rsidR="1002A1B5" w:rsidRPr="00133505" w:rsidRDefault="1002A1B5">
            <w:pPr>
              <w:rPr>
                <w:rFonts w:ascii="Aptos Narrow" w:eastAsia="Aptos Narrow" w:hAnsi="Aptos Narrow" w:cs="Aptos Narrow"/>
                <w:color w:val="000000" w:themeColor="text1"/>
                <w:szCs w:val="22"/>
              </w:rPr>
            </w:pPr>
            <w:r w:rsidRPr="00133505">
              <w:rPr>
                <w:rFonts w:ascii="Aptos Narrow" w:eastAsia="Aptos Narrow" w:hAnsi="Aptos Narrow" w:cs="Aptos Narrow"/>
                <w:color w:val="000000" w:themeColor="text1"/>
                <w:szCs w:val="22"/>
              </w:rPr>
              <w:t>Taranaki DHB PHO</w:t>
            </w:r>
          </w:p>
        </w:tc>
        <w:tc>
          <w:tcPr>
            <w:tcW w:w="4422" w:type="dxa"/>
            <w:tcBorders>
              <w:top w:val="single" w:sz="8" w:space="0" w:color="auto"/>
              <w:left w:val="single" w:sz="8" w:space="0" w:color="auto"/>
              <w:bottom w:val="single" w:sz="8" w:space="0" w:color="auto"/>
              <w:right w:val="single" w:sz="8" w:space="0" w:color="auto"/>
            </w:tcBorders>
            <w:tcMar>
              <w:left w:w="108" w:type="dxa"/>
              <w:right w:w="108" w:type="dxa"/>
            </w:tcMar>
          </w:tcPr>
          <w:p w14:paraId="321AD5FA" w14:textId="4E640383" w:rsidR="1002A1B5" w:rsidRPr="00133505" w:rsidRDefault="1002A1B5">
            <w:pPr>
              <w:rPr>
                <w:rFonts w:ascii="Aptos Narrow" w:eastAsia="Aptos Narrow" w:hAnsi="Aptos Narrow" w:cs="Aptos Narrow"/>
                <w:color w:val="000000" w:themeColor="text1"/>
                <w:szCs w:val="22"/>
                <w:lang w:val="en-US"/>
              </w:rPr>
            </w:pPr>
            <w:r w:rsidRPr="00133505">
              <w:rPr>
                <w:rFonts w:ascii="Aptos Narrow" w:eastAsia="Aptos Narrow" w:hAnsi="Aptos Narrow" w:cs="Aptos Narrow"/>
                <w:color w:val="000000" w:themeColor="text1"/>
                <w:szCs w:val="22"/>
              </w:rPr>
              <w:t>Excluded completely due to small numbers (</w:t>
            </w:r>
            <w:r w:rsidRPr="00133505">
              <w:rPr>
                <w:rFonts w:ascii="Aptos Narrow" w:eastAsia="Aptos Narrow" w:hAnsi="Aptos Narrow" w:cs="Aptos Narrow"/>
                <w:color w:val="000000" w:themeColor="text1"/>
                <w:szCs w:val="22"/>
                <w:lang w:val="en-US"/>
              </w:rPr>
              <w:t>but still included in national total for all PHOs)</w:t>
            </w:r>
          </w:p>
        </w:tc>
      </w:tr>
    </w:tbl>
    <w:p w14:paraId="04CFA2FE" w14:textId="77777777" w:rsidR="003B070F" w:rsidRPr="00133505" w:rsidRDefault="003B070F" w:rsidP="003B070F">
      <w:pPr>
        <w:pStyle w:val="Header"/>
        <w:tabs>
          <w:tab w:val="clear" w:pos="4153"/>
          <w:tab w:val="center" w:pos="709"/>
        </w:tabs>
        <w:spacing w:before="240"/>
        <w:rPr>
          <w:rFonts w:cs="Arial"/>
          <w:b/>
          <w:color w:val="000000" w:themeColor="text1"/>
          <w:szCs w:val="22"/>
        </w:rPr>
      </w:pPr>
      <w:r w:rsidRPr="00133505">
        <w:rPr>
          <w:rFonts w:cs="Arial"/>
          <w:b/>
          <w:color w:val="000000" w:themeColor="text1"/>
          <w:szCs w:val="22"/>
        </w:rPr>
        <w:t>Data source</w:t>
      </w:r>
    </w:p>
    <w:p w14:paraId="3E05DACF" w14:textId="77777777" w:rsidR="00CF26B1" w:rsidRPr="00133505" w:rsidRDefault="00CF26B1" w:rsidP="07D7EB6C">
      <w:pPr>
        <w:pStyle w:val="Header"/>
        <w:numPr>
          <w:ilvl w:val="0"/>
          <w:numId w:val="6"/>
        </w:numPr>
        <w:tabs>
          <w:tab w:val="center" w:pos="709"/>
        </w:tabs>
        <w:spacing w:after="0" w:line="360" w:lineRule="auto"/>
        <w:rPr>
          <w:rFonts w:cs="Arial"/>
          <w:color w:val="000000" w:themeColor="text1"/>
        </w:rPr>
      </w:pPr>
      <w:r w:rsidRPr="00133505">
        <w:rPr>
          <w:rFonts w:cs="Arial"/>
          <w:color w:val="000000" w:themeColor="text1"/>
        </w:rPr>
        <w:t>National minimum dataset (NMDS), Health New Zealand.</w:t>
      </w:r>
    </w:p>
    <w:p w14:paraId="01A809A0" w14:textId="77777777" w:rsidR="00CF26B1" w:rsidRPr="00133505" w:rsidRDefault="00CF26B1" w:rsidP="00CF26B1">
      <w:pPr>
        <w:pStyle w:val="Header"/>
        <w:numPr>
          <w:ilvl w:val="0"/>
          <w:numId w:val="6"/>
        </w:numPr>
        <w:tabs>
          <w:tab w:val="clear" w:pos="4153"/>
          <w:tab w:val="center" w:pos="709"/>
        </w:tabs>
        <w:spacing w:after="0" w:line="360" w:lineRule="auto"/>
        <w:rPr>
          <w:rFonts w:cs="Arial"/>
          <w:bCs/>
          <w:color w:val="000000" w:themeColor="text1"/>
          <w:szCs w:val="22"/>
        </w:rPr>
      </w:pPr>
      <w:r w:rsidRPr="00133505">
        <w:rPr>
          <w:rFonts w:cs="Arial"/>
          <w:bCs/>
          <w:color w:val="000000" w:themeColor="text1"/>
          <w:szCs w:val="22"/>
        </w:rPr>
        <w:t>Primary Health Organisation (PHO) Enrolment Collection, Health New Zealand.</w:t>
      </w:r>
    </w:p>
    <w:p w14:paraId="2685EB1C" w14:textId="77777777" w:rsidR="00CF26B1" w:rsidRPr="00133505" w:rsidRDefault="00CF26B1" w:rsidP="00CF26B1">
      <w:pPr>
        <w:pStyle w:val="Header"/>
        <w:numPr>
          <w:ilvl w:val="0"/>
          <w:numId w:val="6"/>
        </w:numPr>
        <w:tabs>
          <w:tab w:val="clear" w:pos="4153"/>
          <w:tab w:val="center" w:pos="709"/>
        </w:tabs>
        <w:spacing w:after="0" w:line="360" w:lineRule="auto"/>
        <w:rPr>
          <w:rFonts w:cs="Arial"/>
          <w:bCs/>
          <w:color w:val="000000" w:themeColor="text1"/>
          <w:szCs w:val="22"/>
        </w:rPr>
      </w:pPr>
      <w:r w:rsidRPr="00133505">
        <w:rPr>
          <w:rFonts w:cs="Arial"/>
          <w:bCs/>
          <w:color w:val="000000" w:themeColor="text1"/>
          <w:szCs w:val="22"/>
        </w:rPr>
        <w:t>Pharmaceutical Collection, Health New Zealand.</w:t>
      </w:r>
    </w:p>
    <w:p w14:paraId="7A995C8C" w14:textId="4F20364F" w:rsidR="00CF26B1" w:rsidRPr="00133505" w:rsidRDefault="4EB13412" w:rsidP="77027A2A">
      <w:pPr>
        <w:pStyle w:val="Header"/>
        <w:numPr>
          <w:ilvl w:val="0"/>
          <w:numId w:val="6"/>
        </w:numPr>
        <w:tabs>
          <w:tab w:val="clear" w:pos="4153"/>
          <w:tab w:val="center" w:pos="709"/>
        </w:tabs>
        <w:spacing w:after="0" w:line="360" w:lineRule="auto"/>
        <w:rPr>
          <w:rFonts w:cs="Arial"/>
          <w:color w:val="000000" w:themeColor="text1"/>
        </w:rPr>
      </w:pPr>
      <w:r w:rsidRPr="00133505">
        <w:rPr>
          <w:rFonts w:cs="Arial"/>
          <w:color w:val="000000" w:themeColor="text1"/>
        </w:rPr>
        <w:t>Proclaim custom extract of flu vaccination data</w:t>
      </w:r>
      <w:r w:rsidR="005523B6" w:rsidRPr="00133505">
        <w:rPr>
          <w:rFonts w:cs="Arial"/>
          <w:color w:val="000000" w:themeColor="text1"/>
        </w:rPr>
        <w:t xml:space="preserve">, </w:t>
      </w:r>
      <w:r w:rsidR="00974540" w:rsidRPr="00133505">
        <w:rPr>
          <w:rFonts w:cs="Arial"/>
          <w:color w:val="000000" w:themeColor="text1"/>
        </w:rPr>
        <w:t>Health New Zealand.</w:t>
      </w:r>
    </w:p>
    <w:p w14:paraId="68806839" w14:textId="77777777" w:rsidR="00CF26B1" w:rsidRPr="00133505" w:rsidRDefault="00CF26B1" w:rsidP="00CF26B1">
      <w:pPr>
        <w:pStyle w:val="Header"/>
        <w:numPr>
          <w:ilvl w:val="0"/>
          <w:numId w:val="6"/>
        </w:numPr>
        <w:tabs>
          <w:tab w:val="clear" w:pos="4153"/>
          <w:tab w:val="center" w:pos="709"/>
        </w:tabs>
        <w:spacing w:after="0" w:line="360" w:lineRule="auto"/>
        <w:rPr>
          <w:rFonts w:cs="Arial"/>
          <w:bCs/>
          <w:color w:val="000000" w:themeColor="text1"/>
          <w:szCs w:val="22"/>
        </w:rPr>
      </w:pPr>
      <w:r w:rsidRPr="00133505">
        <w:rPr>
          <w:rFonts w:cs="Arial"/>
          <w:bCs/>
          <w:color w:val="000000" w:themeColor="text1"/>
          <w:szCs w:val="22"/>
        </w:rPr>
        <w:t>Stats NZ population projections by total response ethnic grouping (can be accessed from Stats NZ website)</w:t>
      </w:r>
    </w:p>
    <w:p w14:paraId="212B3098" w14:textId="77777777" w:rsidR="00CF26B1" w:rsidRPr="00133505" w:rsidRDefault="00CF26B1" w:rsidP="00CF26B1">
      <w:pPr>
        <w:pStyle w:val="Header"/>
        <w:numPr>
          <w:ilvl w:val="0"/>
          <w:numId w:val="6"/>
        </w:numPr>
        <w:tabs>
          <w:tab w:val="clear" w:pos="4153"/>
          <w:tab w:val="center" w:pos="709"/>
        </w:tabs>
        <w:spacing w:after="0" w:line="360" w:lineRule="auto"/>
        <w:rPr>
          <w:color w:val="000000" w:themeColor="text1"/>
        </w:rPr>
      </w:pPr>
      <w:r w:rsidRPr="00133505">
        <w:rPr>
          <w:color w:val="000000" w:themeColor="text1"/>
        </w:rPr>
        <w:t>All information on demographics is obtained from NHI database.</w:t>
      </w:r>
    </w:p>
    <w:p w14:paraId="7F974119" w14:textId="77777777" w:rsidR="003B070F" w:rsidRPr="00133505" w:rsidRDefault="003B070F" w:rsidP="003B070F">
      <w:pPr>
        <w:tabs>
          <w:tab w:val="center" w:pos="709"/>
        </w:tabs>
        <w:spacing w:before="240" w:after="120" w:line="360" w:lineRule="auto"/>
        <w:rPr>
          <w:rFonts w:cs="Arial"/>
          <w:b/>
          <w:color w:val="000000" w:themeColor="text1"/>
          <w:szCs w:val="22"/>
        </w:rPr>
      </w:pPr>
      <w:r w:rsidRPr="00133505">
        <w:rPr>
          <w:rFonts w:cs="Arial"/>
          <w:b/>
          <w:color w:val="000000" w:themeColor="text1"/>
          <w:szCs w:val="22"/>
        </w:rPr>
        <w:t>Exclusions</w:t>
      </w:r>
    </w:p>
    <w:p w14:paraId="68A95E15" w14:textId="186477B3" w:rsidR="003B070F" w:rsidRPr="00133505" w:rsidRDefault="003B070F" w:rsidP="003B070F">
      <w:pPr>
        <w:spacing w:after="240"/>
        <w:rPr>
          <w:rFonts w:cs="Arial"/>
          <w:color w:val="000000" w:themeColor="text1"/>
        </w:rPr>
      </w:pPr>
      <w:r w:rsidRPr="00133505">
        <w:rPr>
          <w:rFonts w:cs="Arial"/>
          <w:color w:val="000000" w:themeColor="text1"/>
        </w:rPr>
        <w:t>People who were excluded from analysis</w:t>
      </w:r>
      <w:r w:rsidR="00DD1F7D" w:rsidRPr="00133505">
        <w:rPr>
          <w:rFonts w:cs="Arial"/>
          <w:color w:val="000000" w:themeColor="text1"/>
        </w:rPr>
        <w:t xml:space="preserve"> </w:t>
      </w:r>
      <w:r w:rsidRPr="00133505">
        <w:rPr>
          <w:rFonts w:cs="Arial"/>
          <w:color w:val="000000" w:themeColor="text1"/>
        </w:rPr>
        <w:t>include:</w:t>
      </w:r>
    </w:p>
    <w:p w14:paraId="448B2B2A" w14:textId="36194DC1" w:rsidR="003B070F" w:rsidRPr="00133505" w:rsidRDefault="003B070F" w:rsidP="1002A1B5">
      <w:pPr>
        <w:pStyle w:val="ListParagraph"/>
        <w:numPr>
          <w:ilvl w:val="0"/>
          <w:numId w:val="6"/>
        </w:numPr>
        <w:spacing w:after="240"/>
        <w:contextualSpacing/>
        <w:rPr>
          <w:rFonts w:eastAsia="Calibri" w:cs="Arial"/>
          <w:color w:val="000000" w:themeColor="text1"/>
          <w:szCs w:val="22"/>
          <w:lang w:eastAsia="en-US"/>
        </w:rPr>
      </w:pPr>
      <w:r w:rsidRPr="00133505">
        <w:rPr>
          <w:rFonts w:cs="Arial"/>
          <w:color w:val="000000" w:themeColor="text1"/>
        </w:rPr>
        <w:t>those who aren’t enrolled in a PHO</w:t>
      </w:r>
      <w:r w:rsidR="00DD1F7D" w:rsidRPr="00133505">
        <w:rPr>
          <w:rFonts w:cs="Arial"/>
          <w:color w:val="000000" w:themeColor="text1"/>
        </w:rPr>
        <w:t xml:space="preserve"> </w:t>
      </w:r>
      <w:r w:rsidR="1996CD8A" w:rsidRPr="00133505">
        <w:rPr>
          <w:rFonts w:cs="Arial"/>
          <w:color w:val="000000" w:themeColor="text1"/>
        </w:rPr>
        <w:t>in the calendar year</w:t>
      </w:r>
      <w:r w:rsidRPr="00133505">
        <w:rPr>
          <w:rFonts w:cs="Arial"/>
          <w:color w:val="000000" w:themeColor="text1"/>
        </w:rPr>
        <w:t xml:space="preserve">. </w:t>
      </w:r>
      <w:r w:rsidR="768752CE" w:rsidRPr="00133505">
        <w:rPr>
          <w:rFonts w:eastAsia="Arial" w:cs="Arial"/>
          <w:color w:val="000000" w:themeColor="text1"/>
          <w:szCs w:val="22"/>
        </w:rPr>
        <w:t>This allowed us to use the number of PHO-enrolled people as the denominator.</w:t>
      </w:r>
      <w:r w:rsidR="00CE6002" w:rsidRPr="00133505">
        <w:rPr>
          <w:rFonts w:eastAsia="Arial" w:cs="Arial"/>
          <w:color w:val="000000" w:themeColor="text1"/>
          <w:szCs w:val="22"/>
        </w:rPr>
        <w:t xml:space="preserve"> Our analysis found that</w:t>
      </w:r>
      <w:r w:rsidRPr="00133505">
        <w:rPr>
          <w:rFonts w:cs="Arial"/>
          <w:color w:val="000000" w:themeColor="text1"/>
        </w:rPr>
        <w:t xml:space="preserve"> </w:t>
      </w:r>
      <w:r w:rsidR="00CE6002" w:rsidRPr="00133505">
        <w:rPr>
          <w:rFonts w:cs="Arial"/>
          <w:color w:val="000000" w:themeColor="text1"/>
        </w:rPr>
        <w:t>of those admitted to hospital with a primary diagnosis of asthma (8,957), 223 people were not enrolled.</w:t>
      </w:r>
    </w:p>
    <w:p w14:paraId="26919E7B" w14:textId="3E8CE65C" w:rsidR="003B070F" w:rsidRPr="00133505" w:rsidRDefault="4C54F344" w:rsidP="3FC8A15E">
      <w:pPr>
        <w:pStyle w:val="ListParagraph"/>
        <w:numPr>
          <w:ilvl w:val="0"/>
          <w:numId w:val="6"/>
        </w:numPr>
        <w:spacing w:after="240"/>
        <w:contextualSpacing/>
        <w:rPr>
          <w:color w:val="000000" w:themeColor="text1"/>
          <w:lang w:eastAsia="en-US"/>
        </w:rPr>
      </w:pPr>
      <w:r w:rsidRPr="00133505">
        <w:rPr>
          <w:color w:val="000000" w:themeColor="text1"/>
        </w:rPr>
        <w:t>i</w:t>
      </w:r>
      <w:r w:rsidR="1FCBAFC8" w:rsidRPr="00133505">
        <w:rPr>
          <w:color w:val="000000" w:themeColor="text1"/>
        </w:rPr>
        <w:t xml:space="preserve">ndividuals with missing demographics </w:t>
      </w:r>
      <w:r w:rsidR="62CB9C94" w:rsidRPr="3FC8A15E">
        <w:rPr>
          <w:rFonts w:eastAsia="Arial" w:cs="Arial"/>
          <w:color w:val="000000" w:themeColor="text1"/>
        </w:rPr>
        <w:t xml:space="preserve">– that is, those with no recorded value for one or more of the NHI fields used to derive the demographic variables of interest </w:t>
      </w:r>
      <w:r w:rsidR="1FCBAFC8" w:rsidRPr="00133505">
        <w:rPr>
          <w:color w:val="000000" w:themeColor="text1"/>
        </w:rPr>
        <w:t>(age, gender, ethnicity and district</w:t>
      </w:r>
      <w:r w:rsidR="780B9BBB" w:rsidRPr="00133505">
        <w:rPr>
          <w:color w:val="000000" w:themeColor="text1"/>
        </w:rPr>
        <w:t xml:space="preserve"> of domicile</w:t>
      </w:r>
      <w:r w:rsidR="1FCBAFC8" w:rsidRPr="00133505">
        <w:rPr>
          <w:color w:val="000000" w:themeColor="text1"/>
        </w:rPr>
        <w:t>). For instance, if there are any missing values for age, they are excluded from all analyses. This approach ensures a consistent denominator throughout the analyses</w:t>
      </w:r>
      <w:r w:rsidR="00B37DDE" w:rsidRPr="00133505">
        <w:rPr>
          <w:color w:val="000000" w:themeColor="text1"/>
        </w:rPr>
        <w:t>.</w:t>
      </w: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9322"/>
      </w:tblGrid>
      <w:tr w:rsidR="00133505" w:rsidRPr="00133505" w14:paraId="45FDFE4B" w14:textId="77777777" w:rsidTr="20CF9A1D">
        <w:trPr>
          <w:trHeight w:val="327"/>
        </w:trPr>
        <w:tc>
          <w:tcPr>
            <w:tcW w:w="9322" w:type="dxa"/>
          </w:tcPr>
          <w:p w14:paraId="3B79AD66" w14:textId="77777777" w:rsidR="003B070F" w:rsidRPr="00133505" w:rsidRDefault="003B070F" w:rsidP="00021FF0">
            <w:pPr>
              <w:pStyle w:val="Header"/>
              <w:spacing w:before="60"/>
              <w:rPr>
                <w:b/>
                <w:color w:val="000000" w:themeColor="text1"/>
                <w:szCs w:val="22"/>
              </w:rPr>
            </w:pPr>
            <w:r w:rsidRPr="00133505">
              <w:rPr>
                <w:b/>
                <w:color w:val="000000" w:themeColor="text1"/>
                <w:szCs w:val="22"/>
              </w:rPr>
              <w:t>Confidence intervals</w:t>
            </w:r>
          </w:p>
        </w:tc>
      </w:tr>
      <w:tr w:rsidR="003B070F" w:rsidRPr="00133505" w14:paraId="7EDFA12C" w14:textId="77777777" w:rsidTr="20CF9A1D">
        <w:trPr>
          <w:trHeight w:val="327"/>
        </w:trPr>
        <w:tc>
          <w:tcPr>
            <w:tcW w:w="9322" w:type="dxa"/>
          </w:tcPr>
          <w:p w14:paraId="6CA7B8A9" w14:textId="6157D168" w:rsidR="00792D50" w:rsidRPr="00133505" w:rsidRDefault="31482B7B" w:rsidP="00792D50">
            <w:pPr>
              <w:rPr>
                <w:rFonts w:eastAsia="Arial" w:cs="Arial"/>
                <w:color w:val="000000" w:themeColor="text1"/>
                <w:szCs w:val="22"/>
              </w:rPr>
            </w:pPr>
            <w:r w:rsidRPr="00133505">
              <w:rPr>
                <w:rFonts w:eastAsia="Arial" w:cs="Arial"/>
                <w:color w:val="000000" w:themeColor="text1"/>
                <w:szCs w:val="22"/>
              </w:rPr>
              <w:t xml:space="preserve"> We present indicator data as a percentage or rate per 1,000, calculated for each Health New Zealand district. We use 95% confidence intervals to understand the range of likely values for each result.</w:t>
            </w:r>
            <w:r w:rsidR="0094345B" w:rsidRPr="00133505">
              <w:rPr>
                <w:rFonts w:eastAsia="Arial" w:cs="Arial"/>
                <w:color w:val="000000" w:themeColor="text1"/>
                <w:szCs w:val="22"/>
              </w:rPr>
              <w:t xml:space="preserve"> Each result is compared to the overall New Zealand rate for the same indicator.</w:t>
            </w:r>
            <w:r w:rsidR="00792D50" w:rsidRPr="00133505">
              <w:rPr>
                <w:rFonts w:eastAsia="Arial" w:cs="Arial"/>
                <w:color w:val="000000" w:themeColor="text1"/>
                <w:szCs w:val="22"/>
              </w:rPr>
              <w:t xml:space="preserve"> </w:t>
            </w:r>
          </w:p>
          <w:p w14:paraId="1B564DCF" w14:textId="4340BABE" w:rsidR="003B070F" w:rsidRPr="00133505" w:rsidRDefault="00792D50" w:rsidP="00303EBD">
            <w:pPr>
              <w:rPr>
                <w:rFonts w:eastAsia="Arial" w:cs="Arial"/>
                <w:color w:val="000000" w:themeColor="text1"/>
                <w:szCs w:val="22"/>
              </w:rPr>
            </w:pPr>
            <w:r w:rsidRPr="00133505">
              <w:rPr>
                <w:rFonts w:eastAsia="Arial" w:cs="Arial"/>
                <w:color w:val="000000" w:themeColor="text1"/>
                <w:szCs w:val="22"/>
              </w:rPr>
              <w:lastRenderedPageBreak/>
              <w:t>Comparing</w:t>
            </w:r>
            <w:r w:rsidR="0009312F" w:rsidRPr="00133505">
              <w:rPr>
                <w:rFonts w:eastAsia="Arial" w:cs="Arial"/>
                <w:color w:val="000000" w:themeColor="text1"/>
                <w:szCs w:val="22"/>
              </w:rPr>
              <w:t xml:space="preserve"> two confidence</w:t>
            </w:r>
            <w:r w:rsidRPr="00133505">
              <w:rPr>
                <w:rFonts w:eastAsia="Arial" w:cs="Arial"/>
                <w:color w:val="000000" w:themeColor="text1"/>
                <w:szCs w:val="22"/>
              </w:rPr>
              <w:t xml:space="preserve"> intervals is a quick heuristic method to determine whether </w:t>
            </w:r>
            <w:r w:rsidR="00B86E05" w:rsidRPr="00133505">
              <w:rPr>
                <w:rFonts w:eastAsia="Arial" w:cs="Arial"/>
                <w:color w:val="000000" w:themeColor="text1"/>
                <w:szCs w:val="22"/>
              </w:rPr>
              <w:t xml:space="preserve">there is a statistically significant difference between </w:t>
            </w:r>
            <w:r w:rsidR="00487347" w:rsidRPr="00133505">
              <w:rPr>
                <w:rFonts w:eastAsia="Arial" w:cs="Arial"/>
                <w:color w:val="000000" w:themeColor="text1"/>
                <w:szCs w:val="22"/>
              </w:rPr>
              <w:t>rates</w:t>
            </w:r>
            <w:r w:rsidR="00B86E05" w:rsidRPr="00133505">
              <w:rPr>
                <w:rFonts w:eastAsia="Arial" w:cs="Arial"/>
                <w:color w:val="000000" w:themeColor="text1"/>
                <w:szCs w:val="22"/>
              </w:rPr>
              <w:t xml:space="preserve">. </w:t>
            </w:r>
            <w:r w:rsidR="00D12F2C" w:rsidRPr="00133505">
              <w:rPr>
                <w:rFonts w:eastAsia="Arial" w:cs="Arial"/>
                <w:color w:val="000000" w:themeColor="text1"/>
                <w:szCs w:val="22"/>
              </w:rPr>
              <w:t xml:space="preserve"> </w:t>
            </w:r>
            <w:r w:rsidR="31482B7B" w:rsidRPr="00133505">
              <w:rPr>
                <w:rFonts w:eastAsia="Arial" w:cs="Arial"/>
                <w:color w:val="000000" w:themeColor="text1"/>
                <w:szCs w:val="22"/>
              </w:rPr>
              <w:t xml:space="preserve">If the confidence intervals don’t overlap, the difference </w:t>
            </w:r>
            <w:r w:rsidR="00D164C8" w:rsidRPr="00133505">
              <w:rPr>
                <w:rFonts w:eastAsia="Arial" w:cs="Arial"/>
                <w:color w:val="000000" w:themeColor="text1"/>
                <w:szCs w:val="22"/>
              </w:rPr>
              <w:t>can be</w:t>
            </w:r>
            <w:r w:rsidR="31482B7B" w:rsidRPr="00133505">
              <w:rPr>
                <w:rFonts w:eastAsia="Arial" w:cs="Arial"/>
                <w:color w:val="000000" w:themeColor="text1"/>
                <w:szCs w:val="22"/>
              </w:rPr>
              <w:t xml:space="preserve"> considered </w:t>
            </w:r>
            <w:r w:rsidR="00D164C8" w:rsidRPr="00133505">
              <w:rPr>
                <w:rFonts w:eastAsia="Arial" w:cs="Arial"/>
                <w:color w:val="000000" w:themeColor="text1"/>
                <w:szCs w:val="22"/>
              </w:rPr>
              <w:t xml:space="preserve">statistically </w:t>
            </w:r>
            <w:r w:rsidR="31482B7B" w:rsidRPr="00133505">
              <w:rPr>
                <w:rFonts w:eastAsia="Arial" w:cs="Arial"/>
                <w:color w:val="000000" w:themeColor="text1"/>
                <w:szCs w:val="22"/>
              </w:rPr>
              <w:t>significant</w:t>
            </w:r>
            <w:r w:rsidR="005463F3" w:rsidRPr="00133505">
              <w:rPr>
                <w:rFonts w:eastAsia="Arial" w:cs="Arial"/>
                <w:color w:val="000000" w:themeColor="text1"/>
                <w:szCs w:val="22"/>
              </w:rPr>
              <w:t xml:space="preserve"> at the 0.05 level</w:t>
            </w:r>
            <w:r w:rsidR="31482B7B" w:rsidRPr="00133505">
              <w:rPr>
                <w:rFonts w:eastAsia="Arial" w:cs="Arial"/>
                <w:color w:val="000000" w:themeColor="text1"/>
                <w:szCs w:val="22"/>
              </w:rPr>
              <w:t>. If they do overlap, the difference may or may not be significant</w:t>
            </w:r>
            <w:r w:rsidR="005201B6" w:rsidRPr="00133505">
              <w:rPr>
                <w:rFonts w:eastAsia="Arial" w:cs="Arial"/>
                <w:color w:val="000000" w:themeColor="text1"/>
                <w:szCs w:val="22"/>
              </w:rPr>
              <w:t xml:space="preserve"> at the 0.05 level</w:t>
            </w:r>
            <w:r w:rsidR="31482B7B" w:rsidRPr="00133505">
              <w:rPr>
                <w:rFonts w:eastAsia="Arial" w:cs="Arial"/>
                <w:color w:val="000000" w:themeColor="text1"/>
                <w:szCs w:val="22"/>
              </w:rPr>
              <w:t>.</w:t>
            </w:r>
          </w:p>
          <w:p w14:paraId="235557FC" w14:textId="07C1E5F8" w:rsidR="003B070F" w:rsidRPr="00133505" w:rsidRDefault="31482B7B" w:rsidP="00EA54E1">
            <w:pPr>
              <w:pStyle w:val="ListParagraph"/>
              <w:numPr>
                <w:ilvl w:val="0"/>
                <w:numId w:val="1"/>
              </w:numPr>
              <w:spacing w:after="0"/>
              <w:rPr>
                <w:rFonts w:eastAsia="Arial" w:cs="Arial"/>
                <w:color w:val="000000" w:themeColor="text1"/>
                <w:szCs w:val="22"/>
              </w:rPr>
            </w:pPr>
            <w:r w:rsidRPr="00133505">
              <w:rPr>
                <w:rFonts w:eastAsia="Arial" w:cs="Arial"/>
                <w:color w:val="000000" w:themeColor="text1"/>
                <w:szCs w:val="22"/>
              </w:rPr>
              <w:t>If the district’s upper limit is below New Zealand’s lower limit, we say the district’s result is “Significantly lower.”</w:t>
            </w:r>
          </w:p>
          <w:p w14:paraId="75935C8E" w14:textId="6BE37D7C" w:rsidR="003B070F" w:rsidRPr="00133505" w:rsidRDefault="31482B7B" w:rsidP="00EA54E1">
            <w:pPr>
              <w:pStyle w:val="ListParagraph"/>
              <w:numPr>
                <w:ilvl w:val="0"/>
                <w:numId w:val="1"/>
              </w:numPr>
              <w:spacing w:after="0"/>
              <w:rPr>
                <w:rFonts w:eastAsia="Arial" w:cs="Arial"/>
                <w:color w:val="000000" w:themeColor="text1"/>
                <w:szCs w:val="22"/>
              </w:rPr>
            </w:pPr>
            <w:r w:rsidRPr="00133505">
              <w:rPr>
                <w:rFonts w:eastAsia="Arial" w:cs="Arial"/>
                <w:color w:val="000000" w:themeColor="text1"/>
                <w:szCs w:val="22"/>
              </w:rPr>
              <w:t>If the district’s lower limit is above New Zealand’s upper limit, we say the result is “Significantly higher.”</w:t>
            </w:r>
          </w:p>
          <w:p w14:paraId="143F6EF2" w14:textId="77777777" w:rsidR="003B070F" w:rsidRPr="00133505" w:rsidRDefault="31482B7B" w:rsidP="20CF9A1D">
            <w:pPr>
              <w:pStyle w:val="ListParagraph"/>
              <w:numPr>
                <w:ilvl w:val="0"/>
                <w:numId w:val="1"/>
              </w:numPr>
              <w:spacing w:after="0"/>
              <w:rPr>
                <w:rFonts w:eastAsia="Arial" w:cs="Arial"/>
                <w:color w:val="000000" w:themeColor="text1"/>
                <w:szCs w:val="22"/>
              </w:rPr>
            </w:pPr>
            <w:r w:rsidRPr="00133505">
              <w:rPr>
                <w:rFonts w:eastAsia="Arial" w:cs="Arial"/>
                <w:color w:val="000000" w:themeColor="text1"/>
                <w:szCs w:val="22"/>
              </w:rPr>
              <w:t>If the confidence intervals overlap, we say the result is “Not significantly different.”</w:t>
            </w:r>
          </w:p>
          <w:p w14:paraId="3F36890F" w14:textId="77777777" w:rsidR="00547E81" w:rsidRPr="00133505" w:rsidRDefault="00547E81" w:rsidP="00B80B43">
            <w:pPr>
              <w:spacing w:after="0"/>
              <w:rPr>
                <w:rFonts w:eastAsia="Arial" w:cs="Arial"/>
                <w:color w:val="000000" w:themeColor="text1"/>
                <w:szCs w:val="22"/>
              </w:rPr>
            </w:pPr>
          </w:p>
          <w:p w14:paraId="7FFDAC82" w14:textId="77777777" w:rsidR="00131225" w:rsidRPr="00133505" w:rsidRDefault="00451945" w:rsidP="00B80B43">
            <w:pPr>
              <w:spacing w:after="0"/>
              <w:rPr>
                <w:rFonts w:eastAsia="Arial" w:cs="Arial"/>
                <w:color w:val="000000" w:themeColor="text1"/>
                <w:szCs w:val="22"/>
              </w:rPr>
            </w:pPr>
            <w:r w:rsidRPr="00133505">
              <w:rPr>
                <w:rFonts w:eastAsia="Arial" w:cs="Arial"/>
                <w:color w:val="000000" w:themeColor="text1"/>
                <w:szCs w:val="22"/>
              </w:rPr>
              <w:t>The same method is used for c</w:t>
            </w:r>
            <w:r w:rsidR="00861AE9" w:rsidRPr="00133505">
              <w:rPr>
                <w:rFonts w:eastAsia="Arial" w:cs="Arial"/>
                <w:color w:val="000000" w:themeColor="text1"/>
                <w:szCs w:val="22"/>
              </w:rPr>
              <w:t xml:space="preserve">omparisons between demographic groups and </w:t>
            </w:r>
            <w:r w:rsidRPr="00133505">
              <w:rPr>
                <w:rFonts w:eastAsia="Arial" w:cs="Arial"/>
                <w:color w:val="000000" w:themeColor="text1"/>
                <w:szCs w:val="22"/>
              </w:rPr>
              <w:t xml:space="preserve">time points in </w:t>
            </w:r>
            <w:r w:rsidR="002B48C6" w:rsidRPr="00133505">
              <w:rPr>
                <w:rFonts w:eastAsia="Arial" w:cs="Arial"/>
                <w:color w:val="000000" w:themeColor="text1"/>
                <w:szCs w:val="22"/>
              </w:rPr>
              <w:t xml:space="preserve">key findings on the </w:t>
            </w:r>
            <w:hyperlink r:id="rId9" w:history="1">
              <w:r w:rsidR="002B48C6" w:rsidRPr="00133505">
                <w:rPr>
                  <w:rStyle w:val="Hyperlink"/>
                  <w:rFonts w:eastAsia="Arial" w:cs="Arial"/>
                  <w:color w:val="000000" w:themeColor="text1"/>
                  <w:szCs w:val="22"/>
                </w:rPr>
                <w:t>landing page</w:t>
              </w:r>
            </w:hyperlink>
            <w:r w:rsidR="002B48C6" w:rsidRPr="00133505">
              <w:rPr>
                <w:rFonts w:eastAsia="Arial" w:cs="Arial"/>
                <w:color w:val="000000" w:themeColor="text1"/>
                <w:szCs w:val="22"/>
              </w:rPr>
              <w:t>.</w:t>
            </w:r>
          </w:p>
          <w:p w14:paraId="089C3921" w14:textId="77777777" w:rsidR="00547E81" w:rsidRPr="00133505" w:rsidRDefault="00547E81" w:rsidP="00B80B43">
            <w:pPr>
              <w:spacing w:after="0"/>
              <w:rPr>
                <w:rFonts w:eastAsia="Arial" w:cs="Arial"/>
                <w:color w:val="000000" w:themeColor="text1"/>
                <w:szCs w:val="22"/>
              </w:rPr>
            </w:pPr>
          </w:p>
          <w:p w14:paraId="0A326F7C" w14:textId="4B19E69E" w:rsidR="00BD3EE4" w:rsidRPr="00133505" w:rsidRDefault="006A3C98" w:rsidP="00B80B43">
            <w:pPr>
              <w:spacing w:after="0"/>
              <w:rPr>
                <w:rFonts w:eastAsia="Arial" w:cs="Arial"/>
                <w:color w:val="000000" w:themeColor="text1"/>
                <w:szCs w:val="22"/>
              </w:rPr>
            </w:pPr>
            <w:r w:rsidRPr="00133505">
              <w:rPr>
                <w:rFonts w:eastAsia="Arial" w:cs="Arial"/>
                <w:color w:val="000000" w:themeColor="text1"/>
                <w:szCs w:val="22"/>
              </w:rPr>
              <w:t>Note that this method is a conservative test of statistical significance</w:t>
            </w:r>
            <w:r w:rsidR="00487E2D" w:rsidRPr="00133505">
              <w:rPr>
                <w:rFonts w:eastAsia="Arial" w:cs="Arial"/>
                <w:color w:val="000000" w:themeColor="text1"/>
                <w:szCs w:val="22"/>
              </w:rPr>
              <w:t>;</w:t>
            </w:r>
            <w:r w:rsidR="00D243D4" w:rsidRPr="00133505">
              <w:rPr>
                <w:rFonts w:eastAsia="Arial" w:cs="Arial"/>
                <w:color w:val="000000" w:themeColor="text1"/>
                <w:szCs w:val="22"/>
              </w:rPr>
              <w:t xml:space="preserve"> results with</w:t>
            </w:r>
            <w:r w:rsidR="00487E2D" w:rsidRPr="00133505">
              <w:rPr>
                <w:rFonts w:eastAsia="Arial" w:cs="Arial"/>
                <w:color w:val="000000" w:themeColor="text1"/>
                <w:szCs w:val="22"/>
              </w:rPr>
              <w:t xml:space="preserve"> overlapping confidence intervals may </w:t>
            </w:r>
            <w:r w:rsidR="00D243D4" w:rsidRPr="00133505">
              <w:rPr>
                <w:rFonts w:eastAsia="Arial" w:cs="Arial"/>
                <w:color w:val="000000" w:themeColor="text1"/>
                <w:szCs w:val="22"/>
              </w:rPr>
              <w:t xml:space="preserve">still be significantly different at the 0.05 level </w:t>
            </w:r>
            <w:r w:rsidR="00C666E9" w:rsidRPr="00133505">
              <w:rPr>
                <w:rFonts w:eastAsia="Arial" w:cs="Arial"/>
                <w:color w:val="000000" w:themeColor="text1"/>
                <w:szCs w:val="22"/>
              </w:rPr>
              <w:t>if a formal statistical test is undertaken.</w:t>
            </w:r>
          </w:p>
          <w:p w14:paraId="4B8C226D" w14:textId="77777777" w:rsidR="00C666E9" w:rsidRPr="00133505" w:rsidRDefault="00C666E9" w:rsidP="00C666E9">
            <w:pPr>
              <w:spacing w:after="0"/>
              <w:rPr>
                <w:rFonts w:eastAsia="Arial" w:cs="Arial"/>
                <w:color w:val="000000" w:themeColor="text1"/>
                <w:szCs w:val="22"/>
              </w:rPr>
            </w:pPr>
          </w:p>
          <w:p w14:paraId="4CC1882D" w14:textId="1314C6B7" w:rsidR="00BA7197" w:rsidRPr="00133505" w:rsidRDefault="00C666E9" w:rsidP="000C20D2">
            <w:pPr>
              <w:spacing w:after="0"/>
              <w:rPr>
                <w:rFonts w:eastAsia="Arial" w:cs="Arial"/>
                <w:color w:val="000000" w:themeColor="text1"/>
                <w:szCs w:val="22"/>
              </w:rPr>
            </w:pPr>
            <w:r w:rsidRPr="00133505">
              <w:rPr>
                <w:rFonts w:eastAsia="Arial" w:cs="Arial"/>
                <w:color w:val="000000" w:themeColor="text1"/>
                <w:szCs w:val="22"/>
              </w:rPr>
              <w:t xml:space="preserve">Note also that this method assumes </w:t>
            </w:r>
            <w:r w:rsidR="0090059C" w:rsidRPr="00133505">
              <w:rPr>
                <w:rFonts w:eastAsia="Arial" w:cs="Arial"/>
                <w:color w:val="000000" w:themeColor="text1"/>
                <w:szCs w:val="22"/>
              </w:rPr>
              <w:t xml:space="preserve">that the </w:t>
            </w:r>
            <w:r w:rsidR="005E14F3" w:rsidRPr="00133505">
              <w:rPr>
                <w:rFonts w:eastAsia="Arial" w:cs="Arial"/>
                <w:color w:val="000000" w:themeColor="text1"/>
                <w:szCs w:val="22"/>
              </w:rPr>
              <w:t xml:space="preserve">two </w:t>
            </w:r>
            <w:r w:rsidR="00CE3114" w:rsidRPr="00133505">
              <w:rPr>
                <w:rFonts w:eastAsia="Arial" w:cs="Arial"/>
                <w:color w:val="000000" w:themeColor="text1"/>
                <w:szCs w:val="22"/>
              </w:rPr>
              <w:t>groups</w:t>
            </w:r>
            <w:r w:rsidR="0090059C" w:rsidRPr="00133505">
              <w:rPr>
                <w:rFonts w:eastAsia="Arial" w:cs="Arial"/>
                <w:color w:val="000000" w:themeColor="text1"/>
                <w:szCs w:val="22"/>
              </w:rPr>
              <w:t xml:space="preserve"> being compared are independen</w:t>
            </w:r>
            <w:r w:rsidR="00742679" w:rsidRPr="00133505">
              <w:rPr>
                <w:rFonts w:eastAsia="Arial" w:cs="Arial"/>
                <w:color w:val="000000" w:themeColor="text1"/>
                <w:szCs w:val="22"/>
              </w:rPr>
              <w:t xml:space="preserve">t, </w:t>
            </w:r>
            <w:r w:rsidR="009E4191" w:rsidRPr="00133505">
              <w:rPr>
                <w:rFonts w:eastAsia="Arial" w:cs="Arial"/>
                <w:color w:val="000000" w:themeColor="text1"/>
                <w:szCs w:val="22"/>
              </w:rPr>
              <w:t xml:space="preserve">and </w:t>
            </w:r>
            <w:r w:rsidR="00646873" w:rsidRPr="00133505">
              <w:rPr>
                <w:rFonts w:eastAsia="Arial" w:cs="Arial"/>
                <w:color w:val="000000" w:themeColor="text1"/>
                <w:szCs w:val="22"/>
              </w:rPr>
              <w:t>is</w:t>
            </w:r>
            <w:r w:rsidR="009E4191" w:rsidRPr="00133505">
              <w:rPr>
                <w:rFonts w:eastAsia="Arial" w:cs="Arial"/>
                <w:color w:val="000000" w:themeColor="text1"/>
                <w:szCs w:val="22"/>
              </w:rPr>
              <w:t xml:space="preserve"> less robust when there is dependence between groups</w:t>
            </w:r>
            <w:r w:rsidR="00646873" w:rsidRPr="00133505">
              <w:rPr>
                <w:rFonts w:eastAsia="Arial" w:cs="Arial"/>
                <w:color w:val="000000" w:themeColor="text1"/>
                <w:szCs w:val="22"/>
              </w:rPr>
              <w:t xml:space="preserve"> (</w:t>
            </w:r>
            <w:r w:rsidR="00AD7890" w:rsidRPr="00133505">
              <w:rPr>
                <w:rFonts w:eastAsia="Arial" w:cs="Arial"/>
                <w:color w:val="000000" w:themeColor="text1"/>
                <w:szCs w:val="22"/>
              </w:rPr>
              <w:t xml:space="preserve">for example, when comparing two total response ethnic groups; two yearly rates, or </w:t>
            </w:r>
            <w:r w:rsidR="00C4722C" w:rsidRPr="00133505">
              <w:rPr>
                <w:rFonts w:eastAsia="Arial" w:cs="Arial"/>
                <w:color w:val="000000" w:themeColor="text1"/>
                <w:szCs w:val="22"/>
              </w:rPr>
              <w:t>a district rate and the New Zealand total</w:t>
            </w:r>
            <w:r w:rsidR="00BD3EE4" w:rsidRPr="00133505">
              <w:rPr>
                <w:rFonts w:eastAsia="Arial" w:cs="Arial"/>
                <w:color w:val="000000" w:themeColor="text1"/>
                <w:szCs w:val="22"/>
              </w:rPr>
              <w:t>)</w:t>
            </w:r>
          </w:p>
          <w:p w14:paraId="3C114DBA" w14:textId="7C133F8C" w:rsidR="00547E81" w:rsidRPr="00133505" w:rsidRDefault="00547E81" w:rsidP="000C20D2">
            <w:pPr>
              <w:pStyle w:val="ListParagraph"/>
              <w:spacing w:after="0"/>
              <w:ind w:left="780"/>
              <w:rPr>
                <w:rFonts w:eastAsia="Arial" w:cs="Arial"/>
                <w:color w:val="000000" w:themeColor="text1"/>
                <w:szCs w:val="22"/>
              </w:rPr>
            </w:pPr>
          </w:p>
        </w:tc>
      </w:tr>
    </w:tbl>
    <w:p w14:paraId="6437158F" w14:textId="77777777" w:rsidR="003B070F" w:rsidRPr="00133505" w:rsidRDefault="003B070F" w:rsidP="003B070F">
      <w:pPr>
        <w:rPr>
          <w:rFonts w:cs="Arial"/>
          <w:color w:val="000000" w:themeColor="text1"/>
          <w:szCs w:val="22"/>
        </w:rPr>
      </w:pPr>
    </w:p>
    <w:tbl>
      <w:tblPr>
        <w:tblW w:w="9322"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ayout w:type="fixed"/>
        <w:tblLook w:val="00A0" w:firstRow="1" w:lastRow="0" w:firstColumn="1" w:lastColumn="0" w:noHBand="0" w:noVBand="0"/>
      </w:tblPr>
      <w:tblGrid>
        <w:gridCol w:w="1890"/>
        <w:gridCol w:w="7432"/>
      </w:tblGrid>
      <w:tr w:rsidR="00133505" w:rsidRPr="00133505" w14:paraId="15E8B104" w14:textId="77777777" w:rsidTr="70C097CA">
        <w:trPr>
          <w:trHeight w:val="327"/>
        </w:trPr>
        <w:tc>
          <w:tcPr>
            <w:tcW w:w="9322" w:type="dxa"/>
            <w:gridSpan w:val="2"/>
          </w:tcPr>
          <w:p w14:paraId="30430377" w14:textId="77777777" w:rsidR="003B070F" w:rsidRPr="00133505" w:rsidRDefault="003B070F" w:rsidP="00021FF0">
            <w:pPr>
              <w:pStyle w:val="Header"/>
              <w:spacing w:before="60"/>
              <w:rPr>
                <w:b/>
                <w:color w:val="000000" w:themeColor="text1"/>
                <w:sz w:val="24"/>
              </w:rPr>
            </w:pPr>
            <w:r w:rsidRPr="00133505">
              <w:rPr>
                <w:b/>
                <w:color w:val="000000" w:themeColor="text1"/>
                <w:sz w:val="24"/>
              </w:rPr>
              <w:t>Age groups</w:t>
            </w:r>
          </w:p>
        </w:tc>
      </w:tr>
      <w:tr w:rsidR="00133505" w:rsidRPr="00133505" w14:paraId="04567E7F" w14:textId="77777777" w:rsidTr="70C097CA">
        <w:trPr>
          <w:trHeight w:val="327"/>
        </w:trPr>
        <w:tc>
          <w:tcPr>
            <w:tcW w:w="1890" w:type="dxa"/>
          </w:tcPr>
          <w:p w14:paraId="1ADBB68E" w14:textId="77777777" w:rsidR="003B070F" w:rsidRPr="00133505" w:rsidRDefault="003B070F" w:rsidP="00021FF0">
            <w:pPr>
              <w:pStyle w:val="Header"/>
              <w:spacing w:before="60"/>
              <w:rPr>
                <w:color w:val="000000" w:themeColor="text1"/>
                <w:sz w:val="24"/>
              </w:rPr>
            </w:pPr>
            <w:r w:rsidRPr="00133505">
              <w:rPr>
                <w:color w:val="000000" w:themeColor="text1"/>
                <w:sz w:val="24"/>
              </w:rPr>
              <w:t>Children</w:t>
            </w:r>
          </w:p>
        </w:tc>
        <w:tc>
          <w:tcPr>
            <w:tcW w:w="7432" w:type="dxa"/>
          </w:tcPr>
          <w:p w14:paraId="79F71FBA" w14:textId="1F08E730" w:rsidR="003B070F" w:rsidRPr="00133505" w:rsidRDefault="003B070F" w:rsidP="07D7EB6C">
            <w:pPr>
              <w:pStyle w:val="Header"/>
              <w:spacing w:before="60"/>
              <w:rPr>
                <w:color w:val="000000" w:themeColor="text1"/>
                <w:sz w:val="24"/>
                <w:szCs w:val="24"/>
              </w:rPr>
            </w:pPr>
            <w:r w:rsidRPr="00133505">
              <w:rPr>
                <w:color w:val="000000" w:themeColor="text1"/>
                <w:sz w:val="24"/>
                <w:szCs w:val="24"/>
              </w:rPr>
              <w:t xml:space="preserve">The age used in the previous updates of Atlas for children </w:t>
            </w:r>
            <w:r w:rsidR="04A4E06D" w:rsidRPr="00133505">
              <w:rPr>
                <w:color w:val="000000" w:themeColor="text1"/>
                <w:sz w:val="24"/>
                <w:szCs w:val="24"/>
              </w:rPr>
              <w:t>wa</w:t>
            </w:r>
            <w:r w:rsidRPr="00133505">
              <w:rPr>
                <w:color w:val="000000" w:themeColor="text1"/>
                <w:sz w:val="24"/>
                <w:szCs w:val="24"/>
              </w:rPr>
              <w:t>s 0</w:t>
            </w:r>
            <w:r w:rsidR="00860B92" w:rsidRPr="00133505">
              <w:rPr>
                <w:color w:val="000000" w:themeColor="text1"/>
                <w:sz w:val="24"/>
                <w:szCs w:val="24"/>
              </w:rPr>
              <w:t xml:space="preserve"> –</w:t>
            </w:r>
            <w:r w:rsidRPr="00133505">
              <w:rPr>
                <w:color w:val="000000" w:themeColor="text1"/>
                <w:sz w:val="24"/>
                <w:szCs w:val="24"/>
              </w:rPr>
              <w:t>14 years</w:t>
            </w:r>
            <w:r w:rsidR="04A4E06D" w:rsidRPr="00133505">
              <w:rPr>
                <w:color w:val="000000" w:themeColor="text1"/>
                <w:sz w:val="24"/>
                <w:szCs w:val="24"/>
              </w:rPr>
              <w:t>,</w:t>
            </w:r>
            <w:r w:rsidRPr="00133505">
              <w:rPr>
                <w:color w:val="000000" w:themeColor="text1"/>
                <w:sz w:val="24"/>
                <w:szCs w:val="24"/>
              </w:rPr>
              <w:t xml:space="preserve"> in line with </w:t>
            </w:r>
            <w:r w:rsidR="04A4E06D" w:rsidRPr="00133505">
              <w:rPr>
                <w:color w:val="000000" w:themeColor="text1"/>
                <w:sz w:val="24"/>
                <w:szCs w:val="24"/>
              </w:rPr>
              <w:t xml:space="preserve">previous </w:t>
            </w:r>
            <w:r w:rsidRPr="00133505">
              <w:rPr>
                <w:color w:val="000000" w:themeColor="text1"/>
                <w:sz w:val="24"/>
                <w:szCs w:val="24"/>
              </w:rPr>
              <w:t>guidelines. In this update</w:t>
            </w:r>
            <w:r w:rsidR="04A4E06D" w:rsidRPr="00133505">
              <w:rPr>
                <w:color w:val="000000" w:themeColor="text1"/>
                <w:sz w:val="24"/>
                <w:szCs w:val="24"/>
              </w:rPr>
              <w:t>,</w:t>
            </w:r>
            <w:r w:rsidRPr="00133505">
              <w:rPr>
                <w:color w:val="000000" w:themeColor="text1"/>
                <w:sz w:val="24"/>
                <w:szCs w:val="24"/>
              </w:rPr>
              <w:t xml:space="preserve"> the age used for children is 0</w:t>
            </w:r>
            <w:r w:rsidR="00860B92" w:rsidRPr="00133505">
              <w:rPr>
                <w:color w:val="000000" w:themeColor="text1"/>
                <w:sz w:val="24"/>
                <w:szCs w:val="24"/>
              </w:rPr>
              <w:t xml:space="preserve"> –</w:t>
            </w:r>
            <w:r w:rsidRPr="00133505">
              <w:rPr>
                <w:color w:val="000000" w:themeColor="text1"/>
                <w:sz w:val="24"/>
                <w:szCs w:val="24"/>
              </w:rPr>
              <w:t>11 years, in line with the 2020 A</w:t>
            </w:r>
            <w:r w:rsidR="5D0A944F" w:rsidRPr="00133505">
              <w:rPr>
                <w:color w:val="000000" w:themeColor="text1"/>
                <w:sz w:val="24"/>
                <w:szCs w:val="24"/>
              </w:rPr>
              <w:t xml:space="preserve">sthma and </w:t>
            </w:r>
            <w:r w:rsidRPr="00133505">
              <w:rPr>
                <w:color w:val="000000" w:themeColor="text1"/>
                <w:sz w:val="24"/>
                <w:szCs w:val="24"/>
              </w:rPr>
              <w:t>R</w:t>
            </w:r>
            <w:r w:rsidR="044B0296" w:rsidRPr="00133505">
              <w:rPr>
                <w:color w:val="000000" w:themeColor="text1"/>
                <w:sz w:val="24"/>
                <w:szCs w:val="24"/>
              </w:rPr>
              <w:t xml:space="preserve">espiratory </w:t>
            </w:r>
            <w:r w:rsidRPr="00133505">
              <w:rPr>
                <w:color w:val="000000" w:themeColor="text1"/>
                <w:sz w:val="24"/>
                <w:szCs w:val="24"/>
              </w:rPr>
              <w:t>F</w:t>
            </w:r>
            <w:r w:rsidR="3E037EB5" w:rsidRPr="00133505">
              <w:rPr>
                <w:color w:val="000000" w:themeColor="text1"/>
                <w:sz w:val="24"/>
                <w:szCs w:val="24"/>
              </w:rPr>
              <w:t xml:space="preserve">oundation </w:t>
            </w:r>
            <w:r w:rsidRPr="00133505">
              <w:rPr>
                <w:color w:val="000000" w:themeColor="text1"/>
                <w:sz w:val="24"/>
                <w:szCs w:val="24"/>
              </w:rPr>
              <w:t>N</w:t>
            </w:r>
            <w:r w:rsidR="54A45DB4" w:rsidRPr="00133505">
              <w:rPr>
                <w:color w:val="000000" w:themeColor="text1"/>
                <w:sz w:val="24"/>
                <w:szCs w:val="24"/>
              </w:rPr>
              <w:t xml:space="preserve">ew </w:t>
            </w:r>
            <w:r w:rsidRPr="00133505">
              <w:rPr>
                <w:color w:val="000000" w:themeColor="text1"/>
                <w:sz w:val="24"/>
                <w:szCs w:val="24"/>
              </w:rPr>
              <w:t>Z</w:t>
            </w:r>
            <w:r w:rsidR="22050C76" w:rsidRPr="00133505">
              <w:rPr>
                <w:color w:val="000000" w:themeColor="text1"/>
                <w:sz w:val="24"/>
                <w:szCs w:val="24"/>
              </w:rPr>
              <w:t>ealand (ARFNZ)</w:t>
            </w:r>
            <w:r w:rsidRPr="00133505">
              <w:rPr>
                <w:color w:val="000000" w:themeColor="text1"/>
                <w:sz w:val="24"/>
                <w:szCs w:val="24"/>
              </w:rPr>
              <w:t xml:space="preserve"> Child Asthma Guidelines</w:t>
            </w:r>
            <w:r w:rsidRPr="00133505">
              <w:rPr>
                <w:rStyle w:val="FootnoteReference"/>
                <w:color w:val="000000" w:themeColor="text1"/>
                <w:sz w:val="24"/>
                <w:szCs w:val="24"/>
              </w:rPr>
              <w:footnoteReference w:id="3"/>
            </w:r>
            <w:r w:rsidRPr="00133505">
              <w:rPr>
                <w:color w:val="000000" w:themeColor="text1"/>
                <w:sz w:val="24"/>
                <w:szCs w:val="24"/>
              </w:rPr>
              <w:t>.</w:t>
            </w:r>
          </w:p>
          <w:p w14:paraId="3BF830B3" w14:textId="77777777" w:rsidR="00E64B27" w:rsidRPr="00133505" w:rsidRDefault="00E64B27" w:rsidP="07D7EB6C">
            <w:pPr>
              <w:pStyle w:val="Header"/>
              <w:spacing w:before="60"/>
              <w:rPr>
                <w:color w:val="000000" w:themeColor="text1"/>
                <w:sz w:val="24"/>
                <w:szCs w:val="24"/>
              </w:rPr>
            </w:pPr>
          </w:p>
          <w:p w14:paraId="6EE40D7B" w14:textId="07274055" w:rsidR="00A35AEB" w:rsidRPr="00133505" w:rsidRDefault="00A35AEB" w:rsidP="07D7EB6C">
            <w:pPr>
              <w:pStyle w:val="Header"/>
              <w:spacing w:before="60"/>
              <w:rPr>
                <w:color w:val="000000" w:themeColor="text1"/>
                <w:sz w:val="24"/>
                <w:szCs w:val="24"/>
              </w:rPr>
            </w:pPr>
          </w:p>
          <w:p w14:paraId="5FF45063" w14:textId="77777777" w:rsidR="00385CA8" w:rsidRPr="00133505" w:rsidRDefault="003B070F" w:rsidP="00385CA8">
            <w:pPr>
              <w:pStyle w:val="Header"/>
              <w:spacing w:before="60"/>
              <w:rPr>
                <w:color w:val="000000" w:themeColor="text1"/>
                <w:sz w:val="24"/>
              </w:rPr>
            </w:pPr>
            <w:r w:rsidRPr="00133505">
              <w:rPr>
                <w:color w:val="000000" w:themeColor="text1"/>
                <w:sz w:val="24"/>
                <w:szCs w:val="24"/>
              </w:rPr>
              <w:t>The Expert Advisory Group (EAG)</w:t>
            </w:r>
            <w:r w:rsidR="004D4BBD" w:rsidRPr="00133505">
              <w:rPr>
                <w:rStyle w:val="FootnoteReference"/>
                <w:color w:val="000000" w:themeColor="text1"/>
                <w:sz w:val="24"/>
                <w:szCs w:val="24"/>
              </w:rPr>
              <w:footnoteReference w:id="4"/>
            </w:r>
            <w:r w:rsidR="2CE2ADB7" w:rsidRPr="00133505">
              <w:rPr>
                <w:rStyle w:val="FootnoteReference"/>
                <w:color w:val="000000" w:themeColor="text1"/>
                <w:sz w:val="24"/>
                <w:szCs w:val="24"/>
              </w:rPr>
              <w:t xml:space="preserve"> </w:t>
            </w:r>
            <w:r w:rsidRPr="00133505">
              <w:rPr>
                <w:color w:val="000000" w:themeColor="text1"/>
                <w:sz w:val="24"/>
                <w:szCs w:val="24"/>
              </w:rPr>
              <w:t>developing this Atlas noted the issue of diagnosing asthma in those aged under 5. However, given both their high rate of admissions and that some will go on to develop asthma, it was considered both informative and appropriate to present these data.</w:t>
            </w:r>
            <w:r w:rsidR="008E31A7" w:rsidRPr="00133505">
              <w:rPr>
                <w:color w:val="000000" w:themeColor="text1"/>
                <w:sz w:val="24"/>
                <w:szCs w:val="24"/>
              </w:rPr>
              <w:t xml:space="preserve"> Due to the uncertainty of diagnosing asthma </w:t>
            </w:r>
            <w:r w:rsidR="00761D3A" w:rsidRPr="00133505">
              <w:rPr>
                <w:color w:val="000000" w:themeColor="text1"/>
                <w:sz w:val="24"/>
                <w:szCs w:val="24"/>
              </w:rPr>
              <w:t>in this age group</w:t>
            </w:r>
            <w:r w:rsidR="008E31A7" w:rsidRPr="00133505">
              <w:rPr>
                <w:color w:val="000000" w:themeColor="text1"/>
                <w:sz w:val="24"/>
                <w:szCs w:val="24"/>
              </w:rPr>
              <w:t>, ‘wheeze’ is included as an alternative diagnosis in indicators reporting hospital admissions in children.</w:t>
            </w:r>
            <w:r w:rsidR="00385CA8" w:rsidRPr="00133505">
              <w:rPr>
                <w:color w:val="000000" w:themeColor="text1"/>
                <w:sz w:val="24"/>
              </w:rPr>
              <w:t xml:space="preserve"> </w:t>
            </w:r>
          </w:p>
          <w:p w14:paraId="7CB497A5" w14:textId="77777777" w:rsidR="00385CA8" w:rsidRPr="00133505" w:rsidRDefault="00385CA8" w:rsidP="00385CA8">
            <w:pPr>
              <w:pStyle w:val="Header"/>
              <w:spacing w:before="60"/>
              <w:rPr>
                <w:color w:val="000000" w:themeColor="text1"/>
                <w:sz w:val="24"/>
              </w:rPr>
            </w:pPr>
          </w:p>
          <w:p w14:paraId="1330FE9A" w14:textId="573739E3" w:rsidR="00385CA8" w:rsidRPr="00133505" w:rsidRDefault="00385CA8" w:rsidP="00385CA8">
            <w:pPr>
              <w:pStyle w:val="Header"/>
              <w:spacing w:before="60"/>
              <w:rPr>
                <w:color w:val="000000" w:themeColor="text1"/>
                <w:sz w:val="24"/>
              </w:rPr>
            </w:pPr>
            <w:r w:rsidRPr="00133505">
              <w:rPr>
                <w:color w:val="000000" w:themeColor="text1"/>
                <w:sz w:val="24"/>
              </w:rPr>
              <w:t xml:space="preserve">Children aged 0–4 years were not included in indicators looking at medication use as they are a distinct group. Not all will respond to inhaled corticosteroids (ICS) therapy and of those who do, only </w:t>
            </w:r>
            <w:r w:rsidRPr="00133505">
              <w:rPr>
                <w:color w:val="000000" w:themeColor="text1"/>
                <w:sz w:val="24"/>
              </w:rPr>
              <w:lastRenderedPageBreak/>
              <w:t xml:space="preserve">some will have asthma at school age or as an adult. For these reasons, it was considered including preschool children in an indicator of regular ICS use would be difficult to interpret. </w:t>
            </w:r>
          </w:p>
          <w:p w14:paraId="115B41BB" w14:textId="59A41536" w:rsidR="008E31A7" w:rsidRPr="00133505" w:rsidRDefault="008E31A7" w:rsidP="008E31A7">
            <w:pPr>
              <w:pStyle w:val="Header"/>
              <w:spacing w:before="60"/>
              <w:rPr>
                <w:color w:val="000000" w:themeColor="text1"/>
                <w:sz w:val="24"/>
                <w:szCs w:val="24"/>
              </w:rPr>
            </w:pPr>
          </w:p>
          <w:p w14:paraId="514FFAD4" w14:textId="74F55F2C" w:rsidR="003B070F" w:rsidRPr="00133505" w:rsidRDefault="003B070F" w:rsidP="07D7EB6C">
            <w:pPr>
              <w:pStyle w:val="Header"/>
              <w:spacing w:before="60"/>
              <w:rPr>
                <w:color w:val="000000" w:themeColor="text1"/>
                <w:sz w:val="24"/>
                <w:szCs w:val="24"/>
              </w:rPr>
            </w:pPr>
          </w:p>
        </w:tc>
      </w:tr>
      <w:tr w:rsidR="003B070F" w:rsidRPr="00133505" w14:paraId="3987ABCC" w14:textId="77777777" w:rsidTr="70C097CA">
        <w:trPr>
          <w:trHeight w:val="327"/>
        </w:trPr>
        <w:tc>
          <w:tcPr>
            <w:tcW w:w="1890" w:type="dxa"/>
          </w:tcPr>
          <w:p w14:paraId="053F7BB2"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People aged 12 years or over</w:t>
            </w:r>
          </w:p>
        </w:tc>
        <w:tc>
          <w:tcPr>
            <w:tcW w:w="7432" w:type="dxa"/>
          </w:tcPr>
          <w:p w14:paraId="3264506F" w14:textId="0D3F101E" w:rsidR="004C664E" w:rsidRPr="00133505" w:rsidRDefault="59356D18" w:rsidP="1002A1B5">
            <w:pPr>
              <w:rPr>
                <w:rFonts w:eastAsia="Arial" w:cs="Arial"/>
                <w:color w:val="000000" w:themeColor="text1"/>
                <w:sz w:val="24"/>
                <w:szCs w:val="24"/>
              </w:rPr>
            </w:pPr>
            <w:r w:rsidRPr="00133505">
              <w:rPr>
                <w:rFonts w:eastAsia="Arial" w:cs="Arial"/>
                <w:color w:val="000000" w:themeColor="text1"/>
                <w:sz w:val="24"/>
                <w:szCs w:val="24"/>
              </w:rPr>
              <w:t>I</w:t>
            </w:r>
            <w:r w:rsidR="4354B4FC" w:rsidRPr="00133505">
              <w:rPr>
                <w:rFonts w:eastAsia="Arial" w:cs="Arial"/>
                <w:color w:val="000000" w:themeColor="text1"/>
                <w:sz w:val="24"/>
                <w:szCs w:val="24"/>
              </w:rPr>
              <w:t xml:space="preserve">n the </w:t>
            </w:r>
            <w:r w:rsidR="1C70AD53" w:rsidRPr="00133505">
              <w:rPr>
                <w:rFonts w:eastAsia="Arial" w:cs="Arial"/>
                <w:color w:val="000000" w:themeColor="text1"/>
                <w:sz w:val="24"/>
                <w:szCs w:val="24"/>
              </w:rPr>
              <w:t>previous</w:t>
            </w:r>
            <w:r w:rsidR="4354B4FC" w:rsidRPr="00133505">
              <w:rPr>
                <w:rFonts w:eastAsia="Arial" w:cs="Arial"/>
                <w:color w:val="000000" w:themeColor="text1"/>
                <w:sz w:val="24"/>
                <w:szCs w:val="24"/>
              </w:rPr>
              <w:t xml:space="preserve"> Atlas update, all indicators were restricted to</w:t>
            </w:r>
            <w:r w:rsidR="00CE6002" w:rsidRPr="00133505">
              <w:rPr>
                <w:rFonts w:eastAsia="Arial" w:cs="Arial"/>
                <w:color w:val="000000" w:themeColor="text1"/>
                <w:sz w:val="24"/>
                <w:szCs w:val="24"/>
              </w:rPr>
              <w:t xml:space="preserve"> people aged</w:t>
            </w:r>
            <w:r w:rsidR="4354B4FC" w:rsidRPr="00133505">
              <w:rPr>
                <w:rFonts w:eastAsia="Arial" w:cs="Arial"/>
                <w:color w:val="000000" w:themeColor="text1"/>
                <w:sz w:val="24"/>
                <w:szCs w:val="24"/>
              </w:rPr>
              <w:t xml:space="preserve"> </w:t>
            </w:r>
            <w:r w:rsidR="100504FB" w:rsidRPr="00133505">
              <w:rPr>
                <w:rFonts w:eastAsia="Arial" w:cs="Arial"/>
                <w:color w:val="000000" w:themeColor="text1"/>
                <w:sz w:val="24"/>
                <w:szCs w:val="24"/>
              </w:rPr>
              <w:t xml:space="preserve">less than </w:t>
            </w:r>
            <w:r w:rsidR="4354B4FC" w:rsidRPr="00133505">
              <w:rPr>
                <w:rFonts w:eastAsia="Arial" w:cs="Arial"/>
                <w:color w:val="000000" w:themeColor="text1"/>
                <w:sz w:val="24"/>
                <w:szCs w:val="24"/>
              </w:rPr>
              <w:t xml:space="preserve">50 years, because of the increasing likelihood of a diagnosis of Chronic Obstructive Pulmonary Disease (COPD). </w:t>
            </w:r>
          </w:p>
          <w:p w14:paraId="07D0FB69" w14:textId="13613BA5" w:rsidR="004C664E" w:rsidRPr="00133505" w:rsidRDefault="4354B4FC" w:rsidP="1002A1B5">
            <w:pPr>
              <w:rPr>
                <w:rFonts w:eastAsia="Arial" w:cs="Arial"/>
                <w:color w:val="000000" w:themeColor="text1"/>
                <w:sz w:val="24"/>
                <w:szCs w:val="24"/>
              </w:rPr>
            </w:pPr>
            <w:r w:rsidRPr="00133505">
              <w:rPr>
                <w:rFonts w:eastAsia="Arial" w:cs="Arial"/>
                <w:color w:val="000000" w:themeColor="text1"/>
                <w:sz w:val="24"/>
                <w:szCs w:val="24"/>
              </w:rPr>
              <w:t>Now, after comparing asthma and COPD populations</w:t>
            </w:r>
            <w:r w:rsidR="0031124B" w:rsidRPr="00133505">
              <w:rPr>
                <w:rFonts w:eastAsia="Arial" w:cs="Arial"/>
                <w:color w:val="000000" w:themeColor="text1"/>
                <w:sz w:val="24"/>
                <w:szCs w:val="24"/>
              </w:rPr>
              <w:t>,</w:t>
            </w:r>
            <w:r w:rsidRPr="00133505">
              <w:rPr>
                <w:rFonts w:eastAsia="Arial" w:cs="Arial"/>
                <w:color w:val="000000" w:themeColor="text1"/>
                <w:sz w:val="24"/>
                <w:szCs w:val="24"/>
              </w:rPr>
              <w:t xml:space="preserve"> </w:t>
            </w:r>
            <w:r w:rsidR="005B42A8" w:rsidRPr="00133505">
              <w:rPr>
                <w:rFonts w:eastAsia="Arial" w:cs="Arial"/>
                <w:color w:val="000000" w:themeColor="text1"/>
                <w:sz w:val="24"/>
                <w:szCs w:val="24"/>
              </w:rPr>
              <w:t xml:space="preserve">the maximum age for </w:t>
            </w:r>
            <w:r w:rsidRPr="00133505">
              <w:rPr>
                <w:rFonts w:eastAsia="Arial" w:cs="Arial"/>
                <w:color w:val="000000" w:themeColor="text1"/>
                <w:sz w:val="24"/>
                <w:szCs w:val="24"/>
              </w:rPr>
              <w:t xml:space="preserve">indicators that </w:t>
            </w:r>
            <w:r w:rsidR="0096309B" w:rsidRPr="00133505">
              <w:rPr>
                <w:rFonts w:eastAsia="Arial" w:cs="Arial"/>
                <w:color w:val="000000" w:themeColor="text1"/>
                <w:sz w:val="24"/>
                <w:szCs w:val="24"/>
              </w:rPr>
              <w:t xml:space="preserve">look at medication use </w:t>
            </w:r>
            <w:r w:rsidR="005B42A8" w:rsidRPr="00133505">
              <w:rPr>
                <w:rFonts w:eastAsia="Arial" w:cs="Arial"/>
                <w:color w:val="000000" w:themeColor="text1"/>
                <w:sz w:val="24"/>
                <w:szCs w:val="24"/>
              </w:rPr>
              <w:t xml:space="preserve">has been reduced to </w:t>
            </w:r>
            <w:r w:rsidRPr="00133505">
              <w:rPr>
                <w:rFonts w:eastAsia="Arial" w:cs="Arial"/>
                <w:color w:val="000000" w:themeColor="text1"/>
                <w:sz w:val="24"/>
                <w:szCs w:val="24"/>
              </w:rPr>
              <w:t xml:space="preserve">44 years. </w:t>
            </w:r>
            <w:r w:rsidR="001A6C46" w:rsidRPr="00133505">
              <w:rPr>
                <w:rFonts w:eastAsia="Arial" w:cs="Arial"/>
                <w:color w:val="000000" w:themeColor="text1"/>
                <w:sz w:val="24"/>
                <w:szCs w:val="24"/>
              </w:rPr>
              <w:t xml:space="preserve">This </w:t>
            </w:r>
            <w:r w:rsidR="0096309B" w:rsidRPr="00133505">
              <w:rPr>
                <w:rFonts w:eastAsia="Arial" w:cs="Arial"/>
                <w:color w:val="000000" w:themeColor="text1"/>
                <w:sz w:val="24"/>
                <w:szCs w:val="24"/>
              </w:rPr>
              <w:t xml:space="preserve">is to </w:t>
            </w:r>
            <w:r w:rsidR="00E90155" w:rsidRPr="00133505">
              <w:rPr>
                <w:rFonts w:eastAsia="Arial" w:cs="Arial"/>
                <w:color w:val="000000" w:themeColor="text1"/>
                <w:sz w:val="24"/>
                <w:szCs w:val="24"/>
              </w:rPr>
              <w:t xml:space="preserve">avoid </w:t>
            </w:r>
            <w:r w:rsidR="000B60CC" w:rsidRPr="00133505">
              <w:rPr>
                <w:rFonts w:eastAsia="Arial" w:cs="Arial"/>
                <w:color w:val="000000" w:themeColor="text1"/>
                <w:sz w:val="24"/>
                <w:szCs w:val="24"/>
              </w:rPr>
              <w:t>inclu</w:t>
            </w:r>
            <w:r w:rsidR="0096309B" w:rsidRPr="00133505">
              <w:rPr>
                <w:rFonts w:eastAsia="Arial" w:cs="Arial"/>
                <w:color w:val="000000" w:themeColor="text1"/>
                <w:sz w:val="24"/>
                <w:szCs w:val="24"/>
              </w:rPr>
              <w:t>ding</w:t>
            </w:r>
            <w:r w:rsidR="000B60CC" w:rsidRPr="00133505">
              <w:rPr>
                <w:rFonts w:eastAsia="Arial" w:cs="Arial"/>
                <w:color w:val="000000" w:themeColor="text1"/>
                <w:sz w:val="24"/>
                <w:szCs w:val="24"/>
              </w:rPr>
              <w:t xml:space="preserve"> </w:t>
            </w:r>
            <w:r w:rsidR="0096309B" w:rsidRPr="00133505">
              <w:rPr>
                <w:rFonts w:eastAsia="Arial" w:cs="Arial"/>
                <w:color w:val="000000" w:themeColor="text1"/>
                <w:sz w:val="24"/>
                <w:szCs w:val="24"/>
              </w:rPr>
              <w:t xml:space="preserve">people with </w:t>
            </w:r>
            <w:r w:rsidR="002A3F0C" w:rsidRPr="00133505">
              <w:rPr>
                <w:rFonts w:eastAsia="Arial" w:cs="Arial"/>
                <w:color w:val="000000" w:themeColor="text1"/>
                <w:sz w:val="24"/>
                <w:szCs w:val="24"/>
              </w:rPr>
              <w:t>COPD</w:t>
            </w:r>
            <w:r w:rsidR="0096309B" w:rsidRPr="00133505">
              <w:rPr>
                <w:rFonts w:eastAsia="Arial" w:cs="Arial"/>
                <w:color w:val="000000" w:themeColor="text1"/>
                <w:sz w:val="24"/>
                <w:szCs w:val="24"/>
              </w:rPr>
              <w:t xml:space="preserve">, who are reported separately </w:t>
            </w:r>
            <w:r w:rsidR="000B60CC" w:rsidRPr="00133505">
              <w:rPr>
                <w:rFonts w:eastAsia="Arial" w:cs="Arial"/>
                <w:color w:val="000000" w:themeColor="text1"/>
                <w:sz w:val="24"/>
                <w:szCs w:val="24"/>
              </w:rPr>
              <w:t xml:space="preserve">in the </w:t>
            </w:r>
            <w:hyperlink r:id="rId10" w:history="1">
              <w:r w:rsidR="00C6083A" w:rsidRPr="00133505">
                <w:rPr>
                  <w:rStyle w:val="Hyperlink"/>
                  <w:rFonts w:eastAsia="Arial" w:cs="Arial"/>
                  <w:color w:val="000000" w:themeColor="text1"/>
                  <w:sz w:val="24"/>
                  <w:szCs w:val="24"/>
                </w:rPr>
                <w:t>COPD Atlas</w:t>
              </w:r>
            </w:hyperlink>
            <w:r w:rsidR="00C6083A" w:rsidRPr="00133505">
              <w:rPr>
                <w:rFonts w:eastAsia="Arial" w:cs="Arial"/>
                <w:color w:val="000000" w:themeColor="text1"/>
                <w:sz w:val="24"/>
                <w:szCs w:val="24"/>
              </w:rPr>
              <w:t xml:space="preserve">, </w:t>
            </w:r>
            <w:r w:rsidR="009571FD" w:rsidRPr="00133505">
              <w:rPr>
                <w:rFonts w:eastAsia="Arial" w:cs="Arial"/>
                <w:color w:val="000000" w:themeColor="text1"/>
                <w:sz w:val="24"/>
                <w:szCs w:val="24"/>
              </w:rPr>
              <w:t>where the</w:t>
            </w:r>
            <w:r w:rsidR="00515AA2" w:rsidRPr="00133505">
              <w:rPr>
                <w:rFonts w:eastAsia="Arial" w:cs="Arial"/>
                <w:color w:val="000000" w:themeColor="text1"/>
                <w:sz w:val="24"/>
                <w:szCs w:val="24"/>
              </w:rPr>
              <w:t xml:space="preserve"> minimum age </w:t>
            </w:r>
            <w:r w:rsidR="009571FD" w:rsidRPr="00133505">
              <w:rPr>
                <w:rFonts w:eastAsia="Arial" w:cs="Arial"/>
                <w:color w:val="000000" w:themeColor="text1"/>
                <w:sz w:val="24"/>
                <w:szCs w:val="24"/>
              </w:rPr>
              <w:t>is</w:t>
            </w:r>
            <w:r w:rsidR="00515AA2" w:rsidRPr="00133505">
              <w:rPr>
                <w:rFonts w:eastAsia="Arial" w:cs="Arial"/>
                <w:color w:val="000000" w:themeColor="text1"/>
                <w:sz w:val="24"/>
                <w:szCs w:val="24"/>
              </w:rPr>
              <w:t xml:space="preserve"> 45</w:t>
            </w:r>
            <w:r w:rsidR="00737E05" w:rsidRPr="00133505">
              <w:rPr>
                <w:rFonts w:eastAsia="Arial" w:cs="Arial"/>
                <w:color w:val="000000" w:themeColor="text1"/>
                <w:sz w:val="24"/>
                <w:szCs w:val="24"/>
              </w:rPr>
              <w:t xml:space="preserve"> years</w:t>
            </w:r>
            <w:r w:rsidR="00A30F27" w:rsidRPr="00133505">
              <w:rPr>
                <w:rFonts w:eastAsia="Arial" w:cs="Arial"/>
                <w:color w:val="000000" w:themeColor="text1"/>
                <w:sz w:val="24"/>
                <w:szCs w:val="24"/>
              </w:rPr>
              <w:t>.</w:t>
            </w:r>
            <w:r w:rsidR="00737E05" w:rsidRPr="00133505">
              <w:rPr>
                <w:rFonts w:eastAsia="Arial" w:cs="Arial"/>
                <w:color w:val="000000" w:themeColor="text1"/>
                <w:sz w:val="24"/>
                <w:szCs w:val="24"/>
              </w:rPr>
              <w:t xml:space="preserve"> </w:t>
            </w:r>
          </w:p>
          <w:p w14:paraId="14CA8CC9" w14:textId="2B2EE37E" w:rsidR="003B070F" w:rsidRPr="00133505" w:rsidRDefault="0096309B" w:rsidP="1002A1B5">
            <w:pPr>
              <w:rPr>
                <w:rFonts w:eastAsia="Arial" w:cs="Arial"/>
                <w:color w:val="000000" w:themeColor="text1"/>
                <w:sz w:val="24"/>
                <w:szCs w:val="24"/>
              </w:rPr>
            </w:pPr>
            <w:r w:rsidRPr="00133505">
              <w:rPr>
                <w:rFonts w:eastAsia="Arial" w:cs="Arial"/>
                <w:color w:val="000000" w:themeColor="text1"/>
                <w:sz w:val="24"/>
                <w:szCs w:val="24"/>
              </w:rPr>
              <w:t>The</w:t>
            </w:r>
            <w:r w:rsidR="0037144B" w:rsidRPr="00133505">
              <w:rPr>
                <w:rFonts w:eastAsia="Arial" w:cs="Arial"/>
                <w:color w:val="000000" w:themeColor="text1"/>
                <w:sz w:val="24"/>
                <w:szCs w:val="24"/>
              </w:rPr>
              <w:t xml:space="preserve"> i</w:t>
            </w:r>
            <w:r w:rsidR="4354B4FC" w:rsidRPr="00133505">
              <w:rPr>
                <w:rFonts w:eastAsia="Arial" w:cs="Arial"/>
                <w:color w:val="000000" w:themeColor="text1"/>
                <w:sz w:val="24"/>
                <w:szCs w:val="24"/>
              </w:rPr>
              <w:t xml:space="preserve">ndicators </w:t>
            </w:r>
            <w:r w:rsidRPr="00133505">
              <w:rPr>
                <w:rFonts w:eastAsia="Arial" w:cs="Arial"/>
                <w:color w:val="000000" w:themeColor="text1"/>
                <w:sz w:val="24"/>
                <w:szCs w:val="24"/>
              </w:rPr>
              <w:t xml:space="preserve">looking at hospital </w:t>
            </w:r>
            <w:r w:rsidR="4354B4FC" w:rsidRPr="00133505">
              <w:rPr>
                <w:rFonts w:eastAsia="Arial" w:cs="Arial"/>
                <w:color w:val="000000" w:themeColor="text1"/>
                <w:sz w:val="24"/>
                <w:szCs w:val="24"/>
              </w:rPr>
              <w:t>admission</w:t>
            </w:r>
            <w:r w:rsidRPr="00133505">
              <w:rPr>
                <w:rFonts w:eastAsia="Arial" w:cs="Arial"/>
                <w:color w:val="000000" w:themeColor="text1"/>
                <w:sz w:val="24"/>
                <w:szCs w:val="24"/>
              </w:rPr>
              <w:t>s</w:t>
            </w:r>
            <w:r w:rsidR="4354B4FC" w:rsidRPr="00133505">
              <w:rPr>
                <w:rFonts w:eastAsia="Arial" w:cs="Arial"/>
                <w:color w:val="000000" w:themeColor="text1"/>
                <w:sz w:val="24"/>
                <w:szCs w:val="24"/>
              </w:rPr>
              <w:t xml:space="preserve"> </w:t>
            </w:r>
            <w:r w:rsidR="009C60E5" w:rsidRPr="00133505">
              <w:rPr>
                <w:rFonts w:eastAsia="Arial" w:cs="Arial"/>
                <w:color w:val="000000" w:themeColor="text1"/>
                <w:sz w:val="24"/>
                <w:szCs w:val="24"/>
              </w:rPr>
              <w:t xml:space="preserve">now include </w:t>
            </w:r>
            <w:r w:rsidR="00DA2408" w:rsidRPr="00133505">
              <w:rPr>
                <w:rFonts w:eastAsia="Arial" w:cs="Arial"/>
                <w:color w:val="000000" w:themeColor="text1"/>
                <w:sz w:val="24"/>
                <w:szCs w:val="24"/>
              </w:rPr>
              <w:t xml:space="preserve">adults </w:t>
            </w:r>
            <w:r w:rsidR="002E5F93" w:rsidRPr="00133505">
              <w:rPr>
                <w:rFonts w:eastAsia="Arial" w:cs="Arial"/>
                <w:color w:val="000000" w:themeColor="text1"/>
                <w:sz w:val="24"/>
                <w:szCs w:val="24"/>
              </w:rPr>
              <w:t>of all ages</w:t>
            </w:r>
            <w:r w:rsidR="0037144B" w:rsidRPr="00133505">
              <w:rPr>
                <w:rFonts w:eastAsia="Arial" w:cs="Arial"/>
                <w:color w:val="000000" w:themeColor="text1"/>
                <w:sz w:val="24"/>
                <w:szCs w:val="24"/>
              </w:rPr>
              <w:t xml:space="preserve"> (</w:t>
            </w:r>
            <w:proofErr w:type="spellStart"/>
            <w:r w:rsidR="0037144B" w:rsidRPr="00133505">
              <w:rPr>
                <w:rFonts w:eastAsia="Arial" w:cs="Arial"/>
                <w:color w:val="000000" w:themeColor="text1"/>
                <w:sz w:val="24"/>
                <w:szCs w:val="24"/>
              </w:rPr>
              <w:t>ie</w:t>
            </w:r>
            <w:proofErr w:type="spellEnd"/>
            <w:r w:rsidR="0037144B" w:rsidRPr="00133505">
              <w:rPr>
                <w:rFonts w:eastAsia="Arial" w:cs="Arial"/>
                <w:color w:val="000000" w:themeColor="text1"/>
                <w:sz w:val="24"/>
                <w:szCs w:val="24"/>
              </w:rPr>
              <w:t xml:space="preserve">, including those </w:t>
            </w:r>
            <w:r w:rsidR="00DA2408" w:rsidRPr="00133505">
              <w:rPr>
                <w:rFonts w:eastAsia="Arial" w:cs="Arial"/>
                <w:color w:val="000000" w:themeColor="text1"/>
                <w:sz w:val="24"/>
                <w:szCs w:val="24"/>
              </w:rPr>
              <w:t>aged over 50 years</w:t>
            </w:r>
            <w:r w:rsidR="002E78A4" w:rsidRPr="00133505">
              <w:rPr>
                <w:rFonts w:eastAsia="Arial" w:cs="Arial"/>
                <w:color w:val="000000" w:themeColor="text1"/>
                <w:sz w:val="24"/>
                <w:szCs w:val="24"/>
              </w:rPr>
              <w:t>),</w:t>
            </w:r>
            <w:r w:rsidR="00DA2408" w:rsidRPr="00133505">
              <w:rPr>
                <w:rFonts w:eastAsia="Arial" w:cs="Arial"/>
                <w:color w:val="000000" w:themeColor="text1"/>
                <w:sz w:val="24"/>
                <w:szCs w:val="24"/>
              </w:rPr>
              <w:t xml:space="preserve"> as preliminary analysis of asthma admissions showed a consistent number of admissions across all adult age groups (15 years and over), providing no clear indication for an age cut-off. This approach was taken in consultation with our Asthma Atlas </w:t>
            </w:r>
            <w:r w:rsidR="00B533B9" w:rsidRPr="00133505">
              <w:rPr>
                <w:rFonts w:eastAsia="Arial" w:cs="Arial"/>
                <w:color w:val="000000" w:themeColor="text1"/>
                <w:sz w:val="24"/>
                <w:szCs w:val="24"/>
              </w:rPr>
              <w:t>EAG</w:t>
            </w:r>
            <w:r w:rsidR="00DA2408" w:rsidRPr="00133505">
              <w:rPr>
                <w:rFonts w:eastAsia="Arial" w:cs="Arial"/>
                <w:color w:val="000000" w:themeColor="text1"/>
                <w:sz w:val="24"/>
                <w:szCs w:val="24"/>
              </w:rPr>
              <w:t>. </w:t>
            </w:r>
            <w:r w:rsidR="00DA2408" w:rsidRPr="00133505" w:rsidDel="00DA2408">
              <w:rPr>
                <w:rFonts w:eastAsia="Arial" w:cs="Arial"/>
                <w:color w:val="000000" w:themeColor="text1"/>
                <w:sz w:val="24"/>
                <w:szCs w:val="24"/>
              </w:rPr>
              <w:t xml:space="preserve"> </w:t>
            </w:r>
          </w:p>
        </w:tc>
      </w:tr>
    </w:tbl>
    <w:p w14:paraId="570A6D86" w14:textId="77777777" w:rsidR="003B070F" w:rsidRPr="00133505" w:rsidRDefault="003B070F" w:rsidP="003B070F">
      <w:pPr>
        <w:rPr>
          <w:rFonts w:cs="Arial"/>
          <w:color w:val="000000" w:themeColor="text1"/>
          <w:szCs w:val="22"/>
        </w:rPr>
      </w:pPr>
    </w:p>
    <w:tbl>
      <w:tblPr>
        <w:tblW w:w="9322"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ayout w:type="fixed"/>
        <w:tblLook w:val="00A0" w:firstRow="1" w:lastRow="0" w:firstColumn="1" w:lastColumn="0" w:noHBand="0" w:noVBand="0"/>
      </w:tblPr>
      <w:tblGrid>
        <w:gridCol w:w="9322"/>
      </w:tblGrid>
      <w:tr w:rsidR="00133505" w:rsidRPr="00133505" w14:paraId="38109419" w14:textId="77777777" w:rsidTr="20CF9A1D">
        <w:trPr>
          <w:trHeight w:val="327"/>
        </w:trPr>
        <w:tc>
          <w:tcPr>
            <w:tcW w:w="9322" w:type="dxa"/>
          </w:tcPr>
          <w:p w14:paraId="461894C8" w14:textId="77777777" w:rsidR="003B070F" w:rsidRPr="00133505" w:rsidRDefault="003B070F" w:rsidP="00021FF0">
            <w:pPr>
              <w:pStyle w:val="Header"/>
              <w:spacing w:before="60"/>
              <w:rPr>
                <w:b/>
                <w:color w:val="000000" w:themeColor="text1"/>
                <w:sz w:val="24"/>
              </w:rPr>
            </w:pPr>
            <w:r w:rsidRPr="00133505">
              <w:rPr>
                <w:b/>
                <w:color w:val="000000" w:themeColor="text1"/>
                <w:sz w:val="24"/>
              </w:rPr>
              <w:t>Prevalence</w:t>
            </w:r>
          </w:p>
        </w:tc>
      </w:tr>
      <w:tr w:rsidR="003B070F" w:rsidRPr="00133505" w14:paraId="246835E9" w14:textId="77777777" w:rsidTr="20CF9A1D">
        <w:trPr>
          <w:trHeight w:val="327"/>
        </w:trPr>
        <w:tc>
          <w:tcPr>
            <w:tcW w:w="9322" w:type="dxa"/>
          </w:tcPr>
          <w:p w14:paraId="6F0E5BF2" w14:textId="74B6A078" w:rsidR="003B070F" w:rsidRPr="00133505" w:rsidRDefault="003B070F">
            <w:pPr>
              <w:pStyle w:val="Header"/>
              <w:spacing w:before="60"/>
              <w:rPr>
                <w:color w:val="000000" w:themeColor="text1"/>
                <w:sz w:val="24"/>
                <w:szCs w:val="24"/>
                <w:lang w:val="en-AU"/>
              </w:rPr>
            </w:pPr>
            <w:r w:rsidRPr="00133505">
              <w:rPr>
                <w:color w:val="000000" w:themeColor="text1"/>
                <w:sz w:val="24"/>
                <w:szCs w:val="24"/>
                <w:lang w:val="en-AU"/>
              </w:rPr>
              <w:t xml:space="preserve">The New Zealand Health Survey presents indicators showing the percent of </w:t>
            </w:r>
            <w:r w:rsidR="00C106B7" w:rsidRPr="00133505">
              <w:rPr>
                <w:color w:val="000000" w:themeColor="text1"/>
                <w:sz w:val="24"/>
                <w:szCs w:val="24"/>
                <w:lang w:val="en-AU"/>
              </w:rPr>
              <w:t xml:space="preserve">the </w:t>
            </w:r>
            <w:r w:rsidRPr="00133505">
              <w:rPr>
                <w:color w:val="000000" w:themeColor="text1"/>
                <w:sz w:val="24"/>
                <w:szCs w:val="24"/>
                <w:lang w:val="en-AU"/>
              </w:rPr>
              <w:t>resident population who answered yes to the questions ‘have you ever been told by a doctor you have asthma’ and ‘do you use medication (inhalers, medicine, tablets or pills) for this condition?’</w:t>
            </w:r>
            <w:r w:rsidR="1AD04E9F" w:rsidRPr="00133505">
              <w:rPr>
                <w:color w:val="000000" w:themeColor="text1"/>
                <w:sz w:val="24"/>
                <w:szCs w:val="24"/>
                <w:lang w:val="en-AU"/>
              </w:rPr>
              <w:t>.</w:t>
            </w:r>
            <w:r w:rsidR="1E362177" w:rsidRPr="00133505">
              <w:rPr>
                <w:color w:val="000000" w:themeColor="text1"/>
                <w:sz w:val="24"/>
                <w:szCs w:val="24"/>
                <w:lang w:val="en-AU"/>
              </w:rPr>
              <w:t xml:space="preserve"> The total population prevalence</w:t>
            </w:r>
            <w:r w:rsidR="68370B0A" w:rsidRPr="00133505">
              <w:rPr>
                <w:color w:val="000000" w:themeColor="text1"/>
                <w:sz w:val="24"/>
                <w:szCs w:val="24"/>
                <w:lang w:val="en-AU"/>
              </w:rPr>
              <w:t xml:space="preserve"> </w:t>
            </w:r>
            <w:r w:rsidR="00C000BE" w:rsidRPr="00133505">
              <w:rPr>
                <w:color w:val="000000" w:themeColor="text1"/>
                <w:sz w:val="24"/>
                <w:szCs w:val="24"/>
                <w:lang w:val="en-AU"/>
              </w:rPr>
              <w:t>in 2023/</w:t>
            </w:r>
            <w:r w:rsidR="006D14BD" w:rsidRPr="00133505">
              <w:rPr>
                <w:color w:val="000000" w:themeColor="text1"/>
                <w:sz w:val="24"/>
                <w:szCs w:val="24"/>
                <w:lang w:val="en-AU"/>
              </w:rPr>
              <w:t>24</w:t>
            </w:r>
            <w:r w:rsidR="00217D3F" w:rsidRPr="00133505">
              <w:rPr>
                <w:color w:val="000000" w:themeColor="text1"/>
                <w:sz w:val="24"/>
                <w:szCs w:val="24"/>
                <w:lang w:val="en-AU"/>
              </w:rPr>
              <w:t xml:space="preserve"> </w:t>
            </w:r>
            <w:r w:rsidR="006143CC" w:rsidRPr="00133505">
              <w:rPr>
                <w:color w:val="000000" w:themeColor="text1"/>
                <w:sz w:val="24"/>
                <w:szCs w:val="24"/>
                <w:lang w:val="en-AU"/>
              </w:rPr>
              <w:t xml:space="preserve">for 0 to 14 years was 11.5 percent and for </w:t>
            </w:r>
            <w:r w:rsidR="00D87010" w:rsidRPr="00133505">
              <w:rPr>
                <w:color w:val="000000" w:themeColor="text1"/>
                <w:sz w:val="24"/>
                <w:szCs w:val="24"/>
                <w:lang w:val="en-AU"/>
              </w:rPr>
              <w:t xml:space="preserve">those 15 years and over </w:t>
            </w:r>
            <w:r w:rsidR="5BCB5B7B" w:rsidRPr="00133505">
              <w:rPr>
                <w:color w:val="000000" w:themeColor="text1"/>
                <w:sz w:val="24"/>
                <w:szCs w:val="24"/>
                <w:lang w:val="en-AU"/>
              </w:rPr>
              <w:t>wa</w:t>
            </w:r>
            <w:r w:rsidR="1E362177" w:rsidRPr="00133505">
              <w:rPr>
                <w:color w:val="000000" w:themeColor="text1"/>
                <w:sz w:val="24"/>
                <w:szCs w:val="24"/>
                <w:lang w:val="en-AU"/>
              </w:rPr>
              <w:t>s 12.4 percent.</w:t>
            </w:r>
            <w:r w:rsidR="00517D46" w:rsidRPr="00133505">
              <w:rPr>
                <w:color w:val="000000" w:themeColor="text1"/>
                <w:sz w:val="24"/>
                <w:szCs w:val="24"/>
                <w:lang w:val="en-AU"/>
              </w:rPr>
              <w:t xml:space="preserve"> </w:t>
            </w:r>
            <w:r w:rsidR="00D304E6" w:rsidRPr="00133505">
              <w:rPr>
                <w:color w:val="000000" w:themeColor="text1"/>
                <w:sz w:val="24"/>
                <w:szCs w:val="24"/>
                <w:lang w:val="en-AU"/>
              </w:rPr>
              <w:t>Prevalence</w:t>
            </w:r>
            <w:r w:rsidR="00517D46" w:rsidRPr="00133505">
              <w:rPr>
                <w:color w:val="000000" w:themeColor="text1"/>
                <w:sz w:val="24"/>
                <w:szCs w:val="24"/>
                <w:lang w:val="en-AU"/>
              </w:rPr>
              <w:t xml:space="preserve"> is </w:t>
            </w:r>
            <w:r w:rsidR="000D1D91" w:rsidRPr="00133505">
              <w:rPr>
                <w:color w:val="000000" w:themeColor="text1"/>
                <w:sz w:val="24"/>
                <w:szCs w:val="24"/>
                <w:lang w:val="en-AU"/>
              </w:rPr>
              <w:t>significantly higher</w:t>
            </w:r>
            <w:r w:rsidR="00517D46" w:rsidRPr="00133505">
              <w:rPr>
                <w:color w:val="000000" w:themeColor="text1"/>
                <w:sz w:val="24"/>
                <w:szCs w:val="24"/>
                <w:lang w:val="en-AU"/>
              </w:rPr>
              <w:t xml:space="preserve"> </w:t>
            </w:r>
            <w:r w:rsidR="000D1D91" w:rsidRPr="00133505">
              <w:rPr>
                <w:color w:val="000000" w:themeColor="text1"/>
                <w:sz w:val="24"/>
                <w:szCs w:val="24"/>
                <w:lang w:val="en-AU"/>
              </w:rPr>
              <w:t xml:space="preserve">in both children and adults for </w:t>
            </w:r>
            <w:r w:rsidR="00D90A37" w:rsidRPr="00133505">
              <w:rPr>
                <w:color w:val="000000" w:themeColor="text1"/>
                <w:sz w:val="24"/>
                <w:szCs w:val="24"/>
                <w:lang w:val="en-AU"/>
              </w:rPr>
              <w:t>Māori</w:t>
            </w:r>
            <w:r w:rsidR="00D304E6" w:rsidRPr="00133505">
              <w:rPr>
                <w:color w:val="000000" w:themeColor="text1"/>
                <w:sz w:val="24"/>
                <w:szCs w:val="24"/>
                <w:lang w:val="en-AU"/>
              </w:rPr>
              <w:t xml:space="preserve"> and disabled people</w:t>
            </w:r>
            <w:r w:rsidR="00C40894" w:rsidRPr="00133505">
              <w:rPr>
                <w:rStyle w:val="FootnoteReference"/>
                <w:color w:val="000000" w:themeColor="text1"/>
                <w:sz w:val="24"/>
                <w:szCs w:val="24"/>
                <w:lang w:val="en-AU"/>
              </w:rPr>
              <w:footnoteReference w:id="5"/>
            </w:r>
            <w:r w:rsidR="00D304E6" w:rsidRPr="00133505">
              <w:rPr>
                <w:color w:val="000000" w:themeColor="text1"/>
                <w:sz w:val="24"/>
                <w:szCs w:val="24"/>
                <w:lang w:val="en-AU"/>
              </w:rPr>
              <w:t>.</w:t>
            </w:r>
          </w:p>
          <w:p w14:paraId="14EA3D17" w14:textId="3D4F3E7F" w:rsidR="003B070F" w:rsidRPr="00133505" w:rsidRDefault="003B070F" w:rsidP="00021FF0">
            <w:pPr>
              <w:pStyle w:val="Header"/>
              <w:spacing w:before="60"/>
              <w:rPr>
                <w:color w:val="000000" w:themeColor="text1"/>
                <w:sz w:val="24"/>
              </w:rPr>
            </w:pPr>
            <w:r w:rsidRPr="00133505">
              <w:rPr>
                <w:color w:val="000000" w:themeColor="text1"/>
                <w:sz w:val="24"/>
                <w:lang w:val="en-AU"/>
              </w:rPr>
              <w:t xml:space="preserve">For breakdown by age, gender and ethnicity, please </w:t>
            </w:r>
            <w:r w:rsidR="00914B6C" w:rsidRPr="00133505">
              <w:rPr>
                <w:color w:val="000000" w:themeColor="text1"/>
                <w:sz w:val="24"/>
                <w:lang w:val="en-AU"/>
              </w:rPr>
              <w:t>visit</w:t>
            </w:r>
            <w:r w:rsidRPr="00133505">
              <w:rPr>
                <w:color w:val="000000" w:themeColor="text1"/>
                <w:sz w:val="24"/>
                <w:lang w:val="en-AU"/>
              </w:rPr>
              <w:t xml:space="preserve"> </w:t>
            </w:r>
            <w:r w:rsidR="00CC1CF5" w:rsidRPr="00133505">
              <w:rPr>
                <w:color w:val="000000" w:themeColor="text1"/>
              </w:rPr>
              <w:t>https://www.health.govt.nz/statistics-research/surveys/new-zealand-health-survey</w:t>
            </w:r>
          </w:p>
          <w:p w14:paraId="79365DAA" w14:textId="77777777" w:rsidR="003B070F" w:rsidRPr="00133505" w:rsidRDefault="003B070F" w:rsidP="00021FF0">
            <w:pPr>
              <w:pStyle w:val="Header"/>
              <w:spacing w:before="60"/>
              <w:rPr>
                <w:color w:val="000000" w:themeColor="text1"/>
                <w:sz w:val="24"/>
                <w:lang w:val="en-AU"/>
              </w:rPr>
            </w:pPr>
          </w:p>
          <w:p w14:paraId="35B43972" w14:textId="4B9AE128" w:rsidR="003B070F" w:rsidRPr="00133505" w:rsidRDefault="003B070F" w:rsidP="00021FF0">
            <w:pPr>
              <w:pStyle w:val="Header"/>
              <w:spacing w:before="60"/>
              <w:rPr>
                <w:color w:val="000000" w:themeColor="text1"/>
                <w:sz w:val="24"/>
              </w:rPr>
            </w:pPr>
            <w:r w:rsidRPr="00133505">
              <w:rPr>
                <w:color w:val="000000" w:themeColor="text1"/>
                <w:sz w:val="24"/>
                <w:lang w:val="en-AU"/>
              </w:rPr>
              <w:t xml:space="preserve">A breakdown showing the percent of the population who answered yes by </w:t>
            </w:r>
            <w:r w:rsidR="00DF432D" w:rsidRPr="00133505">
              <w:rPr>
                <w:color w:val="000000" w:themeColor="text1"/>
                <w:sz w:val="24"/>
                <w:lang w:val="en-AU"/>
              </w:rPr>
              <w:t xml:space="preserve">health region </w:t>
            </w:r>
            <w:r w:rsidRPr="00133505">
              <w:rPr>
                <w:color w:val="000000" w:themeColor="text1"/>
                <w:sz w:val="24"/>
                <w:lang w:val="en-AU"/>
              </w:rPr>
              <w:t xml:space="preserve">is available for download on the Ministry’s website: </w:t>
            </w:r>
          </w:p>
          <w:p w14:paraId="295D4E60" w14:textId="0FBC9D3E" w:rsidR="008A7B0B" w:rsidRPr="00133505" w:rsidRDefault="008A7B0B" w:rsidP="20CF9A1D">
            <w:pPr>
              <w:pStyle w:val="Header"/>
              <w:spacing w:before="60"/>
              <w:rPr>
                <w:color w:val="000000" w:themeColor="text1"/>
              </w:rPr>
            </w:pPr>
            <w:hyperlink r:id="rId11" w:history="1">
              <w:r w:rsidRPr="00133505">
                <w:rPr>
                  <w:rStyle w:val="Hyperlink"/>
                  <w:color w:val="000000" w:themeColor="text1"/>
                </w:rPr>
                <w:t>https://www.health.govt.nz/publications/regional-results-2017-2020-new-zealand-health-survey</w:t>
              </w:r>
            </w:hyperlink>
            <w:hyperlink r:id="rId12" w:history="1">
              <w:r w:rsidR="0E842309" w:rsidRPr="00133505">
                <w:rPr>
                  <w:rStyle w:val="Hyperlink"/>
                  <w:color w:val="000000" w:themeColor="text1"/>
                </w:rPr>
                <w:t>Annual Update of Key Results 2023/24: New Zealand Health Survey | Ministry of Health NZ</w:t>
              </w:r>
            </w:hyperlink>
          </w:p>
          <w:p w14:paraId="5E0C9976" w14:textId="1764741A" w:rsidR="003B070F" w:rsidRPr="00133505" w:rsidRDefault="003B070F" w:rsidP="20CF9A1D">
            <w:pPr>
              <w:pStyle w:val="Header"/>
              <w:spacing w:before="60"/>
              <w:rPr>
                <w:color w:val="000000" w:themeColor="text1"/>
                <w:sz w:val="24"/>
                <w:szCs w:val="24"/>
              </w:rPr>
            </w:pPr>
          </w:p>
        </w:tc>
      </w:tr>
    </w:tbl>
    <w:p w14:paraId="4CE8F0A7" w14:textId="77777777" w:rsidR="003B070F" w:rsidRPr="00133505" w:rsidRDefault="003B070F" w:rsidP="003B070F">
      <w:pPr>
        <w:rPr>
          <w:rFonts w:cs="Arial"/>
          <w:color w:val="000000" w:themeColor="text1"/>
          <w:szCs w:val="22"/>
        </w:rPr>
      </w:pPr>
    </w:p>
    <w:p w14:paraId="1F651BAC" w14:textId="77777777" w:rsidR="003B070F" w:rsidRPr="00133505" w:rsidRDefault="003B070F" w:rsidP="003B070F">
      <w:pPr>
        <w:rPr>
          <w:rFonts w:cs="Arial"/>
          <w:color w:val="000000" w:themeColor="text1"/>
          <w:szCs w:val="22"/>
        </w:rPr>
      </w:pP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23581EA8" w14:textId="77777777" w:rsidTr="20CF9A1D">
        <w:trPr>
          <w:trHeight w:val="327"/>
        </w:trPr>
        <w:tc>
          <w:tcPr>
            <w:tcW w:w="9322" w:type="dxa"/>
            <w:gridSpan w:val="2"/>
          </w:tcPr>
          <w:p w14:paraId="04E369A2" w14:textId="77777777" w:rsidR="003B070F" w:rsidRPr="00133505" w:rsidRDefault="003B070F" w:rsidP="00021FF0">
            <w:pPr>
              <w:pStyle w:val="Header"/>
              <w:spacing w:before="60"/>
              <w:rPr>
                <w:color w:val="000000" w:themeColor="text1"/>
              </w:rPr>
            </w:pPr>
            <w:r w:rsidRPr="00133505">
              <w:rPr>
                <w:b/>
                <w:color w:val="000000" w:themeColor="text1"/>
                <w:sz w:val="24"/>
              </w:rPr>
              <w:t>Hospital admissions due to asthma</w:t>
            </w:r>
          </w:p>
        </w:tc>
      </w:tr>
      <w:tr w:rsidR="00133505" w:rsidRPr="00133505" w14:paraId="03ECA66B" w14:textId="77777777" w:rsidTr="20CF9A1D">
        <w:trPr>
          <w:trHeight w:val="327"/>
        </w:trPr>
        <w:tc>
          <w:tcPr>
            <w:tcW w:w="1951" w:type="dxa"/>
          </w:tcPr>
          <w:p w14:paraId="069CCC5B"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Admission type</w:t>
            </w:r>
          </w:p>
        </w:tc>
        <w:tc>
          <w:tcPr>
            <w:tcW w:w="7371" w:type="dxa"/>
          </w:tcPr>
          <w:p w14:paraId="485870D0" w14:textId="505D7A3C" w:rsidR="003B070F" w:rsidRPr="00133505" w:rsidRDefault="003B070F" w:rsidP="00021FF0">
            <w:pPr>
              <w:pStyle w:val="Header"/>
              <w:spacing w:before="60"/>
              <w:rPr>
                <w:b/>
                <w:color w:val="000000" w:themeColor="text1"/>
                <w:sz w:val="24"/>
              </w:rPr>
            </w:pPr>
            <w:r w:rsidRPr="00133505">
              <w:rPr>
                <w:color w:val="000000" w:themeColor="text1"/>
              </w:rPr>
              <w:t>Both acute (AC) and acute arranged (AA) admission types are included. An acute arranged admission is a non</w:t>
            </w:r>
            <w:r w:rsidR="008A7B0B" w:rsidRPr="00133505">
              <w:rPr>
                <w:color w:val="000000" w:themeColor="text1"/>
              </w:rPr>
              <w:t>-</w:t>
            </w:r>
            <w:r w:rsidRPr="00133505">
              <w:rPr>
                <w:color w:val="000000" w:themeColor="text1"/>
              </w:rPr>
              <w:t>acute admission with an admission less than seven days after the date the decision was made that the admission was necessary.</w:t>
            </w:r>
          </w:p>
        </w:tc>
      </w:tr>
      <w:tr w:rsidR="00133505" w:rsidRPr="00133505" w14:paraId="1BCB9610" w14:textId="77777777" w:rsidTr="20CF9A1D">
        <w:trPr>
          <w:trHeight w:val="327"/>
        </w:trPr>
        <w:tc>
          <w:tcPr>
            <w:tcW w:w="1951" w:type="dxa"/>
          </w:tcPr>
          <w:p w14:paraId="28B91BF5" w14:textId="34E611B1" w:rsidR="003B070F" w:rsidRPr="00133505" w:rsidRDefault="003B070F" w:rsidP="20CF9A1D">
            <w:pPr>
              <w:pStyle w:val="Header"/>
              <w:spacing w:before="60"/>
              <w:rPr>
                <w:color w:val="000000" w:themeColor="text1"/>
                <w:sz w:val="24"/>
                <w:szCs w:val="24"/>
              </w:rPr>
            </w:pPr>
            <w:r w:rsidRPr="00133505">
              <w:rPr>
                <w:color w:val="000000" w:themeColor="text1"/>
                <w:sz w:val="24"/>
                <w:szCs w:val="24"/>
              </w:rPr>
              <w:t>Emergency department</w:t>
            </w:r>
            <w:r w:rsidR="16557CC1" w:rsidRPr="00133505">
              <w:rPr>
                <w:color w:val="000000" w:themeColor="text1"/>
                <w:sz w:val="24"/>
                <w:szCs w:val="24"/>
              </w:rPr>
              <w:t xml:space="preserve"> (ED)</w:t>
            </w:r>
            <w:r w:rsidRPr="00133505">
              <w:rPr>
                <w:color w:val="000000" w:themeColor="text1"/>
                <w:sz w:val="24"/>
                <w:szCs w:val="24"/>
              </w:rPr>
              <w:t xml:space="preserve"> admissions are included</w:t>
            </w:r>
          </w:p>
        </w:tc>
        <w:tc>
          <w:tcPr>
            <w:tcW w:w="7371" w:type="dxa"/>
          </w:tcPr>
          <w:p w14:paraId="60724B9C" w14:textId="18E04883" w:rsidR="003B070F" w:rsidRPr="00133505" w:rsidRDefault="003B070F" w:rsidP="07D7EB6C">
            <w:pPr>
              <w:pStyle w:val="Header"/>
              <w:spacing w:before="60"/>
              <w:rPr>
                <w:color w:val="000000" w:themeColor="text1"/>
              </w:rPr>
            </w:pPr>
            <w:r w:rsidRPr="00133505">
              <w:rPr>
                <w:color w:val="000000" w:themeColor="text1"/>
              </w:rPr>
              <w:t>ED attendances meeting the three</w:t>
            </w:r>
            <w:r w:rsidR="008A7B0B" w:rsidRPr="00133505">
              <w:rPr>
                <w:color w:val="000000" w:themeColor="text1"/>
              </w:rPr>
              <w:t>-</w:t>
            </w:r>
            <w:r w:rsidRPr="00133505">
              <w:rPr>
                <w:color w:val="000000" w:themeColor="text1"/>
              </w:rPr>
              <w:t>hour rule were included as admissions in this Atlas. This method is consistent with the New Zealand Child and Youth Epidemiology Service (</w:t>
            </w:r>
            <w:hyperlink r:id="rId13">
              <w:r w:rsidRPr="00133505">
                <w:rPr>
                  <w:rStyle w:val="Hyperlink"/>
                  <w:color w:val="000000" w:themeColor="text1"/>
                </w:rPr>
                <w:t>www.otago.ac.nz/nzcyes</w:t>
              </w:r>
            </w:hyperlink>
            <w:r w:rsidRPr="00133505">
              <w:rPr>
                <w:color w:val="000000" w:themeColor="text1"/>
              </w:rPr>
              <w:t>). For more information on ED admissions and the three</w:t>
            </w:r>
            <w:r w:rsidR="526665D7" w:rsidRPr="00133505">
              <w:rPr>
                <w:color w:val="000000" w:themeColor="text1"/>
              </w:rPr>
              <w:t>-</w:t>
            </w:r>
            <w:r w:rsidRPr="00133505">
              <w:rPr>
                <w:color w:val="000000" w:themeColor="text1"/>
              </w:rPr>
              <w:t xml:space="preserve">hour rule, please see Appendix. Counting all admissions (ED admission and hospital admissions) is considered the most robust way to ensure consistency between </w:t>
            </w:r>
            <w:r w:rsidR="6E247E6A" w:rsidRPr="00133505">
              <w:rPr>
                <w:color w:val="000000" w:themeColor="text1"/>
              </w:rPr>
              <w:t>district</w:t>
            </w:r>
            <w:r w:rsidRPr="00133505">
              <w:rPr>
                <w:color w:val="000000" w:themeColor="text1"/>
              </w:rPr>
              <w:t xml:space="preserve">s, particularly in children as different </w:t>
            </w:r>
            <w:r w:rsidR="487C8F20" w:rsidRPr="00133505">
              <w:rPr>
                <w:color w:val="000000" w:themeColor="text1"/>
              </w:rPr>
              <w:t>district</w:t>
            </w:r>
            <w:r w:rsidRPr="00133505">
              <w:rPr>
                <w:color w:val="000000" w:themeColor="text1"/>
              </w:rPr>
              <w:t xml:space="preserve">s handle admissions differently. Some for example use an inpatient service to manage all their paediatric work, whereas others have short stay units.  </w:t>
            </w:r>
          </w:p>
        </w:tc>
      </w:tr>
      <w:tr w:rsidR="003B070F" w:rsidRPr="00133505" w14:paraId="469C7EFA" w14:textId="77777777" w:rsidTr="20CF9A1D">
        <w:trPr>
          <w:trHeight w:val="327"/>
        </w:trPr>
        <w:tc>
          <w:tcPr>
            <w:tcW w:w="1951" w:type="dxa"/>
          </w:tcPr>
          <w:p w14:paraId="6C4896FC" w14:textId="4B5701E2" w:rsidR="003B070F" w:rsidRPr="00133505" w:rsidRDefault="003B070F" w:rsidP="00021FF0">
            <w:pPr>
              <w:pStyle w:val="Header"/>
              <w:spacing w:before="60"/>
              <w:rPr>
                <w:b/>
                <w:color w:val="000000" w:themeColor="text1"/>
                <w:sz w:val="24"/>
              </w:rPr>
            </w:pPr>
            <w:r w:rsidRPr="00133505">
              <w:rPr>
                <w:color w:val="000000" w:themeColor="text1"/>
                <w:sz w:val="24"/>
              </w:rPr>
              <w:t>Primary diagnos</w:t>
            </w:r>
            <w:r w:rsidR="00B83589" w:rsidRPr="00133505">
              <w:rPr>
                <w:color w:val="000000" w:themeColor="text1"/>
                <w:sz w:val="24"/>
              </w:rPr>
              <w:t>i</w:t>
            </w:r>
            <w:r w:rsidRPr="00133505">
              <w:rPr>
                <w:color w:val="000000" w:themeColor="text1"/>
                <w:sz w:val="24"/>
              </w:rPr>
              <w:t>s</w:t>
            </w:r>
          </w:p>
        </w:tc>
        <w:tc>
          <w:tcPr>
            <w:tcW w:w="7371" w:type="dxa"/>
            <w:vAlign w:val="bottom"/>
          </w:tcPr>
          <w:p w14:paraId="37D54413" w14:textId="0379F5D9" w:rsidR="003B070F" w:rsidRPr="00133505" w:rsidRDefault="003B070F" w:rsidP="00021FF0">
            <w:pPr>
              <w:pStyle w:val="Header"/>
              <w:spacing w:before="60"/>
              <w:rPr>
                <w:color w:val="000000" w:themeColor="text1"/>
              </w:rPr>
            </w:pPr>
            <w:r w:rsidRPr="00133505">
              <w:rPr>
                <w:color w:val="000000" w:themeColor="text1"/>
              </w:rPr>
              <w:t xml:space="preserve">As part of this Atlas, we </w:t>
            </w:r>
            <w:r w:rsidR="00676D1A" w:rsidRPr="00133505">
              <w:rPr>
                <w:color w:val="000000" w:themeColor="text1"/>
              </w:rPr>
              <w:t>included only those admitted</w:t>
            </w:r>
            <w:r w:rsidRPr="00133505">
              <w:rPr>
                <w:color w:val="000000" w:themeColor="text1"/>
              </w:rPr>
              <w:t xml:space="preserve"> with a primary diagnosis of asthma </w:t>
            </w:r>
            <w:r w:rsidR="00750FF3" w:rsidRPr="00133505">
              <w:rPr>
                <w:color w:val="000000" w:themeColor="text1"/>
              </w:rPr>
              <w:t>(or whee</w:t>
            </w:r>
            <w:r w:rsidR="0078206E" w:rsidRPr="00133505">
              <w:rPr>
                <w:color w:val="000000" w:themeColor="text1"/>
              </w:rPr>
              <w:t xml:space="preserve">ze for children under five years). </w:t>
            </w:r>
          </w:p>
          <w:p w14:paraId="0BA15091" w14:textId="5CB5DC47" w:rsidR="003B070F" w:rsidRPr="00133505" w:rsidRDefault="003B070F">
            <w:pPr>
              <w:pStyle w:val="Header"/>
              <w:spacing w:before="60"/>
              <w:rPr>
                <w:color w:val="000000" w:themeColor="text1"/>
              </w:rPr>
            </w:pPr>
          </w:p>
        </w:tc>
      </w:tr>
    </w:tbl>
    <w:p w14:paraId="7CC00E6A" w14:textId="77777777" w:rsidR="003B070F" w:rsidRPr="00133505" w:rsidRDefault="003B070F" w:rsidP="003B070F">
      <w:pPr>
        <w:rPr>
          <w:rFonts w:cs="Arial"/>
          <w:color w:val="000000" w:themeColor="text1"/>
          <w:szCs w:val="22"/>
        </w:rPr>
      </w:pPr>
    </w:p>
    <w:p w14:paraId="59157A99" w14:textId="77777777" w:rsidR="0060056C" w:rsidRPr="00133505" w:rsidRDefault="0060056C">
      <w:pPr>
        <w:spacing w:after="160" w:line="259" w:lineRule="auto"/>
        <w:rPr>
          <w:rFonts w:cs="Arial"/>
          <w:b/>
          <w:bCs/>
          <w:color w:val="000000" w:themeColor="text1"/>
          <w:sz w:val="24"/>
          <w:szCs w:val="24"/>
        </w:rPr>
      </w:pPr>
      <w:r w:rsidRPr="00133505">
        <w:rPr>
          <w:rFonts w:cs="Arial"/>
          <w:b/>
          <w:bCs/>
          <w:color w:val="000000" w:themeColor="text1"/>
          <w:sz w:val="24"/>
          <w:szCs w:val="24"/>
        </w:rPr>
        <w:br w:type="page"/>
      </w:r>
    </w:p>
    <w:p w14:paraId="4BB0A716" w14:textId="2C47C9CD" w:rsidR="00E67A7B" w:rsidRPr="00133505" w:rsidRDefault="00E67A7B" w:rsidP="00494E58">
      <w:pPr>
        <w:outlineLvl w:val="1"/>
        <w:rPr>
          <w:rFonts w:cs="Arial"/>
          <w:b/>
          <w:bCs/>
          <w:color w:val="000000" w:themeColor="text1"/>
          <w:sz w:val="24"/>
          <w:szCs w:val="24"/>
        </w:rPr>
      </w:pPr>
      <w:bookmarkStart w:id="3" w:name="_Toc196292448"/>
      <w:r w:rsidRPr="00133505">
        <w:rPr>
          <w:rFonts w:cs="Arial"/>
          <w:b/>
          <w:bCs/>
          <w:color w:val="000000" w:themeColor="text1"/>
          <w:sz w:val="24"/>
          <w:szCs w:val="24"/>
        </w:rPr>
        <w:lastRenderedPageBreak/>
        <w:t>Indicators</w:t>
      </w:r>
      <w:bookmarkEnd w:id="3"/>
    </w:p>
    <w:p w14:paraId="6EF5F14A" w14:textId="21A2C3BE" w:rsidR="003B070F" w:rsidRPr="00133505" w:rsidRDefault="004A2B29" w:rsidP="00494E58">
      <w:pPr>
        <w:pStyle w:val="TeThHauorahead3"/>
        <w:rPr>
          <w:color w:val="000000" w:themeColor="text1"/>
          <w:szCs w:val="22"/>
        </w:rPr>
      </w:pPr>
      <w:bookmarkStart w:id="4" w:name="_Toc196292449"/>
      <w:r w:rsidRPr="00133505">
        <w:rPr>
          <w:color w:val="000000" w:themeColor="text1"/>
          <w:szCs w:val="22"/>
        </w:rPr>
        <w:t xml:space="preserve">1. </w:t>
      </w:r>
      <w:r w:rsidRPr="00133505">
        <w:rPr>
          <w:color w:val="000000" w:themeColor="text1"/>
        </w:rPr>
        <w:t>Children admitted to hospital one or more times with a primary diagnosis of asthma or wheeze</w:t>
      </w:r>
      <w:bookmarkEnd w:id="4"/>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6ACB2306" w14:textId="77777777" w:rsidTr="20CF9A1D">
        <w:trPr>
          <w:trHeight w:val="327"/>
        </w:trPr>
        <w:tc>
          <w:tcPr>
            <w:tcW w:w="1951" w:type="dxa"/>
          </w:tcPr>
          <w:p w14:paraId="6C369C97"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#1:</w:t>
            </w:r>
          </w:p>
        </w:tc>
        <w:tc>
          <w:tcPr>
            <w:tcW w:w="7371" w:type="dxa"/>
            <w:vAlign w:val="bottom"/>
          </w:tcPr>
          <w:p w14:paraId="06223EAD" w14:textId="2C651E89" w:rsidR="003B070F" w:rsidRPr="00133505" w:rsidRDefault="003B070F" w:rsidP="00021FF0">
            <w:pPr>
              <w:pStyle w:val="Header"/>
              <w:spacing w:before="60"/>
              <w:rPr>
                <w:color w:val="000000" w:themeColor="text1"/>
              </w:rPr>
            </w:pPr>
            <w:r w:rsidRPr="00133505">
              <w:rPr>
                <w:color w:val="000000" w:themeColor="text1"/>
              </w:rPr>
              <w:t xml:space="preserve">Children </w:t>
            </w:r>
            <w:r w:rsidR="008742B6" w:rsidRPr="00133505">
              <w:rPr>
                <w:color w:val="000000" w:themeColor="text1"/>
              </w:rPr>
              <w:t xml:space="preserve">aged </w:t>
            </w:r>
            <w:r w:rsidR="001833AC" w:rsidRPr="00133505">
              <w:rPr>
                <w:color w:val="000000" w:themeColor="text1"/>
              </w:rPr>
              <w:t>under 12</w:t>
            </w:r>
            <w:r w:rsidR="008742B6" w:rsidRPr="00133505">
              <w:rPr>
                <w:color w:val="000000" w:themeColor="text1"/>
              </w:rPr>
              <w:t xml:space="preserve"> years </w:t>
            </w:r>
            <w:r w:rsidRPr="00133505">
              <w:rPr>
                <w:color w:val="000000" w:themeColor="text1"/>
              </w:rPr>
              <w:t xml:space="preserve">admitted to hospital one or more times in </w:t>
            </w:r>
            <w:r w:rsidR="00E46440" w:rsidRPr="00133505">
              <w:rPr>
                <w:color w:val="000000" w:themeColor="text1"/>
              </w:rPr>
              <w:t xml:space="preserve">the calendar </w:t>
            </w:r>
            <w:r w:rsidRPr="00133505">
              <w:rPr>
                <w:color w:val="000000" w:themeColor="text1"/>
              </w:rPr>
              <w:t>year with a primary diagnosis of asthma or wheeze</w:t>
            </w:r>
            <w:r w:rsidR="0088189A" w:rsidRPr="00133505">
              <w:rPr>
                <w:color w:val="000000" w:themeColor="text1"/>
              </w:rPr>
              <w:t>, among PHO enrolled population</w:t>
            </w:r>
          </w:p>
        </w:tc>
      </w:tr>
      <w:tr w:rsidR="00133505" w:rsidRPr="00133505" w14:paraId="7C5835A6" w14:textId="77777777" w:rsidTr="20CF9A1D">
        <w:trPr>
          <w:trHeight w:val="327"/>
        </w:trPr>
        <w:tc>
          <w:tcPr>
            <w:tcW w:w="1951" w:type="dxa"/>
          </w:tcPr>
          <w:p w14:paraId="0E0B9585"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6D73B800" w14:textId="2016B2A9" w:rsidR="003B070F" w:rsidRPr="00133505" w:rsidRDefault="003B070F" w:rsidP="00021FF0">
            <w:pPr>
              <w:pStyle w:val="Header"/>
              <w:spacing w:before="60"/>
              <w:rPr>
                <w:color w:val="000000" w:themeColor="text1"/>
              </w:rPr>
            </w:pPr>
            <w:r w:rsidRPr="00133505">
              <w:rPr>
                <w:color w:val="000000" w:themeColor="text1"/>
              </w:rPr>
              <w:t xml:space="preserve">The number of children aged </w:t>
            </w:r>
            <w:r w:rsidR="00951B9A" w:rsidRPr="00133505">
              <w:rPr>
                <w:color w:val="000000" w:themeColor="text1"/>
              </w:rPr>
              <w:t>under 12 years</w:t>
            </w:r>
            <w:r w:rsidRPr="00133505">
              <w:rPr>
                <w:color w:val="000000" w:themeColor="text1"/>
              </w:rPr>
              <w:t xml:space="preserve"> admitted one or more times in the calendar year with a primary diagnosis of asthma or wheeze.</w:t>
            </w:r>
          </w:p>
          <w:p w14:paraId="0B66CA0B" w14:textId="77777777" w:rsidR="003B070F" w:rsidRPr="00133505" w:rsidRDefault="003B070F" w:rsidP="00021FF0">
            <w:pPr>
              <w:pStyle w:val="Header"/>
              <w:spacing w:before="60"/>
              <w:rPr>
                <w:color w:val="000000" w:themeColor="text1"/>
              </w:rPr>
            </w:pPr>
            <w:r w:rsidRPr="00133505">
              <w:rPr>
                <w:color w:val="000000" w:themeColor="text1"/>
              </w:rPr>
              <w:t>Code (ICD10 AM):</w:t>
            </w:r>
          </w:p>
          <w:p w14:paraId="0161CD29" w14:textId="77777777" w:rsidR="003B070F" w:rsidRPr="00133505" w:rsidRDefault="003B070F" w:rsidP="00021FF0">
            <w:pPr>
              <w:pStyle w:val="Header"/>
              <w:spacing w:before="60"/>
              <w:rPr>
                <w:color w:val="000000" w:themeColor="text1"/>
              </w:rPr>
            </w:pPr>
            <w:r w:rsidRPr="00133505">
              <w:rPr>
                <w:color w:val="000000" w:themeColor="text1"/>
              </w:rPr>
              <w:t xml:space="preserve">J45 </w:t>
            </w:r>
            <w:proofErr w:type="gramStart"/>
            <w:r w:rsidRPr="00133505">
              <w:rPr>
                <w:color w:val="000000" w:themeColor="text1"/>
              </w:rPr>
              <w:t>Asthma;</w:t>
            </w:r>
            <w:proofErr w:type="gramEnd"/>
          </w:p>
          <w:p w14:paraId="2008441C" w14:textId="77777777" w:rsidR="003B070F" w:rsidRPr="00133505" w:rsidRDefault="003B070F" w:rsidP="00021FF0">
            <w:pPr>
              <w:pStyle w:val="Header"/>
              <w:spacing w:before="60"/>
              <w:rPr>
                <w:color w:val="000000" w:themeColor="text1"/>
              </w:rPr>
            </w:pPr>
            <w:r w:rsidRPr="00133505">
              <w:rPr>
                <w:color w:val="000000" w:themeColor="text1"/>
              </w:rPr>
              <w:t xml:space="preserve">J46 Status </w:t>
            </w:r>
            <w:proofErr w:type="gramStart"/>
            <w:r w:rsidRPr="00133505">
              <w:rPr>
                <w:color w:val="000000" w:themeColor="text1"/>
              </w:rPr>
              <w:t>Asthmaticus;</w:t>
            </w:r>
            <w:proofErr w:type="gramEnd"/>
            <w:r w:rsidRPr="00133505">
              <w:rPr>
                <w:color w:val="000000" w:themeColor="text1"/>
              </w:rPr>
              <w:t xml:space="preserve"> </w:t>
            </w:r>
          </w:p>
          <w:p w14:paraId="0257AD3D" w14:textId="77777777" w:rsidR="00635F56" w:rsidRPr="00133505" w:rsidRDefault="003B070F" w:rsidP="00021FF0">
            <w:pPr>
              <w:pStyle w:val="Header"/>
              <w:spacing w:before="60"/>
              <w:rPr>
                <w:color w:val="000000" w:themeColor="text1"/>
              </w:rPr>
            </w:pPr>
            <w:r w:rsidRPr="00133505">
              <w:rPr>
                <w:color w:val="000000" w:themeColor="text1"/>
              </w:rPr>
              <w:t>R06.2 Wheeze</w:t>
            </w:r>
          </w:p>
          <w:p w14:paraId="7FD3ED01" w14:textId="25608193" w:rsidR="003B070F" w:rsidRPr="00133505" w:rsidDel="00504F4B" w:rsidRDefault="003B070F" w:rsidP="00021FF0">
            <w:pPr>
              <w:pStyle w:val="Header"/>
              <w:spacing w:before="60"/>
              <w:rPr>
                <w:color w:val="000000" w:themeColor="text1"/>
              </w:rPr>
            </w:pPr>
            <w:r w:rsidRPr="00133505" w:rsidDel="00504F4B">
              <w:rPr>
                <w:color w:val="000000" w:themeColor="text1"/>
              </w:rPr>
              <w:t xml:space="preserve">Notes: </w:t>
            </w:r>
          </w:p>
          <w:p w14:paraId="74348661" w14:textId="66E75EA9" w:rsidR="000E0FDB" w:rsidRPr="00133505" w:rsidRDefault="0002146B" w:rsidP="003F406D">
            <w:pPr>
              <w:pStyle w:val="Header"/>
              <w:numPr>
                <w:ilvl w:val="0"/>
                <w:numId w:val="22"/>
              </w:numPr>
              <w:spacing w:before="60"/>
              <w:rPr>
                <w:color w:val="000000" w:themeColor="text1"/>
              </w:rPr>
            </w:pPr>
            <w:r w:rsidRPr="00133505">
              <w:rPr>
                <w:color w:val="000000" w:themeColor="text1"/>
              </w:rPr>
              <w:t>A</w:t>
            </w:r>
            <w:r w:rsidR="00A5500F" w:rsidRPr="00133505">
              <w:rPr>
                <w:color w:val="000000" w:themeColor="text1"/>
              </w:rPr>
              <w:t>dmissions of neonates under 28 days old are excluded</w:t>
            </w:r>
          </w:p>
          <w:p w14:paraId="19200478" w14:textId="77777777" w:rsidR="003B070F" w:rsidRPr="00133505" w:rsidRDefault="003B070F" w:rsidP="001A5397">
            <w:pPr>
              <w:pStyle w:val="Header"/>
              <w:spacing w:before="60"/>
              <w:rPr>
                <w:color w:val="000000" w:themeColor="text1"/>
              </w:rPr>
            </w:pPr>
          </w:p>
        </w:tc>
      </w:tr>
      <w:tr w:rsidR="00133505" w:rsidRPr="00133505" w14:paraId="11156CFB" w14:textId="77777777" w:rsidTr="20CF9A1D">
        <w:trPr>
          <w:trHeight w:val="327"/>
        </w:trPr>
        <w:tc>
          <w:tcPr>
            <w:tcW w:w="1951" w:type="dxa"/>
          </w:tcPr>
          <w:p w14:paraId="5F0F1B23" w14:textId="77777777" w:rsidR="003B070F" w:rsidRPr="00133505" w:rsidRDefault="003B070F" w:rsidP="00021FF0">
            <w:pPr>
              <w:pStyle w:val="Header"/>
              <w:spacing w:before="60"/>
              <w:rPr>
                <w:color w:val="000000" w:themeColor="text1"/>
                <w:sz w:val="24"/>
              </w:rPr>
            </w:pPr>
            <w:r w:rsidRPr="00133505">
              <w:rPr>
                <w:color w:val="000000" w:themeColor="text1"/>
                <w:sz w:val="24"/>
              </w:rPr>
              <w:t>Denominator</w:t>
            </w:r>
          </w:p>
        </w:tc>
        <w:tc>
          <w:tcPr>
            <w:tcW w:w="7371" w:type="dxa"/>
            <w:vAlign w:val="bottom"/>
          </w:tcPr>
          <w:p w14:paraId="6190F50A" w14:textId="0A965FE4" w:rsidR="003B070F" w:rsidRPr="00133505" w:rsidRDefault="003B070F" w:rsidP="00021FF0">
            <w:pPr>
              <w:pStyle w:val="Header"/>
              <w:spacing w:before="60"/>
              <w:rPr>
                <w:color w:val="000000" w:themeColor="text1"/>
              </w:rPr>
            </w:pPr>
            <w:r w:rsidRPr="00133505">
              <w:rPr>
                <w:color w:val="000000" w:themeColor="text1"/>
              </w:rPr>
              <w:t xml:space="preserve">Children aged </w:t>
            </w:r>
            <w:r w:rsidR="00A5500F" w:rsidRPr="00133505">
              <w:rPr>
                <w:color w:val="000000" w:themeColor="text1"/>
              </w:rPr>
              <w:t>under 12</w:t>
            </w:r>
            <w:r w:rsidRPr="00133505">
              <w:rPr>
                <w:color w:val="000000" w:themeColor="text1"/>
              </w:rPr>
              <w:t xml:space="preserve"> years, PHO enrolment collection</w:t>
            </w:r>
          </w:p>
        </w:tc>
      </w:tr>
      <w:tr w:rsidR="00133505" w:rsidRPr="00133505" w14:paraId="72F9A69F" w14:textId="77777777" w:rsidTr="20CF9A1D">
        <w:trPr>
          <w:trHeight w:val="327"/>
        </w:trPr>
        <w:tc>
          <w:tcPr>
            <w:tcW w:w="1951" w:type="dxa"/>
          </w:tcPr>
          <w:p w14:paraId="7E02A5AF"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469B15DF" w14:textId="77777777" w:rsidR="003B070F" w:rsidRPr="00133505" w:rsidRDefault="003B070F" w:rsidP="00021FF0">
            <w:pPr>
              <w:pStyle w:val="Header"/>
              <w:spacing w:before="60"/>
              <w:rPr>
                <w:color w:val="000000" w:themeColor="text1"/>
              </w:rPr>
            </w:pPr>
            <w:r w:rsidRPr="00133505">
              <w:rPr>
                <w:color w:val="000000" w:themeColor="text1"/>
              </w:rPr>
              <w:t>NMDS</w:t>
            </w:r>
          </w:p>
          <w:p w14:paraId="46A2EA0C" w14:textId="77777777" w:rsidR="003B070F" w:rsidRPr="00133505" w:rsidRDefault="003B070F" w:rsidP="00021FF0">
            <w:pPr>
              <w:pStyle w:val="Header"/>
              <w:spacing w:before="60"/>
              <w:rPr>
                <w:color w:val="000000" w:themeColor="text1"/>
              </w:rPr>
            </w:pPr>
            <w:r w:rsidRPr="00133505">
              <w:rPr>
                <w:color w:val="000000" w:themeColor="text1"/>
              </w:rPr>
              <w:t>PHO enrolment collection</w:t>
            </w:r>
          </w:p>
        </w:tc>
      </w:tr>
      <w:tr w:rsidR="00133505" w:rsidRPr="00133505" w14:paraId="6CDB5D46" w14:textId="77777777" w:rsidTr="20CF9A1D">
        <w:trPr>
          <w:trHeight w:val="327"/>
        </w:trPr>
        <w:tc>
          <w:tcPr>
            <w:tcW w:w="1951" w:type="dxa"/>
          </w:tcPr>
          <w:p w14:paraId="6E7A20EA" w14:textId="77777777" w:rsidR="003B070F" w:rsidRPr="00133505" w:rsidRDefault="003B070F" w:rsidP="00021FF0">
            <w:pPr>
              <w:pStyle w:val="Header"/>
              <w:spacing w:before="60"/>
              <w:rPr>
                <w:color w:val="000000" w:themeColor="text1"/>
                <w:sz w:val="24"/>
              </w:rPr>
            </w:pPr>
            <w:r w:rsidRPr="00133505">
              <w:rPr>
                <w:color w:val="000000" w:themeColor="text1"/>
                <w:sz w:val="24"/>
              </w:rPr>
              <w:t>By variables</w:t>
            </w:r>
          </w:p>
        </w:tc>
        <w:tc>
          <w:tcPr>
            <w:tcW w:w="7371" w:type="dxa"/>
            <w:vAlign w:val="bottom"/>
          </w:tcPr>
          <w:p w14:paraId="5E4D9449" w14:textId="58004C09" w:rsidR="003B070F" w:rsidRPr="00133505" w:rsidRDefault="00DA34DC" w:rsidP="00021FF0">
            <w:pPr>
              <w:pStyle w:val="Header"/>
              <w:spacing w:before="60"/>
              <w:rPr>
                <w:rFonts w:cs="Arial"/>
                <w:color w:val="000000" w:themeColor="text1"/>
              </w:rPr>
            </w:pPr>
            <w:r w:rsidRPr="00133505">
              <w:rPr>
                <w:rFonts w:cs="Arial"/>
                <w:color w:val="000000" w:themeColor="text1"/>
              </w:rPr>
              <w:t>District</w:t>
            </w:r>
            <w:r w:rsidR="003B070F" w:rsidRPr="00133505">
              <w:rPr>
                <w:rFonts w:cs="Arial"/>
                <w:color w:val="000000" w:themeColor="text1"/>
              </w:rPr>
              <w:t xml:space="preserve"> analysis: By year (201</w:t>
            </w:r>
            <w:r w:rsidR="62215B58" w:rsidRPr="00133505">
              <w:rPr>
                <w:rFonts w:cs="Arial"/>
                <w:color w:val="000000" w:themeColor="text1"/>
              </w:rPr>
              <w:t>8</w:t>
            </w:r>
            <w:r w:rsidR="00860B92" w:rsidRPr="00133505">
              <w:rPr>
                <w:rFonts w:cs="Arial"/>
                <w:color w:val="000000" w:themeColor="text1"/>
              </w:rPr>
              <w:t xml:space="preserve"> –</w:t>
            </w:r>
            <w:r w:rsidR="003B070F" w:rsidRPr="00133505">
              <w:rPr>
                <w:rFonts w:cs="Arial"/>
                <w:color w:val="000000" w:themeColor="text1"/>
              </w:rPr>
              <w:t>202</w:t>
            </w:r>
            <w:r w:rsidR="62215B58" w:rsidRPr="00133505">
              <w:rPr>
                <w:rFonts w:cs="Arial"/>
                <w:color w:val="000000" w:themeColor="text1"/>
              </w:rPr>
              <w:t>3</w:t>
            </w:r>
            <w:r w:rsidR="003B070F" w:rsidRPr="00133505">
              <w:rPr>
                <w:rFonts w:cs="Arial"/>
                <w:color w:val="000000" w:themeColor="text1"/>
              </w:rPr>
              <w:t>), age group (</w:t>
            </w:r>
            <w:r w:rsidR="003B070F" w:rsidRPr="00133505">
              <w:rPr>
                <w:color w:val="000000" w:themeColor="text1"/>
              </w:rPr>
              <w:t>0</w:t>
            </w:r>
            <w:r w:rsidR="00860B92" w:rsidRPr="00133505">
              <w:rPr>
                <w:color w:val="000000" w:themeColor="text1"/>
              </w:rPr>
              <w:t>–</w:t>
            </w:r>
            <w:r w:rsidR="003B070F" w:rsidRPr="00133505">
              <w:rPr>
                <w:color w:val="000000" w:themeColor="text1"/>
              </w:rPr>
              <w:t>4, 5</w:t>
            </w:r>
            <w:r w:rsidR="00860B92" w:rsidRPr="00133505">
              <w:rPr>
                <w:color w:val="000000" w:themeColor="text1"/>
              </w:rPr>
              <w:t>–</w:t>
            </w:r>
            <w:r w:rsidR="003B070F" w:rsidRPr="00133505">
              <w:rPr>
                <w:color w:val="000000" w:themeColor="text1"/>
              </w:rPr>
              <w:t>11</w:t>
            </w:r>
            <w:r w:rsidR="003B070F" w:rsidRPr="00133505">
              <w:rPr>
                <w:rFonts w:cs="Arial"/>
                <w:color w:val="000000" w:themeColor="text1"/>
              </w:rPr>
              <w:t>), gender (female, male), ethnic group (</w:t>
            </w:r>
            <w:r w:rsidR="65BC1D8B" w:rsidRPr="00133505">
              <w:rPr>
                <w:color w:val="000000" w:themeColor="text1"/>
              </w:rPr>
              <w:t>Māori</w:t>
            </w:r>
            <w:r w:rsidR="003B070F" w:rsidRPr="00133505">
              <w:rPr>
                <w:color w:val="000000" w:themeColor="text1"/>
              </w:rPr>
              <w:t xml:space="preserve">, Pacific peoples, </w:t>
            </w:r>
            <w:r w:rsidR="00D87A33" w:rsidRPr="00133505">
              <w:rPr>
                <w:color w:val="000000" w:themeColor="text1"/>
              </w:rPr>
              <w:t>European/Other</w:t>
            </w:r>
            <w:r w:rsidR="1189EAE2" w:rsidRPr="00133505">
              <w:rPr>
                <w:color w:val="000000" w:themeColor="text1"/>
              </w:rPr>
              <w:t>)</w:t>
            </w:r>
            <w:r w:rsidR="003B070F" w:rsidRPr="00133505">
              <w:rPr>
                <w:rFonts w:cs="Arial"/>
                <w:color w:val="000000" w:themeColor="text1"/>
              </w:rPr>
              <w:t xml:space="preserve"> and Health New Zealand district of domicile.</w:t>
            </w:r>
          </w:p>
          <w:p w14:paraId="3BCAC459" w14:textId="7053078F" w:rsidR="003B070F" w:rsidRPr="00133505" w:rsidRDefault="003B070F" w:rsidP="005168D9">
            <w:pPr>
              <w:pStyle w:val="Header"/>
              <w:spacing w:before="60"/>
              <w:rPr>
                <w:color w:val="000000" w:themeColor="text1"/>
              </w:rPr>
            </w:pPr>
            <w:r w:rsidRPr="00133505">
              <w:rPr>
                <w:rFonts w:cs="Arial"/>
                <w:color w:val="000000" w:themeColor="text1"/>
              </w:rPr>
              <w:t xml:space="preserve">PHO </w:t>
            </w:r>
            <w:r w:rsidR="008A1E5F" w:rsidRPr="00133505">
              <w:rPr>
                <w:rFonts w:cs="Arial"/>
                <w:color w:val="000000" w:themeColor="text1"/>
              </w:rPr>
              <w:t>analysis: By</w:t>
            </w:r>
            <w:r w:rsidRPr="00133505">
              <w:rPr>
                <w:rFonts w:cs="Arial"/>
                <w:color w:val="000000" w:themeColor="text1"/>
              </w:rPr>
              <w:t xml:space="preserve"> year (202</w:t>
            </w:r>
            <w:r w:rsidR="00B3236F" w:rsidRPr="00133505">
              <w:rPr>
                <w:rFonts w:cs="Arial"/>
                <w:color w:val="000000" w:themeColor="text1"/>
              </w:rPr>
              <w:t>3</w:t>
            </w:r>
            <w:r w:rsidRPr="00133505">
              <w:rPr>
                <w:rFonts w:cs="Arial"/>
                <w:color w:val="000000" w:themeColor="text1"/>
              </w:rPr>
              <w:t>), age group</w:t>
            </w:r>
            <w:r w:rsidR="0013017C" w:rsidRPr="00133505">
              <w:rPr>
                <w:rFonts w:cs="Arial"/>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 xml:space="preserve">PHO group (small, medium, </w:t>
            </w:r>
            <w:r w:rsidR="00866078" w:rsidRPr="00133505">
              <w:rPr>
                <w:rFonts w:cs="Arial"/>
                <w:color w:val="000000" w:themeColor="text1"/>
                <w:szCs w:val="22"/>
              </w:rPr>
              <w:t>medium-large</w:t>
            </w:r>
            <w:r w:rsidR="00A03EA6" w:rsidRPr="00133505">
              <w:rPr>
                <w:rFonts w:cs="Arial"/>
                <w:color w:val="000000" w:themeColor="text1"/>
                <w:szCs w:val="22"/>
              </w:rPr>
              <w:t xml:space="preserve"> a</w:t>
            </w:r>
            <w:r w:rsidRPr="00133505">
              <w:rPr>
                <w:rFonts w:cs="Arial"/>
                <w:color w:val="000000" w:themeColor="text1"/>
                <w:szCs w:val="22"/>
              </w:rPr>
              <w:t>nd large).</w:t>
            </w:r>
            <w:r w:rsidR="005A7EF1" w:rsidRPr="00133505">
              <w:rPr>
                <w:rFonts w:cs="Arial"/>
                <w:color w:val="000000" w:themeColor="text1"/>
              </w:rPr>
              <w:t xml:space="preserve"> </w:t>
            </w:r>
          </w:p>
        </w:tc>
      </w:tr>
      <w:tr w:rsidR="00133505" w:rsidRPr="00133505" w14:paraId="4D957D8C" w14:textId="77777777" w:rsidTr="20CF9A1D">
        <w:trPr>
          <w:trHeight w:val="327"/>
        </w:trPr>
        <w:tc>
          <w:tcPr>
            <w:tcW w:w="1951" w:type="dxa"/>
          </w:tcPr>
          <w:p w14:paraId="3696498E" w14:textId="77777777" w:rsidR="003B070F" w:rsidRPr="00133505" w:rsidRDefault="003B070F" w:rsidP="00021FF0">
            <w:pPr>
              <w:pStyle w:val="Header"/>
              <w:spacing w:before="60"/>
              <w:rPr>
                <w:color w:val="000000" w:themeColor="text1"/>
                <w:sz w:val="24"/>
              </w:rPr>
            </w:pPr>
            <w:r w:rsidRPr="00133505">
              <w:rPr>
                <w:color w:val="000000" w:themeColor="text1"/>
                <w:sz w:val="24"/>
              </w:rPr>
              <w:t>Rationale</w:t>
            </w:r>
          </w:p>
        </w:tc>
        <w:tc>
          <w:tcPr>
            <w:tcW w:w="7371" w:type="dxa"/>
            <w:vAlign w:val="bottom"/>
          </w:tcPr>
          <w:p w14:paraId="7FD00953" w14:textId="62ADC138" w:rsidR="00A425FB" w:rsidRPr="00133505" w:rsidRDefault="3733BED2" w:rsidP="07D7EB6C">
            <w:pPr>
              <w:pStyle w:val="Header"/>
              <w:spacing w:before="60"/>
              <w:rPr>
                <w:color w:val="000000" w:themeColor="text1"/>
              </w:rPr>
            </w:pPr>
            <w:r w:rsidRPr="00133505">
              <w:rPr>
                <w:color w:val="000000" w:themeColor="text1"/>
              </w:rPr>
              <w:t>Hospital</w:t>
            </w:r>
            <w:r w:rsidR="003B070F" w:rsidRPr="00133505">
              <w:rPr>
                <w:color w:val="000000" w:themeColor="text1"/>
              </w:rPr>
              <w:t xml:space="preserve"> admissions with asthma </w:t>
            </w:r>
            <w:proofErr w:type="gramStart"/>
            <w:r w:rsidR="003B070F" w:rsidRPr="00133505">
              <w:rPr>
                <w:color w:val="000000" w:themeColor="text1"/>
              </w:rPr>
              <w:t>are considered to be</w:t>
            </w:r>
            <w:proofErr w:type="gramEnd"/>
            <w:r w:rsidR="003B070F" w:rsidRPr="00133505">
              <w:rPr>
                <w:color w:val="000000" w:themeColor="text1"/>
              </w:rPr>
              <w:t xml:space="preserve"> potentially preventable by addressing exposure to risk factors </w:t>
            </w:r>
            <w:proofErr w:type="spellStart"/>
            <w:r w:rsidR="003B070F" w:rsidRPr="00133505">
              <w:rPr>
                <w:color w:val="000000" w:themeColor="text1"/>
              </w:rPr>
              <w:t>eg</w:t>
            </w:r>
            <w:proofErr w:type="spellEnd"/>
            <w:r w:rsidR="003B070F" w:rsidRPr="00133505">
              <w:rPr>
                <w:color w:val="000000" w:themeColor="text1"/>
              </w:rPr>
              <w:t xml:space="preserve">, cigarette smoking, poor quality housing, access to primary healthcare </w:t>
            </w:r>
            <w:r w:rsidR="0096309B" w:rsidRPr="00133505">
              <w:rPr>
                <w:color w:val="000000" w:themeColor="text1"/>
              </w:rPr>
              <w:t>and appropriate</w:t>
            </w:r>
            <w:r w:rsidR="003B070F" w:rsidRPr="00133505">
              <w:rPr>
                <w:color w:val="000000" w:themeColor="text1"/>
              </w:rPr>
              <w:t xml:space="preserve"> use of preventer medication. </w:t>
            </w:r>
          </w:p>
          <w:p w14:paraId="3E90A1A1" w14:textId="75A84F3A" w:rsidR="003B070F" w:rsidRPr="00133505" w:rsidRDefault="00E879AC" w:rsidP="07D7EB6C">
            <w:pPr>
              <w:pStyle w:val="Header"/>
              <w:spacing w:before="60"/>
              <w:rPr>
                <w:color w:val="000000" w:themeColor="text1"/>
              </w:rPr>
            </w:pPr>
            <w:r w:rsidRPr="00133505">
              <w:rPr>
                <w:color w:val="000000" w:themeColor="text1"/>
              </w:rPr>
              <w:t>Asthma</w:t>
            </w:r>
            <w:r w:rsidR="00405F36" w:rsidRPr="00133505">
              <w:rPr>
                <w:color w:val="000000" w:themeColor="text1"/>
              </w:rPr>
              <w:t xml:space="preserve"> is a major health problem in New Zealand</w:t>
            </w:r>
            <w:r w:rsidR="00E9772E" w:rsidRPr="00133505">
              <w:rPr>
                <w:color w:val="000000" w:themeColor="text1"/>
              </w:rPr>
              <w:t xml:space="preserve"> and our prevalence rates are among some of the highest in the worl</w:t>
            </w:r>
            <w:r w:rsidR="00257BD2" w:rsidRPr="00133505">
              <w:rPr>
                <w:color w:val="000000" w:themeColor="text1"/>
              </w:rPr>
              <w:t>d</w:t>
            </w:r>
            <w:r w:rsidR="00343CB2" w:rsidRPr="00133505">
              <w:rPr>
                <w:rStyle w:val="FootnoteReference"/>
                <w:color w:val="000000" w:themeColor="text1"/>
              </w:rPr>
              <w:footnoteReference w:id="6"/>
            </w:r>
            <w:r w:rsidR="00257BD2" w:rsidRPr="00133505">
              <w:rPr>
                <w:color w:val="000000" w:themeColor="text1"/>
              </w:rPr>
              <w:t xml:space="preserve">. </w:t>
            </w:r>
            <w:r w:rsidR="00A95A35" w:rsidRPr="00133505">
              <w:rPr>
                <w:color w:val="000000" w:themeColor="text1"/>
              </w:rPr>
              <w:t>The</w:t>
            </w:r>
            <w:r w:rsidR="006F5E79" w:rsidRPr="00133505">
              <w:rPr>
                <w:color w:val="000000" w:themeColor="text1"/>
              </w:rPr>
              <w:t xml:space="preserve"> cost burden of Asthma</w:t>
            </w:r>
            <w:r w:rsidR="00607A0C" w:rsidRPr="00133505">
              <w:rPr>
                <w:color w:val="000000" w:themeColor="text1"/>
              </w:rPr>
              <w:t xml:space="preserve"> is estimated by the </w:t>
            </w:r>
            <w:r w:rsidR="00A425FB" w:rsidRPr="00133505">
              <w:rPr>
                <w:color w:val="000000" w:themeColor="text1"/>
              </w:rPr>
              <w:t>A</w:t>
            </w:r>
            <w:r w:rsidR="00923C27" w:rsidRPr="00133505">
              <w:rPr>
                <w:color w:val="000000" w:themeColor="text1"/>
              </w:rPr>
              <w:t>s</w:t>
            </w:r>
            <w:r w:rsidR="00A425FB" w:rsidRPr="00133505">
              <w:rPr>
                <w:color w:val="000000" w:themeColor="text1"/>
              </w:rPr>
              <w:t>thma</w:t>
            </w:r>
            <w:r w:rsidR="00923C27" w:rsidRPr="00133505">
              <w:rPr>
                <w:color w:val="000000" w:themeColor="text1"/>
              </w:rPr>
              <w:t xml:space="preserve"> and Respiratory Foundation New Zealand (</w:t>
            </w:r>
            <w:r w:rsidR="00DF09BD" w:rsidRPr="00133505">
              <w:rPr>
                <w:color w:val="000000" w:themeColor="text1"/>
              </w:rPr>
              <w:t>ARFNZ</w:t>
            </w:r>
            <w:r w:rsidR="00923C27" w:rsidRPr="00133505">
              <w:rPr>
                <w:color w:val="000000" w:themeColor="text1"/>
              </w:rPr>
              <w:t>)</w:t>
            </w:r>
            <w:r w:rsidR="00DF09BD" w:rsidRPr="00133505">
              <w:rPr>
                <w:color w:val="000000" w:themeColor="text1"/>
              </w:rPr>
              <w:t xml:space="preserve"> to be </w:t>
            </w:r>
            <w:r w:rsidR="00967F33" w:rsidRPr="00133505">
              <w:rPr>
                <w:color w:val="000000" w:themeColor="text1"/>
              </w:rPr>
              <w:t>$1.195b</w:t>
            </w:r>
            <w:r w:rsidR="005301D6" w:rsidRPr="00133505">
              <w:rPr>
                <w:color w:val="000000" w:themeColor="text1"/>
              </w:rPr>
              <w:t xml:space="preserve"> </w:t>
            </w:r>
            <w:r w:rsidR="00231C66" w:rsidRPr="00133505">
              <w:rPr>
                <w:color w:val="000000" w:themeColor="text1"/>
              </w:rPr>
              <w:t>in</w:t>
            </w:r>
            <w:r w:rsidR="005301D6" w:rsidRPr="00133505">
              <w:rPr>
                <w:color w:val="000000" w:themeColor="text1"/>
              </w:rPr>
              <w:t xml:space="preserve"> direct costs from hospitalisations, prescriptions and primary care visits and $918.9 in indirect costs from </w:t>
            </w:r>
            <w:proofErr w:type="gramStart"/>
            <w:r w:rsidR="005301D6" w:rsidRPr="00133505">
              <w:rPr>
                <w:color w:val="000000" w:themeColor="text1"/>
              </w:rPr>
              <w:t>work days</w:t>
            </w:r>
            <w:proofErr w:type="gramEnd"/>
            <w:r w:rsidR="005301D6" w:rsidRPr="00133505">
              <w:rPr>
                <w:color w:val="000000" w:themeColor="text1"/>
              </w:rPr>
              <w:t xml:space="preserve"> lost, disability affected life years and mortality</w:t>
            </w:r>
            <w:r w:rsidR="00A87AB1" w:rsidRPr="00133505">
              <w:rPr>
                <w:rStyle w:val="FootnoteReference"/>
                <w:color w:val="000000" w:themeColor="text1"/>
              </w:rPr>
              <w:footnoteReference w:id="7"/>
            </w:r>
          </w:p>
        </w:tc>
      </w:tr>
      <w:tr w:rsidR="003B070F" w:rsidRPr="00133505" w14:paraId="7B4C3111" w14:textId="77777777" w:rsidTr="009854E5">
        <w:trPr>
          <w:trHeight w:val="9062"/>
        </w:trPr>
        <w:tc>
          <w:tcPr>
            <w:tcW w:w="1951" w:type="dxa"/>
          </w:tcPr>
          <w:p w14:paraId="7AFE3873"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Commentary</w:t>
            </w:r>
          </w:p>
        </w:tc>
        <w:tc>
          <w:tcPr>
            <w:tcW w:w="7371" w:type="dxa"/>
            <w:vAlign w:val="bottom"/>
          </w:tcPr>
          <w:p w14:paraId="1B57D302" w14:textId="77777777" w:rsidR="00C91F69" w:rsidRPr="00133505" w:rsidRDefault="00C91F69" w:rsidP="00C91F69">
            <w:pPr>
              <w:pStyle w:val="Header"/>
              <w:spacing w:before="60"/>
              <w:rPr>
                <w:color w:val="000000" w:themeColor="text1"/>
              </w:rPr>
            </w:pPr>
            <w:r w:rsidRPr="00133505">
              <w:rPr>
                <w:color w:val="000000" w:themeColor="text1"/>
              </w:rPr>
              <w:t xml:space="preserve">Description: </w:t>
            </w:r>
          </w:p>
          <w:p w14:paraId="1346B1B2" w14:textId="77777777" w:rsidR="00C91F69" w:rsidRPr="00133505" w:rsidRDefault="00C91F69" w:rsidP="00C91F69">
            <w:pPr>
              <w:pStyle w:val="Header"/>
              <w:spacing w:before="60"/>
              <w:rPr>
                <w:color w:val="000000" w:themeColor="text1"/>
              </w:rPr>
            </w:pPr>
            <w:r w:rsidRPr="00133505">
              <w:rPr>
                <w:color w:val="000000" w:themeColor="text1"/>
              </w:rPr>
              <w:t>This indicator shows the number and rate per 1,000 children under 12 years who were admitted to hospital with asthma or wheeze as the primary diagnosis. Due to the difficulty / uncertainty of diagnosing asthma in under five-year olds, viral-induced wheeze as an alternate diagnosis was included in this analysis. ED attendances meeting the three-hour rule are included as an admission in this indicator. Admissions of neonates under 28 days old are excluded.</w:t>
            </w:r>
          </w:p>
          <w:p w14:paraId="1A1BB576" w14:textId="77777777" w:rsidR="00C91F69" w:rsidRPr="00133505" w:rsidRDefault="00C91F69" w:rsidP="00C91F69">
            <w:pPr>
              <w:pStyle w:val="Header"/>
              <w:spacing w:before="60"/>
              <w:rPr>
                <w:color w:val="000000" w:themeColor="text1"/>
              </w:rPr>
            </w:pPr>
          </w:p>
          <w:p w14:paraId="340D2165" w14:textId="77777777" w:rsidR="00C91F69" w:rsidRPr="00133505" w:rsidRDefault="00C91F69" w:rsidP="00C91F69">
            <w:pPr>
              <w:pStyle w:val="Header"/>
              <w:spacing w:before="60"/>
              <w:rPr>
                <w:color w:val="000000" w:themeColor="text1"/>
              </w:rPr>
            </w:pPr>
            <w:r w:rsidRPr="00133505">
              <w:rPr>
                <w:color w:val="000000" w:themeColor="text1"/>
              </w:rPr>
              <w:t>Data are presented by year, ethnicity, age, gender and district of domicile.</w:t>
            </w:r>
          </w:p>
          <w:p w14:paraId="76C6FC00" w14:textId="77777777" w:rsidR="00C91F69" w:rsidRPr="00133505" w:rsidRDefault="00C91F69" w:rsidP="00C91F69">
            <w:pPr>
              <w:pStyle w:val="Header"/>
              <w:spacing w:before="60"/>
              <w:rPr>
                <w:color w:val="000000" w:themeColor="text1"/>
              </w:rPr>
            </w:pPr>
          </w:p>
          <w:p w14:paraId="4ABE83CF" w14:textId="77777777" w:rsidR="00C91F69" w:rsidRPr="00133505" w:rsidRDefault="00C91F69" w:rsidP="00C91F69">
            <w:pPr>
              <w:pStyle w:val="Header"/>
              <w:spacing w:before="60"/>
              <w:rPr>
                <w:color w:val="000000" w:themeColor="text1"/>
              </w:rPr>
            </w:pPr>
            <w:r w:rsidRPr="00133505">
              <w:rPr>
                <w:color w:val="000000" w:themeColor="text1"/>
              </w:rPr>
              <w:t xml:space="preserve">Why is this important? </w:t>
            </w:r>
          </w:p>
          <w:p w14:paraId="09D38720" w14:textId="77777777" w:rsidR="00C91F69" w:rsidRPr="00133505" w:rsidRDefault="00C91F69" w:rsidP="00C91F69">
            <w:pPr>
              <w:pStyle w:val="Header"/>
              <w:spacing w:before="60"/>
              <w:rPr>
                <w:color w:val="000000" w:themeColor="text1"/>
              </w:rPr>
            </w:pPr>
            <w:r w:rsidRPr="00133505">
              <w:rPr>
                <w:color w:val="000000" w:themeColor="text1"/>
              </w:rPr>
              <w:t xml:space="preserve">Asthma is a chronic condition where good primary care management is believed to reduce the frequency and severity of exacerbations, thereby reducing hospitalisation rates. These data show wide variation between districts in rates over the six years (4-fold variation). Māori and Pacific children had significantly higher admission rates than those identifying as European/Other ethnicity. Admissions were significantly higher in those aged 0-4 years. </w:t>
            </w:r>
          </w:p>
          <w:p w14:paraId="12F391D2" w14:textId="77777777" w:rsidR="00C91F69" w:rsidRPr="00133505" w:rsidRDefault="00C91F69" w:rsidP="00C91F69">
            <w:pPr>
              <w:pStyle w:val="Header"/>
              <w:spacing w:before="60"/>
              <w:rPr>
                <w:color w:val="000000" w:themeColor="text1"/>
              </w:rPr>
            </w:pPr>
          </w:p>
          <w:p w14:paraId="252DEBCC" w14:textId="77777777" w:rsidR="00C91F69" w:rsidRPr="00133505" w:rsidRDefault="00C91F69" w:rsidP="00C91F69">
            <w:pPr>
              <w:pStyle w:val="Header"/>
              <w:spacing w:before="60"/>
              <w:rPr>
                <w:color w:val="000000" w:themeColor="text1"/>
              </w:rPr>
            </w:pPr>
            <w:r w:rsidRPr="00133505">
              <w:rPr>
                <w:color w:val="000000" w:themeColor="text1"/>
              </w:rPr>
              <w:t>What questions does this prompt?</w:t>
            </w:r>
          </w:p>
          <w:p w14:paraId="6DBBC806" w14:textId="77777777" w:rsidR="00C91F69" w:rsidRPr="00133505" w:rsidRDefault="00C91F69" w:rsidP="00C91F69">
            <w:pPr>
              <w:pStyle w:val="Header"/>
              <w:numPr>
                <w:ilvl w:val="0"/>
                <w:numId w:val="39"/>
              </w:numPr>
              <w:spacing w:before="60"/>
              <w:rPr>
                <w:color w:val="000000" w:themeColor="text1"/>
              </w:rPr>
            </w:pPr>
            <w:r w:rsidRPr="00133505">
              <w:rPr>
                <w:color w:val="000000" w:themeColor="text1"/>
              </w:rPr>
              <w:t>Why are some districts consistently lower or higher than the national mean?</w:t>
            </w:r>
          </w:p>
          <w:p w14:paraId="57F582FE" w14:textId="77777777" w:rsidR="00C91F69" w:rsidRPr="00133505" w:rsidRDefault="00C91F69" w:rsidP="00C91F69">
            <w:pPr>
              <w:pStyle w:val="Header"/>
              <w:numPr>
                <w:ilvl w:val="0"/>
                <w:numId w:val="39"/>
              </w:numPr>
              <w:spacing w:before="60"/>
              <w:rPr>
                <w:color w:val="000000" w:themeColor="text1"/>
              </w:rPr>
            </w:pPr>
            <w:r w:rsidRPr="00133505">
              <w:rPr>
                <w:color w:val="000000" w:themeColor="text1"/>
              </w:rPr>
              <w:t xml:space="preserve">How do similar districts compare? </w:t>
            </w:r>
          </w:p>
          <w:p w14:paraId="00AF2B03" w14:textId="77777777" w:rsidR="00C91F69" w:rsidRPr="00133505" w:rsidRDefault="00C91F69" w:rsidP="00C91F69">
            <w:pPr>
              <w:pStyle w:val="Header"/>
              <w:numPr>
                <w:ilvl w:val="0"/>
                <w:numId w:val="39"/>
              </w:numPr>
              <w:spacing w:before="60"/>
              <w:rPr>
                <w:color w:val="000000" w:themeColor="text1"/>
              </w:rPr>
            </w:pPr>
            <w:r w:rsidRPr="00133505">
              <w:rPr>
                <w:color w:val="000000" w:themeColor="text1"/>
              </w:rPr>
              <w:t>Why are Māori and Pacific children more likely to be admitted? Do districts who have high admission rates for these populations, also have high rates for European/</w:t>
            </w:r>
            <w:proofErr w:type="gramStart"/>
            <w:r w:rsidRPr="00133505">
              <w:rPr>
                <w:color w:val="000000" w:themeColor="text1"/>
              </w:rPr>
              <w:t>Other</w:t>
            </w:r>
            <w:proofErr w:type="gramEnd"/>
            <w:r w:rsidRPr="00133505">
              <w:rPr>
                <w:color w:val="000000" w:themeColor="text1"/>
              </w:rPr>
              <w:t xml:space="preserve"> ethnicity? </w:t>
            </w:r>
          </w:p>
          <w:p w14:paraId="5B11B24F" w14:textId="77777777" w:rsidR="00C91F69" w:rsidRPr="00133505" w:rsidRDefault="00C91F69" w:rsidP="00C91F69">
            <w:pPr>
              <w:pStyle w:val="Header"/>
              <w:numPr>
                <w:ilvl w:val="0"/>
                <w:numId w:val="39"/>
              </w:numPr>
              <w:spacing w:before="60"/>
              <w:rPr>
                <w:color w:val="000000" w:themeColor="text1"/>
              </w:rPr>
            </w:pPr>
            <w:r w:rsidRPr="00133505">
              <w:rPr>
                <w:color w:val="000000" w:themeColor="text1"/>
              </w:rPr>
              <w:t>How is asthma education managed in the districts? Is the education managed in a culturally appropriate way?</w:t>
            </w:r>
          </w:p>
          <w:p w14:paraId="05C896C2" w14:textId="3F16E7CC" w:rsidR="00422C66" w:rsidRPr="00133505" w:rsidRDefault="00C91F69" w:rsidP="00C91F69">
            <w:pPr>
              <w:pStyle w:val="Header"/>
              <w:numPr>
                <w:ilvl w:val="0"/>
                <w:numId w:val="39"/>
              </w:numPr>
              <w:spacing w:before="60"/>
              <w:rPr>
                <w:color w:val="000000" w:themeColor="text1"/>
              </w:rPr>
            </w:pPr>
            <w:r w:rsidRPr="00133505">
              <w:rPr>
                <w:color w:val="000000" w:themeColor="text1"/>
              </w:rPr>
              <w:t>Can the pandemic control measures that resulted in lower admission rates in 2020 be identified and implemented more broadly to regain and sustain a lower rate of admissions?</w:t>
            </w:r>
          </w:p>
        </w:tc>
      </w:tr>
    </w:tbl>
    <w:p w14:paraId="350359E7" w14:textId="77777777" w:rsidR="003B070F" w:rsidRPr="00133505" w:rsidRDefault="003B070F" w:rsidP="003B070F">
      <w:pPr>
        <w:rPr>
          <w:color w:val="000000" w:themeColor="text1"/>
        </w:rPr>
      </w:pPr>
    </w:p>
    <w:p w14:paraId="5C9CCF27" w14:textId="5C786CC5" w:rsidR="003B070F" w:rsidRPr="00133505" w:rsidRDefault="004A2B29" w:rsidP="00494E58">
      <w:pPr>
        <w:pStyle w:val="TeThHauorahead3"/>
        <w:rPr>
          <w:color w:val="000000" w:themeColor="text1"/>
        </w:rPr>
      </w:pPr>
      <w:bookmarkStart w:id="5" w:name="_Toc196292450"/>
      <w:r w:rsidRPr="00133505">
        <w:rPr>
          <w:color w:val="000000" w:themeColor="text1"/>
        </w:rPr>
        <w:t>2.</w:t>
      </w:r>
      <w:r w:rsidR="00190502" w:rsidRPr="00133505">
        <w:rPr>
          <w:color w:val="000000" w:themeColor="text1"/>
        </w:rPr>
        <w:t xml:space="preserve"> </w:t>
      </w:r>
      <w:r w:rsidR="003570D0" w:rsidRPr="00133505">
        <w:rPr>
          <w:color w:val="000000" w:themeColor="text1"/>
        </w:rPr>
        <w:t>Adults and adoles</w:t>
      </w:r>
      <w:r w:rsidR="004905FB" w:rsidRPr="00133505">
        <w:rPr>
          <w:color w:val="000000" w:themeColor="text1"/>
        </w:rPr>
        <w:t>cents</w:t>
      </w:r>
      <w:r w:rsidR="006D4EA7" w:rsidRPr="00133505">
        <w:rPr>
          <w:color w:val="000000" w:themeColor="text1"/>
        </w:rPr>
        <w:t xml:space="preserve"> </w:t>
      </w:r>
      <w:r w:rsidRPr="00133505">
        <w:rPr>
          <w:color w:val="000000" w:themeColor="text1"/>
        </w:rPr>
        <w:t>admitted</w:t>
      </w:r>
      <w:r w:rsidR="00190502" w:rsidRPr="00133505">
        <w:rPr>
          <w:color w:val="000000" w:themeColor="text1"/>
        </w:rPr>
        <w:t xml:space="preserve"> to hospital</w:t>
      </w:r>
      <w:r w:rsidRPr="00133505">
        <w:rPr>
          <w:color w:val="000000" w:themeColor="text1"/>
        </w:rPr>
        <w:t xml:space="preserve"> one or more times with a primary diagnosis of asthma</w:t>
      </w:r>
      <w:bookmarkEnd w:id="5"/>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6AA4D1E0" w14:textId="77777777" w:rsidTr="4C5CB681">
        <w:trPr>
          <w:trHeight w:val="581"/>
        </w:trPr>
        <w:tc>
          <w:tcPr>
            <w:tcW w:w="1951" w:type="dxa"/>
          </w:tcPr>
          <w:p w14:paraId="06C3FC04"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#2:</w:t>
            </w:r>
          </w:p>
        </w:tc>
        <w:tc>
          <w:tcPr>
            <w:tcW w:w="7371" w:type="dxa"/>
            <w:vAlign w:val="bottom"/>
          </w:tcPr>
          <w:p w14:paraId="27A7C7B2" w14:textId="102CD087" w:rsidR="003B070F" w:rsidRPr="00133505" w:rsidRDefault="003B070F" w:rsidP="00021FF0">
            <w:pPr>
              <w:pStyle w:val="ListParagraph"/>
              <w:ind w:left="0"/>
              <w:rPr>
                <w:rFonts w:cs="Arial"/>
                <w:color w:val="000000" w:themeColor="text1"/>
              </w:rPr>
            </w:pPr>
            <w:r w:rsidRPr="00133505">
              <w:rPr>
                <w:rFonts w:cs="Arial"/>
                <w:color w:val="000000" w:themeColor="text1"/>
              </w:rPr>
              <w:t xml:space="preserve">People aged 12 </w:t>
            </w:r>
            <w:r w:rsidR="62215B58" w:rsidRPr="00133505">
              <w:rPr>
                <w:rFonts w:cs="Arial"/>
                <w:color w:val="000000" w:themeColor="text1"/>
              </w:rPr>
              <w:t xml:space="preserve">years or over </w:t>
            </w:r>
            <w:r w:rsidRPr="00133505">
              <w:rPr>
                <w:rFonts w:cs="Arial"/>
                <w:color w:val="000000" w:themeColor="text1"/>
              </w:rPr>
              <w:t xml:space="preserve">admitted </w:t>
            </w:r>
            <w:r w:rsidR="777FEE59" w:rsidRPr="00133505">
              <w:rPr>
                <w:color w:val="000000" w:themeColor="text1"/>
              </w:rPr>
              <w:t xml:space="preserve">to hospital one or more times in the calendar year </w:t>
            </w:r>
            <w:r w:rsidRPr="00133505">
              <w:rPr>
                <w:rFonts w:cs="Arial"/>
                <w:color w:val="000000" w:themeColor="text1"/>
              </w:rPr>
              <w:t>with a primary diagnosis of asthma</w:t>
            </w:r>
            <w:r w:rsidR="72A3D9BE" w:rsidRPr="00133505">
              <w:rPr>
                <w:rFonts w:cs="Arial"/>
                <w:color w:val="000000" w:themeColor="text1"/>
              </w:rPr>
              <w:t>, among PHO enrolled population</w:t>
            </w:r>
          </w:p>
        </w:tc>
      </w:tr>
      <w:tr w:rsidR="00133505" w:rsidRPr="00133505" w14:paraId="39CA5474" w14:textId="77777777" w:rsidTr="4C5CB681">
        <w:trPr>
          <w:trHeight w:val="327"/>
        </w:trPr>
        <w:tc>
          <w:tcPr>
            <w:tcW w:w="1951" w:type="dxa"/>
          </w:tcPr>
          <w:p w14:paraId="501472E3"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3B88599D" w14:textId="54E2D7E7" w:rsidR="003B070F" w:rsidRPr="00133505" w:rsidRDefault="003B070F" w:rsidP="00021FF0">
            <w:pPr>
              <w:pStyle w:val="Header"/>
              <w:spacing w:before="60"/>
              <w:rPr>
                <w:color w:val="000000" w:themeColor="text1"/>
              </w:rPr>
            </w:pPr>
            <w:r w:rsidRPr="00133505">
              <w:rPr>
                <w:color w:val="000000" w:themeColor="text1"/>
              </w:rPr>
              <w:t xml:space="preserve">The number of people aged 12 </w:t>
            </w:r>
            <w:r w:rsidR="00BD4A80" w:rsidRPr="00133505">
              <w:rPr>
                <w:color w:val="000000" w:themeColor="text1"/>
              </w:rPr>
              <w:t>years or over</w:t>
            </w:r>
            <w:r w:rsidRPr="00133505">
              <w:rPr>
                <w:color w:val="000000" w:themeColor="text1"/>
              </w:rPr>
              <w:t xml:space="preserve"> admitted to hospital one or more times with a primary diagnosis of asthma in the calendar year</w:t>
            </w:r>
          </w:p>
          <w:p w14:paraId="78E2AC21" w14:textId="77777777" w:rsidR="003B070F" w:rsidRPr="00133505" w:rsidRDefault="003B070F" w:rsidP="00021FF0">
            <w:pPr>
              <w:pStyle w:val="Header"/>
              <w:spacing w:before="60"/>
              <w:rPr>
                <w:color w:val="000000" w:themeColor="text1"/>
              </w:rPr>
            </w:pPr>
            <w:r w:rsidRPr="00133505">
              <w:rPr>
                <w:color w:val="000000" w:themeColor="text1"/>
              </w:rPr>
              <w:t>Code (ICD10 AM):</w:t>
            </w:r>
          </w:p>
          <w:p w14:paraId="2AF274DC" w14:textId="77777777" w:rsidR="003B070F" w:rsidRPr="00133505" w:rsidRDefault="003B070F" w:rsidP="00021FF0">
            <w:pPr>
              <w:pStyle w:val="Header"/>
              <w:spacing w:before="60"/>
              <w:rPr>
                <w:color w:val="000000" w:themeColor="text1"/>
              </w:rPr>
            </w:pPr>
            <w:r w:rsidRPr="00133505">
              <w:rPr>
                <w:color w:val="000000" w:themeColor="text1"/>
              </w:rPr>
              <w:t xml:space="preserve">J45 </w:t>
            </w:r>
            <w:proofErr w:type="gramStart"/>
            <w:r w:rsidRPr="00133505">
              <w:rPr>
                <w:color w:val="000000" w:themeColor="text1"/>
              </w:rPr>
              <w:t>Asthma;</w:t>
            </w:r>
            <w:proofErr w:type="gramEnd"/>
          </w:p>
          <w:p w14:paraId="6CB368DA" w14:textId="4A3E4AAF" w:rsidR="003B070F" w:rsidRPr="00133505" w:rsidRDefault="003B070F" w:rsidP="009854E5">
            <w:pPr>
              <w:pStyle w:val="Header"/>
              <w:spacing w:before="60"/>
              <w:rPr>
                <w:color w:val="000000" w:themeColor="text1"/>
              </w:rPr>
            </w:pPr>
            <w:r w:rsidRPr="00133505">
              <w:rPr>
                <w:color w:val="000000" w:themeColor="text1"/>
              </w:rPr>
              <w:t xml:space="preserve">J46 Status Asthmaticus; </w:t>
            </w:r>
          </w:p>
        </w:tc>
      </w:tr>
      <w:tr w:rsidR="00133505" w:rsidRPr="00133505" w14:paraId="10CA9CA2" w14:textId="77777777" w:rsidTr="4C5CB681">
        <w:trPr>
          <w:trHeight w:val="327"/>
        </w:trPr>
        <w:tc>
          <w:tcPr>
            <w:tcW w:w="1951" w:type="dxa"/>
          </w:tcPr>
          <w:p w14:paraId="2216B74A"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Denominator</w:t>
            </w:r>
          </w:p>
        </w:tc>
        <w:tc>
          <w:tcPr>
            <w:tcW w:w="7371" w:type="dxa"/>
            <w:vAlign w:val="bottom"/>
          </w:tcPr>
          <w:p w14:paraId="5C8260DB" w14:textId="51F9B8E2" w:rsidR="003B070F" w:rsidRPr="00133505" w:rsidRDefault="003B070F" w:rsidP="00021FF0">
            <w:pPr>
              <w:pStyle w:val="Header"/>
              <w:spacing w:before="60"/>
              <w:rPr>
                <w:color w:val="000000" w:themeColor="text1"/>
              </w:rPr>
            </w:pPr>
            <w:r w:rsidRPr="00133505">
              <w:rPr>
                <w:color w:val="000000" w:themeColor="text1"/>
              </w:rPr>
              <w:t>People aged 12</w:t>
            </w:r>
            <w:r w:rsidR="00BD4A80" w:rsidRPr="00133505">
              <w:rPr>
                <w:color w:val="000000" w:themeColor="text1"/>
              </w:rPr>
              <w:t xml:space="preserve"> years or over</w:t>
            </w:r>
            <w:r w:rsidRPr="00133505">
              <w:rPr>
                <w:color w:val="000000" w:themeColor="text1"/>
              </w:rPr>
              <w:t xml:space="preserve">, PHO enrolment collection </w:t>
            </w:r>
          </w:p>
        </w:tc>
      </w:tr>
      <w:tr w:rsidR="00133505" w:rsidRPr="00133505" w14:paraId="7807A5D6" w14:textId="77777777" w:rsidTr="4C5CB681">
        <w:trPr>
          <w:trHeight w:val="327"/>
        </w:trPr>
        <w:tc>
          <w:tcPr>
            <w:tcW w:w="1951" w:type="dxa"/>
          </w:tcPr>
          <w:p w14:paraId="47E7BBFB"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202370D1" w14:textId="77777777" w:rsidR="003B070F" w:rsidRPr="00133505" w:rsidRDefault="003B070F" w:rsidP="00021FF0">
            <w:pPr>
              <w:pStyle w:val="Header"/>
              <w:spacing w:before="60"/>
              <w:rPr>
                <w:color w:val="000000" w:themeColor="text1"/>
              </w:rPr>
            </w:pPr>
            <w:r w:rsidRPr="00133505">
              <w:rPr>
                <w:color w:val="000000" w:themeColor="text1"/>
              </w:rPr>
              <w:t>NMDS,</w:t>
            </w:r>
          </w:p>
          <w:p w14:paraId="0AABB33B" w14:textId="77777777" w:rsidR="003B070F" w:rsidRPr="00133505" w:rsidRDefault="003B070F" w:rsidP="00021FF0">
            <w:pPr>
              <w:pStyle w:val="Header"/>
              <w:spacing w:before="60"/>
              <w:rPr>
                <w:color w:val="000000" w:themeColor="text1"/>
              </w:rPr>
            </w:pPr>
            <w:r w:rsidRPr="00133505">
              <w:rPr>
                <w:color w:val="000000" w:themeColor="text1"/>
              </w:rPr>
              <w:t>PHO enrolment collection</w:t>
            </w:r>
          </w:p>
        </w:tc>
      </w:tr>
      <w:tr w:rsidR="00133505" w:rsidRPr="00133505" w14:paraId="34A77316" w14:textId="77777777" w:rsidTr="4C5CB681">
        <w:trPr>
          <w:trHeight w:val="327"/>
        </w:trPr>
        <w:tc>
          <w:tcPr>
            <w:tcW w:w="1951" w:type="dxa"/>
          </w:tcPr>
          <w:p w14:paraId="587206EA" w14:textId="77777777" w:rsidR="003B070F" w:rsidRPr="00133505" w:rsidRDefault="003B070F" w:rsidP="00021FF0">
            <w:pPr>
              <w:pStyle w:val="Header"/>
              <w:spacing w:before="60"/>
              <w:rPr>
                <w:color w:val="000000" w:themeColor="text1"/>
                <w:sz w:val="24"/>
              </w:rPr>
            </w:pPr>
            <w:r w:rsidRPr="00133505">
              <w:rPr>
                <w:color w:val="000000" w:themeColor="text1"/>
                <w:sz w:val="24"/>
              </w:rPr>
              <w:t>By variables</w:t>
            </w:r>
          </w:p>
        </w:tc>
        <w:tc>
          <w:tcPr>
            <w:tcW w:w="7371" w:type="dxa"/>
            <w:vAlign w:val="bottom"/>
          </w:tcPr>
          <w:p w14:paraId="6DA20C25" w14:textId="74FCC849" w:rsidR="00F400CB" w:rsidRPr="00133505" w:rsidRDefault="00EC6E2B" w:rsidP="00F400CB">
            <w:pPr>
              <w:pStyle w:val="Header"/>
              <w:spacing w:before="60"/>
              <w:rPr>
                <w:rFonts w:cs="Arial"/>
                <w:color w:val="000000" w:themeColor="text1"/>
              </w:rPr>
            </w:pPr>
            <w:r w:rsidRPr="00133505">
              <w:rPr>
                <w:rFonts w:cs="Arial"/>
                <w:color w:val="000000" w:themeColor="text1"/>
              </w:rPr>
              <w:t>District</w:t>
            </w:r>
            <w:r w:rsidR="65BC1D8B" w:rsidRPr="00133505">
              <w:rPr>
                <w:rFonts w:cs="Arial"/>
                <w:color w:val="000000" w:themeColor="text1"/>
              </w:rPr>
              <w:t xml:space="preserve"> analysis: By year (201</w:t>
            </w:r>
            <w:r w:rsidR="62215B58" w:rsidRPr="00133505">
              <w:rPr>
                <w:rFonts w:cs="Arial"/>
                <w:color w:val="000000" w:themeColor="text1"/>
              </w:rPr>
              <w:t>8</w:t>
            </w:r>
            <w:r w:rsidR="00860B92" w:rsidRPr="00133505">
              <w:rPr>
                <w:rFonts w:cs="Arial"/>
                <w:color w:val="000000" w:themeColor="text1"/>
              </w:rPr>
              <w:t xml:space="preserve"> –</w:t>
            </w:r>
            <w:r w:rsidR="65BC1D8B" w:rsidRPr="00133505">
              <w:rPr>
                <w:rFonts w:cs="Arial"/>
                <w:color w:val="000000" w:themeColor="text1"/>
              </w:rPr>
              <w:t>202</w:t>
            </w:r>
            <w:r w:rsidR="2E64C7B7" w:rsidRPr="00133505">
              <w:rPr>
                <w:rFonts w:cs="Arial"/>
                <w:color w:val="000000" w:themeColor="text1"/>
              </w:rPr>
              <w:t>3</w:t>
            </w:r>
            <w:r w:rsidR="65BC1D8B" w:rsidRPr="00133505">
              <w:rPr>
                <w:rFonts w:cs="Arial"/>
                <w:color w:val="000000" w:themeColor="text1"/>
              </w:rPr>
              <w:t>), age group (</w:t>
            </w:r>
            <w:r w:rsidR="65BC1D8B" w:rsidRPr="00133505">
              <w:rPr>
                <w:color w:val="000000" w:themeColor="text1"/>
              </w:rPr>
              <w:t>12</w:t>
            </w:r>
            <w:r w:rsidR="00860B92" w:rsidRPr="00133505">
              <w:rPr>
                <w:color w:val="000000" w:themeColor="text1"/>
              </w:rPr>
              <w:t xml:space="preserve"> –</w:t>
            </w:r>
            <w:r w:rsidR="65BC1D8B" w:rsidRPr="00133505">
              <w:rPr>
                <w:color w:val="000000" w:themeColor="text1"/>
              </w:rPr>
              <w:t>24, 25</w:t>
            </w:r>
            <w:r w:rsidR="00860B92" w:rsidRPr="00133505">
              <w:rPr>
                <w:color w:val="000000" w:themeColor="text1"/>
              </w:rPr>
              <w:t xml:space="preserve"> –</w:t>
            </w:r>
            <w:r w:rsidR="65BC1D8B" w:rsidRPr="00133505">
              <w:rPr>
                <w:color w:val="000000" w:themeColor="text1"/>
              </w:rPr>
              <w:t>4</w:t>
            </w:r>
            <w:r w:rsidR="62215B58" w:rsidRPr="00133505">
              <w:rPr>
                <w:color w:val="000000" w:themeColor="text1"/>
              </w:rPr>
              <w:t>4</w:t>
            </w:r>
            <w:r w:rsidR="1638BD63" w:rsidRPr="00133505">
              <w:rPr>
                <w:color w:val="000000" w:themeColor="text1"/>
              </w:rPr>
              <w:t>, 45</w:t>
            </w:r>
            <w:r w:rsidR="00860B92" w:rsidRPr="00133505">
              <w:rPr>
                <w:color w:val="000000" w:themeColor="text1"/>
              </w:rPr>
              <w:t xml:space="preserve"> –</w:t>
            </w:r>
            <w:r w:rsidR="1B06C35A" w:rsidRPr="00133505">
              <w:rPr>
                <w:color w:val="000000" w:themeColor="text1"/>
              </w:rPr>
              <w:t>64, 65</w:t>
            </w:r>
            <w:r w:rsidR="00C87D3A" w:rsidRPr="00133505">
              <w:rPr>
                <w:color w:val="000000" w:themeColor="text1"/>
              </w:rPr>
              <w:t>+</w:t>
            </w:r>
            <w:r w:rsidR="00C87D3A" w:rsidRPr="00133505">
              <w:rPr>
                <w:rFonts w:cs="Arial"/>
                <w:color w:val="000000" w:themeColor="text1"/>
              </w:rPr>
              <w:t>), gender (female, male), ethnic group (</w:t>
            </w:r>
            <w:r w:rsidR="00C87D3A" w:rsidRPr="00133505">
              <w:rPr>
                <w:color w:val="000000" w:themeColor="text1"/>
              </w:rPr>
              <w:t>Māori, Pacific peoples, European/Other)</w:t>
            </w:r>
            <w:r w:rsidR="00C87D3A" w:rsidRPr="00133505">
              <w:rPr>
                <w:rFonts w:cs="Arial"/>
                <w:color w:val="000000" w:themeColor="text1"/>
              </w:rPr>
              <w:t xml:space="preserve"> </w:t>
            </w:r>
            <w:r w:rsidR="65BC1D8B" w:rsidRPr="00133505">
              <w:rPr>
                <w:rFonts w:cs="Arial"/>
                <w:color w:val="000000" w:themeColor="text1"/>
              </w:rPr>
              <w:t>and Health New Zealand district of domicile.</w:t>
            </w:r>
          </w:p>
          <w:p w14:paraId="7CB8D941" w14:textId="376626B4" w:rsidR="00F400CB" w:rsidRPr="00133505" w:rsidRDefault="00F400CB" w:rsidP="00F400CB">
            <w:pPr>
              <w:pStyle w:val="Header"/>
              <w:spacing w:before="60"/>
              <w:rPr>
                <w:rFonts w:cs="Arial"/>
                <w:color w:val="000000" w:themeColor="text1"/>
              </w:rPr>
            </w:pPr>
          </w:p>
          <w:p w14:paraId="4E820BD2" w14:textId="77777777" w:rsidR="003B070F" w:rsidRPr="00133505" w:rsidRDefault="00F400CB" w:rsidP="00F400CB">
            <w:pPr>
              <w:pStyle w:val="Header"/>
              <w:spacing w:before="60"/>
              <w:rPr>
                <w:rFonts w:cs="Arial"/>
                <w:color w:val="000000" w:themeColor="text1"/>
                <w:szCs w:val="22"/>
              </w:rPr>
            </w:pPr>
            <w:r w:rsidRPr="00133505">
              <w:rPr>
                <w:rFonts w:cs="Arial"/>
                <w:color w:val="000000" w:themeColor="text1"/>
              </w:rPr>
              <w:t>PHO analysis: By year (202</w:t>
            </w:r>
            <w:r w:rsidR="00B3236F" w:rsidRPr="00133505">
              <w:rPr>
                <w:rFonts w:cs="Arial"/>
                <w:color w:val="000000" w:themeColor="text1"/>
              </w:rPr>
              <w:t>3</w:t>
            </w:r>
            <w:r w:rsidRPr="00133505">
              <w:rPr>
                <w:rFonts w:cs="Arial"/>
                <w:color w:val="000000" w:themeColor="text1"/>
              </w:rPr>
              <w:t>), age group</w:t>
            </w:r>
            <w:r w:rsidRPr="00133505">
              <w:rPr>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 xml:space="preserve">PHO group (small, medium, </w:t>
            </w:r>
            <w:r w:rsidR="00866078" w:rsidRPr="00133505">
              <w:rPr>
                <w:rFonts w:cs="Arial"/>
                <w:color w:val="000000" w:themeColor="text1"/>
                <w:szCs w:val="22"/>
              </w:rPr>
              <w:t>medium-large</w:t>
            </w:r>
            <w:r w:rsidR="009D58C7" w:rsidRPr="00133505">
              <w:rPr>
                <w:rFonts w:cs="Arial"/>
                <w:color w:val="000000" w:themeColor="text1"/>
                <w:szCs w:val="22"/>
              </w:rPr>
              <w:t xml:space="preserve"> </w:t>
            </w:r>
            <w:r w:rsidRPr="00133505">
              <w:rPr>
                <w:rFonts w:cs="Arial"/>
                <w:color w:val="000000" w:themeColor="text1"/>
                <w:szCs w:val="22"/>
              </w:rPr>
              <w:t>and large).</w:t>
            </w:r>
          </w:p>
          <w:p w14:paraId="298028BC" w14:textId="28832039" w:rsidR="001708BB" w:rsidRPr="00133505" w:rsidRDefault="001708BB" w:rsidP="00F400CB">
            <w:pPr>
              <w:pStyle w:val="Header"/>
              <w:spacing w:before="60"/>
              <w:rPr>
                <w:color w:val="000000" w:themeColor="text1"/>
              </w:rPr>
            </w:pPr>
          </w:p>
        </w:tc>
      </w:tr>
      <w:tr w:rsidR="00133505" w:rsidRPr="00133505" w14:paraId="68BA4115" w14:textId="77777777" w:rsidTr="4C5CB681">
        <w:trPr>
          <w:trHeight w:val="327"/>
        </w:trPr>
        <w:tc>
          <w:tcPr>
            <w:tcW w:w="1951" w:type="dxa"/>
          </w:tcPr>
          <w:p w14:paraId="16F6F513" w14:textId="77777777" w:rsidR="003B070F" w:rsidRPr="00133505" w:rsidRDefault="003B070F" w:rsidP="00021FF0">
            <w:pPr>
              <w:pStyle w:val="Header"/>
              <w:spacing w:before="60"/>
              <w:rPr>
                <w:color w:val="000000" w:themeColor="text1"/>
                <w:sz w:val="24"/>
              </w:rPr>
            </w:pPr>
            <w:r w:rsidRPr="00133505">
              <w:rPr>
                <w:color w:val="000000" w:themeColor="text1"/>
                <w:sz w:val="24"/>
              </w:rPr>
              <w:t>Rationale</w:t>
            </w:r>
          </w:p>
        </w:tc>
        <w:tc>
          <w:tcPr>
            <w:tcW w:w="7371" w:type="dxa"/>
            <w:vAlign w:val="bottom"/>
          </w:tcPr>
          <w:p w14:paraId="1B24AAD4" w14:textId="77777777" w:rsidR="003B070F" w:rsidRPr="00133505" w:rsidRDefault="003B070F" w:rsidP="00021FF0">
            <w:pPr>
              <w:pStyle w:val="Header"/>
              <w:spacing w:before="60"/>
              <w:rPr>
                <w:color w:val="000000" w:themeColor="text1"/>
              </w:rPr>
            </w:pPr>
            <w:r w:rsidRPr="00133505">
              <w:rPr>
                <w:color w:val="000000" w:themeColor="text1"/>
              </w:rPr>
              <w:t>As for indicator 1.</w:t>
            </w:r>
          </w:p>
        </w:tc>
      </w:tr>
      <w:tr w:rsidR="003B070F" w:rsidRPr="00133505" w14:paraId="1F9861E8" w14:textId="77777777" w:rsidTr="4C5CB681">
        <w:trPr>
          <w:trHeight w:val="327"/>
        </w:trPr>
        <w:tc>
          <w:tcPr>
            <w:tcW w:w="1951" w:type="dxa"/>
          </w:tcPr>
          <w:p w14:paraId="4C5FBA10" w14:textId="77777777" w:rsidR="003B070F" w:rsidRPr="00133505" w:rsidRDefault="003B070F" w:rsidP="00021FF0">
            <w:pPr>
              <w:pStyle w:val="Header"/>
              <w:spacing w:before="60"/>
              <w:rPr>
                <w:color w:val="000000" w:themeColor="text1"/>
                <w:sz w:val="24"/>
              </w:rPr>
            </w:pPr>
            <w:r w:rsidRPr="00133505">
              <w:rPr>
                <w:color w:val="000000" w:themeColor="text1"/>
                <w:sz w:val="24"/>
              </w:rPr>
              <w:t>Commentary</w:t>
            </w:r>
          </w:p>
        </w:tc>
        <w:tc>
          <w:tcPr>
            <w:tcW w:w="7371" w:type="dxa"/>
            <w:vAlign w:val="bottom"/>
          </w:tcPr>
          <w:p w14:paraId="2F3C131C" w14:textId="77777777" w:rsidR="00B56D1A" w:rsidRPr="00133505" w:rsidRDefault="00B56D1A" w:rsidP="00B56D1A">
            <w:pPr>
              <w:pStyle w:val="Header"/>
              <w:spacing w:before="60"/>
              <w:rPr>
                <w:color w:val="000000" w:themeColor="text1"/>
              </w:rPr>
            </w:pPr>
            <w:r w:rsidRPr="00133505">
              <w:rPr>
                <w:color w:val="000000" w:themeColor="text1"/>
              </w:rPr>
              <w:t xml:space="preserve">Description: </w:t>
            </w:r>
          </w:p>
          <w:p w14:paraId="2EB5D7AA" w14:textId="77777777" w:rsidR="00B56D1A" w:rsidRPr="00133505" w:rsidRDefault="00B56D1A" w:rsidP="00B56D1A">
            <w:pPr>
              <w:pStyle w:val="Header"/>
              <w:spacing w:before="60"/>
              <w:rPr>
                <w:color w:val="000000" w:themeColor="text1"/>
              </w:rPr>
            </w:pPr>
            <w:r w:rsidRPr="00133505">
              <w:rPr>
                <w:color w:val="000000" w:themeColor="text1"/>
              </w:rPr>
              <w:t>This indicator shows the number and rate per 1,000 adults aged 12 years or over years who were admitted to hospital with asthma as the primary diagnosis.  ED admissions meeting the three-hour rule are included in this indicator.</w:t>
            </w:r>
          </w:p>
          <w:p w14:paraId="111F5AF8" w14:textId="77777777" w:rsidR="00B56D1A" w:rsidRPr="00133505" w:rsidRDefault="00B56D1A" w:rsidP="00B56D1A">
            <w:pPr>
              <w:pStyle w:val="Header"/>
              <w:spacing w:before="60"/>
              <w:rPr>
                <w:color w:val="000000" w:themeColor="text1"/>
              </w:rPr>
            </w:pPr>
          </w:p>
          <w:p w14:paraId="7AF19722" w14:textId="1DAB2EE3" w:rsidR="00B56D1A" w:rsidRPr="00133505" w:rsidRDefault="0024599C" w:rsidP="00B56D1A">
            <w:pPr>
              <w:pStyle w:val="Header"/>
              <w:spacing w:before="60"/>
              <w:rPr>
                <w:color w:val="000000" w:themeColor="text1"/>
              </w:rPr>
            </w:pPr>
            <w:r>
              <w:rPr>
                <w:color w:val="000000" w:themeColor="text1"/>
              </w:rPr>
              <w:t xml:space="preserve">Data is </w:t>
            </w:r>
            <w:r w:rsidR="00B56D1A" w:rsidRPr="00133505">
              <w:rPr>
                <w:color w:val="000000" w:themeColor="text1"/>
              </w:rPr>
              <w:t>presented by year, ethnicity, age, gender and district of domicile.</w:t>
            </w:r>
          </w:p>
          <w:p w14:paraId="213FF8A7" w14:textId="77777777" w:rsidR="00B56D1A" w:rsidRPr="00133505" w:rsidRDefault="00B56D1A" w:rsidP="00B56D1A">
            <w:pPr>
              <w:pStyle w:val="Header"/>
              <w:spacing w:before="60"/>
              <w:rPr>
                <w:color w:val="000000" w:themeColor="text1"/>
              </w:rPr>
            </w:pPr>
          </w:p>
          <w:p w14:paraId="2E32D78A" w14:textId="77777777" w:rsidR="00B56D1A" w:rsidRPr="00133505" w:rsidRDefault="00B56D1A" w:rsidP="00B56D1A">
            <w:pPr>
              <w:pStyle w:val="Header"/>
              <w:spacing w:before="60"/>
              <w:rPr>
                <w:color w:val="000000" w:themeColor="text1"/>
              </w:rPr>
            </w:pPr>
            <w:r w:rsidRPr="00133505">
              <w:rPr>
                <w:color w:val="000000" w:themeColor="text1"/>
              </w:rPr>
              <w:t xml:space="preserve">Why is this important? </w:t>
            </w:r>
          </w:p>
          <w:p w14:paraId="6F839DCD" w14:textId="77777777" w:rsidR="00B56D1A" w:rsidRPr="00133505" w:rsidRDefault="00B56D1A" w:rsidP="00B56D1A">
            <w:pPr>
              <w:pStyle w:val="Header"/>
              <w:spacing w:before="60"/>
              <w:rPr>
                <w:color w:val="000000" w:themeColor="text1"/>
              </w:rPr>
            </w:pPr>
            <w:r w:rsidRPr="00133505">
              <w:rPr>
                <w:color w:val="000000" w:themeColor="text1"/>
              </w:rPr>
              <w:t xml:space="preserve">Asthma is a chronic condition where good primary care management is believed to reduce the frequency and severity of exacerbations, thereby reducing hospitalisation rates. </w:t>
            </w:r>
          </w:p>
          <w:p w14:paraId="2749A50E" w14:textId="77777777" w:rsidR="00B56D1A" w:rsidRPr="00133505" w:rsidRDefault="00B56D1A" w:rsidP="00B56D1A">
            <w:pPr>
              <w:pStyle w:val="Header"/>
              <w:spacing w:before="60"/>
              <w:rPr>
                <w:color w:val="000000" w:themeColor="text1"/>
              </w:rPr>
            </w:pPr>
            <w:r w:rsidRPr="00133505">
              <w:rPr>
                <w:color w:val="000000" w:themeColor="text1"/>
              </w:rPr>
              <w:t xml:space="preserve">As the treatment for Asthma Chronic obstructive pulmonary disease Overlap Syndrome (ACOS) is not well–defined, age was restricted for clarity. </w:t>
            </w:r>
          </w:p>
          <w:p w14:paraId="4F4DCCFF" w14:textId="77777777" w:rsidR="00B56D1A" w:rsidRPr="00133505" w:rsidRDefault="00B56D1A" w:rsidP="00B56D1A">
            <w:pPr>
              <w:pStyle w:val="Header"/>
              <w:spacing w:before="60"/>
              <w:rPr>
                <w:color w:val="000000" w:themeColor="text1"/>
              </w:rPr>
            </w:pPr>
          </w:p>
          <w:p w14:paraId="76BE3457" w14:textId="77777777" w:rsidR="00B56D1A" w:rsidRPr="00133505" w:rsidRDefault="00B56D1A" w:rsidP="00B56D1A">
            <w:pPr>
              <w:pStyle w:val="Header"/>
              <w:spacing w:before="60"/>
              <w:rPr>
                <w:color w:val="000000" w:themeColor="text1"/>
              </w:rPr>
            </w:pPr>
            <w:r w:rsidRPr="00133505">
              <w:rPr>
                <w:color w:val="000000" w:themeColor="text1"/>
              </w:rPr>
              <w:t xml:space="preserve">What questions does this prompt? </w:t>
            </w:r>
          </w:p>
          <w:p w14:paraId="79EAE869" w14:textId="77777777" w:rsidR="00B56D1A" w:rsidRPr="00133505" w:rsidRDefault="00B56D1A" w:rsidP="00B56D1A">
            <w:pPr>
              <w:pStyle w:val="Header"/>
              <w:spacing w:before="60"/>
              <w:rPr>
                <w:color w:val="000000" w:themeColor="text1"/>
              </w:rPr>
            </w:pPr>
            <w:r w:rsidRPr="00133505">
              <w:rPr>
                <w:color w:val="000000" w:themeColor="text1"/>
              </w:rPr>
              <w:t xml:space="preserve">• Why are some districts consistently lower or higher than the national mean? </w:t>
            </w:r>
          </w:p>
          <w:p w14:paraId="43E2F942" w14:textId="77777777" w:rsidR="00B56D1A" w:rsidRPr="00133505" w:rsidRDefault="00B56D1A" w:rsidP="00B56D1A">
            <w:pPr>
              <w:pStyle w:val="Header"/>
              <w:spacing w:before="60"/>
              <w:rPr>
                <w:color w:val="000000" w:themeColor="text1"/>
              </w:rPr>
            </w:pPr>
            <w:r w:rsidRPr="00133505">
              <w:rPr>
                <w:color w:val="000000" w:themeColor="text1"/>
              </w:rPr>
              <w:t>• How do similar districts compare?</w:t>
            </w:r>
          </w:p>
          <w:p w14:paraId="75812F37" w14:textId="4D17AFD0" w:rsidR="00B56D1A" w:rsidRPr="00133505" w:rsidRDefault="00B56D1A" w:rsidP="00B56D1A">
            <w:pPr>
              <w:pStyle w:val="Header"/>
              <w:spacing w:before="60"/>
              <w:rPr>
                <w:color w:val="000000" w:themeColor="text1"/>
              </w:rPr>
            </w:pPr>
            <w:r w:rsidRPr="00133505">
              <w:rPr>
                <w:color w:val="000000" w:themeColor="text1"/>
              </w:rPr>
              <w:t>• Why are Māori and Pacific populations more likely to be admitted than European/Other ethnic groups? Do districts who have high admission rates for these populations, also have high rates for the European/Other?</w:t>
            </w:r>
          </w:p>
          <w:p w14:paraId="77FD53CD" w14:textId="77777777" w:rsidR="00B56D1A" w:rsidRPr="00133505" w:rsidRDefault="00B56D1A" w:rsidP="00B56D1A">
            <w:pPr>
              <w:pStyle w:val="Header"/>
              <w:spacing w:before="60"/>
              <w:rPr>
                <w:color w:val="000000" w:themeColor="text1"/>
              </w:rPr>
            </w:pPr>
            <w:r w:rsidRPr="00133505">
              <w:rPr>
                <w:color w:val="000000" w:themeColor="text1"/>
              </w:rPr>
              <w:t>• How is asthma education managed in the districts? Is the education managed in a culturally appropriate way?</w:t>
            </w:r>
          </w:p>
          <w:p w14:paraId="0F71E62F" w14:textId="2056710F" w:rsidR="00C8760B" w:rsidRPr="00133505" w:rsidRDefault="00C8760B" w:rsidP="000617B3">
            <w:pPr>
              <w:pStyle w:val="Header"/>
              <w:spacing w:before="60"/>
              <w:rPr>
                <w:color w:val="000000" w:themeColor="text1"/>
              </w:rPr>
            </w:pPr>
          </w:p>
        </w:tc>
      </w:tr>
    </w:tbl>
    <w:p w14:paraId="33F0CA0A" w14:textId="77777777" w:rsidR="003B070F" w:rsidRPr="00133505" w:rsidRDefault="003B070F" w:rsidP="003B070F">
      <w:pPr>
        <w:rPr>
          <w:color w:val="000000" w:themeColor="text1"/>
        </w:rPr>
      </w:pPr>
    </w:p>
    <w:p w14:paraId="3783A36C" w14:textId="792C906E" w:rsidR="003B070F" w:rsidRPr="00133505" w:rsidRDefault="004A2B29" w:rsidP="00494E58">
      <w:pPr>
        <w:pStyle w:val="TeThHauorahead3"/>
        <w:rPr>
          <w:color w:val="000000" w:themeColor="text1"/>
        </w:rPr>
      </w:pPr>
      <w:bookmarkStart w:id="6" w:name="_Toc196292451"/>
      <w:r w:rsidRPr="00133505">
        <w:rPr>
          <w:color w:val="000000" w:themeColor="text1"/>
        </w:rPr>
        <w:lastRenderedPageBreak/>
        <w:t xml:space="preserve">3. </w:t>
      </w:r>
      <w:r w:rsidR="005B1715" w:rsidRPr="00133505">
        <w:rPr>
          <w:color w:val="000000" w:themeColor="text1"/>
        </w:rPr>
        <w:t>People</w:t>
      </w:r>
      <w:r w:rsidRPr="00133505">
        <w:rPr>
          <w:color w:val="000000" w:themeColor="text1"/>
        </w:rPr>
        <w:t xml:space="preserve"> with at least two </w:t>
      </w:r>
      <w:r w:rsidR="001859CE" w:rsidRPr="00133505">
        <w:rPr>
          <w:color w:val="000000" w:themeColor="text1"/>
        </w:rPr>
        <w:t xml:space="preserve">hospital </w:t>
      </w:r>
      <w:r w:rsidRPr="00133505">
        <w:rPr>
          <w:color w:val="000000" w:themeColor="text1"/>
        </w:rPr>
        <w:t xml:space="preserve">admissions </w:t>
      </w:r>
      <w:r w:rsidR="001859CE" w:rsidRPr="00133505">
        <w:rPr>
          <w:color w:val="000000" w:themeColor="text1"/>
        </w:rPr>
        <w:t xml:space="preserve">within 90 days of each other </w:t>
      </w:r>
      <w:r w:rsidRPr="00133505">
        <w:rPr>
          <w:color w:val="000000" w:themeColor="text1"/>
        </w:rPr>
        <w:t xml:space="preserve">with a primary diagnosis of asthma </w:t>
      </w:r>
      <w:r w:rsidR="009A754F" w:rsidRPr="00133505">
        <w:rPr>
          <w:color w:val="000000" w:themeColor="text1"/>
        </w:rPr>
        <w:t>(</w:t>
      </w:r>
      <w:r w:rsidRPr="00133505">
        <w:rPr>
          <w:color w:val="000000" w:themeColor="text1"/>
        </w:rPr>
        <w:t xml:space="preserve">or wheeze </w:t>
      </w:r>
      <w:r w:rsidR="00A5270A" w:rsidRPr="00133505">
        <w:rPr>
          <w:color w:val="000000" w:themeColor="text1"/>
        </w:rPr>
        <w:t xml:space="preserve">in </w:t>
      </w:r>
      <w:r w:rsidRPr="00133505">
        <w:rPr>
          <w:color w:val="000000" w:themeColor="text1"/>
        </w:rPr>
        <w:t>children</w:t>
      </w:r>
      <w:r w:rsidR="009A754F" w:rsidRPr="00133505">
        <w:rPr>
          <w:color w:val="000000" w:themeColor="text1"/>
        </w:rPr>
        <w:t>)</w:t>
      </w:r>
      <w:bookmarkEnd w:id="6"/>
      <w:r w:rsidRPr="00133505">
        <w:rPr>
          <w:color w:val="000000" w:themeColor="text1"/>
        </w:rPr>
        <w:t xml:space="preserve"> </w:t>
      </w:r>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6440DBE0" w14:textId="77777777" w:rsidTr="20CF9A1D">
        <w:trPr>
          <w:trHeight w:val="581"/>
        </w:trPr>
        <w:tc>
          <w:tcPr>
            <w:tcW w:w="1951" w:type="dxa"/>
          </w:tcPr>
          <w:p w14:paraId="50212C24"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#3:</w:t>
            </w:r>
          </w:p>
        </w:tc>
        <w:tc>
          <w:tcPr>
            <w:tcW w:w="7371" w:type="dxa"/>
            <w:vAlign w:val="bottom"/>
          </w:tcPr>
          <w:p w14:paraId="23A74CFA" w14:textId="5396FAEA" w:rsidR="003B070F" w:rsidRPr="00133505" w:rsidRDefault="003B070F" w:rsidP="00021FF0">
            <w:pPr>
              <w:pStyle w:val="ListParagraph"/>
              <w:ind w:left="0"/>
              <w:rPr>
                <w:rFonts w:cs="Arial"/>
                <w:color w:val="000000" w:themeColor="text1"/>
              </w:rPr>
            </w:pPr>
            <w:r w:rsidRPr="00133505">
              <w:rPr>
                <w:rFonts w:cs="Arial"/>
                <w:color w:val="000000" w:themeColor="text1"/>
              </w:rPr>
              <w:t>People</w:t>
            </w:r>
            <w:r w:rsidR="00AD5F3C" w:rsidRPr="00133505">
              <w:rPr>
                <w:rFonts w:cs="Arial"/>
                <w:color w:val="000000" w:themeColor="text1"/>
              </w:rPr>
              <w:t xml:space="preserve"> </w:t>
            </w:r>
            <w:r w:rsidRPr="00133505">
              <w:rPr>
                <w:rFonts w:cs="Arial"/>
                <w:color w:val="000000" w:themeColor="text1"/>
              </w:rPr>
              <w:t>with at least two admissions</w:t>
            </w:r>
            <w:r w:rsidR="00281BF0" w:rsidRPr="00133505">
              <w:rPr>
                <w:rFonts w:cs="Arial"/>
                <w:color w:val="000000" w:themeColor="text1"/>
              </w:rPr>
              <w:t xml:space="preserve"> within 90 days of each other</w:t>
            </w:r>
            <w:r w:rsidRPr="00133505">
              <w:rPr>
                <w:rFonts w:cs="Arial"/>
                <w:color w:val="000000" w:themeColor="text1"/>
              </w:rPr>
              <w:t xml:space="preserve"> with a primary diagnosis of asthma </w:t>
            </w:r>
            <w:r w:rsidR="00281BF0" w:rsidRPr="00133505">
              <w:rPr>
                <w:rFonts w:cs="Arial"/>
                <w:color w:val="000000" w:themeColor="text1"/>
              </w:rPr>
              <w:t>(</w:t>
            </w:r>
            <w:r w:rsidRPr="00133505">
              <w:rPr>
                <w:rFonts w:cs="Arial"/>
                <w:color w:val="000000" w:themeColor="text1"/>
              </w:rPr>
              <w:t xml:space="preserve">or wheeze </w:t>
            </w:r>
            <w:r w:rsidR="00A5270A" w:rsidRPr="00133505">
              <w:rPr>
                <w:rFonts w:cs="Arial"/>
                <w:color w:val="000000" w:themeColor="text1"/>
              </w:rPr>
              <w:t xml:space="preserve">in </w:t>
            </w:r>
            <w:r w:rsidRPr="00133505">
              <w:rPr>
                <w:rFonts w:cs="Arial"/>
                <w:color w:val="000000" w:themeColor="text1"/>
              </w:rPr>
              <w:t>children</w:t>
            </w:r>
            <w:r w:rsidR="00281BF0" w:rsidRPr="00133505">
              <w:rPr>
                <w:rFonts w:cs="Arial"/>
                <w:color w:val="000000" w:themeColor="text1"/>
              </w:rPr>
              <w:t>)</w:t>
            </w:r>
            <w:r w:rsidR="003272BB" w:rsidRPr="00133505">
              <w:rPr>
                <w:rFonts w:cs="Arial"/>
                <w:color w:val="000000" w:themeColor="text1"/>
              </w:rPr>
              <w:t xml:space="preserve">, </w:t>
            </w:r>
            <w:r w:rsidR="003272BB" w:rsidRPr="00133505">
              <w:rPr>
                <w:color w:val="000000" w:themeColor="text1"/>
              </w:rPr>
              <w:t>among PHO enrolled population</w:t>
            </w:r>
          </w:p>
        </w:tc>
      </w:tr>
      <w:tr w:rsidR="00133505" w:rsidRPr="00133505" w14:paraId="0D711105" w14:textId="77777777" w:rsidTr="20CF9A1D">
        <w:trPr>
          <w:trHeight w:val="327"/>
        </w:trPr>
        <w:tc>
          <w:tcPr>
            <w:tcW w:w="1951" w:type="dxa"/>
          </w:tcPr>
          <w:p w14:paraId="273FFE0A"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5D017B0E" w14:textId="103A00EE" w:rsidR="003B070F" w:rsidRPr="00133505" w:rsidRDefault="003B070F" w:rsidP="07D7EB6C">
            <w:pPr>
              <w:pStyle w:val="Header"/>
              <w:spacing w:before="60"/>
              <w:rPr>
                <w:color w:val="000000" w:themeColor="text1"/>
              </w:rPr>
            </w:pPr>
            <w:r w:rsidRPr="00133505">
              <w:rPr>
                <w:color w:val="000000" w:themeColor="text1"/>
              </w:rPr>
              <w:t>The number of people</w:t>
            </w:r>
            <w:r w:rsidR="421BFB07" w:rsidRPr="00133505">
              <w:rPr>
                <w:color w:val="000000" w:themeColor="text1"/>
              </w:rPr>
              <w:t xml:space="preserve"> </w:t>
            </w:r>
            <w:r w:rsidRPr="00133505">
              <w:rPr>
                <w:color w:val="000000" w:themeColor="text1"/>
              </w:rPr>
              <w:t xml:space="preserve">with a hospital admission with a primary diagnosis of asthma within 90 days of discharge. Days were calculated by counting the number of days between the discharge date of the previous admission and the start date of the most recent admission (admit date). </w:t>
            </w:r>
          </w:p>
          <w:p w14:paraId="50692A07" w14:textId="77777777" w:rsidR="003B070F" w:rsidRPr="00133505" w:rsidRDefault="003B070F" w:rsidP="00021FF0">
            <w:pPr>
              <w:pStyle w:val="Header"/>
              <w:spacing w:before="60"/>
              <w:rPr>
                <w:color w:val="000000" w:themeColor="text1"/>
              </w:rPr>
            </w:pPr>
            <w:r w:rsidRPr="00133505">
              <w:rPr>
                <w:color w:val="000000" w:themeColor="text1"/>
              </w:rPr>
              <w:t>Admission could occur at any hospital.</w:t>
            </w:r>
          </w:p>
          <w:p w14:paraId="1F07C4EF" w14:textId="77777777" w:rsidR="00D25E33" w:rsidRPr="00133505" w:rsidRDefault="00D25E33" w:rsidP="00021FF0">
            <w:pPr>
              <w:pStyle w:val="Header"/>
              <w:spacing w:before="60"/>
              <w:rPr>
                <w:color w:val="000000" w:themeColor="text1"/>
              </w:rPr>
            </w:pPr>
          </w:p>
          <w:p w14:paraId="081AD72D" w14:textId="77777777" w:rsidR="00D25E33" w:rsidRPr="00133505" w:rsidRDefault="00D25E33" w:rsidP="00D25E33">
            <w:pPr>
              <w:pStyle w:val="Header"/>
              <w:spacing w:before="60"/>
              <w:rPr>
                <w:color w:val="000000" w:themeColor="text1"/>
              </w:rPr>
            </w:pPr>
            <w:r w:rsidRPr="00133505">
              <w:rPr>
                <w:color w:val="000000" w:themeColor="text1"/>
              </w:rPr>
              <w:t>Code (ICD10 AM):</w:t>
            </w:r>
          </w:p>
          <w:p w14:paraId="2F877576" w14:textId="77777777" w:rsidR="00000E0C" w:rsidRPr="00133505" w:rsidRDefault="00000E0C" w:rsidP="00000E0C">
            <w:pPr>
              <w:pStyle w:val="Header"/>
              <w:spacing w:before="60"/>
              <w:rPr>
                <w:color w:val="000000" w:themeColor="text1"/>
              </w:rPr>
            </w:pPr>
            <w:r w:rsidRPr="00133505">
              <w:rPr>
                <w:color w:val="000000" w:themeColor="text1"/>
              </w:rPr>
              <w:t>J45 Asthma (for everyone</w:t>
            </w:r>
            <w:proofErr w:type="gramStart"/>
            <w:r w:rsidRPr="00133505">
              <w:rPr>
                <w:color w:val="000000" w:themeColor="text1"/>
              </w:rPr>
              <w:t>);</w:t>
            </w:r>
            <w:proofErr w:type="gramEnd"/>
          </w:p>
          <w:p w14:paraId="7AB1F087" w14:textId="2768D1E0" w:rsidR="00000E0C" w:rsidRPr="00133505" w:rsidRDefault="00000E0C" w:rsidP="00000E0C">
            <w:pPr>
              <w:pStyle w:val="Header"/>
              <w:spacing w:before="60"/>
              <w:rPr>
                <w:color w:val="000000" w:themeColor="text1"/>
              </w:rPr>
            </w:pPr>
            <w:r w:rsidRPr="00133505">
              <w:rPr>
                <w:color w:val="000000" w:themeColor="text1"/>
              </w:rPr>
              <w:t>J46 Status Asthmaticus (for everyone</w:t>
            </w:r>
            <w:proofErr w:type="gramStart"/>
            <w:r w:rsidRPr="00133505">
              <w:rPr>
                <w:color w:val="000000" w:themeColor="text1"/>
              </w:rPr>
              <w:t>);</w:t>
            </w:r>
            <w:proofErr w:type="gramEnd"/>
            <w:r w:rsidRPr="00133505">
              <w:rPr>
                <w:color w:val="000000" w:themeColor="text1"/>
              </w:rPr>
              <w:t xml:space="preserve"> </w:t>
            </w:r>
          </w:p>
          <w:p w14:paraId="176561E2" w14:textId="152A0B1D" w:rsidR="00000E0C" w:rsidRPr="00133505" w:rsidRDefault="00000E0C" w:rsidP="00000E0C">
            <w:pPr>
              <w:pStyle w:val="Header"/>
              <w:spacing w:before="60"/>
              <w:rPr>
                <w:color w:val="000000" w:themeColor="text1"/>
              </w:rPr>
            </w:pPr>
            <w:r w:rsidRPr="00133505">
              <w:rPr>
                <w:color w:val="000000" w:themeColor="text1"/>
              </w:rPr>
              <w:t xml:space="preserve">R06.2 Wheeze (for children aged </w:t>
            </w:r>
            <w:r w:rsidR="00616BFA" w:rsidRPr="00133505">
              <w:rPr>
                <w:color w:val="000000" w:themeColor="text1"/>
              </w:rPr>
              <w:t xml:space="preserve">under </w:t>
            </w:r>
            <w:r w:rsidRPr="00133505">
              <w:rPr>
                <w:color w:val="000000" w:themeColor="text1"/>
              </w:rPr>
              <w:t>11 years)</w:t>
            </w:r>
          </w:p>
          <w:p w14:paraId="5B135183" w14:textId="77777777" w:rsidR="00000E0C" w:rsidRPr="00133505" w:rsidRDefault="00000E0C" w:rsidP="00000E0C">
            <w:pPr>
              <w:pStyle w:val="Header"/>
              <w:spacing w:before="60"/>
              <w:rPr>
                <w:color w:val="000000" w:themeColor="text1"/>
              </w:rPr>
            </w:pPr>
          </w:p>
          <w:p w14:paraId="595F38DD" w14:textId="77777777" w:rsidR="00000E0C" w:rsidRPr="00133505" w:rsidRDefault="00000E0C" w:rsidP="00000E0C">
            <w:pPr>
              <w:pStyle w:val="Header"/>
              <w:spacing w:before="60"/>
              <w:rPr>
                <w:color w:val="000000" w:themeColor="text1"/>
              </w:rPr>
            </w:pPr>
            <w:r w:rsidRPr="00133505">
              <w:rPr>
                <w:color w:val="000000" w:themeColor="text1"/>
              </w:rPr>
              <w:t xml:space="preserve">Notes: </w:t>
            </w:r>
          </w:p>
          <w:p w14:paraId="3515590B" w14:textId="6EB15D4F" w:rsidR="00000E0C" w:rsidRPr="00133505" w:rsidRDefault="008E3659" w:rsidP="00000E0C">
            <w:pPr>
              <w:pStyle w:val="Header"/>
              <w:numPr>
                <w:ilvl w:val="0"/>
                <w:numId w:val="6"/>
              </w:numPr>
              <w:spacing w:before="60" w:line="240" w:lineRule="auto"/>
              <w:rPr>
                <w:color w:val="000000" w:themeColor="text1"/>
              </w:rPr>
            </w:pPr>
            <w:r w:rsidRPr="00133505">
              <w:rPr>
                <w:color w:val="000000" w:themeColor="text1"/>
              </w:rPr>
              <w:t>Admissions where the individual is aged under 1 year at discharge are excluded</w:t>
            </w:r>
            <w:r w:rsidR="00066156" w:rsidRPr="00133505">
              <w:rPr>
                <w:color w:val="000000" w:themeColor="text1"/>
              </w:rPr>
              <w:t xml:space="preserve"> from numerator and denominator</w:t>
            </w:r>
          </w:p>
          <w:p w14:paraId="1CDAB57C" w14:textId="77777777" w:rsidR="00D25E33" w:rsidRPr="00133505" w:rsidRDefault="00D25E33" w:rsidP="001E595D">
            <w:pPr>
              <w:pStyle w:val="Header"/>
              <w:spacing w:before="60" w:line="240" w:lineRule="auto"/>
              <w:ind w:left="360"/>
              <w:rPr>
                <w:color w:val="000000" w:themeColor="text1"/>
              </w:rPr>
            </w:pPr>
          </w:p>
        </w:tc>
      </w:tr>
      <w:tr w:rsidR="00133505" w:rsidRPr="00133505" w14:paraId="54146F7E" w14:textId="77777777" w:rsidTr="20CF9A1D">
        <w:trPr>
          <w:trHeight w:val="327"/>
        </w:trPr>
        <w:tc>
          <w:tcPr>
            <w:tcW w:w="1951" w:type="dxa"/>
          </w:tcPr>
          <w:p w14:paraId="45A69E6B" w14:textId="77777777" w:rsidR="003B070F" w:rsidRPr="00133505" w:rsidRDefault="003B070F" w:rsidP="00021FF0">
            <w:pPr>
              <w:pStyle w:val="Header"/>
              <w:spacing w:before="60"/>
              <w:rPr>
                <w:color w:val="000000" w:themeColor="text1"/>
                <w:sz w:val="24"/>
              </w:rPr>
            </w:pPr>
            <w:r w:rsidRPr="00133505">
              <w:rPr>
                <w:color w:val="000000" w:themeColor="text1"/>
                <w:sz w:val="24"/>
              </w:rPr>
              <w:t>Denominator</w:t>
            </w:r>
          </w:p>
        </w:tc>
        <w:tc>
          <w:tcPr>
            <w:tcW w:w="7371" w:type="dxa"/>
            <w:vAlign w:val="bottom"/>
          </w:tcPr>
          <w:p w14:paraId="24185227" w14:textId="74161EB8" w:rsidR="003B070F" w:rsidRPr="00133505" w:rsidRDefault="003B070F" w:rsidP="00021FF0">
            <w:pPr>
              <w:pStyle w:val="Header"/>
              <w:spacing w:before="60"/>
              <w:rPr>
                <w:color w:val="000000" w:themeColor="text1"/>
              </w:rPr>
            </w:pPr>
            <w:r w:rsidRPr="00133505">
              <w:rPr>
                <w:color w:val="000000" w:themeColor="text1"/>
              </w:rPr>
              <w:t xml:space="preserve">Those with an admission with a primary diagnosis of asthma </w:t>
            </w:r>
            <w:r w:rsidR="001463D8" w:rsidRPr="00133505">
              <w:rPr>
                <w:color w:val="000000" w:themeColor="text1"/>
              </w:rPr>
              <w:t xml:space="preserve">in the calendar year </w:t>
            </w:r>
            <w:r w:rsidR="0082259A" w:rsidRPr="00133505">
              <w:rPr>
                <w:rFonts w:cs="Arial"/>
                <w:color w:val="000000" w:themeColor="text1"/>
              </w:rPr>
              <w:t>(or wheeze in children, see numerator).</w:t>
            </w:r>
          </w:p>
        </w:tc>
      </w:tr>
      <w:tr w:rsidR="00133505" w:rsidRPr="00133505" w14:paraId="2252E5C8" w14:textId="77777777" w:rsidTr="20CF9A1D">
        <w:trPr>
          <w:trHeight w:val="327"/>
        </w:trPr>
        <w:tc>
          <w:tcPr>
            <w:tcW w:w="1951" w:type="dxa"/>
          </w:tcPr>
          <w:p w14:paraId="2F061FFF"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0C75DA58" w14:textId="77777777" w:rsidR="003B070F" w:rsidRPr="00133505" w:rsidRDefault="003B070F" w:rsidP="00021FF0">
            <w:pPr>
              <w:pStyle w:val="Header"/>
              <w:spacing w:before="60"/>
              <w:rPr>
                <w:color w:val="000000" w:themeColor="text1"/>
              </w:rPr>
            </w:pPr>
            <w:r w:rsidRPr="00133505">
              <w:rPr>
                <w:color w:val="000000" w:themeColor="text1"/>
              </w:rPr>
              <w:t>NMDS</w:t>
            </w:r>
          </w:p>
          <w:p w14:paraId="190650B5" w14:textId="5CB301E1" w:rsidR="00000E0C" w:rsidRPr="00133505" w:rsidRDefault="00000E0C" w:rsidP="00021FF0">
            <w:pPr>
              <w:pStyle w:val="Header"/>
              <w:spacing w:before="60"/>
              <w:rPr>
                <w:color w:val="000000" w:themeColor="text1"/>
              </w:rPr>
            </w:pPr>
            <w:r w:rsidRPr="00133505">
              <w:rPr>
                <w:color w:val="000000" w:themeColor="text1"/>
              </w:rPr>
              <w:t>PHO enrolment collection</w:t>
            </w:r>
          </w:p>
        </w:tc>
      </w:tr>
      <w:tr w:rsidR="00133505" w:rsidRPr="00133505" w14:paraId="41156AA6" w14:textId="77777777" w:rsidTr="20CF9A1D">
        <w:trPr>
          <w:trHeight w:val="327"/>
        </w:trPr>
        <w:tc>
          <w:tcPr>
            <w:tcW w:w="1951" w:type="dxa"/>
          </w:tcPr>
          <w:p w14:paraId="6145DBB5" w14:textId="77777777" w:rsidR="003B070F" w:rsidRPr="00133505" w:rsidRDefault="003B070F" w:rsidP="00021FF0">
            <w:pPr>
              <w:pStyle w:val="Header"/>
              <w:spacing w:before="60"/>
              <w:rPr>
                <w:color w:val="000000" w:themeColor="text1"/>
                <w:sz w:val="24"/>
              </w:rPr>
            </w:pPr>
            <w:r w:rsidRPr="00133505">
              <w:rPr>
                <w:color w:val="000000" w:themeColor="text1"/>
                <w:sz w:val="24"/>
              </w:rPr>
              <w:t>Exclude</w:t>
            </w:r>
          </w:p>
        </w:tc>
        <w:tc>
          <w:tcPr>
            <w:tcW w:w="7371" w:type="dxa"/>
            <w:vAlign w:val="bottom"/>
          </w:tcPr>
          <w:p w14:paraId="500A957B" w14:textId="2C369848" w:rsidR="003B070F" w:rsidRPr="00133505" w:rsidRDefault="003B070F" w:rsidP="00021FF0">
            <w:pPr>
              <w:pStyle w:val="Header"/>
              <w:spacing w:before="60"/>
              <w:rPr>
                <w:color w:val="000000" w:themeColor="text1"/>
              </w:rPr>
            </w:pPr>
            <w:r w:rsidRPr="00133505">
              <w:rPr>
                <w:color w:val="000000" w:themeColor="text1"/>
              </w:rPr>
              <w:t>Exclude admissions that result in a transfer</w:t>
            </w:r>
          </w:p>
        </w:tc>
      </w:tr>
      <w:tr w:rsidR="00133505" w:rsidRPr="00133505" w14:paraId="195FF31D" w14:textId="77777777" w:rsidTr="20CF9A1D">
        <w:trPr>
          <w:trHeight w:val="327"/>
        </w:trPr>
        <w:tc>
          <w:tcPr>
            <w:tcW w:w="1951" w:type="dxa"/>
          </w:tcPr>
          <w:p w14:paraId="2E010D97" w14:textId="77777777" w:rsidR="00175DC1" w:rsidRPr="00133505" w:rsidRDefault="00175DC1" w:rsidP="00175DC1">
            <w:pPr>
              <w:pStyle w:val="Header"/>
              <w:spacing w:before="60"/>
              <w:rPr>
                <w:color w:val="000000" w:themeColor="text1"/>
                <w:sz w:val="24"/>
              </w:rPr>
            </w:pPr>
            <w:r w:rsidRPr="00133505">
              <w:rPr>
                <w:color w:val="000000" w:themeColor="text1"/>
                <w:sz w:val="24"/>
              </w:rPr>
              <w:t>By variables</w:t>
            </w:r>
          </w:p>
          <w:p w14:paraId="790FC8C0" w14:textId="77777777" w:rsidR="00175DC1" w:rsidRPr="00133505" w:rsidRDefault="00175DC1" w:rsidP="00021FF0">
            <w:pPr>
              <w:pStyle w:val="Header"/>
              <w:spacing w:before="60"/>
              <w:rPr>
                <w:color w:val="000000" w:themeColor="text1"/>
                <w:sz w:val="24"/>
              </w:rPr>
            </w:pPr>
          </w:p>
        </w:tc>
        <w:tc>
          <w:tcPr>
            <w:tcW w:w="7371" w:type="dxa"/>
            <w:vAlign w:val="bottom"/>
          </w:tcPr>
          <w:p w14:paraId="40C7C65D" w14:textId="77777777" w:rsidR="00175DC1" w:rsidRPr="00133505" w:rsidRDefault="00175DC1" w:rsidP="00175DC1">
            <w:pPr>
              <w:pStyle w:val="Header"/>
              <w:spacing w:before="60"/>
              <w:rPr>
                <w:rFonts w:cs="Arial"/>
                <w:color w:val="000000" w:themeColor="text1"/>
              </w:rPr>
            </w:pPr>
            <w:r w:rsidRPr="00133505">
              <w:rPr>
                <w:rFonts w:cs="Arial"/>
                <w:color w:val="000000" w:themeColor="text1"/>
              </w:rPr>
              <w:t xml:space="preserve">District analysis: By year (2019 –2023), age group (0–4, 5 –11, </w:t>
            </w:r>
            <w:r w:rsidRPr="00133505">
              <w:rPr>
                <w:color w:val="000000" w:themeColor="text1"/>
              </w:rPr>
              <w:t>12–24, 25–44, 45–64, 65+</w:t>
            </w:r>
            <w:r w:rsidRPr="00133505">
              <w:rPr>
                <w:rFonts w:cs="Arial"/>
                <w:color w:val="000000" w:themeColor="text1"/>
              </w:rPr>
              <w:t>), gender (female, male), ethnic group (</w:t>
            </w:r>
            <w:r w:rsidRPr="00133505">
              <w:rPr>
                <w:color w:val="000000" w:themeColor="text1"/>
              </w:rPr>
              <w:t>Māori, Pacific peoples, European/Other)</w:t>
            </w:r>
            <w:r w:rsidRPr="00133505">
              <w:rPr>
                <w:rFonts w:cs="Arial"/>
                <w:color w:val="000000" w:themeColor="text1"/>
              </w:rPr>
              <w:t xml:space="preserve"> and Health New Zealand district of domicile.</w:t>
            </w:r>
          </w:p>
          <w:p w14:paraId="4B11ADCF" w14:textId="77777777" w:rsidR="00175DC1" w:rsidRPr="00133505" w:rsidRDefault="00175DC1" w:rsidP="00175DC1">
            <w:pPr>
              <w:pStyle w:val="Header"/>
              <w:spacing w:before="60"/>
              <w:rPr>
                <w:rFonts w:cs="Arial"/>
                <w:color w:val="000000" w:themeColor="text1"/>
              </w:rPr>
            </w:pPr>
          </w:p>
          <w:p w14:paraId="6D9572BF" w14:textId="0045B7BE" w:rsidR="00175DC1" w:rsidRPr="00133505" w:rsidRDefault="00175DC1" w:rsidP="00175DC1">
            <w:pPr>
              <w:pStyle w:val="Header"/>
              <w:spacing w:before="60"/>
              <w:rPr>
                <w:color w:val="000000" w:themeColor="text1"/>
              </w:rPr>
            </w:pPr>
            <w:r w:rsidRPr="00133505">
              <w:rPr>
                <w:rFonts w:cs="Arial"/>
                <w:color w:val="000000" w:themeColor="text1"/>
              </w:rPr>
              <w:t>PHO analysis: By year (2023), age group</w:t>
            </w:r>
            <w:r w:rsidRPr="00133505">
              <w:rPr>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PHO group (small, medium, medium-large and large).</w:t>
            </w:r>
          </w:p>
        </w:tc>
      </w:tr>
      <w:tr w:rsidR="00133505" w:rsidRPr="00133505" w14:paraId="4492A8AA" w14:textId="77777777" w:rsidTr="20CF9A1D">
        <w:trPr>
          <w:trHeight w:val="327"/>
        </w:trPr>
        <w:tc>
          <w:tcPr>
            <w:tcW w:w="1951" w:type="dxa"/>
          </w:tcPr>
          <w:p w14:paraId="3D7C78A6" w14:textId="77777777" w:rsidR="003B070F" w:rsidRPr="00133505" w:rsidRDefault="003B070F" w:rsidP="00021FF0">
            <w:pPr>
              <w:pStyle w:val="Header"/>
              <w:spacing w:before="60"/>
              <w:rPr>
                <w:color w:val="000000" w:themeColor="text1"/>
                <w:sz w:val="24"/>
              </w:rPr>
            </w:pPr>
            <w:r w:rsidRPr="00133505">
              <w:rPr>
                <w:color w:val="000000" w:themeColor="text1"/>
                <w:sz w:val="24"/>
              </w:rPr>
              <w:t>Rationale</w:t>
            </w:r>
          </w:p>
        </w:tc>
        <w:tc>
          <w:tcPr>
            <w:tcW w:w="7371" w:type="dxa"/>
            <w:vAlign w:val="bottom"/>
          </w:tcPr>
          <w:p w14:paraId="6B2D513E" w14:textId="1DD6E2AA" w:rsidR="003B070F" w:rsidRPr="00133505" w:rsidRDefault="003B070F" w:rsidP="00021FF0">
            <w:pPr>
              <w:pStyle w:val="Header"/>
              <w:spacing w:before="60"/>
              <w:rPr>
                <w:color w:val="000000" w:themeColor="text1"/>
              </w:rPr>
            </w:pPr>
            <w:r w:rsidRPr="00133505">
              <w:rPr>
                <w:color w:val="000000" w:themeColor="text1"/>
              </w:rPr>
              <w:t xml:space="preserve">A high rate of admission within 90 days of discharge suggests there may be room for improvement in discharge planning (including checking patients’ understanding of their disease and / or management plan and inhaler technique), barriers to primary care access and / or the socioeconomic </w:t>
            </w:r>
            <w:r w:rsidR="00AD5F3C" w:rsidRPr="00133505">
              <w:rPr>
                <w:color w:val="000000" w:themeColor="text1"/>
              </w:rPr>
              <w:t>determinants</w:t>
            </w:r>
            <w:r w:rsidRPr="00133505">
              <w:rPr>
                <w:color w:val="000000" w:themeColor="text1"/>
              </w:rPr>
              <w:t xml:space="preserve"> of health.</w:t>
            </w:r>
          </w:p>
        </w:tc>
      </w:tr>
      <w:tr w:rsidR="00950EE3" w:rsidRPr="00133505" w14:paraId="73E96C03" w14:textId="77777777" w:rsidTr="20CF9A1D">
        <w:trPr>
          <w:trHeight w:val="327"/>
        </w:trPr>
        <w:tc>
          <w:tcPr>
            <w:tcW w:w="1951" w:type="dxa"/>
          </w:tcPr>
          <w:p w14:paraId="2980FC7C" w14:textId="25FB8E93" w:rsidR="00950EE3" w:rsidRPr="00133505" w:rsidRDefault="00950EE3" w:rsidP="00021FF0">
            <w:pPr>
              <w:pStyle w:val="Header"/>
              <w:spacing w:before="60"/>
              <w:rPr>
                <w:color w:val="000000" w:themeColor="text1"/>
                <w:sz w:val="24"/>
              </w:rPr>
            </w:pPr>
            <w:r w:rsidRPr="00133505">
              <w:rPr>
                <w:color w:val="000000" w:themeColor="text1"/>
                <w:sz w:val="24"/>
              </w:rPr>
              <w:t>Commentary</w:t>
            </w:r>
          </w:p>
        </w:tc>
        <w:tc>
          <w:tcPr>
            <w:tcW w:w="7371" w:type="dxa"/>
            <w:vAlign w:val="bottom"/>
          </w:tcPr>
          <w:p w14:paraId="0FFF2ED4" w14:textId="77777777" w:rsidR="00501202" w:rsidRPr="00133505" w:rsidRDefault="00501202" w:rsidP="00501202">
            <w:pPr>
              <w:pStyle w:val="Header"/>
              <w:spacing w:before="60"/>
              <w:rPr>
                <w:color w:val="000000" w:themeColor="text1"/>
              </w:rPr>
            </w:pPr>
            <w:r w:rsidRPr="00133505">
              <w:rPr>
                <w:color w:val="000000" w:themeColor="text1"/>
              </w:rPr>
              <w:t xml:space="preserve">Description: </w:t>
            </w:r>
          </w:p>
          <w:p w14:paraId="4BB43EE6" w14:textId="77777777" w:rsidR="00501202" w:rsidRPr="00133505" w:rsidRDefault="00501202" w:rsidP="00501202">
            <w:pPr>
              <w:pStyle w:val="Header"/>
              <w:spacing w:before="60"/>
              <w:rPr>
                <w:color w:val="000000" w:themeColor="text1"/>
              </w:rPr>
            </w:pPr>
            <w:r w:rsidRPr="00133505">
              <w:rPr>
                <w:color w:val="000000" w:themeColor="text1"/>
              </w:rPr>
              <w:t xml:space="preserve">This indicator shows the number and percent of people with at least two admissions within 90 days of each other. ED admissions meeting the three-hour rule are included in this indicator.  </w:t>
            </w:r>
          </w:p>
          <w:p w14:paraId="5CDDED1F" w14:textId="1833FE30" w:rsidR="00501202" w:rsidRPr="00133505" w:rsidRDefault="0024599C" w:rsidP="00501202">
            <w:pPr>
              <w:pStyle w:val="Header"/>
              <w:tabs>
                <w:tab w:val="center" w:pos="743"/>
              </w:tabs>
              <w:spacing w:before="60"/>
              <w:rPr>
                <w:color w:val="000000" w:themeColor="text1"/>
              </w:rPr>
            </w:pPr>
            <w:r>
              <w:rPr>
                <w:color w:val="000000" w:themeColor="text1"/>
              </w:rPr>
              <w:t xml:space="preserve">Data is </w:t>
            </w:r>
            <w:r w:rsidR="00501202" w:rsidRPr="00133505">
              <w:rPr>
                <w:color w:val="000000" w:themeColor="text1"/>
              </w:rPr>
              <w:t>presented by year, ethnicity, age, gender and district of domicile. </w:t>
            </w:r>
          </w:p>
          <w:p w14:paraId="48DEA9DC" w14:textId="77777777" w:rsidR="00501202" w:rsidRPr="00133505" w:rsidRDefault="00501202" w:rsidP="00501202">
            <w:pPr>
              <w:pStyle w:val="Header"/>
              <w:spacing w:before="60"/>
              <w:rPr>
                <w:color w:val="000000" w:themeColor="text1"/>
              </w:rPr>
            </w:pPr>
          </w:p>
          <w:p w14:paraId="21273078" w14:textId="77777777" w:rsidR="00501202" w:rsidRPr="00133505" w:rsidRDefault="00501202" w:rsidP="00501202">
            <w:pPr>
              <w:pStyle w:val="Header"/>
              <w:spacing w:before="60"/>
              <w:rPr>
                <w:color w:val="000000" w:themeColor="text1"/>
              </w:rPr>
            </w:pPr>
          </w:p>
          <w:p w14:paraId="777B335F" w14:textId="77777777" w:rsidR="00501202" w:rsidRPr="00133505" w:rsidRDefault="00501202" w:rsidP="00501202">
            <w:pPr>
              <w:pStyle w:val="Header"/>
              <w:spacing w:before="60"/>
              <w:rPr>
                <w:color w:val="000000" w:themeColor="text1"/>
              </w:rPr>
            </w:pPr>
            <w:r w:rsidRPr="00133505">
              <w:rPr>
                <w:color w:val="000000" w:themeColor="text1"/>
              </w:rPr>
              <w:t xml:space="preserve">Why is this important? </w:t>
            </w:r>
          </w:p>
          <w:p w14:paraId="4C6EC42A" w14:textId="77777777" w:rsidR="00501202" w:rsidRPr="00133505" w:rsidRDefault="00501202" w:rsidP="00501202">
            <w:pPr>
              <w:pStyle w:val="Header"/>
              <w:spacing w:before="60"/>
              <w:rPr>
                <w:color w:val="000000" w:themeColor="text1"/>
              </w:rPr>
            </w:pPr>
            <w:r w:rsidRPr="00133505">
              <w:rPr>
                <w:color w:val="000000" w:themeColor="text1"/>
              </w:rPr>
              <w:t xml:space="preserve">Two or more hospital admissions with a primary diagnosis of asthma within 90 days suggests there may be room for improvement in discharge planning or continuity of care following discharge.  </w:t>
            </w:r>
          </w:p>
          <w:p w14:paraId="50685473" w14:textId="77777777" w:rsidR="00501202" w:rsidRPr="00133505" w:rsidRDefault="00501202" w:rsidP="00501202">
            <w:pPr>
              <w:pStyle w:val="Header"/>
              <w:spacing w:before="60"/>
              <w:rPr>
                <w:color w:val="000000" w:themeColor="text1"/>
              </w:rPr>
            </w:pPr>
          </w:p>
          <w:p w14:paraId="4D7CADC6" w14:textId="77777777" w:rsidR="00501202" w:rsidRPr="00133505" w:rsidRDefault="00501202" w:rsidP="00501202">
            <w:pPr>
              <w:pStyle w:val="Header"/>
              <w:spacing w:before="60"/>
              <w:rPr>
                <w:color w:val="000000" w:themeColor="text1"/>
              </w:rPr>
            </w:pPr>
            <w:r w:rsidRPr="00133505">
              <w:rPr>
                <w:color w:val="000000" w:themeColor="text1"/>
              </w:rPr>
              <w:t xml:space="preserve">What questions does this prompt? </w:t>
            </w:r>
          </w:p>
          <w:p w14:paraId="43235148" w14:textId="77777777" w:rsidR="00501202" w:rsidRPr="00133505" w:rsidRDefault="00501202" w:rsidP="00501202">
            <w:pPr>
              <w:pStyle w:val="Header"/>
              <w:spacing w:before="60"/>
              <w:rPr>
                <w:color w:val="000000" w:themeColor="text1"/>
              </w:rPr>
            </w:pPr>
            <w:r w:rsidRPr="00133505">
              <w:rPr>
                <w:color w:val="000000" w:themeColor="text1"/>
              </w:rPr>
              <w:t xml:space="preserve">• Why is there variation between districts? Does this reflect differences in patient population or other factors? </w:t>
            </w:r>
          </w:p>
          <w:p w14:paraId="3CF21484" w14:textId="77777777" w:rsidR="00501202" w:rsidRPr="00133505" w:rsidRDefault="00501202" w:rsidP="00501202">
            <w:pPr>
              <w:pStyle w:val="Header"/>
              <w:spacing w:before="60"/>
              <w:rPr>
                <w:color w:val="000000" w:themeColor="text1"/>
              </w:rPr>
            </w:pPr>
            <w:r w:rsidRPr="00133505">
              <w:rPr>
                <w:color w:val="000000" w:themeColor="text1"/>
              </w:rPr>
              <w:t xml:space="preserve">• What is the impact of length of stay on rates? </w:t>
            </w:r>
          </w:p>
          <w:p w14:paraId="2E09F23B" w14:textId="77777777" w:rsidR="00501202" w:rsidRPr="00133505" w:rsidRDefault="00501202" w:rsidP="00501202">
            <w:pPr>
              <w:pStyle w:val="Header"/>
              <w:spacing w:before="60"/>
              <w:rPr>
                <w:color w:val="000000" w:themeColor="text1"/>
              </w:rPr>
            </w:pPr>
            <w:r w:rsidRPr="00133505">
              <w:rPr>
                <w:color w:val="000000" w:themeColor="text1"/>
              </w:rPr>
              <w:t>• How many of those readmitted did not regularly receive an ICS following discharge?</w:t>
            </w:r>
          </w:p>
          <w:p w14:paraId="4E9E98F3" w14:textId="77777777" w:rsidR="00501202" w:rsidRPr="00133505" w:rsidRDefault="00501202" w:rsidP="00501202">
            <w:pPr>
              <w:pStyle w:val="Header"/>
              <w:spacing w:before="60"/>
              <w:rPr>
                <w:color w:val="000000" w:themeColor="text1"/>
              </w:rPr>
            </w:pPr>
            <w:r w:rsidRPr="00133505">
              <w:rPr>
                <w:color w:val="000000" w:themeColor="text1"/>
              </w:rPr>
              <w:t>• How is asthma education managed in the districts? Is the education managed in a culturally appropriate way?</w:t>
            </w:r>
          </w:p>
          <w:p w14:paraId="5462F8A3" w14:textId="10D791F8" w:rsidR="00D2007C" w:rsidRPr="00133505" w:rsidRDefault="00D2007C" w:rsidP="00950EE3">
            <w:pPr>
              <w:pStyle w:val="Header"/>
              <w:spacing w:before="60"/>
              <w:rPr>
                <w:color w:val="000000" w:themeColor="text1"/>
              </w:rPr>
            </w:pPr>
          </w:p>
        </w:tc>
      </w:tr>
    </w:tbl>
    <w:p w14:paraId="495D6663" w14:textId="77777777" w:rsidR="003B070F" w:rsidRPr="00133505" w:rsidRDefault="003B070F" w:rsidP="003B070F">
      <w:pPr>
        <w:rPr>
          <w:color w:val="000000" w:themeColor="text1"/>
        </w:rPr>
      </w:pPr>
    </w:p>
    <w:p w14:paraId="54F85F1C" w14:textId="49CBB6B2" w:rsidR="004A2B29" w:rsidRPr="00133505" w:rsidRDefault="004A2B29" w:rsidP="00494E58">
      <w:pPr>
        <w:pStyle w:val="TeThHauorahead3"/>
        <w:rPr>
          <w:color w:val="000000" w:themeColor="text1"/>
        </w:rPr>
      </w:pPr>
      <w:bookmarkStart w:id="7" w:name="_Toc196292452"/>
      <w:r w:rsidRPr="00133505">
        <w:rPr>
          <w:color w:val="000000" w:themeColor="text1"/>
        </w:rPr>
        <w:t>4.</w:t>
      </w:r>
      <w:r w:rsidR="00283EB0" w:rsidRPr="00133505">
        <w:rPr>
          <w:color w:val="000000" w:themeColor="text1"/>
        </w:rPr>
        <w:t xml:space="preserve"> </w:t>
      </w:r>
      <w:r w:rsidR="00965694" w:rsidRPr="00133505">
        <w:rPr>
          <w:color w:val="000000" w:themeColor="text1"/>
        </w:rPr>
        <w:t>People</w:t>
      </w:r>
      <w:r w:rsidRPr="00133505">
        <w:rPr>
          <w:color w:val="000000" w:themeColor="text1"/>
        </w:rPr>
        <w:t xml:space="preserve"> with at least two admissions </w:t>
      </w:r>
      <w:r w:rsidR="000A6342" w:rsidRPr="00133505">
        <w:rPr>
          <w:color w:val="000000" w:themeColor="text1"/>
        </w:rPr>
        <w:t xml:space="preserve">within 91–365 days of each other </w:t>
      </w:r>
      <w:r w:rsidRPr="00133505">
        <w:rPr>
          <w:color w:val="000000" w:themeColor="text1"/>
        </w:rPr>
        <w:t xml:space="preserve">with a primary diagnosis of asthma </w:t>
      </w:r>
      <w:r w:rsidR="0050050B" w:rsidRPr="00133505">
        <w:rPr>
          <w:color w:val="000000" w:themeColor="text1"/>
        </w:rPr>
        <w:t>(</w:t>
      </w:r>
      <w:r w:rsidRPr="00133505">
        <w:rPr>
          <w:color w:val="000000" w:themeColor="text1"/>
        </w:rPr>
        <w:t xml:space="preserve">or wheeze </w:t>
      </w:r>
      <w:r w:rsidR="003272BB" w:rsidRPr="00133505">
        <w:rPr>
          <w:color w:val="000000" w:themeColor="text1"/>
        </w:rPr>
        <w:t xml:space="preserve">in </w:t>
      </w:r>
      <w:r w:rsidRPr="00133505">
        <w:rPr>
          <w:color w:val="000000" w:themeColor="text1"/>
        </w:rPr>
        <w:t>children</w:t>
      </w:r>
      <w:r w:rsidR="003272BB" w:rsidRPr="00133505">
        <w:rPr>
          <w:color w:val="000000" w:themeColor="text1"/>
        </w:rPr>
        <w:t>)</w:t>
      </w:r>
      <w:bookmarkEnd w:id="7"/>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3A97AACA" w14:textId="77777777" w:rsidTr="20CF9A1D">
        <w:trPr>
          <w:trHeight w:val="581"/>
        </w:trPr>
        <w:tc>
          <w:tcPr>
            <w:tcW w:w="1951" w:type="dxa"/>
          </w:tcPr>
          <w:p w14:paraId="1F2DBBA2"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#4:</w:t>
            </w:r>
          </w:p>
        </w:tc>
        <w:tc>
          <w:tcPr>
            <w:tcW w:w="7371" w:type="dxa"/>
            <w:vAlign w:val="bottom"/>
          </w:tcPr>
          <w:p w14:paraId="3883FD42" w14:textId="30AA1327" w:rsidR="003B070F" w:rsidRPr="00133505" w:rsidRDefault="003B070F" w:rsidP="00021FF0">
            <w:pPr>
              <w:pStyle w:val="ListParagraph"/>
              <w:ind w:left="0"/>
              <w:rPr>
                <w:rFonts w:cs="Arial"/>
                <w:color w:val="000000" w:themeColor="text1"/>
              </w:rPr>
            </w:pPr>
            <w:r w:rsidRPr="00133505">
              <w:rPr>
                <w:rFonts w:cs="Arial"/>
                <w:color w:val="000000" w:themeColor="text1"/>
              </w:rPr>
              <w:t>People with at least two admissions</w:t>
            </w:r>
            <w:r w:rsidR="0050050B" w:rsidRPr="00133505">
              <w:rPr>
                <w:rFonts w:cs="Arial"/>
                <w:color w:val="000000" w:themeColor="text1"/>
              </w:rPr>
              <w:t xml:space="preserve"> within 91–365 days of each other</w:t>
            </w:r>
            <w:r w:rsidRPr="00133505">
              <w:rPr>
                <w:rFonts w:cs="Arial"/>
                <w:color w:val="000000" w:themeColor="text1"/>
              </w:rPr>
              <w:t xml:space="preserve"> with a primary diagnosis of asthma </w:t>
            </w:r>
            <w:r w:rsidR="003272BB" w:rsidRPr="00133505">
              <w:rPr>
                <w:rFonts w:cs="Arial"/>
                <w:color w:val="000000" w:themeColor="text1"/>
              </w:rPr>
              <w:t>(</w:t>
            </w:r>
            <w:r w:rsidRPr="00133505">
              <w:rPr>
                <w:rFonts w:cs="Arial"/>
                <w:color w:val="000000" w:themeColor="text1"/>
              </w:rPr>
              <w:t>or wheeze in children</w:t>
            </w:r>
            <w:r w:rsidR="003272BB" w:rsidRPr="00133505">
              <w:rPr>
                <w:rFonts w:cs="Arial"/>
                <w:color w:val="000000" w:themeColor="text1"/>
              </w:rPr>
              <w:t>)</w:t>
            </w:r>
            <w:r w:rsidR="006B37CD" w:rsidRPr="00133505">
              <w:rPr>
                <w:rFonts w:cs="Arial"/>
                <w:color w:val="000000" w:themeColor="text1"/>
              </w:rPr>
              <w:t xml:space="preserve">, </w:t>
            </w:r>
            <w:r w:rsidR="006B37CD" w:rsidRPr="00133505">
              <w:rPr>
                <w:color w:val="000000" w:themeColor="text1"/>
              </w:rPr>
              <w:t>among PHO enrolled population</w:t>
            </w:r>
          </w:p>
        </w:tc>
      </w:tr>
      <w:tr w:rsidR="00133505" w:rsidRPr="00133505" w14:paraId="6E86606D" w14:textId="77777777" w:rsidTr="20CF9A1D">
        <w:trPr>
          <w:trHeight w:val="327"/>
        </w:trPr>
        <w:tc>
          <w:tcPr>
            <w:tcW w:w="1951" w:type="dxa"/>
          </w:tcPr>
          <w:p w14:paraId="677FCABE"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6431A257" w14:textId="77777777" w:rsidR="00000E0C" w:rsidRPr="00133505" w:rsidRDefault="003B070F" w:rsidP="07D7EB6C">
            <w:pPr>
              <w:pStyle w:val="Header"/>
              <w:spacing w:before="60"/>
              <w:rPr>
                <w:color w:val="000000" w:themeColor="text1"/>
              </w:rPr>
            </w:pPr>
            <w:r w:rsidRPr="00133505">
              <w:rPr>
                <w:color w:val="000000" w:themeColor="text1"/>
              </w:rPr>
              <w:t>The number of people with a hospital admission with a primary diagnosis of asthma in the previous 91 to 365 days. Days were calculated by counting the number of days between the discharge date of the previous admission and the start date of the most recent admission (admit date).</w:t>
            </w:r>
          </w:p>
          <w:p w14:paraId="1D74151D" w14:textId="77777777" w:rsidR="00000E0C" w:rsidRPr="00133505" w:rsidRDefault="003B070F" w:rsidP="00000E0C">
            <w:pPr>
              <w:pStyle w:val="Header"/>
              <w:spacing w:before="60"/>
              <w:rPr>
                <w:color w:val="000000" w:themeColor="text1"/>
              </w:rPr>
            </w:pPr>
            <w:r w:rsidRPr="00133505">
              <w:rPr>
                <w:color w:val="000000" w:themeColor="text1"/>
              </w:rPr>
              <w:t xml:space="preserve"> </w:t>
            </w:r>
            <w:r w:rsidR="00000E0C" w:rsidRPr="00133505">
              <w:rPr>
                <w:color w:val="000000" w:themeColor="text1"/>
              </w:rPr>
              <w:t>Code (ICD10 AM):</w:t>
            </w:r>
          </w:p>
          <w:p w14:paraId="095AC032" w14:textId="77777777" w:rsidR="00000E0C" w:rsidRPr="00133505" w:rsidRDefault="00000E0C" w:rsidP="00000E0C">
            <w:pPr>
              <w:pStyle w:val="Header"/>
              <w:spacing w:before="60"/>
              <w:rPr>
                <w:color w:val="000000" w:themeColor="text1"/>
              </w:rPr>
            </w:pPr>
            <w:r w:rsidRPr="00133505">
              <w:rPr>
                <w:color w:val="000000" w:themeColor="text1"/>
              </w:rPr>
              <w:t>J45 Asthma (for everyone</w:t>
            </w:r>
            <w:proofErr w:type="gramStart"/>
            <w:r w:rsidRPr="00133505">
              <w:rPr>
                <w:color w:val="000000" w:themeColor="text1"/>
              </w:rPr>
              <w:t>);</w:t>
            </w:r>
            <w:proofErr w:type="gramEnd"/>
          </w:p>
          <w:p w14:paraId="798BFCA7" w14:textId="77777777" w:rsidR="00000E0C" w:rsidRPr="00133505" w:rsidRDefault="00000E0C" w:rsidP="00000E0C">
            <w:pPr>
              <w:pStyle w:val="Header"/>
              <w:spacing w:before="60"/>
              <w:rPr>
                <w:color w:val="000000" w:themeColor="text1"/>
              </w:rPr>
            </w:pPr>
            <w:r w:rsidRPr="00133505">
              <w:rPr>
                <w:color w:val="000000" w:themeColor="text1"/>
              </w:rPr>
              <w:t>J46 Status Asthmaticus (for everyone</w:t>
            </w:r>
            <w:proofErr w:type="gramStart"/>
            <w:r w:rsidRPr="00133505">
              <w:rPr>
                <w:color w:val="000000" w:themeColor="text1"/>
              </w:rPr>
              <w:t>);</w:t>
            </w:r>
            <w:proofErr w:type="gramEnd"/>
            <w:r w:rsidRPr="00133505">
              <w:rPr>
                <w:color w:val="000000" w:themeColor="text1"/>
              </w:rPr>
              <w:t xml:space="preserve"> </w:t>
            </w:r>
          </w:p>
          <w:p w14:paraId="0A687F3E" w14:textId="69A981FC" w:rsidR="00000E0C" w:rsidRPr="00133505" w:rsidRDefault="00000E0C" w:rsidP="00000E0C">
            <w:pPr>
              <w:pStyle w:val="Header"/>
              <w:spacing w:before="60"/>
              <w:rPr>
                <w:color w:val="000000" w:themeColor="text1"/>
              </w:rPr>
            </w:pPr>
            <w:r w:rsidRPr="00133505">
              <w:rPr>
                <w:color w:val="000000" w:themeColor="text1"/>
              </w:rPr>
              <w:t xml:space="preserve">R06.2 Wheeze (for children aged </w:t>
            </w:r>
            <w:r w:rsidR="008556C5" w:rsidRPr="00133505">
              <w:rPr>
                <w:color w:val="000000" w:themeColor="text1"/>
              </w:rPr>
              <w:t xml:space="preserve">under </w:t>
            </w:r>
            <w:r w:rsidRPr="00133505">
              <w:rPr>
                <w:color w:val="000000" w:themeColor="text1"/>
              </w:rPr>
              <w:t>11 years)</w:t>
            </w:r>
          </w:p>
          <w:p w14:paraId="65E628A4" w14:textId="77777777" w:rsidR="00000E0C" w:rsidRPr="00133505" w:rsidRDefault="00000E0C" w:rsidP="00000E0C">
            <w:pPr>
              <w:pStyle w:val="Header"/>
              <w:spacing w:before="60"/>
              <w:rPr>
                <w:color w:val="000000" w:themeColor="text1"/>
              </w:rPr>
            </w:pPr>
          </w:p>
          <w:p w14:paraId="49B2017B" w14:textId="77777777" w:rsidR="00000E0C" w:rsidRPr="00133505" w:rsidRDefault="00000E0C" w:rsidP="00000E0C">
            <w:pPr>
              <w:pStyle w:val="Header"/>
              <w:spacing w:before="60"/>
              <w:rPr>
                <w:color w:val="000000" w:themeColor="text1"/>
              </w:rPr>
            </w:pPr>
            <w:r w:rsidRPr="00133505">
              <w:rPr>
                <w:color w:val="000000" w:themeColor="text1"/>
              </w:rPr>
              <w:t xml:space="preserve">Notes: </w:t>
            </w:r>
          </w:p>
          <w:p w14:paraId="42243C60" w14:textId="77777777" w:rsidR="008556C5" w:rsidRPr="00133505" w:rsidRDefault="008556C5" w:rsidP="008556C5">
            <w:pPr>
              <w:pStyle w:val="Header"/>
              <w:numPr>
                <w:ilvl w:val="0"/>
                <w:numId w:val="6"/>
              </w:numPr>
              <w:spacing w:before="60" w:line="240" w:lineRule="auto"/>
              <w:rPr>
                <w:color w:val="000000" w:themeColor="text1"/>
              </w:rPr>
            </w:pPr>
            <w:r w:rsidRPr="00133505">
              <w:rPr>
                <w:color w:val="000000" w:themeColor="text1"/>
              </w:rPr>
              <w:t>Admissions where the individual is aged under 1 year at discharge are excluded from numerator and denominator</w:t>
            </w:r>
          </w:p>
          <w:p w14:paraId="2C91C02E" w14:textId="7A632A75" w:rsidR="003B070F" w:rsidRPr="00133505" w:rsidRDefault="003B070F" w:rsidP="00271D30">
            <w:pPr>
              <w:pStyle w:val="Header"/>
              <w:spacing w:before="60" w:line="240" w:lineRule="auto"/>
              <w:ind w:left="360"/>
              <w:rPr>
                <w:color w:val="000000" w:themeColor="text1"/>
              </w:rPr>
            </w:pPr>
          </w:p>
        </w:tc>
      </w:tr>
      <w:tr w:rsidR="00133505" w:rsidRPr="00133505" w14:paraId="4E0CEAD7" w14:textId="77777777" w:rsidTr="20CF9A1D">
        <w:trPr>
          <w:trHeight w:val="327"/>
        </w:trPr>
        <w:tc>
          <w:tcPr>
            <w:tcW w:w="1951" w:type="dxa"/>
          </w:tcPr>
          <w:p w14:paraId="342E2CE2" w14:textId="77777777" w:rsidR="003B070F" w:rsidRPr="00133505" w:rsidRDefault="003B070F" w:rsidP="00021FF0">
            <w:pPr>
              <w:pStyle w:val="Header"/>
              <w:spacing w:before="60"/>
              <w:rPr>
                <w:color w:val="000000" w:themeColor="text1"/>
                <w:sz w:val="24"/>
              </w:rPr>
            </w:pPr>
            <w:r w:rsidRPr="00133505">
              <w:rPr>
                <w:color w:val="000000" w:themeColor="text1"/>
                <w:sz w:val="24"/>
              </w:rPr>
              <w:t>Denominator</w:t>
            </w:r>
          </w:p>
        </w:tc>
        <w:tc>
          <w:tcPr>
            <w:tcW w:w="7371" w:type="dxa"/>
            <w:vAlign w:val="bottom"/>
          </w:tcPr>
          <w:p w14:paraId="6A7CBA88" w14:textId="1790B340" w:rsidR="003B070F" w:rsidRPr="00133505" w:rsidRDefault="003B070F" w:rsidP="00021FF0">
            <w:pPr>
              <w:pStyle w:val="Header"/>
              <w:spacing w:before="60"/>
              <w:rPr>
                <w:color w:val="000000" w:themeColor="text1"/>
              </w:rPr>
            </w:pPr>
            <w:r w:rsidRPr="00133505">
              <w:rPr>
                <w:color w:val="000000" w:themeColor="text1"/>
              </w:rPr>
              <w:t>Those with an admission with a primary diagnosis of asthma</w:t>
            </w:r>
            <w:r w:rsidR="001463D8" w:rsidRPr="00133505">
              <w:rPr>
                <w:color w:val="000000" w:themeColor="text1"/>
              </w:rPr>
              <w:t xml:space="preserve"> in the calendar year</w:t>
            </w:r>
            <w:r w:rsidRPr="00133505">
              <w:rPr>
                <w:color w:val="000000" w:themeColor="text1"/>
              </w:rPr>
              <w:t xml:space="preserve"> </w:t>
            </w:r>
            <w:r w:rsidR="001463D8" w:rsidRPr="00133505">
              <w:rPr>
                <w:rFonts w:cs="Arial"/>
                <w:color w:val="000000" w:themeColor="text1"/>
              </w:rPr>
              <w:t>(or wheeze in children, see numerator).</w:t>
            </w:r>
          </w:p>
        </w:tc>
      </w:tr>
      <w:tr w:rsidR="00133505" w:rsidRPr="00133505" w14:paraId="127335ED" w14:textId="77777777" w:rsidTr="20CF9A1D">
        <w:trPr>
          <w:trHeight w:val="327"/>
        </w:trPr>
        <w:tc>
          <w:tcPr>
            <w:tcW w:w="1951" w:type="dxa"/>
          </w:tcPr>
          <w:p w14:paraId="609A2879"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714C024C" w14:textId="4960D100" w:rsidR="003B070F" w:rsidRPr="00133505" w:rsidRDefault="003B070F" w:rsidP="00021FF0">
            <w:pPr>
              <w:pStyle w:val="Header"/>
              <w:spacing w:before="60"/>
              <w:rPr>
                <w:color w:val="000000" w:themeColor="text1"/>
              </w:rPr>
            </w:pPr>
            <w:r w:rsidRPr="00133505">
              <w:rPr>
                <w:color w:val="000000" w:themeColor="text1"/>
              </w:rPr>
              <w:t>NMDS</w:t>
            </w:r>
          </w:p>
          <w:p w14:paraId="150F9927" w14:textId="2DEB5253" w:rsidR="00000E0C" w:rsidRPr="00133505" w:rsidRDefault="00000E0C" w:rsidP="00021FF0">
            <w:pPr>
              <w:pStyle w:val="Header"/>
              <w:spacing w:before="60"/>
              <w:rPr>
                <w:color w:val="000000" w:themeColor="text1"/>
              </w:rPr>
            </w:pPr>
            <w:r w:rsidRPr="00133505">
              <w:rPr>
                <w:color w:val="000000" w:themeColor="text1"/>
              </w:rPr>
              <w:t>PHO enrolment collection</w:t>
            </w:r>
          </w:p>
        </w:tc>
      </w:tr>
      <w:tr w:rsidR="00133505" w:rsidRPr="00133505" w14:paraId="64829343" w14:textId="77777777" w:rsidTr="20CF9A1D">
        <w:trPr>
          <w:trHeight w:val="327"/>
        </w:trPr>
        <w:tc>
          <w:tcPr>
            <w:tcW w:w="1951" w:type="dxa"/>
          </w:tcPr>
          <w:p w14:paraId="68E886E2" w14:textId="277E0A93" w:rsidR="00000E0C" w:rsidRPr="00133505" w:rsidRDefault="00000E0C" w:rsidP="00000E0C">
            <w:pPr>
              <w:pStyle w:val="Header"/>
              <w:spacing w:before="60"/>
              <w:rPr>
                <w:color w:val="000000" w:themeColor="text1"/>
                <w:sz w:val="24"/>
              </w:rPr>
            </w:pPr>
            <w:r w:rsidRPr="00133505">
              <w:rPr>
                <w:color w:val="000000" w:themeColor="text1"/>
                <w:sz w:val="24"/>
              </w:rPr>
              <w:t>By variables</w:t>
            </w:r>
          </w:p>
        </w:tc>
        <w:tc>
          <w:tcPr>
            <w:tcW w:w="7371" w:type="dxa"/>
            <w:vAlign w:val="bottom"/>
          </w:tcPr>
          <w:p w14:paraId="58E9D262" w14:textId="072F2873" w:rsidR="00C740F5" w:rsidRPr="00133505" w:rsidRDefault="00C545F4" w:rsidP="00C740F5">
            <w:pPr>
              <w:pStyle w:val="Header"/>
              <w:spacing w:before="60"/>
              <w:rPr>
                <w:rFonts w:cs="Arial"/>
                <w:color w:val="000000" w:themeColor="text1"/>
              </w:rPr>
            </w:pPr>
            <w:r w:rsidRPr="00133505">
              <w:rPr>
                <w:rFonts w:cs="Arial"/>
                <w:color w:val="000000" w:themeColor="text1"/>
              </w:rPr>
              <w:t>District</w:t>
            </w:r>
            <w:r w:rsidR="07813318" w:rsidRPr="00133505">
              <w:rPr>
                <w:rFonts w:cs="Arial"/>
                <w:color w:val="000000" w:themeColor="text1"/>
              </w:rPr>
              <w:t xml:space="preserve"> analysis: By year (201</w:t>
            </w:r>
            <w:r w:rsidR="00652EB4" w:rsidRPr="00133505">
              <w:rPr>
                <w:rFonts w:cs="Arial"/>
                <w:color w:val="000000" w:themeColor="text1"/>
              </w:rPr>
              <w:t>9</w:t>
            </w:r>
            <w:r w:rsidR="00860B92" w:rsidRPr="00133505">
              <w:rPr>
                <w:rFonts w:cs="Arial"/>
                <w:color w:val="000000" w:themeColor="text1"/>
              </w:rPr>
              <w:t xml:space="preserve"> –</w:t>
            </w:r>
            <w:r w:rsidR="07813318" w:rsidRPr="00133505">
              <w:rPr>
                <w:rFonts w:cs="Arial"/>
                <w:color w:val="000000" w:themeColor="text1"/>
              </w:rPr>
              <w:t>2023), age group (</w:t>
            </w:r>
            <w:r w:rsidR="006D7260" w:rsidRPr="00133505">
              <w:rPr>
                <w:rFonts w:cs="Arial"/>
                <w:color w:val="000000" w:themeColor="text1"/>
              </w:rPr>
              <w:t>0</w:t>
            </w:r>
            <w:r w:rsidR="00860B92" w:rsidRPr="00133505">
              <w:rPr>
                <w:rFonts w:cs="Arial"/>
                <w:color w:val="000000" w:themeColor="text1"/>
              </w:rPr>
              <w:t>–</w:t>
            </w:r>
            <w:r w:rsidR="1F36B952" w:rsidRPr="00133505">
              <w:rPr>
                <w:rFonts w:cs="Arial"/>
                <w:color w:val="000000" w:themeColor="text1"/>
              </w:rPr>
              <w:t>4</w:t>
            </w:r>
            <w:r w:rsidR="07813318" w:rsidRPr="00133505">
              <w:rPr>
                <w:rFonts w:cs="Arial"/>
                <w:color w:val="000000" w:themeColor="text1"/>
              </w:rPr>
              <w:t>, 5</w:t>
            </w:r>
            <w:r w:rsidR="00860B92" w:rsidRPr="00133505">
              <w:rPr>
                <w:rFonts w:cs="Arial"/>
                <w:color w:val="000000" w:themeColor="text1"/>
              </w:rPr>
              <w:t>–</w:t>
            </w:r>
            <w:r w:rsidR="07813318" w:rsidRPr="00133505">
              <w:rPr>
                <w:rFonts w:cs="Arial"/>
                <w:color w:val="000000" w:themeColor="text1"/>
              </w:rPr>
              <w:t xml:space="preserve">11, </w:t>
            </w:r>
            <w:r w:rsidR="07813318" w:rsidRPr="00133505">
              <w:rPr>
                <w:color w:val="000000" w:themeColor="text1"/>
              </w:rPr>
              <w:t>12</w:t>
            </w:r>
            <w:r w:rsidR="00860B92" w:rsidRPr="00133505">
              <w:rPr>
                <w:color w:val="000000" w:themeColor="text1"/>
              </w:rPr>
              <w:t>–</w:t>
            </w:r>
            <w:r w:rsidR="07813318" w:rsidRPr="00133505">
              <w:rPr>
                <w:color w:val="000000" w:themeColor="text1"/>
              </w:rPr>
              <w:t>24, 25</w:t>
            </w:r>
            <w:r w:rsidR="00860B92" w:rsidRPr="00133505">
              <w:rPr>
                <w:color w:val="000000" w:themeColor="text1"/>
              </w:rPr>
              <w:t>–</w:t>
            </w:r>
            <w:r w:rsidR="07813318" w:rsidRPr="00133505">
              <w:rPr>
                <w:color w:val="000000" w:themeColor="text1"/>
              </w:rPr>
              <w:t>44, 45</w:t>
            </w:r>
            <w:r w:rsidR="00860B92" w:rsidRPr="00133505">
              <w:rPr>
                <w:color w:val="000000" w:themeColor="text1"/>
              </w:rPr>
              <w:t>–</w:t>
            </w:r>
            <w:r w:rsidR="07813318" w:rsidRPr="00133505">
              <w:rPr>
                <w:color w:val="000000" w:themeColor="text1"/>
              </w:rPr>
              <w:t>64, 65</w:t>
            </w:r>
            <w:r w:rsidR="00C87D3A" w:rsidRPr="00133505">
              <w:rPr>
                <w:color w:val="000000" w:themeColor="text1"/>
              </w:rPr>
              <w:t>+</w:t>
            </w:r>
            <w:r w:rsidR="00C87D3A" w:rsidRPr="00133505">
              <w:rPr>
                <w:rFonts w:cs="Arial"/>
                <w:color w:val="000000" w:themeColor="text1"/>
              </w:rPr>
              <w:t>), gender (female, male), ethnic group (</w:t>
            </w:r>
            <w:r w:rsidR="00C87D3A" w:rsidRPr="00133505">
              <w:rPr>
                <w:color w:val="000000" w:themeColor="text1"/>
              </w:rPr>
              <w:t>Māori, Pacific peoples, European/Other)</w:t>
            </w:r>
            <w:r w:rsidR="07813318" w:rsidRPr="00133505">
              <w:rPr>
                <w:rFonts w:cs="Arial"/>
                <w:color w:val="000000" w:themeColor="text1"/>
              </w:rPr>
              <w:t>, and Health New Zealand district of domicile.</w:t>
            </w:r>
          </w:p>
          <w:p w14:paraId="3C034533" w14:textId="310E20CE" w:rsidR="00000E0C" w:rsidRPr="00133505" w:rsidRDefault="00C740F5" w:rsidP="00C740F5">
            <w:pPr>
              <w:pStyle w:val="Header"/>
              <w:spacing w:before="60"/>
              <w:rPr>
                <w:color w:val="000000" w:themeColor="text1"/>
              </w:rPr>
            </w:pPr>
            <w:r w:rsidRPr="00133505">
              <w:rPr>
                <w:rFonts w:cs="Arial"/>
                <w:color w:val="000000" w:themeColor="text1"/>
              </w:rPr>
              <w:lastRenderedPageBreak/>
              <w:t>PHO analysis: By year (2023), age group</w:t>
            </w:r>
            <w:r w:rsidRPr="00133505">
              <w:rPr>
                <w:color w:val="000000" w:themeColor="text1"/>
              </w:rPr>
              <w:t>,</w:t>
            </w:r>
            <w:r w:rsidRPr="00133505">
              <w:rPr>
                <w:rFonts w:cs="Arial"/>
                <w:color w:val="000000" w:themeColor="text1"/>
              </w:rPr>
              <w:t xml:space="preserve"> gender</w:t>
            </w:r>
            <w:r w:rsidR="00882329" w:rsidRPr="00133505">
              <w:rPr>
                <w:rFonts w:cs="Arial"/>
                <w:color w:val="000000" w:themeColor="text1"/>
              </w:rPr>
              <w:t>,</w:t>
            </w:r>
            <w:r w:rsidRPr="00133505">
              <w:rPr>
                <w:rFonts w:cs="Arial"/>
                <w:color w:val="000000" w:themeColor="text1"/>
              </w:rPr>
              <w:t xml:space="preserve"> ethnic group, Primary Health Organisation (PHO) most recently enrolled with (for the relevant year), </w:t>
            </w:r>
            <w:r w:rsidRPr="00133505">
              <w:rPr>
                <w:rFonts w:cs="Arial"/>
                <w:color w:val="000000" w:themeColor="text1"/>
                <w:szCs w:val="22"/>
              </w:rPr>
              <w:t>PHO group (small, medium,</w:t>
            </w:r>
            <w:r w:rsidR="00866078" w:rsidRPr="00133505">
              <w:rPr>
                <w:rFonts w:cs="Arial"/>
                <w:color w:val="000000" w:themeColor="text1"/>
                <w:szCs w:val="22"/>
              </w:rPr>
              <w:t xml:space="preserve"> medium-large </w:t>
            </w:r>
            <w:r w:rsidRPr="00133505">
              <w:rPr>
                <w:rFonts w:cs="Arial"/>
                <w:color w:val="000000" w:themeColor="text1"/>
                <w:szCs w:val="22"/>
              </w:rPr>
              <w:t>and large).</w:t>
            </w:r>
          </w:p>
        </w:tc>
      </w:tr>
      <w:tr w:rsidR="00133505" w:rsidRPr="00133505" w14:paraId="7A05FA03" w14:textId="77777777" w:rsidTr="20CF9A1D">
        <w:trPr>
          <w:trHeight w:val="327"/>
        </w:trPr>
        <w:tc>
          <w:tcPr>
            <w:tcW w:w="1951" w:type="dxa"/>
          </w:tcPr>
          <w:p w14:paraId="00585419"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Rationale</w:t>
            </w:r>
          </w:p>
        </w:tc>
        <w:tc>
          <w:tcPr>
            <w:tcW w:w="7371" w:type="dxa"/>
            <w:vAlign w:val="bottom"/>
          </w:tcPr>
          <w:p w14:paraId="579F05FE" w14:textId="060D46D9" w:rsidR="003B070F" w:rsidRPr="00133505" w:rsidRDefault="003B070F" w:rsidP="00021FF0">
            <w:pPr>
              <w:pStyle w:val="Header"/>
              <w:spacing w:before="60"/>
              <w:rPr>
                <w:color w:val="000000" w:themeColor="text1"/>
              </w:rPr>
            </w:pPr>
            <w:r w:rsidRPr="00133505">
              <w:rPr>
                <w:color w:val="000000" w:themeColor="text1"/>
              </w:rPr>
              <w:t>High readmission rates in the 91</w:t>
            </w:r>
            <w:r w:rsidR="00860B92" w:rsidRPr="00133505">
              <w:rPr>
                <w:color w:val="000000" w:themeColor="text1"/>
              </w:rPr>
              <w:t xml:space="preserve"> –</w:t>
            </w:r>
            <w:r w:rsidRPr="00133505">
              <w:rPr>
                <w:color w:val="000000" w:themeColor="text1"/>
              </w:rPr>
              <w:t xml:space="preserve">365 post the first admission </w:t>
            </w:r>
            <w:r w:rsidR="00882329" w:rsidRPr="00133505">
              <w:rPr>
                <w:color w:val="000000" w:themeColor="text1"/>
              </w:rPr>
              <w:t xml:space="preserve">may </w:t>
            </w:r>
            <w:r w:rsidRPr="00133505">
              <w:rPr>
                <w:color w:val="000000" w:themeColor="text1"/>
              </w:rPr>
              <w:t>suggest sub</w:t>
            </w:r>
            <w:r w:rsidR="00A61B85" w:rsidRPr="00133505">
              <w:rPr>
                <w:color w:val="000000" w:themeColor="text1"/>
              </w:rPr>
              <w:t>-</w:t>
            </w:r>
            <w:r w:rsidRPr="00133505">
              <w:rPr>
                <w:color w:val="000000" w:themeColor="text1"/>
              </w:rPr>
              <w:t xml:space="preserve">optimal disease control. This could </w:t>
            </w:r>
            <w:r w:rsidR="00A61B85" w:rsidRPr="00133505">
              <w:rPr>
                <w:color w:val="000000" w:themeColor="text1"/>
              </w:rPr>
              <w:t>potentially</w:t>
            </w:r>
            <w:r w:rsidRPr="00133505">
              <w:rPr>
                <w:color w:val="000000" w:themeColor="text1"/>
              </w:rPr>
              <w:t xml:space="preserve"> be due to issues around patients’ understanding of their disease and management plan and /or inhaler technique and / or barriers to primary care access and / or the socioeconomic determinants of health. </w:t>
            </w:r>
          </w:p>
          <w:p w14:paraId="0AB5C2FC" w14:textId="77777777" w:rsidR="003B070F" w:rsidRPr="00133505" w:rsidRDefault="003B070F" w:rsidP="00021FF0">
            <w:pPr>
              <w:pStyle w:val="Header"/>
              <w:spacing w:before="60"/>
              <w:rPr>
                <w:color w:val="000000" w:themeColor="text1"/>
              </w:rPr>
            </w:pPr>
          </w:p>
        </w:tc>
      </w:tr>
      <w:tr w:rsidR="00950EE3" w:rsidRPr="00133505" w14:paraId="60158C9E" w14:textId="77777777" w:rsidTr="20CF9A1D">
        <w:trPr>
          <w:trHeight w:val="327"/>
        </w:trPr>
        <w:tc>
          <w:tcPr>
            <w:tcW w:w="1951" w:type="dxa"/>
          </w:tcPr>
          <w:p w14:paraId="0CFF1C8B" w14:textId="12177E7B" w:rsidR="00950EE3" w:rsidRPr="00133505" w:rsidRDefault="00950EE3" w:rsidP="00021FF0">
            <w:pPr>
              <w:pStyle w:val="Header"/>
              <w:spacing w:before="60"/>
              <w:rPr>
                <w:color w:val="000000" w:themeColor="text1"/>
                <w:sz w:val="24"/>
              </w:rPr>
            </w:pPr>
            <w:r w:rsidRPr="00133505">
              <w:rPr>
                <w:color w:val="000000" w:themeColor="text1"/>
                <w:sz w:val="24"/>
              </w:rPr>
              <w:t>Commentary</w:t>
            </w:r>
          </w:p>
        </w:tc>
        <w:tc>
          <w:tcPr>
            <w:tcW w:w="7371" w:type="dxa"/>
            <w:vAlign w:val="bottom"/>
          </w:tcPr>
          <w:p w14:paraId="63FD8892" w14:textId="77777777" w:rsidR="00662ECA" w:rsidRPr="00133505" w:rsidRDefault="00662ECA" w:rsidP="00662ECA">
            <w:pPr>
              <w:pStyle w:val="Header"/>
              <w:spacing w:before="60"/>
              <w:rPr>
                <w:color w:val="000000" w:themeColor="text1"/>
              </w:rPr>
            </w:pPr>
            <w:r w:rsidRPr="00133505">
              <w:rPr>
                <w:color w:val="000000" w:themeColor="text1"/>
              </w:rPr>
              <w:t xml:space="preserve">Description: </w:t>
            </w:r>
          </w:p>
          <w:p w14:paraId="106D34DD" w14:textId="77777777" w:rsidR="00662ECA" w:rsidRPr="00133505" w:rsidRDefault="00662ECA" w:rsidP="00662ECA">
            <w:pPr>
              <w:pStyle w:val="Header"/>
              <w:spacing w:before="60"/>
              <w:rPr>
                <w:color w:val="000000" w:themeColor="text1"/>
              </w:rPr>
            </w:pPr>
            <w:r w:rsidRPr="00133505">
              <w:rPr>
                <w:color w:val="000000" w:themeColor="text1"/>
              </w:rPr>
              <w:t xml:space="preserve">This indicator shows the number and percent of people aged zero (more than 28 days old) year of age or over who had at least two admissions with a primary diagnosis of asthma within 91 to 365 days of each other. The method counts back the number of days between the admit date of the most recent admission and the date of discharge of the previous event. ED admissions meeting the three-hour rule are included in this indicator. </w:t>
            </w:r>
          </w:p>
          <w:p w14:paraId="4891C45F" w14:textId="77777777" w:rsidR="00662ECA" w:rsidRPr="00133505" w:rsidRDefault="00662ECA" w:rsidP="00662ECA">
            <w:pPr>
              <w:pStyle w:val="Header"/>
              <w:spacing w:before="60"/>
              <w:rPr>
                <w:color w:val="000000" w:themeColor="text1"/>
              </w:rPr>
            </w:pPr>
          </w:p>
          <w:p w14:paraId="1B27524C" w14:textId="4AB83772" w:rsidR="00662ECA" w:rsidRPr="00133505" w:rsidRDefault="0024599C" w:rsidP="00662ECA">
            <w:pPr>
              <w:pStyle w:val="Header"/>
              <w:tabs>
                <w:tab w:val="center" w:pos="743"/>
              </w:tabs>
              <w:spacing w:before="60"/>
              <w:rPr>
                <w:color w:val="000000" w:themeColor="text1"/>
              </w:rPr>
            </w:pPr>
            <w:r>
              <w:rPr>
                <w:color w:val="000000" w:themeColor="text1"/>
              </w:rPr>
              <w:t xml:space="preserve"> </w:t>
            </w:r>
            <w:r w:rsidR="00662ECA" w:rsidRPr="00133505">
              <w:rPr>
                <w:color w:val="000000" w:themeColor="text1"/>
              </w:rPr>
              <w:t>presented by year, ethnicity, age, gender and district of domicile. </w:t>
            </w:r>
          </w:p>
          <w:p w14:paraId="4E8CE2A8" w14:textId="77777777" w:rsidR="00662ECA" w:rsidRPr="00133505" w:rsidRDefault="00662ECA" w:rsidP="00662ECA">
            <w:pPr>
              <w:pStyle w:val="Header"/>
              <w:spacing w:before="60"/>
              <w:rPr>
                <w:color w:val="000000" w:themeColor="text1"/>
              </w:rPr>
            </w:pPr>
          </w:p>
          <w:p w14:paraId="0DE037F4" w14:textId="77777777" w:rsidR="00662ECA" w:rsidRPr="00133505" w:rsidRDefault="00662ECA" w:rsidP="00662ECA">
            <w:pPr>
              <w:pStyle w:val="Header"/>
              <w:spacing w:before="60"/>
              <w:rPr>
                <w:color w:val="000000" w:themeColor="text1"/>
              </w:rPr>
            </w:pPr>
            <w:r w:rsidRPr="00133505">
              <w:rPr>
                <w:color w:val="000000" w:themeColor="text1"/>
              </w:rPr>
              <w:t>Why is this important?</w:t>
            </w:r>
          </w:p>
          <w:p w14:paraId="6DCF34D9" w14:textId="77777777" w:rsidR="00662ECA" w:rsidRPr="00133505" w:rsidRDefault="00662ECA" w:rsidP="00662ECA">
            <w:pPr>
              <w:pStyle w:val="Header"/>
              <w:spacing w:before="60"/>
              <w:rPr>
                <w:color w:val="000000" w:themeColor="text1"/>
              </w:rPr>
            </w:pPr>
            <w:r w:rsidRPr="00133505">
              <w:rPr>
                <w:color w:val="000000" w:themeColor="text1"/>
              </w:rPr>
              <w:t xml:space="preserve">High readmission rates between 91 and 365 days of admission with a primary diagnosis of asthma highlight the potential for community follow-up. </w:t>
            </w:r>
          </w:p>
          <w:p w14:paraId="412B654A" w14:textId="77777777" w:rsidR="00662ECA" w:rsidRPr="00133505" w:rsidRDefault="00662ECA" w:rsidP="00662ECA">
            <w:pPr>
              <w:pStyle w:val="Header"/>
              <w:spacing w:before="60"/>
              <w:rPr>
                <w:color w:val="000000" w:themeColor="text1"/>
              </w:rPr>
            </w:pPr>
          </w:p>
          <w:p w14:paraId="38D9967C" w14:textId="77777777" w:rsidR="00662ECA" w:rsidRPr="00133505" w:rsidRDefault="00662ECA" w:rsidP="00662ECA">
            <w:pPr>
              <w:pStyle w:val="Header"/>
              <w:spacing w:before="60"/>
              <w:rPr>
                <w:color w:val="000000" w:themeColor="text1"/>
              </w:rPr>
            </w:pPr>
            <w:r w:rsidRPr="00133505">
              <w:rPr>
                <w:color w:val="000000" w:themeColor="text1"/>
              </w:rPr>
              <w:t xml:space="preserve">What questions does this prompt? </w:t>
            </w:r>
          </w:p>
          <w:p w14:paraId="0E6EDB48" w14:textId="77777777" w:rsidR="00662ECA" w:rsidRPr="00133505" w:rsidRDefault="00662ECA" w:rsidP="00662ECA">
            <w:pPr>
              <w:pStyle w:val="Header"/>
              <w:spacing w:before="60"/>
              <w:rPr>
                <w:color w:val="000000" w:themeColor="text1"/>
              </w:rPr>
            </w:pPr>
            <w:r w:rsidRPr="00133505">
              <w:rPr>
                <w:color w:val="000000" w:themeColor="text1"/>
              </w:rPr>
              <w:t>• Are the rates higher or lower than you might expect?</w:t>
            </w:r>
          </w:p>
          <w:p w14:paraId="4DDF1087" w14:textId="77777777" w:rsidR="00662ECA" w:rsidRPr="00133505" w:rsidRDefault="00662ECA" w:rsidP="00662ECA">
            <w:pPr>
              <w:pStyle w:val="Header"/>
              <w:spacing w:before="60"/>
              <w:rPr>
                <w:color w:val="000000" w:themeColor="text1"/>
              </w:rPr>
            </w:pPr>
            <w:r w:rsidRPr="00133505">
              <w:rPr>
                <w:color w:val="000000" w:themeColor="text1"/>
              </w:rPr>
              <w:t>• How many of those readmitted did not regularly receive an ICS following discharge?</w:t>
            </w:r>
          </w:p>
          <w:p w14:paraId="0189EDCD" w14:textId="77777777" w:rsidR="00662ECA" w:rsidRPr="00133505" w:rsidRDefault="00662ECA" w:rsidP="00662ECA">
            <w:pPr>
              <w:pStyle w:val="Header"/>
              <w:spacing w:before="60"/>
              <w:rPr>
                <w:color w:val="000000" w:themeColor="text1"/>
              </w:rPr>
            </w:pPr>
            <w:r w:rsidRPr="00133505">
              <w:rPr>
                <w:color w:val="000000" w:themeColor="text1"/>
              </w:rPr>
              <w:t>• How is asthma education managed in the districts? Is the education managed in a culturally appropriate way?</w:t>
            </w:r>
          </w:p>
          <w:p w14:paraId="31F6B1F3" w14:textId="77777777" w:rsidR="00950EE3" w:rsidRPr="00133505" w:rsidRDefault="00950EE3" w:rsidP="00021FF0">
            <w:pPr>
              <w:pStyle w:val="Header"/>
              <w:spacing w:before="60"/>
              <w:rPr>
                <w:color w:val="000000" w:themeColor="text1"/>
              </w:rPr>
            </w:pPr>
          </w:p>
        </w:tc>
      </w:tr>
    </w:tbl>
    <w:p w14:paraId="52553555" w14:textId="77777777" w:rsidR="003B070F" w:rsidRPr="00133505" w:rsidRDefault="003B070F" w:rsidP="003B070F">
      <w:pPr>
        <w:rPr>
          <w:color w:val="000000" w:themeColor="text1"/>
        </w:rPr>
      </w:pPr>
    </w:p>
    <w:p w14:paraId="29EBDB9E" w14:textId="687DFF2E" w:rsidR="003B070F" w:rsidRPr="00133505" w:rsidRDefault="004A2B29" w:rsidP="00494E58">
      <w:pPr>
        <w:pStyle w:val="TeThHauorahead3"/>
        <w:rPr>
          <w:color w:val="000000" w:themeColor="text1"/>
        </w:rPr>
      </w:pPr>
      <w:bookmarkStart w:id="8" w:name="_Toc196292453"/>
      <w:r w:rsidRPr="00133505">
        <w:rPr>
          <w:color w:val="000000" w:themeColor="text1"/>
        </w:rPr>
        <w:t>5. People not dispensed ICS regularly in the year after admission</w:t>
      </w:r>
      <w:bookmarkEnd w:id="8"/>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00787CBE" w14:textId="77777777" w:rsidTr="4C5CB681">
        <w:trPr>
          <w:trHeight w:val="581"/>
        </w:trPr>
        <w:tc>
          <w:tcPr>
            <w:tcW w:w="1951" w:type="dxa"/>
          </w:tcPr>
          <w:p w14:paraId="5854F8CA"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#5:</w:t>
            </w:r>
          </w:p>
        </w:tc>
        <w:tc>
          <w:tcPr>
            <w:tcW w:w="7371" w:type="dxa"/>
            <w:vAlign w:val="center"/>
          </w:tcPr>
          <w:p w14:paraId="4ED946A8" w14:textId="596DA1A4" w:rsidR="003B070F" w:rsidRPr="00133505" w:rsidRDefault="003B070F" w:rsidP="00393C28">
            <w:pPr>
              <w:pStyle w:val="ListParagraph"/>
              <w:ind w:left="0"/>
              <w:rPr>
                <w:rFonts w:cs="Arial"/>
                <w:color w:val="000000" w:themeColor="text1"/>
              </w:rPr>
            </w:pPr>
            <w:r w:rsidRPr="00133505">
              <w:rPr>
                <w:rFonts w:cs="Arial"/>
                <w:color w:val="000000" w:themeColor="text1"/>
              </w:rPr>
              <w:t xml:space="preserve">People </w:t>
            </w:r>
            <w:r w:rsidR="00AB1928" w:rsidRPr="00133505">
              <w:rPr>
                <w:rFonts w:cs="Arial"/>
                <w:color w:val="000000" w:themeColor="text1"/>
              </w:rPr>
              <w:t>aged 5</w:t>
            </w:r>
            <w:r w:rsidR="00CF7290" w:rsidRPr="00133505">
              <w:rPr>
                <w:rFonts w:cs="Arial"/>
                <w:color w:val="000000" w:themeColor="text1"/>
              </w:rPr>
              <w:t>–</w:t>
            </w:r>
            <w:r w:rsidR="00741BC9" w:rsidRPr="00133505">
              <w:rPr>
                <w:rFonts w:cs="Arial"/>
                <w:color w:val="000000" w:themeColor="text1"/>
              </w:rPr>
              <w:t xml:space="preserve">44 </w:t>
            </w:r>
            <w:r w:rsidRPr="00133505">
              <w:rPr>
                <w:rFonts w:cs="Arial"/>
                <w:color w:val="000000" w:themeColor="text1"/>
              </w:rPr>
              <w:t>not dispensed ICS regularly in the year after admission</w:t>
            </w:r>
            <w:r w:rsidR="0005502C" w:rsidRPr="00133505">
              <w:rPr>
                <w:rFonts w:cs="Arial"/>
                <w:color w:val="000000" w:themeColor="text1"/>
              </w:rPr>
              <w:t xml:space="preserve">, </w:t>
            </w:r>
            <w:r w:rsidR="0005502C" w:rsidRPr="00133505">
              <w:rPr>
                <w:color w:val="000000" w:themeColor="text1"/>
              </w:rPr>
              <w:t>among PHO enrolled population</w:t>
            </w:r>
          </w:p>
        </w:tc>
      </w:tr>
      <w:tr w:rsidR="00133505" w:rsidRPr="00133505" w14:paraId="15EFACC0" w14:textId="77777777" w:rsidTr="4C5CB681">
        <w:trPr>
          <w:trHeight w:val="327"/>
        </w:trPr>
        <w:tc>
          <w:tcPr>
            <w:tcW w:w="1951" w:type="dxa"/>
          </w:tcPr>
          <w:p w14:paraId="2956331B"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14FC4655" w14:textId="7FE7C3C4" w:rsidR="000807E4" w:rsidRPr="00133505" w:rsidRDefault="003B070F" w:rsidP="00021FF0">
            <w:pPr>
              <w:pStyle w:val="Header"/>
              <w:spacing w:before="60"/>
              <w:rPr>
                <w:color w:val="000000" w:themeColor="text1"/>
              </w:rPr>
            </w:pPr>
            <w:r w:rsidRPr="00133505">
              <w:rPr>
                <w:color w:val="000000" w:themeColor="text1"/>
              </w:rPr>
              <w:t xml:space="preserve">People </w:t>
            </w:r>
            <w:r w:rsidR="00E43506" w:rsidRPr="00133505">
              <w:rPr>
                <w:color w:val="000000" w:themeColor="text1"/>
              </w:rPr>
              <w:t>aged 5</w:t>
            </w:r>
            <w:r w:rsidR="000E1C62" w:rsidRPr="00133505">
              <w:rPr>
                <w:color w:val="000000" w:themeColor="text1"/>
              </w:rPr>
              <w:t>–</w:t>
            </w:r>
            <w:r w:rsidR="00990C9F" w:rsidRPr="00133505">
              <w:rPr>
                <w:color w:val="000000" w:themeColor="text1"/>
              </w:rPr>
              <w:t>44</w:t>
            </w:r>
            <w:r w:rsidR="009F2FC4" w:rsidRPr="00133505">
              <w:rPr>
                <w:color w:val="000000" w:themeColor="text1"/>
              </w:rPr>
              <w:t xml:space="preserve"> who</w:t>
            </w:r>
            <w:r w:rsidR="00AC631A" w:rsidRPr="00133505">
              <w:rPr>
                <w:color w:val="000000" w:themeColor="text1"/>
              </w:rPr>
              <w:t>:</w:t>
            </w:r>
            <w:r w:rsidRPr="00133505">
              <w:rPr>
                <w:color w:val="000000" w:themeColor="text1"/>
              </w:rPr>
              <w:t xml:space="preserve"> </w:t>
            </w:r>
          </w:p>
          <w:p w14:paraId="2B2DAB0A" w14:textId="5DDEEBB0" w:rsidR="00F32F74" w:rsidRPr="00133505" w:rsidRDefault="00F32F74" w:rsidP="00F32F74">
            <w:pPr>
              <w:pStyle w:val="Header"/>
              <w:numPr>
                <w:ilvl w:val="0"/>
                <w:numId w:val="27"/>
              </w:numPr>
              <w:spacing w:before="60"/>
              <w:rPr>
                <w:color w:val="000000" w:themeColor="text1"/>
                <w:szCs w:val="22"/>
              </w:rPr>
            </w:pPr>
            <w:r w:rsidRPr="00133505">
              <w:rPr>
                <w:color w:val="000000" w:themeColor="text1"/>
                <w:szCs w:val="22"/>
              </w:rPr>
              <w:t xml:space="preserve">had at least one hospital stay with a primary diagnosis of </w:t>
            </w:r>
            <w:r w:rsidR="005E540D" w:rsidRPr="00133505">
              <w:rPr>
                <w:color w:val="000000" w:themeColor="text1"/>
                <w:szCs w:val="22"/>
              </w:rPr>
              <w:t>asthma</w:t>
            </w:r>
            <w:r w:rsidR="00A330EF" w:rsidRPr="00133505">
              <w:rPr>
                <w:color w:val="000000" w:themeColor="text1"/>
                <w:szCs w:val="22"/>
              </w:rPr>
              <w:t xml:space="preserve"> (or wheeze for children)</w:t>
            </w:r>
            <w:r w:rsidRPr="00133505">
              <w:rPr>
                <w:color w:val="000000" w:themeColor="text1"/>
                <w:szCs w:val="22"/>
              </w:rPr>
              <w:t>, with a discharge date in the calendar year, and</w:t>
            </w:r>
          </w:p>
          <w:p w14:paraId="120760F3" w14:textId="78A7AB26" w:rsidR="00F32F74" w:rsidRPr="00133505" w:rsidRDefault="00F32F74" w:rsidP="00F32F74">
            <w:pPr>
              <w:pStyle w:val="Header"/>
              <w:numPr>
                <w:ilvl w:val="0"/>
                <w:numId w:val="27"/>
              </w:numPr>
              <w:spacing w:before="60"/>
              <w:rPr>
                <w:color w:val="000000" w:themeColor="text1"/>
              </w:rPr>
            </w:pPr>
            <w:r w:rsidRPr="00133505">
              <w:rPr>
                <w:color w:val="000000" w:themeColor="text1"/>
              </w:rPr>
              <w:t xml:space="preserve">subsequently </w:t>
            </w:r>
            <w:r w:rsidR="00446849" w:rsidRPr="00133505">
              <w:rPr>
                <w:color w:val="000000" w:themeColor="text1"/>
              </w:rPr>
              <w:t xml:space="preserve">were </w:t>
            </w:r>
            <w:r w:rsidR="00DA6D03" w:rsidRPr="00133505">
              <w:rPr>
                <w:color w:val="000000" w:themeColor="text1"/>
              </w:rPr>
              <w:t xml:space="preserve">not </w:t>
            </w:r>
            <w:r w:rsidR="00446849" w:rsidRPr="00133505">
              <w:rPr>
                <w:color w:val="000000" w:themeColor="text1"/>
              </w:rPr>
              <w:t>dispensed ICS</w:t>
            </w:r>
            <w:r w:rsidRPr="00133505">
              <w:rPr>
                <w:color w:val="000000" w:themeColor="text1"/>
              </w:rPr>
              <w:t xml:space="preserve"> in at least two of the following quarters: </w:t>
            </w:r>
          </w:p>
          <w:p w14:paraId="401F0B3E" w14:textId="77777777" w:rsidR="00F32F74" w:rsidRPr="00133505" w:rsidRDefault="00F32F74" w:rsidP="00F32F74">
            <w:pPr>
              <w:pStyle w:val="Header"/>
              <w:numPr>
                <w:ilvl w:val="0"/>
                <w:numId w:val="29"/>
              </w:numPr>
              <w:spacing w:before="60"/>
              <w:ind w:left="1080"/>
              <w:rPr>
                <w:color w:val="000000" w:themeColor="text1"/>
                <w:szCs w:val="22"/>
              </w:rPr>
            </w:pPr>
            <w:r w:rsidRPr="00133505">
              <w:rPr>
                <w:color w:val="000000" w:themeColor="text1"/>
                <w:szCs w:val="22"/>
              </w:rPr>
              <w:t xml:space="preserve">the same quarter as the last hospital discharge date in the calendar year (looking at the last discharge date avoids </w:t>
            </w:r>
            <w:r w:rsidRPr="00133505">
              <w:rPr>
                <w:color w:val="000000" w:themeColor="text1"/>
                <w:szCs w:val="22"/>
              </w:rPr>
              <w:lastRenderedPageBreak/>
              <w:t>double-counting people who have multiple hospital admissions) </w:t>
            </w:r>
          </w:p>
          <w:p w14:paraId="01FF0F83" w14:textId="77777777" w:rsidR="00F32F74" w:rsidRPr="00133505" w:rsidRDefault="00F32F74" w:rsidP="00F32F74">
            <w:pPr>
              <w:pStyle w:val="Header"/>
              <w:numPr>
                <w:ilvl w:val="0"/>
                <w:numId w:val="28"/>
              </w:numPr>
              <w:spacing w:before="60"/>
              <w:ind w:left="1080"/>
              <w:rPr>
                <w:color w:val="000000" w:themeColor="text1"/>
                <w:szCs w:val="22"/>
              </w:rPr>
            </w:pPr>
            <w:r w:rsidRPr="00133505">
              <w:rPr>
                <w:color w:val="000000" w:themeColor="text1"/>
                <w:szCs w:val="22"/>
              </w:rPr>
              <w:t>the four quarters after the last hospital discharge date. </w:t>
            </w:r>
          </w:p>
          <w:p w14:paraId="6AF3617B" w14:textId="72BB5CB4" w:rsidR="003B070F" w:rsidRPr="00133505" w:rsidRDefault="003B070F" w:rsidP="00021FF0">
            <w:pPr>
              <w:pStyle w:val="Header"/>
              <w:spacing w:before="60"/>
              <w:rPr>
                <w:color w:val="000000" w:themeColor="text1"/>
              </w:rPr>
            </w:pPr>
          </w:p>
        </w:tc>
      </w:tr>
      <w:tr w:rsidR="00133505" w:rsidRPr="00133505" w14:paraId="5D952833" w14:textId="77777777" w:rsidTr="4C5CB681">
        <w:trPr>
          <w:trHeight w:val="327"/>
        </w:trPr>
        <w:tc>
          <w:tcPr>
            <w:tcW w:w="1951" w:type="dxa"/>
          </w:tcPr>
          <w:p w14:paraId="26C303C4"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Denominator</w:t>
            </w:r>
          </w:p>
        </w:tc>
        <w:tc>
          <w:tcPr>
            <w:tcW w:w="7371" w:type="dxa"/>
            <w:vAlign w:val="bottom"/>
          </w:tcPr>
          <w:p w14:paraId="4AC550D5" w14:textId="021356F3" w:rsidR="003B070F" w:rsidRPr="00133505" w:rsidRDefault="003B070F" w:rsidP="07D7EB6C">
            <w:pPr>
              <w:pStyle w:val="Header"/>
              <w:tabs>
                <w:tab w:val="clear" w:pos="4153"/>
                <w:tab w:val="center" w:pos="743"/>
              </w:tabs>
              <w:spacing w:before="60"/>
              <w:rPr>
                <w:color w:val="000000" w:themeColor="text1"/>
              </w:rPr>
            </w:pPr>
            <w:r w:rsidRPr="00133505">
              <w:rPr>
                <w:color w:val="000000" w:themeColor="text1"/>
              </w:rPr>
              <w:t>Those</w:t>
            </w:r>
            <w:r w:rsidR="008657A1" w:rsidRPr="00133505">
              <w:rPr>
                <w:color w:val="000000" w:themeColor="text1"/>
              </w:rPr>
              <w:t xml:space="preserve"> aged 5–</w:t>
            </w:r>
            <w:r w:rsidR="00BF67BF" w:rsidRPr="00133505">
              <w:rPr>
                <w:color w:val="000000" w:themeColor="text1"/>
              </w:rPr>
              <w:t>44 admitted</w:t>
            </w:r>
            <w:r w:rsidRPr="00133505">
              <w:rPr>
                <w:color w:val="000000" w:themeColor="text1"/>
              </w:rPr>
              <w:t xml:space="preserve"> with a primary diagnosis of asthma (adults</w:t>
            </w:r>
            <w:proofErr w:type="gramStart"/>
            <w:r w:rsidRPr="00133505">
              <w:rPr>
                <w:color w:val="000000" w:themeColor="text1"/>
              </w:rPr>
              <w:t>)</w:t>
            </w:r>
            <w:proofErr w:type="gramEnd"/>
            <w:r w:rsidRPr="00133505">
              <w:rPr>
                <w:color w:val="000000" w:themeColor="text1"/>
              </w:rPr>
              <w:t xml:space="preserve"> or children admitted with a primary diagnosis of asthma or wheeze.</w:t>
            </w:r>
          </w:p>
          <w:p w14:paraId="5EC7902D" w14:textId="77777777" w:rsidR="00EF2828" w:rsidRPr="00133505" w:rsidRDefault="00EF2828" w:rsidP="00EF2828">
            <w:pPr>
              <w:pStyle w:val="Header"/>
              <w:spacing w:before="60"/>
              <w:rPr>
                <w:color w:val="000000" w:themeColor="text1"/>
              </w:rPr>
            </w:pPr>
            <w:r w:rsidRPr="00133505">
              <w:rPr>
                <w:color w:val="000000" w:themeColor="text1"/>
              </w:rPr>
              <w:t>Code (ICD10 AM):</w:t>
            </w:r>
          </w:p>
          <w:p w14:paraId="28F2EE2F" w14:textId="77777777" w:rsidR="00EF2828" w:rsidRPr="00133505" w:rsidRDefault="00EF2828" w:rsidP="00EF2828">
            <w:pPr>
              <w:pStyle w:val="Header"/>
              <w:spacing w:before="60"/>
              <w:rPr>
                <w:color w:val="000000" w:themeColor="text1"/>
              </w:rPr>
            </w:pPr>
            <w:r w:rsidRPr="00133505">
              <w:rPr>
                <w:color w:val="000000" w:themeColor="text1"/>
              </w:rPr>
              <w:t>J45 Asthma (for everyone</w:t>
            </w:r>
            <w:proofErr w:type="gramStart"/>
            <w:r w:rsidRPr="00133505">
              <w:rPr>
                <w:color w:val="000000" w:themeColor="text1"/>
              </w:rPr>
              <w:t>);</w:t>
            </w:r>
            <w:proofErr w:type="gramEnd"/>
          </w:p>
          <w:p w14:paraId="0AA840C4" w14:textId="77777777" w:rsidR="00EF2828" w:rsidRPr="00133505" w:rsidRDefault="00EF2828" w:rsidP="00EF2828">
            <w:pPr>
              <w:pStyle w:val="Header"/>
              <w:spacing w:before="60"/>
              <w:rPr>
                <w:color w:val="000000" w:themeColor="text1"/>
              </w:rPr>
            </w:pPr>
            <w:r w:rsidRPr="00133505">
              <w:rPr>
                <w:color w:val="000000" w:themeColor="text1"/>
              </w:rPr>
              <w:t>J46 Status Asthmaticus (for everyone</w:t>
            </w:r>
            <w:proofErr w:type="gramStart"/>
            <w:r w:rsidRPr="00133505">
              <w:rPr>
                <w:color w:val="000000" w:themeColor="text1"/>
              </w:rPr>
              <w:t>);</w:t>
            </w:r>
            <w:proofErr w:type="gramEnd"/>
            <w:r w:rsidRPr="00133505">
              <w:rPr>
                <w:color w:val="000000" w:themeColor="text1"/>
              </w:rPr>
              <w:t xml:space="preserve"> </w:t>
            </w:r>
          </w:p>
          <w:p w14:paraId="22742AA8" w14:textId="6646693A" w:rsidR="00EF2828" w:rsidRPr="00133505" w:rsidRDefault="00EF2828" w:rsidP="009854E5">
            <w:pPr>
              <w:pStyle w:val="Header"/>
              <w:spacing w:before="60"/>
              <w:rPr>
                <w:color w:val="000000" w:themeColor="text1"/>
              </w:rPr>
            </w:pPr>
            <w:r w:rsidRPr="00133505">
              <w:rPr>
                <w:color w:val="000000" w:themeColor="text1"/>
              </w:rPr>
              <w:t>R06.2 Wheeze (for children aged 5</w:t>
            </w:r>
            <w:r w:rsidR="00860B92" w:rsidRPr="00133505">
              <w:rPr>
                <w:color w:val="000000" w:themeColor="text1"/>
              </w:rPr>
              <w:t>–</w:t>
            </w:r>
            <w:r w:rsidRPr="00133505">
              <w:rPr>
                <w:color w:val="000000" w:themeColor="text1"/>
              </w:rPr>
              <w:t>11 years)</w:t>
            </w:r>
          </w:p>
        </w:tc>
      </w:tr>
      <w:tr w:rsidR="00133505" w:rsidRPr="00133505" w14:paraId="30DA478D" w14:textId="77777777" w:rsidTr="4C5CB681">
        <w:trPr>
          <w:trHeight w:val="327"/>
        </w:trPr>
        <w:tc>
          <w:tcPr>
            <w:tcW w:w="1951" w:type="dxa"/>
          </w:tcPr>
          <w:p w14:paraId="3E341D12"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36CC9E1D" w14:textId="4C04BA58" w:rsidR="003B070F" w:rsidRPr="00133505" w:rsidRDefault="1E4F56F5" w:rsidP="20CF9A1D">
            <w:pPr>
              <w:pStyle w:val="Header"/>
              <w:spacing w:before="60"/>
              <w:rPr>
                <w:rFonts w:cs="Arial"/>
                <w:color w:val="000000" w:themeColor="text1"/>
              </w:rPr>
            </w:pPr>
            <w:r w:rsidRPr="00133505">
              <w:rPr>
                <w:rFonts w:cs="Arial"/>
                <w:color w:val="000000" w:themeColor="text1"/>
              </w:rPr>
              <w:t>Pharmaceutical Collection</w:t>
            </w:r>
          </w:p>
          <w:p w14:paraId="0D860537" w14:textId="77777777" w:rsidR="003B070F" w:rsidRPr="00133505" w:rsidRDefault="003B070F" w:rsidP="00021FF0">
            <w:pPr>
              <w:pStyle w:val="Header"/>
              <w:spacing w:before="60"/>
              <w:rPr>
                <w:color w:val="000000" w:themeColor="text1"/>
              </w:rPr>
            </w:pPr>
            <w:r w:rsidRPr="00133505">
              <w:rPr>
                <w:color w:val="000000" w:themeColor="text1"/>
              </w:rPr>
              <w:t>NMDS</w:t>
            </w:r>
          </w:p>
          <w:p w14:paraId="704C0EA2" w14:textId="6BA3980F" w:rsidR="00EF2828" w:rsidRPr="00133505" w:rsidRDefault="00EF2828" w:rsidP="00021FF0">
            <w:pPr>
              <w:pStyle w:val="Header"/>
              <w:spacing w:before="60"/>
              <w:rPr>
                <w:color w:val="000000" w:themeColor="text1"/>
              </w:rPr>
            </w:pPr>
            <w:r w:rsidRPr="00133505">
              <w:rPr>
                <w:color w:val="000000" w:themeColor="text1"/>
              </w:rPr>
              <w:t>PHO enrolment collection</w:t>
            </w:r>
          </w:p>
        </w:tc>
      </w:tr>
      <w:tr w:rsidR="00133505" w:rsidRPr="00133505" w14:paraId="4F0A7C2C" w14:textId="77777777" w:rsidTr="4C5CB681">
        <w:trPr>
          <w:trHeight w:val="327"/>
        </w:trPr>
        <w:tc>
          <w:tcPr>
            <w:tcW w:w="1951" w:type="dxa"/>
          </w:tcPr>
          <w:p w14:paraId="40F7B8E0" w14:textId="76582811" w:rsidR="00EF2828" w:rsidRPr="00133505" w:rsidRDefault="00EF2828" w:rsidP="00EF2828">
            <w:pPr>
              <w:pStyle w:val="Header"/>
              <w:spacing w:before="60"/>
              <w:rPr>
                <w:color w:val="000000" w:themeColor="text1"/>
                <w:sz w:val="24"/>
              </w:rPr>
            </w:pPr>
            <w:r w:rsidRPr="00133505">
              <w:rPr>
                <w:color w:val="000000" w:themeColor="text1"/>
                <w:sz w:val="24"/>
              </w:rPr>
              <w:t>By variables</w:t>
            </w:r>
          </w:p>
        </w:tc>
        <w:tc>
          <w:tcPr>
            <w:tcW w:w="7371" w:type="dxa"/>
            <w:vAlign w:val="bottom"/>
          </w:tcPr>
          <w:p w14:paraId="14DBBAEC" w14:textId="4E4C0BCC" w:rsidR="00EF2828" w:rsidRPr="00133505" w:rsidRDefault="007F49B6" w:rsidP="00EF2828">
            <w:pPr>
              <w:pStyle w:val="Header"/>
              <w:spacing w:before="60"/>
              <w:rPr>
                <w:rFonts w:cs="Arial"/>
                <w:color w:val="000000" w:themeColor="text1"/>
              </w:rPr>
            </w:pPr>
            <w:r w:rsidRPr="00133505">
              <w:rPr>
                <w:rFonts w:cs="Arial"/>
                <w:color w:val="000000" w:themeColor="text1"/>
              </w:rPr>
              <w:t>District</w:t>
            </w:r>
            <w:r w:rsidR="1B637A3C" w:rsidRPr="00133505">
              <w:rPr>
                <w:rFonts w:cs="Arial"/>
                <w:color w:val="000000" w:themeColor="text1"/>
              </w:rPr>
              <w:t xml:space="preserve"> analysis: By year (201</w:t>
            </w:r>
            <w:r w:rsidR="00040489" w:rsidRPr="00133505">
              <w:rPr>
                <w:rFonts w:cs="Arial"/>
                <w:color w:val="000000" w:themeColor="text1"/>
              </w:rPr>
              <w:t>9</w:t>
            </w:r>
            <w:r w:rsidR="00860B92" w:rsidRPr="00133505">
              <w:rPr>
                <w:rFonts w:cs="Arial"/>
                <w:color w:val="000000" w:themeColor="text1"/>
              </w:rPr>
              <w:t xml:space="preserve"> –</w:t>
            </w:r>
            <w:r w:rsidR="1B637A3C" w:rsidRPr="00133505">
              <w:rPr>
                <w:rFonts w:cs="Arial"/>
                <w:color w:val="000000" w:themeColor="text1"/>
              </w:rPr>
              <w:t>202</w:t>
            </w:r>
            <w:r w:rsidR="00040489" w:rsidRPr="00133505">
              <w:rPr>
                <w:rFonts w:cs="Arial"/>
                <w:color w:val="000000" w:themeColor="text1"/>
              </w:rPr>
              <w:t>3</w:t>
            </w:r>
            <w:r w:rsidR="1B637A3C" w:rsidRPr="00133505">
              <w:rPr>
                <w:rFonts w:cs="Arial"/>
                <w:color w:val="000000" w:themeColor="text1"/>
              </w:rPr>
              <w:t>), age group (</w:t>
            </w:r>
            <w:r w:rsidR="34499340" w:rsidRPr="00133505">
              <w:rPr>
                <w:rFonts w:cs="Arial"/>
                <w:color w:val="000000" w:themeColor="text1"/>
              </w:rPr>
              <w:t>5</w:t>
            </w:r>
            <w:r w:rsidR="00860B92" w:rsidRPr="00133505">
              <w:rPr>
                <w:rFonts w:cs="Arial"/>
                <w:color w:val="000000" w:themeColor="text1"/>
              </w:rPr>
              <w:t xml:space="preserve"> –</w:t>
            </w:r>
            <w:r w:rsidR="34499340" w:rsidRPr="00133505">
              <w:rPr>
                <w:rFonts w:cs="Arial"/>
                <w:color w:val="000000" w:themeColor="text1"/>
              </w:rPr>
              <w:t xml:space="preserve">11, </w:t>
            </w:r>
            <w:r w:rsidR="34499340" w:rsidRPr="00133505">
              <w:rPr>
                <w:color w:val="000000" w:themeColor="text1"/>
              </w:rPr>
              <w:t>12</w:t>
            </w:r>
            <w:r w:rsidR="00860B92" w:rsidRPr="00133505">
              <w:rPr>
                <w:color w:val="000000" w:themeColor="text1"/>
              </w:rPr>
              <w:t xml:space="preserve"> –</w:t>
            </w:r>
            <w:r w:rsidR="34499340" w:rsidRPr="00133505">
              <w:rPr>
                <w:color w:val="000000" w:themeColor="text1"/>
              </w:rPr>
              <w:t>24, 25</w:t>
            </w:r>
            <w:r w:rsidR="00860B92" w:rsidRPr="00133505">
              <w:rPr>
                <w:color w:val="000000" w:themeColor="text1"/>
              </w:rPr>
              <w:t xml:space="preserve"> –</w:t>
            </w:r>
            <w:r w:rsidR="34499340" w:rsidRPr="00133505">
              <w:rPr>
                <w:color w:val="000000" w:themeColor="text1"/>
              </w:rPr>
              <w:t>44</w:t>
            </w:r>
            <w:r w:rsidR="00C87D3A" w:rsidRPr="00133505">
              <w:rPr>
                <w:rFonts w:cs="Arial"/>
                <w:color w:val="000000" w:themeColor="text1"/>
              </w:rPr>
              <w:t>), gender (female, male), ethnic group (</w:t>
            </w:r>
            <w:r w:rsidR="00C87D3A" w:rsidRPr="00133505">
              <w:rPr>
                <w:color w:val="000000" w:themeColor="text1"/>
              </w:rPr>
              <w:t>Māori, Pacific peoples, European/Other)</w:t>
            </w:r>
            <w:r w:rsidR="1B637A3C" w:rsidRPr="00133505">
              <w:rPr>
                <w:rFonts w:cs="Arial"/>
                <w:color w:val="000000" w:themeColor="text1"/>
              </w:rPr>
              <w:t>, and Health New Zealand district of domicile.</w:t>
            </w:r>
          </w:p>
          <w:p w14:paraId="16BC40B1" w14:textId="1D4D0937" w:rsidR="00EF2828" w:rsidRPr="00133505" w:rsidRDefault="00EF2828" w:rsidP="00EF2828">
            <w:pPr>
              <w:pStyle w:val="Header"/>
              <w:spacing w:before="60"/>
              <w:rPr>
                <w:color w:val="000000" w:themeColor="text1"/>
              </w:rPr>
            </w:pPr>
            <w:r w:rsidRPr="00133505">
              <w:rPr>
                <w:rFonts w:cs="Arial"/>
                <w:color w:val="000000" w:themeColor="text1"/>
              </w:rPr>
              <w:t>PHO analysis: By year (</w:t>
            </w:r>
            <w:r w:rsidR="004B378E" w:rsidRPr="00133505">
              <w:rPr>
                <w:rFonts w:cs="Arial"/>
                <w:color w:val="000000" w:themeColor="text1"/>
              </w:rPr>
              <w:t>2023</w:t>
            </w:r>
            <w:r w:rsidRPr="00133505">
              <w:rPr>
                <w:rFonts w:cs="Arial"/>
                <w:color w:val="000000" w:themeColor="text1"/>
              </w:rPr>
              <w:t>), age group</w:t>
            </w:r>
            <w:r w:rsidRPr="00133505">
              <w:rPr>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PHO group (small, medium,</w:t>
            </w:r>
            <w:r w:rsidR="00866078" w:rsidRPr="00133505">
              <w:rPr>
                <w:rFonts w:cs="Arial"/>
                <w:color w:val="000000" w:themeColor="text1"/>
                <w:szCs w:val="22"/>
              </w:rPr>
              <w:t xml:space="preserve"> medium-large</w:t>
            </w:r>
            <w:r w:rsidR="00FE68EF" w:rsidRPr="00133505">
              <w:rPr>
                <w:rFonts w:cs="Arial"/>
                <w:color w:val="000000" w:themeColor="text1"/>
                <w:szCs w:val="22"/>
              </w:rPr>
              <w:t xml:space="preserve"> </w:t>
            </w:r>
            <w:r w:rsidRPr="00133505">
              <w:rPr>
                <w:rFonts w:cs="Arial"/>
                <w:color w:val="000000" w:themeColor="text1"/>
                <w:szCs w:val="22"/>
              </w:rPr>
              <w:t>and large).</w:t>
            </w:r>
          </w:p>
        </w:tc>
      </w:tr>
      <w:tr w:rsidR="00133505" w:rsidRPr="00133505" w14:paraId="775BB6F8" w14:textId="77777777" w:rsidTr="4C5CB681">
        <w:trPr>
          <w:trHeight w:val="327"/>
        </w:trPr>
        <w:tc>
          <w:tcPr>
            <w:tcW w:w="1951" w:type="dxa"/>
          </w:tcPr>
          <w:p w14:paraId="604A94D3" w14:textId="77777777" w:rsidR="003B070F" w:rsidRPr="00133505" w:rsidRDefault="003B070F" w:rsidP="00021FF0">
            <w:pPr>
              <w:pStyle w:val="Header"/>
              <w:spacing w:before="60"/>
              <w:rPr>
                <w:color w:val="000000" w:themeColor="text1"/>
                <w:sz w:val="24"/>
              </w:rPr>
            </w:pPr>
            <w:r w:rsidRPr="00133505">
              <w:rPr>
                <w:color w:val="000000" w:themeColor="text1"/>
                <w:sz w:val="24"/>
              </w:rPr>
              <w:t>Medicines included</w:t>
            </w:r>
          </w:p>
        </w:tc>
        <w:tc>
          <w:tcPr>
            <w:tcW w:w="7371" w:type="dxa"/>
            <w:vAlign w:val="bottom"/>
          </w:tcPr>
          <w:p w14:paraId="1F2764CF" w14:textId="77777777" w:rsidR="0085678D" w:rsidRPr="00133505" w:rsidRDefault="003B070F" w:rsidP="0085678D">
            <w:pPr>
              <w:pStyle w:val="Header"/>
              <w:spacing w:before="60"/>
              <w:rPr>
                <w:color w:val="000000" w:themeColor="text1"/>
              </w:rPr>
            </w:pPr>
            <w:r w:rsidRPr="00133505">
              <w:rPr>
                <w:color w:val="000000" w:themeColor="text1"/>
              </w:rPr>
              <w:t xml:space="preserve">Inhaled corticosteroids: </w:t>
            </w:r>
            <w:r w:rsidR="0085678D" w:rsidRPr="00133505">
              <w:rPr>
                <w:color w:val="000000" w:themeColor="text1"/>
              </w:rPr>
              <w:t xml:space="preserve">110801,110802, 110803, 110804, 110805, 110806, 110807, 110808, 110809, 110815, 110816, 110825, 110826 &amp; 110827 Beclomethasone </w:t>
            </w:r>
            <w:proofErr w:type="gramStart"/>
            <w:r w:rsidR="0085678D" w:rsidRPr="00133505">
              <w:rPr>
                <w:color w:val="000000" w:themeColor="text1"/>
              </w:rPr>
              <w:t>dipropionate;</w:t>
            </w:r>
            <w:proofErr w:type="gramEnd"/>
            <w:r w:rsidR="0085678D" w:rsidRPr="00133505">
              <w:rPr>
                <w:color w:val="000000" w:themeColor="text1"/>
              </w:rPr>
              <w:t xml:space="preserve"> </w:t>
            </w:r>
          </w:p>
          <w:p w14:paraId="45531AB0" w14:textId="77777777" w:rsidR="0085678D" w:rsidRPr="00133505" w:rsidRDefault="0085678D" w:rsidP="0085678D">
            <w:pPr>
              <w:pStyle w:val="Header"/>
              <w:spacing w:before="60"/>
              <w:rPr>
                <w:color w:val="000000" w:themeColor="text1"/>
              </w:rPr>
            </w:pPr>
            <w:r w:rsidRPr="00133505">
              <w:rPr>
                <w:color w:val="000000" w:themeColor="text1"/>
              </w:rPr>
              <w:t xml:space="preserve">116801, 116802, 116803, 116804 &amp; 116805 </w:t>
            </w:r>
            <w:proofErr w:type="gramStart"/>
            <w:r w:rsidRPr="00133505">
              <w:rPr>
                <w:color w:val="000000" w:themeColor="text1"/>
              </w:rPr>
              <w:t>Budesonide;</w:t>
            </w:r>
            <w:proofErr w:type="gramEnd"/>
          </w:p>
          <w:p w14:paraId="2033A256" w14:textId="77777777" w:rsidR="0085678D" w:rsidRPr="00133505" w:rsidRDefault="0085678D" w:rsidP="0085678D">
            <w:pPr>
              <w:pStyle w:val="Header"/>
              <w:spacing w:before="60"/>
              <w:rPr>
                <w:color w:val="000000" w:themeColor="text1"/>
              </w:rPr>
            </w:pPr>
            <w:r w:rsidRPr="00133505">
              <w:rPr>
                <w:color w:val="000000" w:themeColor="text1"/>
              </w:rPr>
              <w:t>106501, 106502, 106503, 106504, 106505, 106506, 106507, 106508, 106509, 106510, 106511, 106512, 106513, 106514 &amp; 106525 Fluticasone</w:t>
            </w:r>
          </w:p>
          <w:p w14:paraId="283C519F" w14:textId="77E79342" w:rsidR="003B070F" w:rsidRPr="00133505" w:rsidRDefault="003B070F" w:rsidP="00021FF0">
            <w:pPr>
              <w:pStyle w:val="Header"/>
              <w:spacing w:before="60"/>
              <w:rPr>
                <w:color w:val="000000" w:themeColor="text1"/>
              </w:rPr>
            </w:pPr>
          </w:p>
          <w:p w14:paraId="371F1CFC" w14:textId="5B921FA5" w:rsidR="005A6997" w:rsidRPr="00133505" w:rsidRDefault="003B070F" w:rsidP="07D7EB6C">
            <w:pPr>
              <w:pStyle w:val="Header"/>
              <w:spacing w:before="60"/>
              <w:rPr>
                <w:color w:val="000000" w:themeColor="text1"/>
              </w:rPr>
            </w:pPr>
            <w:r w:rsidRPr="00133505">
              <w:rPr>
                <w:color w:val="000000" w:themeColor="text1"/>
              </w:rPr>
              <w:t>Inhaled corticosteroids with long</w:t>
            </w:r>
            <w:r w:rsidR="00150A16" w:rsidRPr="00133505">
              <w:rPr>
                <w:color w:val="000000" w:themeColor="text1"/>
              </w:rPr>
              <w:t>-</w:t>
            </w:r>
            <w:r w:rsidRPr="00133505">
              <w:rPr>
                <w:color w:val="000000" w:themeColor="text1"/>
              </w:rPr>
              <w:t>acting beta</w:t>
            </w:r>
            <w:r w:rsidR="00150A16" w:rsidRPr="00133505">
              <w:rPr>
                <w:color w:val="000000" w:themeColor="text1"/>
              </w:rPr>
              <w:t>-</w:t>
            </w:r>
            <w:r w:rsidRPr="00133505">
              <w:rPr>
                <w:color w:val="000000" w:themeColor="text1"/>
              </w:rPr>
              <w:t xml:space="preserve">adrenoceptor agonists: </w:t>
            </w:r>
            <w:r w:rsidR="005A6997" w:rsidRPr="00133505">
              <w:rPr>
                <w:color w:val="000000" w:themeColor="text1"/>
              </w:rPr>
              <w:t xml:space="preserve">375825, 375826, 375827, 375828, 375829, 375830 &amp; 375831 Budesonide with </w:t>
            </w:r>
            <w:proofErr w:type="spellStart"/>
            <w:proofErr w:type="gramStart"/>
            <w:r w:rsidR="005A6997" w:rsidRPr="00133505">
              <w:rPr>
                <w:color w:val="000000" w:themeColor="text1"/>
              </w:rPr>
              <w:t>eformoterol</w:t>
            </w:r>
            <w:proofErr w:type="spellEnd"/>
            <w:r w:rsidR="005A6997" w:rsidRPr="00133505">
              <w:rPr>
                <w:color w:val="000000" w:themeColor="text1"/>
              </w:rPr>
              <w:t>;</w:t>
            </w:r>
            <w:proofErr w:type="gramEnd"/>
          </w:p>
          <w:p w14:paraId="3FA7CFFB" w14:textId="77777777" w:rsidR="005A6997" w:rsidRPr="00133505" w:rsidRDefault="005A6997" w:rsidP="005A6997">
            <w:pPr>
              <w:pStyle w:val="Header"/>
              <w:spacing w:before="60"/>
              <w:rPr>
                <w:color w:val="000000" w:themeColor="text1"/>
              </w:rPr>
            </w:pPr>
            <w:r w:rsidRPr="00133505">
              <w:rPr>
                <w:color w:val="000000" w:themeColor="text1"/>
              </w:rPr>
              <w:t xml:space="preserve">385825, 385826, 385827 &amp; 385828 Fluticasone with </w:t>
            </w:r>
            <w:proofErr w:type="gramStart"/>
            <w:r w:rsidRPr="00133505">
              <w:rPr>
                <w:color w:val="000000" w:themeColor="text1"/>
              </w:rPr>
              <w:t>salmeterol;</w:t>
            </w:r>
            <w:proofErr w:type="gramEnd"/>
          </w:p>
          <w:p w14:paraId="23E2A142" w14:textId="77777777" w:rsidR="005A6997" w:rsidRPr="00133505" w:rsidRDefault="005A6997" w:rsidP="005A6997">
            <w:pPr>
              <w:pStyle w:val="Header"/>
              <w:spacing w:before="60"/>
              <w:rPr>
                <w:color w:val="000000" w:themeColor="text1"/>
              </w:rPr>
            </w:pPr>
            <w:r w:rsidRPr="00133505">
              <w:rPr>
                <w:color w:val="000000" w:themeColor="text1"/>
              </w:rPr>
              <w:t>405625 Fluticasone furoate with vilanterol</w:t>
            </w:r>
          </w:p>
          <w:p w14:paraId="2D141AFA" w14:textId="485128FC" w:rsidR="003B070F" w:rsidRPr="00133505" w:rsidRDefault="003B070F" w:rsidP="00021FF0">
            <w:pPr>
              <w:pStyle w:val="Header"/>
              <w:rPr>
                <w:color w:val="000000" w:themeColor="text1"/>
              </w:rPr>
            </w:pPr>
          </w:p>
        </w:tc>
      </w:tr>
      <w:tr w:rsidR="00133505" w:rsidRPr="00133505" w14:paraId="51B9CFE3" w14:textId="77777777" w:rsidTr="4C5CB681">
        <w:trPr>
          <w:trHeight w:val="327"/>
        </w:trPr>
        <w:tc>
          <w:tcPr>
            <w:tcW w:w="1951" w:type="dxa"/>
          </w:tcPr>
          <w:p w14:paraId="1487333F" w14:textId="77777777" w:rsidR="003B070F" w:rsidRPr="00133505" w:rsidRDefault="003B070F" w:rsidP="00021FF0">
            <w:pPr>
              <w:pStyle w:val="Header"/>
              <w:spacing w:before="60"/>
              <w:rPr>
                <w:color w:val="000000" w:themeColor="text1"/>
                <w:sz w:val="24"/>
              </w:rPr>
            </w:pPr>
            <w:r w:rsidRPr="00133505">
              <w:rPr>
                <w:color w:val="000000" w:themeColor="text1"/>
                <w:sz w:val="24"/>
              </w:rPr>
              <w:t>Rationale</w:t>
            </w:r>
          </w:p>
        </w:tc>
        <w:tc>
          <w:tcPr>
            <w:tcW w:w="7371" w:type="dxa"/>
            <w:vAlign w:val="bottom"/>
          </w:tcPr>
          <w:p w14:paraId="35DBF103" w14:textId="561FD894" w:rsidR="003B070F" w:rsidRPr="00133505" w:rsidRDefault="003B070F" w:rsidP="00021FF0">
            <w:pPr>
              <w:pStyle w:val="CommentText"/>
              <w:rPr>
                <w:color w:val="000000" w:themeColor="text1"/>
                <w:sz w:val="22"/>
              </w:rPr>
            </w:pPr>
            <w:r w:rsidRPr="00133505">
              <w:rPr>
                <w:color w:val="000000" w:themeColor="text1"/>
                <w:sz w:val="22"/>
              </w:rPr>
              <w:t xml:space="preserve">High rates </w:t>
            </w:r>
            <w:r w:rsidR="00960A18" w:rsidRPr="00133505">
              <w:rPr>
                <w:color w:val="000000" w:themeColor="text1"/>
                <w:sz w:val="22"/>
              </w:rPr>
              <w:t xml:space="preserve">of people </w:t>
            </w:r>
            <w:r w:rsidRPr="00133505">
              <w:rPr>
                <w:color w:val="000000" w:themeColor="text1"/>
                <w:sz w:val="22"/>
              </w:rPr>
              <w:t xml:space="preserve">not </w:t>
            </w:r>
            <w:r w:rsidR="00960A18" w:rsidRPr="00133505">
              <w:rPr>
                <w:color w:val="000000" w:themeColor="text1"/>
                <w:sz w:val="22"/>
              </w:rPr>
              <w:t xml:space="preserve">receiving </w:t>
            </w:r>
            <w:r w:rsidRPr="00133505">
              <w:rPr>
                <w:color w:val="000000" w:themeColor="text1"/>
                <w:sz w:val="22"/>
              </w:rPr>
              <w:t xml:space="preserve">regular ICS in the year post discharge </w:t>
            </w:r>
            <w:r w:rsidRPr="00133505">
              <w:rPr>
                <w:color w:val="000000" w:themeColor="text1"/>
                <w:sz w:val="22"/>
                <w:szCs w:val="22"/>
              </w:rPr>
              <w:t>suggests non</w:t>
            </w:r>
            <w:r w:rsidR="005D2BA2" w:rsidRPr="00133505">
              <w:rPr>
                <w:color w:val="000000" w:themeColor="text1"/>
                <w:sz w:val="22"/>
                <w:szCs w:val="22"/>
              </w:rPr>
              <w:t>-</w:t>
            </w:r>
            <w:r w:rsidRPr="00133505">
              <w:rPr>
                <w:color w:val="000000" w:themeColor="text1"/>
                <w:sz w:val="22"/>
                <w:szCs w:val="22"/>
              </w:rPr>
              <w:t>adherence to best practice guidelines and suboptimal disease</w:t>
            </w:r>
            <w:r w:rsidRPr="00133505">
              <w:rPr>
                <w:color w:val="000000" w:themeColor="text1"/>
              </w:rPr>
              <w:t xml:space="preserve"> </w:t>
            </w:r>
            <w:r w:rsidRPr="00133505">
              <w:rPr>
                <w:color w:val="000000" w:themeColor="text1"/>
                <w:sz w:val="22"/>
                <w:szCs w:val="22"/>
              </w:rPr>
              <w:t>management</w:t>
            </w:r>
            <w:r w:rsidRPr="00133505">
              <w:rPr>
                <w:color w:val="000000" w:themeColor="text1"/>
              </w:rPr>
              <w:t>.</w:t>
            </w:r>
          </w:p>
        </w:tc>
      </w:tr>
      <w:tr w:rsidR="00950EE3" w:rsidRPr="00133505" w14:paraId="2C428B69" w14:textId="77777777" w:rsidTr="4C5CB681">
        <w:trPr>
          <w:trHeight w:val="327"/>
        </w:trPr>
        <w:tc>
          <w:tcPr>
            <w:tcW w:w="1951" w:type="dxa"/>
          </w:tcPr>
          <w:p w14:paraId="1EF16CA6" w14:textId="08F8B99F" w:rsidR="00950EE3" w:rsidRPr="00133505" w:rsidRDefault="00950EE3" w:rsidP="00021FF0">
            <w:pPr>
              <w:pStyle w:val="Header"/>
              <w:spacing w:before="60"/>
              <w:rPr>
                <w:color w:val="000000" w:themeColor="text1"/>
                <w:sz w:val="24"/>
              </w:rPr>
            </w:pPr>
            <w:r w:rsidRPr="00133505">
              <w:rPr>
                <w:color w:val="000000" w:themeColor="text1"/>
                <w:sz w:val="24"/>
              </w:rPr>
              <w:t>Commentary</w:t>
            </w:r>
          </w:p>
        </w:tc>
        <w:tc>
          <w:tcPr>
            <w:tcW w:w="7371" w:type="dxa"/>
            <w:vAlign w:val="bottom"/>
          </w:tcPr>
          <w:p w14:paraId="23B50B06" w14:textId="77777777" w:rsidR="004648D0" w:rsidRPr="00133505" w:rsidRDefault="004648D0" w:rsidP="004648D0">
            <w:pPr>
              <w:spacing w:after="0"/>
              <w:rPr>
                <w:color w:val="000000" w:themeColor="text1"/>
              </w:rPr>
            </w:pPr>
            <w:r w:rsidRPr="00133505">
              <w:rPr>
                <w:color w:val="000000" w:themeColor="text1"/>
              </w:rPr>
              <w:t xml:space="preserve">Description: </w:t>
            </w:r>
          </w:p>
          <w:p w14:paraId="7374B07B" w14:textId="77777777" w:rsidR="004648D0" w:rsidRPr="00133505" w:rsidRDefault="004648D0" w:rsidP="004648D0">
            <w:pPr>
              <w:spacing w:after="0"/>
              <w:rPr>
                <w:color w:val="000000" w:themeColor="text1"/>
              </w:rPr>
            </w:pPr>
            <w:r w:rsidRPr="00133505">
              <w:rPr>
                <w:color w:val="000000" w:themeColor="text1"/>
              </w:rPr>
              <w:t xml:space="preserve">This indicator shows the number and percent of people aged 5 –44 years who were not regularly dispensed ICS in the four quarters after discharge for an admission with a primary diagnosis of asthma. Regular dispensing was defined as dispensing in two or more quarters in the year post-discharge. This was calculated using the date of discharge and dividing the following 365 days into four quarters. </w:t>
            </w:r>
          </w:p>
          <w:p w14:paraId="5EA34D93" w14:textId="77777777" w:rsidR="004648D0" w:rsidRPr="00133505" w:rsidRDefault="004648D0" w:rsidP="004648D0">
            <w:pPr>
              <w:spacing w:after="0"/>
              <w:rPr>
                <w:color w:val="000000" w:themeColor="text1"/>
              </w:rPr>
            </w:pPr>
          </w:p>
          <w:p w14:paraId="39E3FA03" w14:textId="29B67CEB" w:rsidR="004648D0" w:rsidRPr="00133505" w:rsidRDefault="0024599C" w:rsidP="004648D0">
            <w:pPr>
              <w:pStyle w:val="Header"/>
              <w:tabs>
                <w:tab w:val="center" w:pos="743"/>
              </w:tabs>
              <w:spacing w:before="60"/>
              <w:rPr>
                <w:color w:val="000000" w:themeColor="text1"/>
              </w:rPr>
            </w:pPr>
            <w:r>
              <w:rPr>
                <w:color w:val="000000" w:themeColor="text1"/>
              </w:rPr>
              <w:lastRenderedPageBreak/>
              <w:t xml:space="preserve">Data is </w:t>
            </w:r>
            <w:r w:rsidR="004648D0" w:rsidRPr="00133505">
              <w:rPr>
                <w:color w:val="000000" w:themeColor="text1"/>
              </w:rPr>
              <w:t>presented by year, ethnicity, age, gender and district of domicile. </w:t>
            </w:r>
          </w:p>
          <w:p w14:paraId="79FB175C" w14:textId="77777777" w:rsidR="004648D0" w:rsidRPr="00133505" w:rsidRDefault="004648D0" w:rsidP="004648D0">
            <w:pPr>
              <w:spacing w:after="0"/>
              <w:rPr>
                <w:color w:val="000000" w:themeColor="text1"/>
              </w:rPr>
            </w:pPr>
          </w:p>
          <w:p w14:paraId="30BC0F32" w14:textId="77777777" w:rsidR="004648D0" w:rsidRPr="00133505" w:rsidRDefault="004648D0" w:rsidP="004648D0">
            <w:pPr>
              <w:spacing w:after="0"/>
              <w:rPr>
                <w:color w:val="000000" w:themeColor="text1"/>
              </w:rPr>
            </w:pPr>
          </w:p>
          <w:p w14:paraId="399FC4DC" w14:textId="77777777" w:rsidR="004648D0" w:rsidRPr="00133505" w:rsidRDefault="004648D0" w:rsidP="004648D0">
            <w:pPr>
              <w:spacing w:after="0"/>
              <w:rPr>
                <w:color w:val="000000" w:themeColor="text1"/>
              </w:rPr>
            </w:pPr>
            <w:r w:rsidRPr="00133505">
              <w:rPr>
                <w:color w:val="000000" w:themeColor="text1"/>
              </w:rPr>
              <w:t xml:space="preserve">Why is this important? </w:t>
            </w:r>
          </w:p>
          <w:p w14:paraId="415001A4" w14:textId="77777777" w:rsidR="004648D0" w:rsidRPr="00133505" w:rsidRDefault="004648D0" w:rsidP="004648D0">
            <w:pPr>
              <w:spacing w:after="0"/>
              <w:rPr>
                <w:color w:val="000000" w:themeColor="text1"/>
              </w:rPr>
            </w:pPr>
            <w:r w:rsidRPr="00133505">
              <w:rPr>
                <w:color w:val="000000" w:themeColor="text1"/>
              </w:rPr>
              <w:t>The 2020 New Zealand Adolescent and Adult Asthma Guidelines</w:t>
            </w:r>
            <w:r w:rsidRPr="00133505">
              <w:rPr>
                <w:rStyle w:val="FootnoteReference"/>
                <w:rFonts w:eastAsiaTheme="majorEastAsia"/>
                <w:color w:val="000000" w:themeColor="text1"/>
              </w:rPr>
              <w:footnoteReference w:id="8"/>
            </w:r>
            <w:r w:rsidRPr="00133505">
              <w:rPr>
                <w:color w:val="000000" w:themeColor="text1"/>
              </w:rPr>
              <w:t xml:space="preserve"> recommend that patients presenting with an acute exacerbation of asthma should have an ICS started or current use reinforced on discharge. Children aged 0 to 4 years of age are not included in this indicator, see the methodology for more detail.</w:t>
            </w:r>
          </w:p>
          <w:p w14:paraId="355BC2A0" w14:textId="77777777" w:rsidR="004648D0" w:rsidRPr="00133505" w:rsidRDefault="004648D0" w:rsidP="004648D0">
            <w:pPr>
              <w:spacing w:after="0"/>
              <w:rPr>
                <w:color w:val="000000" w:themeColor="text1"/>
              </w:rPr>
            </w:pPr>
          </w:p>
          <w:p w14:paraId="1C4649FF" w14:textId="77777777" w:rsidR="004648D0" w:rsidRPr="00133505" w:rsidRDefault="004648D0" w:rsidP="004648D0">
            <w:pPr>
              <w:spacing w:after="0"/>
              <w:rPr>
                <w:color w:val="000000" w:themeColor="text1"/>
              </w:rPr>
            </w:pPr>
            <w:r w:rsidRPr="00133505">
              <w:rPr>
                <w:color w:val="000000" w:themeColor="text1"/>
              </w:rPr>
              <w:t xml:space="preserve">What questions does this prompt? </w:t>
            </w:r>
          </w:p>
          <w:p w14:paraId="4F917542" w14:textId="77777777" w:rsidR="004648D0" w:rsidRPr="00133505" w:rsidRDefault="004648D0" w:rsidP="004648D0">
            <w:pPr>
              <w:pStyle w:val="ListParagraph"/>
              <w:numPr>
                <w:ilvl w:val="0"/>
                <w:numId w:val="41"/>
              </w:numPr>
              <w:spacing w:after="0"/>
              <w:rPr>
                <w:color w:val="000000" w:themeColor="text1"/>
              </w:rPr>
            </w:pPr>
            <w:r w:rsidRPr="00133505">
              <w:rPr>
                <w:color w:val="000000" w:themeColor="text1"/>
              </w:rPr>
              <w:t xml:space="preserve">How much of this gap can be explained by people taking home ICS provided during their inpatient stay? </w:t>
            </w:r>
          </w:p>
          <w:p w14:paraId="1A4C329B" w14:textId="77777777" w:rsidR="004648D0" w:rsidRPr="00133505" w:rsidRDefault="004648D0" w:rsidP="004648D0">
            <w:pPr>
              <w:pStyle w:val="ListParagraph"/>
              <w:numPr>
                <w:ilvl w:val="0"/>
                <w:numId w:val="41"/>
              </w:numPr>
              <w:spacing w:after="0"/>
              <w:rPr>
                <w:color w:val="000000" w:themeColor="text1"/>
              </w:rPr>
            </w:pPr>
            <w:r w:rsidRPr="00133505">
              <w:rPr>
                <w:color w:val="000000" w:themeColor="text1"/>
              </w:rPr>
              <w:t xml:space="preserve">What do patients understand with regards to the use of ICS and reliever medication?  </w:t>
            </w:r>
          </w:p>
          <w:p w14:paraId="783E1EAD" w14:textId="77777777" w:rsidR="004648D0" w:rsidRPr="00133505" w:rsidRDefault="004648D0" w:rsidP="004648D0">
            <w:pPr>
              <w:pStyle w:val="ListParagraph"/>
              <w:numPr>
                <w:ilvl w:val="0"/>
                <w:numId w:val="41"/>
              </w:numPr>
              <w:spacing w:after="0"/>
              <w:rPr>
                <w:color w:val="000000" w:themeColor="text1"/>
              </w:rPr>
            </w:pPr>
            <w:r w:rsidRPr="00133505">
              <w:rPr>
                <w:color w:val="000000" w:themeColor="text1"/>
              </w:rPr>
              <w:t xml:space="preserve">What proportion of those not receiving an ICS were readmitted? Is there the potential to improve care? </w:t>
            </w:r>
          </w:p>
          <w:p w14:paraId="022BBFCC" w14:textId="77777777" w:rsidR="004648D0" w:rsidRPr="00133505" w:rsidRDefault="004648D0" w:rsidP="004648D0">
            <w:pPr>
              <w:pStyle w:val="ListParagraph"/>
              <w:numPr>
                <w:ilvl w:val="0"/>
                <w:numId w:val="41"/>
              </w:numPr>
              <w:spacing w:after="0"/>
              <w:rPr>
                <w:color w:val="000000" w:themeColor="text1"/>
              </w:rPr>
            </w:pPr>
            <w:r w:rsidRPr="00133505">
              <w:rPr>
                <w:color w:val="000000" w:themeColor="text1"/>
              </w:rPr>
              <w:t xml:space="preserve">How much of this gap can be explained by preventers prescribed just prior to admission? </w:t>
            </w:r>
          </w:p>
          <w:p w14:paraId="6369ACC7" w14:textId="77777777" w:rsidR="004648D0" w:rsidRPr="00133505" w:rsidRDefault="004648D0" w:rsidP="004648D0">
            <w:pPr>
              <w:pStyle w:val="ListParagraph"/>
              <w:numPr>
                <w:ilvl w:val="0"/>
                <w:numId w:val="41"/>
              </w:numPr>
              <w:spacing w:after="0"/>
              <w:rPr>
                <w:color w:val="000000" w:themeColor="text1"/>
              </w:rPr>
            </w:pPr>
            <w:r w:rsidRPr="00133505">
              <w:rPr>
                <w:color w:val="000000" w:themeColor="text1"/>
              </w:rPr>
              <w:t>How many of this group received oral steroids?</w:t>
            </w:r>
          </w:p>
          <w:p w14:paraId="3A91E987" w14:textId="14366E84" w:rsidR="004648D0" w:rsidRPr="00133505" w:rsidRDefault="004648D0" w:rsidP="004648D0">
            <w:pPr>
              <w:pStyle w:val="ListParagraph"/>
              <w:numPr>
                <w:ilvl w:val="0"/>
                <w:numId w:val="41"/>
              </w:numPr>
              <w:spacing w:after="0"/>
              <w:rPr>
                <w:color w:val="000000" w:themeColor="text1"/>
              </w:rPr>
            </w:pPr>
            <w:r w:rsidRPr="00133505">
              <w:rPr>
                <w:color w:val="000000" w:themeColor="text1"/>
              </w:rPr>
              <w:t>How is asthma education managed in the districts? Is the education managed in a culturally appropriate way?</w:t>
            </w:r>
          </w:p>
          <w:p w14:paraId="2EE1ECB4" w14:textId="45CEA5A2" w:rsidR="00950EE3" w:rsidRPr="00133505" w:rsidRDefault="00950EE3" w:rsidP="004648D0">
            <w:pPr>
              <w:pStyle w:val="ListParagraph"/>
              <w:spacing w:after="0"/>
              <w:jc w:val="both"/>
              <w:rPr>
                <w:color w:val="000000" w:themeColor="text1"/>
              </w:rPr>
            </w:pPr>
          </w:p>
        </w:tc>
      </w:tr>
    </w:tbl>
    <w:p w14:paraId="60692276" w14:textId="77777777" w:rsidR="003B070F" w:rsidRPr="00133505" w:rsidRDefault="003B070F" w:rsidP="003B070F">
      <w:pPr>
        <w:rPr>
          <w:color w:val="000000" w:themeColor="text1"/>
        </w:rPr>
      </w:pPr>
    </w:p>
    <w:p w14:paraId="3C5BF165" w14:textId="17ED1976" w:rsidR="003B070F" w:rsidRPr="00133505" w:rsidRDefault="004A2B29" w:rsidP="00494E58">
      <w:pPr>
        <w:pStyle w:val="TeThHauorahead3"/>
        <w:rPr>
          <w:color w:val="000000" w:themeColor="text1"/>
        </w:rPr>
      </w:pPr>
      <w:bookmarkStart w:id="9" w:name="_Toc196292454"/>
      <w:r w:rsidRPr="00133505">
        <w:rPr>
          <w:color w:val="000000" w:themeColor="text1"/>
        </w:rPr>
        <w:t>6. P</w:t>
      </w:r>
      <w:r w:rsidR="00021FF0" w:rsidRPr="00133505">
        <w:rPr>
          <w:color w:val="000000" w:themeColor="text1"/>
        </w:rPr>
        <w:t>HO</w:t>
      </w:r>
      <w:r w:rsidR="005C1A5B" w:rsidRPr="00133505">
        <w:rPr>
          <w:color w:val="000000" w:themeColor="text1"/>
        </w:rPr>
        <w:t xml:space="preserve"> enrolled population </w:t>
      </w:r>
      <w:r w:rsidRPr="00133505">
        <w:rPr>
          <w:color w:val="000000" w:themeColor="text1"/>
        </w:rPr>
        <w:t>not given a funded influenza vaccine in the year after admission</w:t>
      </w:r>
      <w:bookmarkEnd w:id="9"/>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2AB278E1" w14:textId="77777777" w:rsidTr="20CF9A1D">
        <w:trPr>
          <w:trHeight w:val="327"/>
        </w:trPr>
        <w:tc>
          <w:tcPr>
            <w:tcW w:w="1951" w:type="dxa"/>
          </w:tcPr>
          <w:p w14:paraId="2E487214"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#6:</w:t>
            </w:r>
          </w:p>
        </w:tc>
        <w:tc>
          <w:tcPr>
            <w:tcW w:w="7371" w:type="dxa"/>
            <w:vAlign w:val="bottom"/>
          </w:tcPr>
          <w:p w14:paraId="2C4D408F" w14:textId="0D87441C" w:rsidR="003B070F" w:rsidRPr="00133505" w:rsidRDefault="003B070F" w:rsidP="00021FF0">
            <w:pPr>
              <w:pStyle w:val="Header"/>
              <w:spacing w:before="60"/>
              <w:rPr>
                <w:color w:val="000000" w:themeColor="text1"/>
              </w:rPr>
            </w:pPr>
            <w:r w:rsidRPr="00133505">
              <w:rPr>
                <w:color w:val="000000" w:themeColor="text1"/>
              </w:rPr>
              <w:t>People not given a funded influenza vaccine in the year after admission</w:t>
            </w:r>
            <w:r w:rsidR="00E3541E" w:rsidRPr="00133505">
              <w:rPr>
                <w:color w:val="000000" w:themeColor="text1"/>
              </w:rPr>
              <w:t>, among PHO enrolled population</w:t>
            </w:r>
          </w:p>
        </w:tc>
      </w:tr>
      <w:tr w:rsidR="00133505" w:rsidRPr="00133505" w14:paraId="78EB5A31" w14:textId="77777777" w:rsidTr="20CF9A1D">
        <w:trPr>
          <w:trHeight w:val="327"/>
        </w:trPr>
        <w:tc>
          <w:tcPr>
            <w:tcW w:w="1951" w:type="dxa"/>
          </w:tcPr>
          <w:p w14:paraId="1BD41BCB"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vAlign w:val="bottom"/>
          </w:tcPr>
          <w:p w14:paraId="760BFA09" w14:textId="75A868A2" w:rsidR="003B070F" w:rsidRPr="00133505" w:rsidRDefault="003B070F" w:rsidP="00021FF0">
            <w:pPr>
              <w:pStyle w:val="Header"/>
              <w:spacing w:before="60"/>
              <w:rPr>
                <w:color w:val="000000" w:themeColor="text1"/>
              </w:rPr>
            </w:pPr>
            <w:r w:rsidRPr="00133505">
              <w:rPr>
                <w:color w:val="000000" w:themeColor="text1"/>
              </w:rPr>
              <w:t xml:space="preserve">People admitted in the previous year with a primary diagnosis of asthma </w:t>
            </w:r>
            <w:r w:rsidR="00546ABF" w:rsidRPr="00133505">
              <w:rPr>
                <w:color w:val="000000" w:themeColor="text1"/>
              </w:rPr>
              <w:t>(or wheeze for children; see denominator</w:t>
            </w:r>
            <w:r w:rsidR="00687B24" w:rsidRPr="00133505">
              <w:rPr>
                <w:color w:val="000000" w:themeColor="text1"/>
              </w:rPr>
              <w:t xml:space="preserve"> for codes</w:t>
            </w:r>
            <w:r w:rsidR="00546ABF" w:rsidRPr="00133505">
              <w:rPr>
                <w:color w:val="000000" w:themeColor="text1"/>
              </w:rPr>
              <w:t xml:space="preserve">) </w:t>
            </w:r>
            <w:r w:rsidRPr="00133505">
              <w:rPr>
                <w:color w:val="000000" w:themeColor="text1"/>
              </w:rPr>
              <w:t>who did not receive a funded influenza vaccine in the year following discharge</w:t>
            </w:r>
          </w:p>
          <w:p w14:paraId="2F403FC7" w14:textId="4EDB90DB" w:rsidR="00DE6001" w:rsidRPr="00133505" w:rsidRDefault="00DE6001" w:rsidP="00DE6001">
            <w:pPr>
              <w:pStyle w:val="Header"/>
              <w:spacing w:before="60"/>
              <w:rPr>
                <w:color w:val="000000" w:themeColor="text1"/>
              </w:rPr>
            </w:pPr>
            <w:r w:rsidRPr="00133505">
              <w:rPr>
                <w:color w:val="000000" w:themeColor="text1"/>
              </w:rPr>
              <w:t xml:space="preserve">Notes: </w:t>
            </w:r>
          </w:p>
          <w:p w14:paraId="44841FB5" w14:textId="497693D4" w:rsidR="00DE6001" w:rsidRPr="00133505" w:rsidRDefault="00E02B91" w:rsidP="00DE6001">
            <w:pPr>
              <w:pStyle w:val="Header"/>
              <w:numPr>
                <w:ilvl w:val="0"/>
                <w:numId w:val="21"/>
              </w:numPr>
              <w:spacing w:before="60"/>
              <w:rPr>
                <w:color w:val="000000" w:themeColor="text1"/>
              </w:rPr>
            </w:pPr>
            <w:r w:rsidRPr="00133505">
              <w:rPr>
                <w:color w:val="000000" w:themeColor="text1"/>
              </w:rPr>
              <w:t>Influenza vaccination</w:t>
            </w:r>
            <w:r w:rsidR="00DE6001" w:rsidRPr="00133505">
              <w:rPr>
                <w:color w:val="000000" w:themeColor="text1"/>
              </w:rPr>
              <w:t xml:space="preserve"> claims in the </w:t>
            </w:r>
            <w:r w:rsidR="001F13FD" w:rsidRPr="00133505">
              <w:rPr>
                <w:color w:val="000000" w:themeColor="text1"/>
              </w:rPr>
              <w:t>calendar year after</w:t>
            </w:r>
            <w:r w:rsidR="00DE6001" w:rsidRPr="00133505">
              <w:rPr>
                <w:color w:val="000000" w:themeColor="text1"/>
              </w:rPr>
              <w:t xml:space="preserve"> </w:t>
            </w:r>
            <w:r w:rsidR="00655CCE" w:rsidRPr="00133505">
              <w:rPr>
                <w:color w:val="000000" w:themeColor="text1"/>
              </w:rPr>
              <w:t xml:space="preserve">the year of </w:t>
            </w:r>
            <w:r w:rsidR="00DE6001" w:rsidRPr="00133505">
              <w:rPr>
                <w:color w:val="000000" w:themeColor="text1"/>
              </w:rPr>
              <w:t xml:space="preserve">discharge are included. The year presented is that of the </w:t>
            </w:r>
            <w:r w:rsidR="00E0123D" w:rsidRPr="00133505">
              <w:rPr>
                <w:color w:val="000000" w:themeColor="text1"/>
              </w:rPr>
              <w:t>vaccination</w:t>
            </w:r>
            <w:r w:rsidR="00C12FA5" w:rsidRPr="00133505">
              <w:rPr>
                <w:color w:val="000000" w:themeColor="text1"/>
              </w:rPr>
              <w:t>.</w:t>
            </w:r>
          </w:p>
          <w:p w14:paraId="3957CBB7" w14:textId="22CAB758" w:rsidR="00DE6001" w:rsidRPr="00133505" w:rsidRDefault="007F374B" w:rsidP="07D7EB6C">
            <w:pPr>
              <w:pStyle w:val="Header"/>
              <w:numPr>
                <w:ilvl w:val="0"/>
                <w:numId w:val="21"/>
              </w:numPr>
              <w:spacing w:before="60"/>
              <w:rPr>
                <w:color w:val="000000" w:themeColor="text1"/>
              </w:rPr>
            </w:pPr>
            <w:r w:rsidRPr="00133505">
              <w:rPr>
                <w:color w:val="000000" w:themeColor="text1"/>
              </w:rPr>
              <w:t xml:space="preserve">Publicly funded flu vaccinations administered </w:t>
            </w:r>
            <w:r w:rsidR="002F6B24" w:rsidRPr="00133505">
              <w:rPr>
                <w:color w:val="000000" w:themeColor="text1"/>
              </w:rPr>
              <w:t xml:space="preserve">in general practice </w:t>
            </w:r>
            <w:r w:rsidR="006621E4" w:rsidRPr="00133505">
              <w:rPr>
                <w:color w:val="000000" w:themeColor="text1"/>
              </w:rPr>
              <w:t>and</w:t>
            </w:r>
            <w:r w:rsidR="002F6B24" w:rsidRPr="00133505">
              <w:rPr>
                <w:color w:val="000000" w:themeColor="text1"/>
              </w:rPr>
              <w:t xml:space="preserve"> comm</w:t>
            </w:r>
            <w:r w:rsidR="006621E4" w:rsidRPr="00133505">
              <w:rPr>
                <w:color w:val="000000" w:themeColor="text1"/>
              </w:rPr>
              <w:t>unity pharmacy</w:t>
            </w:r>
            <w:r w:rsidR="004622C2" w:rsidRPr="00133505">
              <w:rPr>
                <w:color w:val="000000" w:themeColor="text1"/>
              </w:rPr>
              <w:t xml:space="preserve"> settings</w:t>
            </w:r>
            <w:r w:rsidR="006621E4" w:rsidRPr="00133505">
              <w:rPr>
                <w:color w:val="000000" w:themeColor="text1"/>
              </w:rPr>
              <w:t xml:space="preserve"> are included. </w:t>
            </w:r>
            <w:r w:rsidR="00DE6001" w:rsidRPr="00133505">
              <w:rPr>
                <w:color w:val="000000" w:themeColor="text1"/>
              </w:rPr>
              <w:t>Flu vaccinations that are administered in hospital, or self</w:t>
            </w:r>
            <w:r w:rsidR="00753952" w:rsidRPr="00133505">
              <w:rPr>
                <w:color w:val="000000" w:themeColor="text1"/>
              </w:rPr>
              <w:t>-</w:t>
            </w:r>
            <w:r w:rsidR="00DE6001" w:rsidRPr="00133505">
              <w:rPr>
                <w:color w:val="000000" w:themeColor="text1"/>
              </w:rPr>
              <w:t>funded or funded by another third party won’t be included here. It is expected that self</w:t>
            </w:r>
            <w:r w:rsidR="00753952" w:rsidRPr="00133505">
              <w:rPr>
                <w:color w:val="000000" w:themeColor="text1"/>
              </w:rPr>
              <w:t>-</w:t>
            </w:r>
            <w:r w:rsidR="00DE6001" w:rsidRPr="00133505">
              <w:rPr>
                <w:color w:val="000000" w:themeColor="text1"/>
              </w:rPr>
              <w:t>funded/alternately funded is likely to biased towards working age groups. Vaccination in hospital may be biased towards children, depending on local practice.</w:t>
            </w:r>
          </w:p>
          <w:p w14:paraId="333AFC3C" w14:textId="77777777" w:rsidR="00DE6001" w:rsidRPr="00133505" w:rsidRDefault="00DE6001" w:rsidP="00021FF0">
            <w:pPr>
              <w:pStyle w:val="Header"/>
              <w:spacing w:before="60"/>
              <w:rPr>
                <w:color w:val="000000" w:themeColor="text1"/>
              </w:rPr>
            </w:pPr>
          </w:p>
        </w:tc>
      </w:tr>
      <w:tr w:rsidR="00133505" w:rsidRPr="00133505" w14:paraId="3C670C50" w14:textId="77777777" w:rsidTr="20CF9A1D">
        <w:trPr>
          <w:trHeight w:val="327"/>
        </w:trPr>
        <w:tc>
          <w:tcPr>
            <w:tcW w:w="1951" w:type="dxa"/>
          </w:tcPr>
          <w:p w14:paraId="77F0062E"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Denominator</w:t>
            </w:r>
          </w:p>
        </w:tc>
        <w:tc>
          <w:tcPr>
            <w:tcW w:w="7371" w:type="dxa"/>
            <w:vAlign w:val="bottom"/>
          </w:tcPr>
          <w:p w14:paraId="627392D9" w14:textId="7C4219BE" w:rsidR="003B070F" w:rsidRPr="00133505" w:rsidRDefault="003B070F" w:rsidP="07D7EB6C">
            <w:pPr>
              <w:pStyle w:val="Header"/>
              <w:spacing w:before="60"/>
              <w:rPr>
                <w:color w:val="000000" w:themeColor="text1"/>
              </w:rPr>
            </w:pPr>
            <w:r w:rsidRPr="00133505">
              <w:rPr>
                <w:color w:val="000000" w:themeColor="text1"/>
              </w:rPr>
              <w:t xml:space="preserve">Those admitted </w:t>
            </w:r>
            <w:r w:rsidR="00687B24" w:rsidRPr="00133505">
              <w:rPr>
                <w:color w:val="000000" w:themeColor="text1"/>
              </w:rPr>
              <w:t xml:space="preserve">in the previous year </w:t>
            </w:r>
            <w:r w:rsidRPr="00133505">
              <w:rPr>
                <w:color w:val="000000" w:themeColor="text1"/>
              </w:rPr>
              <w:t>with a primary diagnosis of asthma (adults</w:t>
            </w:r>
            <w:proofErr w:type="gramStart"/>
            <w:r w:rsidRPr="00133505">
              <w:rPr>
                <w:color w:val="000000" w:themeColor="text1"/>
              </w:rPr>
              <w:t>)</w:t>
            </w:r>
            <w:proofErr w:type="gramEnd"/>
            <w:r w:rsidRPr="00133505">
              <w:rPr>
                <w:color w:val="000000" w:themeColor="text1"/>
              </w:rPr>
              <w:t xml:space="preserve"> or children admitted with a primary diagnosis of asthma or wheeze.</w:t>
            </w:r>
          </w:p>
          <w:p w14:paraId="06D587D8" w14:textId="77777777" w:rsidR="00D237A1" w:rsidRPr="00133505" w:rsidRDefault="00D237A1" w:rsidP="00D237A1">
            <w:pPr>
              <w:pStyle w:val="Header"/>
              <w:spacing w:before="60"/>
              <w:rPr>
                <w:color w:val="000000" w:themeColor="text1"/>
              </w:rPr>
            </w:pPr>
            <w:r w:rsidRPr="00133505">
              <w:rPr>
                <w:color w:val="000000" w:themeColor="text1"/>
              </w:rPr>
              <w:t>Code (ICD10 AM):</w:t>
            </w:r>
          </w:p>
          <w:p w14:paraId="48C92A5B" w14:textId="77777777" w:rsidR="00D237A1" w:rsidRPr="00133505" w:rsidRDefault="00D237A1" w:rsidP="00D237A1">
            <w:pPr>
              <w:pStyle w:val="Header"/>
              <w:spacing w:before="60"/>
              <w:rPr>
                <w:color w:val="000000" w:themeColor="text1"/>
              </w:rPr>
            </w:pPr>
            <w:r w:rsidRPr="00133505">
              <w:rPr>
                <w:color w:val="000000" w:themeColor="text1"/>
              </w:rPr>
              <w:t>J45 Asthma (for everyone</w:t>
            </w:r>
            <w:proofErr w:type="gramStart"/>
            <w:r w:rsidRPr="00133505">
              <w:rPr>
                <w:color w:val="000000" w:themeColor="text1"/>
              </w:rPr>
              <w:t>);</w:t>
            </w:r>
            <w:proofErr w:type="gramEnd"/>
          </w:p>
          <w:p w14:paraId="686ACA6F" w14:textId="77777777" w:rsidR="00D237A1" w:rsidRPr="00133505" w:rsidRDefault="00D237A1" w:rsidP="00D237A1">
            <w:pPr>
              <w:pStyle w:val="Header"/>
              <w:spacing w:before="60"/>
              <w:rPr>
                <w:color w:val="000000" w:themeColor="text1"/>
              </w:rPr>
            </w:pPr>
            <w:r w:rsidRPr="00133505">
              <w:rPr>
                <w:color w:val="000000" w:themeColor="text1"/>
              </w:rPr>
              <w:t>J46 Status Asthmaticus (for everyone</w:t>
            </w:r>
            <w:proofErr w:type="gramStart"/>
            <w:r w:rsidRPr="00133505">
              <w:rPr>
                <w:color w:val="000000" w:themeColor="text1"/>
              </w:rPr>
              <w:t>);</w:t>
            </w:r>
            <w:proofErr w:type="gramEnd"/>
            <w:r w:rsidRPr="00133505">
              <w:rPr>
                <w:color w:val="000000" w:themeColor="text1"/>
              </w:rPr>
              <w:t xml:space="preserve"> </w:t>
            </w:r>
          </w:p>
          <w:p w14:paraId="63E4FB4F" w14:textId="678968AA" w:rsidR="00D237A1" w:rsidRPr="00133505" w:rsidRDefault="00D237A1" w:rsidP="00D237A1">
            <w:pPr>
              <w:pStyle w:val="Header"/>
              <w:spacing w:before="60"/>
              <w:rPr>
                <w:color w:val="000000" w:themeColor="text1"/>
              </w:rPr>
            </w:pPr>
            <w:r w:rsidRPr="00133505">
              <w:rPr>
                <w:color w:val="000000" w:themeColor="text1"/>
              </w:rPr>
              <w:t>R06.2 Wheeze (for children aged 0</w:t>
            </w:r>
            <w:r w:rsidR="00860B92" w:rsidRPr="00133505">
              <w:rPr>
                <w:color w:val="000000" w:themeColor="text1"/>
              </w:rPr>
              <w:t xml:space="preserve"> –</w:t>
            </w:r>
            <w:r w:rsidRPr="00133505">
              <w:rPr>
                <w:color w:val="000000" w:themeColor="text1"/>
              </w:rPr>
              <w:t>11 years)</w:t>
            </w:r>
          </w:p>
          <w:p w14:paraId="4E2A00A1" w14:textId="77777777" w:rsidR="00D237A1" w:rsidRPr="00133505" w:rsidRDefault="00D237A1" w:rsidP="009854E5">
            <w:pPr>
              <w:pStyle w:val="Header"/>
              <w:spacing w:before="60" w:line="240" w:lineRule="auto"/>
              <w:ind w:left="360"/>
              <w:rPr>
                <w:color w:val="000000" w:themeColor="text1"/>
              </w:rPr>
            </w:pPr>
          </w:p>
        </w:tc>
      </w:tr>
      <w:tr w:rsidR="00133505" w:rsidRPr="00133505" w14:paraId="5288EFE7" w14:textId="77777777" w:rsidTr="20CF9A1D">
        <w:trPr>
          <w:trHeight w:val="327"/>
        </w:trPr>
        <w:tc>
          <w:tcPr>
            <w:tcW w:w="1951" w:type="dxa"/>
          </w:tcPr>
          <w:p w14:paraId="58501B26"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vAlign w:val="bottom"/>
          </w:tcPr>
          <w:p w14:paraId="757AC9E9" w14:textId="77777777" w:rsidR="003B070F" w:rsidRPr="00133505" w:rsidRDefault="003B070F" w:rsidP="00021FF0">
            <w:pPr>
              <w:pStyle w:val="Header"/>
              <w:spacing w:before="60"/>
              <w:rPr>
                <w:color w:val="000000" w:themeColor="text1"/>
              </w:rPr>
            </w:pPr>
            <w:r w:rsidRPr="00133505">
              <w:rPr>
                <w:color w:val="000000" w:themeColor="text1"/>
              </w:rPr>
              <w:t>NMDS</w:t>
            </w:r>
          </w:p>
          <w:p w14:paraId="142E6297" w14:textId="3659F5E0" w:rsidR="00D237A1" w:rsidRPr="00133505" w:rsidRDefault="00F44779" w:rsidP="00021FF0">
            <w:pPr>
              <w:pStyle w:val="Header"/>
              <w:spacing w:before="60"/>
              <w:rPr>
                <w:color w:val="000000" w:themeColor="text1"/>
              </w:rPr>
            </w:pPr>
            <w:r w:rsidRPr="00133505">
              <w:rPr>
                <w:color w:val="000000" w:themeColor="text1"/>
              </w:rPr>
              <w:t>Proclaims dataset</w:t>
            </w:r>
          </w:p>
        </w:tc>
      </w:tr>
      <w:tr w:rsidR="00133505" w:rsidRPr="00133505" w14:paraId="056C39A4"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6A6861D5" w14:textId="0748AF23" w:rsidR="00DE6001" w:rsidRPr="00133505" w:rsidRDefault="00DE6001" w:rsidP="00DE6001">
            <w:pPr>
              <w:pStyle w:val="Header"/>
              <w:spacing w:before="60"/>
              <w:rPr>
                <w:color w:val="000000" w:themeColor="text1"/>
                <w:sz w:val="24"/>
              </w:rPr>
            </w:pPr>
            <w:r w:rsidRPr="00133505">
              <w:rPr>
                <w:color w:val="000000" w:themeColor="text1"/>
                <w:sz w:val="24"/>
              </w:rPr>
              <w:t>By variables</w:t>
            </w:r>
          </w:p>
        </w:tc>
        <w:tc>
          <w:tcPr>
            <w:tcW w:w="7371" w:type="dxa"/>
            <w:tcBorders>
              <w:top w:val="single" w:sz="4" w:space="0" w:color="C2D69B"/>
              <w:left w:val="single" w:sz="4" w:space="0" w:color="C2D69B"/>
              <w:bottom w:val="single" w:sz="4" w:space="0" w:color="C2D69B"/>
              <w:right w:val="single" w:sz="4" w:space="0" w:color="C2D69B"/>
            </w:tcBorders>
            <w:vAlign w:val="bottom"/>
          </w:tcPr>
          <w:p w14:paraId="641B4D5C" w14:textId="566D7C8E" w:rsidR="00F44779" w:rsidRPr="00133505" w:rsidRDefault="00D92506" w:rsidP="00F44779">
            <w:pPr>
              <w:pStyle w:val="Header"/>
              <w:spacing w:before="60"/>
              <w:rPr>
                <w:rFonts w:cs="Arial"/>
                <w:color w:val="000000" w:themeColor="text1"/>
              </w:rPr>
            </w:pPr>
            <w:r w:rsidRPr="00133505">
              <w:rPr>
                <w:rFonts w:cs="Arial"/>
                <w:color w:val="000000" w:themeColor="text1"/>
              </w:rPr>
              <w:t>District</w:t>
            </w:r>
            <w:r w:rsidR="763D28E0" w:rsidRPr="00133505">
              <w:rPr>
                <w:rFonts w:cs="Arial"/>
                <w:color w:val="000000" w:themeColor="text1"/>
              </w:rPr>
              <w:t xml:space="preserve"> analysis: By year (201</w:t>
            </w:r>
            <w:r w:rsidR="0D07EA83" w:rsidRPr="00133505">
              <w:rPr>
                <w:rFonts w:cs="Arial"/>
                <w:color w:val="000000" w:themeColor="text1"/>
              </w:rPr>
              <w:t>9</w:t>
            </w:r>
            <w:r w:rsidR="00860B92" w:rsidRPr="00133505">
              <w:rPr>
                <w:rFonts w:cs="Arial"/>
                <w:color w:val="000000" w:themeColor="text1"/>
              </w:rPr>
              <w:t xml:space="preserve"> –</w:t>
            </w:r>
            <w:r w:rsidR="763D28E0" w:rsidRPr="00133505">
              <w:rPr>
                <w:rFonts w:cs="Arial"/>
                <w:color w:val="000000" w:themeColor="text1"/>
              </w:rPr>
              <w:t>202</w:t>
            </w:r>
            <w:r w:rsidR="0D07EA83" w:rsidRPr="00133505">
              <w:rPr>
                <w:rFonts w:cs="Arial"/>
                <w:color w:val="000000" w:themeColor="text1"/>
              </w:rPr>
              <w:t>3</w:t>
            </w:r>
            <w:r w:rsidR="763D28E0" w:rsidRPr="00133505">
              <w:rPr>
                <w:rFonts w:cs="Arial"/>
                <w:color w:val="000000" w:themeColor="text1"/>
              </w:rPr>
              <w:t>), age group (</w:t>
            </w:r>
            <w:r w:rsidR="7F62392F" w:rsidRPr="00133505">
              <w:rPr>
                <w:rFonts w:cs="Arial"/>
                <w:color w:val="000000" w:themeColor="text1"/>
              </w:rPr>
              <w:t xml:space="preserve">0–4, </w:t>
            </w:r>
            <w:r w:rsidR="763D28E0" w:rsidRPr="00133505">
              <w:rPr>
                <w:rFonts w:cs="Arial"/>
                <w:color w:val="000000" w:themeColor="text1"/>
              </w:rPr>
              <w:t>5</w:t>
            </w:r>
            <w:r w:rsidR="00860B92" w:rsidRPr="00133505">
              <w:rPr>
                <w:rFonts w:cs="Arial"/>
                <w:color w:val="000000" w:themeColor="text1"/>
              </w:rPr>
              <w:t xml:space="preserve"> –</w:t>
            </w:r>
            <w:r w:rsidR="763D28E0" w:rsidRPr="00133505">
              <w:rPr>
                <w:rFonts w:cs="Arial"/>
                <w:color w:val="000000" w:themeColor="text1"/>
              </w:rPr>
              <w:t xml:space="preserve">11, </w:t>
            </w:r>
            <w:r w:rsidR="763D28E0" w:rsidRPr="00133505">
              <w:rPr>
                <w:color w:val="000000" w:themeColor="text1"/>
              </w:rPr>
              <w:t>12</w:t>
            </w:r>
            <w:r w:rsidR="00860B92" w:rsidRPr="00133505">
              <w:rPr>
                <w:color w:val="000000" w:themeColor="text1"/>
              </w:rPr>
              <w:t xml:space="preserve"> –</w:t>
            </w:r>
            <w:r w:rsidR="763D28E0" w:rsidRPr="00133505">
              <w:rPr>
                <w:color w:val="000000" w:themeColor="text1"/>
              </w:rPr>
              <w:t>24, 25</w:t>
            </w:r>
            <w:r w:rsidR="00860B92" w:rsidRPr="00133505">
              <w:rPr>
                <w:color w:val="000000" w:themeColor="text1"/>
              </w:rPr>
              <w:t xml:space="preserve"> –</w:t>
            </w:r>
            <w:r w:rsidR="763D28E0" w:rsidRPr="00133505">
              <w:rPr>
                <w:color w:val="000000" w:themeColor="text1"/>
              </w:rPr>
              <w:t>44, 45</w:t>
            </w:r>
            <w:r w:rsidR="00860B92" w:rsidRPr="00133505">
              <w:rPr>
                <w:color w:val="000000" w:themeColor="text1"/>
              </w:rPr>
              <w:t xml:space="preserve"> –</w:t>
            </w:r>
            <w:r w:rsidR="763D28E0" w:rsidRPr="00133505">
              <w:rPr>
                <w:color w:val="000000" w:themeColor="text1"/>
              </w:rPr>
              <w:t>64, 65</w:t>
            </w:r>
            <w:r w:rsidR="00C87D3A" w:rsidRPr="00133505">
              <w:rPr>
                <w:color w:val="000000" w:themeColor="text1"/>
              </w:rPr>
              <w:t>+</w:t>
            </w:r>
            <w:r w:rsidR="00C87D3A" w:rsidRPr="00133505">
              <w:rPr>
                <w:rFonts w:cs="Arial"/>
                <w:color w:val="000000" w:themeColor="text1"/>
              </w:rPr>
              <w:t>), gender (female, male), ethnic group (</w:t>
            </w:r>
            <w:r w:rsidR="00C87D3A" w:rsidRPr="00133505">
              <w:rPr>
                <w:color w:val="000000" w:themeColor="text1"/>
              </w:rPr>
              <w:t>Māori, Pacific peoples, European/Other)</w:t>
            </w:r>
            <w:r w:rsidR="00C87D3A" w:rsidRPr="00133505">
              <w:rPr>
                <w:rFonts w:cs="Arial"/>
                <w:color w:val="000000" w:themeColor="text1"/>
              </w:rPr>
              <w:t xml:space="preserve"> </w:t>
            </w:r>
            <w:r w:rsidR="763D28E0" w:rsidRPr="00133505">
              <w:rPr>
                <w:rFonts w:cs="Arial"/>
                <w:color w:val="000000" w:themeColor="text1"/>
              </w:rPr>
              <w:t>and Health New Zealand district of domicile.</w:t>
            </w:r>
          </w:p>
          <w:p w14:paraId="508124C3" w14:textId="424726EE" w:rsidR="00DE6001" w:rsidRPr="00133505" w:rsidRDefault="00F44779" w:rsidP="00F44779">
            <w:pPr>
              <w:pStyle w:val="Header"/>
              <w:spacing w:before="60"/>
              <w:rPr>
                <w:color w:val="000000" w:themeColor="text1"/>
              </w:rPr>
            </w:pPr>
            <w:r w:rsidRPr="00133505">
              <w:rPr>
                <w:rFonts w:cs="Arial"/>
                <w:color w:val="000000" w:themeColor="text1"/>
              </w:rPr>
              <w:t>PHO analysis: By year (202</w:t>
            </w:r>
            <w:r w:rsidR="005E25F5" w:rsidRPr="00133505">
              <w:rPr>
                <w:rFonts w:cs="Arial"/>
                <w:color w:val="000000" w:themeColor="text1"/>
              </w:rPr>
              <w:t>3</w:t>
            </w:r>
            <w:r w:rsidRPr="00133505">
              <w:rPr>
                <w:rFonts w:cs="Arial"/>
                <w:color w:val="000000" w:themeColor="text1"/>
              </w:rPr>
              <w:t>), age group</w:t>
            </w:r>
            <w:r w:rsidRPr="00133505">
              <w:rPr>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PHO group (small, medium,</w:t>
            </w:r>
            <w:r w:rsidR="00866078" w:rsidRPr="00133505">
              <w:rPr>
                <w:rFonts w:cs="Arial"/>
                <w:color w:val="000000" w:themeColor="text1"/>
                <w:szCs w:val="22"/>
              </w:rPr>
              <w:t xml:space="preserve"> medium-large</w:t>
            </w:r>
            <w:r w:rsidR="00150A16" w:rsidRPr="00133505">
              <w:rPr>
                <w:rFonts w:cs="Arial"/>
                <w:color w:val="000000" w:themeColor="text1"/>
                <w:szCs w:val="22"/>
              </w:rPr>
              <w:t xml:space="preserve"> </w:t>
            </w:r>
            <w:r w:rsidRPr="00133505">
              <w:rPr>
                <w:rFonts w:cs="Arial"/>
                <w:color w:val="000000" w:themeColor="text1"/>
                <w:szCs w:val="22"/>
              </w:rPr>
              <w:t>and large).</w:t>
            </w:r>
          </w:p>
        </w:tc>
      </w:tr>
      <w:tr w:rsidR="00133505" w:rsidRPr="00133505" w14:paraId="2FFF02C8"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23EBF22A" w14:textId="77777777" w:rsidR="003B070F" w:rsidRPr="00133505" w:rsidRDefault="003B070F" w:rsidP="00021FF0">
            <w:pPr>
              <w:pStyle w:val="Header"/>
              <w:spacing w:before="60"/>
              <w:rPr>
                <w:color w:val="000000" w:themeColor="text1"/>
                <w:sz w:val="24"/>
              </w:rPr>
            </w:pPr>
            <w:r w:rsidRPr="00133505">
              <w:rPr>
                <w:color w:val="000000" w:themeColor="text1"/>
                <w:sz w:val="24"/>
              </w:rPr>
              <w:t>Rationale</w:t>
            </w:r>
          </w:p>
        </w:tc>
        <w:tc>
          <w:tcPr>
            <w:tcW w:w="7371" w:type="dxa"/>
            <w:tcBorders>
              <w:top w:val="single" w:sz="4" w:space="0" w:color="C2D69B"/>
              <w:left w:val="single" w:sz="4" w:space="0" w:color="C2D69B"/>
              <w:bottom w:val="single" w:sz="4" w:space="0" w:color="C2D69B"/>
              <w:right w:val="single" w:sz="4" w:space="0" w:color="C2D69B"/>
            </w:tcBorders>
            <w:vAlign w:val="bottom"/>
          </w:tcPr>
          <w:p w14:paraId="3B57304D" w14:textId="09DC228B" w:rsidR="003B070F" w:rsidRPr="00133505" w:rsidRDefault="003B070F" w:rsidP="003F2043">
            <w:pPr>
              <w:spacing w:line="264" w:lineRule="auto"/>
              <w:rPr>
                <w:color w:val="000000" w:themeColor="text1"/>
              </w:rPr>
            </w:pPr>
            <w:r w:rsidRPr="00133505">
              <w:rPr>
                <w:color w:val="000000" w:themeColor="text1"/>
              </w:rPr>
              <w:t xml:space="preserve">Those who have a hospital admission for asthma are recommended to receive an influenza vaccination as they are at greater risk of severe illness and hospitalisation if they contract influenza. </w:t>
            </w:r>
            <w:proofErr w:type="spellStart"/>
            <w:r w:rsidRPr="00133505">
              <w:rPr>
                <w:color w:val="000000" w:themeColor="text1"/>
              </w:rPr>
              <w:t>Pharmac</w:t>
            </w:r>
            <w:proofErr w:type="spellEnd"/>
            <w:r w:rsidRPr="00133505">
              <w:rPr>
                <w:color w:val="000000" w:themeColor="text1"/>
              </w:rPr>
              <w:t xml:space="preserve"> funds the influenza vaccine for this group. </w:t>
            </w:r>
          </w:p>
          <w:p w14:paraId="1AE4BD1C" w14:textId="77777777" w:rsidR="003B070F" w:rsidRPr="00133505" w:rsidRDefault="003B070F" w:rsidP="00021FF0">
            <w:pPr>
              <w:pStyle w:val="Header"/>
              <w:spacing w:before="60"/>
              <w:rPr>
                <w:color w:val="000000" w:themeColor="text1"/>
              </w:rPr>
            </w:pPr>
            <w:r w:rsidRPr="00133505">
              <w:rPr>
                <w:color w:val="000000" w:themeColor="text1"/>
              </w:rPr>
              <w:t>The criteria for funding include (only relevant criteria are shown):</w:t>
            </w:r>
          </w:p>
          <w:p w14:paraId="508A9BF7" w14:textId="4C8EF2E9" w:rsidR="007864E5" w:rsidRPr="00133505" w:rsidRDefault="003B070F" w:rsidP="00021FF0">
            <w:pPr>
              <w:pStyle w:val="Header"/>
              <w:spacing w:before="60"/>
              <w:rPr>
                <w:color w:val="000000" w:themeColor="text1"/>
              </w:rPr>
            </w:pPr>
            <w:r w:rsidRPr="00133505">
              <w:rPr>
                <w:color w:val="000000" w:themeColor="text1"/>
              </w:rPr>
              <w:t>a)</w:t>
            </w:r>
            <w:r w:rsidR="007864E5" w:rsidRPr="00133505">
              <w:rPr>
                <w:color w:val="000000" w:themeColor="text1"/>
              </w:rPr>
              <w:t xml:space="preserve"> all people 65 years of age and over; or</w:t>
            </w:r>
          </w:p>
          <w:p w14:paraId="5437AB6B" w14:textId="62283816" w:rsidR="003B070F" w:rsidRPr="00133505" w:rsidRDefault="007864E5" w:rsidP="00021FF0">
            <w:pPr>
              <w:pStyle w:val="Header"/>
              <w:spacing w:before="60"/>
              <w:rPr>
                <w:color w:val="000000" w:themeColor="text1"/>
              </w:rPr>
            </w:pPr>
            <w:r w:rsidRPr="00133505">
              <w:rPr>
                <w:color w:val="000000" w:themeColor="text1"/>
              </w:rPr>
              <w:t>b</w:t>
            </w:r>
            <w:r w:rsidR="003B070F" w:rsidRPr="00133505">
              <w:rPr>
                <w:color w:val="000000" w:themeColor="text1"/>
              </w:rPr>
              <w:t xml:space="preserve">) people under 65 years who have asthma, if on a regular preventative </w:t>
            </w:r>
            <w:r w:rsidR="00DD1F7D" w:rsidRPr="00133505">
              <w:rPr>
                <w:color w:val="000000" w:themeColor="text1"/>
              </w:rPr>
              <w:t>therapy, or</w:t>
            </w:r>
            <w:r w:rsidR="003B070F" w:rsidRPr="00133505">
              <w:rPr>
                <w:color w:val="000000" w:themeColor="text1"/>
              </w:rPr>
              <w:t xml:space="preserve"> </w:t>
            </w:r>
          </w:p>
          <w:p w14:paraId="76B81650" w14:textId="77777777" w:rsidR="003B070F" w:rsidRPr="00133505" w:rsidRDefault="003B070F" w:rsidP="00021FF0">
            <w:pPr>
              <w:pStyle w:val="Header"/>
              <w:spacing w:before="60"/>
              <w:rPr>
                <w:color w:val="000000" w:themeColor="text1"/>
              </w:rPr>
            </w:pPr>
            <w:r w:rsidRPr="00133505">
              <w:rPr>
                <w:color w:val="000000" w:themeColor="text1"/>
              </w:rPr>
              <w:t>b) children aged four years and under who have been hospitalised for respiratory illness or have a history of significant respiratory illness.</w:t>
            </w:r>
          </w:p>
          <w:p w14:paraId="0F3CF13A" w14:textId="59DB7401" w:rsidR="003B070F" w:rsidRPr="00133505" w:rsidRDefault="003B070F" w:rsidP="07D7EB6C">
            <w:pPr>
              <w:pStyle w:val="Header"/>
              <w:tabs>
                <w:tab w:val="clear" w:pos="4153"/>
                <w:tab w:val="center" w:pos="743"/>
              </w:tabs>
              <w:spacing w:before="60"/>
              <w:rPr>
                <w:color w:val="000000" w:themeColor="text1"/>
              </w:rPr>
            </w:pPr>
            <w:r w:rsidRPr="00133505">
              <w:rPr>
                <w:color w:val="000000" w:themeColor="text1"/>
              </w:rPr>
              <w:t>High rates of people not receiving a free funded flu vaccination in the year post discharge</w:t>
            </w:r>
            <w:r w:rsidR="00D237A1" w:rsidRPr="00133505">
              <w:rPr>
                <w:color w:val="000000" w:themeColor="text1"/>
              </w:rPr>
              <w:t xml:space="preserve"> </w:t>
            </w:r>
            <w:r w:rsidRPr="00133505">
              <w:rPr>
                <w:color w:val="000000" w:themeColor="text1"/>
              </w:rPr>
              <w:t xml:space="preserve">suggests suboptimal disease management or barriers to access.  </w:t>
            </w:r>
          </w:p>
        </w:tc>
      </w:tr>
      <w:tr w:rsidR="00EC332C" w:rsidRPr="00133505" w14:paraId="3D24E411"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10A8CA43" w14:textId="5FA90C39" w:rsidR="00EC332C" w:rsidRPr="00133505" w:rsidRDefault="004648D0" w:rsidP="00021FF0">
            <w:pPr>
              <w:pStyle w:val="Header"/>
              <w:spacing w:before="60"/>
              <w:rPr>
                <w:color w:val="000000" w:themeColor="text1"/>
                <w:sz w:val="24"/>
              </w:rPr>
            </w:pPr>
            <w:r w:rsidRPr="00133505">
              <w:rPr>
                <w:color w:val="000000" w:themeColor="text1"/>
                <w:sz w:val="24"/>
              </w:rPr>
              <w:t>Commentary</w:t>
            </w:r>
          </w:p>
        </w:tc>
        <w:tc>
          <w:tcPr>
            <w:tcW w:w="7371" w:type="dxa"/>
            <w:tcBorders>
              <w:top w:val="single" w:sz="4" w:space="0" w:color="C2D69B"/>
              <w:left w:val="single" w:sz="4" w:space="0" w:color="C2D69B"/>
              <w:bottom w:val="single" w:sz="4" w:space="0" w:color="C2D69B"/>
              <w:right w:val="single" w:sz="4" w:space="0" w:color="C2D69B"/>
            </w:tcBorders>
            <w:vAlign w:val="bottom"/>
          </w:tcPr>
          <w:p w14:paraId="67134B26" w14:textId="77777777" w:rsidR="00B57FF0" w:rsidRPr="00133505" w:rsidRDefault="00B57FF0" w:rsidP="00B57FF0">
            <w:pPr>
              <w:spacing w:line="264" w:lineRule="auto"/>
              <w:rPr>
                <w:color w:val="000000" w:themeColor="text1"/>
              </w:rPr>
            </w:pPr>
            <w:r w:rsidRPr="00133505">
              <w:rPr>
                <w:color w:val="000000" w:themeColor="text1"/>
              </w:rPr>
              <w:t xml:space="preserve">Description: </w:t>
            </w:r>
          </w:p>
          <w:p w14:paraId="6A36F13B" w14:textId="77777777" w:rsidR="00B57FF0" w:rsidRPr="00133505" w:rsidRDefault="00B57FF0" w:rsidP="00B57FF0">
            <w:pPr>
              <w:spacing w:line="264" w:lineRule="auto"/>
              <w:rPr>
                <w:color w:val="000000" w:themeColor="text1"/>
              </w:rPr>
            </w:pPr>
            <w:r w:rsidRPr="00133505">
              <w:rPr>
                <w:color w:val="000000" w:themeColor="text1"/>
              </w:rPr>
              <w:t xml:space="preserve">This indicator shows the number and percent of people admitted to hospital with a primary diagnosis of asthma who were not given a funded influenza vaccine in the year following admission.  Hospital discharges occurring in the prior calendar year are included; pharmaceutical claims in the post-discharge calendar year are included. ED admissions meeting the three-hour rule are included in this indicator. People given their vaccination in hospital are not included in this indicator, neither are those who self-funded nor received a vaccination funded by a third- party, </w:t>
            </w:r>
            <w:proofErr w:type="spellStart"/>
            <w:r w:rsidRPr="00133505">
              <w:rPr>
                <w:color w:val="000000" w:themeColor="text1"/>
              </w:rPr>
              <w:t>eg</w:t>
            </w:r>
            <w:proofErr w:type="spellEnd"/>
            <w:r w:rsidRPr="00133505">
              <w:rPr>
                <w:color w:val="000000" w:themeColor="text1"/>
              </w:rPr>
              <w:t>, workplace. However, it is not thought the inclusion of these data is likely to close the treatment gap.</w:t>
            </w:r>
          </w:p>
          <w:p w14:paraId="58D14B02" w14:textId="77777777" w:rsidR="00B57FF0" w:rsidRPr="00133505" w:rsidRDefault="00B57FF0" w:rsidP="00B57FF0">
            <w:pPr>
              <w:spacing w:line="264" w:lineRule="auto"/>
              <w:rPr>
                <w:color w:val="000000" w:themeColor="text1"/>
              </w:rPr>
            </w:pPr>
          </w:p>
          <w:p w14:paraId="70377F1D" w14:textId="1A91418D" w:rsidR="00B57FF0" w:rsidRPr="00133505" w:rsidRDefault="0024599C" w:rsidP="00B57FF0">
            <w:pPr>
              <w:spacing w:line="264" w:lineRule="auto"/>
              <w:rPr>
                <w:color w:val="000000" w:themeColor="text1"/>
              </w:rPr>
            </w:pPr>
            <w:r>
              <w:rPr>
                <w:color w:val="000000" w:themeColor="text1"/>
              </w:rPr>
              <w:t xml:space="preserve">Data is </w:t>
            </w:r>
            <w:r w:rsidR="00B57FF0" w:rsidRPr="00133505">
              <w:rPr>
                <w:color w:val="000000" w:themeColor="text1"/>
              </w:rPr>
              <w:t>presented by year, ethnicity, age, gender and district of domicile. </w:t>
            </w:r>
          </w:p>
          <w:p w14:paraId="1C147140" w14:textId="77777777" w:rsidR="00B57FF0" w:rsidRPr="00133505" w:rsidRDefault="00B57FF0" w:rsidP="00B57FF0">
            <w:pPr>
              <w:spacing w:line="264" w:lineRule="auto"/>
              <w:rPr>
                <w:color w:val="000000" w:themeColor="text1"/>
              </w:rPr>
            </w:pPr>
          </w:p>
          <w:p w14:paraId="57496583" w14:textId="77777777" w:rsidR="00B57FF0" w:rsidRPr="00133505" w:rsidRDefault="00B57FF0" w:rsidP="00B57FF0">
            <w:pPr>
              <w:spacing w:line="264" w:lineRule="auto"/>
              <w:rPr>
                <w:color w:val="000000" w:themeColor="text1"/>
              </w:rPr>
            </w:pPr>
            <w:r w:rsidRPr="00133505">
              <w:rPr>
                <w:color w:val="000000" w:themeColor="text1"/>
              </w:rPr>
              <w:t xml:space="preserve">Why is this important? </w:t>
            </w:r>
          </w:p>
          <w:p w14:paraId="35C83472" w14:textId="77777777" w:rsidR="00B57FF0" w:rsidRPr="00133505" w:rsidRDefault="00B57FF0" w:rsidP="00B57FF0">
            <w:pPr>
              <w:spacing w:line="264" w:lineRule="auto"/>
              <w:rPr>
                <w:color w:val="000000" w:themeColor="text1"/>
              </w:rPr>
            </w:pPr>
            <w:r w:rsidRPr="00133505">
              <w:rPr>
                <w:color w:val="000000" w:themeColor="text1"/>
              </w:rPr>
              <w:t xml:space="preserve">Those who have a hospital admission for asthma are recommended to receive regular preventative therapy to manage their asthma. Influenza </w:t>
            </w:r>
            <w:r w:rsidRPr="00133505">
              <w:rPr>
                <w:color w:val="000000" w:themeColor="text1"/>
              </w:rPr>
              <w:lastRenderedPageBreak/>
              <w:t xml:space="preserve">vaccine is part of this, and </w:t>
            </w:r>
            <w:proofErr w:type="spellStart"/>
            <w:r w:rsidRPr="00133505">
              <w:rPr>
                <w:color w:val="000000" w:themeColor="text1"/>
              </w:rPr>
              <w:t>Pharmac</w:t>
            </w:r>
            <w:proofErr w:type="spellEnd"/>
            <w:r w:rsidRPr="00133505">
              <w:rPr>
                <w:color w:val="000000" w:themeColor="text1"/>
              </w:rPr>
              <w:t xml:space="preserve"> funds the influenza vaccine for this group. </w:t>
            </w:r>
            <w:proofErr w:type="spellStart"/>
            <w:r w:rsidRPr="00133505">
              <w:rPr>
                <w:color w:val="000000" w:themeColor="text1"/>
              </w:rPr>
              <w:t>Pharmac's</w:t>
            </w:r>
            <w:proofErr w:type="spellEnd"/>
            <w:r w:rsidRPr="00133505">
              <w:rPr>
                <w:color w:val="000000" w:themeColor="text1"/>
              </w:rPr>
              <w:t xml:space="preserve"> criteria for funding includes (only relevant criteria are shown):</w:t>
            </w:r>
          </w:p>
          <w:p w14:paraId="5C90DBCB" w14:textId="77777777" w:rsidR="00B57FF0" w:rsidRPr="00133505" w:rsidRDefault="00B57FF0" w:rsidP="00B57FF0">
            <w:pPr>
              <w:spacing w:line="264" w:lineRule="auto"/>
              <w:rPr>
                <w:color w:val="000000" w:themeColor="text1"/>
              </w:rPr>
            </w:pPr>
            <w:r w:rsidRPr="00133505">
              <w:rPr>
                <w:color w:val="000000" w:themeColor="text1"/>
              </w:rPr>
              <w:t>• a) all people 65 years of age and over; or</w:t>
            </w:r>
          </w:p>
          <w:p w14:paraId="3C4CE78B" w14:textId="77777777" w:rsidR="00B57FF0" w:rsidRPr="00133505" w:rsidRDefault="00B57FF0" w:rsidP="00B57FF0">
            <w:pPr>
              <w:spacing w:line="264" w:lineRule="auto"/>
              <w:rPr>
                <w:color w:val="000000" w:themeColor="text1"/>
              </w:rPr>
            </w:pPr>
            <w:r w:rsidRPr="00133505">
              <w:rPr>
                <w:color w:val="000000" w:themeColor="text1"/>
              </w:rPr>
              <w:t xml:space="preserve">• b) people under 65 years who have asthma, if on a regular preventative therapy, or </w:t>
            </w:r>
          </w:p>
          <w:p w14:paraId="6D5B8F71" w14:textId="77777777" w:rsidR="00B57FF0" w:rsidRPr="00133505" w:rsidRDefault="00B57FF0" w:rsidP="00B57FF0">
            <w:pPr>
              <w:spacing w:line="264" w:lineRule="auto"/>
              <w:rPr>
                <w:color w:val="000000" w:themeColor="text1"/>
              </w:rPr>
            </w:pPr>
            <w:r w:rsidRPr="00133505">
              <w:rPr>
                <w:color w:val="000000" w:themeColor="text1"/>
              </w:rPr>
              <w:t>• c) children aged four years and under who have been hospitalised for respiratory illness or have a history of significant respiratory illness.</w:t>
            </w:r>
          </w:p>
          <w:p w14:paraId="6C9ADAFC" w14:textId="77777777" w:rsidR="00B57FF0" w:rsidRPr="00133505" w:rsidRDefault="00B57FF0" w:rsidP="00B57FF0">
            <w:pPr>
              <w:spacing w:line="264" w:lineRule="auto"/>
              <w:rPr>
                <w:color w:val="000000" w:themeColor="text1"/>
              </w:rPr>
            </w:pPr>
          </w:p>
          <w:p w14:paraId="0BCFD5FC" w14:textId="77777777" w:rsidR="00B57FF0" w:rsidRPr="00133505" w:rsidRDefault="00B57FF0" w:rsidP="00B57FF0">
            <w:pPr>
              <w:spacing w:line="264" w:lineRule="auto"/>
              <w:rPr>
                <w:color w:val="000000" w:themeColor="text1"/>
              </w:rPr>
            </w:pPr>
            <w:r w:rsidRPr="00133505">
              <w:rPr>
                <w:color w:val="000000" w:themeColor="text1"/>
              </w:rPr>
              <w:t xml:space="preserve">What questions does this prompt? </w:t>
            </w:r>
          </w:p>
          <w:p w14:paraId="3F50CF55" w14:textId="77777777" w:rsidR="00B57FF0" w:rsidRPr="00133505" w:rsidRDefault="00B57FF0" w:rsidP="00B57FF0">
            <w:pPr>
              <w:spacing w:line="264" w:lineRule="auto"/>
              <w:rPr>
                <w:color w:val="000000" w:themeColor="text1"/>
              </w:rPr>
            </w:pPr>
            <w:r w:rsidRPr="00133505">
              <w:rPr>
                <w:color w:val="000000" w:themeColor="text1"/>
              </w:rPr>
              <w:t xml:space="preserve">• How many of this group received a vaccination in hospital? </w:t>
            </w:r>
          </w:p>
          <w:p w14:paraId="1A2EBEDB" w14:textId="77777777" w:rsidR="00B57FF0" w:rsidRPr="00133505" w:rsidRDefault="00B57FF0" w:rsidP="00B57FF0">
            <w:pPr>
              <w:spacing w:line="264" w:lineRule="auto"/>
              <w:rPr>
                <w:color w:val="000000" w:themeColor="text1"/>
              </w:rPr>
            </w:pPr>
            <w:r w:rsidRPr="00133505">
              <w:rPr>
                <w:color w:val="000000" w:themeColor="text1"/>
              </w:rPr>
              <w:t>• What proportion of people self-fund influenza vaccine? Is this likely to increase rates more in some districts than others?</w:t>
            </w:r>
          </w:p>
          <w:p w14:paraId="0E5C9C45" w14:textId="77777777" w:rsidR="00B57FF0" w:rsidRPr="00133505" w:rsidRDefault="00B57FF0" w:rsidP="00B57FF0">
            <w:pPr>
              <w:spacing w:line="264" w:lineRule="auto"/>
              <w:rPr>
                <w:color w:val="000000" w:themeColor="text1"/>
              </w:rPr>
            </w:pPr>
            <w:r w:rsidRPr="00133505">
              <w:rPr>
                <w:color w:val="000000" w:themeColor="text1"/>
              </w:rPr>
              <w:t>• How is asthma education managed in the districts? Is the education managed in a culturally appropriate way?</w:t>
            </w:r>
          </w:p>
          <w:p w14:paraId="366433D3" w14:textId="01BABD83" w:rsidR="001E46A0" w:rsidRPr="00133505" w:rsidRDefault="001E46A0" w:rsidP="00EC332C">
            <w:pPr>
              <w:spacing w:line="264" w:lineRule="auto"/>
              <w:rPr>
                <w:color w:val="000000" w:themeColor="text1"/>
              </w:rPr>
            </w:pPr>
          </w:p>
        </w:tc>
      </w:tr>
    </w:tbl>
    <w:p w14:paraId="651A7BC9" w14:textId="77777777" w:rsidR="003B070F" w:rsidRPr="00133505" w:rsidRDefault="003B070F" w:rsidP="003B070F">
      <w:pPr>
        <w:rPr>
          <w:b/>
          <w:color w:val="000000" w:themeColor="text1"/>
          <w:szCs w:val="22"/>
        </w:rPr>
      </w:pPr>
    </w:p>
    <w:p w14:paraId="6EA854DC" w14:textId="77777777" w:rsidR="003B070F" w:rsidRPr="00133505" w:rsidRDefault="003B070F" w:rsidP="003B070F">
      <w:pPr>
        <w:rPr>
          <w:b/>
          <w:color w:val="000000" w:themeColor="text1"/>
          <w:szCs w:val="22"/>
        </w:rPr>
      </w:pPr>
    </w:p>
    <w:p w14:paraId="4ACC8018" w14:textId="2A3441A4" w:rsidR="003B070F" w:rsidRPr="00133505" w:rsidRDefault="004A2B29" w:rsidP="00494E58">
      <w:pPr>
        <w:pStyle w:val="TeThHauorahead3"/>
        <w:rPr>
          <w:color w:val="000000" w:themeColor="text1"/>
          <w:szCs w:val="22"/>
        </w:rPr>
      </w:pPr>
      <w:bookmarkStart w:id="10" w:name="_Toc196292455"/>
      <w:r w:rsidRPr="00133505">
        <w:rPr>
          <w:color w:val="000000" w:themeColor="text1"/>
          <w:szCs w:val="22"/>
        </w:rPr>
        <w:t xml:space="preserve">7. </w:t>
      </w:r>
      <w:r w:rsidRPr="00133505">
        <w:rPr>
          <w:color w:val="000000" w:themeColor="text1"/>
        </w:rPr>
        <w:t>People regularly dispensed a short</w:t>
      </w:r>
      <w:r w:rsidR="00E77775" w:rsidRPr="00133505">
        <w:rPr>
          <w:color w:val="000000" w:themeColor="text1"/>
        </w:rPr>
        <w:t>-</w:t>
      </w:r>
      <w:r w:rsidRPr="00133505">
        <w:rPr>
          <w:color w:val="000000" w:themeColor="text1"/>
        </w:rPr>
        <w:t>acting beta agonist (SABA) who were not dispensed preventer during the year</w:t>
      </w:r>
      <w:bookmarkEnd w:id="10"/>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0A5142FA"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225B0272"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#7:</w:t>
            </w:r>
          </w:p>
        </w:tc>
        <w:tc>
          <w:tcPr>
            <w:tcW w:w="7371" w:type="dxa"/>
            <w:tcBorders>
              <w:top w:val="single" w:sz="4" w:space="0" w:color="C2D69B"/>
              <w:left w:val="single" w:sz="4" w:space="0" w:color="C2D69B"/>
              <w:bottom w:val="single" w:sz="4" w:space="0" w:color="C2D69B"/>
              <w:right w:val="single" w:sz="4" w:space="0" w:color="C2D69B"/>
            </w:tcBorders>
            <w:vAlign w:val="bottom"/>
          </w:tcPr>
          <w:p w14:paraId="18798E35" w14:textId="228DB2F1" w:rsidR="003B070F" w:rsidRPr="00133505" w:rsidRDefault="003B070F" w:rsidP="00021FF0">
            <w:pPr>
              <w:pStyle w:val="Header"/>
              <w:tabs>
                <w:tab w:val="center" w:pos="743"/>
              </w:tabs>
              <w:spacing w:before="60"/>
              <w:rPr>
                <w:color w:val="000000" w:themeColor="text1"/>
              </w:rPr>
            </w:pPr>
            <w:r w:rsidRPr="00133505">
              <w:rPr>
                <w:color w:val="000000" w:themeColor="text1"/>
              </w:rPr>
              <w:t xml:space="preserve">People </w:t>
            </w:r>
            <w:r w:rsidR="00390B64" w:rsidRPr="00133505">
              <w:rPr>
                <w:color w:val="000000" w:themeColor="text1"/>
              </w:rPr>
              <w:t>aged 5</w:t>
            </w:r>
            <w:r w:rsidR="000C0624" w:rsidRPr="00133505">
              <w:rPr>
                <w:color w:val="000000" w:themeColor="text1"/>
              </w:rPr>
              <w:t>–44</w:t>
            </w:r>
            <w:r w:rsidRPr="00133505">
              <w:rPr>
                <w:color w:val="000000" w:themeColor="text1"/>
              </w:rPr>
              <w:t xml:space="preserve"> regularly dispensed a short</w:t>
            </w:r>
            <w:r w:rsidR="00E77775" w:rsidRPr="00133505">
              <w:rPr>
                <w:color w:val="000000" w:themeColor="text1"/>
              </w:rPr>
              <w:t>-</w:t>
            </w:r>
            <w:r w:rsidRPr="00133505">
              <w:rPr>
                <w:color w:val="000000" w:themeColor="text1"/>
              </w:rPr>
              <w:t xml:space="preserve">acting beta agonist (SABA) who were not dispensed preventer </w:t>
            </w:r>
            <w:r w:rsidR="002A0309" w:rsidRPr="00133505">
              <w:rPr>
                <w:color w:val="000000" w:themeColor="text1"/>
              </w:rPr>
              <w:t xml:space="preserve">anytime </w:t>
            </w:r>
            <w:r w:rsidRPr="00133505">
              <w:rPr>
                <w:color w:val="000000" w:themeColor="text1"/>
              </w:rPr>
              <w:t>during the year</w:t>
            </w:r>
            <w:r w:rsidR="00A91027" w:rsidRPr="00133505">
              <w:rPr>
                <w:color w:val="000000" w:themeColor="text1"/>
              </w:rPr>
              <w:t>, among PHO enrolled population</w:t>
            </w:r>
            <w:r w:rsidR="00AF6B63" w:rsidRPr="00133505">
              <w:rPr>
                <w:color w:val="000000" w:themeColor="text1"/>
              </w:rPr>
              <w:t xml:space="preserve"> </w:t>
            </w:r>
          </w:p>
        </w:tc>
      </w:tr>
      <w:tr w:rsidR="00133505" w:rsidRPr="00133505" w14:paraId="1690EF8F"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6A831B61"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42BE38AC" w14:textId="77777777" w:rsidR="003B070F" w:rsidRPr="00133505" w:rsidRDefault="003B070F" w:rsidP="00021FF0">
            <w:pPr>
              <w:pStyle w:val="Header"/>
              <w:tabs>
                <w:tab w:val="clear" w:pos="4153"/>
                <w:tab w:val="center" w:pos="743"/>
              </w:tabs>
              <w:spacing w:before="60"/>
              <w:rPr>
                <w:color w:val="000000" w:themeColor="text1"/>
              </w:rPr>
            </w:pPr>
            <w:r w:rsidRPr="00133505">
              <w:rPr>
                <w:color w:val="000000" w:themeColor="text1"/>
              </w:rPr>
              <w:t>The number of people who were dispensed SABA in two or more quarters and who were not dispensed preventer in the year</w:t>
            </w:r>
          </w:p>
        </w:tc>
      </w:tr>
      <w:tr w:rsidR="00133505" w:rsidRPr="00133505" w14:paraId="178B4580"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514308F4" w14:textId="77777777" w:rsidR="003B070F" w:rsidRPr="00133505" w:rsidRDefault="003B070F" w:rsidP="00021FF0">
            <w:pPr>
              <w:pStyle w:val="Header"/>
              <w:spacing w:before="60"/>
              <w:rPr>
                <w:color w:val="000000" w:themeColor="text1"/>
                <w:sz w:val="24"/>
              </w:rPr>
            </w:pPr>
            <w:r w:rsidRPr="00133505">
              <w:rPr>
                <w:color w:val="000000" w:themeColor="text1"/>
                <w:sz w:val="24"/>
              </w:rPr>
              <w:t>Denominator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13BB67D6" w14:textId="77777777" w:rsidR="003B070F" w:rsidRPr="00133505" w:rsidRDefault="003B070F" w:rsidP="00021FF0">
            <w:pPr>
              <w:pStyle w:val="Header"/>
              <w:tabs>
                <w:tab w:val="clear" w:pos="4153"/>
                <w:tab w:val="center" w:pos="743"/>
              </w:tabs>
              <w:spacing w:before="60"/>
              <w:rPr>
                <w:color w:val="000000" w:themeColor="text1"/>
              </w:rPr>
            </w:pPr>
            <w:r w:rsidRPr="00133505">
              <w:rPr>
                <w:color w:val="000000" w:themeColor="text1"/>
              </w:rPr>
              <w:t>People dispensed SABA in two or more quarters in a year</w:t>
            </w:r>
          </w:p>
        </w:tc>
      </w:tr>
      <w:tr w:rsidR="00133505" w:rsidRPr="00133505" w14:paraId="1061E648"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54F60149"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tcBorders>
              <w:top w:val="single" w:sz="4" w:space="0" w:color="C2D69B"/>
              <w:left w:val="single" w:sz="4" w:space="0" w:color="C2D69B"/>
              <w:bottom w:val="single" w:sz="4" w:space="0" w:color="C2D69B"/>
              <w:right w:val="single" w:sz="4" w:space="0" w:color="C2D69B"/>
            </w:tcBorders>
            <w:vAlign w:val="bottom"/>
          </w:tcPr>
          <w:p w14:paraId="7C9C39CA" w14:textId="75569168" w:rsidR="003B070F" w:rsidRPr="00133505" w:rsidRDefault="06F90A50" w:rsidP="20CF9A1D">
            <w:pPr>
              <w:pStyle w:val="Header"/>
              <w:tabs>
                <w:tab w:val="clear" w:pos="4153"/>
                <w:tab w:val="center" w:pos="743"/>
              </w:tabs>
              <w:spacing w:before="60"/>
              <w:rPr>
                <w:rFonts w:cs="Arial"/>
                <w:color w:val="000000" w:themeColor="text1"/>
              </w:rPr>
            </w:pPr>
            <w:r w:rsidRPr="00133505">
              <w:rPr>
                <w:rFonts w:cs="Arial"/>
                <w:color w:val="000000" w:themeColor="text1"/>
              </w:rPr>
              <w:t xml:space="preserve"> Pharmaceutical Collection</w:t>
            </w:r>
          </w:p>
        </w:tc>
      </w:tr>
      <w:tr w:rsidR="00133505" w:rsidRPr="00133505" w14:paraId="47B56994"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16CC2137" w14:textId="6C16AE09" w:rsidR="00DC2B5D" w:rsidRPr="00133505" w:rsidRDefault="00DC2B5D" w:rsidP="00DC2B5D">
            <w:pPr>
              <w:pStyle w:val="Header"/>
              <w:spacing w:before="60"/>
              <w:rPr>
                <w:color w:val="000000" w:themeColor="text1"/>
                <w:sz w:val="24"/>
              </w:rPr>
            </w:pPr>
            <w:r w:rsidRPr="00133505">
              <w:rPr>
                <w:color w:val="000000" w:themeColor="text1"/>
                <w:sz w:val="24"/>
              </w:rPr>
              <w:t>By variables</w:t>
            </w:r>
          </w:p>
        </w:tc>
        <w:tc>
          <w:tcPr>
            <w:tcW w:w="7371" w:type="dxa"/>
            <w:tcBorders>
              <w:top w:val="single" w:sz="4" w:space="0" w:color="C2D69B"/>
              <w:left w:val="single" w:sz="4" w:space="0" w:color="C2D69B"/>
              <w:bottom w:val="single" w:sz="4" w:space="0" w:color="C2D69B"/>
              <w:right w:val="single" w:sz="4" w:space="0" w:color="C2D69B"/>
            </w:tcBorders>
            <w:vAlign w:val="bottom"/>
          </w:tcPr>
          <w:p w14:paraId="7D9C5477" w14:textId="756F1499" w:rsidR="00DC2B5D" w:rsidRPr="00133505" w:rsidRDefault="001B079A" w:rsidP="00DC2B5D">
            <w:pPr>
              <w:pStyle w:val="Header"/>
              <w:spacing w:before="60"/>
              <w:rPr>
                <w:rFonts w:cs="Arial"/>
                <w:color w:val="000000" w:themeColor="text1"/>
              </w:rPr>
            </w:pPr>
            <w:r w:rsidRPr="00133505">
              <w:rPr>
                <w:rFonts w:cs="Arial"/>
                <w:color w:val="000000" w:themeColor="text1"/>
              </w:rPr>
              <w:t>District</w:t>
            </w:r>
            <w:r w:rsidR="3B61D2F6" w:rsidRPr="00133505">
              <w:rPr>
                <w:rFonts w:cs="Arial"/>
                <w:color w:val="000000" w:themeColor="text1"/>
              </w:rPr>
              <w:t xml:space="preserve"> analysis: By year (201</w:t>
            </w:r>
            <w:r w:rsidR="6517E9B4" w:rsidRPr="00133505">
              <w:rPr>
                <w:rFonts w:cs="Arial"/>
                <w:color w:val="000000" w:themeColor="text1"/>
              </w:rPr>
              <w:t>8</w:t>
            </w:r>
            <w:r w:rsidR="00860B92" w:rsidRPr="00133505">
              <w:rPr>
                <w:rFonts w:cs="Arial"/>
                <w:color w:val="000000" w:themeColor="text1"/>
              </w:rPr>
              <w:t xml:space="preserve"> –</w:t>
            </w:r>
            <w:r w:rsidR="3B61D2F6" w:rsidRPr="00133505">
              <w:rPr>
                <w:rFonts w:cs="Arial"/>
                <w:color w:val="000000" w:themeColor="text1"/>
              </w:rPr>
              <w:t>202</w:t>
            </w:r>
            <w:r w:rsidR="6517E9B4" w:rsidRPr="00133505">
              <w:rPr>
                <w:rFonts w:cs="Arial"/>
                <w:color w:val="000000" w:themeColor="text1"/>
              </w:rPr>
              <w:t>3</w:t>
            </w:r>
            <w:r w:rsidR="3B61D2F6" w:rsidRPr="00133505">
              <w:rPr>
                <w:rFonts w:cs="Arial"/>
                <w:color w:val="000000" w:themeColor="text1"/>
              </w:rPr>
              <w:t>), age group (5</w:t>
            </w:r>
            <w:r w:rsidR="00860B92" w:rsidRPr="00133505">
              <w:rPr>
                <w:rFonts w:cs="Arial"/>
                <w:color w:val="000000" w:themeColor="text1"/>
              </w:rPr>
              <w:t xml:space="preserve"> –</w:t>
            </w:r>
            <w:r w:rsidR="3B61D2F6" w:rsidRPr="00133505">
              <w:rPr>
                <w:rFonts w:cs="Arial"/>
                <w:color w:val="000000" w:themeColor="text1"/>
              </w:rPr>
              <w:t xml:space="preserve">11, </w:t>
            </w:r>
            <w:r w:rsidR="3B61D2F6" w:rsidRPr="00133505">
              <w:rPr>
                <w:color w:val="000000" w:themeColor="text1"/>
              </w:rPr>
              <w:t>12</w:t>
            </w:r>
            <w:r w:rsidR="00860B92" w:rsidRPr="00133505">
              <w:rPr>
                <w:color w:val="000000" w:themeColor="text1"/>
              </w:rPr>
              <w:t xml:space="preserve"> –</w:t>
            </w:r>
            <w:r w:rsidR="3B61D2F6" w:rsidRPr="00133505">
              <w:rPr>
                <w:color w:val="000000" w:themeColor="text1"/>
              </w:rPr>
              <w:t>24, 25</w:t>
            </w:r>
            <w:r w:rsidR="00860B92" w:rsidRPr="00133505">
              <w:rPr>
                <w:color w:val="000000" w:themeColor="text1"/>
              </w:rPr>
              <w:t xml:space="preserve"> –</w:t>
            </w:r>
            <w:r w:rsidR="3B61D2F6" w:rsidRPr="00133505">
              <w:rPr>
                <w:color w:val="000000" w:themeColor="text1"/>
              </w:rPr>
              <w:t>4</w:t>
            </w:r>
            <w:r w:rsidR="69FE8594" w:rsidRPr="00133505">
              <w:rPr>
                <w:color w:val="000000" w:themeColor="text1"/>
              </w:rPr>
              <w:t>4</w:t>
            </w:r>
            <w:r w:rsidR="00C87D3A" w:rsidRPr="00133505">
              <w:rPr>
                <w:rFonts w:cs="Arial"/>
                <w:color w:val="000000" w:themeColor="text1"/>
              </w:rPr>
              <w:t>), gender (female, male), ethnic group (</w:t>
            </w:r>
            <w:r w:rsidR="00C87D3A" w:rsidRPr="00133505">
              <w:rPr>
                <w:color w:val="000000" w:themeColor="text1"/>
              </w:rPr>
              <w:t>Māori, Pacific peoples, European/Other)</w:t>
            </w:r>
            <w:r w:rsidR="00C87D3A" w:rsidRPr="00133505">
              <w:rPr>
                <w:rFonts w:cs="Arial"/>
                <w:color w:val="000000" w:themeColor="text1"/>
              </w:rPr>
              <w:t xml:space="preserve">, </w:t>
            </w:r>
            <w:r w:rsidR="3B61D2F6" w:rsidRPr="00133505">
              <w:rPr>
                <w:rFonts w:cs="Arial"/>
                <w:color w:val="000000" w:themeColor="text1"/>
              </w:rPr>
              <w:t>and Health New Zealand district of domicile.</w:t>
            </w:r>
          </w:p>
          <w:p w14:paraId="3022F247" w14:textId="77C4AFBA" w:rsidR="00DC2B5D" w:rsidRPr="00133505" w:rsidRDefault="00DC2B5D" w:rsidP="00DC2B5D">
            <w:pPr>
              <w:pStyle w:val="Header"/>
              <w:tabs>
                <w:tab w:val="clear" w:pos="4153"/>
                <w:tab w:val="center" w:pos="743"/>
              </w:tabs>
              <w:spacing w:before="60"/>
              <w:rPr>
                <w:color w:val="000000" w:themeColor="text1"/>
              </w:rPr>
            </w:pPr>
            <w:r w:rsidRPr="00133505">
              <w:rPr>
                <w:rFonts w:cs="Arial"/>
                <w:color w:val="000000" w:themeColor="text1"/>
              </w:rPr>
              <w:t>PHO analysis: By year (202</w:t>
            </w:r>
            <w:r w:rsidR="00A61975" w:rsidRPr="00133505">
              <w:rPr>
                <w:rFonts w:cs="Arial"/>
                <w:color w:val="000000" w:themeColor="text1"/>
              </w:rPr>
              <w:t>3</w:t>
            </w:r>
            <w:r w:rsidRPr="00133505">
              <w:rPr>
                <w:rFonts w:cs="Arial"/>
                <w:color w:val="000000" w:themeColor="text1"/>
              </w:rPr>
              <w:t>), age group</w:t>
            </w:r>
            <w:r w:rsidRPr="00133505">
              <w:rPr>
                <w:color w:val="000000" w:themeColor="text1"/>
              </w:rPr>
              <w:t>,</w:t>
            </w:r>
            <w:r w:rsidRPr="00133505">
              <w:rPr>
                <w:rFonts w:cs="Arial"/>
                <w:color w:val="000000" w:themeColor="text1"/>
              </w:rPr>
              <w:t xml:space="preserve"> gender, ethnic group, Primary Health Organisation (PHO) most recently enrolled with (for the relevant year), </w:t>
            </w:r>
            <w:r w:rsidRPr="00133505">
              <w:rPr>
                <w:rFonts w:cs="Arial"/>
                <w:color w:val="000000" w:themeColor="text1"/>
                <w:szCs w:val="22"/>
              </w:rPr>
              <w:t xml:space="preserve">PHO group (small, medium, </w:t>
            </w:r>
            <w:r w:rsidR="00866078" w:rsidRPr="00133505">
              <w:rPr>
                <w:rFonts w:cs="Arial"/>
                <w:color w:val="000000" w:themeColor="text1"/>
                <w:szCs w:val="22"/>
              </w:rPr>
              <w:t>medium-large</w:t>
            </w:r>
            <w:r w:rsidR="00E77775" w:rsidRPr="00133505">
              <w:rPr>
                <w:rFonts w:cs="Arial"/>
                <w:color w:val="000000" w:themeColor="text1"/>
                <w:szCs w:val="22"/>
              </w:rPr>
              <w:t xml:space="preserve"> </w:t>
            </w:r>
            <w:r w:rsidRPr="00133505">
              <w:rPr>
                <w:rFonts w:cs="Arial"/>
                <w:color w:val="000000" w:themeColor="text1"/>
                <w:szCs w:val="22"/>
              </w:rPr>
              <w:t>and large).</w:t>
            </w:r>
          </w:p>
        </w:tc>
      </w:tr>
      <w:tr w:rsidR="00133505" w:rsidRPr="00133505" w14:paraId="4B02F0F6"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15A0402A" w14:textId="77777777" w:rsidR="003B070F" w:rsidRPr="00133505" w:rsidRDefault="003B070F" w:rsidP="00021FF0">
            <w:pPr>
              <w:pStyle w:val="Header"/>
              <w:spacing w:before="60"/>
              <w:rPr>
                <w:color w:val="000000" w:themeColor="text1"/>
                <w:sz w:val="24"/>
              </w:rPr>
            </w:pPr>
            <w:r w:rsidRPr="00133505">
              <w:rPr>
                <w:color w:val="000000" w:themeColor="text1"/>
                <w:sz w:val="24"/>
              </w:rPr>
              <w:t>Medicines included</w:t>
            </w:r>
          </w:p>
        </w:tc>
        <w:tc>
          <w:tcPr>
            <w:tcW w:w="7371" w:type="dxa"/>
            <w:tcBorders>
              <w:top w:val="single" w:sz="4" w:space="0" w:color="C2D69B"/>
              <w:left w:val="single" w:sz="4" w:space="0" w:color="C2D69B"/>
              <w:bottom w:val="single" w:sz="4" w:space="0" w:color="C2D69B"/>
              <w:right w:val="single" w:sz="4" w:space="0" w:color="C2D69B"/>
            </w:tcBorders>
            <w:vAlign w:val="bottom"/>
          </w:tcPr>
          <w:p w14:paraId="6F1759F5" w14:textId="3AC8A429" w:rsidR="00F6055C" w:rsidRPr="00133505" w:rsidRDefault="003B070F" w:rsidP="00F6055C">
            <w:pPr>
              <w:pStyle w:val="Header"/>
              <w:spacing w:before="60"/>
              <w:rPr>
                <w:color w:val="000000" w:themeColor="text1"/>
              </w:rPr>
            </w:pPr>
            <w:r w:rsidRPr="00133505">
              <w:rPr>
                <w:b/>
                <w:bCs/>
                <w:color w:val="000000" w:themeColor="text1"/>
              </w:rPr>
              <w:t>SABA (relievers):</w:t>
            </w:r>
            <w:r w:rsidRPr="00133505">
              <w:rPr>
                <w:color w:val="000000" w:themeColor="text1"/>
              </w:rPr>
              <w:t xml:space="preserve"> beta</w:t>
            </w:r>
            <w:r w:rsidR="00E77775" w:rsidRPr="00133505">
              <w:rPr>
                <w:color w:val="000000" w:themeColor="text1"/>
              </w:rPr>
              <w:t>-</w:t>
            </w:r>
            <w:r w:rsidRPr="00133505">
              <w:rPr>
                <w:color w:val="000000" w:themeColor="text1"/>
              </w:rPr>
              <w:t xml:space="preserve">adrenoceptor agonists </w:t>
            </w:r>
            <w:r w:rsidR="00F6055C" w:rsidRPr="00133505">
              <w:rPr>
                <w:color w:val="000000" w:themeColor="text1"/>
              </w:rPr>
              <w:t>209606, 209609, 209611, 209612, 209613, 209614, 209615, 209616, 209617 Salbutamol; 240406, 240407, 240408, 240409, 240410, 240425 Terbutaline Sulphate</w:t>
            </w:r>
          </w:p>
          <w:p w14:paraId="3FCA463A" w14:textId="6DE2F247" w:rsidR="003B070F" w:rsidRPr="00133505" w:rsidRDefault="003B070F" w:rsidP="00021FF0">
            <w:pPr>
              <w:pStyle w:val="Header"/>
              <w:tabs>
                <w:tab w:val="clear" w:pos="4153"/>
                <w:tab w:val="center" w:pos="743"/>
              </w:tabs>
              <w:rPr>
                <w:color w:val="000000" w:themeColor="text1"/>
              </w:rPr>
            </w:pPr>
          </w:p>
          <w:p w14:paraId="4DF4F709" w14:textId="77777777" w:rsidR="003B070F" w:rsidRPr="00133505" w:rsidRDefault="003B070F" w:rsidP="00021FF0">
            <w:pPr>
              <w:pStyle w:val="Header"/>
              <w:tabs>
                <w:tab w:val="clear" w:pos="4153"/>
                <w:tab w:val="center" w:pos="743"/>
              </w:tabs>
              <w:rPr>
                <w:b/>
                <w:bCs/>
                <w:color w:val="000000" w:themeColor="text1"/>
              </w:rPr>
            </w:pPr>
            <w:r w:rsidRPr="00133505">
              <w:rPr>
                <w:b/>
                <w:bCs/>
                <w:color w:val="000000" w:themeColor="text1"/>
              </w:rPr>
              <w:t>Preventers:</w:t>
            </w:r>
          </w:p>
          <w:p w14:paraId="6361999D" w14:textId="77777777" w:rsidR="001B0C27" w:rsidRPr="00133505" w:rsidRDefault="003B070F" w:rsidP="001B0C27">
            <w:pPr>
              <w:pStyle w:val="Header"/>
              <w:spacing w:before="60"/>
              <w:rPr>
                <w:color w:val="000000" w:themeColor="text1"/>
              </w:rPr>
            </w:pPr>
            <w:r w:rsidRPr="00133505">
              <w:rPr>
                <w:b/>
                <w:bCs/>
                <w:color w:val="000000" w:themeColor="text1"/>
              </w:rPr>
              <w:t>Inhaled corticosteroids:</w:t>
            </w:r>
            <w:r w:rsidRPr="00133505">
              <w:rPr>
                <w:color w:val="000000" w:themeColor="text1"/>
              </w:rPr>
              <w:t xml:space="preserve"> </w:t>
            </w:r>
            <w:r w:rsidR="001B0C27" w:rsidRPr="00133505">
              <w:rPr>
                <w:color w:val="000000" w:themeColor="text1"/>
              </w:rPr>
              <w:t xml:space="preserve">110801,110802, 110803, 110804, 110805, 110806, 110807, 110808, 110809, 110815, 110816, 110825, 110826 &amp; 110827 Beclomethasone </w:t>
            </w:r>
            <w:proofErr w:type="gramStart"/>
            <w:r w:rsidR="001B0C27" w:rsidRPr="00133505">
              <w:rPr>
                <w:color w:val="000000" w:themeColor="text1"/>
              </w:rPr>
              <w:t>dipropionate;</w:t>
            </w:r>
            <w:proofErr w:type="gramEnd"/>
            <w:r w:rsidR="001B0C27" w:rsidRPr="00133505">
              <w:rPr>
                <w:color w:val="000000" w:themeColor="text1"/>
              </w:rPr>
              <w:t xml:space="preserve"> </w:t>
            </w:r>
          </w:p>
          <w:p w14:paraId="324F19C4" w14:textId="77777777" w:rsidR="001B0C27" w:rsidRPr="00133505" w:rsidRDefault="001B0C27" w:rsidP="001B0C27">
            <w:pPr>
              <w:pStyle w:val="Header"/>
              <w:spacing w:before="60"/>
              <w:rPr>
                <w:color w:val="000000" w:themeColor="text1"/>
              </w:rPr>
            </w:pPr>
            <w:r w:rsidRPr="00133505">
              <w:rPr>
                <w:color w:val="000000" w:themeColor="text1"/>
              </w:rPr>
              <w:t xml:space="preserve">116801, 116802, 116803, 116804 &amp; 116805 </w:t>
            </w:r>
            <w:proofErr w:type="gramStart"/>
            <w:r w:rsidRPr="00133505">
              <w:rPr>
                <w:color w:val="000000" w:themeColor="text1"/>
              </w:rPr>
              <w:t>Budesonide;</w:t>
            </w:r>
            <w:proofErr w:type="gramEnd"/>
          </w:p>
          <w:p w14:paraId="1F9C461A" w14:textId="77777777" w:rsidR="001B0C27" w:rsidRPr="00133505" w:rsidRDefault="001B0C27" w:rsidP="001B0C27">
            <w:pPr>
              <w:pStyle w:val="Header"/>
              <w:spacing w:before="60"/>
              <w:rPr>
                <w:color w:val="000000" w:themeColor="text1"/>
              </w:rPr>
            </w:pPr>
            <w:r w:rsidRPr="00133505">
              <w:rPr>
                <w:color w:val="000000" w:themeColor="text1"/>
              </w:rPr>
              <w:lastRenderedPageBreak/>
              <w:t>106501, 106502, 106503, 106504, 106505, 106506, 106507, 106508, 106509, 106510, 106511, 106512, 106513, 106514 &amp; 106525 Fluticasone</w:t>
            </w:r>
          </w:p>
          <w:p w14:paraId="49B5F78D" w14:textId="493A1B60" w:rsidR="003B070F" w:rsidRPr="00133505" w:rsidRDefault="003B070F" w:rsidP="001B0C27">
            <w:pPr>
              <w:pStyle w:val="Header"/>
              <w:tabs>
                <w:tab w:val="clear" w:pos="4153"/>
                <w:tab w:val="center" w:pos="743"/>
              </w:tabs>
              <w:spacing w:after="0" w:line="240" w:lineRule="auto"/>
              <w:rPr>
                <w:color w:val="000000" w:themeColor="text1"/>
              </w:rPr>
            </w:pPr>
          </w:p>
          <w:p w14:paraId="64E6A98C" w14:textId="4ABAFEA9" w:rsidR="003B070F" w:rsidRPr="00133505" w:rsidRDefault="003B070F" w:rsidP="07D7EB6C">
            <w:pPr>
              <w:pStyle w:val="Header"/>
              <w:tabs>
                <w:tab w:val="clear" w:pos="4153"/>
                <w:tab w:val="center" w:pos="743"/>
              </w:tabs>
              <w:spacing w:after="0" w:line="240" w:lineRule="auto"/>
              <w:rPr>
                <w:color w:val="000000" w:themeColor="text1"/>
              </w:rPr>
            </w:pPr>
            <w:r w:rsidRPr="00133505">
              <w:rPr>
                <w:b/>
                <w:bCs/>
                <w:color w:val="000000" w:themeColor="text1"/>
              </w:rPr>
              <w:t>Inhaled long</w:t>
            </w:r>
            <w:r w:rsidR="00E77775" w:rsidRPr="00133505">
              <w:rPr>
                <w:b/>
                <w:bCs/>
                <w:color w:val="000000" w:themeColor="text1"/>
              </w:rPr>
              <w:t>-</w:t>
            </w:r>
            <w:r w:rsidRPr="00133505">
              <w:rPr>
                <w:b/>
                <w:bCs/>
                <w:color w:val="000000" w:themeColor="text1"/>
              </w:rPr>
              <w:t>acting beta</w:t>
            </w:r>
            <w:r w:rsidR="00E77775" w:rsidRPr="00133505">
              <w:rPr>
                <w:b/>
                <w:bCs/>
                <w:color w:val="000000" w:themeColor="text1"/>
              </w:rPr>
              <w:t>-</w:t>
            </w:r>
            <w:r w:rsidRPr="00133505">
              <w:rPr>
                <w:b/>
                <w:bCs/>
                <w:color w:val="000000" w:themeColor="text1"/>
              </w:rPr>
              <w:t>adrenoceptor agonists:</w:t>
            </w:r>
            <w:r w:rsidRPr="00133505">
              <w:rPr>
                <w:color w:val="000000" w:themeColor="text1"/>
              </w:rPr>
              <w:t xml:space="preserve"> </w:t>
            </w:r>
            <w:r w:rsidR="009A261C" w:rsidRPr="00133505">
              <w:rPr>
                <w:color w:val="000000" w:themeColor="text1"/>
              </w:rPr>
              <w:t xml:space="preserve">106601, 106602, 106603 &amp; 106625 Salmeterol; 108301, 108302 &amp; 108303 </w:t>
            </w:r>
            <w:proofErr w:type="spellStart"/>
            <w:r w:rsidR="009A261C" w:rsidRPr="00133505">
              <w:rPr>
                <w:color w:val="000000" w:themeColor="text1"/>
              </w:rPr>
              <w:t>Eformoterol</w:t>
            </w:r>
            <w:proofErr w:type="spellEnd"/>
            <w:r w:rsidR="009A261C" w:rsidRPr="00133505">
              <w:rPr>
                <w:color w:val="000000" w:themeColor="text1"/>
              </w:rPr>
              <w:t xml:space="preserve"> fumarate; 404225 &amp; 404226 Indacaterol </w:t>
            </w:r>
            <w:r w:rsidR="00F001DE" w:rsidRPr="00133505">
              <w:rPr>
                <w:color w:val="000000" w:themeColor="text1"/>
              </w:rPr>
              <w:t xml:space="preserve">411225 </w:t>
            </w:r>
            <w:proofErr w:type="spellStart"/>
            <w:r w:rsidR="00E76686" w:rsidRPr="00133505">
              <w:rPr>
                <w:color w:val="000000" w:themeColor="text1"/>
              </w:rPr>
              <w:t>Eformoterol</w:t>
            </w:r>
            <w:proofErr w:type="spellEnd"/>
            <w:r w:rsidR="00E76686" w:rsidRPr="00133505">
              <w:rPr>
                <w:color w:val="000000" w:themeColor="text1"/>
              </w:rPr>
              <w:t xml:space="preserve"> fumarate dihydrate </w:t>
            </w:r>
          </w:p>
          <w:p w14:paraId="331F1978" w14:textId="77777777" w:rsidR="00FF4CC7" w:rsidRPr="00133505" w:rsidRDefault="00FF4CC7" w:rsidP="00FF4CC7">
            <w:pPr>
              <w:pStyle w:val="Header"/>
              <w:tabs>
                <w:tab w:val="clear" w:pos="4153"/>
                <w:tab w:val="center" w:pos="743"/>
              </w:tabs>
              <w:spacing w:after="0" w:line="240" w:lineRule="auto"/>
              <w:rPr>
                <w:color w:val="000000" w:themeColor="text1"/>
              </w:rPr>
            </w:pPr>
          </w:p>
          <w:p w14:paraId="22A7CEAE" w14:textId="7884EA8E" w:rsidR="00503F72" w:rsidRPr="00133505" w:rsidRDefault="003B070F" w:rsidP="07D7EB6C">
            <w:pPr>
              <w:pStyle w:val="Header"/>
              <w:spacing w:before="60"/>
              <w:rPr>
                <w:color w:val="000000" w:themeColor="text1"/>
              </w:rPr>
            </w:pPr>
            <w:r w:rsidRPr="00133505">
              <w:rPr>
                <w:b/>
                <w:bCs/>
                <w:color w:val="000000" w:themeColor="text1"/>
              </w:rPr>
              <w:t>Inhaled corticosteroids with long</w:t>
            </w:r>
            <w:r w:rsidR="00E77775" w:rsidRPr="00133505">
              <w:rPr>
                <w:b/>
                <w:bCs/>
                <w:color w:val="000000" w:themeColor="text1"/>
              </w:rPr>
              <w:t>-</w:t>
            </w:r>
            <w:r w:rsidRPr="00133505">
              <w:rPr>
                <w:b/>
                <w:bCs/>
                <w:color w:val="000000" w:themeColor="text1"/>
              </w:rPr>
              <w:t>acting beta</w:t>
            </w:r>
            <w:r w:rsidR="00E77775" w:rsidRPr="00133505">
              <w:rPr>
                <w:b/>
                <w:bCs/>
                <w:color w:val="000000" w:themeColor="text1"/>
              </w:rPr>
              <w:t>-</w:t>
            </w:r>
            <w:r w:rsidRPr="00133505">
              <w:rPr>
                <w:b/>
                <w:bCs/>
                <w:color w:val="000000" w:themeColor="text1"/>
              </w:rPr>
              <w:t>adrenoceptor agonists:</w:t>
            </w:r>
            <w:r w:rsidRPr="00133505">
              <w:rPr>
                <w:color w:val="000000" w:themeColor="text1"/>
              </w:rPr>
              <w:t xml:space="preserve"> </w:t>
            </w:r>
            <w:r w:rsidR="00503F72" w:rsidRPr="00133505">
              <w:rPr>
                <w:color w:val="000000" w:themeColor="text1"/>
              </w:rPr>
              <w:t xml:space="preserve">375825, 375826, 375827, 375828, 375829, 375830 &amp; 375831 Budesonide with </w:t>
            </w:r>
            <w:proofErr w:type="spellStart"/>
            <w:proofErr w:type="gramStart"/>
            <w:r w:rsidR="00503F72" w:rsidRPr="00133505">
              <w:rPr>
                <w:color w:val="000000" w:themeColor="text1"/>
              </w:rPr>
              <w:t>eformoterol</w:t>
            </w:r>
            <w:proofErr w:type="spellEnd"/>
            <w:r w:rsidR="00503F72" w:rsidRPr="00133505">
              <w:rPr>
                <w:color w:val="000000" w:themeColor="text1"/>
              </w:rPr>
              <w:t>;</w:t>
            </w:r>
            <w:proofErr w:type="gramEnd"/>
          </w:p>
          <w:p w14:paraId="1AB0A5AE" w14:textId="77777777" w:rsidR="00503F72" w:rsidRPr="00133505" w:rsidRDefault="00503F72" w:rsidP="00503F72">
            <w:pPr>
              <w:pStyle w:val="Header"/>
              <w:spacing w:before="60"/>
              <w:rPr>
                <w:color w:val="000000" w:themeColor="text1"/>
              </w:rPr>
            </w:pPr>
            <w:r w:rsidRPr="00133505">
              <w:rPr>
                <w:color w:val="000000" w:themeColor="text1"/>
              </w:rPr>
              <w:t xml:space="preserve">385825, 385826, 385827 &amp; 385828 Fluticasone with </w:t>
            </w:r>
            <w:proofErr w:type="gramStart"/>
            <w:r w:rsidRPr="00133505">
              <w:rPr>
                <w:color w:val="000000" w:themeColor="text1"/>
              </w:rPr>
              <w:t>salmeterol;</w:t>
            </w:r>
            <w:proofErr w:type="gramEnd"/>
          </w:p>
          <w:p w14:paraId="00034B16" w14:textId="05D0CE18" w:rsidR="003B070F" w:rsidRPr="00133505" w:rsidRDefault="00503F72" w:rsidP="00503F72">
            <w:pPr>
              <w:pStyle w:val="Header"/>
              <w:tabs>
                <w:tab w:val="clear" w:pos="4153"/>
                <w:tab w:val="center" w:pos="743"/>
              </w:tabs>
              <w:spacing w:after="0" w:line="240" w:lineRule="auto"/>
              <w:rPr>
                <w:color w:val="000000" w:themeColor="text1"/>
              </w:rPr>
            </w:pPr>
            <w:r w:rsidRPr="00133505">
              <w:rPr>
                <w:color w:val="000000" w:themeColor="text1"/>
              </w:rPr>
              <w:t>405625 Fluticasone furoate with vilanterol</w:t>
            </w:r>
          </w:p>
          <w:p w14:paraId="3552F80E" w14:textId="5A10A365" w:rsidR="003B070F" w:rsidRPr="00133505" w:rsidRDefault="003B070F" w:rsidP="00485F86">
            <w:pPr>
              <w:pStyle w:val="Header"/>
              <w:tabs>
                <w:tab w:val="clear" w:pos="4153"/>
                <w:tab w:val="center" w:pos="743"/>
              </w:tabs>
              <w:spacing w:after="0" w:line="240" w:lineRule="auto"/>
              <w:ind w:left="720"/>
              <w:rPr>
                <w:color w:val="000000" w:themeColor="text1"/>
              </w:rPr>
            </w:pPr>
          </w:p>
        </w:tc>
      </w:tr>
      <w:tr w:rsidR="00133505" w:rsidRPr="00133505" w14:paraId="653C471A"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4AE2F495"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Rationale</w:t>
            </w:r>
          </w:p>
        </w:tc>
        <w:tc>
          <w:tcPr>
            <w:tcW w:w="7371" w:type="dxa"/>
            <w:tcBorders>
              <w:top w:val="single" w:sz="4" w:space="0" w:color="C2D69B"/>
              <w:left w:val="single" w:sz="4" w:space="0" w:color="C2D69B"/>
              <w:bottom w:val="single" w:sz="4" w:space="0" w:color="C2D69B"/>
              <w:right w:val="single" w:sz="4" w:space="0" w:color="C2D69B"/>
            </w:tcBorders>
            <w:vAlign w:val="bottom"/>
          </w:tcPr>
          <w:p w14:paraId="7FCDC6CD" w14:textId="3C4DCF67" w:rsidR="003B070F" w:rsidRPr="00133505" w:rsidRDefault="003B070F" w:rsidP="07D7EB6C">
            <w:pPr>
              <w:pStyle w:val="Header"/>
              <w:tabs>
                <w:tab w:val="clear" w:pos="4153"/>
                <w:tab w:val="center" w:pos="743"/>
              </w:tabs>
              <w:spacing w:before="60"/>
              <w:rPr>
                <w:color w:val="000000" w:themeColor="text1"/>
              </w:rPr>
            </w:pPr>
            <w:r w:rsidRPr="00133505">
              <w:rPr>
                <w:color w:val="000000" w:themeColor="text1"/>
              </w:rPr>
              <w:t>High rates of people not receiving any preventer medication despite regular SABA suggests non</w:t>
            </w:r>
            <w:r w:rsidR="00E77775" w:rsidRPr="00133505">
              <w:rPr>
                <w:color w:val="000000" w:themeColor="text1"/>
              </w:rPr>
              <w:t>-</w:t>
            </w:r>
            <w:r w:rsidRPr="00133505">
              <w:rPr>
                <w:color w:val="000000" w:themeColor="text1"/>
              </w:rPr>
              <w:t xml:space="preserve">adherence to best practice guidelines and suboptimal disease management.  </w:t>
            </w:r>
          </w:p>
          <w:p w14:paraId="14509C0A" w14:textId="43C9DEB8" w:rsidR="003B070F" w:rsidRPr="00133505" w:rsidRDefault="003B070F" w:rsidP="07D7EB6C">
            <w:pPr>
              <w:pStyle w:val="Header"/>
              <w:tabs>
                <w:tab w:val="center" w:pos="743"/>
              </w:tabs>
              <w:spacing w:before="60"/>
              <w:rPr>
                <w:color w:val="000000" w:themeColor="text1"/>
              </w:rPr>
            </w:pPr>
            <w:r w:rsidRPr="00133505">
              <w:rPr>
                <w:color w:val="000000" w:themeColor="text1"/>
              </w:rPr>
              <w:t>The ARFNZ Adolescent and Adult Asthma guidelines (2020) identifies that good control of asthma shows little use of reliever medication (less than two days per week).</w:t>
            </w:r>
          </w:p>
          <w:p w14:paraId="737EDEF5" w14:textId="350CEBA9" w:rsidR="003B070F" w:rsidRPr="00133505" w:rsidRDefault="003B070F" w:rsidP="00021FF0">
            <w:pPr>
              <w:pStyle w:val="Header"/>
              <w:tabs>
                <w:tab w:val="center" w:pos="743"/>
              </w:tabs>
              <w:spacing w:before="60"/>
              <w:rPr>
                <w:color w:val="000000" w:themeColor="text1"/>
              </w:rPr>
            </w:pPr>
            <w:r w:rsidRPr="00133505">
              <w:rPr>
                <w:color w:val="000000" w:themeColor="text1"/>
              </w:rPr>
              <w:t>The guideline recommends that ICS or ICS/long</w:t>
            </w:r>
            <w:r w:rsidR="00E77775" w:rsidRPr="00133505">
              <w:rPr>
                <w:color w:val="000000" w:themeColor="text1"/>
              </w:rPr>
              <w:t>-</w:t>
            </w:r>
            <w:r w:rsidRPr="00133505">
              <w:rPr>
                <w:color w:val="000000" w:themeColor="text1"/>
              </w:rPr>
              <w:t>acting beta agonist (LABA) therapy should be introduced if patients have symptoms consistent with a diagnosis of asthma.</w:t>
            </w:r>
          </w:p>
        </w:tc>
      </w:tr>
      <w:tr w:rsidR="0048743A" w:rsidRPr="00133505" w14:paraId="29C0C8B0"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715109D6" w14:textId="232209B7" w:rsidR="0048743A" w:rsidRPr="00133505" w:rsidRDefault="0048743A" w:rsidP="00021FF0">
            <w:pPr>
              <w:pStyle w:val="Header"/>
              <w:spacing w:before="60"/>
              <w:rPr>
                <w:color w:val="000000" w:themeColor="text1"/>
                <w:sz w:val="24"/>
              </w:rPr>
            </w:pPr>
            <w:r w:rsidRPr="00133505">
              <w:rPr>
                <w:color w:val="000000" w:themeColor="text1"/>
                <w:sz w:val="24"/>
              </w:rPr>
              <w:t>Commentary</w:t>
            </w:r>
          </w:p>
        </w:tc>
        <w:tc>
          <w:tcPr>
            <w:tcW w:w="7371" w:type="dxa"/>
            <w:tcBorders>
              <w:top w:val="single" w:sz="4" w:space="0" w:color="C2D69B"/>
              <w:left w:val="single" w:sz="4" w:space="0" w:color="C2D69B"/>
              <w:bottom w:val="single" w:sz="4" w:space="0" w:color="C2D69B"/>
              <w:right w:val="single" w:sz="4" w:space="0" w:color="C2D69B"/>
            </w:tcBorders>
            <w:vAlign w:val="bottom"/>
          </w:tcPr>
          <w:p w14:paraId="3F2A2F70"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Description:</w:t>
            </w:r>
          </w:p>
          <w:p w14:paraId="506AC38A"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This indicator shows the number and percent of people who were dispensed SABA in at least two quarters in a year and not dispensed preventer in the same year.</w:t>
            </w:r>
          </w:p>
          <w:p w14:paraId="2ADC5588" w14:textId="77777777" w:rsidR="002E3055" w:rsidRPr="00133505" w:rsidRDefault="002E3055" w:rsidP="002E3055">
            <w:pPr>
              <w:pStyle w:val="Header"/>
              <w:tabs>
                <w:tab w:val="center" w:pos="743"/>
              </w:tabs>
              <w:spacing w:before="60"/>
              <w:rPr>
                <w:color w:val="000000" w:themeColor="text1"/>
              </w:rPr>
            </w:pPr>
          </w:p>
          <w:p w14:paraId="61CA186C" w14:textId="17C405BB" w:rsidR="002E3055" w:rsidRPr="00133505" w:rsidRDefault="0024599C" w:rsidP="002E3055">
            <w:pPr>
              <w:pStyle w:val="Header"/>
              <w:tabs>
                <w:tab w:val="center" w:pos="743"/>
              </w:tabs>
              <w:spacing w:before="60"/>
              <w:rPr>
                <w:color w:val="000000" w:themeColor="text1"/>
              </w:rPr>
            </w:pPr>
            <w:r>
              <w:rPr>
                <w:color w:val="000000" w:themeColor="text1"/>
              </w:rPr>
              <w:t xml:space="preserve">Data is </w:t>
            </w:r>
            <w:r w:rsidR="002E3055" w:rsidRPr="00133505">
              <w:rPr>
                <w:color w:val="000000" w:themeColor="text1"/>
              </w:rPr>
              <w:t>presented by year, ethnicity, age, gender and district of domicile. </w:t>
            </w:r>
          </w:p>
          <w:p w14:paraId="2117D528" w14:textId="77777777" w:rsidR="002E3055" w:rsidRPr="00133505" w:rsidRDefault="002E3055" w:rsidP="002E3055">
            <w:pPr>
              <w:pStyle w:val="Header"/>
              <w:tabs>
                <w:tab w:val="center" w:pos="743"/>
              </w:tabs>
              <w:spacing w:before="60"/>
              <w:rPr>
                <w:color w:val="000000" w:themeColor="text1"/>
              </w:rPr>
            </w:pPr>
          </w:p>
          <w:p w14:paraId="2A5924EB"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 xml:space="preserve">Why is this important? </w:t>
            </w:r>
          </w:p>
          <w:p w14:paraId="38EA067E"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The New Zealand Adolescent and Adult Asthma guideline (2020) identifies that good control of asthma shows little use of reliever medication (SABA), less than two days a week. It recommends that ICS (preventer) therapy be initiated if people have symptoms more than twice a week. The data presented do not allow for analysis of patients’ condition or the effectiveness of dose provided. This means it was not possible to assess the appropriateness or otherwise of prescribing.</w:t>
            </w:r>
          </w:p>
          <w:p w14:paraId="0507CF51" w14:textId="77777777" w:rsidR="002E3055" w:rsidRPr="00133505" w:rsidRDefault="002E3055" w:rsidP="002E3055">
            <w:pPr>
              <w:pStyle w:val="Header"/>
              <w:tabs>
                <w:tab w:val="center" w:pos="743"/>
              </w:tabs>
              <w:spacing w:before="60"/>
              <w:rPr>
                <w:color w:val="000000" w:themeColor="text1"/>
              </w:rPr>
            </w:pPr>
          </w:p>
          <w:p w14:paraId="17A90B1A"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 xml:space="preserve">What questions does this prompt? </w:t>
            </w:r>
          </w:p>
          <w:p w14:paraId="4B1BB285"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 Why do 20 percent of people regularly dispensed SABA not receive any preventer in the same year?</w:t>
            </w:r>
          </w:p>
          <w:p w14:paraId="009C7C80" w14:textId="77777777" w:rsidR="002E3055" w:rsidRPr="00133505" w:rsidRDefault="002E3055" w:rsidP="002E3055">
            <w:pPr>
              <w:pStyle w:val="Header"/>
              <w:tabs>
                <w:tab w:val="center" w:pos="743"/>
              </w:tabs>
              <w:spacing w:before="60"/>
              <w:rPr>
                <w:color w:val="000000" w:themeColor="text1"/>
              </w:rPr>
            </w:pPr>
            <w:r w:rsidRPr="00133505">
              <w:rPr>
                <w:color w:val="000000" w:themeColor="text1"/>
              </w:rPr>
              <w:t xml:space="preserve">• What do patients understand with regards to the use of ICS and reliever medication? Does this group not experience any symptomatic benefit from preventer therapy?  </w:t>
            </w:r>
          </w:p>
          <w:p w14:paraId="0E60E85C" w14:textId="77777777" w:rsidR="002E3055" w:rsidRPr="00133505" w:rsidRDefault="002E3055" w:rsidP="002E3055">
            <w:pPr>
              <w:pStyle w:val="Header"/>
              <w:tabs>
                <w:tab w:val="clear" w:pos="4153"/>
                <w:tab w:val="center" w:pos="743"/>
              </w:tabs>
              <w:spacing w:before="60"/>
              <w:rPr>
                <w:color w:val="000000" w:themeColor="text1"/>
              </w:rPr>
            </w:pPr>
            <w:r w:rsidRPr="00133505">
              <w:rPr>
                <w:color w:val="000000" w:themeColor="text1"/>
              </w:rPr>
              <w:t>• What other reasons might explain this gap?</w:t>
            </w:r>
          </w:p>
          <w:p w14:paraId="4CF33839" w14:textId="62674689" w:rsidR="0015389B" w:rsidRPr="00133505" w:rsidRDefault="002E3055" w:rsidP="002E3055">
            <w:pPr>
              <w:pStyle w:val="Header"/>
              <w:spacing w:before="60"/>
              <w:rPr>
                <w:color w:val="000000" w:themeColor="text1"/>
              </w:rPr>
            </w:pPr>
            <w:r w:rsidRPr="00133505">
              <w:rPr>
                <w:color w:val="000000" w:themeColor="text1"/>
              </w:rPr>
              <w:lastRenderedPageBreak/>
              <w:t>• How is asthma education managed in the districts? Is the education managed in a culturally appropriate way?</w:t>
            </w:r>
          </w:p>
        </w:tc>
      </w:tr>
    </w:tbl>
    <w:p w14:paraId="7AEB09D1" w14:textId="77777777" w:rsidR="003B070F" w:rsidRPr="00133505" w:rsidRDefault="003B070F" w:rsidP="003B070F">
      <w:pPr>
        <w:rPr>
          <w:b/>
          <w:color w:val="000000" w:themeColor="text1"/>
          <w:szCs w:val="22"/>
        </w:rPr>
      </w:pPr>
    </w:p>
    <w:p w14:paraId="25E48C1E" w14:textId="77777777" w:rsidR="003B070F" w:rsidRPr="00133505" w:rsidRDefault="003B070F" w:rsidP="003B070F">
      <w:pPr>
        <w:rPr>
          <w:b/>
          <w:color w:val="000000" w:themeColor="text1"/>
          <w:szCs w:val="22"/>
        </w:rPr>
      </w:pPr>
    </w:p>
    <w:p w14:paraId="6E12C4DB" w14:textId="7BD0CBC5" w:rsidR="003B070F" w:rsidRPr="00133505" w:rsidRDefault="004A2B29" w:rsidP="00494E58">
      <w:pPr>
        <w:pStyle w:val="TeThHauorahead3"/>
        <w:rPr>
          <w:color w:val="000000" w:themeColor="text1"/>
        </w:rPr>
      </w:pPr>
      <w:bookmarkStart w:id="11" w:name="_Toc196292456"/>
      <w:r w:rsidRPr="00133505">
        <w:rPr>
          <w:color w:val="000000" w:themeColor="text1"/>
        </w:rPr>
        <w:t>8. People regularly dispensed SABA and not regularly dispensed preventer during the year</w:t>
      </w:r>
      <w:bookmarkEnd w:id="11"/>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57B08F2E"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6116E970" w14:textId="77777777" w:rsidR="003B070F" w:rsidRPr="00133505" w:rsidRDefault="003B070F" w:rsidP="00021FF0">
            <w:pPr>
              <w:pStyle w:val="Header"/>
              <w:spacing w:before="60"/>
              <w:rPr>
                <w:b/>
                <w:color w:val="000000" w:themeColor="text1"/>
                <w:sz w:val="24"/>
              </w:rPr>
            </w:pPr>
            <w:r w:rsidRPr="00133505">
              <w:rPr>
                <w:b/>
                <w:color w:val="000000" w:themeColor="text1"/>
                <w:sz w:val="24"/>
              </w:rPr>
              <w:t>Indicator #8:</w:t>
            </w:r>
          </w:p>
        </w:tc>
        <w:tc>
          <w:tcPr>
            <w:tcW w:w="7371" w:type="dxa"/>
            <w:tcBorders>
              <w:top w:val="single" w:sz="4" w:space="0" w:color="C2D69B"/>
              <w:left w:val="single" w:sz="4" w:space="0" w:color="C2D69B"/>
              <w:bottom w:val="single" w:sz="4" w:space="0" w:color="C2D69B"/>
              <w:right w:val="single" w:sz="4" w:space="0" w:color="C2D69B"/>
            </w:tcBorders>
            <w:vAlign w:val="bottom"/>
          </w:tcPr>
          <w:p w14:paraId="47064C79" w14:textId="05FD3142" w:rsidR="003B070F" w:rsidRPr="00133505" w:rsidRDefault="003B070F" w:rsidP="00021FF0">
            <w:pPr>
              <w:pStyle w:val="Header"/>
              <w:tabs>
                <w:tab w:val="center" w:pos="743"/>
              </w:tabs>
              <w:spacing w:before="60"/>
              <w:rPr>
                <w:color w:val="000000" w:themeColor="text1"/>
              </w:rPr>
            </w:pPr>
            <w:r w:rsidRPr="00133505">
              <w:rPr>
                <w:color w:val="000000" w:themeColor="text1"/>
              </w:rPr>
              <w:t xml:space="preserve">People </w:t>
            </w:r>
            <w:r w:rsidR="00AD3698" w:rsidRPr="00133505">
              <w:rPr>
                <w:color w:val="000000" w:themeColor="text1"/>
              </w:rPr>
              <w:t>aged</w:t>
            </w:r>
            <w:r w:rsidR="00D14078" w:rsidRPr="00133505">
              <w:rPr>
                <w:color w:val="000000" w:themeColor="text1"/>
              </w:rPr>
              <w:t xml:space="preserve"> </w:t>
            </w:r>
            <w:r w:rsidR="002D7D61" w:rsidRPr="00133505">
              <w:rPr>
                <w:color w:val="000000" w:themeColor="text1"/>
              </w:rPr>
              <w:t>5</w:t>
            </w:r>
            <w:r w:rsidR="00593374" w:rsidRPr="00133505">
              <w:rPr>
                <w:color w:val="000000" w:themeColor="text1"/>
              </w:rPr>
              <w:t>–</w:t>
            </w:r>
            <w:r w:rsidR="008D4E58" w:rsidRPr="00133505">
              <w:rPr>
                <w:color w:val="000000" w:themeColor="text1"/>
              </w:rPr>
              <w:t>44</w:t>
            </w:r>
            <w:r w:rsidRPr="00133505">
              <w:rPr>
                <w:color w:val="000000" w:themeColor="text1"/>
              </w:rPr>
              <w:t xml:space="preserve"> regularly dispensed SABA and not regularly dispensed preventer during the year</w:t>
            </w:r>
            <w:r w:rsidR="00A91027" w:rsidRPr="00133505">
              <w:rPr>
                <w:color w:val="000000" w:themeColor="text1"/>
              </w:rPr>
              <w:t>, among PHO enrolled population</w:t>
            </w:r>
          </w:p>
        </w:tc>
      </w:tr>
      <w:tr w:rsidR="00133505" w:rsidRPr="00133505" w14:paraId="35138B44"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2B71ADA8" w14:textId="77777777" w:rsidR="003B070F" w:rsidRPr="00133505" w:rsidRDefault="003B070F" w:rsidP="00021FF0">
            <w:pPr>
              <w:pStyle w:val="Header"/>
              <w:spacing w:before="60"/>
              <w:rPr>
                <w:color w:val="000000" w:themeColor="text1"/>
                <w:sz w:val="24"/>
              </w:rPr>
            </w:pPr>
            <w:r w:rsidRPr="00133505">
              <w:rPr>
                <w:color w:val="000000" w:themeColor="text1"/>
                <w:sz w:val="24"/>
              </w:rPr>
              <w:t>Numerator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431FC69F" w14:textId="77777777" w:rsidR="003B070F" w:rsidRPr="00133505" w:rsidRDefault="003B070F" w:rsidP="00021FF0">
            <w:pPr>
              <w:pStyle w:val="Header"/>
              <w:tabs>
                <w:tab w:val="clear" w:pos="4153"/>
                <w:tab w:val="center" w:pos="743"/>
              </w:tabs>
              <w:spacing w:before="60"/>
              <w:rPr>
                <w:color w:val="000000" w:themeColor="text1"/>
              </w:rPr>
            </w:pPr>
            <w:r w:rsidRPr="00133505">
              <w:rPr>
                <w:color w:val="000000" w:themeColor="text1"/>
              </w:rPr>
              <w:t>The number of people who were dispensed SABA in two or more quarters and who were not dispensed preventer in two or more quarters in the year</w:t>
            </w:r>
          </w:p>
        </w:tc>
      </w:tr>
      <w:tr w:rsidR="00133505" w:rsidRPr="00133505" w14:paraId="5A114967"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49D290CF" w14:textId="77777777" w:rsidR="003B070F" w:rsidRPr="00133505" w:rsidRDefault="003B070F" w:rsidP="00021FF0">
            <w:pPr>
              <w:pStyle w:val="Header"/>
              <w:spacing w:before="60"/>
              <w:rPr>
                <w:color w:val="000000" w:themeColor="text1"/>
                <w:sz w:val="24"/>
              </w:rPr>
            </w:pPr>
            <w:r w:rsidRPr="00133505">
              <w:rPr>
                <w:color w:val="000000" w:themeColor="text1"/>
                <w:sz w:val="24"/>
              </w:rPr>
              <w:t>Denominator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2E0A3EA0" w14:textId="77777777" w:rsidR="003B070F" w:rsidRPr="00133505" w:rsidRDefault="003B070F" w:rsidP="00021FF0">
            <w:pPr>
              <w:pStyle w:val="Header"/>
              <w:tabs>
                <w:tab w:val="clear" w:pos="4153"/>
                <w:tab w:val="center" w:pos="743"/>
              </w:tabs>
              <w:spacing w:before="60"/>
              <w:rPr>
                <w:color w:val="000000" w:themeColor="text1"/>
              </w:rPr>
            </w:pPr>
            <w:r w:rsidRPr="00133505">
              <w:rPr>
                <w:color w:val="000000" w:themeColor="text1"/>
              </w:rPr>
              <w:t>People dispensed SABA in two or more quarters in a year</w:t>
            </w:r>
          </w:p>
        </w:tc>
      </w:tr>
      <w:tr w:rsidR="00133505" w:rsidRPr="00133505" w14:paraId="0880B89E"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6439E6FB" w14:textId="77777777" w:rsidR="003B070F" w:rsidRPr="00133505" w:rsidRDefault="003B070F" w:rsidP="00021FF0">
            <w:pPr>
              <w:pStyle w:val="Header"/>
              <w:spacing w:before="60"/>
              <w:rPr>
                <w:color w:val="000000" w:themeColor="text1"/>
                <w:sz w:val="24"/>
              </w:rPr>
            </w:pPr>
            <w:r w:rsidRPr="00133505">
              <w:rPr>
                <w:color w:val="000000" w:themeColor="text1"/>
                <w:sz w:val="24"/>
              </w:rPr>
              <w:t>Data source</w:t>
            </w:r>
          </w:p>
        </w:tc>
        <w:tc>
          <w:tcPr>
            <w:tcW w:w="7371" w:type="dxa"/>
            <w:tcBorders>
              <w:top w:val="single" w:sz="4" w:space="0" w:color="C2D69B"/>
              <w:left w:val="single" w:sz="4" w:space="0" w:color="C2D69B"/>
              <w:bottom w:val="single" w:sz="4" w:space="0" w:color="C2D69B"/>
              <w:right w:val="single" w:sz="4" w:space="0" w:color="C2D69B"/>
            </w:tcBorders>
            <w:vAlign w:val="bottom"/>
          </w:tcPr>
          <w:p w14:paraId="1C5F20F9" w14:textId="363E93A7" w:rsidR="003B070F" w:rsidRPr="00133505" w:rsidRDefault="003B070F" w:rsidP="00021FF0">
            <w:pPr>
              <w:pStyle w:val="Header"/>
              <w:tabs>
                <w:tab w:val="clear" w:pos="4153"/>
                <w:tab w:val="center" w:pos="743"/>
              </w:tabs>
              <w:spacing w:before="60"/>
              <w:rPr>
                <w:color w:val="000000" w:themeColor="text1"/>
              </w:rPr>
            </w:pPr>
            <w:r w:rsidRPr="00133505">
              <w:rPr>
                <w:color w:val="000000" w:themeColor="text1"/>
              </w:rPr>
              <w:t>Pharm</w:t>
            </w:r>
            <w:r w:rsidR="001052BA" w:rsidRPr="00133505">
              <w:rPr>
                <w:color w:val="000000" w:themeColor="text1"/>
              </w:rPr>
              <w:t>aceutical collections</w:t>
            </w:r>
          </w:p>
        </w:tc>
      </w:tr>
      <w:tr w:rsidR="00133505" w:rsidRPr="00133505" w14:paraId="61069F3B"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4D3735CD" w14:textId="51E8E3C0" w:rsidR="00DC2B5D" w:rsidRPr="00133505" w:rsidRDefault="00DC2B5D" w:rsidP="00DC2B5D">
            <w:pPr>
              <w:pStyle w:val="Header"/>
              <w:spacing w:before="60"/>
              <w:rPr>
                <w:color w:val="000000" w:themeColor="text1"/>
                <w:sz w:val="24"/>
              </w:rPr>
            </w:pPr>
            <w:r w:rsidRPr="00133505">
              <w:rPr>
                <w:color w:val="000000" w:themeColor="text1"/>
                <w:sz w:val="24"/>
              </w:rPr>
              <w:t>By variables</w:t>
            </w:r>
          </w:p>
        </w:tc>
        <w:tc>
          <w:tcPr>
            <w:tcW w:w="7371" w:type="dxa"/>
            <w:tcBorders>
              <w:top w:val="single" w:sz="4" w:space="0" w:color="C2D69B"/>
              <w:left w:val="single" w:sz="4" w:space="0" w:color="C2D69B"/>
              <w:bottom w:val="single" w:sz="4" w:space="0" w:color="C2D69B"/>
              <w:right w:val="single" w:sz="4" w:space="0" w:color="C2D69B"/>
            </w:tcBorders>
            <w:vAlign w:val="bottom"/>
          </w:tcPr>
          <w:p w14:paraId="42DA75B3" w14:textId="4073252F" w:rsidR="00DC2B5D" w:rsidRPr="00133505" w:rsidRDefault="00576EF6" w:rsidP="00DC2B5D">
            <w:pPr>
              <w:pStyle w:val="Header"/>
              <w:spacing w:before="60"/>
              <w:rPr>
                <w:rFonts w:cs="Arial"/>
                <w:color w:val="000000" w:themeColor="text1"/>
              </w:rPr>
            </w:pPr>
            <w:r w:rsidRPr="00133505">
              <w:rPr>
                <w:rFonts w:cs="Arial"/>
                <w:color w:val="000000" w:themeColor="text1"/>
              </w:rPr>
              <w:t>District</w:t>
            </w:r>
            <w:r w:rsidR="00DC2B5D" w:rsidRPr="00133505">
              <w:rPr>
                <w:rFonts w:cs="Arial"/>
                <w:color w:val="000000" w:themeColor="text1"/>
              </w:rPr>
              <w:t xml:space="preserve"> analysis: By year (201</w:t>
            </w:r>
            <w:r w:rsidR="000312CF" w:rsidRPr="00133505">
              <w:rPr>
                <w:rFonts w:cs="Arial"/>
                <w:color w:val="000000" w:themeColor="text1"/>
              </w:rPr>
              <w:t>8</w:t>
            </w:r>
            <w:r w:rsidR="00860B92" w:rsidRPr="00133505">
              <w:rPr>
                <w:rFonts w:cs="Arial"/>
                <w:color w:val="000000" w:themeColor="text1"/>
              </w:rPr>
              <w:t xml:space="preserve"> –</w:t>
            </w:r>
            <w:r w:rsidR="00DC2B5D" w:rsidRPr="00133505">
              <w:rPr>
                <w:rFonts w:cs="Arial"/>
                <w:color w:val="000000" w:themeColor="text1"/>
              </w:rPr>
              <w:t>202</w:t>
            </w:r>
            <w:r w:rsidR="000312CF" w:rsidRPr="00133505">
              <w:rPr>
                <w:rFonts w:cs="Arial"/>
                <w:color w:val="000000" w:themeColor="text1"/>
              </w:rPr>
              <w:t>3</w:t>
            </w:r>
            <w:r w:rsidR="00DC2B5D" w:rsidRPr="00133505">
              <w:rPr>
                <w:rFonts w:cs="Arial"/>
                <w:color w:val="000000" w:themeColor="text1"/>
              </w:rPr>
              <w:t>), age group (5</w:t>
            </w:r>
            <w:r w:rsidR="009E4F94" w:rsidRPr="00133505">
              <w:rPr>
                <w:rFonts w:cs="Arial"/>
                <w:color w:val="000000" w:themeColor="text1"/>
              </w:rPr>
              <w:softHyphen/>
            </w:r>
            <w:r w:rsidR="009E4F94" w:rsidRPr="00133505">
              <w:rPr>
                <w:rFonts w:cs="Arial"/>
                <w:color w:val="000000" w:themeColor="text1"/>
              </w:rPr>
              <w:softHyphen/>
            </w:r>
            <w:r w:rsidR="00860B92" w:rsidRPr="00133505">
              <w:rPr>
                <w:rFonts w:cs="Arial"/>
                <w:color w:val="000000" w:themeColor="text1"/>
              </w:rPr>
              <w:t xml:space="preserve"> –</w:t>
            </w:r>
            <w:r w:rsidR="00DC2B5D" w:rsidRPr="00133505">
              <w:rPr>
                <w:rFonts w:cs="Arial"/>
                <w:color w:val="000000" w:themeColor="text1"/>
              </w:rPr>
              <w:t xml:space="preserve">11, </w:t>
            </w:r>
            <w:r w:rsidR="00DC2B5D" w:rsidRPr="00133505">
              <w:rPr>
                <w:color w:val="000000" w:themeColor="text1"/>
              </w:rPr>
              <w:t>12</w:t>
            </w:r>
            <w:r w:rsidR="00860B92" w:rsidRPr="00133505">
              <w:rPr>
                <w:color w:val="000000" w:themeColor="text1"/>
              </w:rPr>
              <w:t xml:space="preserve"> –</w:t>
            </w:r>
            <w:r w:rsidR="00DC2B5D" w:rsidRPr="00133505">
              <w:rPr>
                <w:color w:val="000000" w:themeColor="text1"/>
              </w:rPr>
              <w:t>24, 25</w:t>
            </w:r>
            <w:r w:rsidR="00860B92" w:rsidRPr="00133505">
              <w:rPr>
                <w:color w:val="000000" w:themeColor="text1"/>
              </w:rPr>
              <w:t xml:space="preserve"> –</w:t>
            </w:r>
            <w:r w:rsidR="00DC2B5D" w:rsidRPr="00133505">
              <w:rPr>
                <w:color w:val="000000" w:themeColor="text1"/>
              </w:rPr>
              <w:t>4</w:t>
            </w:r>
            <w:r w:rsidR="00793BF7" w:rsidRPr="00133505">
              <w:rPr>
                <w:color w:val="000000" w:themeColor="text1"/>
              </w:rPr>
              <w:t>4</w:t>
            </w:r>
            <w:r w:rsidR="00ED2BE1" w:rsidRPr="00133505">
              <w:rPr>
                <w:rFonts w:cs="Arial"/>
                <w:color w:val="000000" w:themeColor="text1"/>
              </w:rPr>
              <w:t>), gender (female, male), ethnic group (</w:t>
            </w:r>
            <w:r w:rsidR="00ED2BE1" w:rsidRPr="00133505">
              <w:rPr>
                <w:color w:val="000000" w:themeColor="text1"/>
              </w:rPr>
              <w:t>Māori, Pacific peoples, European/Other)</w:t>
            </w:r>
            <w:r w:rsidR="00ED2BE1" w:rsidRPr="00133505">
              <w:rPr>
                <w:rFonts w:cs="Arial"/>
                <w:color w:val="000000" w:themeColor="text1"/>
              </w:rPr>
              <w:t xml:space="preserve">, </w:t>
            </w:r>
            <w:r w:rsidR="00DC2B5D" w:rsidRPr="00133505">
              <w:rPr>
                <w:rFonts w:cs="Arial"/>
                <w:color w:val="000000" w:themeColor="text1"/>
              </w:rPr>
              <w:t>and Health New Zealand district of domicile.</w:t>
            </w:r>
          </w:p>
          <w:p w14:paraId="5A17E059" w14:textId="6F597E4E" w:rsidR="00DC2B5D" w:rsidRPr="00133505" w:rsidRDefault="00DC2B5D" w:rsidP="00DC2B5D">
            <w:pPr>
              <w:pStyle w:val="Header"/>
              <w:tabs>
                <w:tab w:val="clear" w:pos="4153"/>
                <w:tab w:val="center" w:pos="743"/>
              </w:tabs>
              <w:spacing w:before="60"/>
              <w:rPr>
                <w:color w:val="000000" w:themeColor="text1"/>
              </w:rPr>
            </w:pPr>
            <w:r w:rsidRPr="00133505">
              <w:rPr>
                <w:rFonts w:cs="Arial"/>
                <w:color w:val="000000" w:themeColor="text1"/>
              </w:rPr>
              <w:t>PHO analysis: By year (202</w:t>
            </w:r>
            <w:r w:rsidR="000312CF" w:rsidRPr="00133505">
              <w:rPr>
                <w:rFonts w:cs="Arial"/>
                <w:color w:val="000000" w:themeColor="text1"/>
              </w:rPr>
              <w:t>3</w:t>
            </w:r>
            <w:r w:rsidRPr="00133505">
              <w:rPr>
                <w:rFonts w:cs="Arial"/>
                <w:color w:val="000000" w:themeColor="text1"/>
              </w:rPr>
              <w:t>), age group</w:t>
            </w:r>
            <w:r w:rsidRPr="00133505">
              <w:rPr>
                <w:color w:val="000000" w:themeColor="text1"/>
              </w:rPr>
              <w:t>,</w:t>
            </w:r>
            <w:r w:rsidRPr="00133505">
              <w:rPr>
                <w:rFonts w:cs="Arial"/>
                <w:color w:val="000000" w:themeColor="text1"/>
              </w:rPr>
              <w:t xml:space="preserve"> gender, Primary Health Organisation (PHO) most recently enrolled with (for the relevant year), </w:t>
            </w:r>
            <w:r w:rsidRPr="00133505">
              <w:rPr>
                <w:rFonts w:cs="Arial"/>
                <w:color w:val="000000" w:themeColor="text1"/>
                <w:szCs w:val="22"/>
              </w:rPr>
              <w:t>PHO group (small, medium,</w:t>
            </w:r>
            <w:r w:rsidR="00866078" w:rsidRPr="00133505">
              <w:rPr>
                <w:rFonts w:cs="Arial"/>
                <w:color w:val="000000" w:themeColor="text1"/>
                <w:szCs w:val="22"/>
              </w:rPr>
              <w:t xml:space="preserve"> medium-large</w:t>
            </w:r>
            <w:r w:rsidR="00E77775" w:rsidRPr="00133505">
              <w:rPr>
                <w:rFonts w:cs="Arial"/>
                <w:color w:val="000000" w:themeColor="text1"/>
                <w:szCs w:val="22"/>
              </w:rPr>
              <w:t xml:space="preserve"> </w:t>
            </w:r>
            <w:r w:rsidRPr="00133505">
              <w:rPr>
                <w:rFonts w:cs="Arial"/>
                <w:color w:val="000000" w:themeColor="text1"/>
                <w:szCs w:val="22"/>
              </w:rPr>
              <w:t>and large).</w:t>
            </w:r>
          </w:p>
        </w:tc>
      </w:tr>
      <w:tr w:rsidR="00133505" w:rsidRPr="00133505" w14:paraId="3A6465B8"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56177FA9" w14:textId="77777777" w:rsidR="003B070F" w:rsidRPr="00133505" w:rsidRDefault="003B070F" w:rsidP="00021FF0">
            <w:pPr>
              <w:pStyle w:val="Header"/>
              <w:spacing w:before="60"/>
              <w:rPr>
                <w:color w:val="000000" w:themeColor="text1"/>
                <w:sz w:val="24"/>
              </w:rPr>
            </w:pPr>
            <w:r w:rsidRPr="00133505">
              <w:rPr>
                <w:color w:val="000000" w:themeColor="text1"/>
                <w:sz w:val="24"/>
              </w:rPr>
              <w:t>Medicines included</w:t>
            </w:r>
          </w:p>
        </w:tc>
        <w:tc>
          <w:tcPr>
            <w:tcW w:w="7371" w:type="dxa"/>
            <w:tcBorders>
              <w:top w:val="single" w:sz="4" w:space="0" w:color="C2D69B"/>
              <w:left w:val="single" w:sz="4" w:space="0" w:color="C2D69B"/>
              <w:bottom w:val="single" w:sz="4" w:space="0" w:color="C2D69B"/>
              <w:right w:val="single" w:sz="4" w:space="0" w:color="C2D69B"/>
            </w:tcBorders>
            <w:vAlign w:val="bottom"/>
          </w:tcPr>
          <w:p w14:paraId="2866FD3F" w14:textId="624D3BCD" w:rsidR="00E95D3D" w:rsidRPr="00133505" w:rsidRDefault="00E95D3D" w:rsidP="00E95D3D">
            <w:pPr>
              <w:pStyle w:val="Header"/>
              <w:spacing w:before="60"/>
              <w:rPr>
                <w:color w:val="000000" w:themeColor="text1"/>
              </w:rPr>
            </w:pPr>
            <w:r w:rsidRPr="00133505">
              <w:rPr>
                <w:b/>
                <w:bCs/>
                <w:color w:val="000000" w:themeColor="text1"/>
              </w:rPr>
              <w:t>SABA (relievers):</w:t>
            </w:r>
            <w:r w:rsidRPr="00133505">
              <w:rPr>
                <w:color w:val="000000" w:themeColor="text1"/>
              </w:rPr>
              <w:t xml:space="preserve"> beta</w:t>
            </w:r>
            <w:r w:rsidR="00E77775" w:rsidRPr="00133505">
              <w:rPr>
                <w:color w:val="000000" w:themeColor="text1"/>
              </w:rPr>
              <w:t>-</w:t>
            </w:r>
            <w:r w:rsidRPr="00133505">
              <w:rPr>
                <w:color w:val="000000" w:themeColor="text1"/>
              </w:rPr>
              <w:t>adrenoceptor agonists 209606, 209609, 209611, 209612, 209613, 209614, 209615, 209616, 209617 Salbutamol; 240406, 240407, 240408, 240409, 240410, 240425 Terbutaline Sulphate</w:t>
            </w:r>
          </w:p>
          <w:p w14:paraId="120E1E00" w14:textId="77777777" w:rsidR="00E95D3D" w:rsidRPr="00133505" w:rsidRDefault="00E95D3D" w:rsidP="00E95D3D">
            <w:pPr>
              <w:pStyle w:val="Header"/>
              <w:tabs>
                <w:tab w:val="clear" w:pos="4153"/>
                <w:tab w:val="center" w:pos="743"/>
              </w:tabs>
              <w:rPr>
                <w:color w:val="000000" w:themeColor="text1"/>
              </w:rPr>
            </w:pPr>
          </w:p>
          <w:p w14:paraId="42A19DBF" w14:textId="77777777" w:rsidR="00E95D3D" w:rsidRPr="00133505" w:rsidRDefault="00E95D3D" w:rsidP="00E95D3D">
            <w:pPr>
              <w:pStyle w:val="Header"/>
              <w:tabs>
                <w:tab w:val="clear" w:pos="4153"/>
                <w:tab w:val="center" w:pos="743"/>
              </w:tabs>
              <w:rPr>
                <w:b/>
                <w:bCs/>
                <w:color w:val="000000" w:themeColor="text1"/>
              </w:rPr>
            </w:pPr>
            <w:r w:rsidRPr="00133505">
              <w:rPr>
                <w:b/>
                <w:bCs/>
                <w:color w:val="000000" w:themeColor="text1"/>
              </w:rPr>
              <w:t>Preventers:</w:t>
            </w:r>
          </w:p>
          <w:p w14:paraId="4D2D879F" w14:textId="77777777" w:rsidR="00E95D3D" w:rsidRPr="00133505" w:rsidRDefault="00E95D3D" w:rsidP="00E95D3D">
            <w:pPr>
              <w:pStyle w:val="Header"/>
              <w:spacing w:before="60"/>
              <w:rPr>
                <w:color w:val="000000" w:themeColor="text1"/>
              </w:rPr>
            </w:pPr>
            <w:r w:rsidRPr="00133505">
              <w:rPr>
                <w:b/>
                <w:bCs/>
                <w:color w:val="000000" w:themeColor="text1"/>
              </w:rPr>
              <w:t>Inhaled corticosteroids:</w:t>
            </w:r>
            <w:r w:rsidRPr="00133505">
              <w:rPr>
                <w:color w:val="000000" w:themeColor="text1"/>
              </w:rPr>
              <w:t xml:space="preserve"> 110801,110802, 110803, 110804, 110805, 110806, 110807, 110808, 110809, 110815, 110816, 110825, 110826 &amp; 110827 Beclomethasone </w:t>
            </w:r>
            <w:proofErr w:type="gramStart"/>
            <w:r w:rsidRPr="00133505">
              <w:rPr>
                <w:color w:val="000000" w:themeColor="text1"/>
              </w:rPr>
              <w:t>dipropionate;</w:t>
            </w:r>
            <w:proofErr w:type="gramEnd"/>
            <w:r w:rsidRPr="00133505">
              <w:rPr>
                <w:color w:val="000000" w:themeColor="text1"/>
              </w:rPr>
              <w:t xml:space="preserve"> </w:t>
            </w:r>
          </w:p>
          <w:p w14:paraId="66B8B36E" w14:textId="77777777" w:rsidR="00E95D3D" w:rsidRPr="00133505" w:rsidRDefault="00E95D3D" w:rsidP="00E95D3D">
            <w:pPr>
              <w:pStyle w:val="Header"/>
              <w:spacing w:before="60"/>
              <w:rPr>
                <w:color w:val="000000" w:themeColor="text1"/>
              </w:rPr>
            </w:pPr>
            <w:r w:rsidRPr="00133505">
              <w:rPr>
                <w:color w:val="000000" w:themeColor="text1"/>
              </w:rPr>
              <w:t xml:space="preserve">116801, 116802, 116803, 116804 &amp; 116805 </w:t>
            </w:r>
            <w:proofErr w:type="gramStart"/>
            <w:r w:rsidRPr="00133505">
              <w:rPr>
                <w:color w:val="000000" w:themeColor="text1"/>
              </w:rPr>
              <w:t>Budesonide;</w:t>
            </w:r>
            <w:proofErr w:type="gramEnd"/>
          </w:p>
          <w:p w14:paraId="56C8668A" w14:textId="77777777" w:rsidR="00E95D3D" w:rsidRPr="00133505" w:rsidRDefault="00E95D3D" w:rsidP="00E95D3D">
            <w:pPr>
              <w:pStyle w:val="Header"/>
              <w:spacing w:before="60"/>
              <w:rPr>
                <w:color w:val="000000" w:themeColor="text1"/>
              </w:rPr>
            </w:pPr>
            <w:r w:rsidRPr="00133505">
              <w:rPr>
                <w:color w:val="000000" w:themeColor="text1"/>
              </w:rPr>
              <w:t>106501, 106502, 106503, 106504, 106505, 106506, 106507, 106508, 106509, 106510, 106511, 106512, 106513, 106514 &amp; 106525 Fluticasone</w:t>
            </w:r>
          </w:p>
          <w:p w14:paraId="6112A555" w14:textId="77777777" w:rsidR="00E95D3D" w:rsidRPr="00133505" w:rsidRDefault="00E95D3D" w:rsidP="00E95D3D">
            <w:pPr>
              <w:pStyle w:val="Header"/>
              <w:tabs>
                <w:tab w:val="clear" w:pos="4153"/>
                <w:tab w:val="center" w:pos="743"/>
              </w:tabs>
              <w:spacing w:after="0" w:line="240" w:lineRule="auto"/>
              <w:rPr>
                <w:color w:val="000000" w:themeColor="text1"/>
              </w:rPr>
            </w:pPr>
          </w:p>
          <w:p w14:paraId="5FBEE2C4" w14:textId="656E1824" w:rsidR="00AE3FFA" w:rsidRPr="00133505" w:rsidRDefault="00E95D3D" w:rsidP="07D7EB6C">
            <w:pPr>
              <w:pStyle w:val="Header"/>
              <w:tabs>
                <w:tab w:val="clear" w:pos="4153"/>
                <w:tab w:val="center" w:pos="743"/>
              </w:tabs>
              <w:spacing w:after="0" w:line="240" w:lineRule="auto"/>
              <w:rPr>
                <w:color w:val="000000" w:themeColor="text1"/>
              </w:rPr>
            </w:pPr>
            <w:r w:rsidRPr="00133505">
              <w:rPr>
                <w:b/>
                <w:bCs/>
                <w:color w:val="000000" w:themeColor="text1"/>
              </w:rPr>
              <w:t>Inhaled long</w:t>
            </w:r>
            <w:r w:rsidR="00515BD6" w:rsidRPr="00133505">
              <w:rPr>
                <w:b/>
                <w:bCs/>
                <w:color w:val="000000" w:themeColor="text1"/>
              </w:rPr>
              <w:t>-</w:t>
            </w:r>
            <w:r w:rsidRPr="00133505">
              <w:rPr>
                <w:b/>
                <w:bCs/>
                <w:color w:val="000000" w:themeColor="text1"/>
              </w:rPr>
              <w:t>acting beta</w:t>
            </w:r>
            <w:r w:rsidR="00515BD6" w:rsidRPr="00133505">
              <w:rPr>
                <w:b/>
                <w:bCs/>
                <w:color w:val="000000" w:themeColor="text1"/>
              </w:rPr>
              <w:t>-</w:t>
            </w:r>
            <w:r w:rsidRPr="00133505">
              <w:rPr>
                <w:b/>
                <w:bCs/>
                <w:color w:val="000000" w:themeColor="text1"/>
              </w:rPr>
              <w:t>adrenoceptor agonists:</w:t>
            </w:r>
            <w:r w:rsidRPr="00133505">
              <w:rPr>
                <w:color w:val="000000" w:themeColor="text1"/>
              </w:rPr>
              <w:t xml:space="preserve"> 106601, 106602, 106603 &amp; 106625 Salmeterol; 108301, 108302 &amp; 108303 </w:t>
            </w:r>
            <w:proofErr w:type="spellStart"/>
            <w:r w:rsidRPr="00133505">
              <w:rPr>
                <w:color w:val="000000" w:themeColor="text1"/>
              </w:rPr>
              <w:t>Eformoterol</w:t>
            </w:r>
            <w:proofErr w:type="spellEnd"/>
            <w:r w:rsidRPr="00133505">
              <w:rPr>
                <w:color w:val="000000" w:themeColor="text1"/>
              </w:rPr>
              <w:t xml:space="preserve"> fumarate; </w:t>
            </w:r>
            <w:r w:rsidR="00AE3FFA" w:rsidRPr="00133505">
              <w:rPr>
                <w:color w:val="000000" w:themeColor="text1"/>
              </w:rPr>
              <w:t xml:space="preserve">411225 </w:t>
            </w:r>
            <w:proofErr w:type="spellStart"/>
            <w:r w:rsidR="00AE3FFA" w:rsidRPr="00133505">
              <w:rPr>
                <w:color w:val="000000" w:themeColor="text1"/>
              </w:rPr>
              <w:t>Eformoterol</w:t>
            </w:r>
            <w:proofErr w:type="spellEnd"/>
            <w:r w:rsidR="00AE3FFA" w:rsidRPr="00133505">
              <w:rPr>
                <w:color w:val="000000" w:themeColor="text1"/>
              </w:rPr>
              <w:t xml:space="preserve"> fumarate </w:t>
            </w:r>
            <w:proofErr w:type="gramStart"/>
            <w:r w:rsidR="00AE3FFA" w:rsidRPr="00133505">
              <w:rPr>
                <w:color w:val="000000" w:themeColor="text1"/>
              </w:rPr>
              <w:t>dihydrate;</w:t>
            </w:r>
            <w:proofErr w:type="gramEnd"/>
          </w:p>
          <w:p w14:paraId="235D889F" w14:textId="2F17EEB2" w:rsidR="00E95D3D" w:rsidRPr="00133505" w:rsidRDefault="00E95D3D" w:rsidP="00E95D3D">
            <w:pPr>
              <w:pStyle w:val="Header"/>
              <w:tabs>
                <w:tab w:val="clear" w:pos="4153"/>
                <w:tab w:val="center" w:pos="743"/>
              </w:tabs>
              <w:spacing w:after="0" w:line="240" w:lineRule="auto"/>
              <w:rPr>
                <w:color w:val="000000" w:themeColor="text1"/>
              </w:rPr>
            </w:pPr>
            <w:r w:rsidRPr="00133505">
              <w:rPr>
                <w:color w:val="000000" w:themeColor="text1"/>
              </w:rPr>
              <w:t xml:space="preserve">404225 &amp; 404226 </w:t>
            </w:r>
            <w:proofErr w:type="gramStart"/>
            <w:r w:rsidRPr="00133505">
              <w:rPr>
                <w:color w:val="000000" w:themeColor="text1"/>
              </w:rPr>
              <w:t>Indacaterol</w:t>
            </w:r>
            <w:r w:rsidR="00242CF9" w:rsidRPr="00133505">
              <w:rPr>
                <w:color w:val="000000" w:themeColor="text1"/>
              </w:rPr>
              <w:t>;</w:t>
            </w:r>
            <w:proofErr w:type="gramEnd"/>
            <w:r w:rsidRPr="00133505">
              <w:rPr>
                <w:color w:val="000000" w:themeColor="text1"/>
              </w:rPr>
              <w:t xml:space="preserve"> </w:t>
            </w:r>
          </w:p>
          <w:p w14:paraId="564EEDF6" w14:textId="77777777" w:rsidR="00E95D3D" w:rsidRPr="00133505" w:rsidRDefault="00E95D3D" w:rsidP="00E95D3D">
            <w:pPr>
              <w:pStyle w:val="Header"/>
              <w:tabs>
                <w:tab w:val="clear" w:pos="4153"/>
                <w:tab w:val="center" w:pos="743"/>
              </w:tabs>
              <w:spacing w:after="0" w:line="240" w:lineRule="auto"/>
              <w:rPr>
                <w:color w:val="000000" w:themeColor="text1"/>
              </w:rPr>
            </w:pPr>
          </w:p>
          <w:p w14:paraId="2D0BEB08" w14:textId="66489CEE" w:rsidR="00E95D3D" w:rsidRPr="00133505" w:rsidRDefault="00E95D3D" w:rsidP="07D7EB6C">
            <w:pPr>
              <w:pStyle w:val="Header"/>
              <w:spacing w:before="60"/>
              <w:rPr>
                <w:color w:val="000000" w:themeColor="text1"/>
              </w:rPr>
            </w:pPr>
            <w:r w:rsidRPr="00133505">
              <w:rPr>
                <w:b/>
                <w:bCs/>
                <w:color w:val="000000" w:themeColor="text1"/>
              </w:rPr>
              <w:t>Inhaled corticosteroids with long</w:t>
            </w:r>
            <w:r w:rsidR="00515BD6" w:rsidRPr="00133505">
              <w:rPr>
                <w:b/>
                <w:bCs/>
                <w:color w:val="000000" w:themeColor="text1"/>
              </w:rPr>
              <w:t>-</w:t>
            </w:r>
            <w:r w:rsidRPr="00133505">
              <w:rPr>
                <w:b/>
                <w:bCs/>
                <w:color w:val="000000" w:themeColor="text1"/>
              </w:rPr>
              <w:t>acting beta</w:t>
            </w:r>
            <w:r w:rsidR="00515BD6" w:rsidRPr="00133505">
              <w:rPr>
                <w:b/>
                <w:bCs/>
                <w:color w:val="000000" w:themeColor="text1"/>
              </w:rPr>
              <w:t>-</w:t>
            </w:r>
            <w:r w:rsidRPr="00133505">
              <w:rPr>
                <w:b/>
                <w:bCs/>
                <w:color w:val="000000" w:themeColor="text1"/>
              </w:rPr>
              <w:t>adrenoceptor agonists:</w:t>
            </w:r>
            <w:r w:rsidRPr="00133505">
              <w:rPr>
                <w:color w:val="000000" w:themeColor="text1"/>
              </w:rPr>
              <w:t xml:space="preserve"> 375825, 375826, 375827, 375828, 375829, 375830 &amp; 375831 Budesonide with </w:t>
            </w:r>
            <w:proofErr w:type="spellStart"/>
            <w:proofErr w:type="gramStart"/>
            <w:r w:rsidRPr="00133505">
              <w:rPr>
                <w:color w:val="000000" w:themeColor="text1"/>
              </w:rPr>
              <w:t>eformoterol</w:t>
            </w:r>
            <w:proofErr w:type="spellEnd"/>
            <w:r w:rsidRPr="00133505">
              <w:rPr>
                <w:color w:val="000000" w:themeColor="text1"/>
              </w:rPr>
              <w:t>;</w:t>
            </w:r>
            <w:proofErr w:type="gramEnd"/>
          </w:p>
          <w:p w14:paraId="3D4464A1" w14:textId="77777777" w:rsidR="00E95D3D" w:rsidRPr="00133505" w:rsidRDefault="00E95D3D" w:rsidP="00E95D3D">
            <w:pPr>
              <w:pStyle w:val="Header"/>
              <w:spacing w:before="60"/>
              <w:rPr>
                <w:color w:val="000000" w:themeColor="text1"/>
              </w:rPr>
            </w:pPr>
            <w:r w:rsidRPr="00133505">
              <w:rPr>
                <w:color w:val="000000" w:themeColor="text1"/>
              </w:rPr>
              <w:t xml:space="preserve">385825, 385826, 385827 &amp; 385828 Fluticasone with </w:t>
            </w:r>
            <w:proofErr w:type="gramStart"/>
            <w:r w:rsidRPr="00133505">
              <w:rPr>
                <w:color w:val="000000" w:themeColor="text1"/>
              </w:rPr>
              <w:t>salmeterol;</w:t>
            </w:r>
            <w:proofErr w:type="gramEnd"/>
          </w:p>
          <w:p w14:paraId="03D53C59" w14:textId="77777777" w:rsidR="00E95D3D" w:rsidRPr="00133505" w:rsidRDefault="00E95D3D" w:rsidP="00E95D3D">
            <w:pPr>
              <w:pStyle w:val="Header"/>
              <w:tabs>
                <w:tab w:val="clear" w:pos="4153"/>
                <w:tab w:val="center" w:pos="743"/>
              </w:tabs>
              <w:spacing w:after="0" w:line="240" w:lineRule="auto"/>
              <w:rPr>
                <w:color w:val="000000" w:themeColor="text1"/>
              </w:rPr>
            </w:pPr>
            <w:r w:rsidRPr="00133505">
              <w:rPr>
                <w:color w:val="000000" w:themeColor="text1"/>
              </w:rPr>
              <w:t>405625 Fluticasone furoate with vilanterol</w:t>
            </w:r>
          </w:p>
          <w:p w14:paraId="110CFD77" w14:textId="6E6B60A1" w:rsidR="003B070F" w:rsidRPr="00133505" w:rsidRDefault="003B070F" w:rsidP="00E95D3D">
            <w:pPr>
              <w:pStyle w:val="Header"/>
              <w:tabs>
                <w:tab w:val="clear" w:pos="4153"/>
                <w:tab w:val="center" w:pos="743"/>
              </w:tabs>
              <w:spacing w:after="0" w:line="240" w:lineRule="auto"/>
              <w:rPr>
                <w:color w:val="000000" w:themeColor="text1"/>
              </w:rPr>
            </w:pPr>
          </w:p>
        </w:tc>
      </w:tr>
      <w:tr w:rsidR="00133505" w:rsidRPr="00133505" w14:paraId="10F8488F"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389F131E" w14:textId="77777777" w:rsidR="003B070F" w:rsidRPr="00133505" w:rsidRDefault="003B070F" w:rsidP="00021FF0">
            <w:pPr>
              <w:pStyle w:val="Header"/>
              <w:spacing w:before="60"/>
              <w:rPr>
                <w:color w:val="000000" w:themeColor="text1"/>
                <w:sz w:val="24"/>
              </w:rPr>
            </w:pPr>
            <w:r w:rsidRPr="00133505">
              <w:rPr>
                <w:color w:val="000000" w:themeColor="text1"/>
                <w:sz w:val="24"/>
              </w:rPr>
              <w:lastRenderedPageBreak/>
              <w:t>Rationale</w:t>
            </w:r>
          </w:p>
        </w:tc>
        <w:tc>
          <w:tcPr>
            <w:tcW w:w="7371" w:type="dxa"/>
            <w:tcBorders>
              <w:top w:val="single" w:sz="4" w:space="0" w:color="C2D69B"/>
              <w:left w:val="single" w:sz="4" w:space="0" w:color="C2D69B"/>
              <w:bottom w:val="single" w:sz="4" w:space="0" w:color="C2D69B"/>
              <w:right w:val="single" w:sz="4" w:space="0" w:color="C2D69B"/>
            </w:tcBorders>
            <w:vAlign w:val="bottom"/>
          </w:tcPr>
          <w:p w14:paraId="49AD467B" w14:textId="44AE336A" w:rsidR="003B070F" w:rsidRPr="00133505" w:rsidRDefault="003B070F" w:rsidP="07D7EB6C">
            <w:pPr>
              <w:pStyle w:val="Header"/>
              <w:tabs>
                <w:tab w:val="clear" w:pos="4153"/>
                <w:tab w:val="center" w:pos="743"/>
              </w:tabs>
              <w:spacing w:before="60"/>
              <w:rPr>
                <w:color w:val="000000" w:themeColor="text1"/>
              </w:rPr>
            </w:pPr>
            <w:r w:rsidRPr="00133505">
              <w:rPr>
                <w:color w:val="000000" w:themeColor="text1"/>
              </w:rPr>
              <w:t>High rates of people not receiving regular preventer therapy despite regular SABA use demonstrates non</w:t>
            </w:r>
            <w:r w:rsidR="00860B92" w:rsidRPr="00133505">
              <w:rPr>
                <w:color w:val="000000" w:themeColor="text1"/>
              </w:rPr>
              <w:t xml:space="preserve"> –</w:t>
            </w:r>
            <w:r w:rsidRPr="00133505">
              <w:rPr>
                <w:color w:val="000000" w:themeColor="text1"/>
              </w:rPr>
              <w:t xml:space="preserve">adherence to best practice guidelines and suboptimal disease management. </w:t>
            </w:r>
          </w:p>
          <w:p w14:paraId="1775BBB2" w14:textId="77777777" w:rsidR="003B070F" w:rsidRPr="00133505" w:rsidRDefault="003B070F" w:rsidP="00021FF0">
            <w:pPr>
              <w:pStyle w:val="Header"/>
              <w:tabs>
                <w:tab w:val="center" w:pos="743"/>
              </w:tabs>
              <w:spacing w:before="60"/>
              <w:rPr>
                <w:color w:val="000000" w:themeColor="text1"/>
              </w:rPr>
            </w:pPr>
            <w:r w:rsidRPr="00133505">
              <w:rPr>
                <w:color w:val="000000" w:themeColor="text1"/>
              </w:rPr>
              <w:t xml:space="preserve">The ARFNZ Adolescent and Adult Asthma guidelines (2020) defines good control of asthma as requiring a SABA reliever on </w:t>
            </w:r>
            <w:r w:rsidRPr="00133505">
              <w:rPr>
                <w:rFonts w:cs="Arial"/>
                <w:color w:val="000000" w:themeColor="text1"/>
              </w:rPr>
              <w:t>≤</w:t>
            </w:r>
            <w:r w:rsidRPr="00133505">
              <w:rPr>
                <w:color w:val="000000" w:themeColor="text1"/>
              </w:rPr>
              <w:t>2 days per week.</w:t>
            </w:r>
          </w:p>
          <w:p w14:paraId="1AAE5B6E" w14:textId="77777777" w:rsidR="003B070F" w:rsidRPr="00133505" w:rsidRDefault="003B070F" w:rsidP="00021FF0">
            <w:pPr>
              <w:pStyle w:val="Header"/>
              <w:tabs>
                <w:tab w:val="center" w:pos="743"/>
              </w:tabs>
              <w:spacing w:before="60"/>
              <w:rPr>
                <w:color w:val="000000" w:themeColor="text1"/>
              </w:rPr>
            </w:pPr>
            <w:r w:rsidRPr="00133505">
              <w:rPr>
                <w:color w:val="000000" w:themeColor="text1"/>
              </w:rPr>
              <w:t xml:space="preserve">The guideline recommends that ICS or ICS/LABA therapy is introduced if patients have symptoms consistent with a diagnosis of asthma. </w:t>
            </w:r>
          </w:p>
          <w:p w14:paraId="2DF6548B" w14:textId="77777777" w:rsidR="003B070F" w:rsidRPr="00133505" w:rsidRDefault="003B070F" w:rsidP="07D7EB6C">
            <w:pPr>
              <w:pStyle w:val="Header"/>
              <w:tabs>
                <w:tab w:val="center" w:pos="743"/>
              </w:tabs>
              <w:spacing w:before="60"/>
              <w:rPr>
                <w:color w:val="000000" w:themeColor="text1"/>
              </w:rPr>
            </w:pPr>
            <w:r w:rsidRPr="00133505">
              <w:rPr>
                <w:color w:val="000000" w:themeColor="text1"/>
              </w:rPr>
              <w:t xml:space="preserve">This indicator replaces the previous indicator of reliever: preventer ratio. </w:t>
            </w:r>
          </w:p>
          <w:p w14:paraId="5E161A35" w14:textId="77777777" w:rsidR="003B070F" w:rsidRPr="00133505" w:rsidRDefault="003B070F" w:rsidP="00021FF0">
            <w:pPr>
              <w:pStyle w:val="Header"/>
              <w:tabs>
                <w:tab w:val="center" w:pos="743"/>
              </w:tabs>
              <w:spacing w:before="60"/>
              <w:rPr>
                <w:color w:val="000000" w:themeColor="text1"/>
              </w:rPr>
            </w:pPr>
          </w:p>
        </w:tc>
      </w:tr>
      <w:tr w:rsidR="00133505" w:rsidRPr="00133505" w14:paraId="0CDF38E8" w14:textId="77777777" w:rsidTr="20CF9A1D">
        <w:trPr>
          <w:trHeight w:val="327"/>
        </w:trPr>
        <w:tc>
          <w:tcPr>
            <w:tcW w:w="1951" w:type="dxa"/>
            <w:tcBorders>
              <w:top w:val="single" w:sz="4" w:space="0" w:color="C2D69B"/>
              <w:left w:val="single" w:sz="4" w:space="0" w:color="C2D69B"/>
              <w:bottom w:val="single" w:sz="4" w:space="0" w:color="C2D69B"/>
              <w:right w:val="single" w:sz="4" w:space="0" w:color="C2D69B"/>
            </w:tcBorders>
          </w:tcPr>
          <w:p w14:paraId="56827961" w14:textId="7D6253CC" w:rsidR="00EC332C" w:rsidRPr="00133505" w:rsidRDefault="00EC332C" w:rsidP="00021FF0">
            <w:pPr>
              <w:pStyle w:val="Header"/>
              <w:spacing w:before="60"/>
              <w:rPr>
                <w:color w:val="000000" w:themeColor="text1"/>
                <w:sz w:val="24"/>
              </w:rPr>
            </w:pPr>
            <w:r w:rsidRPr="00133505">
              <w:rPr>
                <w:color w:val="000000" w:themeColor="text1"/>
                <w:sz w:val="24"/>
              </w:rPr>
              <w:t>Commentary</w:t>
            </w:r>
          </w:p>
        </w:tc>
        <w:tc>
          <w:tcPr>
            <w:tcW w:w="7371" w:type="dxa"/>
            <w:tcBorders>
              <w:top w:val="single" w:sz="4" w:space="0" w:color="C2D69B"/>
              <w:left w:val="single" w:sz="4" w:space="0" w:color="C2D69B"/>
              <w:bottom w:val="single" w:sz="4" w:space="0" w:color="C2D69B"/>
              <w:right w:val="single" w:sz="4" w:space="0" w:color="C2D69B"/>
            </w:tcBorders>
            <w:vAlign w:val="bottom"/>
          </w:tcPr>
          <w:p w14:paraId="4775513A" w14:textId="77777777" w:rsidR="00A63A05" w:rsidRPr="00133505" w:rsidRDefault="00A63A05" w:rsidP="00A63A05">
            <w:pPr>
              <w:pStyle w:val="Header"/>
              <w:spacing w:before="60"/>
              <w:rPr>
                <w:color w:val="000000" w:themeColor="text1"/>
              </w:rPr>
            </w:pPr>
            <w:r w:rsidRPr="00133505">
              <w:rPr>
                <w:color w:val="000000" w:themeColor="text1"/>
              </w:rPr>
              <w:t>Description:</w:t>
            </w:r>
          </w:p>
          <w:p w14:paraId="7ABA0731" w14:textId="77777777" w:rsidR="00A63A05" w:rsidRPr="00133505" w:rsidRDefault="00A63A05" w:rsidP="00A63A05">
            <w:pPr>
              <w:pStyle w:val="Header"/>
              <w:spacing w:before="60"/>
              <w:rPr>
                <w:color w:val="000000" w:themeColor="text1"/>
              </w:rPr>
            </w:pPr>
            <w:r w:rsidRPr="00133505">
              <w:rPr>
                <w:color w:val="000000" w:themeColor="text1"/>
              </w:rPr>
              <w:t xml:space="preserve">This indicator shows the number and percent of people who were dispensed SABA in at least two quarters in a year and were not dispensed preventer in two or more quarters in the same year. </w:t>
            </w:r>
          </w:p>
          <w:p w14:paraId="4DB2DCEF" w14:textId="77777777" w:rsidR="00A63A05" w:rsidRPr="00133505" w:rsidRDefault="00A63A05" w:rsidP="00A63A05">
            <w:pPr>
              <w:pStyle w:val="Header"/>
              <w:spacing w:before="60"/>
              <w:rPr>
                <w:color w:val="000000" w:themeColor="text1"/>
              </w:rPr>
            </w:pPr>
          </w:p>
          <w:p w14:paraId="61D299A9" w14:textId="22A2D10A" w:rsidR="00A63A05" w:rsidRPr="00133505" w:rsidRDefault="0024599C" w:rsidP="00A63A05">
            <w:pPr>
              <w:pStyle w:val="Header"/>
              <w:spacing w:before="60"/>
              <w:rPr>
                <w:color w:val="000000" w:themeColor="text1"/>
              </w:rPr>
            </w:pPr>
            <w:r>
              <w:rPr>
                <w:color w:val="000000" w:themeColor="text1"/>
              </w:rPr>
              <w:t xml:space="preserve">Data is </w:t>
            </w:r>
            <w:r w:rsidR="00A63A05" w:rsidRPr="00133505">
              <w:rPr>
                <w:color w:val="000000" w:themeColor="text1"/>
              </w:rPr>
              <w:t xml:space="preserve">presented by year, ethnicity, age, gender and district of domicile. </w:t>
            </w:r>
          </w:p>
          <w:p w14:paraId="675DC441" w14:textId="77777777" w:rsidR="00A63A05" w:rsidRPr="00133505" w:rsidRDefault="00A63A05" w:rsidP="00A63A05">
            <w:pPr>
              <w:pStyle w:val="Header"/>
              <w:spacing w:before="60"/>
              <w:rPr>
                <w:color w:val="000000" w:themeColor="text1"/>
              </w:rPr>
            </w:pPr>
          </w:p>
          <w:p w14:paraId="133EE5FB" w14:textId="77777777" w:rsidR="00A63A05" w:rsidRPr="00133505" w:rsidRDefault="00A63A05" w:rsidP="00A63A05">
            <w:pPr>
              <w:pStyle w:val="Header"/>
              <w:spacing w:before="60"/>
              <w:rPr>
                <w:color w:val="000000" w:themeColor="text1"/>
              </w:rPr>
            </w:pPr>
            <w:r w:rsidRPr="00133505">
              <w:rPr>
                <w:color w:val="000000" w:themeColor="text1"/>
              </w:rPr>
              <w:t xml:space="preserve">Why is this important? </w:t>
            </w:r>
          </w:p>
          <w:p w14:paraId="6F098507" w14:textId="77777777" w:rsidR="00A63A05" w:rsidRPr="00133505" w:rsidRDefault="00A63A05" w:rsidP="00A63A05">
            <w:pPr>
              <w:pStyle w:val="Header"/>
              <w:spacing w:before="60"/>
              <w:rPr>
                <w:color w:val="000000" w:themeColor="text1"/>
              </w:rPr>
            </w:pPr>
            <w:r w:rsidRPr="00133505">
              <w:rPr>
                <w:color w:val="000000" w:themeColor="text1"/>
              </w:rPr>
              <w:t xml:space="preserve">The New Zealand Adolescent and Adult Asthma guideline identifies that good control of asthma shows little use of reliever medication (SABA), less than two days a week. It recommends that ICS (preventer) therapy be initiated if people have symptoms more than twice a week.  </w:t>
            </w:r>
          </w:p>
          <w:p w14:paraId="5B415C3F" w14:textId="77777777" w:rsidR="00A63A05" w:rsidRPr="00133505" w:rsidRDefault="00A63A05" w:rsidP="00A63A05">
            <w:pPr>
              <w:pStyle w:val="Header"/>
              <w:spacing w:before="60"/>
              <w:rPr>
                <w:color w:val="000000" w:themeColor="text1"/>
              </w:rPr>
            </w:pPr>
          </w:p>
          <w:p w14:paraId="757CBCB8" w14:textId="77777777" w:rsidR="00A63A05" w:rsidRPr="00133505" w:rsidRDefault="00A63A05" w:rsidP="00A63A05">
            <w:pPr>
              <w:pStyle w:val="Header"/>
              <w:spacing w:before="60"/>
              <w:rPr>
                <w:color w:val="000000" w:themeColor="text1"/>
              </w:rPr>
            </w:pPr>
            <w:r w:rsidRPr="00133505">
              <w:rPr>
                <w:color w:val="000000" w:themeColor="text1"/>
              </w:rPr>
              <w:t>Limitations: The data presented do not allow for analysis of patients’ condition or the effectiveness of dose provided. This means it was not possible to assess the appropriateness or otherwise of prescribing.</w:t>
            </w:r>
          </w:p>
          <w:p w14:paraId="4D60C4E5" w14:textId="77777777" w:rsidR="00A63A05" w:rsidRPr="00133505" w:rsidRDefault="00A63A05" w:rsidP="00A63A05">
            <w:pPr>
              <w:pStyle w:val="Header"/>
              <w:spacing w:before="60"/>
              <w:rPr>
                <w:color w:val="000000" w:themeColor="text1"/>
              </w:rPr>
            </w:pPr>
          </w:p>
          <w:p w14:paraId="146E6E52" w14:textId="77777777" w:rsidR="00A63A05" w:rsidRPr="00133505" w:rsidRDefault="00A63A05" w:rsidP="00A63A05">
            <w:pPr>
              <w:rPr>
                <w:color w:val="000000" w:themeColor="text1"/>
              </w:rPr>
            </w:pPr>
            <w:r w:rsidRPr="00133505">
              <w:rPr>
                <w:color w:val="000000" w:themeColor="text1"/>
              </w:rPr>
              <w:t>What questions does this prompt?</w:t>
            </w:r>
          </w:p>
          <w:p w14:paraId="6B8AED31" w14:textId="77777777" w:rsidR="00A63A05" w:rsidRPr="00133505" w:rsidRDefault="00A63A05" w:rsidP="00A63A05">
            <w:pPr>
              <w:rPr>
                <w:color w:val="000000" w:themeColor="text1"/>
              </w:rPr>
            </w:pPr>
            <w:r w:rsidRPr="00133505">
              <w:rPr>
                <w:color w:val="000000" w:themeColor="text1"/>
              </w:rPr>
              <w:t>• Why do nearly one-third of people regularly dispensed SABA not regularly receive preventer in the year?</w:t>
            </w:r>
          </w:p>
          <w:p w14:paraId="4BBA73DA" w14:textId="77777777" w:rsidR="00A63A05" w:rsidRPr="00133505" w:rsidRDefault="00A63A05" w:rsidP="00A63A05">
            <w:pPr>
              <w:rPr>
                <w:color w:val="000000" w:themeColor="text1"/>
              </w:rPr>
            </w:pPr>
            <w:r w:rsidRPr="00133505">
              <w:rPr>
                <w:color w:val="000000" w:themeColor="text1"/>
              </w:rPr>
              <w:t>• What do patients understand with regards to the use of ICS and reliever medication?</w:t>
            </w:r>
          </w:p>
          <w:p w14:paraId="4AFB4032" w14:textId="77777777" w:rsidR="00A63A05" w:rsidRPr="00133505" w:rsidRDefault="00A63A05" w:rsidP="00A63A05">
            <w:pPr>
              <w:rPr>
                <w:color w:val="000000" w:themeColor="text1"/>
              </w:rPr>
            </w:pPr>
            <w:r w:rsidRPr="00133505">
              <w:rPr>
                <w:color w:val="000000" w:themeColor="text1"/>
              </w:rPr>
              <w:t>• What other reasons might explain this gap?</w:t>
            </w:r>
          </w:p>
          <w:p w14:paraId="23DA9B60" w14:textId="77777777" w:rsidR="00A63A05" w:rsidRPr="00133505" w:rsidRDefault="00A63A05" w:rsidP="00A63A05">
            <w:pPr>
              <w:rPr>
                <w:color w:val="000000" w:themeColor="text1"/>
              </w:rPr>
            </w:pPr>
            <w:r w:rsidRPr="00133505">
              <w:rPr>
                <w:color w:val="000000" w:themeColor="text1"/>
              </w:rPr>
              <w:t>• How is asthma education managed in the districts? Is the education managed in a culturally appropriate way?</w:t>
            </w:r>
          </w:p>
          <w:p w14:paraId="6677615E" w14:textId="58C41540" w:rsidR="00F43542" w:rsidRPr="00133505" w:rsidRDefault="00F43542" w:rsidP="008E38A3">
            <w:pPr>
              <w:pStyle w:val="Header"/>
              <w:tabs>
                <w:tab w:val="clear" w:pos="4153"/>
                <w:tab w:val="center" w:pos="743"/>
              </w:tabs>
              <w:spacing w:before="60"/>
              <w:rPr>
                <w:color w:val="000000" w:themeColor="text1"/>
              </w:rPr>
            </w:pPr>
          </w:p>
        </w:tc>
      </w:tr>
    </w:tbl>
    <w:p w14:paraId="0E251C18" w14:textId="77777777" w:rsidR="003B070F" w:rsidRPr="00133505" w:rsidRDefault="003B070F" w:rsidP="003B070F">
      <w:pPr>
        <w:rPr>
          <w:color w:val="000000" w:themeColor="text1"/>
        </w:rPr>
      </w:pPr>
    </w:p>
    <w:p w14:paraId="47A5CFC8" w14:textId="7E845F12" w:rsidR="00DF4718" w:rsidRPr="00133505" w:rsidRDefault="003A55D2" w:rsidP="00DF4718">
      <w:pPr>
        <w:pStyle w:val="TeThHauorahead3"/>
        <w:rPr>
          <w:color w:val="000000" w:themeColor="text1"/>
        </w:rPr>
      </w:pPr>
      <w:bookmarkStart w:id="12" w:name="_Toc196292458"/>
      <w:r w:rsidRPr="00133505">
        <w:rPr>
          <w:color w:val="000000" w:themeColor="text1"/>
        </w:rPr>
        <w:t>9</w:t>
      </w:r>
      <w:r w:rsidR="00DF4718" w:rsidRPr="00133505">
        <w:rPr>
          <w:color w:val="000000" w:themeColor="text1"/>
        </w:rPr>
        <w:t>. People aged 12</w:t>
      </w:r>
      <w:r w:rsidR="00860B92" w:rsidRPr="00133505">
        <w:rPr>
          <w:color w:val="000000" w:themeColor="text1"/>
        </w:rPr>
        <w:t>–</w:t>
      </w:r>
      <w:r w:rsidR="00DF4718" w:rsidRPr="00133505">
        <w:rPr>
          <w:color w:val="000000" w:themeColor="text1"/>
        </w:rPr>
        <w:t>44</w:t>
      </w:r>
      <w:r w:rsidR="00FC63AE" w:rsidRPr="00133505">
        <w:rPr>
          <w:color w:val="000000" w:themeColor="text1"/>
        </w:rPr>
        <w:t xml:space="preserve"> </w:t>
      </w:r>
      <w:r w:rsidR="00A00095" w:rsidRPr="00133505">
        <w:rPr>
          <w:color w:val="000000" w:themeColor="text1"/>
        </w:rPr>
        <w:t>dispensed a combined budesonide + formoterol inhaler</w:t>
      </w:r>
      <w:r w:rsidR="00A00095" w:rsidRPr="00133505" w:rsidDel="00A00095">
        <w:rPr>
          <w:color w:val="000000" w:themeColor="text1"/>
        </w:rPr>
        <w:t xml:space="preserve"> </w:t>
      </w:r>
      <w:bookmarkEnd w:id="12"/>
    </w:p>
    <w:tbl>
      <w:tblPr>
        <w:tblW w:w="932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firstRow="1" w:lastRow="0" w:firstColumn="1" w:lastColumn="0" w:noHBand="0" w:noVBand="0"/>
      </w:tblPr>
      <w:tblGrid>
        <w:gridCol w:w="1951"/>
        <w:gridCol w:w="7371"/>
      </w:tblGrid>
      <w:tr w:rsidR="00133505" w:rsidRPr="00133505" w14:paraId="2764DE43"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3F2105B8" w14:textId="46D6018B" w:rsidR="00DF4718" w:rsidRPr="00133505" w:rsidRDefault="00DF4718" w:rsidP="00021FF0">
            <w:pPr>
              <w:pStyle w:val="Header"/>
              <w:spacing w:before="60"/>
              <w:rPr>
                <w:b/>
                <w:color w:val="000000" w:themeColor="text1"/>
                <w:sz w:val="24"/>
              </w:rPr>
            </w:pPr>
            <w:r w:rsidRPr="00133505">
              <w:rPr>
                <w:b/>
                <w:color w:val="000000" w:themeColor="text1"/>
                <w:sz w:val="24"/>
              </w:rPr>
              <w:t>Indicator #</w:t>
            </w:r>
            <w:r w:rsidR="00E92A87" w:rsidRPr="00133505">
              <w:rPr>
                <w:b/>
                <w:color w:val="000000" w:themeColor="text1"/>
                <w:sz w:val="24"/>
              </w:rPr>
              <w:t>9</w:t>
            </w:r>
            <w:r w:rsidRPr="00133505">
              <w:rPr>
                <w:b/>
                <w:color w:val="000000" w:themeColor="text1"/>
                <w:sz w:val="24"/>
              </w:rPr>
              <w:t>:</w:t>
            </w:r>
          </w:p>
        </w:tc>
        <w:tc>
          <w:tcPr>
            <w:tcW w:w="7371" w:type="dxa"/>
            <w:tcBorders>
              <w:top w:val="single" w:sz="4" w:space="0" w:color="C2D69B"/>
              <w:left w:val="single" w:sz="4" w:space="0" w:color="C2D69B"/>
              <w:bottom w:val="single" w:sz="4" w:space="0" w:color="C2D69B"/>
              <w:right w:val="single" w:sz="4" w:space="0" w:color="C2D69B"/>
            </w:tcBorders>
            <w:vAlign w:val="bottom"/>
          </w:tcPr>
          <w:p w14:paraId="70E54A6B" w14:textId="1D343B61" w:rsidR="00DF4718" w:rsidRPr="00133505" w:rsidRDefault="00E07FCC" w:rsidP="00021FF0">
            <w:pPr>
              <w:pStyle w:val="Header"/>
              <w:tabs>
                <w:tab w:val="center" w:pos="743"/>
              </w:tabs>
              <w:spacing w:before="60"/>
              <w:rPr>
                <w:color w:val="000000" w:themeColor="text1"/>
              </w:rPr>
            </w:pPr>
            <w:r w:rsidRPr="00133505">
              <w:rPr>
                <w:color w:val="000000" w:themeColor="text1"/>
              </w:rPr>
              <w:t>People aged 12</w:t>
            </w:r>
            <w:r w:rsidR="00860B92" w:rsidRPr="00133505">
              <w:rPr>
                <w:color w:val="000000" w:themeColor="text1"/>
              </w:rPr>
              <w:t>–</w:t>
            </w:r>
            <w:r w:rsidRPr="00133505">
              <w:rPr>
                <w:color w:val="000000" w:themeColor="text1"/>
              </w:rPr>
              <w:t xml:space="preserve">44 </w:t>
            </w:r>
            <w:r w:rsidR="00A00095" w:rsidRPr="00133505">
              <w:rPr>
                <w:color w:val="000000" w:themeColor="text1"/>
              </w:rPr>
              <w:t>dispensed a combined budesonide + formoterol inhaler in the calendar year</w:t>
            </w:r>
          </w:p>
        </w:tc>
      </w:tr>
      <w:tr w:rsidR="00133505" w:rsidRPr="00133505" w14:paraId="2AC9D11E"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63AF7FB0" w14:textId="77777777" w:rsidR="00DF4718" w:rsidRPr="00133505" w:rsidRDefault="00DF4718" w:rsidP="00021FF0">
            <w:pPr>
              <w:pStyle w:val="Header"/>
              <w:spacing w:before="60"/>
              <w:rPr>
                <w:bCs/>
                <w:color w:val="000000" w:themeColor="text1"/>
                <w:sz w:val="24"/>
              </w:rPr>
            </w:pPr>
            <w:r w:rsidRPr="00133505">
              <w:rPr>
                <w:bCs/>
                <w:color w:val="000000" w:themeColor="text1"/>
                <w:sz w:val="24"/>
              </w:rPr>
              <w:t>Numerator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11B012B1" w14:textId="678717D2" w:rsidR="00DF4718" w:rsidRPr="00133505" w:rsidRDefault="0062232D" w:rsidP="00021FF0">
            <w:pPr>
              <w:pStyle w:val="Header"/>
              <w:spacing w:before="60"/>
              <w:rPr>
                <w:color w:val="000000" w:themeColor="text1"/>
              </w:rPr>
            </w:pPr>
            <w:r w:rsidRPr="00133505">
              <w:rPr>
                <w:color w:val="000000" w:themeColor="text1"/>
              </w:rPr>
              <w:t>PHO enrolled population aged 12</w:t>
            </w:r>
            <w:r w:rsidR="00860B92" w:rsidRPr="00133505">
              <w:rPr>
                <w:color w:val="000000" w:themeColor="text1"/>
              </w:rPr>
              <w:t>–</w:t>
            </w:r>
            <w:r w:rsidRPr="00133505">
              <w:rPr>
                <w:color w:val="000000" w:themeColor="text1"/>
              </w:rPr>
              <w:t xml:space="preserve">44 years who received </w:t>
            </w:r>
            <w:r w:rsidR="00C208DC" w:rsidRPr="00133505">
              <w:rPr>
                <w:color w:val="000000" w:themeColor="text1"/>
              </w:rPr>
              <w:t>a combined budesonide + formoterol inhaler</w:t>
            </w:r>
            <w:r w:rsidRPr="00133505">
              <w:rPr>
                <w:color w:val="000000" w:themeColor="text1"/>
              </w:rPr>
              <w:t xml:space="preserve"> in the calendar year</w:t>
            </w:r>
          </w:p>
        </w:tc>
      </w:tr>
      <w:tr w:rsidR="00133505" w:rsidRPr="00133505" w14:paraId="49264A94"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1B6823F3" w14:textId="77777777" w:rsidR="00DF4718" w:rsidRPr="00133505" w:rsidRDefault="00DF4718" w:rsidP="00021FF0">
            <w:pPr>
              <w:pStyle w:val="Header"/>
              <w:spacing w:before="60"/>
              <w:rPr>
                <w:bCs/>
                <w:color w:val="000000" w:themeColor="text1"/>
                <w:sz w:val="24"/>
              </w:rPr>
            </w:pPr>
            <w:r w:rsidRPr="00133505">
              <w:rPr>
                <w:bCs/>
                <w:color w:val="000000" w:themeColor="text1"/>
                <w:sz w:val="24"/>
              </w:rPr>
              <w:lastRenderedPageBreak/>
              <w:t>Denominator</w:t>
            </w:r>
          </w:p>
        </w:tc>
        <w:tc>
          <w:tcPr>
            <w:tcW w:w="7371" w:type="dxa"/>
            <w:tcBorders>
              <w:top w:val="single" w:sz="4" w:space="0" w:color="C2D69B"/>
              <w:left w:val="single" w:sz="4" w:space="0" w:color="C2D69B"/>
              <w:bottom w:val="single" w:sz="4" w:space="0" w:color="C2D69B"/>
              <w:right w:val="single" w:sz="4" w:space="0" w:color="C2D69B"/>
            </w:tcBorders>
            <w:vAlign w:val="bottom"/>
          </w:tcPr>
          <w:p w14:paraId="0537CFA9" w14:textId="3F60C617" w:rsidR="00DF4718" w:rsidRPr="00133505" w:rsidRDefault="00C97F00" w:rsidP="00021FF0">
            <w:pPr>
              <w:pStyle w:val="Header"/>
              <w:tabs>
                <w:tab w:val="center" w:pos="743"/>
              </w:tabs>
              <w:spacing w:before="60"/>
              <w:rPr>
                <w:color w:val="000000" w:themeColor="text1"/>
              </w:rPr>
            </w:pPr>
            <w:r w:rsidRPr="00133505">
              <w:rPr>
                <w:color w:val="000000" w:themeColor="text1"/>
              </w:rPr>
              <w:t>PHO enrolled population aged 12</w:t>
            </w:r>
            <w:r w:rsidR="00860B92" w:rsidRPr="00133505">
              <w:rPr>
                <w:color w:val="000000" w:themeColor="text1"/>
              </w:rPr>
              <w:t>–</w:t>
            </w:r>
            <w:r w:rsidRPr="00133505">
              <w:rPr>
                <w:color w:val="000000" w:themeColor="text1"/>
              </w:rPr>
              <w:t>44 years who received SABA, or LABA or ICS or LABA/ICS</w:t>
            </w:r>
            <w:r w:rsidR="007840C3" w:rsidRPr="00133505">
              <w:rPr>
                <w:color w:val="000000" w:themeColor="text1"/>
              </w:rPr>
              <w:t xml:space="preserve"> in the calendar year</w:t>
            </w:r>
            <w:r w:rsidRPr="00133505">
              <w:rPr>
                <w:color w:val="000000" w:themeColor="text1"/>
              </w:rPr>
              <w:t>.</w:t>
            </w:r>
          </w:p>
        </w:tc>
      </w:tr>
      <w:tr w:rsidR="00133505" w:rsidRPr="00133505" w14:paraId="134DE20C"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5D07F4D8" w14:textId="77777777" w:rsidR="00DF4718" w:rsidRPr="00133505" w:rsidRDefault="00DF4718" w:rsidP="00021FF0">
            <w:pPr>
              <w:pStyle w:val="Header"/>
              <w:spacing w:before="60"/>
              <w:rPr>
                <w:b/>
                <w:color w:val="000000" w:themeColor="text1"/>
                <w:sz w:val="24"/>
              </w:rPr>
            </w:pPr>
            <w:r w:rsidRPr="00133505">
              <w:rPr>
                <w:color w:val="000000" w:themeColor="text1"/>
                <w:sz w:val="24"/>
              </w:rPr>
              <w:t>Data source</w:t>
            </w:r>
          </w:p>
        </w:tc>
        <w:tc>
          <w:tcPr>
            <w:tcW w:w="7371" w:type="dxa"/>
            <w:tcBorders>
              <w:top w:val="single" w:sz="4" w:space="0" w:color="C2D69B"/>
              <w:left w:val="single" w:sz="4" w:space="0" w:color="C2D69B"/>
              <w:bottom w:val="single" w:sz="4" w:space="0" w:color="C2D69B"/>
              <w:right w:val="single" w:sz="4" w:space="0" w:color="C2D69B"/>
            </w:tcBorders>
            <w:vAlign w:val="bottom"/>
          </w:tcPr>
          <w:p w14:paraId="4195B57B" w14:textId="736EFD16" w:rsidR="00DF4718" w:rsidRPr="00133505" w:rsidRDefault="00C97F00" w:rsidP="00021FF0">
            <w:pPr>
              <w:pStyle w:val="Header"/>
              <w:tabs>
                <w:tab w:val="center" w:pos="743"/>
              </w:tabs>
              <w:spacing w:before="60"/>
              <w:rPr>
                <w:color w:val="000000" w:themeColor="text1"/>
              </w:rPr>
            </w:pPr>
            <w:r w:rsidRPr="00133505">
              <w:rPr>
                <w:color w:val="000000" w:themeColor="text1"/>
              </w:rPr>
              <w:t>Pharmaceutical collection</w:t>
            </w:r>
          </w:p>
          <w:p w14:paraId="2769722D" w14:textId="03DFEA05" w:rsidR="00C97F00" w:rsidRPr="00133505" w:rsidRDefault="00C97F00" w:rsidP="00021FF0">
            <w:pPr>
              <w:pStyle w:val="Header"/>
              <w:tabs>
                <w:tab w:val="center" w:pos="743"/>
              </w:tabs>
              <w:spacing w:before="60"/>
              <w:rPr>
                <w:color w:val="000000" w:themeColor="text1"/>
              </w:rPr>
            </w:pPr>
            <w:r w:rsidRPr="00133505">
              <w:rPr>
                <w:color w:val="000000" w:themeColor="text1"/>
              </w:rPr>
              <w:t>PHO enrolment collection</w:t>
            </w:r>
          </w:p>
        </w:tc>
      </w:tr>
      <w:tr w:rsidR="00133505" w:rsidRPr="00133505" w14:paraId="6C7A050F"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13EFF943" w14:textId="6428E4A1" w:rsidR="006E0813" w:rsidRPr="00133505" w:rsidRDefault="006E0813" w:rsidP="00021FF0">
            <w:pPr>
              <w:pStyle w:val="Header"/>
              <w:spacing w:before="60"/>
              <w:rPr>
                <w:color w:val="000000" w:themeColor="text1"/>
                <w:sz w:val="24"/>
              </w:rPr>
            </w:pPr>
            <w:r w:rsidRPr="00133505">
              <w:rPr>
                <w:color w:val="000000" w:themeColor="text1"/>
                <w:sz w:val="24"/>
              </w:rPr>
              <w:t>Medicines</w:t>
            </w:r>
          </w:p>
        </w:tc>
        <w:tc>
          <w:tcPr>
            <w:tcW w:w="7371" w:type="dxa"/>
            <w:tcBorders>
              <w:top w:val="single" w:sz="4" w:space="0" w:color="C2D69B"/>
              <w:left w:val="single" w:sz="4" w:space="0" w:color="C2D69B"/>
              <w:bottom w:val="single" w:sz="4" w:space="0" w:color="C2D69B"/>
              <w:right w:val="single" w:sz="4" w:space="0" w:color="C2D69B"/>
            </w:tcBorders>
            <w:vAlign w:val="bottom"/>
          </w:tcPr>
          <w:p w14:paraId="366B414F" w14:textId="2FE4ED43" w:rsidR="00534683" w:rsidRPr="00133505" w:rsidRDefault="002B4104" w:rsidP="07D7EB6C">
            <w:pPr>
              <w:pStyle w:val="Header"/>
              <w:tabs>
                <w:tab w:val="center" w:pos="743"/>
              </w:tabs>
              <w:spacing w:before="60"/>
              <w:rPr>
                <w:color w:val="000000" w:themeColor="text1"/>
              </w:rPr>
            </w:pPr>
            <w:r w:rsidRPr="00133505">
              <w:rPr>
                <w:b/>
                <w:bCs/>
                <w:color w:val="000000" w:themeColor="text1"/>
              </w:rPr>
              <w:t>Numerator</w:t>
            </w:r>
            <w:r w:rsidR="50B2566B" w:rsidRPr="00133505">
              <w:rPr>
                <w:b/>
                <w:bCs/>
                <w:color w:val="000000" w:themeColor="text1"/>
              </w:rPr>
              <w:t>:</w:t>
            </w:r>
            <w:r w:rsidR="00012B96" w:rsidRPr="00133505">
              <w:rPr>
                <w:color w:val="000000" w:themeColor="text1"/>
              </w:rPr>
              <w:t xml:space="preserve"> </w:t>
            </w:r>
            <w:r w:rsidR="00622A63" w:rsidRPr="00133505">
              <w:rPr>
                <w:color w:val="000000" w:themeColor="text1"/>
              </w:rPr>
              <w:t xml:space="preserve">Chemical ID </w:t>
            </w:r>
            <w:r w:rsidR="002D2EAC" w:rsidRPr="00133505">
              <w:rPr>
                <w:color w:val="000000" w:themeColor="text1"/>
              </w:rPr>
              <w:t xml:space="preserve">3758 Budesonide with </w:t>
            </w:r>
            <w:proofErr w:type="spellStart"/>
            <w:r w:rsidR="002D2EAC" w:rsidRPr="00133505">
              <w:rPr>
                <w:color w:val="000000" w:themeColor="text1"/>
              </w:rPr>
              <w:t>eformoterol</w:t>
            </w:r>
            <w:proofErr w:type="spellEnd"/>
            <w:r w:rsidR="00534683" w:rsidRPr="00133505">
              <w:rPr>
                <w:color w:val="000000" w:themeColor="text1"/>
              </w:rPr>
              <w:t xml:space="preserve">. </w:t>
            </w:r>
          </w:p>
          <w:p w14:paraId="5B6FDEFA" w14:textId="1FA565D1" w:rsidR="006E0813" w:rsidRPr="00133505" w:rsidRDefault="4BB886D1" w:rsidP="00021FF0">
            <w:pPr>
              <w:pStyle w:val="Header"/>
              <w:tabs>
                <w:tab w:val="center" w:pos="743"/>
              </w:tabs>
              <w:spacing w:before="60"/>
              <w:rPr>
                <w:color w:val="000000" w:themeColor="text1"/>
              </w:rPr>
            </w:pPr>
            <w:r w:rsidRPr="00133505">
              <w:rPr>
                <w:color w:val="000000" w:themeColor="text1"/>
              </w:rPr>
              <w:t>I</w:t>
            </w:r>
            <w:r w:rsidR="291847BC" w:rsidRPr="00133505">
              <w:rPr>
                <w:color w:val="000000" w:themeColor="text1"/>
              </w:rPr>
              <w:t>nclude formulation IDs</w:t>
            </w:r>
            <w:r w:rsidR="0BFD1FE8" w:rsidRPr="00133505">
              <w:rPr>
                <w:color w:val="000000" w:themeColor="text1"/>
              </w:rPr>
              <w:t xml:space="preserve"> </w:t>
            </w:r>
            <w:r w:rsidR="4A59D75E" w:rsidRPr="00133505">
              <w:rPr>
                <w:color w:val="000000" w:themeColor="text1"/>
              </w:rPr>
              <w:t xml:space="preserve">375825, 375826, </w:t>
            </w:r>
            <w:r w:rsidR="1C82D948" w:rsidRPr="00133505">
              <w:rPr>
                <w:color w:val="000000" w:themeColor="text1"/>
              </w:rPr>
              <w:t>375828,</w:t>
            </w:r>
            <w:r w:rsidR="4A59D75E" w:rsidRPr="00133505">
              <w:rPr>
                <w:color w:val="000000" w:themeColor="text1"/>
              </w:rPr>
              <w:t xml:space="preserve"> 375829</w:t>
            </w:r>
            <w:r w:rsidR="2C25BF2A" w:rsidRPr="00133505">
              <w:rPr>
                <w:color w:val="000000" w:themeColor="text1"/>
              </w:rPr>
              <w:t xml:space="preserve"> and</w:t>
            </w:r>
            <w:r w:rsidR="780D2CC1" w:rsidRPr="00133505">
              <w:rPr>
                <w:color w:val="000000" w:themeColor="text1"/>
              </w:rPr>
              <w:t xml:space="preserve"> 375830 </w:t>
            </w:r>
            <w:r w:rsidRPr="00133505">
              <w:rPr>
                <w:color w:val="000000" w:themeColor="text1"/>
              </w:rPr>
              <w:t xml:space="preserve">Exclude </w:t>
            </w:r>
            <w:r w:rsidR="2C25BF2A" w:rsidRPr="00133505">
              <w:rPr>
                <w:color w:val="000000" w:themeColor="text1"/>
              </w:rPr>
              <w:t xml:space="preserve">formulation IDs </w:t>
            </w:r>
            <w:r w:rsidRPr="00133505">
              <w:rPr>
                <w:color w:val="000000" w:themeColor="text1"/>
              </w:rPr>
              <w:t xml:space="preserve">375827 and </w:t>
            </w:r>
            <w:r w:rsidR="780D2CC1" w:rsidRPr="00133505">
              <w:rPr>
                <w:color w:val="000000" w:themeColor="text1"/>
              </w:rPr>
              <w:t>375831</w:t>
            </w:r>
            <w:r w:rsidR="00C41169" w:rsidRPr="00133505">
              <w:rPr>
                <w:rStyle w:val="FootnoteReference"/>
                <w:color w:val="000000" w:themeColor="text1"/>
              </w:rPr>
              <w:footnoteReference w:id="9"/>
            </w:r>
          </w:p>
          <w:p w14:paraId="5A7918F9" w14:textId="77777777" w:rsidR="00BC6B4D" w:rsidRPr="00133505" w:rsidRDefault="00BC6B4D" w:rsidP="00D353E0">
            <w:pPr>
              <w:pStyle w:val="Header"/>
              <w:spacing w:before="60"/>
              <w:rPr>
                <w:b/>
                <w:bCs/>
                <w:color w:val="000000" w:themeColor="text1"/>
              </w:rPr>
            </w:pPr>
          </w:p>
          <w:p w14:paraId="37001EB0" w14:textId="7E571F71" w:rsidR="00D353E0" w:rsidRPr="00133505" w:rsidRDefault="00CB67C8" w:rsidP="00F97279">
            <w:pPr>
              <w:pStyle w:val="Header"/>
              <w:tabs>
                <w:tab w:val="center" w:pos="743"/>
              </w:tabs>
              <w:spacing w:before="60"/>
              <w:rPr>
                <w:b/>
                <w:bCs/>
                <w:color w:val="000000" w:themeColor="text1"/>
              </w:rPr>
            </w:pPr>
            <w:r w:rsidRPr="00133505">
              <w:rPr>
                <w:b/>
                <w:bCs/>
                <w:color w:val="000000" w:themeColor="text1"/>
              </w:rPr>
              <w:t>Denominator</w:t>
            </w:r>
            <w:r w:rsidR="00860101" w:rsidRPr="00133505">
              <w:rPr>
                <w:b/>
                <w:bCs/>
                <w:color w:val="000000" w:themeColor="text1"/>
              </w:rPr>
              <w:t>:</w:t>
            </w:r>
          </w:p>
          <w:p w14:paraId="3D628D35" w14:textId="77777777" w:rsidR="008D7199" w:rsidRPr="00133505" w:rsidRDefault="008D7199" w:rsidP="008D7199">
            <w:pPr>
              <w:pStyle w:val="Header"/>
              <w:spacing w:before="60"/>
              <w:rPr>
                <w:b/>
                <w:bCs/>
                <w:color w:val="000000" w:themeColor="text1"/>
              </w:rPr>
            </w:pPr>
            <w:r w:rsidRPr="00133505">
              <w:rPr>
                <w:b/>
                <w:bCs/>
                <w:color w:val="000000" w:themeColor="text1"/>
              </w:rPr>
              <w:t xml:space="preserve">SABA: </w:t>
            </w:r>
          </w:p>
          <w:p w14:paraId="08D00EE3" w14:textId="77777777" w:rsidR="008D7199" w:rsidRPr="00133505" w:rsidRDefault="008D7199" w:rsidP="008D7199">
            <w:pPr>
              <w:pStyle w:val="Header"/>
              <w:spacing w:before="60"/>
              <w:rPr>
                <w:color w:val="000000" w:themeColor="text1"/>
              </w:rPr>
            </w:pPr>
            <w:r w:rsidRPr="00133505">
              <w:rPr>
                <w:color w:val="000000" w:themeColor="text1"/>
              </w:rPr>
              <w:t>209606, 209609, 209611, 209612, 209613, 209614, 209615, 209616, 209617 Salbutamol; 240406, 240407, 240408, 240409, 240410, 240425 Terbutaline Sulphate</w:t>
            </w:r>
          </w:p>
          <w:p w14:paraId="581555ED" w14:textId="77777777" w:rsidR="00860101" w:rsidRPr="00133505" w:rsidRDefault="00860101" w:rsidP="00F97279">
            <w:pPr>
              <w:pStyle w:val="Header"/>
              <w:tabs>
                <w:tab w:val="center" w:pos="743"/>
              </w:tabs>
              <w:spacing w:before="60"/>
              <w:rPr>
                <w:color w:val="000000" w:themeColor="text1"/>
              </w:rPr>
            </w:pPr>
          </w:p>
          <w:p w14:paraId="5D08DB78" w14:textId="77777777" w:rsidR="00B42DCE" w:rsidRPr="00133505" w:rsidRDefault="00B42DCE" w:rsidP="07D7EB6C">
            <w:pPr>
              <w:pStyle w:val="Header"/>
              <w:tabs>
                <w:tab w:val="clear" w:pos="4153"/>
                <w:tab w:val="center" w:pos="743"/>
              </w:tabs>
              <w:spacing w:after="0" w:line="240" w:lineRule="auto"/>
              <w:rPr>
                <w:color w:val="000000" w:themeColor="text1"/>
              </w:rPr>
            </w:pPr>
            <w:r w:rsidRPr="00133505">
              <w:rPr>
                <w:b/>
                <w:bCs/>
                <w:color w:val="000000" w:themeColor="text1"/>
              </w:rPr>
              <w:t>LABA:</w:t>
            </w:r>
            <w:r w:rsidRPr="00133505">
              <w:rPr>
                <w:color w:val="000000" w:themeColor="text1"/>
              </w:rPr>
              <w:t xml:space="preserve"> 106601, 106602, 106603 &amp; 106625 Salmeterol; 108301, 108302 &amp; 108303 </w:t>
            </w:r>
            <w:proofErr w:type="spellStart"/>
            <w:r w:rsidRPr="00133505">
              <w:rPr>
                <w:color w:val="000000" w:themeColor="text1"/>
              </w:rPr>
              <w:t>Eformoterol</w:t>
            </w:r>
            <w:proofErr w:type="spellEnd"/>
            <w:r w:rsidRPr="00133505">
              <w:rPr>
                <w:color w:val="000000" w:themeColor="text1"/>
              </w:rPr>
              <w:t xml:space="preserve"> fumarate; 404225 &amp; 404226 Indacaterol; 411225 </w:t>
            </w:r>
            <w:proofErr w:type="spellStart"/>
            <w:r w:rsidRPr="00133505">
              <w:rPr>
                <w:color w:val="000000" w:themeColor="text1"/>
              </w:rPr>
              <w:t>Eformoterol</w:t>
            </w:r>
            <w:proofErr w:type="spellEnd"/>
            <w:r w:rsidRPr="00133505">
              <w:rPr>
                <w:color w:val="000000" w:themeColor="text1"/>
              </w:rPr>
              <w:t xml:space="preserve"> fumarate dihydrate </w:t>
            </w:r>
          </w:p>
          <w:p w14:paraId="713A65DA" w14:textId="77777777" w:rsidR="0046453B" w:rsidRPr="00133505" w:rsidRDefault="0046453B" w:rsidP="00B42DCE">
            <w:pPr>
              <w:pStyle w:val="Header"/>
              <w:tabs>
                <w:tab w:val="clear" w:pos="4153"/>
                <w:tab w:val="center" w:pos="743"/>
              </w:tabs>
              <w:spacing w:after="0" w:line="240" w:lineRule="auto"/>
              <w:rPr>
                <w:color w:val="000000" w:themeColor="text1"/>
              </w:rPr>
            </w:pPr>
          </w:p>
          <w:p w14:paraId="37D8821B" w14:textId="77777777" w:rsidR="00B42DCE" w:rsidRPr="00133505" w:rsidRDefault="00B42DCE" w:rsidP="00B42DCE">
            <w:pPr>
              <w:pStyle w:val="Header"/>
              <w:spacing w:before="60"/>
              <w:rPr>
                <w:color w:val="000000" w:themeColor="text1"/>
              </w:rPr>
            </w:pPr>
            <w:r w:rsidRPr="00133505">
              <w:rPr>
                <w:b/>
                <w:bCs/>
                <w:color w:val="000000" w:themeColor="text1"/>
              </w:rPr>
              <w:t>ICS:</w:t>
            </w:r>
            <w:r w:rsidRPr="00133505">
              <w:rPr>
                <w:color w:val="000000" w:themeColor="text1"/>
              </w:rPr>
              <w:t xml:space="preserve"> 110801,110802, 110803, 110804, 110805, 110806, 110807, 110808, 110809, 110815, 110816, 110825, 110826 &amp; 110827 Beclomethasone </w:t>
            </w:r>
            <w:proofErr w:type="gramStart"/>
            <w:r w:rsidRPr="00133505">
              <w:rPr>
                <w:color w:val="000000" w:themeColor="text1"/>
              </w:rPr>
              <w:t>dipropionate;</w:t>
            </w:r>
            <w:proofErr w:type="gramEnd"/>
            <w:r w:rsidRPr="00133505">
              <w:rPr>
                <w:color w:val="000000" w:themeColor="text1"/>
              </w:rPr>
              <w:t xml:space="preserve"> </w:t>
            </w:r>
          </w:p>
          <w:p w14:paraId="080414C9" w14:textId="77777777" w:rsidR="00B42DCE" w:rsidRPr="00133505" w:rsidRDefault="00B42DCE" w:rsidP="00B42DCE">
            <w:pPr>
              <w:pStyle w:val="Header"/>
              <w:spacing w:before="60"/>
              <w:rPr>
                <w:color w:val="000000" w:themeColor="text1"/>
              </w:rPr>
            </w:pPr>
            <w:r w:rsidRPr="00133505">
              <w:rPr>
                <w:color w:val="000000" w:themeColor="text1"/>
              </w:rPr>
              <w:t xml:space="preserve">116801, 116802, 116803, 116804 &amp; 116805 </w:t>
            </w:r>
            <w:proofErr w:type="gramStart"/>
            <w:r w:rsidRPr="00133505">
              <w:rPr>
                <w:color w:val="000000" w:themeColor="text1"/>
              </w:rPr>
              <w:t>Budesonide;</w:t>
            </w:r>
            <w:proofErr w:type="gramEnd"/>
          </w:p>
          <w:p w14:paraId="1F9E27BB" w14:textId="77777777" w:rsidR="00B42DCE" w:rsidRPr="00133505" w:rsidRDefault="00B42DCE" w:rsidP="00B42DCE">
            <w:pPr>
              <w:pStyle w:val="Header"/>
              <w:spacing w:before="60"/>
              <w:rPr>
                <w:color w:val="000000" w:themeColor="text1"/>
              </w:rPr>
            </w:pPr>
            <w:r w:rsidRPr="00133505">
              <w:rPr>
                <w:color w:val="000000" w:themeColor="text1"/>
              </w:rPr>
              <w:t>106501, 106502, 106503, 106504, 106505, 106506, 106507, 106508, 106509, 106510, 106511, 106512, 106513, 106514 &amp; 106525 Fluticasone</w:t>
            </w:r>
          </w:p>
          <w:p w14:paraId="25012FAF" w14:textId="77777777" w:rsidR="0046453B" w:rsidRPr="00133505" w:rsidRDefault="0046453B" w:rsidP="00B42DCE">
            <w:pPr>
              <w:pStyle w:val="Header"/>
              <w:spacing w:before="60"/>
              <w:rPr>
                <w:color w:val="000000" w:themeColor="text1"/>
              </w:rPr>
            </w:pPr>
          </w:p>
          <w:p w14:paraId="252B5DB7" w14:textId="77777777" w:rsidR="007C5642" w:rsidRPr="00133505" w:rsidRDefault="007C5642" w:rsidP="07D7EB6C">
            <w:pPr>
              <w:pStyle w:val="Header"/>
              <w:spacing w:before="60"/>
              <w:rPr>
                <w:color w:val="000000" w:themeColor="text1"/>
              </w:rPr>
            </w:pPr>
            <w:r w:rsidRPr="00133505">
              <w:rPr>
                <w:b/>
                <w:bCs/>
                <w:color w:val="000000" w:themeColor="text1"/>
              </w:rPr>
              <w:t>LABA/ICS:</w:t>
            </w:r>
            <w:r w:rsidRPr="00133505">
              <w:rPr>
                <w:color w:val="000000" w:themeColor="text1"/>
              </w:rPr>
              <w:t xml:space="preserve"> 375825, 375826, 375827, 375828, 375829, 375830 &amp; 375831 Budesonide with </w:t>
            </w:r>
            <w:proofErr w:type="spellStart"/>
            <w:proofErr w:type="gramStart"/>
            <w:r w:rsidRPr="00133505">
              <w:rPr>
                <w:color w:val="000000" w:themeColor="text1"/>
              </w:rPr>
              <w:t>eformoterol</w:t>
            </w:r>
            <w:proofErr w:type="spellEnd"/>
            <w:r w:rsidRPr="00133505">
              <w:rPr>
                <w:color w:val="000000" w:themeColor="text1"/>
              </w:rPr>
              <w:t>;</w:t>
            </w:r>
            <w:proofErr w:type="gramEnd"/>
          </w:p>
          <w:p w14:paraId="0BB70A27" w14:textId="77777777" w:rsidR="007C5642" w:rsidRPr="00133505" w:rsidRDefault="007C5642" w:rsidP="007C5642">
            <w:pPr>
              <w:pStyle w:val="Header"/>
              <w:spacing w:before="60"/>
              <w:rPr>
                <w:color w:val="000000" w:themeColor="text1"/>
              </w:rPr>
            </w:pPr>
            <w:r w:rsidRPr="00133505">
              <w:rPr>
                <w:color w:val="000000" w:themeColor="text1"/>
              </w:rPr>
              <w:t xml:space="preserve">385825, 385826, 385827 &amp; 385828 Fluticasone with </w:t>
            </w:r>
            <w:proofErr w:type="gramStart"/>
            <w:r w:rsidRPr="00133505">
              <w:rPr>
                <w:color w:val="000000" w:themeColor="text1"/>
              </w:rPr>
              <w:t>salmeterol;</w:t>
            </w:r>
            <w:proofErr w:type="gramEnd"/>
          </w:p>
          <w:p w14:paraId="2E4A0FDC" w14:textId="080D3763" w:rsidR="00B42DCE" w:rsidRPr="00133505" w:rsidRDefault="007C5642" w:rsidP="007C5642">
            <w:pPr>
              <w:pStyle w:val="Header"/>
              <w:tabs>
                <w:tab w:val="center" w:pos="743"/>
              </w:tabs>
              <w:spacing w:before="60"/>
              <w:rPr>
                <w:color w:val="000000" w:themeColor="text1"/>
              </w:rPr>
            </w:pPr>
            <w:r w:rsidRPr="00133505">
              <w:rPr>
                <w:color w:val="000000" w:themeColor="text1"/>
              </w:rPr>
              <w:t>405625 Fluticasone furoate with vilanterol</w:t>
            </w:r>
          </w:p>
          <w:p w14:paraId="783A37C2" w14:textId="201805D4" w:rsidR="002A0379" w:rsidRPr="00133505" w:rsidRDefault="002A0379" w:rsidP="00F97279">
            <w:pPr>
              <w:pStyle w:val="Header"/>
              <w:tabs>
                <w:tab w:val="center" w:pos="743"/>
              </w:tabs>
              <w:spacing w:before="60"/>
              <w:rPr>
                <w:color w:val="000000" w:themeColor="text1"/>
              </w:rPr>
            </w:pPr>
          </w:p>
        </w:tc>
      </w:tr>
      <w:tr w:rsidR="00133505" w:rsidRPr="00133505" w14:paraId="5F711C94"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2DE59497" w14:textId="77777777" w:rsidR="00DF4718" w:rsidRPr="00133505" w:rsidRDefault="00DF4718" w:rsidP="00021FF0">
            <w:pPr>
              <w:pStyle w:val="Header"/>
              <w:spacing w:before="60"/>
              <w:rPr>
                <w:b/>
                <w:color w:val="000000" w:themeColor="text1"/>
                <w:sz w:val="24"/>
              </w:rPr>
            </w:pPr>
            <w:r w:rsidRPr="00133505">
              <w:rPr>
                <w:color w:val="000000" w:themeColor="text1"/>
                <w:sz w:val="24"/>
              </w:rPr>
              <w:t>By variables</w:t>
            </w:r>
          </w:p>
        </w:tc>
        <w:tc>
          <w:tcPr>
            <w:tcW w:w="7371" w:type="dxa"/>
            <w:tcBorders>
              <w:top w:val="single" w:sz="4" w:space="0" w:color="C2D69B"/>
              <w:left w:val="single" w:sz="4" w:space="0" w:color="C2D69B"/>
              <w:bottom w:val="single" w:sz="4" w:space="0" w:color="C2D69B"/>
              <w:right w:val="single" w:sz="4" w:space="0" w:color="C2D69B"/>
            </w:tcBorders>
            <w:vAlign w:val="bottom"/>
          </w:tcPr>
          <w:p w14:paraId="5B824177" w14:textId="1C665CE2" w:rsidR="00DF4718" w:rsidRPr="00133505" w:rsidRDefault="000E4D83" w:rsidP="00021FF0">
            <w:pPr>
              <w:pStyle w:val="Header"/>
              <w:spacing w:before="60"/>
              <w:rPr>
                <w:rFonts w:cs="Arial"/>
                <w:color w:val="000000" w:themeColor="text1"/>
              </w:rPr>
            </w:pPr>
            <w:r w:rsidRPr="00133505">
              <w:rPr>
                <w:rFonts w:cs="Arial"/>
                <w:color w:val="000000" w:themeColor="text1"/>
              </w:rPr>
              <w:t>District</w:t>
            </w:r>
            <w:r w:rsidR="00DF4718" w:rsidRPr="00133505">
              <w:rPr>
                <w:rFonts w:cs="Arial"/>
                <w:color w:val="000000" w:themeColor="text1"/>
              </w:rPr>
              <w:t xml:space="preserve"> analysis: By year (2018</w:t>
            </w:r>
            <w:r w:rsidR="00860B92" w:rsidRPr="00133505">
              <w:rPr>
                <w:rFonts w:cs="Arial"/>
                <w:color w:val="000000" w:themeColor="text1"/>
              </w:rPr>
              <w:t xml:space="preserve"> –</w:t>
            </w:r>
            <w:r w:rsidR="00DF4718" w:rsidRPr="00133505">
              <w:rPr>
                <w:rFonts w:cs="Arial"/>
                <w:color w:val="000000" w:themeColor="text1"/>
              </w:rPr>
              <w:t>2023), age group (</w:t>
            </w:r>
            <w:r w:rsidR="00DF4718" w:rsidRPr="00133505">
              <w:rPr>
                <w:color w:val="000000" w:themeColor="text1"/>
              </w:rPr>
              <w:t>12</w:t>
            </w:r>
            <w:r w:rsidR="00860B92" w:rsidRPr="00133505">
              <w:rPr>
                <w:color w:val="000000" w:themeColor="text1"/>
              </w:rPr>
              <w:t xml:space="preserve"> –</w:t>
            </w:r>
            <w:r w:rsidR="00DF4718" w:rsidRPr="00133505">
              <w:rPr>
                <w:color w:val="000000" w:themeColor="text1"/>
              </w:rPr>
              <w:t>24, 25</w:t>
            </w:r>
            <w:r w:rsidR="00860B92" w:rsidRPr="00133505">
              <w:rPr>
                <w:color w:val="000000" w:themeColor="text1"/>
              </w:rPr>
              <w:t xml:space="preserve"> –</w:t>
            </w:r>
            <w:r w:rsidR="00DF4718" w:rsidRPr="00133505">
              <w:rPr>
                <w:color w:val="000000" w:themeColor="text1"/>
              </w:rPr>
              <w:t>44</w:t>
            </w:r>
            <w:r w:rsidR="00E4119F" w:rsidRPr="00133505">
              <w:rPr>
                <w:rFonts w:cs="Arial"/>
                <w:color w:val="000000" w:themeColor="text1"/>
              </w:rPr>
              <w:t>), gender (female, male), ethnic group (</w:t>
            </w:r>
            <w:r w:rsidR="00E4119F" w:rsidRPr="00133505">
              <w:rPr>
                <w:color w:val="000000" w:themeColor="text1"/>
              </w:rPr>
              <w:t>Māori, Pacific peoples, European/Other)</w:t>
            </w:r>
            <w:r w:rsidR="00DF4718" w:rsidRPr="00133505">
              <w:rPr>
                <w:rFonts w:cs="Arial"/>
                <w:color w:val="000000" w:themeColor="text1"/>
              </w:rPr>
              <w:t>, and Health New Zealand district of domicile.</w:t>
            </w:r>
          </w:p>
          <w:p w14:paraId="085C7E97" w14:textId="732F85FC" w:rsidR="00DF4718" w:rsidRPr="00133505" w:rsidRDefault="00ED2BE1" w:rsidP="00021FF0">
            <w:pPr>
              <w:pStyle w:val="Header"/>
              <w:tabs>
                <w:tab w:val="center" w:pos="743"/>
              </w:tabs>
              <w:spacing w:before="60"/>
              <w:rPr>
                <w:color w:val="000000" w:themeColor="text1"/>
              </w:rPr>
            </w:pPr>
            <w:r w:rsidRPr="00133505">
              <w:rPr>
                <w:rFonts w:cs="Arial"/>
                <w:color w:val="000000" w:themeColor="text1"/>
              </w:rPr>
              <w:t>PHO analysis: By year (2023), age group</w:t>
            </w:r>
            <w:r w:rsidRPr="00133505">
              <w:rPr>
                <w:color w:val="000000" w:themeColor="text1"/>
              </w:rPr>
              <w:t>,</w:t>
            </w:r>
            <w:r w:rsidRPr="00133505">
              <w:rPr>
                <w:rFonts w:cs="Arial"/>
                <w:color w:val="000000" w:themeColor="text1"/>
              </w:rPr>
              <w:t xml:space="preserve"> gender, Primary Health Organisation (PHO) most recently enrolled with (for the relevant year), </w:t>
            </w:r>
            <w:r w:rsidRPr="00133505">
              <w:rPr>
                <w:rFonts w:cs="Arial"/>
                <w:color w:val="000000" w:themeColor="text1"/>
                <w:szCs w:val="22"/>
              </w:rPr>
              <w:t>PHO group (small, medium, medium-large and large).</w:t>
            </w:r>
          </w:p>
        </w:tc>
      </w:tr>
      <w:tr w:rsidR="00133505" w:rsidRPr="00133505" w14:paraId="22F58D58"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11623CAD" w14:textId="4CC87B0D" w:rsidR="00DF4718" w:rsidRPr="00133505" w:rsidRDefault="00190902" w:rsidP="00021FF0">
            <w:pPr>
              <w:pStyle w:val="Header"/>
              <w:spacing w:before="60"/>
              <w:rPr>
                <w:bCs/>
                <w:color w:val="000000" w:themeColor="text1"/>
                <w:sz w:val="24"/>
              </w:rPr>
            </w:pPr>
            <w:r w:rsidRPr="00133505">
              <w:rPr>
                <w:bCs/>
                <w:color w:val="000000" w:themeColor="text1"/>
                <w:sz w:val="24"/>
              </w:rPr>
              <w:t>Rationale</w:t>
            </w:r>
          </w:p>
        </w:tc>
        <w:tc>
          <w:tcPr>
            <w:tcW w:w="7371" w:type="dxa"/>
            <w:tcBorders>
              <w:top w:val="single" w:sz="4" w:space="0" w:color="C2D69B"/>
              <w:left w:val="single" w:sz="4" w:space="0" w:color="C2D69B"/>
              <w:bottom w:val="single" w:sz="4" w:space="0" w:color="C2D69B"/>
              <w:right w:val="single" w:sz="4" w:space="0" w:color="C2D69B"/>
            </w:tcBorders>
            <w:vAlign w:val="bottom"/>
          </w:tcPr>
          <w:p w14:paraId="00BE6356" w14:textId="0FC150AD" w:rsidR="00DF4718" w:rsidRPr="00133505" w:rsidRDefault="003E58E6" w:rsidP="00021FF0">
            <w:pPr>
              <w:pStyle w:val="Header"/>
              <w:tabs>
                <w:tab w:val="center" w:pos="743"/>
              </w:tabs>
              <w:spacing w:before="60"/>
              <w:rPr>
                <w:color w:val="000000" w:themeColor="text1"/>
              </w:rPr>
            </w:pPr>
            <w:r w:rsidRPr="00133505">
              <w:rPr>
                <w:color w:val="000000" w:themeColor="text1"/>
              </w:rPr>
              <w:t xml:space="preserve">Single Maintenance </w:t>
            </w:r>
            <w:proofErr w:type="gramStart"/>
            <w:r w:rsidRPr="00133505">
              <w:rPr>
                <w:color w:val="000000" w:themeColor="text1"/>
              </w:rPr>
              <w:t>And</w:t>
            </w:r>
            <w:proofErr w:type="gramEnd"/>
            <w:r w:rsidRPr="00133505">
              <w:rPr>
                <w:color w:val="000000" w:themeColor="text1"/>
              </w:rPr>
              <w:t xml:space="preserve"> Reliever Therapy (SMART)</w:t>
            </w:r>
            <w:r w:rsidR="00787BB2" w:rsidRPr="00133505">
              <w:rPr>
                <w:color w:val="000000" w:themeColor="text1"/>
              </w:rPr>
              <w:t xml:space="preserve"> </w:t>
            </w:r>
            <w:r w:rsidR="00F96BFE" w:rsidRPr="00133505">
              <w:rPr>
                <w:color w:val="000000" w:themeColor="text1"/>
              </w:rPr>
              <w:t xml:space="preserve">with Formoterol/ICS provides a comprehensive approach to asthma management. </w:t>
            </w:r>
            <w:r w:rsidR="00736E2D" w:rsidRPr="00133505">
              <w:rPr>
                <w:color w:val="000000" w:themeColor="text1"/>
              </w:rPr>
              <w:t xml:space="preserve">It provides both immediate symptom relief and long-term control, helping to reduce exacerbations, </w:t>
            </w:r>
            <w:r w:rsidR="00B74380" w:rsidRPr="00133505">
              <w:rPr>
                <w:color w:val="000000" w:themeColor="text1"/>
              </w:rPr>
              <w:t xml:space="preserve">and </w:t>
            </w:r>
            <w:r w:rsidR="00736E2D" w:rsidRPr="00133505">
              <w:rPr>
                <w:color w:val="000000" w:themeColor="text1"/>
              </w:rPr>
              <w:t xml:space="preserve">improve treatment adherence. This approach uses a single inhaler for both maintenance and reliever therapy, simplifying </w:t>
            </w:r>
            <w:r w:rsidR="00736E2D" w:rsidRPr="00133505">
              <w:rPr>
                <w:color w:val="000000" w:themeColor="text1"/>
              </w:rPr>
              <w:lastRenderedPageBreak/>
              <w:t xml:space="preserve">asthma care. SMART therapy is particularly recommended for individuals aged 12 and over with moderate to severe asthma. </w:t>
            </w:r>
            <w:r w:rsidR="007F311A" w:rsidRPr="00133505">
              <w:rPr>
                <w:color w:val="000000" w:themeColor="text1"/>
              </w:rPr>
              <w:t xml:space="preserve">Understanding variation in the dispensing of SMART therapy for </w:t>
            </w:r>
            <w:r w:rsidR="007B21D5" w:rsidRPr="00133505">
              <w:rPr>
                <w:color w:val="000000" w:themeColor="text1"/>
              </w:rPr>
              <w:t>a</w:t>
            </w:r>
            <w:r w:rsidR="007F311A" w:rsidRPr="00133505">
              <w:rPr>
                <w:color w:val="000000" w:themeColor="text1"/>
              </w:rPr>
              <w:t>sthma is important for ensuring that patients receive the most appropriate treatment.</w:t>
            </w:r>
          </w:p>
        </w:tc>
      </w:tr>
      <w:tr w:rsidR="00133505" w:rsidRPr="00133505" w14:paraId="0B65A3DD" w14:textId="77777777" w:rsidTr="4C5CB681">
        <w:trPr>
          <w:trHeight w:val="327"/>
        </w:trPr>
        <w:tc>
          <w:tcPr>
            <w:tcW w:w="1951" w:type="dxa"/>
            <w:tcBorders>
              <w:top w:val="single" w:sz="4" w:space="0" w:color="C2D69B"/>
              <w:left w:val="single" w:sz="4" w:space="0" w:color="C2D69B"/>
              <w:bottom w:val="single" w:sz="4" w:space="0" w:color="C2D69B"/>
              <w:right w:val="single" w:sz="4" w:space="0" w:color="C2D69B"/>
            </w:tcBorders>
          </w:tcPr>
          <w:p w14:paraId="12F7497D" w14:textId="247591A4" w:rsidR="00341A00" w:rsidRPr="00133505" w:rsidRDefault="00190902" w:rsidP="00021FF0">
            <w:pPr>
              <w:pStyle w:val="Header"/>
              <w:spacing w:before="60"/>
              <w:rPr>
                <w:bCs/>
                <w:color w:val="000000" w:themeColor="text1"/>
                <w:sz w:val="24"/>
              </w:rPr>
            </w:pPr>
            <w:r w:rsidRPr="00133505">
              <w:rPr>
                <w:bCs/>
                <w:color w:val="000000" w:themeColor="text1"/>
                <w:sz w:val="24"/>
              </w:rPr>
              <w:lastRenderedPageBreak/>
              <w:t>Commentary</w:t>
            </w:r>
          </w:p>
        </w:tc>
        <w:tc>
          <w:tcPr>
            <w:tcW w:w="7371" w:type="dxa"/>
            <w:tcBorders>
              <w:top w:val="single" w:sz="4" w:space="0" w:color="C2D69B"/>
              <w:left w:val="single" w:sz="4" w:space="0" w:color="C2D69B"/>
              <w:bottom w:val="single" w:sz="4" w:space="0" w:color="C2D69B"/>
              <w:right w:val="single" w:sz="4" w:space="0" w:color="C2D69B"/>
            </w:tcBorders>
          </w:tcPr>
          <w:p w14:paraId="588E7F08"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Description:</w:t>
            </w:r>
          </w:p>
          <w:p w14:paraId="6DAC4120"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This indicator shows the number and percent of people aged 12-44 years who were regularly dispensed SMART Formoterol/Budesonide therapy. Regular dispensing was defined as dispensing in two or more quarters in the year. This indicator measures uptake of this inhaler, relative to other asthma inhalers.  Specifically, of all people who were dispensed any asthma inhaler (SABA, LABA, ICS or LABA/ICS combination), what percentage were dispensed a combined budesonide + formoterol inhaler.</w:t>
            </w:r>
          </w:p>
          <w:p w14:paraId="044B660F" w14:textId="77777777" w:rsidR="00E07207" w:rsidRPr="00133505" w:rsidRDefault="00E07207" w:rsidP="00E07207">
            <w:pPr>
              <w:pStyle w:val="Header"/>
              <w:tabs>
                <w:tab w:val="center" w:pos="743"/>
              </w:tabs>
              <w:spacing w:before="60"/>
              <w:rPr>
                <w:color w:val="000000" w:themeColor="text1"/>
              </w:rPr>
            </w:pPr>
          </w:p>
          <w:p w14:paraId="5B97039F" w14:textId="625B87E8" w:rsidR="00E07207" w:rsidRPr="00133505" w:rsidRDefault="0024599C" w:rsidP="00E07207">
            <w:pPr>
              <w:pStyle w:val="Header"/>
              <w:tabs>
                <w:tab w:val="center" w:pos="743"/>
              </w:tabs>
              <w:spacing w:before="60"/>
              <w:rPr>
                <w:color w:val="000000" w:themeColor="text1"/>
              </w:rPr>
            </w:pPr>
            <w:r>
              <w:rPr>
                <w:color w:val="000000" w:themeColor="text1"/>
              </w:rPr>
              <w:t xml:space="preserve">Data is </w:t>
            </w:r>
            <w:r w:rsidR="00E07207" w:rsidRPr="00133505">
              <w:rPr>
                <w:color w:val="000000" w:themeColor="text1"/>
              </w:rPr>
              <w:t>presented by year, ethnicity, age, gender and district of domicile.</w:t>
            </w:r>
          </w:p>
          <w:p w14:paraId="4B72D11D" w14:textId="77777777" w:rsidR="00E07207" w:rsidRPr="00133505" w:rsidRDefault="00E07207" w:rsidP="00E07207">
            <w:pPr>
              <w:pStyle w:val="Header"/>
              <w:tabs>
                <w:tab w:val="center" w:pos="743"/>
              </w:tabs>
              <w:spacing w:before="60"/>
              <w:rPr>
                <w:color w:val="000000" w:themeColor="text1"/>
              </w:rPr>
            </w:pPr>
          </w:p>
          <w:p w14:paraId="0ECD2406"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Why is this important?</w:t>
            </w:r>
          </w:p>
          <w:p w14:paraId="6EEBAF87"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SMART therapy using a combination of Formoterol/ICS offers a comprehensive approach to asthma management. It provides both immediate symptom relief and long-term control, helping to reduce exacerbations, and improve treatment adherence. This approach uses a single inhaler for both maintenance and reliever therapy, simplifying asthma care. SMART therapy is particularly recommended for individuals aged 12 and over with moderate to severe asthma. Understanding variation in the dispensing of SMART therapy for asthma is important for ensuring that patients receive the most appropriate treatment.</w:t>
            </w:r>
          </w:p>
          <w:p w14:paraId="62B9B478" w14:textId="77777777" w:rsidR="00E07207" w:rsidRPr="00133505" w:rsidRDefault="00E07207" w:rsidP="00E07207">
            <w:pPr>
              <w:pStyle w:val="Header"/>
              <w:tabs>
                <w:tab w:val="center" w:pos="743"/>
              </w:tabs>
              <w:spacing w:before="60"/>
              <w:rPr>
                <w:color w:val="000000" w:themeColor="text1"/>
              </w:rPr>
            </w:pPr>
          </w:p>
          <w:p w14:paraId="094D4520"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What questions does this prompt?</w:t>
            </w:r>
          </w:p>
          <w:p w14:paraId="746194D1"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 How do districts with similar admission rates compare?</w:t>
            </w:r>
          </w:p>
          <w:p w14:paraId="5E971EF8"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  What factors contribute to district variation in SMART therapy dispensing?</w:t>
            </w:r>
          </w:p>
          <w:p w14:paraId="668BF279" w14:textId="77777777" w:rsidR="00E07207" w:rsidRPr="00133505" w:rsidRDefault="00E07207" w:rsidP="00E07207">
            <w:pPr>
              <w:pStyle w:val="Header"/>
              <w:tabs>
                <w:tab w:val="center" w:pos="743"/>
              </w:tabs>
              <w:spacing w:before="60"/>
              <w:rPr>
                <w:color w:val="000000" w:themeColor="text1"/>
              </w:rPr>
            </w:pPr>
            <w:r w:rsidRPr="00133505">
              <w:rPr>
                <w:color w:val="000000" w:themeColor="text1"/>
              </w:rPr>
              <w:t>•  How do ethnic groups compare?</w:t>
            </w:r>
          </w:p>
          <w:p w14:paraId="21E1F8C1" w14:textId="77777777" w:rsidR="00E07207" w:rsidRPr="00133505" w:rsidRDefault="00E07207" w:rsidP="00E07207">
            <w:pPr>
              <w:pStyle w:val="Header"/>
              <w:spacing w:before="60"/>
              <w:rPr>
                <w:color w:val="000000" w:themeColor="text1"/>
              </w:rPr>
            </w:pPr>
            <w:r w:rsidRPr="00133505">
              <w:rPr>
                <w:color w:val="000000" w:themeColor="text1"/>
              </w:rPr>
              <w:t>•  How do dispensing rates compare to prescribing rates?</w:t>
            </w:r>
          </w:p>
          <w:p w14:paraId="33CAEFFE" w14:textId="329D5339" w:rsidR="00341A00" w:rsidRPr="00133505" w:rsidRDefault="00341A00" w:rsidP="00FB2299">
            <w:pPr>
              <w:pStyle w:val="Header"/>
              <w:tabs>
                <w:tab w:val="center" w:pos="743"/>
              </w:tabs>
              <w:spacing w:before="60"/>
              <w:rPr>
                <w:color w:val="000000" w:themeColor="text1"/>
              </w:rPr>
            </w:pPr>
          </w:p>
        </w:tc>
      </w:tr>
    </w:tbl>
    <w:p w14:paraId="72935738" w14:textId="6697CEA1" w:rsidR="003B070F" w:rsidRPr="00133505" w:rsidRDefault="003B070F" w:rsidP="003B070F">
      <w:pPr>
        <w:rPr>
          <w:b/>
          <w:color w:val="000000" w:themeColor="text1"/>
          <w:szCs w:val="22"/>
        </w:rPr>
      </w:pPr>
      <w:r w:rsidRPr="00133505">
        <w:rPr>
          <w:b/>
          <w:color w:val="000000" w:themeColor="text1"/>
          <w:szCs w:val="22"/>
        </w:rPr>
        <w:br w:type="page"/>
      </w:r>
    </w:p>
    <w:p w14:paraId="4B5A69C0" w14:textId="77777777" w:rsidR="00DF4718" w:rsidRPr="00133505" w:rsidRDefault="00DF4718" w:rsidP="003B070F">
      <w:pPr>
        <w:rPr>
          <w:b/>
          <w:color w:val="000000" w:themeColor="text1"/>
          <w:szCs w:val="22"/>
        </w:rPr>
      </w:pPr>
    </w:p>
    <w:p w14:paraId="1985F19D" w14:textId="77777777" w:rsidR="003B070F" w:rsidRPr="00133505" w:rsidRDefault="003B070F" w:rsidP="003B070F">
      <w:pPr>
        <w:rPr>
          <w:b/>
          <w:color w:val="000000" w:themeColor="text1"/>
          <w:szCs w:val="22"/>
        </w:rPr>
      </w:pPr>
    </w:p>
    <w:p w14:paraId="4292C7A9" w14:textId="77777777" w:rsidR="003B070F" w:rsidRPr="00133505" w:rsidRDefault="003B070F" w:rsidP="003B070F">
      <w:pPr>
        <w:rPr>
          <w:b/>
          <w:color w:val="000000" w:themeColor="text1"/>
          <w:szCs w:val="22"/>
        </w:rPr>
      </w:pPr>
    </w:p>
    <w:p w14:paraId="14027E02" w14:textId="77131929" w:rsidR="003B070F" w:rsidRPr="00133505" w:rsidRDefault="005E2EF4" w:rsidP="003B070F">
      <w:pPr>
        <w:rPr>
          <w:b/>
          <w:color w:val="000000" w:themeColor="text1"/>
          <w:szCs w:val="22"/>
        </w:rPr>
      </w:pPr>
      <w:r w:rsidRPr="00133505">
        <w:rPr>
          <w:b/>
          <w:color w:val="000000" w:themeColor="text1"/>
          <w:szCs w:val="22"/>
        </w:rPr>
        <w:t>Appendix</w:t>
      </w:r>
      <w:r w:rsidR="003B070F" w:rsidRPr="00133505">
        <w:rPr>
          <w:b/>
          <w:color w:val="000000" w:themeColor="text1"/>
          <w:szCs w:val="22"/>
        </w:rPr>
        <w:t xml:space="preserve">: </w:t>
      </w:r>
      <w:r w:rsidR="003B070F" w:rsidRPr="00133505">
        <w:rPr>
          <w:b/>
          <w:color w:val="000000" w:themeColor="text1"/>
        </w:rPr>
        <w:t>Guide for Use of Emergency Department (ED) Event End Type Codes</w:t>
      </w:r>
    </w:p>
    <w:p w14:paraId="3EA8BD83" w14:textId="77777777" w:rsidR="003B070F" w:rsidRPr="00133505" w:rsidRDefault="003B070F" w:rsidP="003B070F">
      <w:pPr>
        <w:rPr>
          <w:b/>
          <w:color w:val="000000" w:themeColor="text1"/>
          <w:szCs w:val="22"/>
        </w:rPr>
      </w:pPr>
    </w:p>
    <w:p w14:paraId="6A7B1990" w14:textId="77777777" w:rsidR="003B070F" w:rsidRPr="00133505" w:rsidRDefault="003B070F" w:rsidP="003B070F">
      <w:pPr>
        <w:rPr>
          <w:b/>
          <w:color w:val="000000" w:themeColor="text1"/>
          <w:szCs w:val="22"/>
        </w:rPr>
      </w:pPr>
      <w:r w:rsidRPr="00133505">
        <w:rPr>
          <w:noProof/>
          <w:color w:val="000000" w:themeColor="text1"/>
        </w:rPr>
        <w:drawing>
          <wp:inline distT="0" distB="0" distL="0" distR="0" wp14:anchorId="0EF5918F" wp14:editId="52DCF96B">
            <wp:extent cx="6421668" cy="3762375"/>
            <wp:effectExtent l="0" t="0" r="0" b="0"/>
            <wp:docPr id="200617389" name="Picture 1" descr="A screenshot of a complex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7389" name="Picture 1" descr="A screenshot of a complex flow diagram"/>
                    <pic:cNvPicPr/>
                  </pic:nvPicPr>
                  <pic:blipFill>
                    <a:blip r:embed="rId14"/>
                    <a:stretch>
                      <a:fillRect/>
                    </a:stretch>
                  </pic:blipFill>
                  <pic:spPr>
                    <a:xfrm>
                      <a:off x="0" y="0"/>
                      <a:ext cx="6426436" cy="3765169"/>
                    </a:xfrm>
                    <a:prstGeom prst="rect">
                      <a:avLst/>
                    </a:prstGeom>
                  </pic:spPr>
                </pic:pic>
              </a:graphicData>
            </a:graphic>
          </wp:inline>
        </w:drawing>
      </w:r>
      <w:bookmarkEnd w:id="0"/>
    </w:p>
    <w:p w14:paraId="5F294CA6" w14:textId="77777777" w:rsidR="00F30FD1" w:rsidRPr="00133505" w:rsidRDefault="00F30FD1" w:rsidP="00F30FD1">
      <w:pPr>
        <w:rPr>
          <w:color w:val="000000" w:themeColor="text1"/>
        </w:rPr>
      </w:pPr>
    </w:p>
    <w:p w14:paraId="4E6E5744" w14:textId="77777777" w:rsidR="00F30FD1" w:rsidRPr="00133505" w:rsidRDefault="00F30FD1" w:rsidP="00F30FD1">
      <w:pPr>
        <w:rPr>
          <w:color w:val="000000" w:themeColor="text1"/>
        </w:rPr>
      </w:pPr>
    </w:p>
    <w:p w14:paraId="7A16B92C" w14:textId="77777777" w:rsidR="00F30FD1" w:rsidRPr="00133505" w:rsidRDefault="00F30FD1" w:rsidP="00F30FD1">
      <w:pPr>
        <w:rPr>
          <w:b/>
          <w:color w:val="000000" w:themeColor="text1"/>
          <w:szCs w:val="22"/>
        </w:rPr>
      </w:pPr>
    </w:p>
    <w:p w14:paraId="54CAB549" w14:textId="77777777" w:rsidR="00F30FD1" w:rsidRPr="00133505" w:rsidRDefault="00F30FD1" w:rsidP="00F30FD1">
      <w:pPr>
        <w:rPr>
          <w:b/>
          <w:color w:val="000000" w:themeColor="text1"/>
          <w:szCs w:val="22"/>
        </w:rPr>
      </w:pPr>
      <w:r w:rsidRPr="00133505">
        <w:rPr>
          <w:b/>
          <w:color w:val="000000" w:themeColor="text1"/>
          <w:szCs w:val="22"/>
        </w:rPr>
        <w:br w:type="page"/>
      </w:r>
    </w:p>
    <w:p w14:paraId="7F99855C" w14:textId="77777777" w:rsidR="00F30FD1" w:rsidRPr="00133505" w:rsidRDefault="00F30FD1" w:rsidP="00F30FD1">
      <w:pPr>
        <w:rPr>
          <w:b/>
          <w:color w:val="000000" w:themeColor="text1"/>
          <w:szCs w:val="22"/>
        </w:rPr>
      </w:pPr>
    </w:p>
    <w:p w14:paraId="178A9F12" w14:textId="041E4E31" w:rsidR="00F30FD1" w:rsidRPr="00133505" w:rsidRDefault="00F30FD1" w:rsidP="00F30FD1">
      <w:pPr>
        <w:rPr>
          <w:b/>
          <w:color w:val="000000" w:themeColor="text1"/>
          <w:szCs w:val="22"/>
        </w:rPr>
      </w:pPr>
    </w:p>
    <w:p w14:paraId="0C51AE7B" w14:textId="3C054124" w:rsidR="00F30FD1" w:rsidRPr="00133505" w:rsidRDefault="00F30FD1" w:rsidP="00F30FD1">
      <w:pPr>
        <w:tabs>
          <w:tab w:val="left" w:pos="1935"/>
        </w:tabs>
        <w:rPr>
          <w:rFonts w:cs="Arial"/>
          <w:color w:val="000000" w:themeColor="text1"/>
          <w:szCs w:val="22"/>
        </w:rPr>
      </w:pPr>
    </w:p>
    <w:sectPr w:rsidR="00F30FD1" w:rsidRPr="00133505" w:rsidSect="00021FF0">
      <w:footerReference w:type="default" r:id="rId15"/>
      <w:pgSz w:w="11906" w:h="16838"/>
      <w:pgMar w:top="851" w:right="1418"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BF54" w14:textId="77777777" w:rsidR="00AC1397" w:rsidRDefault="00AC1397" w:rsidP="009822C8">
      <w:pPr>
        <w:spacing w:after="0" w:line="240" w:lineRule="auto"/>
      </w:pPr>
      <w:r>
        <w:separator/>
      </w:r>
    </w:p>
  </w:endnote>
  <w:endnote w:type="continuationSeparator" w:id="0">
    <w:p w14:paraId="79377E51" w14:textId="77777777" w:rsidR="00AC1397" w:rsidRDefault="00AC1397" w:rsidP="009822C8">
      <w:pPr>
        <w:spacing w:after="0" w:line="240" w:lineRule="auto"/>
      </w:pPr>
      <w:r>
        <w:continuationSeparator/>
      </w:r>
    </w:p>
  </w:endnote>
  <w:endnote w:type="continuationNotice" w:id="1">
    <w:p w14:paraId="53364CA6" w14:textId="77777777" w:rsidR="00AC1397" w:rsidRDefault="00AC1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default"/>
  </w:font>
  <w:font w:name="Adobe Garamon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31F" w14:textId="35F108D0" w:rsidR="009D4021" w:rsidRPr="000D32C4" w:rsidRDefault="00A43790" w:rsidP="00A43790">
    <w:pPr>
      <w:pStyle w:val="Footer"/>
      <w:tabs>
        <w:tab w:val="right" w:pos="9072"/>
      </w:tabs>
      <w:rPr>
        <w:sz w:val="18"/>
        <w:szCs w:val="18"/>
      </w:rPr>
    </w:pPr>
    <w:r w:rsidRPr="005168D9">
      <w:rPr>
        <w:iCs/>
        <w:noProof/>
        <w:sz w:val="18"/>
        <w:szCs w:val="18"/>
      </w:rPr>
      <w:t>Atlas of Healthcare Variation: Methodology | Asthma</w:t>
    </w:r>
    <w:r w:rsidR="009D4021">
      <w:rPr>
        <w:sz w:val="18"/>
        <w:szCs w:val="18"/>
      </w:rPr>
      <w:tab/>
    </w:r>
    <w:r w:rsidR="009D4021" w:rsidRPr="00D16D75">
      <w:rPr>
        <w:sz w:val="18"/>
        <w:szCs w:val="18"/>
      </w:rPr>
      <w:t xml:space="preserve">Page </w:t>
    </w:r>
    <w:r w:rsidR="009D4021" w:rsidRPr="00D16D75">
      <w:rPr>
        <w:sz w:val="18"/>
        <w:szCs w:val="18"/>
      </w:rPr>
      <w:fldChar w:fldCharType="begin"/>
    </w:r>
    <w:r w:rsidR="009D4021" w:rsidRPr="00D16D75">
      <w:rPr>
        <w:sz w:val="18"/>
        <w:szCs w:val="18"/>
      </w:rPr>
      <w:instrText xml:space="preserve"> PAGE </w:instrText>
    </w:r>
    <w:r w:rsidR="009D4021" w:rsidRPr="00D16D75">
      <w:rPr>
        <w:sz w:val="18"/>
        <w:szCs w:val="18"/>
      </w:rPr>
      <w:fldChar w:fldCharType="separate"/>
    </w:r>
    <w:r w:rsidR="009D4021">
      <w:rPr>
        <w:sz w:val="18"/>
        <w:szCs w:val="18"/>
      </w:rPr>
      <w:t>1</w:t>
    </w:r>
    <w:r w:rsidR="009D4021" w:rsidRPr="00D16D75">
      <w:rPr>
        <w:sz w:val="18"/>
        <w:szCs w:val="18"/>
      </w:rPr>
      <w:fldChar w:fldCharType="end"/>
    </w:r>
    <w:r w:rsidR="009D4021" w:rsidRPr="00D16D75">
      <w:rPr>
        <w:sz w:val="18"/>
        <w:szCs w:val="18"/>
      </w:rPr>
      <w:t xml:space="preserve"> of </w:t>
    </w:r>
    <w:r w:rsidR="009D4021" w:rsidRPr="00D16D75">
      <w:rPr>
        <w:rStyle w:val="PageNumber"/>
        <w:sz w:val="18"/>
        <w:szCs w:val="18"/>
      </w:rPr>
      <w:fldChar w:fldCharType="begin"/>
    </w:r>
    <w:r w:rsidR="009D4021" w:rsidRPr="00D16D75">
      <w:rPr>
        <w:rStyle w:val="PageNumber"/>
        <w:sz w:val="18"/>
        <w:szCs w:val="18"/>
      </w:rPr>
      <w:instrText xml:space="preserve"> NUMPAGES </w:instrText>
    </w:r>
    <w:r w:rsidR="009D4021" w:rsidRPr="00D16D75">
      <w:rPr>
        <w:rStyle w:val="PageNumber"/>
        <w:sz w:val="18"/>
        <w:szCs w:val="18"/>
      </w:rPr>
      <w:fldChar w:fldCharType="separate"/>
    </w:r>
    <w:r w:rsidR="009D4021">
      <w:rPr>
        <w:rStyle w:val="PageNumber"/>
        <w:sz w:val="18"/>
        <w:szCs w:val="18"/>
      </w:rPr>
      <w:t>22</w:t>
    </w:r>
    <w:r w:rsidR="009D4021" w:rsidRPr="00D16D7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1848E" w14:textId="77777777" w:rsidR="00AC1397" w:rsidRDefault="00AC1397" w:rsidP="009822C8">
      <w:pPr>
        <w:spacing w:after="0" w:line="240" w:lineRule="auto"/>
      </w:pPr>
      <w:r>
        <w:separator/>
      </w:r>
    </w:p>
  </w:footnote>
  <w:footnote w:type="continuationSeparator" w:id="0">
    <w:p w14:paraId="3B241F59" w14:textId="77777777" w:rsidR="00AC1397" w:rsidRDefault="00AC1397" w:rsidP="009822C8">
      <w:pPr>
        <w:spacing w:after="0" w:line="240" w:lineRule="auto"/>
      </w:pPr>
      <w:r>
        <w:continuationSeparator/>
      </w:r>
    </w:p>
  </w:footnote>
  <w:footnote w:type="continuationNotice" w:id="1">
    <w:p w14:paraId="0F866CB9" w14:textId="77777777" w:rsidR="00AC1397" w:rsidRDefault="00AC1397">
      <w:pPr>
        <w:spacing w:after="0" w:line="240" w:lineRule="auto"/>
      </w:pPr>
    </w:p>
  </w:footnote>
  <w:footnote w:id="2">
    <w:p w14:paraId="67E7A6FB" w14:textId="6E00718C" w:rsidR="00903623" w:rsidRPr="00903623" w:rsidRDefault="00BA045B" w:rsidP="00903623">
      <w:pPr>
        <w:pStyle w:val="FootnoteText"/>
      </w:pPr>
      <w:r>
        <w:rPr>
          <w:rStyle w:val="FootnoteReference"/>
        </w:rPr>
        <w:footnoteRef/>
      </w:r>
      <w:r>
        <w:t xml:space="preserve"> </w:t>
      </w:r>
      <w:r w:rsidR="006977C2">
        <w:t xml:space="preserve">Episodes end where the individual is transferred to </w:t>
      </w:r>
      <w:r w:rsidR="00903623" w:rsidRPr="00903623">
        <w:t xml:space="preserve">a residential care </w:t>
      </w:r>
      <w:r w:rsidR="00B37DDE" w:rsidRPr="00903623">
        <w:t>facility</w:t>
      </w:r>
      <w:r w:rsidR="00903623" w:rsidRPr="00903623">
        <w:t xml:space="preserve">, aged care facility or hospice. </w:t>
      </w:r>
      <w:r w:rsidR="00204489">
        <w:t>Events with</w:t>
      </w:r>
      <w:r w:rsidR="00903623" w:rsidRPr="00903623">
        <w:t xml:space="preserve"> explicitly same-day DRG</w:t>
      </w:r>
      <w:r w:rsidR="00204489">
        <w:t xml:space="preserve"> codes </w:t>
      </w:r>
      <w:r w:rsidR="008E7F27">
        <w:t xml:space="preserve">are retained as separate events. </w:t>
      </w:r>
    </w:p>
    <w:p w14:paraId="1E9E0D58" w14:textId="3CFDE7DD" w:rsidR="00BA045B" w:rsidRPr="003F406D" w:rsidRDefault="00BA045B">
      <w:pPr>
        <w:pStyle w:val="FootnoteText"/>
        <w:rPr>
          <w:lang w:val="en-US"/>
        </w:rPr>
      </w:pPr>
    </w:p>
  </w:footnote>
  <w:footnote w:id="3">
    <w:p w14:paraId="03A0A052" w14:textId="2F3BFEA4" w:rsidR="1002A1B5" w:rsidRDefault="1002A1B5" w:rsidP="009622AC">
      <w:pPr>
        <w:pStyle w:val="FootnoteText"/>
      </w:pPr>
      <w:r w:rsidRPr="1002A1B5">
        <w:rPr>
          <w:rStyle w:val="FootnoteReference"/>
        </w:rPr>
        <w:footnoteRef/>
      </w:r>
      <w:r>
        <w:t xml:space="preserve"> Sourced from: </w:t>
      </w:r>
      <w:hyperlink r:id="rId1" w:history="1">
        <w:r w:rsidRPr="1002A1B5">
          <w:rPr>
            <w:rStyle w:val="Hyperlink"/>
          </w:rPr>
          <w:t>asthmafoundation.org.nz/resources/nz-child-asthma-guidelines</w:t>
        </w:r>
      </w:hyperlink>
      <w:r w:rsidRPr="1002A1B5">
        <w:t xml:space="preserve"> 18 June 2025.</w:t>
      </w:r>
    </w:p>
  </w:footnote>
  <w:footnote w:id="4">
    <w:p w14:paraId="434C5A92" w14:textId="4421E908" w:rsidR="004D4BBD" w:rsidRDefault="004D4BBD">
      <w:pPr>
        <w:pStyle w:val="FootnoteText"/>
      </w:pPr>
      <w:r>
        <w:rPr>
          <w:rStyle w:val="FootnoteReference"/>
        </w:rPr>
        <w:footnoteRef/>
      </w:r>
      <w:r>
        <w:t xml:space="preserve"> Asthma EAG </w:t>
      </w:r>
      <w:r w:rsidR="00F43DA9">
        <w:t>comprised</w:t>
      </w:r>
      <w:r w:rsidR="005332E0">
        <w:t xml:space="preserve"> of </w:t>
      </w:r>
      <w:r w:rsidR="000A4FB5">
        <w:t>Respiratory</w:t>
      </w:r>
      <w:r w:rsidR="00F43DA9">
        <w:t xml:space="preserve"> </w:t>
      </w:r>
      <w:r w:rsidR="000A4FB5">
        <w:t>Physicians</w:t>
      </w:r>
      <w:r w:rsidR="00F43DA9">
        <w:t xml:space="preserve">, </w:t>
      </w:r>
      <w:r w:rsidR="000A4FB5">
        <w:t xml:space="preserve">Paediatrician, </w:t>
      </w:r>
      <w:r w:rsidR="00F43DA9">
        <w:t>General Practitioner,</w:t>
      </w:r>
      <w:r w:rsidR="000A4FB5">
        <w:t xml:space="preserve"> Public Health Physicians, and Clinical Pharmacists</w:t>
      </w:r>
      <w:r w:rsidR="00DC09CE">
        <w:t>.</w:t>
      </w:r>
    </w:p>
  </w:footnote>
  <w:footnote w:id="5">
    <w:p w14:paraId="1D370A1E" w14:textId="080E2D43" w:rsidR="00C40894" w:rsidRDefault="00C40894">
      <w:pPr>
        <w:pStyle w:val="FootnoteText"/>
      </w:pPr>
      <w:r>
        <w:rPr>
          <w:rStyle w:val="FootnoteReference"/>
        </w:rPr>
        <w:footnoteRef/>
      </w:r>
      <w:r>
        <w:t xml:space="preserve"> Sourced from: </w:t>
      </w:r>
      <w:hyperlink r:id="rId2" w:anchor="!/explore-indicators" w:history="1">
        <w:r w:rsidR="00F51551" w:rsidRPr="00F51551">
          <w:rPr>
            <w:rStyle w:val="Hyperlink"/>
          </w:rPr>
          <w:t>minhealthnz.shinyapps.io/nz-health-survey-2023-24-annual-data-explorer/_w_a4c06cdb1efa4516841f4c59cdb37a0b/#!/explore-indicators</w:t>
        </w:r>
      </w:hyperlink>
    </w:p>
  </w:footnote>
  <w:footnote w:id="6">
    <w:p w14:paraId="43F6799E" w14:textId="4328D024" w:rsidR="00343CB2" w:rsidRPr="009622AC" w:rsidRDefault="00343CB2">
      <w:pPr>
        <w:pStyle w:val="FootnoteText"/>
        <w:rPr>
          <w:lang w:val="en-GB"/>
        </w:rPr>
      </w:pPr>
      <w:r>
        <w:rPr>
          <w:rStyle w:val="FootnoteReference"/>
        </w:rPr>
        <w:footnoteRef/>
      </w:r>
      <w:r>
        <w:t xml:space="preserve"> </w:t>
      </w:r>
      <w:r w:rsidR="005C2301" w:rsidRPr="009622AC">
        <w:rPr>
          <w:sz w:val="16"/>
          <w:szCs w:val="16"/>
        </w:rPr>
        <w:t>Beasley R, et al. 2020. Asthma and Respiratory Foundation NZ Adolescent and Adult Asthma Guidelines 2020: a quick reference guide. </w:t>
      </w:r>
      <w:r w:rsidR="005C2301" w:rsidRPr="009622AC">
        <w:rPr>
          <w:i/>
          <w:iCs/>
          <w:sz w:val="16"/>
          <w:szCs w:val="16"/>
        </w:rPr>
        <w:t>NZ Med J</w:t>
      </w:r>
      <w:r w:rsidR="005C2301" w:rsidRPr="009622AC">
        <w:rPr>
          <w:sz w:val="16"/>
          <w:szCs w:val="16"/>
        </w:rPr>
        <w:t> 133(1517). URL:</w:t>
      </w:r>
      <w:r w:rsidR="005C2301" w:rsidRPr="009622AC">
        <w:rPr>
          <w:rFonts w:cstheme="minorBidi"/>
          <w:sz w:val="16"/>
          <w:szCs w:val="16"/>
        </w:rPr>
        <w:t xml:space="preserve"> </w:t>
      </w:r>
      <w:hyperlink r:id="rId3" w:history="1">
        <w:r w:rsidR="005C2301" w:rsidRPr="009622AC">
          <w:rPr>
            <w:rStyle w:val="Hyperlink"/>
            <w:sz w:val="16"/>
            <w:szCs w:val="16"/>
          </w:rPr>
          <w:t>ARFNZ-Adolescent-and-Adult-Asthma-Guidelines.pdf</w:t>
        </w:r>
      </w:hyperlink>
      <w:r w:rsidR="005C2301" w:rsidRPr="009622AC" w:rsidDel="003678F2">
        <w:rPr>
          <w:sz w:val="16"/>
          <w:szCs w:val="16"/>
        </w:rPr>
        <w:t xml:space="preserve"> </w:t>
      </w:r>
      <w:r w:rsidR="005C2301" w:rsidRPr="009622AC">
        <w:rPr>
          <w:sz w:val="16"/>
          <w:szCs w:val="16"/>
        </w:rPr>
        <w:t>.</w:t>
      </w:r>
    </w:p>
  </w:footnote>
  <w:footnote w:id="7">
    <w:p w14:paraId="6396976F" w14:textId="5F339100" w:rsidR="00A87AB1" w:rsidRPr="009622AC" w:rsidRDefault="00A87AB1">
      <w:pPr>
        <w:pStyle w:val="FootnoteText"/>
        <w:rPr>
          <w:lang w:val="en-GB"/>
        </w:rPr>
      </w:pPr>
      <w:r>
        <w:rPr>
          <w:rStyle w:val="FootnoteReference"/>
        </w:rPr>
        <w:footnoteRef/>
      </w:r>
      <w:r>
        <w:t xml:space="preserve"> </w:t>
      </w:r>
      <w:r w:rsidRPr="009622AC">
        <w:rPr>
          <w:sz w:val="16"/>
          <w:szCs w:val="16"/>
        </w:rPr>
        <w:t>Telfar Barnard, L., &amp; Zhang, J. (202</w:t>
      </w:r>
      <w:r w:rsidR="00B71C45">
        <w:rPr>
          <w:sz w:val="16"/>
          <w:szCs w:val="16"/>
        </w:rPr>
        <w:t>4</w:t>
      </w:r>
      <w:r w:rsidRPr="009622AC">
        <w:rPr>
          <w:sz w:val="16"/>
          <w:szCs w:val="16"/>
        </w:rPr>
        <w:t>). The impact of respiratory disease in New Zealand: 202</w:t>
      </w:r>
      <w:r w:rsidR="00B71C45">
        <w:rPr>
          <w:sz w:val="16"/>
          <w:szCs w:val="16"/>
        </w:rPr>
        <w:t>3</w:t>
      </w:r>
      <w:r w:rsidRPr="009622AC">
        <w:rPr>
          <w:sz w:val="16"/>
          <w:szCs w:val="16"/>
        </w:rPr>
        <w:t xml:space="preserve"> update. </w:t>
      </w:r>
      <w:r w:rsidRPr="009622AC">
        <w:rPr>
          <w:i/>
          <w:iCs/>
          <w:sz w:val="16"/>
          <w:szCs w:val="16"/>
        </w:rPr>
        <w:t>Wellington: Asthma and Respiratory Foundation NZ</w:t>
      </w:r>
      <w:r w:rsidRPr="009622AC">
        <w:rPr>
          <w:sz w:val="16"/>
          <w:szCs w:val="16"/>
        </w:rPr>
        <w:t>.</w:t>
      </w:r>
      <w:r w:rsidR="00B71C45">
        <w:rPr>
          <w:sz w:val="16"/>
          <w:szCs w:val="16"/>
        </w:rPr>
        <w:t xml:space="preserve"> Available from: </w:t>
      </w:r>
      <w:hyperlink r:id="rId4" w:history="1">
        <w:r w:rsidR="00231C66" w:rsidRPr="00231C66">
          <w:rPr>
            <w:rStyle w:val="Hyperlink"/>
            <w:sz w:val="16"/>
            <w:szCs w:val="16"/>
          </w:rPr>
          <w:t>Respiratory-Impact-Report-2024sep10-FINAL.pdf</w:t>
        </w:r>
      </w:hyperlink>
      <w:r w:rsidR="00231C66">
        <w:rPr>
          <w:sz w:val="16"/>
          <w:szCs w:val="16"/>
        </w:rPr>
        <w:t>.</w:t>
      </w:r>
    </w:p>
  </w:footnote>
  <w:footnote w:id="8">
    <w:p w14:paraId="0AB8BA2F" w14:textId="77777777" w:rsidR="004648D0" w:rsidRPr="009622AC" w:rsidRDefault="004648D0" w:rsidP="004648D0">
      <w:pPr>
        <w:pStyle w:val="FootnoteText"/>
        <w:rPr>
          <w:sz w:val="16"/>
          <w:szCs w:val="16"/>
        </w:rPr>
      </w:pPr>
      <w:r w:rsidRPr="20CF9A1D">
        <w:rPr>
          <w:rStyle w:val="FootnoteReference"/>
          <w:rFonts w:eastAsiaTheme="majorEastAsia"/>
        </w:rPr>
        <w:footnoteRef/>
      </w:r>
      <w:r>
        <w:t xml:space="preserve"> </w:t>
      </w:r>
      <w:r w:rsidRPr="009622AC">
        <w:rPr>
          <w:sz w:val="16"/>
          <w:szCs w:val="16"/>
        </w:rPr>
        <w:t>Beasley R, et al. 2020. Asthma and Respiratory Foundation NZ Adolescent and Adult Asthma Guidelines 2020: a quick reference guide. </w:t>
      </w:r>
      <w:r w:rsidRPr="009622AC">
        <w:rPr>
          <w:i/>
          <w:iCs/>
          <w:sz w:val="16"/>
          <w:szCs w:val="16"/>
        </w:rPr>
        <w:t>NZ Med J</w:t>
      </w:r>
      <w:r w:rsidRPr="009622AC">
        <w:rPr>
          <w:sz w:val="16"/>
          <w:szCs w:val="16"/>
        </w:rPr>
        <w:t> 133(1517). URL:</w:t>
      </w:r>
      <w:r w:rsidRPr="009622AC">
        <w:rPr>
          <w:rFonts w:cstheme="minorBidi"/>
          <w:sz w:val="16"/>
          <w:szCs w:val="16"/>
        </w:rPr>
        <w:t xml:space="preserve"> </w:t>
      </w:r>
      <w:hyperlink r:id="rId5" w:history="1">
        <w:r w:rsidRPr="004E40C2">
          <w:rPr>
            <w:rStyle w:val="Hyperlink"/>
            <w:sz w:val="16"/>
            <w:szCs w:val="16"/>
          </w:rPr>
          <w:t>ARFNZ-Adolescent-and-Adult-Asthma-Guidelines.pdf</w:t>
        </w:r>
      </w:hyperlink>
    </w:p>
  </w:footnote>
  <w:footnote w:id="9">
    <w:p w14:paraId="4ABFEF2E" w14:textId="14F05F1F" w:rsidR="00C41169" w:rsidRPr="009622AC" w:rsidRDefault="00C41169">
      <w:pPr>
        <w:pStyle w:val="FootnoteText"/>
        <w:rPr>
          <w:sz w:val="16"/>
          <w:szCs w:val="16"/>
        </w:rPr>
      </w:pPr>
      <w:r>
        <w:rPr>
          <w:rStyle w:val="FootnoteReference"/>
        </w:rPr>
        <w:footnoteRef/>
      </w:r>
      <w:r>
        <w:t xml:space="preserve"> </w:t>
      </w:r>
      <w:r w:rsidRPr="00133505">
        <w:rPr>
          <w:sz w:val="16"/>
          <w:szCs w:val="16"/>
        </w:rPr>
        <w:t xml:space="preserve">High dose </w:t>
      </w:r>
      <w:r w:rsidR="00EA47B3" w:rsidRPr="00133505">
        <w:rPr>
          <w:sz w:val="16"/>
          <w:szCs w:val="16"/>
        </w:rPr>
        <w:t>400/12</w:t>
      </w:r>
      <w:r w:rsidR="00D9369F" w:rsidRPr="00133505">
        <w:rPr>
          <w:sz w:val="16"/>
          <w:szCs w:val="16"/>
        </w:rPr>
        <w:t xml:space="preserve"> </w:t>
      </w:r>
      <w:r w:rsidR="001A4B7E" w:rsidRPr="00133505">
        <w:rPr>
          <w:sz w:val="16"/>
          <w:szCs w:val="16"/>
        </w:rPr>
        <w:t>budesonide-formoterol inhalers are excluded</w:t>
      </w:r>
      <w:r w:rsidR="001A4B7E" w:rsidRPr="009622AC">
        <w:rPr>
          <w:sz w:val="16"/>
          <w:szCs w:val="16"/>
        </w:rPr>
        <w:t xml:space="preserve"> </w:t>
      </w:r>
      <w:r w:rsidR="009D0642" w:rsidRPr="009622AC">
        <w:rPr>
          <w:sz w:val="16"/>
          <w:szCs w:val="16"/>
        </w:rPr>
        <w:t xml:space="preserve">as </w:t>
      </w:r>
      <w:r w:rsidR="003D4985" w:rsidRPr="009622AC">
        <w:rPr>
          <w:sz w:val="16"/>
          <w:szCs w:val="16"/>
        </w:rPr>
        <w:t>the</w:t>
      </w:r>
      <w:r w:rsidR="009D0642" w:rsidRPr="009622AC">
        <w:rPr>
          <w:sz w:val="16"/>
          <w:szCs w:val="16"/>
        </w:rPr>
        <w:t xml:space="preserve"> </w:t>
      </w:r>
      <w:r w:rsidR="0065719F">
        <w:rPr>
          <w:sz w:val="16"/>
          <w:szCs w:val="16"/>
        </w:rPr>
        <w:t xml:space="preserve">2020 </w:t>
      </w:r>
      <w:r w:rsidR="009D0642" w:rsidRPr="009622AC">
        <w:rPr>
          <w:sz w:val="16"/>
          <w:szCs w:val="16"/>
        </w:rPr>
        <w:t>NZ</w:t>
      </w:r>
      <w:r w:rsidR="003D4985" w:rsidRPr="009622AC">
        <w:rPr>
          <w:sz w:val="16"/>
          <w:szCs w:val="16"/>
        </w:rPr>
        <w:t xml:space="preserve"> Asthma </w:t>
      </w:r>
      <w:r w:rsidR="009B2A72" w:rsidRPr="009622AC">
        <w:rPr>
          <w:sz w:val="16"/>
          <w:szCs w:val="16"/>
        </w:rPr>
        <w:t>Adolescent and</w:t>
      </w:r>
      <w:r w:rsidR="00AE596A">
        <w:rPr>
          <w:sz w:val="16"/>
          <w:szCs w:val="16"/>
        </w:rPr>
        <w:t xml:space="preserve"> </w:t>
      </w:r>
      <w:r w:rsidR="008E0B6A">
        <w:rPr>
          <w:sz w:val="16"/>
          <w:szCs w:val="16"/>
        </w:rPr>
        <w:t xml:space="preserve">Adult </w:t>
      </w:r>
      <w:r w:rsidR="00A044FE">
        <w:rPr>
          <w:sz w:val="16"/>
          <w:szCs w:val="16"/>
        </w:rPr>
        <w:t>Guidelines state this dose</w:t>
      </w:r>
      <w:r w:rsidR="00BE6AE6">
        <w:rPr>
          <w:sz w:val="16"/>
          <w:szCs w:val="16"/>
        </w:rPr>
        <w:t xml:space="preserve"> should not be used for AIR/SMART therapy</w:t>
      </w:r>
      <w:r w:rsidR="00F44583">
        <w:rPr>
          <w:sz w:val="16"/>
          <w:szCs w:val="16"/>
        </w:rPr>
        <w:t xml:space="preserve"> </w:t>
      </w:r>
      <w:r w:rsidR="00013D19">
        <w:rPr>
          <w:sz w:val="16"/>
          <w:szCs w:val="16"/>
        </w:rPr>
        <w:t>(p.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344676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34FF0"/>
    <w:multiLevelType w:val="hybridMultilevel"/>
    <w:tmpl w:val="E2A20D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77358D"/>
    <w:multiLevelType w:val="hybridMultilevel"/>
    <w:tmpl w:val="4DB45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CE24EB"/>
    <w:multiLevelType w:val="hybridMultilevel"/>
    <w:tmpl w:val="F6AE0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4A6EEE"/>
    <w:multiLevelType w:val="hybridMultilevel"/>
    <w:tmpl w:val="762263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9A5F06"/>
    <w:multiLevelType w:val="hybridMultilevel"/>
    <w:tmpl w:val="717E6310"/>
    <w:lvl w:ilvl="0" w:tplc="F0C2E26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B81D54"/>
    <w:multiLevelType w:val="hybridMultilevel"/>
    <w:tmpl w:val="6AE2C8BC"/>
    <w:lvl w:ilvl="0" w:tplc="2AB0FB0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CF0646"/>
    <w:multiLevelType w:val="hybridMultilevel"/>
    <w:tmpl w:val="C31CADCE"/>
    <w:lvl w:ilvl="0" w:tplc="423ECB8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157AEF"/>
    <w:multiLevelType w:val="hybridMultilevel"/>
    <w:tmpl w:val="086A3D56"/>
    <w:lvl w:ilvl="0" w:tplc="423ECB8C">
      <w:numFmt w:val="bullet"/>
      <w:lvlText w:val="•"/>
      <w:lvlJc w:val="left"/>
      <w:pPr>
        <w:ind w:left="360" w:hanging="360"/>
      </w:pPr>
      <w:rPr>
        <w:rFonts w:ascii="Arial" w:eastAsia="Times New Roman" w:hAnsi="Arial" w:cs="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0818E6"/>
    <w:multiLevelType w:val="hybridMultilevel"/>
    <w:tmpl w:val="B0149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EE25E1"/>
    <w:multiLevelType w:val="multilevel"/>
    <w:tmpl w:val="E2BE34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27A76907"/>
    <w:multiLevelType w:val="multilevel"/>
    <w:tmpl w:val="06761B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9195203"/>
    <w:multiLevelType w:val="hybridMultilevel"/>
    <w:tmpl w:val="2616A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6F536A"/>
    <w:multiLevelType w:val="hybridMultilevel"/>
    <w:tmpl w:val="9AFE7C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9B369FB"/>
    <w:multiLevelType w:val="hybridMultilevel"/>
    <w:tmpl w:val="FFB68C2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29C946AD"/>
    <w:multiLevelType w:val="hybridMultilevel"/>
    <w:tmpl w:val="3B42DC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15:restartNumberingAfterBreak="0">
    <w:nsid w:val="2C6A1DEC"/>
    <w:multiLevelType w:val="hybridMultilevel"/>
    <w:tmpl w:val="514AEF9C"/>
    <w:lvl w:ilvl="0" w:tplc="423ECB8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441E22"/>
    <w:multiLevelType w:val="hybridMultilevel"/>
    <w:tmpl w:val="805CDB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64772AA"/>
    <w:multiLevelType w:val="hybridMultilevel"/>
    <w:tmpl w:val="8C1A4416"/>
    <w:lvl w:ilvl="0" w:tplc="748A5F12">
      <w:start w:val="1"/>
      <w:numFmt w:val="bullet"/>
      <w:lvlText w:val=""/>
      <w:lvlJc w:val="left"/>
      <w:pPr>
        <w:ind w:left="1020" w:hanging="360"/>
      </w:pPr>
      <w:rPr>
        <w:rFonts w:ascii="Symbol" w:hAnsi="Symbol"/>
      </w:rPr>
    </w:lvl>
    <w:lvl w:ilvl="1" w:tplc="B0FADF48">
      <w:start w:val="1"/>
      <w:numFmt w:val="bullet"/>
      <w:lvlText w:val=""/>
      <w:lvlJc w:val="left"/>
      <w:pPr>
        <w:ind w:left="1020" w:hanging="360"/>
      </w:pPr>
      <w:rPr>
        <w:rFonts w:ascii="Symbol" w:hAnsi="Symbol"/>
      </w:rPr>
    </w:lvl>
    <w:lvl w:ilvl="2" w:tplc="8C50562A">
      <w:start w:val="1"/>
      <w:numFmt w:val="bullet"/>
      <w:lvlText w:val=""/>
      <w:lvlJc w:val="left"/>
      <w:pPr>
        <w:ind w:left="1020" w:hanging="360"/>
      </w:pPr>
      <w:rPr>
        <w:rFonts w:ascii="Symbol" w:hAnsi="Symbol"/>
      </w:rPr>
    </w:lvl>
    <w:lvl w:ilvl="3" w:tplc="E620FAC2">
      <w:start w:val="1"/>
      <w:numFmt w:val="bullet"/>
      <w:lvlText w:val=""/>
      <w:lvlJc w:val="left"/>
      <w:pPr>
        <w:ind w:left="1020" w:hanging="360"/>
      </w:pPr>
      <w:rPr>
        <w:rFonts w:ascii="Symbol" w:hAnsi="Symbol"/>
      </w:rPr>
    </w:lvl>
    <w:lvl w:ilvl="4" w:tplc="AF806140">
      <w:start w:val="1"/>
      <w:numFmt w:val="bullet"/>
      <w:lvlText w:val=""/>
      <w:lvlJc w:val="left"/>
      <w:pPr>
        <w:ind w:left="1020" w:hanging="360"/>
      </w:pPr>
      <w:rPr>
        <w:rFonts w:ascii="Symbol" w:hAnsi="Symbol"/>
      </w:rPr>
    </w:lvl>
    <w:lvl w:ilvl="5" w:tplc="5BF64090">
      <w:start w:val="1"/>
      <w:numFmt w:val="bullet"/>
      <w:lvlText w:val=""/>
      <w:lvlJc w:val="left"/>
      <w:pPr>
        <w:ind w:left="1020" w:hanging="360"/>
      </w:pPr>
      <w:rPr>
        <w:rFonts w:ascii="Symbol" w:hAnsi="Symbol"/>
      </w:rPr>
    </w:lvl>
    <w:lvl w:ilvl="6" w:tplc="5C049AEC">
      <w:start w:val="1"/>
      <w:numFmt w:val="bullet"/>
      <w:lvlText w:val=""/>
      <w:lvlJc w:val="left"/>
      <w:pPr>
        <w:ind w:left="1020" w:hanging="360"/>
      </w:pPr>
      <w:rPr>
        <w:rFonts w:ascii="Symbol" w:hAnsi="Symbol"/>
      </w:rPr>
    </w:lvl>
    <w:lvl w:ilvl="7" w:tplc="D806F72C">
      <w:start w:val="1"/>
      <w:numFmt w:val="bullet"/>
      <w:lvlText w:val=""/>
      <w:lvlJc w:val="left"/>
      <w:pPr>
        <w:ind w:left="1020" w:hanging="360"/>
      </w:pPr>
      <w:rPr>
        <w:rFonts w:ascii="Symbol" w:hAnsi="Symbol"/>
      </w:rPr>
    </w:lvl>
    <w:lvl w:ilvl="8" w:tplc="EC3C4E90">
      <w:start w:val="1"/>
      <w:numFmt w:val="bullet"/>
      <w:lvlText w:val=""/>
      <w:lvlJc w:val="left"/>
      <w:pPr>
        <w:ind w:left="1020" w:hanging="360"/>
      </w:pPr>
      <w:rPr>
        <w:rFonts w:ascii="Symbol" w:hAnsi="Symbol"/>
      </w:rPr>
    </w:lvl>
  </w:abstractNum>
  <w:abstractNum w:abstractNumId="20" w15:restartNumberingAfterBreak="0">
    <w:nsid w:val="37A43C6E"/>
    <w:multiLevelType w:val="multilevel"/>
    <w:tmpl w:val="0A6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0E4F37"/>
    <w:multiLevelType w:val="hybridMultilevel"/>
    <w:tmpl w:val="93EC5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1F5A91"/>
    <w:multiLevelType w:val="hybridMultilevel"/>
    <w:tmpl w:val="59F0AFD0"/>
    <w:lvl w:ilvl="0" w:tplc="423ECB8C">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420FAE"/>
    <w:multiLevelType w:val="hybridMultilevel"/>
    <w:tmpl w:val="FFFFFFFF"/>
    <w:lvl w:ilvl="0" w:tplc="9F3EA8D0">
      <w:start w:val="1"/>
      <w:numFmt w:val="bullet"/>
      <w:lvlText w:val="·"/>
      <w:lvlJc w:val="left"/>
      <w:pPr>
        <w:ind w:left="720" w:hanging="360"/>
      </w:pPr>
      <w:rPr>
        <w:rFonts w:ascii="Symbol" w:hAnsi="Symbol" w:hint="default"/>
      </w:rPr>
    </w:lvl>
    <w:lvl w:ilvl="1" w:tplc="E7A8CF90">
      <w:start w:val="1"/>
      <w:numFmt w:val="bullet"/>
      <w:lvlText w:val="o"/>
      <w:lvlJc w:val="left"/>
      <w:pPr>
        <w:ind w:left="1440" w:hanging="360"/>
      </w:pPr>
      <w:rPr>
        <w:rFonts w:ascii="Courier New" w:hAnsi="Courier New" w:hint="default"/>
      </w:rPr>
    </w:lvl>
    <w:lvl w:ilvl="2" w:tplc="5974251C">
      <w:start w:val="1"/>
      <w:numFmt w:val="bullet"/>
      <w:lvlText w:val=""/>
      <w:lvlJc w:val="left"/>
      <w:pPr>
        <w:ind w:left="2160" w:hanging="360"/>
      </w:pPr>
      <w:rPr>
        <w:rFonts w:ascii="Wingdings" w:hAnsi="Wingdings" w:hint="default"/>
      </w:rPr>
    </w:lvl>
    <w:lvl w:ilvl="3" w:tplc="0B8A1DE4">
      <w:start w:val="1"/>
      <w:numFmt w:val="bullet"/>
      <w:lvlText w:val=""/>
      <w:lvlJc w:val="left"/>
      <w:pPr>
        <w:ind w:left="2880" w:hanging="360"/>
      </w:pPr>
      <w:rPr>
        <w:rFonts w:ascii="Symbol" w:hAnsi="Symbol" w:hint="default"/>
      </w:rPr>
    </w:lvl>
    <w:lvl w:ilvl="4" w:tplc="FC4C7666">
      <w:start w:val="1"/>
      <w:numFmt w:val="bullet"/>
      <w:lvlText w:val="o"/>
      <w:lvlJc w:val="left"/>
      <w:pPr>
        <w:ind w:left="3600" w:hanging="360"/>
      </w:pPr>
      <w:rPr>
        <w:rFonts w:ascii="Courier New" w:hAnsi="Courier New" w:hint="default"/>
      </w:rPr>
    </w:lvl>
    <w:lvl w:ilvl="5" w:tplc="955E9EA0">
      <w:start w:val="1"/>
      <w:numFmt w:val="bullet"/>
      <w:lvlText w:val=""/>
      <w:lvlJc w:val="left"/>
      <w:pPr>
        <w:ind w:left="4320" w:hanging="360"/>
      </w:pPr>
      <w:rPr>
        <w:rFonts w:ascii="Wingdings" w:hAnsi="Wingdings" w:hint="default"/>
      </w:rPr>
    </w:lvl>
    <w:lvl w:ilvl="6" w:tplc="06AC7100">
      <w:start w:val="1"/>
      <w:numFmt w:val="bullet"/>
      <w:lvlText w:val=""/>
      <w:lvlJc w:val="left"/>
      <w:pPr>
        <w:ind w:left="5040" w:hanging="360"/>
      </w:pPr>
      <w:rPr>
        <w:rFonts w:ascii="Symbol" w:hAnsi="Symbol" w:hint="default"/>
      </w:rPr>
    </w:lvl>
    <w:lvl w:ilvl="7" w:tplc="91FABF00">
      <w:start w:val="1"/>
      <w:numFmt w:val="bullet"/>
      <w:lvlText w:val="o"/>
      <w:lvlJc w:val="left"/>
      <w:pPr>
        <w:ind w:left="5760" w:hanging="360"/>
      </w:pPr>
      <w:rPr>
        <w:rFonts w:ascii="Courier New" w:hAnsi="Courier New" w:hint="default"/>
      </w:rPr>
    </w:lvl>
    <w:lvl w:ilvl="8" w:tplc="1AC67236">
      <w:start w:val="1"/>
      <w:numFmt w:val="bullet"/>
      <w:lvlText w:val=""/>
      <w:lvlJc w:val="left"/>
      <w:pPr>
        <w:ind w:left="6480" w:hanging="360"/>
      </w:pPr>
      <w:rPr>
        <w:rFonts w:ascii="Wingdings" w:hAnsi="Wingdings" w:hint="default"/>
      </w:rPr>
    </w:lvl>
  </w:abstractNum>
  <w:abstractNum w:abstractNumId="24" w15:restartNumberingAfterBreak="0">
    <w:nsid w:val="40BE7396"/>
    <w:multiLevelType w:val="hybridMultilevel"/>
    <w:tmpl w:val="BC221120"/>
    <w:lvl w:ilvl="0" w:tplc="FFFFFFFF">
      <w:start w:val="1"/>
      <w:numFmt w:val="bullet"/>
      <w:lvlText w:val="·"/>
      <w:lvlJc w:val="left"/>
      <w:pPr>
        <w:ind w:left="720" w:hanging="360"/>
      </w:pPr>
      <w:rPr>
        <w:rFonts w:ascii="Symbol" w:hAnsi="Symbol" w:hint="default"/>
      </w:rPr>
    </w:lvl>
    <w:lvl w:ilvl="1" w:tplc="423ECB8C">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BA66F1"/>
    <w:multiLevelType w:val="hybridMultilevel"/>
    <w:tmpl w:val="7F267C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74028E"/>
    <w:multiLevelType w:val="hybridMultilevel"/>
    <w:tmpl w:val="3B605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80F233C"/>
    <w:multiLevelType w:val="hybridMultilevel"/>
    <w:tmpl w:val="C6263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532B84"/>
    <w:multiLevelType w:val="hybridMultilevel"/>
    <w:tmpl w:val="FC2A9FF4"/>
    <w:lvl w:ilvl="0" w:tplc="14090001">
      <w:start w:val="1"/>
      <w:numFmt w:val="bullet"/>
      <w:lvlText w:val=""/>
      <w:lvlJc w:val="left"/>
      <w:pPr>
        <w:ind w:left="720" w:hanging="360"/>
      </w:pPr>
      <w:rPr>
        <w:rFonts w:ascii="Symbol" w:hAnsi="Symbol" w:hint="default"/>
      </w:rPr>
    </w:lvl>
    <w:lvl w:ilvl="1" w:tplc="594C2B50">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DD4E94"/>
    <w:multiLevelType w:val="multilevel"/>
    <w:tmpl w:val="6826D6D4"/>
    <w:lvl w:ilvl="0">
      <w:start w:val="1"/>
      <w:numFmt w:val="lowerLetter"/>
      <w:lvlText w:val="%1)"/>
      <w:lvlJc w:val="left"/>
      <w:pPr>
        <w:tabs>
          <w:tab w:val="num" w:pos="720"/>
        </w:tabs>
        <w:ind w:left="720" w:hanging="360"/>
      </w:pPr>
      <w:rPr>
        <w:rFonts w:ascii="Arial" w:eastAsia="Times New Roman" w:hAnsi="Arial"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E56B22"/>
    <w:multiLevelType w:val="hybridMultilevel"/>
    <w:tmpl w:val="9A1000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57E12B7A"/>
    <w:multiLevelType w:val="hybridMultilevel"/>
    <w:tmpl w:val="56C067E0"/>
    <w:lvl w:ilvl="0" w:tplc="423ECB8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E47260"/>
    <w:multiLevelType w:val="hybridMultilevel"/>
    <w:tmpl w:val="B6846B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D670039"/>
    <w:multiLevelType w:val="hybridMultilevel"/>
    <w:tmpl w:val="D6A2B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9431B9"/>
    <w:multiLevelType w:val="multilevel"/>
    <w:tmpl w:val="7C4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062A62"/>
    <w:multiLevelType w:val="multilevel"/>
    <w:tmpl w:val="0B8AF6F2"/>
    <w:lvl w:ilvl="0">
      <w:start w:val="1"/>
      <w:numFmt w:val="bullet"/>
      <w:pStyle w:val="TeThHauorabullets"/>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4C0158"/>
    <w:multiLevelType w:val="hybridMultilevel"/>
    <w:tmpl w:val="89A62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5754D6"/>
    <w:multiLevelType w:val="hybridMultilevel"/>
    <w:tmpl w:val="AE84967A"/>
    <w:lvl w:ilvl="0" w:tplc="4AE486B6">
      <w:start w:val="1"/>
      <w:numFmt w:val="bullet"/>
      <w:lvlText w:val=""/>
      <w:lvlJc w:val="left"/>
      <w:pPr>
        <w:ind w:left="1020" w:hanging="360"/>
      </w:pPr>
      <w:rPr>
        <w:rFonts w:ascii="Symbol" w:hAnsi="Symbol"/>
      </w:rPr>
    </w:lvl>
    <w:lvl w:ilvl="1" w:tplc="98C42E66">
      <w:start w:val="1"/>
      <w:numFmt w:val="bullet"/>
      <w:lvlText w:val=""/>
      <w:lvlJc w:val="left"/>
      <w:pPr>
        <w:ind w:left="1020" w:hanging="360"/>
      </w:pPr>
      <w:rPr>
        <w:rFonts w:ascii="Symbol" w:hAnsi="Symbol"/>
      </w:rPr>
    </w:lvl>
    <w:lvl w:ilvl="2" w:tplc="62CC8BBC">
      <w:start w:val="1"/>
      <w:numFmt w:val="bullet"/>
      <w:lvlText w:val=""/>
      <w:lvlJc w:val="left"/>
      <w:pPr>
        <w:ind w:left="1020" w:hanging="360"/>
      </w:pPr>
      <w:rPr>
        <w:rFonts w:ascii="Symbol" w:hAnsi="Symbol"/>
      </w:rPr>
    </w:lvl>
    <w:lvl w:ilvl="3" w:tplc="3AB45990">
      <w:start w:val="1"/>
      <w:numFmt w:val="bullet"/>
      <w:lvlText w:val=""/>
      <w:lvlJc w:val="left"/>
      <w:pPr>
        <w:ind w:left="1020" w:hanging="360"/>
      </w:pPr>
      <w:rPr>
        <w:rFonts w:ascii="Symbol" w:hAnsi="Symbol"/>
      </w:rPr>
    </w:lvl>
    <w:lvl w:ilvl="4" w:tplc="56903E8C">
      <w:start w:val="1"/>
      <w:numFmt w:val="bullet"/>
      <w:lvlText w:val=""/>
      <w:lvlJc w:val="left"/>
      <w:pPr>
        <w:ind w:left="1020" w:hanging="360"/>
      </w:pPr>
      <w:rPr>
        <w:rFonts w:ascii="Symbol" w:hAnsi="Symbol"/>
      </w:rPr>
    </w:lvl>
    <w:lvl w:ilvl="5" w:tplc="F7B6B2B4">
      <w:start w:val="1"/>
      <w:numFmt w:val="bullet"/>
      <w:lvlText w:val=""/>
      <w:lvlJc w:val="left"/>
      <w:pPr>
        <w:ind w:left="1020" w:hanging="360"/>
      </w:pPr>
      <w:rPr>
        <w:rFonts w:ascii="Symbol" w:hAnsi="Symbol"/>
      </w:rPr>
    </w:lvl>
    <w:lvl w:ilvl="6" w:tplc="15C6C06E">
      <w:start w:val="1"/>
      <w:numFmt w:val="bullet"/>
      <w:lvlText w:val=""/>
      <w:lvlJc w:val="left"/>
      <w:pPr>
        <w:ind w:left="1020" w:hanging="360"/>
      </w:pPr>
      <w:rPr>
        <w:rFonts w:ascii="Symbol" w:hAnsi="Symbol"/>
      </w:rPr>
    </w:lvl>
    <w:lvl w:ilvl="7" w:tplc="BB124A94">
      <w:start w:val="1"/>
      <w:numFmt w:val="bullet"/>
      <w:lvlText w:val=""/>
      <w:lvlJc w:val="left"/>
      <w:pPr>
        <w:ind w:left="1020" w:hanging="360"/>
      </w:pPr>
      <w:rPr>
        <w:rFonts w:ascii="Symbol" w:hAnsi="Symbol"/>
      </w:rPr>
    </w:lvl>
    <w:lvl w:ilvl="8" w:tplc="87264D22">
      <w:start w:val="1"/>
      <w:numFmt w:val="bullet"/>
      <w:lvlText w:val=""/>
      <w:lvlJc w:val="left"/>
      <w:pPr>
        <w:ind w:left="1020" w:hanging="360"/>
      </w:pPr>
      <w:rPr>
        <w:rFonts w:ascii="Symbol" w:hAnsi="Symbol"/>
      </w:rPr>
    </w:lvl>
  </w:abstractNum>
  <w:abstractNum w:abstractNumId="39" w15:restartNumberingAfterBreak="0">
    <w:nsid w:val="78DB47C6"/>
    <w:multiLevelType w:val="hybridMultilevel"/>
    <w:tmpl w:val="797AB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650715"/>
    <w:multiLevelType w:val="hybridMultilevel"/>
    <w:tmpl w:val="B734B5BC"/>
    <w:lvl w:ilvl="0" w:tplc="7C266012">
      <w:start w:val="1"/>
      <w:numFmt w:val="bullet"/>
      <w:lvlText w:val=""/>
      <w:lvlJc w:val="left"/>
      <w:pPr>
        <w:ind w:left="1020" w:hanging="360"/>
      </w:pPr>
      <w:rPr>
        <w:rFonts w:ascii="Symbol" w:hAnsi="Symbol"/>
      </w:rPr>
    </w:lvl>
    <w:lvl w:ilvl="1" w:tplc="F86AA44A">
      <w:start w:val="1"/>
      <w:numFmt w:val="bullet"/>
      <w:lvlText w:val=""/>
      <w:lvlJc w:val="left"/>
      <w:pPr>
        <w:ind w:left="1020" w:hanging="360"/>
      </w:pPr>
      <w:rPr>
        <w:rFonts w:ascii="Symbol" w:hAnsi="Symbol"/>
      </w:rPr>
    </w:lvl>
    <w:lvl w:ilvl="2" w:tplc="31785440">
      <w:start w:val="1"/>
      <w:numFmt w:val="bullet"/>
      <w:lvlText w:val=""/>
      <w:lvlJc w:val="left"/>
      <w:pPr>
        <w:ind w:left="1020" w:hanging="360"/>
      </w:pPr>
      <w:rPr>
        <w:rFonts w:ascii="Symbol" w:hAnsi="Symbol"/>
      </w:rPr>
    </w:lvl>
    <w:lvl w:ilvl="3" w:tplc="76842AD8">
      <w:start w:val="1"/>
      <w:numFmt w:val="bullet"/>
      <w:lvlText w:val=""/>
      <w:lvlJc w:val="left"/>
      <w:pPr>
        <w:ind w:left="1020" w:hanging="360"/>
      </w:pPr>
      <w:rPr>
        <w:rFonts w:ascii="Symbol" w:hAnsi="Symbol"/>
      </w:rPr>
    </w:lvl>
    <w:lvl w:ilvl="4" w:tplc="25A46496">
      <w:start w:val="1"/>
      <w:numFmt w:val="bullet"/>
      <w:lvlText w:val=""/>
      <w:lvlJc w:val="left"/>
      <w:pPr>
        <w:ind w:left="1020" w:hanging="360"/>
      </w:pPr>
      <w:rPr>
        <w:rFonts w:ascii="Symbol" w:hAnsi="Symbol"/>
      </w:rPr>
    </w:lvl>
    <w:lvl w:ilvl="5" w:tplc="6DCE04CA">
      <w:start w:val="1"/>
      <w:numFmt w:val="bullet"/>
      <w:lvlText w:val=""/>
      <w:lvlJc w:val="left"/>
      <w:pPr>
        <w:ind w:left="1020" w:hanging="360"/>
      </w:pPr>
      <w:rPr>
        <w:rFonts w:ascii="Symbol" w:hAnsi="Symbol"/>
      </w:rPr>
    </w:lvl>
    <w:lvl w:ilvl="6" w:tplc="36D63202">
      <w:start w:val="1"/>
      <w:numFmt w:val="bullet"/>
      <w:lvlText w:val=""/>
      <w:lvlJc w:val="left"/>
      <w:pPr>
        <w:ind w:left="1020" w:hanging="360"/>
      </w:pPr>
      <w:rPr>
        <w:rFonts w:ascii="Symbol" w:hAnsi="Symbol"/>
      </w:rPr>
    </w:lvl>
    <w:lvl w:ilvl="7" w:tplc="CA4E9042">
      <w:start w:val="1"/>
      <w:numFmt w:val="bullet"/>
      <w:lvlText w:val=""/>
      <w:lvlJc w:val="left"/>
      <w:pPr>
        <w:ind w:left="1020" w:hanging="360"/>
      </w:pPr>
      <w:rPr>
        <w:rFonts w:ascii="Symbol" w:hAnsi="Symbol"/>
      </w:rPr>
    </w:lvl>
    <w:lvl w:ilvl="8" w:tplc="C5828D98">
      <w:start w:val="1"/>
      <w:numFmt w:val="bullet"/>
      <w:lvlText w:val=""/>
      <w:lvlJc w:val="left"/>
      <w:pPr>
        <w:ind w:left="1020" w:hanging="360"/>
      </w:pPr>
      <w:rPr>
        <w:rFonts w:ascii="Symbol" w:hAnsi="Symbol"/>
      </w:rPr>
    </w:lvl>
  </w:abstractNum>
  <w:num w:numId="1" w16cid:durableId="918905300">
    <w:abstractNumId w:val="23"/>
  </w:num>
  <w:num w:numId="2" w16cid:durableId="953295230">
    <w:abstractNumId w:val="26"/>
  </w:num>
  <w:num w:numId="3" w16cid:durableId="1515728625">
    <w:abstractNumId w:val="1"/>
  </w:num>
  <w:num w:numId="4" w16cid:durableId="339115477">
    <w:abstractNumId w:val="36"/>
  </w:num>
  <w:num w:numId="5" w16cid:durableId="432556190">
    <w:abstractNumId w:val="0"/>
  </w:num>
  <w:num w:numId="6" w16cid:durableId="1345665900">
    <w:abstractNumId w:val="33"/>
  </w:num>
  <w:num w:numId="7" w16cid:durableId="29032783">
    <w:abstractNumId w:val="16"/>
  </w:num>
  <w:num w:numId="8" w16cid:durableId="557284707">
    <w:abstractNumId w:val="7"/>
  </w:num>
  <w:num w:numId="9" w16cid:durableId="862592473">
    <w:abstractNumId w:val="31"/>
  </w:num>
  <w:num w:numId="10" w16cid:durableId="1586183987">
    <w:abstractNumId w:val="5"/>
  </w:num>
  <w:num w:numId="11" w16cid:durableId="1949969351">
    <w:abstractNumId w:val="14"/>
  </w:num>
  <w:num w:numId="12" w16cid:durableId="1126510673">
    <w:abstractNumId w:val="27"/>
  </w:num>
  <w:num w:numId="13" w16cid:durableId="1363675961">
    <w:abstractNumId w:val="20"/>
  </w:num>
  <w:num w:numId="14" w16cid:durableId="919951698">
    <w:abstractNumId w:val="40"/>
  </w:num>
  <w:num w:numId="15" w16cid:durableId="943345277">
    <w:abstractNumId w:val="24"/>
  </w:num>
  <w:num w:numId="16" w16cid:durableId="958144983">
    <w:abstractNumId w:val="21"/>
  </w:num>
  <w:num w:numId="17" w16cid:durableId="1838885700">
    <w:abstractNumId w:val="39"/>
  </w:num>
  <w:num w:numId="18" w16cid:durableId="1349940472">
    <w:abstractNumId w:val="38"/>
  </w:num>
  <w:num w:numId="19" w16cid:durableId="836307017">
    <w:abstractNumId w:val="19"/>
  </w:num>
  <w:num w:numId="20" w16cid:durableId="783111492">
    <w:abstractNumId w:val="37"/>
  </w:num>
  <w:num w:numId="21" w16cid:durableId="1256087599">
    <w:abstractNumId w:val="10"/>
  </w:num>
  <w:num w:numId="22" w16cid:durableId="1323191726">
    <w:abstractNumId w:val="34"/>
  </w:num>
  <w:num w:numId="23" w16cid:durableId="696783385">
    <w:abstractNumId w:val="3"/>
  </w:num>
  <w:num w:numId="24" w16cid:durableId="1150900921">
    <w:abstractNumId w:val="11"/>
  </w:num>
  <w:num w:numId="25" w16cid:durableId="519666594">
    <w:abstractNumId w:val="35"/>
  </w:num>
  <w:num w:numId="26" w16cid:durableId="1438256006">
    <w:abstractNumId w:val="25"/>
  </w:num>
  <w:num w:numId="27" w16cid:durableId="537088793">
    <w:abstractNumId w:val="30"/>
  </w:num>
  <w:num w:numId="28" w16cid:durableId="693923646">
    <w:abstractNumId w:val="12"/>
  </w:num>
  <w:num w:numId="29" w16cid:durableId="1630623242">
    <w:abstractNumId w:val="2"/>
  </w:num>
  <w:num w:numId="30" w16cid:durableId="182482870">
    <w:abstractNumId w:val="18"/>
  </w:num>
  <w:num w:numId="31" w16cid:durableId="951593029">
    <w:abstractNumId w:val="4"/>
  </w:num>
  <w:num w:numId="32" w16cid:durableId="502857911">
    <w:abstractNumId w:val="13"/>
  </w:num>
  <w:num w:numId="33" w16cid:durableId="840973410">
    <w:abstractNumId w:val="28"/>
  </w:num>
  <w:num w:numId="34" w16cid:durableId="1921675533">
    <w:abstractNumId w:val="29"/>
  </w:num>
  <w:num w:numId="35" w16cid:durableId="2060127013">
    <w:abstractNumId w:val="17"/>
  </w:num>
  <w:num w:numId="36" w16cid:durableId="20979630">
    <w:abstractNumId w:val="8"/>
  </w:num>
  <w:num w:numId="37" w16cid:durableId="1938101265">
    <w:abstractNumId w:val="6"/>
  </w:num>
  <w:num w:numId="38" w16cid:durableId="126516331">
    <w:abstractNumId w:val="32"/>
  </w:num>
  <w:num w:numId="39" w16cid:durableId="657153794">
    <w:abstractNumId w:val="9"/>
  </w:num>
  <w:num w:numId="40" w16cid:durableId="122313441">
    <w:abstractNumId w:val="15"/>
  </w:num>
  <w:num w:numId="41" w16cid:durableId="114551208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C8"/>
    <w:rsid w:val="00000025"/>
    <w:rsid w:val="000007F2"/>
    <w:rsid w:val="0000081A"/>
    <w:rsid w:val="00000E0C"/>
    <w:rsid w:val="00001932"/>
    <w:rsid w:val="000019B5"/>
    <w:rsid w:val="00002407"/>
    <w:rsid w:val="00004368"/>
    <w:rsid w:val="00005505"/>
    <w:rsid w:val="000065C7"/>
    <w:rsid w:val="00010151"/>
    <w:rsid w:val="00010FDE"/>
    <w:rsid w:val="00011016"/>
    <w:rsid w:val="00012B96"/>
    <w:rsid w:val="00013D19"/>
    <w:rsid w:val="0001560A"/>
    <w:rsid w:val="00016131"/>
    <w:rsid w:val="0001704D"/>
    <w:rsid w:val="000200E7"/>
    <w:rsid w:val="00020B8C"/>
    <w:rsid w:val="0002146B"/>
    <w:rsid w:val="00021B6D"/>
    <w:rsid w:val="00021FF0"/>
    <w:rsid w:val="000258AD"/>
    <w:rsid w:val="00026668"/>
    <w:rsid w:val="000312CF"/>
    <w:rsid w:val="00031CCB"/>
    <w:rsid w:val="00032756"/>
    <w:rsid w:val="000332FD"/>
    <w:rsid w:val="000337DF"/>
    <w:rsid w:val="00033934"/>
    <w:rsid w:val="000343A0"/>
    <w:rsid w:val="0003757F"/>
    <w:rsid w:val="00040489"/>
    <w:rsid w:val="000410DB"/>
    <w:rsid w:val="000413B4"/>
    <w:rsid w:val="00041DC3"/>
    <w:rsid w:val="00041F6F"/>
    <w:rsid w:val="000431F0"/>
    <w:rsid w:val="00043EFD"/>
    <w:rsid w:val="00045A9F"/>
    <w:rsid w:val="00050CC0"/>
    <w:rsid w:val="00052472"/>
    <w:rsid w:val="000536B2"/>
    <w:rsid w:val="00053E7A"/>
    <w:rsid w:val="00054809"/>
    <w:rsid w:val="0005502C"/>
    <w:rsid w:val="0005548E"/>
    <w:rsid w:val="000617B3"/>
    <w:rsid w:val="00062EBF"/>
    <w:rsid w:val="000641F3"/>
    <w:rsid w:val="000644A1"/>
    <w:rsid w:val="00064501"/>
    <w:rsid w:val="00066156"/>
    <w:rsid w:val="00066248"/>
    <w:rsid w:val="000667AD"/>
    <w:rsid w:val="000667DD"/>
    <w:rsid w:val="00066B74"/>
    <w:rsid w:val="0007293B"/>
    <w:rsid w:val="00075FFA"/>
    <w:rsid w:val="0007744A"/>
    <w:rsid w:val="000801DD"/>
    <w:rsid w:val="000807E4"/>
    <w:rsid w:val="00080DCA"/>
    <w:rsid w:val="00081AD5"/>
    <w:rsid w:val="00081D4C"/>
    <w:rsid w:val="00083F30"/>
    <w:rsid w:val="00084F9C"/>
    <w:rsid w:val="00085749"/>
    <w:rsid w:val="00085C90"/>
    <w:rsid w:val="00085EB1"/>
    <w:rsid w:val="00090256"/>
    <w:rsid w:val="0009297C"/>
    <w:rsid w:val="0009312F"/>
    <w:rsid w:val="00093801"/>
    <w:rsid w:val="000951F3"/>
    <w:rsid w:val="000952C8"/>
    <w:rsid w:val="00097024"/>
    <w:rsid w:val="00097A1B"/>
    <w:rsid w:val="000A0ADD"/>
    <w:rsid w:val="000A0CAA"/>
    <w:rsid w:val="000A1B96"/>
    <w:rsid w:val="000A1C85"/>
    <w:rsid w:val="000A283A"/>
    <w:rsid w:val="000A3C93"/>
    <w:rsid w:val="000A48D4"/>
    <w:rsid w:val="000A4FB5"/>
    <w:rsid w:val="000A6342"/>
    <w:rsid w:val="000A6EB1"/>
    <w:rsid w:val="000B093B"/>
    <w:rsid w:val="000B33C3"/>
    <w:rsid w:val="000B36B2"/>
    <w:rsid w:val="000B54EA"/>
    <w:rsid w:val="000B60CC"/>
    <w:rsid w:val="000B61BA"/>
    <w:rsid w:val="000B78BF"/>
    <w:rsid w:val="000B7F79"/>
    <w:rsid w:val="000C0624"/>
    <w:rsid w:val="000C20D2"/>
    <w:rsid w:val="000C2129"/>
    <w:rsid w:val="000C2A63"/>
    <w:rsid w:val="000C3916"/>
    <w:rsid w:val="000C5284"/>
    <w:rsid w:val="000C5F22"/>
    <w:rsid w:val="000C7614"/>
    <w:rsid w:val="000C78C0"/>
    <w:rsid w:val="000D11F4"/>
    <w:rsid w:val="000D12C9"/>
    <w:rsid w:val="000D1D91"/>
    <w:rsid w:val="000D259D"/>
    <w:rsid w:val="000D373A"/>
    <w:rsid w:val="000D3D42"/>
    <w:rsid w:val="000D49EA"/>
    <w:rsid w:val="000D53FD"/>
    <w:rsid w:val="000E08E9"/>
    <w:rsid w:val="000E0FDB"/>
    <w:rsid w:val="000E16F4"/>
    <w:rsid w:val="000E1C62"/>
    <w:rsid w:val="000E1FC1"/>
    <w:rsid w:val="000E257E"/>
    <w:rsid w:val="000E2A5E"/>
    <w:rsid w:val="000E398F"/>
    <w:rsid w:val="000E406E"/>
    <w:rsid w:val="000E4D83"/>
    <w:rsid w:val="000E5544"/>
    <w:rsid w:val="000E5ABB"/>
    <w:rsid w:val="000E6A4D"/>
    <w:rsid w:val="000F0AED"/>
    <w:rsid w:val="000F2FB3"/>
    <w:rsid w:val="000F3D96"/>
    <w:rsid w:val="000F4D40"/>
    <w:rsid w:val="000F5BF4"/>
    <w:rsid w:val="000F5DF0"/>
    <w:rsid w:val="000F6242"/>
    <w:rsid w:val="000F649E"/>
    <w:rsid w:val="000F6651"/>
    <w:rsid w:val="000F67F5"/>
    <w:rsid w:val="000F6FAD"/>
    <w:rsid w:val="000F7CBD"/>
    <w:rsid w:val="000F7EF9"/>
    <w:rsid w:val="00100E6E"/>
    <w:rsid w:val="00102496"/>
    <w:rsid w:val="00103FB3"/>
    <w:rsid w:val="00104197"/>
    <w:rsid w:val="0010499B"/>
    <w:rsid w:val="00104D54"/>
    <w:rsid w:val="001052BA"/>
    <w:rsid w:val="001058D4"/>
    <w:rsid w:val="001072EB"/>
    <w:rsid w:val="0010776E"/>
    <w:rsid w:val="001103A3"/>
    <w:rsid w:val="00111229"/>
    <w:rsid w:val="00111C38"/>
    <w:rsid w:val="00112359"/>
    <w:rsid w:val="00112A06"/>
    <w:rsid w:val="00112D22"/>
    <w:rsid w:val="00112F90"/>
    <w:rsid w:val="00113A73"/>
    <w:rsid w:val="00113D38"/>
    <w:rsid w:val="00116ABB"/>
    <w:rsid w:val="001170EC"/>
    <w:rsid w:val="001174E5"/>
    <w:rsid w:val="0012044C"/>
    <w:rsid w:val="001214F4"/>
    <w:rsid w:val="00121F75"/>
    <w:rsid w:val="001220D5"/>
    <w:rsid w:val="00125147"/>
    <w:rsid w:val="0013017C"/>
    <w:rsid w:val="00131225"/>
    <w:rsid w:val="00131501"/>
    <w:rsid w:val="00133505"/>
    <w:rsid w:val="00133DB4"/>
    <w:rsid w:val="00135B88"/>
    <w:rsid w:val="0013711D"/>
    <w:rsid w:val="00140E61"/>
    <w:rsid w:val="00141D71"/>
    <w:rsid w:val="001421D6"/>
    <w:rsid w:val="001425BF"/>
    <w:rsid w:val="001435D9"/>
    <w:rsid w:val="00145004"/>
    <w:rsid w:val="001458D3"/>
    <w:rsid w:val="00145DB4"/>
    <w:rsid w:val="001463D8"/>
    <w:rsid w:val="001468FF"/>
    <w:rsid w:val="00150A16"/>
    <w:rsid w:val="00150E8D"/>
    <w:rsid w:val="00151076"/>
    <w:rsid w:val="0015217D"/>
    <w:rsid w:val="00152A8A"/>
    <w:rsid w:val="00152B20"/>
    <w:rsid w:val="00153121"/>
    <w:rsid w:val="0015389B"/>
    <w:rsid w:val="00153DB4"/>
    <w:rsid w:val="00156622"/>
    <w:rsid w:val="00156E3C"/>
    <w:rsid w:val="001648FB"/>
    <w:rsid w:val="00164933"/>
    <w:rsid w:val="00165366"/>
    <w:rsid w:val="0016634E"/>
    <w:rsid w:val="00166390"/>
    <w:rsid w:val="001708BB"/>
    <w:rsid w:val="0017160E"/>
    <w:rsid w:val="00171E5D"/>
    <w:rsid w:val="0017348B"/>
    <w:rsid w:val="00174484"/>
    <w:rsid w:val="001745C6"/>
    <w:rsid w:val="00174EAD"/>
    <w:rsid w:val="00175DC1"/>
    <w:rsid w:val="0017637B"/>
    <w:rsid w:val="00180F3A"/>
    <w:rsid w:val="00181571"/>
    <w:rsid w:val="00181EAE"/>
    <w:rsid w:val="001833AC"/>
    <w:rsid w:val="00183711"/>
    <w:rsid w:val="001859CE"/>
    <w:rsid w:val="001863D4"/>
    <w:rsid w:val="00186647"/>
    <w:rsid w:val="0018688A"/>
    <w:rsid w:val="00190502"/>
    <w:rsid w:val="00190902"/>
    <w:rsid w:val="00190BE6"/>
    <w:rsid w:val="00192335"/>
    <w:rsid w:val="001930E5"/>
    <w:rsid w:val="001935C0"/>
    <w:rsid w:val="0019392D"/>
    <w:rsid w:val="00194DD5"/>
    <w:rsid w:val="0019509C"/>
    <w:rsid w:val="00195D0E"/>
    <w:rsid w:val="00196CB0"/>
    <w:rsid w:val="00196F50"/>
    <w:rsid w:val="001A0023"/>
    <w:rsid w:val="001A243B"/>
    <w:rsid w:val="001A2A8E"/>
    <w:rsid w:val="001A2CD0"/>
    <w:rsid w:val="001A4655"/>
    <w:rsid w:val="001A4B7E"/>
    <w:rsid w:val="001A5397"/>
    <w:rsid w:val="001A694C"/>
    <w:rsid w:val="001A6A61"/>
    <w:rsid w:val="001A6C46"/>
    <w:rsid w:val="001A7866"/>
    <w:rsid w:val="001A788C"/>
    <w:rsid w:val="001B01E4"/>
    <w:rsid w:val="001B079A"/>
    <w:rsid w:val="001B094B"/>
    <w:rsid w:val="001B0C27"/>
    <w:rsid w:val="001B104C"/>
    <w:rsid w:val="001B362C"/>
    <w:rsid w:val="001B3916"/>
    <w:rsid w:val="001B3DD6"/>
    <w:rsid w:val="001C299D"/>
    <w:rsid w:val="001C3716"/>
    <w:rsid w:val="001C690D"/>
    <w:rsid w:val="001C7B7D"/>
    <w:rsid w:val="001D0304"/>
    <w:rsid w:val="001D076F"/>
    <w:rsid w:val="001D0D42"/>
    <w:rsid w:val="001D3333"/>
    <w:rsid w:val="001D46C0"/>
    <w:rsid w:val="001D57E0"/>
    <w:rsid w:val="001D701E"/>
    <w:rsid w:val="001D79BB"/>
    <w:rsid w:val="001E24B4"/>
    <w:rsid w:val="001E294C"/>
    <w:rsid w:val="001E29DB"/>
    <w:rsid w:val="001E2AC2"/>
    <w:rsid w:val="001E2CA4"/>
    <w:rsid w:val="001E3D25"/>
    <w:rsid w:val="001E4583"/>
    <w:rsid w:val="001E46A0"/>
    <w:rsid w:val="001E517B"/>
    <w:rsid w:val="001E595D"/>
    <w:rsid w:val="001E6652"/>
    <w:rsid w:val="001E7221"/>
    <w:rsid w:val="001F01A3"/>
    <w:rsid w:val="001F01AB"/>
    <w:rsid w:val="001F1192"/>
    <w:rsid w:val="001F13FD"/>
    <w:rsid w:val="001F16D6"/>
    <w:rsid w:val="001F3B21"/>
    <w:rsid w:val="001F41BC"/>
    <w:rsid w:val="001F5F8C"/>
    <w:rsid w:val="001F62F9"/>
    <w:rsid w:val="001F63B9"/>
    <w:rsid w:val="001F78B5"/>
    <w:rsid w:val="00200641"/>
    <w:rsid w:val="00200B86"/>
    <w:rsid w:val="00201078"/>
    <w:rsid w:val="00201BC9"/>
    <w:rsid w:val="002039F2"/>
    <w:rsid w:val="00204489"/>
    <w:rsid w:val="00206EF8"/>
    <w:rsid w:val="00210853"/>
    <w:rsid w:val="00212FA1"/>
    <w:rsid w:val="0021513E"/>
    <w:rsid w:val="00215331"/>
    <w:rsid w:val="00215FCE"/>
    <w:rsid w:val="0021766E"/>
    <w:rsid w:val="00217D3F"/>
    <w:rsid w:val="00220DDE"/>
    <w:rsid w:val="002233AE"/>
    <w:rsid w:val="002236F1"/>
    <w:rsid w:val="00223920"/>
    <w:rsid w:val="00224934"/>
    <w:rsid w:val="00224958"/>
    <w:rsid w:val="00227D62"/>
    <w:rsid w:val="00230BD9"/>
    <w:rsid w:val="002313C1"/>
    <w:rsid w:val="00231C66"/>
    <w:rsid w:val="00233ECE"/>
    <w:rsid w:val="00234F4A"/>
    <w:rsid w:val="002351B7"/>
    <w:rsid w:val="0023597B"/>
    <w:rsid w:val="00240123"/>
    <w:rsid w:val="002408AA"/>
    <w:rsid w:val="00240CB3"/>
    <w:rsid w:val="002417E8"/>
    <w:rsid w:val="002429EC"/>
    <w:rsid w:val="00242CF9"/>
    <w:rsid w:val="00244C69"/>
    <w:rsid w:val="00244E25"/>
    <w:rsid w:val="0024599C"/>
    <w:rsid w:val="00250CA6"/>
    <w:rsid w:val="00251521"/>
    <w:rsid w:val="00251AD8"/>
    <w:rsid w:val="00251FDB"/>
    <w:rsid w:val="002530CD"/>
    <w:rsid w:val="00253141"/>
    <w:rsid w:val="002531A5"/>
    <w:rsid w:val="0025327E"/>
    <w:rsid w:val="0025360B"/>
    <w:rsid w:val="002538B8"/>
    <w:rsid w:val="00254777"/>
    <w:rsid w:val="00254F7C"/>
    <w:rsid w:val="00256883"/>
    <w:rsid w:val="002569A8"/>
    <w:rsid w:val="00256FF8"/>
    <w:rsid w:val="00257BD2"/>
    <w:rsid w:val="0026240B"/>
    <w:rsid w:val="00263369"/>
    <w:rsid w:val="00264585"/>
    <w:rsid w:val="00264E99"/>
    <w:rsid w:val="00271B1B"/>
    <w:rsid w:val="00271D30"/>
    <w:rsid w:val="00271DB7"/>
    <w:rsid w:val="002724F5"/>
    <w:rsid w:val="00273FD5"/>
    <w:rsid w:val="00275A82"/>
    <w:rsid w:val="00281BF0"/>
    <w:rsid w:val="00281D07"/>
    <w:rsid w:val="00282D52"/>
    <w:rsid w:val="00283EB0"/>
    <w:rsid w:val="00284B35"/>
    <w:rsid w:val="00284C46"/>
    <w:rsid w:val="00284F6D"/>
    <w:rsid w:val="00286F50"/>
    <w:rsid w:val="00291DD0"/>
    <w:rsid w:val="00292B7A"/>
    <w:rsid w:val="00292C7F"/>
    <w:rsid w:val="00293FCE"/>
    <w:rsid w:val="0029407B"/>
    <w:rsid w:val="00294A6B"/>
    <w:rsid w:val="0029508F"/>
    <w:rsid w:val="00295220"/>
    <w:rsid w:val="0029569C"/>
    <w:rsid w:val="002977AE"/>
    <w:rsid w:val="00297A65"/>
    <w:rsid w:val="002A0309"/>
    <w:rsid w:val="002A0379"/>
    <w:rsid w:val="002A0C31"/>
    <w:rsid w:val="002A1F09"/>
    <w:rsid w:val="002A31C1"/>
    <w:rsid w:val="002A3F0C"/>
    <w:rsid w:val="002B156A"/>
    <w:rsid w:val="002B1E4A"/>
    <w:rsid w:val="002B2F4F"/>
    <w:rsid w:val="002B4104"/>
    <w:rsid w:val="002B48C6"/>
    <w:rsid w:val="002B551C"/>
    <w:rsid w:val="002C0704"/>
    <w:rsid w:val="002C1AAF"/>
    <w:rsid w:val="002C297A"/>
    <w:rsid w:val="002C2A16"/>
    <w:rsid w:val="002C359D"/>
    <w:rsid w:val="002C4035"/>
    <w:rsid w:val="002C4644"/>
    <w:rsid w:val="002C576F"/>
    <w:rsid w:val="002C6781"/>
    <w:rsid w:val="002D22F6"/>
    <w:rsid w:val="002D25A9"/>
    <w:rsid w:val="002D2C56"/>
    <w:rsid w:val="002D2E50"/>
    <w:rsid w:val="002D2EAC"/>
    <w:rsid w:val="002D457B"/>
    <w:rsid w:val="002D7D61"/>
    <w:rsid w:val="002D7E33"/>
    <w:rsid w:val="002E1AB6"/>
    <w:rsid w:val="002E3055"/>
    <w:rsid w:val="002E33B7"/>
    <w:rsid w:val="002E4DD8"/>
    <w:rsid w:val="002E5E1B"/>
    <w:rsid w:val="002E5F93"/>
    <w:rsid w:val="002E6E81"/>
    <w:rsid w:val="002E78A4"/>
    <w:rsid w:val="002F0827"/>
    <w:rsid w:val="002F0F23"/>
    <w:rsid w:val="002F2D13"/>
    <w:rsid w:val="002F4090"/>
    <w:rsid w:val="002F4262"/>
    <w:rsid w:val="002F42BF"/>
    <w:rsid w:val="002F6076"/>
    <w:rsid w:val="002F6B24"/>
    <w:rsid w:val="002F7F89"/>
    <w:rsid w:val="00300A2A"/>
    <w:rsid w:val="0030115D"/>
    <w:rsid w:val="00302CCB"/>
    <w:rsid w:val="0030375F"/>
    <w:rsid w:val="00303EBD"/>
    <w:rsid w:val="00303F53"/>
    <w:rsid w:val="00303FCD"/>
    <w:rsid w:val="0030529D"/>
    <w:rsid w:val="003053FD"/>
    <w:rsid w:val="00307C11"/>
    <w:rsid w:val="00307D55"/>
    <w:rsid w:val="003104B7"/>
    <w:rsid w:val="00310A7F"/>
    <w:rsid w:val="0031124B"/>
    <w:rsid w:val="003126B5"/>
    <w:rsid w:val="00312F27"/>
    <w:rsid w:val="00314DF1"/>
    <w:rsid w:val="00315B3D"/>
    <w:rsid w:val="0031608A"/>
    <w:rsid w:val="00316A1A"/>
    <w:rsid w:val="00316B67"/>
    <w:rsid w:val="00320784"/>
    <w:rsid w:val="003216F7"/>
    <w:rsid w:val="003217AE"/>
    <w:rsid w:val="0032215A"/>
    <w:rsid w:val="003223D9"/>
    <w:rsid w:val="00322819"/>
    <w:rsid w:val="00322EF4"/>
    <w:rsid w:val="0032541C"/>
    <w:rsid w:val="003271F8"/>
    <w:rsid w:val="003272BB"/>
    <w:rsid w:val="00331059"/>
    <w:rsid w:val="00332815"/>
    <w:rsid w:val="0033354B"/>
    <w:rsid w:val="00336B17"/>
    <w:rsid w:val="00337B39"/>
    <w:rsid w:val="0034018A"/>
    <w:rsid w:val="00341076"/>
    <w:rsid w:val="003417BB"/>
    <w:rsid w:val="00341A00"/>
    <w:rsid w:val="00343CB2"/>
    <w:rsid w:val="00344277"/>
    <w:rsid w:val="00344424"/>
    <w:rsid w:val="00347C84"/>
    <w:rsid w:val="003514D4"/>
    <w:rsid w:val="00351BFC"/>
    <w:rsid w:val="0035375C"/>
    <w:rsid w:val="00353E60"/>
    <w:rsid w:val="003542F1"/>
    <w:rsid w:val="00355351"/>
    <w:rsid w:val="003570D0"/>
    <w:rsid w:val="00363CA8"/>
    <w:rsid w:val="00366045"/>
    <w:rsid w:val="00366B6B"/>
    <w:rsid w:val="0036770A"/>
    <w:rsid w:val="00367D60"/>
    <w:rsid w:val="00370095"/>
    <w:rsid w:val="00370E51"/>
    <w:rsid w:val="0037144B"/>
    <w:rsid w:val="00372851"/>
    <w:rsid w:val="00373607"/>
    <w:rsid w:val="003741E8"/>
    <w:rsid w:val="003757AF"/>
    <w:rsid w:val="003763C5"/>
    <w:rsid w:val="00377429"/>
    <w:rsid w:val="00380784"/>
    <w:rsid w:val="00381662"/>
    <w:rsid w:val="0038291C"/>
    <w:rsid w:val="00385CA8"/>
    <w:rsid w:val="00385EA0"/>
    <w:rsid w:val="00385FB9"/>
    <w:rsid w:val="00385FE3"/>
    <w:rsid w:val="0038689D"/>
    <w:rsid w:val="003871A9"/>
    <w:rsid w:val="00387DF9"/>
    <w:rsid w:val="00390B64"/>
    <w:rsid w:val="00392F30"/>
    <w:rsid w:val="00393C28"/>
    <w:rsid w:val="00393DBE"/>
    <w:rsid w:val="003941C3"/>
    <w:rsid w:val="0039544C"/>
    <w:rsid w:val="00397DCF"/>
    <w:rsid w:val="003A07EA"/>
    <w:rsid w:val="003A0EB2"/>
    <w:rsid w:val="003A0FCE"/>
    <w:rsid w:val="003A2E61"/>
    <w:rsid w:val="003A3E0A"/>
    <w:rsid w:val="003A55D2"/>
    <w:rsid w:val="003A5CC3"/>
    <w:rsid w:val="003A72A5"/>
    <w:rsid w:val="003B070F"/>
    <w:rsid w:val="003B1B7D"/>
    <w:rsid w:val="003B2096"/>
    <w:rsid w:val="003B2F20"/>
    <w:rsid w:val="003B3228"/>
    <w:rsid w:val="003B4607"/>
    <w:rsid w:val="003B55B6"/>
    <w:rsid w:val="003B5A78"/>
    <w:rsid w:val="003B6A92"/>
    <w:rsid w:val="003B6C26"/>
    <w:rsid w:val="003B7348"/>
    <w:rsid w:val="003B7584"/>
    <w:rsid w:val="003C110F"/>
    <w:rsid w:val="003C3EB9"/>
    <w:rsid w:val="003C704D"/>
    <w:rsid w:val="003C7388"/>
    <w:rsid w:val="003D01AF"/>
    <w:rsid w:val="003D067F"/>
    <w:rsid w:val="003D1CEA"/>
    <w:rsid w:val="003D4775"/>
    <w:rsid w:val="003D4985"/>
    <w:rsid w:val="003D5065"/>
    <w:rsid w:val="003D5284"/>
    <w:rsid w:val="003D7C96"/>
    <w:rsid w:val="003E0F76"/>
    <w:rsid w:val="003E11EE"/>
    <w:rsid w:val="003E1EE5"/>
    <w:rsid w:val="003E4F13"/>
    <w:rsid w:val="003E53E0"/>
    <w:rsid w:val="003E549F"/>
    <w:rsid w:val="003E58E6"/>
    <w:rsid w:val="003E638B"/>
    <w:rsid w:val="003F0EC2"/>
    <w:rsid w:val="003F1E80"/>
    <w:rsid w:val="003F2043"/>
    <w:rsid w:val="003F3089"/>
    <w:rsid w:val="003F406D"/>
    <w:rsid w:val="003F6FA5"/>
    <w:rsid w:val="003F7BE5"/>
    <w:rsid w:val="00401353"/>
    <w:rsid w:val="00401A5A"/>
    <w:rsid w:val="00401EE9"/>
    <w:rsid w:val="004042D9"/>
    <w:rsid w:val="00404611"/>
    <w:rsid w:val="00404EC9"/>
    <w:rsid w:val="00405E94"/>
    <w:rsid w:val="00405F36"/>
    <w:rsid w:val="00405F52"/>
    <w:rsid w:val="00412512"/>
    <w:rsid w:val="00413467"/>
    <w:rsid w:val="00415369"/>
    <w:rsid w:val="00415499"/>
    <w:rsid w:val="00415574"/>
    <w:rsid w:val="0041596B"/>
    <w:rsid w:val="00415FED"/>
    <w:rsid w:val="004206FA"/>
    <w:rsid w:val="00422C66"/>
    <w:rsid w:val="00425382"/>
    <w:rsid w:val="004266E5"/>
    <w:rsid w:val="004273CD"/>
    <w:rsid w:val="00427FB9"/>
    <w:rsid w:val="004320C7"/>
    <w:rsid w:val="0043235B"/>
    <w:rsid w:val="00432DCE"/>
    <w:rsid w:val="00434DCA"/>
    <w:rsid w:val="00435076"/>
    <w:rsid w:val="0043553C"/>
    <w:rsid w:val="004428F0"/>
    <w:rsid w:val="004435A0"/>
    <w:rsid w:val="00446640"/>
    <w:rsid w:val="00446849"/>
    <w:rsid w:val="0045022D"/>
    <w:rsid w:val="00451945"/>
    <w:rsid w:val="0045219B"/>
    <w:rsid w:val="00452C68"/>
    <w:rsid w:val="00455364"/>
    <w:rsid w:val="00455439"/>
    <w:rsid w:val="00457B8E"/>
    <w:rsid w:val="00460177"/>
    <w:rsid w:val="0046139C"/>
    <w:rsid w:val="004615CC"/>
    <w:rsid w:val="004615EE"/>
    <w:rsid w:val="004622C2"/>
    <w:rsid w:val="0046242F"/>
    <w:rsid w:val="00463450"/>
    <w:rsid w:val="0046453B"/>
    <w:rsid w:val="004648BA"/>
    <w:rsid w:val="004648D0"/>
    <w:rsid w:val="00466D57"/>
    <w:rsid w:val="00470E65"/>
    <w:rsid w:val="004720C9"/>
    <w:rsid w:val="00472135"/>
    <w:rsid w:val="004726D5"/>
    <w:rsid w:val="00472BDA"/>
    <w:rsid w:val="00472C87"/>
    <w:rsid w:val="00472D94"/>
    <w:rsid w:val="0047317F"/>
    <w:rsid w:val="0047513B"/>
    <w:rsid w:val="00477B07"/>
    <w:rsid w:val="00477C6A"/>
    <w:rsid w:val="00483AAA"/>
    <w:rsid w:val="00484A43"/>
    <w:rsid w:val="0048564B"/>
    <w:rsid w:val="00485F86"/>
    <w:rsid w:val="0048677C"/>
    <w:rsid w:val="00487347"/>
    <w:rsid w:val="0048743A"/>
    <w:rsid w:val="00487E2D"/>
    <w:rsid w:val="004905FB"/>
    <w:rsid w:val="00491752"/>
    <w:rsid w:val="00491A03"/>
    <w:rsid w:val="00492141"/>
    <w:rsid w:val="004925C1"/>
    <w:rsid w:val="00492E29"/>
    <w:rsid w:val="00493A70"/>
    <w:rsid w:val="00494E58"/>
    <w:rsid w:val="00495D2F"/>
    <w:rsid w:val="00497FA2"/>
    <w:rsid w:val="004A2B29"/>
    <w:rsid w:val="004A2DA8"/>
    <w:rsid w:val="004A568B"/>
    <w:rsid w:val="004A650E"/>
    <w:rsid w:val="004A6A78"/>
    <w:rsid w:val="004A7954"/>
    <w:rsid w:val="004A7A70"/>
    <w:rsid w:val="004B378E"/>
    <w:rsid w:val="004B41EF"/>
    <w:rsid w:val="004B4787"/>
    <w:rsid w:val="004B4B4A"/>
    <w:rsid w:val="004B53B3"/>
    <w:rsid w:val="004B5BC2"/>
    <w:rsid w:val="004B6C9A"/>
    <w:rsid w:val="004B7A26"/>
    <w:rsid w:val="004C4569"/>
    <w:rsid w:val="004C664E"/>
    <w:rsid w:val="004C7569"/>
    <w:rsid w:val="004C7671"/>
    <w:rsid w:val="004D0F5C"/>
    <w:rsid w:val="004D2EEF"/>
    <w:rsid w:val="004D3897"/>
    <w:rsid w:val="004D3EEC"/>
    <w:rsid w:val="004D4622"/>
    <w:rsid w:val="004D4BBD"/>
    <w:rsid w:val="004D4CCD"/>
    <w:rsid w:val="004D5A7A"/>
    <w:rsid w:val="004D5AE3"/>
    <w:rsid w:val="004E0450"/>
    <w:rsid w:val="004E0A70"/>
    <w:rsid w:val="004E129B"/>
    <w:rsid w:val="004E2551"/>
    <w:rsid w:val="004E3D44"/>
    <w:rsid w:val="004E40C2"/>
    <w:rsid w:val="004E6DC8"/>
    <w:rsid w:val="004E79E3"/>
    <w:rsid w:val="004F26C4"/>
    <w:rsid w:val="004F2BF3"/>
    <w:rsid w:val="004F359D"/>
    <w:rsid w:val="004F61E6"/>
    <w:rsid w:val="004F75F5"/>
    <w:rsid w:val="0050050B"/>
    <w:rsid w:val="00501111"/>
    <w:rsid w:val="00501202"/>
    <w:rsid w:val="00501956"/>
    <w:rsid w:val="00502953"/>
    <w:rsid w:val="005033BB"/>
    <w:rsid w:val="00503F72"/>
    <w:rsid w:val="00504187"/>
    <w:rsid w:val="0050468A"/>
    <w:rsid w:val="00504F4B"/>
    <w:rsid w:val="00504FC4"/>
    <w:rsid w:val="005055D2"/>
    <w:rsid w:val="00505889"/>
    <w:rsid w:val="00506446"/>
    <w:rsid w:val="00511718"/>
    <w:rsid w:val="00511BAA"/>
    <w:rsid w:val="005126A0"/>
    <w:rsid w:val="00512FE4"/>
    <w:rsid w:val="00513C14"/>
    <w:rsid w:val="00514987"/>
    <w:rsid w:val="00515AA2"/>
    <w:rsid w:val="00515BD6"/>
    <w:rsid w:val="005168D9"/>
    <w:rsid w:val="00517396"/>
    <w:rsid w:val="00517D46"/>
    <w:rsid w:val="00517F8C"/>
    <w:rsid w:val="005201B6"/>
    <w:rsid w:val="005214CC"/>
    <w:rsid w:val="00521B21"/>
    <w:rsid w:val="00522B23"/>
    <w:rsid w:val="00522FC9"/>
    <w:rsid w:val="00523291"/>
    <w:rsid w:val="00523A4E"/>
    <w:rsid w:val="00525742"/>
    <w:rsid w:val="0052574F"/>
    <w:rsid w:val="005301D6"/>
    <w:rsid w:val="005332E0"/>
    <w:rsid w:val="00534683"/>
    <w:rsid w:val="00534D74"/>
    <w:rsid w:val="00535582"/>
    <w:rsid w:val="00535C0C"/>
    <w:rsid w:val="0054255D"/>
    <w:rsid w:val="00543551"/>
    <w:rsid w:val="00545CC3"/>
    <w:rsid w:val="0054632C"/>
    <w:rsid w:val="005463F3"/>
    <w:rsid w:val="00546ABF"/>
    <w:rsid w:val="00546B26"/>
    <w:rsid w:val="00547E81"/>
    <w:rsid w:val="00550B63"/>
    <w:rsid w:val="00550F20"/>
    <w:rsid w:val="005523B6"/>
    <w:rsid w:val="0055316C"/>
    <w:rsid w:val="00553346"/>
    <w:rsid w:val="00553EB5"/>
    <w:rsid w:val="00557164"/>
    <w:rsid w:val="0056189B"/>
    <w:rsid w:val="005632B8"/>
    <w:rsid w:val="00567184"/>
    <w:rsid w:val="00567495"/>
    <w:rsid w:val="00567948"/>
    <w:rsid w:val="0057211E"/>
    <w:rsid w:val="0057221E"/>
    <w:rsid w:val="0057581E"/>
    <w:rsid w:val="00576408"/>
    <w:rsid w:val="00576EF6"/>
    <w:rsid w:val="00577B80"/>
    <w:rsid w:val="00580BE3"/>
    <w:rsid w:val="00581931"/>
    <w:rsid w:val="00581B96"/>
    <w:rsid w:val="00581C4D"/>
    <w:rsid w:val="00581DC3"/>
    <w:rsid w:val="00583593"/>
    <w:rsid w:val="005836B6"/>
    <w:rsid w:val="00586C34"/>
    <w:rsid w:val="0059041C"/>
    <w:rsid w:val="005910B9"/>
    <w:rsid w:val="00592117"/>
    <w:rsid w:val="005923F3"/>
    <w:rsid w:val="00592D49"/>
    <w:rsid w:val="00593374"/>
    <w:rsid w:val="0059411A"/>
    <w:rsid w:val="00595A85"/>
    <w:rsid w:val="00595E46"/>
    <w:rsid w:val="005A12F0"/>
    <w:rsid w:val="005A132D"/>
    <w:rsid w:val="005A581D"/>
    <w:rsid w:val="005A6057"/>
    <w:rsid w:val="005A6997"/>
    <w:rsid w:val="005A6CD0"/>
    <w:rsid w:val="005A6DC0"/>
    <w:rsid w:val="005A7EF1"/>
    <w:rsid w:val="005B0CA9"/>
    <w:rsid w:val="005B1715"/>
    <w:rsid w:val="005B2473"/>
    <w:rsid w:val="005B42A8"/>
    <w:rsid w:val="005B485A"/>
    <w:rsid w:val="005B5DB0"/>
    <w:rsid w:val="005B623D"/>
    <w:rsid w:val="005B626F"/>
    <w:rsid w:val="005B632C"/>
    <w:rsid w:val="005C0A84"/>
    <w:rsid w:val="005C1A22"/>
    <w:rsid w:val="005C1A5B"/>
    <w:rsid w:val="005C2301"/>
    <w:rsid w:val="005C4CF8"/>
    <w:rsid w:val="005D2082"/>
    <w:rsid w:val="005D2BA2"/>
    <w:rsid w:val="005D3A8E"/>
    <w:rsid w:val="005D3ED7"/>
    <w:rsid w:val="005D4B68"/>
    <w:rsid w:val="005D5498"/>
    <w:rsid w:val="005D7483"/>
    <w:rsid w:val="005D753C"/>
    <w:rsid w:val="005D7E64"/>
    <w:rsid w:val="005E1182"/>
    <w:rsid w:val="005E14F3"/>
    <w:rsid w:val="005E25F5"/>
    <w:rsid w:val="005E2EF4"/>
    <w:rsid w:val="005E3FA3"/>
    <w:rsid w:val="005E540D"/>
    <w:rsid w:val="005E64E8"/>
    <w:rsid w:val="005E6C70"/>
    <w:rsid w:val="005F00CB"/>
    <w:rsid w:val="005F39CA"/>
    <w:rsid w:val="005F5F73"/>
    <w:rsid w:val="005F69CE"/>
    <w:rsid w:val="005F7EF4"/>
    <w:rsid w:val="0060056C"/>
    <w:rsid w:val="00601263"/>
    <w:rsid w:val="006047D3"/>
    <w:rsid w:val="00605B5F"/>
    <w:rsid w:val="00606368"/>
    <w:rsid w:val="00607A0C"/>
    <w:rsid w:val="006143CC"/>
    <w:rsid w:val="00614F54"/>
    <w:rsid w:val="00615942"/>
    <w:rsid w:val="00616BFA"/>
    <w:rsid w:val="0061768E"/>
    <w:rsid w:val="0061789E"/>
    <w:rsid w:val="006203A5"/>
    <w:rsid w:val="0062060E"/>
    <w:rsid w:val="0062142C"/>
    <w:rsid w:val="00621EF2"/>
    <w:rsid w:val="0062232D"/>
    <w:rsid w:val="00622A63"/>
    <w:rsid w:val="00625187"/>
    <w:rsid w:val="00631896"/>
    <w:rsid w:val="00632071"/>
    <w:rsid w:val="0063222A"/>
    <w:rsid w:val="00633248"/>
    <w:rsid w:val="00634597"/>
    <w:rsid w:val="006346DC"/>
    <w:rsid w:val="006355BF"/>
    <w:rsid w:val="00635F56"/>
    <w:rsid w:val="00636113"/>
    <w:rsid w:val="006408EF"/>
    <w:rsid w:val="00641A98"/>
    <w:rsid w:val="006453AF"/>
    <w:rsid w:val="00645C41"/>
    <w:rsid w:val="00646873"/>
    <w:rsid w:val="0064760C"/>
    <w:rsid w:val="00652568"/>
    <w:rsid w:val="00652EB4"/>
    <w:rsid w:val="00653A36"/>
    <w:rsid w:val="00654544"/>
    <w:rsid w:val="00654546"/>
    <w:rsid w:val="00654F9A"/>
    <w:rsid w:val="006550CC"/>
    <w:rsid w:val="006554C4"/>
    <w:rsid w:val="006559E8"/>
    <w:rsid w:val="00655CCE"/>
    <w:rsid w:val="0065719F"/>
    <w:rsid w:val="00657274"/>
    <w:rsid w:val="006576C8"/>
    <w:rsid w:val="00660458"/>
    <w:rsid w:val="0066105C"/>
    <w:rsid w:val="006612D7"/>
    <w:rsid w:val="00661A4A"/>
    <w:rsid w:val="006621E4"/>
    <w:rsid w:val="00662ECA"/>
    <w:rsid w:val="00664D79"/>
    <w:rsid w:val="00666EF4"/>
    <w:rsid w:val="00667AFC"/>
    <w:rsid w:val="006708F9"/>
    <w:rsid w:val="00670ED5"/>
    <w:rsid w:val="006710F7"/>
    <w:rsid w:val="006717C3"/>
    <w:rsid w:val="00671AB6"/>
    <w:rsid w:val="00672061"/>
    <w:rsid w:val="00674105"/>
    <w:rsid w:val="00675257"/>
    <w:rsid w:val="00676D1A"/>
    <w:rsid w:val="00676E87"/>
    <w:rsid w:val="00677065"/>
    <w:rsid w:val="006800FC"/>
    <w:rsid w:val="00681BB5"/>
    <w:rsid w:val="006823FD"/>
    <w:rsid w:val="00682F56"/>
    <w:rsid w:val="006845E2"/>
    <w:rsid w:val="00687B24"/>
    <w:rsid w:val="0069046D"/>
    <w:rsid w:val="00690518"/>
    <w:rsid w:val="00694500"/>
    <w:rsid w:val="00694EFF"/>
    <w:rsid w:val="006963C9"/>
    <w:rsid w:val="006967CC"/>
    <w:rsid w:val="006977C2"/>
    <w:rsid w:val="006A01D2"/>
    <w:rsid w:val="006A0B01"/>
    <w:rsid w:val="006A0FA8"/>
    <w:rsid w:val="006A18E6"/>
    <w:rsid w:val="006A1A59"/>
    <w:rsid w:val="006A2794"/>
    <w:rsid w:val="006A3594"/>
    <w:rsid w:val="006A3C98"/>
    <w:rsid w:val="006A75F5"/>
    <w:rsid w:val="006B2F77"/>
    <w:rsid w:val="006B352E"/>
    <w:rsid w:val="006B371A"/>
    <w:rsid w:val="006B37CD"/>
    <w:rsid w:val="006B46BD"/>
    <w:rsid w:val="006B7AA4"/>
    <w:rsid w:val="006C1944"/>
    <w:rsid w:val="006C229B"/>
    <w:rsid w:val="006C2BDA"/>
    <w:rsid w:val="006C3172"/>
    <w:rsid w:val="006C476C"/>
    <w:rsid w:val="006C47EF"/>
    <w:rsid w:val="006C50F4"/>
    <w:rsid w:val="006C5487"/>
    <w:rsid w:val="006C5CD9"/>
    <w:rsid w:val="006C5D49"/>
    <w:rsid w:val="006C5E7E"/>
    <w:rsid w:val="006C658D"/>
    <w:rsid w:val="006C6D4D"/>
    <w:rsid w:val="006D037B"/>
    <w:rsid w:val="006D14BD"/>
    <w:rsid w:val="006D31AB"/>
    <w:rsid w:val="006D4D9C"/>
    <w:rsid w:val="006D4DFB"/>
    <w:rsid w:val="006D4EA7"/>
    <w:rsid w:val="006D5EA1"/>
    <w:rsid w:val="006D7260"/>
    <w:rsid w:val="006D755F"/>
    <w:rsid w:val="006D7832"/>
    <w:rsid w:val="006E0813"/>
    <w:rsid w:val="006E1017"/>
    <w:rsid w:val="006E1302"/>
    <w:rsid w:val="006E1798"/>
    <w:rsid w:val="006E1C22"/>
    <w:rsid w:val="006E31C8"/>
    <w:rsid w:val="006E35F4"/>
    <w:rsid w:val="006E40BA"/>
    <w:rsid w:val="006E4E81"/>
    <w:rsid w:val="006F34AA"/>
    <w:rsid w:val="006F4E2D"/>
    <w:rsid w:val="006F5E79"/>
    <w:rsid w:val="006F60DD"/>
    <w:rsid w:val="006F7734"/>
    <w:rsid w:val="00701AD3"/>
    <w:rsid w:val="00701D78"/>
    <w:rsid w:val="0070248C"/>
    <w:rsid w:val="007032C3"/>
    <w:rsid w:val="00703F70"/>
    <w:rsid w:val="007046B8"/>
    <w:rsid w:val="00706BB5"/>
    <w:rsid w:val="00713240"/>
    <w:rsid w:val="0071445E"/>
    <w:rsid w:val="007153EA"/>
    <w:rsid w:val="00715CE5"/>
    <w:rsid w:val="00716BB5"/>
    <w:rsid w:val="0072500D"/>
    <w:rsid w:val="00727549"/>
    <w:rsid w:val="0073196F"/>
    <w:rsid w:val="007319E9"/>
    <w:rsid w:val="007321E9"/>
    <w:rsid w:val="007344E7"/>
    <w:rsid w:val="00736806"/>
    <w:rsid w:val="00736D7C"/>
    <w:rsid w:val="00736E2D"/>
    <w:rsid w:val="00737E05"/>
    <w:rsid w:val="0074160B"/>
    <w:rsid w:val="00741BC9"/>
    <w:rsid w:val="00742679"/>
    <w:rsid w:val="00742B53"/>
    <w:rsid w:val="00743728"/>
    <w:rsid w:val="00744212"/>
    <w:rsid w:val="00744C22"/>
    <w:rsid w:val="007458F4"/>
    <w:rsid w:val="007462BA"/>
    <w:rsid w:val="00746A28"/>
    <w:rsid w:val="00747AD4"/>
    <w:rsid w:val="007504E7"/>
    <w:rsid w:val="0075064A"/>
    <w:rsid w:val="00750713"/>
    <w:rsid w:val="00750874"/>
    <w:rsid w:val="00750F16"/>
    <w:rsid w:val="00750FF3"/>
    <w:rsid w:val="00753952"/>
    <w:rsid w:val="00753CE7"/>
    <w:rsid w:val="007544C8"/>
    <w:rsid w:val="00755084"/>
    <w:rsid w:val="007551A8"/>
    <w:rsid w:val="00761D3A"/>
    <w:rsid w:val="00763631"/>
    <w:rsid w:val="00765BFB"/>
    <w:rsid w:val="00767114"/>
    <w:rsid w:val="00770DA2"/>
    <w:rsid w:val="007739CD"/>
    <w:rsid w:val="00773DB4"/>
    <w:rsid w:val="00774285"/>
    <w:rsid w:val="00774943"/>
    <w:rsid w:val="00776B71"/>
    <w:rsid w:val="00777308"/>
    <w:rsid w:val="00780FEE"/>
    <w:rsid w:val="0078206E"/>
    <w:rsid w:val="0078241C"/>
    <w:rsid w:val="00782EA8"/>
    <w:rsid w:val="00783205"/>
    <w:rsid w:val="00783D33"/>
    <w:rsid w:val="007840C3"/>
    <w:rsid w:val="007845FC"/>
    <w:rsid w:val="007864E5"/>
    <w:rsid w:val="00787B41"/>
    <w:rsid w:val="00787BB2"/>
    <w:rsid w:val="00790439"/>
    <w:rsid w:val="00792D50"/>
    <w:rsid w:val="00793943"/>
    <w:rsid w:val="00793BF7"/>
    <w:rsid w:val="0079430B"/>
    <w:rsid w:val="00795876"/>
    <w:rsid w:val="007A162A"/>
    <w:rsid w:val="007A1A54"/>
    <w:rsid w:val="007A1C82"/>
    <w:rsid w:val="007A1D24"/>
    <w:rsid w:val="007A3621"/>
    <w:rsid w:val="007A4072"/>
    <w:rsid w:val="007A4A57"/>
    <w:rsid w:val="007A797A"/>
    <w:rsid w:val="007A7A77"/>
    <w:rsid w:val="007B0D47"/>
    <w:rsid w:val="007B1312"/>
    <w:rsid w:val="007B21D5"/>
    <w:rsid w:val="007B2AB9"/>
    <w:rsid w:val="007B2D9B"/>
    <w:rsid w:val="007B458A"/>
    <w:rsid w:val="007B47C6"/>
    <w:rsid w:val="007B4963"/>
    <w:rsid w:val="007B54BB"/>
    <w:rsid w:val="007B54C4"/>
    <w:rsid w:val="007B55AD"/>
    <w:rsid w:val="007B66C8"/>
    <w:rsid w:val="007B692C"/>
    <w:rsid w:val="007B7EF6"/>
    <w:rsid w:val="007C00DE"/>
    <w:rsid w:val="007C02F0"/>
    <w:rsid w:val="007C1281"/>
    <w:rsid w:val="007C36C1"/>
    <w:rsid w:val="007C38CE"/>
    <w:rsid w:val="007C4147"/>
    <w:rsid w:val="007C5642"/>
    <w:rsid w:val="007C75BA"/>
    <w:rsid w:val="007D060D"/>
    <w:rsid w:val="007D09DE"/>
    <w:rsid w:val="007D1E12"/>
    <w:rsid w:val="007D285A"/>
    <w:rsid w:val="007D39BC"/>
    <w:rsid w:val="007D4820"/>
    <w:rsid w:val="007D5366"/>
    <w:rsid w:val="007D64D6"/>
    <w:rsid w:val="007D6839"/>
    <w:rsid w:val="007E1579"/>
    <w:rsid w:val="007E1A76"/>
    <w:rsid w:val="007E2DB5"/>
    <w:rsid w:val="007E3949"/>
    <w:rsid w:val="007E3CAD"/>
    <w:rsid w:val="007E6DDE"/>
    <w:rsid w:val="007E6ECB"/>
    <w:rsid w:val="007E72C4"/>
    <w:rsid w:val="007E757A"/>
    <w:rsid w:val="007E79FA"/>
    <w:rsid w:val="007F10C8"/>
    <w:rsid w:val="007F311A"/>
    <w:rsid w:val="007F33F6"/>
    <w:rsid w:val="007F374B"/>
    <w:rsid w:val="007F477B"/>
    <w:rsid w:val="007F49B6"/>
    <w:rsid w:val="007F49FA"/>
    <w:rsid w:val="007F56B7"/>
    <w:rsid w:val="007F5B8B"/>
    <w:rsid w:val="007F70AB"/>
    <w:rsid w:val="007F7585"/>
    <w:rsid w:val="008028F0"/>
    <w:rsid w:val="00805277"/>
    <w:rsid w:val="00805FC2"/>
    <w:rsid w:val="00810B98"/>
    <w:rsid w:val="008129E2"/>
    <w:rsid w:val="0081423E"/>
    <w:rsid w:val="008143B4"/>
    <w:rsid w:val="008166AF"/>
    <w:rsid w:val="00817DD8"/>
    <w:rsid w:val="00820A59"/>
    <w:rsid w:val="00820E78"/>
    <w:rsid w:val="008215A8"/>
    <w:rsid w:val="0082259A"/>
    <w:rsid w:val="00822BF4"/>
    <w:rsid w:val="008255BE"/>
    <w:rsid w:val="008269A9"/>
    <w:rsid w:val="00826E1E"/>
    <w:rsid w:val="00831D45"/>
    <w:rsid w:val="00831DE3"/>
    <w:rsid w:val="00832415"/>
    <w:rsid w:val="0083367E"/>
    <w:rsid w:val="008354DE"/>
    <w:rsid w:val="00835BD3"/>
    <w:rsid w:val="00836A1D"/>
    <w:rsid w:val="0084153A"/>
    <w:rsid w:val="00843FD2"/>
    <w:rsid w:val="00846109"/>
    <w:rsid w:val="00846174"/>
    <w:rsid w:val="00847976"/>
    <w:rsid w:val="00847D73"/>
    <w:rsid w:val="00852AFC"/>
    <w:rsid w:val="00854501"/>
    <w:rsid w:val="008556C5"/>
    <w:rsid w:val="00855730"/>
    <w:rsid w:val="0085574A"/>
    <w:rsid w:val="008558CD"/>
    <w:rsid w:val="00855F8A"/>
    <w:rsid w:val="008564B4"/>
    <w:rsid w:val="0085678D"/>
    <w:rsid w:val="00860101"/>
    <w:rsid w:val="00860B92"/>
    <w:rsid w:val="00860BF9"/>
    <w:rsid w:val="008613F5"/>
    <w:rsid w:val="00861A20"/>
    <w:rsid w:val="00861AE9"/>
    <w:rsid w:val="00861EA6"/>
    <w:rsid w:val="0086215F"/>
    <w:rsid w:val="00864515"/>
    <w:rsid w:val="00864530"/>
    <w:rsid w:val="008657A1"/>
    <w:rsid w:val="00866078"/>
    <w:rsid w:val="00866813"/>
    <w:rsid w:val="008673DF"/>
    <w:rsid w:val="00867438"/>
    <w:rsid w:val="00867D5D"/>
    <w:rsid w:val="0087042D"/>
    <w:rsid w:val="00870BC6"/>
    <w:rsid w:val="0087116E"/>
    <w:rsid w:val="008711FD"/>
    <w:rsid w:val="00874269"/>
    <w:rsid w:val="008742B6"/>
    <w:rsid w:val="008758F1"/>
    <w:rsid w:val="00875AA7"/>
    <w:rsid w:val="0087768E"/>
    <w:rsid w:val="008779A4"/>
    <w:rsid w:val="00877FE2"/>
    <w:rsid w:val="008805B0"/>
    <w:rsid w:val="00880923"/>
    <w:rsid w:val="0088189A"/>
    <w:rsid w:val="00882329"/>
    <w:rsid w:val="008851F3"/>
    <w:rsid w:val="0088541A"/>
    <w:rsid w:val="008869E2"/>
    <w:rsid w:val="0089062C"/>
    <w:rsid w:val="00890674"/>
    <w:rsid w:val="00890F09"/>
    <w:rsid w:val="0089249C"/>
    <w:rsid w:val="008930C5"/>
    <w:rsid w:val="00893900"/>
    <w:rsid w:val="00893B4B"/>
    <w:rsid w:val="00893D13"/>
    <w:rsid w:val="00895F7C"/>
    <w:rsid w:val="00896578"/>
    <w:rsid w:val="00896ACD"/>
    <w:rsid w:val="00896B26"/>
    <w:rsid w:val="00897DCF"/>
    <w:rsid w:val="008A05C5"/>
    <w:rsid w:val="008A1E5F"/>
    <w:rsid w:val="008A2104"/>
    <w:rsid w:val="008A3D56"/>
    <w:rsid w:val="008A5D89"/>
    <w:rsid w:val="008A5DB3"/>
    <w:rsid w:val="008A7B0B"/>
    <w:rsid w:val="008B00B3"/>
    <w:rsid w:val="008B1B8C"/>
    <w:rsid w:val="008B389D"/>
    <w:rsid w:val="008B3E70"/>
    <w:rsid w:val="008B5F04"/>
    <w:rsid w:val="008C791F"/>
    <w:rsid w:val="008D05BE"/>
    <w:rsid w:val="008D2C98"/>
    <w:rsid w:val="008D4E58"/>
    <w:rsid w:val="008D4E74"/>
    <w:rsid w:val="008D5983"/>
    <w:rsid w:val="008D7199"/>
    <w:rsid w:val="008D7294"/>
    <w:rsid w:val="008D7413"/>
    <w:rsid w:val="008D7A68"/>
    <w:rsid w:val="008D7DB7"/>
    <w:rsid w:val="008E0B6A"/>
    <w:rsid w:val="008E1EFC"/>
    <w:rsid w:val="008E31A7"/>
    <w:rsid w:val="008E34C2"/>
    <w:rsid w:val="008E3659"/>
    <w:rsid w:val="008E377B"/>
    <w:rsid w:val="008E38A3"/>
    <w:rsid w:val="008E5B17"/>
    <w:rsid w:val="008E7DC7"/>
    <w:rsid w:val="008E7F27"/>
    <w:rsid w:val="008F05B9"/>
    <w:rsid w:val="008F0665"/>
    <w:rsid w:val="008F067F"/>
    <w:rsid w:val="008F0873"/>
    <w:rsid w:val="008F0C0D"/>
    <w:rsid w:val="008F25E8"/>
    <w:rsid w:val="008F414E"/>
    <w:rsid w:val="008F546F"/>
    <w:rsid w:val="008F6E94"/>
    <w:rsid w:val="0090059C"/>
    <w:rsid w:val="00900A00"/>
    <w:rsid w:val="00900C6F"/>
    <w:rsid w:val="00901E63"/>
    <w:rsid w:val="009023FA"/>
    <w:rsid w:val="00902B19"/>
    <w:rsid w:val="009031DD"/>
    <w:rsid w:val="00903623"/>
    <w:rsid w:val="00904A48"/>
    <w:rsid w:val="00905524"/>
    <w:rsid w:val="00905665"/>
    <w:rsid w:val="0090637C"/>
    <w:rsid w:val="00907BD0"/>
    <w:rsid w:val="00907D51"/>
    <w:rsid w:val="00912204"/>
    <w:rsid w:val="00912861"/>
    <w:rsid w:val="00912A88"/>
    <w:rsid w:val="00912C63"/>
    <w:rsid w:val="00913878"/>
    <w:rsid w:val="009143F4"/>
    <w:rsid w:val="00914B6C"/>
    <w:rsid w:val="00916FC2"/>
    <w:rsid w:val="00917F89"/>
    <w:rsid w:val="00917FCE"/>
    <w:rsid w:val="00920F96"/>
    <w:rsid w:val="00923052"/>
    <w:rsid w:val="00923C27"/>
    <w:rsid w:val="00924608"/>
    <w:rsid w:val="00924C7F"/>
    <w:rsid w:val="00925F0C"/>
    <w:rsid w:val="00925F85"/>
    <w:rsid w:val="00926D8E"/>
    <w:rsid w:val="00927A6D"/>
    <w:rsid w:val="009307C7"/>
    <w:rsid w:val="0093132A"/>
    <w:rsid w:val="0093316D"/>
    <w:rsid w:val="009332CD"/>
    <w:rsid w:val="0093341B"/>
    <w:rsid w:val="00933A6E"/>
    <w:rsid w:val="00934B2C"/>
    <w:rsid w:val="00937179"/>
    <w:rsid w:val="00937271"/>
    <w:rsid w:val="00941F11"/>
    <w:rsid w:val="0094210E"/>
    <w:rsid w:val="00942BF0"/>
    <w:rsid w:val="00942E38"/>
    <w:rsid w:val="0094345B"/>
    <w:rsid w:val="00945CB0"/>
    <w:rsid w:val="009468EB"/>
    <w:rsid w:val="009478BE"/>
    <w:rsid w:val="00950EE3"/>
    <w:rsid w:val="00951B9A"/>
    <w:rsid w:val="00951E6A"/>
    <w:rsid w:val="00952964"/>
    <w:rsid w:val="00953167"/>
    <w:rsid w:val="009536C7"/>
    <w:rsid w:val="009538D0"/>
    <w:rsid w:val="00956154"/>
    <w:rsid w:val="00956E78"/>
    <w:rsid w:val="009571FD"/>
    <w:rsid w:val="00960A18"/>
    <w:rsid w:val="009622AC"/>
    <w:rsid w:val="0096309B"/>
    <w:rsid w:val="00963511"/>
    <w:rsid w:val="00964A92"/>
    <w:rsid w:val="00965694"/>
    <w:rsid w:val="00965852"/>
    <w:rsid w:val="00965B53"/>
    <w:rsid w:val="009665B6"/>
    <w:rsid w:val="00967F33"/>
    <w:rsid w:val="0097058E"/>
    <w:rsid w:val="0097108F"/>
    <w:rsid w:val="009711A5"/>
    <w:rsid w:val="009718AC"/>
    <w:rsid w:val="00973F00"/>
    <w:rsid w:val="00974518"/>
    <w:rsid w:val="00974540"/>
    <w:rsid w:val="00974AF9"/>
    <w:rsid w:val="00977836"/>
    <w:rsid w:val="00980AEC"/>
    <w:rsid w:val="009822C8"/>
    <w:rsid w:val="009832BB"/>
    <w:rsid w:val="009854E5"/>
    <w:rsid w:val="00985FEA"/>
    <w:rsid w:val="0098681D"/>
    <w:rsid w:val="009870B9"/>
    <w:rsid w:val="00990B0D"/>
    <w:rsid w:val="00990C9F"/>
    <w:rsid w:val="00992480"/>
    <w:rsid w:val="00992853"/>
    <w:rsid w:val="0099444D"/>
    <w:rsid w:val="00996E4F"/>
    <w:rsid w:val="00997A30"/>
    <w:rsid w:val="00997FCA"/>
    <w:rsid w:val="009A0C4F"/>
    <w:rsid w:val="009A0E2A"/>
    <w:rsid w:val="009A261C"/>
    <w:rsid w:val="009A2FD8"/>
    <w:rsid w:val="009A370F"/>
    <w:rsid w:val="009A3877"/>
    <w:rsid w:val="009A3A2A"/>
    <w:rsid w:val="009A3B13"/>
    <w:rsid w:val="009A60BE"/>
    <w:rsid w:val="009A6A06"/>
    <w:rsid w:val="009A70E3"/>
    <w:rsid w:val="009A754F"/>
    <w:rsid w:val="009B07C4"/>
    <w:rsid w:val="009B0CE3"/>
    <w:rsid w:val="009B0D1F"/>
    <w:rsid w:val="009B0DFC"/>
    <w:rsid w:val="009B1564"/>
    <w:rsid w:val="009B1CD0"/>
    <w:rsid w:val="009B2A72"/>
    <w:rsid w:val="009B2B77"/>
    <w:rsid w:val="009B3EC0"/>
    <w:rsid w:val="009B41C0"/>
    <w:rsid w:val="009B43BD"/>
    <w:rsid w:val="009B5BED"/>
    <w:rsid w:val="009B77C2"/>
    <w:rsid w:val="009B78EF"/>
    <w:rsid w:val="009B7A61"/>
    <w:rsid w:val="009C1174"/>
    <w:rsid w:val="009C33D6"/>
    <w:rsid w:val="009C3DCD"/>
    <w:rsid w:val="009C5A3F"/>
    <w:rsid w:val="009C60E5"/>
    <w:rsid w:val="009C6F60"/>
    <w:rsid w:val="009D0642"/>
    <w:rsid w:val="009D1DA3"/>
    <w:rsid w:val="009D2D85"/>
    <w:rsid w:val="009D2E8B"/>
    <w:rsid w:val="009D309F"/>
    <w:rsid w:val="009D36FE"/>
    <w:rsid w:val="009D3CA1"/>
    <w:rsid w:val="009D4021"/>
    <w:rsid w:val="009D58C7"/>
    <w:rsid w:val="009D785D"/>
    <w:rsid w:val="009E118C"/>
    <w:rsid w:val="009E2EFD"/>
    <w:rsid w:val="009E3556"/>
    <w:rsid w:val="009E4191"/>
    <w:rsid w:val="009E4F94"/>
    <w:rsid w:val="009E790E"/>
    <w:rsid w:val="009E7AC0"/>
    <w:rsid w:val="009F0385"/>
    <w:rsid w:val="009F2F01"/>
    <w:rsid w:val="009F2FC4"/>
    <w:rsid w:val="009F3C96"/>
    <w:rsid w:val="009F3F74"/>
    <w:rsid w:val="009F52BC"/>
    <w:rsid w:val="009F5BA8"/>
    <w:rsid w:val="009F5F1D"/>
    <w:rsid w:val="009F6907"/>
    <w:rsid w:val="00A00095"/>
    <w:rsid w:val="00A03E11"/>
    <w:rsid w:val="00A03EA6"/>
    <w:rsid w:val="00A044FE"/>
    <w:rsid w:val="00A04FDB"/>
    <w:rsid w:val="00A057B4"/>
    <w:rsid w:val="00A10B26"/>
    <w:rsid w:val="00A1265C"/>
    <w:rsid w:val="00A12D57"/>
    <w:rsid w:val="00A1512C"/>
    <w:rsid w:val="00A154F5"/>
    <w:rsid w:val="00A217D2"/>
    <w:rsid w:val="00A22F51"/>
    <w:rsid w:val="00A23A99"/>
    <w:rsid w:val="00A252FD"/>
    <w:rsid w:val="00A2578F"/>
    <w:rsid w:val="00A2620B"/>
    <w:rsid w:val="00A26834"/>
    <w:rsid w:val="00A30C6B"/>
    <w:rsid w:val="00A30F27"/>
    <w:rsid w:val="00A32372"/>
    <w:rsid w:val="00A330EF"/>
    <w:rsid w:val="00A35AEB"/>
    <w:rsid w:val="00A3704C"/>
    <w:rsid w:val="00A3719A"/>
    <w:rsid w:val="00A3748A"/>
    <w:rsid w:val="00A410D2"/>
    <w:rsid w:val="00A420FB"/>
    <w:rsid w:val="00A4228F"/>
    <w:rsid w:val="00A425FB"/>
    <w:rsid w:val="00A42B8D"/>
    <w:rsid w:val="00A42F93"/>
    <w:rsid w:val="00A43738"/>
    <w:rsid w:val="00A43790"/>
    <w:rsid w:val="00A50AA8"/>
    <w:rsid w:val="00A5270A"/>
    <w:rsid w:val="00A5309F"/>
    <w:rsid w:val="00A53E6C"/>
    <w:rsid w:val="00A544FA"/>
    <w:rsid w:val="00A54690"/>
    <w:rsid w:val="00A5500F"/>
    <w:rsid w:val="00A55C74"/>
    <w:rsid w:val="00A56F1C"/>
    <w:rsid w:val="00A6056B"/>
    <w:rsid w:val="00A616BF"/>
    <w:rsid w:val="00A61975"/>
    <w:rsid w:val="00A61B85"/>
    <w:rsid w:val="00A61D85"/>
    <w:rsid w:val="00A62150"/>
    <w:rsid w:val="00A6218D"/>
    <w:rsid w:val="00A63A05"/>
    <w:rsid w:val="00A63CA3"/>
    <w:rsid w:val="00A67808"/>
    <w:rsid w:val="00A70EA9"/>
    <w:rsid w:val="00A710BE"/>
    <w:rsid w:val="00A7160F"/>
    <w:rsid w:val="00A7177B"/>
    <w:rsid w:val="00A73E18"/>
    <w:rsid w:val="00A74346"/>
    <w:rsid w:val="00A757BF"/>
    <w:rsid w:val="00A75D62"/>
    <w:rsid w:val="00A76A15"/>
    <w:rsid w:val="00A801DD"/>
    <w:rsid w:val="00A809E1"/>
    <w:rsid w:val="00A80B73"/>
    <w:rsid w:val="00A80E16"/>
    <w:rsid w:val="00A81C1A"/>
    <w:rsid w:val="00A833EC"/>
    <w:rsid w:val="00A834D4"/>
    <w:rsid w:val="00A83C3F"/>
    <w:rsid w:val="00A85A56"/>
    <w:rsid w:val="00A8660C"/>
    <w:rsid w:val="00A8714D"/>
    <w:rsid w:val="00A87683"/>
    <w:rsid w:val="00A87709"/>
    <w:rsid w:val="00A87AB1"/>
    <w:rsid w:val="00A87CCD"/>
    <w:rsid w:val="00A91027"/>
    <w:rsid w:val="00A91503"/>
    <w:rsid w:val="00A93C5C"/>
    <w:rsid w:val="00A95A35"/>
    <w:rsid w:val="00A95D60"/>
    <w:rsid w:val="00A964C9"/>
    <w:rsid w:val="00A9700E"/>
    <w:rsid w:val="00AA018E"/>
    <w:rsid w:val="00AA060A"/>
    <w:rsid w:val="00AA0843"/>
    <w:rsid w:val="00AA21AB"/>
    <w:rsid w:val="00AA3F88"/>
    <w:rsid w:val="00AA4B28"/>
    <w:rsid w:val="00AA4C5C"/>
    <w:rsid w:val="00AA4C61"/>
    <w:rsid w:val="00AA56E5"/>
    <w:rsid w:val="00AA64D5"/>
    <w:rsid w:val="00AA7153"/>
    <w:rsid w:val="00AB0BAF"/>
    <w:rsid w:val="00AB1928"/>
    <w:rsid w:val="00AB1E27"/>
    <w:rsid w:val="00AB2F67"/>
    <w:rsid w:val="00AB3EDB"/>
    <w:rsid w:val="00AB4029"/>
    <w:rsid w:val="00AB4F2C"/>
    <w:rsid w:val="00AB6B72"/>
    <w:rsid w:val="00AB6CD4"/>
    <w:rsid w:val="00AB6D19"/>
    <w:rsid w:val="00AC1397"/>
    <w:rsid w:val="00AC1660"/>
    <w:rsid w:val="00AC1BC7"/>
    <w:rsid w:val="00AC1C20"/>
    <w:rsid w:val="00AC4571"/>
    <w:rsid w:val="00AC631A"/>
    <w:rsid w:val="00AD0728"/>
    <w:rsid w:val="00AD26A1"/>
    <w:rsid w:val="00AD3698"/>
    <w:rsid w:val="00AD4A4C"/>
    <w:rsid w:val="00AD4C32"/>
    <w:rsid w:val="00AD5F3C"/>
    <w:rsid w:val="00AD74D2"/>
    <w:rsid w:val="00AD7890"/>
    <w:rsid w:val="00AD7DB7"/>
    <w:rsid w:val="00AE0D88"/>
    <w:rsid w:val="00AE2D5A"/>
    <w:rsid w:val="00AE3FFA"/>
    <w:rsid w:val="00AE4696"/>
    <w:rsid w:val="00AE596A"/>
    <w:rsid w:val="00AE7140"/>
    <w:rsid w:val="00AE7834"/>
    <w:rsid w:val="00AF1AB7"/>
    <w:rsid w:val="00AF34CE"/>
    <w:rsid w:val="00AF410E"/>
    <w:rsid w:val="00AF5CEB"/>
    <w:rsid w:val="00AF60C0"/>
    <w:rsid w:val="00AF6B63"/>
    <w:rsid w:val="00AF79E9"/>
    <w:rsid w:val="00B0074E"/>
    <w:rsid w:val="00B008A6"/>
    <w:rsid w:val="00B01A48"/>
    <w:rsid w:val="00B01FC1"/>
    <w:rsid w:val="00B0355F"/>
    <w:rsid w:val="00B050E0"/>
    <w:rsid w:val="00B06A9D"/>
    <w:rsid w:val="00B0749C"/>
    <w:rsid w:val="00B07F7E"/>
    <w:rsid w:val="00B11D31"/>
    <w:rsid w:val="00B13811"/>
    <w:rsid w:val="00B152FF"/>
    <w:rsid w:val="00B1548E"/>
    <w:rsid w:val="00B15AE8"/>
    <w:rsid w:val="00B15BA9"/>
    <w:rsid w:val="00B174F1"/>
    <w:rsid w:val="00B17F02"/>
    <w:rsid w:val="00B21D3E"/>
    <w:rsid w:val="00B24D3C"/>
    <w:rsid w:val="00B255A3"/>
    <w:rsid w:val="00B25E82"/>
    <w:rsid w:val="00B25EC3"/>
    <w:rsid w:val="00B31099"/>
    <w:rsid w:val="00B31565"/>
    <w:rsid w:val="00B3236F"/>
    <w:rsid w:val="00B32F1D"/>
    <w:rsid w:val="00B33B42"/>
    <w:rsid w:val="00B35A29"/>
    <w:rsid w:val="00B35C98"/>
    <w:rsid w:val="00B35DFA"/>
    <w:rsid w:val="00B36B5F"/>
    <w:rsid w:val="00B37DDE"/>
    <w:rsid w:val="00B40F5B"/>
    <w:rsid w:val="00B42DCE"/>
    <w:rsid w:val="00B43014"/>
    <w:rsid w:val="00B43FF6"/>
    <w:rsid w:val="00B44D6A"/>
    <w:rsid w:val="00B4559D"/>
    <w:rsid w:val="00B46651"/>
    <w:rsid w:val="00B46AF9"/>
    <w:rsid w:val="00B47F51"/>
    <w:rsid w:val="00B51CCF"/>
    <w:rsid w:val="00B5251F"/>
    <w:rsid w:val="00B533B9"/>
    <w:rsid w:val="00B537B9"/>
    <w:rsid w:val="00B56C87"/>
    <w:rsid w:val="00B56D1A"/>
    <w:rsid w:val="00B57522"/>
    <w:rsid w:val="00B57FF0"/>
    <w:rsid w:val="00B61DE2"/>
    <w:rsid w:val="00B6241F"/>
    <w:rsid w:val="00B6282D"/>
    <w:rsid w:val="00B63159"/>
    <w:rsid w:val="00B634D7"/>
    <w:rsid w:val="00B637C8"/>
    <w:rsid w:val="00B63BCF"/>
    <w:rsid w:val="00B64370"/>
    <w:rsid w:val="00B65F00"/>
    <w:rsid w:val="00B662B0"/>
    <w:rsid w:val="00B67168"/>
    <w:rsid w:val="00B67AAC"/>
    <w:rsid w:val="00B703BE"/>
    <w:rsid w:val="00B71272"/>
    <w:rsid w:val="00B7183E"/>
    <w:rsid w:val="00B71C45"/>
    <w:rsid w:val="00B728FF"/>
    <w:rsid w:val="00B73222"/>
    <w:rsid w:val="00B73288"/>
    <w:rsid w:val="00B74380"/>
    <w:rsid w:val="00B74937"/>
    <w:rsid w:val="00B76BB9"/>
    <w:rsid w:val="00B80B43"/>
    <w:rsid w:val="00B80C6B"/>
    <w:rsid w:val="00B821C2"/>
    <w:rsid w:val="00B82D50"/>
    <w:rsid w:val="00B8312B"/>
    <w:rsid w:val="00B83546"/>
    <w:rsid w:val="00B83589"/>
    <w:rsid w:val="00B842BC"/>
    <w:rsid w:val="00B84480"/>
    <w:rsid w:val="00B84FDF"/>
    <w:rsid w:val="00B85B1A"/>
    <w:rsid w:val="00B86027"/>
    <w:rsid w:val="00B86110"/>
    <w:rsid w:val="00B86E05"/>
    <w:rsid w:val="00B87174"/>
    <w:rsid w:val="00B87D19"/>
    <w:rsid w:val="00B9340C"/>
    <w:rsid w:val="00B93FA2"/>
    <w:rsid w:val="00B94D5A"/>
    <w:rsid w:val="00BA045B"/>
    <w:rsid w:val="00BA3F2A"/>
    <w:rsid w:val="00BA5F4E"/>
    <w:rsid w:val="00BA64A5"/>
    <w:rsid w:val="00BA680E"/>
    <w:rsid w:val="00BA7197"/>
    <w:rsid w:val="00BA7EB0"/>
    <w:rsid w:val="00BB0A69"/>
    <w:rsid w:val="00BB1DE5"/>
    <w:rsid w:val="00BB4615"/>
    <w:rsid w:val="00BB4BD4"/>
    <w:rsid w:val="00BB6A7C"/>
    <w:rsid w:val="00BC029F"/>
    <w:rsid w:val="00BC02DB"/>
    <w:rsid w:val="00BC1801"/>
    <w:rsid w:val="00BC2E6B"/>
    <w:rsid w:val="00BC6B4D"/>
    <w:rsid w:val="00BD2C02"/>
    <w:rsid w:val="00BD3EE4"/>
    <w:rsid w:val="00BD434B"/>
    <w:rsid w:val="00BD4A80"/>
    <w:rsid w:val="00BD549A"/>
    <w:rsid w:val="00BD78C6"/>
    <w:rsid w:val="00BE0B1C"/>
    <w:rsid w:val="00BE2D44"/>
    <w:rsid w:val="00BE323E"/>
    <w:rsid w:val="00BE5899"/>
    <w:rsid w:val="00BE65FE"/>
    <w:rsid w:val="00BE6AE6"/>
    <w:rsid w:val="00BE791F"/>
    <w:rsid w:val="00BF06B0"/>
    <w:rsid w:val="00BF1D5F"/>
    <w:rsid w:val="00BF279E"/>
    <w:rsid w:val="00BF31DD"/>
    <w:rsid w:val="00BF497F"/>
    <w:rsid w:val="00BF4BFE"/>
    <w:rsid w:val="00BF4F2B"/>
    <w:rsid w:val="00BF67BF"/>
    <w:rsid w:val="00BF7F8C"/>
    <w:rsid w:val="00C000BE"/>
    <w:rsid w:val="00C01FDB"/>
    <w:rsid w:val="00C0281D"/>
    <w:rsid w:val="00C02B25"/>
    <w:rsid w:val="00C035AE"/>
    <w:rsid w:val="00C038A6"/>
    <w:rsid w:val="00C03D5B"/>
    <w:rsid w:val="00C0580A"/>
    <w:rsid w:val="00C05AAA"/>
    <w:rsid w:val="00C05ADD"/>
    <w:rsid w:val="00C072CE"/>
    <w:rsid w:val="00C07311"/>
    <w:rsid w:val="00C106B7"/>
    <w:rsid w:val="00C10C6A"/>
    <w:rsid w:val="00C11090"/>
    <w:rsid w:val="00C1282A"/>
    <w:rsid w:val="00C12FA5"/>
    <w:rsid w:val="00C13E21"/>
    <w:rsid w:val="00C15FC8"/>
    <w:rsid w:val="00C208DC"/>
    <w:rsid w:val="00C21C11"/>
    <w:rsid w:val="00C220F0"/>
    <w:rsid w:val="00C223B3"/>
    <w:rsid w:val="00C23BEA"/>
    <w:rsid w:val="00C23D7C"/>
    <w:rsid w:val="00C25B6A"/>
    <w:rsid w:val="00C300AF"/>
    <w:rsid w:val="00C3607B"/>
    <w:rsid w:val="00C3672F"/>
    <w:rsid w:val="00C3680C"/>
    <w:rsid w:val="00C379DA"/>
    <w:rsid w:val="00C40894"/>
    <w:rsid w:val="00C40D25"/>
    <w:rsid w:val="00C41169"/>
    <w:rsid w:val="00C417E4"/>
    <w:rsid w:val="00C41AEF"/>
    <w:rsid w:val="00C4204F"/>
    <w:rsid w:val="00C4275C"/>
    <w:rsid w:val="00C440CF"/>
    <w:rsid w:val="00C44E10"/>
    <w:rsid w:val="00C44E71"/>
    <w:rsid w:val="00C450E1"/>
    <w:rsid w:val="00C45714"/>
    <w:rsid w:val="00C4722C"/>
    <w:rsid w:val="00C47FE1"/>
    <w:rsid w:val="00C503E3"/>
    <w:rsid w:val="00C50725"/>
    <w:rsid w:val="00C5190F"/>
    <w:rsid w:val="00C52B48"/>
    <w:rsid w:val="00C53A9C"/>
    <w:rsid w:val="00C53AE2"/>
    <w:rsid w:val="00C545F4"/>
    <w:rsid w:val="00C557D7"/>
    <w:rsid w:val="00C55DA1"/>
    <w:rsid w:val="00C5646A"/>
    <w:rsid w:val="00C56AE6"/>
    <w:rsid w:val="00C5782D"/>
    <w:rsid w:val="00C6083A"/>
    <w:rsid w:val="00C617E6"/>
    <w:rsid w:val="00C61C44"/>
    <w:rsid w:val="00C6280C"/>
    <w:rsid w:val="00C63055"/>
    <w:rsid w:val="00C63923"/>
    <w:rsid w:val="00C666E9"/>
    <w:rsid w:val="00C70060"/>
    <w:rsid w:val="00C737AE"/>
    <w:rsid w:val="00C73FE8"/>
    <w:rsid w:val="00C740F5"/>
    <w:rsid w:val="00C7566F"/>
    <w:rsid w:val="00C76DAA"/>
    <w:rsid w:val="00C77F40"/>
    <w:rsid w:val="00C845A3"/>
    <w:rsid w:val="00C852E2"/>
    <w:rsid w:val="00C855C0"/>
    <w:rsid w:val="00C85AFD"/>
    <w:rsid w:val="00C8613F"/>
    <w:rsid w:val="00C86328"/>
    <w:rsid w:val="00C86AF5"/>
    <w:rsid w:val="00C8760B"/>
    <w:rsid w:val="00C87B97"/>
    <w:rsid w:val="00C87CA7"/>
    <w:rsid w:val="00C87D3A"/>
    <w:rsid w:val="00C9093E"/>
    <w:rsid w:val="00C9150A"/>
    <w:rsid w:val="00C91F69"/>
    <w:rsid w:val="00C922DE"/>
    <w:rsid w:val="00C93456"/>
    <w:rsid w:val="00C9541B"/>
    <w:rsid w:val="00C9736C"/>
    <w:rsid w:val="00C97F00"/>
    <w:rsid w:val="00CA11F3"/>
    <w:rsid w:val="00CA29FB"/>
    <w:rsid w:val="00CA2B69"/>
    <w:rsid w:val="00CA3847"/>
    <w:rsid w:val="00CA395E"/>
    <w:rsid w:val="00CA57F2"/>
    <w:rsid w:val="00CA5C4F"/>
    <w:rsid w:val="00CA63B3"/>
    <w:rsid w:val="00CB06C1"/>
    <w:rsid w:val="00CB1008"/>
    <w:rsid w:val="00CB29BC"/>
    <w:rsid w:val="00CB4118"/>
    <w:rsid w:val="00CB46D1"/>
    <w:rsid w:val="00CB4AF1"/>
    <w:rsid w:val="00CB53D9"/>
    <w:rsid w:val="00CB5690"/>
    <w:rsid w:val="00CB5EC6"/>
    <w:rsid w:val="00CB67C8"/>
    <w:rsid w:val="00CC01C0"/>
    <w:rsid w:val="00CC0424"/>
    <w:rsid w:val="00CC12EE"/>
    <w:rsid w:val="00CC1CF5"/>
    <w:rsid w:val="00CC2099"/>
    <w:rsid w:val="00CC3B21"/>
    <w:rsid w:val="00CC5915"/>
    <w:rsid w:val="00CC5D74"/>
    <w:rsid w:val="00CC6605"/>
    <w:rsid w:val="00CC754D"/>
    <w:rsid w:val="00CD02BF"/>
    <w:rsid w:val="00CD0579"/>
    <w:rsid w:val="00CD0581"/>
    <w:rsid w:val="00CD0613"/>
    <w:rsid w:val="00CD364D"/>
    <w:rsid w:val="00CD3B3F"/>
    <w:rsid w:val="00CD3C80"/>
    <w:rsid w:val="00CD4D3A"/>
    <w:rsid w:val="00CD5257"/>
    <w:rsid w:val="00CE01F9"/>
    <w:rsid w:val="00CE251E"/>
    <w:rsid w:val="00CE2D75"/>
    <w:rsid w:val="00CE3114"/>
    <w:rsid w:val="00CE3F99"/>
    <w:rsid w:val="00CE50CF"/>
    <w:rsid w:val="00CE6002"/>
    <w:rsid w:val="00CE690D"/>
    <w:rsid w:val="00CE6EA9"/>
    <w:rsid w:val="00CE7676"/>
    <w:rsid w:val="00CE787D"/>
    <w:rsid w:val="00CE7E8F"/>
    <w:rsid w:val="00CF02FD"/>
    <w:rsid w:val="00CF175B"/>
    <w:rsid w:val="00CF2301"/>
    <w:rsid w:val="00CF26B1"/>
    <w:rsid w:val="00CF48AC"/>
    <w:rsid w:val="00CF5BEC"/>
    <w:rsid w:val="00CF7290"/>
    <w:rsid w:val="00CF79E4"/>
    <w:rsid w:val="00D01AA8"/>
    <w:rsid w:val="00D033BC"/>
    <w:rsid w:val="00D03A43"/>
    <w:rsid w:val="00D03D69"/>
    <w:rsid w:val="00D03D96"/>
    <w:rsid w:val="00D054F9"/>
    <w:rsid w:val="00D05E38"/>
    <w:rsid w:val="00D103AF"/>
    <w:rsid w:val="00D11250"/>
    <w:rsid w:val="00D12F2C"/>
    <w:rsid w:val="00D1329F"/>
    <w:rsid w:val="00D13899"/>
    <w:rsid w:val="00D13EE2"/>
    <w:rsid w:val="00D14078"/>
    <w:rsid w:val="00D15511"/>
    <w:rsid w:val="00D164C8"/>
    <w:rsid w:val="00D172BB"/>
    <w:rsid w:val="00D2007C"/>
    <w:rsid w:val="00D225CA"/>
    <w:rsid w:val="00D237A1"/>
    <w:rsid w:val="00D243D4"/>
    <w:rsid w:val="00D24C1D"/>
    <w:rsid w:val="00D252DF"/>
    <w:rsid w:val="00D25E33"/>
    <w:rsid w:val="00D2676D"/>
    <w:rsid w:val="00D26941"/>
    <w:rsid w:val="00D304E6"/>
    <w:rsid w:val="00D321BC"/>
    <w:rsid w:val="00D3277B"/>
    <w:rsid w:val="00D353E0"/>
    <w:rsid w:val="00D3570E"/>
    <w:rsid w:val="00D35969"/>
    <w:rsid w:val="00D36F9D"/>
    <w:rsid w:val="00D4079D"/>
    <w:rsid w:val="00D41052"/>
    <w:rsid w:val="00D419D8"/>
    <w:rsid w:val="00D41BF5"/>
    <w:rsid w:val="00D438D6"/>
    <w:rsid w:val="00D439E4"/>
    <w:rsid w:val="00D43C42"/>
    <w:rsid w:val="00D43F59"/>
    <w:rsid w:val="00D43FBA"/>
    <w:rsid w:val="00D46883"/>
    <w:rsid w:val="00D50482"/>
    <w:rsid w:val="00D50FD7"/>
    <w:rsid w:val="00D513E6"/>
    <w:rsid w:val="00D51F4D"/>
    <w:rsid w:val="00D53E53"/>
    <w:rsid w:val="00D54CE8"/>
    <w:rsid w:val="00D5770E"/>
    <w:rsid w:val="00D57B62"/>
    <w:rsid w:val="00D6079C"/>
    <w:rsid w:val="00D65079"/>
    <w:rsid w:val="00D65FF6"/>
    <w:rsid w:val="00D676ED"/>
    <w:rsid w:val="00D733C8"/>
    <w:rsid w:val="00D756B3"/>
    <w:rsid w:val="00D76127"/>
    <w:rsid w:val="00D82B31"/>
    <w:rsid w:val="00D8397C"/>
    <w:rsid w:val="00D84913"/>
    <w:rsid w:val="00D84F11"/>
    <w:rsid w:val="00D8521C"/>
    <w:rsid w:val="00D85F1B"/>
    <w:rsid w:val="00D87010"/>
    <w:rsid w:val="00D8761F"/>
    <w:rsid w:val="00D87A33"/>
    <w:rsid w:val="00D90A37"/>
    <w:rsid w:val="00D91B25"/>
    <w:rsid w:val="00D92506"/>
    <w:rsid w:val="00D9369F"/>
    <w:rsid w:val="00D94217"/>
    <w:rsid w:val="00D94EE6"/>
    <w:rsid w:val="00D94FE0"/>
    <w:rsid w:val="00D9720C"/>
    <w:rsid w:val="00DA2408"/>
    <w:rsid w:val="00DA2D87"/>
    <w:rsid w:val="00DA312F"/>
    <w:rsid w:val="00DA34DC"/>
    <w:rsid w:val="00DA3933"/>
    <w:rsid w:val="00DA536D"/>
    <w:rsid w:val="00DA5870"/>
    <w:rsid w:val="00DA63AD"/>
    <w:rsid w:val="00DA6D03"/>
    <w:rsid w:val="00DA75DB"/>
    <w:rsid w:val="00DB11BB"/>
    <w:rsid w:val="00DB5297"/>
    <w:rsid w:val="00DB5B38"/>
    <w:rsid w:val="00DB6EF8"/>
    <w:rsid w:val="00DB6FDA"/>
    <w:rsid w:val="00DB7888"/>
    <w:rsid w:val="00DC09CE"/>
    <w:rsid w:val="00DC1CD4"/>
    <w:rsid w:val="00DC1F6F"/>
    <w:rsid w:val="00DC2B5D"/>
    <w:rsid w:val="00DC37F1"/>
    <w:rsid w:val="00DC3AFB"/>
    <w:rsid w:val="00DC532A"/>
    <w:rsid w:val="00DC686D"/>
    <w:rsid w:val="00DC6921"/>
    <w:rsid w:val="00DD1F7D"/>
    <w:rsid w:val="00DD24EE"/>
    <w:rsid w:val="00DD4536"/>
    <w:rsid w:val="00DD62FD"/>
    <w:rsid w:val="00DD6D98"/>
    <w:rsid w:val="00DD7B56"/>
    <w:rsid w:val="00DD7E9B"/>
    <w:rsid w:val="00DD7FAA"/>
    <w:rsid w:val="00DE0716"/>
    <w:rsid w:val="00DE1451"/>
    <w:rsid w:val="00DE1C7E"/>
    <w:rsid w:val="00DE3B7B"/>
    <w:rsid w:val="00DE414E"/>
    <w:rsid w:val="00DE4395"/>
    <w:rsid w:val="00DE5D20"/>
    <w:rsid w:val="00DE6001"/>
    <w:rsid w:val="00DF09BD"/>
    <w:rsid w:val="00DF432D"/>
    <w:rsid w:val="00DF4718"/>
    <w:rsid w:val="00DF53E8"/>
    <w:rsid w:val="00DF5875"/>
    <w:rsid w:val="00DF60EA"/>
    <w:rsid w:val="00DF7E17"/>
    <w:rsid w:val="00E0123D"/>
    <w:rsid w:val="00E0244B"/>
    <w:rsid w:val="00E02B91"/>
    <w:rsid w:val="00E0333C"/>
    <w:rsid w:val="00E03826"/>
    <w:rsid w:val="00E06F70"/>
    <w:rsid w:val="00E070D6"/>
    <w:rsid w:val="00E07207"/>
    <w:rsid w:val="00E07FCC"/>
    <w:rsid w:val="00E1334D"/>
    <w:rsid w:val="00E13852"/>
    <w:rsid w:val="00E14273"/>
    <w:rsid w:val="00E16D5D"/>
    <w:rsid w:val="00E17E4E"/>
    <w:rsid w:val="00E20FA1"/>
    <w:rsid w:val="00E2411E"/>
    <w:rsid w:val="00E24C71"/>
    <w:rsid w:val="00E25058"/>
    <w:rsid w:val="00E25BC5"/>
    <w:rsid w:val="00E25DD3"/>
    <w:rsid w:val="00E26E99"/>
    <w:rsid w:val="00E32373"/>
    <w:rsid w:val="00E341A2"/>
    <w:rsid w:val="00E3541E"/>
    <w:rsid w:val="00E359CA"/>
    <w:rsid w:val="00E3724E"/>
    <w:rsid w:val="00E410D1"/>
    <w:rsid w:val="00E4119F"/>
    <w:rsid w:val="00E420E8"/>
    <w:rsid w:val="00E42732"/>
    <w:rsid w:val="00E43506"/>
    <w:rsid w:val="00E43E41"/>
    <w:rsid w:val="00E43E8A"/>
    <w:rsid w:val="00E443FF"/>
    <w:rsid w:val="00E448EC"/>
    <w:rsid w:val="00E4563B"/>
    <w:rsid w:val="00E46440"/>
    <w:rsid w:val="00E47D39"/>
    <w:rsid w:val="00E5165C"/>
    <w:rsid w:val="00E51F1B"/>
    <w:rsid w:val="00E521BA"/>
    <w:rsid w:val="00E54733"/>
    <w:rsid w:val="00E607BA"/>
    <w:rsid w:val="00E60CEF"/>
    <w:rsid w:val="00E627F8"/>
    <w:rsid w:val="00E62877"/>
    <w:rsid w:val="00E63826"/>
    <w:rsid w:val="00E64A3A"/>
    <w:rsid w:val="00E64B27"/>
    <w:rsid w:val="00E64D3A"/>
    <w:rsid w:val="00E65C3D"/>
    <w:rsid w:val="00E667C3"/>
    <w:rsid w:val="00E679D6"/>
    <w:rsid w:val="00E67A7B"/>
    <w:rsid w:val="00E70634"/>
    <w:rsid w:val="00E70910"/>
    <w:rsid w:val="00E734BE"/>
    <w:rsid w:val="00E7596B"/>
    <w:rsid w:val="00E76686"/>
    <w:rsid w:val="00E77775"/>
    <w:rsid w:val="00E81882"/>
    <w:rsid w:val="00E833D9"/>
    <w:rsid w:val="00E85E56"/>
    <w:rsid w:val="00E879AC"/>
    <w:rsid w:val="00E87A95"/>
    <w:rsid w:val="00E90155"/>
    <w:rsid w:val="00E90B6F"/>
    <w:rsid w:val="00E9153C"/>
    <w:rsid w:val="00E9182E"/>
    <w:rsid w:val="00E92A87"/>
    <w:rsid w:val="00E955EB"/>
    <w:rsid w:val="00E95C4F"/>
    <w:rsid w:val="00E95D3D"/>
    <w:rsid w:val="00E9727B"/>
    <w:rsid w:val="00E97562"/>
    <w:rsid w:val="00E9772E"/>
    <w:rsid w:val="00EA05FB"/>
    <w:rsid w:val="00EA182F"/>
    <w:rsid w:val="00EA3A09"/>
    <w:rsid w:val="00EA3AA4"/>
    <w:rsid w:val="00EA47B3"/>
    <w:rsid w:val="00EA528E"/>
    <w:rsid w:val="00EA54E1"/>
    <w:rsid w:val="00EA5E96"/>
    <w:rsid w:val="00EA6736"/>
    <w:rsid w:val="00EA700F"/>
    <w:rsid w:val="00EB16F3"/>
    <w:rsid w:val="00EB1F6E"/>
    <w:rsid w:val="00EB3323"/>
    <w:rsid w:val="00EB4443"/>
    <w:rsid w:val="00EB516D"/>
    <w:rsid w:val="00EB53BF"/>
    <w:rsid w:val="00EB5A70"/>
    <w:rsid w:val="00EB5C31"/>
    <w:rsid w:val="00EB7E27"/>
    <w:rsid w:val="00EC089D"/>
    <w:rsid w:val="00EC332C"/>
    <w:rsid w:val="00EC4A34"/>
    <w:rsid w:val="00EC6E2B"/>
    <w:rsid w:val="00EC7D7C"/>
    <w:rsid w:val="00ED133B"/>
    <w:rsid w:val="00ED203C"/>
    <w:rsid w:val="00ED28A1"/>
    <w:rsid w:val="00ED2BE1"/>
    <w:rsid w:val="00ED327D"/>
    <w:rsid w:val="00ED3A2E"/>
    <w:rsid w:val="00ED54D9"/>
    <w:rsid w:val="00ED7361"/>
    <w:rsid w:val="00EE0652"/>
    <w:rsid w:val="00EE13ED"/>
    <w:rsid w:val="00EE1586"/>
    <w:rsid w:val="00EE1B78"/>
    <w:rsid w:val="00EE4065"/>
    <w:rsid w:val="00EF10E8"/>
    <w:rsid w:val="00EF2828"/>
    <w:rsid w:val="00EF6148"/>
    <w:rsid w:val="00EF711B"/>
    <w:rsid w:val="00EF7C82"/>
    <w:rsid w:val="00F001DE"/>
    <w:rsid w:val="00F00A61"/>
    <w:rsid w:val="00F00DA6"/>
    <w:rsid w:val="00F02920"/>
    <w:rsid w:val="00F077AB"/>
    <w:rsid w:val="00F1136A"/>
    <w:rsid w:val="00F11C76"/>
    <w:rsid w:val="00F11F13"/>
    <w:rsid w:val="00F12292"/>
    <w:rsid w:val="00F13991"/>
    <w:rsid w:val="00F14474"/>
    <w:rsid w:val="00F16B39"/>
    <w:rsid w:val="00F206A8"/>
    <w:rsid w:val="00F20DEF"/>
    <w:rsid w:val="00F21464"/>
    <w:rsid w:val="00F2654C"/>
    <w:rsid w:val="00F2723E"/>
    <w:rsid w:val="00F30F48"/>
    <w:rsid w:val="00F30FD1"/>
    <w:rsid w:val="00F3162F"/>
    <w:rsid w:val="00F32F74"/>
    <w:rsid w:val="00F33B89"/>
    <w:rsid w:val="00F33DD4"/>
    <w:rsid w:val="00F400CB"/>
    <w:rsid w:val="00F4099F"/>
    <w:rsid w:val="00F41E7A"/>
    <w:rsid w:val="00F41F00"/>
    <w:rsid w:val="00F4294D"/>
    <w:rsid w:val="00F43542"/>
    <w:rsid w:val="00F43C65"/>
    <w:rsid w:val="00F43DA9"/>
    <w:rsid w:val="00F44583"/>
    <w:rsid w:val="00F44779"/>
    <w:rsid w:val="00F45CA2"/>
    <w:rsid w:val="00F47086"/>
    <w:rsid w:val="00F50271"/>
    <w:rsid w:val="00F51551"/>
    <w:rsid w:val="00F523DF"/>
    <w:rsid w:val="00F54D90"/>
    <w:rsid w:val="00F56AFB"/>
    <w:rsid w:val="00F56D60"/>
    <w:rsid w:val="00F5725D"/>
    <w:rsid w:val="00F6055C"/>
    <w:rsid w:val="00F610D1"/>
    <w:rsid w:val="00F61401"/>
    <w:rsid w:val="00F614C4"/>
    <w:rsid w:val="00F61832"/>
    <w:rsid w:val="00F63360"/>
    <w:rsid w:val="00F6663E"/>
    <w:rsid w:val="00F709F7"/>
    <w:rsid w:val="00F7240D"/>
    <w:rsid w:val="00F729FF"/>
    <w:rsid w:val="00F751F3"/>
    <w:rsid w:val="00F7736E"/>
    <w:rsid w:val="00F8031B"/>
    <w:rsid w:val="00F807F0"/>
    <w:rsid w:val="00F82736"/>
    <w:rsid w:val="00F84770"/>
    <w:rsid w:val="00F853FA"/>
    <w:rsid w:val="00F85BB1"/>
    <w:rsid w:val="00F903A1"/>
    <w:rsid w:val="00F90CD2"/>
    <w:rsid w:val="00F91720"/>
    <w:rsid w:val="00F91971"/>
    <w:rsid w:val="00F943FA"/>
    <w:rsid w:val="00F94F74"/>
    <w:rsid w:val="00F96BFE"/>
    <w:rsid w:val="00F97279"/>
    <w:rsid w:val="00F9794C"/>
    <w:rsid w:val="00FA0D7B"/>
    <w:rsid w:val="00FA4CFE"/>
    <w:rsid w:val="00FA6B99"/>
    <w:rsid w:val="00FA7E94"/>
    <w:rsid w:val="00FB2299"/>
    <w:rsid w:val="00FB22E7"/>
    <w:rsid w:val="00FB27A9"/>
    <w:rsid w:val="00FB4910"/>
    <w:rsid w:val="00FB53D3"/>
    <w:rsid w:val="00FB5B5D"/>
    <w:rsid w:val="00FB623B"/>
    <w:rsid w:val="00FB692F"/>
    <w:rsid w:val="00FB7BFA"/>
    <w:rsid w:val="00FC198F"/>
    <w:rsid w:val="00FC2C3F"/>
    <w:rsid w:val="00FC397E"/>
    <w:rsid w:val="00FC42B2"/>
    <w:rsid w:val="00FC62CC"/>
    <w:rsid w:val="00FC63AE"/>
    <w:rsid w:val="00FC6E73"/>
    <w:rsid w:val="00FD0290"/>
    <w:rsid w:val="00FD2CAC"/>
    <w:rsid w:val="00FD59F6"/>
    <w:rsid w:val="00FD5D75"/>
    <w:rsid w:val="00FD6AEC"/>
    <w:rsid w:val="00FD7A84"/>
    <w:rsid w:val="00FE0E81"/>
    <w:rsid w:val="00FE2EB1"/>
    <w:rsid w:val="00FE437D"/>
    <w:rsid w:val="00FE59E6"/>
    <w:rsid w:val="00FE68EF"/>
    <w:rsid w:val="00FE78FA"/>
    <w:rsid w:val="00FF280D"/>
    <w:rsid w:val="00FF33B1"/>
    <w:rsid w:val="00FF372F"/>
    <w:rsid w:val="00FF43E4"/>
    <w:rsid w:val="00FF4CC7"/>
    <w:rsid w:val="00FF68E7"/>
    <w:rsid w:val="00FF6C1E"/>
    <w:rsid w:val="00FF6DCA"/>
    <w:rsid w:val="01977463"/>
    <w:rsid w:val="03B00933"/>
    <w:rsid w:val="03C6AEB5"/>
    <w:rsid w:val="044B0296"/>
    <w:rsid w:val="04A4E06D"/>
    <w:rsid w:val="060A2536"/>
    <w:rsid w:val="0665A570"/>
    <w:rsid w:val="06F90A50"/>
    <w:rsid w:val="071FB8C0"/>
    <w:rsid w:val="072FC947"/>
    <w:rsid w:val="07472211"/>
    <w:rsid w:val="07813318"/>
    <w:rsid w:val="07D7EB6C"/>
    <w:rsid w:val="0822D02F"/>
    <w:rsid w:val="0888C62D"/>
    <w:rsid w:val="08F7F874"/>
    <w:rsid w:val="096B343A"/>
    <w:rsid w:val="09A6FCD3"/>
    <w:rsid w:val="0A086225"/>
    <w:rsid w:val="0BFD1FE8"/>
    <w:rsid w:val="0D07EA83"/>
    <w:rsid w:val="0E3AE007"/>
    <w:rsid w:val="0E842309"/>
    <w:rsid w:val="0F6DF189"/>
    <w:rsid w:val="1002A1B5"/>
    <w:rsid w:val="100504FB"/>
    <w:rsid w:val="10902146"/>
    <w:rsid w:val="10D173B5"/>
    <w:rsid w:val="1189EAE2"/>
    <w:rsid w:val="119D566B"/>
    <w:rsid w:val="11BCA769"/>
    <w:rsid w:val="12497134"/>
    <w:rsid w:val="12700CB2"/>
    <w:rsid w:val="130C8222"/>
    <w:rsid w:val="130FAD34"/>
    <w:rsid w:val="1352E4D3"/>
    <w:rsid w:val="1385A84C"/>
    <w:rsid w:val="1389FF28"/>
    <w:rsid w:val="156D0CC4"/>
    <w:rsid w:val="15873CA8"/>
    <w:rsid w:val="1589AB10"/>
    <w:rsid w:val="15C6A411"/>
    <w:rsid w:val="1638BD63"/>
    <w:rsid w:val="16557CC1"/>
    <w:rsid w:val="173607B0"/>
    <w:rsid w:val="173C5EBF"/>
    <w:rsid w:val="1760F4D0"/>
    <w:rsid w:val="17850151"/>
    <w:rsid w:val="17D6BB35"/>
    <w:rsid w:val="17D8E357"/>
    <w:rsid w:val="182EEB9A"/>
    <w:rsid w:val="1931FEBF"/>
    <w:rsid w:val="1996CD8A"/>
    <w:rsid w:val="19F3A259"/>
    <w:rsid w:val="1A8A9F58"/>
    <w:rsid w:val="1AACFDD9"/>
    <w:rsid w:val="1AD04E9F"/>
    <w:rsid w:val="1B06C35A"/>
    <w:rsid w:val="1B637A3C"/>
    <w:rsid w:val="1C70AD53"/>
    <w:rsid w:val="1C82D948"/>
    <w:rsid w:val="1DAD379A"/>
    <w:rsid w:val="1DD498E5"/>
    <w:rsid w:val="1E0152FF"/>
    <w:rsid w:val="1E362177"/>
    <w:rsid w:val="1E4F56F5"/>
    <w:rsid w:val="1F36B952"/>
    <w:rsid w:val="1FCBAFC8"/>
    <w:rsid w:val="1FF27D4A"/>
    <w:rsid w:val="202450DC"/>
    <w:rsid w:val="206B35E9"/>
    <w:rsid w:val="20C1EDB3"/>
    <w:rsid w:val="20CF9A1D"/>
    <w:rsid w:val="218B9B47"/>
    <w:rsid w:val="22050C76"/>
    <w:rsid w:val="22222502"/>
    <w:rsid w:val="224054A4"/>
    <w:rsid w:val="227AA2A4"/>
    <w:rsid w:val="24BCB10F"/>
    <w:rsid w:val="24C86FB8"/>
    <w:rsid w:val="2566ED3E"/>
    <w:rsid w:val="26559F49"/>
    <w:rsid w:val="268A6F49"/>
    <w:rsid w:val="2695C584"/>
    <w:rsid w:val="26CE024C"/>
    <w:rsid w:val="27840415"/>
    <w:rsid w:val="27E6AD78"/>
    <w:rsid w:val="27EF47BB"/>
    <w:rsid w:val="280DC4FF"/>
    <w:rsid w:val="291847BC"/>
    <w:rsid w:val="29A29775"/>
    <w:rsid w:val="2A49DD6E"/>
    <w:rsid w:val="2B11A02D"/>
    <w:rsid w:val="2B6DDF92"/>
    <w:rsid w:val="2B726C2D"/>
    <w:rsid w:val="2C25BF2A"/>
    <w:rsid w:val="2CE2ADB7"/>
    <w:rsid w:val="2D39EABF"/>
    <w:rsid w:val="2E39E359"/>
    <w:rsid w:val="2E64C7B7"/>
    <w:rsid w:val="2E730395"/>
    <w:rsid w:val="2F4E267A"/>
    <w:rsid w:val="31482B7B"/>
    <w:rsid w:val="31BD7A08"/>
    <w:rsid w:val="333EB9EB"/>
    <w:rsid w:val="34381627"/>
    <w:rsid w:val="34499340"/>
    <w:rsid w:val="348F280A"/>
    <w:rsid w:val="34E052E4"/>
    <w:rsid w:val="35D5BC7E"/>
    <w:rsid w:val="3603419D"/>
    <w:rsid w:val="367AA49D"/>
    <w:rsid w:val="36E531BB"/>
    <w:rsid w:val="3706172F"/>
    <w:rsid w:val="371EAF5F"/>
    <w:rsid w:val="3733BED2"/>
    <w:rsid w:val="374768EF"/>
    <w:rsid w:val="3A062FF4"/>
    <w:rsid w:val="3AAB0131"/>
    <w:rsid w:val="3B61D2F6"/>
    <w:rsid w:val="3BBD6FA8"/>
    <w:rsid w:val="3BC85152"/>
    <w:rsid w:val="3BD06377"/>
    <w:rsid w:val="3BEF920A"/>
    <w:rsid w:val="3CB06554"/>
    <w:rsid w:val="3D1DD53E"/>
    <w:rsid w:val="3D783B76"/>
    <w:rsid w:val="3D9606C7"/>
    <w:rsid w:val="3DE4BAED"/>
    <w:rsid w:val="3E037EB5"/>
    <w:rsid w:val="3E9B08F2"/>
    <w:rsid w:val="3EBDB119"/>
    <w:rsid w:val="3FA933BC"/>
    <w:rsid w:val="3FC8A15E"/>
    <w:rsid w:val="40518CD7"/>
    <w:rsid w:val="40CFC5B8"/>
    <w:rsid w:val="40E7EA90"/>
    <w:rsid w:val="40F9E109"/>
    <w:rsid w:val="416E5F60"/>
    <w:rsid w:val="4189BED5"/>
    <w:rsid w:val="41AD378A"/>
    <w:rsid w:val="41B1C105"/>
    <w:rsid w:val="4210C4BB"/>
    <w:rsid w:val="42198B98"/>
    <w:rsid w:val="421BFB07"/>
    <w:rsid w:val="4354B4FC"/>
    <w:rsid w:val="44871E54"/>
    <w:rsid w:val="44F7AC95"/>
    <w:rsid w:val="455B1545"/>
    <w:rsid w:val="46216A0B"/>
    <w:rsid w:val="477998AE"/>
    <w:rsid w:val="4796198A"/>
    <w:rsid w:val="47FFB84C"/>
    <w:rsid w:val="487C8F20"/>
    <w:rsid w:val="48A814AA"/>
    <w:rsid w:val="4991FF40"/>
    <w:rsid w:val="49D1D5E1"/>
    <w:rsid w:val="4A3347CD"/>
    <w:rsid w:val="4A59D75E"/>
    <w:rsid w:val="4B798D39"/>
    <w:rsid w:val="4BB2460D"/>
    <w:rsid w:val="4BB886D1"/>
    <w:rsid w:val="4C486594"/>
    <w:rsid w:val="4C54F344"/>
    <w:rsid w:val="4C5CB681"/>
    <w:rsid w:val="4C9EC012"/>
    <w:rsid w:val="4D4FA38E"/>
    <w:rsid w:val="4DB880E5"/>
    <w:rsid w:val="4EB13412"/>
    <w:rsid w:val="4EBB9B6C"/>
    <w:rsid w:val="4FA569EB"/>
    <w:rsid w:val="50B2566B"/>
    <w:rsid w:val="526665D7"/>
    <w:rsid w:val="53EC7331"/>
    <w:rsid w:val="5466F5CD"/>
    <w:rsid w:val="54A45DB4"/>
    <w:rsid w:val="54F00F14"/>
    <w:rsid w:val="54F59C2A"/>
    <w:rsid w:val="556BD28E"/>
    <w:rsid w:val="556DB2FF"/>
    <w:rsid w:val="55AFA322"/>
    <w:rsid w:val="56000A18"/>
    <w:rsid w:val="5650491C"/>
    <w:rsid w:val="56996743"/>
    <w:rsid w:val="56EE7F5D"/>
    <w:rsid w:val="572613DA"/>
    <w:rsid w:val="5798C9A9"/>
    <w:rsid w:val="57C7E3EC"/>
    <w:rsid w:val="588FA01D"/>
    <w:rsid w:val="5923C05A"/>
    <w:rsid w:val="59356D18"/>
    <w:rsid w:val="59360206"/>
    <w:rsid w:val="5979D751"/>
    <w:rsid w:val="5A05DA03"/>
    <w:rsid w:val="5BCB5B7B"/>
    <w:rsid w:val="5D0A944F"/>
    <w:rsid w:val="5D70190A"/>
    <w:rsid w:val="5E1A9FDF"/>
    <w:rsid w:val="5EF20784"/>
    <w:rsid w:val="5EF8F21C"/>
    <w:rsid w:val="5F8C21F2"/>
    <w:rsid w:val="604E1D2B"/>
    <w:rsid w:val="61A161BF"/>
    <w:rsid w:val="61B201F5"/>
    <w:rsid w:val="62215B58"/>
    <w:rsid w:val="62548A9B"/>
    <w:rsid w:val="6254DE7C"/>
    <w:rsid w:val="62CB9C94"/>
    <w:rsid w:val="63C9C9FF"/>
    <w:rsid w:val="642CE925"/>
    <w:rsid w:val="644E52A4"/>
    <w:rsid w:val="6517E9B4"/>
    <w:rsid w:val="653008AB"/>
    <w:rsid w:val="65BC1D8B"/>
    <w:rsid w:val="665A2726"/>
    <w:rsid w:val="665B6405"/>
    <w:rsid w:val="66FAE894"/>
    <w:rsid w:val="6762934E"/>
    <w:rsid w:val="68225D8B"/>
    <w:rsid w:val="68370B0A"/>
    <w:rsid w:val="686A82D2"/>
    <w:rsid w:val="68D802F7"/>
    <w:rsid w:val="69FE8594"/>
    <w:rsid w:val="6A11129A"/>
    <w:rsid w:val="6A27A651"/>
    <w:rsid w:val="6B4F9A4B"/>
    <w:rsid w:val="6D49AC33"/>
    <w:rsid w:val="6E01A8D8"/>
    <w:rsid w:val="6E247E6A"/>
    <w:rsid w:val="6ED717B5"/>
    <w:rsid w:val="6F14247E"/>
    <w:rsid w:val="6F37B845"/>
    <w:rsid w:val="6FFCB85B"/>
    <w:rsid w:val="70C097CA"/>
    <w:rsid w:val="718FBCF7"/>
    <w:rsid w:val="72A3D9BE"/>
    <w:rsid w:val="734702F4"/>
    <w:rsid w:val="741E381F"/>
    <w:rsid w:val="7553104F"/>
    <w:rsid w:val="76013C9A"/>
    <w:rsid w:val="763D28E0"/>
    <w:rsid w:val="766793C5"/>
    <w:rsid w:val="768752CE"/>
    <w:rsid w:val="77027A2A"/>
    <w:rsid w:val="777FEE59"/>
    <w:rsid w:val="780B9BBB"/>
    <w:rsid w:val="780D2CC1"/>
    <w:rsid w:val="78437966"/>
    <w:rsid w:val="795EB55B"/>
    <w:rsid w:val="79EBB109"/>
    <w:rsid w:val="7A257E0E"/>
    <w:rsid w:val="7ADEC58F"/>
    <w:rsid w:val="7AFDEEA9"/>
    <w:rsid w:val="7C18DB35"/>
    <w:rsid w:val="7D3C8909"/>
    <w:rsid w:val="7D8DA1AA"/>
    <w:rsid w:val="7E831DB8"/>
    <w:rsid w:val="7E892B32"/>
    <w:rsid w:val="7EB3D232"/>
    <w:rsid w:val="7F1503A2"/>
    <w:rsid w:val="7F3B75FD"/>
    <w:rsid w:val="7F62392F"/>
    <w:rsid w:val="7FC6E325"/>
    <w:rsid w:val="7FD16772"/>
    <w:rsid w:val="7FE8CFC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8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CE"/>
    <w:pPr>
      <w:spacing w:after="60" w:line="276"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39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8711FD"/>
    <w:pPr>
      <w:ind w:left="720"/>
    </w:pPr>
  </w:style>
  <w:style w:type="numbering" w:customStyle="1" w:styleId="NoIndentBullet">
    <w:name w:val="NoIndentBullet"/>
    <w:uiPriority w:val="99"/>
    <w:rsid w:val="008711FD"/>
    <w:pPr>
      <w:numPr>
        <w:numId w:val="2"/>
      </w:numPr>
    </w:pPr>
  </w:style>
  <w:style w:type="table" w:styleId="TableGrid">
    <w:name w:val="Table Grid"/>
    <w:basedOn w:val="TableNormal"/>
    <w:uiPriority w:val="3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81B96"/>
    <w:pPr>
      <w:numPr>
        <w:numId w:val="3"/>
      </w:numPr>
      <w:contextualSpacing/>
    </w:p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rPr>
      <w:rFonts w:cs="Arial"/>
    </w:rPr>
  </w:style>
  <w:style w:type="paragraph" w:customStyle="1" w:styleId="TeThHauorabullets">
    <w:name w:val="Te Tāhū Hauora bullets"/>
    <w:basedOn w:val="Normal"/>
    <w:qFormat/>
    <w:rsid w:val="00AF34CE"/>
    <w:pPr>
      <w:numPr>
        <w:numId w:val="4"/>
      </w:numPr>
    </w:pPr>
    <w:rPr>
      <w:rFonts w:cs="Arial"/>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rPr>
      <w:rFonts w:cs="Arial"/>
      <w:b/>
    </w:rPr>
  </w:style>
  <w:style w:type="paragraph" w:customStyle="1" w:styleId="TeThHauoratablecolumnhead">
    <w:name w:val="Te Tāhū Hauora table column head"/>
    <w:basedOn w:val="Normal"/>
    <w:qFormat/>
    <w:rsid w:val="00581B96"/>
    <w:pPr>
      <w:framePr w:hSpace="180" w:wrap="around" w:vAnchor="text" w:hAnchor="margin" w:y="2"/>
      <w:spacing w:before="60" w:line="240" w:lineRule="auto"/>
    </w:pPr>
    <w:rPr>
      <w:rFonts w:cs="Arial"/>
      <w:b/>
    </w:rPr>
  </w:style>
  <w:style w:type="paragraph" w:customStyle="1" w:styleId="TeThHauoratablecontent">
    <w:name w:val="Te Tāhū Hauora table content"/>
    <w:basedOn w:val="Normal"/>
    <w:qFormat/>
    <w:rsid w:val="00581B96"/>
    <w:pPr>
      <w:framePr w:hSpace="180" w:wrap="around" w:vAnchor="text" w:hAnchor="margin" w:y="2"/>
      <w:spacing w:before="60" w:line="240" w:lineRule="auto"/>
    </w:pPr>
    <w:rPr>
      <w:rFonts w:cs="Arial"/>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ind w:left="720"/>
    </w:p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rsid w:val="009822C8"/>
    <w:pPr>
      <w:tabs>
        <w:tab w:val="center" w:pos="4153"/>
        <w:tab w:val="right" w:pos="8306"/>
      </w:tabs>
    </w:pPr>
  </w:style>
  <w:style w:type="character" w:customStyle="1" w:styleId="HeaderChar">
    <w:name w:val="Header Char"/>
    <w:basedOn w:val="DefaultParagraphFont"/>
    <w:link w:val="Header"/>
    <w:uiPriority w:val="99"/>
    <w:rsid w:val="009822C8"/>
    <w:rPr>
      <w:rFonts w:ascii="Arial" w:eastAsia="Times New Roman" w:hAnsi="Arial" w:cs="Times New Roman"/>
      <w:kern w:val="0"/>
      <w:szCs w:val="20"/>
      <w:lang w:eastAsia="en-GB"/>
      <w14:ligatures w14:val="none"/>
    </w:rPr>
  </w:style>
  <w:style w:type="paragraph" w:styleId="Footer">
    <w:name w:val="footer"/>
    <w:basedOn w:val="Normal"/>
    <w:link w:val="FooterChar"/>
    <w:uiPriority w:val="99"/>
    <w:rsid w:val="009822C8"/>
    <w:pPr>
      <w:tabs>
        <w:tab w:val="center" w:pos="4153"/>
        <w:tab w:val="right" w:pos="8306"/>
      </w:tabs>
    </w:pPr>
  </w:style>
  <w:style w:type="character" w:customStyle="1" w:styleId="FooterChar">
    <w:name w:val="Footer Char"/>
    <w:basedOn w:val="DefaultParagraphFont"/>
    <w:link w:val="Footer"/>
    <w:uiPriority w:val="99"/>
    <w:rsid w:val="009822C8"/>
    <w:rPr>
      <w:rFonts w:ascii="Arial" w:eastAsia="Times New Roman" w:hAnsi="Arial" w:cs="Times New Roman"/>
      <w:kern w:val="0"/>
      <w:szCs w:val="20"/>
      <w:lang w:eastAsia="en-GB"/>
      <w14:ligatures w14:val="none"/>
    </w:rPr>
  </w:style>
  <w:style w:type="paragraph" w:customStyle="1" w:styleId="TableText">
    <w:name w:val="TableText"/>
    <w:basedOn w:val="Normal"/>
    <w:rsid w:val="009822C8"/>
    <w:pPr>
      <w:spacing w:before="80" w:after="80"/>
    </w:pPr>
    <w:rPr>
      <w:sz w:val="20"/>
    </w:rPr>
  </w:style>
  <w:style w:type="paragraph" w:styleId="FootnoteText">
    <w:name w:val="footnote text"/>
    <w:basedOn w:val="Normal"/>
    <w:link w:val="FootnoteTextChar"/>
    <w:rsid w:val="009822C8"/>
    <w:rPr>
      <w:sz w:val="20"/>
    </w:rPr>
  </w:style>
  <w:style w:type="character" w:customStyle="1" w:styleId="FootnoteTextChar">
    <w:name w:val="Footnote Text Char"/>
    <w:basedOn w:val="DefaultParagraphFont"/>
    <w:link w:val="FootnoteText"/>
    <w:rsid w:val="009822C8"/>
    <w:rPr>
      <w:rFonts w:ascii="Arial" w:eastAsia="Times New Roman" w:hAnsi="Arial" w:cs="Times New Roman"/>
      <w:kern w:val="0"/>
      <w:sz w:val="20"/>
      <w:szCs w:val="20"/>
      <w:lang w:eastAsia="en-GB"/>
      <w14:ligatures w14:val="none"/>
    </w:rPr>
  </w:style>
  <w:style w:type="character" w:styleId="FootnoteReference">
    <w:name w:val="footnote reference"/>
    <w:rsid w:val="009822C8"/>
    <w:rPr>
      <w:vertAlign w:val="superscript"/>
    </w:rPr>
  </w:style>
  <w:style w:type="paragraph" w:styleId="BalloonText">
    <w:name w:val="Balloon Text"/>
    <w:basedOn w:val="Normal"/>
    <w:link w:val="BalloonTextChar"/>
    <w:semiHidden/>
    <w:rsid w:val="009822C8"/>
    <w:rPr>
      <w:rFonts w:ascii="Tahoma" w:hAnsi="Tahoma" w:cs="Tahoma"/>
      <w:sz w:val="16"/>
      <w:szCs w:val="16"/>
    </w:rPr>
  </w:style>
  <w:style w:type="character" w:customStyle="1" w:styleId="BalloonTextChar">
    <w:name w:val="Balloon Text Char"/>
    <w:basedOn w:val="DefaultParagraphFont"/>
    <w:link w:val="BalloonText"/>
    <w:semiHidden/>
    <w:rsid w:val="009822C8"/>
    <w:rPr>
      <w:rFonts w:ascii="Tahoma" w:eastAsia="Times New Roman" w:hAnsi="Tahoma" w:cs="Tahoma"/>
      <w:kern w:val="0"/>
      <w:sz w:val="16"/>
      <w:szCs w:val="16"/>
      <w:lang w:eastAsia="en-GB"/>
      <w14:ligatures w14:val="none"/>
    </w:rPr>
  </w:style>
  <w:style w:type="character" w:styleId="PageNumber">
    <w:name w:val="page number"/>
    <w:basedOn w:val="DefaultParagraphFont"/>
    <w:rsid w:val="009822C8"/>
  </w:style>
  <w:style w:type="character" w:styleId="Hyperlink">
    <w:name w:val="Hyperlink"/>
    <w:uiPriority w:val="99"/>
    <w:rsid w:val="009822C8"/>
    <w:rPr>
      <w:color w:val="0000FF"/>
      <w:u w:val="single"/>
    </w:rPr>
  </w:style>
  <w:style w:type="paragraph" w:customStyle="1" w:styleId="MediumGrid21">
    <w:name w:val="Medium Grid 21"/>
    <w:uiPriority w:val="1"/>
    <w:qFormat/>
    <w:rsid w:val="009822C8"/>
    <w:pPr>
      <w:spacing w:after="0" w:line="240" w:lineRule="auto"/>
    </w:pPr>
    <w:rPr>
      <w:rFonts w:ascii="Arial" w:eastAsia="Times New Roman" w:hAnsi="Arial" w:cs="Times New Roman"/>
      <w:kern w:val="0"/>
      <w:szCs w:val="20"/>
      <w:lang w:eastAsia="en-GB"/>
      <w14:ligatures w14:val="none"/>
    </w:rPr>
  </w:style>
  <w:style w:type="paragraph" w:styleId="NormalWeb">
    <w:name w:val="Normal (Web)"/>
    <w:basedOn w:val="Normal"/>
    <w:uiPriority w:val="99"/>
    <w:rsid w:val="009822C8"/>
    <w:rPr>
      <w:rFonts w:ascii="Times New Roman" w:hAnsi="Times New Roman"/>
      <w:sz w:val="24"/>
      <w:szCs w:val="24"/>
    </w:rPr>
  </w:style>
  <w:style w:type="character" w:customStyle="1" w:styleId="highlight">
    <w:name w:val="highlight"/>
    <w:basedOn w:val="DefaultParagraphFont"/>
    <w:rsid w:val="009822C8"/>
  </w:style>
  <w:style w:type="character" w:styleId="Emphasis">
    <w:name w:val="Emphasis"/>
    <w:uiPriority w:val="20"/>
    <w:qFormat/>
    <w:rsid w:val="009822C8"/>
    <w:rPr>
      <w:i/>
      <w:iCs/>
    </w:rPr>
  </w:style>
  <w:style w:type="paragraph" w:styleId="EndnoteText">
    <w:name w:val="endnote text"/>
    <w:basedOn w:val="Normal"/>
    <w:link w:val="EndnoteTextChar"/>
    <w:uiPriority w:val="99"/>
    <w:rsid w:val="009822C8"/>
    <w:rPr>
      <w:sz w:val="20"/>
    </w:rPr>
  </w:style>
  <w:style w:type="character" w:customStyle="1" w:styleId="EndnoteTextChar">
    <w:name w:val="Endnote Text Char"/>
    <w:basedOn w:val="DefaultParagraphFont"/>
    <w:link w:val="EndnoteText"/>
    <w:uiPriority w:val="99"/>
    <w:rsid w:val="009822C8"/>
    <w:rPr>
      <w:rFonts w:ascii="Arial" w:eastAsia="Times New Roman" w:hAnsi="Arial" w:cs="Times New Roman"/>
      <w:kern w:val="0"/>
      <w:sz w:val="20"/>
      <w:szCs w:val="20"/>
      <w:lang w:eastAsia="en-GB"/>
      <w14:ligatures w14:val="none"/>
    </w:rPr>
  </w:style>
  <w:style w:type="character" w:styleId="EndnoteReference">
    <w:name w:val="endnote reference"/>
    <w:rsid w:val="009822C8"/>
    <w:rPr>
      <w:vertAlign w:val="superscript"/>
    </w:rPr>
  </w:style>
  <w:style w:type="paragraph" w:customStyle="1" w:styleId="ColorfulList-Accent11">
    <w:name w:val="Colorful List - Accent 11"/>
    <w:basedOn w:val="Normal"/>
    <w:uiPriority w:val="34"/>
    <w:qFormat/>
    <w:rsid w:val="009822C8"/>
    <w:pPr>
      <w:ind w:left="720"/>
    </w:pPr>
    <w:rPr>
      <w:rFonts w:ascii="Calibri" w:eastAsia="Calibri" w:hAnsi="Calibri" w:cs="Calibri"/>
      <w:szCs w:val="22"/>
      <w:lang w:eastAsia="en-US"/>
    </w:rPr>
  </w:style>
  <w:style w:type="character" w:styleId="CommentReference">
    <w:name w:val="annotation reference"/>
    <w:uiPriority w:val="99"/>
    <w:rsid w:val="009822C8"/>
    <w:rPr>
      <w:sz w:val="18"/>
      <w:szCs w:val="18"/>
    </w:rPr>
  </w:style>
  <w:style w:type="paragraph" w:styleId="CommentText">
    <w:name w:val="annotation text"/>
    <w:basedOn w:val="Normal"/>
    <w:link w:val="CommentTextChar"/>
    <w:uiPriority w:val="99"/>
    <w:rsid w:val="009822C8"/>
    <w:rPr>
      <w:sz w:val="24"/>
      <w:szCs w:val="24"/>
    </w:rPr>
  </w:style>
  <w:style w:type="character" w:customStyle="1" w:styleId="CommentTextChar">
    <w:name w:val="Comment Text Char"/>
    <w:basedOn w:val="DefaultParagraphFont"/>
    <w:link w:val="CommentText"/>
    <w:uiPriority w:val="99"/>
    <w:rsid w:val="009822C8"/>
    <w:rPr>
      <w:rFonts w:ascii="Arial" w:eastAsia="Times New Roman" w:hAnsi="Arial" w:cs="Times New Roman"/>
      <w:kern w:val="0"/>
      <w:sz w:val="24"/>
      <w:szCs w:val="24"/>
      <w:lang w:eastAsia="en-GB"/>
      <w14:ligatures w14:val="none"/>
    </w:rPr>
  </w:style>
  <w:style w:type="paragraph" w:styleId="CommentSubject">
    <w:name w:val="annotation subject"/>
    <w:basedOn w:val="CommentText"/>
    <w:next w:val="CommentText"/>
    <w:link w:val="CommentSubjectChar"/>
    <w:rsid w:val="009822C8"/>
    <w:rPr>
      <w:b/>
      <w:bCs/>
      <w:sz w:val="20"/>
      <w:szCs w:val="20"/>
    </w:rPr>
  </w:style>
  <w:style w:type="character" w:customStyle="1" w:styleId="CommentSubjectChar">
    <w:name w:val="Comment Subject Char"/>
    <w:basedOn w:val="CommentTextChar"/>
    <w:link w:val="CommentSubject"/>
    <w:rsid w:val="009822C8"/>
    <w:rPr>
      <w:rFonts w:ascii="Arial" w:eastAsia="Times New Roman" w:hAnsi="Arial" w:cs="Times New Roman"/>
      <w:b/>
      <w:bCs/>
      <w:kern w:val="0"/>
      <w:sz w:val="20"/>
      <w:szCs w:val="20"/>
      <w:lang w:eastAsia="en-GB"/>
      <w14:ligatures w14:val="none"/>
    </w:rPr>
  </w:style>
  <w:style w:type="character" w:styleId="FollowedHyperlink">
    <w:name w:val="FollowedHyperlink"/>
    <w:rsid w:val="009822C8"/>
    <w:rPr>
      <w:color w:val="954F72"/>
      <w:u w:val="single"/>
    </w:rPr>
  </w:style>
  <w:style w:type="character" w:styleId="UnresolvedMention">
    <w:name w:val="Unresolved Mention"/>
    <w:uiPriority w:val="99"/>
    <w:semiHidden/>
    <w:unhideWhenUsed/>
    <w:rsid w:val="009822C8"/>
    <w:rPr>
      <w:color w:val="605E5C"/>
      <w:shd w:val="clear" w:color="auto" w:fill="E1DFDD"/>
    </w:rPr>
  </w:style>
  <w:style w:type="character" w:customStyle="1" w:styleId="codedvalue">
    <w:name w:val="codedvalue"/>
    <w:rsid w:val="009822C8"/>
  </w:style>
  <w:style w:type="character" w:customStyle="1" w:styleId="ListParagraphChar">
    <w:name w:val="List Paragraph Char"/>
    <w:aliases w:val="Bullet Normal Char"/>
    <w:link w:val="ListParagraph"/>
    <w:uiPriority w:val="34"/>
    <w:locked/>
    <w:rsid w:val="009822C8"/>
    <w:rPr>
      <w:rFonts w:ascii="Arial" w:hAnsi="Arial"/>
      <w:kern w:val="0"/>
      <w14:ligatures w14:val="none"/>
    </w:rPr>
  </w:style>
  <w:style w:type="table" w:styleId="TableGridLight">
    <w:name w:val="Grid Table Light"/>
    <w:basedOn w:val="TableNormal"/>
    <w:uiPriority w:val="40"/>
    <w:rsid w:val="009822C8"/>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9822C8"/>
    <w:pPr>
      <w:spacing w:after="0" w:line="240" w:lineRule="auto"/>
    </w:pPr>
    <w:rPr>
      <w:rFonts w:ascii="Arial" w:eastAsia="Times New Roman" w:hAnsi="Arial" w:cs="Times New Roman"/>
      <w:kern w:val="0"/>
      <w:szCs w:val="20"/>
      <w:lang w:eastAsia="en-GB"/>
      <w14:ligatures w14:val="none"/>
    </w:rPr>
  </w:style>
  <w:style w:type="paragraph" w:styleId="ListNumber">
    <w:name w:val="List Number"/>
    <w:basedOn w:val="Normal"/>
    <w:rsid w:val="009822C8"/>
    <w:pPr>
      <w:numPr>
        <w:numId w:val="5"/>
      </w:numPr>
      <w:contextualSpacing/>
    </w:pPr>
  </w:style>
  <w:style w:type="paragraph" w:styleId="List">
    <w:name w:val="List"/>
    <w:basedOn w:val="Normal"/>
    <w:rsid w:val="009822C8"/>
    <w:pPr>
      <w:ind w:left="283" w:hanging="283"/>
      <w:contextualSpacing/>
    </w:pPr>
  </w:style>
  <w:style w:type="paragraph" w:customStyle="1" w:styleId="Normalfirstline">
    <w:name w:val="Normal first line"/>
    <w:basedOn w:val="Normal"/>
    <w:link w:val="NormalfirstlineChar"/>
    <w:qFormat/>
    <w:rsid w:val="009822C8"/>
    <w:pPr>
      <w:spacing w:before="60"/>
    </w:pPr>
    <w:rPr>
      <w:rFonts w:cs="Arial"/>
      <w:szCs w:val="22"/>
    </w:rPr>
  </w:style>
  <w:style w:type="paragraph" w:customStyle="1" w:styleId="Normalfirstbold">
    <w:name w:val="Normal first bold"/>
    <w:basedOn w:val="Normalfirstline"/>
    <w:link w:val="NormalfirstboldChar"/>
    <w:qFormat/>
    <w:rsid w:val="009822C8"/>
    <w:rPr>
      <w:b/>
      <w:bCs/>
    </w:rPr>
  </w:style>
  <w:style w:type="character" w:customStyle="1" w:styleId="NormalfirstlineChar">
    <w:name w:val="Normal first line Char"/>
    <w:link w:val="Normalfirstline"/>
    <w:rsid w:val="009822C8"/>
    <w:rPr>
      <w:rFonts w:ascii="Arial" w:eastAsia="Times New Roman" w:hAnsi="Arial" w:cs="Arial"/>
      <w:kern w:val="0"/>
      <w:lang w:eastAsia="en-GB"/>
      <w14:ligatures w14:val="none"/>
    </w:rPr>
  </w:style>
  <w:style w:type="paragraph" w:styleId="NoSpacing">
    <w:name w:val="No Spacing"/>
    <w:uiPriority w:val="1"/>
    <w:qFormat/>
    <w:rsid w:val="009822C8"/>
    <w:pPr>
      <w:spacing w:after="0" w:line="240" w:lineRule="auto"/>
    </w:pPr>
    <w:rPr>
      <w:rFonts w:ascii="Arial" w:eastAsia="Times New Roman" w:hAnsi="Arial" w:cs="Times New Roman"/>
      <w:kern w:val="0"/>
      <w:szCs w:val="20"/>
      <w:lang w:eastAsia="en-GB"/>
      <w14:ligatures w14:val="none"/>
    </w:rPr>
  </w:style>
  <w:style w:type="character" w:customStyle="1" w:styleId="NormalfirstboldChar">
    <w:name w:val="Normal first bold Char"/>
    <w:link w:val="Normalfirstbold"/>
    <w:rsid w:val="009822C8"/>
    <w:rPr>
      <w:rFonts w:ascii="Arial" w:eastAsia="Times New Roman" w:hAnsi="Arial" w:cs="Arial"/>
      <w:b/>
      <w:bCs/>
      <w:kern w:val="0"/>
      <w:lang w:eastAsia="en-GB"/>
      <w14:ligatures w14:val="none"/>
    </w:rPr>
  </w:style>
  <w:style w:type="character" w:styleId="Strong">
    <w:name w:val="Strong"/>
    <w:uiPriority w:val="22"/>
    <w:qFormat/>
    <w:rsid w:val="009822C8"/>
    <w:rPr>
      <w:b/>
      <w:bCs/>
    </w:rPr>
  </w:style>
  <w:style w:type="table" w:styleId="MediumList1-Accent5">
    <w:name w:val="Medium List 1 Accent 5"/>
    <w:basedOn w:val="TableNormal"/>
    <w:uiPriority w:val="65"/>
    <w:rsid w:val="009822C8"/>
    <w:pPr>
      <w:spacing w:after="0" w:line="240" w:lineRule="auto"/>
    </w:pPr>
    <w:rPr>
      <w:rFonts w:ascii="Times New Roman" w:eastAsia="Times New Roman" w:hAnsi="Times New Roman" w:cs="Times New Roman"/>
      <w:color w:val="000000"/>
      <w:kern w:val="0"/>
      <w:sz w:val="20"/>
      <w:szCs w:val="20"/>
      <w:lang w:eastAsia="en-NZ"/>
      <w14:ligatures w14:val="none"/>
    </w:rPr>
    <w:tblPr>
      <w:tblStyleRowBandSize w:val="1"/>
      <w:tblStyleColBandSize w:val="1"/>
      <w:tblBorders>
        <w:top w:val="single" w:sz="8" w:space="0" w:color="4BACC6"/>
        <w:bottom w:val="single" w:sz="8" w:space="0" w:color="4BACC6"/>
      </w:tblBorders>
    </w:tblPr>
    <w:tblStylePr w:type="firstRow">
      <w:rPr>
        <w:rFonts w:ascii="Aptos Narrow" w:eastAsia="MS Gothic" w:hAnsi="Aptos Narrow"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Pa21">
    <w:name w:val="Pa21"/>
    <w:basedOn w:val="Normal"/>
    <w:next w:val="Normal"/>
    <w:uiPriority w:val="99"/>
    <w:rsid w:val="009822C8"/>
    <w:pPr>
      <w:autoSpaceDE w:val="0"/>
      <w:autoSpaceDN w:val="0"/>
      <w:adjustRightInd w:val="0"/>
      <w:spacing w:line="321" w:lineRule="atLeast"/>
    </w:pPr>
    <w:rPr>
      <w:rFonts w:ascii="Adobe Garamond Pro Bold" w:hAnsi="Adobe Garamond Pro Bold"/>
      <w:sz w:val="24"/>
      <w:szCs w:val="24"/>
      <w:lang w:eastAsia="en-NZ"/>
    </w:rPr>
  </w:style>
  <w:style w:type="paragraph" w:customStyle="1" w:styleId="Pa7">
    <w:name w:val="Pa7"/>
    <w:basedOn w:val="Normal"/>
    <w:next w:val="Normal"/>
    <w:uiPriority w:val="99"/>
    <w:rsid w:val="009822C8"/>
    <w:pPr>
      <w:autoSpaceDE w:val="0"/>
      <w:autoSpaceDN w:val="0"/>
      <w:adjustRightInd w:val="0"/>
      <w:spacing w:line="261" w:lineRule="atLeast"/>
    </w:pPr>
    <w:rPr>
      <w:rFonts w:ascii="Adobe Garamond Pro Bold" w:hAnsi="Adobe Garamond Pro Bold"/>
      <w:sz w:val="24"/>
      <w:szCs w:val="24"/>
      <w:lang w:eastAsia="en-NZ"/>
    </w:rPr>
  </w:style>
  <w:style w:type="paragraph" w:customStyle="1" w:styleId="Pa22">
    <w:name w:val="Pa22"/>
    <w:basedOn w:val="Normal"/>
    <w:next w:val="Normal"/>
    <w:uiPriority w:val="99"/>
    <w:rsid w:val="009822C8"/>
    <w:pPr>
      <w:autoSpaceDE w:val="0"/>
      <w:autoSpaceDN w:val="0"/>
      <w:adjustRightInd w:val="0"/>
      <w:spacing w:line="241" w:lineRule="atLeast"/>
    </w:pPr>
    <w:rPr>
      <w:rFonts w:ascii="Adobe Garamond Pro Bold" w:hAnsi="Adobe Garamond Pro Bold"/>
      <w:sz w:val="24"/>
      <w:szCs w:val="24"/>
      <w:lang w:eastAsia="en-NZ"/>
    </w:rPr>
  </w:style>
  <w:style w:type="character" w:customStyle="1" w:styleId="A10">
    <w:name w:val="A10"/>
    <w:uiPriority w:val="99"/>
    <w:rsid w:val="009822C8"/>
    <w:rPr>
      <w:rFonts w:ascii="Adobe Garamond Pro" w:hAnsi="Adobe Garamond Pro" w:cs="Adobe Garamond Pro"/>
      <w:color w:val="000000"/>
      <w:sz w:val="14"/>
      <w:szCs w:val="14"/>
    </w:rPr>
  </w:style>
  <w:style w:type="paragraph" w:styleId="Title">
    <w:name w:val="Title"/>
    <w:basedOn w:val="Normal"/>
    <w:next w:val="Normal"/>
    <w:link w:val="TitleChar"/>
    <w:uiPriority w:val="10"/>
    <w:qFormat/>
    <w:rsid w:val="009822C8"/>
    <w:pPr>
      <w:spacing w:after="0"/>
    </w:pPr>
    <w:rPr>
      <w:rFonts w:ascii="Calibri Light" w:hAnsi="Calibri Light"/>
      <w:caps/>
      <w:color w:val="5B9BD5"/>
      <w:spacing w:val="10"/>
      <w:sz w:val="52"/>
      <w:szCs w:val="52"/>
      <w:lang w:eastAsia="en-US"/>
    </w:rPr>
  </w:style>
  <w:style w:type="character" w:customStyle="1" w:styleId="TitleChar">
    <w:name w:val="Title Char"/>
    <w:basedOn w:val="DefaultParagraphFont"/>
    <w:link w:val="Title"/>
    <w:uiPriority w:val="10"/>
    <w:rsid w:val="009822C8"/>
    <w:rPr>
      <w:rFonts w:ascii="Calibri Light" w:eastAsia="Times New Roman" w:hAnsi="Calibri Light" w:cs="Times New Roman"/>
      <w:caps/>
      <w:color w:val="5B9BD5"/>
      <w:spacing w:val="10"/>
      <w:kern w:val="0"/>
      <w:sz w:val="52"/>
      <w:szCs w:val="52"/>
      <w14:ligatures w14:val="none"/>
    </w:rPr>
  </w:style>
  <w:style w:type="character" w:styleId="PlaceholderText">
    <w:name w:val="Placeholder Text"/>
    <w:basedOn w:val="DefaultParagraphFont"/>
    <w:uiPriority w:val="99"/>
    <w:semiHidden/>
    <w:rsid w:val="009822C8"/>
    <w:rPr>
      <w:color w:val="808080"/>
    </w:rPr>
  </w:style>
  <w:style w:type="character" w:customStyle="1" w:styleId="cf01">
    <w:name w:val="cf01"/>
    <w:basedOn w:val="DefaultParagraphFont"/>
    <w:rsid w:val="009822C8"/>
    <w:rPr>
      <w:rFonts w:ascii="Segoe UI" w:hAnsi="Segoe UI" w:cs="Segoe UI" w:hint="default"/>
      <w:color w:val="202124"/>
      <w:sz w:val="18"/>
      <w:szCs w:val="18"/>
      <w:shd w:val="clear" w:color="auto" w:fill="FFFFFF"/>
    </w:rPr>
  </w:style>
  <w:style w:type="character" w:customStyle="1" w:styleId="ui-provider">
    <w:name w:val="ui-provider"/>
    <w:basedOn w:val="DefaultParagraphFont"/>
    <w:rsid w:val="009822C8"/>
  </w:style>
  <w:style w:type="character" w:customStyle="1" w:styleId="Heading4Char">
    <w:name w:val="Heading 4 Char"/>
    <w:basedOn w:val="DefaultParagraphFont"/>
    <w:link w:val="Heading4"/>
    <w:uiPriority w:val="9"/>
    <w:semiHidden/>
    <w:rsid w:val="002039F2"/>
    <w:rPr>
      <w:rFonts w:asciiTheme="majorHAnsi" w:eastAsiaTheme="majorEastAsia" w:hAnsiTheme="majorHAnsi" w:cstheme="majorBidi"/>
      <w:i/>
      <w:iCs/>
      <w:color w:val="2F5496" w:themeColor="accent1" w:themeShade="BF"/>
      <w:kern w:val="0"/>
      <w:szCs w:val="20"/>
      <w:lang w:eastAsia="en-GB"/>
      <w14:ligatures w14:val="none"/>
    </w:rPr>
  </w:style>
  <w:style w:type="paragraph" w:styleId="TOC3">
    <w:name w:val="toc 3"/>
    <w:basedOn w:val="Normal"/>
    <w:next w:val="Normal"/>
    <w:autoRedefine/>
    <w:uiPriority w:val="39"/>
    <w:unhideWhenUsed/>
    <w:rsid w:val="000D49EA"/>
    <w:pPr>
      <w:spacing w:after="100"/>
      <w:ind w:left="440"/>
    </w:pPr>
  </w:style>
  <w:style w:type="paragraph" w:styleId="TOC2">
    <w:name w:val="toc 2"/>
    <w:basedOn w:val="Normal"/>
    <w:next w:val="Normal"/>
    <w:autoRedefine/>
    <w:uiPriority w:val="39"/>
    <w:unhideWhenUsed/>
    <w:rsid w:val="00494E58"/>
    <w:pPr>
      <w:spacing w:after="100"/>
      <w:ind w:left="220"/>
    </w:pPr>
  </w:style>
  <w:style w:type="character" w:styleId="Mention">
    <w:name w:val="Mention"/>
    <w:basedOn w:val="DefaultParagraphFont"/>
    <w:uiPriority w:val="99"/>
    <w:unhideWhenUsed/>
    <w:rsid w:val="00CF26B1"/>
    <w:rPr>
      <w:color w:val="2B579A"/>
      <w:shd w:val="clear" w:color="auto" w:fill="E1DFDD"/>
    </w:rPr>
  </w:style>
  <w:style w:type="paragraph" w:customStyle="1" w:styleId="paragraph">
    <w:name w:val="paragraph"/>
    <w:basedOn w:val="Normal"/>
    <w:rsid w:val="00D54CE8"/>
    <w:pPr>
      <w:spacing w:before="100" w:beforeAutospacing="1" w:after="100" w:afterAutospacing="1" w:line="240" w:lineRule="auto"/>
    </w:pPr>
    <w:rPr>
      <w:rFonts w:ascii="Times New Roman" w:hAnsi="Times New Roman"/>
      <w:sz w:val="24"/>
      <w:szCs w:val="24"/>
      <w:lang w:eastAsia="en-NZ"/>
    </w:rPr>
  </w:style>
  <w:style w:type="character" w:customStyle="1" w:styleId="normaltextrun">
    <w:name w:val="normaltextrun"/>
    <w:basedOn w:val="DefaultParagraphFont"/>
    <w:rsid w:val="00D54CE8"/>
  </w:style>
  <w:style w:type="character" w:customStyle="1" w:styleId="eop">
    <w:name w:val="eop"/>
    <w:basedOn w:val="DefaultParagraphFont"/>
    <w:rsid w:val="00D5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113">
      <w:bodyDiv w:val="1"/>
      <w:marLeft w:val="0"/>
      <w:marRight w:val="0"/>
      <w:marTop w:val="0"/>
      <w:marBottom w:val="0"/>
      <w:divBdr>
        <w:top w:val="none" w:sz="0" w:space="0" w:color="auto"/>
        <w:left w:val="none" w:sz="0" w:space="0" w:color="auto"/>
        <w:bottom w:val="none" w:sz="0" w:space="0" w:color="auto"/>
        <w:right w:val="none" w:sz="0" w:space="0" w:color="auto"/>
      </w:divBdr>
      <w:divsChild>
        <w:div w:id="1929457220">
          <w:marLeft w:val="0"/>
          <w:marRight w:val="0"/>
          <w:marTop w:val="0"/>
          <w:marBottom w:val="0"/>
          <w:divBdr>
            <w:top w:val="none" w:sz="0" w:space="0" w:color="auto"/>
            <w:left w:val="none" w:sz="0" w:space="0" w:color="auto"/>
            <w:bottom w:val="none" w:sz="0" w:space="0" w:color="auto"/>
            <w:right w:val="none" w:sz="0" w:space="0" w:color="auto"/>
          </w:divBdr>
          <w:divsChild>
            <w:div w:id="181627107">
              <w:marLeft w:val="0"/>
              <w:marRight w:val="0"/>
              <w:marTop w:val="0"/>
              <w:marBottom w:val="0"/>
              <w:divBdr>
                <w:top w:val="none" w:sz="0" w:space="0" w:color="auto"/>
                <w:left w:val="none" w:sz="0" w:space="0" w:color="auto"/>
                <w:bottom w:val="none" w:sz="0" w:space="0" w:color="auto"/>
                <w:right w:val="none" w:sz="0" w:space="0" w:color="auto"/>
              </w:divBdr>
            </w:div>
            <w:div w:id="1781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065">
      <w:bodyDiv w:val="1"/>
      <w:marLeft w:val="0"/>
      <w:marRight w:val="0"/>
      <w:marTop w:val="0"/>
      <w:marBottom w:val="0"/>
      <w:divBdr>
        <w:top w:val="none" w:sz="0" w:space="0" w:color="auto"/>
        <w:left w:val="none" w:sz="0" w:space="0" w:color="auto"/>
        <w:bottom w:val="none" w:sz="0" w:space="0" w:color="auto"/>
        <w:right w:val="none" w:sz="0" w:space="0" w:color="auto"/>
      </w:divBdr>
      <w:divsChild>
        <w:div w:id="2145467259">
          <w:marLeft w:val="0"/>
          <w:marRight w:val="0"/>
          <w:marTop w:val="0"/>
          <w:marBottom w:val="0"/>
          <w:divBdr>
            <w:top w:val="none" w:sz="0" w:space="0" w:color="auto"/>
            <w:left w:val="none" w:sz="0" w:space="0" w:color="auto"/>
            <w:bottom w:val="none" w:sz="0" w:space="0" w:color="auto"/>
            <w:right w:val="none" w:sz="0" w:space="0" w:color="auto"/>
          </w:divBdr>
          <w:divsChild>
            <w:div w:id="281571517">
              <w:marLeft w:val="0"/>
              <w:marRight w:val="0"/>
              <w:marTop w:val="0"/>
              <w:marBottom w:val="0"/>
              <w:divBdr>
                <w:top w:val="none" w:sz="0" w:space="0" w:color="auto"/>
                <w:left w:val="none" w:sz="0" w:space="0" w:color="auto"/>
                <w:bottom w:val="none" w:sz="0" w:space="0" w:color="auto"/>
                <w:right w:val="none" w:sz="0" w:space="0" w:color="auto"/>
              </w:divBdr>
            </w:div>
            <w:div w:id="950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097">
      <w:bodyDiv w:val="1"/>
      <w:marLeft w:val="0"/>
      <w:marRight w:val="0"/>
      <w:marTop w:val="0"/>
      <w:marBottom w:val="0"/>
      <w:divBdr>
        <w:top w:val="none" w:sz="0" w:space="0" w:color="auto"/>
        <w:left w:val="none" w:sz="0" w:space="0" w:color="auto"/>
        <w:bottom w:val="none" w:sz="0" w:space="0" w:color="auto"/>
        <w:right w:val="none" w:sz="0" w:space="0" w:color="auto"/>
      </w:divBdr>
      <w:divsChild>
        <w:div w:id="947545980">
          <w:marLeft w:val="0"/>
          <w:marRight w:val="0"/>
          <w:marTop w:val="0"/>
          <w:marBottom w:val="0"/>
          <w:divBdr>
            <w:top w:val="none" w:sz="0" w:space="0" w:color="auto"/>
            <w:left w:val="none" w:sz="0" w:space="0" w:color="auto"/>
            <w:bottom w:val="none" w:sz="0" w:space="0" w:color="auto"/>
            <w:right w:val="none" w:sz="0" w:space="0" w:color="auto"/>
          </w:divBdr>
          <w:divsChild>
            <w:div w:id="551383540">
              <w:marLeft w:val="0"/>
              <w:marRight w:val="0"/>
              <w:marTop w:val="0"/>
              <w:marBottom w:val="0"/>
              <w:divBdr>
                <w:top w:val="none" w:sz="0" w:space="0" w:color="auto"/>
                <w:left w:val="none" w:sz="0" w:space="0" w:color="auto"/>
                <w:bottom w:val="none" w:sz="0" w:space="0" w:color="auto"/>
                <w:right w:val="none" w:sz="0" w:space="0" w:color="auto"/>
              </w:divBdr>
            </w:div>
            <w:div w:id="15406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0007">
      <w:bodyDiv w:val="1"/>
      <w:marLeft w:val="0"/>
      <w:marRight w:val="0"/>
      <w:marTop w:val="0"/>
      <w:marBottom w:val="0"/>
      <w:divBdr>
        <w:top w:val="none" w:sz="0" w:space="0" w:color="auto"/>
        <w:left w:val="none" w:sz="0" w:space="0" w:color="auto"/>
        <w:bottom w:val="none" w:sz="0" w:space="0" w:color="auto"/>
        <w:right w:val="none" w:sz="0" w:space="0" w:color="auto"/>
      </w:divBdr>
      <w:divsChild>
        <w:div w:id="924846182">
          <w:marLeft w:val="0"/>
          <w:marRight w:val="0"/>
          <w:marTop w:val="0"/>
          <w:marBottom w:val="0"/>
          <w:divBdr>
            <w:top w:val="single" w:sz="2" w:space="0" w:color="E3E3E3"/>
            <w:left w:val="single" w:sz="2" w:space="0" w:color="E3E3E3"/>
            <w:bottom w:val="single" w:sz="2" w:space="0" w:color="E3E3E3"/>
            <w:right w:val="single" w:sz="2" w:space="0" w:color="E3E3E3"/>
          </w:divBdr>
          <w:divsChild>
            <w:div w:id="459227055">
              <w:marLeft w:val="0"/>
              <w:marRight w:val="0"/>
              <w:marTop w:val="0"/>
              <w:marBottom w:val="0"/>
              <w:divBdr>
                <w:top w:val="single" w:sz="2" w:space="0" w:color="E3E3E3"/>
                <w:left w:val="single" w:sz="2" w:space="0" w:color="E3E3E3"/>
                <w:bottom w:val="single" w:sz="2" w:space="0" w:color="E3E3E3"/>
                <w:right w:val="single" w:sz="2" w:space="0" w:color="E3E3E3"/>
              </w:divBdr>
              <w:divsChild>
                <w:div w:id="867715411">
                  <w:marLeft w:val="0"/>
                  <w:marRight w:val="0"/>
                  <w:marTop w:val="0"/>
                  <w:marBottom w:val="0"/>
                  <w:divBdr>
                    <w:top w:val="single" w:sz="2" w:space="0" w:color="E3E3E3"/>
                    <w:left w:val="single" w:sz="2" w:space="0" w:color="E3E3E3"/>
                    <w:bottom w:val="single" w:sz="2" w:space="0" w:color="E3E3E3"/>
                    <w:right w:val="single" w:sz="2" w:space="0" w:color="E3E3E3"/>
                  </w:divBdr>
                  <w:divsChild>
                    <w:div w:id="927269719">
                      <w:marLeft w:val="0"/>
                      <w:marRight w:val="0"/>
                      <w:marTop w:val="0"/>
                      <w:marBottom w:val="0"/>
                      <w:divBdr>
                        <w:top w:val="single" w:sz="2" w:space="0" w:color="E3E3E3"/>
                        <w:left w:val="single" w:sz="2" w:space="0" w:color="E3E3E3"/>
                        <w:bottom w:val="single" w:sz="2" w:space="0" w:color="E3E3E3"/>
                        <w:right w:val="single" w:sz="2" w:space="0" w:color="E3E3E3"/>
                      </w:divBdr>
                      <w:divsChild>
                        <w:div w:id="271518465">
                          <w:marLeft w:val="0"/>
                          <w:marRight w:val="0"/>
                          <w:marTop w:val="0"/>
                          <w:marBottom w:val="0"/>
                          <w:divBdr>
                            <w:top w:val="single" w:sz="2" w:space="0" w:color="E3E3E3"/>
                            <w:left w:val="single" w:sz="2" w:space="0" w:color="E3E3E3"/>
                            <w:bottom w:val="single" w:sz="2" w:space="0" w:color="E3E3E3"/>
                            <w:right w:val="single" w:sz="2" w:space="0" w:color="E3E3E3"/>
                          </w:divBdr>
                          <w:divsChild>
                            <w:div w:id="1500265256">
                              <w:marLeft w:val="0"/>
                              <w:marRight w:val="0"/>
                              <w:marTop w:val="0"/>
                              <w:marBottom w:val="0"/>
                              <w:divBdr>
                                <w:top w:val="single" w:sz="2" w:space="0" w:color="E3E3E3"/>
                                <w:left w:val="single" w:sz="2" w:space="0" w:color="E3E3E3"/>
                                <w:bottom w:val="single" w:sz="2" w:space="0" w:color="E3E3E3"/>
                                <w:right w:val="single" w:sz="2" w:space="0" w:color="E3E3E3"/>
                              </w:divBdr>
                              <w:divsChild>
                                <w:div w:id="498733907">
                                  <w:marLeft w:val="0"/>
                                  <w:marRight w:val="0"/>
                                  <w:marTop w:val="100"/>
                                  <w:marBottom w:val="100"/>
                                  <w:divBdr>
                                    <w:top w:val="single" w:sz="2" w:space="0" w:color="E3E3E3"/>
                                    <w:left w:val="single" w:sz="2" w:space="0" w:color="E3E3E3"/>
                                    <w:bottom w:val="single" w:sz="2" w:space="0" w:color="E3E3E3"/>
                                    <w:right w:val="single" w:sz="2" w:space="0" w:color="E3E3E3"/>
                                  </w:divBdr>
                                  <w:divsChild>
                                    <w:div w:id="276723564">
                                      <w:marLeft w:val="0"/>
                                      <w:marRight w:val="0"/>
                                      <w:marTop w:val="0"/>
                                      <w:marBottom w:val="0"/>
                                      <w:divBdr>
                                        <w:top w:val="single" w:sz="2" w:space="0" w:color="E3E3E3"/>
                                        <w:left w:val="single" w:sz="2" w:space="0" w:color="E3E3E3"/>
                                        <w:bottom w:val="single" w:sz="2" w:space="0" w:color="E3E3E3"/>
                                        <w:right w:val="single" w:sz="2" w:space="0" w:color="E3E3E3"/>
                                      </w:divBdr>
                                      <w:divsChild>
                                        <w:div w:id="314065855">
                                          <w:marLeft w:val="0"/>
                                          <w:marRight w:val="0"/>
                                          <w:marTop w:val="0"/>
                                          <w:marBottom w:val="0"/>
                                          <w:divBdr>
                                            <w:top w:val="single" w:sz="2" w:space="0" w:color="E3E3E3"/>
                                            <w:left w:val="single" w:sz="2" w:space="0" w:color="E3E3E3"/>
                                            <w:bottom w:val="single" w:sz="2" w:space="0" w:color="E3E3E3"/>
                                            <w:right w:val="single" w:sz="2" w:space="0" w:color="E3E3E3"/>
                                          </w:divBdr>
                                          <w:divsChild>
                                            <w:div w:id="153766517">
                                              <w:marLeft w:val="0"/>
                                              <w:marRight w:val="0"/>
                                              <w:marTop w:val="0"/>
                                              <w:marBottom w:val="0"/>
                                              <w:divBdr>
                                                <w:top w:val="single" w:sz="2" w:space="0" w:color="E3E3E3"/>
                                                <w:left w:val="single" w:sz="2" w:space="0" w:color="E3E3E3"/>
                                                <w:bottom w:val="single" w:sz="2" w:space="0" w:color="E3E3E3"/>
                                                <w:right w:val="single" w:sz="2" w:space="0" w:color="E3E3E3"/>
                                              </w:divBdr>
                                              <w:divsChild>
                                                <w:div w:id="1722246912">
                                                  <w:marLeft w:val="0"/>
                                                  <w:marRight w:val="0"/>
                                                  <w:marTop w:val="0"/>
                                                  <w:marBottom w:val="0"/>
                                                  <w:divBdr>
                                                    <w:top w:val="single" w:sz="2" w:space="0" w:color="E3E3E3"/>
                                                    <w:left w:val="single" w:sz="2" w:space="0" w:color="E3E3E3"/>
                                                    <w:bottom w:val="single" w:sz="2" w:space="0" w:color="E3E3E3"/>
                                                    <w:right w:val="single" w:sz="2" w:space="0" w:color="E3E3E3"/>
                                                  </w:divBdr>
                                                  <w:divsChild>
                                                    <w:div w:id="1655331529">
                                                      <w:marLeft w:val="0"/>
                                                      <w:marRight w:val="0"/>
                                                      <w:marTop w:val="0"/>
                                                      <w:marBottom w:val="0"/>
                                                      <w:divBdr>
                                                        <w:top w:val="single" w:sz="2" w:space="0" w:color="E3E3E3"/>
                                                        <w:left w:val="single" w:sz="2" w:space="0" w:color="E3E3E3"/>
                                                        <w:bottom w:val="single" w:sz="2" w:space="0" w:color="E3E3E3"/>
                                                        <w:right w:val="single" w:sz="2" w:space="0" w:color="E3E3E3"/>
                                                      </w:divBdr>
                                                      <w:divsChild>
                                                        <w:div w:id="1490289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7856050">
          <w:marLeft w:val="0"/>
          <w:marRight w:val="0"/>
          <w:marTop w:val="0"/>
          <w:marBottom w:val="0"/>
          <w:divBdr>
            <w:top w:val="none" w:sz="0" w:space="0" w:color="auto"/>
            <w:left w:val="none" w:sz="0" w:space="0" w:color="auto"/>
            <w:bottom w:val="none" w:sz="0" w:space="0" w:color="auto"/>
            <w:right w:val="none" w:sz="0" w:space="0" w:color="auto"/>
          </w:divBdr>
        </w:div>
      </w:divsChild>
    </w:div>
    <w:div w:id="798452131">
      <w:bodyDiv w:val="1"/>
      <w:marLeft w:val="0"/>
      <w:marRight w:val="0"/>
      <w:marTop w:val="0"/>
      <w:marBottom w:val="0"/>
      <w:divBdr>
        <w:top w:val="none" w:sz="0" w:space="0" w:color="auto"/>
        <w:left w:val="none" w:sz="0" w:space="0" w:color="auto"/>
        <w:bottom w:val="none" w:sz="0" w:space="0" w:color="auto"/>
        <w:right w:val="none" w:sz="0" w:space="0" w:color="auto"/>
      </w:divBdr>
    </w:div>
    <w:div w:id="809708010">
      <w:bodyDiv w:val="1"/>
      <w:marLeft w:val="0"/>
      <w:marRight w:val="0"/>
      <w:marTop w:val="0"/>
      <w:marBottom w:val="0"/>
      <w:divBdr>
        <w:top w:val="none" w:sz="0" w:space="0" w:color="auto"/>
        <w:left w:val="none" w:sz="0" w:space="0" w:color="auto"/>
        <w:bottom w:val="none" w:sz="0" w:space="0" w:color="auto"/>
        <w:right w:val="none" w:sz="0" w:space="0" w:color="auto"/>
      </w:divBdr>
    </w:div>
    <w:div w:id="933560917">
      <w:bodyDiv w:val="1"/>
      <w:marLeft w:val="0"/>
      <w:marRight w:val="0"/>
      <w:marTop w:val="0"/>
      <w:marBottom w:val="0"/>
      <w:divBdr>
        <w:top w:val="none" w:sz="0" w:space="0" w:color="auto"/>
        <w:left w:val="none" w:sz="0" w:space="0" w:color="auto"/>
        <w:bottom w:val="none" w:sz="0" w:space="0" w:color="auto"/>
        <w:right w:val="none" w:sz="0" w:space="0" w:color="auto"/>
      </w:divBdr>
    </w:div>
    <w:div w:id="1410955729">
      <w:bodyDiv w:val="1"/>
      <w:marLeft w:val="0"/>
      <w:marRight w:val="0"/>
      <w:marTop w:val="0"/>
      <w:marBottom w:val="0"/>
      <w:divBdr>
        <w:top w:val="none" w:sz="0" w:space="0" w:color="auto"/>
        <w:left w:val="none" w:sz="0" w:space="0" w:color="auto"/>
        <w:bottom w:val="none" w:sz="0" w:space="0" w:color="auto"/>
        <w:right w:val="none" w:sz="0" w:space="0" w:color="auto"/>
      </w:divBdr>
      <w:divsChild>
        <w:div w:id="1861240626">
          <w:marLeft w:val="0"/>
          <w:marRight w:val="0"/>
          <w:marTop w:val="0"/>
          <w:marBottom w:val="0"/>
          <w:divBdr>
            <w:top w:val="none" w:sz="0" w:space="0" w:color="auto"/>
            <w:left w:val="none" w:sz="0" w:space="0" w:color="auto"/>
            <w:bottom w:val="none" w:sz="0" w:space="0" w:color="auto"/>
            <w:right w:val="none" w:sz="0" w:space="0" w:color="auto"/>
          </w:divBdr>
          <w:divsChild>
            <w:div w:id="1218855897">
              <w:marLeft w:val="0"/>
              <w:marRight w:val="0"/>
              <w:marTop w:val="0"/>
              <w:marBottom w:val="0"/>
              <w:divBdr>
                <w:top w:val="none" w:sz="0" w:space="0" w:color="auto"/>
                <w:left w:val="none" w:sz="0" w:space="0" w:color="auto"/>
                <w:bottom w:val="none" w:sz="0" w:space="0" w:color="auto"/>
                <w:right w:val="none" w:sz="0" w:space="0" w:color="auto"/>
              </w:divBdr>
            </w:div>
            <w:div w:id="1626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6964">
      <w:bodyDiv w:val="1"/>
      <w:marLeft w:val="0"/>
      <w:marRight w:val="0"/>
      <w:marTop w:val="0"/>
      <w:marBottom w:val="0"/>
      <w:divBdr>
        <w:top w:val="none" w:sz="0" w:space="0" w:color="auto"/>
        <w:left w:val="none" w:sz="0" w:space="0" w:color="auto"/>
        <w:bottom w:val="none" w:sz="0" w:space="0" w:color="auto"/>
        <w:right w:val="none" w:sz="0" w:space="0" w:color="auto"/>
      </w:divBdr>
      <w:divsChild>
        <w:div w:id="1734427057">
          <w:marLeft w:val="0"/>
          <w:marRight w:val="0"/>
          <w:marTop w:val="0"/>
          <w:marBottom w:val="0"/>
          <w:divBdr>
            <w:top w:val="single" w:sz="2" w:space="0" w:color="E3E3E3"/>
            <w:left w:val="single" w:sz="2" w:space="0" w:color="E3E3E3"/>
            <w:bottom w:val="single" w:sz="2" w:space="0" w:color="E3E3E3"/>
            <w:right w:val="single" w:sz="2" w:space="0" w:color="E3E3E3"/>
          </w:divBdr>
          <w:divsChild>
            <w:div w:id="995457872">
              <w:marLeft w:val="0"/>
              <w:marRight w:val="0"/>
              <w:marTop w:val="0"/>
              <w:marBottom w:val="0"/>
              <w:divBdr>
                <w:top w:val="single" w:sz="2" w:space="0" w:color="E3E3E3"/>
                <w:left w:val="single" w:sz="2" w:space="0" w:color="E3E3E3"/>
                <w:bottom w:val="single" w:sz="2" w:space="0" w:color="E3E3E3"/>
                <w:right w:val="single" w:sz="2" w:space="0" w:color="E3E3E3"/>
              </w:divBdr>
              <w:divsChild>
                <w:div w:id="474956493">
                  <w:marLeft w:val="0"/>
                  <w:marRight w:val="0"/>
                  <w:marTop w:val="0"/>
                  <w:marBottom w:val="0"/>
                  <w:divBdr>
                    <w:top w:val="single" w:sz="2" w:space="0" w:color="E3E3E3"/>
                    <w:left w:val="single" w:sz="2" w:space="0" w:color="E3E3E3"/>
                    <w:bottom w:val="single" w:sz="2" w:space="0" w:color="E3E3E3"/>
                    <w:right w:val="single" w:sz="2" w:space="0" w:color="E3E3E3"/>
                  </w:divBdr>
                  <w:divsChild>
                    <w:div w:id="1023439537">
                      <w:marLeft w:val="0"/>
                      <w:marRight w:val="0"/>
                      <w:marTop w:val="0"/>
                      <w:marBottom w:val="0"/>
                      <w:divBdr>
                        <w:top w:val="single" w:sz="2" w:space="0" w:color="E3E3E3"/>
                        <w:left w:val="single" w:sz="2" w:space="0" w:color="E3E3E3"/>
                        <w:bottom w:val="single" w:sz="2" w:space="0" w:color="E3E3E3"/>
                        <w:right w:val="single" w:sz="2" w:space="0" w:color="E3E3E3"/>
                      </w:divBdr>
                      <w:divsChild>
                        <w:div w:id="497379273">
                          <w:marLeft w:val="0"/>
                          <w:marRight w:val="0"/>
                          <w:marTop w:val="0"/>
                          <w:marBottom w:val="0"/>
                          <w:divBdr>
                            <w:top w:val="single" w:sz="2" w:space="0" w:color="E3E3E3"/>
                            <w:left w:val="single" w:sz="2" w:space="0" w:color="E3E3E3"/>
                            <w:bottom w:val="single" w:sz="2" w:space="0" w:color="E3E3E3"/>
                            <w:right w:val="single" w:sz="2" w:space="0" w:color="E3E3E3"/>
                          </w:divBdr>
                          <w:divsChild>
                            <w:div w:id="2026208392">
                              <w:marLeft w:val="0"/>
                              <w:marRight w:val="0"/>
                              <w:marTop w:val="0"/>
                              <w:marBottom w:val="0"/>
                              <w:divBdr>
                                <w:top w:val="single" w:sz="2" w:space="0" w:color="E3E3E3"/>
                                <w:left w:val="single" w:sz="2" w:space="0" w:color="E3E3E3"/>
                                <w:bottom w:val="single" w:sz="2" w:space="0" w:color="E3E3E3"/>
                                <w:right w:val="single" w:sz="2" w:space="0" w:color="E3E3E3"/>
                              </w:divBdr>
                              <w:divsChild>
                                <w:div w:id="271934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035234415">
                                      <w:marLeft w:val="0"/>
                                      <w:marRight w:val="0"/>
                                      <w:marTop w:val="0"/>
                                      <w:marBottom w:val="0"/>
                                      <w:divBdr>
                                        <w:top w:val="single" w:sz="2" w:space="0" w:color="E3E3E3"/>
                                        <w:left w:val="single" w:sz="2" w:space="0" w:color="E3E3E3"/>
                                        <w:bottom w:val="single" w:sz="2" w:space="0" w:color="E3E3E3"/>
                                        <w:right w:val="single" w:sz="2" w:space="0" w:color="E3E3E3"/>
                                      </w:divBdr>
                                      <w:divsChild>
                                        <w:div w:id="1602832968">
                                          <w:marLeft w:val="0"/>
                                          <w:marRight w:val="0"/>
                                          <w:marTop w:val="0"/>
                                          <w:marBottom w:val="0"/>
                                          <w:divBdr>
                                            <w:top w:val="single" w:sz="2" w:space="0" w:color="E3E3E3"/>
                                            <w:left w:val="single" w:sz="2" w:space="0" w:color="E3E3E3"/>
                                            <w:bottom w:val="single" w:sz="2" w:space="0" w:color="E3E3E3"/>
                                            <w:right w:val="single" w:sz="2" w:space="0" w:color="E3E3E3"/>
                                          </w:divBdr>
                                          <w:divsChild>
                                            <w:div w:id="1890262771">
                                              <w:marLeft w:val="0"/>
                                              <w:marRight w:val="0"/>
                                              <w:marTop w:val="0"/>
                                              <w:marBottom w:val="0"/>
                                              <w:divBdr>
                                                <w:top w:val="single" w:sz="2" w:space="0" w:color="E3E3E3"/>
                                                <w:left w:val="single" w:sz="2" w:space="0" w:color="E3E3E3"/>
                                                <w:bottom w:val="single" w:sz="2" w:space="0" w:color="E3E3E3"/>
                                                <w:right w:val="single" w:sz="2" w:space="0" w:color="E3E3E3"/>
                                              </w:divBdr>
                                              <w:divsChild>
                                                <w:div w:id="1494684903">
                                                  <w:marLeft w:val="0"/>
                                                  <w:marRight w:val="0"/>
                                                  <w:marTop w:val="0"/>
                                                  <w:marBottom w:val="0"/>
                                                  <w:divBdr>
                                                    <w:top w:val="single" w:sz="2" w:space="0" w:color="E3E3E3"/>
                                                    <w:left w:val="single" w:sz="2" w:space="0" w:color="E3E3E3"/>
                                                    <w:bottom w:val="single" w:sz="2" w:space="0" w:color="E3E3E3"/>
                                                    <w:right w:val="single" w:sz="2" w:space="0" w:color="E3E3E3"/>
                                                  </w:divBdr>
                                                  <w:divsChild>
                                                    <w:div w:id="826356915">
                                                      <w:marLeft w:val="0"/>
                                                      <w:marRight w:val="0"/>
                                                      <w:marTop w:val="0"/>
                                                      <w:marBottom w:val="0"/>
                                                      <w:divBdr>
                                                        <w:top w:val="single" w:sz="2" w:space="0" w:color="E3E3E3"/>
                                                        <w:left w:val="single" w:sz="2" w:space="0" w:color="E3E3E3"/>
                                                        <w:bottom w:val="single" w:sz="2" w:space="0" w:color="E3E3E3"/>
                                                        <w:right w:val="single" w:sz="2" w:space="0" w:color="E3E3E3"/>
                                                      </w:divBdr>
                                                      <w:divsChild>
                                                        <w:div w:id="1068958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1089264">
          <w:marLeft w:val="0"/>
          <w:marRight w:val="0"/>
          <w:marTop w:val="0"/>
          <w:marBottom w:val="0"/>
          <w:divBdr>
            <w:top w:val="none" w:sz="0" w:space="0" w:color="auto"/>
            <w:left w:val="none" w:sz="0" w:space="0" w:color="auto"/>
            <w:bottom w:val="none" w:sz="0" w:space="0" w:color="auto"/>
            <w:right w:val="none" w:sz="0" w:space="0" w:color="auto"/>
          </w:divBdr>
        </w:div>
      </w:divsChild>
    </w:div>
    <w:div w:id="1539977395">
      <w:bodyDiv w:val="1"/>
      <w:marLeft w:val="0"/>
      <w:marRight w:val="0"/>
      <w:marTop w:val="0"/>
      <w:marBottom w:val="0"/>
      <w:divBdr>
        <w:top w:val="none" w:sz="0" w:space="0" w:color="auto"/>
        <w:left w:val="none" w:sz="0" w:space="0" w:color="auto"/>
        <w:bottom w:val="none" w:sz="0" w:space="0" w:color="auto"/>
        <w:right w:val="none" w:sz="0" w:space="0" w:color="auto"/>
      </w:divBdr>
    </w:div>
    <w:div w:id="1592274349">
      <w:bodyDiv w:val="1"/>
      <w:marLeft w:val="0"/>
      <w:marRight w:val="0"/>
      <w:marTop w:val="0"/>
      <w:marBottom w:val="0"/>
      <w:divBdr>
        <w:top w:val="none" w:sz="0" w:space="0" w:color="auto"/>
        <w:left w:val="none" w:sz="0" w:space="0" w:color="auto"/>
        <w:bottom w:val="none" w:sz="0" w:space="0" w:color="auto"/>
        <w:right w:val="none" w:sz="0" w:space="0" w:color="auto"/>
      </w:divBdr>
    </w:div>
    <w:div w:id="1687292146">
      <w:bodyDiv w:val="1"/>
      <w:marLeft w:val="0"/>
      <w:marRight w:val="0"/>
      <w:marTop w:val="0"/>
      <w:marBottom w:val="0"/>
      <w:divBdr>
        <w:top w:val="none" w:sz="0" w:space="0" w:color="auto"/>
        <w:left w:val="none" w:sz="0" w:space="0" w:color="auto"/>
        <w:bottom w:val="none" w:sz="0" w:space="0" w:color="auto"/>
        <w:right w:val="none" w:sz="0" w:space="0" w:color="auto"/>
      </w:divBdr>
    </w:div>
    <w:div w:id="20141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tago.ac.nz/nzc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t.nz/publications/annual-update-of-key-results-202324-new-zealand-health-surv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publications/regional-results-2017-2020-new-zealand-health-surv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qsc.govt.nz/our-data/atlas-of-healthcare-variation/chronic-obstructive-pulmonary-disease/" TargetMode="External"/><Relationship Id="rId4" Type="http://schemas.openxmlformats.org/officeDocument/2006/relationships/settings" Target="settings.xml"/><Relationship Id="rId9" Type="http://schemas.openxmlformats.org/officeDocument/2006/relationships/hyperlink" Target="https://www.hqsc.govt.nz/our-data/atlas-of-healthcare-variation/asthma/"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sthmafoundation.org.nz/assets/documents/ARFNZ-Adolescent-and-Adult-Asthma-Guidelines.pdf" TargetMode="External"/><Relationship Id="rId2" Type="http://schemas.openxmlformats.org/officeDocument/2006/relationships/hyperlink" Target="https://minhealthnz.shinyapps.io/nz-health-survey-2023-24-annual-data-explorer/_w_a4c06cdb1efa4516841f4c59cdb37a0b/" TargetMode="External"/><Relationship Id="rId1" Type="http://schemas.openxmlformats.org/officeDocument/2006/relationships/hyperlink" Target="https://www.asthmafoundation.org.nz/resources/nz-child-asthma-guidelines" TargetMode="External"/><Relationship Id="rId5" Type="http://schemas.openxmlformats.org/officeDocument/2006/relationships/hyperlink" Target="https://www.asthmafoundation.org.nz/assets/documents/ARFNZ-Adolescent-and-Adult-Asthma-Guidelines.pdf" TargetMode="External"/><Relationship Id="rId4" Type="http://schemas.openxmlformats.org/officeDocument/2006/relationships/hyperlink" Target="https://www.asthmafoundation.org.nz/assets/documents/Respiratory-Impact-Report-2024sep1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6DFF-BF6D-4B86-86C7-1772CA40B447}">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6646</Words>
  <Characters>37884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44442</CharactersWithSpaces>
  <SharedDoc>false</SharedDoc>
  <HLinks>
    <vt:vector size="132" baseType="variant">
      <vt:variant>
        <vt:i4>1507404</vt:i4>
      </vt:variant>
      <vt:variant>
        <vt:i4>87</vt:i4>
      </vt:variant>
      <vt:variant>
        <vt:i4>0</vt:i4>
      </vt:variant>
      <vt:variant>
        <vt:i4>5</vt:i4>
      </vt:variant>
      <vt:variant>
        <vt:lpwstr>http://www.otago.ac.nz/nzcyes</vt:lpwstr>
      </vt:variant>
      <vt:variant>
        <vt:lpwstr/>
      </vt:variant>
      <vt:variant>
        <vt:i4>1245260</vt:i4>
      </vt:variant>
      <vt:variant>
        <vt:i4>84</vt:i4>
      </vt:variant>
      <vt:variant>
        <vt:i4>0</vt:i4>
      </vt:variant>
      <vt:variant>
        <vt:i4>5</vt:i4>
      </vt:variant>
      <vt:variant>
        <vt:lpwstr>https://www.health.govt.nz/publications/annual-update-of-key-results-202324-new-zealand-health-survey</vt:lpwstr>
      </vt:variant>
      <vt:variant>
        <vt:lpwstr/>
      </vt:variant>
      <vt:variant>
        <vt:i4>5046281</vt:i4>
      </vt:variant>
      <vt:variant>
        <vt:i4>81</vt:i4>
      </vt:variant>
      <vt:variant>
        <vt:i4>0</vt:i4>
      </vt:variant>
      <vt:variant>
        <vt:i4>5</vt:i4>
      </vt:variant>
      <vt:variant>
        <vt:lpwstr>https://www.health.govt.nz/publications/regional-results-2017-2020-new-zealand-health-survey</vt:lpwstr>
      </vt:variant>
      <vt:variant>
        <vt:lpwstr/>
      </vt:variant>
      <vt:variant>
        <vt:i4>6815785</vt:i4>
      </vt:variant>
      <vt:variant>
        <vt:i4>78</vt:i4>
      </vt:variant>
      <vt:variant>
        <vt:i4>0</vt:i4>
      </vt:variant>
      <vt:variant>
        <vt:i4>5</vt:i4>
      </vt:variant>
      <vt:variant>
        <vt:lpwstr>https://www.hqsc.govt.nz/our-data/atlas-of-healthcare-variation/chronic-obstructive-pulmonary-disease/</vt:lpwstr>
      </vt:variant>
      <vt:variant>
        <vt:lpwstr/>
      </vt:variant>
      <vt:variant>
        <vt:i4>6553652</vt:i4>
      </vt:variant>
      <vt:variant>
        <vt:i4>75</vt:i4>
      </vt:variant>
      <vt:variant>
        <vt:i4>0</vt:i4>
      </vt:variant>
      <vt:variant>
        <vt:i4>5</vt:i4>
      </vt:variant>
      <vt:variant>
        <vt:lpwstr>https://www.hqsc.govt.nz/our-data/atlas-of-healthcare-variation/asthma/</vt:lpwstr>
      </vt:variant>
      <vt:variant>
        <vt:lpwstr/>
      </vt:variant>
      <vt:variant>
        <vt:i4>1769530</vt:i4>
      </vt:variant>
      <vt:variant>
        <vt:i4>68</vt:i4>
      </vt:variant>
      <vt:variant>
        <vt:i4>0</vt:i4>
      </vt:variant>
      <vt:variant>
        <vt:i4>5</vt:i4>
      </vt:variant>
      <vt:variant>
        <vt:lpwstr/>
      </vt:variant>
      <vt:variant>
        <vt:lpwstr>_Toc196292458</vt:lpwstr>
      </vt:variant>
      <vt:variant>
        <vt:i4>1769530</vt:i4>
      </vt:variant>
      <vt:variant>
        <vt:i4>62</vt:i4>
      </vt:variant>
      <vt:variant>
        <vt:i4>0</vt:i4>
      </vt:variant>
      <vt:variant>
        <vt:i4>5</vt:i4>
      </vt:variant>
      <vt:variant>
        <vt:lpwstr/>
      </vt:variant>
      <vt:variant>
        <vt:lpwstr>_Toc196292457</vt:lpwstr>
      </vt:variant>
      <vt:variant>
        <vt:i4>1769530</vt:i4>
      </vt:variant>
      <vt:variant>
        <vt:i4>56</vt:i4>
      </vt:variant>
      <vt:variant>
        <vt:i4>0</vt:i4>
      </vt:variant>
      <vt:variant>
        <vt:i4>5</vt:i4>
      </vt:variant>
      <vt:variant>
        <vt:lpwstr/>
      </vt:variant>
      <vt:variant>
        <vt:lpwstr>_Toc196292456</vt:lpwstr>
      </vt:variant>
      <vt:variant>
        <vt:i4>1769530</vt:i4>
      </vt:variant>
      <vt:variant>
        <vt:i4>50</vt:i4>
      </vt:variant>
      <vt:variant>
        <vt:i4>0</vt:i4>
      </vt:variant>
      <vt:variant>
        <vt:i4>5</vt:i4>
      </vt:variant>
      <vt:variant>
        <vt:lpwstr/>
      </vt:variant>
      <vt:variant>
        <vt:lpwstr>_Toc196292455</vt:lpwstr>
      </vt:variant>
      <vt:variant>
        <vt:i4>1769530</vt:i4>
      </vt:variant>
      <vt:variant>
        <vt:i4>44</vt:i4>
      </vt:variant>
      <vt:variant>
        <vt:i4>0</vt:i4>
      </vt:variant>
      <vt:variant>
        <vt:i4>5</vt:i4>
      </vt:variant>
      <vt:variant>
        <vt:lpwstr/>
      </vt:variant>
      <vt:variant>
        <vt:lpwstr>_Toc196292454</vt:lpwstr>
      </vt:variant>
      <vt:variant>
        <vt:i4>1769530</vt:i4>
      </vt:variant>
      <vt:variant>
        <vt:i4>38</vt:i4>
      </vt:variant>
      <vt:variant>
        <vt:i4>0</vt:i4>
      </vt:variant>
      <vt:variant>
        <vt:i4>5</vt:i4>
      </vt:variant>
      <vt:variant>
        <vt:lpwstr/>
      </vt:variant>
      <vt:variant>
        <vt:lpwstr>_Toc196292453</vt:lpwstr>
      </vt:variant>
      <vt:variant>
        <vt:i4>1769530</vt:i4>
      </vt:variant>
      <vt:variant>
        <vt:i4>32</vt:i4>
      </vt:variant>
      <vt:variant>
        <vt:i4>0</vt:i4>
      </vt:variant>
      <vt:variant>
        <vt:i4>5</vt:i4>
      </vt:variant>
      <vt:variant>
        <vt:lpwstr/>
      </vt:variant>
      <vt:variant>
        <vt:lpwstr>_Toc196292452</vt:lpwstr>
      </vt:variant>
      <vt:variant>
        <vt:i4>1769530</vt:i4>
      </vt:variant>
      <vt:variant>
        <vt:i4>26</vt:i4>
      </vt:variant>
      <vt:variant>
        <vt:i4>0</vt:i4>
      </vt:variant>
      <vt:variant>
        <vt:i4>5</vt:i4>
      </vt:variant>
      <vt:variant>
        <vt:lpwstr/>
      </vt:variant>
      <vt:variant>
        <vt:lpwstr>_Toc196292451</vt:lpwstr>
      </vt:variant>
      <vt:variant>
        <vt:i4>1769530</vt:i4>
      </vt:variant>
      <vt:variant>
        <vt:i4>20</vt:i4>
      </vt:variant>
      <vt:variant>
        <vt:i4>0</vt:i4>
      </vt:variant>
      <vt:variant>
        <vt:i4>5</vt:i4>
      </vt:variant>
      <vt:variant>
        <vt:lpwstr/>
      </vt:variant>
      <vt:variant>
        <vt:lpwstr>_Toc196292450</vt:lpwstr>
      </vt:variant>
      <vt:variant>
        <vt:i4>1703994</vt:i4>
      </vt:variant>
      <vt:variant>
        <vt:i4>14</vt:i4>
      </vt:variant>
      <vt:variant>
        <vt:i4>0</vt:i4>
      </vt:variant>
      <vt:variant>
        <vt:i4>5</vt:i4>
      </vt:variant>
      <vt:variant>
        <vt:lpwstr/>
      </vt:variant>
      <vt:variant>
        <vt:lpwstr>_Toc196292449</vt:lpwstr>
      </vt:variant>
      <vt:variant>
        <vt:i4>1703994</vt:i4>
      </vt:variant>
      <vt:variant>
        <vt:i4>8</vt:i4>
      </vt:variant>
      <vt:variant>
        <vt:i4>0</vt:i4>
      </vt:variant>
      <vt:variant>
        <vt:i4>5</vt:i4>
      </vt:variant>
      <vt:variant>
        <vt:lpwstr/>
      </vt:variant>
      <vt:variant>
        <vt:lpwstr>_Toc196292448</vt:lpwstr>
      </vt:variant>
      <vt:variant>
        <vt:i4>1703994</vt:i4>
      </vt:variant>
      <vt:variant>
        <vt:i4>2</vt:i4>
      </vt:variant>
      <vt:variant>
        <vt:i4>0</vt:i4>
      </vt:variant>
      <vt:variant>
        <vt:i4>5</vt:i4>
      </vt:variant>
      <vt:variant>
        <vt:lpwstr/>
      </vt:variant>
      <vt:variant>
        <vt:lpwstr>_Toc196292444</vt:lpwstr>
      </vt:variant>
      <vt:variant>
        <vt:i4>589898</vt:i4>
      </vt:variant>
      <vt:variant>
        <vt:i4>12</vt:i4>
      </vt:variant>
      <vt:variant>
        <vt:i4>0</vt:i4>
      </vt:variant>
      <vt:variant>
        <vt:i4>5</vt:i4>
      </vt:variant>
      <vt:variant>
        <vt:lpwstr>https://www.asthmafoundation.org.nz/assets/documents/ARFNZ-Adolescent-and-Adult-Asthma-Guidelines.pdf</vt:lpwstr>
      </vt:variant>
      <vt:variant>
        <vt:lpwstr/>
      </vt:variant>
      <vt:variant>
        <vt:i4>7929959</vt:i4>
      </vt:variant>
      <vt:variant>
        <vt:i4>9</vt:i4>
      </vt:variant>
      <vt:variant>
        <vt:i4>0</vt:i4>
      </vt:variant>
      <vt:variant>
        <vt:i4>5</vt:i4>
      </vt:variant>
      <vt:variant>
        <vt:lpwstr>https://www.asthmafoundation.org.nz/assets/documents/Respiratory-Impact-Report-2024sep10-FINAL.pdf</vt:lpwstr>
      </vt:variant>
      <vt:variant>
        <vt:lpwstr/>
      </vt:variant>
      <vt:variant>
        <vt:i4>589898</vt:i4>
      </vt:variant>
      <vt:variant>
        <vt:i4>6</vt:i4>
      </vt:variant>
      <vt:variant>
        <vt:i4>0</vt:i4>
      </vt:variant>
      <vt:variant>
        <vt:i4>5</vt:i4>
      </vt:variant>
      <vt:variant>
        <vt:lpwstr>https://www.asthmafoundation.org.nz/assets/documents/ARFNZ-Adolescent-and-Adult-Asthma-Guidelines.pdf</vt:lpwstr>
      </vt:variant>
      <vt:variant>
        <vt:lpwstr/>
      </vt:variant>
      <vt:variant>
        <vt:i4>7995497</vt:i4>
      </vt:variant>
      <vt:variant>
        <vt:i4>3</vt:i4>
      </vt:variant>
      <vt:variant>
        <vt:i4>0</vt:i4>
      </vt:variant>
      <vt:variant>
        <vt:i4>5</vt:i4>
      </vt:variant>
      <vt:variant>
        <vt:lpwstr>https://minhealthnz.shinyapps.io/nz-health-survey-2023-24-annual-data-explorer/_w_a4c06cdb1efa4516841f4c59cdb37a0b/</vt:lpwstr>
      </vt:variant>
      <vt:variant>
        <vt:lpwstr>!/explore-indicators</vt:lpwstr>
      </vt:variant>
      <vt:variant>
        <vt:i4>983119</vt:i4>
      </vt:variant>
      <vt:variant>
        <vt:i4>0</vt:i4>
      </vt:variant>
      <vt:variant>
        <vt:i4>0</vt:i4>
      </vt:variant>
      <vt:variant>
        <vt:i4>5</vt:i4>
      </vt:variant>
      <vt:variant>
        <vt:lpwstr>https://www.asthmafoundation.org.nz/resources/nz-child-asthma-guidelines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2025-09-08T21:37:00Z</dcterms:created>
  <dcterms:modified xsi:type="dcterms:W3CDTF">2025-09-08T21:43:00Z</dcterms:modified>
</cp:coreProperties>
</file>