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EB80" w14:textId="50C69089" w:rsidR="00745D19" w:rsidRPr="00E153C1" w:rsidRDefault="00745D19" w:rsidP="0088050A">
      <w:pPr>
        <w:pStyle w:val="TeThHauorahead1"/>
      </w:pPr>
      <w:r w:rsidRPr="1217852D">
        <w:t>COPD</w:t>
      </w:r>
      <w:r w:rsidR="00A1655D">
        <w:t xml:space="preserve"> prevalence</w:t>
      </w:r>
      <w:r w:rsidRPr="1217852D">
        <w:t xml:space="preserve"> among people who are</w:t>
      </w:r>
      <w:r w:rsidR="004226A9" w:rsidRPr="1217852D">
        <w:t xml:space="preserve">n’t </w:t>
      </w:r>
      <w:r w:rsidRPr="1217852D">
        <w:t>enrolled in a Primary Health Organisation (PHO)</w:t>
      </w:r>
    </w:p>
    <w:p w14:paraId="34B86A38" w14:textId="6FE1533E" w:rsidR="00DC27BF" w:rsidRDefault="00E96B2B" w:rsidP="00E96B2B">
      <w:pPr>
        <w:pStyle w:val="TeThHauorabodytext"/>
      </w:pPr>
      <w:r>
        <w:t xml:space="preserve">People are eligible to enrol with a Primary Health Organisation (PHO) if they are New Zealand citizens, permanent residents, or meet other criteria, such as holding a relevant visa. </w:t>
      </w:r>
      <w:r w:rsidR="007304F7" w:rsidRPr="007304F7">
        <w:t>When people enrol, they receive regular, ongoing care and cheaper doctors’ visits.</w:t>
      </w:r>
      <w:r>
        <w:t xml:space="preserve"> </w:t>
      </w:r>
      <w:r w:rsidR="00DC27BF">
        <w:t>Some people are not enrolled in PHOs as they receive their health</w:t>
      </w:r>
      <w:r w:rsidR="00F25434">
        <w:t xml:space="preserve"> </w:t>
      </w:r>
      <w:r w:rsidR="00DC27BF">
        <w:t xml:space="preserve">care through a separate system, for example, </w:t>
      </w:r>
      <w:r>
        <w:t xml:space="preserve">Defence Force staff </w:t>
      </w:r>
      <w:r w:rsidR="00C62068">
        <w:t xml:space="preserve">or </w:t>
      </w:r>
      <w:r>
        <w:t>prisoners.</w:t>
      </w:r>
      <w:r w:rsidR="00F335D2">
        <w:t xml:space="preserve"> </w:t>
      </w:r>
      <w:r w:rsidR="00DD4668">
        <w:t>Subsidised</w:t>
      </w:r>
      <w:r>
        <w:t xml:space="preserve"> medicines are available to New Zealand residents and citizens </w:t>
      </w:r>
      <w:proofErr w:type="gramStart"/>
      <w:r>
        <w:t>whether or not</w:t>
      </w:r>
      <w:proofErr w:type="gramEnd"/>
      <w:r>
        <w:t xml:space="preserve"> they are enrolled with a PHO. </w:t>
      </w:r>
    </w:p>
    <w:p w14:paraId="40BB5E61" w14:textId="36864D48" w:rsidR="0041112A" w:rsidRDefault="00FC508A" w:rsidP="00E96B2B">
      <w:pPr>
        <w:pStyle w:val="TeThHauorabodytext"/>
      </w:pPr>
      <w:r>
        <w:t xml:space="preserve">The COPD method excludes </w:t>
      </w:r>
      <w:r w:rsidR="00A24225">
        <w:t>people</w:t>
      </w:r>
      <w:r>
        <w:t xml:space="preserve"> not enrolled in a PHO. This is because the data quality is better for those enrolled in a PHO and we can be more confident in the denominator. </w:t>
      </w:r>
    </w:p>
    <w:p w14:paraId="72BE8A64" w14:textId="66C367E6" w:rsidR="007F3F3C" w:rsidRDefault="00FC508A" w:rsidP="00E96B2B">
      <w:pPr>
        <w:pStyle w:val="TeThHauorabodytext"/>
      </w:pPr>
      <w:r>
        <w:t xml:space="preserve">However, there is a concern that </w:t>
      </w:r>
      <w:r w:rsidR="0099379B">
        <w:t xml:space="preserve">people </w:t>
      </w:r>
      <w:r w:rsidR="00E96B2B">
        <w:t xml:space="preserve">with </w:t>
      </w:r>
      <w:r w:rsidR="008C78FB" w:rsidRPr="008C78FB">
        <w:t>COPD who aren’t enrolled may be at increased risk of unmanaged or poorly managed chronic respiratory illness</w:t>
      </w:r>
      <w:r w:rsidR="007F3F3C">
        <w:t>. They</w:t>
      </w:r>
      <w:r w:rsidR="008C78FB" w:rsidRPr="008C78FB" w:rsidDel="007F3F3C">
        <w:t xml:space="preserve"> </w:t>
      </w:r>
      <w:r w:rsidR="008C78FB" w:rsidRPr="008C78FB">
        <w:t>miss critical opportunities for early intervention, ongoing disease management and preventative care.</w:t>
      </w:r>
      <w:r>
        <w:t xml:space="preserve"> </w:t>
      </w:r>
    </w:p>
    <w:p w14:paraId="78288DD5" w14:textId="7175C083" w:rsidR="00DD4668" w:rsidRDefault="00FC508A" w:rsidP="00E96B2B">
      <w:pPr>
        <w:pStyle w:val="TeThHauorabodytext"/>
      </w:pPr>
      <w:r>
        <w:t xml:space="preserve">Therefore, we sought to </w:t>
      </w:r>
      <w:r w:rsidR="002424AD">
        <w:t xml:space="preserve">capture </w:t>
      </w:r>
      <w:r>
        <w:t>how many people with COPD are not enrolled in a PHO.</w:t>
      </w:r>
    </w:p>
    <w:p w14:paraId="0661BFAD" w14:textId="20A03A91" w:rsidR="002E2DC6" w:rsidRPr="00E153C1" w:rsidRDefault="00FC508A" w:rsidP="002E2DC6">
      <w:pPr>
        <w:pStyle w:val="TeThHauorabodytext"/>
      </w:pPr>
      <w:r>
        <w:t>Analysis</w:t>
      </w:r>
      <w:r w:rsidR="00DC18D9">
        <w:t xml:space="preserve"> showed that </w:t>
      </w:r>
      <w:r w:rsidR="00416ADB">
        <w:t>most</w:t>
      </w:r>
      <w:r w:rsidR="00DC18D9">
        <w:t xml:space="preserve"> people</w:t>
      </w:r>
      <w:r w:rsidR="00416ADB">
        <w:t xml:space="preserve"> (</w:t>
      </w:r>
      <w:r w:rsidR="00DC18D9">
        <w:t>more than 98</w:t>
      </w:r>
      <w:r w:rsidR="00416ADB">
        <w:t xml:space="preserve"> percent)</w:t>
      </w:r>
      <w:r w:rsidR="00DC18D9">
        <w:t xml:space="preserve"> aged 45 and older with COPD are enrolled in a PHO. Only about 1.5</w:t>
      </w:r>
      <w:r w:rsidR="00C72558">
        <w:t xml:space="preserve"> percent</w:t>
      </w:r>
      <w:r w:rsidR="00DC18D9">
        <w:t xml:space="preserve"> </w:t>
      </w:r>
      <w:r w:rsidR="00C72558">
        <w:t>–</w:t>
      </w:r>
      <w:r w:rsidR="00DC18D9" w:rsidDel="00280564">
        <w:t xml:space="preserve"> </w:t>
      </w:r>
      <w:r w:rsidR="00280564">
        <w:t xml:space="preserve">around </w:t>
      </w:r>
      <w:r w:rsidR="00DC18D9">
        <w:t xml:space="preserve">995 </w:t>
      </w:r>
      <w:r w:rsidR="00C72558">
        <w:t xml:space="preserve">people – </w:t>
      </w:r>
      <w:r w:rsidR="00DC18D9">
        <w:t>are not currently enrolled.</w:t>
      </w:r>
      <w:r w:rsidR="002E2DC6">
        <w:t xml:space="preserve"> The proportion of </w:t>
      </w:r>
      <w:r w:rsidR="0054596B">
        <w:t xml:space="preserve">people with </w:t>
      </w:r>
      <w:r w:rsidR="4D56BAAD">
        <w:t>COPD among those</w:t>
      </w:r>
      <w:r w:rsidR="002E2DC6">
        <w:t xml:space="preserve"> who are</w:t>
      </w:r>
      <w:r w:rsidR="00DC18D9">
        <w:t>n’t</w:t>
      </w:r>
      <w:r w:rsidR="002E2DC6">
        <w:t xml:space="preserve"> enrolled in a PHO increased </w:t>
      </w:r>
      <w:r w:rsidR="00C732AB">
        <w:t>slightly</w:t>
      </w:r>
      <w:r w:rsidR="002E2DC6">
        <w:t xml:space="preserve"> with age</w:t>
      </w:r>
      <w:r w:rsidR="004226A9">
        <w:t xml:space="preserve"> </w:t>
      </w:r>
      <w:r w:rsidR="0006534F">
        <w:t>to</w:t>
      </w:r>
      <w:r w:rsidR="004226A9">
        <w:t xml:space="preserve"> </w:t>
      </w:r>
      <w:r w:rsidR="00496204">
        <w:t>2 percent</w:t>
      </w:r>
      <w:r w:rsidR="004226A9">
        <w:t xml:space="preserve"> </w:t>
      </w:r>
      <w:r w:rsidR="002E2DC6">
        <w:t>among those aged 75 years or older.</w:t>
      </w:r>
      <w:r w:rsidR="006C3679">
        <w:t xml:space="preserve"> </w:t>
      </w:r>
    </w:p>
    <w:p w14:paraId="2C03753F" w14:textId="4600365E" w:rsidR="004226A9" w:rsidRPr="00E153C1" w:rsidRDefault="004226A9" w:rsidP="004226A9">
      <w:pPr>
        <w:pStyle w:val="TeThHauorabodytext"/>
      </w:pPr>
      <w:r>
        <w:t xml:space="preserve">These rates also </w:t>
      </w:r>
      <w:r w:rsidR="00696C26">
        <w:t>slightly</w:t>
      </w:r>
      <w:r>
        <w:t xml:space="preserve"> varied by </w:t>
      </w:r>
      <w:r w:rsidR="00A53326">
        <w:t>ethnic</w:t>
      </w:r>
      <w:r w:rsidR="005B0AE0">
        <w:t xml:space="preserve"> group</w:t>
      </w:r>
      <w:r w:rsidR="00A53326">
        <w:t xml:space="preserve"> and </w:t>
      </w:r>
      <w:r w:rsidR="004A6922">
        <w:t xml:space="preserve">health </w:t>
      </w:r>
      <w:r>
        <w:t xml:space="preserve">district. </w:t>
      </w:r>
      <w:r w:rsidR="00A53326">
        <w:t xml:space="preserve">See Table 1 </w:t>
      </w:r>
      <w:r w:rsidR="00A70DB8" w:rsidRPr="001A43D1">
        <w:t>and Table 2</w:t>
      </w:r>
      <w:r w:rsidR="00A53326" w:rsidRPr="001A43D1">
        <w:t xml:space="preserve"> </w:t>
      </w:r>
      <w:r w:rsidR="00A53326">
        <w:t xml:space="preserve">for </w:t>
      </w:r>
      <w:r w:rsidR="00830842">
        <w:t>results by ethnic group</w:t>
      </w:r>
      <w:r w:rsidR="00A70DB8" w:rsidRPr="001A43D1">
        <w:t xml:space="preserve"> and district respectively</w:t>
      </w:r>
      <w:r w:rsidR="00830842" w:rsidRPr="001A43D1">
        <w:t>.</w:t>
      </w:r>
      <w:r w:rsidRPr="001A43D1">
        <w:t xml:space="preserve"> </w:t>
      </w:r>
    </w:p>
    <w:p w14:paraId="4DCC7C77" w14:textId="4F13B5D5" w:rsidR="004226A9" w:rsidRPr="00E153C1" w:rsidRDefault="004226A9" w:rsidP="00C0368E">
      <w:pPr>
        <w:pStyle w:val="TeThHauoratablefigurecaption"/>
      </w:pPr>
      <w:r w:rsidRPr="1217852D">
        <w:t xml:space="preserve">Table </w:t>
      </w:r>
      <w:r w:rsidRPr="1217852D">
        <w:fldChar w:fldCharType="begin"/>
      </w:r>
      <w:r w:rsidRPr="1217852D">
        <w:instrText xml:space="preserve"> SEQ Table \* ARABIC </w:instrText>
      </w:r>
      <w:r w:rsidRPr="1217852D">
        <w:fldChar w:fldCharType="separate"/>
      </w:r>
      <w:r w:rsidR="001C1E50">
        <w:rPr>
          <w:noProof/>
        </w:rPr>
        <w:t>1</w:t>
      </w:r>
      <w:r w:rsidRPr="1217852D">
        <w:fldChar w:fldCharType="end"/>
      </w:r>
      <w:r w:rsidRPr="1217852D">
        <w:t>: P</w:t>
      </w:r>
      <w:r w:rsidR="00F95DA6">
        <w:t xml:space="preserve">HO </w:t>
      </w:r>
      <w:r w:rsidRPr="1217852D">
        <w:t xml:space="preserve">enrolment status among people </w:t>
      </w:r>
      <w:r w:rsidR="00844762">
        <w:t>with</w:t>
      </w:r>
      <w:r w:rsidRPr="1217852D">
        <w:t xml:space="preserve"> COPD by ethnic group</w:t>
      </w:r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1974"/>
        <w:gridCol w:w="1452"/>
        <w:gridCol w:w="795"/>
        <w:gridCol w:w="1345"/>
        <w:gridCol w:w="1275"/>
        <w:gridCol w:w="1965"/>
      </w:tblGrid>
      <w:tr w:rsidR="004226A9" w:rsidRPr="00E153C1" w14:paraId="2097CB8D" w14:textId="3641DE9C" w:rsidTr="22793C52">
        <w:trPr>
          <w:trHeight w:val="290"/>
        </w:trPr>
        <w:tc>
          <w:tcPr>
            <w:tcW w:w="1974" w:type="dxa"/>
            <w:noWrap/>
            <w:hideMark/>
          </w:tcPr>
          <w:p w14:paraId="043234A5" w14:textId="20AC4943" w:rsidR="004226A9" w:rsidRPr="002E2DC6" w:rsidRDefault="004226A9" w:rsidP="00A21C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NZ"/>
              </w:rPr>
            </w:pPr>
          </w:p>
        </w:tc>
        <w:tc>
          <w:tcPr>
            <w:tcW w:w="2247" w:type="dxa"/>
            <w:gridSpan w:val="2"/>
            <w:noWrap/>
            <w:hideMark/>
          </w:tcPr>
          <w:p w14:paraId="2EF15930" w14:textId="64B3FB1D" w:rsidR="004226A9" w:rsidRPr="00E153C1" w:rsidRDefault="004226A9" w:rsidP="00BD0670">
            <w:pPr>
              <w:pStyle w:val="TeThHauoratablecolumnhead"/>
              <w:framePr w:wrap="around"/>
              <w:rPr>
                <w:color w:val="000000"/>
                <w:lang w:eastAsia="en-NZ"/>
              </w:rPr>
            </w:pPr>
            <w:r w:rsidRPr="1217852D">
              <w:rPr>
                <w:lang w:eastAsia="en-NZ"/>
              </w:rPr>
              <w:t>People with COPD who aren’t enrolled in a PHO</w:t>
            </w:r>
          </w:p>
        </w:tc>
        <w:tc>
          <w:tcPr>
            <w:tcW w:w="2620" w:type="dxa"/>
            <w:gridSpan w:val="2"/>
            <w:noWrap/>
            <w:hideMark/>
          </w:tcPr>
          <w:p w14:paraId="5C943132" w14:textId="1286CF97" w:rsidR="004226A9" w:rsidRPr="00E153C1" w:rsidRDefault="004226A9" w:rsidP="00BD0670">
            <w:pPr>
              <w:pStyle w:val="TeThHauoratablecolumnhead"/>
              <w:framePr w:wrap="around"/>
              <w:rPr>
                <w:color w:val="000000"/>
                <w:lang w:eastAsia="en-NZ"/>
              </w:rPr>
            </w:pPr>
            <w:r w:rsidRPr="1217852D">
              <w:rPr>
                <w:lang w:eastAsia="en-NZ"/>
              </w:rPr>
              <w:t>People with COPD who are</w:t>
            </w:r>
            <w:r w:rsidR="6D1E5AEC" w:rsidRPr="1217852D">
              <w:rPr>
                <w:lang w:eastAsia="en-NZ"/>
              </w:rPr>
              <w:t xml:space="preserve"> </w:t>
            </w:r>
            <w:r w:rsidRPr="1217852D">
              <w:rPr>
                <w:lang w:eastAsia="en-NZ"/>
              </w:rPr>
              <w:t>enrolled in a PHO</w:t>
            </w:r>
          </w:p>
        </w:tc>
        <w:tc>
          <w:tcPr>
            <w:tcW w:w="1965" w:type="dxa"/>
            <w:noWrap/>
            <w:hideMark/>
          </w:tcPr>
          <w:p w14:paraId="3C303616" w14:textId="6950F4FA" w:rsidR="004226A9" w:rsidRPr="002E2DC6" w:rsidRDefault="004226A9" w:rsidP="00BD0670">
            <w:pPr>
              <w:pStyle w:val="TeThHauoratablecolumnhead"/>
              <w:framePr w:wrap="around"/>
              <w:rPr>
                <w:lang w:eastAsia="en-NZ"/>
              </w:rPr>
            </w:pPr>
            <w:r w:rsidRPr="002E2DC6">
              <w:rPr>
                <w:lang w:eastAsia="en-NZ"/>
              </w:rPr>
              <w:t>Total</w:t>
            </w:r>
          </w:p>
        </w:tc>
      </w:tr>
      <w:tr w:rsidR="004226A9" w:rsidRPr="00E153C1" w14:paraId="16A08BF6" w14:textId="331B836E" w:rsidTr="22793C52">
        <w:trPr>
          <w:trHeight w:val="290"/>
        </w:trPr>
        <w:tc>
          <w:tcPr>
            <w:tcW w:w="1974" w:type="dxa"/>
            <w:noWrap/>
          </w:tcPr>
          <w:p w14:paraId="7A68A6BA" w14:textId="77777777" w:rsidR="004226A9" w:rsidRPr="00E153C1" w:rsidRDefault="004226A9" w:rsidP="00A21C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NZ"/>
              </w:rPr>
            </w:pPr>
          </w:p>
        </w:tc>
        <w:tc>
          <w:tcPr>
            <w:tcW w:w="1452" w:type="dxa"/>
            <w:noWrap/>
          </w:tcPr>
          <w:p w14:paraId="1BD12ADA" w14:textId="77777777" w:rsidR="004226A9" w:rsidRPr="00C0368E" w:rsidRDefault="004226A9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n</w:t>
            </w:r>
          </w:p>
        </w:tc>
        <w:tc>
          <w:tcPr>
            <w:tcW w:w="795" w:type="dxa"/>
          </w:tcPr>
          <w:p w14:paraId="4265BBA5" w14:textId="77777777" w:rsidR="004226A9" w:rsidRPr="00E153C1" w:rsidRDefault="004226A9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E153C1">
              <w:rPr>
                <w:lang w:eastAsia="en-NZ"/>
              </w:rPr>
              <w:t>%</w:t>
            </w:r>
          </w:p>
        </w:tc>
        <w:tc>
          <w:tcPr>
            <w:tcW w:w="1345" w:type="dxa"/>
            <w:noWrap/>
          </w:tcPr>
          <w:p w14:paraId="53DC8999" w14:textId="77777777" w:rsidR="004226A9" w:rsidRPr="00C0368E" w:rsidRDefault="004226A9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n</w:t>
            </w:r>
          </w:p>
        </w:tc>
        <w:tc>
          <w:tcPr>
            <w:tcW w:w="1275" w:type="dxa"/>
          </w:tcPr>
          <w:p w14:paraId="4E97988F" w14:textId="77777777" w:rsidR="004226A9" w:rsidRPr="00E153C1" w:rsidRDefault="004226A9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E153C1">
              <w:rPr>
                <w:lang w:eastAsia="en-NZ"/>
              </w:rPr>
              <w:t>%</w:t>
            </w:r>
          </w:p>
        </w:tc>
        <w:tc>
          <w:tcPr>
            <w:tcW w:w="1965" w:type="dxa"/>
            <w:noWrap/>
          </w:tcPr>
          <w:p w14:paraId="28C487F5" w14:textId="77777777" w:rsidR="004226A9" w:rsidRPr="00E153C1" w:rsidRDefault="004226A9" w:rsidP="00C0368E">
            <w:pPr>
              <w:pStyle w:val="TeThHauoratablecontent"/>
              <w:framePr w:wrap="around"/>
              <w:rPr>
                <w:lang w:eastAsia="en-NZ"/>
              </w:rPr>
            </w:pPr>
          </w:p>
        </w:tc>
      </w:tr>
    </w:tbl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1974"/>
        <w:gridCol w:w="1452"/>
        <w:gridCol w:w="795"/>
        <w:gridCol w:w="1345"/>
        <w:gridCol w:w="1275"/>
        <w:gridCol w:w="1965"/>
      </w:tblGrid>
      <w:tr w:rsidR="00BE737A" w:rsidRPr="00E153C1" w14:paraId="20396A6E" w14:textId="7966CCCF" w:rsidTr="22793C52">
        <w:trPr>
          <w:trHeight w:val="290"/>
        </w:trPr>
        <w:tc>
          <w:tcPr>
            <w:tcW w:w="1974" w:type="dxa"/>
            <w:noWrap/>
            <w:hideMark/>
          </w:tcPr>
          <w:p w14:paraId="28261A8F" w14:textId="18DE512C" w:rsidR="00BE737A" w:rsidRPr="00C0368E" w:rsidRDefault="00BE737A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Total Māori</w:t>
            </w:r>
          </w:p>
        </w:tc>
        <w:tc>
          <w:tcPr>
            <w:tcW w:w="1452" w:type="dxa"/>
            <w:noWrap/>
            <w:hideMark/>
          </w:tcPr>
          <w:p w14:paraId="58D5B0A5" w14:textId="62BE49BF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216</w:t>
            </w:r>
          </w:p>
        </w:tc>
        <w:tc>
          <w:tcPr>
            <w:tcW w:w="795" w:type="dxa"/>
          </w:tcPr>
          <w:p w14:paraId="18E69BD6" w14:textId="5E5C7C2D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1.4</w:t>
            </w:r>
          </w:p>
        </w:tc>
        <w:tc>
          <w:tcPr>
            <w:tcW w:w="1345" w:type="dxa"/>
            <w:noWrap/>
            <w:hideMark/>
          </w:tcPr>
          <w:p w14:paraId="61F517D0" w14:textId="0CEE86E2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14917</w:t>
            </w:r>
          </w:p>
        </w:tc>
        <w:tc>
          <w:tcPr>
            <w:tcW w:w="1275" w:type="dxa"/>
          </w:tcPr>
          <w:p w14:paraId="129F73D0" w14:textId="3D054A70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98.6</w:t>
            </w:r>
          </w:p>
        </w:tc>
        <w:tc>
          <w:tcPr>
            <w:tcW w:w="1965" w:type="dxa"/>
            <w:noWrap/>
            <w:hideMark/>
          </w:tcPr>
          <w:p w14:paraId="0A2A9F99" w14:textId="76D16471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15</w:t>
            </w:r>
            <w:r w:rsidR="0041080A">
              <w:t>,</w:t>
            </w:r>
            <w:r w:rsidRPr="001A43D1">
              <w:t>133</w:t>
            </w:r>
          </w:p>
        </w:tc>
      </w:tr>
      <w:tr w:rsidR="00BE737A" w:rsidRPr="00E153C1" w14:paraId="0F3A6E1A" w14:textId="6DC85720" w:rsidTr="22793C52">
        <w:trPr>
          <w:trHeight w:val="290"/>
        </w:trPr>
        <w:tc>
          <w:tcPr>
            <w:tcW w:w="1974" w:type="dxa"/>
            <w:noWrap/>
            <w:hideMark/>
          </w:tcPr>
          <w:p w14:paraId="55B4BA21" w14:textId="77777777" w:rsidR="00BE737A" w:rsidRPr="00C0368E" w:rsidRDefault="00BE737A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Total Pacific peoples</w:t>
            </w:r>
          </w:p>
        </w:tc>
        <w:tc>
          <w:tcPr>
            <w:tcW w:w="1452" w:type="dxa"/>
            <w:noWrap/>
            <w:hideMark/>
          </w:tcPr>
          <w:p w14:paraId="1155585C" w14:textId="34FE6071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75</w:t>
            </w:r>
          </w:p>
        </w:tc>
        <w:tc>
          <w:tcPr>
            <w:tcW w:w="795" w:type="dxa"/>
          </w:tcPr>
          <w:p w14:paraId="122B8922" w14:textId="5EA0A468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2.3</w:t>
            </w:r>
          </w:p>
        </w:tc>
        <w:tc>
          <w:tcPr>
            <w:tcW w:w="1345" w:type="dxa"/>
            <w:noWrap/>
            <w:hideMark/>
          </w:tcPr>
          <w:p w14:paraId="2B388A4F" w14:textId="580C956B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3167</w:t>
            </w:r>
          </w:p>
        </w:tc>
        <w:tc>
          <w:tcPr>
            <w:tcW w:w="1275" w:type="dxa"/>
          </w:tcPr>
          <w:p w14:paraId="331ED1F1" w14:textId="71D0D245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97.7</w:t>
            </w:r>
          </w:p>
        </w:tc>
        <w:tc>
          <w:tcPr>
            <w:tcW w:w="1965" w:type="dxa"/>
            <w:noWrap/>
            <w:hideMark/>
          </w:tcPr>
          <w:p w14:paraId="4068CAD7" w14:textId="3F917BFB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3242</w:t>
            </w:r>
          </w:p>
        </w:tc>
      </w:tr>
      <w:tr w:rsidR="00BE737A" w:rsidRPr="00E153C1" w14:paraId="7FBCAE40" w14:textId="151C497E" w:rsidTr="22793C52">
        <w:trPr>
          <w:trHeight w:val="290"/>
        </w:trPr>
        <w:tc>
          <w:tcPr>
            <w:tcW w:w="1974" w:type="dxa"/>
            <w:noWrap/>
            <w:hideMark/>
          </w:tcPr>
          <w:p w14:paraId="4F9EA6AC" w14:textId="6566BAFF" w:rsidR="00BE737A" w:rsidRPr="00C0368E" w:rsidRDefault="00BE737A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Total Asian</w:t>
            </w:r>
          </w:p>
        </w:tc>
        <w:tc>
          <w:tcPr>
            <w:tcW w:w="1452" w:type="dxa"/>
            <w:noWrap/>
            <w:hideMark/>
          </w:tcPr>
          <w:p w14:paraId="146CFC6A" w14:textId="0E551A08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33</w:t>
            </w:r>
          </w:p>
        </w:tc>
        <w:tc>
          <w:tcPr>
            <w:tcW w:w="795" w:type="dxa"/>
          </w:tcPr>
          <w:p w14:paraId="341C1F83" w14:textId="1F4CA7E2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1.8</w:t>
            </w:r>
          </w:p>
        </w:tc>
        <w:tc>
          <w:tcPr>
            <w:tcW w:w="1345" w:type="dxa"/>
            <w:noWrap/>
            <w:hideMark/>
          </w:tcPr>
          <w:p w14:paraId="35F1B67D" w14:textId="3864CB3B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1780</w:t>
            </w:r>
          </w:p>
        </w:tc>
        <w:tc>
          <w:tcPr>
            <w:tcW w:w="1275" w:type="dxa"/>
          </w:tcPr>
          <w:p w14:paraId="14F2A158" w14:textId="2D2C9077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98.2</w:t>
            </w:r>
          </w:p>
        </w:tc>
        <w:tc>
          <w:tcPr>
            <w:tcW w:w="1965" w:type="dxa"/>
            <w:noWrap/>
            <w:hideMark/>
          </w:tcPr>
          <w:p w14:paraId="3B246ED5" w14:textId="034CB2D1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1813</w:t>
            </w:r>
          </w:p>
        </w:tc>
      </w:tr>
      <w:tr w:rsidR="00BE737A" w:rsidRPr="00E153C1" w14:paraId="2346A21A" w14:textId="15AD4E0C" w:rsidTr="22793C52">
        <w:trPr>
          <w:trHeight w:val="290"/>
        </w:trPr>
        <w:tc>
          <w:tcPr>
            <w:tcW w:w="1974" w:type="dxa"/>
            <w:noWrap/>
            <w:hideMark/>
          </w:tcPr>
          <w:p w14:paraId="0475DB65" w14:textId="539F487A" w:rsidR="00BE737A" w:rsidRPr="00C0368E" w:rsidRDefault="00BE737A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Total European/Other</w:t>
            </w:r>
          </w:p>
        </w:tc>
        <w:tc>
          <w:tcPr>
            <w:tcW w:w="1452" w:type="dxa"/>
            <w:noWrap/>
            <w:hideMark/>
          </w:tcPr>
          <w:p w14:paraId="386E54D5" w14:textId="047496E3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707</w:t>
            </w:r>
          </w:p>
        </w:tc>
        <w:tc>
          <w:tcPr>
            <w:tcW w:w="795" w:type="dxa"/>
          </w:tcPr>
          <w:p w14:paraId="7BB9507C" w14:textId="5181E6F4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1.4</w:t>
            </w:r>
          </w:p>
        </w:tc>
        <w:tc>
          <w:tcPr>
            <w:tcW w:w="1345" w:type="dxa"/>
            <w:noWrap/>
            <w:hideMark/>
          </w:tcPr>
          <w:p w14:paraId="0F518E79" w14:textId="2A43DBC7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49754</w:t>
            </w:r>
          </w:p>
        </w:tc>
        <w:tc>
          <w:tcPr>
            <w:tcW w:w="1275" w:type="dxa"/>
          </w:tcPr>
          <w:p w14:paraId="46D38150" w14:textId="504CE75B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98.6</w:t>
            </w:r>
          </w:p>
        </w:tc>
        <w:tc>
          <w:tcPr>
            <w:tcW w:w="1965" w:type="dxa"/>
            <w:noWrap/>
            <w:hideMark/>
          </w:tcPr>
          <w:p w14:paraId="3B14AD3C" w14:textId="5A0729ED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50</w:t>
            </w:r>
            <w:r w:rsidR="0041080A">
              <w:t>m</w:t>
            </w:r>
            <w:r w:rsidRPr="001A43D1">
              <w:t>461</w:t>
            </w:r>
          </w:p>
        </w:tc>
      </w:tr>
      <w:tr w:rsidR="00BE737A" w:rsidRPr="00E153C1" w14:paraId="08245697" w14:textId="440F5515" w:rsidTr="22793C52">
        <w:trPr>
          <w:trHeight w:val="290"/>
        </w:trPr>
        <w:tc>
          <w:tcPr>
            <w:tcW w:w="1974" w:type="dxa"/>
            <w:noWrap/>
            <w:hideMark/>
          </w:tcPr>
          <w:p w14:paraId="67C587F9" w14:textId="77777777" w:rsidR="00BE737A" w:rsidRPr="00C0368E" w:rsidRDefault="00BE737A" w:rsidP="00C0368E">
            <w:pPr>
              <w:pStyle w:val="TeThHauoratablecontent"/>
              <w:framePr w:wrap="around"/>
              <w:rPr>
                <w:b/>
                <w:bCs/>
                <w:lang w:eastAsia="en-NZ"/>
              </w:rPr>
            </w:pPr>
            <w:r w:rsidRPr="00C0368E">
              <w:rPr>
                <w:b/>
                <w:bCs/>
                <w:lang w:eastAsia="en-NZ"/>
              </w:rPr>
              <w:t>Total</w:t>
            </w:r>
          </w:p>
        </w:tc>
        <w:tc>
          <w:tcPr>
            <w:tcW w:w="1452" w:type="dxa"/>
            <w:noWrap/>
            <w:hideMark/>
          </w:tcPr>
          <w:p w14:paraId="1FFE5511" w14:textId="380F4FBC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995</w:t>
            </w:r>
          </w:p>
        </w:tc>
        <w:tc>
          <w:tcPr>
            <w:tcW w:w="795" w:type="dxa"/>
          </w:tcPr>
          <w:p w14:paraId="7B123F72" w14:textId="10BD963A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1.5</w:t>
            </w:r>
          </w:p>
        </w:tc>
        <w:tc>
          <w:tcPr>
            <w:tcW w:w="1345" w:type="dxa"/>
            <w:noWrap/>
            <w:hideMark/>
          </w:tcPr>
          <w:p w14:paraId="0618E331" w14:textId="1486D41B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66014</w:t>
            </w:r>
          </w:p>
        </w:tc>
        <w:tc>
          <w:tcPr>
            <w:tcW w:w="1275" w:type="dxa"/>
          </w:tcPr>
          <w:p w14:paraId="03D07C23" w14:textId="25B9A223" w:rsidR="00BE737A" w:rsidRPr="00E153C1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98.5</w:t>
            </w:r>
          </w:p>
        </w:tc>
        <w:tc>
          <w:tcPr>
            <w:tcW w:w="1965" w:type="dxa"/>
            <w:noWrap/>
            <w:hideMark/>
          </w:tcPr>
          <w:p w14:paraId="7036FA11" w14:textId="52F3D939" w:rsidR="00BE737A" w:rsidRPr="002E2DC6" w:rsidRDefault="00BE737A" w:rsidP="00C0368E">
            <w:pPr>
              <w:pStyle w:val="TeThHauoratablecontent"/>
              <w:framePr w:wrap="around"/>
              <w:rPr>
                <w:lang w:eastAsia="en-NZ"/>
              </w:rPr>
            </w:pPr>
            <w:r w:rsidRPr="001A43D1">
              <w:t>67</w:t>
            </w:r>
            <w:r w:rsidR="0041080A">
              <w:t>,</w:t>
            </w:r>
            <w:r w:rsidRPr="001A43D1">
              <w:t>009</w:t>
            </w:r>
          </w:p>
        </w:tc>
      </w:tr>
    </w:tbl>
    <w:p w14:paraId="51C58EDC" w14:textId="77777777" w:rsidR="00C55DB3" w:rsidRPr="001A43D1" w:rsidRDefault="00C55DB3" w:rsidP="6A2EC116">
      <w:pPr>
        <w:pStyle w:val="TeThHauorabodytext"/>
      </w:pPr>
    </w:p>
    <w:p w14:paraId="23081E61" w14:textId="77777777" w:rsidR="0088050A" w:rsidRDefault="0088050A">
      <w:pPr>
        <w:spacing w:after="160" w:line="259" w:lineRule="auto"/>
        <w:rPr>
          <w:rFonts w:cs="Arial"/>
          <w:b/>
        </w:rPr>
      </w:pPr>
      <w:r>
        <w:br w:type="page"/>
      </w:r>
    </w:p>
    <w:p w14:paraId="30DAFB33" w14:textId="03182065" w:rsidR="00052A24" w:rsidRPr="001A43D1" w:rsidRDefault="00052A24" w:rsidP="00C0368E">
      <w:pPr>
        <w:pStyle w:val="TeThHauoratablefigurecaption"/>
        <w:rPr>
          <w:i/>
          <w:iCs/>
        </w:rPr>
      </w:pPr>
      <w:r w:rsidRPr="001A43D1">
        <w:lastRenderedPageBreak/>
        <w:t xml:space="preserve">Table </w:t>
      </w:r>
      <w:r w:rsidRPr="001A43D1">
        <w:rPr>
          <w:i/>
          <w:iCs/>
        </w:rPr>
        <w:fldChar w:fldCharType="begin"/>
      </w:r>
      <w:r w:rsidRPr="001A43D1">
        <w:instrText xml:space="preserve"> SEQ Table \* ARABIC </w:instrText>
      </w:r>
      <w:r w:rsidRPr="001A43D1">
        <w:rPr>
          <w:i/>
          <w:iCs/>
        </w:rPr>
        <w:fldChar w:fldCharType="separate"/>
      </w:r>
      <w:r w:rsidR="001C1E50">
        <w:rPr>
          <w:noProof/>
        </w:rPr>
        <w:t>2</w:t>
      </w:r>
      <w:r w:rsidRPr="001A43D1">
        <w:rPr>
          <w:i/>
          <w:iCs/>
        </w:rPr>
        <w:fldChar w:fldCharType="end"/>
      </w:r>
      <w:r w:rsidRPr="001A43D1">
        <w:t>: P</w:t>
      </w:r>
      <w:r w:rsidR="00F95DA6">
        <w:t>HO</w:t>
      </w:r>
      <w:r w:rsidRPr="001A43D1">
        <w:t xml:space="preserve"> enrolment status among people with COPD by </w:t>
      </w:r>
      <w:r w:rsidR="00506A90">
        <w:t xml:space="preserve">health </w:t>
      </w:r>
      <w:r w:rsidRPr="001A43D1">
        <w:t>district</w:t>
      </w:r>
    </w:p>
    <w:tbl>
      <w:tblPr>
        <w:tblStyle w:val="TableGrid"/>
        <w:tblW w:w="7919" w:type="dxa"/>
        <w:tblLook w:val="04A0" w:firstRow="1" w:lastRow="0" w:firstColumn="1" w:lastColumn="0" w:noHBand="0" w:noVBand="1"/>
      </w:tblPr>
      <w:tblGrid>
        <w:gridCol w:w="1598"/>
        <w:gridCol w:w="1815"/>
        <w:gridCol w:w="736"/>
        <w:gridCol w:w="1134"/>
        <w:gridCol w:w="889"/>
        <w:gridCol w:w="1134"/>
        <w:gridCol w:w="1265"/>
      </w:tblGrid>
      <w:tr w:rsidR="00DA5EDF" w:rsidRPr="001A43D1" w14:paraId="5829DA89" w14:textId="77777777" w:rsidTr="22793C52">
        <w:trPr>
          <w:trHeight w:val="290"/>
        </w:trPr>
        <w:tc>
          <w:tcPr>
            <w:tcW w:w="1598" w:type="dxa"/>
            <w:noWrap/>
            <w:hideMark/>
          </w:tcPr>
          <w:p w14:paraId="2D00D61F" w14:textId="77777777" w:rsidR="00DA5EDF" w:rsidRPr="001A43D1" w:rsidRDefault="00DA5EDF" w:rsidP="00AC229F">
            <w:pPr>
              <w:pStyle w:val="TeThHauoratablecolumnhead"/>
              <w:framePr w:wrap="around"/>
            </w:pPr>
            <w:r w:rsidRPr="001A43D1">
              <w:t>Region</w:t>
            </w:r>
          </w:p>
        </w:tc>
        <w:tc>
          <w:tcPr>
            <w:tcW w:w="1815" w:type="dxa"/>
            <w:noWrap/>
            <w:hideMark/>
          </w:tcPr>
          <w:p w14:paraId="142325E0" w14:textId="5CD6E510" w:rsidR="00DA5EDF" w:rsidRPr="001A43D1" w:rsidRDefault="00F83560" w:rsidP="00AC229F">
            <w:pPr>
              <w:pStyle w:val="TeThHauoratablecolumnhead"/>
              <w:framePr w:wrap="around"/>
            </w:pPr>
            <w:r>
              <w:t>Health d</w:t>
            </w:r>
            <w:r w:rsidR="00DA5EDF" w:rsidRPr="001A43D1">
              <w:t>istrict</w:t>
            </w:r>
          </w:p>
        </w:tc>
        <w:tc>
          <w:tcPr>
            <w:tcW w:w="1621" w:type="dxa"/>
            <w:gridSpan w:val="2"/>
            <w:noWrap/>
            <w:hideMark/>
          </w:tcPr>
          <w:p w14:paraId="2370C836" w14:textId="400239D5" w:rsidR="00DA5EDF" w:rsidRPr="001A43D1" w:rsidRDefault="00DA5EDF" w:rsidP="00AC229F">
            <w:pPr>
              <w:pStyle w:val="TeThHauoratablecolumnhead"/>
              <w:framePr w:wrap="around"/>
            </w:pPr>
            <w:r w:rsidRPr="001A43D1">
              <w:rPr>
                <w:lang w:eastAsia="en-NZ"/>
              </w:rPr>
              <w:t xml:space="preserve">People with COPD </w:t>
            </w:r>
            <w:r w:rsidR="00B54D46">
              <w:rPr>
                <w:lang w:eastAsia="en-NZ"/>
              </w:rPr>
              <w:t>not</w:t>
            </w:r>
            <w:r w:rsidRPr="001A43D1">
              <w:rPr>
                <w:lang w:eastAsia="en-NZ"/>
              </w:rPr>
              <w:t xml:space="preserve"> enrolled in a PHO</w:t>
            </w:r>
          </w:p>
        </w:tc>
        <w:tc>
          <w:tcPr>
            <w:tcW w:w="1620" w:type="dxa"/>
            <w:gridSpan w:val="2"/>
            <w:noWrap/>
            <w:hideMark/>
          </w:tcPr>
          <w:p w14:paraId="38BD7E2F" w14:textId="30716DC8" w:rsidR="00DA5EDF" w:rsidRPr="001A43D1" w:rsidRDefault="00DA5EDF" w:rsidP="00AC229F">
            <w:pPr>
              <w:pStyle w:val="TeThHauoratablecolumnhead"/>
              <w:framePr w:wrap="around"/>
            </w:pPr>
            <w:r w:rsidRPr="001A43D1">
              <w:rPr>
                <w:lang w:eastAsia="en-NZ"/>
              </w:rPr>
              <w:t>People with COPD enrolled in a PHO</w:t>
            </w:r>
          </w:p>
        </w:tc>
        <w:tc>
          <w:tcPr>
            <w:tcW w:w="1265" w:type="dxa"/>
            <w:noWrap/>
            <w:hideMark/>
          </w:tcPr>
          <w:p w14:paraId="589E9E40" w14:textId="77777777" w:rsidR="00DA5EDF" w:rsidRPr="001A43D1" w:rsidRDefault="00DA5EDF" w:rsidP="00AC229F">
            <w:pPr>
              <w:pStyle w:val="TeThHauoratablecolumnhead"/>
              <w:framePr w:wrap="around"/>
            </w:pPr>
            <w:r w:rsidRPr="001A43D1">
              <w:t>Total</w:t>
            </w:r>
          </w:p>
        </w:tc>
      </w:tr>
      <w:tr w:rsidR="00DA5EDF" w:rsidRPr="001A43D1" w14:paraId="1E86BCBE" w14:textId="77777777" w:rsidTr="22793C52">
        <w:trPr>
          <w:trHeight w:val="290"/>
        </w:trPr>
        <w:tc>
          <w:tcPr>
            <w:tcW w:w="1598" w:type="dxa"/>
            <w:noWrap/>
          </w:tcPr>
          <w:p w14:paraId="58B19914" w14:textId="77777777" w:rsidR="00DA5EDF" w:rsidRPr="001A43D1" w:rsidRDefault="00DA5EDF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</w:tcPr>
          <w:p w14:paraId="304A6FE7" w14:textId="77777777" w:rsidR="00DA5EDF" w:rsidRPr="001A43D1" w:rsidRDefault="00DA5EDF" w:rsidP="0088050A">
            <w:pPr>
              <w:pStyle w:val="TeThHauoratablecontent"/>
              <w:framePr w:wrap="around"/>
            </w:pPr>
          </w:p>
        </w:tc>
        <w:tc>
          <w:tcPr>
            <w:tcW w:w="736" w:type="dxa"/>
            <w:noWrap/>
          </w:tcPr>
          <w:p w14:paraId="32B3D061" w14:textId="77777777" w:rsidR="00DA5EDF" w:rsidRPr="00AC229F" w:rsidRDefault="00DA5EDF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n</w:t>
            </w:r>
          </w:p>
        </w:tc>
        <w:tc>
          <w:tcPr>
            <w:tcW w:w="885" w:type="dxa"/>
          </w:tcPr>
          <w:p w14:paraId="374DDC73" w14:textId="77777777" w:rsidR="00DA5EDF" w:rsidRPr="001A43D1" w:rsidRDefault="00DA5EDF" w:rsidP="0088050A">
            <w:pPr>
              <w:pStyle w:val="TeThHauoratablecontent"/>
              <w:framePr w:wrap="around"/>
            </w:pPr>
            <w:r w:rsidRPr="001A43D1">
              <w:t>%</w:t>
            </w:r>
          </w:p>
        </w:tc>
        <w:tc>
          <w:tcPr>
            <w:tcW w:w="734" w:type="dxa"/>
            <w:noWrap/>
          </w:tcPr>
          <w:p w14:paraId="410EFEFE" w14:textId="77777777" w:rsidR="00DA5EDF" w:rsidRPr="00AC229F" w:rsidRDefault="00DA5EDF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n</w:t>
            </w:r>
          </w:p>
        </w:tc>
        <w:tc>
          <w:tcPr>
            <w:tcW w:w="886" w:type="dxa"/>
          </w:tcPr>
          <w:p w14:paraId="77594098" w14:textId="77777777" w:rsidR="00DA5EDF" w:rsidRPr="001A43D1" w:rsidRDefault="00DA5EDF" w:rsidP="0088050A">
            <w:pPr>
              <w:pStyle w:val="TeThHauoratablecontent"/>
              <w:framePr w:wrap="around"/>
            </w:pPr>
            <w:r w:rsidRPr="001A43D1">
              <w:t>%</w:t>
            </w:r>
          </w:p>
        </w:tc>
        <w:tc>
          <w:tcPr>
            <w:tcW w:w="1265" w:type="dxa"/>
            <w:noWrap/>
          </w:tcPr>
          <w:p w14:paraId="360FFDC2" w14:textId="77777777" w:rsidR="00DA5EDF" w:rsidRPr="001A43D1" w:rsidRDefault="00DA5EDF" w:rsidP="0088050A">
            <w:pPr>
              <w:pStyle w:val="TeThHauoratablecontent"/>
              <w:framePr w:wrap="around"/>
            </w:pPr>
          </w:p>
        </w:tc>
      </w:tr>
      <w:tr w:rsidR="00052A24" w:rsidRPr="001A43D1" w14:paraId="25F8B68D" w14:textId="77777777" w:rsidTr="22793C52">
        <w:trPr>
          <w:trHeight w:val="290"/>
        </w:trPr>
        <w:tc>
          <w:tcPr>
            <w:tcW w:w="1598" w:type="dxa"/>
            <w:vMerge w:val="restart"/>
            <w:noWrap/>
            <w:hideMark/>
          </w:tcPr>
          <w:p w14:paraId="32038085" w14:textId="77777777" w:rsidR="00052A24" w:rsidRPr="00AC229F" w:rsidRDefault="00052A24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Central</w:t>
            </w:r>
          </w:p>
        </w:tc>
        <w:tc>
          <w:tcPr>
            <w:tcW w:w="1815" w:type="dxa"/>
            <w:noWrap/>
            <w:hideMark/>
          </w:tcPr>
          <w:p w14:paraId="4B662A55" w14:textId="7777777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Hawke's Bay</w:t>
            </w:r>
          </w:p>
        </w:tc>
        <w:tc>
          <w:tcPr>
            <w:tcW w:w="736" w:type="dxa"/>
            <w:noWrap/>
            <w:hideMark/>
          </w:tcPr>
          <w:p w14:paraId="2972EBAD" w14:textId="273E51A6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47</w:t>
            </w:r>
          </w:p>
        </w:tc>
        <w:tc>
          <w:tcPr>
            <w:tcW w:w="885" w:type="dxa"/>
          </w:tcPr>
          <w:p w14:paraId="38C81BCC" w14:textId="3360D345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1.3</w:t>
            </w:r>
          </w:p>
        </w:tc>
        <w:tc>
          <w:tcPr>
            <w:tcW w:w="734" w:type="dxa"/>
            <w:noWrap/>
            <w:hideMark/>
          </w:tcPr>
          <w:p w14:paraId="6FDF33AE" w14:textId="73E93B86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3573</w:t>
            </w:r>
          </w:p>
        </w:tc>
        <w:tc>
          <w:tcPr>
            <w:tcW w:w="886" w:type="dxa"/>
          </w:tcPr>
          <w:p w14:paraId="60CE7A7E" w14:textId="20BA1149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98.7</w:t>
            </w:r>
          </w:p>
        </w:tc>
        <w:tc>
          <w:tcPr>
            <w:tcW w:w="1265" w:type="dxa"/>
            <w:noWrap/>
            <w:hideMark/>
          </w:tcPr>
          <w:p w14:paraId="6C3E1D58" w14:textId="3C8F50F1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3620</w:t>
            </w:r>
          </w:p>
        </w:tc>
      </w:tr>
      <w:tr w:rsidR="00052A24" w:rsidRPr="001A43D1" w14:paraId="0B4CEE2D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180032F" w14:textId="77777777" w:rsidR="00052A24" w:rsidRPr="001A43D1" w:rsidRDefault="00052A2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3706F240" w14:textId="77777777" w:rsidR="00052A24" w:rsidRPr="001A43D1" w:rsidRDefault="00052A24" w:rsidP="0088050A">
            <w:pPr>
              <w:pStyle w:val="TeThHauoratablecontent"/>
              <w:framePr w:wrap="around"/>
            </w:pPr>
            <w:proofErr w:type="spellStart"/>
            <w:r w:rsidRPr="001A43D1">
              <w:t>MidCentral</w:t>
            </w:r>
            <w:proofErr w:type="spellEnd"/>
          </w:p>
        </w:tc>
        <w:tc>
          <w:tcPr>
            <w:tcW w:w="736" w:type="dxa"/>
            <w:noWrap/>
            <w:hideMark/>
          </w:tcPr>
          <w:p w14:paraId="2088425D" w14:textId="471E8AC6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43</w:t>
            </w:r>
          </w:p>
        </w:tc>
        <w:tc>
          <w:tcPr>
            <w:tcW w:w="885" w:type="dxa"/>
          </w:tcPr>
          <w:p w14:paraId="2666BDB5" w14:textId="39796071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1.3</w:t>
            </w:r>
          </w:p>
        </w:tc>
        <w:tc>
          <w:tcPr>
            <w:tcW w:w="734" w:type="dxa"/>
            <w:noWrap/>
            <w:hideMark/>
          </w:tcPr>
          <w:p w14:paraId="4E888D03" w14:textId="52700CFD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3226</w:t>
            </w:r>
          </w:p>
        </w:tc>
        <w:tc>
          <w:tcPr>
            <w:tcW w:w="886" w:type="dxa"/>
          </w:tcPr>
          <w:p w14:paraId="67969822" w14:textId="3A75E02D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98.7</w:t>
            </w:r>
          </w:p>
        </w:tc>
        <w:tc>
          <w:tcPr>
            <w:tcW w:w="1265" w:type="dxa"/>
            <w:noWrap/>
            <w:hideMark/>
          </w:tcPr>
          <w:p w14:paraId="17574DB6" w14:textId="73D4FC86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3269</w:t>
            </w:r>
          </w:p>
        </w:tc>
      </w:tr>
      <w:tr w:rsidR="00052A24" w:rsidRPr="001A43D1" w14:paraId="178E9FF3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2159EA86" w14:textId="77777777" w:rsidR="00052A24" w:rsidRPr="001A43D1" w:rsidRDefault="00052A2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1186D6AC" w14:textId="7777777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Whanganui</w:t>
            </w:r>
          </w:p>
        </w:tc>
        <w:tc>
          <w:tcPr>
            <w:tcW w:w="736" w:type="dxa"/>
            <w:noWrap/>
            <w:hideMark/>
          </w:tcPr>
          <w:p w14:paraId="7CE63C9A" w14:textId="12CFD718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19</w:t>
            </w:r>
          </w:p>
        </w:tc>
        <w:tc>
          <w:tcPr>
            <w:tcW w:w="885" w:type="dxa"/>
          </w:tcPr>
          <w:p w14:paraId="27AFE206" w14:textId="668CA820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1.1</w:t>
            </w:r>
          </w:p>
        </w:tc>
        <w:tc>
          <w:tcPr>
            <w:tcW w:w="734" w:type="dxa"/>
            <w:noWrap/>
            <w:hideMark/>
          </w:tcPr>
          <w:p w14:paraId="217EC03F" w14:textId="52BD12D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1721</w:t>
            </w:r>
          </w:p>
        </w:tc>
        <w:tc>
          <w:tcPr>
            <w:tcW w:w="886" w:type="dxa"/>
          </w:tcPr>
          <w:p w14:paraId="16A1EFFB" w14:textId="43E21B60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98.9</w:t>
            </w:r>
          </w:p>
        </w:tc>
        <w:tc>
          <w:tcPr>
            <w:tcW w:w="1265" w:type="dxa"/>
            <w:noWrap/>
            <w:hideMark/>
          </w:tcPr>
          <w:p w14:paraId="5D802169" w14:textId="00B93E35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1740</w:t>
            </w:r>
          </w:p>
        </w:tc>
      </w:tr>
      <w:tr w:rsidR="00052A24" w:rsidRPr="001A43D1" w14:paraId="1F1D1FEF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59AE8D8" w14:textId="77777777" w:rsidR="00052A24" w:rsidRPr="001A43D1" w:rsidRDefault="00052A2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32E38FD2" w14:textId="7777777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Capital &amp; Coast</w:t>
            </w:r>
          </w:p>
        </w:tc>
        <w:tc>
          <w:tcPr>
            <w:tcW w:w="736" w:type="dxa"/>
            <w:noWrap/>
            <w:hideMark/>
          </w:tcPr>
          <w:p w14:paraId="5F112D99" w14:textId="16DC4942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32</w:t>
            </w:r>
          </w:p>
        </w:tc>
        <w:tc>
          <w:tcPr>
            <w:tcW w:w="885" w:type="dxa"/>
          </w:tcPr>
          <w:p w14:paraId="310F3D45" w14:textId="5FBB8E05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1.2</w:t>
            </w:r>
          </w:p>
        </w:tc>
        <w:tc>
          <w:tcPr>
            <w:tcW w:w="734" w:type="dxa"/>
            <w:noWrap/>
            <w:hideMark/>
          </w:tcPr>
          <w:p w14:paraId="30AE4F1E" w14:textId="15492779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2659</w:t>
            </w:r>
          </w:p>
        </w:tc>
        <w:tc>
          <w:tcPr>
            <w:tcW w:w="886" w:type="dxa"/>
          </w:tcPr>
          <w:p w14:paraId="2A1DFD94" w14:textId="0A4F15E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98.8</w:t>
            </w:r>
          </w:p>
        </w:tc>
        <w:tc>
          <w:tcPr>
            <w:tcW w:w="1265" w:type="dxa"/>
            <w:noWrap/>
            <w:hideMark/>
          </w:tcPr>
          <w:p w14:paraId="5B95DBC6" w14:textId="4799EDB2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2691</w:t>
            </w:r>
          </w:p>
        </w:tc>
      </w:tr>
      <w:tr w:rsidR="00052A24" w:rsidRPr="001A43D1" w14:paraId="4A69CC32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3B5EE7F8" w14:textId="77777777" w:rsidR="00052A24" w:rsidRPr="001A43D1" w:rsidRDefault="00052A2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42F5EE42" w14:textId="7777777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Hutt Valley</w:t>
            </w:r>
          </w:p>
        </w:tc>
        <w:tc>
          <w:tcPr>
            <w:tcW w:w="736" w:type="dxa"/>
            <w:noWrap/>
            <w:hideMark/>
          </w:tcPr>
          <w:p w14:paraId="6FC239A8" w14:textId="040EB6BB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24</w:t>
            </w:r>
          </w:p>
        </w:tc>
        <w:tc>
          <w:tcPr>
            <w:tcW w:w="885" w:type="dxa"/>
          </w:tcPr>
          <w:p w14:paraId="092AE084" w14:textId="264CC57A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1.3</w:t>
            </w:r>
          </w:p>
        </w:tc>
        <w:tc>
          <w:tcPr>
            <w:tcW w:w="734" w:type="dxa"/>
            <w:noWrap/>
            <w:hideMark/>
          </w:tcPr>
          <w:p w14:paraId="4CF3CC71" w14:textId="0B41B2FA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1822</w:t>
            </w:r>
          </w:p>
        </w:tc>
        <w:tc>
          <w:tcPr>
            <w:tcW w:w="886" w:type="dxa"/>
          </w:tcPr>
          <w:p w14:paraId="3FF6F680" w14:textId="4E8DA46C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98.7</w:t>
            </w:r>
          </w:p>
        </w:tc>
        <w:tc>
          <w:tcPr>
            <w:tcW w:w="1265" w:type="dxa"/>
            <w:noWrap/>
            <w:hideMark/>
          </w:tcPr>
          <w:p w14:paraId="005B521D" w14:textId="321E15EA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1846</w:t>
            </w:r>
          </w:p>
        </w:tc>
      </w:tr>
      <w:tr w:rsidR="00052A24" w:rsidRPr="001A43D1" w14:paraId="233E6A87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7CB73B4" w14:textId="77777777" w:rsidR="00052A24" w:rsidRPr="001A43D1" w:rsidRDefault="00052A2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3322AAF1" w14:textId="7777777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Wairarapa</w:t>
            </w:r>
          </w:p>
        </w:tc>
        <w:tc>
          <w:tcPr>
            <w:tcW w:w="736" w:type="dxa"/>
            <w:noWrap/>
            <w:hideMark/>
          </w:tcPr>
          <w:p w14:paraId="54049E44" w14:textId="51B31E0A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10</w:t>
            </w:r>
          </w:p>
        </w:tc>
        <w:tc>
          <w:tcPr>
            <w:tcW w:w="885" w:type="dxa"/>
          </w:tcPr>
          <w:p w14:paraId="503871D1" w14:textId="5D6728A7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0.9</w:t>
            </w:r>
          </w:p>
        </w:tc>
        <w:tc>
          <w:tcPr>
            <w:tcW w:w="734" w:type="dxa"/>
            <w:noWrap/>
            <w:hideMark/>
          </w:tcPr>
          <w:p w14:paraId="207333F9" w14:textId="06508914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1049</w:t>
            </w:r>
          </w:p>
        </w:tc>
        <w:tc>
          <w:tcPr>
            <w:tcW w:w="886" w:type="dxa"/>
          </w:tcPr>
          <w:p w14:paraId="7E9D9126" w14:textId="708613EB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99.1</w:t>
            </w:r>
          </w:p>
        </w:tc>
        <w:tc>
          <w:tcPr>
            <w:tcW w:w="1265" w:type="dxa"/>
            <w:noWrap/>
            <w:hideMark/>
          </w:tcPr>
          <w:p w14:paraId="7DD659C2" w14:textId="48A2BE41" w:rsidR="00052A24" w:rsidRPr="001A43D1" w:rsidRDefault="00052A24" w:rsidP="0088050A">
            <w:pPr>
              <w:pStyle w:val="TeThHauoratablecontent"/>
              <w:framePr w:wrap="around"/>
            </w:pPr>
            <w:r w:rsidRPr="001A43D1">
              <w:t>1059</w:t>
            </w:r>
          </w:p>
        </w:tc>
      </w:tr>
      <w:tr w:rsidR="007F0017" w:rsidRPr="001A43D1" w14:paraId="461C9218" w14:textId="77777777" w:rsidTr="22793C52">
        <w:trPr>
          <w:trHeight w:val="290"/>
        </w:trPr>
        <w:tc>
          <w:tcPr>
            <w:tcW w:w="1598" w:type="dxa"/>
            <w:vMerge w:val="restart"/>
            <w:noWrap/>
            <w:hideMark/>
          </w:tcPr>
          <w:p w14:paraId="2C898B0B" w14:textId="77777777" w:rsidR="007F0017" w:rsidRPr="00AC229F" w:rsidRDefault="007F0017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Northern</w:t>
            </w:r>
          </w:p>
        </w:tc>
        <w:tc>
          <w:tcPr>
            <w:tcW w:w="1815" w:type="dxa"/>
            <w:noWrap/>
            <w:hideMark/>
          </w:tcPr>
          <w:p w14:paraId="33A80235" w14:textId="77777777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Northland</w:t>
            </w:r>
          </w:p>
        </w:tc>
        <w:tc>
          <w:tcPr>
            <w:tcW w:w="736" w:type="dxa"/>
            <w:noWrap/>
            <w:hideMark/>
          </w:tcPr>
          <w:p w14:paraId="4F698398" w14:textId="30ECF62B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60</w:t>
            </w:r>
          </w:p>
        </w:tc>
        <w:tc>
          <w:tcPr>
            <w:tcW w:w="885" w:type="dxa"/>
          </w:tcPr>
          <w:p w14:paraId="1DEA3DFB" w14:textId="23C9B9D9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1.5</w:t>
            </w:r>
          </w:p>
        </w:tc>
        <w:tc>
          <w:tcPr>
            <w:tcW w:w="734" w:type="dxa"/>
            <w:noWrap/>
            <w:hideMark/>
          </w:tcPr>
          <w:p w14:paraId="3E587EE8" w14:textId="53E4165A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3849</w:t>
            </w:r>
          </w:p>
        </w:tc>
        <w:tc>
          <w:tcPr>
            <w:tcW w:w="886" w:type="dxa"/>
          </w:tcPr>
          <w:p w14:paraId="64095103" w14:textId="4017D280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98.5</w:t>
            </w:r>
          </w:p>
        </w:tc>
        <w:tc>
          <w:tcPr>
            <w:tcW w:w="1265" w:type="dxa"/>
            <w:noWrap/>
            <w:hideMark/>
          </w:tcPr>
          <w:p w14:paraId="5475CBE9" w14:textId="1DDFB106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3909</w:t>
            </w:r>
          </w:p>
        </w:tc>
      </w:tr>
      <w:tr w:rsidR="007F0017" w:rsidRPr="001A43D1" w14:paraId="6469F75A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11D8480" w14:textId="77777777" w:rsidR="007F0017" w:rsidRPr="001A43D1" w:rsidRDefault="007F0017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7470FDE9" w14:textId="77777777" w:rsidR="007F0017" w:rsidRPr="001A43D1" w:rsidRDefault="007F0017" w:rsidP="0088050A">
            <w:pPr>
              <w:pStyle w:val="TeThHauoratablecontent"/>
              <w:framePr w:wrap="around"/>
            </w:pPr>
            <w:proofErr w:type="spellStart"/>
            <w:r w:rsidRPr="001A43D1">
              <w:t>Waitematā</w:t>
            </w:r>
            <w:proofErr w:type="spellEnd"/>
          </w:p>
        </w:tc>
        <w:tc>
          <w:tcPr>
            <w:tcW w:w="736" w:type="dxa"/>
            <w:noWrap/>
            <w:hideMark/>
          </w:tcPr>
          <w:p w14:paraId="2DC9C490" w14:textId="20E16140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110</w:t>
            </w:r>
          </w:p>
        </w:tc>
        <w:tc>
          <w:tcPr>
            <w:tcW w:w="885" w:type="dxa"/>
          </w:tcPr>
          <w:p w14:paraId="308697F6" w14:textId="4B911D76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1.9</w:t>
            </w:r>
          </w:p>
        </w:tc>
        <w:tc>
          <w:tcPr>
            <w:tcW w:w="734" w:type="dxa"/>
            <w:noWrap/>
            <w:hideMark/>
          </w:tcPr>
          <w:p w14:paraId="3680956E" w14:textId="23DABA91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5557</w:t>
            </w:r>
          </w:p>
        </w:tc>
        <w:tc>
          <w:tcPr>
            <w:tcW w:w="886" w:type="dxa"/>
          </w:tcPr>
          <w:p w14:paraId="7DF1675C" w14:textId="183B1941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98.1</w:t>
            </w:r>
          </w:p>
        </w:tc>
        <w:tc>
          <w:tcPr>
            <w:tcW w:w="1265" w:type="dxa"/>
            <w:noWrap/>
            <w:hideMark/>
          </w:tcPr>
          <w:p w14:paraId="311742C9" w14:textId="6B95CBE6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5667</w:t>
            </w:r>
          </w:p>
        </w:tc>
      </w:tr>
      <w:tr w:rsidR="007F0017" w:rsidRPr="001A43D1" w14:paraId="41D7FCA7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0432BD5" w14:textId="77777777" w:rsidR="007F0017" w:rsidRPr="001A43D1" w:rsidRDefault="007F0017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3BF5790C" w14:textId="77777777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Auckland</w:t>
            </w:r>
          </w:p>
        </w:tc>
        <w:tc>
          <w:tcPr>
            <w:tcW w:w="736" w:type="dxa"/>
            <w:noWrap/>
            <w:hideMark/>
          </w:tcPr>
          <w:p w14:paraId="5331A610" w14:textId="0A03B405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62</w:t>
            </w:r>
          </w:p>
        </w:tc>
        <w:tc>
          <w:tcPr>
            <w:tcW w:w="885" w:type="dxa"/>
          </w:tcPr>
          <w:p w14:paraId="32BC9273" w14:textId="19D28440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1.8</w:t>
            </w:r>
          </w:p>
        </w:tc>
        <w:tc>
          <w:tcPr>
            <w:tcW w:w="734" w:type="dxa"/>
            <w:noWrap/>
            <w:hideMark/>
          </w:tcPr>
          <w:p w14:paraId="074B0911" w14:textId="0B814F5E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3344</w:t>
            </w:r>
          </w:p>
        </w:tc>
        <w:tc>
          <w:tcPr>
            <w:tcW w:w="886" w:type="dxa"/>
          </w:tcPr>
          <w:p w14:paraId="64A788FF" w14:textId="6EC1B9D3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98.2</w:t>
            </w:r>
          </w:p>
        </w:tc>
        <w:tc>
          <w:tcPr>
            <w:tcW w:w="1265" w:type="dxa"/>
            <w:noWrap/>
            <w:hideMark/>
          </w:tcPr>
          <w:p w14:paraId="0A3F84D8" w14:textId="6F8D0C87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3406</w:t>
            </w:r>
          </w:p>
        </w:tc>
      </w:tr>
      <w:tr w:rsidR="007F0017" w:rsidRPr="001A43D1" w14:paraId="0A9A36A0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160476A0" w14:textId="77777777" w:rsidR="007F0017" w:rsidRPr="001A43D1" w:rsidRDefault="007F0017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44479771" w14:textId="77777777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Counties Manukau</w:t>
            </w:r>
          </w:p>
        </w:tc>
        <w:tc>
          <w:tcPr>
            <w:tcW w:w="736" w:type="dxa"/>
            <w:noWrap/>
            <w:hideMark/>
          </w:tcPr>
          <w:p w14:paraId="09899030" w14:textId="107F5DE5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100</w:t>
            </w:r>
          </w:p>
        </w:tc>
        <w:tc>
          <w:tcPr>
            <w:tcW w:w="885" w:type="dxa"/>
          </w:tcPr>
          <w:p w14:paraId="7D6D3582" w14:textId="1D4F8141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1.6</w:t>
            </w:r>
          </w:p>
        </w:tc>
        <w:tc>
          <w:tcPr>
            <w:tcW w:w="734" w:type="dxa"/>
            <w:noWrap/>
            <w:hideMark/>
          </w:tcPr>
          <w:p w14:paraId="61AAC5A5" w14:textId="56CE9B59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6055</w:t>
            </w:r>
          </w:p>
        </w:tc>
        <w:tc>
          <w:tcPr>
            <w:tcW w:w="886" w:type="dxa"/>
          </w:tcPr>
          <w:p w14:paraId="6F6D29DF" w14:textId="3F63CEF6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98.4</w:t>
            </w:r>
          </w:p>
        </w:tc>
        <w:tc>
          <w:tcPr>
            <w:tcW w:w="1265" w:type="dxa"/>
            <w:noWrap/>
            <w:hideMark/>
          </w:tcPr>
          <w:p w14:paraId="49EC5589" w14:textId="347E9ABE" w:rsidR="007F0017" w:rsidRPr="001A43D1" w:rsidRDefault="007F0017" w:rsidP="0088050A">
            <w:pPr>
              <w:pStyle w:val="TeThHauoratablecontent"/>
              <w:framePr w:wrap="around"/>
            </w:pPr>
            <w:r w:rsidRPr="001A43D1">
              <w:t>6155</w:t>
            </w:r>
          </w:p>
        </w:tc>
      </w:tr>
      <w:tr w:rsidR="004B1014" w:rsidRPr="001A43D1" w14:paraId="6FFB7CA9" w14:textId="77777777" w:rsidTr="22793C52">
        <w:trPr>
          <w:trHeight w:val="290"/>
        </w:trPr>
        <w:tc>
          <w:tcPr>
            <w:tcW w:w="1598" w:type="dxa"/>
            <w:vMerge w:val="restart"/>
            <w:noWrap/>
            <w:hideMark/>
          </w:tcPr>
          <w:p w14:paraId="592E4109" w14:textId="77777777" w:rsidR="004B1014" w:rsidRPr="00AC229F" w:rsidRDefault="004B1014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Te Manawa Taki</w:t>
            </w:r>
          </w:p>
        </w:tc>
        <w:tc>
          <w:tcPr>
            <w:tcW w:w="1815" w:type="dxa"/>
            <w:noWrap/>
            <w:hideMark/>
          </w:tcPr>
          <w:p w14:paraId="5E81D6DA" w14:textId="7777777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Waikato</w:t>
            </w:r>
          </w:p>
        </w:tc>
        <w:tc>
          <w:tcPr>
            <w:tcW w:w="736" w:type="dxa"/>
            <w:noWrap/>
            <w:hideMark/>
          </w:tcPr>
          <w:p w14:paraId="361C4835" w14:textId="5C807BCC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101</w:t>
            </w:r>
          </w:p>
        </w:tc>
        <w:tc>
          <w:tcPr>
            <w:tcW w:w="885" w:type="dxa"/>
          </w:tcPr>
          <w:p w14:paraId="760AD904" w14:textId="05000D93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1.3</w:t>
            </w:r>
          </w:p>
        </w:tc>
        <w:tc>
          <w:tcPr>
            <w:tcW w:w="734" w:type="dxa"/>
            <w:noWrap/>
            <w:hideMark/>
          </w:tcPr>
          <w:p w14:paraId="19345E66" w14:textId="36CDC209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7516</w:t>
            </w:r>
          </w:p>
        </w:tc>
        <w:tc>
          <w:tcPr>
            <w:tcW w:w="886" w:type="dxa"/>
          </w:tcPr>
          <w:p w14:paraId="091630EC" w14:textId="486D0C03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98.7</w:t>
            </w:r>
          </w:p>
        </w:tc>
        <w:tc>
          <w:tcPr>
            <w:tcW w:w="1265" w:type="dxa"/>
            <w:noWrap/>
            <w:hideMark/>
          </w:tcPr>
          <w:p w14:paraId="335F7440" w14:textId="3162AE7E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7617</w:t>
            </w:r>
          </w:p>
        </w:tc>
      </w:tr>
      <w:tr w:rsidR="004B1014" w:rsidRPr="001A43D1" w14:paraId="38C14DCC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1DEA4F31" w14:textId="77777777" w:rsidR="004B1014" w:rsidRPr="001A43D1" w:rsidRDefault="004B101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40ECBE94" w14:textId="7777777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Lakes</w:t>
            </w:r>
          </w:p>
        </w:tc>
        <w:tc>
          <w:tcPr>
            <w:tcW w:w="736" w:type="dxa"/>
            <w:noWrap/>
            <w:hideMark/>
          </w:tcPr>
          <w:p w14:paraId="5557FAF2" w14:textId="1E5B05D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20</w:t>
            </w:r>
          </w:p>
        </w:tc>
        <w:tc>
          <w:tcPr>
            <w:tcW w:w="885" w:type="dxa"/>
          </w:tcPr>
          <w:p w14:paraId="2B43052F" w14:textId="3DB5EDE4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0.9</w:t>
            </w:r>
          </w:p>
        </w:tc>
        <w:tc>
          <w:tcPr>
            <w:tcW w:w="734" w:type="dxa"/>
            <w:noWrap/>
            <w:hideMark/>
          </w:tcPr>
          <w:p w14:paraId="452AABCC" w14:textId="46D6AC72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2130</w:t>
            </w:r>
          </w:p>
        </w:tc>
        <w:tc>
          <w:tcPr>
            <w:tcW w:w="886" w:type="dxa"/>
          </w:tcPr>
          <w:p w14:paraId="110D9524" w14:textId="09D45B21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99.1</w:t>
            </w:r>
          </w:p>
        </w:tc>
        <w:tc>
          <w:tcPr>
            <w:tcW w:w="1265" w:type="dxa"/>
            <w:noWrap/>
            <w:hideMark/>
          </w:tcPr>
          <w:p w14:paraId="511F4C5C" w14:textId="1A950A11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2150</w:t>
            </w:r>
          </w:p>
        </w:tc>
      </w:tr>
      <w:tr w:rsidR="004B1014" w:rsidRPr="001A43D1" w14:paraId="070B7D40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6AD265EC" w14:textId="77777777" w:rsidR="004B1014" w:rsidRPr="001A43D1" w:rsidRDefault="004B101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249CEE45" w14:textId="7777777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Bay of Plenty</w:t>
            </w:r>
          </w:p>
        </w:tc>
        <w:tc>
          <w:tcPr>
            <w:tcW w:w="736" w:type="dxa"/>
            <w:noWrap/>
            <w:hideMark/>
          </w:tcPr>
          <w:p w14:paraId="336D9752" w14:textId="11A147A2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111</w:t>
            </w:r>
          </w:p>
        </w:tc>
        <w:tc>
          <w:tcPr>
            <w:tcW w:w="885" w:type="dxa"/>
          </w:tcPr>
          <w:p w14:paraId="0E52FEDB" w14:textId="720A153F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2.3</w:t>
            </w:r>
          </w:p>
        </w:tc>
        <w:tc>
          <w:tcPr>
            <w:tcW w:w="734" w:type="dxa"/>
            <w:noWrap/>
            <w:hideMark/>
          </w:tcPr>
          <w:p w14:paraId="2107D7C6" w14:textId="24C5F470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4799</w:t>
            </w:r>
          </w:p>
        </w:tc>
        <w:tc>
          <w:tcPr>
            <w:tcW w:w="886" w:type="dxa"/>
          </w:tcPr>
          <w:p w14:paraId="44ED93F5" w14:textId="6B01A9C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97.7</w:t>
            </w:r>
          </w:p>
        </w:tc>
        <w:tc>
          <w:tcPr>
            <w:tcW w:w="1265" w:type="dxa"/>
            <w:noWrap/>
            <w:hideMark/>
          </w:tcPr>
          <w:p w14:paraId="6951ED5A" w14:textId="5436DB6D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4910</w:t>
            </w:r>
          </w:p>
        </w:tc>
      </w:tr>
      <w:tr w:rsidR="004B1014" w:rsidRPr="001A43D1" w14:paraId="4A60C696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ED0B4C6" w14:textId="77777777" w:rsidR="004B1014" w:rsidRPr="001A43D1" w:rsidRDefault="004B101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07B3F66F" w14:textId="77777777" w:rsidR="004B1014" w:rsidRPr="001A43D1" w:rsidRDefault="004B1014" w:rsidP="0088050A">
            <w:pPr>
              <w:pStyle w:val="TeThHauoratablecontent"/>
              <w:framePr w:wrap="around"/>
            </w:pPr>
            <w:proofErr w:type="spellStart"/>
            <w:r w:rsidRPr="001A43D1">
              <w:t>Tairāwhiti</w:t>
            </w:r>
            <w:proofErr w:type="spellEnd"/>
          </w:p>
        </w:tc>
        <w:tc>
          <w:tcPr>
            <w:tcW w:w="736" w:type="dxa"/>
            <w:noWrap/>
            <w:hideMark/>
          </w:tcPr>
          <w:p w14:paraId="1E01C662" w14:textId="4C86EAF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11</w:t>
            </w:r>
          </w:p>
        </w:tc>
        <w:tc>
          <w:tcPr>
            <w:tcW w:w="885" w:type="dxa"/>
          </w:tcPr>
          <w:p w14:paraId="45247112" w14:textId="2515EC8D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1.1</w:t>
            </w:r>
          </w:p>
        </w:tc>
        <w:tc>
          <w:tcPr>
            <w:tcW w:w="734" w:type="dxa"/>
            <w:noWrap/>
            <w:hideMark/>
          </w:tcPr>
          <w:p w14:paraId="2212A6B8" w14:textId="75E6D41A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975</w:t>
            </w:r>
          </w:p>
        </w:tc>
        <w:tc>
          <w:tcPr>
            <w:tcW w:w="886" w:type="dxa"/>
          </w:tcPr>
          <w:p w14:paraId="409298E4" w14:textId="5F0281B0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98.9</w:t>
            </w:r>
          </w:p>
        </w:tc>
        <w:tc>
          <w:tcPr>
            <w:tcW w:w="1265" w:type="dxa"/>
            <w:noWrap/>
            <w:hideMark/>
          </w:tcPr>
          <w:p w14:paraId="53003792" w14:textId="74654215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986</w:t>
            </w:r>
          </w:p>
        </w:tc>
      </w:tr>
      <w:tr w:rsidR="004B1014" w:rsidRPr="001A43D1" w14:paraId="01782BD9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7DAF4D91" w14:textId="77777777" w:rsidR="004B1014" w:rsidRPr="001A43D1" w:rsidRDefault="004B1014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493FB527" w14:textId="77777777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Taranaki</w:t>
            </w:r>
          </w:p>
        </w:tc>
        <w:tc>
          <w:tcPr>
            <w:tcW w:w="736" w:type="dxa"/>
            <w:noWrap/>
            <w:hideMark/>
          </w:tcPr>
          <w:p w14:paraId="2C156E37" w14:textId="02B95139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49</w:t>
            </w:r>
          </w:p>
        </w:tc>
        <w:tc>
          <w:tcPr>
            <w:tcW w:w="885" w:type="dxa"/>
          </w:tcPr>
          <w:p w14:paraId="4D31EDAD" w14:textId="7D36F4E6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2.0</w:t>
            </w:r>
          </w:p>
        </w:tc>
        <w:tc>
          <w:tcPr>
            <w:tcW w:w="734" w:type="dxa"/>
            <w:noWrap/>
            <w:hideMark/>
          </w:tcPr>
          <w:p w14:paraId="0F77DA72" w14:textId="25501188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2437</w:t>
            </w:r>
          </w:p>
        </w:tc>
        <w:tc>
          <w:tcPr>
            <w:tcW w:w="886" w:type="dxa"/>
          </w:tcPr>
          <w:p w14:paraId="0403FDAB" w14:textId="762AA9E9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98.0</w:t>
            </w:r>
          </w:p>
        </w:tc>
        <w:tc>
          <w:tcPr>
            <w:tcW w:w="1265" w:type="dxa"/>
            <w:noWrap/>
            <w:hideMark/>
          </w:tcPr>
          <w:p w14:paraId="282729B7" w14:textId="16B5709D" w:rsidR="004B1014" w:rsidRPr="001A43D1" w:rsidRDefault="004B1014" w:rsidP="0088050A">
            <w:pPr>
              <w:pStyle w:val="TeThHauoratablecontent"/>
              <w:framePr w:wrap="around"/>
            </w:pPr>
            <w:r w:rsidRPr="001A43D1">
              <w:t>2486</w:t>
            </w:r>
          </w:p>
        </w:tc>
      </w:tr>
      <w:tr w:rsidR="007E582A" w:rsidRPr="001A43D1" w14:paraId="74BBBB2B" w14:textId="77777777" w:rsidTr="22793C52">
        <w:trPr>
          <w:trHeight w:val="290"/>
        </w:trPr>
        <w:tc>
          <w:tcPr>
            <w:tcW w:w="1598" w:type="dxa"/>
            <w:vMerge w:val="restart"/>
            <w:noWrap/>
            <w:hideMark/>
          </w:tcPr>
          <w:p w14:paraId="7A36D98D" w14:textId="77777777" w:rsidR="007E582A" w:rsidRPr="00AC229F" w:rsidRDefault="007E582A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Te Waipounamu</w:t>
            </w:r>
          </w:p>
        </w:tc>
        <w:tc>
          <w:tcPr>
            <w:tcW w:w="1815" w:type="dxa"/>
            <w:noWrap/>
            <w:hideMark/>
          </w:tcPr>
          <w:p w14:paraId="2544FF7F" w14:textId="7777777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Nelson Marlborough</w:t>
            </w:r>
          </w:p>
        </w:tc>
        <w:tc>
          <w:tcPr>
            <w:tcW w:w="736" w:type="dxa"/>
            <w:noWrap/>
          </w:tcPr>
          <w:p w14:paraId="630A6129" w14:textId="5E8777E9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26</w:t>
            </w:r>
          </w:p>
        </w:tc>
        <w:tc>
          <w:tcPr>
            <w:tcW w:w="885" w:type="dxa"/>
          </w:tcPr>
          <w:p w14:paraId="203E3A50" w14:textId="72564F0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1.1</w:t>
            </w:r>
          </w:p>
        </w:tc>
        <w:tc>
          <w:tcPr>
            <w:tcW w:w="734" w:type="dxa"/>
            <w:noWrap/>
          </w:tcPr>
          <w:p w14:paraId="0E4FCF6E" w14:textId="16A3AB6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2284</w:t>
            </w:r>
          </w:p>
        </w:tc>
        <w:tc>
          <w:tcPr>
            <w:tcW w:w="886" w:type="dxa"/>
          </w:tcPr>
          <w:p w14:paraId="26D56390" w14:textId="70AA9C2B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98.9</w:t>
            </w:r>
          </w:p>
        </w:tc>
        <w:tc>
          <w:tcPr>
            <w:tcW w:w="1265" w:type="dxa"/>
            <w:noWrap/>
          </w:tcPr>
          <w:p w14:paraId="6359526B" w14:textId="546A0663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2310</w:t>
            </w:r>
          </w:p>
        </w:tc>
      </w:tr>
      <w:tr w:rsidR="007E582A" w:rsidRPr="001A43D1" w14:paraId="2032D1E5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61085AD4" w14:textId="77777777" w:rsidR="007E582A" w:rsidRPr="001A43D1" w:rsidRDefault="007E582A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18915ABF" w14:textId="7777777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West Coast</w:t>
            </w:r>
          </w:p>
        </w:tc>
        <w:tc>
          <w:tcPr>
            <w:tcW w:w="736" w:type="dxa"/>
            <w:noWrap/>
          </w:tcPr>
          <w:p w14:paraId="1B532229" w14:textId="32427428" w:rsidR="007E582A" w:rsidRPr="001A43D1" w:rsidRDefault="00052A24" w:rsidP="0088050A">
            <w:pPr>
              <w:pStyle w:val="TeThHauoratablecontent"/>
              <w:framePr w:wrap="around"/>
            </w:pPr>
            <w:r w:rsidRPr="001A43D1">
              <w:t>-</w:t>
            </w:r>
          </w:p>
        </w:tc>
        <w:tc>
          <w:tcPr>
            <w:tcW w:w="885" w:type="dxa"/>
          </w:tcPr>
          <w:p w14:paraId="5F525164" w14:textId="38C3A9E0" w:rsidR="007E582A" w:rsidRPr="001A43D1" w:rsidRDefault="00B13F7C" w:rsidP="0088050A">
            <w:pPr>
              <w:pStyle w:val="TeThHauoratablecontent"/>
              <w:framePr w:wrap="around"/>
            </w:pPr>
            <w:r w:rsidRPr="001A43D1">
              <w:t>-</w:t>
            </w:r>
          </w:p>
        </w:tc>
        <w:tc>
          <w:tcPr>
            <w:tcW w:w="734" w:type="dxa"/>
            <w:noWrap/>
          </w:tcPr>
          <w:p w14:paraId="740942A4" w14:textId="7F067894" w:rsidR="007E582A" w:rsidRPr="001A43D1" w:rsidRDefault="00B13F7C" w:rsidP="0088050A">
            <w:pPr>
              <w:pStyle w:val="TeThHauoratablecontent"/>
              <w:framePr w:wrap="around"/>
            </w:pPr>
            <w:r w:rsidRPr="001A43D1">
              <w:t>-</w:t>
            </w:r>
          </w:p>
        </w:tc>
        <w:tc>
          <w:tcPr>
            <w:tcW w:w="886" w:type="dxa"/>
          </w:tcPr>
          <w:p w14:paraId="224E7B33" w14:textId="2340ADA0" w:rsidR="007E582A" w:rsidRPr="001A43D1" w:rsidRDefault="00B13F7C" w:rsidP="0088050A">
            <w:pPr>
              <w:pStyle w:val="TeThHauoratablecontent"/>
              <w:framePr w:wrap="around"/>
            </w:pPr>
            <w:r w:rsidRPr="001A43D1">
              <w:t>-</w:t>
            </w:r>
          </w:p>
        </w:tc>
        <w:tc>
          <w:tcPr>
            <w:tcW w:w="1265" w:type="dxa"/>
            <w:noWrap/>
          </w:tcPr>
          <w:p w14:paraId="37D9237A" w14:textId="6281DE55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900</w:t>
            </w:r>
          </w:p>
        </w:tc>
      </w:tr>
      <w:tr w:rsidR="007E582A" w:rsidRPr="001A43D1" w14:paraId="3E9446B6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8AAF81C" w14:textId="77777777" w:rsidR="007E582A" w:rsidRPr="001A43D1" w:rsidRDefault="007E582A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31FD33AC" w14:textId="7777777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Canterbury</w:t>
            </w:r>
          </w:p>
        </w:tc>
        <w:tc>
          <w:tcPr>
            <w:tcW w:w="736" w:type="dxa"/>
            <w:noWrap/>
          </w:tcPr>
          <w:p w14:paraId="59B41DBB" w14:textId="2B3B4E7A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80</w:t>
            </w:r>
          </w:p>
        </w:tc>
        <w:tc>
          <w:tcPr>
            <w:tcW w:w="885" w:type="dxa"/>
          </w:tcPr>
          <w:p w14:paraId="6DE57D60" w14:textId="3BBABA6B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1.4</w:t>
            </w:r>
          </w:p>
        </w:tc>
        <w:tc>
          <w:tcPr>
            <w:tcW w:w="734" w:type="dxa"/>
            <w:noWrap/>
          </w:tcPr>
          <w:p w14:paraId="1807C20A" w14:textId="7FA3196D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5837</w:t>
            </w:r>
          </w:p>
        </w:tc>
        <w:tc>
          <w:tcPr>
            <w:tcW w:w="886" w:type="dxa"/>
          </w:tcPr>
          <w:p w14:paraId="7CABBE57" w14:textId="46F4C6B5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98.6</w:t>
            </w:r>
          </w:p>
        </w:tc>
        <w:tc>
          <w:tcPr>
            <w:tcW w:w="1265" w:type="dxa"/>
            <w:noWrap/>
          </w:tcPr>
          <w:p w14:paraId="63B1FF19" w14:textId="17064B72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5917</w:t>
            </w:r>
          </w:p>
        </w:tc>
      </w:tr>
      <w:tr w:rsidR="007E582A" w:rsidRPr="001A43D1" w14:paraId="7920D6BB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59698BC8" w14:textId="77777777" w:rsidR="007E582A" w:rsidRPr="001A43D1" w:rsidRDefault="007E582A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4124656D" w14:textId="7777777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South Canterbury</w:t>
            </w:r>
          </w:p>
        </w:tc>
        <w:tc>
          <w:tcPr>
            <w:tcW w:w="736" w:type="dxa"/>
            <w:noWrap/>
          </w:tcPr>
          <w:p w14:paraId="2C53E469" w14:textId="67891C0B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16</w:t>
            </w:r>
          </w:p>
        </w:tc>
        <w:tc>
          <w:tcPr>
            <w:tcW w:w="885" w:type="dxa"/>
          </w:tcPr>
          <w:p w14:paraId="296E5382" w14:textId="10BCC435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1.3</w:t>
            </w:r>
          </w:p>
        </w:tc>
        <w:tc>
          <w:tcPr>
            <w:tcW w:w="734" w:type="dxa"/>
            <w:noWrap/>
          </w:tcPr>
          <w:p w14:paraId="08866105" w14:textId="0258577B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1176</w:t>
            </w:r>
          </w:p>
        </w:tc>
        <w:tc>
          <w:tcPr>
            <w:tcW w:w="886" w:type="dxa"/>
          </w:tcPr>
          <w:p w14:paraId="2644B889" w14:textId="42C4433F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98.7</w:t>
            </w:r>
          </w:p>
        </w:tc>
        <w:tc>
          <w:tcPr>
            <w:tcW w:w="1265" w:type="dxa"/>
            <w:noWrap/>
          </w:tcPr>
          <w:p w14:paraId="356830B1" w14:textId="0EE2CA1B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1192</w:t>
            </w:r>
          </w:p>
        </w:tc>
      </w:tr>
      <w:tr w:rsidR="007E582A" w:rsidRPr="001A43D1" w14:paraId="224ECC7E" w14:textId="77777777" w:rsidTr="22793C52">
        <w:trPr>
          <w:trHeight w:val="290"/>
        </w:trPr>
        <w:tc>
          <w:tcPr>
            <w:tcW w:w="1598" w:type="dxa"/>
            <w:vMerge/>
            <w:hideMark/>
          </w:tcPr>
          <w:p w14:paraId="7BDABB5E" w14:textId="77777777" w:rsidR="007E582A" w:rsidRPr="001A43D1" w:rsidRDefault="007E582A" w:rsidP="0088050A">
            <w:pPr>
              <w:pStyle w:val="TeThHauoratablecontent"/>
              <w:framePr w:wrap="around"/>
            </w:pPr>
          </w:p>
        </w:tc>
        <w:tc>
          <w:tcPr>
            <w:tcW w:w="1815" w:type="dxa"/>
            <w:noWrap/>
            <w:hideMark/>
          </w:tcPr>
          <w:p w14:paraId="1152F3AC" w14:textId="7777777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Southern</w:t>
            </w:r>
          </w:p>
        </w:tc>
        <w:tc>
          <w:tcPr>
            <w:tcW w:w="736" w:type="dxa"/>
            <w:noWrap/>
          </w:tcPr>
          <w:p w14:paraId="365ABDF7" w14:textId="2D7017EB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70</w:t>
            </w:r>
          </w:p>
        </w:tc>
        <w:tc>
          <w:tcPr>
            <w:tcW w:w="885" w:type="dxa"/>
          </w:tcPr>
          <w:p w14:paraId="52367436" w14:textId="109F04CE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1.4</w:t>
            </w:r>
          </w:p>
        </w:tc>
        <w:tc>
          <w:tcPr>
            <w:tcW w:w="734" w:type="dxa"/>
            <w:noWrap/>
          </w:tcPr>
          <w:p w14:paraId="0E152066" w14:textId="3586DFDC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5109</w:t>
            </w:r>
          </w:p>
        </w:tc>
        <w:tc>
          <w:tcPr>
            <w:tcW w:w="886" w:type="dxa"/>
          </w:tcPr>
          <w:p w14:paraId="5B88A84B" w14:textId="614172E7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98.6</w:t>
            </w:r>
          </w:p>
        </w:tc>
        <w:tc>
          <w:tcPr>
            <w:tcW w:w="1265" w:type="dxa"/>
            <w:noWrap/>
          </w:tcPr>
          <w:p w14:paraId="24AD2AC7" w14:textId="3F5AB12C" w:rsidR="007E582A" w:rsidRPr="001A43D1" w:rsidRDefault="007E582A" w:rsidP="0088050A">
            <w:pPr>
              <w:pStyle w:val="TeThHauoratablecontent"/>
              <w:framePr w:wrap="around"/>
            </w:pPr>
            <w:r w:rsidRPr="001A43D1">
              <w:t>5179</w:t>
            </w:r>
          </w:p>
        </w:tc>
      </w:tr>
      <w:tr w:rsidR="00AF470F" w:rsidRPr="001A43D1" w14:paraId="5F2C77DA" w14:textId="77777777" w:rsidTr="22793C52">
        <w:trPr>
          <w:trHeight w:val="290"/>
        </w:trPr>
        <w:tc>
          <w:tcPr>
            <w:tcW w:w="1598" w:type="dxa"/>
          </w:tcPr>
          <w:p w14:paraId="6FA3CFC3" w14:textId="0C8E7345" w:rsidR="00AF470F" w:rsidRPr="00AC229F" w:rsidRDefault="00AF470F" w:rsidP="0088050A">
            <w:pPr>
              <w:pStyle w:val="TeThHauoratablecontent"/>
              <w:framePr w:wrap="around"/>
              <w:rPr>
                <w:b/>
                <w:bCs/>
              </w:rPr>
            </w:pPr>
            <w:r w:rsidRPr="00AC229F">
              <w:rPr>
                <w:b/>
                <w:bCs/>
              </w:rPr>
              <w:t>New Zealand</w:t>
            </w:r>
          </w:p>
        </w:tc>
        <w:tc>
          <w:tcPr>
            <w:tcW w:w="1815" w:type="dxa"/>
            <w:noWrap/>
          </w:tcPr>
          <w:p w14:paraId="7A666E23" w14:textId="77777777" w:rsidR="00AF470F" w:rsidRPr="001A43D1" w:rsidRDefault="00AF470F" w:rsidP="0088050A">
            <w:pPr>
              <w:pStyle w:val="TeThHauoratablecontent"/>
              <w:framePr w:wrap="around"/>
            </w:pPr>
          </w:p>
        </w:tc>
        <w:tc>
          <w:tcPr>
            <w:tcW w:w="736" w:type="dxa"/>
            <w:noWrap/>
          </w:tcPr>
          <w:p w14:paraId="469C301F" w14:textId="743150D3" w:rsidR="00AF470F" w:rsidRPr="001A43D1" w:rsidRDefault="00AF470F" w:rsidP="0088050A">
            <w:pPr>
              <w:pStyle w:val="TeThHauoratablecontent"/>
              <w:framePr w:wrap="around"/>
            </w:pPr>
            <w:r w:rsidRPr="00F2201E">
              <w:rPr>
                <w:kern w:val="2"/>
                <w14:ligatures w14:val="standardContextual"/>
              </w:rPr>
              <w:t>995</w:t>
            </w:r>
          </w:p>
        </w:tc>
        <w:tc>
          <w:tcPr>
            <w:tcW w:w="885" w:type="dxa"/>
          </w:tcPr>
          <w:p w14:paraId="70EEF564" w14:textId="22F6B141" w:rsidR="00AF470F" w:rsidRPr="001A43D1" w:rsidRDefault="00AF470F" w:rsidP="0088050A">
            <w:pPr>
              <w:pStyle w:val="TeThHauoratablecontent"/>
              <w:framePr w:wrap="around"/>
            </w:pPr>
            <w:r w:rsidRPr="00F2201E">
              <w:rPr>
                <w:kern w:val="2"/>
                <w14:ligatures w14:val="standardContextual"/>
              </w:rPr>
              <w:t>1.484875</w:t>
            </w:r>
          </w:p>
        </w:tc>
        <w:tc>
          <w:tcPr>
            <w:tcW w:w="734" w:type="dxa"/>
            <w:noWrap/>
          </w:tcPr>
          <w:p w14:paraId="1A48FF42" w14:textId="2B0F26B1" w:rsidR="00AF470F" w:rsidRPr="001A43D1" w:rsidRDefault="00AF470F" w:rsidP="0088050A">
            <w:pPr>
              <w:pStyle w:val="TeThHauoratablecontent"/>
              <w:framePr w:wrap="around"/>
            </w:pPr>
            <w:r w:rsidRPr="00F2201E">
              <w:rPr>
                <w:kern w:val="2"/>
                <w14:ligatures w14:val="standardContextual"/>
              </w:rPr>
              <w:t>66</w:t>
            </w:r>
            <w:r>
              <w:rPr>
                <w:kern w:val="2"/>
                <w14:ligatures w14:val="standardContextual"/>
              </w:rPr>
              <w:t>,</w:t>
            </w:r>
            <w:r w:rsidRPr="00F2201E">
              <w:rPr>
                <w:kern w:val="2"/>
                <w14:ligatures w14:val="standardContextual"/>
              </w:rPr>
              <w:t>014</w:t>
            </w:r>
          </w:p>
        </w:tc>
        <w:tc>
          <w:tcPr>
            <w:tcW w:w="886" w:type="dxa"/>
          </w:tcPr>
          <w:p w14:paraId="7D753940" w14:textId="6DD0A231" w:rsidR="00AF470F" w:rsidRPr="001A43D1" w:rsidRDefault="00AF470F" w:rsidP="0088050A">
            <w:pPr>
              <w:pStyle w:val="TeThHauoratablecontent"/>
              <w:framePr w:wrap="around"/>
            </w:pPr>
            <w:r w:rsidRPr="00F2201E">
              <w:rPr>
                <w:kern w:val="2"/>
                <w14:ligatures w14:val="standardContextual"/>
              </w:rPr>
              <w:t>98.51513</w:t>
            </w:r>
          </w:p>
        </w:tc>
        <w:tc>
          <w:tcPr>
            <w:tcW w:w="1265" w:type="dxa"/>
            <w:noWrap/>
          </w:tcPr>
          <w:p w14:paraId="152247E2" w14:textId="16DF86B8" w:rsidR="00AF470F" w:rsidRPr="001A43D1" w:rsidRDefault="00AF470F" w:rsidP="0088050A">
            <w:pPr>
              <w:pStyle w:val="TeThHauoratablecontent"/>
              <w:framePr w:wrap="around"/>
            </w:pPr>
            <w:r w:rsidRPr="00F2201E">
              <w:rPr>
                <w:kern w:val="2"/>
                <w14:ligatures w14:val="standardContextual"/>
              </w:rPr>
              <w:t>67</w:t>
            </w:r>
            <w:r>
              <w:rPr>
                <w:kern w:val="2"/>
                <w14:ligatures w14:val="standardContextual"/>
              </w:rPr>
              <w:t>,</w:t>
            </w:r>
            <w:r w:rsidRPr="00F2201E">
              <w:rPr>
                <w:kern w:val="2"/>
                <w14:ligatures w14:val="standardContextual"/>
              </w:rPr>
              <w:t>009</w:t>
            </w:r>
          </w:p>
        </w:tc>
      </w:tr>
    </w:tbl>
    <w:p w14:paraId="4A28DA18" w14:textId="18549101" w:rsidR="00C55DB3" w:rsidRPr="00701C02" w:rsidRDefault="00C654AF" w:rsidP="6A2EC116">
      <w:pPr>
        <w:pStyle w:val="TeThHauorabodytext"/>
        <w:rPr>
          <w:sz w:val="20"/>
          <w:szCs w:val="20"/>
        </w:rPr>
      </w:pPr>
      <w:r w:rsidRPr="00701C02">
        <w:rPr>
          <w:sz w:val="20"/>
          <w:szCs w:val="20"/>
        </w:rPr>
        <w:t>Note. Values below 10 are represented as a dash (-) in the table</w:t>
      </w:r>
    </w:p>
    <w:p w14:paraId="4FE5169A" w14:textId="477A58AE" w:rsidR="004226A9" w:rsidRPr="00E153C1" w:rsidRDefault="004226A9" w:rsidP="002E2DC6">
      <w:pPr>
        <w:pStyle w:val="TeThHauorabodytext"/>
      </w:pPr>
    </w:p>
    <w:sectPr w:rsidR="004226A9" w:rsidRPr="00E1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466D" w14:textId="77777777" w:rsidR="008D4000" w:rsidRDefault="008D4000" w:rsidP="004E2D31">
      <w:pPr>
        <w:spacing w:after="0" w:line="240" w:lineRule="auto"/>
      </w:pPr>
      <w:r>
        <w:separator/>
      </w:r>
    </w:p>
  </w:endnote>
  <w:endnote w:type="continuationSeparator" w:id="0">
    <w:p w14:paraId="37BF122D" w14:textId="77777777" w:rsidR="008D4000" w:rsidRDefault="008D4000" w:rsidP="004E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3B81" w14:textId="77777777" w:rsidR="008D4000" w:rsidRDefault="008D4000" w:rsidP="004E2D31">
      <w:pPr>
        <w:spacing w:after="0" w:line="240" w:lineRule="auto"/>
      </w:pPr>
      <w:r>
        <w:separator/>
      </w:r>
    </w:p>
  </w:footnote>
  <w:footnote w:type="continuationSeparator" w:id="0">
    <w:p w14:paraId="3810BF94" w14:textId="77777777" w:rsidR="008D4000" w:rsidRDefault="008D4000" w:rsidP="004E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F34B6"/>
    <w:multiLevelType w:val="multilevel"/>
    <w:tmpl w:val="C5642296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D5674"/>
    <w:multiLevelType w:val="multilevel"/>
    <w:tmpl w:val="1409001D"/>
    <w:numStyleLink w:val="NoIndentBullet"/>
  </w:abstractNum>
  <w:abstractNum w:abstractNumId="3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661AAF"/>
    <w:multiLevelType w:val="multilevel"/>
    <w:tmpl w:val="1409001D"/>
    <w:numStyleLink w:val="NoIndentBullet"/>
  </w:abstractNum>
  <w:abstractNum w:abstractNumId="7" w15:restartNumberingAfterBreak="0">
    <w:nsid w:val="68100608"/>
    <w:multiLevelType w:val="multilevel"/>
    <w:tmpl w:val="1409001D"/>
    <w:numStyleLink w:val="NoIndentBullet"/>
  </w:abstractNum>
  <w:num w:numId="1" w16cid:durableId="495070359">
    <w:abstractNumId w:val="4"/>
  </w:num>
  <w:num w:numId="2" w16cid:durableId="953295230">
    <w:abstractNumId w:val="5"/>
  </w:num>
  <w:num w:numId="3" w16cid:durableId="1152986167">
    <w:abstractNumId w:val="7"/>
  </w:num>
  <w:num w:numId="4" w16cid:durableId="1722820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6"/>
  </w:num>
  <w:num w:numId="6" w16cid:durableId="1497529179">
    <w:abstractNumId w:val="2"/>
  </w:num>
  <w:num w:numId="7" w16cid:durableId="1515728625">
    <w:abstractNumId w:val="0"/>
  </w:num>
  <w:num w:numId="8" w16cid:durableId="918633406">
    <w:abstractNumId w:val="3"/>
  </w:num>
  <w:num w:numId="9" w16cid:durableId="76372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CF"/>
    <w:rsid w:val="00024A26"/>
    <w:rsid w:val="00052A24"/>
    <w:rsid w:val="0006534F"/>
    <w:rsid w:val="0006751A"/>
    <w:rsid w:val="00072FF6"/>
    <w:rsid w:val="000962E7"/>
    <w:rsid w:val="000C75FE"/>
    <w:rsid w:val="000D293E"/>
    <w:rsid w:val="000E1EA0"/>
    <w:rsid w:val="001076C6"/>
    <w:rsid w:val="00125908"/>
    <w:rsid w:val="00145FB9"/>
    <w:rsid w:val="00180D35"/>
    <w:rsid w:val="001A43D1"/>
    <w:rsid w:val="001A66D1"/>
    <w:rsid w:val="001C1E50"/>
    <w:rsid w:val="001E742C"/>
    <w:rsid w:val="00202F4D"/>
    <w:rsid w:val="002424AD"/>
    <w:rsid w:val="00280564"/>
    <w:rsid w:val="002E2DC6"/>
    <w:rsid w:val="00305BA1"/>
    <w:rsid w:val="00336B17"/>
    <w:rsid w:val="00354902"/>
    <w:rsid w:val="00361B90"/>
    <w:rsid w:val="004102B4"/>
    <w:rsid w:val="0041080A"/>
    <w:rsid w:val="0041112A"/>
    <w:rsid w:val="00416ADB"/>
    <w:rsid w:val="004226A9"/>
    <w:rsid w:val="00496204"/>
    <w:rsid w:val="004A6922"/>
    <w:rsid w:val="004B1014"/>
    <w:rsid w:val="004E2D31"/>
    <w:rsid w:val="00506A90"/>
    <w:rsid w:val="00506DD4"/>
    <w:rsid w:val="00521F45"/>
    <w:rsid w:val="0052549A"/>
    <w:rsid w:val="005309BC"/>
    <w:rsid w:val="0054596B"/>
    <w:rsid w:val="00565965"/>
    <w:rsid w:val="00581B96"/>
    <w:rsid w:val="005A0C6E"/>
    <w:rsid w:val="005B0AE0"/>
    <w:rsid w:val="005B2C39"/>
    <w:rsid w:val="006036CA"/>
    <w:rsid w:val="00634A2F"/>
    <w:rsid w:val="00644B55"/>
    <w:rsid w:val="00646C73"/>
    <w:rsid w:val="006862C6"/>
    <w:rsid w:val="00692FB4"/>
    <w:rsid w:val="00696C26"/>
    <w:rsid w:val="006C3679"/>
    <w:rsid w:val="00701C02"/>
    <w:rsid w:val="007304F7"/>
    <w:rsid w:val="00734263"/>
    <w:rsid w:val="00745D19"/>
    <w:rsid w:val="00784E29"/>
    <w:rsid w:val="007C2ED4"/>
    <w:rsid w:val="007E582A"/>
    <w:rsid w:val="007F0017"/>
    <w:rsid w:val="007F18CF"/>
    <w:rsid w:val="007F3F3C"/>
    <w:rsid w:val="008178CE"/>
    <w:rsid w:val="00830842"/>
    <w:rsid w:val="00844762"/>
    <w:rsid w:val="008711FD"/>
    <w:rsid w:val="0088050A"/>
    <w:rsid w:val="008A4C11"/>
    <w:rsid w:val="008C34FB"/>
    <w:rsid w:val="008C78FB"/>
    <w:rsid w:val="008D4000"/>
    <w:rsid w:val="00926B5A"/>
    <w:rsid w:val="00946D60"/>
    <w:rsid w:val="0097108F"/>
    <w:rsid w:val="00981401"/>
    <w:rsid w:val="0099379B"/>
    <w:rsid w:val="00A1655D"/>
    <w:rsid w:val="00A21C0F"/>
    <w:rsid w:val="00A24225"/>
    <w:rsid w:val="00A470B5"/>
    <w:rsid w:val="00A53326"/>
    <w:rsid w:val="00A67E61"/>
    <w:rsid w:val="00A70DB8"/>
    <w:rsid w:val="00AC229F"/>
    <w:rsid w:val="00AF3A49"/>
    <w:rsid w:val="00AF470F"/>
    <w:rsid w:val="00B13F7C"/>
    <w:rsid w:val="00B31565"/>
    <w:rsid w:val="00B367CB"/>
    <w:rsid w:val="00B54D46"/>
    <w:rsid w:val="00B6538B"/>
    <w:rsid w:val="00B749A9"/>
    <w:rsid w:val="00B91D8C"/>
    <w:rsid w:val="00BD0670"/>
    <w:rsid w:val="00BD6F30"/>
    <w:rsid w:val="00BE737A"/>
    <w:rsid w:val="00BF3A61"/>
    <w:rsid w:val="00C0368E"/>
    <w:rsid w:val="00C55DB3"/>
    <w:rsid w:val="00C62068"/>
    <w:rsid w:val="00C654AF"/>
    <w:rsid w:val="00C72558"/>
    <w:rsid w:val="00C732AB"/>
    <w:rsid w:val="00DA5EDF"/>
    <w:rsid w:val="00DC18D9"/>
    <w:rsid w:val="00DC27BF"/>
    <w:rsid w:val="00DD4668"/>
    <w:rsid w:val="00DE26E3"/>
    <w:rsid w:val="00E02F45"/>
    <w:rsid w:val="00E146F1"/>
    <w:rsid w:val="00E153C1"/>
    <w:rsid w:val="00E26AD2"/>
    <w:rsid w:val="00E8101C"/>
    <w:rsid w:val="00E81583"/>
    <w:rsid w:val="00E96B2B"/>
    <w:rsid w:val="00ED3C7A"/>
    <w:rsid w:val="00EE64F8"/>
    <w:rsid w:val="00EF75D1"/>
    <w:rsid w:val="00F15992"/>
    <w:rsid w:val="00F20396"/>
    <w:rsid w:val="00F2201E"/>
    <w:rsid w:val="00F25434"/>
    <w:rsid w:val="00F269A3"/>
    <w:rsid w:val="00F27161"/>
    <w:rsid w:val="00F335D2"/>
    <w:rsid w:val="00F51C65"/>
    <w:rsid w:val="00F83560"/>
    <w:rsid w:val="00F95DA6"/>
    <w:rsid w:val="00FC23C6"/>
    <w:rsid w:val="00FC508A"/>
    <w:rsid w:val="00FE328A"/>
    <w:rsid w:val="00FF008F"/>
    <w:rsid w:val="00FF30A6"/>
    <w:rsid w:val="1217852D"/>
    <w:rsid w:val="19B023CB"/>
    <w:rsid w:val="22793C52"/>
    <w:rsid w:val="237990A1"/>
    <w:rsid w:val="2BD43B13"/>
    <w:rsid w:val="3EE2F2BB"/>
    <w:rsid w:val="4037CB0A"/>
    <w:rsid w:val="439EC646"/>
    <w:rsid w:val="47D85362"/>
    <w:rsid w:val="4D56BAAD"/>
    <w:rsid w:val="4D84D45E"/>
    <w:rsid w:val="50AA5D0C"/>
    <w:rsid w:val="55BC37FB"/>
    <w:rsid w:val="56A1FECD"/>
    <w:rsid w:val="5D3A15F2"/>
    <w:rsid w:val="5DD22043"/>
    <w:rsid w:val="624200F0"/>
    <w:rsid w:val="631E4D33"/>
    <w:rsid w:val="689A486B"/>
    <w:rsid w:val="6A2EC116"/>
    <w:rsid w:val="6D1E5AEC"/>
    <w:rsid w:val="6E8BBFAF"/>
    <w:rsid w:val="7218B6FE"/>
    <w:rsid w:val="73BFDAAB"/>
    <w:rsid w:val="78833996"/>
    <w:rsid w:val="7C45E0A8"/>
    <w:rsid w:val="7E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14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8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8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8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8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8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8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8CF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8CF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8CF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8CF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8CF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8CF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1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8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8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8C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18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8CF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F18C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2DC6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226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61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61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D293E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F51C6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2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31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2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31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2025-08-12T21:53:00Z</dcterms:created>
  <dcterms:modified xsi:type="dcterms:W3CDTF">2025-08-12T23:21:00Z</dcterms:modified>
</cp:coreProperties>
</file>