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A5EB" w14:textId="0D24FC19" w:rsidR="0088494C" w:rsidRPr="00F63BDD" w:rsidRDefault="0088494C" w:rsidP="005D4143">
      <w:pPr>
        <w:pStyle w:val="Headline"/>
        <w:jc w:val="center"/>
      </w:pPr>
      <w:r w:rsidRPr="00F63BDD">
        <w:rPr>
          <w:noProof/>
          <w:lang w:eastAsia="en-NZ"/>
        </w:rPr>
        <w:drawing>
          <wp:inline distT="0" distB="0" distL="0" distR="0" wp14:anchorId="4F49ADC3" wp14:editId="5EE7FC9C">
            <wp:extent cx="3154166" cy="933040"/>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SC_LOGO_Colour_FullVersion_jp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6255" cy="942532"/>
                    </a:xfrm>
                    <a:prstGeom prst="rect">
                      <a:avLst/>
                    </a:prstGeom>
                  </pic:spPr>
                </pic:pic>
              </a:graphicData>
            </a:graphic>
          </wp:inline>
        </w:drawing>
      </w:r>
    </w:p>
    <w:p w14:paraId="4F49A5EC" w14:textId="77777777" w:rsidR="0088494C" w:rsidRPr="00F63BDD" w:rsidRDefault="0088494C" w:rsidP="006D4F9A">
      <w:pPr>
        <w:pStyle w:val="Headline"/>
      </w:pPr>
    </w:p>
    <w:p w14:paraId="4F49A5ED" w14:textId="77777777" w:rsidR="0088494C" w:rsidRPr="00F63BDD" w:rsidRDefault="0088494C" w:rsidP="00BC02CB">
      <w:pPr>
        <w:pStyle w:val="Headline"/>
        <w:spacing w:line="276" w:lineRule="auto"/>
        <w:jc w:val="center"/>
      </w:pPr>
    </w:p>
    <w:p w14:paraId="4F49A5EF" w14:textId="4596F1A5" w:rsidR="00770697" w:rsidRDefault="0033439E" w:rsidP="00BC02CB">
      <w:pPr>
        <w:pStyle w:val="Headline"/>
        <w:spacing w:line="276" w:lineRule="auto"/>
        <w:jc w:val="center"/>
      </w:pPr>
      <w:bookmarkStart w:id="0" w:name="_Hlk64974883"/>
      <w:r>
        <w:t xml:space="preserve">The </w:t>
      </w:r>
      <w:r w:rsidR="00AB61FA">
        <w:t xml:space="preserve">health care </w:t>
      </w:r>
      <w:r>
        <w:t xml:space="preserve">experience of </w:t>
      </w:r>
      <w:r w:rsidR="00AB61FA">
        <w:br/>
      </w:r>
      <w:r w:rsidR="006E4437">
        <w:t>disabled people</w:t>
      </w:r>
      <w:r>
        <w:t xml:space="preserve"> </w:t>
      </w:r>
      <w:r w:rsidR="00AB61FA">
        <w:br/>
      </w:r>
      <w:r>
        <w:t>during COVID-19</w:t>
      </w:r>
      <w:r w:rsidR="00AB61FA">
        <w:t>:</w:t>
      </w:r>
      <w:bookmarkEnd w:id="0"/>
      <w:r w:rsidR="00AB61FA">
        <w:br/>
        <w:t xml:space="preserve">Summary of findings from the </w:t>
      </w:r>
      <w:r w:rsidR="00AB61FA">
        <w:br/>
      </w:r>
      <w:r w:rsidR="00AB61FA" w:rsidRPr="00AB61FA">
        <w:t>COVID-19 patient experience survey</w:t>
      </w:r>
    </w:p>
    <w:p w14:paraId="4AC12ECB" w14:textId="203FD1CE" w:rsidR="00E8587B" w:rsidRPr="00F63BDD" w:rsidRDefault="00E8587B" w:rsidP="00BC02CB">
      <w:pPr>
        <w:pStyle w:val="Headline"/>
        <w:spacing w:line="276" w:lineRule="auto"/>
        <w:jc w:val="center"/>
      </w:pPr>
      <w:r w:rsidRPr="00E8587B">
        <w:t xml:space="preserve">Te </w:t>
      </w:r>
      <w:proofErr w:type="spellStart"/>
      <w:r w:rsidRPr="00E8587B">
        <w:t>wheako</w:t>
      </w:r>
      <w:proofErr w:type="spellEnd"/>
      <w:r w:rsidRPr="00E8587B">
        <w:t xml:space="preserve"> </w:t>
      </w:r>
      <w:proofErr w:type="spellStart"/>
      <w:r w:rsidRPr="00E8587B">
        <w:t>tauwhiro</w:t>
      </w:r>
      <w:proofErr w:type="spellEnd"/>
      <w:r w:rsidRPr="00E8587B">
        <w:t xml:space="preserve"> </w:t>
      </w:r>
      <w:proofErr w:type="spellStart"/>
      <w:r w:rsidRPr="00E8587B">
        <w:t>hauora</w:t>
      </w:r>
      <w:proofErr w:type="spellEnd"/>
      <w:r w:rsidRPr="00E8587B">
        <w:t xml:space="preserve"> a </w:t>
      </w:r>
      <w:proofErr w:type="spellStart"/>
      <w:r w:rsidRPr="00E8587B">
        <w:t>te</w:t>
      </w:r>
      <w:proofErr w:type="spellEnd"/>
      <w:r w:rsidRPr="00E8587B">
        <w:t xml:space="preserve"> </w:t>
      </w:r>
      <w:proofErr w:type="spellStart"/>
      <w:r w:rsidRPr="00E8587B">
        <w:t>hunga</w:t>
      </w:r>
      <w:proofErr w:type="spellEnd"/>
      <w:r w:rsidRPr="00E8587B">
        <w:t xml:space="preserve"> </w:t>
      </w:r>
      <w:proofErr w:type="spellStart"/>
      <w:r w:rsidRPr="00E8587B">
        <w:t>hauā</w:t>
      </w:r>
      <w:proofErr w:type="spellEnd"/>
      <w:r w:rsidRPr="00E8587B">
        <w:t xml:space="preserve"> </w:t>
      </w:r>
      <w:r>
        <w:br/>
      </w:r>
      <w:proofErr w:type="spellStart"/>
      <w:r w:rsidRPr="00E8587B">
        <w:t>i</w:t>
      </w:r>
      <w:proofErr w:type="spellEnd"/>
      <w:r w:rsidRPr="00E8587B">
        <w:t xml:space="preserve"> </w:t>
      </w:r>
      <w:proofErr w:type="spellStart"/>
      <w:r w:rsidRPr="00E8587B">
        <w:t>te</w:t>
      </w:r>
      <w:proofErr w:type="spellEnd"/>
      <w:r w:rsidRPr="00E8587B">
        <w:t xml:space="preserve"> </w:t>
      </w:r>
      <w:proofErr w:type="spellStart"/>
      <w:r w:rsidRPr="00E8587B">
        <w:t>wā</w:t>
      </w:r>
      <w:proofErr w:type="spellEnd"/>
      <w:r w:rsidRPr="00E8587B">
        <w:t xml:space="preserve"> KOWHEORI-19: He </w:t>
      </w:r>
      <w:proofErr w:type="spellStart"/>
      <w:r w:rsidRPr="00E8587B">
        <w:t>whakarāpopototanga</w:t>
      </w:r>
      <w:proofErr w:type="spellEnd"/>
      <w:r w:rsidRPr="00E8587B">
        <w:t xml:space="preserve"> o </w:t>
      </w:r>
      <w:r>
        <w:br/>
      </w:r>
      <w:proofErr w:type="spellStart"/>
      <w:r w:rsidRPr="00E8587B">
        <w:t>ngā</w:t>
      </w:r>
      <w:proofErr w:type="spellEnd"/>
      <w:r w:rsidRPr="00E8587B">
        <w:t xml:space="preserve"> </w:t>
      </w:r>
      <w:proofErr w:type="spellStart"/>
      <w:r w:rsidRPr="00E8587B">
        <w:t>kitenga</w:t>
      </w:r>
      <w:proofErr w:type="spellEnd"/>
      <w:r w:rsidRPr="00E8587B">
        <w:t xml:space="preserve"> o </w:t>
      </w:r>
      <w:proofErr w:type="spellStart"/>
      <w:r w:rsidRPr="00E8587B">
        <w:t>te</w:t>
      </w:r>
      <w:proofErr w:type="spellEnd"/>
      <w:r w:rsidRPr="00E8587B">
        <w:t xml:space="preserve"> </w:t>
      </w:r>
      <w:proofErr w:type="spellStart"/>
      <w:r w:rsidRPr="00E8587B">
        <w:t>tiro</w:t>
      </w:r>
      <w:proofErr w:type="spellEnd"/>
      <w:r w:rsidRPr="00E8587B">
        <w:t xml:space="preserve"> </w:t>
      </w:r>
      <w:proofErr w:type="spellStart"/>
      <w:r w:rsidRPr="00E8587B">
        <w:t>whānui</w:t>
      </w:r>
      <w:proofErr w:type="spellEnd"/>
      <w:r w:rsidRPr="00E8587B">
        <w:t xml:space="preserve"> KOWHEORI-19</w:t>
      </w:r>
    </w:p>
    <w:p w14:paraId="4F49A5F2" w14:textId="77777777" w:rsidR="0088494C" w:rsidRPr="00F63BDD" w:rsidRDefault="0088494C" w:rsidP="006D4F9A"/>
    <w:p w14:paraId="4F49A5F3" w14:textId="77777777" w:rsidR="0088494C" w:rsidRPr="00F63BDD" w:rsidRDefault="0088494C" w:rsidP="006D4F9A"/>
    <w:p w14:paraId="4F49A5F4" w14:textId="77777777" w:rsidR="0088494C" w:rsidRPr="00F63BDD" w:rsidRDefault="0088494C" w:rsidP="006D4F9A"/>
    <w:p w14:paraId="4F49A5F5" w14:textId="77777777" w:rsidR="0088494C" w:rsidRPr="00F63BDD" w:rsidRDefault="0088494C" w:rsidP="006D4F9A"/>
    <w:p w14:paraId="4F49A5F9" w14:textId="77777777" w:rsidR="0088494C" w:rsidRPr="00F63BDD" w:rsidRDefault="0088494C" w:rsidP="006D4F9A"/>
    <w:p w14:paraId="4F49A5FA" w14:textId="77777777" w:rsidR="0088494C" w:rsidRPr="00F63BDD" w:rsidRDefault="0088494C" w:rsidP="006D4F9A"/>
    <w:p w14:paraId="4F49A5FB" w14:textId="77777777" w:rsidR="0088494C" w:rsidRPr="00F63BDD" w:rsidRDefault="0088494C" w:rsidP="006D4F9A"/>
    <w:p w14:paraId="4F49A5FC" w14:textId="77777777" w:rsidR="0088494C" w:rsidRPr="00F63BDD" w:rsidRDefault="0088494C" w:rsidP="006D4F9A"/>
    <w:p w14:paraId="4F49A5FD" w14:textId="77777777" w:rsidR="0088494C" w:rsidRPr="00F63BDD" w:rsidRDefault="0088494C" w:rsidP="006D4F9A"/>
    <w:p w14:paraId="4F49A5FE" w14:textId="3E92D0E0" w:rsidR="0088494C" w:rsidRDefault="0088494C" w:rsidP="006D4F9A"/>
    <w:p w14:paraId="2163FCCA" w14:textId="6DD21A7D" w:rsidR="002034F9" w:rsidRDefault="002034F9" w:rsidP="006D4F9A"/>
    <w:p w14:paraId="304F2EF6" w14:textId="4C101163" w:rsidR="004944F2" w:rsidRDefault="004944F2" w:rsidP="006D4F9A"/>
    <w:p w14:paraId="1F77D144" w14:textId="52A3F06C" w:rsidR="00015512" w:rsidRDefault="00015512" w:rsidP="006D4F9A"/>
    <w:p w14:paraId="764B4D73" w14:textId="41E73C66" w:rsidR="00015512" w:rsidRDefault="00015512" w:rsidP="006D4F9A"/>
    <w:p w14:paraId="5F04E633" w14:textId="5A0027DD" w:rsidR="00015512" w:rsidRDefault="00015512" w:rsidP="006D4F9A"/>
    <w:p w14:paraId="5306345B" w14:textId="77777777" w:rsidR="00015512" w:rsidRPr="00F63BDD" w:rsidRDefault="00015512" w:rsidP="006D4F9A"/>
    <w:p w14:paraId="4F49A5FF" w14:textId="7C47D48F" w:rsidR="0088494C" w:rsidRPr="00F63BDD" w:rsidRDefault="003C1C4C" w:rsidP="005D4143">
      <w:pPr>
        <w:jc w:val="center"/>
      </w:pPr>
      <w:r>
        <w:t>December</w:t>
      </w:r>
      <w:r w:rsidR="00676F36">
        <w:t xml:space="preserve"> </w:t>
      </w:r>
      <w:r w:rsidR="001B3520" w:rsidRPr="00F63BDD">
        <w:t>202</w:t>
      </w:r>
      <w:r w:rsidR="004944F2">
        <w:t>1</w:t>
      </w:r>
      <w:r w:rsidR="00E8587B">
        <w:t xml:space="preserve"> | </w:t>
      </w:r>
      <w:proofErr w:type="spellStart"/>
      <w:r w:rsidR="00E8587B">
        <w:t>Hakihea</w:t>
      </w:r>
      <w:proofErr w:type="spellEnd"/>
      <w:r w:rsidR="00E8587B">
        <w:t xml:space="preserve"> 2021</w:t>
      </w:r>
    </w:p>
    <w:sdt>
      <w:sdtPr>
        <w:rPr>
          <w:rFonts w:asciiTheme="minorHAnsi" w:eastAsiaTheme="minorEastAsia" w:hAnsiTheme="minorHAnsi" w:cstheme="minorBidi"/>
          <w:b w:val="0"/>
          <w:bCs w:val="0"/>
          <w:sz w:val="22"/>
          <w:szCs w:val="22"/>
          <w:lang w:bidi="ar-SA"/>
        </w:rPr>
        <w:id w:val="1163965719"/>
        <w:docPartObj>
          <w:docPartGallery w:val="Table of Contents"/>
          <w:docPartUnique/>
        </w:docPartObj>
      </w:sdtPr>
      <w:sdtEndPr>
        <w:rPr>
          <w:rFonts w:ascii="Arial" w:hAnsi="Arial" w:cs="Arial"/>
          <w:noProof/>
        </w:rPr>
      </w:sdtEndPr>
      <w:sdtContent>
        <w:p w14:paraId="4F49A61A" w14:textId="2073F2A6" w:rsidR="00D064ED" w:rsidRPr="00F63BDD" w:rsidRDefault="00D064ED" w:rsidP="006D4F9A">
          <w:pPr>
            <w:pStyle w:val="TOCHeading"/>
          </w:pPr>
          <w:r w:rsidRPr="00F63BDD">
            <w:t>Contents</w:t>
          </w:r>
          <w:r w:rsidR="00E8587B">
            <w:t xml:space="preserve"> | </w:t>
          </w:r>
          <w:proofErr w:type="spellStart"/>
          <w:r w:rsidR="00E8587B" w:rsidRPr="00E8587B">
            <w:t>Rārangi</w:t>
          </w:r>
          <w:proofErr w:type="spellEnd"/>
          <w:r w:rsidR="00E8587B" w:rsidRPr="00E8587B">
            <w:t xml:space="preserve"> take</w:t>
          </w:r>
        </w:p>
        <w:p w14:paraId="2E5AE26D" w14:textId="3AE8BF2A" w:rsidR="003D193E" w:rsidRDefault="009A2BA1">
          <w:pPr>
            <w:pStyle w:val="TOC1"/>
            <w:tabs>
              <w:tab w:val="right" w:leader="dot" w:pos="9016"/>
            </w:tabs>
            <w:rPr>
              <w:rFonts w:asciiTheme="minorHAnsi" w:hAnsiTheme="minorHAnsi" w:cstheme="minorBidi"/>
              <w:noProof/>
              <w:lang w:eastAsia="en-NZ"/>
            </w:rPr>
          </w:pPr>
          <w:r>
            <w:fldChar w:fldCharType="begin"/>
          </w:r>
          <w:r>
            <w:instrText xml:space="preserve"> TOC \o "1-1" \h \z \u </w:instrText>
          </w:r>
          <w:r>
            <w:fldChar w:fldCharType="separate"/>
          </w:r>
          <w:hyperlink w:anchor="_Toc89875466" w:history="1">
            <w:r w:rsidR="003D193E" w:rsidRPr="00A62117">
              <w:rPr>
                <w:rStyle w:val="Hyperlink"/>
                <w:noProof/>
              </w:rPr>
              <w:t>Document purpose</w:t>
            </w:r>
            <w:r w:rsidR="00E8587B">
              <w:rPr>
                <w:rStyle w:val="Hyperlink"/>
                <w:noProof/>
              </w:rPr>
              <w:t xml:space="preserve"> | </w:t>
            </w:r>
            <w:r w:rsidR="00E8587B" w:rsidRPr="00E8587B">
              <w:rPr>
                <w:rStyle w:val="Hyperlink"/>
                <w:noProof/>
              </w:rPr>
              <w:t>Te whāinga</w:t>
            </w:r>
            <w:r w:rsidR="003D193E">
              <w:rPr>
                <w:noProof/>
                <w:webHidden/>
              </w:rPr>
              <w:tab/>
            </w:r>
            <w:r w:rsidR="003D193E">
              <w:rPr>
                <w:noProof/>
                <w:webHidden/>
              </w:rPr>
              <w:fldChar w:fldCharType="begin"/>
            </w:r>
            <w:r w:rsidR="003D193E">
              <w:rPr>
                <w:noProof/>
                <w:webHidden/>
              </w:rPr>
              <w:instrText xml:space="preserve"> PAGEREF _Toc89875466 \h </w:instrText>
            </w:r>
            <w:r w:rsidR="003D193E">
              <w:rPr>
                <w:noProof/>
                <w:webHidden/>
              </w:rPr>
            </w:r>
            <w:r w:rsidR="003D193E">
              <w:rPr>
                <w:noProof/>
                <w:webHidden/>
              </w:rPr>
              <w:fldChar w:fldCharType="separate"/>
            </w:r>
            <w:r w:rsidR="00AA0159">
              <w:rPr>
                <w:noProof/>
                <w:webHidden/>
              </w:rPr>
              <w:t>3</w:t>
            </w:r>
            <w:r w:rsidR="003D193E">
              <w:rPr>
                <w:noProof/>
                <w:webHidden/>
              </w:rPr>
              <w:fldChar w:fldCharType="end"/>
            </w:r>
          </w:hyperlink>
        </w:p>
        <w:p w14:paraId="6FAD41A4" w14:textId="623A3BBE" w:rsidR="003D193E" w:rsidRDefault="00830330">
          <w:pPr>
            <w:pStyle w:val="TOC1"/>
            <w:tabs>
              <w:tab w:val="right" w:leader="dot" w:pos="9016"/>
            </w:tabs>
            <w:rPr>
              <w:rFonts w:asciiTheme="minorHAnsi" w:hAnsiTheme="minorHAnsi" w:cstheme="minorBidi"/>
              <w:noProof/>
              <w:lang w:eastAsia="en-NZ"/>
            </w:rPr>
          </w:pPr>
          <w:hyperlink w:anchor="_Toc89875467" w:history="1">
            <w:r w:rsidR="003D193E" w:rsidRPr="00A62117">
              <w:rPr>
                <w:rStyle w:val="Hyperlink"/>
                <w:noProof/>
              </w:rPr>
              <w:t>Introduction</w:t>
            </w:r>
            <w:r w:rsidR="00E8587B">
              <w:rPr>
                <w:rStyle w:val="Hyperlink"/>
                <w:noProof/>
              </w:rPr>
              <w:t xml:space="preserve"> | </w:t>
            </w:r>
            <w:r w:rsidR="00E8587B" w:rsidRPr="00E8587B">
              <w:rPr>
                <w:rStyle w:val="Hyperlink"/>
                <w:noProof/>
              </w:rPr>
              <w:t>Kupu whakataki</w:t>
            </w:r>
            <w:r w:rsidR="003D193E">
              <w:rPr>
                <w:noProof/>
                <w:webHidden/>
              </w:rPr>
              <w:tab/>
            </w:r>
            <w:r w:rsidR="003D193E">
              <w:rPr>
                <w:noProof/>
                <w:webHidden/>
              </w:rPr>
              <w:fldChar w:fldCharType="begin"/>
            </w:r>
            <w:r w:rsidR="003D193E">
              <w:rPr>
                <w:noProof/>
                <w:webHidden/>
              </w:rPr>
              <w:instrText xml:space="preserve"> PAGEREF _Toc89875467 \h </w:instrText>
            </w:r>
            <w:r w:rsidR="003D193E">
              <w:rPr>
                <w:noProof/>
                <w:webHidden/>
              </w:rPr>
            </w:r>
            <w:r w:rsidR="003D193E">
              <w:rPr>
                <w:noProof/>
                <w:webHidden/>
              </w:rPr>
              <w:fldChar w:fldCharType="separate"/>
            </w:r>
            <w:r w:rsidR="00AA0159">
              <w:rPr>
                <w:noProof/>
                <w:webHidden/>
              </w:rPr>
              <w:t>3</w:t>
            </w:r>
            <w:r w:rsidR="003D193E">
              <w:rPr>
                <w:noProof/>
                <w:webHidden/>
              </w:rPr>
              <w:fldChar w:fldCharType="end"/>
            </w:r>
          </w:hyperlink>
        </w:p>
        <w:p w14:paraId="64BC2CCF" w14:textId="42E8304E" w:rsidR="003D193E" w:rsidRDefault="00830330">
          <w:pPr>
            <w:pStyle w:val="TOC1"/>
            <w:tabs>
              <w:tab w:val="right" w:leader="dot" w:pos="9016"/>
            </w:tabs>
            <w:rPr>
              <w:rFonts w:asciiTheme="minorHAnsi" w:hAnsiTheme="minorHAnsi" w:cstheme="minorBidi"/>
              <w:noProof/>
              <w:lang w:eastAsia="en-NZ"/>
            </w:rPr>
          </w:pPr>
          <w:hyperlink w:anchor="_Toc89875468" w:history="1">
            <w:r w:rsidR="003D193E" w:rsidRPr="00A62117">
              <w:rPr>
                <w:rStyle w:val="Hyperlink"/>
                <w:noProof/>
              </w:rPr>
              <w:t>Survey findings</w:t>
            </w:r>
            <w:r w:rsidR="00E8587B">
              <w:rPr>
                <w:rStyle w:val="Hyperlink"/>
                <w:noProof/>
              </w:rPr>
              <w:t xml:space="preserve"> | </w:t>
            </w:r>
            <w:r w:rsidR="00E8587B" w:rsidRPr="00E8587B">
              <w:rPr>
                <w:rStyle w:val="Hyperlink"/>
                <w:noProof/>
              </w:rPr>
              <w:t>Ngā kitenga o te tiro whānui</w:t>
            </w:r>
            <w:r w:rsidR="003D193E">
              <w:rPr>
                <w:noProof/>
                <w:webHidden/>
              </w:rPr>
              <w:tab/>
            </w:r>
            <w:r w:rsidR="003D193E">
              <w:rPr>
                <w:noProof/>
                <w:webHidden/>
              </w:rPr>
              <w:fldChar w:fldCharType="begin"/>
            </w:r>
            <w:r w:rsidR="003D193E">
              <w:rPr>
                <w:noProof/>
                <w:webHidden/>
              </w:rPr>
              <w:instrText xml:space="preserve"> PAGEREF _Toc89875468 \h </w:instrText>
            </w:r>
            <w:r w:rsidR="003D193E">
              <w:rPr>
                <w:noProof/>
                <w:webHidden/>
              </w:rPr>
            </w:r>
            <w:r w:rsidR="003D193E">
              <w:rPr>
                <w:noProof/>
                <w:webHidden/>
              </w:rPr>
              <w:fldChar w:fldCharType="separate"/>
            </w:r>
            <w:r w:rsidR="00AA0159">
              <w:rPr>
                <w:noProof/>
                <w:webHidden/>
              </w:rPr>
              <w:t>5</w:t>
            </w:r>
            <w:r w:rsidR="003D193E">
              <w:rPr>
                <w:noProof/>
                <w:webHidden/>
              </w:rPr>
              <w:fldChar w:fldCharType="end"/>
            </w:r>
          </w:hyperlink>
        </w:p>
        <w:p w14:paraId="220FE156" w14:textId="58F87BE2" w:rsidR="003D193E" w:rsidRDefault="00830330">
          <w:pPr>
            <w:pStyle w:val="TOC1"/>
            <w:tabs>
              <w:tab w:val="right" w:leader="dot" w:pos="9016"/>
            </w:tabs>
            <w:rPr>
              <w:rFonts w:asciiTheme="minorHAnsi" w:hAnsiTheme="minorHAnsi" w:cstheme="minorBidi"/>
              <w:noProof/>
              <w:lang w:eastAsia="en-NZ"/>
            </w:rPr>
          </w:pPr>
          <w:hyperlink w:anchor="_Toc89875469" w:history="1">
            <w:r w:rsidR="003D193E" w:rsidRPr="00A62117">
              <w:rPr>
                <w:rStyle w:val="Hyperlink"/>
                <w:noProof/>
              </w:rPr>
              <w:t>Conclusion</w:t>
            </w:r>
            <w:r w:rsidR="00E8587B">
              <w:rPr>
                <w:rStyle w:val="Hyperlink"/>
                <w:noProof/>
              </w:rPr>
              <w:t xml:space="preserve"> | </w:t>
            </w:r>
            <w:r w:rsidR="00E8587B" w:rsidRPr="00E8587B">
              <w:rPr>
                <w:rStyle w:val="Hyperlink"/>
                <w:noProof/>
              </w:rPr>
              <w:t>Kupu whakakapi</w:t>
            </w:r>
            <w:r w:rsidR="003D193E">
              <w:rPr>
                <w:noProof/>
                <w:webHidden/>
              </w:rPr>
              <w:tab/>
            </w:r>
            <w:r w:rsidR="003D193E">
              <w:rPr>
                <w:noProof/>
                <w:webHidden/>
              </w:rPr>
              <w:fldChar w:fldCharType="begin"/>
            </w:r>
            <w:r w:rsidR="003D193E">
              <w:rPr>
                <w:noProof/>
                <w:webHidden/>
              </w:rPr>
              <w:instrText xml:space="preserve"> PAGEREF _Toc89875469 \h </w:instrText>
            </w:r>
            <w:r w:rsidR="003D193E">
              <w:rPr>
                <w:noProof/>
                <w:webHidden/>
              </w:rPr>
            </w:r>
            <w:r w:rsidR="003D193E">
              <w:rPr>
                <w:noProof/>
                <w:webHidden/>
              </w:rPr>
              <w:fldChar w:fldCharType="separate"/>
            </w:r>
            <w:r w:rsidR="00AA0159">
              <w:rPr>
                <w:noProof/>
                <w:webHidden/>
              </w:rPr>
              <w:t>12</w:t>
            </w:r>
            <w:r w:rsidR="003D193E">
              <w:rPr>
                <w:noProof/>
                <w:webHidden/>
              </w:rPr>
              <w:fldChar w:fldCharType="end"/>
            </w:r>
          </w:hyperlink>
        </w:p>
        <w:p w14:paraId="56445571" w14:textId="7FF29DEC" w:rsidR="003D193E" w:rsidRDefault="00830330">
          <w:pPr>
            <w:pStyle w:val="TOC1"/>
            <w:tabs>
              <w:tab w:val="right" w:leader="dot" w:pos="9016"/>
            </w:tabs>
            <w:rPr>
              <w:rFonts w:asciiTheme="minorHAnsi" w:hAnsiTheme="minorHAnsi" w:cstheme="minorBidi"/>
              <w:noProof/>
              <w:lang w:eastAsia="en-NZ"/>
            </w:rPr>
          </w:pPr>
          <w:hyperlink w:anchor="_Toc89875470" w:history="1">
            <w:r w:rsidR="003D193E" w:rsidRPr="00A62117">
              <w:rPr>
                <w:rStyle w:val="Hyperlink"/>
                <w:noProof/>
              </w:rPr>
              <w:t>Next steps</w:t>
            </w:r>
            <w:r w:rsidR="00E8587B">
              <w:rPr>
                <w:rStyle w:val="Hyperlink"/>
                <w:noProof/>
              </w:rPr>
              <w:t xml:space="preserve"> | </w:t>
            </w:r>
            <w:r w:rsidR="00E8587B" w:rsidRPr="00E8587B">
              <w:rPr>
                <w:rStyle w:val="Hyperlink"/>
                <w:noProof/>
              </w:rPr>
              <w:t>Mahi mō mua</w:t>
            </w:r>
            <w:r w:rsidR="003D193E">
              <w:rPr>
                <w:noProof/>
                <w:webHidden/>
              </w:rPr>
              <w:tab/>
            </w:r>
            <w:r w:rsidR="003D193E">
              <w:rPr>
                <w:noProof/>
                <w:webHidden/>
              </w:rPr>
              <w:fldChar w:fldCharType="begin"/>
            </w:r>
            <w:r w:rsidR="003D193E">
              <w:rPr>
                <w:noProof/>
                <w:webHidden/>
              </w:rPr>
              <w:instrText xml:space="preserve"> PAGEREF _Toc89875470 \h </w:instrText>
            </w:r>
            <w:r w:rsidR="003D193E">
              <w:rPr>
                <w:noProof/>
                <w:webHidden/>
              </w:rPr>
            </w:r>
            <w:r w:rsidR="003D193E">
              <w:rPr>
                <w:noProof/>
                <w:webHidden/>
              </w:rPr>
              <w:fldChar w:fldCharType="separate"/>
            </w:r>
            <w:r w:rsidR="00AA0159">
              <w:rPr>
                <w:noProof/>
                <w:webHidden/>
              </w:rPr>
              <w:t>12</w:t>
            </w:r>
            <w:r w:rsidR="003D193E">
              <w:rPr>
                <w:noProof/>
                <w:webHidden/>
              </w:rPr>
              <w:fldChar w:fldCharType="end"/>
            </w:r>
          </w:hyperlink>
        </w:p>
        <w:p w14:paraId="168EA88B" w14:textId="5FEB5773" w:rsidR="003D193E" w:rsidRDefault="00830330">
          <w:pPr>
            <w:pStyle w:val="TOC1"/>
            <w:tabs>
              <w:tab w:val="right" w:leader="dot" w:pos="9016"/>
            </w:tabs>
            <w:rPr>
              <w:rFonts w:asciiTheme="minorHAnsi" w:hAnsiTheme="minorHAnsi" w:cstheme="minorBidi"/>
              <w:noProof/>
              <w:lang w:eastAsia="en-NZ"/>
            </w:rPr>
          </w:pPr>
          <w:hyperlink w:anchor="_Toc89875471" w:history="1">
            <w:r w:rsidR="003D193E" w:rsidRPr="00A62117">
              <w:rPr>
                <w:rStyle w:val="Hyperlink"/>
                <w:noProof/>
              </w:rPr>
              <w:t>Appendix: Question sets</w:t>
            </w:r>
            <w:r w:rsidR="00E8587B">
              <w:rPr>
                <w:rStyle w:val="Hyperlink"/>
                <w:noProof/>
              </w:rPr>
              <w:t xml:space="preserve"> | </w:t>
            </w:r>
            <w:r w:rsidR="00E8587B" w:rsidRPr="00E8587B">
              <w:rPr>
                <w:rStyle w:val="Hyperlink"/>
                <w:noProof/>
              </w:rPr>
              <w:t>Āpitihanga: Huinga pātai</w:t>
            </w:r>
            <w:r w:rsidR="003D193E">
              <w:rPr>
                <w:noProof/>
                <w:webHidden/>
              </w:rPr>
              <w:tab/>
            </w:r>
            <w:r w:rsidR="003D193E">
              <w:rPr>
                <w:noProof/>
                <w:webHidden/>
              </w:rPr>
              <w:fldChar w:fldCharType="begin"/>
            </w:r>
            <w:r w:rsidR="003D193E">
              <w:rPr>
                <w:noProof/>
                <w:webHidden/>
              </w:rPr>
              <w:instrText xml:space="preserve"> PAGEREF _Toc89875471 \h </w:instrText>
            </w:r>
            <w:r w:rsidR="003D193E">
              <w:rPr>
                <w:noProof/>
                <w:webHidden/>
              </w:rPr>
            </w:r>
            <w:r w:rsidR="003D193E">
              <w:rPr>
                <w:noProof/>
                <w:webHidden/>
              </w:rPr>
              <w:fldChar w:fldCharType="separate"/>
            </w:r>
            <w:r w:rsidR="00AA0159">
              <w:rPr>
                <w:noProof/>
                <w:webHidden/>
              </w:rPr>
              <w:t>13</w:t>
            </w:r>
            <w:r w:rsidR="003D193E">
              <w:rPr>
                <w:noProof/>
                <w:webHidden/>
              </w:rPr>
              <w:fldChar w:fldCharType="end"/>
            </w:r>
          </w:hyperlink>
        </w:p>
        <w:p w14:paraId="4F49A668" w14:textId="79E4A3D3" w:rsidR="00D064ED" w:rsidRPr="00F63BDD" w:rsidRDefault="009A2BA1" w:rsidP="006D4F9A">
          <w:r>
            <w:fldChar w:fldCharType="end"/>
          </w:r>
        </w:p>
      </w:sdtContent>
    </w:sdt>
    <w:p w14:paraId="6DCAA34A" w14:textId="77777777" w:rsidR="009A2BA1" w:rsidRDefault="009A2BA1" w:rsidP="006D4F9A"/>
    <w:p w14:paraId="3D776845" w14:textId="77777777" w:rsidR="009A2BA1" w:rsidRDefault="009A2BA1" w:rsidP="009A2BA1">
      <w:pPr>
        <w:jc w:val="center"/>
      </w:pPr>
    </w:p>
    <w:p w14:paraId="65D1B320" w14:textId="77777777" w:rsidR="009A2BA1" w:rsidRDefault="009A2BA1" w:rsidP="009A2BA1">
      <w:pPr>
        <w:jc w:val="center"/>
      </w:pPr>
    </w:p>
    <w:p w14:paraId="6075D005" w14:textId="77777777" w:rsidR="009A2BA1" w:rsidRDefault="009A2BA1" w:rsidP="009A2BA1">
      <w:pPr>
        <w:jc w:val="center"/>
      </w:pPr>
    </w:p>
    <w:p w14:paraId="5C9D4F87" w14:textId="77777777" w:rsidR="009A2BA1" w:rsidRDefault="009A2BA1" w:rsidP="009A2BA1">
      <w:pPr>
        <w:jc w:val="center"/>
      </w:pPr>
    </w:p>
    <w:p w14:paraId="2C542B84" w14:textId="77777777" w:rsidR="009A2BA1" w:rsidRDefault="009A2BA1" w:rsidP="009A2BA1">
      <w:pPr>
        <w:jc w:val="center"/>
      </w:pPr>
    </w:p>
    <w:p w14:paraId="0E939962" w14:textId="27FDD8B1" w:rsidR="009A2BA1" w:rsidRDefault="009A2BA1" w:rsidP="009A2BA1">
      <w:pPr>
        <w:jc w:val="center"/>
      </w:pPr>
    </w:p>
    <w:p w14:paraId="18B4A49A" w14:textId="77777777" w:rsidR="009A2BA1" w:rsidRDefault="009A2BA1" w:rsidP="009A2BA1">
      <w:pPr>
        <w:jc w:val="center"/>
      </w:pPr>
    </w:p>
    <w:p w14:paraId="646CBCF7" w14:textId="77777777" w:rsidR="009A2BA1" w:rsidRDefault="009A2BA1" w:rsidP="009A2BA1">
      <w:pPr>
        <w:jc w:val="center"/>
      </w:pPr>
    </w:p>
    <w:p w14:paraId="4C0AC03B" w14:textId="77777777" w:rsidR="009A2BA1" w:rsidRDefault="009A2BA1" w:rsidP="009A2BA1">
      <w:pPr>
        <w:jc w:val="center"/>
      </w:pPr>
    </w:p>
    <w:p w14:paraId="0DE28271" w14:textId="77777777" w:rsidR="009A2BA1" w:rsidRDefault="009A2BA1" w:rsidP="009A2BA1">
      <w:pPr>
        <w:jc w:val="center"/>
      </w:pPr>
    </w:p>
    <w:p w14:paraId="7B35C807" w14:textId="77777777" w:rsidR="009A2BA1" w:rsidRDefault="009A2BA1" w:rsidP="009A2BA1">
      <w:pPr>
        <w:jc w:val="center"/>
      </w:pPr>
    </w:p>
    <w:p w14:paraId="2FAE6C8B" w14:textId="77777777" w:rsidR="009A2BA1" w:rsidRDefault="009A2BA1" w:rsidP="009A2BA1">
      <w:pPr>
        <w:jc w:val="center"/>
      </w:pPr>
    </w:p>
    <w:p w14:paraId="40BBCCB3" w14:textId="77777777" w:rsidR="009A2BA1" w:rsidRDefault="009A2BA1" w:rsidP="009A2BA1">
      <w:pPr>
        <w:jc w:val="center"/>
      </w:pPr>
    </w:p>
    <w:p w14:paraId="0651BF4D" w14:textId="77777777" w:rsidR="009A2BA1" w:rsidRDefault="009A2BA1" w:rsidP="009A2BA1">
      <w:pPr>
        <w:jc w:val="center"/>
      </w:pPr>
    </w:p>
    <w:p w14:paraId="5F5F941A" w14:textId="77777777" w:rsidR="009A2BA1" w:rsidRDefault="009A2BA1" w:rsidP="009A2BA1">
      <w:pPr>
        <w:jc w:val="center"/>
      </w:pPr>
    </w:p>
    <w:p w14:paraId="4A749D97" w14:textId="77777777" w:rsidR="009A2BA1" w:rsidRDefault="009A2BA1" w:rsidP="009A2BA1">
      <w:pPr>
        <w:jc w:val="center"/>
      </w:pPr>
    </w:p>
    <w:p w14:paraId="11E7385C" w14:textId="70C180BC" w:rsidR="009A2BA1" w:rsidRPr="00F63BDD" w:rsidRDefault="009A2BA1" w:rsidP="009A2BA1">
      <w:pPr>
        <w:jc w:val="center"/>
      </w:pPr>
      <w:r w:rsidRPr="00F63BDD">
        <w:t xml:space="preserve"> Health Quality &amp; Safety Commission 202</w:t>
      </w:r>
      <w:r>
        <w:t>1</w:t>
      </w:r>
    </w:p>
    <w:p w14:paraId="6E69D93E" w14:textId="77777777" w:rsidR="009A2BA1" w:rsidRPr="00F63BDD" w:rsidRDefault="009A2BA1" w:rsidP="009A2BA1">
      <w:pPr>
        <w:jc w:val="center"/>
      </w:pPr>
      <w:r w:rsidRPr="00F63BDD">
        <w:t>Health Quality &amp; Safety Commission</w:t>
      </w:r>
      <w:r w:rsidRPr="00F63BDD">
        <w:br/>
        <w:t>PO Box 25496, Wellington, New Zealand</w:t>
      </w:r>
    </w:p>
    <w:p w14:paraId="6DC005B9" w14:textId="193145BC" w:rsidR="009A2BA1" w:rsidRDefault="009A2BA1" w:rsidP="009A2BA1">
      <w:pPr>
        <w:jc w:val="center"/>
        <w:rPr>
          <w:rStyle w:val="Hyperlink"/>
        </w:rPr>
      </w:pPr>
      <w:r w:rsidRPr="00F63BDD">
        <w:t>This document is available on the Health Quality &amp; Safety Commission’s website:</w:t>
      </w:r>
      <w:r w:rsidRPr="00F63BDD">
        <w:br/>
      </w:r>
      <w:hyperlink r:id="rId16" w:history="1">
        <w:r w:rsidRPr="002B026F">
          <w:rPr>
            <w:rStyle w:val="Hyperlink"/>
          </w:rPr>
          <w:t>www.hqsc.govt.nz</w:t>
        </w:r>
      </w:hyperlink>
    </w:p>
    <w:p w14:paraId="124D0E4C" w14:textId="5334FBF6" w:rsidR="003C234A" w:rsidRPr="00F63BDD" w:rsidRDefault="003C234A" w:rsidP="009A2BA1">
      <w:pPr>
        <w:jc w:val="center"/>
      </w:pPr>
      <w:r>
        <w:t>ISBN 978-1-98-859964-9</w:t>
      </w:r>
      <w:r w:rsidR="00F92F13" w:rsidRPr="00F92F13">
        <w:rPr>
          <w:noProof/>
        </w:rPr>
        <w:t xml:space="preserve"> </w:t>
      </w:r>
    </w:p>
    <w:p w14:paraId="4F49A669" w14:textId="32B2DB91" w:rsidR="00934D26" w:rsidRPr="00F63BDD" w:rsidRDefault="00F92F13" w:rsidP="006D4F9A">
      <w:r>
        <w:rPr>
          <w:noProof/>
        </w:rPr>
        <w:drawing>
          <wp:anchor distT="0" distB="0" distL="114300" distR="114300" simplePos="0" relativeHeight="251659264" behindDoc="0" locked="0" layoutInCell="1" allowOverlap="1" wp14:anchorId="25753CFF" wp14:editId="679F4171">
            <wp:simplePos x="0" y="0"/>
            <wp:positionH relativeFrom="margin">
              <wp:align>center</wp:align>
            </wp:positionH>
            <wp:positionV relativeFrom="paragraph">
              <wp:posOffset>90233</wp:posOffset>
            </wp:positionV>
            <wp:extent cx="2194490" cy="39921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490" cy="399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D26" w:rsidRPr="00F63BDD">
        <w:br w:type="page"/>
      </w:r>
    </w:p>
    <w:p w14:paraId="704274BD" w14:textId="6849A865" w:rsidR="00015512" w:rsidRDefault="00015512" w:rsidP="006D4F9A">
      <w:pPr>
        <w:pStyle w:val="Heading1"/>
      </w:pPr>
      <w:bookmarkStart w:id="1" w:name="_Appendix_6:_Bias"/>
      <w:bookmarkStart w:id="2" w:name="_Appendix_7:_Manual"/>
      <w:bookmarkStart w:id="3" w:name="_Appendix_7:_Survey"/>
      <w:bookmarkStart w:id="4" w:name="_Appendix_7:_Survey_1"/>
      <w:bookmarkStart w:id="5" w:name="_Appendix_9:_Licensed"/>
      <w:bookmarkStart w:id="6" w:name="_Toc89875466"/>
      <w:bookmarkEnd w:id="1"/>
      <w:bookmarkEnd w:id="2"/>
      <w:bookmarkEnd w:id="3"/>
      <w:bookmarkEnd w:id="4"/>
      <w:bookmarkEnd w:id="5"/>
      <w:r>
        <w:lastRenderedPageBreak/>
        <w:t>Document purpose</w:t>
      </w:r>
      <w:bookmarkEnd w:id="6"/>
      <w:r w:rsidR="00147C0B">
        <w:t xml:space="preserve"> | </w:t>
      </w:r>
      <w:r w:rsidR="00147C0B" w:rsidRPr="00147C0B">
        <w:t xml:space="preserve">Te </w:t>
      </w:r>
      <w:proofErr w:type="spellStart"/>
      <w:r w:rsidR="00147C0B" w:rsidRPr="00147C0B">
        <w:t>whāinga</w:t>
      </w:r>
      <w:proofErr w:type="spellEnd"/>
    </w:p>
    <w:p w14:paraId="44D5D1D9" w14:textId="544B9663" w:rsidR="00B332B5" w:rsidRDefault="00894800" w:rsidP="00015512">
      <w:r>
        <w:t xml:space="preserve">This document </w:t>
      </w:r>
      <w:r w:rsidR="00AB61FA">
        <w:t>summarises finding</w:t>
      </w:r>
      <w:r w:rsidR="00FB7792">
        <w:t>s</w:t>
      </w:r>
      <w:r w:rsidR="00AB61FA">
        <w:t xml:space="preserve"> and key themes </w:t>
      </w:r>
      <w:r w:rsidR="00FB7792">
        <w:t>from</w:t>
      </w:r>
      <w:r w:rsidR="00AB61FA">
        <w:t xml:space="preserve"> responses from </w:t>
      </w:r>
      <w:r w:rsidR="006E4437">
        <w:t>disabled people</w:t>
      </w:r>
      <w:r w:rsidR="00676F36">
        <w:t xml:space="preserve"> to the Health Quality &amp; Safety Commission’s COVID-19 patient experience survey</w:t>
      </w:r>
      <w:r w:rsidR="00AB61FA">
        <w:t>.</w:t>
      </w:r>
      <w:r w:rsidR="00E5063F">
        <w:t xml:space="preserve"> </w:t>
      </w:r>
    </w:p>
    <w:p w14:paraId="5AB639EF" w14:textId="1BD972B3" w:rsidR="00CD7AAF" w:rsidRDefault="00B332B5" w:rsidP="00015512">
      <w:r w:rsidRPr="00B332B5">
        <w:t>The</w:t>
      </w:r>
      <w:r>
        <w:t xml:space="preserve"> </w:t>
      </w:r>
      <w:r w:rsidRPr="00B332B5">
        <w:t>survey is an online survey of New Zealanders</w:t>
      </w:r>
      <w:r>
        <w:t xml:space="preserve"> and</w:t>
      </w:r>
      <w:r w:rsidRPr="00B332B5">
        <w:t xml:space="preserve"> part of the New Zealand patient experience survey programme, conducted by the </w:t>
      </w:r>
      <w:r w:rsidR="004D298A">
        <w:t xml:space="preserve">Health Quality &amp; Safety </w:t>
      </w:r>
      <w:r w:rsidRPr="00B332B5">
        <w:t xml:space="preserve">Commission with support from the Ministry of Health. </w:t>
      </w:r>
    </w:p>
    <w:p w14:paraId="06074505" w14:textId="31BE9587" w:rsidR="00E5063F" w:rsidRDefault="00B332B5" w:rsidP="00015512">
      <w:r>
        <w:t>More information is available at</w:t>
      </w:r>
      <w:r w:rsidRPr="00B332B5">
        <w:t xml:space="preserve">: </w:t>
      </w:r>
      <w:hyperlink r:id="rId18" w:history="1">
        <w:r w:rsidRPr="00654292">
          <w:rPr>
            <w:rStyle w:val="Hyperlink"/>
          </w:rPr>
          <w:t>www.hqsc.govt.nz/our-programmes/health-quality-evaluation/projects/patient-experience/covid-19-patient-experience-survey</w:t>
        </w:r>
      </w:hyperlink>
      <w:r w:rsidRPr="00B332B5">
        <w:t>.</w:t>
      </w:r>
      <w:r>
        <w:t xml:space="preserve"> </w:t>
      </w:r>
    </w:p>
    <w:p w14:paraId="2D7EFCC0" w14:textId="7DC1D0D8" w:rsidR="00CD7AAF" w:rsidRDefault="00B347CB" w:rsidP="001B2281">
      <w:r w:rsidRPr="00B347CB">
        <w:t>Th</w:t>
      </w:r>
      <w:r>
        <w:t>e</w:t>
      </w:r>
      <w:r w:rsidRPr="00B347CB">
        <w:t xml:space="preserve"> survey contributes important information to help us understand the health experiences of disabled people during the COVID-19 emergency. This better understanding will inform future emergency planning, as recommended by the Independent Monitoring Mechanism’s report on the New Zealand Government’s response to the COVID-19 emergency.</w:t>
      </w:r>
      <w:r w:rsidR="00CD7AAF" w:rsidRPr="00B347CB">
        <w:t xml:space="preserve"> More information </w:t>
      </w:r>
      <w:r>
        <w:t xml:space="preserve">is </w:t>
      </w:r>
      <w:r w:rsidR="00CD7AAF" w:rsidRPr="00B347CB">
        <w:t xml:space="preserve">available at: </w:t>
      </w:r>
      <w:hyperlink r:id="rId19" w:history="1">
        <w:r w:rsidRPr="00B347CB">
          <w:rPr>
            <w:rStyle w:val="Hyperlink"/>
          </w:rPr>
          <w:t>www.ombudsman.parliament.nz/resources/making-disability-rights-real-pandemic</w:t>
        </w:r>
      </w:hyperlink>
      <w:r w:rsidRPr="00B347CB">
        <w:t>.</w:t>
      </w:r>
    </w:p>
    <w:p w14:paraId="4FFC7406" w14:textId="2459D4B4" w:rsidR="00015512" w:rsidRPr="001B2281" w:rsidRDefault="00E5063F" w:rsidP="001B2281">
      <w:r>
        <w:t xml:space="preserve">For </w:t>
      </w:r>
      <w:r w:rsidR="00B332B5">
        <w:t>enquiries</w:t>
      </w:r>
      <w:r w:rsidR="00B347CB">
        <w:t xml:space="preserve"> about this report</w:t>
      </w:r>
      <w:r>
        <w:t xml:space="preserve">: </w:t>
      </w:r>
      <w:hyperlink r:id="rId20" w:history="1">
        <w:r w:rsidR="001B2281" w:rsidRPr="001B2281">
          <w:rPr>
            <w:rStyle w:val="Hyperlink"/>
          </w:rPr>
          <w:t>survey@hqsc.govt.nz</w:t>
        </w:r>
      </w:hyperlink>
      <w:r>
        <w:t xml:space="preserve">. </w:t>
      </w:r>
    </w:p>
    <w:p w14:paraId="1ED367A5" w14:textId="5B2FFAE7" w:rsidR="004944F2" w:rsidRDefault="004944F2" w:rsidP="006D4F9A">
      <w:pPr>
        <w:pStyle w:val="Heading1"/>
      </w:pPr>
      <w:bookmarkStart w:id="7" w:name="_Toc89875467"/>
      <w:r>
        <w:t>Introduction</w:t>
      </w:r>
      <w:bookmarkEnd w:id="7"/>
      <w:r>
        <w:t xml:space="preserve"> </w:t>
      </w:r>
      <w:r w:rsidR="00147C0B">
        <w:t xml:space="preserve">| </w:t>
      </w:r>
      <w:proofErr w:type="spellStart"/>
      <w:r w:rsidR="00147C0B" w:rsidRPr="00147C0B">
        <w:t>Kupu</w:t>
      </w:r>
      <w:proofErr w:type="spellEnd"/>
      <w:r w:rsidR="00147C0B" w:rsidRPr="00147C0B">
        <w:t xml:space="preserve"> </w:t>
      </w:r>
      <w:proofErr w:type="spellStart"/>
      <w:r w:rsidR="00147C0B" w:rsidRPr="00147C0B">
        <w:t>whakataki</w:t>
      </w:r>
      <w:proofErr w:type="spellEnd"/>
    </w:p>
    <w:p w14:paraId="5AD6D597" w14:textId="77777777" w:rsidR="00676F36" w:rsidRDefault="00676F36" w:rsidP="00676F36">
      <w:r>
        <w:t>The Health Quality &amp; Safety Commission ran a COVID-19-specific patient experience survey in partnership with interested primary health organisations (PHOs) in June and July 2020.</w:t>
      </w:r>
    </w:p>
    <w:p w14:paraId="7ECCD94C" w14:textId="0E7FCF34" w:rsidR="00676F36" w:rsidRDefault="00676F36" w:rsidP="00676F36">
      <w:r>
        <w:t xml:space="preserve">The goal of the survey was to understand the impact of COVID-19 on people’s experience of health care during and after the first COVID-19 lockdown (levels 3 and 4) and how health services could understand, learn and respond. </w:t>
      </w:r>
    </w:p>
    <w:p w14:paraId="13B9287B" w14:textId="54FDD05C" w:rsidR="00676F36" w:rsidRDefault="00676F36" w:rsidP="00676F36">
      <w:r>
        <w:t xml:space="preserve">The experience of </w:t>
      </w:r>
      <w:r w:rsidR="008F009C">
        <w:t xml:space="preserve">receiving </w:t>
      </w:r>
      <w:r>
        <w:t xml:space="preserve">health care for </w:t>
      </w:r>
      <w:r w:rsidR="006E4437">
        <w:t>disabled people</w:t>
      </w:r>
      <w:r>
        <w:t xml:space="preserve"> is likely to be different to that of </w:t>
      </w:r>
      <w:r w:rsidR="00D968A9">
        <w:t xml:space="preserve">other </w:t>
      </w:r>
      <w:r>
        <w:t xml:space="preserve">people, possibly even more so during a global pandemic and the associated lockdowns. </w:t>
      </w:r>
    </w:p>
    <w:p w14:paraId="4152B181" w14:textId="4F1B4D6B" w:rsidR="00676F36" w:rsidRDefault="00676F36" w:rsidP="00676F36">
      <w:r>
        <w:t xml:space="preserve">Information on disability was collected in the COVID-19 patient experience survey </w:t>
      </w:r>
      <w:r w:rsidR="008F009C">
        <w:t>via</w:t>
      </w:r>
      <w:r>
        <w:t xml:space="preserve"> </w:t>
      </w:r>
      <w:r w:rsidR="008F009C">
        <w:t>t</w:t>
      </w:r>
      <w:r>
        <w:t>wo sets of questions</w:t>
      </w:r>
      <w:r w:rsidR="008F009C">
        <w:t>:</w:t>
      </w:r>
      <w:r>
        <w:t xml:space="preserve"> the Washington Group Short Set (WGSS)</w:t>
      </w:r>
      <w:r w:rsidR="008F009C">
        <w:t>;</w:t>
      </w:r>
      <w:r>
        <w:rPr>
          <w:rStyle w:val="FootnoteReference"/>
        </w:rPr>
        <w:footnoteReference w:id="2"/>
      </w:r>
      <w:r>
        <w:t xml:space="preserve"> and a question on whether respondents self-identify as being disabled (or having a disability)</w:t>
      </w:r>
      <w:r w:rsidR="008F009C">
        <w:t>.</w:t>
      </w:r>
      <w:r>
        <w:rPr>
          <w:rStyle w:val="FootnoteReference"/>
        </w:rPr>
        <w:footnoteReference w:id="3"/>
      </w:r>
    </w:p>
    <w:p w14:paraId="1C706BE5" w14:textId="0BF28B6D" w:rsidR="00676F36" w:rsidRDefault="008F009C" w:rsidP="00676F36">
      <w:r>
        <w:t>In the survey population, almost 1 in 5 (19</w:t>
      </w:r>
      <w:r w:rsidR="00B332B5">
        <w:t>.0 percent</w:t>
      </w:r>
      <w:r>
        <w:t xml:space="preserve">) were identified as </w:t>
      </w:r>
      <w:r w:rsidR="006C3760">
        <w:t xml:space="preserve">having a disability </w:t>
      </w:r>
      <w:r>
        <w:t xml:space="preserve">using either criteria. </w:t>
      </w:r>
      <w:r w:rsidR="008810E2">
        <w:t xml:space="preserve">Interestingly, only a third of this group were identified as </w:t>
      </w:r>
      <w:r w:rsidR="006C3760">
        <w:t xml:space="preserve">having a disability </w:t>
      </w:r>
      <w:r w:rsidR="008810E2">
        <w:t xml:space="preserve">by </w:t>
      </w:r>
      <w:r w:rsidR="006C3760">
        <w:t xml:space="preserve">both </w:t>
      </w:r>
      <w:r w:rsidR="008810E2">
        <w:t>criteria.</w:t>
      </w:r>
      <w:r w:rsidR="006C3760">
        <w:t xml:space="preserve"> This raises some questions about how precisely the WGSS definition of what constitutes having a disability maps to New Zealanders perceptions of </w:t>
      </w:r>
      <w:r w:rsidR="00E37E0D">
        <w:br/>
      </w:r>
      <w:r w:rsidR="006C3760">
        <w:t>the same</w:t>
      </w:r>
      <w:r w:rsidR="00B332B5">
        <w:t>.</w:t>
      </w:r>
      <w:r w:rsidR="00676F36">
        <w:t xml:space="preserve"> </w:t>
      </w:r>
    </w:p>
    <w:p w14:paraId="2BE6FAC8" w14:textId="77777777" w:rsidR="00676F36" w:rsidRDefault="00676F36">
      <w:pPr>
        <w:spacing w:after="200"/>
        <w:rPr>
          <w:b/>
          <w:bCs/>
        </w:rPr>
      </w:pPr>
      <w:r>
        <w:rPr>
          <w:b/>
          <w:bCs/>
        </w:rPr>
        <w:br w:type="page"/>
      </w:r>
    </w:p>
    <w:p w14:paraId="1FE7F55A" w14:textId="72DB7C62" w:rsidR="00676F36" w:rsidRPr="001B2281" w:rsidRDefault="00676F36" w:rsidP="00676F36">
      <w:pPr>
        <w:rPr>
          <w:b/>
          <w:bCs/>
        </w:rPr>
      </w:pPr>
      <w:r w:rsidRPr="001B2281">
        <w:rPr>
          <w:b/>
          <w:bCs/>
        </w:rPr>
        <w:lastRenderedPageBreak/>
        <w:t xml:space="preserve">Table 1: Proportion of the New Zealand population classified as disabled, </w:t>
      </w:r>
      <w:r w:rsidR="00E37E0D">
        <w:rPr>
          <w:b/>
          <w:bCs/>
        </w:rPr>
        <w:br/>
      </w:r>
      <w:r w:rsidRPr="001B2281">
        <w:rPr>
          <w:b/>
          <w:bCs/>
        </w:rPr>
        <w:t>COVID-19 patient experience survey</w:t>
      </w:r>
      <w:r>
        <w:rPr>
          <w:b/>
          <w:bCs/>
        </w:rPr>
        <w:t xml:space="preserve"> responses</w:t>
      </w:r>
      <w:r w:rsidRPr="001B2281">
        <w:rPr>
          <w:b/>
          <w:bCs/>
        </w:rPr>
        <w:t>, 2020</w:t>
      </w:r>
    </w:p>
    <w:tbl>
      <w:tblPr>
        <w:tblStyle w:val="TableGrid"/>
        <w:tblW w:w="0" w:type="auto"/>
        <w:tblLook w:val="04A0" w:firstRow="1" w:lastRow="0" w:firstColumn="1" w:lastColumn="0" w:noHBand="0" w:noVBand="1"/>
      </w:tblPr>
      <w:tblGrid>
        <w:gridCol w:w="3095"/>
        <w:gridCol w:w="3157"/>
        <w:gridCol w:w="2764"/>
      </w:tblGrid>
      <w:tr w:rsidR="00676F36" w:rsidRPr="00B77D27" w14:paraId="68658562" w14:textId="77777777" w:rsidTr="00FB4E6C">
        <w:tc>
          <w:tcPr>
            <w:tcW w:w="3095" w:type="dxa"/>
          </w:tcPr>
          <w:p w14:paraId="20BC4A46" w14:textId="77777777" w:rsidR="00676F36" w:rsidRPr="001B2281" w:rsidRDefault="00676F36" w:rsidP="00FB4E6C">
            <w:pPr>
              <w:spacing w:before="40" w:after="40" w:line="276" w:lineRule="auto"/>
              <w:rPr>
                <w:b/>
                <w:bCs/>
                <w:sz w:val="20"/>
                <w:szCs w:val="20"/>
              </w:rPr>
            </w:pPr>
            <w:r w:rsidRPr="001B2281">
              <w:rPr>
                <w:b/>
                <w:bCs/>
                <w:sz w:val="20"/>
                <w:szCs w:val="20"/>
              </w:rPr>
              <w:t>Category</w:t>
            </w:r>
          </w:p>
        </w:tc>
        <w:tc>
          <w:tcPr>
            <w:tcW w:w="3157" w:type="dxa"/>
          </w:tcPr>
          <w:p w14:paraId="727A2B54" w14:textId="77777777" w:rsidR="00676F36" w:rsidRPr="001B2281" w:rsidRDefault="00676F36" w:rsidP="00FB4E6C">
            <w:pPr>
              <w:spacing w:before="40" w:after="40" w:line="276" w:lineRule="auto"/>
              <w:jc w:val="center"/>
              <w:rPr>
                <w:b/>
                <w:bCs/>
                <w:sz w:val="20"/>
                <w:szCs w:val="20"/>
              </w:rPr>
            </w:pPr>
            <w:r w:rsidRPr="001B2281">
              <w:rPr>
                <w:b/>
                <w:bCs/>
                <w:sz w:val="20"/>
                <w:szCs w:val="20"/>
              </w:rPr>
              <w:t>Proportion (%)</w:t>
            </w:r>
          </w:p>
        </w:tc>
        <w:tc>
          <w:tcPr>
            <w:tcW w:w="2764" w:type="dxa"/>
          </w:tcPr>
          <w:p w14:paraId="53DD35CB" w14:textId="77777777" w:rsidR="00676F36" w:rsidRPr="001B2281" w:rsidRDefault="00676F36" w:rsidP="00FB4E6C">
            <w:pPr>
              <w:spacing w:before="40" w:after="40" w:line="276" w:lineRule="auto"/>
              <w:jc w:val="center"/>
              <w:rPr>
                <w:b/>
                <w:bCs/>
                <w:sz w:val="20"/>
                <w:szCs w:val="20"/>
              </w:rPr>
            </w:pPr>
            <w:r w:rsidRPr="001B2281">
              <w:rPr>
                <w:b/>
                <w:bCs/>
                <w:sz w:val="20"/>
                <w:szCs w:val="20"/>
              </w:rPr>
              <w:t>Number</w:t>
            </w:r>
          </w:p>
        </w:tc>
      </w:tr>
      <w:tr w:rsidR="00676F36" w14:paraId="78101340" w14:textId="77777777" w:rsidTr="00FB4E6C">
        <w:tc>
          <w:tcPr>
            <w:tcW w:w="3095" w:type="dxa"/>
          </w:tcPr>
          <w:p w14:paraId="19BAFC3C" w14:textId="77777777" w:rsidR="00676F36" w:rsidRPr="001B2281" w:rsidRDefault="00676F36" w:rsidP="00FB4E6C">
            <w:pPr>
              <w:spacing w:before="40" w:after="40" w:line="276" w:lineRule="auto"/>
              <w:rPr>
                <w:sz w:val="20"/>
                <w:szCs w:val="20"/>
              </w:rPr>
            </w:pPr>
            <w:r w:rsidRPr="001B2281">
              <w:rPr>
                <w:sz w:val="20"/>
                <w:szCs w:val="20"/>
              </w:rPr>
              <w:t>Self-identified as disabled, but not included in WGSS criteria</w:t>
            </w:r>
          </w:p>
        </w:tc>
        <w:tc>
          <w:tcPr>
            <w:tcW w:w="3157" w:type="dxa"/>
          </w:tcPr>
          <w:p w14:paraId="356B5866" w14:textId="77777777" w:rsidR="00676F36" w:rsidRPr="001B2281" w:rsidRDefault="00676F36" w:rsidP="00FB4E6C">
            <w:pPr>
              <w:spacing w:before="40" w:after="40" w:line="276" w:lineRule="auto"/>
              <w:jc w:val="center"/>
              <w:rPr>
                <w:sz w:val="20"/>
                <w:szCs w:val="20"/>
              </w:rPr>
            </w:pPr>
            <w:r w:rsidRPr="001B2281">
              <w:rPr>
                <w:sz w:val="20"/>
                <w:szCs w:val="20"/>
              </w:rPr>
              <w:t>6.0</w:t>
            </w:r>
          </w:p>
        </w:tc>
        <w:tc>
          <w:tcPr>
            <w:tcW w:w="2764" w:type="dxa"/>
          </w:tcPr>
          <w:p w14:paraId="722B0948" w14:textId="77777777" w:rsidR="00676F36" w:rsidRPr="001B2281" w:rsidRDefault="00676F36" w:rsidP="00FB4E6C">
            <w:pPr>
              <w:spacing w:before="40" w:after="40" w:line="276" w:lineRule="auto"/>
              <w:jc w:val="center"/>
              <w:rPr>
                <w:sz w:val="20"/>
                <w:szCs w:val="20"/>
              </w:rPr>
            </w:pPr>
            <w:r w:rsidRPr="001B2281">
              <w:rPr>
                <w:sz w:val="20"/>
                <w:szCs w:val="20"/>
              </w:rPr>
              <w:t>1,281</w:t>
            </w:r>
          </w:p>
        </w:tc>
      </w:tr>
      <w:tr w:rsidR="00676F36" w14:paraId="1F5D5617" w14:textId="77777777" w:rsidTr="00FB4E6C">
        <w:tc>
          <w:tcPr>
            <w:tcW w:w="3095" w:type="dxa"/>
          </w:tcPr>
          <w:p w14:paraId="1BBF8772" w14:textId="77777777" w:rsidR="00676F36" w:rsidRPr="001B2281" w:rsidRDefault="00676F36" w:rsidP="00FB4E6C">
            <w:pPr>
              <w:spacing w:before="40" w:after="40" w:line="276" w:lineRule="auto"/>
              <w:rPr>
                <w:sz w:val="20"/>
                <w:szCs w:val="20"/>
              </w:rPr>
            </w:pPr>
            <w:r w:rsidRPr="001B2281">
              <w:rPr>
                <w:sz w:val="20"/>
                <w:szCs w:val="20"/>
              </w:rPr>
              <w:t>Included in WGSS criteria, but d</w:t>
            </w:r>
            <w:r>
              <w:rPr>
                <w:sz w:val="20"/>
                <w:szCs w:val="20"/>
              </w:rPr>
              <w:t>id</w:t>
            </w:r>
            <w:r w:rsidRPr="001B2281">
              <w:rPr>
                <w:sz w:val="20"/>
                <w:szCs w:val="20"/>
              </w:rPr>
              <w:t xml:space="preserve"> not self-identify as disabled</w:t>
            </w:r>
            <w:r w:rsidRPr="001B2281">
              <w:rPr>
                <w:rStyle w:val="FootnoteReference"/>
                <w:sz w:val="20"/>
              </w:rPr>
              <w:footnoteReference w:id="4"/>
            </w:r>
          </w:p>
        </w:tc>
        <w:tc>
          <w:tcPr>
            <w:tcW w:w="3157" w:type="dxa"/>
          </w:tcPr>
          <w:p w14:paraId="1DBBEA5F" w14:textId="77777777" w:rsidR="00676F36" w:rsidRPr="001B2281" w:rsidRDefault="00676F36" w:rsidP="00FB4E6C">
            <w:pPr>
              <w:spacing w:before="40" w:after="40" w:line="276" w:lineRule="auto"/>
              <w:jc w:val="center"/>
              <w:rPr>
                <w:sz w:val="20"/>
                <w:szCs w:val="20"/>
              </w:rPr>
            </w:pPr>
            <w:r w:rsidRPr="001B2281">
              <w:rPr>
                <w:sz w:val="20"/>
                <w:szCs w:val="20"/>
              </w:rPr>
              <w:t>6.4</w:t>
            </w:r>
          </w:p>
        </w:tc>
        <w:tc>
          <w:tcPr>
            <w:tcW w:w="2764" w:type="dxa"/>
          </w:tcPr>
          <w:p w14:paraId="4D1AFCB4" w14:textId="77777777" w:rsidR="00676F36" w:rsidRPr="001B2281" w:rsidRDefault="00676F36" w:rsidP="00FB4E6C">
            <w:pPr>
              <w:spacing w:before="40" w:after="40" w:line="276" w:lineRule="auto"/>
              <w:jc w:val="center"/>
              <w:rPr>
                <w:sz w:val="20"/>
                <w:szCs w:val="20"/>
              </w:rPr>
            </w:pPr>
            <w:r w:rsidRPr="001B2281">
              <w:rPr>
                <w:sz w:val="20"/>
                <w:szCs w:val="20"/>
              </w:rPr>
              <w:t>1,351</w:t>
            </w:r>
          </w:p>
        </w:tc>
      </w:tr>
      <w:tr w:rsidR="00676F36" w14:paraId="311927D9" w14:textId="77777777" w:rsidTr="00FB4E6C">
        <w:tc>
          <w:tcPr>
            <w:tcW w:w="3095" w:type="dxa"/>
          </w:tcPr>
          <w:p w14:paraId="5ABC7BE2" w14:textId="77777777" w:rsidR="00676F36" w:rsidRPr="001B2281" w:rsidRDefault="00676F36" w:rsidP="00FB4E6C">
            <w:pPr>
              <w:spacing w:before="40" w:after="40" w:line="276" w:lineRule="auto"/>
              <w:rPr>
                <w:sz w:val="20"/>
                <w:szCs w:val="20"/>
              </w:rPr>
            </w:pPr>
            <w:r w:rsidRPr="001B2281">
              <w:rPr>
                <w:sz w:val="20"/>
                <w:szCs w:val="20"/>
              </w:rPr>
              <w:t>Self-identified and included in WGSS criteria</w:t>
            </w:r>
          </w:p>
        </w:tc>
        <w:tc>
          <w:tcPr>
            <w:tcW w:w="3157" w:type="dxa"/>
          </w:tcPr>
          <w:p w14:paraId="0BE96A8A" w14:textId="77777777" w:rsidR="00676F36" w:rsidRPr="001B2281" w:rsidRDefault="00676F36" w:rsidP="00FB4E6C">
            <w:pPr>
              <w:spacing w:before="40" w:after="40" w:line="276" w:lineRule="auto"/>
              <w:jc w:val="center"/>
              <w:rPr>
                <w:sz w:val="20"/>
                <w:szCs w:val="20"/>
              </w:rPr>
            </w:pPr>
            <w:r w:rsidRPr="001B2281">
              <w:rPr>
                <w:sz w:val="20"/>
                <w:szCs w:val="20"/>
              </w:rPr>
              <w:t>5.5</w:t>
            </w:r>
          </w:p>
        </w:tc>
        <w:tc>
          <w:tcPr>
            <w:tcW w:w="2764" w:type="dxa"/>
          </w:tcPr>
          <w:p w14:paraId="14A8F705" w14:textId="77777777" w:rsidR="00676F36" w:rsidRPr="001B2281" w:rsidRDefault="00676F36" w:rsidP="00FB4E6C">
            <w:pPr>
              <w:spacing w:before="40" w:after="40" w:line="276" w:lineRule="auto"/>
              <w:jc w:val="center"/>
              <w:rPr>
                <w:sz w:val="20"/>
                <w:szCs w:val="20"/>
              </w:rPr>
            </w:pPr>
            <w:r w:rsidRPr="001B2281">
              <w:rPr>
                <w:sz w:val="20"/>
                <w:szCs w:val="20"/>
              </w:rPr>
              <w:t>1,166</w:t>
            </w:r>
          </w:p>
        </w:tc>
      </w:tr>
      <w:tr w:rsidR="00676F36" w14:paraId="145AED59" w14:textId="77777777" w:rsidTr="00FB4E6C">
        <w:tc>
          <w:tcPr>
            <w:tcW w:w="3095" w:type="dxa"/>
          </w:tcPr>
          <w:p w14:paraId="2D1A900B" w14:textId="77777777" w:rsidR="00676F36" w:rsidRPr="001B2281" w:rsidRDefault="00676F36" w:rsidP="00FB4E6C">
            <w:pPr>
              <w:spacing w:before="40" w:after="40" w:line="276" w:lineRule="auto"/>
              <w:rPr>
                <w:sz w:val="20"/>
                <w:szCs w:val="20"/>
              </w:rPr>
            </w:pPr>
            <w:r w:rsidRPr="001B2281">
              <w:rPr>
                <w:sz w:val="20"/>
                <w:szCs w:val="20"/>
              </w:rPr>
              <w:t>Total identified as disabled using either criteria</w:t>
            </w:r>
            <w:r w:rsidRPr="001B2281">
              <w:rPr>
                <w:rStyle w:val="FootnoteReference"/>
                <w:sz w:val="20"/>
              </w:rPr>
              <w:footnoteReference w:id="5"/>
            </w:r>
          </w:p>
        </w:tc>
        <w:tc>
          <w:tcPr>
            <w:tcW w:w="3157" w:type="dxa"/>
          </w:tcPr>
          <w:p w14:paraId="6F14B229" w14:textId="77777777" w:rsidR="00676F36" w:rsidRPr="001B2281" w:rsidRDefault="00676F36" w:rsidP="00FB4E6C">
            <w:pPr>
              <w:spacing w:before="40" w:after="40" w:line="276" w:lineRule="auto"/>
              <w:jc w:val="center"/>
              <w:rPr>
                <w:sz w:val="20"/>
                <w:szCs w:val="20"/>
              </w:rPr>
            </w:pPr>
            <w:r w:rsidRPr="001B2281">
              <w:rPr>
                <w:sz w:val="20"/>
                <w:szCs w:val="20"/>
              </w:rPr>
              <w:t>19.0</w:t>
            </w:r>
          </w:p>
        </w:tc>
        <w:tc>
          <w:tcPr>
            <w:tcW w:w="2764" w:type="dxa"/>
          </w:tcPr>
          <w:p w14:paraId="0803C9A1" w14:textId="77777777" w:rsidR="00676F36" w:rsidRPr="001B2281" w:rsidRDefault="00676F36" w:rsidP="00FB4E6C">
            <w:pPr>
              <w:spacing w:before="40" w:after="40" w:line="276" w:lineRule="auto"/>
              <w:jc w:val="center"/>
              <w:rPr>
                <w:sz w:val="20"/>
                <w:szCs w:val="20"/>
              </w:rPr>
            </w:pPr>
            <w:r w:rsidRPr="001B2281">
              <w:rPr>
                <w:sz w:val="20"/>
                <w:szCs w:val="20"/>
              </w:rPr>
              <w:t>4,031</w:t>
            </w:r>
          </w:p>
        </w:tc>
      </w:tr>
      <w:tr w:rsidR="00676F36" w14:paraId="19128597" w14:textId="77777777" w:rsidTr="00FB4E6C">
        <w:tc>
          <w:tcPr>
            <w:tcW w:w="3095" w:type="dxa"/>
          </w:tcPr>
          <w:p w14:paraId="7F502A39" w14:textId="77777777" w:rsidR="00676F36" w:rsidRPr="001B2281" w:rsidRDefault="00676F36" w:rsidP="00FB4E6C">
            <w:pPr>
              <w:spacing w:before="40" w:after="40" w:line="276" w:lineRule="auto"/>
              <w:rPr>
                <w:sz w:val="20"/>
                <w:szCs w:val="20"/>
              </w:rPr>
            </w:pPr>
            <w:r w:rsidRPr="001B2281">
              <w:rPr>
                <w:sz w:val="20"/>
                <w:szCs w:val="20"/>
              </w:rPr>
              <w:t>Neither self-identified nor included in WGSS criteria</w:t>
            </w:r>
          </w:p>
        </w:tc>
        <w:tc>
          <w:tcPr>
            <w:tcW w:w="3157" w:type="dxa"/>
          </w:tcPr>
          <w:p w14:paraId="4170C411" w14:textId="77777777" w:rsidR="00676F36" w:rsidRPr="001B2281" w:rsidRDefault="00676F36" w:rsidP="00FB4E6C">
            <w:pPr>
              <w:spacing w:before="40" w:after="40" w:line="276" w:lineRule="auto"/>
              <w:jc w:val="center"/>
              <w:rPr>
                <w:sz w:val="20"/>
                <w:szCs w:val="20"/>
              </w:rPr>
            </w:pPr>
            <w:r w:rsidRPr="001B2281">
              <w:rPr>
                <w:sz w:val="20"/>
                <w:szCs w:val="20"/>
              </w:rPr>
              <w:t>81.0</w:t>
            </w:r>
          </w:p>
        </w:tc>
        <w:tc>
          <w:tcPr>
            <w:tcW w:w="2764" w:type="dxa"/>
          </w:tcPr>
          <w:p w14:paraId="1E1EA7A7" w14:textId="77777777" w:rsidR="00676F36" w:rsidRPr="001B2281" w:rsidRDefault="00676F36" w:rsidP="00FB4E6C">
            <w:pPr>
              <w:spacing w:before="40" w:after="40" w:line="276" w:lineRule="auto"/>
              <w:jc w:val="center"/>
              <w:rPr>
                <w:sz w:val="20"/>
                <w:szCs w:val="20"/>
              </w:rPr>
            </w:pPr>
            <w:r w:rsidRPr="001B2281">
              <w:rPr>
                <w:sz w:val="20"/>
                <w:szCs w:val="20"/>
              </w:rPr>
              <w:t>17,238</w:t>
            </w:r>
          </w:p>
        </w:tc>
      </w:tr>
      <w:tr w:rsidR="00676F36" w:rsidRPr="00A81B50" w14:paraId="643CCB6B" w14:textId="77777777" w:rsidTr="00FB4E6C">
        <w:tc>
          <w:tcPr>
            <w:tcW w:w="3095" w:type="dxa"/>
          </w:tcPr>
          <w:p w14:paraId="769BB61D" w14:textId="77777777" w:rsidR="00676F36" w:rsidRPr="001B2281" w:rsidRDefault="00676F36" w:rsidP="00FB4E6C">
            <w:pPr>
              <w:spacing w:before="40" w:after="40" w:line="276" w:lineRule="auto"/>
              <w:rPr>
                <w:b/>
                <w:bCs/>
                <w:sz w:val="20"/>
                <w:szCs w:val="20"/>
              </w:rPr>
            </w:pPr>
            <w:r w:rsidRPr="001B2281">
              <w:rPr>
                <w:b/>
                <w:bCs/>
                <w:sz w:val="20"/>
                <w:szCs w:val="20"/>
              </w:rPr>
              <w:t>Total</w:t>
            </w:r>
            <w:r w:rsidRPr="001B2281">
              <w:rPr>
                <w:rStyle w:val="FootnoteReference"/>
                <w:b/>
                <w:bCs/>
                <w:sz w:val="20"/>
              </w:rPr>
              <w:footnoteReference w:id="6"/>
            </w:r>
          </w:p>
        </w:tc>
        <w:tc>
          <w:tcPr>
            <w:tcW w:w="3157" w:type="dxa"/>
          </w:tcPr>
          <w:p w14:paraId="4EA66295" w14:textId="77777777" w:rsidR="00676F36" w:rsidRPr="001B2281" w:rsidRDefault="00676F36" w:rsidP="00FB4E6C">
            <w:pPr>
              <w:spacing w:before="40" w:after="40" w:line="276" w:lineRule="auto"/>
              <w:jc w:val="center"/>
              <w:rPr>
                <w:b/>
                <w:bCs/>
                <w:sz w:val="20"/>
                <w:szCs w:val="20"/>
              </w:rPr>
            </w:pPr>
          </w:p>
        </w:tc>
        <w:tc>
          <w:tcPr>
            <w:tcW w:w="2764" w:type="dxa"/>
          </w:tcPr>
          <w:p w14:paraId="6020C545" w14:textId="77777777" w:rsidR="00676F36" w:rsidRPr="001B2281" w:rsidRDefault="00676F36" w:rsidP="00FB4E6C">
            <w:pPr>
              <w:spacing w:before="40" w:after="40" w:line="276" w:lineRule="auto"/>
              <w:jc w:val="center"/>
              <w:rPr>
                <w:b/>
                <w:bCs/>
                <w:sz w:val="20"/>
                <w:szCs w:val="20"/>
              </w:rPr>
            </w:pPr>
            <w:r w:rsidRPr="001B2281">
              <w:rPr>
                <w:b/>
                <w:bCs/>
                <w:sz w:val="20"/>
                <w:szCs w:val="20"/>
              </w:rPr>
              <w:t>21,269</w:t>
            </w:r>
          </w:p>
        </w:tc>
      </w:tr>
    </w:tbl>
    <w:p w14:paraId="0B54C288" w14:textId="77777777" w:rsidR="00676F36" w:rsidRDefault="00676F36" w:rsidP="00676F36"/>
    <w:p w14:paraId="4DB79C25" w14:textId="7BF29AAA" w:rsidR="00676F36" w:rsidRDefault="00676F36" w:rsidP="00676F36">
      <w:r w:rsidRPr="0086064B">
        <w:t xml:space="preserve">To simplify reporting and comparison </w:t>
      </w:r>
      <w:r w:rsidR="0079540D">
        <w:t>of responses</w:t>
      </w:r>
      <w:r w:rsidRPr="0086064B">
        <w:t>, we created a ‘derived variable’</w:t>
      </w:r>
      <w:r w:rsidR="0079540D">
        <w:t>,</w:t>
      </w:r>
      <w:r>
        <w:rPr>
          <w:rStyle w:val="FootnoteReference"/>
        </w:rPr>
        <w:footnoteReference w:id="7"/>
      </w:r>
      <w:r w:rsidRPr="0086064B">
        <w:t xml:space="preserve"> combining those identified as being disabled through either question</w:t>
      </w:r>
      <w:r w:rsidR="0079540D">
        <w:t xml:space="preserve"> set</w:t>
      </w:r>
      <w:r w:rsidRPr="0086064B">
        <w:t xml:space="preserve">. To confirm the suitability of this approach we consulted with subject-matter experts, including </w:t>
      </w:r>
      <w:r w:rsidR="00E37E0D">
        <w:t>Stats NZ</w:t>
      </w:r>
      <w:r w:rsidRPr="0086064B">
        <w:t>, the Human Rights Commission and the Office for Disability Issues.</w:t>
      </w:r>
      <w:r>
        <w:t xml:space="preserve"> The Commission would like to thank the individuals from these organisations for their guidance. </w:t>
      </w:r>
    </w:p>
    <w:p w14:paraId="17EE0EE3" w14:textId="39DF373B" w:rsidR="00676F36" w:rsidRDefault="00676F36" w:rsidP="00676F36">
      <w:r>
        <w:t xml:space="preserve">The rationale for combining the two indicators is detailed in the </w:t>
      </w:r>
      <w:r w:rsidRPr="009939E1">
        <w:t>disability methodology document</w:t>
      </w:r>
      <w:r>
        <w:t>.</w:t>
      </w:r>
      <w:r w:rsidR="002C7CD9">
        <w:rPr>
          <w:rStyle w:val="FootnoteReference"/>
        </w:rPr>
        <w:footnoteReference w:id="8"/>
      </w:r>
      <w:r>
        <w:t xml:space="preserve"> Combining the two indicators, 19.0</w:t>
      </w:r>
      <w:r w:rsidR="00455C97">
        <w:t xml:space="preserve"> percent</w:t>
      </w:r>
      <w:r>
        <w:t xml:space="preserve"> of respondents were classified as being disabled. </w:t>
      </w:r>
    </w:p>
    <w:p w14:paraId="22BDCCF8" w14:textId="7D15D3C7" w:rsidR="00676F36" w:rsidRPr="00676F36" w:rsidRDefault="00676F36" w:rsidP="007105A9">
      <w:pPr>
        <w:pStyle w:val="ListParagraph"/>
        <w:numPr>
          <w:ilvl w:val="0"/>
          <w:numId w:val="10"/>
        </w:numPr>
        <w:spacing w:after="40"/>
        <w:ind w:hanging="357"/>
        <w:contextualSpacing w:val="0"/>
      </w:pPr>
      <w:r w:rsidRPr="00676F36">
        <w:t>Almost a quarter (22.6</w:t>
      </w:r>
      <w:r w:rsidR="00455C97">
        <w:t xml:space="preserve"> percent</w:t>
      </w:r>
      <w:r w:rsidRPr="00676F36">
        <w:t xml:space="preserve">) of those aged 65 </w:t>
      </w:r>
      <w:r w:rsidR="009C5165">
        <w:t xml:space="preserve">years </w:t>
      </w:r>
      <w:r w:rsidRPr="00676F36">
        <w:t>and over were disabled, however this increased to more than half (50.8</w:t>
      </w:r>
      <w:r w:rsidR="00455C97">
        <w:t xml:space="preserve"> percent</w:t>
      </w:r>
      <w:r w:rsidRPr="00676F36">
        <w:t xml:space="preserve">) of those aged 85 </w:t>
      </w:r>
      <w:r w:rsidR="009C5165">
        <w:t xml:space="preserve">years </w:t>
      </w:r>
      <w:r w:rsidRPr="00676F36">
        <w:t xml:space="preserve">and over. </w:t>
      </w:r>
      <w:r w:rsidR="009C5165">
        <w:t>By</w:t>
      </w:r>
      <w:r w:rsidRPr="00676F36">
        <w:t xml:space="preserve"> comparison, 12.4</w:t>
      </w:r>
      <w:r w:rsidR="00455C97">
        <w:t xml:space="preserve"> percent</w:t>
      </w:r>
      <w:r w:rsidRPr="00676F36">
        <w:t xml:space="preserve"> of those aged under 35 </w:t>
      </w:r>
      <w:r w:rsidR="009C5165">
        <w:t xml:space="preserve">years </w:t>
      </w:r>
      <w:r w:rsidRPr="00676F36">
        <w:t>were disabled.</w:t>
      </w:r>
    </w:p>
    <w:p w14:paraId="666D09E7" w14:textId="3308A452" w:rsidR="00676F36" w:rsidRPr="00676F36" w:rsidRDefault="00676F36" w:rsidP="007105A9">
      <w:pPr>
        <w:pStyle w:val="ListParagraph"/>
        <w:numPr>
          <w:ilvl w:val="0"/>
          <w:numId w:val="10"/>
        </w:numPr>
        <w:spacing w:after="40"/>
        <w:ind w:hanging="357"/>
        <w:contextualSpacing w:val="0"/>
      </w:pPr>
      <w:r w:rsidRPr="00676F36">
        <w:t xml:space="preserve">At all ages, Māori </w:t>
      </w:r>
      <w:r w:rsidR="009C5165">
        <w:t>we</w:t>
      </w:r>
      <w:r w:rsidRPr="00676F36">
        <w:t>re more likely to be disabled than the non-Māori, non-Pacific population surveyed (21.8</w:t>
      </w:r>
      <w:r w:rsidR="00455C97">
        <w:t xml:space="preserve"> percent</w:t>
      </w:r>
      <w:r w:rsidRPr="00676F36">
        <w:t xml:space="preserve"> compared </w:t>
      </w:r>
      <w:r w:rsidR="00455C97">
        <w:t>with</w:t>
      </w:r>
      <w:r w:rsidRPr="00676F36">
        <w:t xml:space="preserve"> 18.1</w:t>
      </w:r>
      <w:r w:rsidR="00455C97">
        <w:t xml:space="preserve"> percent</w:t>
      </w:r>
      <w:r w:rsidRPr="00676F36">
        <w:t xml:space="preserve">). </w:t>
      </w:r>
    </w:p>
    <w:p w14:paraId="0021CB86" w14:textId="7368359E" w:rsidR="00676F36" w:rsidRPr="00676F36" w:rsidRDefault="00676F36" w:rsidP="007105A9">
      <w:pPr>
        <w:pStyle w:val="ListParagraph"/>
        <w:numPr>
          <w:ilvl w:val="0"/>
          <w:numId w:val="10"/>
        </w:numPr>
        <w:spacing w:after="40"/>
        <w:ind w:hanging="357"/>
        <w:contextualSpacing w:val="0"/>
      </w:pPr>
      <w:r w:rsidRPr="00676F36">
        <w:t xml:space="preserve">In the survey population, </w:t>
      </w:r>
      <w:r w:rsidR="006E4437">
        <w:t>disabled people</w:t>
      </w:r>
      <w:r w:rsidRPr="00676F36">
        <w:t xml:space="preserve"> were more likely to live in areas of high deprivation, with 20.5</w:t>
      </w:r>
      <w:r w:rsidR="00455C97">
        <w:t xml:space="preserve"> percent</w:t>
      </w:r>
      <w:r w:rsidRPr="00676F36">
        <w:t xml:space="preserve"> of the disabled survey population living in deprivation quintile 5 (the highest level of deprivation), compared </w:t>
      </w:r>
      <w:r w:rsidR="009C5165">
        <w:t>with</w:t>
      </w:r>
      <w:r w:rsidRPr="00676F36">
        <w:t xml:space="preserve"> just 12.6</w:t>
      </w:r>
      <w:r w:rsidR="00455C97">
        <w:t xml:space="preserve"> percent</w:t>
      </w:r>
      <w:r w:rsidRPr="00676F36">
        <w:t xml:space="preserve"> of </w:t>
      </w:r>
      <w:r w:rsidR="009112AF">
        <w:t>non-disabled people</w:t>
      </w:r>
      <w:r w:rsidRPr="00676F36">
        <w:t xml:space="preserve">. </w:t>
      </w:r>
    </w:p>
    <w:p w14:paraId="4CCF9F71" w14:textId="77777777" w:rsidR="009C5165" w:rsidRDefault="009C5165">
      <w:pPr>
        <w:spacing w:after="200"/>
      </w:pPr>
      <w:r>
        <w:br w:type="page"/>
      </w:r>
    </w:p>
    <w:p w14:paraId="2B8976AC" w14:textId="79FD2C71" w:rsidR="00676F36" w:rsidRDefault="00676F36" w:rsidP="007105A9">
      <w:pPr>
        <w:pStyle w:val="ListParagraph"/>
        <w:numPr>
          <w:ilvl w:val="0"/>
          <w:numId w:val="11"/>
        </w:numPr>
        <w:spacing w:after="40" w:line="259" w:lineRule="auto"/>
        <w:ind w:hanging="357"/>
        <w:contextualSpacing w:val="0"/>
      </w:pPr>
      <w:r w:rsidRPr="005E1370">
        <w:lastRenderedPageBreak/>
        <w:t xml:space="preserve">Age </w:t>
      </w:r>
      <w:r>
        <w:t xml:space="preserve">is a strong predictor of </w:t>
      </w:r>
      <w:proofErr w:type="gramStart"/>
      <w:r>
        <w:t>disability,</w:t>
      </w:r>
      <w:proofErr w:type="gramEnd"/>
      <w:r>
        <w:t xml:space="preserve"> however</w:t>
      </w:r>
      <w:r w:rsidR="00883723">
        <w:t>,</w:t>
      </w:r>
      <w:r>
        <w:t xml:space="preserve"> it </w:t>
      </w:r>
      <w:r w:rsidRPr="005E1370">
        <w:t>does</w:t>
      </w:r>
      <w:r>
        <w:t xml:space="preserve"> not explain why </w:t>
      </w:r>
      <w:r w:rsidR="006E4437">
        <w:t>disabled people</w:t>
      </w:r>
      <w:r>
        <w:t xml:space="preserve"> were more likely to live in high deprivation areas. Older people in the survey population were less likely to live in high deprivation areas (only 9.3</w:t>
      </w:r>
      <w:r w:rsidR="00455C97">
        <w:t xml:space="preserve"> percent</w:t>
      </w:r>
      <w:r>
        <w:t xml:space="preserve"> of those aged 75</w:t>
      </w:r>
      <w:r w:rsidR="009C5165">
        <w:t xml:space="preserve"> years and over</w:t>
      </w:r>
      <w:r>
        <w:t xml:space="preserve"> lived in deprivation quintile 5 areas, compared </w:t>
      </w:r>
      <w:r w:rsidR="009C5165">
        <w:t>with</w:t>
      </w:r>
      <w:r>
        <w:t xml:space="preserve"> 26.7</w:t>
      </w:r>
      <w:r w:rsidR="00455C97">
        <w:t xml:space="preserve"> percent</w:t>
      </w:r>
      <w:r>
        <w:t xml:space="preserve"> of those aged 75</w:t>
      </w:r>
      <w:r w:rsidR="009C5165">
        <w:t xml:space="preserve"> years and over</w:t>
      </w:r>
      <w:r>
        <w:t xml:space="preserve"> </w:t>
      </w:r>
      <w:r w:rsidR="009C5165">
        <w:t>living</w:t>
      </w:r>
      <w:r>
        <w:t xml:space="preserve"> in deprivation quintile 1). Māori were more likely to live in high deprivation areas compared </w:t>
      </w:r>
      <w:r w:rsidR="009C5165">
        <w:t>with</w:t>
      </w:r>
      <w:r>
        <w:t xml:space="preserve"> the non-Māori</w:t>
      </w:r>
      <w:r w:rsidR="00E37E0D">
        <w:t>,</w:t>
      </w:r>
      <w:r>
        <w:t xml:space="preserve"> non-Pacific population surveyed (24.3</w:t>
      </w:r>
      <w:r w:rsidR="00455C97">
        <w:t xml:space="preserve"> percent</w:t>
      </w:r>
      <w:r>
        <w:t xml:space="preserve"> of Māori respondents live</w:t>
      </w:r>
      <w:r w:rsidR="009C5165">
        <w:t>d</w:t>
      </w:r>
      <w:r>
        <w:t xml:space="preserve"> in deprivation quintile 5 compared </w:t>
      </w:r>
      <w:r w:rsidR="009C5165">
        <w:t>with</w:t>
      </w:r>
      <w:r>
        <w:t xml:space="preserve"> 9.9</w:t>
      </w:r>
      <w:r w:rsidR="00455C97">
        <w:t xml:space="preserve"> percent</w:t>
      </w:r>
      <w:r>
        <w:t xml:space="preserve"> of the non-Māori</w:t>
      </w:r>
      <w:r w:rsidR="009C5165">
        <w:t>,</w:t>
      </w:r>
      <w:r>
        <w:t xml:space="preserve"> non-Pacific population). </w:t>
      </w:r>
    </w:p>
    <w:p w14:paraId="539A77A8" w14:textId="779F81CF" w:rsidR="00676F36" w:rsidRPr="00676F36" w:rsidRDefault="006E4437" w:rsidP="007105A9">
      <w:pPr>
        <w:pStyle w:val="ListParagraph"/>
        <w:numPr>
          <w:ilvl w:val="0"/>
          <w:numId w:val="12"/>
        </w:numPr>
        <w:spacing w:after="40"/>
        <w:ind w:hanging="357"/>
        <w:contextualSpacing w:val="0"/>
      </w:pPr>
      <w:r>
        <w:t>Disabled people</w:t>
      </w:r>
      <w:r w:rsidR="00676F36" w:rsidRPr="00676F36">
        <w:t xml:space="preserve"> </w:t>
      </w:r>
      <w:r w:rsidR="009C5165">
        <w:t>we</w:t>
      </w:r>
      <w:r w:rsidR="00676F36" w:rsidRPr="00676F36">
        <w:t>re more likely to have long-term conditions, with 94.8</w:t>
      </w:r>
      <w:r w:rsidR="00455C97">
        <w:t xml:space="preserve"> percent</w:t>
      </w:r>
      <w:r w:rsidR="00676F36" w:rsidRPr="00676F36">
        <w:t xml:space="preserve"> of </w:t>
      </w:r>
      <w:r>
        <w:t>disabled people</w:t>
      </w:r>
      <w:r w:rsidR="00676F36" w:rsidRPr="00676F36">
        <w:t xml:space="preserve"> having at least one long</w:t>
      </w:r>
      <w:r w:rsidR="009C5165">
        <w:t>-</w:t>
      </w:r>
      <w:r w:rsidR="00676F36" w:rsidRPr="00676F36">
        <w:t xml:space="preserve">term condition compared </w:t>
      </w:r>
      <w:r w:rsidR="009C5165">
        <w:t>with</w:t>
      </w:r>
      <w:r w:rsidR="00676F36" w:rsidRPr="00676F36">
        <w:t xml:space="preserve"> 73.1</w:t>
      </w:r>
      <w:r w:rsidR="00455C97">
        <w:t xml:space="preserve"> percent</w:t>
      </w:r>
      <w:r w:rsidR="00676F36" w:rsidRPr="00676F36">
        <w:t xml:space="preserve"> of </w:t>
      </w:r>
      <w:r w:rsidR="00006D7D">
        <w:t xml:space="preserve">other </w:t>
      </w:r>
      <w:r w:rsidR="00D968A9">
        <w:t>people</w:t>
      </w:r>
      <w:r w:rsidR="00676F36" w:rsidRPr="00676F36">
        <w:t xml:space="preserve">. </w:t>
      </w:r>
    </w:p>
    <w:p w14:paraId="37F76913" w14:textId="6CCAC3C5" w:rsidR="00EE4FB1" w:rsidRDefault="006E4437" w:rsidP="00EE4FB1">
      <w:pPr>
        <w:pStyle w:val="ListParagraph"/>
        <w:numPr>
          <w:ilvl w:val="0"/>
          <w:numId w:val="12"/>
        </w:numPr>
      </w:pPr>
      <w:r>
        <w:t>Disabled people</w:t>
      </w:r>
      <w:r w:rsidR="00676F36" w:rsidRPr="00676F36">
        <w:t xml:space="preserve"> </w:t>
      </w:r>
      <w:r w:rsidR="009C5165">
        <w:t>we</w:t>
      </w:r>
      <w:r w:rsidR="00676F36" w:rsidRPr="00676F36">
        <w:t xml:space="preserve">re also more likely to have multiple long-term conditions, with more than half of those with a disability saying they had three or more long-term conditions compared </w:t>
      </w:r>
      <w:r w:rsidR="009C5165">
        <w:t>with</w:t>
      </w:r>
      <w:r w:rsidR="00676F36" w:rsidRPr="00676F36">
        <w:t xml:space="preserve"> a median of one for those without a disability.</w:t>
      </w:r>
    </w:p>
    <w:p w14:paraId="34FB469A" w14:textId="7346B9D9" w:rsidR="00EE4FB1" w:rsidRPr="00676F36" w:rsidRDefault="00EE4FB1" w:rsidP="00EE4FB1">
      <w:pPr>
        <w:pStyle w:val="Heading1"/>
      </w:pPr>
      <w:bookmarkStart w:id="8" w:name="_Toc89875468"/>
      <w:r>
        <w:t>Survey findings</w:t>
      </w:r>
      <w:bookmarkEnd w:id="8"/>
      <w:r w:rsidR="00147C0B">
        <w:t xml:space="preserve"> | </w:t>
      </w:r>
      <w:proofErr w:type="spellStart"/>
      <w:r w:rsidR="00147C0B" w:rsidRPr="00147C0B">
        <w:t>Ngā</w:t>
      </w:r>
      <w:proofErr w:type="spellEnd"/>
      <w:r w:rsidR="00147C0B" w:rsidRPr="00147C0B">
        <w:t xml:space="preserve"> </w:t>
      </w:r>
      <w:proofErr w:type="spellStart"/>
      <w:r w:rsidR="00147C0B" w:rsidRPr="00147C0B">
        <w:t>kitenga</w:t>
      </w:r>
      <w:proofErr w:type="spellEnd"/>
      <w:r w:rsidR="00147C0B" w:rsidRPr="00147C0B">
        <w:t xml:space="preserve"> o </w:t>
      </w:r>
      <w:proofErr w:type="spellStart"/>
      <w:r w:rsidR="00147C0B" w:rsidRPr="00147C0B">
        <w:t>te</w:t>
      </w:r>
      <w:proofErr w:type="spellEnd"/>
      <w:r w:rsidR="00147C0B" w:rsidRPr="00147C0B">
        <w:t xml:space="preserve"> </w:t>
      </w:r>
      <w:proofErr w:type="spellStart"/>
      <w:r w:rsidR="00147C0B" w:rsidRPr="00147C0B">
        <w:t>tiro</w:t>
      </w:r>
      <w:proofErr w:type="spellEnd"/>
      <w:r w:rsidR="00147C0B" w:rsidRPr="00147C0B">
        <w:t xml:space="preserve"> </w:t>
      </w:r>
      <w:proofErr w:type="spellStart"/>
      <w:r w:rsidR="00147C0B" w:rsidRPr="00147C0B">
        <w:t>whānui</w:t>
      </w:r>
      <w:proofErr w:type="spellEnd"/>
    </w:p>
    <w:p w14:paraId="13FF19F2" w14:textId="5B1C1492" w:rsidR="00676F36" w:rsidRPr="00286FAF" w:rsidRDefault="009C5165" w:rsidP="00EE4FB1">
      <w:pPr>
        <w:pStyle w:val="Heading4"/>
      </w:pPr>
      <w:r>
        <w:t>Access by</w:t>
      </w:r>
      <w:r w:rsidR="00676F36">
        <w:t xml:space="preserve"> </w:t>
      </w:r>
      <w:r w:rsidR="006E4437">
        <w:t>disabled people</w:t>
      </w:r>
      <w:r w:rsidR="004D1C29">
        <w:t xml:space="preserve"> </w:t>
      </w:r>
      <w:r w:rsidR="00D968A9">
        <w:t>t</w:t>
      </w:r>
      <w:r w:rsidR="00676F36">
        <w:t>o the health care they needed during lockdown</w:t>
      </w:r>
    </w:p>
    <w:p w14:paraId="3C93142F" w14:textId="646F26A9" w:rsidR="00676F36" w:rsidRDefault="006E4437" w:rsidP="00676F36">
      <w:r>
        <w:t>Disabled people</w:t>
      </w:r>
      <w:r w:rsidR="00676F36">
        <w:t xml:space="preserve"> clearly had a different experience of accessing health care during the COVID-19 lockdown compared </w:t>
      </w:r>
      <w:r w:rsidR="009C5165">
        <w:t>with that of</w:t>
      </w:r>
      <w:r w:rsidR="00676F36">
        <w:t xml:space="preserve"> </w:t>
      </w:r>
      <w:r w:rsidR="00F72312">
        <w:t>non-disabled people</w:t>
      </w:r>
      <w:r w:rsidR="00676F36">
        <w:t xml:space="preserve">. </w:t>
      </w:r>
    </w:p>
    <w:p w14:paraId="717A1C8C" w14:textId="77777777" w:rsidR="00676F36" w:rsidRDefault="00676F36" w:rsidP="00676F36">
      <w:r>
        <w:t>During alert levels 3 and 4, health care was considered an essential service, and therefore allowed to continue operating. However, some services were deprioritised, particularly in the secondary sector, and the way patients were encouraged to access health care changed. Official advice said the following about accessing health care:</w:t>
      </w:r>
    </w:p>
    <w:p w14:paraId="74A62004" w14:textId="065F0672" w:rsidR="00676F36" w:rsidRDefault="00676F36" w:rsidP="00676F36">
      <w:pPr>
        <w:ind w:left="720" w:right="1088"/>
      </w:pPr>
      <w:r w:rsidRPr="00DF0A67">
        <w:t>If you're concerned about any aspect of your health, call your GP. Your doctor may offer you a consultation by text, email, phone or video. This is to stop person-to-person contact. If, however, your doctor feels you need a consultation in person, they will organise this for you.</w:t>
      </w:r>
    </w:p>
    <w:p w14:paraId="24272EB8" w14:textId="0686F612" w:rsidR="00676F36" w:rsidRDefault="00676F36" w:rsidP="00676F36">
      <w:pPr>
        <w:ind w:left="720" w:right="1088"/>
      </w:pPr>
      <w:r w:rsidRPr="00761301">
        <w:t>You're allowed to travel during Alert Levels 3 and 4 to access medical support. You can drive to a medical centre or hospital. Just call first so you know what to do when you get there. For example, you may be asked to use a particular entrance, or to wait outside in your car until you're called. If you're sick you should avoid public transport when travelling to a medical appointment.</w:t>
      </w:r>
      <w:r>
        <w:rPr>
          <w:rStyle w:val="FootnoteReference"/>
        </w:rPr>
        <w:footnoteReference w:id="9"/>
      </w:r>
    </w:p>
    <w:p w14:paraId="0E3806AA" w14:textId="31ACF91C" w:rsidR="00676F36" w:rsidRDefault="00676F36" w:rsidP="00676F36">
      <w:r>
        <w:t xml:space="preserve">We asked respondents about a number of ways they might usually access health care, and whether the lockdown kept them from accessing any of them. </w:t>
      </w:r>
      <w:r w:rsidR="006E4437">
        <w:t>Disabled people</w:t>
      </w:r>
      <w:r>
        <w:t xml:space="preserve"> were more likely, across all modes of health care, to report that lockdown affected their access. </w:t>
      </w:r>
    </w:p>
    <w:p w14:paraId="520C3A04" w14:textId="17D7D296" w:rsidR="00676F36" w:rsidRDefault="00676F36">
      <w:pPr>
        <w:spacing w:after="200"/>
        <w:rPr>
          <w:b/>
          <w:bCs/>
        </w:rPr>
      </w:pPr>
      <w:r>
        <w:rPr>
          <w:b/>
          <w:bCs/>
        </w:rPr>
        <w:br w:type="page"/>
      </w:r>
    </w:p>
    <w:p w14:paraId="1664559E" w14:textId="2E2E2603" w:rsidR="00676F36" w:rsidRPr="00DE5636" w:rsidRDefault="00EE4FB1" w:rsidP="00676F36">
      <w:pPr>
        <w:rPr>
          <w:b/>
          <w:bCs/>
        </w:rPr>
      </w:pPr>
      <w:r>
        <w:rPr>
          <w:b/>
          <w:bCs/>
        </w:rPr>
        <w:lastRenderedPageBreak/>
        <w:t>Figure</w:t>
      </w:r>
      <w:r w:rsidR="00676F36">
        <w:rPr>
          <w:b/>
          <w:bCs/>
        </w:rPr>
        <w:t xml:space="preserve"> 1: </w:t>
      </w:r>
      <w:r w:rsidR="00AB070B">
        <w:rPr>
          <w:b/>
          <w:bCs/>
        </w:rPr>
        <w:t xml:space="preserve">Responses to question </w:t>
      </w:r>
      <w:r w:rsidR="00356E0C">
        <w:rPr>
          <w:b/>
          <w:bCs/>
        </w:rPr>
        <w:t>‘</w:t>
      </w:r>
      <w:r w:rsidR="00676F36" w:rsidRPr="00DE5636">
        <w:rPr>
          <w:b/>
          <w:bCs/>
        </w:rPr>
        <w:t>Thinking of how you would have normally accessed health care before lockdown, did the alert level 3 and 4 lockdown keep you from doing any of the following?</w:t>
      </w:r>
      <w:r w:rsidR="00356E0C">
        <w:rPr>
          <w:b/>
          <w:bCs/>
        </w:rPr>
        <w:t>’</w:t>
      </w:r>
    </w:p>
    <w:p w14:paraId="2235482C" w14:textId="519ABAA9" w:rsidR="00676F36" w:rsidRDefault="00C625BB" w:rsidP="00AA0159">
      <w:pPr>
        <w:jc w:val="right"/>
      </w:pPr>
      <w:r>
        <w:rPr>
          <w:noProof/>
        </w:rPr>
        <w:lastRenderedPageBreak/>
        <w:drawing>
          <wp:inline distT="0" distB="0" distL="0" distR="0" wp14:anchorId="22A77193" wp14:editId="6661DE0A">
            <wp:extent cx="5731510" cy="4998720"/>
            <wp:effectExtent l="0" t="0" r="2540" b="0"/>
            <wp:docPr id="3" name="Chart 3">
              <a:extLst xmlns:a="http://schemas.openxmlformats.org/drawingml/2006/main">
                <a:ext uri="{FF2B5EF4-FFF2-40B4-BE49-F238E27FC236}">
                  <a16:creationId xmlns:a16="http://schemas.microsoft.com/office/drawing/2014/main" id="{44E0FCD5-9F87-4BE8-B1C8-605AB87FC3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1E752E" w14:textId="7CD6EC5E" w:rsidR="00676F36" w:rsidRDefault="002B00DE" w:rsidP="00676F36">
      <w:r>
        <w:t xml:space="preserve">A total of </w:t>
      </w:r>
      <w:r w:rsidR="00676F36">
        <w:t>59.8</w:t>
      </w:r>
      <w:r w:rsidR="00455C97">
        <w:t xml:space="preserve"> percent</w:t>
      </w:r>
      <w:r w:rsidR="00676F36">
        <w:t xml:space="preserve"> of </w:t>
      </w:r>
      <w:r w:rsidR="006E4437">
        <w:t>disabled people</w:t>
      </w:r>
      <w:r w:rsidR="00676F36">
        <w:t xml:space="preserve"> reported they were not able to access health care during alert level 3 and 4 as they usually would compared </w:t>
      </w:r>
      <w:r>
        <w:t xml:space="preserve">with </w:t>
      </w:r>
      <w:r w:rsidR="00676F36">
        <w:t>45.4</w:t>
      </w:r>
      <w:r w:rsidR="00455C97">
        <w:t xml:space="preserve"> percent</w:t>
      </w:r>
      <w:r w:rsidR="00676F36">
        <w:t xml:space="preserve"> of </w:t>
      </w:r>
      <w:r w:rsidR="007C2E7B">
        <w:t>non-disabled people.</w:t>
      </w:r>
      <w:r w:rsidR="00676F36">
        <w:t xml:space="preserve"> </w:t>
      </w:r>
    </w:p>
    <w:p w14:paraId="38826491" w14:textId="2351A8B1" w:rsidR="00676F36" w:rsidRPr="00676F36" w:rsidRDefault="00676F36" w:rsidP="007105A9">
      <w:pPr>
        <w:pStyle w:val="ListParagraph"/>
        <w:numPr>
          <w:ilvl w:val="0"/>
          <w:numId w:val="13"/>
        </w:numPr>
      </w:pPr>
      <w:r w:rsidRPr="00676F36">
        <w:t xml:space="preserve">Nearly one in five </w:t>
      </w:r>
      <w:r w:rsidR="006E4437">
        <w:t>disabled people</w:t>
      </w:r>
      <w:r w:rsidRPr="00676F36">
        <w:t xml:space="preserve"> had a hospital appointment cancelled (17.4</w:t>
      </w:r>
      <w:r w:rsidR="00455C97">
        <w:t xml:space="preserve"> percent</w:t>
      </w:r>
      <w:r w:rsidRPr="00676F36">
        <w:t xml:space="preserve">) compared </w:t>
      </w:r>
      <w:r w:rsidR="002B00DE">
        <w:t>with</w:t>
      </w:r>
      <w:r w:rsidRPr="00676F36">
        <w:t xml:space="preserve"> 7.4</w:t>
      </w:r>
      <w:r w:rsidR="00455C97">
        <w:t xml:space="preserve"> percent</w:t>
      </w:r>
      <w:r w:rsidRPr="00676F36">
        <w:t xml:space="preserve"> of </w:t>
      </w:r>
      <w:r w:rsidR="00D968A9">
        <w:t>other people</w:t>
      </w:r>
      <w:r w:rsidRPr="00676F36">
        <w:t xml:space="preserve">. </w:t>
      </w:r>
    </w:p>
    <w:p w14:paraId="7D58D614" w14:textId="20BA0223" w:rsidR="00676F36" w:rsidRPr="00676F36" w:rsidRDefault="002B00DE" w:rsidP="007105A9">
      <w:pPr>
        <w:pStyle w:val="ListParagraph"/>
        <w:numPr>
          <w:ilvl w:val="0"/>
          <w:numId w:val="13"/>
        </w:numPr>
      </w:pPr>
      <w:r>
        <w:t xml:space="preserve">A total of </w:t>
      </w:r>
      <w:r w:rsidR="00676F36" w:rsidRPr="00676F36">
        <w:t>41.1</w:t>
      </w:r>
      <w:r w:rsidR="00455C97">
        <w:t xml:space="preserve"> percent</w:t>
      </w:r>
      <w:r w:rsidR="00676F36" w:rsidRPr="00676F36">
        <w:t xml:space="preserve"> of </w:t>
      </w:r>
      <w:r w:rsidR="006E4437">
        <w:t>disabled people</w:t>
      </w:r>
      <w:r w:rsidR="00676F36" w:rsidRPr="00676F36">
        <w:t xml:space="preserve"> </w:t>
      </w:r>
      <w:r>
        <w:t>were un</w:t>
      </w:r>
      <w:r w:rsidR="00676F36" w:rsidRPr="00676F36">
        <w:t xml:space="preserve">able to access their general practitioner (GP) as usual compared </w:t>
      </w:r>
      <w:r>
        <w:t xml:space="preserve">with </w:t>
      </w:r>
      <w:r w:rsidR="00676F36" w:rsidRPr="00676F36">
        <w:t>32.2</w:t>
      </w:r>
      <w:r w:rsidR="00455C97">
        <w:t xml:space="preserve"> percent</w:t>
      </w:r>
      <w:r w:rsidR="00676F36" w:rsidRPr="00676F36">
        <w:t xml:space="preserve"> of </w:t>
      </w:r>
      <w:r w:rsidR="00D968A9">
        <w:t>other people</w:t>
      </w:r>
      <w:r w:rsidR="00676F36" w:rsidRPr="00676F36">
        <w:t>.</w:t>
      </w:r>
    </w:p>
    <w:p w14:paraId="7B1ECF68" w14:textId="741F7752" w:rsidR="00676F36" w:rsidRDefault="002B00DE" w:rsidP="007105A9">
      <w:pPr>
        <w:pStyle w:val="ListParagraph"/>
        <w:numPr>
          <w:ilvl w:val="0"/>
          <w:numId w:val="13"/>
        </w:numPr>
      </w:pPr>
      <w:r>
        <w:t>A total of 8.2</w:t>
      </w:r>
      <w:r w:rsidR="00676F36" w:rsidRPr="00676F36">
        <w:t xml:space="preserve"> percent of </w:t>
      </w:r>
      <w:r w:rsidR="006E4437">
        <w:t>disabled people</w:t>
      </w:r>
      <w:r w:rsidR="00676F36" w:rsidRPr="00676F36">
        <w:t xml:space="preserve"> said they had avoided the </w:t>
      </w:r>
      <w:r>
        <w:t>e</w:t>
      </w:r>
      <w:r w:rsidR="00676F36" w:rsidRPr="00676F36">
        <w:t xml:space="preserve">mergency </w:t>
      </w:r>
      <w:r>
        <w:t>d</w:t>
      </w:r>
      <w:r w:rsidR="00676F36" w:rsidRPr="00676F36">
        <w:t xml:space="preserve">epartment when they usually would have attended, double the </w:t>
      </w:r>
      <w:r>
        <w:t xml:space="preserve">rate of the </w:t>
      </w:r>
      <w:r w:rsidR="00676F36" w:rsidRPr="00676F36">
        <w:t>non-disabled population (4.0</w:t>
      </w:r>
      <w:r w:rsidR="00455C97">
        <w:t xml:space="preserve"> percent</w:t>
      </w:r>
      <w:r w:rsidR="00676F36" w:rsidRPr="00676F36">
        <w:t xml:space="preserve">). </w:t>
      </w:r>
    </w:p>
    <w:p w14:paraId="6807D44C" w14:textId="3F9DF5E2" w:rsidR="00676F36" w:rsidRDefault="00676F36" w:rsidP="00676F36">
      <w:r>
        <w:t xml:space="preserve">It is important to note that while people may not have been able to access their GP as they usually would, they may have accessed </w:t>
      </w:r>
      <w:r w:rsidR="002B00DE">
        <w:t>them</w:t>
      </w:r>
      <w:r>
        <w:t xml:space="preserve"> through alternative methods (for example telehealth – video or phone consultations). </w:t>
      </w:r>
    </w:p>
    <w:p w14:paraId="0F6849D8" w14:textId="7F296DD6" w:rsidR="00676F36" w:rsidRDefault="00676F36" w:rsidP="00676F36">
      <w:r>
        <w:t xml:space="preserve">Overall, </w:t>
      </w:r>
      <w:r w:rsidR="006E4437">
        <w:t>disabled people</w:t>
      </w:r>
      <w:r>
        <w:t xml:space="preserve"> were more likely </w:t>
      </w:r>
      <w:r w:rsidR="002B00DE">
        <w:t xml:space="preserve">not </w:t>
      </w:r>
      <w:r>
        <w:t xml:space="preserve">to seek health care as they usually would during the level 3 and 4 lockdown due to the fear of contracting COVID-19; </w:t>
      </w:r>
      <w:r w:rsidR="00161723">
        <w:t>29.5</w:t>
      </w:r>
      <w:r w:rsidR="00455C97">
        <w:t xml:space="preserve"> percent</w:t>
      </w:r>
      <w:r>
        <w:t xml:space="preserve"> of </w:t>
      </w:r>
      <w:r w:rsidR="006E4437">
        <w:t>disabled people</w:t>
      </w:r>
      <w:r>
        <w:t xml:space="preserve"> cited this as a reason compared </w:t>
      </w:r>
      <w:r w:rsidR="002B00DE">
        <w:t>with</w:t>
      </w:r>
      <w:r>
        <w:t xml:space="preserve"> </w:t>
      </w:r>
      <w:r w:rsidR="00046755">
        <w:t>21.3</w:t>
      </w:r>
      <w:r w:rsidR="00455C97">
        <w:t xml:space="preserve"> percent</w:t>
      </w:r>
      <w:r>
        <w:t xml:space="preserve"> of </w:t>
      </w:r>
      <w:r w:rsidR="00D968A9">
        <w:t>other people</w:t>
      </w:r>
      <w:r>
        <w:t xml:space="preserve">. While older people are more likely to be disabled, a smaller proportion of those aged 65 </w:t>
      </w:r>
      <w:r w:rsidR="002B00DE">
        <w:t xml:space="preserve">years </w:t>
      </w:r>
      <w:r>
        <w:t xml:space="preserve">and over </w:t>
      </w:r>
      <w:r w:rsidR="00C7201A">
        <w:t>(</w:t>
      </w:r>
      <w:r w:rsidR="00891C75">
        <w:t>20.0</w:t>
      </w:r>
      <w:r w:rsidR="00455C97">
        <w:t xml:space="preserve"> percent</w:t>
      </w:r>
      <w:r w:rsidR="00C7201A">
        <w:t xml:space="preserve">) </w:t>
      </w:r>
      <w:r>
        <w:t>cited concern about contracting COVID-19 as a reason for not accessing health care as normal</w:t>
      </w:r>
      <w:r w:rsidR="00C7201A">
        <w:t>; this compares with</w:t>
      </w:r>
      <w:r>
        <w:t xml:space="preserve"> those aged under 65</w:t>
      </w:r>
      <w:r w:rsidR="00C7201A">
        <w:t xml:space="preserve"> years</w:t>
      </w:r>
      <w:r>
        <w:t xml:space="preserve"> of </w:t>
      </w:r>
      <w:r>
        <w:lastRenderedPageBreak/>
        <w:t>age</w:t>
      </w:r>
      <w:r w:rsidR="00C7201A">
        <w:t xml:space="preserve"> (</w:t>
      </w:r>
      <w:r>
        <w:t>25.</w:t>
      </w:r>
      <w:r w:rsidR="00891C75">
        <w:t xml:space="preserve">1 </w:t>
      </w:r>
      <w:r w:rsidR="00455C97">
        <w:t>percent</w:t>
      </w:r>
      <w:r w:rsidR="00C7201A">
        <w:t xml:space="preserve">). This indicates that </w:t>
      </w:r>
      <w:r>
        <w:t xml:space="preserve">what we saw in the disabled population was not an age effect. </w:t>
      </w:r>
    </w:p>
    <w:p w14:paraId="2EE59BF7" w14:textId="4C619011" w:rsidR="00676F36" w:rsidRPr="00676F36" w:rsidRDefault="006E4437" w:rsidP="007105A9">
      <w:pPr>
        <w:pStyle w:val="ListParagraph"/>
        <w:numPr>
          <w:ilvl w:val="0"/>
          <w:numId w:val="14"/>
        </w:numPr>
      </w:pPr>
      <w:r>
        <w:t>Disabled people</w:t>
      </w:r>
      <w:r w:rsidR="00676F36" w:rsidRPr="00676F36">
        <w:t xml:space="preserve"> were less likely to delay or avoid seeking care because they perceived the health concern to not be urgent (31.</w:t>
      </w:r>
      <w:r w:rsidR="009F2977">
        <w:t xml:space="preserve">9 </w:t>
      </w:r>
      <w:r w:rsidR="00455C97">
        <w:t>percent</w:t>
      </w:r>
      <w:r w:rsidR="00676F36" w:rsidRPr="00676F36">
        <w:t xml:space="preserve"> of </w:t>
      </w:r>
      <w:r>
        <w:t>disabled people</w:t>
      </w:r>
      <w:r w:rsidR="00465C3E">
        <w:t xml:space="preserve"> compared with</w:t>
      </w:r>
      <w:r w:rsidR="00676F36" w:rsidRPr="00676F36">
        <w:t xml:space="preserve"> </w:t>
      </w:r>
      <w:r w:rsidR="00147171">
        <w:t>41.6</w:t>
      </w:r>
      <w:r w:rsidR="00455C97">
        <w:t xml:space="preserve"> percent</w:t>
      </w:r>
      <w:r w:rsidR="00676F36" w:rsidRPr="00676F36">
        <w:t xml:space="preserve"> of </w:t>
      </w:r>
      <w:r w:rsidR="00D968A9">
        <w:t xml:space="preserve">other </w:t>
      </w:r>
      <w:r w:rsidR="00676F36" w:rsidRPr="00676F36">
        <w:t>people)</w:t>
      </w:r>
      <w:r w:rsidR="007105A9">
        <w:t>.</w:t>
      </w:r>
      <w:r w:rsidR="00676F36" w:rsidRPr="00676F36">
        <w:t xml:space="preserve"> </w:t>
      </w:r>
    </w:p>
    <w:p w14:paraId="399D2AEC" w14:textId="27913630" w:rsidR="00676F36" w:rsidRPr="00676F36" w:rsidRDefault="00676F36" w:rsidP="00A3496E">
      <w:pPr>
        <w:pStyle w:val="ListParagraph"/>
        <w:numPr>
          <w:ilvl w:val="0"/>
          <w:numId w:val="14"/>
        </w:numPr>
        <w:ind w:left="357" w:hanging="357"/>
      </w:pPr>
      <w:r w:rsidRPr="00676F36">
        <w:t xml:space="preserve">Alert level restrictions were the main reason for both groups for not accessing health care as they usually would, but </w:t>
      </w:r>
      <w:r w:rsidR="006E4437">
        <w:t>disabled people</w:t>
      </w:r>
      <w:r w:rsidRPr="00676F36">
        <w:t xml:space="preserve"> were more likely to cite this as a reason (</w:t>
      </w:r>
      <w:r w:rsidR="0043494F">
        <w:t>48.1</w:t>
      </w:r>
      <w:r w:rsidR="00455C97">
        <w:t xml:space="preserve"> percent</w:t>
      </w:r>
      <w:r w:rsidRPr="00676F36">
        <w:t xml:space="preserve"> of </w:t>
      </w:r>
      <w:r w:rsidR="006E4437">
        <w:t>disabled people</w:t>
      </w:r>
      <w:r w:rsidRPr="00676F36">
        <w:t xml:space="preserve"> compared </w:t>
      </w:r>
      <w:r w:rsidR="00465C3E">
        <w:t>with</w:t>
      </w:r>
      <w:r w:rsidRPr="00676F36">
        <w:t xml:space="preserve"> </w:t>
      </w:r>
      <w:r w:rsidR="001426F2">
        <w:t>42.5</w:t>
      </w:r>
      <w:r w:rsidR="00455C97">
        <w:t xml:space="preserve"> percent</w:t>
      </w:r>
      <w:r w:rsidRPr="00676F36">
        <w:t xml:space="preserve"> of </w:t>
      </w:r>
      <w:r w:rsidR="00D968A9">
        <w:t xml:space="preserve">other </w:t>
      </w:r>
      <w:r w:rsidRPr="00676F36">
        <w:t>people)</w:t>
      </w:r>
      <w:r w:rsidR="007105A9">
        <w:t>.</w:t>
      </w:r>
    </w:p>
    <w:p w14:paraId="5D84718E" w14:textId="77777777" w:rsidR="00676F36" w:rsidRPr="00676F36" w:rsidRDefault="00676F36" w:rsidP="007105A9">
      <w:pPr>
        <w:pStyle w:val="ListParagraph"/>
        <w:numPr>
          <w:ilvl w:val="0"/>
          <w:numId w:val="14"/>
        </w:numPr>
      </w:pPr>
      <w:r w:rsidRPr="00676F36">
        <w:t xml:space="preserve">When people were unable to access health care as they usually would, we asked them what they did instead. </w:t>
      </w:r>
    </w:p>
    <w:p w14:paraId="3D053BEA" w14:textId="79F44532" w:rsidR="00676F36" w:rsidRPr="00676F36" w:rsidRDefault="00676F36" w:rsidP="007105A9">
      <w:pPr>
        <w:pStyle w:val="ListParagraph"/>
        <w:numPr>
          <w:ilvl w:val="0"/>
          <w:numId w:val="15"/>
        </w:numPr>
      </w:pPr>
      <w:r w:rsidRPr="00676F36">
        <w:t xml:space="preserve">The most common action for both </w:t>
      </w:r>
      <w:r w:rsidR="006E4437">
        <w:t>disabled people</w:t>
      </w:r>
      <w:r w:rsidRPr="00676F36">
        <w:t xml:space="preserve"> </w:t>
      </w:r>
      <w:r w:rsidR="00D968A9">
        <w:t xml:space="preserve">and others </w:t>
      </w:r>
      <w:r w:rsidRPr="00676F36">
        <w:t>was to have a phone or video appointment</w:t>
      </w:r>
      <w:r w:rsidR="00465C3E">
        <w:t xml:space="preserve"> (</w:t>
      </w:r>
      <w:r w:rsidR="00E21DF1">
        <w:t>51.7</w:t>
      </w:r>
      <w:r w:rsidR="00455C97">
        <w:t xml:space="preserve"> percent</w:t>
      </w:r>
      <w:r w:rsidRPr="00676F36">
        <w:t xml:space="preserve"> of </w:t>
      </w:r>
      <w:r w:rsidR="006E4437">
        <w:t>disabled people</w:t>
      </w:r>
      <w:r w:rsidRPr="00676F36">
        <w:t xml:space="preserve"> and </w:t>
      </w:r>
      <w:r w:rsidR="00E21DF1">
        <w:t>46.4</w:t>
      </w:r>
      <w:r w:rsidR="00455C97">
        <w:t xml:space="preserve"> percent</w:t>
      </w:r>
      <w:r w:rsidRPr="00676F36">
        <w:t xml:space="preserve"> of </w:t>
      </w:r>
      <w:r w:rsidR="00D968A9">
        <w:t xml:space="preserve">other </w:t>
      </w:r>
      <w:r w:rsidRPr="00676F36">
        <w:t>people</w:t>
      </w:r>
      <w:r w:rsidR="00465C3E">
        <w:t>)</w:t>
      </w:r>
      <w:r w:rsidRPr="00676F36">
        <w:t xml:space="preserve">. </w:t>
      </w:r>
    </w:p>
    <w:p w14:paraId="0CD845FF" w14:textId="0E6F014F" w:rsidR="00676F36" w:rsidRPr="00676F36" w:rsidRDefault="00676F36" w:rsidP="007105A9">
      <w:pPr>
        <w:pStyle w:val="ListParagraph"/>
        <w:numPr>
          <w:ilvl w:val="0"/>
          <w:numId w:val="15"/>
        </w:numPr>
      </w:pPr>
      <w:r w:rsidRPr="00676F36">
        <w:t xml:space="preserve">About a quarter of patients waited to access health care, although </w:t>
      </w:r>
      <w:r w:rsidR="00FA60B9">
        <w:t xml:space="preserve">disabled </w:t>
      </w:r>
      <w:r w:rsidRPr="00676F36">
        <w:t>patients</w:t>
      </w:r>
      <w:r w:rsidR="00D968A9">
        <w:t xml:space="preserve"> </w:t>
      </w:r>
      <w:r w:rsidRPr="00676F36">
        <w:t>were more likely to delay care (</w:t>
      </w:r>
      <w:r w:rsidR="009B28C8">
        <w:t>27.0</w:t>
      </w:r>
      <w:r w:rsidR="00455C97">
        <w:t xml:space="preserve"> percent</w:t>
      </w:r>
      <w:r w:rsidRPr="00676F36">
        <w:t xml:space="preserve">) than </w:t>
      </w:r>
      <w:r w:rsidR="00A3496E">
        <w:t xml:space="preserve">other people </w:t>
      </w:r>
      <w:r w:rsidRPr="00676F36">
        <w:t>(</w:t>
      </w:r>
      <w:r w:rsidR="009B28C8">
        <w:t>24.0</w:t>
      </w:r>
      <w:r w:rsidR="00455C97">
        <w:t xml:space="preserve"> percent</w:t>
      </w:r>
      <w:r w:rsidRPr="00676F36">
        <w:t>).</w:t>
      </w:r>
    </w:p>
    <w:p w14:paraId="6001EDC6" w14:textId="7D6E71C3" w:rsidR="00676F36" w:rsidRPr="00004DF3" w:rsidRDefault="006E4437" w:rsidP="00EE4FB1">
      <w:pPr>
        <w:pStyle w:val="Heading4"/>
      </w:pPr>
      <w:r>
        <w:t>Disabled people</w:t>
      </w:r>
      <w:r w:rsidR="00676F36">
        <w:t xml:space="preserve"> were more likely to have used a telehealth option</w:t>
      </w:r>
    </w:p>
    <w:p w14:paraId="450BB03A" w14:textId="299F975A" w:rsidR="00676F36" w:rsidRDefault="00676F36" w:rsidP="00676F36">
      <w:r>
        <w:t xml:space="preserve">In the survey we asked patients what type of appointment (in person, phone, video) </w:t>
      </w:r>
      <w:r w:rsidR="00465C3E">
        <w:t xml:space="preserve">was </w:t>
      </w:r>
      <w:r>
        <w:t xml:space="preserve">their most recent appointment with their GP. </w:t>
      </w:r>
      <w:r w:rsidR="006E4437">
        <w:t>Disabled people</w:t>
      </w:r>
      <w:r>
        <w:t xml:space="preserve"> were more likely to have taken up the option of a phone appointment compared </w:t>
      </w:r>
      <w:r w:rsidR="00465C3E">
        <w:t>with</w:t>
      </w:r>
      <w:r>
        <w:t xml:space="preserve"> </w:t>
      </w:r>
      <w:r w:rsidR="00D968A9">
        <w:t xml:space="preserve">other </w:t>
      </w:r>
      <w:r>
        <w:t>people (46.0</w:t>
      </w:r>
      <w:r w:rsidR="00455C97">
        <w:t xml:space="preserve"> percent</w:t>
      </w:r>
      <w:r>
        <w:t xml:space="preserve"> compared </w:t>
      </w:r>
      <w:r w:rsidR="00465C3E">
        <w:t>with</w:t>
      </w:r>
      <w:r>
        <w:t xml:space="preserve"> 41.7</w:t>
      </w:r>
      <w:r w:rsidR="00455C97">
        <w:t xml:space="preserve"> percent</w:t>
      </w:r>
      <w:r>
        <w:t xml:space="preserve">). This likely reflects that </w:t>
      </w:r>
      <w:r w:rsidR="006E4437">
        <w:t>disabled people</w:t>
      </w:r>
      <w:r>
        <w:t xml:space="preserve"> reported they were not able to access their GP as usual during the level 3 and 4 lockdown, although even before the pandemic, </w:t>
      </w:r>
      <w:r w:rsidR="006E4437">
        <w:t>disabled people</w:t>
      </w:r>
      <w:r>
        <w:t xml:space="preserve"> were more likely to use a telehealth option with their GP (11.</w:t>
      </w:r>
      <w:r w:rsidR="00C72D07">
        <w:t xml:space="preserve">3 </w:t>
      </w:r>
      <w:r w:rsidR="00455C97">
        <w:t>percent</w:t>
      </w:r>
      <w:r>
        <w:t xml:space="preserve"> compared </w:t>
      </w:r>
      <w:r w:rsidR="00465C3E">
        <w:t>with</w:t>
      </w:r>
      <w:r>
        <w:t xml:space="preserve"> 7.</w:t>
      </w:r>
      <w:r w:rsidR="00C72D07">
        <w:t xml:space="preserve">4 </w:t>
      </w:r>
      <w:r w:rsidR="00455C97">
        <w:t>percent</w:t>
      </w:r>
      <w:r w:rsidR="00465C3E">
        <w:t xml:space="preserve"> of </w:t>
      </w:r>
      <w:r w:rsidR="00D968A9">
        <w:t xml:space="preserve">other </w:t>
      </w:r>
      <w:r w:rsidR="006C56C9">
        <w:t>people</w:t>
      </w:r>
      <w:r>
        <w:t xml:space="preserve">). </w:t>
      </w:r>
    </w:p>
    <w:p w14:paraId="6C747F1A" w14:textId="16DF131D" w:rsidR="00676F36" w:rsidRDefault="00465C3E" w:rsidP="00676F36">
      <w:r>
        <w:t>T</w:t>
      </w:r>
      <w:r w:rsidR="00676F36">
        <w:t xml:space="preserve">elehealth options </w:t>
      </w:r>
      <w:r>
        <w:t xml:space="preserve">must </w:t>
      </w:r>
      <w:r w:rsidR="00676F36">
        <w:t xml:space="preserve">work for </w:t>
      </w:r>
      <w:r w:rsidR="00FA60B9">
        <w:t>disabled patients</w:t>
      </w:r>
      <w:r w:rsidR="00676F36">
        <w:t xml:space="preserve">. The disabled community is a diverse group, </w:t>
      </w:r>
      <w:r>
        <w:t xml:space="preserve">and </w:t>
      </w:r>
      <w:r w:rsidR="00676F36">
        <w:t xml:space="preserve">for some telehealth options may help improve access, whereas for others telehealth may be a barrier to accessing care. </w:t>
      </w:r>
    </w:p>
    <w:p w14:paraId="4C3D0713" w14:textId="079AF5EC" w:rsidR="00676F36" w:rsidRDefault="00676F36" w:rsidP="00676F36">
      <w:r>
        <w:t>Some</w:t>
      </w:r>
      <w:r w:rsidR="006C56C9">
        <w:t xml:space="preserve"> disabled patients</w:t>
      </w:r>
      <w:r>
        <w:t xml:space="preserve"> noted that mobility issues meant telehealth services improved access. </w:t>
      </w:r>
    </w:p>
    <w:p w14:paraId="5C453CD7" w14:textId="1D19659B" w:rsidR="00676F36" w:rsidRPr="007105A9" w:rsidRDefault="00676F36" w:rsidP="007105A9">
      <w:pPr>
        <w:ind w:left="720" w:right="1088"/>
      </w:pPr>
      <w:r w:rsidRPr="007105A9">
        <w:t xml:space="preserve">‘Each time I rang was to make an appointment for my monthly </w:t>
      </w:r>
      <w:r w:rsidR="00465C3E">
        <w:t>m</w:t>
      </w:r>
      <w:r w:rsidRPr="007105A9">
        <w:t xml:space="preserve">eds and found the </w:t>
      </w:r>
      <w:r w:rsidR="00465C3E">
        <w:t>d</w:t>
      </w:r>
      <w:r w:rsidRPr="007105A9">
        <w:t xml:space="preserve">octor was doing these normal monthly things by phone, then emailing my </w:t>
      </w:r>
      <w:r w:rsidR="00465C3E">
        <w:t>s</w:t>
      </w:r>
      <w:r w:rsidRPr="007105A9">
        <w:t xml:space="preserve">cript to my </w:t>
      </w:r>
      <w:r w:rsidR="00465C3E">
        <w:t>p</w:t>
      </w:r>
      <w:r w:rsidRPr="007105A9">
        <w:t xml:space="preserve">harmacy, and they both </w:t>
      </w:r>
      <w:r w:rsidR="00465C3E">
        <w:t>c</w:t>
      </w:r>
      <w:r w:rsidRPr="007105A9">
        <w:t xml:space="preserve">ouriered them to me, also the second time the </w:t>
      </w:r>
      <w:r w:rsidR="00465C3E">
        <w:t>p</w:t>
      </w:r>
      <w:r w:rsidRPr="007105A9">
        <w:t>harmacist delivered them personally. I felt it was a great service as I'm quite disabled so the not having to go out was great as well as, I felt, safer. The fact you still spoke with your GP personally over the phone made it just great, and I also thought made a lot of sense.’</w:t>
      </w:r>
    </w:p>
    <w:p w14:paraId="673BF53F" w14:textId="4D512DC4" w:rsidR="00676F36" w:rsidRPr="007105A9" w:rsidRDefault="00676F36" w:rsidP="007105A9">
      <w:pPr>
        <w:ind w:left="720" w:right="1088"/>
      </w:pPr>
      <w:r w:rsidRPr="007105A9">
        <w:t xml:space="preserve">‘It's is physically difficult for me to get in </w:t>
      </w:r>
      <w:r w:rsidR="00465C3E">
        <w:t>and</w:t>
      </w:r>
      <w:r w:rsidRPr="007105A9">
        <w:t xml:space="preserve"> out of car (twice each) </w:t>
      </w:r>
      <w:r w:rsidR="00465C3E">
        <w:t>and</w:t>
      </w:r>
      <w:r w:rsidRPr="007105A9">
        <w:t xml:space="preserve"> walk a distance around doctors practice and chemist.’</w:t>
      </w:r>
    </w:p>
    <w:p w14:paraId="023C565F" w14:textId="46738D0D" w:rsidR="00676F36" w:rsidRPr="007105A9" w:rsidRDefault="00676F36" w:rsidP="007105A9">
      <w:pPr>
        <w:ind w:left="720" w:right="1088"/>
      </w:pPr>
      <w:r w:rsidRPr="007105A9">
        <w:t>‘Doctor very late. Comfortable at home warm and could do chores. Very boring frustrating in waiting room. Also it's a huge effort to go there due to disability mobility issues.’</w:t>
      </w:r>
    </w:p>
    <w:p w14:paraId="1FD3A618" w14:textId="77777777" w:rsidR="00E6194D" w:rsidRDefault="00E6194D">
      <w:pPr>
        <w:spacing w:after="200"/>
        <w:rPr>
          <w:b/>
          <w:bCs/>
        </w:rPr>
      </w:pPr>
      <w:r>
        <w:rPr>
          <w:b/>
          <w:bCs/>
        </w:rPr>
        <w:br w:type="page"/>
      </w:r>
    </w:p>
    <w:p w14:paraId="5FCA1DE0" w14:textId="6C26994A" w:rsidR="00676F36" w:rsidRPr="00DE5636" w:rsidRDefault="00EE4FB1" w:rsidP="00676F36">
      <w:pPr>
        <w:ind w:right="95"/>
        <w:rPr>
          <w:b/>
          <w:bCs/>
        </w:rPr>
      </w:pPr>
      <w:r>
        <w:rPr>
          <w:b/>
          <w:bCs/>
        </w:rPr>
        <w:lastRenderedPageBreak/>
        <w:t>Figure</w:t>
      </w:r>
      <w:r w:rsidR="00676F36">
        <w:rPr>
          <w:b/>
          <w:bCs/>
        </w:rPr>
        <w:t xml:space="preserve"> 2</w:t>
      </w:r>
      <w:r w:rsidR="00676F36" w:rsidRPr="001C3961">
        <w:rPr>
          <w:b/>
          <w:bCs/>
        </w:rPr>
        <w:t xml:space="preserve">: </w:t>
      </w:r>
      <w:bookmarkStart w:id="9" w:name="_Hlk42854727"/>
      <w:r w:rsidR="00356E0C">
        <w:rPr>
          <w:b/>
          <w:bCs/>
        </w:rPr>
        <w:t>Responses to question ‘</w:t>
      </w:r>
      <w:r w:rsidR="00676F36" w:rsidRPr="00DE5636">
        <w:rPr>
          <w:b/>
          <w:bCs/>
        </w:rPr>
        <w:t>What did you like about having a GP appointment</w:t>
      </w:r>
      <w:bookmarkEnd w:id="9"/>
      <w:r w:rsidR="00676F36" w:rsidRPr="00DE5636">
        <w:rPr>
          <w:b/>
          <w:bCs/>
        </w:rPr>
        <w:t xml:space="preserve"> by video call/over the telephone?</w:t>
      </w:r>
      <w:r w:rsidR="00356E0C">
        <w:rPr>
          <w:b/>
          <w:bCs/>
        </w:rPr>
        <w:t>’</w:t>
      </w:r>
    </w:p>
    <w:p w14:paraId="1B7A5147" w14:textId="6A7E26AB" w:rsidR="00ED6EF7" w:rsidRDefault="003145FB" w:rsidP="00676F36">
      <w:r>
        <w:rPr>
          <w:noProof/>
        </w:rPr>
        <w:drawing>
          <wp:inline distT="0" distB="0" distL="0" distR="0" wp14:anchorId="70321898" wp14:editId="48C05E2D">
            <wp:extent cx="5731510" cy="3953510"/>
            <wp:effectExtent l="0" t="0" r="2540" b="8890"/>
            <wp:docPr id="2" name="Chart 2">
              <a:extLst xmlns:a="http://schemas.openxmlformats.org/drawingml/2006/main">
                <a:ext uri="{FF2B5EF4-FFF2-40B4-BE49-F238E27FC236}">
                  <a16:creationId xmlns:a16="http://schemas.microsoft.com/office/drawing/2014/main" id="{48978D73-C59C-4DF5-B338-630414EEA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269A07" w14:textId="303DA2D3" w:rsidR="00676F36" w:rsidRDefault="00676F36" w:rsidP="00676F36">
      <w:r>
        <w:t xml:space="preserve">Not having to visit somewhere where other patients may be unwell was the top reported reason for why patients liked </w:t>
      </w:r>
      <w:r w:rsidR="00883723">
        <w:t xml:space="preserve">a </w:t>
      </w:r>
      <w:r>
        <w:t xml:space="preserve">telehealth appointment for both disabled and </w:t>
      </w:r>
      <w:r w:rsidR="00D968A9">
        <w:t xml:space="preserve">other </w:t>
      </w:r>
      <w:r>
        <w:t>patients (</w:t>
      </w:r>
      <w:r w:rsidR="00280754">
        <w:t>48.9</w:t>
      </w:r>
      <w:r w:rsidR="00455C97">
        <w:t xml:space="preserve"> percent</w:t>
      </w:r>
      <w:r>
        <w:t xml:space="preserve"> and 4</w:t>
      </w:r>
      <w:r w:rsidR="00280754">
        <w:t>7.9</w:t>
      </w:r>
      <w:r w:rsidR="00455C97">
        <w:t xml:space="preserve"> percent</w:t>
      </w:r>
      <w:r>
        <w:t>, respectively).</w:t>
      </w:r>
    </w:p>
    <w:p w14:paraId="2AEFE63F" w14:textId="2282CF45" w:rsidR="00676F36" w:rsidRDefault="00676F36" w:rsidP="00676F36">
      <w:r>
        <w:lastRenderedPageBreak/>
        <w:t>The second</w:t>
      </w:r>
      <w:r w:rsidR="00262EBF">
        <w:t>-</w:t>
      </w:r>
      <w:r>
        <w:t xml:space="preserve"> and third</w:t>
      </w:r>
      <w:r w:rsidR="00262EBF">
        <w:t>-</w:t>
      </w:r>
      <w:r>
        <w:t xml:space="preserve">rated reasons for liking </w:t>
      </w:r>
      <w:r w:rsidR="00883723">
        <w:t xml:space="preserve">a </w:t>
      </w:r>
      <w:r>
        <w:t xml:space="preserve">telehealth appointment were the same for disabled and </w:t>
      </w:r>
      <w:r w:rsidR="00D968A9">
        <w:t xml:space="preserve">other </w:t>
      </w:r>
      <w:r>
        <w:t>patients; the appointment saved them time because they didn’t need to travel (</w:t>
      </w:r>
      <w:r w:rsidR="000C1DC9">
        <w:t>37.8</w:t>
      </w:r>
      <w:r w:rsidR="00455C97">
        <w:t xml:space="preserve"> percent</w:t>
      </w:r>
      <w:r>
        <w:t xml:space="preserve"> of </w:t>
      </w:r>
      <w:r w:rsidR="00FA60B9">
        <w:t>disabled patients</w:t>
      </w:r>
      <w:r w:rsidR="00680B79">
        <w:t xml:space="preserve"> and</w:t>
      </w:r>
      <w:r>
        <w:t xml:space="preserve"> </w:t>
      </w:r>
      <w:r w:rsidR="000C1DC9">
        <w:t>40.4</w:t>
      </w:r>
      <w:r w:rsidR="00455C97">
        <w:t xml:space="preserve"> percent</w:t>
      </w:r>
      <w:r>
        <w:t xml:space="preserve"> of </w:t>
      </w:r>
      <w:r w:rsidR="00D968A9">
        <w:t xml:space="preserve">other </w:t>
      </w:r>
      <w:r>
        <w:t>patients) and the appointment itself was faster (</w:t>
      </w:r>
      <w:r w:rsidR="00CE512B">
        <w:t>32.6</w:t>
      </w:r>
      <w:r w:rsidR="00455C97">
        <w:t xml:space="preserve"> percent</w:t>
      </w:r>
      <w:r>
        <w:t xml:space="preserve"> and </w:t>
      </w:r>
      <w:r w:rsidR="0091577A">
        <w:t>34.3</w:t>
      </w:r>
      <w:r w:rsidR="00455C97">
        <w:t xml:space="preserve"> percent</w:t>
      </w:r>
      <w:r>
        <w:t xml:space="preserve">). There was no statistically significant difference between the proportions of disabled and </w:t>
      </w:r>
      <w:r w:rsidR="00D968A9">
        <w:t xml:space="preserve">other </w:t>
      </w:r>
      <w:r w:rsidR="00975DC9">
        <w:t xml:space="preserve">patients </w:t>
      </w:r>
      <w:r>
        <w:t xml:space="preserve">saying they liked their telehealth appointment for any of these top three reasons. </w:t>
      </w:r>
    </w:p>
    <w:p w14:paraId="5060C159" w14:textId="199D2E30" w:rsidR="00676F36" w:rsidRDefault="00676F36" w:rsidP="00676F36">
      <w:r>
        <w:t xml:space="preserve">There was no pre-prescribed option to allow patients to report that they liked the ability to have the consultation remotely due to mobility issues, however a number of comments, like </w:t>
      </w:r>
      <w:r w:rsidR="00680B79">
        <w:t>those</w:t>
      </w:r>
      <w:r>
        <w:t xml:space="preserve"> above, indicate</w:t>
      </w:r>
      <w:r w:rsidR="00975DC9">
        <w:t>d</w:t>
      </w:r>
      <w:r>
        <w:t xml:space="preserve"> that telehealth </w:t>
      </w:r>
      <w:r w:rsidR="00680B79">
        <w:t xml:space="preserve">could </w:t>
      </w:r>
      <w:r>
        <w:t xml:space="preserve">help patients who may otherwise find it difficult to access health care providers. </w:t>
      </w:r>
    </w:p>
    <w:p w14:paraId="2AE65198" w14:textId="7DE5083D" w:rsidR="00676F36" w:rsidRDefault="00676F36" w:rsidP="00676F36">
      <w:r>
        <w:t xml:space="preserve">While </w:t>
      </w:r>
      <w:r w:rsidR="00680B79">
        <w:t>many</w:t>
      </w:r>
      <w:r>
        <w:t xml:space="preserve"> </w:t>
      </w:r>
      <w:r w:rsidR="00FA60B9">
        <w:t>disabled patients</w:t>
      </w:r>
      <w:r>
        <w:t xml:space="preserve"> liked having a telehealth appointment</w:t>
      </w:r>
      <w:r w:rsidR="00680B79">
        <w:t xml:space="preserve"> for various reasons</w:t>
      </w:r>
      <w:r>
        <w:t xml:space="preserve">, more </w:t>
      </w:r>
      <w:r w:rsidR="00FA60B9">
        <w:t>disabled patients</w:t>
      </w:r>
      <w:r>
        <w:t xml:space="preserve"> than </w:t>
      </w:r>
      <w:r w:rsidR="00D968A9">
        <w:t xml:space="preserve">other </w:t>
      </w:r>
      <w:r>
        <w:t>patients indicated they liked nothing about the telehealth appointment (14.</w:t>
      </w:r>
      <w:r w:rsidR="00F72E54">
        <w:t>7</w:t>
      </w:r>
      <w:r w:rsidR="00455C97">
        <w:t xml:space="preserve"> percent</w:t>
      </w:r>
      <w:r>
        <w:t xml:space="preserve"> compared </w:t>
      </w:r>
      <w:r w:rsidR="00975DC9">
        <w:t>with</w:t>
      </w:r>
      <w:r>
        <w:t xml:space="preserve"> 10.</w:t>
      </w:r>
      <w:r w:rsidR="00F72E54">
        <w:t>9</w:t>
      </w:r>
      <w:r w:rsidR="00455C97">
        <w:t xml:space="preserve"> percent</w:t>
      </w:r>
      <w:r>
        <w:t>). The diversity of the disabled community needs to be taken into consideration when implementing telehealth to improve access for this population</w:t>
      </w:r>
      <w:r w:rsidR="00975DC9">
        <w:t xml:space="preserve"> group</w:t>
      </w:r>
      <w:r>
        <w:t xml:space="preserve">. </w:t>
      </w:r>
    </w:p>
    <w:p w14:paraId="60D4FB06" w14:textId="36B45A80" w:rsidR="00676F36" w:rsidRDefault="00676F36" w:rsidP="00676F36">
      <w:r>
        <w:t xml:space="preserve">When asked what, if anything, they didn’t like about their telehealth appointment, </w:t>
      </w:r>
      <w:r w:rsidR="00262EBF">
        <w:t>disabled patients</w:t>
      </w:r>
      <w:r>
        <w:t xml:space="preserve"> were more likely to report </w:t>
      </w:r>
      <w:r w:rsidR="00680B79">
        <w:t xml:space="preserve">having </w:t>
      </w:r>
      <w:r>
        <w:t xml:space="preserve">difficulty communicating with their GP. </w:t>
      </w:r>
    </w:p>
    <w:p w14:paraId="65AF07F8" w14:textId="34F731AD" w:rsidR="00676F36" w:rsidRPr="007105A9" w:rsidRDefault="007105A9" w:rsidP="007105A9">
      <w:pPr>
        <w:ind w:left="720" w:right="1088"/>
      </w:pPr>
      <w:r w:rsidRPr="007105A9">
        <w:t>‘</w:t>
      </w:r>
      <w:r w:rsidR="00676F36" w:rsidRPr="007105A9">
        <w:t>I have to use hearing aids and I find it easier face</w:t>
      </w:r>
      <w:r w:rsidR="00975DC9">
        <w:t>-</w:t>
      </w:r>
      <w:r w:rsidR="00676F36" w:rsidRPr="007105A9">
        <w:t>to</w:t>
      </w:r>
      <w:r w:rsidR="00975DC9">
        <w:t>-</w:t>
      </w:r>
      <w:r w:rsidR="00676F36" w:rsidRPr="007105A9">
        <w:t>face as I must lip read a bit and have facial feedback that I have understood when responding to a question.</w:t>
      </w:r>
      <w:r w:rsidRPr="007105A9">
        <w:t>’</w:t>
      </w:r>
    </w:p>
    <w:p w14:paraId="06D1996D" w14:textId="55DD4254" w:rsidR="00676F36" w:rsidRPr="007105A9" w:rsidRDefault="007105A9" w:rsidP="007105A9">
      <w:pPr>
        <w:ind w:left="720" w:right="1088"/>
      </w:pPr>
      <w:r>
        <w:t>‘</w:t>
      </w:r>
      <w:r w:rsidR="00676F36" w:rsidRPr="007105A9">
        <w:t>I have Parkinson's and it's very hard to understand me when my meds are not working so a face</w:t>
      </w:r>
      <w:r w:rsidR="00975DC9">
        <w:t>-</w:t>
      </w:r>
      <w:r w:rsidR="00676F36" w:rsidRPr="007105A9">
        <w:t>to</w:t>
      </w:r>
      <w:r w:rsidR="00975DC9">
        <w:t>-</w:t>
      </w:r>
      <w:r w:rsidR="00676F36" w:rsidRPr="007105A9">
        <w:t>face appointment would have been better.</w:t>
      </w:r>
      <w:r>
        <w:t>’</w:t>
      </w:r>
    </w:p>
    <w:p w14:paraId="31F7A664" w14:textId="5A4C319D" w:rsidR="00676F36" w:rsidRPr="007105A9" w:rsidRDefault="007105A9" w:rsidP="007105A9">
      <w:pPr>
        <w:ind w:left="720" w:right="1088"/>
      </w:pPr>
      <w:r>
        <w:t>‘</w:t>
      </w:r>
      <w:r w:rsidR="00676F36" w:rsidRPr="007105A9">
        <w:t>I'm hard of hearing so it was awkward having to ask my GP to repeat himself.</w:t>
      </w:r>
      <w:r>
        <w:t>’</w:t>
      </w:r>
    </w:p>
    <w:p w14:paraId="04B72239" w14:textId="73A22F2D" w:rsidR="00676F36" w:rsidRDefault="003C4974" w:rsidP="00676F36">
      <w:r>
        <w:t>Disabled patients</w:t>
      </w:r>
      <w:r w:rsidR="00676F36">
        <w:t xml:space="preserve"> were more likely to report they didn’t like</w:t>
      </w:r>
      <w:r w:rsidR="00975DC9">
        <w:t xml:space="preserve"> that they</w:t>
      </w:r>
      <w:r w:rsidR="007105A9">
        <w:t>:</w:t>
      </w:r>
      <w:r w:rsidR="00676F36">
        <w:t xml:space="preserve"> </w:t>
      </w:r>
    </w:p>
    <w:p w14:paraId="00A89AA9" w14:textId="213C5480" w:rsidR="00676F36" w:rsidRDefault="00676F36" w:rsidP="007105A9">
      <w:pPr>
        <w:pStyle w:val="ListParagraph"/>
        <w:numPr>
          <w:ilvl w:val="0"/>
          <w:numId w:val="9"/>
        </w:numPr>
        <w:spacing w:after="40" w:line="259" w:lineRule="auto"/>
        <w:ind w:left="357" w:hanging="357"/>
        <w:contextualSpacing w:val="0"/>
      </w:pPr>
      <w:r>
        <w:t>couldn’t show their physical symptoms (</w:t>
      </w:r>
      <w:r w:rsidR="000B213B">
        <w:t>37.4</w:t>
      </w:r>
      <w:r w:rsidR="00455C97">
        <w:t xml:space="preserve"> percent</w:t>
      </w:r>
      <w:r>
        <w:t xml:space="preserve"> v</w:t>
      </w:r>
      <w:r w:rsidR="00975DC9">
        <w:t>ersu</w:t>
      </w:r>
      <w:r>
        <w:t xml:space="preserve">s </w:t>
      </w:r>
      <w:r w:rsidR="00AA7649">
        <w:t>33.6</w:t>
      </w:r>
      <w:r w:rsidR="00455C97">
        <w:t xml:space="preserve"> percent</w:t>
      </w:r>
      <w:r>
        <w:t xml:space="preserve"> for </w:t>
      </w:r>
      <w:r w:rsidR="00BC12A2">
        <w:t>non-disabled people</w:t>
      </w:r>
      <w:r>
        <w:t>)</w:t>
      </w:r>
    </w:p>
    <w:p w14:paraId="5F41F07A" w14:textId="01A88150" w:rsidR="00676F36" w:rsidRDefault="00676F36" w:rsidP="007105A9">
      <w:pPr>
        <w:pStyle w:val="ListParagraph"/>
        <w:numPr>
          <w:ilvl w:val="0"/>
          <w:numId w:val="9"/>
        </w:numPr>
        <w:spacing w:after="40" w:line="259" w:lineRule="auto"/>
        <w:ind w:left="357" w:hanging="357"/>
        <w:contextualSpacing w:val="0"/>
      </w:pPr>
      <w:r>
        <w:t xml:space="preserve">found it more difficult to explain themselves compared </w:t>
      </w:r>
      <w:r w:rsidR="00975DC9">
        <w:t>with</w:t>
      </w:r>
      <w:r>
        <w:t xml:space="preserve"> </w:t>
      </w:r>
      <w:r w:rsidR="00680B79">
        <w:t xml:space="preserve">when they had </w:t>
      </w:r>
      <w:r>
        <w:t>an in-person appointment (</w:t>
      </w:r>
      <w:r w:rsidR="00D909A0">
        <w:t>31.8</w:t>
      </w:r>
      <w:r w:rsidR="00455C97">
        <w:t xml:space="preserve"> percent</w:t>
      </w:r>
      <w:r>
        <w:t xml:space="preserve"> vs </w:t>
      </w:r>
      <w:r w:rsidR="0068294E">
        <w:t>25.0</w:t>
      </w:r>
      <w:r w:rsidR="00455C97">
        <w:t xml:space="preserve"> percent</w:t>
      </w:r>
      <w:r>
        <w:t xml:space="preserve">) </w:t>
      </w:r>
    </w:p>
    <w:p w14:paraId="7FB3632A" w14:textId="478E8344" w:rsidR="00676F36" w:rsidRDefault="00676F36" w:rsidP="007105A9">
      <w:pPr>
        <w:pStyle w:val="ListParagraph"/>
        <w:numPr>
          <w:ilvl w:val="0"/>
          <w:numId w:val="9"/>
        </w:numPr>
        <w:spacing w:after="160" w:line="259" w:lineRule="auto"/>
      </w:pPr>
      <w:r>
        <w:t xml:space="preserve">found it harder to hear or understand their GP than </w:t>
      </w:r>
      <w:r w:rsidR="00680B79">
        <w:t xml:space="preserve">when they had </w:t>
      </w:r>
      <w:r>
        <w:t>an in-person appointment</w:t>
      </w:r>
      <w:r w:rsidR="00975DC9">
        <w:t xml:space="preserve"> (12.</w:t>
      </w:r>
      <w:r w:rsidR="00E46D8E">
        <w:t xml:space="preserve">9 </w:t>
      </w:r>
      <w:r w:rsidR="00455C97">
        <w:t>percent</w:t>
      </w:r>
      <w:r w:rsidR="00975DC9">
        <w:t xml:space="preserve"> (more than one in ten) vs 7.</w:t>
      </w:r>
      <w:r w:rsidR="000462F1">
        <w:t>6</w:t>
      </w:r>
      <w:r w:rsidR="00455C97">
        <w:t xml:space="preserve"> percent</w:t>
      </w:r>
      <w:r w:rsidR="00975DC9">
        <w:t>)</w:t>
      </w:r>
      <w:r>
        <w:t xml:space="preserve">. </w:t>
      </w:r>
    </w:p>
    <w:p w14:paraId="1FF04EAD" w14:textId="414EA12B" w:rsidR="00676F36" w:rsidRDefault="006E4437" w:rsidP="00676F36">
      <w:r>
        <w:t>Disabled people</w:t>
      </w:r>
      <w:r w:rsidR="00676F36">
        <w:t xml:space="preserve"> were </w:t>
      </w:r>
      <w:r w:rsidR="00304930">
        <w:t xml:space="preserve">common </w:t>
      </w:r>
      <w:r w:rsidR="00676F36">
        <w:t>adopters of virtual (phone or video</w:t>
      </w:r>
      <w:r w:rsidR="00975DC9">
        <w:t>)</w:t>
      </w:r>
      <w:r w:rsidR="00676F36">
        <w:t xml:space="preserve"> appointments during the lockdown period</w:t>
      </w:r>
      <w:r w:rsidR="00975DC9">
        <w:t>.</w:t>
      </w:r>
      <w:r w:rsidR="00676F36">
        <w:t xml:space="preserve"> </w:t>
      </w:r>
      <w:r w:rsidR="00975DC9">
        <w:t>The</w:t>
      </w:r>
      <w:r w:rsidR="00676F36">
        <w:t xml:space="preserve"> needs</w:t>
      </w:r>
      <w:r w:rsidR="00975DC9">
        <w:t xml:space="preserve"> of </w:t>
      </w:r>
      <w:r>
        <w:t>disabled people</w:t>
      </w:r>
      <w:r w:rsidR="00676F36">
        <w:t xml:space="preserve"> are slightly different to </w:t>
      </w:r>
      <w:r w:rsidR="00975DC9">
        <w:t xml:space="preserve">those of </w:t>
      </w:r>
      <w:r w:rsidR="00D968A9">
        <w:t>other people</w:t>
      </w:r>
      <w:r w:rsidR="00975DC9">
        <w:t>, therefore it is vital that health providers</w:t>
      </w:r>
      <w:r w:rsidR="00676F36">
        <w:t xml:space="preserve"> understand what would improve access to general practices or health clinics</w:t>
      </w:r>
      <w:r w:rsidR="00975DC9">
        <w:t xml:space="preserve"> for this population group</w:t>
      </w:r>
      <w:r w:rsidR="00676F36">
        <w:t xml:space="preserve">, whether </w:t>
      </w:r>
      <w:r w:rsidR="00975DC9">
        <w:t>it</w:t>
      </w:r>
      <w:r w:rsidR="00676F36">
        <w:t xml:space="preserve"> be virtual appointments or something else.</w:t>
      </w:r>
    </w:p>
    <w:p w14:paraId="6107059B" w14:textId="2FDF2EDB" w:rsidR="00676F36" w:rsidRDefault="00676F36" w:rsidP="00676F36">
      <w:r>
        <w:t xml:space="preserve">The top five things </w:t>
      </w:r>
      <w:r w:rsidR="003C4974">
        <w:t>disabled patients</w:t>
      </w:r>
      <w:r>
        <w:t xml:space="preserve"> wanted to see their health clinics/GPs offer in the future were:</w:t>
      </w:r>
    </w:p>
    <w:p w14:paraId="656F0571" w14:textId="36DDE961" w:rsidR="00676F36" w:rsidRDefault="00975DC9" w:rsidP="007105A9">
      <w:pPr>
        <w:pStyle w:val="ListParagraph"/>
        <w:numPr>
          <w:ilvl w:val="0"/>
          <w:numId w:val="8"/>
        </w:numPr>
        <w:spacing w:after="40" w:line="259" w:lineRule="auto"/>
        <w:ind w:left="357" w:hanging="357"/>
        <w:contextualSpacing w:val="0"/>
      </w:pPr>
      <w:r>
        <w:t>s</w:t>
      </w:r>
      <w:r w:rsidR="00676F36">
        <w:t>ame</w:t>
      </w:r>
      <w:r>
        <w:t>-</w:t>
      </w:r>
      <w:r w:rsidR="00676F36">
        <w:t>day appointments for urgent problems (93.6</w:t>
      </w:r>
      <w:r w:rsidR="00455C97">
        <w:t xml:space="preserve"> percent</w:t>
      </w:r>
      <w:r w:rsidR="00676F36">
        <w:t>)</w:t>
      </w:r>
    </w:p>
    <w:p w14:paraId="6F309CBC" w14:textId="44745EC2" w:rsidR="00676F36" w:rsidRDefault="00975DC9" w:rsidP="007105A9">
      <w:pPr>
        <w:pStyle w:val="ListParagraph"/>
        <w:numPr>
          <w:ilvl w:val="0"/>
          <w:numId w:val="8"/>
        </w:numPr>
        <w:spacing w:after="40" w:line="259" w:lineRule="auto"/>
        <w:ind w:left="357" w:hanging="357"/>
        <w:contextualSpacing w:val="0"/>
      </w:pPr>
      <w:r>
        <w:t>h</w:t>
      </w:r>
      <w:r w:rsidR="00676F36">
        <w:t>aving prescriptions faxed to their pharmacy (91.7</w:t>
      </w:r>
      <w:r w:rsidR="00455C97">
        <w:t xml:space="preserve"> percent</w:t>
      </w:r>
      <w:r w:rsidR="00676F36">
        <w:t>)</w:t>
      </w:r>
    </w:p>
    <w:p w14:paraId="36F9CC96" w14:textId="7C1CCABC" w:rsidR="00676F36" w:rsidRDefault="00975DC9" w:rsidP="007105A9">
      <w:pPr>
        <w:pStyle w:val="ListParagraph"/>
        <w:numPr>
          <w:ilvl w:val="0"/>
          <w:numId w:val="8"/>
        </w:numPr>
        <w:spacing w:after="40" w:line="259" w:lineRule="auto"/>
        <w:ind w:left="357" w:hanging="357"/>
        <w:contextualSpacing w:val="0"/>
      </w:pPr>
      <w:r>
        <w:t>a</w:t>
      </w:r>
      <w:r w:rsidR="00676F36">
        <w:t>ccess</w:t>
      </w:r>
      <w:r>
        <w:t>ing</w:t>
      </w:r>
      <w:r w:rsidR="00676F36">
        <w:t xml:space="preserve"> test results through a secure online portal (87.3</w:t>
      </w:r>
      <w:r w:rsidR="00455C97">
        <w:t xml:space="preserve"> percent</w:t>
      </w:r>
      <w:r w:rsidR="00676F36">
        <w:t>)</w:t>
      </w:r>
    </w:p>
    <w:p w14:paraId="282A6CBD" w14:textId="7D5FAD01" w:rsidR="00676F36" w:rsidRDefault="00975DC9" w:rsidP="007105A9">
      <w:pPr>
        <w:pStyle w:val="ListParagraph"/>
        <w:numPr>
          <w:ilvl w:val="0"/>
          <w:numId w:val="8"/>
        </w:numPr>
        <w:spacing w:after="40" w:line="259" w:lineRule="auto"/>
        <w:ind w:left="357" w:hanging="357"/>
        <w:contextualSpacing w:val="0"/>
      </w:pPr>
      <w:r>
        <w:t>o</w:t>
      </w:r>
      <w:r w:rsidR="00676F36">
        <w:t>rdering prescriptions online (81.3</w:t>
      </w:r>
      <w:r w:rsidR="00455C97">
        <w:t xml:space="preserve"> percent</w:t>
      </w:r>
      <w:r w:rsidR="00676F36">
        <w:t>)</w:t>
      </w:r>
    </w:p>
    <w:p w14:paraId="7E9A44C1" w14:textId="08D82A41" w:rsidR="00676F36" w:rsidRDefault="00975DC9" w:rsidP="007105A9">
      <w:pPr>
        <w:pStyle w:val="ListParagraph"/>
        <w:numPr>
          <w:ilvl w:val="0"/>
          <w:numId w:val="8"/>
        </w:numPr>
        <w:spacing w:after="160" w:line="259" w:lineRule="auto"/>
      </w:pPr>
      <w:r>
        <w:t>a</w:t>
      </w:r>
      <w:r w:rsidR="00676F36">
        <w:t>ccess</w:t>
      </w:r>
      <w:r>
        <w:t>ing</w:t>
      </w:r>
      <w:r w:rsidR="00676F36">
        <w:t xml:space="preserve"> notes through a secure online portal (78.7</w:t>
      </w:r>
      <w:r w:rsidR="00455C97">
        <w:t xml:space="preserve"> percent</w:t>
      </w:r>
      <w:r w:rsidR="00676F36">
        <w:t>)</w:t>
      </w:r>
      <w:r>
        <w:t>.</w:t>
      </w:r>
    </w:p>
    <w:p w14:paraId="7F4CA5DB" w14:textId="6689CCF2" w:rsidR="00676F36" w:rsidRDefault="00676F36" w:rsidP="00676F36">
      <w:r>
        <w:lastRenderedPageBreak/>
        <w:t>Despite the higher take</w:t>
      </w:r>
      <w:r w:rsidR="00A0347C">
        <w:t>-</w:t>
      </w:r>
      <w:r>
        <w:t xml:space="preserve">up of virtual appointments, </w:t>
      </w:r>
      <w:r w:rsidR="006E4437">
        <w:t>disabled people</w:t>
      </w:r>
      <w:r>
        <w:t xml:space="preserve"> </w:t>
      </w:r>
      <w:r w:rsidR="00A0347C">
        <w:t xml:space="preserve">were </w:t>
      </w:r>
      <w:r>
        <w:t>no more likely to say that phone appointments should be offered in the future (73.2</w:t>
      </w:r>
      <w:r w:rsidR="00455C97">
        <w:t xml:space="preserve"> percent</w:t>
      </w:r>
      <w:r>
        <w:t xml:space="preserve"> compared </w:t>
      </w:r>
      <w:r w:rsidR="00A0347C">
        <w:t>with</w:t>
      </w:r>
      <w:r>
        <w:t xml:space="preserve"> 72.7</w:t>
      </w:r>
      <w:r w:rsidR="00455C97">
        <w:t xml:space="preserve"> percent</w:t>
      </w:r>
      <w:r>
        <w:t xml:space="preserve"> </w:t>
      </w:r>
      <w:r w:rsidR="00A0347C">
        <w:t xml:space="preserve">of </w:t>
      </w:r>
      <w:r w:rsidR="00D968A9">
        <w:t>other people</w:t>
      </w:r>
      <w:r>
        <w:t>)</w:t>
      </w:r>
      <w:r w:rsidR="00A0347C">
        <w:t xml:space="preserve">. They were also </w:t>
      </w:r>
      <w:r>
        <w:t>less likely to want to see video appointments continue beyond the pandemic (41.9</w:t>
      </w:r>
      <w:r w:rsidR="00455C97">
        <w:t xml:space="preserve"> percent</w:t>
      </w:r>
      <w:r>
        <w:t xml:space="preserve"> compared </w:t>
      </w:r>
      <w:r w:rsidR="00A0347C">
        <w:t xml:space="preserve">with </w:t>
      </w:r>
      <w:r>
        <w:t>46.9</w:t>
      </w:r>
      <w:r w:rsidR="00455C97">
        <w:t xml:space="preserve"> percent</w:t>
      </w:r>
      <w:r>
        <w:t xml:space="preserve"> </w:t>
      </w:r>
      <w:r w:rsidR="00A0347C">
        <w:t xml:space="preserve">of </w:t>
      </w:r>
      <w:r w:rsidR="00D968A9">
        <w:t>other people</w:t>
      </w:r>
      <w:r>
        <w:t>).</w:t>
      </w:r>
    </w:p>
    <w:p w14:paraId="3A83CB9A" w14:textId="3AB1950A" w:rsidR="00676F36" w:rsidRPr="00E66E40" w:rsidRDefault="00676F36" w:rsidP="00EE4FB1">
      <w:pPr>
        <w:pStyle w:val="Heading4"/>
      </w:pPr>
      <w:r>
        <w:t xml:space="preserve">The ability for </w:t>
      </w:r>
      <w:r w:rsidR="006E4437">
        <w:t>disabled people</w:t>
      </w:r>
      <w:r>
        <w:t xml:space="preserve"> to see their GP the same or next working day varies by </w:t>
      </w:r>
      <w:r w:rsidR="00E941AA">
        <w:t>district health board</w:t>
      </w:r>
    </w:p>
    <w:p w14:paraId="6D26B553" w14:textId="23FE6A4E" w:rsidR="00676F36" w:rsidRDefault="00676F36" w:rsidP="00676F36">
      <w:r>
        <w:t xml:space="preserve">We also </w:t>
      </w:r>
      <w:r w:rsidR="00E941AA">
        <w:t>explored</w:t>
      </w:r>
      <w:r w:rsidR="00680B79" w:rsidRPr="00680B79">
        <w:t xml:space="preserve"> </w:t>
      </w:r>
      <w:r w:rsidR="00680B79">
        <w:t>how quickly people who were able to access their GP via all appointment types were seen</w:t>
      </w:r>
      <w:r>
        <w:t xml:space="preserve">. </w:t>
      </w:r>
      <w:r w:rsidR="009055B2">
        <w:t>Around</w:t>
      </w:r>
      <w:r>
        <w:t xml:space="preserve"> half (</w:t>
      </w:r>
      <w:r w:rsidR="009055B2">
        <w:t>49.2</w:t>
      </w:r>
      <w:r w:rsidR="00455C97">
        <w:t xml:space="preserve"> percent</w:t>
      </w:r>
      <w:r>
        <w:t xml:space="preserve">) of </w:t>
      </w:r>
      <w:r w:rsidR="00D35810">
        <w:t>disabled</w:t>
      </w:r>
      <w:r w:rsidR="00820C63">
        <w:t xml:space="preserve"> people</w:t>
      </w:r>
      <w:r>
        <w:t xml:space="preserve"> were able to be seen the same or next working day compared </w:t>
      </w:r>
      <w:r w:rsidR="00E941AA">
        <w:t xml:space="preserve">with </w:t>
      </w:r>
      <w:r w:rsidR="00693B73">
        <w:t>55.0</w:t>
      </w:r>
      <w:r w:rsidR="00455C97">
        <w:t xml:space="preserve"> percent</w:t>
      </w:r>
      <w:r>
        <w:t xml:space="preserve"> of </w:t>
      </w:r>
      <w:r w:rsidR="00D968A9">
        <w:t>other people</w:t>
      </w:r>
      <w:r>
        <w:t xml:space="preserve">. Although the difference between the two groups is not particularly large, given the higher health needs of the disabled population, it may mean there was unmet need for timely health care appointments. </w:t>
      </w:r>
    </w:p>
    <w:p w14:paraId="1D5D4DE1" w14:textId="40FC145F" w:rsidR="00EE4FB1" w:rsidRDefault="00676F36" w:rsidP="007F1D56">
      <w:pPr>
        <w:rPr>
          <w:rFonts w:asciiTheme="majorHAnsi" w:eastAsiaTheme="majorEastAsia" w:hAnsiTheme="majorHAnsi" w:cstheme="majorBidi"/>
          <w:b/>
          <w:bCs/>
          <w:i/>
          <w:iCs/>
        </w:rPr>
      </w:pPr>
      <w:r>
        <w:t xml:space="preserve">If we compare district health boards (DHBs) with high proportions of </w:t>
      </w:r>
      <w:r w:rsidR="006E4437">
        <w:t>disabled people</w:t>
      </w:r>
      <w:r w:rsidR="00680B79">
        <w:t xml:space="preserve"> with</w:t>
      </w:r>
      <w:r>
        <w:t xml:space="preserve"> those with low, there are differences in how quickly patients in general are able to be seen. In the th</w:t>
      </w:r>
      <w:r w:rsidR="00680B79">
        <w:t>r</w:t>
      </w:r>
      <w:r>
        <w:t xml:space="preserve">ee DHBs with the lowest proportions of </w:t>
      </w:r>
      <w:r w:rsidR="006E4437">
        <w:t>disabled people</w:t>
      </w:r>
      <w:r>
        <w:t xml:space="preserve"> (</w:t>
      </w:r>
      <w:proofErr w:type="spellStart"/>
      <w:r w:rsidR="00680B79">
        <w:t>Waitematā</w:t>
      </w:r>
      <w:proofErr w:type="spellEnd"/>
      <w:r>
        <w:t>, Capital &amp; Coast and Auckland</w:t>
      </w:r>
      <w:r w:rsidR="00680B79">
        <w:t>),</w:t>
      </w:r>
      <w:r>
        <w:rPr>
          <w:rStyle w:val="FootnoteReference"/>
        </w:rPr>
        <w:footnoteReference w:id="10"/>
      </w:r>
      <w:r w:rsidR="00680B79">
        <w:t xml:space="preserve"> </w:t>
      </w:r>
      <w:r w:rsidR="001A41C7">
        <w:t>55.2</w:t>
      </w:r>
      <w:r w:rsidR="00455C97">
        <w:t xml:space="preserve"> percent</w:t>
      </w:r>
      <w:r>
        <w:t xml:space="preserve"> of patients were able to be seen the same or next working day. This compare</w:t>
      </w:r>
      <w:r w:rsidR="00680B79">
        <w:t>s</w:t>
      </w:r>
      <w:r>
        <w:t xml:space="preserve"> with just </w:t>
      </w:r>
      <w:r w:rsidR="001A41C7">
        <w:t>34.4</w:t>
      </w:r>
      <w:r w:rsidR="00455C97">
        <w:t xml:space="preserve"> percent</w:t>
      </w:r>
      <w:r>
        <w:t xml:space="preserve"> of all patients in Whanganui, Northland and </w:t>
      </w:r>
      <w:proofErr w:type="spellStart"/>
      <w:r w:rsidR="00680B79">
        <w:t>Tairāwhiti</w:t>
      </w:r>
      <w:proofErr w:type="spellEnd"/>
      <w:r w:rsidR="00680B79">
        <w:t xml:space="preserve"> </w:t>
      </w:r>
      <w:r>
        <w:t xml:space="preserve">(the three DHBs with the highest proportion of </w:t>
      </w:r>
      <w:r w:rsidR="006E4437">
        <w:t>disabled people</w:t>
      </w:r>
      <w:r>
        <w:t xml:space="preserve">). </w:t>
      </w:r>
    </w:p>
    <w:p w14:paraId="0914C33B" w14:textId="25AE6364" w:rsidR="00676F36" w:rsidRPr="00D81790" w:rsidRDefault="001D530D" w:rsidP="00EE4FB1">
      <w:pPr>
        <w:pStyle w:val="Heading4"/>
      </w:pPr>
      <w:r>
        <w:t>Disabled patients</w:t>
      </w:r>
      <w:r w:rsidR="00676F36">
        <w:t>, overall, reported having a poorer experience</w:t>
      </w:r>
    </w:p>
    <w:p w14:paraId="7C925AA4" w14:textId="168FB367" w:rsidR="00676F36" w:rsidRDefault="001D530D" w:rsidP="00676F36">
      <w:r>
        <w:t>Disabled patients</w:t>
      </w:r>
      <w:r w:rsidR="00676F36">
        <w:t xml:space="preserve"> </w:t>
      </w:r>
      <w:r w:rsidR="009D632E">
        <w:t>we</w:t>
      </w:r>
      <w:r w:rsidR="00676F36">
        <w:t xml:space="preserve">re more likely to have a regular GP, and </w:t>
      </w:r>
      <w:r w:rsidR="009D632E">
        <w:t>we</w:t>
      </w:r>
      <w:r w:rsidR="00676F36">
        <w:t xml:space="preserve">re more likely to have seen them during their latest visit. However, </w:t>
      </w:r>
      <w:r w:rsidR="009D632E">
        <w:t xml:space="preserve">they reported a poorer experience </w:t>
      </w:r>
      <w:r w:rsidR="00676F36">
        <w:t xml:space="preserve">across the majority of the experience </w:t>
      </w:r>
      <w:r w:rsidR="009D632E">
        <w:t xml:space="preserve">types </w:t>
      </w:r>
      <w:r w:rsidR="00676F36">
        <w:t xml:space="preserve">we asked about. In general, the number of </w:t>
      </w:r>
      <w:r w:rsidR="006C54C8">
        <w:t>disabled patients</w:t>
      </w:r>
      <w:r w:rsidR="00676F36">
        <w:t xml:space="preserve"> agreeing ‘</w:t>
      </w:r>
      <w:r w:rsidR="009D632E">
        <w:t>Y</w:t>
      </w:r>
      <w:r w:rsidR="00676F36">
        <w:t xml:space="preserve">es, definitely’ to each of the statements </w:t>
      </w:r>
      <w:r w:rsidR="009D632E">
        <w:t>wa</w:t>
      </w:r>
      <w:r w:rsidR="00676F36">
        <w:t>s high, however the difference between disabled</w:t>
      </w:r>
      <w:r w:rsidR="00BC12A2">
        <w:t xml:space="preserve"> people and non-disabled people</w:t>
      </w:r>
      <w:r w:rsidR="00676F36">
        <w:t xml:space="preserve"> highlights that the experience for </w:t>
      </w:r>
      <w:r w:rsidR="006C54C8">
        <w:t xml:space="preserve">disabled patients </w:t>
      </w:r>
      <w:r w:rsidR="00676F36">
        <w:t xml:space="preserve">could </w:t>
      </w:r>
      <w:r w:rsidR="009D632E">
        <w:t xml:space="preserve">have been </w:t>
      </w:r>
      <w:r w:rsidR="00676F36">
        <w:t xml:space="preserve">improved.  </w:t>
      </w:r>
    </w:p>
    <w:p w14:paraId="15AC315E" w14:textId="386F6B2C" w:rsidR="00676F36" w:rsidRDefault="00676F36" w:rsidP="00676F36">
      <w:r>
        <w:t>The COVID-19 survey followed the experience of the patient</w:t>
      </w:r>
      <w:r w:rsidR="009D632E">
        <w:t>s who</w:t>
      </w:r>
      <w:r>
        <w:t xml:space="preserve"> had a primary care appointment during or after the level 3 lockdown. Patients were asked questions about their experience with the GP they saw on their most recent visit.</w:t>
      </w:r>
    </w:p>
    <w:p w14:paraId="09EE8EAF" w14:textId="1AB936E9" w:rsidR="00676F36" w:rsidRDefault="00EE4FB1" w:rsidP="00676F36">
      <w:pPr>
        <w:rPr>
          <w:b/>
          <w:bCs/>
        </w:rPr>
      </w:pPr>
      <w:r>
        <w:rPr>
          <w:b/>
          <w:bCs/>
        </w:rPr>
        <w:t>Figure</w:t>
      </w:r>
      <w:r w:rsidR="00676F36">
        <w:rPr>
          <w:b/>
          <w:bCs/>
        </w:rPr>
        <w:t xml:space="preserve"> 3: Patient experience measures for </w:t>
      </w:r>
      <w:r w:rsidR="006C54C8" w:rsidRPr="006C54C8">
        <w:rPr>
          <w:b/>
          <w:bCs/>
        </w:rPr>
        <w:t xml:space="preserve">disabled </w:t>
      </w:r>
      <w:r w:rsidR="00676F36">
        <w:rPr>
          <w:b/>
          <w:bCs/>
        </w:rPr>
        <w:t xml:space="preserve">and </w:t>
      </w:r>
      <w:r w:rsidR="00D968A9">
        <w:rPr>
          <w:b/>
          <w:bCs/>
        </w:rPr>
        <w:t xml:space="preserve">other </w:t>
      </w:r>
      <w:r w:rsidR="00676F36">
        <w:rPr>
          <w:b/>
          <w:bCs/>
        </w:rPr>
        <w:t>patients, percentage responding ‘</w:t>
      </w:r>
      <w:r w:rsidR="009D632E">
        <w:rPr>
          <w:b/>
          <w:bCs/>
        </w:rPr>
        <w:t>Y</w:t>
      </w:r>
      <w:r w:rsidR="00676F36">
        <w:rPr>
          <w:b/>
          <w:bCs/>
        </w:rPr>
        <w:t>es, definitely’</w:t>
      </w:r>
    </w:p>
    <w:p w14:paraId="04CB6554" w14:textId="53758D14" w:rsidR="00EE0FCE" w:rsidRDefault="00EE0FCE" w:rsidP="00676F36">
      <w:pPr>
        <w:rPr>
          <w:sz w:val="16"/>
          <w:szCs w:val="16"/>
        </w:rPr>
      </w:pPr>
      <w:r>
        <w:rPr>
          <w:noProof/>
        </w:rPr>
        <w:lastRenderedPageBreak/>
        <w:drawing>
          <wp:inline distT="0" distB="0" distL="0" distR="0" wp14:anchorId="2C4C1CFA" wp14:editId="72340B9F">
            <wp:extent cx="5731510" cy="4157980"/>
            <wp:effectExtent l="0" t="0" r="2540" b="0"/>
            <wp:docPr id="4" name="Chart 4">
              <a:extLst xmlns:a="http://schemas.openxmlformats.org/drawingml/2006/main">
                <a:ext uri="{FF2B5EF4-FFF2-40B4-BE49-F238E27FC236}">
                  <a16:creationId xmlns:a16="http://schemas.microsoft.com/office/drawing/2014/main" id="{3979F38A-0270-44FA-B5B8-279F67F9A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951817" w14:textId="74547B13" w:rsidR="00676F36" w:rsidRPr="00DE5636" w:rsidRDefault="008556B6" w:rsidP="00676F36">
      <w:pPr>
        <w:rPr>
          <w:sz w:val="16"/>
          <w:szCs w:val="16"/>
        </w:rPr>
      </w:pPr>
      <w:r w:rsidRPr="00DE5636">
        <w:rPr>
          <w:sz w:val="16"/>
          <w:szCs w:val="16"/>
        </w:rPr>
        <w:t xml:space="preserve"> </w:t>
      </w:r>
      <w:r w:rsidR="00676F36" w:rsidRPr="00DE5636">
        <w:rPr>
          <w:sz w:val="16"/>
          <w:szCs w:val="16"/>
        </w:rPr>
        <w:t>*</w:t>
      </w:r>
      <w:r w:rsidR="009D632E">
        <w:rPr>
          <w:sz w:val="16"/>
          <w:szCs w:val="16"/>
        </w:rPr>
        <w:t xml:space="preserve"> </w:t>
      </w:r>
      <w:r w:rsidR="007105A9">
        <w:rPr>
          <w:sz w:val="16"/>
          <w:szCs w:val="16"/>
        </w:rPr>
        <w:t>P</w:t>
      </w:r>
      <w:r w:rsidR="00676F36" w:rsidRPr="00DE5636">
        <w:rPr>
          <w:sz w:val="16"/>
          <w:szCs w:val="16"/>
        </w:rPr>
        <w:t xml:space="preserve">ercentage of </w:t>
      </w:r>
      <w:r w:rsidR="006E4437">
        <w:rPr>
          <w:sz w:val="16"/>
          <w:szCs w:val="16"/>
        </w:rPr>
        <w:t>disabled people</w:t>
      </w:r>
      <w:r w:rsidR="00676F36" w:rsidRPr="00DE5636">
        <w:rPr>
          <w:sz w:val="16"/>
          <w:szCs w:val="16"/>
        </w:rPr>
        <w:t xml:space="preserve"> responding ‘</w:t>
      </w:r>
      <w:r w:rsidR="009D632E">
        <w:rPr>
          <w:sz w:val="16"/>
          <w:szCs w:val="16"/>
        </w:rPr>
        <w:t>Y</w:t>
      </w:r>
      <w:r w:rsidR="00676F36" w:rsidRPr="00DE5636">
        <w:rPr>
          <w:sz w:val="16"/>
          <w:szCs w:val="16"/>
        </w:rPr>
        <w:t xml:space="preserve">es, definitely’ is significantly lower than the percentage of </w:t>
      </w:r>
      <w:r w:rsidR="001407C4">
        <w:rPr>
          <w:sz w:val="16"/>
          <w:szCs w:val="16"/>
        </w:rPr>
        <w:t xml:space="preserve">non-disabled </w:t>
      </w:r>
      <w:r w:rsidR="00D968A9">
        <w:rPr>
          <w:sz w:val="16"/>
          <w:szCs w:val="16"/>
        </w:rPr>
        <w:t>people</w:t>
      </w:r>
      <w:r w:rsidR="00676F36" w:rsidRPr="00DE5636">
        <w:rPr>
          <w:sz w:val="16"/>
          <w:szCs w:val="16"/>
        </w:rPr>
        <w:t xml:space="preserve"> responding ‘</w:t>
      </w:r>
      <w:r w:rsidR="009D632E">
        <w:rPr>
          <w:sz w:val="16"/>
          <w:szCs w:val="16"/>
        </w:rPr>
        <w:t>Y</w:t>
      </w:r>
      <w:r w:rsidR="00676F36" w:rsidRPr="00DE5636">
        <w:rPr>
          <w:sz w:val="16"/>
          <w:szCs w:val="16"/>
        </w:rPr>
        <w:t>es, definitely’.</w:t>
      </w:r>
    </w:p>
    <w:p w14:paraId="35C9F73C" w14:textId="2018DB83" w:rsidR="00676F36" w:rsidRDefault="009D632E" w:rsidP="00676F36">
      <w:r>
        <w:t>T</w:t>
      </w:r>
      <w:r w:rsidR="00676F36">
        <w:t xml:space="preserve">here are some differences in the experiences of those with disabilities and those without during the period since level 3. </w:t>
      </w:r>
      <w:r w:rsidR="006E4437">
        <w:t>Disabled people</w:t>
      </w:r>
      <w:r w:rsidR="00676F36">
        <w:t xml:space="preserve"> </w:t>
      </w:r>
      <w:r>
        <w:t>we</w:t>
      </w:r>
      <w:r w:rsidR="00676F36">
        <w:t>re less likely to feel that their GP informed them as much as they wanted about their condition, treatment or care</w:t>
      </w:r>
      <w:r>
        <w:t>;</w:t>
      </w:r>
      <w:r w:rsidR="00676F36">
        <w:t xml:space="preserve"> they </w:t>
      </w:r>
      <w:r>
        <w:t>we</w:t>
      </w:r>
      <w:r w:rsidR="00676F36">
        <w:t xml:space="preserve">re </w:t>
      </w:r>
      <w:r w:rsidR="00676F36">
        <w:lastRenderedPageBreak/>
        <w:t xml:space="preserve">also less likely to feel that the GP spent sufficient time with them and that the GP explained things to them in a way they could understand. </w:t>
      </w:r>
    </w:p>
    <w:p w14:paraId="201E7A36" w14:textId="37FD8B0D" w:rsidR="00676F36" w:rsidRDefault="006E4437" w:rsidP="00676F36">
      <w:r>
        <w:t>Disabled people</w:t>
      </w:r>
      <w:r w:rsidR="00676F36">
        <w:t xml:space="preserve"> </w:t>
      </w:r>
      <w:r w:rsidR="00356E0C">
        <w:t>were</w:t>
      </w:r>
      <w:r w:rsidR="00676F36">
        <w:t xml:space="preserve"> also less likely to say they had trust and confidence in their GP, compared </w:t>
      </w:r>
      <w:r w:rsidR="009D632E">
        <w:t xml:space="preserve">with </w:t>
      </w:r>
      <w:r w:rsidR="00D968A9">
        <w:t>other people</w:t>
      </w:r>
      <w:r w:rsidR="00676F36">
        <w:t>.</w:t>
      </w:r>
    </w:p>
    <w:p w14:paraId="4C43330C" w14:textId="7B22B480" w:rsidR="00676F36" w:rsidRDefault="006E4437" w:rsidP="00676F36">
      <w:r>
        <w:t>Disabled people</w:t>
      </w:r>
      <w:r w:rsidR="00676F36">
        <w:t xml:space="preserve"> report</w:t>
      </w:r>
      <w:r w:rsidR="009D632E">
        <w:t>ed</w:t>
      </w:r>
      <w:r w:rsidR="00676F36">
        <w:t xml:space="preserve">, in general, having a poorer experience with their GP during their last appointment, despite being more likely to have a regular GP. </w:t>
      </w:r>
    </w:p>
    <w:p w14:paraId="490A2D7F" w14:textId="102F5018" w:rsidR="00676F36" w:rsidRDefault="00B058A8" w:rsidP="00676F36">
      <w:r>
        <w:t>Disabled people</w:t>
      </w:r>
      <w:r w:rsidR="00676F36">
        <w:t xml:space="preserve"> </w:t>
      </w:r>
      <w:r w:rsidR="00356E0C">
        <w:t xml:space="preserve">were </w:t>
      </w:r>
      <w:r w:rsidR="00676F36">
        <w:t>no more likely than</w:t>
      </w:r>
      <w:r w:rsidR="004D1C29">
        <w:t xml:space="preserve"> </w:t>
      </w:r>
      <w:r w:rsidR="00E85947">
        <w:t>non-disabled people</w:t>
      </w:r>
      <w:r w:rsidR="00676F36">
        <w:t xml:space="preserve"> to report their GP knew their medical history</w:t>
      </w:r>
      <w:r w:rsidR="00E85947">
        <w:t xml:space="preserve">, however they were </w:t>
      </w:r>
      <w:r w:rsidR="00676F36">
        <w:t>less likely to report that they had trust and confidence in their GP.</w:t>
      </w:r>
    </w:p>
    <w:p w14:paraId="26804EAF" w14:textId="2E443E6C" w:rsidR="00676F36" w:rsidRPr="00ED5D95" w:rsidRDefault="00B058A8" w:rsidP="00676F36">
      <w:r>
        <w:t>Disabled people</w:t>
      </w:r>
      <w:r w:rsidR="00D968A9">
        <w:t xml:space="preserve"> </w:t>
      </w:r>
      <w:r w:rsidR="00676F36" w:rsidRPr="00ED5D95">
        <w:t>were less likely to feel their GP involved them in decision</w:t>
      </w:r>
      <w:r w:rsidR="008E5E6B">
        <w:t>-</w:t>
      </w:r>
      <w:r w:rsidR="00676F36" w:rsidRPr="00ED5D95">
        <w:t xml:space="preserve">making about treatment and care compared </w:t>
      </w:r>
      <w:r w:rsidR="008E5E6B">
        <w:t>with</w:t>
      </w:r>
      <w:r w:rsidR="008E5E6B" w:rsidRPr="00ED5D95">
        <w:t xml:space="preserve"> </w:t>
      </w:r>
      <w:r w:rsidR="00676F36" w:rsidRPr="00ED5D95">
        <w:t xml:space="preserve">the </w:t>
      </w:r>
      <w:r w:rsidR="000A7837">
        <w:t>non-disabled people</w:t>
      </w:r>
      <w:r w:rsidR="00676F36" w:rsidRPr="00ED5D95">
        <w:t xml:space="preserve"> surveyed. </w:t>
      </w:r>
      <w:r w:rsidR="00FB4E6C">
        <w:t xml:space="preserve">Involving </w:t>
      </w:r>
      <w:r w:rsidR="00676F36" w:rsidRPr="00ED5D95">
        <w:t>patient</w:t>
      </w:r>
      <w:r>
        <w:t>s</w:t>
      </w:r>
      <w:r w:rsidR="00676F36" w:rsidRPr="00ED5D95">
        <w:t xml:space="preserve"> in decisions about treatment and care </w:t>
      </w:r>
      <w:r w:rsidR="00FB4E6C">
        <w:t xml:space="preserve">is vital </w:t>
      </w:r>
      <w:r w:rsidR="00433C32">
        <w:t>to provide</w:t>
      </w:r>
      <w:r w:rsidR="00676F36" w:rsidRPr="00ED5D95">
        <w:t xml:space="preserve"> safe and inclusive care</w:t>
      </w:r>
      <w:r w:rsidR="00FB4E6C">
        <w:t>, especially for a group more likely to have multiple long-term conditions</w:t>
      </w:r>
      <w:r w:rsidR="00676F36" w:rsidRPr="00ED5D95">
        <w:t xml:space="preserve">. </w:t>
      </w:r>
    </w:p>
    <w:p w14:paraId="2357587B" w14:textId="201282E8" w:rsidR="00676F36" w:rsidRDefault="006E4437" w:rsidP="00676F36">
      <w:r>
        <w:t>Disabled people</w:t>
      </w:r>
      <w:r w:rsidR="00676F36" w:rsidRPr="00ED5D95">
        <w:t xml:space="preserve"> </w:t>
      </w:r>
      <w:r w:rsidR="009D632E">
        <w:t>were</w:t>
      </w:r>
      <w:r w:rsidR="009D632E" w:rsidRPr="00ED5D95">
        <w:t xml:space="preserve"> </w:t>
      </w:r>
      <w:r w:rsidR="00FB4E6C">
        <w:t xml:space="preserve">also less </w:t>
      </w:r>
      <w:r w:rsidR="00676F36" w:rsidRPr="00ED5D95">
        <w:t xml:space="preserve">likely to report </w:t>
      </w:r>
      <w:r w:rsidR="00356E0C">
        <w:t>their</w:t>
      </w:r>
      <w:r w:rsidR="00676F36" w:rsidRPr="00ED5D95">
        <w:t xml:space="preserve"> individual and/or cultural needs</w:t>
      </w:r>
      <w:r w:rsidR="003F5144">
        <w:t xml:space="preserve"> </w:t>
      </w:r>
      <w:r w:rsidR="00FB4E6C">
        <w:t xml:space="preserve">being met </w:t>
      </w:r>
      <w:r w:rsidR="00676F36" w:rsidRPr="00ED5D95">
        <w:t>during their most recent appointment</w:t>
      </w:r>
      <w:r w:rsidR="003F5144">
        <w:t xml:space="preserve"> (</w:t>
      </w:r>
      <w:r w:rsidR="00676F36" w:rsidRPr="00ED5D95">
        <w:t>89.5</w:t>
      </w:r>
      <w:r w:rsidR="00455C97">
        <w:t xml:space="preserve"> percent</w:t>
      </w:r>
      <w:r w:rsidR="00676F36" w:rsidRPr="00ED5D95">
        <w:t xml:space="preserve"> compared </w:t>
      </w:r>
      <w:r w:rsidR="003F5144">
        <w:t>with</w:t>
      </w:r>
      <w:r w:rsidR="00676F36" w:rsidRPr="00ED5D95">
        <w:t xml:space="preserve"> 93.2</w:t>
      </w:r>
      <w:r w:rsidR="00455C97">
        <w:t xml:space="preserve"> percent</w:t>
      </w:r>
      <w:r w:rsidR="00676F36" w:rsidRPr="00ED5D95">
        <w:t xml:space="preserve"> of </w:t>
      </w:r>
      <w:r w:rsidR="00D968A9">
        <w:t xml:space="preserve">other </w:t>
      </w:r>
      <w:r>
        <w:t>people</w:t>
      </w:r>
      <w:r w:rsidR="003F5144">
        <w:t>).</w:t>
      </w:r>
      <w:r w:rsidR="00676F36" w:rsidRPr="00ED5D95">
        <w:rPr>
          <w:rStyle w:val="FootnoteReference"/>
        </w:rPr>
        <w:footnoteReference w:id="11"/>
      </w:r>
      <w:r w:rsidR="00676F36" w:rsidRPr="00ED5D95">
        <w:t xml:space="preserve"> </w:t>
      </w:r>
      <w:r w:rsidR="00FB4E6C">
        <w:t>S</w:t>
      </w:r>
      <w:r w:rsidR="00676F36" w:rsidRPr="00ED5D95">
        <w:t xml:space="preserve">ome </w:t>
      </w:r>
      <w:r>
        <w:t>disabled people</w:t>
      </w:r>
      <w:r w:rsidR="00676F36" w:rsidRPr="00ED5D95">
        <w:t xml:space="preserve"> noted that they felt that their diverse needs were not taken into account</w:t>
      </w:r>
      <w:r w:rsidR="00676F36">
        <w:t>. Some mentioned that</w:t>
      </w:r>
      <w:r w:rsidR="00676F36" w:rsidRPr="00ED5D95">
        <w:t xml:space="preserve"> GPs did not necessarily treat them holistically. Below are some comments </w:t>
      </w:r>
      <w:r w:rsidR="003F5144">
        <w:t>reflecting</w:t>
      </w:r>
      <w:r w:rsidR="00676F36" w:rsidRPr="00ED5D95">
        <w:t xml:space="preserve"> how </w:t>
      </w:r>
      <w:r w:rsidR="00B058A8">
        <w:t>disabled patients</w:t>
      </w:r>
      <w:r w:rsidR="00676F36" w:rsidRPr="00ED5D95">
        <w:t xml:space="preserve"> felt their individual and/or cultural needs could have been better met.</w:t>
      </w:r>
    </w:p>
    <w:p w14:paraId="68EA3668" w14:textId="54A53B13" w:rsidR="00676F36" w:rsidRPr="007105A9" w:rsidRDefault="007105A9" w:rsidP="007105A9">
      <w:pPr>
        <w:ind w:left="720" w:right="1088"/>
      </w:pPr>
      <w:r w:rsidRPr="007105A9">
        <w:t>‘</w:t>
      </w:r>
      <w:r w:rsidR="00676F36" w:rsidRPr="007105A9">
        <w:t xml:space="preserve">I have recently arrived from Australia </w:t>
      </w:r>
      <w:r w:rsidR="00665912">
        <w:t>seven</w:t>
      </w:r>
      <w:r w:rsidR="00676F36" w:rsidRPr="007105A9">
        <w:t xml:space="preserve"> months returning due to the loss of </w:t>
      </w:r>
      <w:r w:rsidR="00665912">
        <w:t>three</w:t>
      </w:r>
      <w:r w:rsidR="00676F36" w:rsidRPr="007105A9">
        <w:t xml:space="preserve"> family members in 2019. I have not been asked any questions by the GP about my medical history on a personal level and in a way that I felt like a person and not just a client</w:t>
      </w:r>
      <w:r w:rsidRPr="007105A9">
        <w:t>.’</w:t>
      </w:r>
    </w:p>
    <w:p w14:paraId="7C3617CF" w14:textId="3A823F72" w:rsidR="00676F36" w:rsidRPr="007105A9" w:rsidRDefault="007105A9" w:rsidP="007105A9">
      <w:pPr>
        <w:ind w:left="720" w:right="1088"/>
      </w:pPr>
      <w:r w:rsidRPr="007105A9">
        <w:t>‘</w:t>
      </w:r>
      <w:r w:rsidR="00676F36" w:rsidRPr="007105A9">
        <w:t>Again, the pills are the only thing a doctor does, no consideration for more hands-on helpful information or referrals</w:t>
      </w:r>
      <w:r w:rsidRPr="007105A9">
        <w:t>.’</w:t>
      </w:r>
    </w:p>
    <w:p w14:paraId="423C4CD8" w14:textId="61074FC8" w:rsidR="00676F36" w:rsidRPr="007105A9" w:rsidRDefault="007105A9" w:rsidP="007105A9">
      <w:pPr>
        <w:ind w:left="720" w:right="1088"/>
      </w:pPr>
      <w:r w:rsidRPr="007105A9">
        <w:t>‘</w:t>
      </w:r>
      <w:r w:rsidR="00676F36" w:rsidRPr="007105A9">
        <w:t>By getting to know myself.</w:t>
      </w:r>
      <w:r w:rsidRPr="007105A9">
        <w:t>’</w:t>
      </w:r>
    </w:p>
    <w:p w14:paraId="1E5CE2FF" w14:textId="25FBF7E4" w:rsidR="00676F36" w:rsidRPr="00E46606" w:rsidRDefault="00676F36" w:rsidP="00EE4FB1">
      <w:pPr>
        <w:pStyle w:val="Heading4"/>
      </w:pPr>
      <w:r>
        <w:t xml:space="preserve">Picking up prescriptions from the pharmacy became more difficult for </w:t>
      </w:r>
      <w:r w:rsidR="006E4437">
        <w:t>disabled people</w:t>
      </w:r>
    </w:p>
    <w:p w14:paraId="6C7D1305" w14:textId="5F5D7FF8" w:rsidR="00676F36" w:rsidRDefault="00676F36" w:rsidP="00676F36">
      <w:r>
        <w:t xml:space="preserve">Ensuring patients </w:t>
      </w:r>
      <w:r w:rsidR="00460BA7">
        <w:t>can</w:t>
      </w:r>
      <w:r>
        <w:t xml:space="preserve"> get the medication they need is a key </w:t>
      </w:r>
      <w:r w:rsidR="00460BA7">
        <w:t>part of</w:t>
      </w:r>
      <w:r>
        <w:t xml:space="preserve"> appropriate health care</w:t>
      </w:r>
      <w:r w:rsidR="00460BA7">
        <w:t xml:space="preserve"> access</w:t>
      </w:r>
      <w:r>
        <w:t xml:space="preserve">. In the COVID-19 survey we asked how patients had found getting medication from their GP and from the pharmacy compared </w:t>
      </w:r>
      <w:r w:rsidR="00460BA7">
        <w:t xml:space="preserve">with </w:t>
      </w:r>
      <w:r>
        <w:t xml:space="preserve">before the pandemic. </w:t>
      </w:r>
    </w:p>
    <w:p w14:paraId="154FA479" w14:textId="6F8912AD" w:rsidR="00676F36" w:rsidRDefault="00676F36" w:rsidP="00676F36">
      <w:r>
        <w:t>On the whole, it appears that</w:t>
      </w:r>
      <w:r w:rsidR="00460BA7">
        <w:t>,</w:t>
      </w:r>
      <w:r>
        <w:t xml:space="preserve"> for most </w:t>
      </w:r>
      <w:r w:rsidR="006058D8">
        <w:t>disabled patients</w:t>
      </w:r>
      <w:r>
        <w:t xml:space="preserve"> (90.4</w:t>
      </w:r>
      <w:r w:rsidR="00455C97">
        <w:t xml:space="preserve"> percent</w:t>
      </w:r>
      <w:r>
        <w:t xml:space="preserve">), getting prescriptions from their doctor was easier or ‘about the same’ as </w:t>
      </w:r>
      <w:r w:rsidR="00460BA7">
        <w:t>before</w:t>
      </w:r>
      <w:r>
        <w:t>, while getting medication from the pharmacy became significantly more challenging</w:t>
      </w:r>
      <w:r w:rsidR="00460BA7">
        <w:t>; j</w:t>
      </w:r>
      <w:r>
        <w:t xml:space="preserve">ust over </w:t>
      </w:r>
      <w:r w:rsidR="00460BA7">
        <w:t xml:space="preserve">two </w:t>
      </w:r>
      <w:r>
        <w:t xml:space="preserve">in every </w:t>
      </w:r>
      <w:r w:rsidR="00460BA7">
        <w:t xml:space="preserve">ten </w:t>
      </w:r>
      <w:r w:rsidR="006058D8">
        <w:t xml:space="preserve">disabled patients </w:t>
      </w:r>
      <w:r w:rsidR="00F62ACD">
        <w:t xml:space="preserve">(22.3 percent) </w:t>
      </w:r>
      <w:r>
        <w:t>reported</w:t>
      </w:r>
      <w:r w:rsidR="00F62ACD">
        <w:t xml:space="preserve"> </w:t>
      </w:r>
      <w:r w:rsidR="00193C38">
        <w:t>getting medicine from the pharmacy was</w:t>
      </w:r>
      <w:r w:rsidR="005E4F2C">
        <w:t xml:space="preserve"> harder than before</w:t>
      </w:r>
      <w:r>
        <w:t xml:space="preserve">. </w:t>
      </w:r>
    </w:p>
    <w:p w14:paraId="2B6580F6" w14:textId="73D25044" w:rsidR="00676F36" w:rsidRDefault="00676F36" w:rsidP="00676F36">
      <w:r>
        <w:t xml:space="preserve">When asked why it was harder for them to obtain </w:t>
      </w:r>
      <w:r w:rsidR="00EF6012">
        <w:t xml:space="preserve">medicines </w:t>
      </w:r>
      <w:r>
        <w:t xml:space="preserve">since the COVID-19 pandemic compared </w:t>
      </w:r>
      <w:r w:rsidR="00455C97">
        <w:t>with</w:t>
      </w:r>
      <w:r>
        <w:t xml:space="preserve"> before, some </w:t>
      </w:r>
      <w:r w:rsidR="006E4437">
        <w:t>disabled people</w:t>
      </w:r>
      <w:r>
        <w:t xml:space="preserve"> noted the social distancing required at pharmacies and a reluctance to travel due to fears of catching COVID</w:t>
      </w:r>
      <w:r w:rsidR="003A2354">
        <w:t>-19</w:t>
      </w:r>
      <w:r w:rsidR="002A228B">
        <w:t>.</w:t>
      </w:r>
      <w:r>
        <w:t xml:space="preserve"> </w:t>
      </w:r>
      <w:r w:rsidR="002A228B">
        <w:t xml:space="preserve">However, </w:t>
      </w:r>
      <w:r>
        <w:t>the vast majority cited the availability of medicine in one-month suppl</w:t>
      </w:r>
      <w:r w:rsidR="00B9201D">
        <w:t>y</w:t>
      </w:r>
      <w:r>
        <w:t xml:space="preserve">, in contrast to the usual three-month supply. </w:t>
      </w:r>
    </w:p>
    <w:p w14:paraId="70113063" w14:textId="7A67ED90" w:rsidR="00676F36" w:rsidRPr="007105A9" w:rsidRDefault="007105A9" w:rsidP="007105A9">
      <w:pPr>
        <w:ind w:left="720" w:right="1088"/>
      </w:pPr>
      <w:r w:rsidRPr="007105A9">
        <w:lastRenderedPageBreak/>
        <w:t>‘</w:t>
      </w:r>
      <w:r w:rsidR="00676F36" w:rsidRPr="007105A9">
        <w:t xml:space="preserve">Can only get one month at a time instead of </w:t>
      </w:r>
      <w:r w:rsidR="002A228B">
        <w:t>three</w:t>
      </w:r>
      <w:r w:rsidR="00676F36" w:rsidRPr="007105A9">
        <w:t xml:space="preserve"> months </w:t>
      </w:r>
      <w:r w:rsidR="002A228B">
        <w:t>–</w:t>
      </w:r>
      <w:r w:rsidR="002A228B" w:rsidRPr="007105A9">
        <w:t xml:space="preserve"> </w:t>
      </w:r>
      <w:r w:rsidR="00676F36" w:rsidRPr="007105A9">
        <w:t xml:space="preserve">probably due to supply </w:t>
      </w:r>
      <w:r w:rsidR="002A228B">
        <w:t>–</w:t>
      </w:r>
      <w:r w:rsidR="00676F36" w:rsidRPr="007105A9">
        <w:t xml:space="preserve"> but means exposing myself more to obtain what I require</w:t>
      </w:r>
      <w:r w:rsidRPr="007105A9">
        <w:t>.’</w:t>
      </w:r>
    </w:p>
    <w:p w14:paraId="5E7A29B1" w14:textId="1642F697" w:rsidR="00676F36" w:rsidRPr="007105A9" w:rsidRDefault="007105A9" w:rsidP="007105A9">
      <w:pPr>
        <w:ind w:left="720" w:right="1088"/>
      </w:pPr>
      <w:r w:rsidRPr="007105A9">
        <w:t>‘</w:t>
      </w:r>
      <w:r w:rsidR="00676F36" w:rsidRPr="007105A9">
        <w:t xml:space="preserve">I would normally only have to pick main medicines every </w:t>
      </w:r>
      <w:r w:rsidR="002A228B">
        <w:t>three</w:t>
      </w:r>
      <w:r w:rsidR="00676F36" w:rsidRPr="007105A9">
        <w:t xml:space="preserve"> months now it is monthly</w:t>
      </w:r>
      <w:r w:rsidRPr="007105A9">
        <w:t>.’</w:t>
      </w:r>
    </w:p>
    <w:p w14:paraId="0F9E6284" w14:textId="47298A68" w:rsidR="00676F36" w:rsidRDefault="00676F36" w:rsidP="00676F36">
      <w:r>
        <w:t xml:space="preserve">While we understand the need for </w:t>
      </w:r>
      <w:r w:rsidR="00B9201D">
        <w:t xml:space="preserve">medicines </w:t>
      </w:r>
      <w:r>
        <w:t xml:space="preserve">to be limited to one-month supplies, the impact this will have on </w:t>
      </w:r>
      <w:r w:rsidR="006E4437">
        <w:t>disabled people</w:t>
      </w:r>
      <w:r w:rsidR="00B9201D">
        <w:t xml:space="preserve">, </w:t>
      </w:r>
      <w:r>
        <w:t>and other vulnerable populations more likely to find frequent visits to the pharmacy</w:t>
      </w:r>
      <w:r w:rsidR="00B9201D">
        <w:t xml:space="preserve"> difficult, is concerning.</w:t>
      </w:r>
      <w:r>
        <w:t xml:space="preserve"> </w:t>
      </w:r>
    </w:p>
    <w:p w14:paraId="4A36150E" w14:textId="08272708" w:rsidR="00676F36" w:rsidRDefault="00676F36" w:rsidP="00EE4FB1">
      <w:pPr>
        <w:pStyle w:val="Heading1"/>
      </w:pPr>
      <w:bookmarkStart w:id="10" w:name="_Toc89875469"/>
      <w:r>
        <w:t>Conclusion</w:t>
      </w:r>
      <w:bookmarkEnd w:id="10"/>
      <w:r w:rsidR="00147C0B">
        <w:t xml:space="preserve"> | </w:t>
      </w:r>
      <w:proofErr w:type="spellStart"/>
      <w:r w:rsidR="00147C0B" w:rsidRPr="00147C0B">
        <w:t>Kupu</w:t>
      </w:r>
      <w:proofErr w:type="spellEnd"/>
      <w:r w:rsidR="00147C0B" w:rsidRPr="00147C0B">
        <w:t xml:space="preserve"> </w:t>
      </w:r>
      <w:proofErr w:type="spellStart"/>
      <w:r w:rsidR="00147C0B" w:rsidRPr="00147C0B">
        <w:t>whakakapi</w:t>
      </w:r>
      <w:proofErr w:type="spellEnd"/>
    </w:p>
    <w:p w14:paraId="2EEC7702" w14:textId="5D462900" w:rsidR="00CE4A97" w:rsidRPr="00627525" w:rsidRDefault="006E4437" w:rsidP="00627525">
      <w:r w:rsidRPr="00627525">
        <w:t>Disabled people</w:t>
      </w:r>
      <w:r w:rsidR="00FB4E6C" w:rsidRPr="00627525">
        <w:t xml:space="preserve"> are more likely to report that they found barriers to accessing care during the lockdown period. This may reflect more regular usage of health services, but is still a result that emphasises how in times of system stress, people with greater needs can be doubly disadvantaged.  </w:t>
      </w:r>
    </w:p>
    <w:p w14:paraId="23E7C38A" w14:textId="0429FADF" w:rsidR="00CE4A97" w:rsidRDefault="00FB4E6C" w:rsidP="00CE4A97">
      <w:r>
        <w:t xml:space="preserve">While telehealth options flourished during this period, and some </w:t>
      </w:r>
      <w:r w:rsidR="006E4437">
        <w:t>disabled people</w:t>
      </w:r>
      <w:r>
        <w:t xml:space="preserve"> found </w:t>
      </w:r>
      <w:r w:rsidR="006177A1">
        <w:t>they met their health</w:t>
      </w:r>
      <w:r w:rsidR="00B15F4E">
        <w:t xml:space="preserve"> </w:t>
      </w:r>
      <w:r w:rsidR="006177A1">
        <w:t>care needs</w:t>
      </w:r>
      <w:r>
        <w:t xml:space="preserve">, for others this </w:t>
      </w:r>
      <w:r w:rsidR="00676F36">
        <w:t>alternative did no</w:t>
      </w:r>
      <w:r w:rsidR="006177A1">
        <w:t>t meet these needs.</w:t>
      </w:r>
      <w:r w:rsidR="001305CC">
        <w:t xml:space="preserve"> </w:t>
      </w:r>
      <w:r>
        <w:t xml:space="preserve">Telehealth is not a </w:t>
      </w:r>
      <w:r w:rsidR="001305CC">
        <w:t>‘</w:t>
      </w:r>
      <w:r>
        <w:t>silver bullet</w:t>
      </w:r>
      <w:r w:rsidR="001305CC">
        <w:t>’</w:t>
      </w:r>
      <w:r>
        <w:t xml:space="preserve"> for increasing access.</w:t>
      </w:r>
      <w:r w:rsidR="00CE4A97">
        <w:t xml:space="preserve"> Nevertheless accessing health care through a telehealth option worked well for a substantial proportion of </w:t>
      </w:r>
      <w:r w:rsidR="006E4437">
        <w:t>disabled people</w:t>
      </w:r>
      <w:r w:rsidR="00CE4A97">
        <w:t xml:space="preserve"> due to </w:t>
      </w:r>
      <w:r w:rsidR="006177A1">
        <w:t xml:space="preserve">the </w:t>
      </w:r>
      <w:r w:rsidR="00CE4A97">
        <w:t>mobility issues they faced. For this group, the rapid switch to telehealth, and the ongoing willingness of the primary care sector to continue with the flexible approach used during the lockdown, may mean the reduction of some barriers to accessing care and</w:t>
      </w:r>
      <w:r w:rsidR="006058D8">
        <w:t xml:space="preserve"> an increase in</w:t>
      </w:r>
      <w:r w:rsidR="00CE4A97">
        <w:t xml:space="preserve"> comfortable access to care.</w:t>
      </w:r>
    </w:p>
    <w:p w14:paraId="7DBCE46E" w14:textId="40C3D44A" w:rsidR="00FB4E6C" w:rsidRDefault="00676F36" w:rsidP="00676F36">
      <w:r>
        <w:t xml:space="preserve">Despite being more likely to have a regular GP, during the lockdown </w:t>
      </w:r>
      <w:r w:rsidR="006058D8">
        <w:t xml:space="preserve">disabled </w:t>
      </w:r>
      <w:r>
        <w:t>patients</w:t>
      </w:r>
      <w:r w:rsidR="00EB64BA">
        <w:t xml:space="preserve"> </w:t>
      </w:r>
      <w:r w:rsidR="00B93AF2">
        <w:t xml:space="preserve">generally </w:t>
      </w:r>
      <w:r>
        <w:t xml:space="preserve">reported </w:t>
      </w:r>
      <w:r w:rsidR="003A2354">
        <w:t xml:space="preserve">having </w:t>
      </w:r>
      <w:r>
        <w:t>a poorer experience with their GP</w:t>
      </w:r>
      <w:r w:rsidR="006177A1">
        <w:t>. T</w:t>
      </w:r>
      <w:r w:rsidR="003A2354">
        <w:t xml:space="preserve">his is </w:t>
      </w:r>
      <w:r>
        <w:t xml:space="preserve">concerning given they are more likely to have multiple long-term conditions. </w:t>
      </w:r>
    </w:p>
    <w:p w14:paraId="21028E91" w14:textId="15569974" w:rsidR="00266A5A" w:rsidRDefault="00266A5A" w:rsidP="00266A5A">
      <w:pPr>
        <w:pStyle w:val="Heading1"/>
      </w:pPr>
      <w:bookmarkStart w:id="11" w:name="_Toc89875470"/>
      <w:r>
        <w:t>Next steps</w:t>
      </w:r>
      <w:bookmarkEnd w:id="11"/>
      <w:r w:rsidR="00147C0B">
        <w:t xml:space="preserve"> | </w:t>
      </w:r>
      <w:r w:rsidR="00147C0B" w:rsidRPr="00147C0B">
        <w:t xml:space="preserve">Mahi </w:t>
      </w:r>
      <w:proofErr w:type="spellStart"/>
      <w:r w:rsidR="00147C0B" w:rsidRPr="00147C0B">
        <w:t>mō</w:t>
      </w:r>
      <w:proofErr w:type="spellEnd"/>
      <w:r w:rsidR="00147C0B" w:rsidRPr="00147C0B">
        <w:t xml:space="preserve"> </w:t>
      </w:r>
      <w:proofErr w:type="spellStart"/>
      <w:r w:rsidR="00147C0B" w:rsidRPr="00147C0B">
        <w:t>mua</w:t>
      </w:r>
      <w:proofErr w:type="spellEnd"/>
    </w:p>
    <w:p w14:paraId="145AEFC5" w14:textId="61833330" w:rsidR="008F64C0" w:rsidRDefault="008F64C0" w:rsidP="008F64C0">
      <w:r>
        <w:t xml:space="preserve">This is the first time </w:t>
      </w:r>
      <w:r w:rsidR="00BC315D">
        <w:t xml:space="preserve">the Commission has reported on the experiences of disabled people in </w:t>
      </w:r>
      <w:r>
        <w:t xml:space="preserve">the patient experience survey. It is unclear from the data whether the worse experiences were specific to the COVID-19 period or are part of more </w:t>
      </w:r>
      <w:r w:rsidR="00D05B74">
        <w:t>systemic and ongoing concerns</w:t>
      </w:r>
      <w:r>
        <w:t>. We shall replicate this analysis with post-COVID period data to answer this question.</w:t>
      </w:r>
    </w:p>
    <w:p w14:paraId="3FFC446D" w14:textId="692548BC" w:rsidR="00B03C6C" w:rsidRPr="00DC0303" w:rsidRDefault="00BB2EC7" w:rsidP="00B03C6C">
      <w:r>
        <w:t>In future analyses we also will investigate the experience of disabled people with different types of disability, acknowledging that</w:t>
      </w:r>
      <w:r w:rsidR="00B03C6C">
        <w:t xml:space="preserve"> disabled people have diverse needs</w:t>
      </w:r>
      <w:r>
        <w:t>.</w:t>
      </w:r>
      <w:r w:rsidR="00B03C6C">
        <w:t xml:space="preserve"> </w:t>
      </w:r>
    </w:p>
    <w:p w14:paraId="715BD05D" w14:textId="56644A9C" w:rsidR="00BB2EC7" w:rsidRDefault="00B03C6C" w:rsidP="00B03C6C">
      <w:r>
        <w:t xml:space="preserve">Within the </w:t>
      </w:r>
      <w:r w:rsidR="00BB2EC7">
        <w:t xml:space="preserve">Commission’s </w:t>
      </w:r>
      <w:r>
        <w:t>patient experience survey programme we will</w:t>
      </w:r>
      <w:r w:rsidR="00BB2EC7">
        <w:t>:</w:t>
      </w:r>
    </w:p>
    <w:p w14:paraId="7AAFE9CA" w14:textId="608F153E" w:rsidR="00BB2EC7" w:rsidRDefault="00BB2EC7" w:rsidP="00BB2EC7">
      <w:pPr>
        <w:pStyle w:val="ListParagraph"/>
        <w:numPr>
          <w:ilvl w:val="0"/>
          <w:numId w:val="19"/>
        </w:numPr>
      </w:pPr>
      <w:r>
        <w:t xml:space="preserve">continue to investigate </w:t>
      </w:r>
      <w:r w:rsidR="00B03C6C">
        <w:t>disabled people as a population subgroup</w:t>
      </w:r>
      <w:r>
        <w:t xml:space="preserve"> </w:t>
      </w:r>
    </w:p>
    <w:p w14:paraId="7D8F3ED5" w14:textId="0ACA1D23" w:rsidR="00BB2EC7" w:rsidRDefault="00BB2EC7" w:rsidP="00BB2EC7">
      <w:pPr>
        <w:pStyle w:val="ListParagraph"/>
        <w:numPr>
          <w:ilvl w:val="0"/>
          <w:numId w:val="19"/>
        </w:numPr>
      </w:pPr>
      <w:r>
        <w:t>e</w:t>
      </w:r>
      <w:r w:rsidR="00B03C6C">
        <w:t xml:space="preserve">nsure disabled people are consistently included within the populations of interest who experience </w:t>
      </w:r>
      <w:r>
        <w:t>inequit</w:t>
      </w:r>
      <w:r w:rsidR="008B7125">
        <w:t>ies</w:t>
      </w:r>
      <w:r w:rsidR="00B03C6C">
        <w:t xml:space="preserve"> in access, </w:t>
      </w:r>
      <w:r>
        <w:t>use</w:t>
      </w:r>
      <w:r w:rsidR="00B03C6C">
        <w:t xml:space="preserve"> and experience of health care services</w:t>
      </w:r>
    </w:p>
    <w:p w14:paraId="4BD9EE13" w14:textId="4F795237" w:rsidR="00B03C6C" w:rsidRPr="00DC0303" w:rsidRDefault="00B03C6C" w:rsidP="00E6194D">
      <w:pPr>
        <w:pStyle w:val="ListParagraph"/>
        <w:numPr>
          <w:ilvl w:val="0"/>
          <w:numId w:val="19"/>
        </w:numPr>
      </w:pPr>
      <w:r>
        <w:t>continu</w:t>
      </w:r>
      <w:r w:rsidR="00BB2EC7">
        <w:t>e</w:t>
      </w:r>
      <w:r>
        <w:t xml:space="preserve"> to investigate </w:t>
      </w:r>
      <w:r w:rsidR="008B7125">
        <w:t>those inequities</w:t>
      </w:r>
      <w:r w:rsidR="00BB2EC7">
        <w:t xml:space="preserve"> as experienced by </w:t>
      </w:r>
      <w:r>
        <w:t>disabled people.</w:t>
      </w:r>
    </w:p>
    <w:p w14:paraId="028F3F00" w14:textId="37DA54AC" w:rsidR="00B03C6C" w:rsidRPr="00627525" w:rsidRDefault="00BB2EC7" w:rsidP="00B03C6C">
      <w:r>
        <w:t>We e</w:t>
      </w:r>
      <w:r w:rsidR="00B03C6C">
        <w:t xml:space="preserve">ncourage </w:t>
      </w:r>
      <w:r>
        <w:t>all health</w:t>
      </w:r>
      <w:r w:rsidR="00B03C6C">
        <w:t xml:space="preserve"> service</w:t>
      </w:r>
      <w:r>
        <w:t>s</w:t>
      </w:r>
      <w:r w:rsidR="00B03C6C">
        <w:t xml:space="preserve"> and practice</w:t>
      </w:r>
      <w:r>
        <w:t>s</w:t>
      </w:r>
      <w:r w:rsidR="00B03C6C">
        <w:t xml:space="preserve"> to consider how they can best partner with disabled people to design services that are more accessible and result in better experiences for disabled people.</w:t>
      </w:r>
    </w:p>
    <w:p w14:paraId="397C3D61" w14:textId="77777777" w:rsidR="00B332B5" w:rsidRDefault="00B332B5">
      <w:pPr>
        <w:spacing w:after="200"/>
      </w:pPr>
      <w:r>
        <w:br w:type="page"/>
      </w:r>
    </w:p>
    <w:p w14:paraId="3CAEF087" w14:textId="1A9FED00" w:rsidR="00676F36" w:rsidRDefault="00B332B5" w:rsidP="009939E1">
      <w:pPr>
        <w:pStyle w:val="Heading1"/>
      </w:pPr>
      <w:bookmarkStart w:id="12" w:name="_Toc89875471"/>
      <w:r>
        <w:lastRenderedPageBreak/>
        <w:t>Appendix: Question sets</w:t>
      </w:r>
      <w:bookmarkEnd w:id="12"/>
      <w:r w:rsidR="00147C0B">
        <w:t xml:space="preserve"> | </w:t>
      </w:r>
      <w:proofErr w:type="spellStart"/>
      <w:r w:rsidR="00147C0B" w:rsidRPr="00147C0B">
        <w:t>Āpitihanga</w:t>
      </w:r>
      <w:proofErr w:type="spellEnd"/>
      <w:r w:rsidR="00147C0B" w:rsidRPr="00147C0B">
        <w:t xml:space="preserve">: </w:t>
      </w:r>
      <w:proofErr w:type="spellStart"/>
      <w:r w:rsidR="00147C0B" w:rsidRPr="00147C0B">
        <w:t>Huinga</w:t>
      </w:r>
      <w:proofErr w:type="spellEnd"/>
      <w:r w:rsidR="00147C0B" w:rsidRPr="00147C0B">
        <w:t xml:space="preserve"> </w:t>
      </w:r>
      <w:proofErr w:type="spellStart"/>
      <w:r w:rsidR="00147C0B" w:rsidRPr="00147C0B">
        <w:t>pātai</w:t>
      </w:r>
      <w:proofErr w:type="spellEnd"/>
    </w:p>
    <w:p w14:paraId="43EDA24A" w14:textId="77777777" w:rsidR="0035595B" w:rsidRDefault="0035595B" w:rsidP="009939E1">
      <w:pPr>
        <w:pStyle w:val="Heading4"/>
      </w:pPr>
      <w:r w:rsidRPr="0035595B">
        <w:t>Washington Group Short Set</w:t>
      </w:r>
    </w:p>
    <w:p w14:paraId="33079005" w14:textId="5764751C" w:rsidR="00B332B5" w:rsidRDefault="00B332B5" w:rsidP="009939E1">
      <w:r>
        <w:t>The WGSS question set includes:</w:t>
      </w:r>
    </w:p>
    <w:p w14:paraId="442CD50D" w14:textId="6F3420F8" w:rsidR="00B332B5" w:rsidRPr="009939E1" w:rsidRDefault="00B332B5" w:rsidP="009939E1">
      <w:pPr>
        <w:pStyle w:val="ListParagraph"/>
        <w:numPr>
          <w:ilvl w:val="0"/>
          <w:numId w:val="18"/>
        </w:numPr>
      </w:pPr>
      <w:r w:rsidRPr="009939E1">
        <w:t xml:space="preserve">Do you have difficulty seeing, even if wearing glasses? </w:t>
      </w:r>
    </w:p>
    <w:p w14:paraId="06F62746" w14:textId="3F50223C" w:rsidR="00B332B5" w:rsidRPr="009939E1" w:rsidRDefault="00B332B5" w:rsidP="009939E1">
      <w:pPr>
        <w:pStyle w:val="ListParagraph"/>
        <w:numPr>
          <w:ilvl w:val="0"/>
          <w:numId w:val="18"/>
        </w:numPr>
      </w:pPr>
      <w:r w:rsidRPr="009939E1">
        <w:t xml:space="preserve">Do you have difficulty hearing, even if using a hearing aid? </w:t>
      </w:r>
    </w:p>
    <w:p w14:paraId="2C4D49D9" w14:textId="6C313553" w:rsidR="00B332B5" w:rsidRPr="009939E1" w:rsidRDefault="00B332B5" w:rsidP="009939E1">
      <w:pPr>
        <w:pStyle w:val="ListParagraph"/>
        <w:numPr>
          <w:ilvl w:val="0"/>
          <w:numId w:val="18"/>
        </w:numPr>
      </w:pPr>
      <w:r w:rsidRPr="009939E1">
        <w:t xml:space="preserve">Do you have difficulty walking or climbing steps?  </w:t>
      </w:r>
    </w:p>
    <w:p w14:paraId="2C16E41F" w14:textId="0AC1BB5F" w:rsidR="00B332B5" w:rsidRPr="009939E1" w:rsidRDefault="00B332B5" w:rsidP="009939E1">
      <w:pPr>
        <w:pStyle w:val="ListParagraph"/>
        <w:numPr>
          <w:ilvl w:val="0"/>
          <w:numId w:val="18"/>
        </w:numPr>
      </w:pPr>
      <w:r w:rsidRPr="009939E1">
        <w:t xml:space="preserve">Do you have difficulty remembering or concentrating? </w:t>
      </w:r>
    </w:p>
    <w:p w14:paraId="053A4E62" w14:textId="77192837" w:rsidR="00B332B5" w:rsidRPr="009939E1" w:rsidRDefault="00B332B5" w:rsidP="009939E1">
      <w:pPr>
        <w:pStyle w:val="ListParagraph"/>
        <w:numPr>
          <w:ilvl w:val="0"/>
          <w:numId w:val="18"/>
        </w:numPr>
      </w:pPr>
      <w:r w:rsidRPr="009939E1">
        <w:t xml:space="preserve">Do you have difficulty washing all over or dressing? </w:t>
      </w:r>
    </w:p>
    <w:p w14:paraId="28DDC644" w14:textId="02E0D1F0" w:rsidR="00B332B5" w:rsidRDefault="00B332B5" w:rsidP="009939E1">
      <w:pPr>
        <w:pStyle w:val="ListParagraph"/>
        <w:numPr>
          <w:ilvl w:val="0"/>
          <w:numId w:val="18"/>
        </w:numPr>
      </w:pPr>
      <w:r w:rsidRPr="009939E1">
        <w:t>Using your usual language, do you have difficulty communicating, for example understanding or being understood?</w:t>
      </w:r>
      <w:r>
        <w:t xml:space="preserve">  </w:t>
      </w:r>
    </w:p>
    <w:p w14:paraId="5F0BEF2D" w14:textId="0E77D909" w:rsidR="00B332B5" w:rsidRDefault="00B332B5" w:rsidP="00B332B5">
      <w:r>
        <w:t>Answer options: No ‒ no difficulty, Yes ‒ some difficulty, Yes ‒ a lot of difficulty, Cannot do at all)</w:t>
      </w:r>
      <w:r w:rsidR="0035595B">
        <w:t>.</w:t>
      </w:r>
    </w:p>
    <w:p w14:paraId="67E36E55" w14:textId="77777777" w:rsidR="00B332B5" w:rsidRDefault="00B332B5" w:rsidP="00B332B5">
      <w:r>
        <w:t>If respondents answer ‘Yes – a lot of difficulty’ or ‘Cannot do at all’ to one or more of these questions, they are classified as having a disability under the WGSS.</w:t>
      </w:r>
      <w:r>
        <w:tab/>
      </w:r>
    </w:p>
    <w:p w14:paraId="13FDDAD1" w14:textId="77777777" w:rsidR="0035595B" w:rsidRDefault="0035595B" w:rsidP="009939E1">
      <w:pPr>
        <w:pStyle w:val="Heading4"/>
      </w:pPr>
      <w:r>
        <w:t xml:space="preserve">Self-identification </w:t>
      </w:r>
    </w:p>
    <w:p w14:paraId="461D4E3F" w14:textId="77777777" w:rsidR="0035595B" w:rsidRDefault="00B332B5" w:rsidP="00B332B5">
      <w:r>
        <w:t xml:space="preserve">The self-identification question was: Do you think of yourself as disabled (or as having a disability)? </w:t>
      </w:r>
    </w:p>
    <w:p w14:paraId="2F993C75" w14:textId="26CDF42E" w:rsidR="00B332B5" w:rsidRDefault="00B332B5" w:rsidP="00B332B5">
      <w:r>
        <w:t>Answer options: Yes, No, Unsure.</w:t>
      </w:r>
    </w:p>
    <w:p w14:paraId="4F49ADC2" w14:textId="77777777" w:rsidR="00914F1E" w:rsidRPr="00F63BDD" w:rsidRDefault="00914F1E" w:rsidP="00676F36"/>
    <w:sectPr w:rsidR="00914F1E" w:rsidRPr="00F63BDD" w:rsidSect="0060647C">
      <w:footerReference w:type="even" r:id="rId24"/>
      <w:footerReference w:type="default" r:id="rId25"/>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1772" w14:textId="77777777" w:rsidR="006C5B5A" w:rsidRDefault="006C5B5A" w:rsidP="006D4F9A">
      <w:r>
        <w:separator/>
      </w:r>
    </w:p>
  </w:endnote>
  <w:endnote w:type="continuationSeparator" w:id="0">
    <w:p w14:paraId="55598E71" w14:textId="77777777" w:rsidR="006C5B5A" w:rsidRDefault="006C5B5A" w:rsidP="006D4F9A">
      <w:r>
        <w:continuationSeparator/>
      </w:r>
    </w:p>
  </w:endnote>
  <w:endnote w:type="continuationNotice" w:id="1">
    <w:p w14:paraId="74CB7781" w14:textId="77777777" w:rsidR="006C5B5A" w:rsidRDefault="006C5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hitney Medium">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91370275"/>
      <w:docPartObj>
        <w:docPartGallery w:val="Page Numbers (Bottom of Page)"/>
        <w:docPartUnique/>
      </w:docPartObj>
    </w:sdtPr>
    <w:sdtEndPr>
      <w:rPr>
        <w:noProof/>
      </w:rPr>
    </w:sdtEndPr>
    <w:sdtContent>
      <w:p w14:paraId="4B5B6E8A" w14:textId="77777777" w:rsidR="0060647C" w:rsidRDefault="0060647C" w:rsidP="0060647C">
        <w:pPr>
          <w:pStyle w:val="Footer"/>
          <w:rPr>
            <w:sz w:val="18"/>
            <w:szCs w:val="18"/>
          </w:rPr>
        </w:pPr>
      </w:p>
      <w:p w14:paraId="7E26B6D4" w14:textId="0F0EF1B5" w:rsidR="0060647C" w:rsidRPr="0060647C" w:rsidRDefault="0060647C" w:rsidP="0060647C">
        <w:pPr>
          <w:pStyle w:val="Footer"/>
          <w:rPr>
            <w:sz w:val="18"/>
            <w:szCs w:val="18"/>
          </w:rPr>
        </w:pPr>
        <w:r w:rsidRPr="0060647C">
          <w:rPr>
            <w:sz w:val="18"/>
            <w:szCs w:val="18"/>
          </w:rPr>
          <w:t xml:space="preserve">Te </w:t>
        </w:r>
        <w:proofErr w:type="spellStart"/>
        <w:r w:rsidRPr="0060647C">
          <w:rPr>
            <w:sz w:val="18"/>
            <w:szCs w:val="18"/>
          </w:rPr>
          <w:t>wheako</w:t>
        </w:r>
        <w:proofErr w:type="spellEnd"/>
        <w:r w:rsidRPr="0060647C">
          <w:rPr>
            <w:sz w:val="18"/>
            <w:szCs w:val="18"/>
          </w:rPr>
          <w:t xml:space="preserve"> </w:t>
        </w:r>
        <w:proofErr w:type="spellStart"/>
        <w:r w:rsidRPr="0060647C">
          <w:rPr>
            <w:sz w:val="18"/>
            <w:szCs w:val="18"/>
          </w:rPr>
          <w:t>tauwhiro</w:t>
        </w:r>
        <w:proofErr w:type="spellEnd"/>
        <w:r w:rsidRPr="0060647C">
          <w:rPr>
            <w:sz w:val="18"/>
            <w:szCs w:val="18"/>
          </w:rPr>
          <w:t xml:space="preserve"> </w:t>
        </w:r>
        <w:proofErr w:type="spellStart"/>
        <w:r w:rsidRPr="0060647C">
          <w:rPr>
            <w:sz w:val="18"/>
            <w:szCs w:val="18"/>
          </w:rPr>
          <w:t>hauora</w:t>
        </w:r>
        <w:proofErr w:type="spellEnd"/>
        <w:r w:rsidRPr="0060647C">
          <w:rPr>
            <w:sz w:val="18"/>
            <w:szCs w:val="18"/>
          </w:rPr>
          <w:t xml:space="preserve"> a </w:t>
        </w:r>
        <w:proofErr w:type="spellStart"/>
        <w:r w:rsidRPr="0060647C">
          <w:rPr>
            <w:sz w:val="18"/>
            <w:szCs w:val="18"/>
          </w:rPr>
          <w:t>te</w:t>
        </w:r>
        <w:proofErr w:type="spellEnd"/>
        <w:r w:rsidRPr="0060647C">
          <w:rPr>
            <w:sz w:val="18"/>
            <w:szCs w:val="18"/>
          </w:rPr>
          <w:t xml:space="preserve"> </w:t>
        </w:r>
        <w:proofErr w:type="spellStart"/>
        <w:r w:rsidRPr="0060647C">
          <w:rPr>
            <w:sz w:val="18"/>
            <w:szCs w:val="18"/>
          </w:rPr>
          <w:t>hunga</w:t>
        </w:r>
        <w:proofErr w:type="spellEnd"/>
        <w:r w:rsidRPr="0060647C">
          <w:rPr>
            <w:sz w:val="18"/>
            <w:szCs w:val="18"/>
          </w:rPr>
          <w:t xml:space="preserve"> </w:t>
        </w:r>
        <w:proofErr w:type="spellStart"/>
        <w:r w:rsidRPr="0060647C">
          <w:rPr>
            <w:sz w:val="18"/>
            <w:szCs w:val="18"/>
          </w:rPr>
          <w:t>hauā</w:t>
        </w:r>
        <w:proofErr w:type="spellEnd"/>
        <w:r w:rsidRPr="0060647C">
          <w:rPr>
            <w:sz w:val="18"/>
            <w:szCs w:val="18"/>
          </w:rPr>
          <w:t xml:space="preserve"> </w:t>
        </w:r>
        <w:proofErr w:type="spellStart"/>
        <w:r w:rsidRPr="0060647C">
          <w:rPr>
            <w:sz w:val="18"/>
            <w:szCs w:val="18"/>
          </w:rPr>
          <w:t>i</w:t>
        </w:r>
        <w:proofErr w:type="spellEnd"/>
        <w:r w:rsidRPr="0060647C">
          <w:rPr>
            <w:sz w:val="18"/>
            <w:szCs w:val="18"/>
          </w:rPr>
          <w:t xml:space="preserve"> </w:t>
        </w:r>
        <w:proofErr w:type="spellStart"/>
        <w:r w:rsidRPr="0060647C">
          <w:rPr>
            <w:sz w:val="18"/>
            <w:szCs w:val="18"/>
          </w:rPr>
          <w:t>te</w:t>
        </w:r>
        <w:proofErr w:type="spellEnd"/>
        <w:r w:rsidRPr="0060647C">
          <w:rPr>
            <w:sz w:val="18"/>
            <w:szCs w:val="18"/>
          </w:rPr>
          <w:t xml:space="preserve"> </w:t>
        </w:r>
        <w:proofErr w:type="spellStart"/>
        <w:r w:rsidRPr="0060647C">
          <w:rPr>
            <w:sz w:val="18"/>
            <w:szCs w:val="18"/>
          </w:rPr>
          <w:t>wā</w:t>
        </w:r>
        <w:proofErr w:type="spellEnd"/>
        <w:r w:rsidRPr="0060647C">
          <w:rPr>
            <w:sz w:val="18"/>
            <w:szCs w:val="18"/>
          </w:rPr>
          <w:t xml:space="preserve"> KOWHEORI-19: </w:t>
        </w:r>
        <w:r w:rsidRPr="0060647C">
          <w:rPr>
            <w:sz w:val="18"/>
            <w:szCs w:val="18"/>
          </w:rPr>
          <w:br/>
          <w:t xml:space="preserve">He </w:t>
        </w:r>
        <w:proofErr w:type="spellStart"/>
        <w:r w:rsidRPr="0060647C">
          <w:rPr>
            <w:sz w:val="18"/>
            <w:szCs w:val="18"/>
          </w:rPr>
          <w:t>whakarāpopototanga</w:t>
        </w:r>
        <w:proofErr w:type="spellEnd"/>
        <w:r w:rsidRPr="0060647C">
          <w:rPr>
            <w:sz w:val="18"/>
            <w:szCs w:val="18"/>
          </w:rPr>
          <w:t xml:space="preserve"> o </w:t>
        </w:r>
        <w:proofErr w:type="spellStart"/>
        <w:r w:rsidRPr="0060647C">
          <w:rPr>
            <w:sz w:val="18"/>
            <w:szCs w:val="18"/>
          </w:rPr>
          <w:t>ngā</w:t>
        </w:r>
        <w:proofErr w:type="spellEnd"/>
        <w:r w:rsidRPr="0060647C">
          <w:rPr>
            <w:sz w:val="18"/>
            <w:szCs w:val="18"/>
          </w:rPr>
          <w:t xml:space="preserve"> </w:t>
        </w:r>
        <w:proofErr w:type="spellStart"/>
        <w:r w:rsidRPr="0060647C">
          <w:rPr>
            <w:sz w:val="18"/>
            <w:szCs w:val="18"/>
          </w:rPr>
          <w:t>kitenga</w:t>
        </w:r>
        <w:proofErr w:type="spellEnd"/>
        <w:r w:rsidRPr="0060647C">
          <w:rPr>
            <w:sz w:val="18"/>
            <w:szCs w:val="18"/>
          </w:rPr>
          <w:t xml:space="preserve"> o </w:t>
        </w:r>
        <w:proofErr w:type="spellStart"/>
        <w:r w:rsidRPr="0060647C">
          <w:rPr>
            <w:sz w:val="18"/>
            <w:szCs w:val="18"/>
          </w:rPr>
          <w:t>te</w:t>
        </w:r>
        <w:proofErr w:type="spellEnd"/>
        <w:r w:rsidRPr="0060647C">
          <w:rPr>
            <w:sz w:val="18"/>
            <w:szCs w:val="18"/>
          </w:rPr>
          <w:t xml:space="preserve"> </w:t>
        </w:r>
        <w:proofErr w:type="spellStart"/>
        <w:r w:rsidRPr="0060647C">
          <w:rPr>
            <w:sz w:val="18"/>
            <w:szCs w:val="18"/>
          </w:rPr>
          <w:t>tiro</w:t>
        </w:r>
        <w:proofErr w:type="spellEnd"/>
        <w:r w:rsidRPr="0060647C">
          <w:rPr>
            <w:sz w:val="18"/>
            <w:szCs w:val="18"/>
          </w:rPr>
          <w:t xml:space="preserve"> </w:t>
        </w:r>
        <w:proofErr w:type="spellStart"/>
        <w:r w:rsidRPr="0060647C">
          <w:rPr>
            <w:sz w:val="18"/>
            <w:szCs w:val="18"/>
          </w:rPr>
          <w:t>whānui</w:t>
        </w:r>
        <w:proofErr w:type="spellEnd"/>
        <w:r w:rsidRPr="0060647C">
          <w:rPr>
            <w:sz w:val="18"/>
            <w:szCs w:val="18"/>
          </w:rPr>
          <w:t xml:space="preserve"> KOWHEORI-19 (</w:t>
        </w:r>
        <w:proofErr w:type="spellStart"/>
        <w:r w:rsidRPr="0060647C">
          <w:rPr>
            <w:sz w:val="18"/>
            <w:szCs w:val="18"/>
          </w:rPr>
          <w:t>Hakihea</w:t>
        </w:r>
        <w:proofErr w:type="spellEnd"/>
        <w:r w:rsidRPr="0060647C">
          <w:rPr>
            <w:sz w:val="18"/>
            <w:szCs w:val="18"/>
          </w:rPr>
          <w:t xml:space="preserve"> 2021)</w:t>
        </w:r>
        <w:r w:rsidRPr="0060647C">
          <w:rPr>
            <w:sz w:val="18"/>
            <w:szCs w:val="18"/>
          </w:rPr>
          <w:tab/>
        </w:r>
        <w:r w:rsidRPr="0060647C">
          <w:rPr>
            <w:sz w:val="18"/>
            <w:szCs w:val="18"/>
          </w:rPr>
          <w:fldChar w:fldCharType="begin"/>
        </w:r>
        <w:r w:rsidRPr="0060647C">
          <w:rPr>
            <w:sz w:val="18"/>
            <w:szCs w:val="18"/>
          </w:rPr>
          <w:instrText xml:space="preserve"> PAGE   \* MERGEFORMAT </w:instrText>
        </w:r>
        <w:r w:rsidRPr="0060647C">
          <w:rPr>
            <w:sz w:val="18"/>
            <w:szCs w:val="18"/>
          </w:rPr>
          <w:fldChar w:fldCharType="separate"/>
        </w:r>
        <w:r w:rsidRPr="0060647C">
          <w:rPr>
            <w:noProof/>
            <w:sz w:val="18"/>
            <w:szCs w:val="18"/>
          </w:rPr>
          <w:t>2</w:t>
        </w:r>
        <w:r w:rsidRPr="0060647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94466172"/>
      <w:docPartObj>
        <w:docPartGallery w:val="Page Numbers (Bottom of Page)"/>
        <w:docPartUnique/>
      </w:docPartObj>
    </w:sdtPr>
    <w:sdtEndPr>
      <w:rPr>
        <w:noProof/>
      </w:rPr>
    </w:sdtEndPr>
    <w:sdtContent>
      <w:p w14:paraId="0CF1AD0C" w14:textId="1DFC69BC" w:rsidR="00FB4E6C" w:rsidRPr="007F1D56" w:rsidRDefault="00FB4E6C" w:rsidP="006D4F9A">
        <w:pPr>
          <w:pStyle w:val="Footer"/>
          <w:rPr>
            <w:sz w:val="18"/>
            <w:szCs w:val="18"/>
          </w:rPr>
        </w:pPr>
      </w:p>
      <w:p w14:paraId="4F49ADED" w14:textId="750D8F41" w:rsidR="00FB4E6C" w:rsidRPr="009939E1" w:rsidRDefault="00FB4E6C" w:rsidP="00304C26">
        <w:pPr>
          <w:pStyle w:val="Footer"/>
          <w:rPr>
            <w:sz w:val="18"/>
            <w:szCs w:val="18"/>
          </w:rPr>
        </w:pPr>
        <w:r w:rsidRPr="007F1D56">
          <w:rPr>
            <w:sz w:val="18"/>
            <w:szCs w:val="18"/>
          </w:rPr>
          <w:t xml:space="preserve">The health care experience of </w:t>
        </w:r>
        <w:r w:rsidR="006E4437">
          <w:rPr>
            <w:sz w:val="18"/>
            <w:szCs w:val="18"/>
          </w:rPr>
          <w:t>disabled people</w:t>
        </w:r>
        <w:r w:rsidRPr="007F1D56">
          <w:rPr>
            <w:sz w:val="18"/>
            <w:szCs w:val="18"/>
          </w:rPr>
          <w:t xml:space="preserve"> during COVID-19: </w:t>
        </w:r>
        <w:r w:rsidRPr="007F1D56">
          <w:rPr>
            <w:sz w:val="18"/>
            <w:szCs w:val="18"/>
          </w:rPr>
          <w:br/>
          <w:t>Summary of findings from the COVID-19 patient experience survey (</w:t>
        </w:r>
        <w:r w:rsidR="003C1C4C">
          <w:rPr>
            <w:sz w:val="18"/>
            <w:szCs w:val="18"/>
          </w:rPr>
          <w:t>December</w:t>
        </w:r>
        <w:r w:rsidRPr="007F1D56">
          <w:rPr>
            <w:sz w:val="18"/>
            <w:szCs w:val="18"/>
          </w:rPr>
          <w:t xml:space="preserve"> 2021)</w:t>
        </w:r>
        <w:r w:rsidRPr="007F1D56">
          <w:rPr>
            <w:sz w:val="18"/>
            <w:szCs w:val="18"/>
          </w:rPr>
          <w:tab/>
        </w:r>
        <w:r w:rsidRPr="007F1D56">
          <w:rPr>
            <w:sz w:val="18"/>
            <w:szCs w:val="18"/>
          </w:rPr>
          <w:fldChar w:fldCharType="begin"/>
        </w:r>
        <w:r w:rsidRPr="007F1D56">
          <w:rPr>
            <w:sz w:val="18"/>
            <w:szCs w:val="18"/>
          </w:rPr>
          <w:instrText xml:space="preserve"> PAGE   \* MERGEFORMAT </w:instrText>
        </w:r>
        <w:r w:rsidRPr="007F1D56">
          <w:rPr>
            <w:sz w:val="18"/>
            <w:szCs w:val="18"/>
          </w:rPr>
          <w:fldChar w:fldCharType="separate"/>
        </w:r>
        <w:r w:rsidRPr="007F1D56">
          <w:rPr>
            <w:noProof/>
            <w:sz w:val="18"/>
            <w:szCs w:val="18"/>
          </w:rPr>
          <w:t>4</w:t>
        </w:r>
        <w:r w:rsidRPr="007F1D5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CA84" w14:textId="77777777" w:rsidR="006C5B5A" w:rsidRDefault="006C5B5A" w:rsidP="006D4F9A">
      <w:r>
        <w:separator/>
      </w:r>
    </w:p>
  </w:footnote>
  <w:footnote w:type="continuationSeparator" w:id="0">
    <w:p w14:paraId="06FD4E37" w14:textId="77777777" w:rsidR="006C5B5A" w:rsidRDefault="006C5B5A" w:rsidP="006D4F9A">
      <w:r>
        <w:continuationSeparator/>
      </w:r>
    </w:p>
  </w:footnote>
  <w:footnote w:type="continuationNotice" w:id="1">
    <w:p w14:paraId="3E00F04C" w14:textId="77777777" w:rsidR="006C5B5A" w:rsidRDefault="006C5B5A">
      <w:pPr>
        <w:spacing w:after="0" w:line="240" w:lineRule="auto"/>
      </w:pPr>
    </w:p>
  </w:footnote>
  <w:footnote w:id="2">
    <w:p w14:paraId="48CB70D6" w14:textId="6BE75B35" w:rsidR="00FB4E6C" w:rsidRPr="002C7CD9" w:rsidRDefault="00FB4E6C" w:rsidP="009939E1">
      <w:pPr>
        <w:pStyle w:val="FootnoteText"/>
        <w:spacing w:line="276" w:lineRule="auto"/>
        <w:jc w:val="left"/>
        <w:rPr>
          <w:rStyle w:val="normaltextrun"/>
          <w:rFonts w:cs="Arial"/>
          <w:color w:val="000000"/>
          <w:sz w:val="18"/>
          <w:szCs w:val="18"/>
          <w:shd w:val="clear" w:color="auto" w:fill="FFFFFF"/>
          <w:lang w:val="en-AU"/>
        </w:rPr>
      </w:pPr>
      <w:r w:rsidRPr="002C7CD9">
        <w:rPr>
          <w:rStyle w:val="FootnoteReference"/>
          <w:rFonts w:cs="Arial"/>
          <w:sz w:val="18"/>
          <w:szCs w:val="18"/>
        </w:rPr>
        <w:footnoteRef/>
      </w:r>
      <w:r w:rsidRPr="002C7CD9">
        <w:rPr>
          <w:rFonts w:cs="Arial"/>
          <w:sz w:val="18"/>
          <w:szCs w:val="18"/>
        </w:rPr>
        <w:t xml:space="preserve"> </w:t>
      </w:r>
      <w:r w:rsidR="00B332B5" w:rsidRPr="002C7CD9">
        <w:rPr>
          <w:rFonts w:cs="Arial"/>
          <w:sz w:val="18"/>
          <w:szCs w:val="18"/>
        </w:rPr>
        <w:t>See Appendix for question sets.</w:t>
      </w:r>
      <w:r w:rsidRPr="002C7CD9">
        <w:rPr>
          <w:rStyle w:val="normaltextrun"/>
          <w:rFonts w:cs="Arial"/>
          <w:color w:val="000000"/>
          <w:sz w:val="18"/>
          <w:szCs w:val="18"/>
          <w:shd w:val="clear" w:color="auto" w:fill="FFFFFF"/>
          <w:lang w:val="en-AU"/>
        </w:rPr>
        <w:tab/>
      </w:r>
    </w:p>
  </w:footnote>
  <w:footnote w:id="3">
    <w:p w14:paraId="315D182E" w14:textId="159D4DBC" w:rsidR="00FB4E6C" w:rsidRPr="002C7CD9" w:rsidRDefault="00FB4E6C" w:rsidP="007F1D56">
      <w:pPr>
        <w:pStyle w:val="FootnoteText"/>
        <w:spacing w:line="276" w:lineRule="auto"/>
        <w:ind w:left="142" w:hanging="142"/>
        <w:jc w:val="left"/>
        <w:rPr>
          <w:rFonts w:cs="Arial"/>
          <w:color w:val="000000"/>
          <w:sz w:val="18"/>
          <w:szCs w:val="18"/>
          <w:shd w:val="clear" w:color="auto" w:fill="FFFFFF"/>
          <w:lang w:val="en-AU"/>
        </w:rPr>
      </w:pPr>
      <w:r w:rsidRPr="002C7CD9">
        <w:rPr>
          <w:rStyle w:val="FootnoteReference"/>
          <w:rFonts w:cs="Arial"/>
          <w:sz w:val="18"/>
          <w:szCs w:val="18"/>
        </w:rPr>
        <w:footnoteRef/>
      </w:r>
      <w:r w:rsidRPr="002C7CD9">
        <w:rPr>
          <w:rFonts w:cs="Arial"/>
          <w:sz w:val="18"/>
          <w:szCs w:val="18"/>
        </w:rPr>
        <w:t xml:space="preserve"> </w:t>
      </w:r>
      <w:r w:rsidR="00B332B5" w:rsidRPr="002C7CD9">
        <w:rPr>
          <w:rFonts w:cs="Arial"/>
          <w:sz w:val="18"/>
          <w:szCs w:val="18"/>
        </w:rPr>
        <w:t>See Appendix for question sets.</w:t>
      </w:r>
    </w:p>
  </w:footnote>
  <w:footnote w:id="4">
    <w:p w14:paraId="1A8DC744" w14:textId="1B1C1A48" w:rsidR="00FB4E6C" w:rsidRPr="002C7CD9" w:rsidRDefault="00FB4E6C" w:rsidP="00EE4FB1">
      <w:pPr>
        <w:pStyle w:val="FootnoteText"/>
        <w:spacing w:line="276" w:lineRule="auto"/>
        <w:jc w:val="left"/>
        <w:rPr>
          <w:rFonts w:cs="Arial"/>
          <w:sz w:val="18"/>
          <w:szCs w:val="18"/>
        </w:rPr>
      </w:pPr>
      <w:r w:rsidRPr="002C7CD9">
        <w:rPr>
          <w:rStyle w:val="FootnoteReference"/>
          <w:rFonts w:cs="Arial"/>
          <w:sz w:val="18"/>
          <w:szCs w:val="18"/>
        </w:rPr>
        <w:footnoteRef/>
      </w:r>
      <w:r w:rsidRPr="002C7CD9">
        <w:rPr>
          <w:rFonts w:cs="Arial"/>
          <w:sz w:val="18"/>
          <w:szCs w:val="18"/>
        </w:rPr>
        <w:t xml:space="preserve"> Those who did not self-identify as disabled included those who said they were not disabled and those who were unsure.</w:t>
      </w:r>
    </w:p>
  </w:footnote>
  <w:footnote w:id="5">
    <w:p w14:paraId="4C222B22" w14:textId="2028EB10" w:rsidR="00FB4E6C" w:rsidRPr="002C7CD9" w:rsidRDefault="00FB4E6C" w:rsidP="00EE4FB1">
      <w:pPr>
        <w:pStyle w:val="FootnoteText"/>
        <w:spacing w:line="276" w:lineRule="auto"/>
        <w:jc w:val="left"/>
        <w:rPr>
          <w:rFonts w:cs="Arial"/>
          <w:sz w:val="18"/>
          <w:szCs w:val="18"/>
        </w:rPr>
      </w:pPr>
      <w:r w:rsidRPr="002C7CD9">
        <w:rPr>
          <w:rStyle w:val="FootnoteReference"/>
          <w:rFonts w:cs="Arial"/>
          <w:sz w:val="18"/>
          <w:szCs w:val="18"/>
        </w:rPr>
        <w:footnoteRef/>
      </w:r>
      <w:r w:rsidRPr="002C7CD9">
        <w:rPr>
          <w:rFonts w:cs="Arial"/>
          <w:sz w:val="18"/>
          <w:szCs w:val="18"/>
        </w:rPr>
        <w:t xml:space="preserve"> This group contains those who answered at least one of the WGSS questions or self-identification question indicating that they were disabled.</w:t>
      </w:r>
    </w:p>
  </w:footnote>
  <w:footnote w:id="6">
    <w:p w14:paraId="55DD905E" w14:textId="7BFA11BC" w:rsidR="00FB4E6C" w:rsidRPr="002C7CD9" w:rsidRDefault="00FB4E6C" w:rsidP="00EE4FB1">
      <w:pPr>
        <w:pStyle w:val="FootnoteText"/>
        <w:spacing w:line="276" w:lineRule="auto"/>
        <w:jc w:val="left"/>
        <w:rPr>
          <w:rFonts w:cs="Arial"/>
          <w:sz w:val="18"/>
          <w:szCs w:val="18"/>
        </w:rPr>
      </w:pPr>
      <w:r w:rsidRPr="002C7CD9">
        <w:rPr>
          <w:rStyle w:val="FootnoteReference"/>
          <w:rFonts w:cs="Arial"/>
          <w:sz w:val="18"/>
          <w:szCs w:val="18"/>
        </w:rPr>
        <w:footnoteRef/>
      </w:r>
      <w:r w:rsidRPr="002C7CD9">
        <w:rPr>
          <w:rFonts w:cs="Arial"/>
          <w:sz w:val="18"/>
          <w:szCs w:val="18"/>
        </w:rPr>
        <w:t xml:space="preserve"> We have not included respondents who answered that they were not disabled according to the WGSS but did not respond to the self-identification question (1,891 respondents). This is because we cannot definitively confirm their disability status.</w:t>
      </w:r>
    </w:p>
  </w:footnote>
  <w:footnote w:id="7">
    <w:p w14:paraId="2FF837E6" w14:textId="43875D65" w:rsidR="00FB4E6C" w:rsidRPr="002C7CD9" w:rsidRDefault="00FB4E6C" w:rsidP="00EE4FB1">
      <w:pPr>
        <w:pStyle w:val="FootnoteText"/>
        <w:spacing w:line="276" w:lineRule="auto"/>
        <w:jc w:val="left"/>
        <w:rPr>
          <w:rFonts w:cs="Arial"/>
          <w:sz w:val="18"/>
          <w:szCs w:val="18"/>
        </w:rPr>
      </w:pPr>
      <w:r w:rsidRPr="002C7CD9">
        <w:rPr>
          <w:rStyle w:val="FootnoteReference"/>
          <w:rFonts w:cs="Arial"/>
          <w:sz w:val="18"/>
          <w:szCs w:val="18"/>
        </w:rPr>
        <w:footnoteRef/>
      </w:r>
      <w:r w:rsidRPr="002C7CD9">
        <w:rPr>
          <w:rFonts w:cs="Arial"/>
          <w:sz w:val="18"/>
          <w:szCs w:val="18"/>
        </w:rPr>
        <w:t xml:space="preserve"> A derived variable is one that is created by calculating a value from existing variables – in this instance, a ‘yes’ answer to either (or both) the WGSS questions or the self-identification question results in a result for the derived variable.</w:t>
      </w:r>
    </w:p>
  </w:footnote>
  <w:footnote w:id="8">
    <w:p w14:paraId="0F77CE8E" w14:textId="435003A6" w:rsidR="002C7CD9" w:rsidRPr="002C7CD9" w:rsidRDefault="002C7CD9">
      <w:pPr>
        <w:pStyle w:val="FootnoteText"/>
        <w:rPr>
          <w:sz w:val="18"/>
          <w:szCs w:val="18"/>
        </w:rPr>
      </w:pPr>
      <w:r w:rsidRPr="002C7CD9">
        <w:rPr>
          <w:rStyle w:val="FootnoteReference"/>
          <w:sz w:val="18"/>
          <w:szCs w:val="18"/>
        </w:rPr>
        <w:footnoteRef/>
      </w:r>
      <w:r w:rsidRPr="002C7CD9">
        <w:rPr>
          <w:sz w:val="18"/>
          <w:szCs w:val="18"/>
        </w:rPr>
        <w:t xml:space="preserve"> See: </w:t>
      </w:r>
      <w:hyperlink r:id="rId1" w:history="1">
        <w:r w:rsidRPr="002C7CD9">
          <w:rPr>
            <w:rStyle w:val="Hyperlink"/>
            <w:sz w:val="18"/>
            <w:szCs w:val="18"/>
          </w:rPr>
          <w:t>www.hqsc.govt.nz/our-programmes/health-quality-evaluation/publications-and-resources/publication/4318</w:t>
        </w:r>
      </w:hyperlink>
      <w:r w:rsidRPr="002C7CD9">
        <w:rPr>
          <w:sz w:val="18"/>
          <w:szCs w:val="18"/>
        </w:rPr>
        <w:t xml:space="preserve">. </w:t>
      </w:r>
    </w:p>
  </w:footnote>
  <w:footnote w:id="9">
    <w:p w14:paraId="60852C8C" w14:textId="4404AF89" w:rsidR="00FB4E6C" w:rsidRPr="002C7CD9" w:rsidRDefault="00FB4E6C" w:rsidP="00EE4FB1">
      <w:pPr>
        <w:pStyle w:val="FootnoteText"/>
        <w:spacing w:line="276" w:lineRule="auto"/>
        <w:jc w:val="left"/>
        <w:rPr>
          <w:rFonts w:cs="Arial"/>
          <w:sz w:val="18"/>
          <w:szCs w:val="18"/>
        </w:rPr>
      </w:pPr>
      <w:r w:rsidRPr="002C7CD9">
        <w:rPr>
          <w:rStyle w:val="FootnoteReference"/>
          <w:rFonts w:cs="Arial"/>
          <w:sz w:val="18"/>
          <w:szCs w:val="18"/>
        </w:rPr>
        <w:footnoteRef/>
      </w:r>
      <w:r w:rsidRPr="002C7CD9">
        <w:rPr>
          <w:rFonts w:cs="Arial"/>
          <w:sz w:val="18"/>
          <w:szCs w:val="18"/>
        </w:rPr>
        <w:t xml:space="preserve"> Source: archived covid19.govt.nz website: </w:t>
      </w:r>
      <w:hyperlink r:id="rId2" w:anchor="health-services-at-alert-levels-3-and-4" w:history="1">
        <w:r w:rsidRPr="002C7CD9">
          <w:rPr>
            <w:rStyle w:val="Hyperlink"/>
            <w:rFonts w:cs="Arial"/>
            <w:sz w:val="18"/>
            <w:szCs w:val="18"/>
          </w:rPr>
          <w:t>https://web.archive.org/web/20200513091558mp_/https://covid19.govt.nz/individuals-and-households/health-and-wellbeing/how-to-access-healthcare/#health-services-at-alert-levels-3-and-4</w:t>
        </w:r>
      </w:hyperlink>
      <w:r w:rsidRPr="002C7CD9">
        <w:rPr>
          <w:rFonts w:cs="Arial"/>
          <w:sz w:val="18"/>
          <w:szCs w:val="18"/>
        </w:rPr>
        <w:t xml:space="preserve">. </w:t>
      </w:r>
    </w:p>
  </w:footnote>
  <w:footnote w:id="10">
    <w:p w14:paraId="16047B66" w14:textId="588A63C3" w:rsidR="00FB4E6C" w:rsidRPr="002C7CD9" w:rsidRDefault="00FB4E6C" w:rsidP="00EE4FB1">
      <w:pPr>
        <w:pStyle w:val="FootnoteText"/>
        <w:spacing w:line="276" w:lineRule="auto"/>
        <w:jc w:val="left"/>
        <w:rPr>
          <w:rFonts w:cs="Arial"/>
          <w:sz w:val="18"/>
          <w:szCs w:val="18"/>
        </w:rPr>
      </w:pPr>
      <w:r w:rsidRPr="002C7CD9">
        <w:rPr>
          <w:rStyle w:val="FootnoteReference"/>
          <w:rFonts w:cs="Arial"/>
          <w:sz w:val="18"/>
          <w:szCs w:val="18"/>
        </w:rPr>
        <w:footnoteRef/>
      </w:r>
      <w:r w:rsidRPr="002C7CD9">
        <w:rPr>
          <w:rFonts w:cs="Arial"/>
          <w:sz w:val="18"/>
          <w:szCs w:val="18"/>
        </w:rPr>
        <w:t xml:space="preserve"> Five DHBs had a proportion of the population with lower rates of disability than the overall survey population, however only </w:t>
      </w:r>
      <w:proofErr w:type="spellStart"/>
      <w:r w:rsidRPr="002C7CD9">
        <w:rPr>
          <w:rFonts w:cs="Arial"/>
          <w:sz w:val="18"/>
          <w:szCs w:val="18"/>
        </w:rPr>
        <w:t>Waitematā</w:t>
      </w:r>
      <w:proofErr w:type="spellEnd"/>
      <w:r w:rsidRPr="002C7CD9">
        <w:rPr>
          <w:rFonts w:cs="Arial"/>
          <w:sz w:val="18"/>
          <w:szCs w:val="18"/>
        </w:rPr>
        <w:t xml:space="preserve">, Capital &amp; Coast and Auckland were significantly lower. </w:t>
      </w:r>
    </w:p>
  </w:footnote>
  <w:footnote w:id="11">
    <w:p w14:paraId="44FEC468" w14:textId="6212FE57" w:rsidR="00FB4E6C" w:rsidRPr="002C7CD9" w:rsidRDefault="00FB4E6C" w:rsidP="00EE4FB1">
      <w:pPr>
        <w:pStyle w:val="FootnoteText"/>
        <w:spacing w:line="276" w:lineRule="auto"/>
        <w:jc w:val="left"/>
        <w:rPr>
          <w:rFonts w:cs="Arial"/>
          <w:sz w:val="18"/>
          <w:szCs w:val="18"/>
        </w:rPr>
      </w:pPr>
      <w:r w:rsidRPr="002C7CD9">
        <w:rPr>
          <w:rStyle w:val="FootnoteReference"/>
          <w:rFonts w:cs="Arial"/>
          <w:sz w:val="18"/>
          <w:szCs w:val="18"/>
        </w:rPr>
        <w:footnoteRef/>
      </w:r>
      <w:r w:rsidRPr="002C7CD9">
        <w:rPr>
          <w:rFonts w:cs="Arial"/>
          <w:sz w:val="18"/>
          <w:szCs w:val="18"/>
        </w:rPr>
        <w:t xml:space="preserve"> This figure excludes people who said they did not have any individual or cultural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DFEEAEA"/>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9D64A38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3D2FF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E25E37"/>
    <w:multiLevelType w:val="hybridMultilevel"/>
    <w:tmpl w:val="42B6D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407F71"/>
    <w:multiLevelType w:val="hybridMultilevel"/>
    <w:tmpl w:val="DBC825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9A0E99"/>
    <w:multiLevelType w:val="hybridMultilevel"/>
    <w:tmpl w:val="8E0E5AA4"/>
    <w:lvl w:ilvl="0" w:tplc="A70A9C18">
      <w:start w:val="1"/>
      <w:numFmt w:val="decimal"/>
      <w:pStyle w:val="1ListNumberQuestion2"/>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223095"/>
    <w:multiLevelType w:val="hybridMultilevel"/>
    <w:tmpl w:val="E7D461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8" w15:restartNumberingAfterBreak="0">
    <w:nsid w:val="21806BB5"/>
    <w:multiLevelType w:val="hybridMultilevel"/>
    <w:tmpl w:val="7A14B6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23A3EF4"/>
    <w:multiLevelType w:val="hybridMultilevel"/>
    <w:tmpl w:val="B1FA689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A53370"/>
    <w:multiLevelType w:val="hybridMultilevel"/>
    <w:tmpl w:val="282C93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FFB5BC9"/>
    <w:multiLevelType w:val="hybridMultilevel"/>
    <w:tmpl w:val="CA28F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35D3937"/>
    <w:multiLevelType w:val="hybridMultilevel"/>
    <w:tmpl w:val="5ABAE9C2"/>
    <w:lvl w:ilvl="0" w:tplc="FFFFFFFF">
      <w:start w:val="1"/>
      <w:numFmt w:val="lowerLetter"/>
      <w:pStyle w:val="ListText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3" w15:restartNumberingAfterBreak="0">
    <w:nsid w:val="33C9528A"/>
    <w:multiLevelType w:val="hybridMultilevel"/>
    <w:tmpl w:val="99168A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4D0E87"/>
    <w:multiLevelType w:val="hybridMultilevel"/>
    <w:tmpl w:val="33906F0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5D5460"/>
    <w:multiLevelType w:val="hybridMultilevel"/>
    <w:tmpl w:val="38207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F5942DA"/>
    <w:multiLevelType w:val="hybridMultilevel"/>
    <w:tmpl w:val="C0EE1F2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A546B51"/>
    <w:multiLevelType w:val="hybridMultilevel"/>
    <w:tmpl w:val="C6F405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F402A7D"/>
    <w:multiLevelType w:val="multilevel"/>
    <w:tmpl w:val="837E1172"/>
    <w:lvl w:ilvl="0">
      <w:start w:val="1"/>
      <w:numFmt w:val="decimal"/>
      <w:lvlText w:val="%1."/>
      <w:lvlJc w:val="left"/>
      <w:pPr>
        <w:tabs>
          <w:tab w:val="num" w:pos="720"/>
        </w:tabs>
        <w:ind w:left="720" w:hanging="720"/>
      </w:pPr>
    </w:lvl>
    <w:lvl w:ilvl="1">
      <w:start w:val="1"/>
      <w:numFmt w:val="decimal"/>
      <w:pStyle w:val="HdSNumberLevel2"/>
      <w:lvlText w:val="%1.%2"/>
      <w:lvlJc w:val="left"/>
      <w:pPr>
        <w:tabs>
          <w:tab w:val="num" w:pos="720"/>
        </w:tabs>
        <w:ind w:left="720" w:hanging="700"/>
      </w:pPr>
      <w:rPr>
        <w:rFonts w:ascii="Arial" w:hAnsi="Arial" w:hint="default"/>
        <w:b w:val="0"/>
        <w:i w:val="0"/>
        <w:caps w:val="0"/>
        <w:strike w:val="0"/>
        <w:dstrike w:val="0"/>
        <w:vanish w:val="0"/>
        <w:color w:val="000000"/>
        <w:sz w:val="20"/>
        <w:szCs w:val="20"/>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2"/>
        <w:szCs w:val="22"/>
        <w:vertAlign w:val="baseline"/>
      </w:rPr>
    </w:lvl>
    <w:lvl w:ilvl="4">
      <w:start w:val="1"/>
      <w:numFmt w:val="none"/>
      <w:lvlText w:val="(A)"/>
      <w:lvlJc w:val="left"/>
      <w:pPr>
        <w:tabs>
          <w:tab w:val="num" w:pos="2880"/>
        </w:tabs>
        <w:ind w:left="2880" w:hanging="720"/>
      </w:pPr>
      <w:rPr>
        <w:rFonts w:ascii="Palatino" w:hAnsi="Univers (W1)" w:hint="default"/>
        <w:b w:val="0"/>
        <w:i w:val="0"/>
        <w:caps w:val="0"/>
        <w:strike w:val="0"/>
        <w:dstrike w:val="0"/>
        <w:vanish w:val="0"/>
        <w:color w:val="auto"/>
        <w:sz w:val="24"/>
        <w:vertAlign w:val="baseline"/>
      </w:rPr>
    </w:lvl>
    <w:lvl w:ilvl="5">
      <w:start w:val="1"/>
      <w:numFmt w:val="upperRoman"/>
      <w:lvlText w:val="(%6)"/>
      <w:lvlJc w:val="left"/>
      <w:pPr>
        <w:tabs>
          <w:tab w:val="num" w:pos="3600"/>
        </w:tabs>
        <w:ind w:left="3600" w:hanging="720"/>
      </w:pPr>
      <w:rPr>
        <w:rFonts w:ascii="Palatino" w:hAnsi="Univers (W1)" w:hint="default"/>
        <w:b w:val="0"/>
        <w:i w:val="0"/>
        <w:caps w:val="0"/>
        <w:strike w:val="0"/>
        <w:dstrike w:val="0"/>
        <w:vanish w:val="0"/>
        <w:color w:val="00000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18"/>
  </w:num>
  <w:num w:numId="3">
    <w:abstractNumId w:val="12"/>
  </w:num>
  <w:num w:numId="4">
    <w:abstractNumId w:val="2"/>
  </w:num>
  <w:num w:numId="5">
    <w:abstractNumId w:val="1"/>
  </w:num>
  <w:num w:numId="6">
    <w:abstractNumId w:val="0"/>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3"/>
  </w:num>
  <w:num w:numId="11">
    <w:abstractNumId w:val="14"/>
  </w:num>
  <w:num w:numId="12">
    <w:abstractNumId w:val="8"/>
  </w:num>
  <w:num w:numId="13">
    <w:abstractNumId w:val="4"/>
  </w:num>
  <w:num w:numId="14">
    <w:abstractNumId w:val="10"/>
  </w:num>
  <w:num w:numId="15">
    <w:abstractNumId w:val="9"/>
  </w:num>
  <w:num w:numId="16">
    <w:abstractNumId w:val="16"/>
  </w:num>
  <w:num w:numId="17">
    <w:abstractNumId w:val="6"/>
  </w:num>
  <w:num w:numId="18">
    <w:abstractNumId w:val="3"/>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6F"/>
    <w:rsid w:val="00004DF3"/>
    <w:rsid w:val="00004FA8"/>
    <w:rsid w:val="00006D7D"/>
    <w:rsid w:val="00007AEC"/>
    <w:rsid w:val="00011690"/>
    <w:rsid w:val="00012D44"/>
    <w:rsid w:val="00015512"/>
    <w:rsid w:val="00015D0E"/>
    <w:rsid w:val="00017ADD"/>
    <w:rsid w:val="0002140A"/>
    <w:rsid w:val="00021AAD"/>
    <w:rsid w:val="0002350A"/>
    <w:rsid w:val="00023F40"/>
    <w:rsid w:val="000264D1"/>
    <w:rsid w:val="00031F35"/>
    <w:rsid w:val="00032599"/>
    <w:rsid w:val="00033DA3"/>
    <w:rsid w:val="00036E07"/>
    <w:rsid w:val="00037D99"/>
    <w:rsid w:val="00037D9F"/>
    <w:rsid w:val="00040CBE"/>
    <w:rsid w:val="000419E0"/>
    <w:rsid w:val="00045D81"/>
    <w:rsid w:val="00045F72"/>
    <w:rsid w:val="000462F1"/>
    <w:rsid w:val="00046755"/>
    <w:rsid w:val="00046A8B"/>
    <w:rsid w:val="000527F2"/>
    <w:rsid w:val="000528F2"/>
    <w:rsid w:val="0005324B"/>
    <w:rsid w:val="00053DE3"/>
    <w:rsid w:val="000547B9"/>
    <w:rsid w:val="00054BAE"/>
    <w:rsid w:val="000579F5"/>
    <w:rsid w:val="000605AA"/>
    <w:rsid w:val="00062676"/>
    <w:rsid w:val="0006311E"/>
    <w:rsid w:val="0006353E"/>
    <w:rsid w:val="00066712"/>
    <w:rsid w:val="00067B89"/>
    <w:rsid w:val="00070067"/>
    <w:rsid w:val="00074366"/>
    <w:rsid w:val="00074D67"/>
    <w:rsid w:val="00080BCB"/>
    <w:rsid w:val="00081E1C"/>
    <w:rsid w:val="00083051"/>
    <w:rsid w:val="00085A1D"/>
    <w:rsid w:val="00086D11"/>
    <w:rsid w:val="0009011A"/>
    <w:rsid w:val="00092429"/>
    <w:rsid w:val="00092A8E"/>
    <w:rsid w:val="00092D4A"/>
    <w:rsid w:val="00095682"/>
    <w:rsid w:val="0009611A"/>
    <w:rsid w:val="00096241"/>
    <w:rsid w:val="000A1ED8"/>
    <w:rsid w:val="000A4F5C"/>
    <w:rsid w:val="000A7837"/>
    <w:rsid w:val="000B18E4"/>
    <w:rsid w:val="000B213B"/>
    <w:rsid w:val="000B5775"/>
    <w:rsid w:val="000B6CA6"/>
    <w:rsid w:val="000C030A"/>
    <w:rsid w:val="000C09A3"/>
    <w:rsid w:val="000C1DC9"/>
    <w:rsid w:val="000C1FDD"/>
    <w:rsid w:val="000C2660"/>
    <w:rsid w:val="000C2890"/>
    <w:rsid w:val="000C2E84"/>
    <w:rsid w:val="000C69CE"/>
    <w:rsid w:val="000D0463"/>
    <w:rsid w:val="000D2262"/>
    <w:rsid w:val="000D5242"/>
    <w:rsid w:val="000D7596"/>
    <w:rsid w:val="000E176D"/>
    <w:rsid w:val="000E2106"/>
    <w:rsid w:val="000E5CE7"/>
    <w:rsid w:val="000F17F2"/>
    <w:rsid w:val="000F22F9"/>
    <w:rsid w:val="000F4D0C"/>
    <w:rsid w:val="000F4F78"/>
    <w:rsid w:val="000F7BA8"/>
    <w:rsid w:val="00102555"/>
    <w:rsid w:val="001027B0"/>
    <w:rsid w:val="00103324"/>
    <w:rsid w:val="00106EEC"/>
    <w:rsid w:val="0010746D"/>
    <w:rsid w:val="00107BF1"/>
    <w:rsid w:val="00112E77"/>
    <w:rsid w:val="00112F12"/>
    <w:rsid w:val="00113234"/>
    <w:rsid w:val="00113251"/>
    <w:rsid w:val="001149FD"/>
    <w:rsid w:val="00115BE2"/>
    <w:rsid w:val="00115DDA"/>
    <w:rsid w:val="00117DFE"/>
    <w:rsid w:val="00122326"/>
    <w:rsid w:val="00123CF5"/>
    <w:rsid w:val="0012448F"/>
    <w:rsid w:val="00124AED"/>
    <w:rsid w:val="001305CC"/>
    <w:rsid w:val="00130878"/>
    <w:rsid w:val="00132903"/>
    <w:rsid w:val="00132D96"/>
    <w:rsid w:val="0013339D"/>
    <w:rsid w:val="00134F81"/>
    <w:rsid w:val="00136BD9"/>
    <w:rsid w:val="001407C4"/>
    <w:rsid w:val="00140DA5"/>
    <w:rsid w:val="00140F1B"/>
    <w:rsid w:val="001417BE"/>
    <w:rsid w:val="001426F2"/>
    <w:rsid w:val="001433BB"/>
    <w:rsid w:val="00146A93"/>
    <w:rsid w:val="00147171"/>
    <w:rsid w:val="00147C0B"/>
    <w:rsid w:val="001530D0"/>
    <w:rsid w:val="00154705"/>
    <w:rsid w:val="00155D55"/>
    <w:rsid w:val="00160C14"/>
    <w:rsid w:val="00161529"/>
    <w:rsid w:val="00161723"/>
    <w:rsid w:val="00162447"/>
    <w:rsid w:val="00162A8D"/>
    <w:rsid w:val="001650D9"/>
    <w:rsid w:val="0016644F"/>
    <w:rsid w:val="001666B4"/>
    <w:rsid w:val="00166FC2"/>
    <w:rsid w:val="00170058"/>
    <w:rsid w:val="00170595"/>
    <w:rsid w:val="00173477"/>
    <w:rsid w:val="0017464B"/>
    <w:rsid w:val="001766F6"/>
    <w:rsid w:val="00180836"/>
    <w:rsid w:val="001818E1"/>
    <w:rsid w:val="001820DD"/>
    <w:rsid w:val="00184361"/>
    <w:rsid w:val="0018493D"/>
    <w:rsid w:val="0018638E"/>
    <w:rsid w:val="00186F6C"/>
    <w:rsid w:val="0018793C"/>
    <w:rsid w:val="00191243"/>
    <w:rsid w:val="00191CCF"/>
    <w:rsid w:val="001921E6"/>
    <w:rsid w:val="00193C38"/>
    <w:rsid w:val="00195CF9"/>
    <w:rsid w:val="001A093E"/>
    <w:rsid w:val="001A136C"/>
    <w:rsid w:val="001A3DFC"/>
    <w:rsid w:val="001A41C7"/>
    <w:rsid w:val="001A51B6"/>
    <w:rsid w:val="001B1007"/>
    <w:rsid w:val="001B15E9"/>
    <w:rsid w:val="001B2281"/>
    <w:rsid w:val="001B232F"/>
    <w:rsid w:val="001B2FAA"/>
    <w:rsid w:val="001B3201"/>
    <w:rsid w:val="001B3520"/>
    <w:rsid w:val="001B48D2"/>
    <w:rsid w:val="001B4A5C"/>
    <w:rsid w:val="001B5C83"/>
    <w:rsid w:val="001B5CC3"/>
    <w:rsid w:val="001C105F"/>
    <w:rsid w:val="001C148E"/>
    <w:rsid w:val="001C3961"/>
    <w:rsid w:val="001D0766"/>
    <w:rsid w:val="001D190A"/>
    <w:rsid w:val="001D3916"/>
    <w:rsid w:val="001D3B68"/>
    <w:rsid w:val="001D4748"/>
    <w:rsid w:val="001D4E8F"/>
    <w:rsid w:val="001D530D"/>
    <w:rsid w:val="001D58C9"/>
    <w:rsid w:val="001D7A36"/>
    <w:rsid w:val="001E10AA"/>
    <w:rsid w:val="001E2394"/>
    <w:rsid w:val="001E7C80"/>
    <w:rsid w:val="001F13F5"/>
    <w:rsid w:val="001F257B"/>
    <w:rsid w:val="001F43F2"/>
    <w:rsid w:val="001F4500"/>
    <w:rsid w:val="001F4C9E"/>
    <w:rsid w:val="001F5AB0"/>
    <w:rsid w:val="001F5E35"/>
    <w:rsid w:val="002034DD"/>
    <w:rsid w:val="002034F9"/>
    <w:rsid w:val="00203B15"/>
    <w:rsid w:val="00203CB2"/>
    <w:rsid w:val="002045B9"/>
    <w:rsid w:val="00211A6E"/>
    <w:rsid w:val="00212149"/>
    <w:rsid w:val="00214A6C"/>
    <w:rsid w:val="00215E89"/>
    <w:rsid w:val="00216AF5"/>
    <w:rsid w:val="0022315A"/>
    <w:rsid w:val="00226259"/>
    <w:rsid w:val="00230F78"/>
    <w:rsid w:val="0023131A"/>
    <w:rsid w:val="00233312"/>
    <w:rsid w:val="00233FFA"/>
    <w:rsid w:val="002347DD"/>
    <w:rsid w:val="00234848"/>
    <w:rsid w:val="002349EB"/>
    <w:rsid w:val="00235185"/>
    <w:rsid w:val="002351A3"/>
    <w:rsid w:val="00236CB7"/>
    <w:rsid w:val="00237832"/>
    <w:rsid w:val="002412CB"/>
    <w:rsid w:val="00241883"/>
    <w:rsid w:val="002423DF"/>
    <w:rsid w:val="00242544"/>
    <w:rsid w:val="00243009"/>
    <w:rsid w:val="00243D5C"/>
    <w:rsid w:val="00244946"/>
    <w:rsid w:val="00244CB8"/>
    <w:rsid w:val="00245CBB"/>
    <w:rsid w:val="00245CE7"/>
    <w:rsid w:val="00245D9D"/>
    <w:rsid w:val="00246F9D"/>
    <w:rsid w:val="002500DB"/>
    <w:rsid w:val="002526DC"/>
    <w:rsid w:val="00262EBF"/>
    <w:rsid w:val="002638FD"/>
    <w:rsid w:val="002642C9"/>
    <w:rsid w:val="0026602A"/>
    <w:rsid w:val="00266533"/>
    <w:rsid w:val="00266A5A"/>
    <w:rsid w:val="002704FB"/>
    <w:rsid w:val="00270A34"/>
    <w:rsid w:val="00271497"/>
    <w:rsid w:val="00271FB6"/>
    <w:rsid w:val="00273219"/>
    <w:rsid w:val="002744EA"/>
    <w:rsid w:val="00275202"/>
    <w:rsid w:val="002756EF"/>
    <w:rsid w:val="002760F5"/>
    <w:rsid w:val="002803F7"/>
    <w:rsid w:val="00280754"/>
    <w:rsid w:val="002820E5"/>
    <w:rsid w:val="0028271D"/>
    <w:rsid w:val="00282C68"/>
    <w:rsid w:val="002844A7"/>
    <w:rsid w:val="002851B5"/>
    <w:rsid w:val="00286FAF"/>
    <w:rsid w:val="00292FBF"/>
    <w:rsid w:val="0029369C"/>
    <w:rsid w:val="00293AC9"/>
    <w:rsid w:val="00294588"/>
    <w:rsid w:val="00296B84"/>
    <w:rsid w:val="0029775E"/>
    <w:rsid w:val="002A0380"/>
    <w:rsid w:val="002A08B7"/>
    <w:rsid w:val="002A228B"/>
    <w:rsid w:val="002A3CA3"/>
    <w:rsid w:val="002A5FDB"/>
    <w:rsid w:val="002A7684"/>
    <w:rsid w:val="002B00DE"/>
    <w:rsid w:val="002B026F"/>
    <w:rsid w:val="002B0EC3"/>
    <w:rsid w:val="002B195E"/>
    <w:rsid w:val="002B1B71"/>
    <w:rsid w:val="002B36F4"/>
    <w:rsid w:val="002B371F"/>
    <w:rsid w:val="002B451F"/>
    <w:rsid w:val="002B4555"/>
    <w:rsid w:val="002B6190"/>
    <w:rsid w:val="002B65A3"/>
    <w:rsid w:val="002B7FF5"/>
    <w:rsid w:val="002C1953"/>
    <w:rsid w:val="002C1DAD"/>
    <w:rsid w:val="002C36DE"/>
    <w:rsid w:val="002C6C41"/>
    <w:rsid w:val="002C7CD9"/>
    <w:rsid w:val="002D21A3"/>
    <w:rsid w:val="002D473C"/>
    <w:rsid w:val="002D647C"/>
    <w:rsid w:val="002D71B6"/>
    <w:rsid w:val="002D75A3"/>
    <w:rsid w:val="002E21C4"/>
    <w:rsid w:val="002E2429"/>
    <w:rsid w:val="002E26BF"/>
    <w:rsid w:val="002E2D4E"/>
    <w:rsid w:val="002E612B"/>
    <w:rsid w:val="002E614C"/>
    <w:rsid w:val="002F0522"/>
    <w:rsid w:val="002F0747"/>
    <w:rsid w:val="002F078E"/>
    <w:rsid w:val="002F1E18"/>
    <w:rsid w:val="002F228E"/>
    <w:rsid w:val="002F4F3B"/>
    <w:rsid w:val="002F58AD"/>
    <w:rsid w:val="002F626C"/>
    <w:rsid w:val="00300043"/>
    <w:rsid w:val="0030008E"/>
    <w:rsid w:val="00303A95"/>
    <w:rsid w:val="00304735"/>
    <w:rsid w:val="00304930"/>
    <w:rsid w:val="00304C26"/>
    <w:rsid w:val="003060D1"/>
    <w:rsid w:val="00310A9F"/>
    <w:rsid w:val="00310C5E"/>
    <w:rsid w:val="003145B6"/>
    <w:rsid w:val="003145FB"/>
    <w:rsid w:val="00315781"/>
    <w:rsid w:val="003162D4"/>
    <w:rsid w:val="003166AF"/>
    <w:rsid w:val="0032051D"/>
    <w:rsid w:val="00320A33"/>
    <w:rsid w:val="0032286F"/>
    <w:rsid w:val="003239A2"/>
    <w:rsid w:val="0032494E"/>
    <w:rsid w:val="00324BB0"/>
    <w:rsid w:val="00325E43"/>
    <w:rsid w:val="00326896"/>
    <w:rsid w:val="00326A38"/>
    <w:rsid w:val="00327F14"/>
    <w:rsid w:val="00330E0D"/>
    <w:rsid w:val="00332C6A"/>
    <w:rsid w:val="00333725"/>
    <w:rsid w:val="003339D9"/>
    <w:rsid w:val="00334079"/>
    <w:rsid w:val="0033419F"/>
    <w:rsid w:val="0033439E"/>
    <w:rsid w:val="00335F2B"/>
    <w:rsid w:val="00337AC4"/>
    <w:rsid w:val="00340455"/>
    <w:rsid w:val="00341CE8"/>
    <w:rsid w:val="00343648"/>
    <w:rsid w:val="003441CA"/>
    <w:rsid w:val="00345050"/>
    <w:rsid w:val="003450C9"/>
    <w:rsid w:val="003460F4"/>
    <w:rsid w:val="00346A49"/>
    <w:rsid w:val="00346B4E"/>
    <w:rsid w:val="003471B1"/>
    <w:rsid w:val="003502D3"/>
    <w:rsid w:val="00353F7A"/>
    <w:rsid w:val="003541A2"/>
    <w:rsid w:val="003554D1"/>
    <w:rsid w:val="00355683"/>
    <w:rsid w:val="0035595B"/>
    <w:rsid w:val="00356E0C"/>
    <w:rsid w:val="00357A56"/>
    <w:rsid w:val="003601F6"/>
    <w:rsid w:val="0036057E"/>
    <w:rsid w:val="00363C40"/>
    <w:rsid w:val="0036572C"/>
    <w:rsid w:val="00372208"/>
    <w:rsid w:val="0037522F"/>
    <w:rsid w:val="00380D37"/>
    <w:rsid w:val="003813D3"/>
    <w:rsid w:val="003831D3"/>
    <w:rsid w:val="0038389E"/>
    <w:rsid w:val="00383B69"/>
    <w:rsid w:val="00383D4F"/>
    <w:rsid w:val="003840A1"/>
    <w:rsid w:val="00385167"/>
    <w:rsid w:val="00386137"/>
    <w:rsid w:val="0038777B"/>
    <w:rsid w:val="003924FD"/>
    <w:rsid w:val="00396046"/>
    <w:rsid w:val="003A054D"/>
    <w:rsid w:val="003A06D2"/>
    <w:rsid w:val="003A14FD"/>
    <w:rsid w:val="003A2075"/>
    <w:rsid w:val="003A2354"/>
    <w:rsid w:val="003A3A74"/>
    <w:rsid w:val="003A4CA7"/>
    <w:rsid w:val="003A5698"/>
    <w:rsid w:val="003A61DA"/>
    <w:rsid w:val="003A6272"/>
    <w:rsid w:val="003B0176"/>
    <w:rsid w:val="003B56AB"/>
    <w:rsid w:val="003B6EC5"/>
    <w:rsid w:val="003B7641"/>
    <w:rsid w:val="003B787B"/>
    <w:rsid w:val="003B7B7A"/>
    <w:rsid w:val="003C0F58"/>
    <w:rsid w:val="003C1C4C"/>
    <w:rsid w:val="003C1DB1"/>
    <w:rsid w:val="003C234A"/>
    <w:rsid w:val="003C2835"/>
    <w:rsid w:val="003C31DA"/>
    <w:rsid w:val="003C4974"/>
    <w:rsid w:val="003C4C8E"/>
    <w:rsid w:val="003C78FB"/>
    <w:rsid w:val="003D193E"/>
    <w:rsid w:val="003D27EE"/>
    <w:rsid w:val="003D3D13"/>
    <w:rsid w:val="003D73CE"/>
    <w:rsid w:val="003D7505"/>
    <w:rsid w:val="003D754E"/>
    <w:rsid w:val="003E02C3"/>
    <w:rsid w:val="003E0C23"/>
    <w:rsid w:val="003E2924"/>
    <w:rsid w:val="003F043D"/>
    <w:rsid w:val="003F0C53"/>
    <w:rsid w:val="003F27BC"/>
    <w:rsid w:val="003F3BF4"/>
    <w:rsid w:val="003F4F2E"/>
    <w:rsid w:val="003F5144"/>
    <w:rsid w:val="003F5C12"/>
    <w:rsid w:val="003F7E80"/>
    <w:rsid w:val="00401054"/>
    <w:rsid w:val="00401511"/>
    <w:rsid w:val="004024A5"/>
    <w:rsid w:val="004045B0"/>
    <w:rsid w:val="0040479E"/>
    <w:rsid w:val="004047A1"/>
    <w:rsid w:val="00405706"/>
    <w:rsid w:val="00407765"/>
    <w:rsid w:val="00407BA8"/>
    <w:rsid w:val="00410B7E"/>
    <w:rsid w:val="0041196E"/>
    <w:rsid w:val="004152F6"/>
    <w:rsid w:val="00416119"/>
    <w:rsid w:val="00417328"/>
    <w:rsid w:val="00417A00"/>
    <w:rsid w:val="004203C0"/>
    <w:rsid w:val="00422724"/>
    <w:rsid w:val="00422914"/>
    <w:rsid w:val="00425733"/>
    <w:rsid w:val="00430BEB"/>
    <w:rsid w:val="00431DA8"/>
    <w:rsid w:val="00432547"/>
    <w:rsid w:val="00433C32"/>
    <w:rsid w:val="0043494F"/>
    <w:rsid w:val="00435ABF"/>
    <w:rsid w:val="00436A36"/>
    <w:rsid w:val="004416EC"/>
    <w:rsid w:val="00441727"/>
    <w:rsid w:val="00442F28"/>
    <w:rsid w:val="00445D22"/>
    <w:rsid w:val="004518A8"/>
    <w:rsid w:val="00451908"/>
    <w:rsid w:val="0045232C"/>
    <w:rsid w:val="004532E4"/>
    <w:rsid w:val="00453B99"/>
    <w:rsid w:val="00453E27"/>
    <w:rsid w:val="00454863"/>
    <w:rsid w:val="004559E5"/>
    <w:rsid w:val="00455C97"/>
    <w:rsid w:val="00457E61"/>
    <w:rsid w:val="00460002"/>
    <w:rsid w:val="00460899"/>
    <w:rsid w:val="00460BA7"/>
    <w:rsid w:val="00462A51"/>
    <w:rsid w:val="00462EEA"/>
    <w:rsid w:val="00463232"/>
    <w:rsid w:val="00463D5E"/>
    <w:rsid w:val="00463DF6"/>
    <w:rsid w:val="00464E35"/>
    <w:rsid w:val="00465C3E"/>
    <w:rsid w:val="004669D8"/>
    <w:rsid w:val="00466BC3"/>
    <w:rsid w:val="00470EDC"/>
    <w:rsid w:val="00471C09"/>
    <w:rsid w:val="00472342"/>
    <w:rsid w:val="00473D67"/>
    <w:rsid w:val="0047607A"/>
    <w:rsid w:val="00477432"/>
    <w:rsid w:val="004778AF"/>
    <w:rsid w:val="00480AF2"/>
    <w:rsid w:val="00480CA0"/>
    <w:rsid w:val="00483B19"/>
    <w:rsid w:val="004850B0"/>
    <w:rsid w:val="0048581E"/>
    <w:rsid w:val="00487201"/>
    <w:rsid w:val="00487B00"/>
    <w:rsid w:val="0049078D"/>
    <w:rsid w:val="00490FCD"/>
    <w:rsid w:val="00491238"/>
    <w:rsid w:val="00491B9B"/>
    <w:rsid w:val="00491E9C"/>
    <w:rsid w:val="00492284"/>
    <w:rsid w:val="00493AD0"/>
    <w:rsid w:val="004944F2"/>
    <w:rsid w:val="00494542"/>
    <w:rsid w:val="00494689"/>
    <w:rsid w:val="004951D1"/>
    <w:rsid w:val="00495A45"/>
    <w:rsid w:val="00496992"/>
    <w:rsid w:val="00496A79"/>
    <w:rsid w:val="00496F2A"/>
    <w:rsid w:val="004A0900"/>
    <w:rsid w:val="004A0948"/>
    <w:rsid w:val="004A0AF3"/>
    <w:rsid w:val="004A0CB9"/>
    <w:rsid w:val="004A20C9"/>
    <w:rsid w:val="004A2F58"/>
    <w:rsid w:val="004A3D96"/>
    <w:rsid w:val="004A6BD4"/>
    <w:rsid w:val="004B0551"/>
    <w:rsid w:val="004B29BB"/>
    <w:rsid w:val="004B6426"/>
    <w:rsid w:val="004B69F9"/>
    <w:rsid w:val="004B7A47"/>
    <w:rsid w:val="004B7EE8"/>
    <w:rsid w:val="004C3E85"/>
    <w:rsid w:val="004C47C5"/>
    <w:rsid w:val="004C66A5"/>
    <w:rsid w:val="004C6D3B"/>
    <w:rsid w:val="004C6F58"/>
    <w:rsid w:val="004D01BE"/>
    <w:rsid w:val="004D12F6"/>
    <w:rsid w:val="004D1C29"/>
    <w:rsid w:val="004D298A"/>
    <w:rsid w:val="004D31EB"/>
    <w:rsid w:val="004D3B78"/>
    <w:rsid w:val="004D3E5F"/>
    <w:rsid w:val="004D467A"/>
    <w:rsid w:val="004E13B2"/>
    <w:rsid w:val="004E321A"/>
    <w:rsid w:val="004E347E"/>
    <w:rsid w:val="004E6435"/>
    <w:rsid w:val="004E6855"/>
    <w:rsid w:val="004E6D31"/>
    <w:rsid w:val="004E7477"/>
    <w:rsid w:val="004F2241"/>
    <w:rsid w:val="004F25CC"/>
    <w:rsid w:val="004F5528"/>
    <w:rsid w:val="004F7509"/>
    <w:rsid w:val="005005DF"/>
    <w:rsid w:val="005009C2"/>
    <w:rsid w:val="00501BD4"/>
    <w:rsid w:val="00501EDE"/>
    <w:rsid w:val="00502AFB"/>
    <w:rsid w:val="00503044"/>
    <w:rsid w:val="00504B78"/>
    <w:rsid w:val="0050547B"/>
    <w:rsid w:val="0050746C"/>
    <w:rsid w:val="005075F1"/>
    <w:rsid w:val="00512AEA"/>
    <w:rsid w:val="00514099"/>
    <w:rsid w:val="005154C2"/>
    <w:rsid w:val="00516241"/>
    <w:rsid w:val="00522626"/>
    <w:rsid w:val="005236B3"/>
    <w:rsid w:val="005248F1"/>
    <w:rsid w:val="005250DC"/>
    <w:rsid w:val="00525E23"/>
    <w:rsid w:val="00526A31"/>
    <w:rsid w:val="00531965"/>
    <w:rsid w:val="005328AD"/>
    <w:rsid w:val="0053430A"/>
    <w:rsid w:val="00534520"/>
    <w:rsid w:val="00534D1D"/>
    <w:rsid w:val="00536943"/>
    <w:rsid w:val="00536EF0"/>
    <w:rsid w:val="0054277A"/>
    <w:rsid w:val="00542B95"/>
    <w:rsid w:val="005441CA"/>
    <w:rsid w:val="0054611A"/>
    <w:rsid w:val="00547143"/>
    <w:rsid w:val="005479F5"/>
    <w:rsid w:val="00547F1F"/>
    <w:rsid w:val="005524ED"/>
    <w:rsid w:val="00553881"/>
    <w:rsid w:val="00554F2C"/>
    <w:rsid w:val="00555668"/>
    <w:rsid w:val="00555960"/>
    <w:rsid w:val="00555BC3"/>
    <w:rsid w:val="00561901"/>
    <w:rsid w:val="00562737"/>
    <w:rsid w:val="0056372E"/>
    <w:rsid w:val="005637C0"/>
    <w:rsid w:val="00564A33"/>
    <w:rsid w:val="0056546F"/>
    <w:rsid w:val="00565D76"/>
    <w:rsid w:val="00567806"/>
    <w:rsid w:val="00570AA6"/>
    <w:rsid w:val="00572137"/>
    <w:rsid w:val="005738D0"/>
    <w:rsid w:val="00573E64"/>
    <w:rsid w:val="00573ECF"/>
    <w:rsid w:val="00575152"/>
    <w:rsid w:val="00577151"/>
    <w:rsid w:val="00577300"/>
    <w:rsid w:val="00581FDC"/>
    <w:rsid w:val="0058410A"/>
    <w:rsid w:val="005846E3"/>
    <w:rsid w:val="005868CE"/>
    <w:rsid w:val="00590786"/>
    <w:rsid w:val="00590817"/>
    <w:rsid w:val="00594734"/>
    <w:rsid w:val="005949A6"/>
    <w:rsid w:val="0059609D"/>
    <w:rsid w:val="005964F2"/>
    <w:rsid w:val="005A02CF"/>
    <w:rsid w:val="005A036E"/>
    <w:rsid w:val="005A0AC7"/>
    <w:rsid w:val="005A0CAB"/>
    <w:rsid w:val="005A5DA6"/>
    <w:rsid w:val="005A6519"/>
    <w:rsid w:val="005A6A0C"/>
    <w:rsid w:val="005B148F"/>
    <w:rsid w:val="005B28FE"/>
    <w:rsid w:val="005B47A4"/>
    <w:rsid w:val="005B4B47"/>
    <w:rsid w:val="005B6E6D"/>
    <w:rsid w:val="005B7D71"/>
    <w:rsid w:val="005C3D3B"/>
    <w:rsid w:val="005C49E8"/>
    <w:rsid w:val="005C4A74"/>
    <w:rsid w:val="005C53C3"/>
    <w:rsid w:val="005C5C53"/>
    <w:rsid w:val="005C5DAD"/>
    <w:rsid w:val="005D03D5"/>
    <w:rsid w:val="005D0D7B"/>
    <w:rsid w:val="005D18C5"/>
    <w:rsid w:val="005D38C2"/>
    <w:rsid w:val="005D4143"/>
    <w:rsid w:val="005D4AED"/>
    <w:rsid w:val="005D5C5A"/>
    <w:rsid w:val="005D67BE"/>
    <w:rsid w:val="005D7B93"/>
    <w:rsid w:val="005E1370"/>
    <w:rsid w:val="005E2549"/>
    <w:rsid w:val="005E26A2"/>
    <w:rsid w:val="005E2B2E"/>
    <w:rsid w:val="005E30A4"/>
    <w:rsid w:val="005E38D7"/>
    <w:rsid w:val="005E4F2C"/>
    <w:rsid w:val="005E5040"/>
    <w:rsid w:val="005E602E"/>
    <w:rsid w:val="005E625C"/>
    <w:rsid w:val="005E73BD"/>
    <w:rsid w:val="005E76E9"/>
    <w:rsid w:val="005F160F"/>
    <w:rsid w:val="005F1F4A"/>
    <w:rsid w:val="005F2B28"/>
    <w:rsid w:val="005F507A"/>
    <w:rsid w:val="005F5C19"/>
    <w:rsid w:val="005F6B4D"/>
    <w:rsid w:val="00602D7B"/>
    <w:rsid w:val="00603C14"/>
    <w:rsid w:val="00604AEE"/>
    <w:rsid w:val="006058D8"/>
    <w:rsid w:val="0060647C"/>
    <w:rsid w:val="00606BF4"/>
    <w:rsid w:val="00606D58"/>
    <w:rsid w:val="00607173"/>
    <w:rsid w:val="006072E4"/>
    <w:rsid w:val="00607AC0"/>
    <w:rsid w:val="006117C4"/>
    <w:rsid w:val="00612058"/>
    <w:rsid w:val="0061216F"/>
    <w:rsid w:val="00613720"/>
    <w:rsid w:val="00613E1E"/>
    <w:rsid w:val="00616D18"/>
    <w:rsid w:val="00616D40"/>
    <w:rsid w:val="006177A1"/>
    <w:rsid w:val="006178AA"/>
    <w:rsid w:val="006213F4"/>
    <w:rsid w:val="006227CA"/>
    <w:rsid w:val="00623841"/>
    <w:rsid w:val="00624D07"/>
    <w:rsid w:val="00625079"/>
    <w:rsid w:val="0062577C"/>
    <w:rsid w:val="00626DE2"/>
    <w:rsid w:val="00627525"/>
    <w:rsid w:val="00633DBD"/>
    <w:rsid w:val="00637D3D"/>
    <w:rsid w:val="006402C8"/>
    <w:rsid w:val="006410AB"/>
    <w:rsid w:val="00644F2C"/>
    <w:rsid w:val="00647140"/>
    <w:rsid w:val="00650346"/>
    <w:rsid w:val="00651E2C"/>
    <w:rsid w:val="006520D9"/>
    <w:rsid w:val="0065346D"/>
    <w:rsid w:val="006534A7"/>
    <w:rsid w:val="006548AE"/>
    <w:rsid w:val="00656CED"/>
    <w:rsid w:val="006603A9"/>
    <w:rsid w:val="006603FA"/>
    <w:rsid w:val="006606FB"/>
    <w:rsid w:val="00661B20"/>
    <w:rsid w:val="0066200E"/>
    <w:rsid w:val="00662BAF"/>
    <w:rsid w:val="006637C3"/>
    <w:rsid w:val="006637FA"/>
    <w:rsid w:val="006640F2"/>
    <w:rsid w:val="00665912"/>
    <w:rsid w:val="00665A9D"/>
    <w:rsid w:val="00666309"/>
    <w:rsid w:val="00666BF9"/>
    <w:rsid w:val="00667578"/>
    <w:rsid w:val="00667DC0"/>
    <w:rsid w:val="00670112"/>
    <w:rsid w:val="00676F36"/>
    <w:rsid w:val="00677048"/>
    <w:rsid w:val="00677539"/>
    <w:rsid w:val="006801CA"/>
    <w:rsid w:val="00680B79"/>
    <w:rsid w:val="006814E9"/>
    <w:rsid w:val="0068190E"/>
    <w:rsid w:val="0068294E"/>
    <w:rsid w:val="006830E5"/>
    <w:rsid w:val="00685064"/>
    <w:rsid w:val="00685A25"/>
    <w:rsid w:val="00685BC5"/>
    <w:rsid w:val="00685C5A"/>
    <w:rsid w:val="00686CE2"/>
    <w:rsid w:val="00687C91"/>
    <w:rsid w:val="006905AE"/>
    <w:rsid w:val="00691297"/>
    <w:rsid w:val="006916F7"/>
    <w:rsid w:val="00691953"/>
    <w:rsid w:val="00691B8F"/>
    <w:rsid w:val="00691EAC"/>
    <w:rsid w:val="00692111"/>
    <w:rsid w:val="006936F4"/>
    <w:rsid w:val="00693937"/>
    <w:rsid w:val="00693B73"/>
    <w:rsid w:val="00694215"/>
    <w:rsid w:val="006958B6"/>
    <w:rsid w:val="006959AF"/>
    <w:rsid w:val="0069699C"/>
    <w:rsid w:val="006971D7"/>
    <w:rsid w:val="006A0228"/>
    <w:rsid w:val="006A2F10"/>
    <w:rsid w:val="006A30B6"/>
    <w:rsid w:val="006A4371"/>
    <w:rsid w:val="006A508A"/>
    <w:rsid w:val="006A6947"/>
    <w:rsid w:val="006A6FC1"/>
    <w:rsid w:val="006B1DBD"/>
    <w:rsid w:val="006B3AE4"/>
    <w:rsid w:val="006B492E"/>
    <w:rsid w:val="006B5817"/>
    <w:rsid w:val="006C00CF"/>
    <w:rsid w:val="006C3760"/>
    <w:rsid w:val="006C4AE7"/>
    <w:rsid w:val="006C54C8"/>
    <w:rsid w:val="006C56C9"/>
    <w:rsid w:val="006C5B5A"/>
    <w:rsid w:val="006C78D4"/>
    <w:rsid w:val="006D132D"/>
    <w:rsid w:val="006D1B3F"/>
    <w:rsid w:val="006D2704"/>
    <w:rsid w:val="006D27EC"/>
    <w:rsid w:val="006D4B4D"/>
    <w:rsid w:val="006D4F9A"/>
    <w:rsid w:val="006D5589"/>
    <w:rsid w:val="006D736B"/>
    <w:rsid w:val="006E01D4"/>
    <w:rsid w:val="006E05AC"/>
    <w:rsid w:val="006E09A9"/>
    <w:rsid w:val="006E4066"/>
    <w:rsid w:val="006E4437"/>
    <w:rsid w:val="006E6665"/>
    <w:rsid w:val="006E669A"/>
    <w:rsid w:val="006F00DF"/>
    <w:rsid w:val="006F0B0E"/>
    <w:rsid w:val="006F0EE2"/>
    <w:rsid w:val="006F55E7"/>
    <w:rsid w:val="006F7CDA"/>
    <w:rsid w:val="00702692"/>
    <w:rsid w:val="00702E32"/>
    <w:rsid w:val="00703DDD"/>
    <w:rsid w:val="00705CBA"/>
    <w:rsid w:val="00706D1C"/>
    <w:rsid w:val="00707134"/>
    <w:rsid w:val="007105A9"/>
    <w:rsid w:val="00711023"/>
    <w:rsid w:val="007111D8"/>
    <w:rsid w:val="007119C6"/>
    <w:rsid w:val="00712F4A"/>
    <w:rsid w:val="007142C8"/>
    <w:rsid w:val="00715769"/>
    <w:rsid w:val="0071587C"/>
    <w:rsid w:val="007177B2"/>
    <w:rsid w:val="00720E65"/>
    <w:rsid w:val="00721B34"/>
    <w:rsid w:val="00722AFF"/>
    <w:rsid w:val="0072592B"/>
    <w:rsid w:val="0072765D"/>
    <w:rsid w:val="007277CC"/>
    <w:rsid w:val="00730A2E"/>
    <w:rsid w:val="00730C65"/>
    <w:rsid w:val="007334A3"/>
    <w:rsid w:val="00734BD1"/>
    <w:rsid w:val="00735B89"/>
    <w:rsid w:val="007416E7"/>
    <w:rsid w:val="00741E73"/>
    <w:rsid w:val="00744BAB"/>
    <w:rsid w:val="007455C8"/>
    <w:rsid w:val="00753367"/>
    <w:rsid w:val="00755100"/>
    <w:rsid w:val="007559C3"/>
    <w:rsid w:val="007567E5"/>
    <w:rsid w:val="00761301"/>
    <w:rsid w:val="00766619"/>
    <w:rsid w:val="0077002E"/>
    <w:rsid w:val="00770697"/>
    <w:rsid w:val="0077199B"/>
    <w:rsid w:val="00772B91"/>
    <w:rsid w:val="0077336B"/>
    <w:rsid w:val="007737D9"/>
    <w:rsid w:val="00774729"/>
    <w:rsid w:val="00775AC6"/>
    <w:rsid w:val="00776424"/>
    <w:rsid w:val="00777493"/>
    <w:rsid w:val="00781C9B"/>
    <w:rsid w:val="00784C22"/>
    <w:rsid w:val="0078639F"/>
    <w:rsid w:val="007903BB"/>
    <w:rsid w:val="007906D3"/>
    <w:rsid w:val="00792207"/>
    <w:rsid w:val="00792911"/>
    <w:rsid w:val="0079377B"/>
    <w:rsid w:val="007940EB"/>
    <w:rsid w:val="00794279"/>
    <w:rsid w:val="0079540D"/>
    <w:rsid w:val="00796C21"/>
    <w:rsid w:val="0079720B"/>
    <w:rsid w:val="007A053E"/>
    <w:rsid w:val="007A25AD"/>
    <w:rsid w:val="007A345B"/>
    <w:rsid w:val="007A5ABB"/>
    <w:rsid w:val="007A5DBB"/>
    <w:rsid w:val="007A68E5"/>
    <w:rsid w:val="007A7548"/>
    <w:rsid w:val="007B2E0C"/>
    <w:rsid w:val="007B2FA3"/>
    <w:rsid w:val="007B3411"/>
    <w:rsid w:val="007B34D3"/>
    <w:rsid w:val="007B3D6C"/>
    <w:rsid w:val="007B41E5"/>
    <w:rsid w:val="007B58AA"/>
    <w:rsid w:val="007C1350"/>
    <w:rsid w:val="007C164D"/>
    <w:rsid w:val="007C2E7B"/>
    <w:rsid w:val="007C3FAC"/>
    <w:rsid w:val="007C6C01"/>
    <w:rsid w:val="007D0010"/>
    <w:rsid w:val="007D245F"/>
    <w:rsid w:val="007D33BF"/>
    <w:rsid w:val="007D3A48"/>
    <w:rsid w:val="007D3C3A"/>
    <w:rsid w:val="007D6381"/>
    <w:rsid w:val="007D6980"/>
    <w:rsid w:val="007D7E13"/>
    <w:rsid w:val="007D7EB7"/>
    <w:rsid w:val="007E1288"/>
    <w:rsid w:val="007E1A25"/>
    <w:rsid w:val="007E233A"/>
    <w:rsid w:val="007E25C3"/>
    <w:rsid w:val="007E441A"/>
    <w:rsid w:val="007E56D3"/>
    <w:rsid w:val="007F0ACA"/>
    <w:rsid w:val="007F0E70"/>
    <w:rsid w:val="007F172D"/>
    <w:rsid w:val="007F1D56"/>
    <w:rsid w:val="007F3B32"/>
    <w:rsid w:val="00802F51"/>
    <w:rsid w:val="00803770"/>
    <w:rsid w:val="00803FA5"/>
    <w:rsid w:val="00803FE0"/>
    <w:rsid w:val="008048AA"/>
    <w:rsid w:val="008067BC"/>
    <w:rsid w:val="008109BB"/>
    <w:rsid w:val="008109C6"/>
    <w:rsid w:val="00810A07"/>
    <w:rsid w:val="0081454E"/>
    <w:rsid w:val="00820C63"/>
    <w:rsid w:val="00820D3E"/>
    <w:rsid w:val="0082133C"/>
    <w:rsid w:val="0082480D"/>
    <w:rsid w:val="00824A0C"/>
    <w:rsid w:val="008254D8"/>
    <w:rsid w:val="00827B6E"/>
    <w:rsid w:val="00827F38"/>
    <w:rsid w:val="00830330"/>
    <w:rsid w:val="00830B5E"/>
    <w:rsid w:val="008316CA"/>
    <w:rsid w:val="008377FE"/>
    <w:rsid w:val="0084081B"/>
    <w:rsid w:val="008423DD"/>
    <w:rsid w:val="008458DB"/>
    <w:rsid w:val="00846836"/>
    <w:rsid w:val="00847214"/>
    <w:rsid w:val="00850DBC"/>
    <w:rsid w:val="00852E87"/>
    <w:rsid w:val="00853493"/>
    <w:rsid w:val="008535E5"/>
    <w:rsid w:val="0085442B"/>
    <w:rsid w:val="0085497F"/>
    <w:rsid w:val="008556B6"/>
    <w:rsid w:val="0085573B"/>
    <w:rsid w:val="00856763"/>
    <w:rsid w:val="00856776"/>
    <w:rsid w:val="00857638"/>
    <w:rsid w:val="0086064B"/>
    <w:rsid w:val="0086114E"/>
    <w:rsid w:val="0086206B"/>
    <w:rsid w:val="0086409A"/>
    <w:rsid w:val="00864120"/>
    <w:rsid w:val="0087163F"/>
    <w:rsid w:val="00871F92"/>
    <w:rsid w:val="008734EE"/>
    <w:rsid w:val="008736BD"/>
    <w:rsid w:val="00873971"/>
    <w:rsid w:val="00877D19"/>
    <w:rsid w:val="008810E2"/>
    <w:rsid w:val="008819F0"/>
    <w:rsid w:val="008836AB"/>
    <w:rsid w:val="00883723"/>
    <w:rsid w:val="0088494C"/>
    <w:rsid w:val="0088733C"/>
    <w:rsid w:val="00887486"/>
    <w:rsid w:val="00887523"/>
    <w:rsid w:val="00887C3A"/>
    <w:rsid w:val="008902FF"/>
    <w:rsid w:val="00891C75"/>
    <w:rsid w:val="00892A98"/>
    <w:rsid w:val="00894259"/>
    <w:rsid w:val="00894800"/>
    <w:rsid w:val="00895A88"/>
    <w:rsid w:val="00896963"/>
    <w:rsid w:val="00896985"/>
    <w:rsid w:val="00897EC5"/>
    <w:rsid w:val="008A26CB"/>
    <w:rsid w:val="008A3BCF"/>
    <w:rsid w:val="008A748C"/>
    <w:rsid w:val="008B0080"/>
    <w:rsid w:val="008B0CF9"/>
    <w:rsid w:val="008B361D"/>
    <w:rsid w:val="008B3F76"/>
    <w:rsid w:val="008B4A18"/>
    <w:rsid w:val="008B6343"/>
    <w:rsid w:val="008B69A2"/>
    <w:rsid w:val="008B7125"/>
    <w:rsid w:val="008B7D2F"/>
    <w:rsid w:val="008C15AE"/>
    <w:rsid w:val="008C30AE"/>
    <w:rsid w:val="008C7BE3"/>
    <w:rsid w:val="008D1150"/>
    <w:rsid w:val="008D4D67"/>
    <w:rsid w:val="008E1C3B"/>
    <w:rsid w:val="008E312C"/>
    <w:rsid w:val="008E50C0"/>
    <w:rsid w:val="008E543B"/>
    <w:rsid w:val="008E5C4F"/>
    <w:rsid w:val="008E5E6B"/>
    <w:rsid w:val="008E612A"/>
    <w:rsid w:val="008E7A16"/>
    <w:rsid w:val="008F009C"/>
    <w:rsid w:val="008F3054"/>
    <w:rsid w:val="008F3BE2"/>
    <w:rsid w:val="008F40A7"/>
    <w:rsid w:val="008F4377"/>
    <w:rsid w:val="008F5071"/>
    <w:rsid w:val="008F64C0"/>
    <w:rsid w:val="008F6902"/>
    <w:rsid w:val="008F70E2"/>
    <w:rsid w:val="00901F2F"/>
    <w:rsid w:val="00902D8F"/>
    <w:rsid w:val="00902EA0"/>
    <w:rsid w:val="009055B2"/>
    <w:rsid w:val="00905DC2"/>
    <w:rsid w:val="00905EDD"/>
    <w:rsid w:val="00906049"/>
    <w:rsid w:val="00906171"/>
    <w:rsid w:val="009112AF"/>
    <w:rsid w:val="009120A4"/>
    <w:rsid w:val="00914F1E"/>
    <w:rsid w:val="0091577A"/>
    <w:rsid w:val="0091591A"/>
    <w:rsid w:val="0091719A"/>
    <w:rsid w:val="0091727B"/>
    <w:rsid w:val="00920125"/>
    <w:rsid w:val="00920379"/>
    <w:rsid w:val="00924515"/>
    <w:rsid w:val="00926294"/>
    <w:rsid w:val="00926DEB"/>
    <w:rsid w:val="00927374"/>
    <w:rsid w:val="009278A2"/>
    <w:rsid w:val="00930167"/>
    <w:rsid w:val="00931146"/>
    <w:rsid w:val="00931D61"/>
    <w:rsid w:val="009324F0"/>
    <w:rsid w:val="0093276F"/>
    <w:rsid w:val="00933DBD"/>
    <w:rsid w:val="00934D26"/>
    <w:rsid w:val="009405EC"/>
    <w:rsid w:val="00940977"/>
    <w:rsid w:val="00941481"/>
    <w:rsid w:val="00943217"/>
    <w:rsid w:val="00943FD2"/>
    <w:rsid w:val="009444F5"/>
    <w:rsid w:val="009450E0"/>
    <w:rsid w:val="00952ADA"/>
    <w:rsid w:val="0095383B"/>
    <w:rsid w:val="0095389A"/>
    <w:rsid w:val="00954DFB"/>
    <w:rsid w:val="00955161"/>
    <w:rsid w:val="00955B32"/>
    <w:rsid w:val="00957064"/>
    <w:rsid w:val="0095732C"/>
    <w:rsid w:val="009605C8"/>
    <w:rsid w:val="00960D3C"/>
    <w:rsid w:val="009648C6"/>
    <w:rsid w:val="00964AD1"/>
    <w:rsid w:val="00965854"/>
    <w:rsid w:val="0096669D"/>
    <w:rsid w:val="009678C6"/>
    <w:rsid w:val="009738A5"/>
    <w:rsid w:val="00975403"/>
    <w:rsid w:val="00975DC9"/>
    <w:rsid w:val="00977415"/>
    <w:rsid w:val="00977810"/>
    <w:rsid w:val="00980F03"/>
    <w:rsid w:val="009850D7"/>
    <w:rsid w:val="0098592F"/>
    <w:rsid w:val="00985CA0"/>
    <w:rsid w:val="009874C9"/>
    <w:rsid w:val="009900ED"/>
    <w:rsid w:val="009911D1"/>
    <w:rsid w:val="009919A8"/>
    <w:rsid w:val="009925D2"/>
    <w:rsid w:val="009939E1"/>
    <w:rsid w:val="00994E99"/>
    <w:rsid w:val="0099585F"/>
    <w:rsid w:val="009959FD"/>
    <w:rsid w:val="009A0A7A"/>
    <w:rsid w:val="009A1B1F"/>
    <w:rsid w:val="009A2BA1"/>
    <w:rsid w:val="009A2D19"/>
    <w:rsid w:val="009A5026"/>
    <w:rsid w:val="009A60BC"/>
    <w:rsid w:val="009A60BD"/>
    <w:rsid w:val="009A678C"/>
    <w:rsid w:val="009A6A1D"/>
    <w:rsid w:val="009A6D45"/>
    <w:rsid w:val="009A6DDF"/>
    <w:rsid w:val="009A709F"/>
    <w:rsid w:val="009B0149"/>
    <w:rsid w:val="009B0A73"/>
    <w:rsid w:val="009B2395"/>
    <w:rsid w:val="009B28C8"/>
    <w:rsid w:val="009B30AE"/>
    <w:rsid w:val="009B3400"/>
    <w:rsid w:val="009B5EAB"/>
    <w:rsid w:val="009B5F39"/>
    <w:rsid w:val="009B5F49"/>
    <w:rsid w:val="009B67A0"/>
    <w:rsid w:val="009B7035"/>
    <w:rsid w:val="009C026F"/>
    <w:rsid w:val="009C0470"/>
    <w:rsid w:val="009C2124"/>
    <w:rsid w:val="009C3C0B"/>
    <w:rsid w:val="009C3CB0"/>
    <w:rsid w:val="009C493A"/>
    <w:rsid w:val="009C5165"/>
    <w:rsid w:val="009C7CFA"/>
    <w:rsid w:val="009D17B2"/>
    <w:rsid w:val="009D2E59"/>
    <w:rsid w:val="009D4F78"/>
    <w:rsid w:val="009D5E72"/>
    <w:rsid w:val="009D632E"/>
    <w:rsid w:val="009D76BE"/>
    <w:rsid w:val="009E0748"/>
    <w:rsid w:val="009E1E1E"/>
    <w:rsid w:val="009E56C6"/>
    <w:rsid w:val="009E6C54"/>
    <w:rsid w:val="009E7FE9"/>
    <w:rsid w:val="009F2977"/>
    <w:rsid w:val="009F4068"/>
    <w:rsid w:val="009F49EE"/>
    <w:rsid w:val="009F52FB"/>
    <w:rsid w:val="009F6877"/>
    <w:rsid w:val="009F7050"/>
    <w:rsid w:val="00A00EAE"/>
    <w:rsid w:val="00A00FC2"/>
    <w:rsid w:val="00A014B6"/>
    <w:rsid w:val="00A0347C"/>
    <w:rsid w:val="00A039FA"/>
    <w:rsid w:val="00A0536E"/>
    <w:rsid w:val="00A06DCE"/>
    <w:rsid w:val="00A06DDB"/>
    <w:rsid w:val="00A07800"/>
    <w:rsid w:val="00A12277"/>
    <w:rsid w:val="00A1450A"/>
    <w:rsid w:val="00A15BBC"/>
    <w:rsid w:val="00A16C16"/>
    <w:rsid w:val="00A16C50"/>
    <w:rsid w:val="00A2066D"/>
    <w:rsid w:val="00A20995"/>
    <w:rsid w:val="00A2471A"/>
    <w:rsid w:val="00A262F6"/>
    <w:rsid w:val="00A27474"/>
    <w:rsid w:val="00A27ADF"/>
    <w:rsid w:val="00A3011A"/>
    <w:rsid w:val="00A325C7"/>
    <w:rsid w:val="00A3338D"/>
    <w:rsid w:val="00A339BA"/>
    <w:rsid w:val="00A3490B"/>
    <w:rsid w:val="00A3496E"/>
    <w:rsid w:val="00A354FB"/>
    <w:rsid w:val="00A35709"/>
    <w:rsid w:val="00A358AF"/>
    <w:rsid w:val="00A35AB6"/>
    <w:rsid w:val="00A37715"/>
    <w:rsid w:val="00A377A8"/>
    <w:rsid w:val="00A37A3C"/>
    <w:rsid w:val="00A41C1F"/>
    <w:rsid w:val="00A4315E"/>
    <w:rsid w:val="00A43508"/>
    <w:rsid w:val="00A4487B"/>
    <w:rsid w:val="00A449E9"/>
    <w:rsid w:val="00A47622"/>
    <w:rsid w:val="00A5159B"/>
    <w:rsid w:val="00A549AE"/>
    <w:rsid w:val="00A54B4F"/>
    <w:rsid w:val="00A54D69"/>
    <w:rsid w:val="00A55F04"/>
    <w:rsid w:val="00A56960"/>
    <w:rsid w:val="00A56E84"/>
    <w:rsid w:val="00A57485"/>
    <w:rsid w:val="00A57DC4"/>
    <w:rsid w:val="00A62279"/>
    <w:rsid w:val="00A64127"/>
    <w:rsid w:val="00A677EB"/>
    <w:rsid w:val="00A70DE3"/>
    <w:rsid w:val="00A715AC"/>
    <w:rsid w:val="00A71F3A"/>
    <w:rsid w:val="00A723AF"/>
    <w:rsid w:val="00A740F3"/>
    <w:rsid w:val="00A74DE0"/>
    <w:rsid w:val="00A75978"/>
    <w:rsid w:val="00A76B9A"/>
    <w:rsid w:val="00A77251"/>
    <w:rsid w:val="00A7782B"/>
    <w:rsid w:val="00A805B8"/>
    <w:rsid w:val="00A81552"/>
    <w:rsid w:val="00A81B50"/>
    <w:rsid w:val="00A82A33"/>
    <w:rsid w:val="00A83AED"/>
    <w:rsid w:val="00A84DF9"/>
    <w:rsid w:val="00A87420"/>
    <w:rsid w:val="00A953F1"/>
    <w:rsid w:val="00A9577B"/>
    <w:rsid w:val="00A95B80"/>
    <w:rsid w:val="00A95F08"/>
    <w:rsid w:val="00A97598"/>
    <w:rsid w:val="00AA0159"/>
    <w:rsid w:val="00AA3883"/>
    <w:rsid w:val="00AA4598"/>
    <w:rsid w:val="00AA4ED2"/>
    <w:rsid w:val="00AA50AA"/>
    <w:rsid w:val="00AA7649"/>
    <w:rsid w:val="00AB01C0"/>
    <w:rsid w:val="00AB070B"/>
    <w:rsid w:val="00AB16FE"/>
    <w:rsid w:val="00AB22A3"/>
    <w:rsid w:val="00AB5182"/>
    <w:rsid w:val="00AB582E"/>
    <w:rsid w:val="00AB60AD"/>
    <w:rsid w:val="00AB61FA"/>
    <w:rsid w:val="00AB6C19"/>
    <w:rsid w:val="00AB7BBA"/>
    <w:rsid w:val="00AC116B"/>
    <w:rsid w:val="00AC1A7A"/>
    <w:rsid w:val="00AC223C"/>
    <w:rsid w:val="00AC35E7"/>
    <w:rsid w:val="00AC5280"/>
    <w:rsid w:val="00AC52FC"/>
    <w:rsid w:val="00AC6533"/>
    <w:rsid w:val="00AC72C7"/>
    <w:rsid w:val="00AC7A17"/>
    <w:rsid w:val="00AD01EC"/>
    <w:rsid w:val="00AD41C7"/>
    <w:rsid w:val="00AD6F27"/>
    <w:rsid w:val="00AD7526"/>
    <w:rsid w:val="00AD7EF4"/>
    <w:rsid w:val="00AE0223"/>
    <w:rsid w:val="00AE0F00"/>
    <w:rsid w:val="00AE2445"/>
    <w:rsid w:val="00AE686C"/>
    <w:rsid w:val="00AF29B8"/>
    <w:rsid w:val="00AF3672"/>
    <w:rsid w:val="00AF4AB2"/>
    <w:rsid w:val="00B0064F"/>
    <w:rsid w:val="00B006CA"/>
    <w:rsid w:val="00B00C54"/>
    <w:rsid w:val="00B02A02"/>
    <w:rsid w:val="00B03C6C"/>
    <w:rsid w:val="00B04982"/>
    <w:rsid w:val="00B0539D"/>
    <w:rsid w:val="00B058A8"/>
    <w:rsid w:val="00B064C2"/>
    <w:rsid w:val="00B15F4E"/>
    <w:rsid w:val="00B1699D"/>
    <w:rsid w:val="00B17566"/>
    <w:rsid w:val="00B17BBA"/>
    <w:rsid w:val="00B217D2"/>
    <w:rsid w:val="00B24B4B"/>
    <w:rsid w:val="00B3214B"/>
    <w:rsid w:val="00B32152"/>
    <w:rsid w:val="00B32848"/>
    <w:rsid w:val="00B332B5"/>
    <w:rsid w:val="00B347CB"/>
    <w:rsid w:val="00B35283"/>
    <w:rsid w:val="00B36D61"/>
    <w:rsid w:val="00B370D0"/>
    <w:rsid w:val="00B37CA5"/>
    <w:rsid w:val="00B401DD"/>
    <w:rsid w:val="00B41098"/>
    <w:rsid w:val="00B4373B"/>
    <w:rsid w:val="00B4389D"/>
    <w:rsid w:val="00B44E34"/>
    <w:rsid w:val="00B470A7"/>
    <w:rsid w:val="00B47CC1"/>
    <w:rsid w:val="00B51E41"/>
    <w:rsid w:val="00B52404"/>
    <w:rsid w:val="00B52D47"/>
    <w:rsid w:val="00B54303"/>
    <w:rsid w:val="00B55BAD"/>
    <w:rsid w:val="00B56186"/>
    <w:rsid w:val="00B56E77"/>
    <w:rsid w:val="00B64ED8"/>
    <w:rsid w:val="00B70393"/>
    <w:rsid w:val="00B709B4"/>
    <w:rsid w:val="00B70F14"/>
    <w:rsid w:val="00B7135A"/>
    <w:rsid w:val="00B71643"/>
    <w:rsid w:val="00B73E95"/>
    <w:rsid w:val="00B753EB"/>
    <w:rsid w:val="00B75760"/>
    <w:rsid w:val="00B76696"/>
    <w:rsid w:val="00B76B14"/>
    <w:rsid w:val="00B76E56"/>
    <w:rsid w:val="00B7795B"/>
    <w:rsid w:val="00B77D27"/>
    <w:rsid w:val="00B77FCF"/>
    <w:rsid w:val="00B821D7"/>
    <w:rsid w:val="00B822E6"/>
    <w:rsid w:val="00B82DFF"/>
    <w:rsid w:val="00B83D07"/>
    <w:rsid w:val="00B846FE"/>
    <w:rsid w:val="00B85259"/>
    <w:rsid w:val="00B86B5D"/>
    <w:rsid w:val="00B8786F"/>
    <w:rsid w:val="00B913A3"/>
    <w:rsid w:val="00B91EC7"/>
    <w:rsid w:val="00B9201D"/>
    <w:rsid w:val="00B93AF2"/>
    <w:rsid w:val="00B93B61"/>
    <w:rsid w:val="00B949C7"/>
    <w:rsid w:val="00B96191"/>
    <w:rsid w:val="00B9725C"/>
    <w:rsid w:val="00BA17D9"/>
    <w:rsid w:val="00BA220A"/>
    <w:rsid w:val="00BA332B"/>
    <w:rsid w:val="00BA5076"/>
    <w:rsid w:val="00BA6CDE"/>
    <w:rsid w:val="00BA6FD7"/>
    <w:rsid w:val="00BA718E"/>
    <w:rsid w:val="00BB0AF1"/>
    <w:rsid w:val="00BB0D86"/>
    <w:rsid w:val="00BB2EC7"/>
    <w:rsid w:val="00BB3324"/>
    <w:rsid w:val="00BB38F7"/>
    <w:rsid w:val="00BB3B05"/>
    <w:rsid w:val="00BB43C8"/>
    <w:rsid w:val="00BB486F"/>
    <w:rsid w:val="00BB4E56"/>
    <w:rsid w:val="00BB582B"/>
    <w:rsid w:val="00BC02CB"/>
    <w:rsid w:val="00BC12A2"/>
    <w:rsid w:val="00BC1F48"/>
    <w:rsid w:val="00BC265B"/>
    <w:rsid w:val="00BC315D"/>
    <w:rsid w:val="00BC54DB"/>
    <w:rsid w:val="00BC6DC6"/>
    <w:rsid w:val="00BC71E4"/>
    <w:rsid w:val="00BD1049"/>
    <w:rsid w:val="00BD217D"/>
    <w:rsid w:val="00BD5072"/>
    <w:rsid w:val="00BD6089"/>
    <w:rsid w:val="00BD7DB2"/>
    <w:rsid w:val="00BE06DD"/>
    <w:rsid w:val="00BE1412"/>
    <w:rsid w:val="00BE38C7"/>
    <w:rsid w:val="00BE3F57"/>
    <w:rsid w:val="00BE432D"/>
    <w:rsid w:val="00BE456C"/>
    <w:rsid w:val="00BE65D2"/>
    <w:rsid w:val="00BE7CFF"/>
    <w:rsid w:val="00BF026C"/>
    <w:rsid w:val="00BF10DA"/>
    <w:rsid w:val="00BF2649"/>
    <w:rsid w:val="00BF2D0A"/>
    <w:rsid w:val="00BF7468"/>
    <w:rsid w:val="00BF75B1"/>
    <w:rsid w:val="00C005D4"/>
    <w:rsid w:val="00C0115B"/>
    <w:rsid w:val="00C011A1"/>
    <w:rsid w:val="00C01311"/>
    <w:rsid w:val="00C03B1E"/>
    <w:rsid w:val="00C05262"/>
    <w:rsid w:val="00C05280"/>
    <w:rsid w:val="00C05953"/>
    <w:rsid w:val="00C060DF"/>
    <w:rsid w:val="00C0650F"/>
    <w:rsid w:val="00C10B54"/>
    <w:rsid w:val="00C113A1"/>
    <w:rsid w:val="00C127C7"/>
    <w:rsid w:val="00C15A4A"/>
    <w:rsid w:val="00C163A3"/>
    <w:rsid w:val="00C16556"/>
    <w:rsid w:val="00C17CFD"/>
    <w:rsid w:val="00C203EB"/>
    <w:rsid w:val="00C2097D"/>
    <w:rsid w:val="00C2134B"/>
    <w:rsid w:val="00C21F75"/>
    <w:rsid w:val="00C258F6"/>
    <w:rsid w:val="00C26366"/>
    <w:rsid w:val="00C27DBC"/>
    <w:rsid w:val="00C305F3"/>
    <w:rsid w:val="00C3213E"/>
    <w:rsid w:val="00C33C81"/>
    <w:rsid w:val="00C34544"/>
    <w:rsid w:val="00C34BB7"/>
    <w:rsid w:val="00C352B3"/>
    <w:rsid w:val="00C352C6"/>
    <w:rsid w:val="00C35C76"/>
    <w:rsid w:val="00C370EB"/>
    <w:rsid w:val="00C40863"/>
    <w:rsid w:val="00C40D69"/>
    <w:rsid w:val="00C41257"/>
    <w:rsid w:val="00C426BD"/>
    <w:rsid w:val="00C43093"/>
    <w:rsid w:val="00C43998"/>
    <w:rsid w:val="00C44DE8"/>
    <w:rsid w:val="00C45D66"/>
    <w:rsid w:val="00C464A6"/>
    <w:rsid w:val="00C46886"/>
    <w:rsid w:val="00C51FEE"/>
    <w:rsid w:val="00C5214C"/>
    <w:rsid w:val="00C52A3A"/>
    <w:rsid w:val="00C52CEE"/>
    <w:rsid w:val="00C542FF"/>
    <w:rsid w:val="00C54DCE"/>
    <w:rsid w:val="00C554B5"/>
    <w:rsid w:val="00C56845"/>
    <w:rsid w:val="00C60E98"/>
    <w:rsid w:val="00C625BB"/>
    <w:rsid w:val="00C62653"/>
    <w:rsid w:val="00C64582"/>
    <w:rsid w:val="00C648CD"/>
    <w:rsid w:val="00C64D7D"/>
    <w:rsid w:val="00C65598"/>
    <w:rsid w:val="00C67AA5"/>
    <w:rsid w:val="00C71D89"/>
    <w:rsid w:val="00C7201A"/>
    <w:rsid w:val="00C72111"/>
    <w:rsid w:val="00C72A3A"/>
    <w:rsid w:val="00C72D07"/>
    <w:rsid w:val="00C74072"/>
    <w:rsid w:val="00C753DF"/>
    <w:rsid w:val="00C7552B"/>
    <w:rsid w:val="00C826A7"/>
    <w:rsid w:val="00C83B02"/>
    <w:rsid w:val="00C86168"/>
    <w:rsid w:val="00C87B6A"/>
    <w:rsid w:val="00C90431"/>
    <w:rsid w:val="00C90A6A"/>
    <w:rsid w:val="00C91A58"/>
    <w:rsid w:val="00C958EE"/>
    <w:rsid w:val="00CA2AD7"/>
    <w:rsid w:val="00CA330A"/>
    <w:rsid w:val="00CA3635"/>
    <w:rsid w:val="00CA4AC0"/>
    <w:rsid w:val="00CA5732"/>
    <w:rsid w:val="00CA5B4E"/>
    <w:rsid w:val="00CA7DBB"/>
    <w:rsid w:val="00CA7EC1"/>
    <w:rsid w:val="00CB104F"/>
    <w:rsid w:val="00CB1A16"/>
    <w:rsid w:val="00CB3111"/>
    <w:rsid w:val="00CB3800"/>
    <w:rsid w:val="00CB7272"/>
    <w:rsid w:val="00CB72E7"/>
    <w:rsid w:val="00CC1CF2"/>
    <w:rsid w:val="00CC5469"/>
    <w:rsid w:val="00CC6720"/>
    <w:rsid w:val="00CD1037"/>
    <w:rsid w:val="00CD2A25"/>
    <w:rsid w:val="00CD30EA"/>
    <w:rsid w:val="00CD4FFC"/>
    <w:rsid w:val="00CD59F1"/>
    <w:rsid w:val="00CD5F9C"/>
    <w:rsid w:val="00CD76B9"/>
    <w:rsid w:val="00CD7AAF"/>
    <w:rsid w:val="00CE04DD"/>
    <w:rsid w:val="00CE0AC4"/>
    <w:rsid w:val="00CE12B6"/>
    <w:rsid w:val="00CE45F9"/>
    <w:rsid w:val="00CE4A97"/>
    <w:rsid w:val="00CE512B"/>
    <w:rsid w:val="00CE6993"/>
    <w:rsid w:val="00CE7407"/>
    <w:rsid w:val="00CF2E5A"/>
    <w:rsid w:val="00CF43F7"/>
    <w:rsid w:val="00CF64B1"/>
    <w:rsid w:val="00CF6589"/>
    <w:rsid w:val="00CF7C80"/>
    <w:rsid w:val="00D00E41"/>
    <w:rsid w:val="00D00E45"/>
    <w:rsid w:val="00D04140"/>
    <w:rsid w:val="00D0537F"/>
    <w:rsid w:val="00D05B74"/>
    <w:rsid w:val="00D05DDF"/>
    <w:rsid w:val="00D060AD"/>
    <w:rsid w:val="00D06309"/>
    <w:rsid w:val="00D064D4"/>
    <w:rsid w:val="00D064ED"/>
    <w:rsid w:val="00D06809"/>
    <w:rsid w:val="00D10A08"/>
    <w:rsid w:val="00D163D1"/>
    <w:rsid w:val="00D17D82"/>
    <w:rsid w:val="00D21265"/>
    <w:rsid w:val="00D23375"/>
    <w:rsid w:val="00D2750F"/>
    <w:rsid w:val="00D27876"/>
    <w:rsid w:val="00D305A6"/>
    <w:rsid w:val="00D311B4"/>
    <w:rsid w:val="00D317F6"/>
    <w:rsid w:val="00D3542B"/>
    <w:rsid w:val="00D35810"/>
    <w:rsid w:val="00D4101D"/>
    <w:rsid w:val="00D417B0"/>
    <w:rsid w:val="00D42B3A"/>
    <w:rsid w:val="00D43D5B"/>
    <w:rsid w:val="00D45571"/>
    <w:rsid w:val="00D46067"/>
    <w:rsid w:val="00D46335"/>
    <w:rsid w:val="00D4643A"/>
    <w:rsid w:val="00D46C17"/>
    <w:rsid w:val="00D47519"/>
    <w:rsid w:val="00D5154C"/>
    <w:rsid w:val="00D60152"/>
    <w:rsid w:val="00D63D3B"/>
    <w:rsid w:val="00D6606F"/>
    <w:rsid w:val="00D661C7"/>
    <w:rsid w:val="00D66FAD"/>
    <w:rsid w:val="00D70EAC"/>
    <w:rsid w:val="00D72C0E"/>
    <w:rsid w:val="00D741CD"/>
    <w:rsid w:val="00D748B2"/>
    <w:rsid w:val="00D75322"/>
    <w:rsid w:val="00D760A3"/>
    <w:rsid w:val="00D76305"/>
    <w:rsid w:val="00D7692F"/>
    <w:rsid w:val="00D76B8B"/>
    <w:rsid w:val="00D80BE3"/>
    <w:rsid w:val="00D81790"/>
    <w:rsid w:val="00D838EC"/>
    <w:rsid w:val="00D8480B"/>
    <w:rsid w:val="00D87C8B"/>
    <w:rsid w:val="00D909A0"/>
    <w:rsid w:val="00D923A2"/>
    <w:rsid w:val="00D92C13"/>
    <w:rsid w:val="00D9330B"/>
    <w:rsid w:val="00D93B26"/>
    <w:rsid w:val="00D940DC"/>
    <w:rsid w:val="00D9435D"/>
    <w:rsid w:val="00D94996"/>
    <w:rsid w:val="00D949F8"/>
    <w:rsid w:val="00D9634C"/>
    <w:rsid w:val="00D963AB"/>
    <w:rsid w:val="00D966BD"/>
    <w:rsid w:val="00D968A9"/>
    <w:rsid w:val="00DA1411"/>
    <w:rsid w:val="00DA346F"/>
    <w:rsid w:val="00DA454B"/>
    <w:rsid w:val="00DA601B"/>
    <w:rsid w:val="00DA61DA"/>
    <w:rsid w:val="00DA6938"/>
    <w:rsid w:val="00DA7219"/>
    <w:rsid w:val="00DB0B8B"/>
    <w:rsid w:val="00DB15E7"/>
    <w:rsid w:val="00DB1D19"/>
    <w:rsid w:val="00DB330F"/>
    <w:rsid w:val="00DB387F"/>
    <w:rsid w:val="00DB408B"/>
    <w:rsid w:val="00DB622E"/>
    <w:rsid w:val="00DB6F4D"/>
    <w:rsid w:val="00DB719C"/>
    <w:rsid w:val="00DB76C8"/>
    <w:rsid w:val="00DB792C"/>
    <w:rsid w:val="00DC042B"/>
    <w:rsid w:val="00DC52DF"/>
    <w:rsid w:val="00DC7813"/>
    <w:rsid w:val="00DD03BC"/>
    <w:rsid w:val="00DD28E2"/>
    <w:rsid w:val="00DD32A3"/>
    <w:rsid w:val="00DD54B1"/>
    <w:rsid w:val="00DD6495"/>
    <w:rsid w:val="00DE1818"/>
    <w:rsid w:val="00DE2E5B"/>
    <w:rsid w:val="00DE3F16"/>
    <w:rsid w:val="00DE4536"/>
    <w:rsid w:val="00DE5175"/>
    <w:rsid w:val="00DE5636"/>
    <w:rsid w:val="00DE5812"/>
    <w:rsid w:val="00DE66AA"/>
    <w:rsid w:val="00DE6E29"/>
    <w:rsid w:val="00DE6F6D"/>
    <w:rsid w:val="00DF0A67"/>
    <w:rsid w:val="00DF143D"/>
    <w:rsid w:val="00DF4433"/>
    <w:rsid w:val="00DF4A66"/>
    <w:rsid w:val="00DF56AE"/>
    <w:rsid w:val="00DF5A35"/>
    <w:rsid w:val="00E00A0C"/>
    <w:rsid w:val="00E01059"/>
    <w:rsid w:val="00E01422"/>
    <w:rsid w:val="00E021E7"/>
    <w:rsid w:val="00E0536C"/>
    <w:rsid w:val="00E077DB"/>
    <w:rsid w:val="00E118EA"/>
    <w:rsid w:val="00E1371E"/>
    <w:rsid w:val="00E14097"/>
    <w:rsid w:val="00E169A8"/>
    <w:rsid w:val="00E17F06"/>
    <w:rsid w:val="00E2001C"/>
    <w:rsid w:val="00E20783"/>
    <w:rsid w:val="00E21137"/>
    <w:rsid w:val="00E21DF1"/>
    <w:rsid w:val="00E22118"/>
    <w:rsid w:val="00E223EC"/>
    <w:rsid w:val="00E230B0"/>
    <w:rsid w:val="00E24B7A"/>
    <w:rsid w:val="00E250F6"/>
    <w:rsid w:val="00E30739"/>
    <w:rsid w:val="00E3086C"/>
    <w:rsid w:val="00E31339"/>
    <w:rsid w:val="00E31A83"/>
    <w:rsid w:val="00E31D67"/>
    <w:rsid w:val="00E33F76"/>
    <w:rsid w:val="00E3441E"/>
    <w:rsid w:val="00E351FB"/>
    <w:rsid w:val="00E37E0D"/>
    <w:rsid w:val="00E40B0C"/>
    <w:rsid w:val="00E4232C"/>
    <w:rsid w:val="00E44DFF"/>
    <w:rsid w:val="00E45D7C"/>
    <w:rsid w:val="00E46606"/>
    <w:rsid w:val="00E46D8E"/>
    <w:rsid w:val="00E472DE"/>
    <w:rsid w:val="00E5063F"/>
    <w:rsid w:val="00E5228F"/>
    <w:rsid w:val="00E53B45"/>
    <w:rsid w:val="00E5420D"/>
    <w:rsid w:val="00E60938"/>
    <w:rsid w:val="00E60EA0"/>
    <w:rsid w:val="00E6194D"/>
    <w:rsid w:val="00E62F41"/>
    <w:rsid w:val="00E63ADC"/>
    <w:rsid w:val="00E66C13"/>
    <w:rsid w:val="00E66E40"/>
    <w:rsid w:val="00E70275"/>
    <w:rsid w:val="00E707AD"/>
    <w:rsid w:val="00E71CB6"/>
    <w:rsid w:val="00E747C7"/>
    <w:rsid w:val="00E75E64"/>
    <w:rsid w:val="00E75EF9"/>
    <w:rsid w:val="00E81C4C"/>
    <w:rsid w:val="00E81F68"/>
    <w:rsid w:val="00E854F7"/>
    <w:rsid w:val="00E8587B"/>
    <w:rsid w:val="00E85947"/>
    <w:rsid w:val="00E8688E"/>
    <w:rsid w:val="00E869FD"/>
    <w:rsid w:val="00E9133F"/>
    <w:rsid w:val="00E925E0"/>
    <w:rsid w:val="00E941AA"/>
    <w:rsid w:val="00E94ACD"/>
    <w:rsid w:val="00E95A71"/>
    <w:rsid w:val="00E95A78"/>
    <w:rsid w:val="00E9688F"/>
    <w:rsid w:val="00E975EB"/>
    <w:rsid w:val="00EA0714"/>
    <w:rsid w:val="00EA1AAB"/>
    <w:rsid w:val="00EA2D87"/>
    <w:rsid w:val="00EA6016"/>
    <w:rsid w:val="00EA7427"/>
    <w:rsid w:val="00EA797D"/>
    <w:rsid w:val="00EB0E7F"/>
    <w:rsid w:val="00EB0FB2"/>
    <w:rsid w:val="00EB1484"/>
    <w:rsid w:val="00EB19A7"/>
    <w:rsid w:val="00EB22FE"/>
    <w:rsid w:val="00EB3828"/>
    <w:rsid w:val="00EB42C1"/>
    <w:rsid w:val="00EB4916"/>
    <w:rsid w:val="00EB5401"/>
    <w:rsid w:val="00EB64BA"/>
    <w:rsid w:val="00EC1AC3"/>
    <w:rsid w:val="00EC3470"/>
    <w:rsid w:val="00EC3475"/>
    <w:rsid w:val="00EC4D9F"/>
    <w:rsid w:val="00EC56E4"/>
    <w:rsid w:val="00EC5937"/>
    <w:rsid w:val="00EC5ABF"/>
    <w:rsid w:val="00EC5E3C"/>
    <w:rsid w:val="00EC60CB"/>
    <w:rsid w:val="00EC6769"/>
    <w:rsid w:val="00EC6F2D"/>
    <w:rsid w:val="00ED175E"/>
    <w:rsid w:val="00ED1BF2"/>
    <w:rsid w:val="00ED2CAE"/>
    <w:rsid w:val="00ED4656"/>
    <w:rsid w:val="00ED5D95"/>
    <w:rsid w:val="00ED6160"/>
    <w:rsid w:val="00ED6884"/>
    <w:rsid w:val="00ED6EF7"/>
    <w:rsid w:val="00ED79C7"/>
    <w:rsid w:val="00EE00C2"/>
    <w:rsid w:val="00EE09B5"/>
    <w:rsid w:val="00EE0F5D"/>
    <w:rsid w:val="00EE0FCE"/>
    <w:rsid w:val="00EE10F5"/>
    <w:rsid w:val="00EE18E6"/>
    <w:rsid w:val="00EE2FE1"/>
    <w:rsid w:val="00EE4432"/>
    <w:rsid w:val="00EE4FB1"/>
    <w:rsid w:val="00EF0310"/>
    <w:rsid w:val="00EF1A85"/>
    <w:rsid w:val="00EF213E"/>
    <w:rsid w:val="00EF2A36"/>
    <w:rsid w:val="00EF37AE"/>
    <w:rsid w:val="00EF6012"/>
    <w:rsid w:val="00EF6E72"/>
    <w:rsid w:val="00F01272"/>
    <w:rsid w:val="00F02040"/>
    <w:rsid w:val="00F021C6"/>
    <w:rsid w:val="00F02F44"/>
    <w:rsid w:val="00F0435F"/>
    <w:rsid w:val="00F10027"/>
    <w:rsid w:val="00F1118B"/>
    <w:rsid w:val="00F12081"/>
    <w:rsid w:val="00F12573"/>
    <w:rsid w:val="00F167E4"/>
    <w:rsid w:val="00F2499A"/>
    <w:rsid w:val="00F24ABB"/>
    <w:rsid w:val="00F24B42"/>
    <w:rsid w:val="00F24D41"/>
    <w:rsid w:val="00F24E9E"/>
    <w:rsid w:val="00F27096"/>
    <w:rsid w:val="00F33413"/>
    <w:rsid w:val="00F358A8"/>
    <w:rsid w:val="00F40BDA"/>
    <w:rsid w:val="00F418E5"/>
    <w:rsid w:val="00F43563"/>
    <w:rsid w:val="00F45FB5"/>
    <w:rsid w:val="00F464DF"/>
    <w:rsid w:val="00F47300"/>
    <w:rsid w:val="00F507BF"/>
    <w:rsid w:val="00F523A2"/>
    <w:rsid w:val="00F52503"/>
    <w:rsid w:val="00F526B9"/>
    <w:rsid w:val="00F56562"/>
    <w:rsid w:val="00F56B57"/>
    <w:rsid w:val="00F56FBC"/>
    <w:rsid w:val="00F60622"/>
    <w:rsid w:val="00F61A90"/>
    <w:rsid w:val="00F61D1F"/>
    <w:rsid w:val="00F62223"/>
    <w:rsid w:val="00F6238E"/>
    <w:rsid w:val="00F62ACD"/>
    <w:rsid w:val="00F63BDD"/>
    <w:rsid w:val="00F64ECC"/>
    <w:rsid w:val="00F659AE"/>
    <w:rsid w:val="00F65AD9"/>
    <w:rsid w:val="00F66A8F"/>
    <w:rsid w:val="00F66EDF"/>
    <w:rsid w:val="00F67F3F"/>
    <w:rsid w:val="00F700FF"/>
    <w:rsid w:val="00F72312"/>
    <w:rsid w:val="00F724A8"/>
    <w:rsid w:val="00F725EA"/>
    <w:rsid w:val="00F72E54"/>
    <w:rsid w:val="00F72E67"/>
    <w:rsid w:val="00F75A21"/>
    <w:rsid w:val="00F766FC"/>
    <w:rsid w:val="00F76788"/>
    <w:rsid w:val="00F77AA2"/>
    <w:rsid w:val="00F77ACB"/>
    <w:rsid w:val="00F77D78"/>
    <w:rsid w:val="00F80052"/>
    <w:rsid w:val="00F801C2"/>
    <w:rsid w:val="00F8450A"/>
    <w:rsid w:val="00F8533D"/>
    <w:rsid w:val="00F85B66"/>
    <w:rsid w:val="00F866FA"/>
    <w:rsid w:val="00F86A96"/>
    <w:rsid w:val="00F86BC8"/>
    <w:rsid w:val="00F86C94"/>
    <w:rsid w:val="00F9056C"/>
    <w:rsid w:val="00F9086D"/>
    <w:rsid w:val="00F912DD"/>
    <w:rsid w:val="00F92673"/>
    <w:rsid w:val="00F92A7F"/>
    <w:rsid w:val="00F92F13"/>
    <w:rsid w:val="00F93049"/>
    <w:rsid w:val="00F93CFB"/>
    <w:rsid w:val="00F9637A"/>
    <w:rsid w:val="00F96537"/>
    <w:rsid w:val="00F968A7"/>
    <w:rsid w:val="00F9758C"/>
    <w:rsid w:val="00F97BFE"/>
    <w:rsid w:val="00FA082B"/>
    <w:rsid w:val="00FA1467"/>
    <w:rsid w:val="00FA1AA3"/>
    <w:rsid w:val="00FA1C56"/>
    <w:rsid w:val="00FA35C1"/>
    <w:rsid w:val="00FA3BEC"/>
    <w:rsid w:val="00FA4FA2"/>
    <w:rsid w:val="00FA6013"/>
    <w:rsid w:val="00FA60B9"/>
    <w:rsid w:val="00FA73B6"/>
    <w:rsid w:val="00FA7CA6"/>
    <w:rsid w:val="00FA7E91"/>
    <w:rsid w:val="00FB0D09"/>
    <w:rsid w:val="00FB19A7"/>
    <w:rsid w:val="00FB225A"/>
    <w:rsid w:val="00FB4E6C"/>
    <w:rsid w:val="00FB5227"/>
    <w:rsid w:val="00FB5ACD"/>
    <w:rsid w:val="00FB6066"/>
    <w:rsid w:val="00FB7792"/>
    <w:rsid w:val="00FC1019"/>
    <w:rsid w:val="00FC3F61"/>
    <w:rsid w:val="00FC5EBC"/>
    <w:rsid w:val="00FC5F31"/>
    <w:rsid w:val="00FC648F"/>
    <w:rsid w:val="00FC696C"/>
    <w:rsid w:val="00FD00CC"/>
    <w:rsid w:val="00FD0B65"/>
    <w:rsid w:val="00FD4306"/>
    <w:rsid w:val="00FD58E6"/>
    <w:rsid w:val="00FD774D"/>
    <w:rsid w:val="00FE13CA"/>
    <w:rsid w:val="00FE2168"/>
    <w:rsid w:val="00FE5804"/>
    <w:rsid w:val="00FE5D34"/>
    <w:rsid w:val="00FE7D12"/>
    <w:rsid w:val="00FF049A"/>
    <w:rsid w:val="00FF2202"/>
    <w:rsid w:val="00FF23AA"/>
    <w:rsid w:val="00FF3E55"/>
    <w:rsid w:val="00FF5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49A5EB"/>
  <w15:docId w15:val="{4115D908-5B43-4E64-80A1-ED801D18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12"/>
    <w:pPr>
      <w:spacing w:after="120"/>
    </w:pPr>
    <w:rPr>
      <w:rFonts w:ascii="Arial" w:hAnsi="Arial" w:cs="Arial"/>
    </w:rPr>
  </w:style>
  <w:style w:type="paragraph" w:styleId="Heading1">
    <w:name w:val="heading 1"/>
    <w:aliases w:val="h1,Section Heading,Part,(Chapter Nbr),level 1,Level 1 Head,H1,Spec,No numbers,heading1,heading 1,Level 1,contents,h1 chapter heading,proj,proj1,proj5,proj6,proj7,proj8,proj9,proj10,proj11,proj12,proj13,proj14,proj15,proj51,proj61,proj71,proj81"/>
    <w:basedOn w:val="Normal"/>
    <w:next w:val="Normal"/>
    <w:link w:val="Heading1Char"/>
    <w:uiPriority w:val="9"/>
    <w:qFormat/>
    <w:rsid w:val="00015512"/>
    <w:pPr>
      <w:spacing w:before="360" w:after="240"/>
      <w:contextualSpacing/>
      <w:outlineLvl w:val="0"/>
    </w:pPr>
    <w:rPr>
      <w:rFonts w:asciiTheme="majorHAnsi" w:eastAsiaTheme="majorEastAsia" w:hAnsiTheme="majorHAnsi" w:cstheme="majorBidi"/>
      <w:b/>
      <w:bCs/>
      <w:sz w:val="28"/>
      <w:szCs w:val="28"/>
    </w:rPr>
  </w:style>
  <w:style w:type="paragraph" w:styleId="Heading2">
    <w:name w:val="heading 2"/>
    <w:aliases w:val="Chapter Title,Heading 2a,H2,Reset numbering,W6_Hdg2,h2,heading 2,2,sub-sect,dd heading 2,dh2,Intro Text Bold,Header 2,l2,Level 2 Head,proj2,proj21,proj22,proj23,proj24,proj25,proj26,proj27,proj28,proj29,proj210,proj211,proj212,proj221,proj231"/>
    <w:basedOn w:val="Normal"/>
    <w:next w:val="Normal"/>
    <w:link w:val="Heading2Char"/>
    <w:uiPriority w:val="9"/>
    <w:unhideWhenUsed/>
    <w:qFormat/>
    <w:rsid w:val="00C72111"/>
    <w:pPr>
      <w:keepNext/>
      <w:spacing w:before="360"/>
      <w:outlineLvl w:val="1"/>
    </w:pPr>
    <w:rPr>
      <w:rFonts w:asciiTheme="majorHAnsi" w:eastAsiaTheme="majorEastAsia" w:hAnsiTheme="majorHAnsi" w:cstheme="majorBidi"/>
      <w:b/>
      <w:bCs/>
      <w:sz w:val="26"/>
      <w:szCs w:val="26"/>
    </w:rPr>
  </w:style>
  <w:style w:type="paragraph" w:styleId="Heading3">
    <w:name w:val="heading 3"/>
    <w:aliases w:val="Section,H3,H31,Level 1 - 1,h3,subhead,1.,h3 sub heading,underlined Heading,heading 3,proj3,proj31,proj32,proj33,proj34,proj35,proj36,proj37,proj38,proj39,proj310,proj311,proj312,proj321,proj331,proj341,proj351,proj361,proj371,proj381,proj391,3"/>
    <w:basedOn w:val="Normal"/>
    <w:next w:val="Normal"/>
    <w:link w:val="Heading3Char"/>
    <w:uiPriority w:val="9"/>
    <w:unhideWhenUsed/>
    <w:qFormat/>
    <w:rsid w:val="000E2106"/>
    <w:pPr>
      <w:spacing w:before="200" w:line="271" w:lineRule="auto"/>
      <w:outlineLvl w:val="2"/>
    </w:pPr>
    <w:rPr>
      <w:rFonts w:asciiTheme="majorHAnsi" w:eastAsiaTheme="majorEastAsia" w:hAnsiTheme="majorHAnsi" w:cstheme="majorBidi"/>
      <w:b/>
      <w:bCs/>
    </w:rPr>
  </w:style>
  <w:style w:type="paragraph" w:styleId="Heading4">
    <w:name w:val="heading 4"/>
    <w:aliases w:val="Level 2 - a,(Small Appendix),h4,h4 sub sub heading,H4,Map Title,4h,Org Heading 2,Heading 4 Char1,Heading 4 Char Char,Heading 4i Char,Heading 4 Char1 Char,Heading 4 Char Char Char,Heading 4 Char1 Char Char Char"/>
    <w:basedOn w:val="Normal"/>
    <w:next w:val="Normal"/>
    <w:link w:val="Heading4Char"/>
    <w:uiPriority w:val="9"/>
    <w:unhideWhenUsed/>
    <w:qFormat/>
    <w:rsid w:val="008556B6"/>
    <w:pPr>
      <w:spacing w:before="200"/>
      <w:outlineLvl w:val="3"/>
    </w:pPr>
    <w:rPr>
      <w:rFonts w:asciiTheme="majorHAnsi" w:eastAsiaTheme="majorEastAsia" w:hAnsiTheme="majorHAnsi" w:cstheme="majorBidi"/>
      <w:b/>
      <w:bCs/>
      <w:i/>
      <w:iCs/>
    </w:rPr>
  </w:style>
  <w:style w:type="paragraph" w:styleId="Heading5">
    <w:name w:val="heading 5"/>
    <w:aliases w:val="Level 3 - i,Body Text (R),Block Label,H5,h5,Para5,h51,h52,L5,(A),1cm Indent,L4,A,5,Roman list,heading 5"/>
    <w:basedOn w:val="Normal"/>
    <w:next w:val="Normal"/>
    <w:link w:val="Heading5Char"/>
    <w:uiPriority w:val="9"/>
    <w:unhideWhenUsed/>
    <w:qFormat/>
    <w:rsid w:val="009C02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02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Legal Level 1.1."/>
    <w:basedOn w:val="Normal"/>
    <w:next w:val="Normal"/>
    <w:link w:val="Heading7Char"/>
    <w:uiPriority w:val="9"/>
    <w:unhideWhenUsed/>
    <w:qFormat/>
    <w:rsid w:val="009C02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C026F"/>
    <w:pPr>
      <w:spacing w:after="0"/>
      <w:outlineLvl w:val="7"/>
    </w:pPr>
    <w:rPr>
      <w:rFonts w:asciiTheme="majorHAnsi" w:eastAsiaTheme="majorEastAsia" w:hAnsiTheme="majorHAnsi" w:cstheme="majorBidi"/>
      <w:sz w:val="20"/>
      <w:szCs w:val="20"/>
    </w:rPr>
  </w:style>
  <w:style w:type="paragraph" w:styleId="Heading9">
    <w:name w:val="heading 9"/>
    <w:aliases w:val="Legal Level 1.1.1.1.,Level (a),Appendix"/>
    <w:basedOn w:val="Normal"/>
    <w:next w:val="Normal"/>
    <w:link w:val="Heading9Char"/>
    <w:uiPriority w:val="9"/>
    <w:unhideWhenUsed/>
    <w:qFormat/>
    <w:rsid w:val="009C02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26F"/>
    <w:pPr>
      <w:ind w:left="720"/>
      <w:contextualSpacing/>
    </w:pPr>
  </w:style>
  <w:style w:type="character" w:styleId="Hyperlink">
    <w:name w:val="Hyperlink"/>
    <w:uiPriority w:val="99"/>
    <w:rsid w:val="006936F4"/>
    <w:rPr>
      <w:color w:val="0000FF"/>
      <w:u w:val="single"/>
    </w:rPr>
  </w:style>
  <w:style w:type="paragraph" w:styleId="FootnoteText">
    <w:name w:val="footnote text"/>
    <w:basedOn w:val="Normal"/>
    <w:link w:val="FootnoteTextChar"/>
    <w:uiPriority w:val="99"/>
    <w:unhideWhenUsed/>
    <w:rsid w:val="00BA220A"/>
    <w:pPr>
      <w:overflowPunct w:val="0"/>
      <w:autoSpaceDE w:val="0"/>
      <w:autoSpaceDN w:val="0"/>
      <w:adjustRightInd w:val="0"/>
      <w:spacing w:after="0" w:line="240" w:lineRule="auto"/>
      <w:jc w:val="both"/>
      <w:textAlignment w:val="baseline"/>
    </w:pPr>
    <w:rPr>
      <w:rFonts w:eastAsia="Times New Roman" w:cs="Times New Roman"/>
      <w:sz w:val="16"/>
      <w:szCs w:val="20"/>
    </w:rPr>
  </w:style>
  <w:style w:type="character" w:customStyle="1" w:styleId="FootnoteTextChar">
    <w:name w:val="Footnote Text Char"/>
    <w:basedOn w:val="DefaultParagraphFont"/>
    <w:link w:val="FootnoteText"/>
    <w:uiPriority w:val="99"/>
    <w:rsid w:val="00BA220A"/>
    <w:rPr>
      <w:rFonts w:eastAsia="Times New Roman" w:cs="Times New Roman"/>
      <w:sz w:val="16"/>
      <w:szCs w:val="20"/>
    </w:rPr>
  </w:style>
  <w:style w:type="character" w:styleId="FootnoteReference">
    <w:name w:val="footnote reference"/>
    <w:uiPriority w:val="99"/>
    <w:unhideWhenUsed/>
    <w:rsid w:val="006936F4"/>
    <w:rPr>
      <w:vertAlign w:val="superscript"/>
    </w:rPr>
  </w:style>
  <w:style w:type="paragraph" w:styleId="EndnoteText">
    <w:name w:val="endnote text"/>
    <w:basedOn w:val="Normal"/>
    <w:link w:val="EndnoteTextChar"/>
    <w:uiPriority w:val="99"/>
    <w:unhideWhenUsed/>
    <w:rsid w:val="006936F4"/>
    <w:pPr>
      <w:spacing w:line="240" w:lineRule="auto"/>
    </w:pPr>
    <w:rPr>
      <w:rFonts w:ascii="Cambria" w:eastAsia="Cambria" w:hAnsi="Cambria" w:cs="Times New Roman"/>
      <w:sz w:val="20"/>
      <w:szCs w:val="20"/>
      <w:lang w:val="en-GB"/>
    </w:rPr>
  </w:style>
  <w:style w:type="character" w:customStyle="1" w:styleId="EndnoteTextChar">
    <w:name w:val="Endnote Text Char"/>
    <w:basedOn w:val="DefaultParagraphFont"/>
    <w:link w:val="EndnoteText"/>
    <w:uiPriority w:val="99"/>
    <w:rsid w:val="006936F4"/>
    <w:rPr>
      <w:rFonts w:ascii="Cambria" w:eastAsia="Cambria" w:hAnsi="Cambria" w:cs="Times New Roman"/>
      <w:sz w:val="20"/>
      <w:szCs w:val="20"/>
      <w:lang w:val="en-GB"/>
    </w:rPr>
  </w:style>
  <w:style w:type="paragraph" w:styleId="NormalWeb">
    <w:name w:val="Normal (Web)"/>
    <w:basedOn w:val="Normal"/>
    <w:uiPriority w:val="99"/>
    <w:unhideWhenUsed/>
    <w:rsid w:val="00170058"/>
    <w:pPr>
      <w:spacing w:before="100" w:beforeAutospacing="1" w:after="135" w:line="270" w:lineRule="atLeast"/>
    </w:pPr>
    <w:rPr>
      <w:rFonts w:ascii="Times New Roman" w:eastAsia="Times New Roman" w:hAnsi="Times New Roman" w:cs="Times New Roman"/>
      <w:sz w:val="20"/>
      <w:szCs w:val="20"/>
      <w:lang w:eastAsia="en-NZ"/>
    </w:rPr>
  </w:style>
  <w:style w:type="character" w:customStyle="1" w:styleId="Heading2Char">
    <w:name w:val="Heading 2 Char"/>
    <w:aliases w:val="Chapter Title Char,Heading 2a Char,H2 Char,Reset numbering Char,W6_Hdg2 Char,h2 Char,heading 2 Char,2 Char,sub-sect Char,dd heading 2 Char,dh2 Char,Intro Text Bold Char,Header 2 Char,l2 Char,Level 2 Head Char,proj2 Char,proj21 Char"/>
    <w:basedOn w:val="DefaultParagraphFont"/>
    <w:link w:val="Heading2"/>
    <w:uiPriority w:val="9"/>
    <w:rsid w:val="00C72111"/>
    <w:rPr>
      <w:rFonts w:asciiTheme="majorHAnsi" w:eastAsiaTheme="majorEastAsia" w:hAnsiTheme="majorHAnsi" w:cstheme="majorBidi"/>
      <w:b/>
      <w:bCs/>
      <w:sz w:val="26"/>
      <w:szCs w:val="26"/>
    </w:rPr>
  </w:style>
  <w:style w:type="table" w:styleId="TableGrid">
    <w:name w:val="Table Grid"/>
    <w:basedOn w:val="TableNormal"/>
    <w:uiPriority w:val="39"/>
    <w:rsid w:val="0016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Part Char,(Chapter Nbr) Char,level 1 Char,Level 1 Head Char,H1 Char,Spec Char,No numbers Char,heading1 Char,heading 1 Char,Level 1 Char,contents Char,h1 chapter heading Char,proj Char,proj1 Char,proj5 Char"/>
    <w:basedOn w:val="DefaultParagraphFont"/>
    <w:link w:val="Heading1"/>
    <w:uiPriority w:val="9"/>
    <w:rsid w:val="00015512"/>
    <w:rPr>
      <w:rFonts w:asciiTheme="majorHAnsi" w:eastAsiaTheme="majorEastAsia" w:hAnsiTheme="majorHAnsi" w:cstheme="majorBidi"/>
      <w:b/>
      <w:bCs/>
      <w:sz w:val="28"/>
      <w:szCs w:val="28"/>
    </w:rPr>
  </w:style>
  <w:style w:type="paragraph" w:customStyle="1" w:styleId="Default">
    <w:name w:val="Default"/>
    <w:rsid w:val="00162A8D"/>
    <w:pPr>
      <w:autoSpaceDE w:val="0"/>
      <w:autoSpaceDN w:val="0"/>
      <w:adjustRightInd w:val="0"/>
      <w:spacing w:after="0" w:line="240" w:lineRule="auto"/>
    </w:pPr>
    <w:rPr>
      <w:rFonts w:ascii="Arial" w:eastAsia="Calibri" w:hAnsi="Arial" w:cs="Arial"/>
      <w:color w:val="000000"/>
      <w:sz w:val="24"/>
      <w:szCs w:val="24"/>
      <w:lang w:eastAsia="en-NZ"/>
    </w:rPr>
  </w:style>
  <w:style w:type="character" w:styleId="Strong">
    <w:name w:val="Strong"/>
    <w:uiPriority w:val="22"/>
    <w:qFormat/>
    <w:rsid w:val="009C026F"/>
    <w:rPr>
      <w:b/>
      <w:bCs/>
    </w:rPr>
  </w:style>
  <w:style w:type="paragraph" w:customStyle="1" w:styleId="TableText">
    <w:name w:val="Table Text"/>
    <w:basedOn w:val="Normal"/>
    <w:link w:val="TableTextChar"/>
    <w:rsid w:val="00770697"/>
    <w:pPr>
      <w:tabs>
        <w:tab w:val="left" w:pos="425"/>
      </w:tabs>
      <w:spacing w:after="100" w:afterAutospacing="1" w:line="240" w:lineRule="auto"/>
    </w:pPr>
    <w:rPr>
      <w:rFonts w:eastAsia="Times New Roman" w:cs="Times New Roman"/>
    </w:rPr>
  </w:style>
  <w:style w:type="character" w:customStyle="1" w:styleId="TableTextChar">
    <w:name w:val="Table Text Char"/>
    <w:link w:val="TableText"/>
    <w:rsid w:val="00770697"/>
    <w:rPr>
      <w:rFonts w:ascii="Arial" w:eastAsia="Times New Roman" w:hAnsi="Arial" w:cs="Times New Roman"/>
    </w:rPr>
  </w:style>
  <w:style w:type="paragraph" w:customStyle="1" w:styleId="Headline">
    <w:name w:val="Headline"/>
    <w:basedOn w:val="Normal"/>
    <w:rsid w:val="00770697"/>
    <w:pPr>
      <w:spacing w:after="100" w:afterAutospacing="1" w:line="240" w:lineRule="auto"/>
      <w:jc w:val="right"/>
    </w:pPr>
    <w:rPr>
      <w:rFonts w:eastAsia="Times New Roman" w:cs="Times New Roman"/>
      <w:b/>
      <w:sz w:val="32"/>
    </w:rPr>
  </w:style>
  <w:style w:type="paragraph" w:customStyle="1" w:styleId="CharChar1">
    <w:name w:val="Char Char1"/>
    <w:basedOn w:val="Normal"/>
    <w:semiHidden/>
    <w:rsid w:val="00770697"/>
    <w:pPr>
      <w:spacing w:after="160" w:line="240" w:lineRule="exact"/>
      <w:jc w:val="both"/>
    </w:pPr>
    <w:rPr>
      <w:rFonts w:eastAsia="Times New Roman" w:cs="Times New Roman"/>
      <w:bCs/>
      <w:iCs/>
      <w:noProof/>
    </w:rPr>
  </w:style>
  <w:style w:type="paragraph" w:styleId="Header">
    <w:name w:val="header"/>
    <w:basedOn w:val="Normal"/>
    <w:link w:val="HeaderChar"/>
    <w:uiPriority w:val="99"/>
    <w:unhideWhenUsed/>
    <w:rsid w:val="0077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97"/>
  </w:style>
  <w:style w:type="paragraph" w:styleId="Footer">
    <w:name w:val="footer"/>
    <w:basedOn w:val="Normal"/>
    <w:link w:val="FooterChar"/>
    <w:uiPriority w:val="99"/>
    <w:unhideWhenUsed/>
    <w:rsid w:val="00770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697"/>
  </w:style>
  <w:style w:type="paragraph" w:styleId="TOCHeading">
    <w:name w:val="TOC Heading"/>
    <w:basedOn w:val="Heading1"/>
    <w:next w:val="Normal"/>
    <w:uiPriority w:val="39"/>
    <w:unhideWhenUsed/>
    <w:qFormat/>
    <w:rsid w:val="009C026F"/>
    <w:pPr>
      <w:outlineLvl w:val="9"/>
    </w:pPr>
    <w:rPr>
      <w:lang w:bidi="en-US"/>
    </w:rPr>
  </w:style>
  <w:style w:type="paragraph" w:styleId="TOC1">
    <w:name w:val="toc 1"/>
    <w:basedOn w:val="Normal"/>
    <w:next w:val="Normal"/>
    <w:autoRedefine/>
    <w:uiPriority w:val="39"/>
    <w:unhideWhenUsed/>
    <w:rsid w:val="00770697"/>
    <w:pPr>
      <w:spacing w:after="100"/>
    </w:pPr>
  </w:style>
  <w:style w:type="paragraph" w:styleId="TOC2">
    <w:name w:val="toc 2"/>
    <w:basedOn w:val="Normal"/>
    <w:next w:val="Normal"/>
    <w:autoRedefine/>
    <w:uiPriority w:val="39"/>
    <w:unhideWhenUsed/>
    <w:rsid w:val="00770697"/>
    <w:pPr>
      <w:spacing w:after="100"/>
      <w:ind w:left="220"/>
    </w:pPr>
  </w:style>
  <w:style w:type="paragraph" w:styleId="BalloonText">
    <w:name w:val="Balloon Text"/>
    <w:basedOn w:val="Normal"/>
    <w:link w:val="BalloonTextChar"/>
    <w:uiPriority w:val="99"/>
    <w:unhideWhenUsed/>
    <w:rsid w:val="0077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0697"/>
    <w:rPr>
      <w:rFonts w:ascii="Tahoma" w:hAnsi="Tahoma" w:cs="Tahoma"/>
      <w:sz w:val="16"/>
      <w:szCs w:val="16"/>
    </w:rPr>
  </w:style>
  <w:style w:type="character" w:styleId="EndnoteReference">
    <w:name w:val="endnote reference"/>
    <w:basedOn w:val="DefaultParagraphFont"/>
    <w:uiPriority w:val="99"/>
    <w:semiHidden/>
    <w:unhideWhenUsed/>
    <w:rsid w:val="00243009"/>
    <w:rPr>
      <w:vertAlign w:val="superscript"/>
    </w:rPr>
  </w:style>
  <w:style w:type="character" w:styleId="PlaceholderText">
    <w:name w:val="Placeholder Text"/>
    <w:basedOn w:val="DefaultParagraphFont"/>
    <w:uiPriority w:val="99"/>
    <w:semiHidden/>
    <w:rsid w:val="00514099"/>
    <w:rPr>
      <w:color w:val="808080"/>
    </w:rPr>
  </w:style>
  <w:style w:type="character" w:styleId="CommentReference">
    <w:name w:val="annotation reference"/>
    <w:basedOn w:val="DefaultParagraphFont"/>
    <w:uiPriority w:val="99"/>
    <w:unhideWhenUsed/>
    <w:rsid w:val="00887486"/>
    <w:rPr>
      <w:sz w:val="16"/>
      <w:szCs w:val="16"/>
    </w:rPr>
  </w:style>
  <w:style w:type="paragraph" w:styleId="CommentText">
    <w:name w:val="annotation text"/>
    <w:basedOn w:val="Normal"/>
    <w:link w:val="CommentTextChar"/>
    <w:uiPriority w:val="99"/>
    <w:unhideWhenUsed/>
    <w:rsid w:val="00887486"/>
    <w:pPr>
      <w:spacing w:line="240" w:lineRule="auto"/>
    </w:pPr>
    <w:rPr>
      <w:sz w:val="20"/>
      <w:szCs w:val="20"/>
    </w:rPr>
  </w:style>
  <w:style w:type="character" w:customStyle="1" w:styleId="CommentTextChar">
    <w:name w:val="Comment Text Char"/>
    <w:basedOn w:val="DefaultParagraphFont"/>
    <w:link w:val="CommentText"/>
    <w:uiPriority w:val="99"/>
    <w:rsid w:val="00887486"/>
    <w:rPr>
      <w:sz w:val="20"/>
      <w:szCs w:val="20"/>
    </w:rPr>
  </w:style>
  <w:style w:type="paragraph" w:styleId="CommentSubject">
    <w:name w:val="annotation subject"/>
    <w:basedOn w:val="CommentText"/>
    <w:next w:val="CommentText"/>
    <w:link w:val="CommentSubjectChar"/>
    <w:uiPriority w:val="99"/>
    <w:semiHidden/>
    <w:unhideWhenUsed/>
    <w:rsid w:val="00887486"/>
    <w:rPr>
      <w:b/>
      <w:bCs/>
    </w:rPr>
  </w:style>
  <w:style w:type="character" w:customStyle="1" w:styleId="CommentSubjectChar">
    <w:name w:val="Comment Subject Char"/>
    <w:basedOn w:val="CommentTextChar"/>
    <w:link w:val="CommentSubject"/>
    <w:uiPriority w:val="99"/>
    <w:semiHidden/>
    <w:rsid w:val="00887486"/>
    <w:rPr>
      <w:b/>
      <w:bCs/>
      <w:sz w:val="20"/>
      <w:szCs w:val="20"/>
    </w:rPr>
  </w:style>
  <w:style w:type="paragraph" w:customStyle="1" w:styleId="CharChar10">
    <w:name w:val="Char Char1"/>
    <w:basedOn w:val="Normal"/>
    <w:semiHidden/>
    <w:rsid w:val="00EC1AC3"/>
    <w:pPr>
      <w:spacing w:after="160" w:line="240" w:lineRule="exact"/>
      <w:jc w:val="both"/>
    </w:pPr>
    <w:rPr>
      <w:rFonts w:eastAsia="Times New Roman" w:cs="Times New Roman"/>
      <w:bCs/>
      <w:iCs/>
      <w:noProof/>
    </w:rPr>
  </w:style>
  <w:style w:type="paragraph" w:customStyle="1" w:styleId="Imprint">
    <w:name w:val="Imprint"/>
    <w:basedOn w:val="Normal"/>
    <w:next w:val="Normal"/>
    <w:rsid w:val="00EC1AC3"/>
    <w:pPr>
      <w:spacing w:after="240" w:line="240" w:lineRule="auto"/>
      <w:jc w:val="center"/>
    </w:pPr>
    <w:rPr>
      <w:rFonts w:ascii="Arial Mäori" w:eastAsia="Times New Roman" w:hAnsi="Arial Mäori" w:cs="Times New Roman"/>
      <w:sz w:val="24"/>
      <w:szCs w:val="20"/>
    </w:rPr>
  </w:style>
  <w:style w:type="paragraph" w:customStyle="1" w:styleId="CharChar11">
    <w:name w:val="Char Char1"/>
    <w:basedOn w:val="Normal"/>
    <w:semiHidden/>
    <w:rsid w:val="00457E61"/>
    <w:pPr>
      <w:spacing w:after="160" w:line="240" w:lineRule="exact"/>
      <w:jc w:val="both"/>
    </w:pPr>
    <w:rPr>
      <w:rFonts w:eastAsia="Times New Roman" w:cs="Times New Roman"/>
      <w:bCs/>
      <w:iCs/>
      <w:noProof/>
    </w:rPr>
  </w:style>
  <w:style w:type="character" w:customStyle="1" w:styleId="Heading3Char">
    <w:name w:val="Heading 3 Char"/>
    <w:aliases w:val="Section Char,H3 Char,H31 Char,Level 1 - 1 Char,h3 Char,subhead Char,1. Char,h3 sub heading Char,underlined Heading Char,heading 3 Char,proj3 Char,proj31 Char,proj32 Char,proj33 Char,proj34 Char,proj35 Char,proj36 Char,proj37 Char,3 Char"/>
    <w:basedOn w:val="DefaultParagraphFont"/>
    <w:link w:val="Heading3"/>
    <w:uiPriority w:val="9"/>
    <w:rsid w:val="000E2106"/>
    <w:rPr>
      <w:rFonts w:asciiTheme="majorHAnsi" w:eastAsiaTheme="majorEastAsia" w:hAnsiTheme="majorHAnsi" w:cstheme="majorBidi"/>
      <w:b/>
      <w:bCs/>
    </w:rPr>
  </w:style>
  <w:style w:type="character" w:customStyle="1" w:styleId="Heading4Char">
    <w:name w:val="Heading 4 Char"/>
    <w:aliases w:val="Level 2 - a Char,(Small Appendix) Char,h4 Char,h4 sub sub heading Char,H4 Char,Map Title Char,4h Char,Org Heading 2 Char,Heading 4 Char1 Char1,Heading 4 Char Char Char1,Heading 4i Char Char,Heading 4 Char1 Char Char"/>
    <w:basedOn w:val="DefaultParagraphFont"/>
    <w:link w:val="Heading4"/>
    <w:uiPriority w:val="9"/>
    <w:rsid w:val="008556B6"/>
    <w:rPr>
      <w:rFonts w:asciiTheme="majorHAnsi" w:eastAsiaTheme="majorEastAsia" w:hAnsiTheme="majorHAnsi" w:cstheme="majorBidi"/>
      <w:b/>
      <w:bCs/>
      <w:i/>
      <w:iCs/>
    </w:rPr>
  </w:style>
  <w:style w:type="character" w:customStyle="1" w:styleId="Heading5Char">
    <w:name w:val="Heading 5 Char"/>
    <w:aliases w:val="Level 3 - i Char,Body Text (R) Char,Block Label Char,H5 Char,h5 Char,Para5 Char,h51 Char,h52 Char,L5 Char,(A) Char,1cm Indent Char,L4 Char,A Char,5 Char,Roman list Char,heading 5 Char"/>
    <w:basedOn w:val="DefaultParagraphFont"/>
    <w:link w:val="Heading5"/>
    <w:uiPriority w:val="9"/>
    <w:rsid w:val="009C02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026F"/>
    <w:rPr>
      <w:rFonts w:asciiTheme="majorHAnsi" w:eastAsiaTheme="majorEastAsia" w:hAnsiTheme="majorHAnsi" w:cstheme="majorBidi"/>
      <w:b/>
      <w:bCs/>
      <w:i/>
      <w:iCs/>
      <w:color w:val="7F7F7F" w:themeColor="text1" w:themeTint="80"/>
    </w:rPr>
  </w:style>
  <w:style w:type="character" w:customStyle="1" w:styleId="Heading7Char">
    <w:name w:val="Heading 7 Char"/>
    <w:aliases w:val="Legal Level 1.1. Char"/>
    <w:basedOn w:val="DefaultParagraphFont"/>
    <w:link w:val="Heading7"/>
    <w:uiPriority w:val="9"/>
    <w:semiHidden/>
    <w:rsid w:val="009C02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026F"/>
    <w:rPr>
      <w:rFonts w:asciiTheme="majorHAnsi" w:eastAsiaTheme="majorEastAsia" w:hAnsiTheme="majorHAnsi" w:cstheme="majorBidi"/>
      <w:sz w:val="20"/>
      <w:szCs w:val="20"/>
    </w:rPr>
  </w:style>
  <w:style w:type="character" w:customStyle="1" w:styleId="Heading9Char">
    <w:name w:val="Heading 9 Char"/>
    <w:aliases w:val="Legal Level 1.1.1.1. Char,Level (a) Char,Appendix Char"/>
    <w:basedOn w:val="DefaultParagraphFont"/>
    <w:link w:val="Heading9"/>
    <w:uiPriority w:val="9"/>
    <w:semiHidden/>
    <w:rsid w:val="009C026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02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0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02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026F"/>
    <w:rPr>
      <w:rFonts w:asciiTheme="majorHAnsi" w:eastAsiaTheme="majorEastAsia" w:hAnsiTheme="majorHAnsi" w:cstheme="majorBidi"/>
      <w:i/>
      <w:iCs/>
      <w:spacing w:val="13"/>
      <w:sz w:val="24"/>
      <w:szCs w:val="24"/>
    </w:rPr>
  </w:style>
  <w:style w:type="character" w:styleId="Emphasis">
    <w:name w:val="Emphasis"/>
    <w:uiPriority w:val="20"/>
    <w:qFormat/>
    <w:rsid w:val="009C026F"/>
    <w:rPr>
      <w:b/>
      <w:bCs/>
      <w:i/>
      <w:iCs/>
      <w:spacing w:val="10"/>
      <w:bdr w:val="none" w:sz="0" w:space="0" w:color="auto"/>
      <w:shd w:val="clear" w:color="auto" w:fill="auto"/>
    </w:rPr>
  </w:style>
  <w:style w:type="paragraph" w:styleId="NoSpacing">
    <w:name w:val="No Spacing"/>
    <w:aliases w:val="No Spacing higeag,Table"/>
    <w:basedOn w:val="Normal"/>
    <w:link w:val="NoSpacingChar"/>
    <w:uiPriority w:val="1"/>
    <w:qFormat/>
    <w:rsid w:val="009C026F"/>
    <w:pPr>
      <w:spacing w:after="0" w:line="240" w:lineRule="auto"/>
    </w:pPr>
  </w:style>
  <w:style w:type="paragraph" w:styleId="Quote">
    <w:name w:val="Quote"/>
    <w:basedOn w:val="Normal"/>
    <w:next w:val="Normal"/>
    <w:link w:val="QuoteChar"/>
    <w:uiPriority w:val="29"/>
    <w:qFormat/>
    <w:rsid w:val="009C026F"/>
    <w:pPr>
      <w:spacing w:before="200" w:after="0"/>
      <w:ind w:left="360" w:right="360"/>
    </w:pPr>
    <w:rPr>
      <w:i/>
      <w:iCs/>
    </w:rPr>
  </w:style>
  <w:style w:type="character" w:customStyle="1" w:styleId="QuoteChar">
    <w:name w:val="Quote Char"/>
    <w:basedOn w:val="DefaultParagraphFont"/>
    <w:link w:val="Quote"/>
    <w:uiPriority w:val="29"/>
    <w:rsid w:val="009C026F"/>
    <w:rPr>
      <w:i/>
      <w:iCs/>
    </w:rPr>
  </w:style>
  <w:style w:type="paragraph" w:styleId="IntenseQuote">
    <w:name w:val="Intense Quote"/>
    <w:basedOn w:val="Normal"/>
    <w:next w:val="Normal"/>
    <w:link w:val="IntenseQuoteChar"/>
    <w:uiPriority w:val="30"/>
    <w:qFormat/>
    <w:rsid w:val="009C02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026F"/>
    <w:rPr>
      <w:b/>
      <w:bCs/>
      <w:i/>
      <w:iCs/>
    </w:rPr>
  </w:style>
  <w:style w:type="character" w:styleId="SubtleEmphasis">
    <w:name w:val="Subtle Emphasis"/>
    <w:uiPriority w:val="19"/>
    <w:qFormat/>
    <w:rsid w:val="009C026F"/>
    <w:rPr>
      <w:i/>
      <w:iCs/>
    </w:rPr>
  </w:style>
  <w:style w:type="character" w:styleId="IntenseEmphasis">
    <w:name w:val="Intense Emphasis"/>
    <w:uiPriority w:val="21"/>
    <w:qFormat/>
    <w:rsid w:val="009C026F"/>
    <w:rPr>
      <w:b/>
      <w:bCs/>
    </w:rPr>
  </w:style>
  <w:style w:type="character" w:styleId="SubtleReference">
    <w:name w:val="Subtle Reference"/>
    <w:uiPriority w:val="31"/>
    <w:qFormat/>
    <w:rsid w:val="009C026F"/>
    <w:rPr>
      <w:smallCaps/>
    </w:rPr>
  </w:style>
  <w:style w:type="character" w:styleId="IntenseReference">
    <w:name w:val="Intense Reference"/>
    <w:uiPriority w:val="32"/>
    <w:qFormat/>
    <w:rsid w:val="009C026F"/>
    <w:rPr>
      <w:smallCaps/>
      <w:spacing w:val="5"/>
      <w:u w:val="single"/>
    </w:rPr>
  </w:style>
  <w:style w:type="character" w:styleId="BookTitle">
    <w:name w:val="Book Title"/>
    <w:uiPriority w:val="33"/>
    <w:qFormat/>
    <w:rsid w:val="009C026F"/>
    <w:rPr>
      <w:i/>
      <w:iCs/>
      <w:smallCaps/>
      <w:spacing w:val="5"/>
    </w:rPr>
  </w:style>
  <w:style w:type="character" w:customStyle="1" w:styleId="ListParagraphChar">
    <w:name w:val="List Paragraph Char"/>
    <w:basedOn w:val="DefaultParagraphFont"/>
    <w:link w:val="ListParagraph"/>
    <w:uiPriority w:val="99"/>
    <w:locked/>
    <w:rsid w:val="00271FB6"/>
  </w:style>
  <w:style w:type="character" w:styleId="FollowedHyperlink">
    <w:name w:val="FollowedHyperlink"/>
    <w:basedOn w:val="DefaultParagraphFont"/>
    <w:uiPriority w:val="99"/>
    <w:semiHidden/>
    <w:unhideWhenUsed/>
    <w:rsid w:val="009648C6"/>
    <w:rPr>
      <w:color w:val="800080" w:themeColor="followedHyperlink"/>
      <w:u w:val="single"/>
    </w:rPr>
  </w:style>
  <w:style w:type="paragraph" w:styleId="TOC3">
    <w:name w:val="toc 3"/>
    <w:basedOn w:val="Normal"/>
    <w:next w:val="Normal"/>
    <w:autoRedefine/>
    <w:uiPriority w:val="39"/>
    <w:unhideWhenUsed/>
    <w:rsid w:val="00D064ED"/>
    <w:pPr>
      <w:spacing w:after="100"/>
      <w:ind w:left="440"/>
    </w:pPr>
  </w:style>
  <w:style w:type="character" w:customStyle="1" w:styleId="st">
    <w:name w:val="st"/>
    <w:basedOn w:val="DefaultParagraphFont"/>
    <w:rsid w:val="00E077DB"/>
  </w:style>
  <w:style w:type="paragraph" w:customStyle="1" w:styleId="BulletText2">
    <w:name w:val="Bullet Text 2"/>
    <w:basedOn w:val="Normal"/>
    <w:rsid w:val="00D00E45"/>
    <w:pPr>
      <w:numPr>
        <w:numId w:val="1"/>
      </w:numPr>
      <w:spacing w:after="0" w:line="240" w:lineRule="auto"/>
    </w:pPr>
    <w:rPr>
      <w:rFonts w:ascii="Garamond" w:eastAsia="Batang" w:hAnsi="Garamond" w:cs="Times New Roman"/>
      <w:sz w:val="20"/>
      <w:szCs w:val="20"/>
    </w:rPr>
  </w:style>
  <w:style w:type="character" w:customStyle="1" w:styleId="NoSpacingChar">
    <w:name w:val="No Spacing Char"/>
    <w:aliases w:val="No Spacing higeag Char,Table Char"/>
    <w:link w:val="NoSpacing"/>
    <w:uiPriority w:val="1"/>
    <w:rsid w:val="00FE13CA"/>
  </w:style>
  <w:style w:type="paragraph" w:styleId="Caption">
    <w:name w:val="caption"/>
    <w:basedOn w:val="Normal"/>
    <w:next w:val="Normal"/>
    <w:uiPriority w:val="35"/>
    <w:unhideWhenUsed/>
    <w:qFormat/>
    <w:rsid w:val="00EE2FE1"/>
    <w:pPr>
      <w:keepNext/>
      <w:spacing w:line="240" w:lineRule="auto"/>
    </w:pPr>
    <w:rPr>
      <w:rFonts w:asciiTheme="majorHAnsi" w:eastAsiaTheme="minorHAnsi" w:hAnsiTheme="majorHAnsi" w:cstheme="majorHAnsi"/>
      <w:b/>
      <w:i/>
      <w:iCs/>
      <w:lang w:val="en-GB"/>
    </w:rPr>
  </w:style>
  <w:style w:type="table" w:customStyle="1" w:styleId="TableGridLight1">
    <w:name w:val="Table Grid Light1"/>
    <w:basedOn w:val="TableNormal"/>
    <w:uiPriority w:val="40"/>
    <w:rsid w:val="00D05DDF"/>
    <w:pPr>
      <w:spacing w:after="0" w:line="240" w:lineRule="auto"/>
    </w:pPr>
    <w:rPr>
      <w:rFonts w:ascii="Arial" w:eastAsiaTheme="minorHAnsi" w:hAnsi="Arial" w:cs="Arial"/>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05DDF"/>
    <w:pPr>
      <w:spacing w:after="0" w:line="240" w:lineRule="auto"/>
    </w:pPr>
    <w:rPr>
      <w:rFonts w:ascii="Arial" w:eastAsiaTheme="minorHAnsi" w:hAnsi="Arial" w:cs="Arial"/>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cheduleLevel1">
    <w:name w:val="Schedule Level 1"/>
    <w:basedOn w:val="Normal"/>
    <w:rsid w:val="005441CA"/>
    <w:pPr>
      <w:keepNext/>
      <w:spacing w:after="240" w:line="240" w:lineRule="auto"/>
      <w:ind w:right="29"/>
      <w:jc w:val="both"/>
      <w:outlineLvl w:val="8"/>
    </w:pPr>
    <w:rPr>
      <w:rFonts w:eastAsia="Times New Roman" w:cs="Times New Roman"/>
      <w:b/>
      <w:bCs/>
      <w:lang w:eastAsia="en-GB"/>
    </w:rPr>
  </w:style>
  <w:style w:type="paragraph" w:customStyle="1" w:styleId="HdSNumberLevel2">
    <w:name w:val="HdS Number Level 2"/>
    <w:basedOn w:val="Normal"/>
    <w:autoRedefine/>
    <w:rsid w:val="005441CA"/>
    <w:pPr>
      <w:numPr>
        <w:ilvl w:val="1"/>
        <w:numId w:val="2"/>
      </w:numPr>
      <w:spacing w:before="200" w:line="240" w:lineRule="atLeast"/>
    </w:pPr>
    <w:rPr>
      <w:rFonts w:eastAsia="Times New Roman" w:cs="Times New Roman"/>
      <w:color w:val="000000"/>
      <w:sz w:val="20"/>
      <w:szCs w:val="18"/>
      <w:lang w:bidi="he-IL"/>
    </w:rPr>
  </w:style>
  <w:style w:type="paragraph" w:customStyle="1" w:styleId="ListText1">
    <w:name w:val="ListText1"/>
    <w:rsid w:val="00C464A6"/>
    <w:pPr>
      <w:numPr>
        <w:numId w:val="3"/>
      </w:numPr>
      <w:spacing w:before="120" w:after="0" w:line="240" w:lineRule="auto"/>
      <w:jc w:val="both"/>
    </w:pPr>
    <w:rPr>
      <w:rFonts w:ascii="Book Antiqua" w:eastAsia="Times New Roman" w:hAnsi="Book Antiqua" w:cs="Times New Roman"/>
      <w:sz w:val="24"/>
      <w:szCs w:val="24"/>
      <w:lang w:val="en-AU"/>
    </w:rPr>
  </w:style>
  <w:style w:type="paragraph" w:styleId="z-TopofForm">
    <w:name w:val="HTML Top of Form"/>
    <w:basedOn w:val="Normal"/>
    <w:next w:val="Normal"/>
    <w:link w:val="z-TopofFormChar"/>
    <w:hidden/>
    <w:uiPriority w:val="99"/>
    <w:semiHidden/>
    <w:unhideWhenUsed/>
    <w:rsid w:val="00AC72C7"/>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AC72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72C7"/>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AC72C7"/>
    <w:rPr>
      <w:rFonts w:ascii="Arial" w:hAnsi="Arial" w:cs="Arial"/>
      <w:vanish/>
      <w:sz w:val="16"/>
      <w:szCs w:val="16"/>
    </w:rPr>
  </w:style>
  <w:style w:type="paragraph" w:styleId="Revision">
    <w:name w:val="Revision"/>
    <w:hidden/>
    <w:uiPriority w:val="99"/>
    <w:semiHidden/>
    <w:rsid w:val="00346B4E"/>
    <w:pPr>
      <w:spacing w:after="0" w:line="240" w:lineRule="auto"/>
    </w:pPr>
  </w:style>
  <w:style w:type="paragraph" w:customStyle="1" w:styleId="H3PES">
    <w:name w:val="H3 PES"/>
    <w:basedOn w:val="Normal"/>
    <w:link w:val="H3PESChar"/>
    <w:qFormat/>
    <w:rsid w:val="001B15E9"/>
    <w:pPr>
      <w:spacing w:before="240"/>
    </w:pPr>
    <w:rPr>
      <w:i/>
    </w:rPr>
  </w:style>
  <w:style w:type="character" w:customStyle="1" w:styleId="H3PESChar">
    <w:name w:val="H3 PES Char"/>
    <w:basedOn w:val="DefaultParagraphFont"/>
    <w:link w:val="H3PES"/>
    <w:rsid w:val="001B15E9"/>
    <w:rPr>
      <w:i/>
    </w:rPr>
  </w:style>
  <w:style w:type="character" w:customStyle="1" w:styleId="UnresolvedMention1">
    <w:name w:val="Unresolved Mention1"/>
    <w:basedOn w:val="DefaultParagraphFont"/>
    <w:uiPriority w:val="99"/>
    <w:semiHidden/>
    <w:unhideWhenUsed/>
    <w:rsid w:val="00D064D4"/>
    <w:rPr>
      <w:color w:val="605E5C"/>
      <w:shd w:val="clear" w:color="auto" w:fill="E1DFDD"/>
    </w:rPr>
  </w:style>
  <w:style w:type="character" w:customStyle="1" w:styleId="apple-converted-space">
    <w:name w:val="apple-converted-space"/>
    <w:basedOn w:val="DefaultParagraphFont"/>
    <w:rsid w:val="00337AC4"/>
  </w:style>
  <w:style w:type="character" w:customStyle="1" w:styleId="style3">
    <w:name w:val="style3"/>
    <w:basedOn w:val="DefaultParagraphFont"/>
    <w:rsid w:val="00337AC4"/>
  </w:style>
  <w:style w:type="character" w:customStyle="1" w:styleId="style2">
    <w:name w:val="style2"/>
    <w:basedOn w:val="DefaultParagraphFont"/>
    <w:rsid w:val="00337AC4"/>
  </w:style>
  <w:style w:type="paragraph" w:styleId="BodyText">
    <w:name w:val="Body Text"/>
    <w:basedOn w:val="Normal"/>
    <w:link w:val="BodyTextChar"/>
    <w:uiPriority w:val="1"/>
    <w:qFormat/>
    <w:rsid w:val="006C00CF"/>
    <w:pPr>
      <w:widowControl w:val="0"/>
    </w:pPr>
    <w:rPr>
      <w:rFonts w:eastAsia="Arial"/>
    </w:rPr>
  </w:style>
  <w:style w:type="character" w:customStyle="1" w:styleId="BodyTextChar">
    <w:name w:val="Body Text Char"/>
    <w:basedOn w:val="DefaultParagraphFont"/>
    <w:link w:val="BodyText"/>
    <w:uiPriority w:val="1"/>
    <w:rsid w:val="006C00CF"/>
    <w:rPr>
      <w:rFonts w:ascii="Arial" w:eastAsia="Arial" w:hAnsi="Arial" w:cs="Arial"/>
    </w:rPr>
  </w:style>
  <w:style w:type="paragraph" w:customStyle="1" w:styleId="VariableName">
    <w:name w:val="Variable Name"/>
    <w:basedOn w:val="Heading4"/>
    <w:next w:val="Normal"/>
    <w:link w:val="VariableNameChar"/>
    <w:qFormat/>
    <w:rsid w:val="00A35AB6"/>
    <w:pPr>
      <w:keepNext/>
      <w:keepLines/>
      <w:spacing w:before="240" w:line="259" w:lineRule="auto"/>
    </w:pPr>
    <w:rPr>
      <w:i w:val="0"/>
      <w:color w:val="000000" w:themeColor="text1"/>
      <w:sz w:val="24"/>
      <w:szCs w:val="24"/>
    </w:rPr>
  </w:style>
  <w:style w:type="paragraph" w:customStyle="1" w:styleId="NotesonQuestionSource">
    <w:name w:val="Notes on Question Source"/>
    <w:basedOn w:val="Normal"/>
    <w:link w:val="NotesonQuestionSourceChar"/>
    <w:qFormat/>
    <w:rsid w:val="00A35AB6"/>
    <w:pPr>
      <w:spacing w:after="0" w:line="259" w:lineRule="auto"/>
    </w:pPr>
    <w:rPr>
      <w:rFonts w:eastAsiaTheme="minorHAnsi"/>
      <w:i/>
      <w:iCs/>
      <w:color w:val="00B050"/>
      <w:sz w:val="18"/>
      <w:szCs w:val="18"/>
    </w:rPr>
  </w:style>
  <w:style w:type="character" w:customStyle="1" w:styleId="VariableNameChar">
    <w:name w:val="Variable Name Char"/>
    <w:basedOn w:val="Heading4Char"/>
    <w:link w:val="VariableName"/>
    <w:rsid w:val="00A35AB6"/>
    <w:rPr>
      <w:rFonts w:asciiTheme="majorHAnsi" w:eastAsiaTheme="majorEastAsia" w:hAnsiTheme="majorHAnsi" w:cstheme="majorBidi"/>
      <w:b/>
      <w:bCs/>
      <w:i w:val="0"/>
      <w:iCs/>
      <w:color w:val="000000" w:themeColor="text1"/>
      <w:sz w:val="24"/>
      <w:szCs w:val="24"/>
    </w:rPr>
  </w:style>
  <w:style w:type="character" w:customStyle="1" w:styleId="NotesonQuestionSourceChar">
    <w:name w:val="Notes on Question Source Char"/>
    <w:basedOn w:val="DefaultParagraphFont"/>
    <w:link w:val="NotesonQuestionSource"/>
    <w:rsid w:val="00A35AB6"/>
    <w:rPr>
      <w:rFonts w:eastAsiaTheme="minorHAnsi"/>
      <w:i/>
      <w:iCs/>
      <w:color w:val="00B050"/>
      <w:sz w:val="18"/>
      <w:szCs w:val="18"/>
    </w:rPr>
  </w:style>
  <w:style w:type="paragraph" w:customStyle="1" w:styleId="ProgrammingNote">
    <w:name w:val="Programming Note"/>
    <w:basedOn w:val="NotesonQuestionSource"/>
    <w:next w:val="Normal"/>
    <w:link w:val="ProgrammingNoteChar"/>
    <w:qFormat/>
    <w:rsid w:val="00A35AB6"/>
    <w:rPr>
      <w:b/>
      <w:bCs/>
      <w:i w:val="0"/>
      <w:iCs w:val="0"/>
      <w:color w:val="FF0000"/>
    </w:rPr>
  </w:style>
  <w:style w:type="character" w:customStyle="1" w:styleId="ProgrammingNoteChar">
    <w:name w:val="Programming Note Char"/>
    <w:basedOn w:val="NotesonQuestionSourceChar"/>
    <w:link w:val="ProgrammingNote"/>
    <w:rsid w:val="00A35AB6"/>
    <w:rPr>
      <w:rFonts w:eastAsiaTheme="minorHAnsi"/>
      <w:b/>
      <w:bCs/>
      <w:i w:val="0"/>
      <w:iCs w:val="0"/>
      <w:color w:val="FF0000"/>
      <w:sz w:val="18"/>
      <w:szCs w:val="18"/>
    </w:rPr>
  </w:style>
  <w:style w:type="paragraph" w:customStyle="1" w:styleId="ListBulletChar">
    <w:name w:val="List Bullet Char"/>
    <w:basedOn w:val="NotesonQuestionSource"/>
    <w:qFormat/>
    <w:rsid w:val="00A35AB6"/>
    <w:rPr>
      <w:color w:val="C0504D" w:themeColor="accent2"/>
    </w:rPr>
  </w:style>
  <w:style w:type="paragraph" w:customStyle="1" w:styleId="ListNumberChar">
    <w:name w:val="List Number Char"/>
    <w:basedOn w:val="NotesonQuestionSource"/>
    <w:qFormat/>
    <w:rsid w:val="00A35AB6"/>
    <w:rPr>
      <w:color w:val="8064A2" w:themeColor="accent4"/>
    </w:rPr>
  </w:style>
  <w:style w:type="paragraph" w:styleId="ListBullet">
    <w:name w:val="List Bullet"/>
    <w:basedOn w:val="Normal"/>
    <w:uiPriority w:val="99"/>
    <w:unhideWhenUsed/>
    <w:rsid w:val="00F63BDD"/>
    <w:pPr>
      <w:numPr>
        <w:numId w:val="4"/>
      </w:numPr>
      <w:contextualSpacing/>
    </w:pPr>
  </w:style>
  <w:style w:type="paragraph" w:styleId="ListNumber">
    <w:name w:val="List Number"/>
    <w:basedOn w:val="Normal"/>
    <w:uiPriority w:val="99"/>
    <w:unhideWhenUsed/>
    <w:rsid w:val="00F63BDD"/>
    <w:pPr>
      <w:numPr>
        <w:numId w:val="5"/>
      </w:numPr>
      <w:contextualSpacing/>
    </w:pPr>
  </w:style>
  <w:style w:type="paragraph" w:customStyle="1" w:styleId="msonormal0">
    <w:name w:val="msonormal"/>
    <w:basedOn w:val="Normal"/>
    <w:rsid w:val="00A35AB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Justification">
    <w:name w:val="Justification"/>
    <w:basedOn w:val="NotesonQuestionSource"/>
    <w:link w:val="JustificationChar"/>
    <w:qFormat/>
    <w:rsid w:val="00A35AB6"/>
    <w:rPr>
      <w:color w:val="1F497D" w:themeColor="text2"/>
    </w:rPr>
  </w:style>
  <w:style w:type="paragraph" w:customStyle="1" w:styleId="Changes">
    <w:name w:val="Changes"/>
    <w:basedOn w:val="NotesonQuestionSource"/>
    <w:link w:val="ChangesChar"/>
    <w:qFormat/>
    <w:rsid w:val="00A35AB6"/>
    <w:rPr>
      <w:color w:val="4BACC6" w:themeColor="accent5"/>
    </w:rPr>
  </w:style>
  <w:style w:type="character" w:customStyle="1" w:styleId="JustificationChar">
    <w:name w:val="Justification Char"/>
    <w:basedOn w:val="NotesonQuestionSourceChar"/>
    <w:link w:val="Justification"/>
    <w:rsid w:val="00A35AB6"/>
    <w:rPr>
      <w:rFonts w:eastAsiaTheme="minorHAnsi"/>
      <w:i/>
      <w:iCs/>
      <w:color w:val="1F497D" w:themeColor="text2"/>
      <w:sz w:val="18"/>
      <w:szCs w:val="18"/>
    </w:rPr>
  </w:style>
  <w:style w:type="character" w:customStyle="1" w:styleId="ChangesChar">
    <w:name w:val="Changes Char"/>
    <w:basedOn w:val="NotesonQuestionSourceChar"/>
    <w:link w:val="Changes"/>
    <w:rsid w:val="00A35AB6"/>
    <w:rPr>
      <w:rFonts w:eastAsiaTheme="minorHAnsi" w:cs="Arial"/>
      <w:i/>
      <w:iCs/>
      <w:color w:val="4BACC6" w:themeColor="accent5"/>
      <w:sz w:val="18"/>
      <w:szCs w:val="18"/>
    </w:rPr>
  </w:style>
  <w:style w:type="paragraph" w:customStyle="1" w:styleId="TableParagraph">
    <w:name w:val="Table Paragraph"/>
    <w:basedOn w:val="Normal"/>
    <w:uiPriority w:val="1"/>
    <w:qFormat/>
    <w:rsid w:val="00A35AB6"/>
    <w:pPr>
      <w:widowControl w:val="0"/>
      <w:autoSpaceDE w:val="0"/>
      <w:autoSpaceDN w:val="0"/>
      <w:spacing w:before="101" w:after="0" w:line="240" w:lineRule="auto"/>
    </w:pPr>
    <w:rPr>
      <w:rFonts w:ascii="Whitney Medium" w:eastAsia="Whitney Medium" w:hAnsi="Whitney Medium" w:cs="Whitney Medium"/>
      <w:lang w:val="en-US" w:bidi="en-US"/>
    </w:rPr>
  </w:style>
  <w:style w:type="paragraph" w:customStyle="1" w:styleId="N-Source">
    <w:name w:val="N - Source"/>
    <w:basedOn w:val="Normal"/>
    <w:link w:val="N-SourceChar"/>
    <w:qFormat/>
    <w:rsid w:val="00A35AB6"/>
    <w:pPr>
      <w:spacing w:after="0" w:line="259" w:lineRule="auto"/>
    </w:pPr>
    <w:rPr>
      <w:rFonts w:eastAsiaTheme="minorHAnsi"/>
      <w:i/>
      <w:iCs/>
      <w:color w:val="00B050"/>
      <w:sz w:val="18"/>
      <w:szCs w:val="18"/>
    </w:rPr>
  </w:style>
  <w:style w:type="character" w:customStyle="1" w:styleId="N-SourceChar">
    <w:name w:val="N - Source Char"/>
    <w:basedOn w:val="DefaultParagraphFont"/>
    <w:link w:val="N-Source"/>
    <w:rsid w:val="00A35AB6"/>
    <w:rPr>
      <w:rFonts w:eastAsiaTheme="minorHAnsi"/>
      <w:i/>
      <w:iCs/>
      <w:color w:val="00B050"/>
      <w:sz w:val="18"/>
      <w:szCs w:val="18"/>
    </w:rPr>
  </w:style>
  <w:style w:type="paragraph" w:customStyle="1" w:styleId="N-TestingNote">
    <w:name w:val="N - Testing Note"/>
    <w:basedOn w:val="N-Source"/>
    <w:link w:val="N-TestingNoteChar"/>
    <w:qFormat/>
    <w:rsid w:val="00A35AB6"/>
    <w:rPr>
      <w:color w:val="C0504D" w:themeColor="accent2"/>
    </w:rPr>
  </w:style>
  <w:style w:type="paragraph" w:customStyle="1" w:styleId="N-Analysis">
    <w:name w:val="N - Analysis"/>
    <w:basedOn w:val="N-Source"/>
    <w:link w:val="N-AnalysisChar"/>
    <w:qFormat/>
    <w:rsid w:val="00A35AB6"/>
    <w:rPr>
      <w:color w:val="8064A2" w:themeColor="accent4"/>
    </w:rPr>
  </w:style>
  <w:style w:type="character" w:customStyle="1" w:styleId="N-TestingNoteChar">
    <w:name w:val="N - Testing Note Char"/>
    <w:basedOn w:val="N-SourceChar"/>
    <w:link w:val="N-TestingNote"/>
    <w:rsid w:val="00A35AB6"/>
    <w:rPr>
      <w:rFonts w:eastAsiaTheme="minorHAnsi"/>
      <w:i/>
      <w:iCs/>
      <w:color w:val="C0504D" w:themeColor="accent2"/>
      <w:sz w:val="18"/>
      <w:szCs w:val="18"/>
    </w:rPr>
  </w:style>
  <w:style w:type="character" w:customStyle="1" w:styleId="N-AnalysisChar">
    <w:name w:val="N - Analysis Char"/>
    <w:basedOn w:val="N-SourceChar"/>
    <w:link w:val="N-Analysis"/>
    <w:rsid w:val="00A35AB6"/>
    <w:rPr>
      <w:rFonts w:eastAsiaTheme="minorHAnsi"/>
      <w:i/>
      <w:iCs/>
      <w:color w:val="8064A2" w:themeColor="accent4"/>
      <w:sz w:val="18"/>
      <w:szCs w:val="18"/>
    </w:rPr>
  </w:style>
  <w:style w:type="paragraph" w:customStyle="1" w:styleId="N-Justification">
    <w:name w:val="N - Justification"/>
    <w:basedOn w:val="N-Source"/>
    <w:link w:val="N-JustificationChar"/>
    <w:qFormat/>
    <w:rsid w:val="00A35AB6"/>
    <w:rPr>
      <w:color w:val="1F497D" w:themeColor="text2"/>
    </w:rPr>
  </w:style>
  <w:style w:type="paragraph" w:customStyle="1" w:styleId="N-Changes">
    <w:name w:val="N - Changes"/>
    <w:basedOn w:val="N-Source"/>
    <w:link w:val="N-ChangesChar"/>
    <w:qFormat/>
    <w:rsid w:val="00A35AB6"/>
    <w:rPr>
      <w:color w:val="4BACC6" w:themeColor="accent5"/>
    </w:rPr>
  </w:style>
  <w:style w:type="character" w:customStyle="1" w:styleId="N-JustificationChar">
    <w:name w:val="N - Justification Char"/>
    <w:basedOn w:val="N-SourceChar"/>
    <w:link w:val="N-Justification"/>
    <w:rsid w:val="00A35AB6"/>
    <w:rPr>
      <w:rFonts w:eastAsiaTheme="minorHAnsi"/>
      <w:i/>
      <w:iCs/>
      <w:color w:val="1F497D" w:themeColor="text2"/>
      <w:sz w:val="18"/>
      <w:szCs w:val="18"/>
    </w:rPr>
  </w:style>
  <w:style w:type="character" w:customStyle="1" w:styleId="N-ChangesChar">
    <w:name w:val="N - Changes Char"/>
    <w:basedOn w:val="N-SourceChar"/>
    <w:link w:val="N-Changes"/>
    <w:rsid w:val="00A35AB6"/>
    <w:rPr>
      <w:rFonts w:eastAsiaTheme="minorHAnsi"/>
      <w:i/>
      <w:iCs/>
      <w:color w:val="4BACC6" w:themeColor="accent5"/>
      <w:sz w:val="18"/>
      <w:szCs w:val="18"/>
    </w:rPr>
  </w:style>
  <w:style w:type="paragraph" w:styleId="List">
    <w:name w:val="List"/>
    <w:basedOn w:val="Normal"/>
    <w:uiPriority w:val="99"/>
    <w:unhideWhenUsed/>
    <w:rsid w:val="00132D96"/>
    <w:pPr>
      <w:ind w:left="283" w:hanging="283"/>
      <w:contextualSpacing/>
    </w:pPr>
  </w:style>
  <w:style w:type="character" w:customStyle="1" w:styleId="period">
    <w:name w:val="period"/>
    <w:basedOn w:val="DefaultParagraphFont"/>
    <w:rsid w:val="00A57DC4"/>
  </w:style>
  <w:style w:type="character" w:customStyle="1" w:styleId="cit">
    <w:name w:val="cit"/>
    <w:basedOn w:val="DefaultParagraphFont"/>
    <w:rsid w:val="00A57DC4"/>
  </w:style>
  <w:style w:type="character" w:customStyle="1" w:styleId="citation-doi">
    <w:name w:val="citation-doi"/>
    <w:basedOn w:val="DefaultParagraphFont"/>
    <w:rsid w:val="00A57DC4"/>
  </w:style>
  <w:style w:type="character" w:customStyle="1" w:styleId="authors-list-item">
    <w:name w:val="authors-list-item"/>
    <w:basedOn w:val="DefaultParagraphFont"/>
    <w:rsid w:val="00A57DC4"/>
  </w:style>
  <w:style w:type="character" w:customStyle="1" w:styleId="author-sup-separator">
    <w:name w:val="author-sup-separator"/>
    <w:basedOn w:val="DefaultParagraphFont"/>
    <w:rsid w:val="00A57DC4"/>
  </w:style>
  <w:style w:type="character" w:customStyle="1" w:styleId="comma">
    <w:name w:val="comma"/>
    <w:basedOn w:val="DefaultParagraphFont"/>
    <w:rsid w:val="00A57DC4"/>
  </w:style>
  <w:style w:type="character" w:styleId="UnresolvedMention">
    <w:name w:val="Unresolved Mention"/>
    <w:basedOn w:val="DefaultParagraphFont"/>
    <w:uiPriority w:val="99"/>
    <w:semiHidden/>
    <w:unhideWhenUsed/>
    <w:rsid w:val="00184361"/>
    <w:rPr>
      <w:color w:val="605E5C"/>
      <w:shd w:val="clear" w:color="auto" w:fill="E1DFDD"/>
    </w:rPr>
  </w:style>
  <w:style w:type="paragraph" w:styleId="ListNumber3">
    <w:name w:val="List Number 3"/>
    <w:aliases w:val="List Number 3_answer,ad_sub"/>
    <w:basedOn w:val="Normal"/>
    <w:uiPriority w:val="99"/>
    <w:semiHidden/>
    <w:unhideWhenUsed/>
    <w:rsid w:val="002034F9"/>
    <w:pPr>
      <w:numPr>
        <w:numId w:val="6"/>
      </w:numPr>
      <w:spacing w:after="0" w:line="320" w:lineRule="atLeast"/>
      <w:contextualSpacing/>
    </w:pPr>
    <w:rPr>
      <w:rFonts w:eastAsia="Times New Roman" w:cs="Times New Roman"/>
      <w:sz w:val="24"/>
      <w:szCs w:val="20"/>
      <w:lang w:val="en-US"/>
    </w:rPr>
  </w:style>
  <w:style w:type="paragraph" w:customStyle="1" w:styleId="1ListNumberQuestion2">
    <w:name w:val="1 List Number_Question2"/>
    <w:basedOn w:val="Normal"/>
    <w:qFormat/>
    <w:rsid w:val="002034F9"/>
    <w:pPr>
      <w:keepNext/>
      <w:keepLines/>
      <w:numPr>
        <w:numId w:val="7"/>
      </w:numPr>
      <w:spacing w:before="240" w:line="240" w:lineRule="auto"/>
      <w:ind w:left="540" w:hanging="626"/>
    </w:pPr>
    <w:rPr>
      <w:rFonts w:eastAsia="Times New Roman"/>
      <w:sz w:val="24"/>
      <w:szCs w:val="20"/>
      <w:lang w:val="en-US"/>
    </w:rPr>
  </w:style>
  <w:style w:type="paragraph" w:customStyle="1" w:styleId="NoteforAnalysis">
    <w:name w:val="Note for Analysis"/>
    <w:basedOn w:val="NotesonQuestionSource"/>
    <w:link w:val="NoteforAnalysisChar"/>
    <w:qFormat/>
    <w:rsid w:val="002034F9"/>
    <w:rPr>
      <w:color w:val="8064A2" w:themeColor="accent4"/>
    </w:rPr>
  </w:style>
  <w:style w:type="character" w:customStyle="1" w:styleId="NoteforAnalysisChar">
    <w:name w:val="Note for Analysis Char"/>
    <w:basedOn w:val="NotesonQuestionSourceChar"/>
    <w:link w:val="NoteforAnalysis"/>
    <w:rsid w:val="002034F9"/>
    <w:rPr>
      <w:rFonts w:eastAsiaTheme="minorHAnsi"/>
      <w:i/>
      <w:iCs/>
      <w:color w:val="8064A2" w:themeColor="accent4"/>
      <w:sz w:val="18"/>
      <w:szCs w:val="18"/>
    </w:rPr>
  </w:style>
  <w:style w:type="character" w:customStyle="1" w:styleId="CognitiveTestingNoteChar">
    <w:name w:val="Cognitive Testing Note Char"/>
    <w:basedOn w:val="NotesonQuestionSourceChar"/>
    <w:link w:val="CognitiveTestingNote"/>
    <w:locked/>
    <w:rsid w:val="002034F9"/>
    <w:rPr>
      <w:rFonts w:eastAsiaTheme="minorHAnsi"/>
      <w:i/>
      <w:iCs/>
      <w:color w:val="C0504D" w:themeColor="accent2"/>
      <w:sz w:val="18"/>
      <w:szCs w:val="18"/>
    </w:rPr>
  </w:style>
  <w:style w:type="paragraph" w:customStyle="1" w:styleId="CognitiveTestingNote">
    <w:name w:val="Cognitive Testing Note"/>
    <w:basedOn w:val="NotesonQuestionSource"/>
    <w:link w:val="CognitiveTestingNoteChar"/>
    <w:qFormat/>
    <w:rsid w:val="002034F9"/>
    <w:pPr>
      <w:spacing w:line="256" w:lineRule="auto"/>
    </w:pPr>
    <w:rPr>
      <w:color w:val="C0504D" w:themeColor="accent2"/>
    </w:rPr>
  </w:style>
  <w:style w:type="character" w:customStyle="1" w:styleId="normaltextrun">
    <w:name w:val="normaltextrun"/>
    <w:basedOn w:val="DefaultParagraphFont"/>
    <w:rsid w:val="004944F2"/>
  </w:style>
  <w:style w:type="character" w:customStyle="1" w:styleId="eop">
    <w:name w:val="eop"/>
    <w:basedOn w:val="DefaultParagraphFont"/>
    <w:rsid w:val="0049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2621">
      <w:bodyDiv w:val="1"/>
      <w:marLeft w:val="0"/>
      <w:marRight w:val="0"/>
      <w:marTop w:val="0"/>
      <w:marBottom w:val="0"/>
      <w:divBdr>
        <w:top w:val="none" w:sz="0" w:space="0" w:color="auto"/>
        <w:left w:val="none" w:sz="0" w:space="0" w:color="auto"/>
        <w:bottom w:val="none" w:sz="0" w:space="0" w:color="auto"/>
        <w:right w:val="none" w:sz="0" w:space="0" w:color="auto"/>
      </w:divBdr>
    </w:div>
    <w:div w:id="119039305">
      <w:bodyDiv w:val="1"/>
      <w:marLeft w:val="0"/>
      <w:marRight w:val="0"/>
      <w:marTop w:val="0"/>
      <w:marBottom w:val="0"/>
      <w:divBdr>
        <w:top w:val="none" w:sz="0" w:space="0" w:color="auto"/>
        <w:left w:val="none" w:sz="0" w:space="0" w:color="auto"/>
        <w:bottom w:val="none" w:sz="0" w:space="0" w:color="auto"/>
        <w:right w:val="none" w:sz="0" w:space="0" w:color="auto"/>
      </w:divBdr>
    </w:div>
    <w:div w:id="162626693">
      <w:bodyDiv w:val="1"/>
      <w:marLeft w:val="0"/>
      <w:marRight w:val="0"/>
      <w:marTop w:val="0"/>
      <w:marBottom w:val="0"/>
      <w:divBdr>
        <w:top w:val="none" w:sz="0" w:space="0" w:color="auto"/>
        <w:left w:val="none" w:sz="0" w:space="0" w:color="auto"/>
        <w:bottom w:val="none" w:sz="0" w:space="0" w:color="auto"/>
        <w:right w:val="none" w:sz="0" w:space="0" w:color="auto"/>
      </w:divBdr>
    </w:div>
    <w:div w:id="163670028">
      <w:bodyDiv w:val="1"/>
      <w:marLeft w:val="0"/>
      <w:marRight w:val="0"/>
      <w:marTop w:val="0"/>
      <w:marBottom w:val="0"/>
      <w:divBdr>
        <w:top w:val="none" w:sz="0" w:space="0" w:color="auto"/>
        <w:left w:val="none" w:sz="0" w:space="0" w:color="auto"/>
        <w:bottom w:val="none" w:sz="0" w:space="0" w:color="auto"/>
        <w:right w:val="none" w:sz="0" w:space="0" w:color="auto"/>
      </w:divBdr>
    </w:div>
    <w:div w:id="163936773">
      <w:bodyDiv w:val="1"/>
      <w:marLeft w:val="0"/>
      <w:marRight w:val="0"/>
      <w:marTop w:val="0"/>
      <w:marBottom w:val="0"/>
      <w:divBdr>
        <w:top w:val="none" w:sz="0" w:space="0" w:color="auto"/>
        <w:left w:val="none" w:sz="0" w:space="0" w:color="auto"/>
        <w:bottom w:val="none" w:sz="0" w:space="0" w:color="auto"/>
        <w:right w:val="none" w:sz="0" w:space="0" w:color="auto"/>
      </w:divBdr>
    </w:div>
    <w:div w:id="187110580">
      <w:bodyDiv w:val="1"/>
      <w:marLeft w:val="0"/>
      <w:marRight w:val="0"/>
      <w:marTop w:val="0"/>
      <w:marBottom w:val="0"/>
      <w:divBdr>
        <w:top w:val="none" w:sz="0" w:space="0" w:color="auto"/>
        <w:left w:val="none" w:sz="0" w:space="0" w:color="auto"/>
        <w:bottom w:val="none" w:sz="0" w:space="0" w:color="auto"/>
        <w:right w:val="none" w:sz="0" w:space="0" w:color="auto"/>
      </w:divBdr>
    </w:div>
    <w:div w:id="193616766">
      <w:bodyDiv w:val="1"/>
      <w:marLeft w:val="0"/>
      <w:marRight w:val="0"/>
      <w:marTop w:val="0"/>
      <w:marBottom w:val="0"/>
      <w:divBdr>
        <w:top w:val="none" w:sz="0" w:space="0" w:color="auto"/>
        <w:left w:val="none" w:sz="0" w:space="0" w:color="auto"/>
        <w:bottom w:val="none" w:sz="0" w:space="0" w:color="auto"/>
        <w:right w:val="none" w:sz="0" w:space="0" w:color="auto"/>
      </w:divBdr>
    </w:div>
    <w:div w:id="209653313">
      <w:bodyDiv w:val="1"/>
      <w:marLeft w:val="0"/>
      <w:marRight w:val="0"/>
      <w:marTop w:val="0"/>
      <w:marBottom w:val="0"/>
      <w:divBdr>
        <w:top w:val="none" w:sz="0" w:space="0" w:color="auto"/>
        <w:left w:val="none" w:sz="0" w:space="0" w:color="auto"/>
        <w:bottom w:val="none" w:sz="0" w:space="0" w:color="auto"/>
        <w:right w:val="none" w:sz="0" w:space="0" w:color="auto"/>
      </w:divBdr>
    </w:div>
    <w:div w:id="224682268">
      <w:bodyDiv w:val="1"/>
      <w:marLeft w:val="0"/>
      <w:marRight w:val="0"/>
      <w:marTop w:val="0"/>
      <w:marBottom w:val="0"/>
      <w:divBdr>
        <w:top w:val="none" w:sz="0" w:space="0" w:color="auto"/>
        <w:left w:val="none" w:sz="0" w:space="0" w:color="auto"/>
        <w:bottom w:val="none" w:sz="0" w:space="0" w:color="auto"/>
        <w:right w:val="none" w:sz="0" w:space="0" w:color="auto"/>
      </w:divBdr>
    </w:div>
    <w:div w:id="268398463">
      <w:bodyDiv w:val="1"/>
      <w:marLeft w:val="0"/>
      <w:marRight w:val="0"/>
      <w:marTop w:val="0"/>
      <w:marBottom w:val="0"/>
      <w:divBdr>
        <w:top w:val="none" w:sz="0" w:space="0" w:color="auto"/>
        <w:left w:val="none" w:sz="0" w:space="0" w:color="auto"/>
        <w:bottom w:val="none" w:sz="0" w:space="0" w:color="auto"/>
        <w:right w:val="none" w:sz="0" w:space="0" w:color="auto"/>
      </w:divBdr>
    </w:div>
    <w:div w:id="460850415">
      <w:bodyDiv w:val="1"/>
      <w:marLeft w:val="0"/>
      <w:marRight w:val="0"/>
      <w:marTop w:val="0"/>
      <w:marBottom w:val="0"/>
      <w:divBdr>
        <w:top w:val="none" w:sz="0" w:space="0" w:color="auto"/>
        <w:left w:val="none" w:sz="0" w:space="0" w:color="auto"/>
        <w:bottom w:val="none" w:sz="0" w:space="0" w:color="auto"/>
        <w:right w:val="none" w:sz="0" w:space="0" w:color="auto"/>
      </w:divBdr>
    </w:div>
    <w:div w:id="481586447">
      <w:bodyDiv w:val="1"/>
      <w:marLeft w:val="0"/>
      <w:marRight w:val="0"/>
      <w:marTop w:val="0"/>
      <w:marBottom w:val="0"/>
      <w:divBdr>
        <w:top w:val="none" w:sz="0" w:space="0" w:color="auto"/>
        <w:left w:val="none" w:sz="0" w:space="0" w:color="auto"/>
        <w:bottom w:val="none" w:sz="0" w:space="0" w:color="auto"/>
        <w:right w:val="none" w:sz="0" w:space="0" w:color="auto"/>
      </w:divBdr>
      <w:divsChild>
        <w:div w:id="804814122">
          <w:marLeft w:val="0"/>
          <w:marRight w:val="0"/>
          <w:marTop w:val="0"/>
          <w:marBottom w:val="0"/>
          <w:divBdr>
            <w:top w:val="none" w:sz="0" w:space="0" w:color="auto"/>
            <w:left w:val="none" w:sz="0" w:space="0" w:color="auto"/>
            <w:bottom w:val="none" w:sz="0" w:space="0" w:color="auto"/>
            <w:right w:val="none" w:sz="0" w:space="0" w:color="auto"/>
          </w:divBdr>
          <w:divsChild>
            <w:div w:id="1774549946">
              <w:marLeft w:val="0"/>
              <w:marRight w:val="0"/>
              <w:marTop w:val="0"/>
              <w:marBottom w:val="0"/>
              <w:divBdr>
                <w:top w:val="none" w:sz="0" w:space="0" w:color="auto"/>
                <w:left w:val="none" w:sz="0" w:space="0" w:color="auto"/>
                <w:bottom w:val="none" w:sz="0" w:space="0" w:color="auto"/>
                <w:right w:val="none" w:sz="0" w:space="0" w:color="auto"/>
              </w:divBdr>
              <w:divsChild>
                <w:div w:id="1068653193">
                  <w:marLeft w:val="0"/>
                  <w:marRight w:val="0"/>
                  <w:marTop w:val="0"/>
                  <w:marBottom w:val="0"/>
                  <w:divBdr>
                    <w:top w:val="none" w:sz="0" w:space="0" w:color="auto"/>
                    <w:left w:val="none" w:sz="0" w:space="0" w:color="auto"/>
                    <w:bottom w:val="none" w:sz="0" w:space="0" w:color="auto"/>
                    <w:right w:val="none" w:sz="0" w:space="0" w:color="auto"/>
                  </w:divBdr>
                  <w:divsChild>
                    <w:div w:id="10545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3801">
          <w:marLeft w:val="0"/>
          <w:marRight w:val="0"/>
          <w:marTop w:val="0"/>
          <w:marBottom w:val="0"/>
          <w:divBdr>
            <w:top w:val="none" w:sz="0" w:space="0" w:color="auto"/>
            <w:left w:val="none" w:sz="0" w:space="0" w:color="auto"/>
            <w:bottom w:val="none" w:sz="0" w:space="0" w:color="auto"/>
            <w:right w:val="none" w:sz="0" w:space="0" w:color="auto"/>
          </w:divBdr>
          <w:divsChild>
            <w:div w:id="937562883">
              <w:marLeft w:val="0"/>
              <w:marRight w:val="0"/>
              <w:marTop w:val="0"/>
              <w:marBottom w:val="0"/>
              <w:divBdr>
                <w:top w:val="none" w:sz="0" w:space="0" w:color="auto"/>
                <w:left w:val="none" w:sz="0" w:space="0" w:color="auto"/>
                <w:bottom w:val="none" w:sz="0" w:space="0" w:color="auto"/>
                <w:right w:val="none" w:sz="0" w:space="0" w:color="auto"/>
              </w:divBdr>
              <w:divsChild>
                <w:div w:id="1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5449">
      <w:bodyDiv w:val="1"/>
      <w:marLeft w:val="0"/>
      <w:marRight w:val="0"/>
      <w:marTop w:val="0"/>
      <w:marBottom w:val="0"/>
      <w:divBdr>
        <w:top w:val="none" w:sz="0" w:space="0" w:color="auto"/>
        <w:left w:val="none" w:sz="0" w:space="0" w:color="auto"/>
        <w:bottom w:val="none" w:sz="0" w:space="0" w:color="auto"/>
        <w:right w:val="none" w:sz="0" w:space="0" w:color="auto"/>
      </w:divBdr>
    </w:div>
    <w:div w:id="614486850">
      <w:bodyDiv w:val="1"/>
      <w:marLeft w:val="0"/>
      <w:marRight w:val="0"/>
      <w:marTop w:val="0"/>
      <w:marBottom w:val="0"/>
      <w:divBdr>
        <w:top w:val="none" w:sz="0" w:space="0" w:color="auto"/>
        <w:left w:val="none" w:sz="0" w:space="0" w:color="auto"/>
        <w:bottom w:val="none" w:sz="0" w:space="0" w:color="auto"/>
        <w:right w:val="none" w:sz="0" w:space="0" w:color="auto"/>
      </w:divBdr>
    </w:div>
    <w:div w:id="681467107">
      <w:bodyDiv w:val="1"/>
      <w:marLeft w:val="0"/>
      <w:marRight w:val="0"/>
      <w:marTop w:val="0"/>
      <w:marBottom w:val="0"/>
      <w:divBdr>
        <w:top w:val="none" w:sz="0" w:space="0" w:color="auto"/>
        <w:left w:val="none" w:sz="0" w:space="0" w:color="auto"/>
        <w:bottom w:val="none" w:sz="0" w:space="0" w:color="auto"/>
        <w:right w:val="none" w:sz="0" w:space="0" w:color="auto"/>
      </w:divBdr>
    </w:div>
    <w:div w:id="701051447">
      <w:bodyDiv w:val="1"/>
      <w:marLeft w:val="0"/>
      <w:marRight w:val="0"/>
      <w:marTop w:val="0"/>
      <w:marBottom w:val="0"/>
      <w:divBdr>
        <w:top w:val="none" w:sz="0" w:space="0" w:color="auto"/>
        <w:left w:val="none" w:sz="0" w:space="0" w:color="auto"/>
        <w:bottom w:val="none" w:sz="0" w:space="0" w:color="auto"/>
        <w:right w:val="none" w:sz="0" w:space="0" w:color="auto"/>
      </w:divBdr>
    </w:div>
    <w:div w:id="806581064">
      <w:bodyDiv w:val="1"/>
      <w:marLeft w:val="0"/>
      <w:marRight w:val="0"/>
      <w:marTop w:val="0"/>
      <w:marBottom w:val="0"/>
      <w:divBdr>
        <w:top w:val="none" w:sz="0" w:space="0" w:color="auto"/>
        <w:left w:val="none" w:sz="0" w:space="0" w:color="auto"/>
        <w:bottom w:val="none" w:sz="0" w:space="0" w:color="auto"/>
        <w:right w:val="none" w:sz="0" w:space="0" w:color="auto"/>
      </w:divBdr>
    </w:div>
    <w:div w:id="839347433">
      <w:bodyDiv w:val="1"/>
      <w:marLeft w:val="0"/>
      <w:marRight w:val="0"/>
      <w:marTop w:val="0"/>
      <w:marBottom w:val="0"/>
      <w:divBdr>
        <w:top w:val="none" w:sz="0" w:space="0" w:color="auto"/>
        <w:left w:val="none" w:sz="0" w:space="0" w:color="auto"/>
        <w:bottom w:val="none" w:sz="0" w:space="0" w:color="auto"/>
        <w:right w:val="none" w:sz="0" w:space="0" w:color="auto"/>
      </w:divBdr>
    </w:div>
    <w:div w:id="864827983">
      <w:bodyDiv w:val="1"/>
      <w:marLeft w:val="0"/>
      <w:marRight w:val="0"/>
      <w:marTop w:val="0"/>
      <w:marBottom w:val="0"/>
      <w:divBdr>
        <w:top w:val="none" w:sz="0" w:space="0" w:color="auto"/>
        <w:left w:val="none" w:sz="0" w:space="0" w:color="auto"/>
        <w:bottom w:val="none" w:sz="0" w:space="0" w:color="auto"/>
        <w:right w:val="none" w:sz="0" w:space="0" w:color="auto"/>
      </w:divBdr>
    </w:div>
    <w:div w:id="921136790">
      <w:bodyDiv w:val="1"/>
      <w:marLeft w:val="0"/>
      <w:marRight w:val="0"/>
      <w:marTop w:val="0"/>
      <w:marBottom w:val="0"/>
      <w:divBdr>
        <w:top w:val="none" w:sz="0" w:space="0" w:color="auto"/>
        <w:left w:val="none" w:sz="0" w:space="0" w:color="auto"/>
        <w:bottom w:val="none" w:sz="0" w:space="0" w:color="auto"/>
        <w:right w:val="none" w:sz="0" w:space="0" w:color="auto"/>
      </w:divBdr>
      <w:divsChild>
        <w:div w:id="463432192">
          <w:marLeft w:val="0"/>
          <w:marRight w:val="0"/>
          <w:marTop w:val="0"/>
          <w:marBottom w:val="0"/>
          <w:divBdr>
            <w:top w:val="none" w:sz="0" w:space="0" w:color="auto"/>
            <w:left w:val="none" w:sz="0" w:space="0" w:color="auto"/>
            <w:bottom w:val="none" w:sz="0" w:space="0" w:color="auto"/>
            <w:right w:val="none" w:sz="0" w:space="0" w:color="auto"/>
          </w:divBdr>
          <w:divsChild>
            <w:div w:id="905262178">
              <w:marLeft w:val="0"/>
              <w:marRight w:val="0"/>
              <w:marTop w:val="0"/>
              <w:marBottom w:val="0"/>
              <w:divBdr>
                <w:top w:val="none" w:sz="0" w:space="0" w:color="auto"/>
                <w:left w:val="none" w:sz="0" w:space="0" w:color="auto"/>
                <w:bottom w:val="none" w:sz="0" w:space="0" w:color="auto"/>
                <w:right w:val="none" w:sz="0" w:space="0" w:color="auto"/>
              </w:divBdr>
              <w:divsChild>
                <w:div w:id="2144929630">
                  <w:marLeft w:val="0"/>
                  <w:marRight w:val="0"/>
                  <w:marTop w:val="0"/>
                  <w:marBottom w:val="0"/>
                  <w:divBdr>
                    <w:top w:val="none" w:sz="0" w:space="0" w:color="auto"/>
                    <w:left w:val="none" w:sz="0" w:space="0" w:color="auto"/>
                    <w:bottom w:val="none" w:sz="0" w:space="0" w:color="auto"/>
                    <w:right w:val="none" w:sz="0" w:space="0" w:color="auto"/>
                  </w:divBdr>
                  <w:divsChild>
                    <w:div w:id="401879534">
                      <w:marLeft w:val="0"/>
                      <w:marRight w:val="0"/>
                      <w:marTop w:val="0"/>
                      <w:marBottom w:val="0"/>
                      <w:divBdr>
                        <w:top w:val="none" w:sz="0" w:space="0" w:color="auto"/>
                        <w:left w:val="none" w:sz="0" w:space="0" w:color="auto"/>
                        <w:bottom w:val="none" w:sz="0" w:space="0" w:color="auto"/>
                        <w:right w:val="none" w:sz="0" w:space="0" w:color="auto"/>
                      </w:divBdr>
                      <w:divsChild>
                        <w:div w:id="1917858790">
                          <w:marLeft w:val="-300"/>
                          <w:marRight w:val="0"/>
                          <w:marTop w:val="0"/>
                          <w:marBottom w:val="0"/>
                          <w:divBdr>
                            <w:top w:val="none" w:sz="0" w:space="0" w:color="auto"/>
                            <w:left w:val="none" w:sz="0" w:space="0" w:color="auto"/>
                            <w:bottom w:val="none" w:sz="0" w:space="0" w:color="auto"/>
                            <w:right w:val="none" w:sz="0" w:space="0" w:color="auto"/>
                          </w:divBdr>
                          <w:divsChild>
                            <w:div w:id="768162563">
                              <w:marLeft w:val="0"/>
                              <w:marRight w:val="0"/>
                              <w:marTop w:val="0"/>
                              <w:marBottom w:val="0"/>
                              <w:divBdr>
                                <w:top w:val="none" w:sz="0" w:space="0" w:color="auto"/>
                                <w:left w:val="none" w:sz="0" w:space="0" w:color="auto"/>
                                <w:bottom w:val="none" w:sz="0" w:space="0" w:color="auto"/>
                                <w:right w:val="none" w:sz="0" w:space="0" w:color="auto"/>
                              </w:divBdr>
                              <w:divsChild>
                                <w:div w:id="16066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28631">
      <w:bodyDiv w:val="1"/>
      <w:marLeft w:val="0"/>
      <w:marRight w:val="0"/>
      <w:marTop w:val="0"/>
      <w:marBottom w:val="0"/>
      <w:divBdr>
        <w:top w:val="none" w:sz="0" w:space="0" w:color="auto"/>
        <w:left w:val="none" w:sz="0" w:space="0" w:color="auto"/>
        <w:bottom w:val="none" w:sz="0" w:space="0" w:color="auto"/>
        <w:right w:val="none" w:sz="0" w:space="0" w:color="auto"/>
      </w:divBdr>
    </w:div>
    <w:div w:id="1042049736">
      <w:bodyDiv w:val="1"/>
      <w:marLeft w:val="0"/>
      <w:marRight w:val="0"/>
      <w:marTop w:val="0"/>
      <w:marBottom w:val="0"/>
      <w:divBdr>
        <w:top w:val="none" w:sz="0" w:space="0" w:color="auto"/>
        <w:left w:val="none" w:sz="0" w:space="0" w:color="auto"/>
        <w:bottom w:val="none" w:sz="0" w:space="0" w:color="auto"/>
        <w:right w:val="none" w:sz="0" w:space="0" w:color="auto"/>
      </w:divBdr>
    </w:div>
    <w:div w:id="1120564420">
      <w:bodyDiv w:val="1"/>
      <w:marLeft w:val="0"/>
      <w:marRight w:val="0"/>
      <w:marTop w:val="0"/>
      <w:marBottom w:val="0"/>
      <w:divBdr>
        <w:top w:val="none" w:sz="0" w:space="0" w:color="auto"/>
        <w:left w:val="none" w:sz="0" w:space="0" w:color="auto"/>
        <w:bottom w:val="none" w:sz="0" w:space="0" w:color="auto"/>
        <w:right w:val="none" w:sz="0" w:space="0" w:color="auto"/>
      </w:divBdr>
      <w:divsChild>
        <w:div w:id="1891111959">
          <w:marLeft w:val="0"/>
          <w:marRight w:val="0"/>
          <w:marTop w:val="0"/>
          <w:marBottom w:val="0"/>
          <w:divBdr>
            <w:top w:val="none" w:sz="0" w:space="0" w:color="auto"/>
            <w:left w:val="none" w:sz="0" w:space="0" w:color="auto"/>
            <w:bottom w:val="none" w:sz="0" w:space="0" w:color="auto"/>
            <w:right w:val="none" w:sz="0" w:space="0" w:color="auto"/>
          </w:divBdr>
          <w:divsChild>
            <w:div w:id="1901094578">
              <w:marLeft w:val="0"/>
              <w:marRight w:val="0"/>
              <w:marTop w:val="0"/>
              <w:marBottom w:val="0"/>
              <w:divBdr>
                <w:top w:val="none" w:sz="0" w:space="0" w:color="auto"/>
                <w:left w:val="none" w:sz="0" w:space="0" w:color="auto"/>
                <w:bottom w:val="none" w:sz="0" w:space="0" w:color="auto"/>
                <w:right w:val="none" w:sz="0" w:space="0" w:color="auto"/>
              </w:divBdr>
              <w:divsChild>
                <w:div w:id="1249080137">
                  <w:marLeft w:val="0"/>
                  <w:marRight w:val="0"/>
                  <w:marTop w:val="0"/>
                  <w:marBottom w:val="0"/>
                  <w:divBdr>
                    <w:top w:val="none" w:sz="0" w:space="0" w:color="auto"/>
                    <w:left w:val="none" w:sz="0" w:space="0" w:color="auto"/>
                    <w:bottom w:val="none" w:sz="0" w:space="0" w:color="auto"/>
                    <w:right w:val="none" w:sz="0" w:space="0" w:color="auto"/>
                  </w:divBdr>
                  <w:divsChild>
                    <w:div w:id="894126177">
                      <w:marLeft w:val="-300"/>
                      <w:marRight w:val="0"/>
                      <w:marTop w:val="0"/>
                      <w:marBottom w:val="0"/>
                      <w:divBdr>
                        <w:top w:val="none" w:sz="0" w:space="0" w:color="auto"/>
                        <w:left w:val="none" w:sz="0" w:space="0" w:color="auto"/>
                        <w:bottom w:val="none" w:sz="0" w:space="0" w:color="auto"/>
                        <w:right w:val="none" w:sz="0" w:space="0" w:color="auto"/>
                      </w:divBdr>
                      <w:divsChild>
                        <w:div w:id="978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2861">
      <w:bodyDiv w:val="1"/>
      <w:marLeft w:val="0"/>
      <w:marRight w:val="0"/>
      <w:marTop w:val="0"/>
      <w:marBottom w:val="0"/>
      <w:divBdr>
        <w:top w:val="none" w:sz="0" w:space="0" w:color="auto"/>
        <w:left w:val="none" w:sz="0" w:space="0" w:color="auto"/>
        <w:bottom w:val="none" w:sz="0" w:space="0" w:color="auto"/>
        <w:right w:val="none" w:sz="0" w:space="0" w:color="auto"/>
      </w:divBdr>
      <w:divsChild>
        <w:div w:id="1589535489">
          <w:marLeft w:val="0"/>
          <w:marRight w:val="0"/>
          <w:marTop w:val="0"/>
          <w:marBottom w:val="0"/>
          <w:divBdr>
            <w:top w:val="none" w:sz="0" w:space="0" w:color="auto"/>
            <w:left w:val="none" w:sz="0" w:space="0" w:color="auto"/>
            <w:bottom w:val="none" w:sz="0" w:space="0" w:color="auto"/>
            <w:right w:val="none" w:sz="0" w:space="0" w:color="auto"/>
          </w:divBdr>
          <w:divsChild>
            <w:div w:id="1973517226">
              <w:marLeft w:val="0"/>
              <w:marRight w:val="0"/>
              <w:marTop w:val="0"/>
              <w:marBottom w:val="0"/>
              <w:divBdr>
                <w:top w:val="none" w:sz="0" w:space="0" w:color="auto"/>
                <w:left w:val="none" w:sz="0" w:space="0" w:color="auto"/>
                <w:bottom w:val="none" w:sz="0" w:space="0" w:color="auto"/>
                <w:right w:val="none" w:sz="0" w:space="0" w:color="auto"/>
              </w:divBdr>
              <w:divsChild>
                <w:div w:id="1019741614">
                  <w:marLeft w:val="-225"/>
                  <w:marRight w:val="-225"/>
                  <w:marTop w:val="0"/>
                  <w:marBottom w:val="0"/>
                  <w:divBdr>
                    <w:top w:val="none" w:sz="0" w:space="0" w:color="auto"/>
                    <w:left w:val="none" w:sz="0" w:space="0" w:color="auto"/>
                    <w:bottom w:val="none" w:sz="0" w:space="0" w:color="auto"/>
                    <w:right w:val="none" w:sz="0" w:space="0" w:color="auto"/>
                  </w:divBdr>
                  <w:divsChild>
                    <w:div w:id="302857175">
                      <w:marLeft w:val="0"/>
                      <w:marRight w:val="0"/>
                      <w:marTop w:val="0"/>
                      <w:marBottom w:val="0"/>
                      <w:divBdr>
                        <w:top w:val="none" w:sz="0" w:space="0" w:color="auto"/>
                        <w:left w:val="none" w:sz="0" w:space="0" w:color="auto"/>
                        <w:bottom w:val="none" w:sz="0" w:space="0" w:color="auto"/>
                        <w:right w:val="none" w:sz="0" w:space="0" w:color="auto"/>
                      </w:divBdr>
                      <w:divsChild>
                        <w:div w:id="1737433524">
                          <w:marLeft w:val="0"/>
                          <w:marRight w:val="0"/>
                          <w:marTop w:val="0"/>
                          <w:marBottom w:val="0"/>
                          <w:divBdr>
                            <w:top w:val="none" w:sz="0" w:space="0" w:color="auto"/>
                            <w:left w:val="none" w:sz="0" w:space="0" w:color="auto"/>
                            <w:bottom w:val="none" w:sz="0" w:space="0" w:color="auto"/>
                            <w:right w:val="none" w:sz="0" w:space="0" w:color="auto"/>
                          </w:divBdr>
                          <w:divsChild>
                            <w:div w:id="662470611">
                              <w:marLeft w:val="-225"/>
                              <w:marRight w:val="-225"/>
                              <w:marTop w:val="0"/>
                              <w:marBottom w:val="0"/>
                              <w:divBdr>
                                <w:top w:val="none" w:sz="0" w:space="0" w:color="auto"/>
                                <w:left w:val="none" w:sz="0" w:space="0" w:color="auto"/>
                                <w:bottom w:val="none" w:sz="0" w:space="0" w:color="auto"/>
                                <w:right w:val="none" w:sz="0" w:space="0" w:color="auto"/>
                              </w:divBdr>
                              <w:divsChild>
                                <w:div w:id="1793405850">
                                  <w:marLeft w:val="0"/>
                                  <w:marRight w:val="0"/>
                                  <w:marTop w:val="0"/>
                                  <w:marBottom w:val="0"/>
                                  <w:divBdr>
                                    <w:top w:val="none" w:sz="0" w:space="0" w:color="auto"/>
                                    <w:left w:val="none" w:sz="0" w:space="0" w:color="auto"/>
                                    <w:bottom w:val="none" w:sz="0" w:space="0" w:color="auto"/>
                                    <w:right w:val="none" w:sz="0" w:space="0" w:color="auto"/>
                                  </w:divBdr>
                                  <w:divsChild>
                                    <w:div w:id="1093861856">
                                      <w:marLeft w:val="0"/>
                                      <w:marRight w:val="0"/>
                                      <w:marTop w:val="0"/>
                                      <w:marBottom w:val="0"/>
                                      <w:divBdr>
                                        <w:top w:val="none" w:sz="0" w:space="0" w:color="auto"/>
                                        <w:left w:val="none" w:sz="0" w:space="0" w:color="auto"/>
                                        <w:bottom w:val="none" w:sz="0" w:space="0" w:color="auto"/>
                                        <w:right w:val="none" w:sz="0" w:space="0" w:color="auto"/>
                                      </w:divBdr>
                                      <w:divsChild>
                                        <w:div w:id="577982588">
                                          <w:marLeft w:val="0"/>
                                          <w:marRight w:val="0"/>
                                          <w:marTop w:val="0"/>
                                          <w:marBottom w:val="0"/>
                                          <w:divBdr>
                                            <w:top w:val="none" w:sz="0" w:space="0" w:color="auto"/>
                                            <w:left w:val="none" w:sz="0" w:space="0" w:color="auto"/>
                                            <w:bottom w:val="none" w:sz="0" w:space="0" w:color="auto"/>
                                            <w:right w:val="none" w:sz="0" w:space="0" w:color="auto"/>
                                          </w:divBdr>
                                          <w:divsChild>
                                            <w:div w:id="1467355768">
                                              <w:marLeft w:val="0"/>
                                              <w:marRight w:val="0"/>
                                              <w:marTop w:val="0"/>
                                              <w:marBottom w:val="0"/>
                                              <w:divBdr>
                                                <w:top w:val="none" w:sz="0" w:space="0" w:color="auto"/>
                                                <w:left w:val="none" w:sz="0" w:space="0" w:color="auto"/>
                                                <w:bottom w:val="none" w:sz="0" w:space="0" w:color="auto"/>
                                                <w:right w:val="none" w:sz="0" w:space="0" w:color="auto"/>
                                              </w:divBdr>
                                              <w:divsChild>
                                                <w:div w:id="1619726906">
                                                  <w:marLeft w:val="0"/>
                                                  <w:marRight w:val="0"/>
                                                  <w:marTop w:val="0"/>
                                                  <w:marBottom w:val="0"/>
                                                  <w:divBdr>
                                                    <w:top w:val="none" w:sz="0" w:space="0" w:color="auto"/>
                                                    <w:left w:val="none" w:sz="0" w:space="0" w:color="auto"/>
                                                    <w:bottom w:val="none" w:sz="0" w:space="0" w:color="auto"/>
                                                    <w:right w:val="none" w:sz="0" w:space="0" w:color="auto"/>
                                                  </w:divBdr>
                                                  <w:divsChild>
                                                    <w:div w:id="1943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75086">
      <w:bodyDiv w:val="1"/>
      <w:marLeft w:val="0"/>
      <w:marRight w:val="0"/>
      <w:marTop w:val="0"/>
      <w:marBottom w:val="0"/>
      <w:divBdr>
        <w:top w:val="none" w:sz="0" w:space="0" w:color="auto"/>
        <w:left w:val="none" w:sz="0" w:space="0" w:color="auto"/>
        <w:bottom w:val="none" w:sz="0" w:space="0" w:color="auto"/>
        <w:right w:val="none" w:sz="0" w:space="0" w:color="auto"/>
      </w:divBdr>
    </w:div>
    <w:div w:id="1156730216">
      <w:bodyDiv w:val="1"/>
      <w:marLeft w:val="0"/>
      <w:marRight w:val="0"/>
      <w:marTop w:val="0"/>
      <w:marBottom w:val="0"/>
      <w:divBdr>
        <w:top w:val="none" w:sz="0" w:space="0" w:color="auto"/>
        <w:left w:val="none" w:sz="0" w:space="0" w:color="auto"/>
        <w:bottom w:val="none" w:sz="0" w:space="0" w:color="auto"/>
        <w:right w:val="none" w:sz="0" w:space="0" w:color="auto"/>
      </w:divBdr>
    </w:div>
    <w:div w:id="1209224248">
      <w:bodyDiv w:val="1"/>
      <w:marLeft w:val="0"/>
      <w:marRight w:val="0"/>
      <w:marTop w:val="0"/>
      <w:marBottom w:val="0"/>
      <w:divBdr>
        <w:top w:val="none" w:sz="0" w:space="0" w:color="auto"/>
        <w:left w:val="none" w:sz="0" w:space="0" w:color="auto"/>
        <w:bottom w:val="none" w:sz="0" w:space="0" w:color="auto"/>
        <w:right w:val="none" w:sz="0" w:space="0" w:color="auto"/>
      </w:divBdr>
    </w:div>
    <w:div w:id="1326936603">
      <w:bodyDiv w:val="1"/>
      <w:marLeft w:val="0"/>
      <w:marRight w:val="0"/>
      <w:marTop w:val="0"/>
      <w:marBottom w:val="0"/>
      <w:divBdr>
        <w:top w:val="none" w:sz="0" w:space="0" w:color="auto"/>
        <w:left w:val="none" w:sz="0" w:space="0" w:color="auto"/>
        <w:bottom w:val="none" w:sz="0" w:space="0" w:color="auto"/>
        <w:right w:val="none" w:sz="0" w:space="0" w:color="auto"/>
      </w:divBdr>
    </w:div>
    <w:div w:id="1447308964">
      <w:bodyDiv w:val="1"/>
      <w:marLeft w:val="0"/>
      <w:marRight w:val="0"/>
      <w:marTop w:val="0"/>
      <w:marBottom w:val="0"/>
      <w:divBdr>
        <w:top w:val="none" w:sz="0" w:space="0" w:color="auto"/>
        <w:left w:val="none" w:sz="0" w:space="0" w:color="auto"/>
        <w:bottom w:val="none" w:sz="0" w:space="0" w:color="auto"/>
        <w:right w:val="none" w:sz="0" w:space="0" w:color="auto"/>
      </w:divBdr>
    </w:div>
    <w:div w:id="1463645530">
      <w:bodyDiv w:val="1"/>
      <w:marLeft w:val="0"/>
      <w:marRight w:val="0"/>
      <w:marTop w:val="0"/>
      <w:marBottom w:val="0"/>
      <w:divBdr>
        <w:top w:val="none" w:sz="0" w:space="0" w:color="auto"/>
        <w:left w:val="none" w:sz="0" w:space="0" w:color="auto"/>
        <w:bottom w:val="none" w:sz="0" w:space="0" w:color="auto"/>
        <w:right w:val="none" w:sz="0" w:space="0" w:color="auto"/>
      </w:divBdr>
    </w:div>
    <w:div w:id="1570770251">
      <w:bodyDiv w:val="1"/>
      <w:marLeft w:val="0"/>
      <w:marRight w:val="0"/>
      <w:marTop w:val="0"/>
      <w:marBottom w:val="0"/>
      <w:divBdr>
        <w:top w:val="none" w:sz="0" w:space="0" w:color="auto"/>
        <w:left w:val="none" w:sz="0" w:space="0" w:color="auto"/>
        <w:bottom w:val="none" w:sz="0" w:space="0" w:color="auto"/>
        <w:right w:val="none" w:sz="0" w:space="0" w:color="auto"/>
      </w:divBdr>
    </w:div>
    <w:div w:id="1586768360">
      <w:bodyDiv w:val="1"/>
      <w:marLeft w:val="0"/>
      <w:marRight w:val="0"/>
      <w:marTop w:val="0"/>
      <w:marBottom w:val="0"/>
      <w:divBdr>
        <w:top w:val="none" w:sz="0" w:space="0" w:color="auto"/>
        <w:left w:val="none" w:sz="0" w:space="0" w:color="auto"/>
        <w:bottom w:val="none" w:sz="0" w:space="0" w:color="auto"/>
        <w:right w:val="none" w:sz="0" w:space="0" w:color="auto"/>
      </w:divBdr>
    </w:div>
    <w:div w:id="1587299208">
      <w:bodyDiv w:val="1"/>
      <w:marLeft w:val="0"/>
      <w:marRight w:val="0"/>
      <w:marTop w:val="0"/>
      <w:marBottom w:val="0"/>
      <w:divBdr>
        <w:top w:val="none" w:sz="0" w:space="0" w:color="auto"/>
        <w:left w:val="none" w:sz="0" w:space="0" w:color="auto"/>
        <w:bottom w:val="none" w:sz="0" w:space="0" w:color="auto"/>
        <w:right w:val="none" w:sz="0" w:space="0" w:color="auto"/>
      </w:divBdr>
      <w:divsChild>
        <w:div w:id="886380828">
          <w:marLeft w:val="0"/>
          <w:marRight w:val="0"/>
          <w:marTop w:val="0"/>
          <w:marBottom w:val="0"/>
          <w:divBdr>
            <w:top w:val="none" w:sz="0" w:space="0" w:color="auto"/>
            <w:left w:val="none" w:sz="0" w:space="0" w:color="auto"/>
            <w:bottom w:val="none" w:sz="0" w:space="0" w:color="auto"/>
            <w:right w:val="none" w:sz="0" w:space="0" w:color="auto"/>
          </w:divBdr>
          <w:divsChild>
            <w:div w:id="189223680">
              <w:marLeft w:val="0"/>
              <w:marRight w:val="0"/>
              <w:marTop w:val="0"/>
              <w:marBottom w:val="0"/>
              <w:divBdr>
                <w:top w:val="none" w:sz="0" w:space="0" w:color="auto"/>
                <w:left w:val="none" w:sz="0" w:space="0" w:color="auto"/>
                <w:bottom w:val="none" w:sz="0" w:space="0" w:color="auto"/>
                <w:right w:val="none" w:sz="0" w:space="0" w:color="auto"/>
              </w:divBdr>
              <w:divsChild>
                <w:div w:id="1477524481">
                  <w:marLeft w:val="0"/>
                  <w:marRight w:val="0"/>
                  <w:marTop w:val="0"/>
                  <w:marBottom w:val="0"/>
                  <w:divBdr>
                    <w:top w:val="none" w:sz="0" w:space="0" w:color="auto"/>
                    <w:left w:val="none" w:sz="0" w:space="0" w:color="auto"/>
                    <w:bottom w:val="none" w:sz="0" w:space="0" w:color="auto"/>
                    <w:right w:val="none" w:sz="0" w:space="0" w:color="auto"/>
                  </w:divBdr>
                  <w:divsChild>
                    <w:div w:id="411510852">
                      <w:marLeft w:val="-300"/>
                      <w:marRight w:val="0"/>
                      <w:marTop w:val="0"/>
                      <w:marBottom w:val="0"/>
                      <w:divBdr>
                        <w:top w:val="none" w:sz="0" w:space="0" w:color="auto"/>
                        <w:left w:val="none" w:sz="0" w:space="0" w:color="auto"/>
                        <w:bottom w:val="none" w:sz="0" w:space="0" w:color="auto"/>
                        <w:right w:val="none" w:sz="0" w:space="0" w:color="auto"/>
                      </w:divBdr>
                      <w:divsChild>
                        <w:div w:id="2341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3436">
      <w:bodyDiv w:val="1"/>
      <w:marLeft w:val="0"/>
      <w:marRight w:val="0"/>
      <w:marTop w:val="0"/>
      <w:marBottom w:val="0"/>
      <w:divBdr>
        <w:top w:val="none" w:sz="0" w:space="0" w:color="auto"/>
        <w:left w:val="none" w:sz="0" w:space="0" w:color="auto"/>
        <w:bottom w:val="none" w:sz="0" w:space="0" w:color="auto"/>
        <w:right w:val="none" w:sz="0" w:space="0" w:color="auto"/>
      </w:divBdr>
    </w:div>
    <w:div w:id="1714689373">
      <w:bodyDiv w:val="1"/>
      <w:marLeft w:val="0"/>
      <w:marRight w:val="0"/>
      <w:marTop w:val="0"/>
      <w:marBottom w:val="0"/>
      <w:divBdr>
        <w:top w:val="none" w:sz="0" w:space="0" w:color="auto"/>
        <w:left w:val="none" w:sz="0" w:space="0" w:color="auto"/>
        <w:bottom w:val="none" w:sz="0" w:space="0" w:color="auto"/>
        <w:right w:val="none" w:sz="0" w:space="0" w:color="auto"/>
      </w:divBdr>
    </w:div>
    <w:div w:id="1805848717">
      <w:bodyDiv w:val="1"/>
      <w:marLeft w:val="0"/>
      <w:marRight w:val="0"/>
      <w:marTop w:val="0"/>
      <w:marBottom w:val="0"/>
      <w:divBdr>
        <w:top w:val="none" w:sz="0" w:space="0" w:color="auto"/>
        <w:left w:val="none" w:sz="0" w:space="0" w:color="auto"/>
        <w:bottom w:val="none" w:sz="0" w:space="0" w:color="auto"/>
        <w:right w:val="none" w:sz="0" w:space="0" w:color="auto"/>
      </w:divBdr>
    </w:div>
    <w:div w:id="1806973087">
      <w:bodyDiv w:val="1"/>
      <w:marLeft w:val="0"/>
      <w:marRight w:val="0"/>
      <w:marTop w:val="0"/>
      <w:marBottom w:val="0"/>
      <w:divBdr>
        <w:top w:val="none" w:sz="0" w:space="0" w:color="auto"/>
        <w:left w:val="none" w:sz="0" w:space="0" w:color="auto"/>
        <w:bottom w:val="none" w:sz="0" w:space="0" w:color="auto"/>
        <w:right w:val="none" w:sz="0" w:space="0" w:color="auto"/>
      </w:divBdr>
    </w:div>
    <w:div w:id="1811048526">
      <w:bodyDiv w:val="1"/>
      <w:marLeft w:val="0"/>
      <w:marRight w:val="0"/>
      <w:marTop w:val="0"/>
      <w:marBottom w:val="0"/>
      <w:divBdr>
        <w:top w:val="none" w:sz="0" w:space="0" w:color="auto"/>
        <w:left w:val="none" w:sz="0" w:space="0" w:color="auto"/>
        <w:bottom w:val="none" w:sz="0" w:space="0" w:color="auto"/>
        <w:right w:val="none" w:sz="0" w:space="0" w:color="auto"/>
      </w:divBdr>
    </w:div>
    <w:div w:id="1814129754">
      <w:bodyDiv w:val="1"/>
      <w:marLeft w:val="0"/>
      <w:marRight w:val="0"/>
      <w:marTop w:val="0"/>
      <w:marBottom w:val="0"/>
      <w:divBdr>
        <w:top w:val="none" w:sz="0" w:space="0" w:color="auto"/>
        <w:left w:val="none" w:sz="0" w:space="0" w:color="auto"/>
        <w:bottom w:val="none" w:sz="0" w:space="0" w:color="auto"/>
        <w:right w:val="none" w:sz="0" w:space="0" w:color="auto"/>
      </w:divBdr>
    </w:div>
    <w:div w:id="1880973264">
      <w:bodyDiv w:val="1"/>
      <w:marLeft w:val="0"/>
      <w:marRight w:val="0"/>
      <w:marTop w:val="0"/>
      <w:marBottom w:val="0"/>
      <w:divBdr>
        <w:top w:val="none" w:sz="0" w:space="0" w:color="auto"/>
        <w:left w:val="none" w:sz="0" w:space="0" w:color="auto"/>
        <w:bottom w:val="none" w:sz="0" w:space="0" w:color="auto"/>
        <w:right w:val="none" w:sz="0" w:space="0" w:color="auto"/>
      </w:divBdr>
    </w:div>
    <w:div w:id="1893492375">
      <w:bodyDiv w:val="1"/>
      <w:marLeft w:val="0"/>
      <w:marRight w:val="0"/>
      <w:marTop w:val="0"/>
      <w:marBottom w:val="0"/>
      <w:divBdr>
        <w:top w:val="none" w:sz="0" w:space="0" w:color="auto"/>
        <w:left w:val="none" w:sz="0" w:space="0" w:color="auto"/>
        <w:bottom w:val="none" w:sz="0" w:space="0" w:color="auto"/>
        <w:right w:val="none" w:sz="0" w:space="0" w:color="auto"/>
      </w:divBdr>
    </w:div>
    <w:div w:id="1932202495">
      <w:bodyDiv w:val="1"/>
      <w:marLeft w:val="0"/>
      <w:marRight w:val="0"/>
      <w:marTop w:val="0"/>
      <w:marBottom w:val="0"/>
      <w:divBdr>
        <w:top w:val="none" w:sz="0" w:space="0" w:color="auto"/>
        <w:left w:val="none" w:sz="0" w:space="0" w:color="auto"/>
        <w:bottom w:val="none" w:sz="0" w:space="0" w:color="auto"/>
        <w:right w:val="none" w:sz="0" w:space="0" w:color="auto"/>
      </w:divBdr>
    </w:div>
    <w:div w:id="1975325519">
      <w:bodyDiv w:val="1"/>
      <w:marLeft w:val="0"/>
      <w:marRight w:val="0"/>
      <w:marTop w:val="0"/>
      <w:marBottom w:val="0"/>
      <w:divBdr>
        <w:top w:val="none" w:sz="0" w:space="0" w:color="auto"/>
        <w:left w:val="none" w:sz="0" w:space="0" w:color="auto"/>
        <w:bottom w:val="none" w:sz="0" w:space="0" w:color="auto"/>
        <w:right w:val="none" w:sz="0" w:space="0" w:color="auto"/>
      </w:divBdr>
    </w:div>
    <w:div w:id="2006203634">
      <w:bodyDiv w:val="1"/>
      <w:marLeft w:val="0"/>
      <w:marRight w:val="0"/>
      <w:marTop w:val="0"/>
      <w:marBottom w:val="0"/>
      <w:divBdr>
        <w:top w:val="none" w:sz="0" w:space="0" w:color="auto"/>
        <w:left w:val="none" w:sz="0" w:space="0" w:color="auto"/>
        <w:bottom w:val="none" w:sz="0" w:space="0" w:color="auto"/>
        <w:right w:val="none" w:sz="0" w:space="0" w:color="auto"/>
      </w:divBdr>
    </w:div>
    <w:div w:id="2029789676">
      <w:bodyDiv w:val="1"/>
      <w:marLeft w:val="0"/>
      <w:marRight w:val="0"/>
      <w:marTop w:val="0"/>
      <w:marBottom w:val="0"/>
      <w:divBdr>
        <w:top w:val="none" w:sz="0" w:space="0" w:color="auto"/>
        <w:left w:val="none" w:sz="0" w:space="0" w:color="auto"/>
        <w:bottom w:val="none" w:sz="0" w:space="0" w:color="auto"/>
        <w:right w:val="none" w:sz="0" w:space="0" w:color="auto"/>
      </w:divBdr>
    </w:div>
    <w:div w:id="2056003703">
      <w:bodyDiv w:val="1"/>
      <w:marLeft w:val="0"/>
      <w:marRight w:val="0"/>
      <w:marTop w:val="0"/>
      <w:marBottom w:val="0"/>
      <w:divBdr>
        <w:top w:val="none" w:sz="0" w:space="0" w:color="auto"/>
        <w:left w:val="none" w:sz="0" w:space="0" w:color="auto"/>
        <w:bottom w:val="none" w:sz="0" w:space="0" w:color="auto"/>
        <w:right w:val="none" w:sz="0" w:space="0" w:color="auto"/>
      </w:divBdr>
    </w:div>
    <w:div w:id="2063094199">
      <w:bodyDiv w:val="1"/>
      <w:marLeft w:val="0"/>
      <w:marRight w:val="0"/>
      <w:marTop w:val="0"/>
      <w:marBottom w:val="0"/>
      <w:divBdr>
        <w:top w:val="none" w:sz="0" w:space="0" w:color="auto"/>
        <w:left w:val="none" w:sz="0" w:space="0" w:color="auto"/>
        <w:bottom w:val="none" w:sz="0" w:space="0" w:color="auto"/>
        <w:right w:val="none" w:sz="0" w:space="0" w:color="auto"/>
      </w:divBdr>
    </w:div>
    <w:div w:id="2087535657">
      <w:bodyDiv w:val="1"/>
      <w:marLeft w:val="0"/>
      <w:marRight w:val="0"/>
      <w:marTop w:val="0"/>
      <w:marBottom w:val="0"/>
      <w:divBdr>
        <w:top w:val="none" w:sz="0" w:space="0" w:color="auto"/>
        <w:left w:val="none" w:sz="0" w:space="0" w:color="auto"/>
        <w:bottom w:val="none" w:sz="0" w:space="0" w:color="auto"/>
        <w:right w:val="none" w:sz="0" w:space="0" w:color="auto"/>
      </w:divBdr>
    </w:div>
    <w:div w:id="2100825897">
      <w:bodyDiv w:val="1"/>
      <w:marLeft w:val="0"/>
      <w:marRight w:val="0"/>
      <w:marTop w:val="0"/>
      <w:marBottom w:val="0"/>
      <w:divBdr>
        <w:top w:val="none" w:sz="0" w:space="0" w:color="auto"/>
        <w:left w:val="none" w:sz="0" w:space="0" w:color="auto"/>
        <w:bottom w:val="none" w:sz="0" w:space="0" w:color="auto"/>
        <w:right w:val="none" w:sz="0" w:space="0" w:color="auto"/>
      </w:divBdr>
    </w:div>
    <w:div w:id="2101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hqsc.govt.nz/our-programmes/health-quality-evaluation/projects/patient-experience/covid-19-patient-experience-surve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qsc.govt.nz" TargetMode="External"/><Relationship Id="rId20" Type="http://schemas.openxmlformats.org/officeDocument/2006/relationships/hyperlink" Target="mailto:survey@hqsc.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chart" Target="charts/chart3.xml"/><Relationship Id="rId10" Type="http://schemas.openxmlformats.org/officeDocument/2006/relationships/styles" Target="styles.xml"/><Relationship Id="rId19" Type="http://schemas.openxmlformats.org/officeDocument/2006/relationships/hyperlink" Target="http://www.ombudsman.parliament.nz/resources/making-disability-rights-real-pandemi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org/web/20200513091558mp_/https://covid19.govt.nz/individuals-and-households/health-and-wellbeing/how-to-access-healthcare/" TargetMode="External"/><Relationship Id="rId1" Type="http://schemas.openxmlformats.org/officeDocument/2006/relationships/hyperlink" Target="http://www.hqsc.govt.nz/our-programmes/health-quality-evaluation/publications-and-resources/publication/431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qsc.sharepoint.com/sites/dms-comms/PublicationsManagement/Final%20publication%20masters/Health%20quality%20evaluation/COVID-disability-report-finals-for-web/COVID-disability_Excel_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hqsc.sharepoint.com/sites/dms-comms/PublicationsManagement/Final%20publication%20masters/Health%20quality%20evaluation/COVID-disability-report-finals-for-web/COVID-disability_Excel_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hqsc.sharepoint.com/sites/dms-comms/PublicationsManagement/Final%20publication%20masters/Health%20quality%20evaluation/COVID-disability-report-finals-for-web/COVID-disability_Excel_Figur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'Fig1'!$B$3</c:f>
              <c:strCache>
                <c:ptCount val="1"/>
                <c:pt idx="0">
                  <c:v>Disabled people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'Fig1'!$A$4:$A$14</c:f>
              <c:strCache>
                <c:ptCount val="11"/>
                <c:pt idx="0">
                  <c:v>Attending GP</c:v>
                </c:pt>
                <c:pt idx="1">
                  <c:v>Hospital cancelled appointment</c:v>
                </c:pt>
                <c:pt idx="2">
                  <c:v>Visiting ED</c:v>
                </c:pt>
                <c:pt idx="3">
                  <c:v>Calling Healthline</c:v>
                </c:pt>
                <c:pt idx="4">
                  <c:v>Visiting Afterhours</c:v>
                </c:pt>
                <c:pt idx="5">
                  <c:v>Hospital cancelled an operation/procedure</c:v>
                </c:pt>
                <c:pt idx="6">
                  <c:v>Private appointment hospital or operation didn't go ahead</c:v>
                </c:pt>
                <c:pt idx="7">
                  <c:v>Did not attend hospital appointment</c:v>
                </c:pt>
                <c:pt idx="8">
                  <c:v>Did not attend hospital operation/procedure</c:v>
                </c:pt>
                <c:pt idx="9">
                  <c:v>Something else</c:v>
                </c:pt>
                <c:pt idx="10">
                  <c:v>Lockdown kept me from doing at least one</c:v>
                </c:pt>
              </c:strCache>
            </c:strRef>
          </c:cat>
          <c:val>
            <c:numRef>
              <c:f>'Fig1'!$B$4:$B$14</c:f>
              <c:numCache>
                <c:formatCode>0.0%</c:formatCode>
                <c:ptCount val="11"/>
                <c:pt idx="0">
                  <c:v>0.41099999999999998</c:v>
                </c:pt>
                <c:pt idx="1">
                  <c:v>0.17399999999999999</c:v>
                </c:pt>
                <c:pt idx="2">
                  <c:v>8.2000000000000003E-2</c:v>
                </c:pt>
                <c:pt idx="3">
                  <c:v>6.4000000000000001E-2</c:v>
                </c:pt>
                <c:pt idx="4">
                  <c:v>6.2E-2</c:v>
                </c:pt>
                <c:pt idx="5">
                  <c:v>3.9E-2</c:v>
                </c:pt>
                <c:pt idx="6">
                  <c:v>3.9E-2</c:v>
                </c:pt>
                <c:pt idx="7">
                  <c:v>2.4E-2</c:v>
                </c:pt>
                <c:pt idx="8">
                  <c:v>4.0000000000000001E-3</c:v>
                </c:pt>
                <c:pt idx="9">
                  <c:v>9.0999999999999998E-2</c:v>
                </c:pt>
                <c:pt idx="10">
                  <c:v>0.59799999999999998</c:v>
                </c:pt>
              </c:numCache>
            </c:numRef>
          </c:val>
          <c:extLst>
            <c:ext xmlns:c16="http://schemas.microsoft.com/office/drawing/2014/chart" uri="{C3380CC4-5D6E-409C-BE32-E72D297353CC}">
              <c16:uniqueId val="{00000000-37D6-4E64-AD39-275424D039EF}"/>
            </c:ext>
          </c:extLst>
        </c:ser>
        <c:ser>
          <c:idx val="1"/>
          <c:order val="1"/>
          <c:tx>
            <c:strRef>
              <c:f>'Fig1'!$C$3</c:f>
              <c:strCache>
                <c:ptCount val="1"/>
                <c:pt idx="0">
                  <c:v>Non-disabled people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'Fig1'!$A$4:$A$14</c:f>
              <c:strCache>
                <c:ptCount val="11"/>
                <c:pt idx="0">
                  <c:v>Attending GP</c:v>
                </c:pt>
                <c:pt idx="1">
                  <c:v>Hospital cancelled appointment</c:v>
                </c:pt>
                <c:pt idx="2">
                  <c:v>Visiting ED</c:v>
                </c:pt>
                <c:pt idx="3">
                  <c:v>Calling Healthline</c:v>
                </c:pt>
                <c:pt idx="4">
                  <c:v>Visiting Afterhours</c:v>
                </c:pt>
                <c:pt idx="5">
                  <c:v>Hospital cancelled an operation/procedure</c:v>
                </c:pt>
                <c:pt idx="6">
                  <c:v>Private appointment hospital or operation didn't go ahead</c:v>
                </c:pt>
                <c:pt idx="7">
                  <c:v>Did not attend hospital appointment</c:v>
                </c:pt>
                <c:pt idx="8">
                  <c:v>Did not attend hospital operation/procedure</c:v>
                </c:pt>
                <c:pt idx="9">
                  <c:v>Something else</c:v>
                </c:pt>
                <c:pt idx="10">
                  <c:v>Lockdown kept me from doing at least one</c:v>
                </c:pt>
              </c:strCache>
            </c:strRef>
          </c:cat>
          <c:val>
            <c:numRef>
              <c:f>'Fig1'!$C$4:$C$14</c:f>
              <c:numCache>
                <c:formatCode>0.0%</c:formatCode>
                <c:ptCount val="11"/>
                <c:pt idx="0">
                  <c:v>0.32200000000000001</c:v>
                </c:pt>
                <c:pt idx="1">
                  <c:v>7.3999999999999996E-2</c:v>
                </c:pt>
                <c:pt idx="2">
                  <c:v>0.04</c:v>
                </c:pt>
                <c:pt idx="3">
                  <c:v>3.9E-2</c:v>
                </c:pt>
                <c:pt idx="4">
                  <c:v>4.2999999999999997E-2</c:v>
                </c:pt>
                <c:pt idx="5">
                  <c:v>1.6E-2</c:v>
                </c:pt>
                <c:pt idx="6">
                  <c:v>0.03</c:v>
                </c:pt>
                <c:pt idx="7">
                  <c:v>7.0000000000000001E-3</c:v>
                </c:pt>
                <c:pt idx="8">
                  <c:v>1E-3</c:v>
                </c:pt>
                <c:pt idx="9">
                  <c:v>7.0000000000000007E-2</c:v>
                </c:pt>
                <c:pt idx="10">
                  <c:v>0.45400000000000001</c:v>
                </c:pt>
              </c:numCache>
            </c:numRef>
          </c:val>
          <c:extLst>
            <c:ext xmlns:c16="http://schemas.microsoft.com/office/drawing/2014/chart" uri="{C3380CC4-5D6E-409C-BE32-E72D297353CC}">
              <c16:uniqueId val="{00000001-37D6-4E64-AD39-275424D039EF}"/>
            </c:ext>
          </c:extLst>
        </c:ser>
        <c:dLbls>
          <c:dLblPos val="outEnd"/>
          <c:showLegendKey val="0"/>
          <c:showVal val="1"/>
          <c:showCatName val="0"/>
          <c:showSerName val="0"/>
          <c:showPercent val="0"/>
          <c:showBubbleSize val="0"/>
        </c:dLbls>
        <c:gapWidth val="182"/>
        <c:overlap val="-35"/>
        <c:axId val="1912449711"/>
        <c:axId val="1304077839"/>
      </c:barChart>
      <c:catAx>
        <c:axId val="19124497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304077839"/>
        <c:crosses val="autoZero"/>
        <c:auto val="1"/>
        <c:lblAlgn val="ctr"/>
        <c:lblOffset val="100"/>
        <c:noMultiLvlLbl val="0"/>
      </c:catAx>
      <c:valAx>
        <c:axId val="1304077839"/>
        <c:scaling>
          <c:orientation val="minMax"/>
        </c:scaling>
        <c:delete val="1"/>
        <c:axPos val="b"/>
        <c:numFmt formatCode="0.0%" sourceLinked="1"/>
        <c:majorTickMark val="none"/>
        <c:minorTickMark val="none"/>
        <c:tickLblPos val="nextTo"/>
        <c:crossAx val="1912449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 2'!$B$1</c:f>
              <c:strCache>
                <c:ptCount val="1"/>
                <c:pt idx="0">
                  <c:v>Disabled people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 2'!$A$2:$A$12</c:f>
              <c:strCache>
                <c:ptCount val="11"/>
                <c:pt idx="0">
                  <c:v>Didn't have to visit where others were unwell</c:v>
                </c:pt>
                <c:pt idx="1">
                  <c:v>Saved time travelling</c:v>
                </c:pt>
                <c:pt idx="2">
                  <c:v>The appointment was faster</c:v>
                </c:pt>
                <c:pt idx="3">
                  <c:v>Didn't have to wait as long</c:v>
                </c:pt>
                <c:pt idx="4">
                  <c:v>More relaxed at home</c:v>
                </c:pt>
                <c:pt idx="5">
                  <c:v>Saved money travelling</c:v>
                </c:pt>
                <c:pt idx="6">
                  <c:v>Didn't have to take time off work</c:v>
                </c:pt>
                <c:pt idx="7">
                  <c:v>Didn't need to organise childcare</c:v>
                </c:pt>
                <c:pt idx="8">
                  <c:v>Could access from different place</c:v>
                </c:pt>
                <c:pt idx="9">
                  <c:v>Something else</c:v>
                </c:pt>
                <c:pt idx="10">
                  <c:v>Liked nothing about it</c:v>
                </c:pt>
              </c:strCache>
            </c:strRef>
          </c:cat>
          <c:val>
            <c:numRef>
              <c:f>'Fig 2'!$B$2:$B$12</c:f>
              <c:numCache>
                <c:formatCode>0.0%</c:formatCode>
                <c:ptCount val="11"/>
                <c:pt idx="0">
                  <c:v>0.48899999999999999</c:v>
                </c:pt>
                <c:pt idx="1">
                  <c:v>0.378</c:v>
                </c:pt>
                <c:pt idx="2">
                  <c:v>0.32600000000000001</c:v>
                </c:pt>
                <c:pt idx="3">
                  <c:v>0.313</c:v>
                </c:pt>
                <c:pt idx="4">
                  <c:v>0.22700000000000001</c:v>
                </c:pt>
                <c:pt idx="5">
                  <c:v>0.20499999999999999</c:v>
                </c:pt>
                <c:pt idx="6">
                  <c:v>8.5999999999999993E-2</c:v>
                </c:pt>
                <c:pt idx="7">
                  <c:v>4.4999999999999998E-2</c:v>
                </c:pt>
                <c:pt idx="8">
                  <c:v>4.4999999999999998E-2</c:v>
                </c:pt>
                <c:pt idx="9">
                  <c:v>0.105</c:v>
                </c:pt>
                <c:pt idx="10">
                  <c:v>0.14699999999999999</c:v>
                </c:pt>
              </c:numCache>
            </c:numRef>
          </c:val>
          <c:extLst>
            <c:ext xmlns:c16="http://schemas.microsoft.com/office/drawing/2014/chart" uri="{C3380CC4-5D6E-409C-BE32-E72D297353CC}">
              <c16:uniqueId val="{00000000-A5EA-4AA4-B3B7-FCE45136BD4B}"/>
            </c:ext>
          </c:extLst>
        </c:ser>
        <c:ser>
          <c:idx val="1"/>
          <c:order val="1"/>
          <c:tx>
            <c:strRef>
              <c:f>'Fig 2'!$C$1</c:f>
              <c:strCache>
                <c:ptCount val="1"/>
                <c:pt idx="0">
                  <c:v>Non-disabled people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 2'!$A$2:$A$12</c:f>
              <c:strCache>
                <c:ptCount val="11"/>
                <c:pt idx="0">
                  <c:v>Didn't have to visit where others were unwell</c:v>
                </c:pt>
                <c:pt idx="1">
                  <c:v>Saved time travelling</c:v>
                </c:pt>
                <c:pt idx="2">
                  <c:v>The appointment was faster</c:v>
                </c:pt>
                <c:pt idx="3">
                  <c:v>Didn't have to wait as long</c:v>
                </c:pt>
                <c:pt idx="4">
                  <c:v>More relaxed at home</c:v>
                </c:pt>
                <c:pt idx="5">
                  <c:v>Saved money travelling</c:v>
                </c:pt>
                <c:pt idx="6">
                  <c:v>Didn't have to take time off work</c:v>
                </c:pt>
                <c:pt idx="7">
                  <c:v>Didn't need to organise childcare</c:v>
                </c:pt>
                <c:pt idx="8">
                  <c:v>Could access from different place</c:v>
                </c:pt>
                <c:pt idx="9">
                  <c:v>Something else</c:v>
                </c:pt>
                <c:pt idx="10">
                  <c:v>Liked nothing about it</c:v>
                </c:pt>
              </c:strCache>
            </c:strRef>
          </c:cat>
          <c:val>
            <c:numRef>
              <c:f>'Fig 2'!$C$2:$C$12</c:f>
              <c:numCache>
                <c:formatCode>0.0%</c:formatCode>
                <c:ptCount val="11"/>
                <c:pt idx="0">
                  <c:v>0.47899999999999998</c:v>
                </c:pt>
                <c:pt idx="1">
                  <c:v>0.40400000000000003</c:v>
                </c:pt>
                <c:pt idx="2">
                  <c:v>0.34300000000000003</c:v>
                </c:pt>
                <c:pt idx="3">
                  <c:v>0.33900000000000002</c:v>
                </c:pt>
                <c:pt idx="4">
                  <c:v>0.16400000000000001</c:v>
                </c:pt>
                <c:pt idx="5">
                  <c:v>0.13600000000000001</c:v>
                </c:pt>
                <c:pt idx="6">
                  <c:v>0.184</c:v>
                </c:pt>
                <c:pt idx="7">
                  <c:v>7.3999999999999996E-2</c:v>
                </c:pt>
                <c:pt idx="8">
                  <c:v>4.1000000000000002E-2</c:v>
                </c:pt>
                <c:pt idx="9">
                  <c:v>0.10100000000000001</c:v>
                </c:pt>
                <c:pt idx="10">
                  <c:v>0.109</c:v>
                </c:pt>
              </c:numCache>
            </c:numRef>
          </c:val>
          <c:extLst>
            <c:ext xmlns:c16="http://schemas.microsoft.com/office/drawing/2014/chart" uri="{C3380CC4-5D6E-409C-BE32-E72D297353CC}">
              <c16:uniqueId val="{00000001-A5EA-4AA4-B3B7-FCE45136BD4B}"/>
            </c:ext>
          </c:extLst>
        </c:ser>
        <c:dLbls>
          <c:showLegendKey val="0"/>
          <c:showVal val="0"/>
          <c:showCatName val="0"/>
          <c:showSerName val="0"/>
          <c:showPercent val="0"/>
          <c:showBubbleSize val="0"/>
        </c:dLbls>
        <c:gapWidth val="182"/>
        <c:overlap val="-35"/>
        <c:axId val="1772747567"/>
        <c:axId val="1304095311"/>
      </c:barChart>
      <c:catAx>
        <c:axId val="17727475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95311"/>
        <c:crosses val="autoZero"/>
        <c:auto val="1"/>
        <c:lblAlgn val="ctr"/>
        <c:lblOffset val="100"/>
        <c:noMultiLvlLbl val="0"/>
      </c:catAx>
      <c:valAx>
        <c:axId val="1304095311"/>
        <c:scaling>
          <c:orientation val="minMax"/>
        </c:scaling>
        <c:delete val="1"/>
        <c:axPos val="t"/>
        <c:numFmt formatCode="0.0%" sourceLinked="1"/>
        <c:majorTickMark val="none"/>
        <c:minorTickMark val="none"/>
        <c:tickLblPos val="nextTo"/>
        <c:crossAx val="1772747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 3'!$B$1</c:f>
              <c:strCache>
                <c:ptCount val="1"/>
                <c:pt idx="0">
                  <c:v>Disabled people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 3'!$A$2:$A$9</c:f>
              <c:strCache>
                <c:ptCount val="8"/>
                <c:pt idx="0">
                  <c:v>GP listened</c:v>
                </c:pt>
                <c:pt idx="1">
                  <c:v>GP informed you as much as you wanted*</c:v>
                </c:pt>
                <c:pt idx="2">
                  <c:v>GP explained things in a way you could understand*</c:v>
                </c:pt>
                <c:pt idx="3">
                  <c:v>GP treated you with kindness and understanding</c:v>
                </c:pt>
                <c:pt idx="4">
                  <c:v>GP treated you with respect*</c:v>
                </c:pt>
                <c:pt idx="5">
                  <c:v>GP spent enough time with you*</c:v>
                </c:pt>
                <c:pt idx="6">
                  <c:v>GP knew your medical history</c:v>
                </c:pt>
                <c:pt idx="7">
                  <c:v>Had trust and confidence in GP*</c:v>
                </c:pt>
              </c:strCache>
            </c:strRef>
          </c:cat>
          <c:val>
            <c:numRef>
              <c:f>'Fig 3'!$B$2:$B$9</c:f>
              <c:numCache>
                <c:formatCode>0.0%</c:formatCode>
                <c:ptCount val="8"/>
                <c:pt idx="0">
                  <c:v>0.91</c:v>
                </c:pt>
                <c:pt idx="1">
                  <c:v>0.83499999999999996</c:v>
                </c:pt>
                <c:pt idx="2">
                  <c:v>0.88800000000000001</c:v>
                </c:pt>
                <c:pt idx="3">
                  <c:v>0.94299999999999995</c:v>
                </c:pt>
                <c:pt idx="4">
                  <c:v>0.95099999999999996</c:v>
                </c:pt>
                <c:pt idx="5">
                  <c:v>0.85899999999999999</c:v>
                </c:pt>
                <c:pt idx="6">
                  <c:v>0.81799999999999995</c:v>
                </c:pt>
                <c:pt idx="7">
                  <c:v>0.84399999999999997</c:v>
                </c:pt>
              </c:numCache>
            </c:numRef>
          </c:val>
          <c:extLst>
            <c:ext xmlns:c16="http://schemas.microsoft.com/office/drawing/2014/chart" uri="{C3380CC4-5D6E-409C-BE32-E72D297353CC}">
              <c16:uniqueId val="{00000000-EF26-4E87-87D8-52102DB0B328}"/>
            </c:ext>
          </c:extLst>
        </c:ser>
        <c:ser>
          <c:idx val="1"/>
          <c:order val="1"/>
          <c:tx>
            <c:strRef>
              <c:f>'Fig 3'!$C$1</c:f>
              <c:strCache>
                <c:ptCount val="1"/>
                <c:pt idx="0">
                  <c:v>Non-disabled people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 3'!$A$2:$A$9</c:f>
              <c:strCache>
                <c:ptCount val="8"/>
                <c:pt idx="0">
                  <c:v>GP listened</c:v>
                </c:pt>
                <c:pt idx="1">
                  <c:v>GP informed you as much as you wanted*</c:v>
                </c:pt>
                <c:pt idx="2">
                  <c:v>GP explained things in a way you could understand*</c:v>
                </c:pt>
                <c:pt idx="3">
                  <c:v>GP treated you with kindness and understanding</c:v>
                </c:pt>
                <c:pt idx="4">
                  <c:v>GP treated you with respect*</c:v>
                </c:pt>
                <c:pt idx="5">
                  <c:v>GP spent enough time with you*</c:v>
                </c:pt>
                <c:pt idx="6">
                  <c:v>GP knew your medical history</c:v>
                </c:pt>
                <c:pt idx="7">
                  <c:v>Had trust and confidence in GP*</c:v>
                </c:pt>
              </c:strCache>
            </c:strRef>
          </c:cat>
          <c:val>
            <c:numRef>
              <c:f>'Fig 3'!$C$2:$C$9</c:f>
              <c:numCache>
                <c:formatCode>0.0%</c:formatCode>
                <c:ptCount val="8"/>
                <c:pt idx="0">
                  <c:v>0.94299999999999995</c:v>
                </c:pt>
                <c:pt idx="1">
                  <c:v>0.88200000000000001</c:v>
                </c:pt>
                <c:pt idx="2">
                  <c:v>0.93899999999999995</c:v>
                </c:pt>
                <c:pt idx="3">
                  <c:v>0.95</c:v>
                </c:pt>
                <c:pt idx="4">
                  <c:v>0.96499999999999997</c:v>
                </c:pt>
                <c:pt idx="5">
                  <c:v>0.89500000000000002</c:v>
                </c:pt>
                <c:pt idx="6">
                  <c:v>0.83499999999999996</c:v>
                </c:pt>
                <c:pt idx="7">
                  <c:v>0.88600000000000001</c:v>
                </c:pt>
              </c:numCache>
            </c:numRef>
          </c:val>
          <c:extLst>
            <c:ext xmlns:c16="http://schemas.microsoft.com/office/drawing/2014/chart" uri="{C3380CC4-5D6E-409C-BE32-E72D297353CC}">
              <c16:uniqueId val="{00000001-EF26-4E87-87D8-52102DB0B328}"/>
            </c:ext>
          </c:extLst>
        </c:ser>
        <c:dLbls>
          <c:showLegendKey val="0"/>
          <c:showVal val="0"/>
          <c:showCatName val="0"/>
          <c:showSerName val="0"/>
          <c:showPercent val="0"/>
          <c:showBubbleSize val="0"/>
        </c:dLbls>
        <c:gapWidth val="182"/>
        <c:overlap val="-35"/>
        <c:axId val="1772747567"/>
        <c:axId val="1304095311"/>
      </c:barChart>
      <c:catAx>
        <c:axId val="17727475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95311"/>
        <c:crosses val="autoZero"/>
        <c:auto val="1"/>
        <c:lblAlgn val="ctr"/>
        <c:lblOffset val="100"/>
        <c:noMultiLvlLbl val="0"/>
      </c:catAx>
      <c:valAx>
        <c:axId val="1304095311"/>
        <c:scaling>
          <c:orientation val="minMax"/>
        </c:scaling>
        <c:delete val="1"/>
        <c:axPos val="t"/>
        <c:numFmt formatCode="0.0%" sourceLinked="1"/>
        <c:majorTickMark val="none"/>
        <c:minorTickMark val="none"/>
        <c:tickLblPos val="nextTo"/>
        <c:crossAx val="1772747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Alexis Wevers</DisplayName>
        <AccountId>33</AccountId>
        <AccountType/>
      </UserInfo>
      <UserInfo>
        <DisplayName>Cristian Martin</DisplayName>
        <AccountId>167</AccountId>
        <AccountType/>
      </UserInfo>
      <UserInfo>
        <DisplayName>Avril Macfarlane</DisplayName>
        <AccountId>322</AccountId>
        <AccountType/>
      </UserInfo>
      <UserInfo>
        <DisplayName>Jocasta Whittingham</DisplayName>
        <AccountId>36</AccountId>
        <AccountType/>
      </UserInfo>
      <UserInfo>
        <DisplayName>Website Requests</DisplayName>
        <AccountId>160</AccountId>
        <AccountType/>
      </UserInfo>
      <UserInfo>
        <DisplayName>Falyn Cranston</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6BE9E-55AB-4B44-A3B2-6C4DF5106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D0B78-DFFF-4C25-8AA8-0B527A8562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95f19f-1c08-4647-b11c-ef8ab36169e7"/>
    <ds:schemaRef ds:uri="bef9904b-9bca-4a1b-aca3-78dad2044d15"/>
    <ds:schemaRef ds:uri="http://www.w3.org/XML/1998/namespace"/>
    <ds:schemaRef ds:uri="http://purl.org/dc/dcmitype/"/>
  </ds:schemaRefs>
</ds:datastoreItem>
</file>

<file path=customXml/itemProps3.xml><?xml version="1.0" encoding="utf-8"?>
<ds:datastoreItem xmlns:ds="http://schemas.openxmlformats.org/officeDocument/2006/customXml" ds:itemID="{6DFC28E1-A3DB-4D72-9CB7-8963C26BA67F}">
  <ds:schemaRefs>
    <ds:schemaRef ds:uri="http://schemas.microsoft.com/sharepoint/v3/contenttype/forms"/>
  </ds:schemaRefs>
</ds:datastoreItem>
</file>

<file path=customXml/itemProps4.xml><?xml version="1.0" encoding="utf-8"?>
<ds:datastoreItem xmlns:ds="http://schemas.openxmlformats.org/officeDocument/2006/customXml" ds:itemID="{41B39454-12D1-4448-AC5B-F4D6FC6DC562}">
  <ds:schemaRefs>
    <ds:schemaRef ds:uri="Microsoft.SharePoint.Taxonomy.ContentTypeSync"/>
  </ds:schemaRefs>
</ds:datastoreItem>
</file>

<file path=customXml/itemProps5.xml><?xml version="1.0" encoding="utf-8"?>
<ds:datastoreItem xmlns:ds="http://schemas.openxmlformats.org/officeDocument/2006/customXml" ds:itemID="{AC583EEA-97C3-49C7-850E-8274514F99C7}">
  <ds:schemaRefs>
    <ds:schemaRef ds:uri="Microsoft.SharePoint.Taxonomy.ContentTypeSync"/>
  </ds:schemaRefs>
</ds:datastoreItem>
</file>

<file path=customXml/itemProps6.xml><?xml version="1.0" encoding="utf-8"?>
<ds:datastoreItem xmlns:ds="http://schemas.openxmlformats.org/officeDocument/2006/customXml" ds:itemID="{ACC99CED-73A5-40B2-806A-C3612E68122D}">
  <ds:schemaRefs>
    <ds:schemaRef ds:uri="http://schemas.openxmlformats.org/officeDocument/2006/bibliography"/>
  </ds:schemaRefs>
</ds:datastoreItem>
</file>

<file path=customXml/itemProps7.xml><?xml version="1.0" encoding="utf-8"?>
<ds:datastoreItem xmlns:ds="http://schemas.openxmlformats.org/officeDocument/2006/customXml" ds:itemID="{1DF6CD04-05F7-4EC3-89FD-A375E3371477}">
  <ds:schemaRefs>
    <ds:schemaRef ds:uri="http://schemas.microsoft.com/sharepoint/v3/contenttype/forms"/>
  </ds:schemaRefs>
</ds:datastoreItem>
</file>

<file path=customXml/itemProps8.xml><?xml version="1.0" encoding="utf-8"?>
<ds:datastoreItem xmlns:ds="http://schemas.openxmlformats.org/officeDocument/2006/customXml" ds:itemID="{AC6443EF-4292-4CB9-B407-6EA216850C21}">
  <ds:schemaRefs>
    <ds:schemaRef ds:uri="http://purl.org/dc/elements/1.1/"/>
    <ds:schemaRef ds:uri="http://schemas.microsoft.com/office/2006/metadata/properties"/>
    <ds:schemaRef ds:uri="http://purl.org/dc/terms/"/>
    <ds:schemaRef ds:uri="http://schemas.openxmlformats.org/package/2006/metadata/core-properties"/>
    <ds:schemaRef ds:uri="7195f19f-1c08-4647-b11c-ef8ab36169e7"/>
    <ds:schemaRef ds:uri="http://schemas.microsoft.com/office/2006/documentManagement/types"/>
    <ds:schemaRef ds:uri="http://schemas.microsoft.com/office/infopath/2007/PartnerControls"/>
    <ds:schemaRef ds:uri="bef9904b-9bca-4a1b-aca3-78dad2044d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Hamblin</dc:creator>
  <cp:lastModifiedBy>Jocasta Whittingham</cp:lastModifiedBy>
  <cp:revision>4</cp:revision>
  <cp:lastPrinted>2021-12-15T19:55:00Z</cp:lastPrinted>
  <dcterms:created xsi:type="dcterms:W3CDTF">2021-12-15T19:49:00Z</dcterms:created>
  <dcterms:modified xsi:type="dcterms:W3CDTF">2021-12-15T19:59:00Z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e56ceb89-c69e-45c3-bad6-603f471ab850</vt:lpwstr>
  </property>
  <property fmtid="{D5CDD505-2E9C-101B-9397-08002B2CF9AE}" pid="3" name="ContentTypeId">
    <vt:lpwstr>0x010100464BB556B3337A48846236E9064FB9CC010016069D414DDC6B4999640F73160C6405</vt:lpwstr>
  </property>
  <property fmtid="{D5CDD505-2E9C-101B-9397-08002B2CF9AE}" pid="4" name="Order">
    <vt:r8>215600</vt:r8>
  </property>
</Properties>
</file>