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93E9" w14:textId="214ECA50" w:rsidR="00045EE2" w:rsidRPr="00E318F3" w:rsidRDefault="00221BFE" w:rsidP="00D904E7">
      <w:pPr>
        <w:pStyle w:val="Heading1"/>
        <w:spacing w:after="240"/>
        <w:rPr>
          <w:sz w:val="22"/>
          <w:szCs w:val="22"/>
        </w:rPr>
      </w:pPr>
      <w:r w:rsidRPr="00E318F3">
        <w:rPr>
          <w:sz w:val="22"/>
          <w:szCs w:val="22"/>
        </w:rPr>
        <w:t xml:space="preserve">Consumer and </w:t>
      </w:r>
      <w:proofErr w:type="spellStart"/>
      <w:r w:rsidRPr="00E318F3">
        <w:rPr>
          <w:sz w:val="22"/>
          <w:szCs w:val="22"/>
        </w:rPr>
        <w:t>whānau</w:t>
      </w:r>
      <w:proofErr w:type="spellEnd"/>
      <w:r w:rsidRPr="00E318F3">
        <w:rPr>
          <w:sz w:val="22"/>
          <w:szCs w:val="22"/>
        </w:rPr>
        <w:t xml:space="preserve"> engagement</w:t>
      </w:r>
      <w:r w:rsidRPr="00E318F3">
        <w:rPr>
          <w:sz w:val="22"/>
          <w:szCs w:val="22"/>
        </w:rPr>
        <w:t xml:space="preserve"> </w:t>
      </w:r>
      <w:r w:rsidRPr="00E318F3">
        <w:rPr>
          <w:sz w:val="22"/>
          <w:szCs w:val="22"/>
        </w:rPr>
        <w:t>quality and safety marker</w:t>
      </w:r>
      <w:r w:rsidR="00945EED" w:rsidRPr="00E318F3">
        <w:rPr>
          <w:sz w:val="22"/>
          <w:szCs w:val="22"/>
        </w:rPr>
        <w:t xml:space="preserve"> | </w:t>
      </w:r>
      <w:r w:rsidRPr="00E318F3">
        <w:rPr>
          <w:sz w:val="22"/>
          <w:szCs w:val="22"/>
        </w:rPr>
        <w:t>SURE (Supporting, Understanding, Responding and Evaluating)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45EED" w:rsidRPr="00E318F3" w14:paraId="205ABA7F" w14:textId="77777777" w:rsidTr="00D904E7">
        <w:trPr>
          <w:tblHeader/>
        </w:trPr>
        <w:tc>
          <w:tcPr>
            <w:tcW w:w="2789" w:type="dxa"/>
            <w:tcBorders>
              <w:left w:val="nil"/>
            </w:tcBorders>
            <w:shd w:val="clear" w:color="auto" w:fill="F2F2F2" w:themeFill="background1" w:themeFillShade="F2"/>
          </w:tcPr>
          <w:p w14:paraId="4BF0BE42" w14:textId="69F034B4" w:rsidR="00221BFE" w:rsidRPr="00E318F3" w:rsidRDefault="00221BFE" w:rsidP="00AE3A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18F3">
              <w:rPr>
                <w:rFonts w:ascii="Arial" w:hAnsi="Arial" w:cs="Arial"/>
                <w:b/>
                <w:bCs/>
              </w:rPr>
              <w:t>Domain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3F22D880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18F3">
              <w:rPr>
                <w:rFonts w:ascii="Arial" w:hAnsi="Arial" w:cs="Arial"/>
                <w:b/>
                <w:bCs/>
              </w:rPr>
              <w:t xml:space="preserve">1 – Minimal </w:t>
            </w:r>
          </w:p>
          <w:p w14:paraId="6DBFD5F2" w14:textId="36D86AB0" w:rsidR="00221BFE" w:rsidRPr="00E318F3" w:rsidRDefault="00221BFE" w:rsidP="00AE3A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18F3">
              <w:rPr>
                <w:rFonts w:ascii="Arial" w:hAnsi="Arial" w:cs="Arial"/>
                <w:b/>
                <w:bCs/>
              </w:rPr>
              <w:t xml:space="preserve">Te </w:t>
            </w:r>
            <w:proofErr w:type="spellStart"/>
            <w:r w:rsidRPr="00E318F3">
              <w:rPr>
                <w:rFonts w:ascii="Arial" w:hAnsi="Arial" w:cs="Arial"/>
                <w:b/>
                <w:bCs/>
              </w:rPr>
              <w:t>itinga</w:t>
            </w:r>
            <w:proofErr w:type="spellEnd"/>
            <w:r w:rsidRPr="00E318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  <w:b/>
                <w:bCs/>
              </w:rPr>
              <w:t>iho</w:t>
            </w:r>
            <w:proofErr w:type="spellEnd"/>
          </w:p>
        </w:tc>
        <w:tc>
          <w:tcPr>
            <w:tcW w:w="2790" w:type="dxa"/>
            <w:shd w:val="clear" w:color="auto" w:fill="F2F2F2" w:themeFill="background1" w:themeFillShade="F2"/>
          </w:tcPr>
          <w:p w14:paraId="2781A0A8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18F3">
              <w:rPr>
                <w:rFonts w:ascii="Arial" w:hAnsi="Arial" w:cs="Arial"/>
                <w:b/>
                <w:bCs/>
              </w:rPr>
              <w:t xml:space="preserve">2 – Consultation </w:t>
            </w:r>
          </w:p>
          <w:p w14:paraId="737F9B4C" w14:textId="32FD01C8" w:rsidR="00221BFE" w:rsidRPr="00E318F3" w:rsidRDefault="00221BFE" w:rsidP="00AE3A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18F3">
              <w:rPr>
                <w:rFonts w:ascii="Arial" w:hAnsi="Arial" w:cs="Arial"/>
                <w:b/>
                <w:bCs/>
              </w:rPr>
              <w:t xml:space="preserve">Te </w:t>
            </w:r>
            <w:proofErr w:type="spellStart"/>
            <w:r w:rsidRPr="00E318F3">
              <w:rPr>
                <w:rFonts w:ascii="Arial" w:hAnsi="Arial" w:cs="Arial"/>
                <w:b/>
                <w:bCs/>
              </w:rPr>
              <w:t>akoako</w:t>
            </w:r>
            <w:proofErr w:type="spellEnd"/>
          </w:p>
        </w:tc>
        <w:tc>
          <w:tcPr>
            <w:tcW w:w="2790" w:type="dxa"/>
            <w:shd w:val="clear" w:color="auto" w:fill="F2F2F2" w:themeFill="background1" w:themeFillShade="F2"/>
          </w:tcPr>
          <w:p w14:paraId="2F3A2AB4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18F3">
              <w:rPr>
                <w:rFonts w:ascii="Arial" w:hAnsi="Arial" w:cs="Arial"/>
                <w:b/>
                <w:bCs/>
              </w:rPr>
              <w:t>3 – Involvement</w:t>
            </w:r>
          </w:p>
          <w:p w14:paraId="0175B284" w14:textId="6584F515" w:rsidR="00221BFE" w:rsidRPr="00E318F3" w:rsidRDefault="00221BFE" w:rsidP="00AE3A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18F3">
              <w:rPr>
                <w:rFonts w:ascii="Arial" w:hAnsi="Arial" w:cs="Arial"/>
                <w:b/>
                <w:bCs/>
              </w:rPr>
              <w:t xml:space="preserve">Te </w:t>
            </w:r>
            <w:proofErr w:type="spellStart"/>
            <w:r w:rsidRPr="00E318F3">
              <w:rPr>
                <w:rFonts w:ascii="Arial" w:hAnsi="Arial" w:cs="Arial"/>
                <w:b/>
                <w:bCs/>
              </w:rPr>
              <w:t>whai</w:t>
            </w:r>
            <w:proofErr w:type="spellEnd"/>
            <w:r w:rsidRPr="00E318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  <w:b/>
                <w:bCs/>
              </w:rPr>
              <w:t>wāhi</w:t>
            </w:r>
            <w:proofErr w:type="spellEnd"/>
          </w:p>
        </w:tc>
        <w:tc>
          <w:tcPr>
            <w:tcW w:w="2790" w:type="dxa"/>
            <w:tcBorders>
              <w:right w:val="nil"/>
            </w:tcBorders>
            <w:shd w:val="clear" w:color="auto" w:fill="F2F2F2" w:themeFill="background1" w:themeFillShade="F2"/>
          </w:tcPr>
          <w:p w14:paraId="38BB2196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18F3">
              <w:rPr>
                <w:rFonts w:ascii="Arial" w:hAnsi="Arial" w:cs="Arial"/>
                <w:b/>
                <w:bCs/>
              </w:rPr>
              <w:t xml:space="preserve">4 – Partnership and shared leadership </w:t>
            </w:r>
          </w:p>
          <w:p w14:paraId="1B4E27D4" w14:textId="7E04541A" w:rsidR="00221BFE" w:rsidRPr="00E318F3" w:rsidRDefault="00221BFE" w:rsidP="00AE3A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18F3">
              <w:rPr>
                <w:rFonts w:ascii="Arial" w:hAnsi="Arial" w:cs="Arial"/>
                <w:b/>
                <w:bCs/>
              </w:rPr>
              <w:t xml:space="preserve">Te mahi </w:t>
            </w:r>
            <w:proofErr w:type="spellStart"/>
            <w:r w:rsidRPr="00E318F3">
              <w:rPr>
                <w:rFonts w:ascii="Arial" w:hAnsi="Arial" w:cs="Arial"/>
                <w:b/>
                <w:bCs/>
              </w:rPr>
              <w:t>tahi</w:t>
            </w:r>
            <w:proofErr w:type="spellEnd"/>
            <w:r w:rsidRPr="00E318F3">
              <w:rPr>
                <w:rFonts w:ascii="Arial" w:hAnsi="Arial" w:cs="Arial"/>
                <w:b/>
                <w:bCs/>
              </w:rPr>
              <w:t xml:space="preserve"> me </w:t>
            </w:r>
            <w:proofErr w:type="spellStart"/>
            <w:r w:rsidRPr="00E318F3">
              <w:rPr>
                <w:rFonts w:ascii="Arial" w:hAnsi="Arial" w:cs="Arial"/>
                <w:b/>
                <w:bCs/>
              </w:rPr>
              <w:t>te</w:t>
            </w:r>
            <w:proofErr w:type="spellEnd"/>
            <w:r w:rsidRPr="00E318F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  <w:b/>
                <w:bCs/>
              </w:rPr>
              <w:t>kaiārahitanga</w:t>
            </w:r>
            <w:proofErr w:type="spellEnd"/>
            <w:r w:rsidRPr="00E318F3">
              <w:rPr>
                <w:rFonts w:ascii="Arial" w:hAnsi="Arial" w:cs="Arial"/>
                <w:b/>
                <w:bCs/>
              </w:rPr>
              <w:t xml:space="preserve"> ngātahi</w:t>
            </w:r>
          </w:p>
        </w:tc>
      </w:tr>
      <w:tr w:rsidR="00945EED" w:rsidRPr="00E318F3" w14:paraId="1386C502" w14:textId="77777777" w:rsidTr="00221BFE">
        <w:tc>
          <w:tcPr>
            <w:tcW w:w="2789" w:type="dxa"/>
            <w:vMerge w:val="restart"/>
            <w:tcBorders>
              <w:left w:val="nil"/>
            </w:tcBorders>
          </w:tcPr>
          <w:p w14:paraId="5120F1D1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18F3">
              <w:rPr>
                <w:rFonts w:ascii="Arial" w:hAnsi="Arial" w:cs="Arial"/>
                <w:b/>
                <w:bCs/>
              </w:rPr>
              <w:t>Engagement</w:t>
            </w:r>
          </w:p>
          <w:p w14:paraId="77E9B876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318F3">
              <w:rPr>
                <w:rFonts w:ascii="Arial" w:hAnsi="Arial" w:cs="Arial"/>
                <w:b/>
                <w:bCs/>
              </w:rPr>
              <w:t xml:space="preserve">Te </w:t>
            </w:r>
            <w:proofErr w:type="spellStart"/>
            <w:r w:rsidRPr="00E318F3">
              <w:rPr>
                <w:rFonts w:ascii="Arial" w:hAnsi="Arial" w:cs="Arial"/>
                <w:b/>
                <w:bCs/>
              </w:rPr>
              <w:t>tūhononga</w:t>
            </w:r>
            <w:proofErr w:type="spellEnd"/>
          </w:p>
          <w:p w14:paraId="5C568964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  <w:p w14:paraId="7EE1AB59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The environment created to support consumer and </w:t>
            </w:r>
            <w:proofErr w:type="spellStart"/>
            <w:r w:rsidRPr="00E318F3">
              <w:rPr>
                <w:rFonts w:ascii="Arial" w:hAnsi="Arial" w:cs="Arial"/>
              </w:rPr>
              <w:t>whānau</w:t>
            </w:r>
            <w:proofErr w:type="spellEnd"/>
            <w:r w:rsidRPr="00E318F3">
              <w:rPr>
                <w:rFonts w:ascii="Arial" w:hAnsi="Arial" w:cs="Arial"/>
              </w:rPr>
              <w:t xml:space="preserve"> engagement.</w:t>
            </w:r>
          </w:p>
          <w:p w14:paraId="3277765C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  <w:p w14:paraId="53B16E3E" w14:textId="2C04792C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Ko </w:t>
            </w:r>
            <w:proofErr w:type="spellStart"/>
            <w:r w:rsidRPr="00E318F3">
              <w:rPr>
                <w:rFonts w:ascii="Arial" w:hAnsi="Arial" w:cs="Arial"/>
              </w:rPr>
              <w:t>te</w:t>
            </w:r>
            <w:proofErr w:type="spellEnd"/>
            <w:r w:rsidRPr="00E318F3">
              <w:rPr>
                <w:rFonts w:ascii="Arial" w:hAnsi="Arial" w:cs="Arial"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</w:rPr>
              <w:t>taiao</w:t>
            </w:r>
            <w:proofErr w:type="spellEnd"/>
            <w:r w:rsidRPr="00E318F3">
              <w:rPr>
                <w:rFonts w:ascii="Arial" w:hAnsi="Arial" w:cs="Arial"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</w:rPr>
              <w:t>kua</w:t>
            </w:r>
            <w:proofErr w:type="spellEnd"/>
            <w:r w:rsidRPr="00E318F3">
              <w:rPr>
                <w:rFonts w:ascii="Arial" w:hAnsi="Arial" w:cs="Arial"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</w:rPr>
              <w:t>hangaia</w:t>
            </w:r>
            <w:proofErr w:type="spellEnd"/>
            <w:r w:rsidRPr="00E318F3">
              <w:rPr>
                <w:rFonts w:ascii="Arial" w:hAnsi="Arial" w:cs="Arial"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</w:rPr>
              <w:t>hei</w:t>
            </w:r>
            <w:proofErr w:type="spellEnd"/>
            <w:r w:rsidRPr="00E318F3">
              <w:rPr>
                <w:rFonts w:ascii="Arial" w:hAnsi="Arial" w:cs="Arial"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</w:rPr>
              <w:t>tautoko</w:t>
            </w:r>
            <w:proofErr w:type="spellEnd"/>
            <w:r w:rsidRPr="00E318F3">
              <w:rPr>
                <w:rFonts w:ascii="Arial" w:hAnsi="Arial" w:cs="Arial"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</w:rPr>
              <w:t>i</w:t>
            </w:r>
            <w:proofErr w:type="spellEnd"/>
            <w:r w:rsidRPr="00E318F3">
              <w:rPr>
                <w:rFonts w:ascii="Arial" w:hAnsi="Arial" w:cs="Arial"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</w:rPr>
              <w:t>te</w:t>
            </w:r>
            <w:proofErr w:type="spellEnd"/>
            <w:r w:rsidRPr="00E318F3">
              <w:rPr>
                <w:rFonts w:ascii="Arial" w:hAnsi="Arial" w:cs="Arial"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</w:rPr>
              <w:t>tūhononga</w:t>
            </w:r>
            <w:proofErr w:type="spellEnd"/>
            <w:r w:rsidRPr="00E318F3">
              <w:rPr>
                <w:rFonts w:ascii="Arial" w:hAnsi="Arial" w:cs="Arial"/>
              </w:rPr>
              <w:t xml:space="preserve"> </w:t>
            </w:r>
            <w:proofErr w:type="spellStart"/>
            <w:r w:rsidRPr="00E318F3">
              <w:rPr>
                <w:rFonts w:ascii="Arial" w:hAnsi="Arial" w:cs="Arial"/>
              </w:rPr>
              <w:t>hapori</w:t>
            </w:r>
            <w:proofErr w:type="spellEnd"/>
            <w:r w:rsidRPr="00E318F3">
              <w:rPr>
                <w:rFonts w:ascii="Arial" w:hAnsi="Arial" w:cs="Arial"/>
              </w:rPr>
              <w:t>.</w:t>
            </w:r>
          </w:p>
        </w:tc>
        <w:tc>
          <w:tcPr>
            <w:tcW w:w="2789" w:type="dxa"/>
          </w:tcPr>
          <w:p w14:paraId="0B15A47F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is no involvement and engagement in any area of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. </w:t>
            </w:r>
          </w:p>
          <w:p w14:paraId="58544D24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There is no representation of the population or communities experiencing poorer health outcomes.</w:t>
            </w:r>
          </w:p>
          <w:p w14:paraId="35203B7A" w14:textId="70EA80F5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  <w:p w14:paraId="58DF2962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AD00921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is involvement and engagement in a few areas of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. </w:t>
            </w:r>
          </w:p>
          <w:p w14:paraId="39FB01C4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There is little representation of the population or communities experiencing poorer health outcomes.</w:t>
            </w:r>
          </w:p>
          <w:p w14:paraId="6D7FA0AE" w14:textId="255D0478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  <w:p w14:paraId="0443897E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444234E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is involvement and engagement in some areas of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. </w:t>
            </w:r>
          </w:p>
          <w:p w14:paraId="550B36FC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There is some representation of the population or communities experiencing poorer health outcomes.</w:t>
            </w:r>
          </w:p>
          <w:p w14:paraId="2DFE680A" w14:textId="044A5743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22B3D4FC" w14:textId="77777777" w:rsidR="00E05433" w:rsidRPr="00E318F3" w:rsidRDefault="006E0707" w:rsidP="00AE3AFC">
            <w:pPr>
              <w:spacing w:line="276" w:lineRule="auto"/>
              <w:rPr>
                <w:rFonts w:ascii="Arial" w:hAnsi="Arial" w:cs="Arial"/>
              </w:rPr>
            </w:pPr>
            <w:r w:rsidRPr="006E0707">
              <w:rPr>
                <w:rFonts w:ascii="Arial" w:hAnsi="Arial" w:cs="Arial"/>
              </w:rPr>
              <w:t xml:space="preserve">There is involvement and engagement of consumers and </w:t>
            </w:r>
            <w:proofErr w:type="spellStart"/>
            <w:r w:rsidRPr="006E0707">
              <w:rPr>
                <w:rFonts w:ascii="Arial" w:hAnsi="Arial" w:cs="Arial"/>
              </w:rPr>
              <w:t>whānau</w:t>
            </w:r>
            <w:proofErr w:type="spellEnd"/>
            <w:r w:rsidRPr="006E0707">
              <w:rPr>
                <w:rFonts w:ascii="Arial" w:hAnsi="Arial" w:cs="Arial"/>
              </w:rPr>
              <w:t xml:space="preserve"> in all areas of the organisation, representing both the population served and over-representing communities who experience poorer health outcomes. </w:t>
            </w:r>
          </w:p>
          <w:p w14:paraId="2D123531" w14:textId="77777777" w:rsidR="00E05433" w:rsidRPr="00E318F3" w:rsidRDefault="006E0707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6E0707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13EA0321" w14:textId="04753413" w:rsidR="00221BFE" w:rsidRPr="00E318F3" w:rsidRDefault="006E0707" w:rsidP="00AE3AFC">
            <w:pPr>
              <w:spacing w:line="276" w:lineRule="auto"/>
              <w:rPr>
                <w:rFonts w:ascii="Arial" w:hAnsi="Arial" w:cs="Arial"/>
              </w:rPr>
            </w:pPr>
            <w:r w:rsidRPr="006E0707">
              <w:rPr>
                <w:rFonts w:ascii="Arial" w:hAnsi="Arial" w:cs="Arial"/>
              </w:rPr>
              <w:t xml:space="preserve">(Specifically relates to code of expectations sections </w:t>
            </w:r>
            <w:hyperlink r:id="rId9" w:anchor="CE4" w:history="1">
              <w:r w:rsidR="00FF1BB3" w:rsidRPr="00E318F3">
                <w:rPr>
                  <w:rStyle w:val="Hyperlink"/>
                  <w:rFonts w:ascii="Arial" w:hAnsi="Arial" w:cs="Arial"/>
                </w:rPr>
                <w:t>1.4</w:t>
              </w:r>
            </w:hyperlink>
            <w:r w:rsidR="00FF1BB3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 and </w:t>
            </w:r>
            <w:hyperlink r:id="rId10" w:anchor="CE5" w:history="1">
              <w:r w:rsidR="00FF1BB3" w:rsidRPr="00E318F3">
                <w:rPr>
                  <w:rStyle w:val="Hyperlink"/>
                  <w:rFonts w:ascii="Arial" w:hAnsi="Arial" w:cs="Arial"/>
                </w:rPr>
                <w:t>1.5</w:t>
              </w:r>
            </w:hyperlink>
            <w:r w:rsidRPr="006E0707">
              <w:rPr>
                <w:rFonts w:ascii="Arial" w:hAnsi="Arial" w:cs="Arial"/>
              </w:rPr>
              <w:t xml:space="preserve">) </w:t>
            </w:r>
            <w:r w:rsidR="00E05433" w:rsidRPr="00E318F3">
              <w:rPr>
                <w:rFonts w:ascii="Arial" w:hAnsi="Arial" w:cs="Arial"/>
              </w:rPr>
              <w:br/>
            </w:r>
            <w:hyperlink r:id="rId11" w:anchor="SM1" w:history="1">
              <w:r w:rsidRPr="006E0707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1A2CB17A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3440A429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76D9B997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 centrality and importance of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in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ao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Māori is not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recognised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 Māori are not provided opportunities to exercise decision-making authority.</w:t>
            </w:r>
          </w:p>
          <w:p w14:paraId="2EE688D8" w14:textId="7CCE1351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52C7994D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 centrality and importance of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in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ao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Māori is seldom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recognised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 Māori are provided few opportunities to exercise decision-making authority.</w:t>
            </w:r>
          </w:p>
          <w:p w14:paraId="5D1C990A" w14:textId="7DF34CBB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756B4F6C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 centrality and importance of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in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ao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Māori is sometimes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recognised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 Māori are provided some opportunities to exercise decision-making authority.</w:t>
            </w:r>
          </w:p>
          <w:p w14:paraId="2D27F4EB" w14:textId="46A6CE65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43C49DA2" w14:textId="77777777" w:rsidR="00E05433" w:rsidRPr="00E318F3" w:rsidRDefault="00A06E7C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376E4">
              <w:rPr>
                <w:rFonts w:ascii="Arial" w:hAnsi="Arial" w:cs="Arial"/>
              </w:rPr>
              <w:t xml:space="preserve">The centrality and importance of </w:t>
            </w:r>
            <w:proofErr w:type="spellStart"/>
            <w:r w:rsidRPr="00E376E4">
              <w:rPr>
                <w:rFonts w:ascii="Arial" w:hAnsi="Arial" w:cs="Arial"/>
              </w:rPr>
              <w:t>whānau</w:t>
            </w:r>
            <w:proofErr w:type="spellEnd"/>
            <w:r w:rsidRPr="00E376E4">
              <w:rPr>
                <w:rFonts w:ascii="Arial" w:hAnsi="Arial" w:cs="Arial"/>
              </w:rPr>
              <w:t xml:space="preserve"> in </w:t>
            </w:r>
            <w:proofErr w:type="spellStart"/>
            <w:r w:rsidRPr="00E376E4">
              <w:rPr>
                <w:rFonts w:ascii="Arial" w:hAnsi="Arial" w:cs="Arial"/>
              </w:rPr>
              <w:t>te</w:t>
            </w:r>
            <w:proofErr w:type="spellEnd"/>
            <w:r w:rsidRPr="00E376E4">
              <w:rPr>
                <w:rFonts w:ascii="Arial" w:hAnsi="Arial" w:cs="Arial"/>
              </w:rPr>
              <w:t xml:space="preserve"> </w:t>
            </w:r>
            <w:proofErr w:type="spellStart"/>
            <w:r w:rsidRPr="00E376E4">
              <w:rPr>
                <w:rFonts w:ascii="Arial" w:hAnsi="Arial" w:cs="Arial"/>
              </w:rPr>
              <w:t>ao</w:t>
            </w:r>
            <w:proofErr w:type="spellEnd"/>
            <w:r w:rsidRPr="00E376E4">
              <w:rPr>
                <w:rFonts w:ascii="Arial" w:hAnsi="Arial" w:cs="Arial"/>
              </w:rPr>
              <w:t xml:space="preserve"> Māori is valued and recognised. Māori are always provided opportunities to exercise decision-making authority. </w:t>
            </w:r>
            <w:r w:rsidRPr="00E376E4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7A4A815E" w14:textId="18EF6263" w:rsidR="00E05433" w:rsidRPr="00E318F3" w:rsidRDefault="00A06E7C" w:rsidP="00AE3AFC">
            <w:pPr>
              <w:spacing w:line="276" w:lineRule="auto"/>
              <w:rPr>
                <w:rFonts w:ascii="Arial" w:hAnsi="Arial" w:cs="Arial"/>
              </w:rPr>
            </w:pPr>
            <w:r w:rsidRPr="00E376E4">
              <w:rPr>
                <w:rFonts w:ascii="Arial" w:hAnsi="Arial" w:cs="Arial"/>
              </w:rPr>
              <w:lastRenderedPageBreak/>
              <w:t xml:space="preserve">(Specifically relates to code of expectations </w:t>
            </w:r>
            <w:r w:rsidR="00624151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 </w:t>
            </w:r>
            <w:hyperlink r:id="rId12" w:anchor="CE2" w:history="1">
              <w:r w:rsidR="00624151" w:rsidRPr="00E318F3">
                <w:rPr>
                  <w:rStyle w:val="Hyperlink"/>
                  <w:rFonts w:ascii="Arial" w:hAnsi="Arial" w:cs="Arial"/>
                </w:rPr>
                <w:t>1.2</w:t>
              </w:r>
            </w:hyperlink>
            <w:r w:rsidRPr="00E376E4">
              <w:rPr>
                <w:rFonts w:ascii="Arial" w:hAnsi="Arial" w:cs="Arial"/>
              </w:rPr>
              <w:t xml:space="preserve">) </w:t>
            </w:r>
          </w:p>
          <w:p w14:paraId="70EB9E81" w14:textId="7AF0B7BC" w:rsidR="00221BFE" w:rsidRPr="00E318F3" w:rsidRDefault="00D152AF" w:rsidP="00AE3AFC">
            <w:pPr>
              <w:spacing w:line="276" w:lineRule="auto"/>
              <w:rPr>
                <w:rFonts w:ascii="Arial" w:hAnsi="Arial" w:cs="Arial"/>
              </w:rPr>
            </w:pPr>
            <w:hyperlink r:id="rId13" w:anchor="SM2" w:history="1">
              <w:r w:rsidR="00A06E7C" w:rsidRPr="00E376E4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0C0A4C0C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3FA15D7A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6DFBEB7E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Partnerships are not yet established and resourced.</w:t>
            </w:r>
          </w:p>
          <w:p w14:paraId="2C8BE817" w14:textId="6E98E7DE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5E1B611E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Partnerships are newly established and somewhat resourced.</w:t>
            </w:r>
          </w:p>
          <w:p w14:paraId="5B69B701" w14:textId="670EF995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  <w:p w14:paraId="0E537ADF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19E8BEA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Some partnerships are established and resourced.</w:t>
            </w:r>
          </w:p>
          <w:p w14:paraId="339D7F8D" w14:textId="739EE353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2C953FF7" w14:textId="77777777" w:rsidR="00622B7F" w:rsidRPr="00E318F3" w:rsidRDefault="00A06E7C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There is evidence that partnership with consumers and </w:t>
            </w:r>
            <w:proofErr w:type="spellStart"/>
            <w:r w:rsidRPr="00E318F3">
              <w:rPr>
                <w:rFonts w:ascii="Arial" w:hAnsi="Arial" w:cs="Arial"/>
              </w:rPr>
              <w:t>whānau</w:t>
            </w:r>
            <w:proofErr w:type="spellEnd"/>
            <w:r w:rsidRPr="00E318F3">
              <w:rPr>
                <w:rFonts w:ascii="Arial" w:hAnsi="Arial" w:cs="Arial"/>
              </w:rPr>
              <w:t xml:space="preserve"> is well established, resourced and highly valued. </w:t>
            </w:r>
          </w:p>
          <w:p w14:paraId="11B195E4" w14:textId="77777777" w:rsidR="00622B7F" w:rsidRPr="00E318F3" w:rsidRDefault="00A06E7C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  <w:i/>
                <w:iCs/>
              </w:rPr>
              <w:t>Score 4</w:t>
            </w:r>
            <w:r w:rsidRPr="00E318F3">
              <w:rPr>
                <w:rFonts w:ascii="Arial" w:hAnsi="Arial" w:cs="Arial"/>
              </w:rPr>
              <w:t xml:space="preserve"> </w:t>
            </w:r>
          </w:p>
          <w:p w14:paraId="12E31AB2" w14:textId="77777777" w:rsidR="00616F5C" w:rsidRPr="00E318F3" w:rsidRDefault="00A06E7C" w:rsidP="00616F5C">
            <w:pPr>
              <w:spacing w:before="40" w:after="40"/>
              <w:rPr>
                <w:rFonts w:ascii="Arial" w:eastAsia="Times New Roman" w:hAnsi="Arial" w:cs="Arial"/>
                <w:color w:val="555555"/>
                <w:lang w:val="en" w:eastAsia="en-NZ"/>
              </w:rPr>
            </w:pPr>
            <w:r w:rsidRPr="00E318F3">
              <w:rPr>
                <w:rFonts w:ascii="Arial" w:hAnsi="Arial" w:cs="Arial"/>
              </w:rPr>
              <w:t xml:space="preserve">(Specifically relates to code of expectations sections </w:t>
            </w:r>
            <w:hyperlink r:id="rId14" w:anchor="CE1" w:history="1">
              <w:r w:rsidR="00616F5C" w:rsidRPr="00E318F3">
                <w:rPr>
                  <w:rStyle w:val="Hyperlink"/>
                  <w:rFonts w:ascii="Arial" w:hAnsi="Arial" w:cs="Arial"/>
                </w:rPr>
                <w:t>1.1</w:t>
              </w:r>
            </w:hyperlink>
            <w:r w:rsidR="00616F5C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 and </w:t>
            </w:r>
            <w:hyperlink r:id="rId15" w:anchor="CE11" w:history="1">
              <w:r w:rsidR="00616F5C" w:rsidRPr="00E318F3">
                <w:rPr>
                  <w:rStyle w:val="Hyperlink"/>
                  <w:rFonts w:ascii="Arial" w:hAnsi="Arial" w:cs="Arial"/>
                </w:rPr>
                <w:t>2.5</w:t>
              </w:r>
            </w:hyperlink>
            <w:r w:rsidR="00616F5C" w:rsidRPr="00E318F3">
              <w:rPr>
                <w:rFonts w:ascii="Arial" w:eastAsia="Times New Roman" w:hAnsi="Arial" w:cs="Arial"/>
                <w:color w:val="555555"/>
                <w:lang w:eastAsia="en-NZ"/>
              </w:rPr>
              <w:t>)</w:t>
            </w:r>
          </w:p>
          <w:p w14:paraId="3C330317" w14:textId="1DAAC41D" w:rsidR="00221BFE" w:rsidRPr="00E318F3" w:rsidRDefault="002421BD" w:rsidP="00AE3AFC">
            <w:pPr>
              <w:spacing w:line="276" w:lineRule="auto"/>
              <w:rPr>
                <w:rFonts w:ascii="Arial" w:hAnsi="Arial" w:cs="Arial"/>
              </w:rPr>
            </w:pPr>
            <w:hyperlink r:id="rId16" w:anchor="SM3" w:history="1">
              <w:r w:rsidR="00A06E7C" w:rsidRPr="00E318F3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58CE64D5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02140ECD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08F1857C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is difficulty in recruitment of consumer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groups and/or such groups are very newly established. </w:t>
            </w:r>
          </w:p>
          <w:p w14:paraId="349AA13E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is a lack of resources, systems, and processes. </w:t>
            </w:r>
          </w:p>
          <w:p w14:paraId="2B288E08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report they have minimal </w:t>
            </w: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lastRenderedPageBreak/>
              <w:t>support and guidance and they are the ‘sole voice’.</w:t>
            </w:r>
          </w:p>
          <w:p w14:paraId="568888EA" w14:textId="2CD95999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4A49301A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lastRenderedPageBreak/>
              <w:t xml:space="preserve">Consumer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groups are newly established and/or minimally resourced.</w:t>
            </w:r>
          </w:p>
          <w:p w14:paraId="74C7361A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Feedback-gathering and/or evaluation has not yet occurred. </w:t>
            </w:r>
          </w:p>
          <w:p w14:paraId="1973696D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have some support and guidance, and sometimes they do not solely </w:t>
            </w: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lastRenderedPageBreak/>
              <w:t>represent their community.</w:t>
            </w:r>
          </w:p>
          <w:p w14:paraId="4EF96CEC" w14:textId="02347965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4A0B40C4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lastRenderedPageBreak/>
              <w:t xml:space="preserve">Consumer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groups are established and resourced.</w:t>
            </w:r>
          </w:p>
          <w:p w14:paraId="2CC07047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Some feedback-gathering and/or evaluation has occurred within the last two years.</w:t>
            </w:r>
          </w:p>
          <w:p w14:paraId="6DA01BCC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report feeling supported and guided and are not </w:t>
            </w: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lastRenderedPageBreak/>
              <w:t>the sole representative/s for their community.</w:t>
            </w:r>
          </w:p>
          <w:p w14:paraId="51D48A80" w14:textId="54E3A926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6B1571AA" w14:textId="77777777" w:rsidR="00A06E7C" w:rsidRPr="005378F8" w:rsidRDefault="00A06E7C" w:rsidP="00A06E7C">
            <w:pPr>
              <w:autoSpaceDE w:val="0"/>
              <w:autoSpaceDN w:val="0"/>
              <w:adjustRightInd w:val="0"/>
              <w:spacing w:after="20" w:line="276" w:lineRule="auto"/>
              <w:rPr>
                <w:rFonts w:ascii="Arial" w:hAnsi="Arial" w:cs="Arial"/>
              </w:rPr>
            </w:pPr>
            <w:r w:rsidRPr="005378F8">
              <w:rPr>
                <w:rFonts w:ascii="Arial" w:hAnsi="Arial" w:cs="Arial"/>
              </w:rPr>
              <w:lastRenderedPageBreak/>
              <w:t xml:space="preserve">Consumer and </w:t>
            </w:r>
            <w:proofErr w:type="spellStart"/>
            <w:r w:rsidRPr="005378F8">
              <w:rPr>
                <w:rFonts w:ascii="Arial" w:hAnsi="Arial" w:cs="Arial"/>
              </w:rPr>
              <w:t>whānau</w:t>
            </w:r>
            <w:proofErr w:type="spellEnd"/>
            <w:r w:rsidRPr="005378F8">
              <w:rPr>
                <w:rFonts w:ascii="Arial" w:hAnsi="Arial" w:cs="Arial"/>
              </w:rPr>
              <w:t xml:space="preserve"> groups are well established and resourced. </w:t>
            </w:r>
          </w:p>
          <w:p w14:paraId="30B67A86" w14:textId="77777777" w:rsidR="00A06E7C" w:rsidRPr="005378F8" w:rsidRDefault="00A06E7C" w:rsidP="00A06E7C">
            <w:pPr>
              <w:autoSpaceDE w:val="0"/>
              <w:autoSpaceDN w:val="0"/>
              <w:adjustRightInd w:val="0"/>
              <w:spacing w:after="20" w:line="276" w:lineRule="auto"/>
              <w:rPr>
                <w:rFonts w:ascii="Arial" w:hAnsi="Arial" w:cs="Arial"/>
              </w:rPr>
            </w:pPr>
            <w:r w:rsidRPr="005378F8">
              <w:rPr>
                <w:rFonts w:ascii="Arial" w:hAnsi="Arial" w:cs="Arial"/>
              </w:rPr>
              <w:t xml:space="preserve">When a group is established or members recruited to a group, the needs of the population served are reflected. </w:t>
            </w:r>
            <w:r w:rsidRPr="005378F8">
              <w:rPr>
                <w:rFonts w:ascii="Arial" w:hAnsi="Arial" w:cs="Arial"/>
                <w:i/>
                <w:iCs/>
              </w:rPr>
              <w:t>Score 4</w:t>
            </w:r>
          </w:p>
          <w:p w14:paraId="45F6BA7F" w14:textId="77777777" w:rsidR="005F3C98" w:rsidRPr="00E318F3" w:rsidRDefault="00A06E7C" w:rsidP="00A06E7C">
            <w:pPr>
              <w:spacing w:line="276" w:lineRule="auto"/>
              <w:rPr>
                <w:rFonts w:ascii="Arial" w:hAnsi="Arial" w:cs="Arial"/>
              </w:rPr>
            </w:pPr>
            <w:r w:rsidRPr="005378F8">
              <w:rPr>
                <w:rFonts w:ascii="Arial" w:hAnsi="Arial" w:cs="Arial"/>
              </w:rPr>
              <w:lastRenderedPageBreak/>
              <w:t xml:space="preserve">(Specifically relates to code of expectations </w:t>
            </w:r>
            <w:r w:rsidR="005F3C98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sections </w:t>
            </w:r>
            <w:hyperlink r:id="rId17" w:anchor="CE4" w:history="1">
              <w:r w:rsidR="005F3C98" w:rsidRPr="00E318F3">
                <w:rPr>
                  <w:rStyle w:val="Hyperlink"/>
                  <w:rFonts w:ascii="Arial" w:hAnsi="Arial" w:cs="Arial"/>
                </w:rPr>
                <w:t>1.4</w:t>
              </w:r>
            </w:hyperlink>
            <w:r w:rsidR="005F3C98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 and </w:t>
            </w:r>
            <w:hyperlink r:id="rId18" w:anchor="CE11" w:history="1">
              <w:r w:rsidR="005F3C98" w:rsidRPr="00E318F3">
                <w:rPr>
                  <w:rStyle w:val="Hyperlink"/>
                  <w:rFonts w:ascii="Arial" w:hAnsi="Arial" w:cs="Arial"/>
                </w:rPr>
                <w:t>2.5</w:t>
              </w:r>
            </w:hyperlink>
            <w:r w:rsidRPr="005378F8">
              <w:rPr>
                <w:rFonts w:ascii="Arial" w:hAnsi="Arial" w:cs="Arial"/>
              </w:rPr>
              <w:t xml:space="preserve">) </w:t>
            </w:r>
          </w:p>
          <w:p w14:paraId="61D23880" w14:textId="2AA93DE0" w:rsidR="00221BFE" w:rsidRPr="00E318F3" w:rsidRDefault="00306B1A" w:rsidP="00A06E7C">
            <w:pPr>
              <w:spacing w:line="276" w:lineRule="auto"/>
              <w:rPr>
                <w:rFonts w:ascii="Arial" w:hAnsi="Arial" w:cs="Arial"/>
              </w:rPr>
            </w:pPr>
            <w:hyperlink r:id="rId19" w:anchor="SM4" w:history="1">
              <w:r w:rsidR="00A06E7C" w:rsidRPr="005378F8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28667348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00FF3386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5D4FFF67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is little or no evidence of opportunities for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to actively engage.</w:t>
            </w:r>
          </w:p>
          <w:p w14:paraId="59683D9F" w14:textId="04A6A8FF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3AAA38A2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are limited options for consumer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engagement, based on limited discussion with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</w:t>
            </w:r>
          </w:p>
          <w:p w14:paraId="2F4B709A" w14:textId="116AF406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  <w:p w14:paraId="0F10E178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C2B7DF0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are some options for consumer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engagement, some of which have been decided by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</w:t>
            </w:r>
          </w:p>
          <w:p w14:paraId="15A67C55" w14:textId="254B8C4A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46B9152B" w14:textId="77777777" w:rsidR="005D7F3D" w:rsidRPr="00E318F3" w:rsidRDefault="0055150C" w:rsidP="005D7F3D">
            <w:pPr>
              <w:spacing w:after="40"/>
              <w:rPr>
                <w:rFonts w:ascii="Arial" w:hAnsi="Arial" w:cs="Arial"/>
              </w:rPr>
            </w:pPr>
            <w:r w:rsidRPr="00EA1A79">
              <w:rPr>
                <w:rFonts w:ascii="Arial" w:hAnsi="Arial" w:cs="Arial"/>
              </w:rPr>
              <w:t xml:space="preserve">Options are made available for consumers and </w:t>
            </w:r>
            <w:proofErr w:type="spellStart"/>
            <w:r w:rsidRPr="00EA1A79">
              <w:rPr>
                <w:rFonts w:ascii="Arial" w:hAnsi="Arial" w:cs="Arial"/>
              </w:rPr>
              <w:t>whānau</w:t>
            </w:r>
            <w:proofErr w:type="spellEnd"/>
            <w:r w:rsidRPr="00EA1A79">
              <w:rPr>
                <w:rFonts w:ascii="Arial" w:hAnsi="Arial" w:cs="Arial"/>
              </w:rPr>
              <w:t xml:space="preserve"> to participate and engage. </w:t>
            </w:r>
          </w:p>
          <w:p w14:paraId="2493E25C" w14:textId="77777777" w:rsidR="005D7F3D" w:rsidRPr="00E318F3" w:rsidRDefault="0055150C" w:rsidP="005D7F3D">
            <w:pPr>
              <w:spacing w:after="40"/>
              <w:rPr>
                <w:rFonts w:ascii="Arial" w:hAnsi="Arial" w:cs="Arial"/>
                <w:i/>
                <w:iCs/>
              </w:rPr>
            </w:pPr>
            <w:r w:rsidRPr="00EA1A79">
              <w:rPr>
                <w:rFonts w:ascii="Arial" w:hAnsi="Arial" w:cs="Arial"/>
                <w:i/>
                <w:iCs/>
              </w:rPr>
              <w:t>Score 4</w:t>
            </w:r>
          </w:p>
          <w:p w14:paraId="290E5841" w14:textId="456DE917" w:rsidR="005D7F3D" w:rsidRPr="00E318F3" w:rsidRDefault="0055150C" w:rsidP="005D7F3D">
            <w:pPr>
              <w:spacing w:after="40"/>
              <w:rPr>
                <w:rFonts w:ascii="Arial" w:hAnsi="Arial" w:cs="Arial"/>
              </w:rPr>
            </w:pPr>
            <w:r w:rsidRPr="00EA1A79">
              <w:rPr>
                <w:rFonts w:ascii="Arial" w:hAnsi="Arial" w:cs="Arial"/>
              </w:rPr>
              <w:t xml:space="preserve">(Specifically relates to code of expectations </w:t>
            </w:r>
            <w:r w:rsidR="005D7F3D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sections </w:t>
            </w:r>
            <w:hyperlink r:id="rId20" w:anchor="CE1" w:history="1">
              <w:r w:rsidR="005D7F3D" w:rsidRPr="00E318F3">
                <w:rPr>
                  <w:rStyle w:val="Hyperlink"/>
                  <w:rFonts w:ascii="Arial" w:hAnsi="Arial" w:cs="Arial"/>
                </w:rPr>
                <w:t>1.1</w:t>
              </w:r>
            </w:hyperlink>
            <w:r w:rsidR="005D7F3D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 and </w:t>
            </w:r>
            <w:hyperlink r:id="rId21" w:anchor="CE6" w:history="1">
              <w:r w:rsidR="005D7F3D" w:rsidRPr="00E318F3">
                <w:rPr>
                  <w:rStyle w:val="Hyperlink"/>
                  <w:rFonts w:ascii="Arial" w:hAnsi="Arial" w:cs="Arial"/>
                </w:rPr>
                <w:t>1.6</w:t>
              </w:r>
            </w:hyperlink>
            <w:r w:rsidRPr="00EA1A79">
              <w:rPr>
                <w:rFonts w:ascii="Arial" w:hAnsi="Arial" w:cs="Arial"/>
              </w:rPr>
              <w:t xml:space="preserve">) </w:t>
            </w:r>
          </w:p>
          <w:p w14:paraId="2EFC8426" w14:textId="4BE78072" w:rsidR="00221BFE" w:rsidRPr="00E318F3" w:rsidRDefault="003F25DB" w:rsidP="005D7F3D">
            <w:pPr>
              <w:spacing w:after="40"/>
              <w:rPr>
                <w:rFonts w:ascii="Arial" w:eastAsia="Times New Roman" w:hAnsi="Arial" w:cs="Arial"/>
                <w:color w:val="555555"/>
                <w:lang w:val="en" w:eastAsia="en-NZ"/>
              </w:rPr>
            </w:pPr>
            <w:hyperlink r:id="rId22" w:anchor="SM5" w:history="1">
              <w:r w:rsidR="0055150C" w:rsidRPr="00EA1A79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5DE4B5DF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7D6163F3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084C7D5D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Co-design is not understood or used in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</w:t>
            </w:r>
          </w:p>
          <w:p w14:paraId="1C445678" w14:textId="7EA41ADD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2619A5DA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Co-design is understood by only a few in some parts of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and is not regularly used or applied.</w:t>
            </w:r>
          </w:p>
          <w:p w14:paraId="04B5F05F" w14:textId="505BD1C7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2D522B16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Co-design is understood by and applied in most parts of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 Some improvement actions have occurred.</w:t>
            </w:r>
          </w:p>
          <w:p w14:paraId="52D31785" w14:textId="1DE091A6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6061AEA4" w14:textId="77777777" w:rsidR="00AF5200" w:rsidRPr="00E318F3" w:rsidRDefault="0055150C" w:rsidP="00AE3AFC">
            <w:pPr>
              <w:spacing w:line="276" w:lineRule="auto"/>
              <w:rPr>
                <w:rFonts w:ascii="Arial" w:hAnsi="Arial" w:cs="Arial"/>
              </w:rPr>
            </w:pPr>
            <w:r w:rsidRPr="00EA1A79">
              <w:rPr>
                <w:rFonts w:ascii="Arial" w:hAnsi="Arial" w:cs="Arial"/>
              </w:rPr>
              <w:t xml:space="preserve">Co-design or a similar method is regularly used by and applied in all parts of the organisation. </w:t>
            </w:r>
          </w:p>
          <w:p w14:paraId="21D753DF" w14:textId="77777777" w:rsidR="00AF5200" w:rsidRPr="00E318F3" w:rsidRDefault="0055150C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A1A79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4FF8610A" w14:textId="47EDA09D" w:rsidR="00AF5200" w:rsidRPr="00E318F3" w:rsidRDefault="0055150C" w:rsidP="00AE3AFC">
            <w:pPr>
              <w:spacing w:line="276" w:lineRule="auto"/>
              <w:rPr>
                <w:rFonts w:ascii="Arial" w:hAnsi="Arial" w:cs="Arial"/>
              </w:rPr>
            </w:pPr>
            <w:r w:rsidRPr="00EA1A79">
              <w:rPr>
                <w:rFonts w:ascii="Arial" w:hAnsi="Arial" w:cs="Arial"/>
              </w:rPr>
              <w:t xml:space="preserve">(Specifically relates to code of expectations </w:t>
            </w:r>
            <w:r w:rsidR="006A6692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 </w:t>
            </w:r>
            <w:hyperlink r:id="rId23" w:anchor="CE7" w:history="1">
              <w:r w:rsidR="006A6692" w:rsidRPr="00E318F3">
                <w:rPr>
                  <w:rStyle w:val="Hyperlink"/>
                  <w:rFonts w:ascii="Arial" w:hAnsi="Arial" w:cs="Arial"/>
                </w:rPr>
                <w:t>2.1</w:t>
              </w:r>
            </w:hyperlink>
            <w:r w:rsidRPr="00EA1A79">
              <w:rPr>
                <w:rFonts w:ascii="Arial" w:hAnsi="Arial" w:cs="Arial"/>
              </w:rPr>
              <w:t xml:space="preserve">) </w:t>
            </w:r>
          </w:p>
          <w:p w14:paraId="073A2D33" w14:textId="375D952F" w:rsidR="00221BFE" w:rsidRPr="00E318F3" w:rsidRDefault="00774147" w:rsidP="00AE3AFC">
            <w:pPr>
              <w:spacing w:line="276" w:lineRule="auto"/>
              <w:rPr>
                <w:rFonts w:ascii="Arial" w:hAnsi="Arial" w:cs="Arial"/>
              </w:rPr>
            </w:pPr>
            <w:hyperlink r:id="rId24" w:anchor="SM6" w:history="1">
              <w:r w:rsidR="0055150C" w:rsidRPr="00EA1A79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17095547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2A221CA1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78CF9B3C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Cross-sector collaboration is lacking, and not established or demonstrated.</w:t>
            </w:r>
          </w:p>
          <w:p w14:paraId="79B1268D" w14:textId="7DA86BCE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7A8FB1C8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Cross-sector collaboration is limited.</w:t>
            </w:r>
          </w:p>
          <w:p w14:paraId="1C20D5CD" w14:textId="503CAF6F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39808199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Some cross-sector collaboration is established.</w:t>
            </w:r>
          </w:p>
          <w:p w14:paraId="32B6E693" w14:textId="33E6E5F9" w:rsidR="00221BFE" w:rsidRPr="00E318F3" w:rsidRDefault="00307A1E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2880E4E1" w14:textId="77777777" w:rsidR="004C604C" w:rsidRPr="00E318F3" w:rsidRDefault="009A20C1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A1A79">
              <w:rPr>
                <w:rFonts w:ascii="Arial" w:hAnsi="Arial" w:cs="Arial"/>
              </w:rPr>
              <w:t xml:space="preserve">Cross-sector collaboration is strong, well established and well demonstrated. </w:t>
            </w:r>
            <w:r w:rsidRPr="00EA1A79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72DBF5CF" w14:textId="77777777" w:rsidR="004C604C" w:rsidRPr="00E318F3" w:rsidRDefault="009A20C1" w:rsidP="00AE3AFC">
            <w:pPr>
              <w:spacing w:line="276" w:lineRule="auto"/>
              <w:rPr>
                <w:rFonts w:ascii="Arial" w:hAnsi="Arial" w:cs="Arial"/>
              </w:rPr>
            </w:pPr>
            <w:r w:rsidRPr="00EA1A79">
              <w:rPr>
                <w:rFonts w:ascii="Arial" w:hAnsi="Arial" w:cs="Arial"/>
              </w:rPr>
              <w:lastRenderedPageBreak/>
              <w:t xml:space="preserve">(Specifically relates to code of expectations </w:t>
            </w:r>
            <w:r w:rsidR="009D46B3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 </w:t>
            </w:r>
            <w:hyperlink r:id="rId25" w:anchor="CE9" w:history="1">
              <w:r w:rsidR="009D46B3" w:rsidRPr="00E318F3">
                <w:rPr>
                  <w:rStyle w:val="Hyperlink"/>
                  <w:rFonts w:ascii="Arial" w:hAnsi="Arial" w:cs="Arial"/>
                </w:rPr>
                <w:t>2.3</w:t>
              </w:r>
            </w:hyperlink>
            <w:r w:rsidRPr="00EA1A79">
              <w:rPr>
                <w:rFonts w:ascii="Arial" w:hAnsi="Arial" w:cs="Arial"/>
              </w:rPr>
              <w:t xml:space="preserve">) </w:t>
            </w:r>
          </w:p>
          <w:p w14:paraId="2DB86BB9" w14:textId="0C80C38C" w:rsidR="00221BFE" w:rsidRPr="00E318F3" w:rsidRDefault="002C7E59" w:rsidP="00AE3AFC">
            <w:pPr>
              <w:spacing w:line="276" w:lineRule="auto"/>
              <w:rPr>
                <w:rFonts w:ascii="Arial" w:hAnsi="Arial" w:cs="Arial"/>
              </w:rPr>
            </w:pPr>
            <w:hyperlink r:id="rId26" w:anchor="SM7" w:history="1">
              <w:r w:rsidR="009A20C1" w:rsidRPr="00EA1A79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0D005A6A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2934BFED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757BA3C7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Pursuing equity for the population served is little known or discussed in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</w:t>
            </w:r>
          </w:p>
          <w:p w14:paraId="2346EE13" w14:textId="7F477708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  <w:p w14:paraId="67B3BF10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</w:tcPr>
          <w:p w14:paraId="73282524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Pursuing equity for the population served is understood in some parts of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</w:t>
            </w:r>
          </w:p>
          <w:p w14:paraId="6625D8E7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Some intend to improve equity for the population served.</w:t>
            </w:r>
          </w:p>
          <w:p w14:paraId="75B5AC17" w14:textId="0341F6B0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31A675E3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Equity principles are well understood throughout most of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</w:t>
            </w:r>
          </w:p>
          <w:p w14:paraId="5A0549CC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are several examples of people intending to improve equity for the population served. </w:t>
            </w:r>
          </w:p>
          <w:p w14:paraId="5597E20B" w14:textId="103844CE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0C0BBF30" w14:textId="77777777" w:rsidR="00B917E3" w:rsidRPr="00E318F3" w:rsidRDefault="002264E3" w:rsidP="00AE3AFC">
            <w:pPr>
              <w:spacing w:line="276" w:lineRule="auto"/>
              <w:rPr>
                <w:rFonts w:ascii="Arial" w:hAnsi="Arial" w:cs="Arial"/>
              </w:rPr>
            </w:pPr>
            <w:r w:rsidRPr="00111BC0">
              <w:rPr>
                <w:rFonts w:ascii="Arial" w:hAnsi="Arial" w:cs="Arial"/>
              </w:rPr>
              <w:t xml:space="preserve">Pursuing equity for the population served is a strategic focus in the organisation. </w:t>
            </w:r>
            <w:proofErr w:type="spellStart"/>
            <w:r w:rsidRPr="00111BC0">
              <w:rPr>
                <w:rFonts w:ascii="Arial" w:hAnsi="Arial" w:cs="Arial"/>
              </w:rPr>
              <w:t>Ōritetanga</w:t>
            </w:r>
            <w:proofErr w:type="spellEnd"/>
            <w:r w:rsidRPr="00111BC0">
              <w:rPr>
                <w:rFonts w:ascii="Arial" w:hAnsi="Arial" w:cs="Arial"/>
              </w:rPr>
              <w:t xml:space="preserve"> (equity) and </w:t>
            </w:r>
            <w:proofErr w:type="spellStart"/>
            <w:r w:rsidRPr="00111BC0">
              <w:rPr>
                <w:rFonts w:ascii="Arial" w:hAnsi="Arial" w:cs="Arial"/>
              </w:rPr>
              <w:t>whakamaru</w:t>
            </w:r>
            <w:proofErr w:type="spellEnd"/>
            <w:r w:rsidRPr="00111BC0">
              <w:rPr>
                <w:rFonts w:ascii="Arial" w:hAnsi="Arial" w:cs="Arial"/>
              </w:rPr>
              <w:t xml:space="preserve"> (active protection) are well understood principles throughout the organisation. </w:t>
            </w:r>
          </w:p>
          <w:p w14:paraId="0680B910" w14:textId="77777777" w:rsidR="00B917E3" w:rsidRPr="00E318F3" w:rsidRDefault="002264E3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111BC0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698BA148" w14:textId="39B24152" w:rsidR="00B917E3" w:rsidRPr="00E318F3" w:rsidRDefault="002264E3" w:rsidP="00AE3AFC">
            <w:pPr>
              <w:spacing w:line="276" w:lineRule="auto"/>
              <w:rPr>
                <w:rFonts w:ascii="Arial" w:hAnsi="Arial" w:cs="Arial"/>
              </w:rPr>
            </w:pPr>
            <w:r w:rsidRPr="00111BC0">
              <w:rPr>
                <w:rFonts w:ascii="Arial" w:hAnsi="Arial" w:cs="Arial"/>
              </w:rPr>
              <w:t xml:space="preserve">(Specifically relates to code of expectations </w:t>
            </w:r>
            <w:r w:rsidR="00B917E3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sections </w:t>
            </w:r>
            <w:hyperlink r:id="rId27" w:anchor="CE1" w:history="1">
              <w:r w:rsidR="00B917E3" w:rsidRPr="00E318F3">
                <w:rPr>
                  <w:rStyle w:val="Hyperlink"/>
                  <w:rFonts w:ascii="Arial" w:hAnsi="Arial" w:cs="Arial"/>
                </w:rPr>
                <w:t>1.1</w:t>
              </w:r>
            </w:hyperlink>
            <w:r w:rsidRPr="00111BC0">
              <w:rPr>
                <w:rFonts w:ascii="Arial" w:hAnsi="Arial" w:cs="Arial"/>
              </w:rPr>
              <w:t xml:space="preserve">) </w:t>
            </w:r>
          </w:p>
          <w:p w14:paraId="3EC7AB38" w14:textId="110867F9" w:rsidR="00221BFE" w:rsidRPr="00E318F3" w:rsidRDefault="002C7E59" w:rsidP="00AE3AFC">
            <w:pPr>
              <w:spacing w:line="276" w:lineRule="auto"/>
              <w:rPr>
                <w:rFonts w:ascii="Arial" w:hAnsi="Arial" w:cs="Arial"/>
              </w:rPr>
            </w:pPr>
            <w:hyperlink r:id="rId28" w:anchor="SM8" w:history="1">
              <w:r w:rsidR="002264E3" w:rsidRPr="00111BC0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12357A94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78C0DA7F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4D791DEE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There are neither equitable processes nor recruitment strategies in place to encourage a diverse workforce.</w:t>
            </w:r>
          </w:p>
          <w:p w14:paraId="198B346C" w14:textId="7766F549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10B455F1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There are some recruitment processes in place and a newly developed strategy to encourage a diverse workforce.</w:t>
            </w:r>
          </w:p>
          <w:p w14:paraId="7151B46C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lastRenderedPageBreak/>
              <w:t xml:space="preserve">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are rarely involved in recruitment.</w:t>
            </w:r>
          </w:p>
          <w:p w14:paraId="0C66D77F" w14:textId="0F7CA929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592FF3F7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lastRenderedPageBreak/>
              <w:t xml:space="preserve">There is a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well established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recruitment policy and a strategy to encourage a diverse, population-representative workforce. </w:t>
            </w:r>
          </w:p>
          <w:p w14:paraId="1FAF3701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lastRenderedPageBreak/>
              <w:t xml:space="preserve">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are sometimes included in the recruitment process.</w:t>
            </w:r>
          </w:p>
          <w:p w14:paraId="1FDDE6E6" w14:textId="05A65751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  <w:p w14:paraId="6065E8D2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13AB1E45" w14:textId="77777777" w:rsidR="004C604C" w:rsidRPr="00E318F3" w:rsidRDefault="002264E3" w:rsidP="002264E3">
            <w:pPr>
              <w:autoSpaceDE w:val="0"/>
              <w:autoSpaceDN w:val="0"/>
              <w:adjustRightInd w:val="0"/>
              <w:spacing w:after="20" w:line="276" w:lineRule="auto"/>
              <w:rPr>
                <w:rFonts w:ascii="Arial" w:hAnsi="Arial" w:cs="Arial"/>
              </w:rPr>
            </w:pPr>
            <w:r w:rsidRPr="00837396">
              <w:rPr>
                <w:rFonts w:ascii="Arial" w:hAnsi="Arial" w:cs="Arial"/>
              </w:rPr>
              <w:lastRenderedPageBreak/>
              <w:t xml:space="preserve">The organisation’s recruitment strategy encourages a diverse workforce, driven by the pursuit of equity. Policies exist stating that consumers and </w:t>
            </w:r>
            <w:proofErr w:type="spellStart"/>
            <w:r w:rsidRPr="00837396">
              <w:rPr>
                <w:rFonts w:ascii="Arial" w:hAnsi="Arial" w:cs="Arial"/>
              </w:rPr>
              <w:t>whānau</w:t>
            </w:r>
            <w:proofErr w:type="spellEnd"/>
            <w:r w:rsidRPr="00837396">
              <w:rPr>
                <w:rFonts w:ascii="Arial" w:hAnsi="Arial" w:cs="Arial"/>
              </w:rPr>
              <w:t xml:space="preserve"> </w:t>
            </w:r>
            <w:r w:rsidRPr="00837396">
              <w:rPr>
                <w:rFonts w:ascii="Arial" w:hAnsi="Arial" w:cs="Arial"/>
              </w:rPr>
              <w:lastRenderedPageBreak/>
              <w:t xml:space="preserve">are regularly involved in recruitment. </w:t>
            </w:r>
          </w:p>
          <w:p w14:paraId="231587A6" w14:textId="3AE238D5" w:rsidR="002264E3" w:rsidRPr="00837396" w:rsidRDefault="002264E3" w:rsidP="002264E3">
            <w:pPr>
              <w:autoSpaceDE w:val="0"/>
              <w:autoSpaceDN w:val="0"/>
              <w:adjustRightInd w:val="0"/>
              <w:spacing w:after="20" w:line="276" w:lineRule="auto"/>
              <w:rPr>
                <w:rFonts w:ascii="Arial" w:hAnsi="Arial" w:cs="Arial"/>
              </w:rPr>
            </w:pPr>
            <w:r w:rsidRPr="00837396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0862A051" w14:textId="77777777" w:rsidR="004C604C" w:rsidRPr="00E318F3" w:rsidRDefault="002264E3" w:rsidP="002264E3">
            <w:pPr>
              <w:spacing w:line="276" w:lineRule="auto"/>
              <w:rPr>
                <w:rFonts w:ascii="Arial" w:hAnsi="Arial" w:cs="Arial"/>
              </w:rPr>
            </w:pPr>
            <w:r w:rsidRPr="00837396">
              <w:rPr>
                <w:rFonts w:ascii="Arial" w:hAnsi="Arial" w:cs="Arial"/>
              </w:rPr>
              <w:t xml:space="preserve">(Specifically relates to code of expectations </w:t>
            </w:r>
            <w:r w:rsidR="00193B5D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sections </w:t>
            </w:r>
            <w:hyperlink r:id="rId29" w:anchor="CE3" w:history="1">
              <w:r w:rsidR="00193B5D" w:rsidRPr="00E318F3">
                <w:rPr>
                  <w:rStyle w:val="Hyperlink"/>
                  <w:rFonts w:ascii="Arial" w:hAnsi="Arial" w:cs="Arial"/>
                </w:rPr>
                <w:t>1.3</w:t>
              </w:r>
            </w:hyperlink>
            <w:r w:rsidR="00193B5D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 and </w:t>
            </w:r>
            <w:hyperlink r:id="rId30" w:anchor="CE4" w:history="1">
              <w:r w:rsidR="00193B5D" w:rsidRPr="00E318F3">
                <w:rPr>
                  <w:rStyle w:val="Hyperlink"/>
                  <w:rFonts w:ascii="Arial" w:hAnsi="Arial" w:cs="Arial"/>
                </w:rPr>
                <w:t>1.4</w:t>
              </w:r>
            </w:hyperlink>
            <w:r w:rsidRPr="00837396">
              <w:rPr>
                <w:rFonts w:ascii="Arial" w:hAnsi="Arial" w:cs="Arial"/>
              </w:rPr>
              <w:t xml:space="preserve">) </w:t>
            </w:r>
          </w:p>
          <w:p w14:paraId="40A19748" w14:textId="5C450052" w:rsidR="00221BFE" w:rsidRPr="00E318F3" w:rsidRDefault="00CA2DF3" w:rsidP="002264E3">
            <w:pPr>
              <w:spacing w:line="276" w:lineRule="auto"/>
              <w:rPr>
                <w:rFonts w:ascii="Arial" w:hAnsi="Arial" w:cs="Arial"/>
              </w:rPr>
            </w:pPr>
            <w:hyperlink r:id="rId31" w:anchor="SM9" w:history="1">
              <w:r w:rsidR="002264E3" w:rsidRPr="00837396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4C112516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6BE70CAA" w14:textId="77777777" w:rsidR="00221BFE" w:rsidRPr="00E318F3" w:rsidRDefault="00221BFE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0F56AE34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Training and development are lacking.</w:t>
            </w:r>
          </w:p>
          <w:p w14:paraId="0B65C59A" w14:textId="4A5B5641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  <w:p w14:paraId="19DDC601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</w:tcPr>
          <w:p w14:paraId="5A5A6E13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Limited training and development are available.</w:t>
            </w:r>
          </w:p>
          <w:p w14:paraId="6C01CBBC" w14:textId="455C470C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0C1D4013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Some training and development are available.</w:t>
            </w:r>
          </w:p>
          <w:p w14:paraId="592FE04F" w14:textId="2BAFDA47" w:rsidR="00221BFE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221BFE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  <w:p w14:paraId="1BF1CE0E" w14:textId="77777777" w:rsidR="00221BFE" w:rsidRPr="00E318F3" w:rsidRDefault="00221BF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7186F5F4" w14:textId="77777777" w:rsidR="004C604C" w:rsidRPr="00E318F3" w:rsidRDefault="002264E3" w:rsidP="002264E3">
            <w:pPr>
              <w:autoSpaceDE w:val="0"/>
              <w:autoSpaceDN w:val="0"/>
              <w:adjustRightInd w:val="0"/>
              <w:spacing w:after="20" w:line="276" w:lineRule="auto"/>
              <w:rPr>
                <w:rFonts w:ascii="Arial" w:hAnsi="Arial" w:cs="Arial"/>
              </w:rPr>
            </w:pPr>
            <w:r w:rsidRPr="00F4549F">
              <w:rPr>
                <w:rFonts w:ascii="Arial" w:hAnsi="Arial" w:cs="Arial"/>
              </w:rPr>
              <w:t xml:space="preserve">Training and development are available for and offered to staff, consumers and </w:t>
            </w:r>
            <w:proofErr w:type="spellStart"/>
            <w:r w:rsidRPr="00F4549F">
              <w:rPr>
                <w:rFonts w:ascii="Arial" w:hAnsi="Arial" w:cs="Arial"/>
              </w:rPr>
              <w:t>whānau</w:t>
            </w:r>
            <w:proofErr w:type="spellEnd"/>
            <w:r w:rsidRPr="00F4549F">
              <w:rPr>
                <w:rFonts w:ascii="Arial" w:hAnsi="Arial" w:cs="Arial"/>
              </w:rPr>
              <w:t xml:space="preserve"> about how staff, consumers and </w:t>
            </w:r>
            <w:proofErr w:type="spellStart"/>
            <w:r w:rsidRPr="00F4549F">
              <w:rPr>
                <w:rFonts w:ascii="Arial" w:hAnsi="Arial" w:cs="Arial"/>
              </w:rPr>
              <w:t>whānau</w:t>
            </w:r>
            <w:proofErr w:type="spellEnd"/>
            <w:r w:rsidRPr="00F4549F">
              <w:rPr>
                <w:rFonts w:ascii="Arial" w:hAnsi="Arial" w:cs="Arial"/>
              </w:rPr>
              <w:t xml:space="preserve"> can be engaged. </w:t>
            </w:r>
          </w:p>
          <w:p w14:paraId="3D0C9867" w14:textId="1C25CF1B" w:rsidR="002264E3" w:rsidRPr="00F4549F" w:rsidRDefault="002264E3" w:rsidP="002264E3">
            <w:pPr>
              <w:autoSpaceDE w:val="0"/>
              <w:autoSpaceDN w:val="0"/>
              <w:adjustRightInd w:val="0"/>
              <w:spacing w:after="20" w:line="276" w:lineRule="auto"/>
              <w:rPr>
                <w:rFonts w:ascii="Arial" w:hAnsi="Arial" w:cs="Arial"/>
              </w:rPr>
            </w:pPr>
            <w:r w:rsidRPr="00F4549F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6699F1E8" w14:textId="77777777" w:rsidR="004C604C" w:rsidRPr="00E318F3" w:rsidRDefault="002264E3" w:rsidP="002264E3">
            <w:pPr>
              <w:spacing w:line="276" w:lineRule="auto"/>
              <w:rPr>
                <w:rFonts w:ascii="Arial" w:hAnsi="Arial" w:cs="Arial"/>
              </w:rPr>
            </w:pPr>
            <w:r w:rsidRPr="00F4549F">
              <w:rPr>
                <w:rFonts w:ascii="Arial" w:hAnsi="Arial" w:cs="Arial"/>
              </w:rPr>
              <w:t xml:space="preserve">(Specifically relates to code of expectations </w:t>
            </w:r>
            <w:r w:rsidR="00DF0C59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sections </w:t>
            </w:r>
            <w:hyperlink r:id="rId32" w:anchor="CE7" w:history="1">
              <w:r w:rsidR="00DF0C59" w:rsidRPr="00E318F3">
                <w:rPr>
                  <w:rStyle w:val="Hyperlink"/>
                  <w:rFonts w:ascii="Arial" w:hAnsi="Arial" w:cs="Arial"/>
                </w:rPr>
                <w:t>2.1</w:t>
              </w:r>
            </w:hyperlink>
            <w:r w:rsidR="00DF0C59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 and </w:t>
            </w:r>
            <w:hyperlink r:id="rId33" w:anchor="CE10" w:history="1">
              <w:r w:rsidR="00DF0C59" w:rsidRPr="00E318F3">
                <w:rPr>
                  <w:rStyle w:val="Hyperlink"/>
                  <w:rFonts w:ascii="Arial" w:hAnsi="Arial" w:cs="Arial"/>
                </w:rPr>
                <w:t>2.4</w:t>
              </w:r>
            </w:hyperlink>
            <w:r w:rsidRPr="00F4549F">
              <w:rPr>
                <w:rFonts w:ascii="Arial" w:hAnsi="Arial" w:cs="Arial"/>
              </w:rPr>
              <w:t xml:space="preserve">) </w:t>
            </w:r>
          </w:p>
          <w:p w14:paraId="267AB226" w14:textId="420CEA3A" w:rsidR="00221BFE" w:rsidRPr="00E318F3" w:rsidRDefault="002629B2" w:rsidP="002264E3">
            <w:pPr>
              <w:spacing w:line="276" w:lineRule="auto"/>
              <w:rPr>
                <w:rFonts w:ascii="Arial" w:hAnsi="Arial" w:cs="Arial"/>
              </w:rPr>
            </w:pPr>
            <w:hyperlink r:id="rId34" w:anchor="SM10" w:history="1">
              <w:r w:rsidR="002264E3" w:rsidRPr="00F4549F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6BCE373B" w14:textId="77777777" w:rsidTr="00221BFE">
        <w:tc>
          <w:tcPr>
            <w:tcW w:w="2789" w:type="dxa"/>
            <w:vMerge w:val="restart"/>
            <w:tcBorders>
              <w:left w:val="nil"/>
            </w:tcBorders>
          </w:tcPr>
          <w:p w14:paraId="76A9C8EF" w14:textId="77777777" w:rsidR="00195286" w:rsidRPr="00A44251" w:rsidRDefault="00195286" w:rsidP="009733E6">
            <w:pPr>
              <w:rPr>
                <w:rFonts w:ascii="Arial" w:hAnsi="Arial" w:cs="Arial"/>
                <w:b/>
                <w:bCs/>
              </w:rPr>
            </w:pPr>
            <w:r w:rsidRPr="00A44251">
              <w:rPr>
                <w:rFonts w:ascii="Arial" w:hAnsi="Arial" w:cs="Arial"/>
                <w:b/>
                <w:bCs/>
              </w:rPr>
              <w:t>Responsiveness</w:t>
            </w:r>
          </w:p>
          <w:p w14:paraId="6A8E6B3D" w14:textId="6AEF5FD5" w:rsidR="00195286" w:rsidRDefault="00195286" w:rsidP="009733E6">
            <w:pPr>
              <w:rPr>
                <w:rFonts w:ascii="Arial" w:hAnsi="Arial" w:cs="Arial"/>
                <w:b/>
                <w:bCs/>
              </w:rPr>
            </w:pPr>
            <w:r w:rsidRPr="00A44251">
              <w:rPr>
                <w:rFonts w:ascii="Arial" w:hAnsi="Arial" w:cs="Arial"/>
                <w:b/>
                <w:bCs/>
              </w:rPr>
              <w:t xml:space="preserve">Te </w:t>
            </w:r>
            <w:proofErr w:type="spellStart"/>
            <w:r w:rsidRPr="00A44251">
              <w:rPr>
                <w:rFonts w:ascii="Arial" w:hAnsi="Arial" w:cs="Arial"/>
                <w:b/>
                <w:bCs/>
              </w:rPr>
              <w:t>noho</w:t>
            </w:r>
            <w:proofErr w:type="spellEnd"/>
            <w:r w:rsidRPr="00A4425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44251">
              <w:rPr>
                <w:rFonts w:ascii="Arial" w:hAnsi="Arial" w:cs="Arial"/>
                <w:b/>
                <w:bCs/>
              </w:rPr>
              <w:t>urupare</w:t>
            </w:r>
            <w:proofErr w:type="spellEnd"/>
          </w:p>
          <w:p w14:paraId="7C3C6908" w14:textId="77777777" w:rsidR="00A44251" w:rsidRPr="00A44251" w:rsidRDefault="00A44251" w:rsidP="009733E6">
            <w:pPr>
              <w:rPr>
                <w:rFonts w:ascii="Arial" w:hAnsi="Arial" w:cs="Arial"/>
                <w:b/>
                <w:bCs/>
              </w:rPr>
            </w:pPr>
          </w:p>
          <w:p w14:paraId="74B4EB15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Responding to and acting on what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are saying and having the right </w:t>
            </w:r>
            <w:r w:rsidRPr="00E318F3">
              <w:rPr>
                <w:rFonts w:ascii="Arial" w:eastAsia="Times New Roman" w:hAnsi="Arial" w:cs="Arial"/>
                <w:lang w:val="en" w:eastAsia="en-NZ"/>
              </w:rPr>
              <w:lastRenderedPageBreak/>
              <w:t xml:space="preserve">information at the right time for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accessing services. </w:t>
            </w:r>
          </w:p>
          <w:p w14:paraId="5BAB825B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</w:rPr>
            </w:pPr>
          </w:p>
          <w:p w14:paraId="5DB4D578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Ko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te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urupare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, ko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te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mahi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ngā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kōrero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a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ngā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kiritaki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mō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te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ratonga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me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te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whai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te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mōhiohio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tika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te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wā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e tika ana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mō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ngā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kiritaki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uru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ana ki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ngā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ratonga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>.</w:t>
            </w:r>
          </w:p>
          <w:p w14:paraId="1D927D12" w14:textId="77777777" w:rsidR="00195286" w:rsidRPr="00E318F3" w:rsidRDefault="00195286" w:rsidP="00AE3A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89" w:type="dxa"/>
          </w:tcPr>
          <w:p w14:paraId="70E33B4B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lastRenderedPageBreak/>
              <w:t xml:space="preserve">Pursuing equity for the population served is not a clear strategic focus and does not result in demonstrable actions. </w:t>
            </w:r>
          </w:p>
          <w:p w14:paraId="17D4E499" w14:textId="33CFF5F9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736606CE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Pursuing equity for the population served is referenced but is not a strategic focus and results in few demonstrable actions.</w:t>
            </w:r>
          </w:p>
          <w:p w14:paraId="2C1FF4FD" w14:textId="70B5A8C5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  <w:p w14:paraId="5D5278E1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</w:tcPr>
          <w:p w14:paraId="610653F7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lastRenderedPageBreak/>
              <w:t>Pursuing equity for the population served is a priority but not a strategic focus and results in some demonstrable actions.</w:t>
            </w:r>
          </w:p>
          <w:p w14:paraId="3FF42B87" w14:textId="39B95648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1EFB0D0B" w14:textId="77777777" w:rsidR="004C604C" w:rsidRPr="00E318F3" w:rsidRDefault="00F4549F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Pursuing equity for the population served is a strategic focus and this results in demonstrable improvements. </w:t>
            </w:r>
          </w:p>
          <w:p w14:paraId="1563439E" w14:textId="77777777" w:rsidR="004C604C" w:rsidRPr="00E318F3" w:rsidRDefault="00F4549F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6F3141A5" w14:textId="64AE7FA2" w:rsidR="004C604C" w:rsidRPr="00E318F3" w:rsidRDefault="00F4549F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lastRenderedPageBreak/>
              <w:t xml:space="preserve">(Specifically relates to code of expectations </w:t>
            </w:r>
            <w:r w:rsidR="00D17DDE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sections </w:t>
            </w:r>
            <w:hyperlink r:id="rId35" w:anchor="CE1" w:history="1">
              <w:r w:rsidR="00D17DDE" w:rsidRPr="00E318F3">
                <w:rPr>
                  <w:rStyle w:val="Hyperlink"/>
                  <w:rFonts w:ascii="Arial" w:hAnsi="Arial" w:cs="Arial"/>
                </w:rPr>
                <w:t>1.1</w:t>
              </w:r>
            </w:hyperlink>
            <w:r w:rsidR="00D17DDE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 and </w:t>
            </w:r>
            <w:hyperlink r:id="rId36" w:anchor="CE6" w:history="1">
              <w:r w:rsidR="00D17DDE" w:rsidRPr="00E318F3">
                <w:rPr>
                  <w:rStyle w:val="Hyperlink"/>
                  <w:rFonts w:ascii="Arial" w:hAnsi="Arial" w:cs="Arial"/>
                </w:rPr>
                <w:t>1.6</w:t>
              </w:r>
            </w:hyperlink>
            <w:r w:rsidRPr="00E318F3">
              <w:rPr>
                <w:rFonts w:ascii="Arial" w:hAnsi="Arial" w:cs="Arial"/>
              </w:rPr>
              <w:t xml:space="preserve">). </w:t>
            </w:r>
          </w:p>
          <w:p w14:paraId="1536A114" w14:textId="373B923F" w:rsidR="00195286" w:rsidRPr="00E318F3" w:rsidRDefault="00E65346" w:rsidP="00AE3AFC">
            <w:pPr>
              <w:spacing w:line="276" w:lineRule="auto"/>
              <w:rPr>
                <w:rFonts w:ascii="Arial" w:hAnsi="Arial" w:cs="Arial"/>
              </w:rPr>
            </w:pPr>
            <w:hyperlink r:id="rId37" w:anchor="SM11" w:history="1">
              <w:r w:rsidR="00F4549F" w:rsidRPr="00E65346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361E0DDC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6FF99F20" w14:textId="77777777" w:rsidR="00195286" w:rsidRPr="00E318F3" w:rsidRDefault="00195286" w:rsidP="00AE3AFC">
            <w:pPr>
              <w:spacing w:before="40" w:after="40" w:line="276" w:lineRule="auto"/>
              <w:rPr>
                <w:rFonts w:ascii="Arial" w:eastAsia="Times New Roman" w:hAnsi="Arial" w:cs="Arial"/>
                <w:b/>
                <w:shd w:val="clear" w:color="auto" w:fill="E6E6E6"/>
                <w:lang w:val="en" w:eastAsia="en-NZ"/>
              </w:rPr>
            </w:pPr>
          </w:p>
        </w:tc>
        <w:tc>
          <w:tcPr>
            <w:tcW w:w="2789" w:type="dxa"/>
          </w:tcPr>
          <w:p w14:paraId="2E178F7D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Systems are lacking and there is minimal consumer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representation and feedback.</w:t>
            </w:r>
          </w:p>
          <w:p w14:paraId="565A762D" w14:textId="44FDF0D2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6C6F2908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Systems are emerging and there is limited  consumer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representation and feedback.</w:t>
            </w:r>
          </w:p>
          <w:p w14:paraId="67747762" w14:textId="4150FB89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5319015E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Systems are established and while there is some broad consumer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representation and feedback, there is limited evidence of actions taken.</w:t>
            </w:r>
          </w:p>
          <w:p w14:paraId="01565C47" w14:textId="406C2F68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  <w:p w14:paraId="7A14DF09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05F1E634" w14:textId="77777777" w:rsidR="00E65346" w:rsidRDefault="00F4549F" w:rsidP="00951F7F">
            <w:pPr>
              <w:spacing w:after="40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Systems are established and robust. They involve: </w:t>
            </w:r>
          </w:p>
          <w:p w14:paraId="6E8174B0" w14:textId="77777777" w:rsidR="00E65346" w:rsidRDefault="00F4549F" w:rsidP="00E65346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</w:rPr>
            </w:pPr>
            <w:r w:rsidRPr="00E65346">
              <w:rPr>
                <w:rFonts w:ascii="Arial" w:hAnsi="Arial" w:cs="Arial"/>
              </w:rPr>
              <w:t xml:space="preserve">gathering, understanding and responding to the experiences and views of consumers and </w:t>
            </w:r>
            <w:proofErr w:type="spellStart"/>
            <w:r w:rsidRPr="00E65346">
              <w:rPr>
                <w:rFonts w:ascii="Arial" w:hAnsi="Arial" w:cs="Arial"/>
              </w:rPr>
              <w:t>whānau</w:t>
            </w:r>
            <w:proofErr w:type="spellEnd"/>
            <w:r w:rsidRPr="00E65346">
              <w:rPr>
                <w:rFonts w:ascii="Arial" w:hAnsi="Arial" w:cs="Arial"/>
              </w:rPr>
              <w:t xml:space="preserve"> relative to the respective organisation</w:t>
            </w:r>
          </w:p>
          <w:p w14:paraId="2CAB917F" w14:textId="77777777" w:rsidR="00E65346" w:rsidRDefault="00F4549F" w:rsidP="00E65346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</w:rPr>
            </w:pPr>
            <w:r w:rsidRPr="00E65346">
              <w:rPr>
                <w:rFonts w:ascii="Arial" w:hAnsi="Arial" w:cs="Arial"/>
              </w:rPr>
              <w:t>sharing the results and themes with participants and the wider organisation</w:t>
            </w:r>
          </w:p>
          <w:p w14:paraId="3E3F779C" w14:textId="2D804388" w:rsidR="004C604C" w:rsidRPr="00E65346" w:rsidRDefault="00F4549F" w:rsidP="00E65346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</w:rPr>
            </w:pPr>
            <w:r w:rsidRPr="00E65346">
              <w:rPr>
                <w:rFonts w:ascii="Arial" w:hAnsi="Arial" w:cs="Arial"/>
              </w:rPr>
              <w:t xml:space="preserve">involving consumers and </w:t>
            </w:r>
            <w:proofErr w:type="spellStart"/>
            <w:r w:rsidRPr="00E65346">
              <w:rPr>
                <w:rFonts w:ascii="Arial" w:hAnsi="Arial" w:cs="Arial"/>
              </w:rPr>
              <w:t>whānau</w:t>
            </w:r>
            <w:proofErr w:type="spellEnd"/>
            <w:r w:rsidRPr="00E65346">
              <w:rPr>
                <w:rFonts w:ascii="Arial" w:hAnsi="Arial" w:cs="Arial"/>
              </w:rPr>
              <w:t xml:space="preserve"> as partners in any resulting improvement activities. </w:t>
            </w:r>
          </w:p>
          <w:p w14:paraId="5A5E823A" w14:textId="77777777" w:rsidR="004C604C" w:rsidRPr="00E318F3" w:rsidRDefault="00F4549F" w:rsidP="00951F7F">
            <w:pPr>
              <w:spacing w:after="40"/>
              <w:rPr>
                <w:rFonts w:ascii="Arial" w:hAnsi="Arial" w:cs="Arial"/>
                <w:i/>
                <w:iCs/>
              </w:rPr>
            </w:pP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5022E15B" w14:textId="77777777" w:rsidR="004C604C" w:rsidRPr="00E318F3" w:rsidRDefault="00F4549F" w:rsidP="00951F7F">
            <w:pPr>
              <w:spacing w:after="40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(Specifically relates to code of expectations </w:t>
            </w:r>
            <w:r w:rsidR="00951F7F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sections </w:t>
            </w:r>
            <w:hyperlink r:id="rId38" w:anchor="CE5" w:history="1">
              <w:r w:rsidR="00951F7F" w:rsidRPr="00E318F3">
                <w:rPr>
                  <w:rStyle w:val="Hyperlink"/>
                  <w:rFonts w:ascii="Arial" w:hAnsi="Arial" w:cs="Arial"/>
                </w:rPr>
                <w:t>1.5</w:t>
              </w:r>
            </w:hyperlink>
            <w:r w:rsidR="00951F7F" w:rsidRPr="00E318F3">
              <w:rPr>
                <w:rFonts w:ascii="Arial" w:eastAsia="Times New Roman" w:hAnsi="Arial" w:cs="Arial"/>
                <w:color w:val="555555"/>
                <w:lang w:val="en" w:eastAsia="en-NZ"/>
              </w:rPr>
              <w:t xml:space="preserve">  and </w:t>
            </w:r>
            <w:hyperlink r:id="rId39" w:anchor="CE8" w:history="1">
              <w:r w:rsidR="00951F7F" w:rsidRPr="00E318F3">
                <w:rPr>
                  <w:rStyle w:val="Hyperlink"/>
                  <w:rFonts w:ascii="Arial" w:hAnsi="Arial" w:cs="Arial"/>
                </w:rPr>
                <w:t>2.2</w:t>
              </w:r>
            </w:hyperlink>
            <w:r w:rsidRPr="00E318F3">
              <w:rPr>
                <w:rFonts w:ascii="Arial" w:hAnsi="Arial" w:cs="Arial"/>
              </w:rPr>
              <w:t xml:space="preserve">) </w:t>
            </w:r>
          </w:p>
          <w:p w14:paraId="0DBD66D1" w14:textId="673C13DD" w:rsidR="00195286" w:rsidRPr="00E318F3" w:rsidRDefault="006B4F52" w:rsidP="00951F7F">
            <w:pPr>
              <w:spacing w:after="40"/>
              <w:rPr>
                <w:rFonts w:ascii="Arial" w:hAnsi="Arial" w:cs="Arial"/>
              </w:rPr>
            </w:pPr>
            <w:hyperlink r:id="rId40" w:anchor="SM12" w:history="1">
              <w:r w:rsidR="00F4549F" w:rsidRPr="006B4F52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791435B2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16A4340F" w14:textId="77777777" w:rsidR="00195286" w:rsidRPr="00E318F3" w:rsidRDefault="00195286" w:rsidP="00AE3AFC">
            <w:pPr>
              <w:spacing w:before="40" w:after="40" w:line="276" w:lineRule="auto"/>
              <w:rPr>
                <w:rFonts w:ascii="Arial" w:eastAsia="Times New Roman" w:hAnsi="Arial" w:cs="Arial"/>
                <w:b/>
                <w:shd w:val="clear" w:color="auto" w:fill="E6E6E6"/>
                <w:lang w:val="en" w:eastAsia="en-NZ"/>
              </w:rPr>
            </w:pPr>
          </w:p>
        </w:tc>
        <w:tc>
          <w:tcPr>
            <w:tcW w:w="2789" w:type="dxa"/>
          </w:tcPr>
          <w:p w14:paraId="691EBD33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is neither a formal mechanism for senior leaders to hear feedback nor limited opportunity for any action. </w:t>
            </w:r>
          </w:p>
          <w:p w14:paraId="346DD940" w14:textId="30A84A2B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3A59595F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are some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organised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opportunities for leaders to hear feedback and some evidence that action has been taken.</w:t>
            </w:r>
          </w:p>
          <w:p w14:paraId="75342FC2" w14:textId="7679FFDF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2553A16A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are regular,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organised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opportunities for leaders to hear the voices of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, and evidence that feedback is usually acted upon.</w:t>
            </w:r>
          </w:p>
          <w:p w14:paraId="14642B7D" w14:textId="3852F4F8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  <w:p w14:paraId="6E191890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3F736C1B" w14:textId="77777777" w:rsidR="00CD54A5" w:rsidRPr="00E318F3" w:rsidRDefault="00F4549F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The voices of diverse communities are regularly sought and reported to senior leaders within the organisation and demonstrably acted upon. ‘Closing the loop’ </w:t>
            </w:r>
          </w:p>
          <w:p w14:paraId="2D4339B3" w14:textId="0739620E" w:rsidR="00B02ECD" w:rsidRPr="00E318F3" w:rsidRDefault="00F4549F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79D717E7" w14:textId="4BBD03AF" w:rsidR="00B02ECD" w:rsidRPr="00E318F3" w:rsidRDefault="00F4549F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(Specifically relates to code of expectations </w:t>
            </w:r>
            <w:r w:rsidR="007B4C45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sections </w:t>
            </w:r>
            <w:hyperlink r:id="rId41" w:anchor="CE7" w:history="1">
              <w:r w:rsidR="007B4C45" w:rsidRPr="00E318F3">
                <w:rPr>
                  <w:rStyle w:val="Hyperlink"/>
                  <w:rFonts w:ascii="Arial" w:hAnsi="Arial" w:cs="Arial"/>
                </w:rPr>
                <w:t>2.1</w:t>
              </w:r>
            </w:hyperlink>
            <w:r w:rsidR="007B4C45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 and </w:t>
            </w:r>
            <w:hyperlink r:id="rId42" w:anchor="CE8" w:history="1">
              <w:r w:rsidR="007B4C45" w:rsidRPr="00E318F3">
                <w:rPr>
                  <w:rStyle w:val="Hyperlink"/>
                  <w:rFonts w:ascii="Arial" w:hAnsi="Arial" w:cs="Arial"/>
                </w:rPr>
                <w:t>2.2</w:t>
              </w:r>
            </w:hyperlink>
            <w:r w:rsidRPr="00E318F3">
              <w:rPr>
                <w:rFonts w:ascii="Arial" w:hAnsi="Arial" w:cs="Arial"/>
              </w:rPr>
              <w:t xml:space="preserve">) </w:t>
            </w:r>
          </w:p>
          <w:p w14:paraId="53D04C84" w14:textId="7163573B" w:rsidR="00195286" w:rsidRPr="00E318F3" w:rsidRDefault="006B4F52" w:rsidP="00AE3AFC">
            <w:pPr>
              <w:spacing w:line="276" w:lineRule="auto"/>
              <w:rPr>
                <w:rFonts w:ascii="Arial" w:hAnsi="Arial" w:cs="Arial"/>
              </w:rPr>
            </w:pPr>
            <w:hyperlink r:id="rId43" w:anchor="SM13" w:history="1">
              <w:r w:rsidR="00F4549F" w:rsidRPr="006B4F52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6FA84F23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462BDD9F" w14:textId="77777777" w:rsidR="00195286" w:rsidRPr="00E318F3" w:rsidRDefault="00195286" w:rsidP="00AE3AFC">
            <w:pPr>
              <w:spacing w:before="40" w:after="40" w:line="276" w:lineRule="auto"/>
              <w:rPr>
                <w:rFonts w:ascii="Arial" w:eastAsia="Times New Roman" w:hAnsi="Arial" w:cs="Arial"/>
                <w:b/>
                <w:shd w:val="clear" w:color="auto" w:fill="E6E6E6"/>
                <w:lang w:val="en" w:eastAsia="en-NZ"/>
              </w:rPr>
            </w:pPr>
          </w:p>
        </w:tc>
        <w:tc>
          <w:tcPr>
            <w:tcW w:w="2789" w:type="dxa"/>
          </w:tcPr>
          <w:p w14:paraId="61E514ED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Information, resources and engagement opportunities are lacking.</w:t>
            </w:r>
          </w:p>
          <w:p w14:paraId="1BE1F3E8" w14:textId="6CD3E4D4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1724ECD4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There are limited information, resources and engagement opportunities, with limited variety and accessibility.</w:t>
            </w:r>
          </w:p>
          <w:p w14:paraId="4656C846" w14:textId="1C1538DB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19DA0EB6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There are some information, resources and engagement opportunities, and some variety and accessibility. Barriers are identified.</w:t>
            </w:r>
          </w:p>
          <w:p w14:paraId="5D731570" w14:textId="3E1C7400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  <w:p w14:paraId="0A4DF9BA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66BA9019" w14:textId="77777777" w:rsidR="00B02ECD" w:rsidRPr="00E318F3" w:rsidRDefault="00811C70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Information, resources and engagement opportunities provided by the organisation are varied and accessible to all consumers and </w:t>
            </w:r>
            <w:proofErr w:type="spellStart"/>
            <w:r w:rsidRPr="00E318F3">
              <w:rPr>
                <w:rFonts w:ascii="Arial" w:hAnsi="Arial" w:cs="Arial"/>
              </w:rPr>
              <w:t>whānau</w:t>
            </w:r>
            <w:proofErr w:type="spellEnd"/>
            <w:r w:rsidRPr="00E318F3">
              <w:rPr>
                <w:rFonts w:ascii="Arial" w:hAnsi="Arial" w:cs="Arial"/>
              </w:rPr>
              <w:t xml:space="preserve">. Barriers to any of the above are actively addressed and remedied. </w:t>
            </w:r>
          </w:p>
          <w:p w14:paraId="3FF664D7" w14:textId="77777777" w:rsidR="00B02ECD" w:rsidRPr="00E318F3" w:rsidRDefault="00811C70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674AA77D" w14:textId="77777777" w:rsidR="00B02ECD" w:rsidRPr="00E318F3" w:rsidRDefault="00811C70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(Specifically relates to code of expectations </w:t>
            </w:r>
            <w:r w:rsidR="00C96DD5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 </w:t>
            </w:r>
            <w:hyperlink r:id="rId44" w:anchor="CE10" w:history="1">
              <w:r w:rsidR="00C96DD5" w:rsidRPr="00E318F3">
                <w:rPr>
                  <w:rStyle w:val="Hyperlink"/>
                  <w:rFonts w:ascii="Arial" w:hAnsi="Arial" w:cs="Arial"/>
                </w:rPr>
                <w:t>2.4</w:t>
              </w:r>
            </w:hyperlink>
            <w:r w:rsidRPr="00E318F3">
              <w:rPr>
                <w:rFonts w:ascii="Arial" w:hAnsi="Arial" w:cs="Arial"/>
              </w:rPr>
              <w:t xml:space="preserve">) </w:t>
            </w:r>
          </w:p>
          <w:p w14:paraId="6C72154E" w14:textId="006FB7A9" w:rsidR="00195286" w:rsidRPr="00E318F3" w:rsidRDefault="00C33E32" w:rsidP="00AE3AFC">
            <w:pPr>
              <w:spacing w:line="276" w:lineRule="auto"/>
              <w:rPr>
                <w:rFonts w:ascii="Arial" w:hAnsi="Arial" w:cs="Arial"/>
              </w:rPr>
            </w:pPr>
            <w:hyperlink r:id="rId45" w:anchor="SM14" w:history="1">
              <w:r w:rsidR="00811C70" w:rsidRPr="00C33E32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3A300BF5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012A8413" w14:textId="77777777" w:rsidR="00195286" w:rsidRPr="00E318F3" w:rsidRDefault="00195286" w:rsidP="00AE3AFC">
            <w:pPr>
              <w:spacing w:before="40" w:after="40" w:line="276" w:lineRule="auto"/>
              <w:rPr>
                <w:rFonts w:ascii="Arial" w:eastAsia="Times New Roman" w:hAnsi="Arial" w:cs="Arial"/>
                <w:b/>
                <w:shd w:val="clear" w:color="auto" w:fill="E6E6E6"/>
                <w:lang w:val="en" w:eastAsia="en-NZ"/>
              </w:rPr>
            </w:pPr>
          </w:p>
        </w:tc>
        <w:tc>
          <w:tcPr>
            <w:tcW w:w="2789" w:type="dxa"/>
          </w:tcPr>
          <w:p w14:paraId="230A41CE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Māori have little to no power and influence with regard to decision-making.</w:t>
            </w:r>
          </w:p>
          <w:p w14:paraId="57197357" w14:textId="25E9D6BB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0923B963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Māori have limited involvement, no ability to veto or change decisions made.</w:t>
            </w:r>
          </w:p>
          <w:p w14:paraId="3A8BD093" w14:textId="1ADA106F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  <w:p w14:paraId="20CD676E" w14:textId="77777777" w:rsidR="00195286" w:rsidRPr="00E318F3" w:rsidRDefault="00195286" w:rsidP="00AE3AFC">
            <w:pPr>
              <w:spacing w:after="40" w:line="276" w:lineRule="auto"/>
              <w:ind w:left="360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  <w:p w14:paraId="066AB16B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</w:tcPr>
          <w:p w14:paraId="03059A24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There is some involvement by Māori, but ultimately no decision-making opportunities.</w:t>
            </w:r>
          </w:p>
          <w:p w14:paraId="08F70CE1" w14:textId="5358310E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  <w:p w14:paraId="46250886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378B0947" w14:textId="77777777" w:rsidR="00E17C28" w:rsidRPr="00E318F3" w:rsidRDefault="00811C70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Māori report experiencing </w:t>
            </w:r>
            <w:proofErr w:type="spellStart"/>
            <w:r w:rsidRPr="00E318F3">
              <w:rPr>
                <w:rFonts w:ascii="Arial" w:hAnsi="Arial" w:cs="Arial"/>
              </w:rPr>
              <w:t>tino</w:t>
            </w:r>
            <w:proofErr w:type="spellEnd"/>
            <w:r w:rsidRPr="00E318F3">
              <w:rPr>
                <w:rFonts w:ascii="Arial" w:hAnsi="Arial" w:cs="Arial"/>
              </w:rPr>
              <w:t xml:space="preserve"> rangatiratanga (effective power, decision-making and leadership opportunities). A wide range of resources, determined by Māori, is available to support Māori participation. </w:t>
            </w:r>
          </w:p>
          <w:p w14:paraId="652D9380" w14:textId="77777777" w:rsidR="00E17C28" w:rsidRPr="00E318F3" w:rsidRDefault="00811C70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73588D8F" w14:textId="6BEFAF86" w:rsidR="00E17C28" w:rsidRPr="00E318F3" w:rsidRDefault="00811C70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(Specifically relates to code of expectations </w:t>
            </w:r>
            <w:r w:rsidR="00D312FB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 </w:t>
            </w:r>
            <w:hyperlink r:id="rId46" w:anchor="CE2" w:history="1">
              <w:r w:rsidR="00D312FB" w:rsidRPr="00E318F3">
                <w:rPr>
                  <w:rStyle w:val="Hyperlink"/>
                  <w:rFonts w:ascii="Arial" w:hAnsi="Arial" w:cs="Arial"/>
                </w:rPr>
                <w:t>1.2</w:t>
              </w:r>
            </w:hyperlink>
            <w:r w:rsidRPr="00E318F3">
              <w:rPr>
                <w:rFonts w:ascii="Arial" w:hAnsi="Arial" w:cs="Arial"/>
              </w:rPr>
              <w:t xml:space="preserve">) </w:t>
            </w:r>
          </w:p>
          <w:p w14:paraId="15C4CE6E" w14:textId="20676259" w:rsidR="00195286" w:rsidRPr="00E318F3" w:rsidRDefault="00235CB4" w:rsidP="00AE3AFC">
            <w:pPr>
              <w:spacing w:line="276" w:lineRule="auto"/>
              <w:rPr>
                <w:rFonts w:ascii="Arial" w:hAnsi="Arial" w:cs="Arial"/>
              </w:rPr>
            </w:pPr>
            <w:hyperlink r:id="rId47" w:anchor="SM22" w:history="1">
              <w:r w:rsidR="00811C70" w:rsidRPr="00235CB4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1DB47B48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2DE7CCFF" w14:textId="77777777" w:rsidR="00195286" w:rsidRPr="00E318F3" w:rsidRDefault="00195286" w:rsidP="00AE3AFC">
            <w:pPr>
              <w:spacing w:before="40" w:after="40" w:line="276" w:lineRule="auto"/>
              <w:rPr>
                <w:rFonts w:ascii="Arial" w:eastAsia="Times New Roman" w:hAnsi="Arial" w:cs="Arial"/>
                <w:b/>
                <w:shd w:val="clear" w:color="auto" w:fill="E6E6E6"/>
                <w:lang w:val="en" w:eastAsia="en-NZ"/>
              </w:rPr>
            </w:pPr>
          </w:p>
        </w:tc>
        <w:tc>
          <w:tcPr>
            <w:tcW w:w="2789" w:type="dxa"/>
          </w:tcPr>
          <w:p w14:paraId="6F83AC5C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Co-design is not apparent in the policies, processes and actions of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relating to the development of</w:t>
            </w:r>
            <w:r w:rsidRPr="00E318F3">
              <w:rPr>
                <w:rFonts w:ascii="Arial" w:hAnsi="Arial" w:cs="Arial"/>
                <w:lang w:val="en"/>
                <w14:ligatures w14:val="standardContextual"/>
              </w:rPr>
              <w:t xml:space="preserve"> </w:t>
            </w: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health resources and information.</w:t>
            </w:r>
          </w:p>
          <w:p w14:paraId="30B01B78" w14:textId="4676906B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026AC709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Co-design is identified by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as being desirable, however, there is still limited evidence of health resources and information being co-designed.</w:t>
            </w:r>
          </w:p>
          <w:p w14:paraId="6F1A9359" w14:textId="0C56A23D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39E3DF84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There are policies and processes in place to co-design health resources and information. Some examples illustrate resources are co-designed.</w:t>
            </w:r>
          </w:p>
          <w:p w14:paraId="7602AB3C" w14:textId="3255DAA2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  <w:p w14:paraId="6993A57B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73A21301" w14:textId="77777777" w:rsidR="00E17C28" w:rsidRPr="00E318F3" w:rsidRDefault="00811C70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There is evidence that there are policies and processes in place to support the co-design of health resources and information. </w:t>
            </w:r>
          </w:p>
          <w:p w14:paraId="00489746" w14:textId="77777777" w:rsidR="00E17C28" w:rsidRPr="00E318F3" w:rsidRDefault="00811C70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5D2CF557" w14:textId="77777777" w:rsidR="00E17C28" w:rsidRPr="00E318F3" w:rsidRDefault="00811C70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(Specifically relates to code of expectations </w:t>
            </w:r>
            <w:r w:rsidR="00C17D8B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 </w:t>
            </w:r>
            <w:hyperlink r:id="rId48" w:anchor="CE11" w:history="1">
              <w:r w:rsidR="00C17D8B" w:rsidRPr="00E318F3">
                <w:rPr>
                  <w:rStyle w:val="Hyperlink"/>
                  <w:rFonts w:ascii="Arial" w:hAnsi="Arial" w:cs="Arial"/>
                </w:rPr>
                <w:t>2.5</w:t>
              </w:r>
            </w:hyperlink>
            <w:r w:rsidRPr="00E318F3">
              <w:rPr>
                <w:rFonts w:ascii="Arial" w:hAnsi="Arial" w:cs="Arial"/>
              </w:rPr>
              <w:t xml:space="preserve">) </w:t>
            </w:r>
          </w:p>
          <w:p w14:paraId="60404C1A" w14:textId="51FD1A5E" w:rsidR="00195286" w:rsidRPr="00E318F3" w:rsidRDefault="00E04CD3" w:rsidP="00AE3AFC">
            <w:pPr>
              <w:spacing w:line="276" w:lineRule="auto"/>
              <w:rPr>
                <w:rFonts w:ascii="Arial" w:hAnsi="Arial" w:cs="Arial"/>
              </w:rPr>
            </w:pPr>
            <w:hyperlink r:id="rId49" w:anchor="SM15" w:history="1">
              <w:r w:rsidR="00811C70" w:rsidRPr="00E04CD3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4551B58B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1F4882A5" w14:textId="77777777" w:rsidR="00195286" w:rsidRPr="00E318F3" w:rsidRDefault="00195286" w:rsidP="00AE3AFC">
            <w:pPr>
              <w:spacing w:before="40" w:after="40" w:line="276" w:lineRule="auto"/>
              <w:rPr>
                <w:rFonts w:ascii="Arial" w:eastAsia="Times New Roman" w:hAnsi="Arial" w:cs="Arial"/>
                <w:b/>
                <w:shd w:val="clear" w:color="auto" w:fill="E6E6E6"/>
                <w:lang w:val="en" w:eastAsia="en-NZ"/>
              </w:rPr>
            </w:pPr>
          </w:p>
        </w:tc>
        <w:tc>
          <w:tcPr>
            <w:tcW w:w="2789" w:type="dxa"/>
          </w:tcPr>
          <w:p w14:paraId="5F70064B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has undertaken no planned evaluation of health resources and information with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to show that information is accessible.</w:t>
            </w:r>
          </w:p>
          <w:p w14:paraId="67AE61DB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Informal feedback from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is not routinely considered for action.</w:t>
            </w:r>
          </w:p>
          <w:p w14:paraId="3BC8B727" w14:textId="035754AC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6E2812E4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has undertaken very little if any planned evaluation of information with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to show that information is accessible. </w:t>
            </w:r>
          </w:p>
          <w:p w14:paraId="12699D5B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Some changes have been made following general feedback from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</w:t>
            </w:r>
          </w:p>
          <w:p w14:paraId="1E272A63" w14:textId="73465192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39576EB9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has evaluated information with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to demonstrate that information is accessible, and involved them in making changes. No further follow-up or evaluation has taken place.</w:t>
            </w:r>
          </w:p>
          <w:p w14:paraId="6A3F89A5" w14:textId="7CF70B9D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  <w:p w14:paraId="5F91DBEC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39DC22EC" w14:textId="77777777" w:rsidR="00E17C28" w:rsidRPr="00E318F3" w:rsidRDefault="00811C70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>There is evidence that information is accessible for all groups (</w:t>
            </w:r>
            <w:proofErr w:type="spellStart"/>
            <w:r w:rsidRPr="00E318F3">
              <w:rPr>
                <w:rFonts w:ascii="Arial" w:hAnsi="Arial" w:cs="Arial"/>
              </w:rPr>
              <w:t>eg</w:t>
            </w:r>
            <w:proofErr w:type="spellEnd"/>
            <w:r w:rsidRPr="00E318F3">
              <w:rPr>
                <w:rFonts w:ascii="Arial" w:hAnsi="Arial" w:cs="Arial"/>
              </w:rPr>
              <w:t xml:space="preserve">, websites are up to date, signage is clear). Health resources and information meet the needs of different communities and are regularly evaluated by consumers and </w:t>
            </w:r>
            <w:proofErr w:type="spellStart"/>
            <w:r w:rsidRPr="00E318F3">
              <w:rPr>
                <w:rFonts w:ascii="Arial" w:hAnsi="Arial" w:cs="Arial"/>
              </w:rPr>
              <w:t>whānau</w:t>
            </w:r>
            <w:proofErr w:type="spellEnd"/>
            <w:r w:rsidRPr="00E318F3">
              <w:rPr>
                <w:rFonts w:ascii="Arial" w:hAnsi="Arial" w:cs="Arial"/>
              </w:rPr>
              <w:t xml:space="preserve"> to ensure they are easy to follow and help build understanding between patients, </w:t>
            </w:r>
            <w:proofErr w:type="spellStart"/>
            <w:r w:rsidRPr="00E318F3">
              <w:rPr>
                <w:rFonts w:ascii="Arial" w:hAnsi="Arial" w:cs="Arial"/>
              </w:rPr>
              <w:t>whānau</w:t>
            </w:r>
            <w:proofErr w:type="spellEnd"/>
            <w:r w:rsidRPr="00E318F3">
              <w:rPr>
                <w:rFonts w:ascii="Arial" w:hAnsi="Arial" w:cs="Arial"/>
              </w:rPr>
              <w:t xml:space="preserve">, and staff. </w:t>
            </w:r>
          </w:p>
          <w:p w14:paraId="63BD4526" w14:textId="6F12A8A1" w:rsidR="00E17C28" w:rsidRPr="00E318F3" w:rsidRDefault="00811C70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5C67C771" w14:textId="77777777" w:rsidR="00290905" w:rsidRDefault="00811C70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(Specifically relates to code of expectations </w:t>
            </w:r>
            <w:r w:rsidR="004E6FDE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 </w:t>
            </w:r>
            <w:hyperlink r:id="rId50" w:anchor="CE10" w:history="1">
              <w:r w:rsidR="004E6FDE" w:rsidRPr="00E318F3">
                <w:rPr>
                  <w:rStyle w:val="Hyperlink"/>
                  <w:rFonts w:ascii="Arial" w:hAnsi="Arial" w:cs="Arial"/>
                </w:rPr>
                <w:t>2.4</w:t>
              </w:r>
            </w:hyperlink>
            <w:r w:rsidRPr="00E318F3">
              <w:rPr>
                <w:rFonts w:ascii="Arial" w:hAnsi="Arial" w:cs="Arial"/>
              </w:rPr>
              <w:t xml:space="preserve">) </w:t>
            </w:r>
          </w:p>
          <w:p w14:paraId="79AEE345" w14:textId="4B6FA198" w:rsidR="00195286" w:rsidRPr="00E318F3" w:rsidRDefault="00290905" w:rsidP="00AE3AFC">
            <w:pPr>
              <w:spacing w:line="276" w:lineRule="auto"/>
              <w:rPr>
                <w:rFonts w:ascii="Arial" w:hAnsi="Arial" w:cs="Arial"/>
              </w:rPr>
            </w:pPr>
            <w:hyperlink r:id="rId51" w:anchor="SM16" w:history="1">
              <w:r w:rsidR="00811C70" w:rsidRPr="00290905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374E851A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5B17DC90" w14:textId="77777777" w:rsidR="00195286" w:rsidRPr="00E318F3" w:rsidRDefault="00195286" w:rsidP="00AE3AFC">
            <w:pPr>
              <w:spacing w:before="40" w:after="40" w:line="276" w:lineRule="auto"/>
              <w:rPr>
                <w:rFonts w:ascii="Arial" w:eastAsia="Times New Roman" w:hAnsi="Arial" w:cs="Arial"/>
                <w:b/>
                <w:shd w:val="clear" w:color="auto" w:fill="E6E6E6"/>
                <w:lang w:val="en" w:eastAsia="en-NZ"/>
              </w:rPr>
            </w:pPr>
          </w:p>
        </w:tc>
        <w:tc>
          <w:tcPr>
            <w:tcW w:w="2789" w:type="dxa"/>
          </w:tcPr>
          <w:p w14:paraId="22906200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is no evidence of use of the </w:t>
            </w:r>
            <w:hyperlink r:id="rId52" w:history="1">
              <w:r w:rsidRPr="00E318F3">
                <w:rPr>
                  <w:rStyle w:val="Hyperlink"/>
                  <w:rFonts w:ascii="Arial" w:hAnsi="Arial" w:cs="Arial"/>
                  <w:color w:val="auto"/>
                  <w14:ligatures w14:val="standardContextual"/>
                </w:rPr>
                <w:t>Accessibility Charter</w:t>
              </w:r>
            </w:hyperlink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. </w:t>
            </w:r>
          </w:p>
          <w:p w14:paraId="3D7557D4" w14:textId="1AC914E8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2BC2CA75" w14:textId="3F2A1B42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is limited use of the </w:t>
            </w:r>
            <w:hyperlink r:id="rId53" w:history="1">
              <w:r w:rsidR="008C04AC" w:rsidRPr="00E318F3">
                <w:rPr>
                  <w:rStyle w:val="Hyperlink"/>
                  <w:rFonts w:ascii="Arial" w:hAnsi="Arial" w:cs="Arial"/>
                  <w:color w:val="auto"/>
                  <w14:ligatures w14:val="standardContextual"/>
                </w:rPr>
                <w:t>Accessibility Charter</w:t>
              </w:r>
            </w:hyperlink>
            <w:r w:rsidR="008C04AC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</w:t>
            </w: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in relation to some aspects of communication with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</w:t>
            </w:r>
          </w:p>
          <w:p w14:paraId="59B73FD9" w14:textId="72CA4433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582CBC5D" w14:textId="26FC2E45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There is evidence that the </w:t>
            </w:r>
            <w:hyperlink r:id="rId54" w:history="1">
              <w:r w:rsidR="008C04AC" w:rsidRPr="00E318F3">
                <w:rPr>
                  <w:rStyle w:val="Hyperlink"/>
                  <w:rFonts w:ascii="Arial" w:hAnsi="Arial" w:cs="Arial"/>
                  <w:color w:val="auto"/>
                  <w14:ligatures w14:val="standardContextual"/>
                </w:rPr>
                <w:t>Accessibility Charter</w:t>
              </w:r>
            </w:hyperlink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has informed most aspects of communication with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by the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organisation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</w:t>
            </w:r>
          </w:p>
          <w:p w14:paraId="66194DE2" w14:textId="32FB2FFF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lastRenderedPageBreak/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7B39229F" w14:textId="7D5C3ED9" w:rsidR="00E17C28" w:rsidRPr="00E318F3" w:rsidRDefault="00147BE7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lastRenderedPageBreak/>
              <w:t xml:space="preserve">The </w:t>
            </w:r>
            <w:hyperlink r:id="rId55" w:history="1">
              <w:r w:rsidR="008C04AC" w:rsidRPr="00E318F3">
                <w:rPr>
                  <w:rStyle w:val="Hyperlink"/>
                  <w:rFonts w:ascii="Arial" w:hAnsi="Arial" w:cs="Arial"/>
                  <w:color w:val="auto"/>
                  <w14:ligatures w14:val="standardContextual"/>
                </w:rPr>
                <w:t>Accessibility Charter</w:t>
              </w:r>
            </w:hyperlink>
            <w:r w:rsidRPr="00E318F3">
              <w:rPr>
                <w:rFonts w:ascii="Arial" w:hAnsi="Arial" w:cs="Arial"/>
              </w:rPr>
              <w:t xml:space="preserve"> informs all aspects of communication with consumers and </w:t>
            </w:r>
            <w:proofErr w:type="spellStart"/>
            <w:r w:rsidRPr="00E318F3">
              <w:rPr>
                <w:rFonts w:ascii="Arial" w:hAnsi="Arial" w:cs="Arial"/>
              </w:rPr>
              <w:t>whānau</w:t>
            </w:r>
            <w:proofErr w:type="spellEnd"/>
            <w:r w:rsidRPr="00E318F3">
              <w:rPr>
                <w:rFonts w:ascii="Arial" w:hAnsi="Arial" w:cs="Arial"/>
              </w:rPr>
              <w:t xml:space="preserve"> in the organisation. </w:t>
            </w:r>
          </w:p>
          <w:p w14:paraId="3B34BA71" w14:textId="77777777" w:rsidR="00E17C28" w:rsidRPr="00E318F3" w:rsidRDefault="00147BE7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0FB396A7" w14:textId="77777777" w:rsidR="00E17C28" w:rsidRPr="00E318F3" w:rsidRDefault="00147BE7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lastRenderedPageBreak/>
              <w:t xml:space="preserve">(Specifically relates to code of expectations </w:t>
            </w:r>
            <w:r w:rsidR="00AA7B5D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 </w:t>
            </w:r>
            <w:hyperlink r:id="rId56" w:anchor="CE10" w:history="1">
              <w:r w:rsidR="00AA7B5D" w:rsidRPr="00E318F3">
                <w:rPr>
                  <w:rStyle w:val="Hyperlink"/>
                  <w:rFonts w:ascii="Arial" w:hAnsi="Arial" w:cs="Arial"/>
                </w:rPr>
                <w:t>2.4</w:t>
              </w:r>
            </w:hyperlink>
            <w:r w:rsidRPr="00E318F3">
              <w:rPr>
                <w:rFonts w:ascii="Arial" w:hAnsi="Arial" w:cs="Arial"/>
              </w:rPr>
              <w:t xml:space="preserve">) </w:t>
            </w:r>
          </w:p>
          <w:p w14:paraId="73CDC013" w14:textId="282FD3EB" w:rsidR="00195286" w:rsidRPr="00E318F3" w:rsidRDefault="009B00D9" w:rsidP="00AE3AFC">
            <w:pPr>
              <w:spacing w:line="276" w:lineRule="auto"/>
              <w:rPr>
                <w:rFonts w:ascii="Arial" w:hAnsi="Arial" w:cs="Arial"/>
              </w:rPr>
            </w:pPr>
            <w:hyperlink r:id="rId57" w:anchor="SM17" w:history="1">
              <w:r w:rsidR="00147BE7" w:rsidRPr="009B00D9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1346DC3A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11A31F43" w14:textId="77777777" w:rsidR="00195286" w:rsidRPr="00E318F3" w:rsidRDefault="00195286" w:rsidP="00AE3AFC">
            <w:pPr>
              <w:spacing w:before="40" w:after="40" w:line="276" w:lineRule="auto"/>
              <w:rPr>
                <w:rFonts w:ascii="Arial" w:eastAsia="Times New Roman" w:hAnsi="Arial" w:cs="Arial"/>
                <w:b/>
                <w:shd w:val="clear" w:color="auto" w:fill="E6E6E6"/>
                <w:lang w:val="en" w:eastAsia="en-NZ"/>
              </w:rPr>
            </w:pPr>
          </w:p>
        </w:tc>
        <w:tc>
          <w:tcPr>
            <w:tcW w:w="2789" w:type="dxa"/>
          </w:tcPr>
          <w:p w14:paraId="76F44683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No data focused on equity is used to understand inequities.</w:t>
            </w:r>
          </w:p>
          <w:p w14:paraId="39F30E9A" w14:textId="17001EA6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467E63D2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Equity data is available and reviewed. Some changes have been made as a result but these were not informed or reviewed by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</w:t>
            </w:r>
          </w:p>
          <w:p w14:paraId="3C840BCD" w14:textId="1259A569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  <w:r w:rsidR="00195286"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  </w:t>
            </w:r>
          </w:p>
        </w:tc>
        <w:tc>
          <w:tcPr>
            <w:tcW w:w="2790" w:type="dxa"/>
          </w:tcPr>
          <w:p w14:paraId="119C4054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Equity data is available, reviewed and sometimes used to inform improvements. Some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 have been involved.</w:t>
            </w:r>
          </w:p>
          <w:p w14:paraId="30C599DB" w14:textId="5F6002D8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47EAC193" w14:textId="77777777" w:rsidR="00E17C28" w:rsidRPr="00E318F3" w:rsidRDefault="00147BE7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Data is actively used to inform improvements in health services and the pursuit of equity particularly for Māori, Pacific peoples and disabled people. </w:t>
            </w:r>
          </w:p>
          <w:p w14:paraId="694175DA" w14:textId="77777777" w:rsidR="00E17C28" w:rsidRPr="00E318F3" w:rsidRDefault="00147BE7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00ED03FF" w14:textId="77777777" w:rsidR="00E17C28" w:rsidRPr="00E318F3" w:rsidRDefault="00147BE7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(Specifically relates to code of expectations </w:t>
            </w:r>
            <w:r w:rsidR="004550EA" w:rsidRPr="00E318F3">
              <w:rPr>
                <w:rFonts w:ascii="Arial" w:eastAsia="Times New Roman" w:hAnsi="Arial" w:cs="Arial"/>
                <w:color w:val="555555"/>
                <w:lang w:eastAsia="en-NZ"/>
              </w:rPr>
              <w:t>section</w:t>
            </w:r>
            <w:r w:rsidR="004550EA" w:rsidRPr="00E318F3">
              <w:rPr>
                <w:rFonts w:ascii="Arial" w:eastAsia="Times New Roman" w:hAnsi="Arial" w:cs="Arial"/>
                <w:color w:val="555555"/>
                <w:lang w:val="en" w:eastAsia="en-NZ"/>
              </w:rPr>
              <w:t xml:space="preserve"> </w:t>
            </w:r>
            <w:hyperlink r:id="rId58" w:anchor="CE8" w:history="1">
              <w:r w:rsidR="004550EA" w:rsidRPr="00E318F3">
                <w:rPr>
                  <w:rStyle w:val="Hyperlink"/>
                  <w:rFonts w:ascii="Arial" w:hAnsi="Arial" w:cs="Arial"/>
                </w:rPr>
                <w:t>2.2</w:t>
              </w:r>
            </w:hyperlink>
            <w:r w:rsidRPr="00E318F3">
              <w:rPr>
                <w:rFonts w:ascii="Arial" w:hAnsi="Arial" w:cs="Arial"/>
              </w:rPr>
              <w:t xml:space="preserve">). </w:t>
            </w:r>
          </w:p>
          <w:p w14:paraId="27AC2CFE" w14:textId="0BBFA7EB" w:rsidR="00195286" w:rsidRPr="00E318F3" w:rsidRDefault="00265202" w:rsidP="00AE3AFC">
            <w:pPr>
              <w:spacing w:line="276" w:lineRule="auto"/>
              <w:rPr>
                <w:rFonts w:ascii="Arial" w:hAnsi="Arial" w:cs="Arial"/>
              </w:rPr>
            </w:pPr>
            <w:hyperlink r:id="rId59" w:anchor="SM18" w:history="1">
              <w:r w:rsidR="00147BE7" w:rsidRPr="00265202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12D7E74A" w14:textId="77777777" w:rsidTr="00221BFE">
        <w:tc>
          <w:tcPr>
            <w:tcW w:w="2789" w:type="dxa"/>
            <w:vMerge w:val="restart"/>
            <w:tcBorders>
              <w:left w:val="nil"/>
            </w:tcBorders>
          </w:tcPr>
          <w:p w14:paraId="55F15E70" w14:textId="77777777" w:rsidR="00195286" w:rsidRPr="00E318F3" w:rsidRDefault="00195286" w:rsidP="002B54E9">
            <w:pPr>
              <w:spacing w:before="40" w:after="40" w:line="276" w:lineRule="auto"/>
              <w:rPr>
                <w:rFonts w:ascii="Arial" w:eastAsia="Times New Roman" w:hAnsi="Arial" w:cs="Arial"/>
                <w:b/>
                <w:bCs/>
                <w:lang w:val="en" w:eastAsia="en-NZ"/>
              </w:rPr>
            </w:pPr>
            <w:r w:rsidRPr="00E318F3">
              <w:rPr>
                <w:rFonts w:ascii="Arial" w:eastAsia="Times New Roman" w:hAnsi="Arial" w:cs="Arial"/>
                <w:b/>
                <w:bCs/>
                <w:lang w:val="en" w:eastAsia="en-NZ"/>
              </w:rPr>
              <w:t>Experience</w:t>
            </w:r>
          </w:p>
          <w:p w14:paraId="27C0DAF6" w14:textId="464EA259" w:rsidR="00195286" w:rsidRDefault="00195286" w:rsidP="002B54E9">
            <w:pPr>
              <w:spacing w:before="40" w:after="40" w:line="276" w:lineRule="auto"/>
              <w:rPr>
                <w:rFonts w:ascii="Arial" w:eastAsia="Times New Roman" w:hAnsi="Arial" w:cs="Arial"/>
                <w:b/>
                <w:bCs/>
                <w:lang w:val="en" w:eastAsia="en-NZ"/>
              </w:rPr>
            </w:pPr>
            <w:proofErr w:type="spellStart"/>
            <w:r w:rsidRPr="00E318F3">
              <w:rPr>
                <w:rFonts w:ascii="Arial" w:eastAsia="Times New Roman" w:hAnsi="Arial" w:cs="Arial"/>
                <w:b/>
                <w:bCs/>
                <w:lang w:val="en" w:eastAsia="en-NZ"/>
              </w:rPr>
              <w:t>Wheako</w:t>
            </w:r>
            <w:proofErr w:type="spellEnd"/>
          </w:p>
          <w:p w14:paraId="51B7199B" w14:textId="77777777" w:rsidR="002B54E9" w:rsidRPr="00E318F3" w:rsidRDefault="002B54E9" w:rsidP="002B54E9">
            <w:pPr>
              <w:spacing w:before="40" w:after="40" w:line="276" w:lineRule="auto"/>
              <w:rPr>
                <w:rFonts w:ascii="Arial" w:eastAsia="Times New Roman" w:hAnsi="Arial" w:cs="Arial"/>
                <w:b/>
                <w:bCs/>
                <w:lang w:val="en" w:eastAsia="en-NZ"/>
              </w:rPr>
            </w:pPr>
          </w:p>
          <w:p w14:paraId="2C9CD4E7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The systems in place to gather consumer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experience, and act upon the results. </w:t>
            </w:r>
          </w:p>
          <w:p w14:paraId="17A06AFA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</w:rPr>
            </w:pPr>
          </w:p>
          <w:p w14:paraId="0034B01F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</w:rPr>
              <w:lastRenderedPageBreak/>
              <w:t xml:space="preserve">Ko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ngā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pūnaha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kua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whakaritea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hei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mau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te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wheako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kiritaki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me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te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whakatinana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ngā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mahi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runga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i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ngā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 xml:space="preserve">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</w:rPr>
              <w:t>hua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</w:rPr>
              <w:t>.</w:t>
            </w:r>
          </w:p>
          <w:p w14:paraId="1041B86E" w14:textId="77777777" w:rsidR="00195286" w:rsidRPr="00E318F3" w:rsidRDefault="00195286" w:rsidP="00AE3AFC">
            <w:pPr>
              <w:spacing w:before="40" w:after="40" w:line="276" w:lineRule="auto"/>
              <w:rPr>
                <w:rFonts w:ascii="Arial" w:eastAsia="Times New Roman" w:hAnsi="Arial" w:cs="Arial"/>
                <w:b/>
                <w:shd w:val="clear" w:color="auto" w:fill="E6E6E6"/>
                <w:lang w:val="en" w:eastAsia="en-NZ"/>
              </w:rPr>
            </w:pPr>
          </w:p>
        </w:tc>
        <w:tc>
          <w:tcPr>
            <w:tcW w:w="2789" w:type="dxa"/>
          </w:tcPr>
          <w:p w14:paraId="551828EB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lastRenderedPageBreak/>
              <w:t>There are no metrics or systems to gather experience in place. Nothing is reviewed. There are no actions or changes.</w:t>
            </w:r>
          </w:p>
          <w:p w14:paraId="444D0D5B" w14:textId="77859AC2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1D0ECD17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Few metrics and systems are in place. Review seldom happens and actionable changes are rarely made.</w:t>
            </w:r>
          </w:p>
          <w:p w14:paraId="5B063B24" w14:textId="178871F3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0A8814A0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Some metrics and systems are in place and review happens occasionally. Some actionable changes have been made.</w:t>
            </w:r>
          </w:p>
          <w:p w14:paraId="218C01DD" w14:textId="4CABCAF7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  <w:p w14:paraId="1917C12D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7E67C6F2" w14:textId="77777777" w:rsidR="00E17C28" w:rsidRPr="00E318F3" w:rsidRDefault="00147BE7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Metrics and systems are in place, well established and regularly reviewed. As a result of monitoring these metrics, actionable changes are made with the guidance of consumers, </w:t>
            </w:r>
            <w:proofErr w:type="spellStart"/>
            <w:r w:rsidRPr="00E318F3">
              <w:rPr>
                <w:rFonts w:ascii="Arial" w:hAnsi="Arial" w:cs="Arial"/>
              </w:rPr>
              <w:t>whānau</w:t>
            </w:r>
            <w:proofErr w:type="spellEnd"/>
            <w:r w:rsidRPr="00E318F3">
              <w:rPr>
                <w:rFonts w:ascii="Arial" w:hAnsi="Arial" w:cs="Arial"/>
              </w:rPr>
              <w:t xml:space="preserve"> and staff. </w:t>
            </w:r>
          </w:p>
          <w:p w14:paraId="6355939B" w14:textId="77777777" w:rsidR="00E17C28" w:rsidRPr="00E318F3" w:rsidRDefault="00147BE7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2D6C94FE" w14:textId="77777777" w:rsidR="00E17C28" w:rsidRPr="00E318F3" w:rsidRDefault="00147BE7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lastRenderedPageBreak/>
              <w:t xml:space="preserve">(Specifically relates to code of expectations </w:t>
            </w:r>
            <w:r w:rsidR="00F57138" w:rsidRPr="00E318F3">
              <w:rPr>
                <w:rFonts w:ascii="Arial" w:eastAsia="Times New Roman" w:hAnsi="Arial" w:cs="Arial"/>
                <w:color w:val="555555"/>
                <w:lang w:eastAsia="en-NZ"/>
              </w:rPr>
              <w:t>section</w:t>
            </w:r>
            <w:r w:rsidR="00F57138" w:rsidRPr="00E318F3">
              <w:rPr>
                <w:rFonts w:ascii="Arial" w:eastAsia="Times New Roman" w:hAnsi="Arial" w:cs="Arial"/>
                <w:color w:val="555555"/>
                <w:lang w:val="en" w:eastAsia="en-NZ"/>
              </w:rPr>
              <w:t xml:space="preserve"> </w:t>
            </w:r>
            <w:hyperlink r:id="rId60" w:anchor="CE8" w:history="1">
              <w:r w:rsidR="00F57138" w:rsidRPr="00E318F3">
                <w:rPr>
                  <w:rStyle w:val="Hyperlink"/>
                  <w:rFonts w:ascii="Arial" w:hAnsi="Arial" w:cs="Arial"/>
                </w:rPr>
                <w:t>2.2</w:t>
              </w:r>
            </w:hyperlink>
            <w:r w:rsidRPr="00E318F3">
              <w:rPr>
                <w:rFonts w:ascii="Arial" w:hAnsi="Arial" w:cs="Arial"/>
              </w:rPr>
              <w:t xml:space="preserve">) </w:t>
            </w:r>
          </w:p>
          <w:p w14:paraId="3F5AA0CE" w14:textId="58678B4C" w:rsidR="00195286" w:rsidRPr="00E318F3" w:rsidRDefault="005F4CCA" w:rsidP="00AE3AFC">
            <w:pPr>
              <w:spacing w:line="276" w:lineRule="auto"/>
              <w:rPr>
                <w:rFonts w:ascii="Arial" w:hAnsi="Arial" w:cs="Arial"/>
              </w:rPr>
            </w:pPr>
            <w:hyperlink r:id="rId61" w:anchor="SM19" w:history="1">
              <w:r w:rsidR="00147BE7" w:rsidRPr="005F4CCA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4C3C488B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07DF9BC6" w14:textId="77777777" w:rsidR="00195286" w:rsidRPr="00E318F3" w:rsidRDefault="00195286" w:rsidP="00AE3AFC">
            <w:pPr>
              <w:spacing w:before="40" w:after="40" w:line="276" w:lineRule="auto"/>
              <w:rPr>
                <w:rFonts w:ascii="Arial" w:eastAsia="Times New Roman" w:hAnsi="Arial" w:cs="Arial"/>
                <w:b/>
                <w:shd w:val="clear" w:color="auto" w:fill="E6E6E6"/>
                <w:lang w:val="en" w:eastAsia="en-NZ"/>
              </w:rPr>
            </w:pPr>
          </w:p>
        </w:tc>
        <w:tc>
          <w:tcPr>
            <w:tcW w:w="2789" w:type="dxa"/>
          </w:tcPr>
          <w:p w14:paraId="1330368E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Metrics are not shared with relevant stakeholder groups and are not accessible.</w:t>
            </w:r>
          </w:p>
          <w:p w14:paraId="3BA9B310" w14:textId="1E4E4A04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  <w:p w14:paraId="2867AD95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</w:tcPr>
          <w:p w14:paraId="78473F9B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Metrics are rarely shared and are seldom accessible.</w:t>
            </w:r>
          </w:p>
          <w:p w14:paraId="2C7AFEE1" w14:textId="3B52397D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60B26F45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Some metrics are shared and are sometimes accessible.</w:t>
            </w:r>
          </w:p>
          <w:p w14:paraId="0590B7BD" w14:textId="73F54F0F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</w:tc>
        <w:tc>
          <w:tcPr>
            <w:tcW w:w="2790" w:type="dxa"/>
            <w:tcBorders>
              <w:right w:val="nil"/>
            </w:tcBorders>
          </w:tcPr>
          <w:p w14:paraId="0E11B16D" w14:textId="77777777" w:rsidR="00E17C28" w:rsidRPr="00E318F3" w:rsidRDefault="00147BE7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Metrics are regularly shared with relevant stakeholder groups in an accessible way. </w:t>
            </w:r>
          </w:p>
          <w:p w14:paraId="708E1109" w14:textId="77777777" w:rsidR="00E17C28" w:rsidRPr="00E318F3" w:rsidRDefault="00147BE7" w:rsidP="00AE3AFC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</w:p>
          <w:p w14:paraId="1BE57167" w14:textId="0A995672" w:rsidR="00195286" w:rsidRPr="00E318F3" w:rsidRDefault="00147BE7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t xml:space="preserve">(Specifically relates to code of expectations </w:t>
            </w:r>
            <w:r w:rsidR="00357397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sections </w:t>
            </w:r>
            <w:hyperlink r:id="rId62" w:anchor="CE4" w:history="1">
              <w:r w:rsidR="00357397" w:rsidRPr="00E318F3">
                <w:rPr>
                  <w:rStyle w:val="Hyperlink"/>
                  <w:rFonts w:ascii="Arial" w:hAnsi="Arial" w:cs="Arial"/>
                </w:rPr>
                <w:t>1.4</w:t>
              </w:r>
            </w:hyperlink>
            <w:r w:rsidR="00357397" w:rsidRPr="00E318F3">
              <w:rPr>
                <w:rFonts w:ascii="Arial" w:eastAsia="Times New Roman" w:hAnsi="Arial" w:cs="Arial"/>
                <w:color w:val="555555"/>
                <w:lang w:val="en" w:eastAsia="en-NZ"/>
              </w:rPr>
              <w:t xml:space="preserve">, </w:t>
            </w:r>
            <w:hyperlink r:id="rId63" w:anchor="CE8" w:history="1">
              <w:r w:rsidR="00357397" w:rsidRPr="00E318F3">
                <w:rPr>
                  <w:rStyle w:val="Hyperlink"/>
                  <w:rFonts w:ascii="Arial" w:hAnsi="Arial" w:cs="Arial"/>
                </w:rPr>
                <w:t>2.2</w:t>
              </w:r>
            </w:hyperlink>
            <w:r w:rsidR="00357397" w:rsidRPr="00E318F3">
              <w:rPr>
                <w:rFonts w:ascii="Arial" w:eastAsia="Times New Roman" w:hAnsi="Arial" w:cs="Arial"/>
                <w:color w:val="555555"/>
                <w:lang w:val="en" w:eastAsia="en-NZ"/>
              </w:rPr>
              <w:t xml:space="preserve"> and </w:t>
            </w:r>
            <w:hyperlink r:id="rId64" w:anchor="CE10" w:history="1">
              <w:r w:rsidR="00357397" w:rsidRPr="00E318F3">
                <w:rPr>
                  <w:rStyle w:val="Hyperlink"/>
                  <w:rFonts w:ascii="Arial" w:hAnsi="Arial" w:cs="Arial"/>
                </w:rPr>
                <w:t>2.4</w:t>
              </w:r>
            </w:hyperlink>
            <w:r w:rsidRPr="00E318F3">
              <w:rPr>
                <w:rFonts w:ascii="Arial" w:hAnsi="Arial" w:cs="Arial"/>
              </w:rPr>
              <w:t xml:space="preserve">) </w:t>
            </w:r>
            <w:hyperlink r:id="rId65" w:anchor="SM20" w:history="1">
              <w:r w:rsidRPr="005F4CCA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  <w:tr w:rsidR="00945EED" w:rsidRPr="00E318F3" w14:paraId="63E56B75" w14:textId="77777777" w:rsidTr="00221BFE">
        <w:tc>
          <w:tcPr>
            <w:tcW w:w="2789" w:type="dxa"/>
            <w:vMerge/>
            <w:tcBorders>
              <w:left w:val="nil"/>
            </w:tcBorders>
          </w:tcPr>
          <w:p w14:paraId="34687734" w14:textId="77777777" w:rsidR="00195286" w:rsidRPr="00E318F3" w:rsidRDefault="00195286" w:rsidP="00AE3AFC">
            <w:pPr>
              <w:spacing w:before="40" w:after="40" w:line="276" w:lineRule="auto"/>
              <w:rPr>
                <w:rFonts w:ascii="Arial" w:eastAsia="Times New Roman" w:hAnsi="Arial" w:cs="Arial"/>
                <w:b/>
                <w:shd w:val="clear" w:color="auto" w:fill="E6E6E6"/>
                <w:lang w:val="en" w:eastAsia="en-NZ"/>
              </w:rPr>
            </w:pPr>
          </w:p>
        </w:tc>
        <w:tc>
          <w:tcPr>
            <w:tcW w:w="2789" w:type="dxa"/>
          </w:tcPr>
          <w:p w14:paraId="6143195A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No accessible feedback options are available to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.</w:t>
            </w:r>
          </w:p>
          <w:p w14:paraId="26B1D085" w14:textId="47AAA870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1</w:t>
            </w:r>
          </w:p>
        </w:tc>
        <w:tc>
          <w:tcPr>
            <w:tcW w:w="2790" w:type="dxa"/>
          </w:tcPr>
          <w:p w14:paraId="6B551008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Few accessible feedback options are available to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. When feedback is received, it is not acknowledged or responded to. </w:t>
            </w:r>
          </w:p>
          <w:p w14:paraId="0E9954DD" w14:textId="7489BF23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2</w:t>
            </w:r>
          </w:p>
        </w:tc>
        <w:tc>
          <w:tcPr>
            <w:tcW w:w="2790" w:type="dxa"/>
          </w:tcPr>
          <w:p w14:paraId="0D6DBA9C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Some accessible feedback options are available to consumers and </w:t>
            </w:r>
            <w:proofErr w:type="spellStart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whānau</w:t>
            </w:r>
            <w:proofErr w:type="spellEnd"/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. </w:t>
            </w:r>
          </w:p>
          <w:p w14:paraId="459CA746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>Some acknowledgements of and responses to feedback are provided.</w:t>
            </w:r>
          </w:p>
          <w:p w14:paraId="25C9EF8A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lang w:val="en" w:eastAsia="en-NZ"/>
                <w14:ligatures w14:val="standardContextual"/>
              </w:rPr>
              <w:t xml:space="preserve">Relevant data is sometimes used to underpin health, quality and safety, including consumer experience data. </w:t>
            </w:r>
          </w:p>
          <w:p w14:paraId="4EF74312" w14:textId="57121E6E" w:rsidR="00195286" w:rsidRPr="00E318F3" w:rsidRDefault="00307A1E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  <w:r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lastRenderedPageBreak/>
              <w:t>Score</w:t>
            </w:r>
            <w:r w:rsidR="00195286" w:rsidRPr="00E318F3">
              <w:rPr>
                <w:rFonts w:ascii="Arial" w:eastAsia="Times New Roman" w:hAnsi="Arial" w:cs="Arial"/>
                <w:i/>
                <w:iCs/>
                <w:lang w:val="en" w:eastAsia="en-NZ"/>
                <w14:ligatures w14:val="standardContextual"/>
              </w:rPr>
              <w:t xml:space="preserve"> 3</w:t>
            </w:r>
          </w:p>
          <w:p w14:paraId="2B594DE5" w14:textId="77777777" w:rsidR="00195286" w:rsidRPr="00E318F3" w:rsidRDefault="00195286" w:rsidP="00AE3AFC">
            <w:pPr>
              <w:spacing w:after="40" w:line="276" w:lineRule="auto"/>
              <w:rPr>
                <w:rFonts w:ascii="Arial" w:eastAsia="Times New Roman" w:hAnsi="Arial" w:cs="Arial"/>
                <w:lang w:val="en" w:eastAsia="en-NZ"/>
                <w14:ligatures w14:val="standardContextual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17DC8ED2" w14:textId="77777777" w:rsidR="00E17C28" w:rsidRPr="00E318F3" w:rsidRDefault="00AE3AFC" w:rsidP="00AE3AFC">
            <w:pPr>
              <w:spacing w:line="276" w:lineRule="auto"/>
              <w:rPr>
                <w:rFonts w:ascii="Arial" w:hAnsi="Arial" w:cs="Arial"/>
              </w:rPr>
            </w:pPr>
            <w:r w:rsidRPr="00E318F3">
              <w:rPr>
                <w:rFonts w:ascii="Arial" w:hAnsi="Arial" w:cs="Arial"/>
              </w:rPr>
              <w:lastRenderedPageBreak/>
              <w:t xml:space="preserve">There is evidence of a range of accessible options for consumers and </w:t>
            </w:r>
            <w:proofErr w:type="spellStart"/>
            <w:r w:rsidRPr="00E318F3">
              <w:rPr>
                <w:rFonts w:ascii="Arial" w:hAnsi="Arial" w:cs="Arial"/>
              </w:rPr>
              <w:t>whānau</w:t>
            </w:r>
            <w:proofErr w:type="spellEnd"/>
            <w:r w:rsidRPr="00E318F3">
              <w:rPr>
                <w:rFonts w:ascii="Arial" w:hAnsi="Arial" w:cs="Arial"/>
              </w:rPr>
              <w:t xml:space="preserve"> to provide feedback. As a means of ‘closing the loop’, all feedback is acknowledged and responded to. Feedback given leads to demonstrable change as appropriate. </w:t>
            </w:r>
            <w:r w:rsidRPr="00E318F3">
              <w:rPr>
                <w:rFonts w:ascii="Arial" w:hAnsi="Arial" w:cs="Arial"/>
                <w:i/>
                <w:iCs/>
              </w:rPr>
              <w:t xml:space="preserve">Score 4 </w:t>
            </w:r>
            <w:r w:rsidRPr="00E318F3">
              <w:rPr>
                <w:rFonts w:ascii="Arial" w:hAnsi="Arial" w:cs="Arial"/>
              </w:rPr>
              <w:t xml:space="preserve">(Specifically relates to </w:t>
            </w:r>
            <w:r w:rsidRPr="00E318F3">
              <w:rPr>
                <w:rFonts w:ascii="Arial" w:hAnsi="Arial" w:cs="Arial"/>
              </w:rPr>
              <w:lastRenderedPageBreak/>
              <w:t xml:space="preserve">code of expectations </w:t>
            </w:r>
            <w:r w:rsidR="00823DC6" w:rsidRPr="00E318F3">
              <w:rPr>
                <w:rFonts w:ascii="Arial" w:eastAsia="Times New Roman" w:hAnsi="Arial" w:cs="Arial"/>
                <w:color w:val="555555"/>
                <w:lang w:eastAsia="en-NZ"/>
              </w:rPr>
              <w:t xml:space="preserve">sections </w:t>
            </w:r>
            <w:hyperlink r:id="rId66" w:anchor="CE8" w:history="1">
              <w:r w:rsidR="00823DC6" w:rsidRPr="00E318F3">
                <w:rPr>
                  <w:rStyle w:val="Hyperlink"/>
                  <w:rFonts w:ascii="Arial" w:hAnsi="Arial" w:cs="Arial"/>
                </w:rPr>
                <w:t>2.2</w:t>
              </w:r>
            </w:hyperlink>
            <w:r w:rsidR="00823DC6" w:rsidRPr="00E318F3">
              <w:rPr>
                <w:rFonts w:ascii="Arial" w:eastAsia="Times New Roman" w:hAnsi="Arial" w:cs="Arial"/>
                <w:color w:val="555555"/>
                <w:lang w:val="en" w:eastAsia="en-NZ"/>
              </w:rPr>
              <w:t xml:space="preserve"> and </w:t>
            </w:r>
            <w:hyperlink r:id="rId67" w:anchor="CE10" w:history="1">
              <w:r w:rsidR="00823DC6" w:rsidRPr="00E318F3">
                <w:rPr>
                  <w:rStyle w:val="Hyperlink"/>
                  <w:rFonts w:ascii="Arial" w:hAnsi="Arial" w:cs="Arial"/>
                </w:rPr>
                <w:t>2.4</w:t>
              </w:r>
            </w:hyperlink>
            <w:r w:rsidRPr="00E318F3">
              <w:rPr>
                <w:rFonts w:ascii="Arial" w:hAnsi="Arial" w:cs="Arial"/>
              </w:rPr>
              <w:t xml:space="preserve">) </w:t>
            </w:r>
          </w:p>
          <w:p w14:paraId="1C0E1918" w14:textId="7E930055" w:rsidR="00195286" w:rsidRPr="00E318F3" w:rsidRDefault="00765E55" w:rsidP="00AE3AFC">
            <w:pPr>
              <w:spacing w:line="276" w:lineRule="auto"/>
              <w:rPr>
                <w:rFonts w:ascii="Arial" w:hAnsi="Arial" w:cs="Arial"/>
              </w:rPr>
            </w:pPr>
            <w:hyperlink r:id="rId68" w:anchor="SM21" w:history="1">
              <w:r w:rsidR="00AE3AFC" w:rsidRPr="00765E55">
                <w:rPr>
                  <w:rStyle w:val="Hyperlink"/>
                  <w:rFonts w:ascii="Arial" w:hAnsi="Arial" w:cs="Arial"/>
                </w:rPr>
                <w:t>See more</w:t>
              </w:r>
            </w:hyperlink>
          </w:p>
        </w:tc>
      </w:tr>
    </w:tbl>
    <w:p w14:paraId="7D17186B" w14:textId="5220DF4D" w:rsidR="00221BFE" w:rsidRPr="00E318F3" w:rsidRDefault="00221BFE" w:rsidP="00AE3AFC">
      <w:pPr>
        <w:spacing w:line="276" w:lineRule="auto"/>
        <w:rPr>
          <w:rFonts w:ascii="Arial" w:hAnsi="Arial" w:cs="Arial"/>
        </w:rPr>
      </w:pPr>
    </w:p>
    <w:p w14:paraId="52236B02" w14:textId="4E2CC70B" w:rsidR="00AE3AFC" w:rsidRPr="00E318F3" w:rsidRDefault="00AE3AFC" w:rsidP="00AE3AFC">
      <w:pPr>
        <w:spacing w:line="276" w:lineRule="auto"/>
        <w:rPr>
          <w:rFonts w:ascii="Arial" w:hAnsi="Arial" w:cs="Arial"/>
        </w:rPr>
      </w:pPr>
      <w:r w:rsidRPr="00E318F3">
        <w:rPr>
          <w:rFonts w:ascii="Arial" w:hAnsi="Arial" w:cs="Arial"/>
        </w:rPr>
        <w:t xml:space="preserve">Published in July 2023 by Te </w:t>
      </w:r>
      <w:proofErr w:type="spellStart"/>
      <w:r w:rsidRPr="00E318F3">
        <w:rPr>
          <w:rFonts w:ascii="Arial" w:hAnsi="Arial" w:cs="Arial"/>
        </w:rPr>
        <w:t>Tāhū</w:t>
      </w:r>
      <w:proofErr w:type="spellEnd"/>
      <w:r w:rsidRPr="00E318F3">
        <w:rPr>
          <w:rFonts w:ascii="Arial" w:hAnsi="Arial" w:cs="Arial"/>
        </w:rPr>
        <w:t xml:space="preserve"> Hauora Health Quality &amp; Safety Commission, PO Box 25496, Wellington 6146, New Zealand. Available online at </w:t>
      </w:r>
      <w:hyperlink r:id="rId69" w:history="1">
        <w:r w:rsidRPr="00E9230D">
          <w:rPr>
            <w:rStyle w:val="Hyperlink"/>
            <w:rFonts w:ascii="Arial" w:hAnsi="Arial" w:cs="Arial"/>
          </w:rPr>
          <w:t>www.hqsc.govt.nz</w:t>
        </w:r>
      </w:hyperlink>
      <w:r w:rsidRPr="00E318F3">
        <w:rPr>
          <w:rFonts w:ascii="Arial" w:hAnsi="Arial" w:cs="Arial"/>
        </w:rPr>
        <w:t>.</w:t>
      </w:r>
    </w:p>
    <w:sectPr w:rsidR="00AE3AFC" w:rsidRPr="00E318F3" w:rsidSect="00C15BAC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ook">
    <w:altName w:val="Whitney Book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Medium">
    <w:altName w:val="Whitney Medium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1B0B"/>
    <w:multiLevelType w:val="hybridMultilevel"/>
    <w:tmpl w:val="7CA412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79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FE"/>
    <w:rsid w:val="00045EE2"/>
    <w:rsid w:val="00111BC0"/>
    <w:rsid w:val="00122637"/>
    <w:rsid w:val="00147BE7"/>
    <w:rsid w:val="00193B5D"/>
    <w:rsid w:val="00195286"/>
    <w:rsid w:val="00221BFE"/>
    <w:rsid w:val="002264E3"/>
    <w:rsid w:val="00235CB4"/>
    <w:rsid w:val="002421BD"/>
    <w:rsid w:val="002629B2"/>
    <w:rsid w:val="00265202"/>
    <w:rsid w:val="00290905"/>
    <w:rsid w:val="002B54E9"/>
    <w:rsid w:val="002C7E59"/>
    <w:rsid w:val="00306B1A"/>
    <w:rsid w:val="00307A1E"/>
    <w:rsid w:val="00357397"/>
    <w:rsid w:val="003F25DB"/>
    <w:rsid w:val="004439C4"/>
    <w:rsid w:val="004550EA"/>
    <w:rsid w:val="004C604C"/>
    <w:rsid w:val="004E6FDE"/>
    <w:rsid w:val="005378F8"/>
    <w:rsid w:val="0055150C"/>
    <w:rsid w:val="00580D7A"/>
    <w:rsid w:val="005D7F3D"/>
    <w:rsid w:val="005F3C98"/>
    <w:rsid w:val="005F4CCA"/>
    <w:rsid w:val="00616F5C"/>
    <w:rsid w:val="0062299B"/>
    <w:rsid w:val="00622B7F"/>
    <w:rsid w:val="00624151"/>
    <w:rsid w:val="00697BB8"/>
    <w:rsid w:val="006A6692"/>
    <w:rsid w:val="006B4F52"/>
    <w:rsid w:val="006E0707"/>
    <w:rsid w:val="00752F1D"/>
    <w:rsid w:val="00765E55"/>
    <w:rsid w:val="00774147"/>
    <w:rsid w:val="007B4C45"/>
    <w:rsid w:val="00811C70"/>
    <w:rsid w:val="00823DC6"/>
    <w:rsid w:val="0082549E"/>
    <w:rsid w:val="00837396"/>
    <w:rsid w:val="0087472D"/>
    <w:rsid w:val="008C04AC"/>
    <w:rsid w:val="008D1CD9"/>
    <w:rsid w:val="00931CDE"/>
    <w:rsid w:val="00945EED"/>
    <w:rsid w:val="00951F7F"/>
    <w:rsid w:val="009733E6"/>
    <w:rsid w:val="009A20C1"/>
    <w:rsid w:val="009B00D9"/>
    <w:rsid w:val="009D46B3"/>
    <w:rsid w:val="00A06E7C"/>
    <w:rsid w:val="00A44251"/>
    <w:rsid w:val="00AA7B5D"/>
    <w:rsid w:val="00AE3AFC"/>
    <w:rsid w:val="00AF5200"/>
    <w:rsid w:val="00B02ECD"/>
    <w:rsid w:val="00B917E3"/>
    <w:rsid w:val="00BE65A8"/>
    <w:rsid w:val="00BF0D64"/>
    <w:rsid w:val="00C15BAC"/>
    <w:rsid w:val="00C17D8B"/>
    <w:rsid w:val="00C33E32"/>
    <w:rsid w:val="00C87A6F"/>
    <w:rsid w:val="00C96DD5"/>
    <w:rsid w:val="00CA2DF3"/>
    <w:rsid w:val="00CD54A5"/>
    <w:rsid w:val="00D152AF"/>
    <w:rsid w:val="00D17DDE"/>
    <w:rsid w:val="00D312FB"/>
    <w:rsid w:val="00D904E7"/>
    <w:rsid w:val="00DF0C59"/>
    <w:rsid w:val="00E04CD3"/>
    <w:rsid w:val="00E05433"/>
    <w:rsid w:val="00E17C28"/>
    <w:rsid w:val="00E318F3"/>
    <w:rsid w:val="00E376E4"/>
    <w:rsid w:val="00E65346"/>
    <w:rsid w:val="00E9230D"/>
    <w:rsid w:val="00EA1A79"/>
    <w:rsid w:val="00F4549F"/>
    <w:rsid w:val="00F57138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A64E"/>
  <w15:chartTrackingRefBased/>
  <w15:docId w15:val="{AEBB725A-EA8B-40AB-B0B7-4AED55C8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EED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21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BF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1BF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BFE"/>
    <w:rPr>
      <w:color w:val="0563C1" w:themeColor="hyperlink"/>
      <w:u w:val="single"/>
    </w:rPr>
  </w:style>
  <w:style w:type="paragraph" w:customStyle="1" w:styleId="Default">
    <w:name w:val="Default"/>
    <w:rsid w:val="006E0707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E0707"/>
    <w:pPr>
      <w:spacing w:line="18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6E0707"/>
    <w:rPr>
      <w:rFonts w:ascii="Whitney Medium" w:hAnsi="Whitney Medium" w:cs="Whitney Medium"/>
      <w:color w:val="211D1E"/>
      <w:sz w:val="18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5EED"/>
    <w:rPr>
      <w:rFonts w:ascii="Arial" w:eastAsiaTheme="majorEastAsia" w:hAnsi="Arial" w:cs="Arial"/>
      <w:b/>
      <w:bCs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747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3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2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qsc.govt.nz/resources/resource-library/consumer-and-whanau-engagement-quality-and-safety-marker-framework/" TargetMode="External"/><Relationship Id="rId21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42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47" Type="http://schemas.openxmlformats.org/officeDocument/2006/relationships/hyperlink" Target="https://www.hqsc.govt.nz/resources/resource-library/consumer-and-whanau-engagement-quality-and-safety-marker-framework/" TargetMode="External"/><Relationship Id="rId63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68" Type="http://schemas.openxmlformats.org/officeDocument/2006/relationships/hyperlink" Target="https://www.hqsc.govt.nz/resources/resource-library/consumer-and-whanau-engagement-quality-and-safety-marker-framework/" TargetMode="Externa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qsc.govt.nz/resources/resource-library/consumer-and-whanau-engagement-quality-and-safety-marker-framework/" TargetMode="External"/><Relationship Id="rId29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11" Type="http://schemas.openxmlformats.org/officeDocument/2006/relationships/hyperlink" Target="https://www.hqsc.govt.nz/resources/resource-library/consumer-and-whanau-engagement-quality-and-safety-marker-framework/" TargetMode="External"/><Relationship Id="rId24" Type="http://schemas.openxmlformats.org/officeDocument/2006/relationships/hyperlink" Target="https://www.hqsc.govt.nz/resources/resource-library/consumer-and-whanau-engagement-quality-and-safety-marker-framework/" TargetMode="External"/><Relationship Id="rId32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37" Type="http://schemas.openxmlformats.org/officeDocument/2006/relationships/hyperlink" Target="https://www.hqsc.govt.nz/resources/resource-library/consumer-and-whanau-engagement-quality-and-safety-marker-framework/" TargetMode="External"/><Relationship Id="rId40" Type="http://schemas.openxmlformats.org/officeDocument/2006/relationships/hyperlink" Target="https://www.hqsc.govt.nz/resources/resource-library/consumer-and-whanau-engagement-quality-and-safety-marker-framework/" TargetMode="External"/><Relationship Id="rId45" Type="http://schemas.openxmlformats.org/officeDocument/2006/relationships/hyperlink" Target="https://www.hqsc.govt.nz/resources/resource-library/consumer-and-whanau-engagement-quality-and-safety-marker-framework/" TargetMode="External"/><Relationship Id="rId53" Type="http://schemas.openxmlformats.org/officeDocument/2006/relationships/hyperlink" Target="https://www.odi.govt.nz/guidance-and-resources/the-accessibility-charter/" TargetMode="External"/><Relationship Id="rId58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66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hqsc.govt.nz/resources/resource-library/consumer-and-whanau-engagement-quality-and-safety-marker-framework/" TargetMode="External"/><Relationship Id="rId19" Type="http://schemas.openxmlformats.org/officeDocument/2006/relationships/hyperlink" Target="https://www.hqsc.govt.nz/resources/resource-library/consumer-and-whanau-engagement-quality-and-safety-marker-framework/" TargetMode="External"/><Relationship Id="rId14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22" Type="http://schemas.openxmlformats.org/officeDocument/2006/relationships/hyperlink" Target="https://www.hqsc.govt.nz/resources/resource-library/consumer-and-whanau-engagement-quality-and-safety-marker-framework/" TargetMode="External"/><Relationship Id="rId27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30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35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43" Type="http://schemas.openxmlformats.org/officeDocument/2006/relationships/hyperlink" Target="https://www.hqsc.govt.nz/resources/resource-library/consumer-and-whanau-engagement-quality-and-safety-marker-framework/" TargetMode="External"/><Relationship Id="rId48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56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64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69" Type="http://schemas.openxmlformats.org/officeDocument/2006/relationships/hyperlink" Target="https://www.hqsc.govt.nz/consumer-hub/engaging-consumers-and-whanau/consumer-engagement-quality-and-safety-marker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hqsc.govt.nz/resources/resource-library/consumer-and-whanau-engagement-quality-and-safety-marker-framework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17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25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33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38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46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59" Type="http://schemas.openxmlformats.org/officeDocument/2006/relationships/hyperlink" Target="https://www.hqsc.govt.nz/resources/resource-library/consumer-and-whanau-engagement-quality-and-safety-marker-framework/" TargetMode="External"/><Relationship Id="rId67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20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41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54" Type="http://schemas.openxmlformats.org/officeDocument/2006/relationships/hyperlink" Target="https://www.odi.govt.nz/guidance-and-resources/the-accessibility-charter/" TargetMode="External"/><Relationship Id="rId62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23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28" Type="http://schemas.openxmlformats.org/officeDocument/2006/relationships/hyperlink" Target="https://www.hqsc.govt.nz/resources/resource-library/consumer-and-whanau-engagement-quality-and-safety-marker-framework/" TargetMode="External"/><Relationship Id="rId36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49" Type="http://schemas.openxmlformats.org/officeDocument/2006/relationships/hyperlink" Target="https://www.hqsc.govt.nz/resources/resource-library/consumer-and-whanau-engagement-quality-and-safety-marker-framework/" TargetMode="External"/><Relationship Id="rId57" Type="http://schemas.openxmlformats.org/officeDocument/2006/relationships/hyperlink" Target="https://www.hqsc.govt.nz/resources/resource-library/consumer-and-whanau-engagement-quality-and-safety-marker-framework/" TargetMode="External"/><Relationship Id="rId10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31" Type="http://schemas.openxmlformats.org/officeDocument/2006/relationships/hyperlink" Target="https://www.hqsc.govt.nz/resources/resource-library/consumer-and-whanau-engagement-quality-and-safety-marker-framework/" TargetMode="External"/><Relationship Id="rId44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52" Type="http://schemas.openxmlformats.org/officeDocument/2006/relationships/hyperlink" Target="https://www.odi.govt.nz/guidance-and-resources/the-accessibility-charter/" TargetMode="External"/><Relationship Id="rId60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65" Type="http://schemas.openxmlformats.org/officeDocument/2006/relationships/hyperlink" Target="https://www.hqsc.govt.nz/resources/resource-library/consumer-and-whanau-engagement-quality-and-safety-marker-framewor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13" Type="http://schemas.openxmlformats.org/officeDocument/2006/relationships/hyperlink" Target="https://www.hqsc.govt.nz/resources/resource-library/consumer-and-whanau-engagement-quality-and-safety-marker-framework/" TargetMode="External"/><Relationship Id="rId18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39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34" Type="http://schemas.openxmlformats.org/officeDocument/2006/relationships/hyperlink" Target="https://www.hqsc.govt.nz/resources/resource-library/consumer-and-whanau-engagement-quality-and-safety-marker-framework/" TargetMode="External"/><Relationship Id="rId50" Type="http://schemas.openxmlformats.org/officeDocument/2006/relationships/hyperlink" Target="https://www.hqsc.govt.nz/resources/resource-library/code-of-expectations-for-health-entities-engagement-with-consumers-and-whanau-web-version/" TargetMode="External"/><Relationship Id="rId55" Type="http://schemas.openxmlformats.org/officeDocument/2006/relationships/hyperlink" Target="https://www.odi.govt.nz/guidance-and-resources/the-accessibility-char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4" ma:contentTypeDescription="Create a new document." ma:contentTypeScope="" ma:versionID="581dee2d707ec42ce140d6696b4d49c8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d76d87e9865eacd9391a237c5316e563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/>
    <lcf76f155ced4ddcb4097134ff3c332f xmlns="83c1f819-1d2e-4aad-8c9d-234667bc50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7E0C3D-54E2-4D5E-8A47-6C294D71E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6EF4B-C6D3-43F3-AB89-BB77AE758E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3AEA06-EDAC-4FE5-8114-FA388CD8B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38DA9-D573-45D4-8CEC-D173A2712B0F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83c1f819-1d2e-4aad-8c9d-234667bc5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3</cp:revision>
  <dcterms:created xsi:type="dcterms:W3CDTF">2023-07-12T01:08:00Z</dcterms:created>
  <dcterms:modified xsi:type="dcterms:W3CDTF">2023-07-12T01:09:00Z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</Properties>
</file>