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61" w:rsidRDefault="000D5719" w:rsidP="00381F08">
      <w:pPr>
        <w:autoSpaceDE w:val="0"/>
        <w:autoSpaceDN w:val="0"/>
        <w:adjustRightInd w:val="0"/>
        <w:spacing w:after="0" w:line="240" w:lineRule="auto"/>
        <w:rPr>
          <w:rFonts w:cs="Arial"/>
          <w:b/>
          <w:sz w:val="22"/>
        </w:rPr>
      </w:pPr>
      <w:r>
        <w:rPr>
          <w:noProof/>
          <w:lang w:eastAsia="en-NZ"/>
        </w:rPr>
        <w:drawing>
          <wp:inline distT="0" distB="0" distL="0" distR="0" wp14:anchorId="5A8497D4" wp14:editId="2BC17536">
            <wp:extent cx="1219969" cy="485029"/>
            <wp:effectExtent l="0" t="0" r="0" b="0"/>
            <wp:docPr id="2" name="Picture 2" descr="C:\Users\ssingh\AppData\Local\Temp\notesCBB0A9\mohlogo-websaf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ingh\AppData\Local\Temp\notesCBB0A9\mohlogo-websafe4.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0154" cy="485103"/>
                    </a:xfrm>
                    <a:prstGeom prst="rect">
                      <a:avLst/>
                    </a:prstGeom>
                    <a:noFill/>
                    <a:ln>
                      <a:noFill/>
                    </a:ln>
                  </pic:spPr>
                </pic:pic>
              </a:graphicData>
            </a:graphic>
          </wp:inline>
        </w:drawing>
      </w:r>
      <w:r>
        <w:rPr>
          <w:rFonts w:cs="Arial"/>
          <w:b/>
          <w:sz w:val="22"/>
        </w:rPr>
        <w:tab/>
      </w:r>
      <w:r>
        <w:rPr>
          <w:noProof/>
          <w:lang w:eastAsia="en-NZ"/>
        </w:rPr>
        <w:drawing>
          <wp:inline distT="0" distB="0" distL="0" distR="0" wp14:anchorId="3F2D484E" wp14:editId="473BBE9D">
            <wp:extent cx="1578193" cy="469127"/>
            <wp:effectExtent l="0" t="0" r="3175" b="7620"/>
            <wp:docPr id="1" name="Picture 1" descr="C:\Users\ssingh\AppData\Local\Temp\notesCBB0A9\HQSC Logo Colour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ingh\AppData\Local\Temp\notesCBB0A9\HQSC Logo Colour (2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129" cy="469108"/>
                    </a:xfrm>
                    <a:prstGeom prst="rect">
                      <a:avLst/>
                    </a:prstGeom>
                    <a:noFill/>
                    <a:ln>
                      <a:noFill/>
                    </a:ln>
                  </pic:spPr>
                </pic:pic>
              </a:graphicData>
            </a:graphic>
          </wp:inline>
        </w:drawing>
      </w:r>
    </w:p>
    <w:p w:rsidR="00AF2DE6" w:rsidRPr="00833851" w:rsidRDefault="00AF2DE6" w:rsidP="00381F08">
      <w:pPr>
        <w:autoSpaceDE w:val="0"/>
        <w:autoSpaceDN w:val="0"/>
        <w:adjustRightInd w:val="0"/>
        <w:spacing w:after="0" w:line="240" w:lineRule="auto"/>
        <w:rPr>
          <w:rFonts w:cs="Arial"/>
          <w:b/>
          <w:sz w:val="22"/>
        </w:rPr>
      </w:pPr>
    </w:p>
    <w:p w:rsidR="000D5719" w:rsidRDefault="000D5719" w:rsidP="00381F08">
      <w:pPr>
        <w:autoSpaceDE w:val="0"/>
        <w:autoSpaceDN w:val="0"/>
        <w:adjustRightInd w:val="0"/>
        <w:spacing w:after="0" w:line="240" w:lineRule="auto"/>
        <w:rPr>
          <w:rFonts w:cs="Arial"/>
          <w:b/>
          <w:sz w:val="22"/>
        </w:rPr>
      </w:pPr>
    </w:p>
    <w:p w:rsidR="00BA74C4" w:rsidRPr="00833851" w:rsidRDefault="00D20B6F" w:rsidP="00381F08">
      <w:pPr>
        <w:autoSpaceDE w:val="0"/>
        <w:autoSpaceDN w:val="0"/>
        <w:adjustRightInd w:val="0"/>
        <w:spacing w:after="0" w:line="240" w:lineRule="auto"/>
        <w:jc w:val="center"/>
        <w:rPr>
          <w:rFonts w:cs="Arial"/>
          <w:b/>
          <w:sz w:val="22"/>
        </w:rPr>
      </w:pPr>
      <w:r w:rsidRPr="00833851">
        <w:rPr>
          <w:rFonts w:cs="Arial"/>
          <w:b/>
          <w:sz w:val="22"/>
        </w:rPr>
        <w:t xml:space="preserve">The Ministry </w:t>
      </w:r>
      <w:r w:rsidR="00D95C07" w:rsidRPr="00833851">
        <w:rPr>
          <w:rFonts w:cs="Arial"/>
          <w:b/>
          <w:sz w:val="22"/>
        </w:rPr>
        <w:t xml:space="preserve">of Health </w:t>
      </w:r>
      <w:r w:rsidRPr="00833851">
        <w:rPr>
          <w:rFonts w:cs="Arial"/>
          <w:b/>
          <w:sz w:val="22"/>
        </w:rPr>
        <w:t xml:space="preserve">and </w:t>
      </w:r>
      <w:r w:rsidR="00A03E67" w:rsidRPr="00833851">
        <w:rPr>
          <w:rFonts w:cs="Arial"/>
          <w:b/>
          <w:sz w:val="22"/>
        </w:rPr>
        <w:t xml:space="preserve">the </w:t>
      </w:r>
      <w:r w:rsidRPr="00833851">
        <w:rPr>
          <w:rFonts w:cs="Arial"/>
          <w:b/>
          <w:sz w:val="22"/>
        </w:rPr>
        <w:t xml:space="preserve">Health Quality </w:t>
      </w:r>
      <w:r w:rsidR="002A503D" w:rsidRPr="00833851">
        <w:rPr>
          <w:rFonts w:cs="Arial"/>
          <w:b/>
          <w:sz w:val="22"/>
        </w:rPr>
        <w:t>&amp;</w:t>
      </w:r>
      <w:r w:rsidRPr="00833851">
        <w:rPr>
          <w:rFonts w:cs="Arial"/>
          <w:b/>
          <w:sz w:val="22"/>
        </w:rPr>
        <w:t xml:space="preserve"> Safety Commission </w:t>
      </w:r>
      <w:r w:rsidR="00381F08">
        <w:rPr>
          <w:rFonts w:cs="Arial"/>
          <w:b/>
          <w:sz w:val="22"/>
        </w:rPr>
        <w:br/>
      </w:r>
      <w:r w:rsidR="00796F6A" w:rsidRPr="00833851">
        <w:rPr>
          <w:rFonts w:cs="Arial"/>
          <w:b/>
          <w:sz w:val="22"/>
        </w:rPr>
        <w:t>H</w:t>
      </w:r>
      <w:r w:rsidR="00385947" w:rsidRPr="00833851">
        <w:rPr>
          <w:rFonts w:cs="Arial"/>
          <w:b/>
          <w:sz w:val="22"/>
        </w:rPr>
        <w:t xml:space="preserve">ospital Standardised Mortality Ratio </w:t>
      </w:r>
      <w:r w:rsidRPr="00833851">
        <w:rPr>
          <w:rFonts w:cs="Arial"/>
          <w:b/>
          <w:sz w:val="22"/>
        </w:rPr>
        <w:t>Model – Methodology Paper</w:t>
      </w:r>
      <w:r w:rsidR="00D95C07" w:rsidRPr="00833851">
        <w:rPr>
          <w:rFonts w:cs="Arial"/>
          <w:b/>
          <w:sz w:val="22"/>
        </w:rPr>
        <w:t xml:space="preserve"> (July 2015)</w:t>
      </w:r>
    </w:p>
    <w:p w:rsidR="00DF7BA6" w:rsidRPr="00833851" w:rsidRDefault="00DF7BA6" w:rsidP="00381F08">
      <w:pPr>
        <w:autoSpaceDE w:val="0"/>
        <w:autoSpaceDN w:val="0"/>
        <w:adjustRightInd w:val="0"/>
        <w:spacing w:after="0" w:line="240" w:lineRule="auto"/>
        <w:rPr>
          <w:rFonts w:cs="Arial"/>
          <w:b/>
          <w:sz w:val="22"/>
        </w:rPr>
      </w:pPr>
    </w:p>
    <w:p w:rsidR="00124661" w:rsidRPr="00833851" w:rsidRDefault="00124661" w:rsidP="00381F08">
      <w:pPr>
        <w:autoSpaceDE w:val="0"/>
        <w:autoSpaceDN w:val="0"/>
        <w:adjustRightInd w:val="0"/>
        <w:spacing w:after="0" w:line="240" w:lineRule="auto"/>
        <w:rPr>
          <w:rFonts w:cs="Arial"/>
          <w:b/>
          <w:sz w:val="22"/>
        </w:rPr>
      </w:pPr>
    </w:p>
    <w:p w:rsidR="0045267B" w:rsidRPr="00833851" w:rsidRDefault="00385947" w:rsidP="00381F08">
      <w:pPr>
        <w:autoSpaceDE w:val="0"/>
        <w:autoSpaceDN w:val="0"/>
        <w:adjustRightInd w:val="0"/>
        <w:spacing w:after="0" w:line="240" w:lineRule="auto"/>
        <w:rPr>
          <w:rFonts w:cs="Arial"/>
          <w:sz w:val="22"/>
        </w:rPr>
      </w:pPr>
      <w:r w:rsidRPr="00833851">
        <w:rPr>
          <w:rFonts w:cs="Arial"/>
          <w:sz w:val="22"/>
        </w:rPr>
        <w:t xml:space="preserve">This guide describes the </w:t>
      </w:r>
      <w:r w:rsidR="00D95C07" w:rsidRPr="00833851">
        <w:rPr>
          <w:rFonts w:cs="Arial"/>
          <w:sz w:val="22"/>
        </w:rPr>
        <w:t xml:space="preserve">methodology used by the </w:t>
      </w:r>
      <w:r w:rsidR="00D20B6F" w:rsidRPr="00833851">
        <w:rPr>
          <w:rFonts w:cs="Arial"/>
          <w:sz w:val="22"/>
        </w:rPr>
        <w:t xml:space="preserve">Ministry </w:t>
      </w:r>
      <w:r w:rsidR="00D95C07" w:rsidRPr="00833851">
        <w:rPr>
          <w:rFonts w:cs="Arial"/>
          <w:sz w:val="22"/>
        </w:rPr>
        <w:t xml:space="preserve">of Health (the Ministry) </w:t>
      </w:r>
      <w:r w:rsidR="00D20B6F" w:rsidRPr="00833851">
        <w:rPr>
          <w:rFonts w:cs="Arial"/>
          <w:sz w:val="22"/>
        </w:rPr>
        <w:t xml:space="preserve">and </w:t>
      </w:r>
      <w:r w:rsidR="00D95C07" w:rsidRPr="00833851">
        <w:rPr>
          <w:rFonts w:cs="Arial"/>
          <w:sz w:val="22"/>
        </w:rPr>
        <w:t xml:space="preserve">the </w:t>
      </w:r>
      <w:r w:rsidR="00D20B6F" w:rsidRPr="00833851">
        <w:rPr>
          <w:rFonts w:cs="Arial"/>
          <w:sz w:val="22"/>
        </w:rPr>
        <w:t xml:space="preserve">Health Quality </w:t>
      </w:r>
      <w:r w:rsidR="002A503D" w:rsidRPr="00833851">
        <w:rPr>
          <w:rFonts w:cs="Arial"/>
          <w:sz w:val="22"/>
        </w:rPr>
        <w:t>&amp;</w:t>
      </w:r>
      <w:r w:rsidR="00D20B6F" w:rsidRPr="00833851">
        <w:rPr>
          <w:rFonts w:cs="Arial"/>
          <w:sz w:val="22"/>
        </w:rPr>
        <w:t xml:space="preserve"> Safety Commission (</w:t>
      </w:r>
      <w:r w:rsidR="00381F08">
        <w:rPr>
          <w:rFonts w:cs="Arial"/>
          <w:sz w:val="22"/>
        </w:rPr>
        <w:t>the Commission</w:t>
      </w:r>
      <w:r w:rsidR="00D20B6F" w:rsidRPr="00833851">
        <w:rPr>
          <w:rFonts w:cs="Arial"/>
          <w:sz w:val="22"/>
        </w:rPr>
        <w:t xml:space="preserve">) </w:t>
      </w:r>
      <w:r w:rsidR="00D95C07" w:rsidRPr="00833851">
        <w:rPr>
          <w:rFonts w:cs="Arial"/>
          <w:sz w:val="22"/>
        </w:rPr>
        <w:t xml:space="preserve">to calculate </w:t>
      </w:r>
      <w:r w:rsidR="00D20B6F" w:rsidRPr="00833851">
        <w:rPr>
          <w:rFonts w:cs="Arial"/>
          <w:sz w:val="22"/>
        </w:rPr>
        <w:t>Hospital Standardised Mortality Ratio</w:t>
      </w:r>
      <w:r w:rsidR="00A03E67" w:rsidRPr="00833851">
        <w:rPr>
          <w:rFonts w:cs="Arial"/>
          <w:sz w:val="22"/>
        </w:rPr>
        <w:t>s</w:t>
      </w:r>
      <w:r w:rsidR="00D20B6F" w:rsidRPr="00833851">
        <w:rPr>
          <w:rFonts w:cs="Arial"/>
          <w:sz w:val="22"/>
        </w:rPr>
        <w:t xml:space="preserve"> (</w:t>
      </w:r>
      <w:r w:rsidRPr="00833851">
        <w:rPr>
          <w:rFonts w:cs="Arial"/>
          <w:sz w:val="22"/>
        </w:rPr>
        <w:t>HSMR</w:t>
      </w:r>
      <w:r w:rsidR="00A03E67" w:rsidRPr="00833851">
        <w:rPr>
          <w:rFonts w:cs="Arial"/>
          <w:sz w:val="22"/>
        </w:rPr>
        <w:t>s</w:t>
      </w:r>
      <w:r w:rsidR="00D20B6F" w:rsidRPr="00833851">
        <w:rPr>
          <w:rFonts w:cs="Arial"/>
          <w:sz w:val="22"/>
        </w:rPr>
        <w:t>)</w:t>
      </w:r>
      <w:r w:rsidR="00D95C07" w:rsidRPr="00833851">
        <w:rPr>
          <w:rFonts w:cs="Arial"/>
          <w:sz w:val="22"/>
        </w:rPr>
        <w:t xml:space="preserve">. </w:t>
      </w:r>
      <w:r w:rsidRPr="00833851">
        <w:rPr>
          <w:rFonts w:cs="Arial"/>
          <w:sz w:val="22"/>
        </w:rPr>
        <w:t xml:space="preserve"> </w:t>
      </w:r>
      <w:r w:rsidR="00B35410" w:rsidRPr="00833851">
        <w:rPr>
          <w:rFonts w:cs="Arial"/>
          <w:sz w:val="22"/>
        </w:rPr>
        <w:t xml:space="preserve">Guidance is provided on how to interpret the charts including some </w:t>
      </w:r>
      <w:r w:rsidR="00AB751E" w:rsidRPr="00833851">
        <w:rPr>
          <w:rFonts w:cs="Arial"/>
          <w:sz w:val="22"/>
        </w:rPr>
        <w:t xml:space="preserve">additional notes in the form of </w:t>
      </w:r>
      <w:r w:rsidR="00B35410" w:rsidRPr="00833851">
        <w:rPr>
          <w:rFonts w:cs="Arial"/>
          <w:sz w:val="22"/>
        </w:rPr>
        <w:t>questions and answers.</w:t>
      </w:r>
    </w:p>
    <w:p w:rsidR="00E7079E" w:rsidRPr="00833851" w:rsidRDefault="00E7079E" w:rsidP="00381F08">
      <w:pPr>
        <w:autoSpaceDE w:val="0"/>
        <w:autoSpaceDN w:val="0"/>
        <w:adjustRightInd w:val="0"/>
        <w:spacing w:after="0" w:line="240" w:lineRule="auto"/>
        <w:rPr>
          <w:rFonts w:cs="Arial"/>
          <w:b/>
          <w:sz w:val="22"/>
        </w:rPr>
      </w:pPr>
    </w:p>
    <w:p w:rsidR="00592EA5" w:rsidRPr="00833851" w:rsidRDefault="00D95C07" w:rsidP="00381F08">
      <w:pPr>
        <w:autoSpaceDE w:val="0"/>
        <w:autoSpaceDN w:val="0"/>
        <w:adjustRightInd w:val="0"/>
        <w:spacing w:after="0" w:line="240" w:lineRule="auto"/>
        <w:rPr>
          <w:rFonts w:cs="Arial"/>
          <w:sz w:val="22"/>
        </w:rPr>
      </w:pPr>
      <w:r w:rsidRPr="00833851">
        <w:rPr>
          <w:rFonts w:cs="Arial"/>
          <w:b/>
          <w:sz w:val="22"/>
        </w:rPr>
        <w:t>1.0</w:t>
      </w:r>
      <w:r w:rsidRPr="00833851">
        <w:rPr>
          <w:rFonts w:cs="Arial"/>
          <w:b/>
          <w:sz w:val="22"/>
        </w:rPr>
        <w:tab/>
      </w:r>
      <w:r w:rsidR="00592EA5" w:rsidRPr="00833851">
        <w:rPr>
          <w:rFonts w:cs="Arial"/>
          <w:b/>
          <w:sz w:val="22"/>
        </w:rPr>
        <w:t>Background</w:t>
      </w:r>
    </w:p>
    <w:p w:rsidR="00956BD8" w:rsidRPr="00833851" w:rsidRDefault="00956BD8" w:rsidP="00381F08">
      <w:pPr>
        <w:autoSpaceDE w:val="0"/>
        <w:autoSpaceDN w:val="0"/>
        <w:adjustRightInd w:val="0"/>
        <w:spacing w:after="0" w:line="240" w:lineRule="auto"/>
        <w:rPr>
          <w:rFonts w:cs="Arial"/>
          <w:sz w:val="22"/>
        </w:rPr>
      </w:pPr>
    </w:p>
    <w:p w:rsidR="007A415B" w:rsidRPr="00833851" w:rsidRDefault="00592EA5" w:rsidP="00381F08">
      <w:pPr>
        <w:autoSpaceDE w:val="0"/>
        <w:autoSpaceDN w:val="0"/>
        <w:adjustRightInd w:val="0"/>
        <w:spacing w:after="0" w:line="240" w:lineRule="auto"/>
        <w:rPr>
          <w:rFonts w:cs="Arial"/>
          <w:sz w:val="22"/>
        </w:rPr>
      </w:pPr>
      <w:r w:rsidRPr="00833851">
        <w:rPr>
          <w:rFonts w:cs="Arial"/>
          <w:sz w:val="22"/>
        </w:rPr>
        <w:t>The H</w:t>
      </w:r>
      <w:r w:rsidR="00123D47">
        <w:rPr>
          <w:rFonts w:cs="Arial"/>
          <w:sz w:val="22"/>
        </w:rPr>
        <w:t>SMR</w:t>
      </w:r>
      <w:r w:rsidR="007A60B8" w:rsidRPr="00833851">
        <w:rPr>
          <w:rFonts w:cs="Arial"/>
          <w:sz w:val="22"/>
        </w:rPr>
        <w:t xml:space="preserve"> </w:t>
      </w:r>
      <w:r w:rsidR="00A379F6" w:rsidRPr="00833851">
        <w:rPr>
          <w:rFonts w:cs="Arial"/>
          <w:sz w:val="22"/>
        </w:rPr>
        <w:t xml:space="preserve">is the number of observed deaths </w:t>
      </w:r>
      <w:r w:rsidR="00AA6875" w:rsidRPr="00833851">
        <w:rPr>
          <w:rFonts w:cs="Arial"/>
          <w:sz w:val="22"/>
        </w:rPr>
        <w:t xml:space="preserve">within 30 days of admission </w:t>
      </w:r>
      <w:r w:rsidR="00A379F6" w:rsidRPr="00833851">
        <w:rPr>
          <w:rFonts w:cs="Arial"/>
          <w:sz w:val="22"/>
        </w:rPr>
        <w:t xml:space="preserve">divided by the number of deaths that were </w:t>
      </w:r>
      <w:r w:rsidR="009E4083" w:rsidRPr="00833851">
        <w:rPr>
          <w:rFonts w:cs="Arial"/>
          <w:sz w:val="22"/>
        </w:rPr>
        <w:t>predicted</w:t>
      </w:r>
      <w:r w:rsidR="00A379F6" w:rsidRPr="00833851">
        <w:rPr>
          <w:rFonts w:cs="Arial"/>
          <w:sz w:val="22"/>
        </w:rPr>
        <w:t xml:space="preserve"> </w:t>
      </w:r>
      <w:r w:rsidR="008F501B" w:rsidRPr="00833851">
        <w:rPr>
          <w:rFonts w:cs="Arial"/>
          <w:sz w:val="22"/>
        </w:rPr>
        <w:t>for</w:t>
      </w:r>
      <w:r w:rsidR="00A379F6" w:rsidRPr="00833851">
        <w:rPr>
          <w:rFonts w:cs="Arial"/>
          <w:sz w:val="22"/>
        </w:rPr>
        <w:t xml:space="preserve"> a particular hospital</w:t>
      </w:r>
      <w:r w:rsidR="008F501B" w:rsidRPr="00833851">
        <w:rPr>
          <w:rFonts w:cs="Arial"/>
          <w:sz w:val="22"/>
        </w:rPr>
        <w:t xml:space="preserve">. </w:t>
      </w:r>
      <w:r w:rsidR="00A379F6" w:rsidRPr="00833851">
        <w:rPr>
          <w:rFonts w:cs="Arial"/>
          <w:sz w:val="22"/>
        </w:rPr>
        <w:t xml:space="preserve">The HSMR </w:t>
      </w:r>
      <w:r w:rsidR="008F501B" w:rsidRPr="00833851">
        <w:rPr>
          <w:rFonts w:cs="Arial"/>
          <w:sz w:val="22"/>
        </w:rPr>
        <w:t xml:space="preserve">therefore statistically adjusts the crude death rate by taking into account a range of known risk factors that a hospital has </w:t>
      </w:r>
      <w:r w:rsidR="00D95C07" w:rsidRPr="00833851">
        <w:rPr>
          <w:rFonts w:cs="Arial"/>
          <w:sz w:val="22"/>
        </w:rPr>
        <w:t xml:space="preserve">little or </w:t>
      </w:r>
      <w:r w:rsidR="008F501B" w:rsidRPr="00833851">
        <w:rPr>
          <w:rFonts w:cs="Arial"/>
          <w:sz w:val="22"/>
        </w:rPr>
        <w:t>no control over</w:t>
      </w:r>
      <w:r w:rsidR="00D95C07" w:rsidRPr="00833851">
        <w:rPr>
          <w:rFonts w:cs="Arial"/>
          <w:sz w:val="22"/>
        </w:rPr>
        <w:t xml:space="preserve"> </w:t>
      </w:r>
      <w:r w:rsidR="00AA1BE5">
        <w:rPr>
          <w:rFonts w:cs="Arial"/>
          <w:sz w:val="22"/>
        </w:rPr>
        <w:t>for example,</w:t>
      </w:r>
      <w:r w:rsidR="00D95C07" w:rsidRPr="00833851">
        <w:rPr>
          <w:rFonts w:cs="Arial"/>
          <w:sz w:val="22"/>
        </w:rPr>
        <w:t xml:space="preserve"> transfers</w:t>
      </w:r>
      <w:r w:rsidRPr="00833851">
        <w:rPr>
          <w:rFonts w:cs="Arial"/>
          <w:sz w:val="22"/>
        </w:rPr>
        <w:t>.</w:t>
      </w:r>
    </w:p>
    <w:p w:rsidR="007A415B" w:rsidRPr="00833851" w:rsidRDefault="007A415B" w:rsidP="00381F08">
      <w:pPr>
        <w:autoSpaceDE w:val="0"/>
        <w:autoSpaceDN w:val="0"/>
        <w:adjustRightInd w:val="0"/>
        <w:spacing w:after="0" w:line="240" w:lineRule="auto"/>
        <w:rPr>
          <w:rFonts w:cs="Arial"/>
          <w:sz w:val="22"/>
        </w:rPr>
      </w:pPr>
    </w:p>
    <w:p w:rsidR="007A415B" w:rsidRPr="00833851" w:rsidRDefault="007A415B" w:rsidP="00381F08">
      <w:pPr>
        <w:autoSpaceDE w:val="0"/>
        <w:autoSpaceDN w:val="0"/>
        <w:adjustRightInd w:val="0"/>
        <w:spacing w:after="0" w:line="240" w:lineRule="auto"/>
        <w:rPr>
          <w:rFonts w:cs="Arial"/>
          <w:sz w:val="22"/>
        </w:rPr>
      </w:pPr>
      <w:r w:rsidRPr="00833851">
        <w:rPr>
          <w:rFonts w:cs="Arial"/>
          <w:sz w:val="22"/>
        </w:rPr>
        <w:t xml:space="preserve">There is no single ideal approach to calculating HSMRs. </w:t>
      </w:r>
      <w:r w:rsidR="00124661" w:rsidRPr="00833851">
        <w:rPr>
          <w:rFonts w:cs="Arial"/>
          <w:sz w:val="22"/>
        </w:rPr>
        <w:t xml:space="preserve"> </w:t>
      </w:r>
      <w:r w:rsidRPr="00833851">
        <w:rPr>
          <w:rFonts w:cs="Arial"/>
          <w:sz w:val="22"/>
        </w:rPr>
        <w:t>Different countries use different statistical models to predict the number of deaths in a hospital, given a standard set of national mortality rates.</w:t>
      </w:r>
      <w:r w:rsidR="00124661" w:rsidRPr="00833851">
        <w:rPr>
          <w:rFonts w:cs="Arial"/>
          <w:sz w:val="22"/>
        </w:rPr>
        <w:t xml:space="preserve"> </w:t>
      </w:r>
      <w:r w:rsidRPr="00833851">
        <w:rPr>
          <w:rFonts w:cs="Arial"/>
          <w:sz w:val="22"/>
        </w:rPr>
        <w:t xml:space="preserve"> The standard set of rates take</w:t>
      </w:r>
      <w:r w:rsidR="00E65491" w:rsidRPr="00833851">
        <w:rPr>
          <w:rFonts w:cs="Arial"/>
          <w:sz w:val="22"/>
        </w:rPr>
        <w:t xml:space="preserve"> into account</w:t>
      </w:r>
      <w:r w:rsidRPr="00833851">
        <w:rPr>
          <w:rFonts w:cs="Arial"/>
          <w:sz w:val="22"/>
        </w:rPr>
        <w:t xml:space="preserve"> known influences on mortality such as</w:t>
      </w:r>
      <w:r w:rsidR="00B35410" w:rsidRPr="00833851">
        <w:rPr>
          <w:rFonts w:cs="Arial"/>
          <w:sz w:val="22"/>
        </w:rPr>
        <w:t xml:space="preserve"> </w:t>
      </w:r>
      <w:r w:rsidRPr="00833851">
        <w:rPr>
          <w:rFonts w:cs="Arial"/>
          <w:sz w:val="22"/>
        </w:rPr>
        <w:t>t</w:t>
      </w:r>
      <w:r w:rsidR="00E65491" w:rsidRPr="00833851">
        <w:rPr>
          <w:rFonts w:cs="Arial"/>
          <w:sz w:val="22"/>
        </w:rPr>
        <w:t>he distribution of age or sex</w:t>
      </w:r>
      <w:r w:rsidR="00B35410" w:rsidRPr="00833851">
        <w:rPr>
          <w:rFonts w:cs="Arial"/>
          <w:sz w:val="22"/>
        </w:rPr>
        <w:t xml:space="preserve">, </w:t>
      </w:r>
      <w:r w:rsidR="00E65491" w:rsidRPr="00833851">
        <w:rPr>
          <w:rFonts w:cs="Arial"/>
          <w:sz w:val="22"/>
        </w:rPr>
        <w:t>primary diagnoses</w:t>
      </w:r>
      <w:r w:rsidR="00B35410" w:rsidRPr="00833851">
        <w:rPr>
          <w:rFonts w:cs="Arial"/>
          <w:sz w:val="22"/>
        </w:rPr>
        <w:t xml:space="preserve">, </w:t>
      </w:r>
      <w:r w:rsidR="00080A75" w:rsidRPr="00833851">
        <w:rPr>
          <w:rFonts w:cs="Arial"/>
          <w:sz w:val="22"/>
        </w:rPr>
        <w:t xml:space="preserve">prior conditions </w:t>
      </w:r>
      <w:r w:rsidR="00B35410" w:rsidRPr="00833851">
        <w:rPr>
          <w:rFonts w:cs="Arial"/>
          <w:sz w:val="22"/>
        </w:rPr>
        <w:t xml:space="preserve">and </w:t>
      </w:r>
      <w:r w:rsidRPr="00833851">
        <w:rPr>
          <w:rFonts w:cs="Arial"/>
          <w:sz w:val="22"/>
        </w:rPr>
        <w:t>type of admission.</w:t>
      </w:r>
    </w:p>
    <w:p w:rsidR="007A415B" w:rsidRPr="00833851" w:rsidRDefault="007A415B" w:rsidP="00381F08">
      <w:pPr>
        <w:autoSpaceDE w:val="0"/>
        <w:autoSpaceDN w:val="0"/>
        <w:adjustRightInd w:val="0"/>
        <w:spacing w:after="0" w:line="240" w:lineRule="auto"/>
        <w:rPr>
          <w:rFonts w:cs="Arial"/>
          <w:sz w:val="22"/>
        </w:rPr>
      </w:pPr>
    </w:p>
    <w:p w:rsidR="003D74F0" w:rsidRPr="00833851" w:rsidRDefault="003D74F0" w:rsidP="00381F08">
      <w:pPr>
        <w:autoSpaceDE w:val="0"/>
        <w:autoSpaceDN w:val="0"/>
        <w:adjustRightInd w:val="0"/>
        <w:spacing w:after="0" w:line="240" w:lineRule="auto"/>
        <w:rPr>
          <w:rFonts w:cs="Arial"/>
          <w:sz w:val="22"/>
        </w:rPr>
      </w:pPr>
      <w:r w:rsidRPr="00833851">
        <w:rPr>
          <w:rFonts w:cs="Arial"/>
          <w:sz w:val="22"/>
        </w:rPr>
        <w:t xml:space="preserve">Monitoring deaths amongst hospital patients has become one of the standard measures used internationally to help monitor the quality of care provided in hospitals. </w:t>
      </w:r>
      <w:r w:rsidR="00124661" w:rsidRPr="00833851">
        <w:rPr>
          <w:rFonts w:cs="Arial"/>
          <w:sz w:val="22"/>
        </w:rPr>
        <w:t xml:space="preserve"> </w:t>
      </w:r>
      <w:r w:rsidR="00101C1D">
        <w:rPr>
          <w:rFonts w:cs="Arial"/>
          <w:sz w:val="22"/>
        </w:rPr>
        <w:t>M</w:t>
      </w:r>
      <w:r w:rsidRPr="00833851">
        <w:rPr>
          <w:rFonts w:cs="Arial"/>
          <w:sz w:val="22"/>
        </w:rPr>
        <w:t xml:space="preserve">ortality rates and ratios are only one component of a range of indicators. </w:t>
      </w:r>
      <w:r w:rsidR="007A415B" w:rsidRPr="00833851">
        <w:rPr>
          <w:rFonts w:cs="Arial"/>
          <w:sz w:val="22"/>
        </w:rPr>
        <w:t xml:space="preserve">HSMRs </w:t>
      </w:r>
      <w:r w:rsidR="00592EA5" w:rsidRPr="00833851">
        <w:rPr>
          <w:rFonts w:cs="Arial"/>
          <w:sz w:val="22"/>
        </w:rPr>
        <w:t>cannot be used to rank hospital</w:t>
      </w:r>
      <w:r w:rsidR="008F501B" w:rsidRPr="00833851">
        <w:rPr>
          <w:rFonts w:cs="Arial"/>
          <w:sz w:val="22"/>
        </w:rPr>
        <w:t xml:space="preserve"> quality</w:t>
      </w:r>
      <w:r w:rsidR="00592EA5" w:rsidRPr="00833851">
        <w:rPr>
          <w:rFonts w:cs="Arial"/>
          <w:sz w:val="22"/>
        </w:rPr>
        <w:t>, or</w:t>
      </w:r>
      <w:r w:rsidR="006E1A06" w:rsidRPr="00833851">
        <w:rPr>
          <w:rFonts w:cs="Arial"/>
          <w:sz w:val="22"/>
        </w:rPr>
        <w:t xml:space="preserve"> be</w:t>
      </w:r>
      <w:r w:rsidR="00592EA5" w:rsidRPr="00833851">
        <w:rPr>
          <w:rFonts w:cs="Arial"/>
          <w:sz w:val="22"/>
        </w:rPr>
        <w:t xml:space="preserve"> the basis of</w:t>
      </w:r>
      <w:r w:rsidR="00E65491" w:rsidRPr="00833851">
        <w:rPr>
          <w:rFonts w:cs="Arial"/>
          <w:sz w:val="22"/>
        </w:rPr>
        <w:t xml:space="preserve"> </w:t>
      </w:r>
      <w:r w:rsidR="007A415B" w:rsidRPr="00833851">
        <w:rPr>
          <w:rFonts w:cs="Arial"/>
          <w:sz w:val="22"/>
        </w:rPr>
        <w:t xml:space="preserve">calculating </w:t>
      </w:r>
      <w:r w:rsidR="00592EA5" w:rsidRPr="00833851">
        <w:rPr>
          <w:rFonts w:cs="Arial"/>
          <w:sz w:val="22"/>
        </w:rPr>
        <w:t>‘avoidable’ deaths within a hospital</w:t>
      </w:r>
      <w:r w:rsidR="00592EA5" w:rsidRPr="00833851">
        <w:rPr>
          <w:rStyle w:val="FootnoteReference"/>
          <w:rFonts w:cs="Arial"/>
          <w:sz w:val="22"/>
        </w:rPr>
        <w:footnoteReference w:id="1"/>
      </w:r>
      <w:r w:rsidR="00592EA5" w:rsidRPr="00833851">
        <w:rPr>
          <w:rFonts w:cs="Arial"/>
          <w:sz w:val="22"/>
        </w:rPr>
        <w:t>.</w:t>
      </w:r>
      <w:r w:rsidRPr="00833851">
        <w:rPr>
          <w:rFonts w:cs="Arial"/>
          <w:sz w:val="22"/>
        </w:rPr>
        <w:t xml:space="preserve"> Interpretation must be made with caution and avoid drawing simplistic conclusions from mortality data alone. </w:t>
      </w:r>
      <w:r w:rsidR="00B35410" w:rsidRPr="00833851">
        <w:rPr>
          <w:rFonts w:cs="Arial"/>
          <w:sz w:val="22"/>
        </w:rPr>
        <w:t xml:space="preserve"> </w:t>
      </w:r>
      <w:r w:rsidRPr="00833851">
        <w:rPr>
          <w:rFonts w:cs="Arial"/>
          <w:sz w:val="22"/>
        </w:rPr>
        <w:t xml:space="preserve">Trends </w:t>
      </w:r>
      <w:r w:rsidR="00F71875" w:rsidRPr="00833851">
        <w:rPr>
          <w:rFonts w:cs="Arial"/>
          <w:sz w:val="22"/>
        </w:rPr>
        <w:t>should</w:t>
      </w:r>
      <w:r w:rsidRPr="00833851">
        <w:rPr>
          <w:rFonts w:cs="Arial"/>
          <w:sz w:val="22"/>
        </w:rPr>
        <w:t xml:space="preserve"> be monitored over time.</w:t>
      </w:r>
    </w:p>
    <w:p w:rsidR="003D74F0" w:rsidRPr="00833851" w:rsidRDefault="003D74F0" w:rsidP="00381F08">
      <w:pPr>
        <w:autoSpaceDE w:val="0"/>
        <w:autoSpaceDN w:val="0"/>
        <w:adjustRightInd w:val="0"/>
        <w:spacing w:after="0" w:line="240" w:lineRule="auto"/>
        <w:rPr>
          <w:rFonts w:cs="Arial"/>
          <w:sz w:val="22"/>
        </w:rPr>
      </w:pPr>
    </w:p>
    <w:p w:rsidR="00592EA5" w:rsidRPr="00833851" w:rsidRDefault="003D74F0" w:rsidP="00381F08">
      <w:pPr>
        <w:autoSpaceDE w:val="0"/>
        <w:autoSpaceDN w:val="0"/>
        <w:adjustRightInd w:val="0"/>
        <w:spacing w:after="0" w:line="240" w:lineRule="auto"/>
        <w:rPr>
          <w:rFonts w:cs="Arial"/>
          <w:sz w:val="22"/>
        </w:rPr>
      </w:pPr>
      <w:r w:rsidRPr="00833851">
        <w:rPr>
          <w:rFonts w:cs="Arial"/>
          <w:sz w:val="22"/>
        </w:rPr>
        <w:t>HSMRs</w:t>
      </w:r>
      <w:r w:rsidR="00E65491" w:rsidRPr="00833851">
        <w:rPr>
          <w:rFonts w:cs="Arial"/>
          <w:sz w:val="22"/>
        </w:rPr>
        <w:t xml:space="preserve"> </w:t>
      </w:r>
      <w:r w:rsidR="00592EA5" w:rsidRPr="00833851">
        <w:rPr>
          <w:rFonts w:cs="Arial"/>
          <w:sz w:val="22"/>
        </w:rPr>
        <w:t>may</w:t>
      </w:r>
      <w:r w:rsidR="00E65491" w:rsidRPr="00833851">
        <w:rPr>
          <w:rFonts w:cs="Arial"/>
          <w:sz w:val="22"/>
        </w:rPr>
        <w:t xml:space="preserve"> be</w:t>
      </w:r>
      <w:r w:rsidR="00592EA5" w:rsidRPr="00833851">
        <w:rPr>
          <w:rFonts w:cs="Arial"/>
          <w:sz w:val="22"/>
        </w:rPr>
        <w:t xml:space="preserve"> </w:t>
      </w:r>
      <w:r w:rsidR="007A415B" w:rsidRPr="00833851">
        <w:rPr>
          <w:rFonts w:cs="Arial"/>
          <w:sz w:val="22"/>
        </w:rPr>
        <w:t>used</w:t>
      </w:r>
      <w:r w:rsidR="00592EA5" w:rsidRPr="00833851">
        <w:rPr>
          <w:rFonts w:cs="Arial"/>
          <w:sz w:val="22"/>
        </w:rPr>
        <w:t xml:space="preserve"> as a</w:t>
      </w:r>
      <w:r w:rsidR="00FF1CBA" w:rsidRPr="00833851">
        <w:rPr>
          <w:rFonts w:cs="Arial"/>
          <w:sz w:val="22"/>
        </w:rPr>
        <w:t>n</w:t>
      </w:r>
      <w:r w:rsidR="00592EA5" w:rsidRPr="00833851">
        <w:rPr>
          <w:rFonts w:cs="Arial"/>
          <w:sz w:val="22"/>
        </w:rPr>
        <w:t xml:space="preserve"> </w:t>
      </w:r>
      <w:r w:rsidR="00FF1CBA" w:rsidRPr="00833851">
        <w:rPr>
          <w:rFonts w:cs="Arial"/>
          <w:sz w:val="22"/>
        </w:rPr>
        <w:t>early warning mechanism</w:t>
      </w:r>
      <w:r w:rsidR="001745B0" w:rsidRPr="00833851">
        <w:rPr>
          <w:rFonts w:cs="Arial"/>
          <w:sz w:val="22"/>
        </w:rPr>
        <w:t xml:space="preserve"> as </w:t>
      </w:r>
      <w:r w:rsidR="00E65491" w:rsidRPr="00833851">
        <w:rPr>
          <w:rFonts w:cs="Arial"/>
          <w:sz w:val="22"/>
        </w:rPr>
        <w:t xml:space="preserve">part </w:t>
      </w:r>
      <w:r w:rsidR="001745B0" w:rsidRPr="00833851">
        <w:rPr>
          <w:rFonts w:cs="Arial"/>
          <w:sz w:val="22"/>
        </w:rPr>
        <w:t>of a suite of indicators that support a quality framework.</w:t>
      </w:r>
      <w:r w:rsidR="00A379F6" w:rsidRPr="00833851">
        <w:rPr>
          <w:rFonts w:cs="Arial"/>
          <w:sz w:val="22"/>
        </w:rPr>
        <w:t xml:space="preserve"> </w:t>
      </w:r>
      <w:r w:rsidR="00D95C07" w:rsidRPr="00833851">
        <w:rPr>
          <w:rFonts w:cs="Arial"/>
          <w:sz w:val="22"/>
        </w:rPr>
        <w:t xml:space="preserve"> </w:t>
      </w:r>
      <w:r w:rsidR="0012257C" w:rsidRPr="00833851">
        <w:rPr>
          <w:rFonts w:cs="Arial"/>
          <w:sz w:val="22"/>
        </w:rPr>
        <w:t xml:space="preserve">HSMRs act as a ‘smoke alarm’ for prompting further investigation.  </w:t>
      </w:r>
      <w:r w:rsidR="00D95C07" w:rsidRPr="00833851">
        <w:rPr>
          <w:rFonts w:cs="Arial"/>
          <w:sz w:val="22"/>
        </w:rPr>
        <w:t xml:space="preserve">Significant </w:t>
      </w:r>
      <w:r w:rsidR="00592EA5" w:rsidRPr="00833851">
        <w:rPr>
          <w:rFonts w:cs="Arial"/>
          <w:sz w:val="22"/>
        </w:rPr>
        <w:t>changes (special cause variation) in HSMR</w:t>
      </w:r>
      <w:r w:rsidR="00E65491" w:rsidRPr="00833851">
        <w:rPr>
          <w:rFonts w:cs="Arial"/>
          <w:sz w:val="22"/>
        </w:rPr>
        <w:t>s</w:t>
      </w:r>
      <w:r w:rsidR="00592EA5" w:rsidRPr="00833851">
        <w:rPr>
          <w:rFonts w:cs="Arial"/>
          <w:sz w:val="22"/>
        </w:rPr>
        <w:t xml:space="preserve"> may indicate something changing which needs to be understood locally.</w:t>
      </w:r>
      <w:r w:rsidR="00A379F6" w:rsidRPr="00833851">
        <w:rPr>
          <w:rFonts w:cs="Arial"/>
          <w:sz w:val="22"/>
        </w:rPr>
        <w:t xml:space="preserve"> </w:t>
      </w:r>
      <w:r w:rsidR="00124661" w:rsidRPr="00833851">
        <w:rPr>
          <w:rFonts w:cs="Arial"/>
          <w:sz w:val="22"/>
        </w:rPr>
        <w:t xml:space="preserve"> </w:t>
      </w:r>
      <w:r w:rsidR="00592EA5" w:rsidRPr="00833851">
        <w:rPr>
          <w:rFonts w:cs="Arial"/>
          <w:sz w:val="22"/>
        </w:rPr>
        <w:t xml:space="preserve">Similarly a hospital with an HSMR consistently different from the average should seek to understand the cause, as one potential cause </w:t>
      </w:r>
      <w:r w:rsidR="00B35410" w:rsidRPr="00833851">
        <w:rPr>
          <w:rFonts w:cs="Arial"/>
          <w:sz w:val="22"/>
        </w:rPr>
        <w:t xml:space="preserve">for differences </w:t>
      </w:r>
      <w:r w:rsidR="00592EA5" w:rsidRPr="00833851">
        <w:rPr>
          <w:rFonts w:cs="Arial"/>
          <w:sz w:val="22"/>
        </w:rPr>
        <w:t>in HSMR is variance in the quality of care</w:t>
      </w:r>
      <w:r w:rsidR="0037219C" w:rsidRPr="00833851">
        <w:rPr>
          <w:rFonts w:cs="Arial"/>
          <w:sz w:val="22"/>
        </w:rPr>
        <w:t>.</w:t>
      </w:r>
      <w:r w:rsidR="00A379F6" w:rsidRPr="00833851">
        <w:rPr>
          <w:rFonts w:cs="Arial"/>
          <w:sz w:val="22"/>
        </w:rPr>
        <w:t xml:space="preserve"> </w:t>
      </w:r>
      <w:r w:rsidR="00124661" w:rsidRPr="00833851">
        <w:rPr>
          <w:rFonts w:cs="Arial"/>
          <w:sz w:val="22"/>
        </w:rPr>
        <w:t xml:space="preserve"> </w:t>
      </w:r>
      <w:r w:rsidR="00DA661B" w:rsidRPr="00833851">
        <w:rPr>
          <w:rFonts w:cs="Arial"/>
          <w:sz w:val="22"/>
        </w:rPr>
        <w:t xml:space="preserve">Other </w:t>
      </w:r>
      <w:r w:rsidR="00176C7B" w:rsidRPr="00833851">
        <w:rPr>
          <w:rFonts w:cs="Arial"/>
          <w:sz w:val="22"/>
        </w:rPr>
        <w:t xml:space="preserve">causes </w:t>
      </w:r>
      <w:r w:rsidR="0037219C" w:rsidRPr="00833851">
        <w:rPr>
          <w:rFonts w:cs="Arial"/>
          <w:sz w:val="22"/>
        </w:rPr>
        <w:t xml:space="preserve">could include </w:t>
      </w:r>
      <w:r w:rsidR="00592EA5" w:rsidRPr="00833851">
        <w:rPr>
          <w:rFonts w:cs="Arial"/>
          <w:sz w:val="22"/>
        </w:rPr>
        <w:t>unadjuste</w:t>
      </w:r>
      <w:r w:rsidR="007A60B8" w:rsidRPr="00833851">
        <w:rPr>
          <w:rFonts w:cs="Arial"/>
          <w:sz w:val="22"/>
        </w:rPr>
        <w:t>d</w:t>
      </w:r>
      <w:r w:rsidR="00592EA5" w:rsidRPr="00833851">
        <w:rPr>
          <w:rFonts w:cs="Arial"/>
          <w:sz w:val="22"/>
        </w:rPr>
        <w:t xml:space="preserve"> variance in patient risk</w:t>
      </w:r>
      <w:r w:rsidR="00D95C07" w:rsidRPr="00833851">
        <w:rPr>
          <w:rFonts w:cs="Arial"/>
          <w:sz w:val="22"/>
        </w:rPr>
        <w:t xml:space="preserve"> factors</w:t>
      </w:r>
      <w:r w:rsidR="00592EA5" w:rsidRPr="00833851">
        <w:rPr>
          <w:rFonts w:cs="Arial"/>
          <w:sz w:val="22"/>
        </w:rPr>
        <w:t>, differ</w:t>
      </w:r>
      <w:r w:rsidR="00E47E82" w:rsidRPr="00833851">
        <w:rPr>
          <w:rFonts w:cs="Arial"/>
          <w:sz w:val="22"/>
        </w:rPr>
        <w:t xml:space="preserve">ing access to </w:t>
      </w:r>
      <w:r w:rsidR="00592EA5" w:rsidRPr="00833851">
        <w:rPr>
          <w:rFonts w:cs="Arial"/>
          <w:sz w:val="22"/>
        </w:rPr>
        <w:t xml:space="preserve">end of life </w:t>
      </w:r>
      <w:r w:rsidR="00B23F07" w:rsidRPr="00833851">
        <w:rPr>
          <w:rFonts w:cs="Arial"/>
          <w:sz w:val="22"/>
        </w:rPr>
        <w:t xml:space="preserve">care systems, technology changes </w:t>
      </w:r>
      <w:r w:rsidR="00592EA5" w:rsidRPr="00833851">
        <w:rPr>
          <w:rFonts w:cs="Arial"/>
          <w:sz w:val="22"/>
        </w:rPr>
        <w:t>and varied coding practice</w:t>
      </w:r>
      <w:r w:rsidR="0037219C" w:rsidRPr="00833851">
        <w:rPr>
          <w:rFonts w:cs="Arial"/>
          <w:sz w:val="22"/>
        </w:rPr>
        <w:t>.</w:t>
      </w:r>
      <w:r w:rsidR="00592EA5" w:rsidRPr="00833851">
        <w:rPr>
          <w:rFonts w:cs="Arial"/>
          <w:sz w:val="22"/>
        </w:rPr>
        <w:t xml:space="preserve"> </w:t>
      </w:r>
    </w:p>
    <w:p w:rsidR="00592EA5" w:rsidRPr="00833851" w:rsidRDefault="00592EA5" w:rsidP="00381F08">
      <w:pPr>
        <w:autoSpaceDE w:val="0"/>
        <w:autoSpaceDN w:val="0"/>
        <w:adjustRightInd w:val="0"/>
        <w:spacing w:after="0" w:line="240" w:lineRule="auto"/>
        <w:rPr>
          <w:rFonts w:cs="Arial"/>
          <w:sz w:val="22"/>
        </w:rPr>
      </w:pPr>
    </w:p>
    <w:p w:rsidR="00D20B6F" w:rsidRPr="00833851" w:rsidRDefault="00B23F07" w:rsidP="00381F08">
      <w:pPr>
        <w:autoSpaceDE w:val="0"/>
        <w:autoSpaceDN w:val="0"/>
        <w:adjustRightInd w:val="0"/>
        <w:spacing w:after="0" w:line="240" w:lineRule="auto"/>
        <w:rPr>
          <w:rFonts w:cs="Arial"/>
          <w:b/>
          <w:i/>
          <w:sz w:val="22"/>
        </w:rPr>
      </w:pPr>
      <w:r w:rsidRPr="00833851">
        <w:rPr>
          <w:rFonts w:cs="Arial"/>
          <w:b/>
          <w:i/>
          <w:sz w:val="22"/>
        </w:rPr>
        <w:t>1.1</w:t>
      </w:r>
      <w:r w:rsidRPr="00833851">
        <w:rPr>
          <w:rFonts w:cs="Arial"/>
          <w:b/>
          <w:i/>
          <w:sz w:val="22"/>
        </w:rPr>
        <w:tab/>
      </w:r>
      <w:r w:rsidR="00D20B6F" w:rsidRPr="00833851">
        <w:rPr>
          <w:rFonts w:cs="Arial"/>
          <w:b/>
          <w:i/>
          <w:sz w:val="22"/>
        </w:rPr>
        <w:t>The New Zealand Context</w:t>
      </w:r>
    </w:p>
    <w:p w:rsidR="00D20B6F" w:rsidRPr="00833851" w:rsidRDefault="00D20B6F" w:rsidP="00381F08">
      <w:pPr>
        <w:autoSpaceDE w:val="0"/>
        <w:autoSpaceDN w:val="0"/>
        <w:adjustRightInd w:val="0"/>
        <w:spacing w:after="0" w:line="240" w:lineRule="auto"/>
        <w:rPr>
          <w:rFonts w:cs="Arial"/>
          <w:sz w:val="22"/>
        </w:rPr>
      </w:pPr>
    </w:p>
    <w:p w:rsidR="00BA0AF7" w:rsidRPr="00833851" w:rsidRDefault="00B6024C" w:rsidP="00381F08">
      <w:pPr>
        <w:autoSpaceDE w:val="0"/>
        <w:autoSpaceDN w:val="0"/>
        <w:adjustRightInd w:val="0"/>
        <w:spacing w:after="0" w:line="240" w:lineRule="auto"/>
        <w:rPr>
          <w:rFonts w:cs="Arial"/>
          <w:sz w:val="22"/>
        </w:rPr>
      </w:pPr>
      <w:r w:rsidRPr="00833851">
        <w:rPr>
          <w:rFonts w:cs="Arial"/>
          <w:sz w:val="22"/>
        </w:rPr>
        <w:t xml:space="preserve">HSMRs were made publicly available in 2010/11 and 2011/12 as part of the DHB performance framework. </w:t>
      </w:r>
      <w:r w:rsidR="00124661" w:rsidRPr="00833851">
        <w:rPr>
          <w:rFonts w:cs="Arial"/>
          <w:sz w:val="22"/>
        </w:rPr>
        <w:t xml:space="preserve"> </w:t>
      </w:r>
      <w:r w:rsidRPr="00833851">
        <w:rPr>
          <w:rFonts w:cs="Arial"/>
          <w:sz w:val="22"/>
        </w:rPr>
        <w:t xml:space="preserve">However, the measure was removed from the framework in 2012/13 to allow the </w:t>
      </w:r>
      <w:r w:rsidR="00101C1D">
        <w:rPr>
          <w:rFonts w:cs="Arial"/>
          <w:sz w:val="22"/>
        </w:rPr>
        <w:t xml:space="preserve">Ministry and </w:t>
      </w:r>
      <w:r w:rsidR="00381F08">
        <w:rPr>
          <w:rFonts w:cs="Arial"/>
          <w:sz w:val="22"/>
        </w:rPr>
        <w:t>the Commission</w:t>
      </w:r>
      <w:r w:rsidRPr="00833851">
        <w:rPr>
          <w:rFonts w:cs="Arial"/>
          <w:sz w:val="22"/>
        </w:rPr>
        <w:t xml:space="preserve"> to investigate the validity of the historical model. </w:t>
      </w:r>
      <w:r w:rsidR="00124661" w:rsidRPr="00833851">
        <w:rPr>
          <w:rFonts w:cs="Arial"/>
          <w:sz w:val="22"/>
        </w:rPr>
        <w:t xml:space="preserve"> </w:t>
      </w:r>
      <w:r w:rsidRPr="00833851">
        <w:rPr>
          <w:rFonts w:cs="Arial"/>
          <w:sz w:val="22"/>
        </w:rPr>
        <w:t>This created an op</w:t>
      </w:r>
      <w:r w:rsidR="00101C1D">
        <w:rPr>
          <w:rFonts w:cs="Arial"/>
          <w:sz w:val="22"/>
        </w:rPr>
        <w:t xml:space="preserve">portunity for the Ministry, </w:t>
      </w:r>
      <w:r w:rsidR="00381F08">
        <w:rPr>
          <w:rFonts w:cs="Arial"/>
          <w:sz w:val="22"/>
        </w:rPr>
        <w:t>the Commission</w:t>
      </w:r>
      <w:r w:rsidR="00381F08">
        <w:rPr>
          <w:rFonts w:cs="Arial"/>
          <w:sz w:val="22"/>
        </w:rPr>
        <w:t xml:space="preserve"> </w:t>
      </w:r>
      <w:r w:rsidR="00101C1D">
        <w:rPr>
          <w:rFonts w:cs="Arial"/>
          <w:sz w:val="22"/>
        </w:rPr>
        <w:t>and</w:t>
      </w:r>
      <w:r w:rsidR="00B23F07" w:rsidRPr="00833851">
        <w:rPr>
          <w:rFonts w:cs="Arial"/>
          <w:sz w:val="22"/>
        </w:rPr>
        <w:t xml:space="preserve"> </w:t>
      </w:r>
      <w:r w:rsidRPr="00833851">
        <w:rPr>
          <w:rFonts w:cs="Arial"/>
          <w:sz w:val="22"/>
        </w:rPr>
        <w:t>DHBs to revisit how the information can be more appropriately used in a quality improvement context.</w:t>
      </w:r>
    </w:p>
    <w:p w:rsidR="004E6992" w:rsidRPr="00833851" w:rsidRDefault="004E6992" w:rsidP="00381F08">
      <w:pPr>
        <w:autoSpaceDE w:val="0"/>
        <w:autoSpaceDN w:val="0"/>
        <w:adjustRightInd w:val="0"/>
        <w:spacing w:after="0" w:line="240" w:lineRule="auto"/>
        <w:rPr>
          <w:rFonts w:cs="Arial"/>
          <w:sz w:val="22"/>
        </w:rPr>
      </w:pPr>
    </w:p>
    <w:p w:rsidR="00AF2DE6" w:rsidRPr="00833851" w:rsidRDefault="00AF2DE6" w:rsidP="00381F08">
      <w:pPr>
        <w:rPr>
          <w:rFonts w:cs="Arial"/>
          <w:sz w:val="22"/>
        </w:rPr>
      </w:pPr>
      <w:r w:rsidRPr="00833851">
        <w:rPr>
          <w:rFonts w:cs="Arial"/>
          <w:sz w:val="22"/>
        </w:rPr>
        <w:br w:type="page"/>
      </w:r>
    </w:p>
    <w:p w:rsidR="00B6024C" w:rsidRPr="00833851" w:rsidRDefault="00B6024C" w:rsidP="00381F08">
      <w:pPr>
        <w:autoSpaceDE w:val="0"/>
        <w:autoSpaceDN w:val="0"/>
        <w:adjustRightInd w:val="0"/>
        <w:spacing w:after="0" w:line="240" w:lineRule="auto"/>
        <w:rPr>
          <w:rFonts w:cs="Arial"/>
          <w:sz w:val="22"/>
        </w:rPr>
      </w:pPr>
      <w:r w:rsidRPr="00833851">
        <w:rPr>
          <w:rFonts w:cs="Arial"/>
          <w:sz w:val="22"/>
        </w:rPr>
        <w:lastRenderedPageBreak/>
        <w:t>In light of recent internationa</w:t>
      </w:r>
      <w:r w:rsidR="005F7C21">
        <w:rPr>
          <w:rFonts w:cs="Arial"/>
          <w:sz w:val="22"/>
        </w:rPr>
        <w:t>l events, the Ministry</w:t>
      </w:r>
      <w:r w:rsidRPr="00833851">
        <w:rPr>
          <w:rFonts w:cs="Arial"/>
          <w:sz w:val="22"/>
        </w:rPr>
        <w:t xml:space="preserve"> reviewed a wide range of international variants of HSMR. </w:t>
      </w:r>
      <w:r w:rsidR="00124661" w:rsidRPr="00833851">
        <w:rPr>
          <w:rFonts w:cs="Arial"/>
          <w:sz w:val="22"/>
        </w:rPr>
        <w:t xml:space="preserve"> </w:t>
      </w:r>
      <w:r w:rsidRPr="00833851">
        <w:rPr>
          <w:rFonts w:cs="Arial"/>
          <w:sz w:val="22"/>
        </w:rPr>
        <w:t>The events noted by the Ministry include:</w:t>
      </w:r>
    </w:p>
    <w:p w:rsidR="00B6024C" w:rsidRPr="00833851" w:rsidRDefault="00B6024C" w:rsidP="00381F08">
      <w:pPr>
        <w:pStyle w:val="ListParagraph"/>
        <w:numPr>
          <w:ilvl w:val="0"/>
          <w:numId w:val="7"/>
        </w:numPr>
        <w:autoSpaceDE w:val="0"/>
        <w:autoSpaceDN w:val="0"/>
        <w:adjustRightInd w:val="0"/>
        <w:spacing w:before="60" w:after="0" w:line="240" w:lineRule="auto"/>
        <w:ind w:left="714" w:hanging="357"/>
        <w:contextualSpacing w:val="0"/>
        <w:rPr>
          <w:rFonts w:cs="Arial"/>
          <w:sz w:val="22"/>
        </w:rPr>
      </w:pPr>
      <w:r w:rsidRPr="00833851">
        <w:rPr>
          <w:rFonts w:cs="Arial"/>
          <w:sz w:val="22"/>
        </w:rPr>
        <w:t>Mid Staffordshire, England</w:t>
      </w:r>
    </w:p>
    <w:p w:rsidR="00B6024C" w:rsidRPr="00833851" w:rsidRDefault="00B6024C" w:rsidP="00381F08">
      <w:pPr>
        <w:pStyle w:val="ListParagraph"/>
        <w:numPr>
          <w:ilvl w:val="0"/>
          <w:numId w:val="7"/>
        </w:numPr>
        <w:autoSpaceDE w:val="0"/>
        <w:autoSpaceDN w:val="0"/>
        <w:adjustRightInd w:val="0"/>
        <w:spacing w:before="60" w:after="0" w:line="240" w:lineRule="auto"/>
        <w:ind w:left="714" w:hanging="357"/>
        <w:contextualSpacing w:val="0"/>
        <w:rPr>
          <w:rFonts w:cs="Arial"/>
          <w:sz w:val="22"/>
        </w:rPr>
      </w:pPr>
      <w:r w:rsidRPr="00833851">
        <w:rPr>
          <w:rFonts w:cs="Arial"/>
          <w:sz w:val="22"/>
        </w:rPr>
        <w:t>Constructive use of HSMR in Scotland, and other countries.</w:t>
      </w:r>
    </w:p>
    <w:p w:rsidR="00B6024C" w:rsidRPr="00833851" w:rsidRDefault="00B6024C" w:rsidP="00381F08">
      <w:pPr>
        <w:autoSpaceDE w:val="0"/>
        <w:autoSpaceDN w:val="0"/>
        <w:adjustRightInd w:val="0"/>
        <w:spacing w:after="0" w:line="240" w:lineRule="auto"/>
        <w:rPr>
          <w:rFonts w:cs="Arial"/>
          <w:sz w:val="22"/>
        </w:rPr>
      </w:pPr>
    </w:p>
    <w:p w:rsidR="00B6024C" w:rsidRPr="00833851" w:rsidRDefault="00B6024C" w:rsidP="00381F08">
      <w:pPr>
        <w:autoSpaceDE w:val="0"/>
        <w:autoSpaceDN w:val="0"/>
        <w:adjustRightInd w:val="0"/>
        <w:spacing w:after="0" w:line="240" w:lineRule="auto"/>
        <w:rPr>
          <w:rFonts w:cs="Arial"/>
          <w:sz w:val="22"/>
        </w:rPr>
      </w:pPr>
      <w:r w:rsidRPr="00833851">
        <w:rPr>
          <w:rFonts w:cs="Arial"/>
          <w:sz w:val="22"/>
        </w:rPr>
        <w:t>The Ministry settled on the Scottish National Health Service’s (NHS) variant as an appropriate methodology</w:t>
      </w:r>
      <w:r w:rsidR="009C679B" w:rsidRPr="00833851">
        <w:rPr>
          <w:rFonts w:cs="Arial"/>
          <w:sz w:val="22"/>
        </w:rPr>
        <w:t xml:space="preserve"> to replicate and tailored </w:t>
      </w:r>
      <w:r w:rsidR="00D26521" w:rsidRPr="00833851">
        <w:rPr>
          <w:rFonts w:cs="Arial"/>
          <w:sz w:val="22"/>
        </w:rPr>
        <w:t xml:space="preserve">it </w:t>
      </w:r>
      <w:r w:rsidR="009C679B" w:rsidRPr="00833851">
        <w:rPr>
          <w:rFonts w:cs="Arial"/>
          <w:sz w:val="22"/>
        </w:rPr>
        <w:t>to reflect available New Zealand data</w:t>
      </w:r>
      <w:r w:rsidRPr="00833851">
        <w:rPr>
          <w:rFonts w:cs="Arial"/>
          <w:sz w:val="22"/>
        </w:rPr>
        <w:t xml:space="preserve">. The reasons for </w:t>
      </w:r>
      <w:r w:rsidR="009C679B" w:rsidRPr="00833851">
        <w:rPr>
          <w:rFonts w:cs="Arial"/>
          <w:sz w:val="22"/>
        </w:rPr>
        <w:t xml:space="preserve">choosing the Scottish model </w:t>
      </w:r>
      <w:r w:rsidRPr="00833851">
        <w:rPr>
          <w:rFonts w:cs="Arial"/>
          <w:sz w:val="22"/>
        </w:rPr>
        <w:t>include:</w:t>
      </w:r>
    </w:p>
    <w:p w:rsidR="00B6024C" w:rsidRPr="00833851" w:rsidRDefault="00B6024C" w:rsidP="00381F08">
      <w:pPr>
        <w:pStyle w:val="ListParagraph"/>
        <w:numPr>
          <w:ilvl w:val="0"/>
          <w:numId w:val="6"/>
        </w:numPr>
        <w:autoSpaceDE w:val="0"/>
        <w:autoSpaceDN w:val="0"/>
        <w:adjustRightInd w:val="0"/>
        <w:spacing w:before="60" w:after="0" w:line="240" w:lineRule="auto"/>
        <w:ind w:left="714" w:hanging="357"/>
        <w:contextualSpacing w:val="0"/>
        <w:rPr>
          <w:rFonts w:cs="Arial"/>
          <w:sz w:val="22"/>
        </w:rPr>
      </w:pPr>
      <w:r w:rsidRPr="00833851">
        <w:rPr>
          <w:rFonts w:cs="Arial"/>
          <w:sz w:val="22"/>
        </w:rPr>
        <w:t>the similarity between the Scottish  and New Zealand health and data collection systems, making replication of the Scottish methodology more viable</w:t>
      </w:r>
    </w:p>
    <w:p w:rsidR="00B6024C" w:rsidRPr="00833851" w:rsidRDefault="00B6024C" w:rsidP="00381F08">
      <w:pPr>
        <w:pStyle w:val="ListParagraph"/>
        <w:numPr>
          <w:ilvl w:val="0"/>
          <w:numId w:val="6"/>
        </w:numPr>
        <w:autoSpaceDE w:val="0"/>
        <w:autoSpaceDN w:val="0"/>
        <w:adjustRightInd w:val="0"/>
        <w:spacing w:before="60" w:after="0" w:line="240" w:lineRule="auto"/>
        <w:ind w:left="714" w:hanging="357"/>
        <w:contextualSpacing w:val="0"/>
        <w:rPr>
          <w:rFonts w:cs="Arial"/>
          <w:sz w:val="22"/>
        </w:rPr>
      </w:pPr>
      <w:r w:rsidRPr="00833851">
        <w:rPr>
          <w:rFonts w:cs="Arial"/>
          <w:sz w:val="22"/>
        </w:rPr>
        <w:t>the Scottish HSMR includes post discharge deaths, addressing a major recognised weakness of the original construction of HSMR.</w:t>
      </w:r>
    </w:p>
    <w:p w:rsidR="00816A36" w:rsidRPr="00833851" w:rsidRDefault="00816A36" w:rsidP="00381F08">
      <w:pPr>
        <w:autoSpaceDE w:val="0"/>
        <w:autoSpaceDN w:val="0"/>
        <w:adjustRightInd w:val="0"/>
        <w:spacing w:after="0" w:line="240" w:lineRule="auto"/>
        <w:rPr>
          <w:rFonts w:cs="Arial"/>
          <w:sz w:val="22"/>
        </w:rPr>
      </w:pPr>
    </w:p>
    <w:p w:rsidR="00E16C0C" w:rsidRPr="00833851" w:rsidRDefault="00B23F07" w:rsidP="00381F08">
      <w:pPr>
        <w:autoSpaceDE w:val="0"/>
        <w:autoSpaceDN w:val="0"/>
        <w:adjustRightInd w:val="0"/>
        <w:spacing w:after="0" w:line="240" w:lineRule="auto"/>
        <w:rPr>
          <w:rFonts w:cs="Arial"/>
          <w:b/>
          <w:sz w:val="22"/>
        </w:rPr>
      </w:pPr>
      <w:r w:rsidRPr="00833851">
        <w:rPr>
          <w:rFonts w:cs="Arial"/>
          <w:b/>
          <w:sz w:val="22"/>
        </w:rPr>
        <w:t>2.0</w:t>
      </w:r>
      <w:r w:rsidRPr="00833851">
        <w:rPr>
          <w:rFonts w:cs="Arial"/>
          <w:b/>
          <w:sz w:val="22"/>
        </w:rPr>
        <w:tab/>
      </w:r>
      <w:r w:rsidR="00385947" w:rsidRPr="00833851">
        <w:rPr>
          <w:rFonts w:cs="Arial"/>
          <w:b/>
          <w:sz w:val="22"/>
        </w:rPr>
        <w:t>Methodology</w:t>
      </w:r>
    </w:p>
    <w:p w:rsidR="00E7079E" w:rsidRPr="00833851" w:rsidRDefault="00E7079E" w:rsidP="00381F08">
      <w:pPr>
        <w:autoSpaceDE w:val="0"/>
        <w:autoSpaceDN w:val="0"/>
        <w:adjustRightInd w:val="0"/>
        <w:spacing w:after="0" w:line="240" w:lineRule="auto"/>
        <w:rPr>
          <w:rFonts w:cs="Arial"/>
          <w:b/>
          <w:sz w:val="22"/>
        </w:rPr>
      </w:pPr>
    </w:p>
    <w:p w:rsidR="00E7079E" w:rsidRPr="00833851" w:rsidRDefault="00E7079E" w:rsidP="00381F08">
      <w:pPr>
        <w:spacing w:after="0" w:line="240" w:lineRule="auto"/>
        <w:rPr>
          <w:rFonts w:cs="Arial"/>
          <w:sz w:val="22"/>
        </w:rPr>
      </w:pPr>
      <w:r w:rsidRPr="00833851">
        <w:rPr>
          <w:rFonts w:cs="Arial"/>
          <w:sz w:val="22"/>
        </w:rPr>
        <w:t xml:space="preserve">The </w:t>
      </w:r>
      <w:r w:rsidR="00B23F07" w:rsidRPr="00833851">
        <w:rPr>
          <w:rFonts w:cs="Arial"/>
          <w:sz w:val="22"/>
        </w:rPr>
        <w:t xml:space="preserve">Ministry and </w:t>
      </w:r>
      <w:r w:rsidR="00B92517">
        <w:rPr>
          <w:rFonts w:cs="Arial"/>
          <w:sz w:val="22"/>
        </w:rPr>
        <w:t xml:space="preserve">the </w:t>
      </w:r>
      <w:r w:rsidR="00381F08">
        <w:rPr>
          <w:rFonts w:cs="Arial"/>
          <w:sz w:val="22"/>
        </w:rPr>
        <w:t>Commission</w:t>
      </w:r>
      <w:r w:rsidR="00381F08" w:rsidRPr="00833851">
        <w:rPr>
          <w:rFonts w:cs="Arial"/>
          <w:sz w:val="22"/>
        </w:rPr>
        <w:t xml:space="preserve"> </w:t>
      </w:r>
      <w:r w:rsidRPr="00833851">
        <w:rPr>
          <w:rFonts w:cs="Arial"/>
          <w:sz w:val="22"/>
        </w:rPr>
        <w:t xml:space="preserve">HSMR is derived from the National Minimum Data Set (NMDS) which is </w:t>
      </w:r>
      <w:r w:rsidR="00F458F8" w:rsidRPr="00833851">
        <w:rPr>
          <w:rFonts w:cs="Arial"/>
          <w:sz w:val="22"/>
        </w:rPr>
        <w:t xml:space="preserve">an </w:t>
      </w:r>
      <w:r w:rsidRPr="00833851">
        <w:rPr>
          <w:rFonts w:cs="Arial"/>
          <w:sz w:val="22"/>
        </w:rPr>
        <w:t>event level hospital discharge data</w:t>
      </w:r>
      <w:r w:rsidR="00F458F8" w:rsidRPr="00833851">
        <w:rPr>
          <w:rFonts w:cs="Arial"/>
          <w:sz w:val="22"/>
        </w:rPr>
        <w:t>set</w:t>
      </w:r>
      <w:r w:rsidRPr="00833851">
        <w:rPr>
          <w:rFonts w:cs="Arial"/>
          <w:sz w:val="22"/>
        </w:rPr>
        <w:t xml:space="preserve"> for inpatient </w:t>
      </w:r>
      <w:r w:rsidR="0008476D" w:rsidRPr="00833851">
        <w:rPr>
          <w:rFonts w:cs="Arial"/>
          <w:sz w:val="22"/>
        </w:rPr>
        <w:t xml:space="preserve">and day patient </w:t>
      </w:r>
      <w:r w:rsidRPr="00833851">
        <w:rPr>
          <w:rFonts w:cs="Arial"/>
          <w:sz w:val="22"/>
        </w:rPr>
        <w:t>services. Outpatient and emergency department data is from National Non-Admitted Patient Collection (NNPAC) and is not included.</w:t>
      </w:r>
      <w:r w:rsidR="00124661" w:rsidRPr="00833851">
        <w:rPr>
          <w:rFonts w:cs="Arial"/>
          <w:sz w:val="22"/>
        </w:rPr>
        <w:t xml:space="preserve"> </w:t>
      </w:r>
      <w:r w:rsidR="00A379F6" w:rsidRPr="00833851">
        <w:rPr>
          <w:rFonts w:cs="Arial"/>
          <w:sz w:val="22"/>
        </w:rPr>
        <w:t xml:space="preserve"> </w:t>
      </w:r>
      <w:r w:rsidRPr="00833851">
        <w:rPr>
          <w:rFonts w:cs="Arial"/>
          <w:sz w:val="22"/>
        </w:rPr>
        <w:t>The NMDS is joined by</w:t>
      </w:r>
      <w:r w:rsidR="00C4654E" w:rsidRPr="00833851">
        <w:rPr>
          <w:rFonts w:cs="Arial"/>
          <w:sz w:val="22"/>
        </w:rPr>
        <w:t xml:space="preserve"> National Health Index (</w:t>
      </w:r>
      <w:r w:rsidRPr="00833851">
        <w:rPr>
          <w:rFonts w:cs="Arial"/>
          <w:sz w:val="22"/>
        </w:rPr>
        <w:t>NHI</w:t>
      </w:r>
      <w:r w:rsidR="00C4654E" w:rsidRPr="00833851">
        <w:rPr>
          <w:rFonts w:cs="Arial"/>
          <w:sz w:val="22"/>
        </w:rPr>
        <w:t>)</w:t>
      </w:r>
      <w:r w:rsidRPr="00833851">
        <w:rPr>
          <w:rFonts w:cs="Arial"/>
          <w:sz w:val="22"/>
        </w:rPr>
        <w:t xml:space="preserve"> number to the New Zealand mortality database.</w:t>
      </w:r>
      <w:r w:rsidR="00124661" w:rsidRPr="00833851">
        <w:rPr>
          <w:rFonts w:cs="Arial"/>
          <w:sz w:val="22"/>
        </w:rPr>
        <w:t xml:space="preserve"> </w:t>
      </w:r>
      <w:r w:rsidR="00A379F6" w:rsidRPr="00833851">
        <w:rPr>
          <w:rFonts w:cs="Arial"/>
          <w:sz w:val="22"/>
        </w:rPr>
        <w:t xml:space="preserve"> </w:t>
      </w:r>
      <w:r w:rsidRPr="00833851">
        <w:rPr>
          <w:rFonts w:cs="Arial"/>
          <w:sz w:val="22"/>
        </w:rPr>
        <w:t>The data covers all inpatient and community deaths up to 30 days after admission.</w:t>
      </w:r>
    </w:p>
    <w:p w:rsidR="00124661" w:rsidRPr="00833851" w:rsidRDefault="00124661" w:rsidP="00381F08">
      <w:pPr>
        <w:spacing w:after="0" w:line="240" w:lineRule="auto"/>
        <w:rPr>
          <w:rFonts w:cs="Arial"/>
          <w:b/>
          <w:sz w:val="22"/>
        </w:rPr>
      </w:pPr>
    </w:p>
    <w:p w:rsidR="00816A36" w:rsidRPr="00833851" w:rsidRDefault="00E7079E" w:rsidP="00381F08">
      <w:pPr>
        <w:spacing w:after="0" w:line="240" w:lineRule="auto"/>
        <w:rPr>
          <w:rFonts w:cs="Arial"/>
          <w:sz w:val="22"/>
        </w:rPr>
      </w:pPr>
      <w:r w:rsidRPr="00833851">
        <w:rPr>
          <w:rFonts w:cs="Arial"/>
          <w:sz w:val="22"/>
        </w:rPr>
        <w:t>NMDS data is selected by calendar year and processed through the Weighted Inlier Equivalent Separations (WIESNZ)</w:t>
      </w:r>
      <w:r w:rsidR="00F251AE" w:rsidRPr="00833851">
        <w:rPr>
          <w:rFonts w:cs="Arial"/>
          <w:sz w:val="22"/>
        </w:rPr>
        <w:t xml:space="preserve"> </w:t>
      </w:r>
      <w:r w:rsidRPr="00833851">
        <w:rPr>
          <w:rFonts w:cs="Arial"/>
          <w:sz w:val="22"/>
        </w:rPr>
        <w:t>10 filter.</w:t>
      </w:r>
      <w:r w:rsidR="00124661" w:rsidRPr="00833851">
        <w:rPr>
          <w:rFonts w:cs="Arial"/>
          <w:sz w:val="22"/>
        </w:rPr>
        <w:t xml:space="preserve"> </w:t>
      </w:r>
      <w:r w:rsidR="00A379F6" w:rsidRPr="00833851">
        <w:rPr>
          <w:rFonts w:cs="Arial"/>
          <w:sz w:val="22"/>
        </w:rPr>
        <w:t xml:space="preserve"> </w:t>
      </w:r>
      <w:r w:rsidRPr="00833851">
        <w:rPr>
          <w:rFonts w:cs="Arial"/>
          <w:sz w:val="22"/>
        </w:rPr>
        <w:t xml:space="preserve">WIESNZ10 applies casemix criteria and creates the variable </w:t>
      </w:r>
      <w:r w:rsidR="00C4654E" w:rsidRPr="00833851">
        <w:rPr>
          <w:rFonts w:cs="Arial"/>
          <w:sz w:val="22"/>
        </w:rPr>
        <w:t>Purchase Unit (</w:t>
      </w:r>
      <w:r w:rsidRPr="00833851">
        <w:rPr>
          <w:rFonts w:cs="Arial"/>
          <w:sz w:val="22"/>
        </w:rPr>
        <w:t>PU</w:t>
      </w:r>
      <w:r w:rsidR="00C4654E" w:rsidRPr="00833851">
        <w:rPr>
          <w:rFonts w:cs="Arial"/>
          <w:sz w:val="22"/>
        </w:rPr>
        <w:t>)</w:t>
      </w:r>
      <w:r w:rsidRPr="00833851">
        <w:rPr>
          <w:rFonts w:cs="Arial"/>
          <w:sz w:val="22"/>
        </w:rPr>
        <w:t>.</w:t>
      </w:r>
      <w:r w:rsidR="00A379F6" w:rsidRPr="00833851">
        <w:rPr>
          <w:rFonts w:cs="Arial"/>
          <w:sz w:val="22"/>
        </w:rPr>
        <w:t xml:space="preserve"> </w:t>
      </w:r>
      <w:r w:rsidR="00124661" w:rsidRPr="00833851">
        <w:rPr>
          <w:rFonts w:cs="Arial"/>
          <w:sz w:val="22"/>
        </w:rPr>
        <w:t xml:space="preserve"> </w:t>
      </w:r>
      <w:r w:rsidRPr="00833851">
        <w:rPr>
          <w:rFonts w:cs="Arial"/>
          <w:sz w:val="22"/>
        </w:rPr>
        <w:t xml:space="preserve">Casemix criteria permit the selection of inpatient activity that is more consistent across DHBs. </w:t>
      </w:r>
    </w:p>
    <w:p w:rsidR="00AF2DE6" w:rsidRPr="00833851" w:rsidRDefault="00AF2DE6" w:rsidP="00381F08">
      <w:pPr>
        <w:autoSpaceDE w:val="0"/>
        <w:autoSpaceDN w:val="0"/>
        <w:adjustRightInd w:val="0"/>
        <w:spacing w:after="0" w:line="240" w:lineRule="auto"/>
        <w:rPr>
          <w:rFonts w:cs="Arial"/>
          <w:b/>
          <w:i/>
          <w:sz w:val="22"/>
        </w:rPr>
      </w:pPr>
    </w:p>
    <w:p w:rsidR="00E7079E" w:rsidRPr="00833851" w:rsidRDefault="00B23F07" w:rsidP="00381F08">
      <w:pPr>
        <w:autoSpaceDE w:val="0"/>
        <w:autoSpaceDN w:val="0"/>
        <w:adjustRightInd w:val="0"/>
        <w:spacing w:after="0" w:line="240" w:lineRule="auto"/>
        <w:rPr>
          <w:rFonts w:cs="Arial"/>
          <w:b/>
          <w:i/>
          <w:sz w:val="22"/>
        </w:rPr>
      </w:pPr>
      <w:r w:rsidRPr="00833851">
        <w:rPr>
          <w:rFonts w:cs="Arial"/>
          <w:b/>
          <w:i/>
          <w:sz w:val="22"/>
        </w:rPr>
        <w:t>2.1</w:t>
      </w:r>
      <w:r w:rsidRPr="00833851">
        <w:rPr>
          <w:rFonts w:cs="Arial"/>
          <w:b/>
          <w:i/>
          <w:sz w:val="22"/>
        </w:rPr>
        <w:tab/>
      </w:r>
      <w:r w:rsidR="00E7079E" w:rsidRPr="00833851">
        <w:rPr>
          <w:rFonts w:cs="Arial"/>
          <w:b/>
          <w:i/>
          <w:sz w:val="22"/>
        </w:rPr>
        <w:t>Exclusions</w:t>
      </w:r>
    </w:p>
    <w:p w:rsidR="00385947" w:rsidRPr="00833851" w:rsidRDefault="00385947" w:rsidP="00381F08">
      <w:pPr>
        <w:autoSpaceDE w:val="0"/>
        <w:autoSpaceDN w:val="0"/>
        <w:adjustRightInd w:val="0"/>
        <w:spacing w:after="0" w:line="240" w:lineRule="auto"/>
        <w:rPr>
          <w:rFonts w:cs="Arial"/>
          <w:b/>
          <w:sz w:val="22"/>
        </w:rPr>
      </w:pPr>
    </w:p>
    <w:p w:rsidR="00F72D4F" w:rsidRPr="00833851" w:rsidRDefault="0037219C" w:rsidP="00381F08">
      <w:pPr>
        <w:spacing w:after="0" w:line="240" w:lineRule="auto"/>
        <w:rPr>
          <w:rFonts w:cs="Arial"/>
          <w:sz w:val="22"/>
        </w:rPr>
      </w:pPr>
      <w:r w:rsidRPr="00833851">
        <w:rPr>
          <w:rFonts w:cs="Arial"/>
          <w:sz w:val="22"/>
        </w:rPr>
        <w:t>Events</w:t>
      </w:r>
      <w:r w:rsidR="003A433C" w:rsidRPr="00833851">
        <w:rPr>
          <w:rFonts w:cs="Arial"/>
          <w:sz w:val="22"/>
        </w:rPr>
        <w:t xml:space="preserve"> which are excluded from the </w:t>
      </w:r>
      <w:r w:rsidR="00E7079E" w:rsidRPr="00833851">
        <w:rPr>
          <w:rFonts w:cs="Arial"/>
          <w:sz w:val="22"/>
        </w:rPr>
        <w:t>New Zealand model</w:t>
      </w:r>
      <w:r w:rsidR="003A433C" w:rsidRPr="00833851">
        <w:rPr>
          <w:rFonts w:cs="Arial"/>
          <w:sz w:val="22"/>
        </w:rPr>
        <w:t xml:space="preserve"> include </w:t>
      </w:r>
      <w:r w:rsidR="00E7079E" w:rsidRPr="00833851">
        <w:rPr>
          <w:rFonts w:cs="Arial"/>
          <w:sz w:val="22"/>
        </w:rPr>
        <w:t xml:space="preserve">obstetric and </w:t>
      </w:r>
      <w:r w:rsidRPr="00833851">
        <w:rPr>
          <w:rFonts w:cs="Arial"/>
          <w:sz w:val="22"/>
        </w:rPr>
        <w:t>p</w:t>
      </w:r>
      <w:r w:rsidR="00E7079E" w:rsidRPr="00833851">
        <w:rPr>
          <w:rFonts w:cs="Arial"/>
          <w:sz w:val="22"/>
        </w:rPr>
        <w:t>sychiatric events, neonates and stillbirths</w:t>
      </w:r>
      <w:r w:rsidR="003A433C" w:rsidRPr="00833851">
        <w:rPr>
          <w:rFonts w:cs="Arial"/>
          <w:sz w:val="22"/>
        </w:rPr>
        <w:t xml:space="preserve"> and</w:t>
      </w:r>
      <w:r w:rsidR="00E7079E" w:rsidRPr="00833851">
        <w:rPr>
          <w:rFonts w:cs="Arial"/>
          <w:sz w:val="22"/>
        </w:rPr>
        <w:t xml:space="preserve"> privately funded </w:t>
      </w:r>
      <w:r w:rsidRPr="00833851">
        <w:rPr>
          <w:rFonts w:cs="Arial"/>
          <w:sz w:val="22"/>
        </w:rPr>
        <w:t>activities</w:t>
      </w:r>
      <w:r w:rsidR="003A433C" w:rsidRPr="00833851">
        <w:rPr>
          <w:rFonts w:cs="Arial"/>
          <w:sz w:val="22"/>
        </w:rPr>
        <w:t>.</w:t>
      </w:r>
      <w:r w:rsidR="00124661" w:rsidRPr="00833851">
        <w:rPr>
          <w:rFonts w:cs="Arial"/>
          <w:sz w:val="22"/>
        </w:rPr>
        <w:t xml:space="preserve"> </w:t>
      </w:r>
      <w:r w:rsidR="00A379F6" w:rsidRPr="00833851">
        <w:rPr>
          <w:rFonts w:cs="Arial"/>
          <w:sz w:val="22"/>
        </w:rPr>
        <w:t xml:space="preserve"> </w:t>
      </w:r>
      <w:r w:rsidR="003A433C" w:rsidRPr="00833851">
        <w:rPr>
          <w:rFonts w:cs="Arial"/>
          <w:sz w:val="22"/>
        </w:rPr>
        <w:t>E</w:t>
      </w:r>
      <w:r w:rsidR="00E7079E" w:rsidRPr="00833851">
        <w:rPr>
          <w:rFonts w:cs="Arial"/>
          <w:sz w:val="22"/>
        </w:rPr>
        <w:t xml:space="preserve">vents </w:t>
      </w:r>
      <w:r w:rsidR="003A433C" w:rsidRPr="00833851">
        <w:rPr>
          <w:rFonts w:cs="Arial"/>
          <w:sz w:val="22"/>
        </w:rPr>
        <w:t xml:space="preserve">with a </w:t>
      </w:r>
      <w:r w:rsidR="00E7079E" w:rsidRPr="00833851">
        <w:rPr>
          <w:rFonts w:cs="Arial"/>
          <w:sz w:val="22"/>
        </w:rPr>
        <w:t>length of stay longer than 365 days</w:t>
      </w:r>
      <w:r w:rsidR="003A433C" w:rsidRPr="00833851">
        <w:rPr>
          <w:rFonts w:cs="Arial"/>
          <w:sz w:val="22"/>
        </w:rPr>
        <w:t xml:space="preserve"> </w:t>
      </w:r>
      <w:r w:rsidR="00E82097" w:rsidRPr="00833851">
        <w:rPr>
          <w:rFonts w:cs="Arial"/>
          <w:sz w:val="22"/>
        </w:rPr>
        <w:t xml:space="preserve">are </w:t>
      </w:r>
      <w:r w:rsidR="003A433C" w:rsidRPr="00833851">
        <w:rPr>
          <w:rFonts w:cs="Arial"/>
          <w:sz w:val="22"/>
        </w:rPr>
        <w:t xml:space="preserve">also excluded </w:t>
      </w:r>
      <w:r w:rsidR="00E7079E" w:rsidRPr="00833851">
        <w:rPr>
          <w:rFonts w:cs="Arial"/>
          <w:sz w:val="22"/>
        </w:rPr>
        <w:t>in accordance with New Zealand casemix rules</w:t>
      </w:r>
      <w:r w:rsidR="003A433C" w:rsidRPr="00833851">
        <w:rPr>
          <w:rFonts w:cs="Arial"/>
          <w:sz w:val="22"/>
        </w:rPr>
        <w:t>.</w:t>
      </w:r>
      <w:r w:rsidR="00A379F6" w:rsidRPr="00833851">
        <w:rPr>
          <w:rFonts w:cs="Arial"/>
          <w:sz w:val="22"/>
        </w:rPr>
        <w:t xml:space="preserve"> </w:t>
      </w:r>
      <w:r w:rsidR="003A433C" w:rsidRPr="00833851">
        <w:rPr>
          <w:rFonts w:cs="Arial"/>
          <w:sz w:val="22"/>
        </w:rPr>
        <w:t>A</w:t>
      </w:r>
      <w:r w:rsidR="00F72D4F" w:rsidRPr="00833851">
        <w:rPr>
          <w:rFonts w:cs="Arial"/>
          <w:sz w:val="22"/>
        </w:rPr>
        <w:t>dmissions which are non</w:t>
      </w:r>
      <w:r w:rsidR="007A60B8" w:rsidRPr="00833851">
        <w:rPr>
          <w:rFonts w:cs="Arial"/>
          <w:sz w:val="22"/>
        </w:rPr>
        <w:t>-</w:t>
      </w:r>
      <w:r w:rsidR="00F72D4F" w:rsidRPr="00833851">
        <w:rPr>
          <w:rFonts w:cs="Arial"/>
          <w:sz w:val="22"/>
        </w:rPr>
        <w:t xml:space="preserve">casemix </w:t>
      </w:r>
      <w:r w:rsidR="003A433C" w:rsidRPr="00833851">
        <w:rPr>
          <w:rFonts w:cs="Arial"/>
          <w:sz w:val="22"/>
        </w:rPr>
        <w:t xml:space="preserve">are excluded </w:t>
      </w:r>
      <w:r w:rsidR="00F72D4F" w:rsidRPr="00833851">
        <w:rPr>
          <w:rFonts w:cs="Arial"/>
          <w:sz w:val="22"/>
        </w:rPr>
        <w:t>as this information is incomplete</w:t>
      </w:r>
      <w:r w:rsidR="003A433C" w:rsidRPr="00833851">
        <w:rPr>
          <w:rFonts w:cs="Arial"/>
          <w:sz w:val="22"/>
        </w:rPr>
        <w:t>.</w:t>
      </w:r>
      <w:r w:rsidR="00A379F6" w:rsidRPr="00833851">
        <w:rPr>
          <w:rFonts w:cs="Arial"/>
          <w:sz w:val="22"/>
        </w:rPr>
        <w:t xml:space="preserve"> </w:t>
      </w:r>
      <w:r w:rsidR="003A433C" w:rsidRPr="00833851">
        <w:rPr>
          <w:rFonts w:cs="Arial"/>
          <w:sz w:val="22"/>
        </w:rPr>
        <w:t>A</w:t>
      </w:r>
      <w:r w:rsidR="00F72D4F" w:rsidRPr="00833851">
        <w:rPr>
          <w:rFonts w:cs="Arial"/>
          <w:sz w:val="22"/>
        </w:rPr>
        <w:t xml:space="preserve">dmissions where DHB of service is missing </w:t>
      </w:r>
      <w:r w:rsidR="003A433C" w:rsidRPr="00833851">
        <w:rPr>
          <w:rFonts w:cs="Arial"/>
          <w:sz w:val="22"/>
        </w:rPr>
        <w:t xml:space="preserve">is excluded </w:t>
      </w:r>
      <w:r w:rsidR="00F72D4F" w:rsidRPr="00833851">
        <w:rPr>
          <w:rFonts w:cs="Arial"/>
          <w:sz w:val="22"/>
        </w:rPr>
        <w:t>to ensure data quality.</w:t>
      </w:r>
      <w:r w:rsidR="00A379F6" w:rsidRPr="00833851">
        <w:rPr>
          <w:rFonts w:cs="Arial"/>
          <w:sz w:val="22"/>
        </w:rPr>
        <w:t xml:space="preserve"> </w:t>
      </w:r>
    </w:p>
    <w:p w:rsidR="000268A5" w:rsidRPr="00833851" w:rsidRDefault="000268A5" w:rsidP="00381F08">
      <w:pPr>
        <w:spacing w:after="0" w:line="240" w:lineRule="auto"/>
        <w:ind w:left="175"/>
        <w:rPr>
          <w:rFonts w:cs="Arial"/>
          <w:sz w:val="22"/>
        </w:rPr>
      </w:pPr>
    </w:p>
    <w:p w:rsidR="00E7079E" w:rsidRPr="00833851" w:rsidRDefault="00B23F07" w:rsidP="00381F08">
      <w:pPr>
        <w:spacing w:after="0" w:line="240" w:lineRule="auto"/>
        <w:rPr>
          <w:rFonts w:cs="Arial"/>
          <w:b/>
          <w:i/>
          <w:sz w:val="22"/>
        </w:rPr>
      </w:pPr>
      <w:r w:rsidRPr="00833851">
        <w:rPr>
          <w:rFonts w:cs="Arial"/>
          <w:b/>
          <w:i/>
          <w:sz w:val="22"/>
        </w:rPr>
        <w:t>2.2</w:t>
      </w:r>
      <w:r w:rsidRPr="00833851">
        <w:rPr>
          <w:rFonts w:cs="Arial"/>
          <w:b/>
          <w:i/>
          <w:sz w:val="22"/>
        </w:rPr>
        <w:tab/>
      </w:r>
      <w:r w:rsidR="00E7079E" w:rsidRPr="00833851">
        <w:rPr>
          <w:rFonts w:cs="Arial"/>
          <w:b/>
          <w:i/>
          <w:sz w:val="22"/>
        </w:rPr>
        <w:t>Inclusions</w:t>
      </w:r>
    </w:p>
    <w:p w:rsidR="00AF2DE6" w:rsidRPr="00833851" w:rsidRDefault="00AF2DE6" w:rsidP="00381F08">
      <w:pPr>
        <w:spacing w:after="0" w:line="240" w:lineRule="auto"/>
        <w:rPr>
          <w:rFonts w:cs="Arial"/>
          <w:b/>
          <w:i/>
          <w:sz w:val="22"/>
        </w:rPr>
      </w:pPr>
    </w:p>
    <w:p w:rsidR="00385947" w:rsidRPr="00833851" w:rsidRDefault="003A433C" w:rsidP="00381F08">
      <w:pPr>
        <w:spacing w:after="0" w:line="240" w:lineRule="auto"/>
        <w:rPr>
          <w:rFonts w:cs="Arial"/>
          <w:sz w:val="22"/>
        </w:rPr>
      </w:pPr>
      <w:r w:rsidRPr="00833851">
        <w:rPr>
          <w:rFonts w:cs="Arial"/>
          <w:sz w:val="22"/>
        </w:rPr>
        <w:t>The v</w:t>
      </w:r>
      <w:r w:rsidR="00E7079E" w:rsidRPr="00833851">
        <w:rPr>
          <w:rFonts w:cs="Arial"/>
          <w:sz w:val="22"/>
        </w:rPr>
        <w:t>ariables</w:t>
      </w:r>
      <w:r w:rsidRPr="00833851">
        <w:rPr>
          <w:rFonts w:cs="Arial"/>
          <w:sz w:val="22"/>
        </w:rPr>
        <w:t xml:space="preserve"> included in the model are</w:t>
      </w:r>
      <w:r w:rsidR="00E7079E" w:rsidRPr="00833851">
        <w:rPr>
          <w:rFonts w:cs="Arial"/>
          <w:sz w:val="22"/>
        </w:rPr>
        <w:t xml:space="preserve">: </w:t>
      </w:r>
      <w:r w:rsidR="00BF60E2" w:rsidRPr="00833851">
        <w:rPr>
          <w:rFonts w:cs="Arial"/>
          <w:sz w:val="22"/>
        </w:rPr>
        <w:t>age, sex, admission type, day case, primary diagnosis, deprivation, specialty, transfer and prior morbidities.</w:t>
      </w:r>
    </w:p>
    <w:p w:rsidR="00AF2DE6" w:rsidRPr="00833851" w:rsidRDefault="00AF2DE6" w:rsidP="00381F08">
      <w:pPr>
        <w:spacing w:after="0" w:line="240" w:lineRule="auto"/>
        <w:rPr>
          <w:rFonts w:cs="Arial"/>
          <w:sz w:val="22"/>
        </w:rPr>
      </w:pPr>
    </w:p>
    <w:p w:rsidR="003A433C" w:rsidRPr="00833851" w:rsidRDefault="00E7079E" w:rsidP="00381F08">
      <w:pPr>
        <w:spacing w:after="0" w:line="240" w:lineRule="auto"/>
        <w:rPr>
          <w:rFonts w:cs="Arial"/>
          <w:sz w:val="22"/>
        </w:rPr>
      </w:pPr>
      <w:r w:rsidRPr="00833851">
        <w:rPr>
          <w:rFonts w:cs="Arial"/>
          <w:sz w:val="22"/>
        </w:rPr>
        <w:t>Deaths within 30 days from admission</w:t>
      </w:r>
      <w:r w:rsidR="00092FFF" w:rsidRPr="00833851">
        <w:rPr>
          <w:rFonts w:cs="Arial"/>
          <w:sz w:val="22"/>
        </w:rPr>
        <w:t>, wherever these occur,</w:t>
      </w:r>
      <w:r w:rsidRPr="00833851">
        <w:rPr>
          <w:rFonts w:cs="Arial"/>
          <w:sz w:val="22"/>
        </w:rPr>
        <w:t xml:space="preserve"> are included in </w:t>
      </w:r>
      <w:r w:rsidR="003A433C" w:rsidRPr="00833851">
        <w:rPr>
          <w:rFonts w:cs="Arial"/>
          <w:sz w:val="22"/>
        </w:rPr>
        <w:t>the</w:t>
      </w:r>
      <w:r w:rsidR="00F251AE" w:rsidRPr="00833851">
        <w:rPr>
          <w:rFonts w:cs="Arial"/>
          <w:sz w:val="22"/>
        </w:rPr>
        <w:t xml:space="preserve"> model</w:t>
      </w:r>
      <w:r w:rsidRPr="00833851">
        <w:rPr>
          <w:rFonts w:cs="Arial"/>
          <w:sz w:val="22"/>
        </w:rPr>
        <w:t>.</w:t>
      </w:r>
    </w:p>
    <w:p w:rsidR="00AF2DE6" w:rsidRPr="00833851" w:rsidRDefault="00AF2DE6" w:rsidP="00381F08">
      <w:pPr>
        <w:spacing w:after="0" w:line="240" w:lineRule="auto"/>
        <w:rPr>
          <w:rFonts w:cs="Arial"/>
          <w:sz w:val="22"/>
        </w:rPr>
      </w:pPr>
    </w:p>
    <w:p w:rsidR="00E7079E" w:rsidRPr="00833851" w:rsidRDefault="003A433C" w:rsidP="00381F08">
      <w:pPr>
        <w:spacing w:after="0" w:line="240" w:lineRule="auto"/>
        <w:rPr>
          <w:rFonts w:cs="Arial"/>
          <w:sz w:val="22"/>
        </w:rPr>
      </w:pPr>
      <w:r w:rsidRPr="00833851">
        <w:rPr>
          <w:rFonts w:cs="Arial"/>
          <w:sz w:val="22"/>
        </w:rPr>
        <w:t>A</w:t>
      </w:r>
      <w:r w:rsidR="00E7079E" w:rsidRPr="00833851">
        <w:rPr>
          <w:rFonts w:cs="Arial"/>
          <w:sz w:val="22"/>
        </w:rPr>
        <w:t>ge i</w:t>
      </w:r>
      <w:r w:rsidR="00101C1D">
        <w:rPr>
          <w:rFonts w:cs="Arial"/>
          <w:sz w:val="22"/>
        </w:rPr>
        <w:t>s adjusted by classifying into one</w:t>
      </w:r>
      <w:r w:rsidR="00E7079E" w:rsidRPr="00833851">
        <w:rPr>
          <w:rFonts w:cs="Arial"/>
          <w:sz w:val="22"/>
        </w:rPr>
        <w:t xml:space="preserve"> year categories.</w:t>
      </w:r>
      <w:r w:rsidR="00A379F6" w:rsidRPr="00833851">
        <w:rPr>
          <w:rFonts w:cs="Arial"/>
          <w:sz w:val="22"/>
        </w:rPr>
        <w:t xml:space="preserve"> </w:t>
      </w:r>
      <w:r w:rsidR="00101C1D">
        <w:rPr>
          <w:rFonts w:cs="Arial"/>
          <w:sz w:val="22"/>
        </w:rPr>
        <w:t xml:space="preserve"> </w:t>
      </w:r>
      <w:r w:rsidR="00E7079E" w:rsidRPr="00833851">
        <w:rPr>
          <w:rFonts w:cs="Arial"/>
          <w:sz w:val="22"/>
        </w:rPr>
        <w:t>Sex is categorised as male or female.</w:t>
      </w:r>
    </w:p>
    <w:p w:rsidR="00AF2DE6" w:rsidRPr="00833851" w:rsidRDefault="00AF2DE6" w:rsidP="00381F08">
      <w:pPr>
        <w:spacing w:after="0" w:line="240" w:lineRule="auto"/>
        <w:rPr>
          <w:rFonts w:cs="Arial"/>
          <w:sz w:val="22"/>
        </w:rPr>
      </w:pPr>
    </w:p>
    <w:p w:rsidR="00470CB5" w:rsidRPr="00833851" w:rsidRDefault="00E7079E" w:rsidP="00381F08">
      <w:pPr>
        <w:spacing w:after="0" w:line="240" w:lineRule="auto"/>
        <w:rPr>
          <w:rFonts w:cs="Arial"/>
          <w:color w:val="000000"/>
          <w:sz w:val="22"/>
        </w:rPr>
      </w:pPr>
      <w:r w:rsidRPr="00833851">
        <w:rPr>
          <w:rFonts w:cs="Arial"/>
          <w:sz w:val="22"/>
        </w:rPr>
        <w:t>T</w:t>
      </w:r>
      <w:r w:rsidRPr="00833851">
        <w:rPr>
          <w:rFonts w:cs="Arial"/>
          <w:color w:val="000000"/>
          <w:sz w:val="22"/>
        </w:rPr>
        <w:t>he admission type in New Zealand includes acute, arranged and elective.</w:t>
      </w:r>
      <w:r w:rsidR="00A379F6" w:rsidRPr="00833851">
        <w:rPr>
          <w:rFonts w:cs="Arial"/>
          <w:color w:val="000000"/>
          <w:sz w:val="22"/>
        </w:rPr>
        <w:t xml:space="preserve"> </w:t>
      </w:r>
      <w:r w:rsidR="00124661" w:rsidRPr="00833851">
        <w:rPr>
          <w:rFonts w:cs="Arial"/>
          <w:color w:val="000000"/>
          <w:sz w:val="22"/>
        </w:rPr>
        <w:t xml:space="preserve"> </w:t>
      </w:r>
      <w:r w:rsidRPr="00833851">
        <w:rPr>
          <w:rFonts w:cs="Arial"/>
          <w:color w:val="000000"/>
          <w:sz w:val="22"/>
        </w:rPr>
        <w:t xml:space="preserve">An acute admission is defined as “An unplanned admission on the day of presentation at the admitting healthcare facility. </w:t>
      </w:r>
      <w:r w:rsidR="00124661" w:rsidRPr="00833851">
        <w:rPr>
          <w:rFonts w:cs="Arial"/>
          <w:color w:val="000000"/>
          <w:sz w:val="22"/>
        </w:rPr>
        <w:t xml:space="preserve"> </w:t>
      </w:r>
      <w:r w:rsidRPr="00833851">
        <w:rPr>
          <w:rFonts w:cs="Arial"/>
          <w:color w:val="000000"/>
          <w:sz w:val="22"/>
        </w:rPr>
        <w:t>This may have been from the Emergency or Outpatient Departments of the healthcare facility or a transfer from another facility.”</w:t>
      </w:r>
      <w:bookmarkStart w:id="0" w:name="_Ref425943637"/>
      <w:r w:rsidR="00470CB5" w:rsidRPr="00833851">
        <w:rPr>
          <w:rStyle w:val="FootnoteReference"/>
          <w:rFonts w:cs="Arial"/>
          <w:color w:val="000000"/>
          <w:sz w:val="22"/>
        </w:rPr>
        <w:footnoteReference w:id="2"/>
      </w:r>
      <w:bookmarkEnd w:id="0"/>
    </w:p>
    <w:p w:rsidR="00AF2DE6" w:rsidRPr="00833851" w:rsidRDefault="00AF2DE6" w:rsidP="00381F08">
      <w:pPr>
        <w:spacing w:after="0" w:line="240" w:lineRule="auto"/>
        <w:rPr>
          <w:rFonts w:cs="Arial"/>
          <w:color w:val="000000"/>
          <w:sz w:val="22"/>
        </w:rPr>
      </w:pPr>
    </w:p>
    <w:p w:rsidR="00385947" w:rsidRPr="00833851" w:rsidRDefault="00E7079E" w:rsidP="00381F08">
      <w:pPr>
        <w:spacing w:after="0" w:line="240" w:lineRule="auto"/>
        <w:rPr>
          <w:rFonts w:cs="Arial"/>
          <w:color w:val="000000"/>
          <w:sz w:val="22"/>
        </w:rPr>
      </w:pPr>
      <w:r w:rsidRPr="00833851">
        <w:rPr>
          <w:rFonts w:cs="Arial"/>
          <w:color w:val="000000"/>
          <w:sz w:val="22"/>
        </w:rPr>
        <w:t>An arranged admission is one where “the admission date is less than seven days after the date the decision was made by the specialist that this admission was necessary, or - the admission relates to normal maternity cases, 37 to 42 weeks gestation, delivered during the event.”</w:t>
      </w:r>
      <w:r w:rsidR="00470CB5" w:rsidRPr="00833851">
        <w:rPr>
          <w:rFonts w:cs="Arial"/>
          <w:color w:val="000000"/>
          <w:sz w:val="22"/>
          <w:vertAlign w:val="superscript"/>
        </w:rPr>
        <w:fldChar w:fldCharType="begin"/>
      </w:r>
      <w:r w:rsidR="00470CB5" w:rsidRPr="00833851">
        <w:rPr>
          <w:rFonts w:cs="Arial"/>
          <w:color w:val="000000"/>
          <w:sz w:val="22"/>
          <w:vertAlign w:val="superscript"/>
        </w:rPr>
        <w:instrText xml:space="preserve"> NOTEREF _Ref425943637 \h  \* MERGEFORMAT </w:instrText>
      </w:r>
      <w:r w:rsidR="00470CB5" w:rsidRPr="00833851">
        <w:rPr>
          <w:rFonts w:cs="Arial"/>
          <w:color w:val="000000"/>
          <w:sz w:val="22"/>
          <w:vertAlign w:val="superscript"/>
        </w:rPr>
      </w:r>
      <w:r w:rsidR="00470CB5" w:rsidRPr="00833851">
        <w:rPr>
          <w:rFonts w:cs="Arial"/>
          <w:color w:val="000000"/>
          <w:sz w:val="22"/>
          <w:vertAlign w:val="superscript"/>
        </w:rPr>
        <w:fldChar w:fldCharType="separate"/>
      </w:r>
      <w:r w:rsidR="005F7C21">
        <w:rPr>
          <w:rFonts w:cs="Arial"/>
          <w:color w:val="000000"/>
          <w:sz w:val="22"/>
          <w:vertAlign w:val="superscript"/>
        </w:rPr>
        <w:t>2</w:t>
      </w:r>
      <w:r w:rsidR="00470CB5" w:rsidRPr="00833851">
        <w:rPr>
          <w:rFonts w:cs="Arial"/>
          <w:color w:val="000000"/>
          <w:sz w:val="22"/>
          <w:vertAlign w:val="superscript"/>
        </w:rPr>
        <w:fldChar w:fldCharType="end"/>
      </w:r>
    </w:p>
    <w:p w:rsidR="00E7079E" w:rsidRPr="00833851" w:rsidRDefault="00E7079E" w:rsidP="00381F08">
      <w:pPr>
        <w:spacing w:after="0" w:line="240" w:lineRule="auto"/>
        <w:rPr>
          <w:rFonts w:cs="Arial"/>
          <w:sz w:val="22"/>
        </w:rPr>
      </w:pPr>
      <w:r w:rsidRPr="00833851">
        <w:rPr>
          <w:rFonts w:cs="Arial"/>
          <w:sz w:val="22"/>
        </w:rPr>
        <w:lastRenderedPageBreak/>
        <w:t>An Elective admission is where the admission date is seven or more days after the decision was made by the specialist that the admission was necessary.</w:t>
      </w:r>
    </w:p>
    <w:p w:rsidR="00AF2DE6" w:rsidRPr="00833851" w:rsidRDefault="00AF2DE6" w:rsidP="00381F08">
      <w:pPr>
        <w:spacing w:after="0" w:line="240" w:lineRule="auto"/>
        <w:rPr>
          <w:rFonts w:cs="Arial"/>
          <w:sz w:val="22"/>
        </w:rPr>
      </w:pPr>
    </w:p>
    <w:p w:rsidR="00E7079E" w:rsidRPr="00833851" w:rsidRDefault="003A433C" w:rsidP="00381F08">
      <w:pPr>
        <w:spacing w:after="0" w:line="240" w:lineRule="auto"/>
        <w:rPr>
          <w:rFonts w:cs="Arial"/>
          <w:sz w:val="22"/>
        </w:rPr>
      </w:pPr>
      <w:r w:rsidRPr="00833851">
        <w:rPr>
          <w:rFonts w:cs="Arial"/>
          <w:sz w:val="22"/>
        </w:rPr>
        <w:t>For the primary diagnosis</w:t>
      </w:r>
      <w:r w:rsidR="00EC68AD" w:rsidRPr="00833851">
        <w:rPr>
          <w:rFonts w:cs="Arial"/>
          <w:sz w:val="22"/>
        </w:rPr>
        <w:t>,</w:t>
      </w:r>
      <w:r w:rsidRPr="00833851">
        <w:rPr>
          <w:rFonts w:cs="Arial"/>
          <w:sz w:val="22"/>
        </w:rPr>
        <w:t xml:space="preserve"> 2</w:t>
      </w:r>
      <w:r w:rsidR="00E7079E" w:rsidRPr="00833851">
        <w:rPr>
          <w:rFonts w:cs="Arial"/>
          <w:sz w:val="22"/>
        </w:rPr>
        <w:t>6 clinical groupings</w:t>
      </w:r>
      <w:r w:rsidRPr="00833851">
        <w:rPr>
          <w:rFonts w:cs="Arial"/>
          <w:sz w:val="22"/>
        </w:rPr>
        <w:t xml:space="preserve"> are used</w:t>
      </w:r>
      <w:r w:rsidR="008F5D64" w:rsidRPr="00833851">
        <w:rPr>
          <w:rFonts w:cs="Arial"/>
          <w:sz w:val="22"/>
        </w:rPr>
        <w:t xml:space="preserve"> to describe body systems and major diagnostic categories</w:t>
      </w:r>
      <w:r w:rsidR="000268A5" w:rsidRPr="00833851">
        <w:rPr>
          <w:rFonts w:cs="Arial"/>
          <w:sz w:val="22"/>
        </w:rPr>
        <w:t xml:space="preserve"> based on ICD</w:t>
      </w:r>
      <w:r w:rsidR="00606443">
        <w:rPr>
          <w:rFonts w:cs="Arial"/>
          <w:sz w:val="22"/>
        </w:rPr>
        <w:t xml:space="preserve"> (International Classification of Diseases)</w:t>
      </w:r>
      <w:r w:rsidR="000268A5" w:rsidRPr="00833851">
        <w:rPr>
          <w:rFonts w:cs="Arial"/>
          <w:sz w:val="22"/>
        </w:rPr>
        <w:t xml:space="preserve"> codes</w:t>
      </w:r>
      <w:r w:rsidRPr="00833851">
        <w:rPr>
          <w:rFonts w:cs="Arial"/>
          <w:sz w:val="22"/>
        </w:rPr>
        <w:t>.</w:t>
      </w:r>
      <w:r w:rsidR="00A379F6" w:rsidRPr="00833851">
        <w:rPr>
          <w:rFonts w:cs="Arial"/>
          <w:sz w:val="22"/>
        </w:rPr>
        <w:t xml:space="preserve"> </w:t>
      </w:r>
      <w:r w:rsidR="00124661" w:rsidRPr="00833851">
        <w:rPr>
          <w:rFonts w:cs="Arial"/>
          <w:sz w:val="22"/>
        </w:rPr>
        <w:t xml:space="preserve"> </w:t>
      </w:r>
      <w:r w:rsidRPr="00833851">
        <w:rPr>
          <w:rFonts w:cs="Arial"/>
          <w:sz w:val="22"/>
        </w:rPr>
        <w:t xml:space="preserve">These are the diagnoses reported </w:t>
      </w:r>
      <w:r w:rsidR="005D59C1" w:rsidRPr="00833851">
        <w:rPr>
          <w:rFonts w:cs="Arial"/>
          <w:sz w:val="22"/>
        </w:rPr>
        <w:t>at discharge.</w:t>
      </w:r>
    </w:p>
    <w:p w:rsidR="00AF2DE6" w:rsidRPr="00833851" w:rsidRDefault="00AF2DE6" w:rsidP="00381F08">
      <w:pPr>
        <w:spacing w:after="0" w:line="240" w:lineRule="auto"/>
        <w:rPr>
          <w:rFonts w:cs="Arial"/>
          <w:sz w:val="22"/>
        </w:rPr>
      </w:pPr>
    </w:p>
    <w:p w:rsidR="00A20E7F" w:rsidRPr="00833851" w:rsidRDefault="00E7079E" w:rsidP="00381F08">
      <w:pPr>
        <w:spacing w:after="0" w:line="240" w:lineRule="auto"/>
        <w:rPr>
          <w:rFonts w:cs="Arial"/>
          <w:color w:val="000000"/>
          <w:sz w:val="22"/>
        </w:rPr>
      </w:pPr>
      <w:r w:rsidRPr="00833851">
        <w:rPr>
          <w:rFonts w:cs="Arial"/>
          <w:sz w:val="22"/>
        </w:rPr>
        <w:t>Prior morbidities</w:t>
      </w:r>
      <w:r w:rsidR="00080A75" w:rsidRPr="00833851">
        <w:rPr>
          <w:rFonts w:cs="Arial"/>
          <w:sz w:val="22"/>
        </w:rPr>
        <w:t>, as a proxy for comorbidity,</w:t>
      </w:r>
      <w:r w:rsidRPr="00833851">
        <w:rPr>
          <w:rFonts w:cs="Arial"/>
          <w:sz w:val="22"/>
        </w:rPr>
        <w:t xml:space="preserve"> are adjusted using the Charlson Comorbidity Index</w:t>
      </w:r>
      <w:r w:rsidR="003A433C" w:rsidRPr="00833851">
        <w:rPr>
          <w:rFonts w:cs="Arial"/>
          <w:sz w:val="22"/>
        </w:rPr>
        <w:t>.</w:t>
      </w:r>
      <w:r w:rsidR="00A379F6" w:rsidRPr="00833851">
        <w:rPr>
          <w:rFonts w:cs="Arial"/>
          <w:sz w:val="22"/>
        </w:rPr>
        <w:t xml:space="preserve"> </w:t>
      </w:r>
      <w:r w:rsidR="00124661" w:rsidRPr="00833851">
        <w:rPr>
          <w:rFonts w:cs="Arial"/>
          <w:sz w:val="22"/>
        </w:rPr>
        <w:t xml:space="preserve"> </w:t>
      </w:r>
      <w:r w:rsidR="00F251AE" w:rsidRPr="00833851">
        <w:rPr>
          <w:rFonts w:cs="Arial"/>
          <w:sz w:val="22"/>
        </w:rPr>
        <w:t>T</w:t>
      </w:r>
      <w:r w:rsidR="00A20E7F" w:rsidRPr="00833851">
        <w:rPr>
          <w:rFonts w:cs="Arial"/>
          <w:sz w:val="22"/>
        </w:rPr>
        <w:t xml:space="preserve">his index is used to identify patients with any of the 17 conditions as a </w:t>
      </w:r>
      <w:r w:rsidR="00B23F07" w:rsidRPr="00833851">
        <w:rPr>
          <w:rFonts w:cs="Arial"/>
          <w:sz w:val="22"/>
        </w:rPr>
        <w:t>primary</w:t>
      </w:r>
      <w:r w:rsidR="00A20E7F" w:rsidRPr="00833851">
        <w:rPr>
          <w:rFonts w:cs="Arial"/>
          <w:sz w:val="22"/>
        </w:rPr>
        <w:t xml:space="preserve"> diagnosis 1 year prior to index admission and the appropriate weighting is assigned accordingly.</w:t>
      </w:r>
      <w:r w:rsidR="00124661" w:rsidRPr="00833851">
        <w:rPr>
          <w:rFonts w:cs="Arial"/>
          <w:sz w:val="22"/>
        </w:rPr>
        <w:t xml:space="preserve"> </w:t>
      </w:r>
      <w:r w:rsidR="00A379F6" w:rsidRPr="00833851">
        <w:rPr>
          <w:rFonts w:cs="Arial"/>
          <w:sz w:val="22"/>
        </w:rPr>
        <w:t xml:space="preserve"> </w:t>
      </w:r>
      <w:r w:rsidR="004548EA" w:rsidRPr="00833851">
        <w:rPr>
          <w:rFonts w:cs="Arial"/>
          <w:color w:val="000000"/>
          <w:sz w:val="22"/>
        </w:rPr>
        <w:t>A</w:t>
      </w:r>
      <w:r w:rsidR="00A20E7F" w:rsidRPr="00833851">
        <w:rPr>
          <w:rFonts w:cs="Arial"/>
          <w:color w:val="000000"/>
          <w:sz w:val="22"/>
        </w:rPr>
        <w:t xml:space="preserve"> weighting </w:t>
      </w:r>
      <w:r w:rsidR="004548EA" w:rsidRPr="00833851">
        <w:rPr>
          <w:rFonts w:cs="Arial"/>
          <w:color w:val="000000"/>
          <w:sz w:val="22"/>
        </w:rPr>
        <w:t>is</w:t>
      </w:r>
      <w:r w:rsidR="00A20E7F" w:rsidRPr="00833851">
        <w:rPr>
          <w:rFonts w:cs="Arial"/>
          <w:color w:val="000000"/>
          <w:sz w:val="22"/>
        </w:rPr>
        <w:t xml:space="preserve"> applied </w:t>
      </w:r>
      <w:r w:rsidR="004548EA" w:rsidRPr="00833851">
        <w:rPr>
          <w:rFonts w:cs="Arial"/>
          <w:color w:val="000000"/>
          <w:sz w:val="22"/>
        </w:rPr>
        <w:t>only once per clinical group.</w:t>
      </w:r>
    </w:p>
    <w:p w:rsidR="00AF2DE6" w:rsidRPr="00833851" w:rsidRDefault="00AF2DE6" w:rsidP="00381F08">
      <w:pPr>
        <w:spacing w:after="0" w:line="240" w:lineRule="auto"/>
        <w:rPr>
          <w:rFonts w:cs="Arial"/>
          <w:sz w:val="22"/>
        </w:rPr>
      </w:pPr>
    </w:p>
    <w:p w:rsidR="00C06CA1" w:rsidRPr="00833851" w:rsidRDefault="00B23F07" w:rsidP="00381F08">
      <w:pPr>
        <w:spacing w:after="0" w:line="240" w:lineRule="auto"/>
        <w:rPr>
          <w:rFonts w:cs="Arial"/>
          <w:b/>
          <w:i/>
          <w:color w:val="000000"/>
          <w:sz w:val="22"/>
        </w:rPr>
      </w:pPr>
      <w:r w:rsidRPr="00833851">
        <w:rPr>
          <w:rFonts w:cs="Arial"/>
          <w:b/>
          <w:i/>
          <w:color w:val="000000"/>
          <w:sz w:val="22"/>
        </w:rPr>
        <w:t>2.3</w:t>
      </w:r>
      <w:r w:rsidRPr="00833851">
        <w:rPr>
          <w:rFonts w:cs="Arial"/>
          <w:b/>
          <w:i/>
          <w:color w:val="000000"/>
          <w:sz w:val="22"/>
        </w:rPr>
        <w:tab/>
      </w:r>
      <w:r w:rsidR="00AF2DE6" w:rsidRPr="00833851">
        <w:rPr>
          <w:rFonts w:cs="Arial"/>
          <w:b/>
          <w:i/>
          <w:color w:val="000000"/>
          <w:sz w:val="22"/>
        </w:rPr>
        <w:t>Statistical Technique</w:t>
      </w:r>
    </w:p>
    <w:p w:rsidR="00AF2DE6" w:rsidRPr="00833851" w:rsidRDefault="00AF2DE6" w:rsidP="00381F08">
      <w:pPr>
        <w:spacing w:after="0" w:line="240" w:lineRule="auto"/>
        <w:rPr>
          <w:rFonts w:cs="Arial"/>
          <w:b/>
          <w:i/>
          <w:color w:val="000000"/>
          <w:sz w:val="22"/>
        </w:rPr>
      </w:pPr>
    </w:p>
    <w:p w:rsidR="00E7079E" w:rsidRPr="00833851" w:rsidRDefault="00A20E7F" w:rsidP="00381F08">
      <w:pPr>
        <w:spacing w:after="0" w:line="240" w:lineRule="auto"/>
        <w:rPr>
          <w:rFonts w:cs="Arial"/>
          <w:sz w:val="22"/>
        </w:rPr>
      </w:pPr>
      <w:r w:rsidRPr="00833851">
        <w:rPr>
          <w:rFonts w:cs="Arial"/>
          <w:color w:val="000000"/>
          <w:sz w:val="22"/>
        </w:rPr>
        <w:t>L</w:t>
      </w:r>
      <w:r w:rsidR="00F251AE" w:rsidRPr="00833851">
        <w:rPr>
          <w:rFonts w:cs="Arial"/>
          <w:color w:val="000000"/>
          <w:sz w:val="22"/>
        </w:rPr>
        <w:t>ogistic regression is used to derive a probability for each combination of variables used in the model</w:t>
      </w:r>
      <w:r w:rsidR="00E7079E" w:rsidRPr="00833851">
        <w:rPr>
          <w:rFonts w:cs="Arial"/>
          <w:sz w:val="22"/>
        </w:rPr>
        <w:t>.</w:t>
      </w:r>
    </w:p>
    <w:p w:rsidR="00AF2DE6" w:rsidRPr="00833851" w:rsidRDefault="00AF2DE6" w:rsidP="00381F08">
      <w:pPr>
        <w:spacing w:after="0" w:line="240" w:lineRule="auto"/>
        <w:rPr>
          <w:rFonts w:cs="Arial"/>
          <w:sz w:val="22"/>
        </w:rPr>
      </w:pPr>
    </w:p>
    <w:p w:rsidR="00C06CA1" w:rsidRPr="00833851" w:rsidRDefault="00B23F07" w:rsidP="00381F08">
      <w:pPr>
        <w:spacing w:after="0" w:line="240" w:lineRule="auto"/>
        <w:rPr>
          <w:rFonts w:cs="Arial"/>
          <w:b/>
          <w:i/>
          <w:sz w:val="22"/>
        </w:rPr>
      </w:pPr>
      <w:r w:rsidRPr="00833851">
        <w:rPr>
          <w:rFonts w:cs="Arial"/>
          <w:b/>
          <w:i/>
          <w:sz w:val="22"/>
        </w:rPr>
        <w:t>2.4</w:t>
      </w:r>
      <w:r w:rsidRPr="00833851">
        <w:rPr>
          <w:rFonts w:cs="Arial"/>
          <w:b/>
          <w:i/>
          <w:sz w:val="22"/>
        </w:rPr>
        <w:tab/>
      </w:r>
      <w:r w:rsidR="00C06CA1" w:rsidRPr="00833851">
        <w:rPr>
          <w:rFonts w:cs="Arial"/>
          <w:b/>
          <w:i/>
          <w:sz w:val="22"/>
        </w:rPr>
        <w:t>Limitations</w:t>
      </w:r>
    </w:p>
    <w:p w:rsidR="00AF2DE6" w:rsidRPr="00833851" w:rsidRDefault="00AF2DE6" w:rsidP="00381F08">
      <w:pPr>
        <w:spacing w:after="0" w:line="240" w:lineRule="auto"/>
        <w:rPr>
          <w:rFonts w:cs="Arial"/>
          <w:b/>
          <w:i/>
          <w:sz w:val="22"/>
        </w:rPr>
      </w:pPr>
    </w:p>
    <w:p w:rsidR="00092FFF" w:rsidRPr="00833851" w:rsidRDefault="00385947" w:rsidP="00381F08">
      <w:pPr>
        <w:spacing w:after="0" w:line="240" w:lineRule="auto"/>
        <w:rPr>
          <w:rFonts w:cs="Arial"/>
          <w:sz w:val="22"/>
        </w:rPr>
      </w:pPr>
      <w:r w:rsidRPr="00833851">
        <w:rPr>
          <w:rFonts w:cs="Arial"/>
          <w:sz w:val="22"/>
        </w:rPr>
        <w:t xml:space="preserve">The Ministry </w:t>
      </w:r>
      <w:r w:rsidR="00B23F07" w:rsidRPr="00833851">
        <w:rPr>
          <w:rFonts w:cs="Arial"/>
          <w:sz w:val="22"/>
        </w:rPr>
        <w:t xml:space="preserve">and </w:t>
      </w:r>
      <w:r w:rsidR="00381F08">
        <w:rPr>
          <w:rFonts w:cs="Arial"/>
          <w:sz w:val="22"/>
        </w:rPr>
        <w:t>the Commission</w:t>
      </w:r>
      <w:r w:rsidR="00381F08" w:rsidRPr="00833851">
        <w:rPr>
          <w:rFonts w:cs="Arial"/>
          <w:sz w:val="22"/>
        </w:rPr>
        <w:t xml:space="preserve"> </w:t>
      </w:r>
      <w:r w:rsidRPr="00833851">
        <w:rPr>
          <w:rFonts w:cs="Arial"/>
          <w:sz w:val="22"/>
        </w:rPr>
        <w:t xml:space="preserve">HSMR was developed using the NHS Scotland HSMR as a model and there are some differences in the scope and </w:t>
      </w:r>
      <w:r w:rsidR="00B23F07" w:rsidRPr="00833851">
        <w:rPr>
          <w:rFonts w:cs="Arial"/>
          <w:sz w:val="22"/>
        </w:rPr>
        <w:t xml:space="preserve">the </w:t>
      </w:r>
      <w:r w:rsidRPr="00833851">
        <w:rPr>
          <w:rFonts w:cs="Arial"/>
          <w:sz w:val="22"/>
        </w:rPr>
        <w:t>way data is collected</w:t>
      </w:r>
      <w:r w:rsidR="00B23F07" w:rsidRPr="00833851">
        <w:rPr>
          <w:rFonts w:cs="Arial"/>
          <w:sz w:val="22"/>
        </w:rPr>
        <w:t>.  This</w:t>
      </w:r>
      <w:r w:rsidRPr="00833851">
        <w:rPr>
          <w:rFonts w:cs="Arial"/>
          <w:sz w:val="22"/>
        </w:rPr>
        <w:t xml:space="preserve"> mean</w:t>
      </w:r>
      <w:r w:rsidR="00B23F07" w:rsidRPr="00833851">
        <w:rPr>
          <w:rFonts w:cs="Arial"/>
          <w:sz w:val="22"/>
        </w:rPr>
        <w:t>s</w:t>
      </w:r>
      <w:r w:rsidRPr="00833851">
        <w:rPr>
          <w:rFonts w:cs="Arial"/>
          <w:sz w:val="22"/>
        </w:rPr>
        <w:t xml:space="preserve"> that the model could not be completely </w:t>
      </w:r>
      <w:r w:rsidR="005525E3" w:rsidRPr="00833851">
        <w:rPr>
          <w:rFonts w:cs="Arial"/>
          <w:sz w:val="22"/>
        </w:rPr>
        <w:t>replicated</w:t>
      </w:r>
      <w:r w:rsidRPr="00833851">
        <w:rPr>
          <w:rFonts w:cs="Arial"/>
          <w:sz w:val="22"/>
        </w:rPr>
        <w:t>.</w:t>
      </w:r>
      <w:r w:rsidR="00F251AE" w:rsidRPr="00833851">
        <w:rPr>
          <w:rFonts w:cs="Arial"/>
          <w:sz w:val="22"/>
        </w:rPr>
        <w:t xml:space="preserve"> </w:t>
      </w:r>
      <w:r w:rsidR="00124661" w:rsidRPr="00833851">
        <w:rPr>
          <w:rFonts w:cs="Arial"/>
          <w:sz w:val="22"/>
        </w:rPr>
        <w:t xml:space="preserve"> </w:t>
      </w:r>
      <w:r w:rsidR="00F251AE" w:rsidRPr="00833851">
        <w:rPr>
          <w:rFonts w:cs="Arial"/>
          <w:sz w:val="22"/>
        </w:rPr>
        <w:t>V</w:t>
      </w:r>
      <w:r w:rsidR="003761BF" w:rsidRPr="00833851">
        <w:rPr>
          <w:rFonts w:cs="Arial"/>
          <w:sz w:val="22"/>
        </w:rPr>
        <w:t xml:space="preserve">ariables such as admission source </w:t>
      </w:r>
      <w:r w:rsidR="004548EA" w:rsidRPr="00833851">
        <w:rPr>
          <w:rFonts w:cs="Arial"/>
          <w:sz w:val="22"/>
        </w:rPr>
        <w:t xml:space="preserve">as defined in Scotland </w:t>
      </w:r>
      <w:r w:rsidR="003761BF" w:rsidRPr="00833851">
        <w:rPr>
          <w:rFonts w:cs="Arial"/>
          <w:sz w:val="22"/>
        </w:rPr>
        <w:t>and previous emergency admissions are not included due to unavailability of this data in the NMDS dataset.</w:t>
      </w:r>
      <w:r w:rsidR="00A379F6" w:rsidRPr="00833851">
        <w:rPr>
          <w:rFonts w:cs="Arial"/>
          <w:sz w:val="22"/>
        </w:rPr>
        <w:t xml:space="preserve"> </w:t>
      </w:r>
      <w:r w:rsidR="00124661" w:rsidRPr="00833851">
        <w:rPr>
          <w:rFonts w:cs="Arial"/>
          <w:sz w:val="22"/>
        </w:rPr>
        <w:t xml:space="preserve"> </w:t>
      </w:r>
      <w:r w:rsidR="00EA7462" w:rsidRPr="00833851">
        <w:rPr>
          <w:rFonts w:cs="Arial"/>
          <w:sz w:val="22"/>
        </w:rPr>
        <w:t>There are also differences in the way data is collected in Scot</w:t>
      </w:r>
      <w:r w:rsidR="00F251AE" w:rsidRPr="00833851">
        <w:rPr>
          <w:rFonts w:cs="Arial"/>
          <w:sz w:val="22"/>
        </w:rPr>
        <w:t>land and New Zealand.</w:t>
      </w:r>
      <w:r w:rsidR="00A379F6" w:rsidRPr="00833851">
        <w:rPr>
          <w:rFonts w:cs="Arial"/>
          <w:sz w:val="22"/>
        </w:rPr>
        <w:t xml:space="preserve"> </w:t>
      </w:r>
      <w:r w:rsidR="00124661" w:rsidRPr="00833851">
        <w:rPr>
          <w:rFonts w:cs="Arial"/>
          <w:sz w:val="22"/>
        </w:rPr>
        <w:t xml:space="preserve"> </w:t>
      </w:r>
      <w:r w:rsidR="00EA7462" w:rsidRPr="00833851">
        <w:rPr>
          <w:rFonts w:cs="Arial"/>
          <w:sz w:val="22"/>
        </w:rPr>
        <w:t xml:space="preserve">Scotland refers to ‘spells’ whilst </w:t>
      </w:r>
      <w:r w:rsidR="00B23F07" w:rsidRPr="00833851">
        <w:rPr>
          <w:rFonts w:cs="Arial"/>
          <w:sz w:val="22"/>
        </w:rPr>
        <w:t>the Ministry</w:t>
      </w:r>
      <w:r w:rsidR="00EC68AD" w:rsidRPr="00833851">
        <w:rPr>
          <w:rFonts w:cs="Arial"/>
          <w:sz w:val="22"/>
        </w:rPr>
        <w:t xml:space="preserve"> and</w:t>
      </w:r>
      <w:r w:rsidR="00B92517">
        <w:rPr>
          <w:rFonts w:cs="Arial"/>
          <w:sz w:val="22"/>
        </w:rPr>
        <w:t xml:space="preserve"> </w:t>
      </w:r>
      <w:r w:rsidR="00381F08">
        <w:rPr>
          <w:rFonts w:cs="Arial"/>
          <w:sz w:val="22"/>
        </w:rPr>
        <w:t>the Commission</w:t>
      </w:r>
      <w:r w:rsidR="00EC68AD" w:rsidRPr="00833851">
        <w:rPr>
          <w:rFonts w:cs="Arial"/>
          <w:sz w:val="22"/>
        </w:rPr>
        <w:t xml:space="preserve"> model</w:t>
      </w:r>
      <w:r w:rsidR="00EA7462" w:rsidRPr="00833851">
        <w:rPr>
          <w:rFonts w:cs="Arial"/>
          <w:sz w:val="22"/>
        </w:rPr>
        <w:t xml:space="preserve"> </w:t>
      </w:r>
      <w:r w:rsidR="00CD1199" w:rsidRPr="00833851">
        <w:rPr>
          <w:rFonts w:cs="Arial"/>
          <w:sz w:val="22"/>
        </w:rPr>
        <w:t xml:space="preserve">records </w:t>
      </w:r>
      <w:r w:rsidR="00EA7462" w:rsidRPr="00833851">
        <w:rPr>
          <w:rFonts w:cs="Arial"/>
          <w:sz w:val="22"/>
        </w:rPr>
        <w:t>patient ‘events’.</w:t>
      </w:r>
      <w:r w:rsidR="00124661" w:rsidRPr="00833851">
        <w:rPr>
          <w:rFonts w:cs="Arial"/>
          <w:sz w:val="22"/>
        </w:rPr>
        <w:t xml:space="preserve"> </w:t>
      </w:r>
      <w:r w:rsidR="00A379F6" w:rsidRPr="00833851">
        <w:rPr>
          <w:rFonts w:cs="Arial"/>
          <w:sz w:val="22"/>
        </w:rPr>
        <w:t xml:space="preserve"> </w:t>
      </w:r>
      <w:r w:rsidR="00CD1199" w:rsidRPr="00833851">
        <w:rPr>
          <w:rFonts w:cs="Arial"/>
          <w:sz w:val="22"/>
        </w:rPr>
        <w:t>Due to data unavailability</w:t>
      </w:r>
      <w:r w:rsidR="00EC68AD" w:rsidRPr="00833851">
        <w:rPr>
          <w:rFonts w:cs="Arial"/>
          <w:sz w:val="22"/>
        </w:rPr>
        <w:t>,</w:t>
      </w:r>
      <w:r w:rsidR="00CD1199" w:rsidRPr="00833851">
        <w:rPr>
          <w:rFonts w:cs="Arial"/>
          <w:sz w:val="22"/>
        </w:rPr>
        <w:t xml:space="preserve"> prior morbidity is based on data 1 year </w:t>
      </w:r>
      <w:r w:rsidR="00101C1D">
        <w:rPr>
          <w:rFonts w:cs="Arial"/>
          <w:sz w:val="22"/>
        </w:rPr>
        <w:t>prior to admission rather than five</w:t>
      </w:r>
      <w:r w:rsidR="00CD1199" w:rsidRPr="00833851">
        <w:rPr>
          <w:rFonts w:cs="Arial"/>
          <w:sz w:val="22"/>
        </w:rPr>
        <w:t xml:space="preserve"> years prior to admission in the Scottish model.</w:t>
      </w:r>
    </w:p>
    <w:p w:rsidR="00AF2DE6" w:rsidRPr="00833851" w:rsidRDefault="00AF2DE6" w:rsidP="00381F08">
      <w:pPr>
        <w:spacing w:after="0" w:line="240" w:lineRule="auto"/>
        <w:rPr>
          <w:rFonts w:cs="Arial"/>
          <w:sz w:val="22"/>
        </w:rPr>
      </w:pPr>
    </w:p>
    <w:p w:rsidR="003761BF" w:rsidRPr="00833851" w:rsidRDefault="00092FFF" w:rsidP="00381F08">
      <w:pPr>
        <w:spacing w:after="0" w:line="240" w:lineRule="auto"/>
        <w:rPr>
          <w:rFonts w:cs="Arial"/>
          <w:sz w:val="22"/>
        </w:rPr>
      </w:pPr>
      <w:r w:rsidRPr="00833851">
        <w:rPr>
          <w:rFonts w:cs="Arial"/>
          <w:sz w:val="22"/>
        </w:rPr>
        <w:t>One limitation that all HSMR measures have is that their risk adjustment is necessarily imperfect, as not all variation between patients can be captured in routine administrative data such as the NMDS.</w:t>
      </w:r>
      <w:r w:rsidR="00A379F6" w:rsidRPr="00833851">
        <w:rPr>
          <w:rFonts w:cs="Arial"/>
          <w:sz w:val="22"/>
        </w:rPr>
        <w:t xml:space="preserve"> </w:t>
      </w:r>
      <w:r w:rsidR="00124661" w:rsidRPr="00833851">
        <w:rPr>
          <w:rFonts w:cs="Arial"/>
          <w:sz w:val="22"/>
        </w:rPr>
        <w:t xml:space="preserve"> </w:t>
      </w:r>
      <w:r w:rsidRPr="00833851">
        <w:rPr>
          <w:rFonts w:cs="Arial"/>
          <w:sz w:val="22"/>
        </w:rPr>
        <w:t>In particular the relative acuity of each patient is very hard to capture.</w:t>
      </w:r>
      <w:r w:rsidR="00A379F6" w:rsidRPr="00833851">
        <w:rPr>
          <w:rFonts w:cs="Arial"/>
          <w:sz w:val="22"/>
        </w:rPr>
        <w:t xml:space="preserve"> </w:t>
      </w:r>
      <w:r w:rsidR="00124661" w:rsidRPr="00833851">
        <w:rPr>
          <w:rFonts w:cs="Arial"/>
          <w:sz w:val="22"/>
        </w:rPr>
        <w:t xml:space="preserve"> </w:t>
      </w:r>
      <w:r w:rsidR="000A534F" w:rsidRPr="00833851">
        <w:rPr>
          <w:rFonts w:cs="Arial"/>
          <w:sz w:val="22"/>
        </w:rPr>
        <w:t>The consideration of co-morbidities in the risk adjustment model is in part an attempt to address this, but this is inevitably a limited approach (many very sick patients may have no recorded co-morbidities).</w:t>
      </w:r>
      <w:r w:rsidR="00A379F6" w:rsidRPr="00833851">
        <w:rPr>
          <w:rFonts w:cs="Arial"/>
          <w:sz w:val="22"/>
        </w:rPr>
        <w:t xml:space="preserve"> </w:t>
      </w:r>
      <w:r w:rsidR="00124661" w:rsidRPr="00833851">
        <w:rPr>
          <w:rFonts w:cs="Arial"/>
          <w:sz w:val="22"/>
        </w:rPr>
        <w:t xml:space="preserve"> </w:t>
      </w:r>
      <w:r w:rsidR="000A534F" w:rsidRPr="00833851">
        <w:rPr>
          <w:rFonts w:cs="Arial"/>
          <w:sz w:val="22"/>
        </w:rPr>
        <w:t>This means that any investigation in response to a high or low HSMR should include a consideration of whether there is unadjusted risk to patients affecting the final figure.</w:t>
      </w:r>
    </w:p>
    <w:p w:rsidR="00AF2DE6" w:rsidRPr="00833851" w:rsidRDefault="00AF2DE6" w:rsidP="00381F08">
      <w:pPr>
        <w:spacing w:after="0" w:line="240" w:lineRule="auto"/>
        <w:rPr>
          <w:rFonts w:cs="Arial"/>
          <w:sz w:val="22"/>
        </w:rPr>
      </w:pPr>
    </w:p>
    <w:p w:rsidR="00E16C0C" w:rsidRPr="00833851" w:rsidRDefault="00385947" w:rsidP="00381F08">
      <w:pPr>
        <w:spacing w:after="0" w:line="240" w:lineRule="auto"/>
        <w:rPr>
          <w:rFonts w:cs="Arial"/>
          <w:b/>
          <w:sz w:val="22"/>
        </w:rPr>
      </w:pPr>
      <w:r w:rsidRPr="00833851">
        <w:rPr>
          <w:rFonts w:cs="Arial"/>
          <w:b/>
          <w:sz w:val="22"/>
        </w:rPr>
        <w:t>Table</w:t>
      </w:r>
      <w:r w:rsidR="00E16C0C" w:rsidRPr="00833851">
        <w:rPr>
          <w:rFonts w:cs="Arial"/>
          <w:b/>
          <w:sz w:val="22"/>
        </w:rPr>
        <w:t xml:space="preserve"> </w:t>
      </w:r>
      <w:r w:rsidR="0028030D" w:rsidRPr="00833851">
        <w:rPr>
          <w:rFonts w:cs="Arial"/>
          <w:b/>
          <w:sz w:val="22"/>
        </w:rPr>
        <w:t>2.4.</w:t>
      </w:r>
      <w:r w:rsidR="00E16C0C" w:rsidRPr="00833851">
        <w:rPr>
          <w:rFonts w:cs="Arial"/>
          <w:b/>
          <w:sz w:val="22"/>
        </w:rPr>
        <w:t>1</w:t>
      </w:r>
      <w:r w:rsidR="00796F6A" w:rsidRPr="00833851">
        <w:rPr>
          <w:rFonts w:cs="Arial"/>
          <w:b/>
          <w:sz w:val="22"/>
        </w:rPr>
        <w:t xml:space="preserve"> – </w:t>
      </w:r>
      <w:r w:rsidR="00E16C0C" w:rsidRPr="00833851">
        <w:rPr>
          <w:rFonts w:cs="Arial"/>
          <w:b/>
          <w:sz w:val="22"/>
        </w:rPr>
        <w:t xml:space="preserve">Variables used in </w:t>
      </w:r>
      <w:r w:rsidRPr="00833851">
        <w:rPr>
          <w:rFonts w:cs="Arial"/>
          <w:b/>
          <w:sz w:val="22"/>
        </w:rPr>
        <w:t>the Ministry of Health</w:t>
      </w:r>
      <w:r w:rsidR="00C81E16" w:rsidRPr="00833851">
        <w:rPr>
          <w:rFonts w:cs="Arial"/>
          <w:b/>
          <w:sz w:val="22"/>
        </w:rPr>
        <w:t xml:space="preserve"> and </w:t>
      </w:r>
      <w:r w:rsidR="00381F08" w:rsidRPr="00381F08">
        <w:rPr>
          <w:rFonts w:cs="Arial"/>
          <w:b/>
          <w:sz w:val="22"/>
        </w:rPr>
        <w:t>the Commission</w:t>
      </w:r>
      <w:r w:rsidR="00381F08" w:rsidRPr="00833851">
        <w:rPr>
          <w:rFonts w:cs="Arial"/>
          <w:b/>
          <w:sz w:val="22"/>
        </w:rPr>
        <w:t xml:space="preserve"> </w:t>
      </w:r>
      <w:r w:rsidRPr="00833851">
        <w:rPr>
          <w:rFonts w:cs="Arial"/>
          <w:b/>
          <w:sz w:val="22"/>
        </w:rPr>
        <w:t>HSMR</w:t>
      </w:r>
    </w:p>
    <w:p w:rsidR="00AF2DE6" w:rsidRPr="00833851" w:rsidRDefault="00AF2DE6" w:rsidP="00381F08">
      <w:pPr>
        <w:spacing w:after="0" w:line="240" w:lineRule="auto"/>
        <w:rPr>
          <w:rFonts w:cs="Arial"/>
          <w:b/>
          <w:sz w:val="22"/>
        </w:rPr>
      </w:pPr>
    </w:p>
    <w:tbl>
      <w:tblPr>
        <w:tblStyle w:val="TableGrid"/>
        <w:tblW w:w="4942" w:type="pct"/>
        <w:tblInd w:w="108" w:type="dxa"/>
        <w:tblLayout w:type="fixed"/>
        <w:tblLook w:val="04A0" w:firstRow="1" w:lastRow="0" w:firstColumn="1" w:lastColumn="0" w:noHBand="0" w:noVBand="1"/>
      </w:tblPr>
      <w:tblGrid>
        <w:gridCol w:w="426"/>
        <w:gridCol w:w="2006"/>
        <w:gridCol w:w="6703"/>
      </w:tblGrid>
      <w:tr w:rsidR="00DE484B" w:rsidRPr="00833851" w:rsidTr="00AF2DE6">
        <w:tc>
          <w:tcPr>
            <w:tcW w:w="233" w:type="pct"/>
          </w:tcPr>
          <w:p w:rsidR="00DE484B" w:rsidRPr="00833851" w:rsidRDefault="00DE484B" w:rsidP="00381F08">
            <w:pPr>
              <w:rPr>
                <w:rFonts w:cs="Arial"/>
                <w:b/>
                <w:sz w:val="22"/>
              </w:rPr>
            </w:pPr>
          </w:p>
        </w:tc>
        <w:tc>
          <w:tcPr>
            <w:tcW w:w="1098" w:type="pct"/>
          </w:tcPr>
          <w:p w:rsidR="00DE484B" w:rsidRPr="00833851" w:rsidRDefault="00DE484B" w:rsidP="00381F08">
            <w:pPr>
              <w:rPr>
                <w:rFonts w:cs="Arial"/>
                <w:b/>
                <w:sz w:val="22"/>
              </w:rPr>
            </w:pPr>
            <w:r w:rsidRPr="00833851">
              <w:rPr>
                <w:rFonts w:cs="Arial"/>
                <w:b/>
                <w:sz w:val="22"/>
              </w:rPr>
              <w:t>Variable</w:t>
            </w:r>
          </w:p>
        </w:tc>
        <w:tc>
          <w:tcPr>
            <w:tcW w:w="3669" w:type="pct"/>
          </w:tcPr>
          <w:p w:rsidR="00DE484B" w:rsidRPr="00833851" w:rsidRDefault="00DE484B" w:rsidP="00381F08">
            <w:pPr>
              <w:rPr>
                <w:rFonts w:cs="Arial"/>
                <w:b/>
                <w:sz w:val="22"/>
              </w:rPr>
            </w:pPr>
            <w:r w:rsidRPr="00833851">
              <w:rPr>
                <w:rFonts w:cs="Arial"/>
                <w:b/>
                <w:sz w:val="22"/>
              </w:rPr>
              <w:t>Description</w:t>
            </w:r>
          </w:p>
        </w:tc>
      </w:tr>
      <w:tr w:rsidR="00DE484B" w:rsidRPr="00833851" w:rsidTr="00AF2DE6">
        <w:tc>
          <w:tcPr>
            <w:tcW w:w="233" w:type="pct"/>
          </w:tcPr>
          <w:p w:rsidR="00DE484B" w:rsidRPr="00833851" w:rsidRDefault="00DE484B" w:rsidP="00381F08">
            <w:pPr>
              <w:rPr>
                <w:rFonts w:cs="Arial"/>
                <w:sz w:val="22"/>
              </w:rPr>
            </w:pPr>
            <w:r w:rsidRPr="00833851">
              <w:rPr>
                <w:rFonts w:cs="Arial"/>
                <w:sz w:val="22"/>
              </w:rPr>
              <w:t>1</w:t>
            </w:r>
          </w:p>
        </w:tc>
        <w:tc>
          <w:tcPr>
            <w:tcW w:w="1098" w:type="pct"/>
          </w:tcPr>
          <w:p w:rsidR="00DE484B" w:rsidRPr="00833851" w:rsidRDefault="00DE484B" w:rsidP="00381F08">
            <w:pPr>
              <w:rPr>
                <w:rFonts w:cs="Arial"/>
                <w:sz w:val="22"/>
              </w:rPr>
            </w:pPr>
            <w:r w:rsidRPr="00833851">
              <w:rPr>
                <w:rFonts w:cs="Arial"/>
                <w:sz w:val="22"/>
              </w:rPr>
              <w:t>Sex</w:t>
            </w:r>
          </w:p>
        </w:tc>
        <w:tc>
          <w:tcPr>
            <w:tcW w:w="3669" w:type="pct"/>
          </w:tcPr>
          <w:p w:rsidR="00DE484B" w:rsidRPr="00833851" w:rsidRDefault="00DE484B" w:rsidP="00381F08">
            <w:pPr>
              <w:rPr>
                <w:rFonts w:cs="Arial"/>
                <w:sz w:val="22"/>
              </w:rPr>
            </w:pPr>
            <w:r w:rsidRPr="00833851">
              <w:rPr>
                <w:rFonts w:cs="Arial"/>
                <w:sz w:val="22"/>
              </w:rPr>
              <w:t>Male or Female</w:t>
            </w:r>
          </w:p>
        </w:tc>
      </w:tr>
      <w:tr w:rsidR="00DE484B" w:rsidRPr="00833851" w:rsidTr="00AF2DE6">
        <w:tc>
          <w:tcPr>
            <w:tcW w:w="233" w:type="pct"/>
          </w:tcPr>
          <w:p w:rsidR="00DE484B" w:rsidRPr="00833851" w:rsidRDefault="00DE484B" w:rsidP="00381F08">
            <w:pPr>
              <w:rPr>
                <w:rFonts w:cs="Arial"/>
                <w:sz w:val="22"/>
              </w:rPr>
            </w:pPr>
            <w:r w:rsidRPr="00833851">
              <w:rPr>
                <w:rFonts w:cs="Arial"/>
                <w:sz w:val="22"/>
              </w:rPr>
              <w:t>2</w:t>
            </w:r>
          </w:p>
        </w:tc>
        <w:tc>
          <w:tcPr>
            <w:tcW w:w="1098" w:type="pct"/>
          </w:tcPr>
          <w:p w:rsidR="00DE484B" w:rsidRPr="00833851" w:rsidRDefault="00DE484B" w:rsidP="00381F08">
            <w:pPr>
              <w:rPr>
                <w:rFonts w:cs="Arial"/>
                <w:color w:val="FF0000"/>
                <w:sz w:val="22"/>
              </w:rPr>
            </w:pPr>
            <w:r w:rsidRPr="00833851">
              <w:rPr>
                <w:rFonts w:cs="Arial"/>
                <w:sz w:val="22"/>
              </w:rPr>
              <w:t>Inpatient and Day Case</w:t>
            </w:r>
          </w:p>
        </w:tc>
        <w:tc>
          <w:tcPr>
            <w:tcW w:w="3669" w:type="pct"/>
          </w:tcPr>
          <w:p w:rsidR="00DE484B" w:rsidRPr="00833851" w:rsidRDefault="00DE484B" w:rsidP="00381F08">
            <w:pPr>
              <w:rPr>
                <w:rFonts w:cs="Arial"/>
                <w:sz w:val="22"/>
              </w:rPr>
            </w:pPr>
            <w:r w:rsidRPr="00833851">
              <w:rPr>
                <w:rFonts w:cs="Arial"/>
                <w:sz w:val="22"/>
              </w:rPr>
              <w:t>Inpatient and day case</w:t>
            </w:r>
          </w:p>
        </w:tc>
      </w:tr>
      <w:tr w:rsidR="00DE484B" w:rsidRPr="00833851" w:rsidTr="00AF2DE6">
        <w:tc>
          <w:tcPr>
            <w:tcW w:w="233" w:type="pct"/>
          </w:tcPr>
          <w:p w:rsidR="00DE484B" w:rsidRPr="00833851" w:rsidRDefault="00DE484B" w:rsidP="00381F08">
            <w:pPr>
              <w:rPr>
                <w:rFonts w:cs="Arial"/>
                <w:sz w:val="22"/>
              </w:rPr>
            </w:pPr>
            <w:r w:rsidRPr="00833851">
              <w:rPr>
                <w:rFonts w:cs="Arial"/>
                <w:sz w:val="22"/>
              </w:rPr>
              <w:t>3</w:t>
            </w:r>
          </w:p>
        </w:tc>
        <w:tc>
          <w:tcPr>
            <w:tcW w:w="1098" w:type="pct"/>
          </w:tcPr>
          <w:p w:rsidR="00DE484B" w:rsidRPr="00833851" w:rsidRDefault="00C81E16" w:rsidP="00381F08">
            <w:pPr>
              <w:rPr>
                <w:rFonts w:cs="Arial"/>
                <w:sz w:val="22"/>
              </w:rPr>
            </w:pPr>
            <w:r w:rsidRPr="00833851">
              <w:rPr>
                <w:rFonts w:cs="Arial"/>
                <w:sz w:val="22"/>
              </w:rPr>
              <w:t>Speciality</w:t>
            </w:r>
          </w:p>
        </w:tc>
        <w:tc>
          <w:tcPr>
            <w:tcW w:w="3669" w:type="pct"/>
          </w:tcPr>
          <w:p w:rsidR="00DE484B" w:rsidRPr="00833851" w:rsidRDefault="00C81E16" w:rsidP="00381F08">
            <w:pPr>
              <w:rPr>
                <w:rFonts w:cs="Arial"/>
                <w:sz w:val="22"/>
              </w:rPr>
            </w:pPr>
            <w:r w:rsidRPr="00833851">
              <w:rPr>
                <w:rFonts w:cs="Arial"/>
                <w:sz w:val="22"/>
              </w:rPr>
              <w:t>Health S</w:t>
            </w:r>
            <w:r w:rsidR="00DE484B" w:rsidRPr="00833851">
              <w:rPr>
                <w:rFonts w:cs="Arial"/>
                <w:sz w:val="22"/>
              </w:rPr>
              <w:t xml:space="preserve">pecialty </w:t>
            </w:r>
            <w:r w:rsidRPr="00833851">
              <w:rPr>
                <w:rFonts w:cs="Arial"/>
                <w:sz w:val="22"/>
              </w:rPr>
              <w:t xml:space="preserve">of consultant during period of care </w:t>
            </w:r>
            <w:r w:rsidR="00101C1D">
              <w:rPr>
                <w:rFonts w:cs="Arial"/>
                <w:sz w:val="22"/>
              </w:rPr>
              <w:t>(surgical/</w:t>
            </w:r>
            <w:r w:rsidR="00101C1D">
              <w:rPr>
                <w:rFonts w:cs="Arial"/>
                <w:sz w:val="22"/>
              </w:rPr>
              <w:br/>
              <w:t>non-surgical)</w:t>
            </w:r>
          </w:p>
        </w:tc>
      </w:tr>
      <w:tr w:rsidR="00DE484B" w:rsidRPr="00833851" w:rsidTr="00AF2DE6">
        <w:tc>
          <w:tcPr>
            <w:tcW w:w="233" w:type="pct"/>
          </w:tcPr>
          <w:p w:rsidR="00DE484B" w:rsidRPr="00833851" w:rsidRDefault="00DE484B" w:rsidP="00381F08">
            <w:pPr>
              <w:rPr>
                <w:rFonts w:cs="Arial"/>
                <w:sz w:val="22"/>
              </w:rPr>
            </w:pPr>
            <w:r w:rsidRPr="00833851">
              <w:rPr>
                <w:rFonts w:cs="Arial"/>
                <w:sz w:val="22"/>
              </w:rPr>
              <w:t>4</w:t>
            </w:r>
          </w:p>
        </w:tc>
        <w:tc>
          <w:tcPr>
            <w:tcW w:w="1098" w:type="pct"/>
          </w:tcPr>
          <w:p w:rsidR="00DE484B" w:rsidRPr="00833851" w:rsidRDefault="00DE484B" w:rsidP="00381F08">
            <w:pPr>
              <w:rPr>
                <w:rFonts w:cs="Arial"/>
                <w:sz w:val="22"/>
              </w:rPr>
            </w:pPr>
            <w:r w:rsidRPr="00833851">
              <w:rPr>
                <w:rFonts w:cs="Arial"/>
                <w:sz w:val="22"/>
              </w:rPr>
              <w:t>Age</w:t>
            </w:r>
          </w:p>
        </w:tc>
        <w:tc>
          <w:tcPr>
            <w:tcW w:w="3669" w:type="pct"/>
            <w:shd w:val="clear" w:color="auto" w:fill="auto"/>
          </w:tcPr>
          <w:p w:rsidR="00DE484B" w:rsidRPr="00833851" w:rsidRDefault="00101C1D" w:rsidP="00381F08">
            <w:pPr>
              <w:rPr>
                <w:rFonts w:cs="Arial"/>
                <w:sz w:val="22"/>
              </w:rPr>
            </w:pPr>
            <w:r>
              <w:rPr>
                <w:rFonts w:cs="Arial"/>
                <w:sz w:val="22"/>
              </w:rPr>
              <w:t>Age used as one</w:t>
            </w:r>
            <w:r w:rsidR="00DE484B" w:rsidRPr="00833851">
              <w:rPr>
                <w:rFonts w:cs="Arial"/>
                <w:sz w:val="22"/>
              </w:rPr>
              <w:t xml:space="preserve"> year categories to mimic as closely as possible to the Scottish model where age is continuous </w:t>
            </w:r>
          </w:p>
        </w:tc>
      </w:tr>
      <w:tr w:rsidR="00DE484B" w:rsidRPr="00833851" w:rsidTr="00AF2DE6">
        <w:tc>
          <w:tcPr>
            <w:tcW w:w="233" w:type="pct"/>
          </w:tcPr>
          <w:p w:rsidR="00DE484B" w:rsidRPr="00833851" w:rsidRDefault="00DE484B" w:rsidP="00381F08">
            <w:pPr>
              <w:rPr>
                <w:rFonts w:cs="Arial"/>
                <w:sz w:val="22"/>
              </w:rPr>
            </w:pPr>
            <w:r w:rsidRPr="00833851">
              <w:rPr>
                <w:rFonts w:cs="Arial"/>
                <w:sz w:val="22"/>
              </w:rPr>
              <w:t>5</w:t>
            </w:r>
          </w:p>
        </w:tc>
        <w:tc>
          <w:tcPr>
            <w:tcW w:w="1098" w:type="pct"/>
          </w:tcPr>
          <w:p w:rsidR="00DE484B" w:rsidRPr="00833851" w:rsidRDefault="00DE484B" w:rsidP="00381F08">
            <w:pPr>
              <w:rPr>
                <w:rFonts w:cs="Arial"/>
                <w:sz w:val="22"/>
              </w:rPr>
            </w:pPr>
            <w:r w:rsidRPr="00833851">
              <w:rPr>
                <w:rFonts w:cs="Arial"/>
                <w:sz w:val="22"/>
              </w:rPr>
              <w:t>Primary Diagnosis Code</w:t>
            </w:r>
          </w:p>
        </w:tc>
        <w:tc>
          <w:tcPr>
            <w:tcW w:w="3669" w:type="pct"/>
          </w:tcPr>
          <w:p w:rsidR="00DE484B" w:rsidRPr="00833851" w:rsidRDefault="00DE484B" w:rsidP="00381F08">
            <w:pPr>
              <w:rPr>
                <w:rFonts w:cs="Arial"/>
                <w:sz w:val="22"/>
              </w:rPr>
            </w:pPr>
            <w:r w:rsidRPr="00833851">
              <w:rPr>
                <w:rFonts w:cs="Arial"/>
                <w:sz w:val="22"/>
              </w:rPr>
              <w:t xml:space="preserve">Uses 26 clinical groupings. Diagnosis is based on what is reported at discharge </w:t>
            </w:r>
          </w:p>
        </w:tc>
      </w:tr>
      <w:tr w:rsidR="00DE484B" w:rsidRPr="00833851" w:rsidTr="00AF2DE6">
        <w:tc>
          <w:tcPr>
            <w:tcW w:w="233" w:type="pct"/>
          </w:tcPr>
          <w:p w:rsidR="00DE484B" w:rsidRPr="00833851" w:rsidRDefault="00DE484B" w:rsidP="00381F08">
            <w:pPr>
              <w:rPr>
                <w:rFonts w:cs="Arial"/>
                <w:sz w:val="22"/>
              </w:rPr>
            </w:pPr>
            <w:r w:rsidRPr="00833851">
              <w:rPr>
                <w:rFonts w:cs="Arial"/>
                <w:sz w:val="22"/>
              </w:rPr>
              <w:t>6</w:t>
            </w:r>
          </w:p>
        </w:tc>
        <w:tc>
          <w:tcPr>
            <w:tcW w:w="1098" w:type="pct"/>
          </w:tcPr>
          <w:p w:rsidR="00DE484B" w:rsidRPr="00833851" w:rsidRDefault="00DE484B" w:rsidP="00381F08">
            <w:pPr>
              <w:rPr>
                <w:rFonts w:cs="Arial"/>
                <w:sz w:val="22"/>
              </w:rPr>
            </w:pPr>
            <w:r w:rsidRPr="00833851">
              <w:rPr>
                <w:rFonts w:cs="Arial"/>
                <w:sz w:val="22"/>
              </w:rPr>
              <w:t xml:space="preserve">Prior-Morbidity </w:t>
            </w:r>
          </w:p>
        </w:tc>
        <w:tc>
          <w:tcPr>
            <w:tcW w:w="3669" w:type="pct"/>
          </w:tcPr>
          <w:p w:rsidR="00DE484B" w:rsidRPr="00833851" w:rsidRDefault="00DE484B" w:rsidP="00381F08">
            <w:pPr>
              <w:rPr>
                <w:rFonts w:cs="Arial"/>
                <w:sz w:val="22"/>
              </w:rPr>
            </w:pPr>
            <w:r w:rsidRPr="00833851">
              <w:rPr>
                <w:rFonts w:cs="Arial"/>
                <w:sz w:val="22"/>
              </w:rPr>
              <w:t xml:space="preserve">Uses Charlson Comorbidity index to identify patients with any of the 17 conditions as a </w:t>
            </w:r>
            <w:r w:rsidR="00C81E16" w:rsidRPr="00833851">
              <w:rPr>
                <w:rFonts w:cs="Arial"/>
                <w:sz w:val="22"/>
              </w:rPr>
              <w:t>primary</w:t>
            </w:r>
            <w:r w:rsidR="00101C1D">
              <w:rPr>
                <w:rFonts w:cs="Arial"/>
                <w:sz w:val="22"/>
              </w:rPr>
              <w:t xml:space="preserve"> diagnosis one</w:t>
            </w:r>
            <w:r w:rsidRPr="00833851">
              <w:rPr>
                <w:rFonts w:cs="Arial"/>
                <w:sz w:val="22"/>
              </w:rPr>
              <w:t xml:space="preserve"> year prior to index admission. The appropriate weighting </w:t>
            </w:r>
            <w:r w:rsidR="00C81E16" w:rsidRPr="00833851">
              <w:rPr>
                <w:rFonts w:cs="Arial"/>
                <w:sz w:val="22"/>
              </w:rPr>
              <w:t xml:space="preserve">is </w:t>
            </w:r>
            <w:r w:rsidRPr="00833851">
              <w:rPr>
                <w:rFonts w:cs="Arial"/>
                <w:sz w:val="22"/>
              </w:rPr>
              <w:t xml:space="preserve">assigned. </w:t>
            </w:r>
          </w:p>
        </w:tc>
      </w:tr>
      <w:tr w:rsidR="00DE484B" w:rsidRPr="00833851" w:rsidTr="00AF2DE6">
        <w:tc>
          <w:tcPr>
            <w:tcW w:w="233" w:type="pct"/>
          </w:tcPr>
          <w:p w:rsidR="00DE484B" w:rsidRPr="00833851" w:rsidRDefault="00DE484B" w:rsidP="00381F08">
            <w:pPr>
              <w:rPr>
                <w:rFonts w:cs="Arial"/>
                <w:sz w:val="22"/>
              </w:rPr>
            </w:pPr>
            <w:r w:rsidRPr="00833851">
              <w:rPr>
                <w:rFonts w:cs="Arial"/>
                <w:sz w:val="22"/>
              </w:rPr>
              <w:t>7</w:t>
            </w:r>
          </w:p>
        </w:tc>
        <w:tc>
          <w:tcPr>
            <w:tcW w:w="1098" w:type="pct"/>
          </w:tcPr>
          <w:p w:rsidR="00DE484B" w:rsidRPr="00833851" w:rsidRDefault="00DE484B" w:rsidP="00381F08">
            <w:pPr>
              <w:rPr>
                <w:rFonts w:cs="Arial"/>
                <w:sz w:val="22"/>
              </w:rPr>
            </w:pPr>
            <w:r w:rsidRPr="00833851">
              <w:rPr>
                <w:rFonts w:cs="Arial"/>
                <w:sz w:val="22"/>
              </w:rPr>
              <w:t>Admission type</w:t>
            </w:r>
          </w:p>
        </w:tc>
        <w:tc>
          <w:tcPr>
            <w:tcW w:w="3669" w:type="pct"/>
          </w:tcPr>
          <w:p w:rsidR="00DE484B" w:rsidRPr="00833851" w:rsidRDefault="00DE484B" w:rsidP="00381F08">
            <w:pPr>
              <w:rPr>
                <w:rFonts w:cs="Arial"/>
                <w:sz w:val="22"/>
              </w:rPr>
            </w:pPr>
            <w:r w:rsidRPr="00833851">
              <w:rPr>
                <w:rFonts w:cs="Arial"/>
                <w:sz w:val="22"/>
              </w:rPr>
              <w:t>Elective, acute, arranged</w:t>
            </w:r>
          </w:p>
        </w:tc>
      </w:tr>
      <w:tr w:rsidR="00DE484B" w:rsidRPr="00833851" w:rsidTr="00AF2DE6">
        <w:tc>
          <w:tcPr>
            <w:tcW w:w="233" w:type="pct"/>
          </w:tcPr>
          <w:p w:rsidR="00DE484B" w:rsidRPr="00833851" w:rsidRDefault="00DE484B" w:rsidP="00381F08">
            <w:pPr>
              <w:rPr>
                <w:rFonts w:cs="Arial"/>
                <w:sz w:val="22"/>
              </w:rPr>
            </w:pPr>
            <w:r w:rsidRPr="00833851">
              <w:rPr>
                <w:rFonts w:cs="Arial"/>
                <w:sz w:val="22"/>
              </w:rPr>
              <w:t>8</w:t>
            </w:r>
          </w:p>
        </w:tc>
        <w:tc>
          <w:tcPr>
            <w:tcW w:w="1098" w:type="pct"/>
          </w:tcPr>
          <w:p w:rsidR="00DE484B" w:rsidRPr="00833851" w:rsidRDefault="000268A5" w:rsidP="00381F08">
            <w:pPr>
              <w:rPr>
                <w:rFonts w:cs="Arial"/>
                <w:sz w:val="22"/>
              </w:rPr>
            </w:pPr>
            <w:r w:rsidRPr="00833851">
              <w:rPr>
                <w:rFonts w:cs="Arial"/>
                <w:sz w:val="22"/>
              </w:rPr>
              <w:t>Deprivation Index</w:t>
            </w:r>
          </w:p>
        </w:tc>
        <w:tc>
          <w:tcPr>
            <w:tcW w:w="3669" w:type="pct"/>
          </w:tcPr>
          <w:p w:rsidR="00DE484B" w:rsidRPr="00833851" w:rsidRDefault="0063511C" w:rsidP="00381F08">
            <w:pPr>
              <w:rPr>
                <w:rFonts w:cs="Arial"/>
                <w:sz w:val="22"/>
              </w:rPr>
            </w:pPr>
            <w:r w:rsidRPr="00833851">
              <w:rPr>
                <w:rFonts w:cs="Arial"/>
                <w:sz w:val="22"/>
              </w:rPr>
              <w:t xml:space="preserve">New Zealand </w:t>
            </w:r>
            <w:r w:rsidR="00DE484B" w:rsidRPr="00833851">
              <w:rPr>
                <w:rFonts w:cs="Arial"/>
                <w:sz w:val="22"/>
              </w:rPr>
              <w:t>Deprivation Index</w:t>
            </w:r>
          </w:p>
          <w:p w:rsidR="00DE484B" w:rsidRPr="00833851" w:rsidRDefault="00DE484B" w:rsidP="00381F08">
            <w:pPr>
              <w:rPr>
                <w:rFonts w:cs="Arial"/>
                <w:sz w:val="22"/>
              </w:rPr>
            </w:pPr>
            <w:r w:rsidRPr="00833851">
              <w:rPr>
                <w:rFonts w:cs="Arial"/>
                <w:sz w:val="22"/>
              </w:rPr>
              <w:t>(NZDep06 which is based on Census Data)</w:t>
            </w:r>
          </w:p>
        </w:tc>
      </w:tr>
    </w:tbl>
    <w:p w:rsidR="00AF2DE6" w:rsidRPr="00833851" w:rsidRDefault="00AF2DE6" w:rsidP="00381F08">
      <w:pPr>
        <w:autoSpaceDE w:val="0"/>
        <w:autoSpaceDN w:val="0"/>
        <w:adjustRightInd w:val="0"/>
        <w:spacing w:after="0" w:line="240" w:lineRule="auto"/>
        <w:rPr>
          <w:rFonts w:cs="Arial"/>
          <w:b/>
          <w:sz w:val="22"/>
        </w:rPr>
      </w:pPr>
    </w:p>
    <w:p w:rsidR="00DE484B" w:rsidRPr="00833851" w:rsidRDefault="00DE484B" w:rsidP="00381F08">
      <w:pPr>
        <w:autoSpaceDE w:val="0"/>
        <w:autoSpaceDN w:val="0"/>
        <w:adjustRightInd w:val="0"/>
        <w:spacing w:after="0" w:line="240" w:lineRule="auto"/>
        <w:rPr>
          <w:rFonts w:cs="Arial"/>
          <w:b/>
          <w:sz w:val="22"/>
        </w:rPr>
      </w:pPr>
      <w:r w:rsidRPr="00833851">
        <w:rPr>
          <w:rFonts w:cs="Arial"/>
          <w:b/>
          <w:sz w:val="22"/>
        </w:rPr>
        <w:lastRenderedPageBreak/>
        <w:t>Table 2</w:t>
      </w:r>
      <w:r w:rsidR="0028030D" w:rsidRPr="00833851">
        <w:rPr>
          <w:rFonts w:cs="Arial"/>
          <w:b/>
          <w:sz w:val="22"/>
        </w:rPr>
        <w:t>.4.2</w:t>
      </w:r>
      <w:r w:rsidRPr="00833851">
        <w:rPr>
          <w:rFonts w:cs="Arial"/>
          <w:b/>
          <w:sz w:val="22"/>
        </w:rPr>
        <w:t xml:space="preserve"> – Additional notes on the model</w:t>
      </w:r>
    </w:p>
    <w:p w:rsidR="00DE484B" w:rsidRPr="00833851" w:rsidRDefault="00DE484B" w:rsidP="00381F08">
      <w:pPr>
        <w:autoSpaceDE w:val="0"/>
        <w:autoSpaceDN w:val="0"/>
        <w:adjustRightInd w:val="0"/>
        <w:spacing w:after="0" w:line="240" w:lineRule="auto"/>
        <w:rPr>
          <w:rFonts w:cs="Arial"/>
          <w:b/>
          <w:sz w:val="22"/>
        </w:rPr>
      </w:pPr>
    </w:p>
    <w:tbl>
      <w:tblPr>
        <w:tblStyle w:val="TableGrid"/>
        <w:tblW w:w="0" w:type="auto"/>
        <w:tblInd w:w="108" w:type="dxa"/>
        <w:tblLook w:val="04A0" w:firstRow="1" w:lastRow="0" w:firstColumn="1" w:lastColumn="0" w:noHBand="0" w:noVBand="1"/>
      </w:tblPr>
      <w:tblGrid>
        <w:gridCol w:w="2410"/>
        <w:gridCol w:w="6724"/>
      </w:tblGrid>
      <w:tr w:rsidR="00DE484B" w:rsidRPr="00833851" w:rsidTr="00AF2DE6">
        <w:trPr>
          <w:tblHeader/>
        </w:trPr>
        <w:tc>
          <w:tcPr>
            <w:tcW w:w="2410" w:type="dxa"/>
          </w:tcPr>
          <w:p w:rsidR="00DE484B" w:rsidRPr="00833851" w:rsidRDefault="0063511C" w:rsidP="00381F08">
            <w:pPr>
              <w:rPr>
                <w:rFonts w:cs="Arial"/>
                <w:b/>
                <w:sz w:val="22"/>
              </w:rPr>
            </w:pPr>
            <w:r w:rsidRPr="00833851">
              <w:rPr>
                <w:rFonts w:cs="Arial"/>
                <w:b/>
                <w:sz w:val="22"/>
              </w:rPr>
              <w:t>Criteria</w:t>
            </w:r>
          </w:p>
        </w:tc>
        <w:tc>
          <w:tcPr>
            <w:tcW w:w="6724" w:type="dxa"/>
          </w:tcPr>
          <w:p w:rsidR="00DE484B" w:rsidRPr="00833851" w:rsidRDefault="00DE484B" w:rsidP="00381F08">
            <w:pPr>
              <w:ind w:left="175"/>
              <w:rPr>
                <w:rFonts w:cs="Arial"/>
                <w:b/>
                <w:sz w:val="22"/>
              </w:rPr>
            </w:pPr>
            <w:r w:rsidRPr="00833851">
              <w:rPr>
                <w:rFonts w:cs="Arial"/>
                <w:b/>
                <w:sz w:val="22"/>
              </w:rPr>
              <w:t>Description</w:t>
            </w:r>
          </w:p>
        </w:tc>
      </w:tr>
      <w:tr w:rsidR="00DE484B" w:rsidRPr="00833851" w:rsidTr="00AF2DE6">
        <w:tc>
          <w:tcPr>
            <w:tcW w:w="2410" w:type="dxa"/>
          </w:tcPr>
          <w:p w:rsidR="00DE484B" w:rsidRPr="00833851" w:rsidRDefault="00DE484B" w:rsidP="00381F08">
            <w:pPr>
              <w:rPr>
                <w:rFonts w:cs="Arial"/>
                <w:sz w:val="22"/>
              </w:rPr>
            </w:pPr>
            <w:r w:rsidRPr="00833851">
              <w:rPr>
                <w:rFonts w:cs="Arial"/>
                <w:sz w:val="22"/>
              </w:rPr>
              <w:t>Exclusions</w:t>
            </w:r>
          </w:p>
        </w:tc>
        <w:tc>
          <w:tcPr>
            <w:tcW w:w="6724" w:type="dxa"/>
          </w:tcPr>
          <w:p w:rsidR="00DE484B" w:rsidRPr="00833851" w:rsidRDefault="00DE484B" w:rsidP="00381F08">
            <w:pPr>
              <w:numPr>
                <w:ilvl w:val="0"/>
                <w:numId w:val="2"/>
              </w:numPr>
              <w:ind w:left="317" w:hanging="284"/>
              <w:rPr>
                <w:rFonts w:cs="Arial"/>
                <w:sz w:val="22"/>
              </w:rPr>
            </w:pPr>
            <w:r w:rsidRPr="00833851">
              <w:rPr>
                <w:rFonts w:cs="Arial"/>
                <w:sz w:val="22"/>
              </w:rPr>
              <w:t>excludes maternity related and psychiatric cases</w:t>
            </w:r>
          </w:p>
          <w:p w:rsidR="00DE484B" w:rsidRPr="00833851" w:rsidRDefault="00101C1D" w:rsidP="00381F08">
            <w:pPr>
              <w:numPr>
                <w:ilvl w:val="0"/>
                <w:numId w:val="2"/>
              </w:numPr>
              <w:ind w:left="317" w:hanging="284"/>
              <w:rPr>
                <w:rFonts w:cs="Arial"/>
                <w:sz w:val="22"/>
              </w:rPr>
            </w:pPr>
            <w:r>
              <w:rPr>
                <w:rFonts w:cs="Arial"/>
                <w:sz w:val="22"/>
              </w:rPr>
              <w:t>Neonates and Stillborns</w:t>
            </w:r>
          </w:p>
          <w:p w:rsidR="00DE484B" w:rsidRPr="00833851" w:rsidRDefault="00DE484B" w:rsidP="00381F08">
            <w:pPr>
              <w:numPr>
                <w:ilvl w:val="0"/>
                <w:numId w:val="2"/>
              </w:numPr>
              <w:ind w:left="317" w:hanging="284"/>
              <w:rPr>
                <w:rFonts w:cs="Arial"/>
                <w:sz w:val="22"/>
              </w:rPr>
            </w:pPr>
            <w:r w:rsidRPr="00833851">
              <w:rPr>
                <w:rFonts w:cs="Arial"/>
                <w:sz w:val="22"/>
              </w:rPr>
              <w:t>admissions which are non-casemix (as this information is incomplete)</w:t>
            </w:r>
          </w:p>
          <w:p w:rsidR="00DE484B" w:rsidRPr="00833851" w:rsidRDefault="00DE484B" w:rsidP="00381F08">
            <w:pPr>
              <w:numPr>
                <w:ilvl w:val="0"/>
                <w:numId w:val="2"/>
              </w:numPr>
              <w:ind w:left="317" w:hanging="284"/>
              <w:rPr>
                <w:rFonts w:cs="Arial"/>
                <w:sz w:val="22"/>
              </w:rPr>
            </w:pPr>
            <w:r w:rsidRPr="00833851">
              <w:rPr>
                <w:rFonts w:cs="Arial"/>
                <w:sz w:val="22"/>
              </w:rPr>
              <w:t>non publicly funded private facilities</w:t>
            </w:r>
          </w:p>
          <w:p w:rsidR="00DE484B" w:rsidRPr="00833851" w:rsidRDefault="00DE484B" w:rsidP="00381F08">
            <w:pPr>
              <w:numPr>
                <w:ilvl w:val="0"/>
                <w:numId w:val="2"/>
              </w:numPr>
              <w:ind w:left="317" w:hanging="284"/>
              <w:rPr>
                <w:rFonts w:cs="Arial"/>
                <w:sz w:val="22"/>
              </w:rPr>
            </w:pPr>
            <w:r w:rsidRPr="00833851">
              <w:rPr>
                <w:rFonts w:cs="Arial"/>
                <w:sz w:val="22"/>
              </w:rPr>
              <w:t>admissions where DHB of service is missing (to ensure data quality)</w:t>
            </w:r>
          </w:p>
          <w:p w:rsidR="00DE484B" w:rsidRPr="00833851" w:rsidRDefault="00DE484B" w:rsidP="00381F08">
            <w:pPr>
              <w:numPr>
                <w:ilvl w:val="0"/>
                <w:numId w:val="2"/>
              </w:numPr>
              <w:ind w:left="317" w:hanging="284"/>
              <w:rPr>
                <w:rFonts w:cs="Arial"/>
                <w:sz w:val="22"/>
              </w:rPr>
            </w:pPr>
            <w:r w:rsidRPr="00833851">
              <w:rPr>
                <w:rFonts w:cs="Arial"/>
                <w:sz w:val="22"/>
              </w:rPr>
              <w:t>admissions longer than 365 days (following NZ casemix rules)</w:t>
            </w:r>
          </w:p>
        </w:tc>
      </w:tr>
      <w:tr w:rsidR="00DE484B" w:rsidRPr="00833851" w:rsidTr="00AF2DE6">
        <w:tc>
          <w:tcPr>
            <w:tcW w:w="2410" w:type="dxa"/>
          </w:tcPr>
          <w:p w:rsidR="00DE484B" w:rsidRPr="00833851" w:rsidRDefault="00DE484B" w:rsidP="00381F08">
            <w:pPr>
              <w:rPr>
                <w:rFonts w:cs="Arial"/>
                <w:sz w:val="22"/>
              </w:rPr>
            </w:pPr>
            <w:r w:rsidRPr="00833851">
              <w:rPr>
                <w:rFonts w:cs="Arial"/>
                <w:sz w:val="22"/>
              </w:rPr>
              <w:t>Assessment of the Model</w:t>
            </w:r>
          </w:p>
        </w:tc>
        <w:tc>
          <w:tcPr>
            <w:tcW w:w="6724" w:type="dxa"/>
          </w:tcPr>
          <w:p w:rsidR="00DE484B" w:rsidRPr="00833851" w:rsidRDefault="00526128" w:rsidP="00381F08">
            <w:pPr>
              <w:numPr>
                <w:ilvl w:val="0"/>
                <w:numId w:val="2"/>
              </w:numPr>
              <w:ind w:left="317" w:hanging="284"/>
              <w:rPr>
                <w:rFonts w:cs="Arial"/>
                <w:sz w:val="22"/>
              </w:rPr>
            </w:pPr>
            <w:r w:rsidRPr="00833851">
              <w:rPr>
                <w:rFonts w:cs="Arial"/>
                <w:sz w:val="22"/>
              </w:rPr>
              <w:t>C-statistic of 0.905</w:t>
            </w:r>
          </w:p>
          <w:p w:rsidR="00DE484B" w:rsidRPr="00833851" w:rsidRDefault="00DE484B" w:rsidP="00381F08">
            <w:pPr>
              <w:numPr>
                <w:ilvl w:val="0"/>
                <w:numId w:val="2"/>
              </w:numPr>
              <w:ind w:left="317" w:hanging="284"/>
              <w:rPr>
                <w:rFonts w:cs="Arial"/>
                <w:sz w:val="22"/>
              </w:rPr>
            </w:pPr>
            <w:r w:rsidRPr="00833851">
              <w:rPr>
                <w:rFonts w:cs="Arial"/>
                <w:sz w:val="22"/>
              </w:rPr>
              <w:t xml:space="preserve">Note that models with c-statistic more than 0.8 show good discriminatory power. </w:t>
            </w:r>
          </w:p>
        </w:tc>
      </w:tr>
      <w:tr w:rsidR="00DE484B" w:rsidRPr="00833851" w:rsidTr="00AF2DE6">
        <w:tc>
          <w:tcPr>
            <w:tcW w:w="2410" w:type="dxa"/>
          </w:tcPr>
          <w:p w:rsidR="00DE484B" w:rsidRPr="00833851" w:rsidRDefault="00DE484B" w:rsidP="00381F08">
            <w:pPr>
              <w:rPr>
                <w:rFonts w:cs="Arial"/>
                <w:sz w:val="22"/>
              </w:rPr>
            </w:pPr>
            <w:r w:rsidRPr="00833851">
              <w:rPr>
                <w:rFonts w:cs="Arial"/>
                <w:sz w:val="22"/>
              </w:rPr>
              <w:t xml:space="preserve">Index period upon which </w:t>
            </w:r>
            <w:r w:rsidR="000B428C" w:rsidRPr="00833851">
              <w:rPr>
                <w:rFonts w:cs="Arial"/>
                <w:sz w:val="22"/>
              </w:rPr>
              <w:t>d</w:t>
            </w:r>
            <w:r w:rsidRPr="00833851">
              <w:rPr>
                <w:rFonts w:cs="Arial"/>
                <w:sz w:val="22"/>
              </w:rPr>
              <w:t xml:space="preserve">ata </w:t>
            </w:r>
            <w:r w:rsidR="000B428C" w:rsidRPr="00833851">
              <w:rPr>
                <w:rFonts w:cs="Arial"/>
                <w:sz w:val="22"/>
              </w:rPr>
              <w:t xml:space="preserve">are </w:t>
            </w:r>
            <w:r w:rsidRPr="00833851">
              <w:rPr>
                <w:rFonts w:cs="Arial"/>
                <w:sz w:val="22"/>
              </w:rPr>
              <w:t xml:space="preserve"> based </w:t>
            </w:r>
          </w:p>
        </w:tc>
        <w:tc>
          <w:tcPr>
            <w:tcW w:w="6724" w:type="dxa"/>
          </w:tcPr>
          <w:p w:rsidR="00DE484B" w:rsidRPr="00833851" w:rsidRDefault="00DE484B" w:rsidP="00381F08">
            <w:pPr>
              <w:rPr>
                <w:rFonts w:cs="Arial"/>
                <w:sz w:val="22"/>
              </w:rPr>
            </w:pPr>
            <w:r w:rsidRPr="00833851">
              <w:rPr>
                <w:rFonts w:cs="Arial"/>
                <w:sz w:val="22"/>
              </w:rPr>
              <w:t>Base year 2007</w:t>
            </w:r>
          </w:p>
        </w:tc>
      </w:tr>
      <w:tr w:rsidR="00DE484B" w:rsidRPr="00833851" w:rsidTr="00AF2DE6">
        <w:tc>
          <w:tcPr>
            <w:tcW w:w="2410" w:type="dxa"/>
          </w:tcPr>
          <w:p w:rsidR="00DE484B" w:rsidRPr="00833851" w:rsidRDefault="00DE484B" w:rsidP="00381F08">
            <w:pPr>
              <w:rPr>
                <w:rFonts w:cs="Arial"/>
                <w:sz w:val="22"/>
              </w:rPr>
            </w:pPr>
            <w:r w:rsidRPr="00833851">
              <w:rPr>
                <w:rFonts w:cs="Arial"/>
                <w:sz w:val="22"/>
              </w:rPr>
              <w:t>Source data</w:t>
            </w:r>
          </w:p>
        </w:tc>
        <w:tc>
          <w:tcPr>
            <w:tcW w:w="6724" w:type="dxa"/>
          </w:tcPr>
          <w:p w:rsidR="00DE484B" w:rsidRPr="00833851" w:rsidRDefault="00DE484B" w:rsidP="00381F08">
            <w:pPr>
              <w:rPr>
                <w:rFonts w:cs="Arial"/>
                <w:sz w:val="22"/>
              </w:rPr>
            </w:pPr>
            <w:r w:rsidRPr="00833851">
              <w:rPr>
                <w:rFonts w:cs="Arial"/>
                <w:sz w:val="22"/>
              </w:rPr>
              <w:t>NMDS (inpatient mortality) and mortality data from Births Deaths and Marriages (to include deaths from the community)</w:t>
            </w:r>
          </w:p>
        </w:tc>
      </w:tr>
      <w:tr w:rsidR="00DE484B" w:rsidRPr="00833851" w:rsidTr="00AF2DE6">
        <w:tc>
          <w:tcPr>
            <w:tcW w:w="2410" w:type="dxa"/>
          </w:tcPr>
          <w:p w:rsidR="00DE484B" w:rsidRPr="00833851" w:rsidRDefault="00DE484B" w:rsidP="00381F08">
            <w:pPr>
              <w:rPr>
                <w:rFonts w:cs="Arial"/>
                <w:sz w:val="22"/>
              </w:rPr>
            </w:pPr>
            <w:r w:rsidRPr="00833851">
              <w:rPr>
                <w:rFonts w:cs="Arial"/>
                <w:sz w:val="22"/>
              </w:rPr>
              <w:t>Technique used to calculate predicted deaths</w:t>
            </w:r>
          </w:p>
        </w:tc>
        <w:tc>
          <w:tcPr>
            <w:tcW w:w="6724" w:type="dxa"/>
          </w:tcPr>
          <w:p w:rsidR="00DE484B" w:rsidRPr="00833851" w:rsidRDefault="00DE484B" w:rsidP="00381F08">
            <w:pPr>
              <w:rPr>
                <w:rFonts w:cs="Arial"/>
                <w:sz w:val="22"/>
              </w:rPr>
            </w:pPr>
            <w:r w:rsidRPr="00833851">
              <w:rPr>
                <w:rFonts w:cs="Arial"/>
                <w:sz w:val="22"/>
              </w:rPr>
              <w:t>Logistic regression</w:t>
            </w:r>
          </w:p>
        </w:tc>
      </w:tr>
      <w:tr w:rsidR="00DE484B" w:rsidRPr="00833851" w:rsidTr="00AF2DE6">
        <w:tc>
          <w:tcPr>
            <w:tcW w:w="2410" w:type="dxa"/>
          </w:tcPr>
          <w:p w:rsidR="00DE484B" w:rsidRPr="00833851" w:rsidRDefault="00DE484B" w:rsidP="00381F08">
            <w:pPr>
              <w:rPr>
                <w:rFonts w:cs="Arial"/>
                <w:sz w:val="22"/>
              </w:rPr>
            </w:pPr>
            <w:r w:rsidRPr="00833851">
              <w:rPr>
                <w:rFonts w:cs="Arial"/>
                <w:sz w:val="22"/>
              </w:rPr>
              <w:t>Presentation</w:t>
            </w:r>
          </w:p>
        </w:tc>
        <w:tc>
          <w:tcPr>
            <w:tcW w:w="6724" w:type="dxa"/>
          </w:tcPr>
          <w:p w:rsidR="00DE484B" w:rsidRPr="00833851" w:rsidRDefault="00DE484B" w:rsidP="00381F08">
            <w:pPr>
              <w:rPr>
                <w:rFonts w:cs="Arial"/>
                <w:sz w:val="22"/>
              </w:rPr>
            </w:pPr>
            <w:r w:rsidRPr="00833851">
              <w:rPr>
                <w:rFonts w:cs="Arial"/>
                <w:sz w:val="22"/>
              </w:rPr>
              <w:t>Presented as a ratio</w:t>
            </w:r>
            <w:r w:rsidR="0063511C" w:rsidRPr="00833851">
              <w:rPr>
                <w:rFonts w:cs="Arial"/>
                <w:sz w:val="22"/>
              </w:rPr>
              <w:t xml:space="preserve"> of observed and predicted</w:t>
            </w:r>
            <w:r w:rsidR="000B428C" w:rsidRPr="00833851">
              <w:rPr>
                <w:rFonts w:cs="Arial"/>
                <w:sz w:val="22"/>
              </w:rPr>
              <w:t xml:space="preserve"> deaths</w:t>
            </w:r>
          </w:p>
        </w:tc>
      </w:tr>
    </w:tbl>
    <w:p w:rsidR="00DE484B" w:rsidRPr="00833851" w:rsidRDefault="00DE484B" w:rsidP="00381F08">
      <w:pPr>
        <w:autoSpaceDE w:val="0"/>
        <w:autoSpaceDN w:val="0"/>
        <w:adjustRightInd w:val="0"/>
        <w:spacing w:after="0" w:line="240" w:lineRule="auto"/>
        <w:rPr>
          <w:rFonts w:cs="Arial"/>
          <w:b/>
          <w:sz w:val="22"/>
        </w:rPr>
      </w:pPr>
    </w:p>
    <w:p w:rsidR="00D20B6F" w:rsidRPr="00833851" w:rsidRDefault="0063511C" w:rsidP="00381F08">
      <w:pPr>
        <w:autoSpaceDE w:val="0"/>
        <w:autoSpaceDN w:val="0"/>
        <w:adjustRightInd w:val="0"/>
        <w:spacing w:after="0" w:line="240" w:lineRule="auto"/>
        <w:rPr>
          <w:rFonts w:cs="Arial"/>
          <w:b/>
          <w:sz w:val="22"/>
        </w:rPr>
      </w:pPr>
      <w:r w:rsidRPr="00833851">
        <w:rPr>
          <w:rFonts w:cs="Arial"/>
          <w:b/>
          <w:sz w:val="22"/>
        </w:rPr>
        <w:t>3.0</w:t>
      </w:r>
      <w:r w:rsidRPr="00833851">
        <w:rPr>
          <w:rFonts w:cs="Arial"/>
          <w:b/>
          <w:sz w:val="22"/>
        </w:rPr>
        <w:tab/>
      </w:r>
      <w:r w:rsidR="00D20B6F" w:rsidRPr="00833851">
        <w:rPr>
          <w:rFonts w:cs="Arial"/>
          <w:b/>
          <w:sz w:val="22"/>
        </w:rPr>
        <w:t>Interpreting the graphs</w:t>
      </w:r>
    </w:p>
    <w:p w:rsidR="00D20B6F" w:rsidRPr="00833851" w:rsidRDefault="00D20B6F" w:rsidP="00381F08">
      <w:pPr>
        <w:autoSpaceDE w:val="0"/>
        <w:autoSpaceDN w:val="0"/>
        <w:adjustRightInd w:val="0"/>
        <w:spacing w:after="0" w:line="240" w:lineRule="auto"/>
        <w:rPr>
          <w:rFonts w:cs="Arial"/>
          <w:sz w:val="22"/>
        </w:rPr>
      </w:pPr>
    </w:p>
    <w:p w:rsidR="00B122C1" w:rsidRPr="00833851" w:rsidRDefault="0063511C" w:rsidP="00381F08">
      <w:pPr>
        <w:autoSpaceDE w:val="0"/>
        <w:autoSpaceDN w:val="0"/>
        <w:adjustRightInd w:val="0"/>
        <w:spacing w:after="0" w:line="240" w:lineRule="auto"/>
        <w:rPr>
          <w:rFonts w:cs="Arial"/>
          <w:b/>
          <w:i/>
          <w:sz w:val="22"/>
        </w:rPr>
      </w:pPr>
      <w:r w:rsidRPr="00833851">
        <w:rPr>
          <w:rFonts w:cs="Arial"/>
          <w:b/>
          <w:i/>
          <w:sz w:val="22"/>
        </w:rPr>
        <w:t>3.1</w:t>
      </w:r>
      <w:r w:rsidRPr="00833851">
        <w:rPr>
          <w:rFonts w:cs="Arial"/>
          <w:b/>
          <w:i/>
          <w:sz w:val="22"/>
        </w:rPr>
        <w:tab/>
      </w:r>
      <w:r w:rsidR="00B122C1" w:rsidRPr="00833851">
        <w:rPr>
          <w:rFonts w:cs="Arial"/>
          <w:b/>
          <w:i/>
          <w:sz w:val="22"/>
        </w:rPr>
        <w:t>Line Graphs</w:t>
      </w:r>
    </w:p>
    <w:p w:rsidR="00651A20" w:rsidRPr="00833851" w:rsidRDefault="00651A20" w:rsidP="00381F08">
      <w:pPr>
        <w:autoSpaceDE w:val="0"/>
        <w:autoSpaceDN w:val="0"/>
        <w:adjustRightInd w:val="0"/>
        <w:spacing w:after="0" w:line="240" w:lineRule="auto"/>
        <w:rPr>
          <w:rFonts w:cs="Arial"/>
          <w:sz w:val="22"/>
        </w:rPr>
      </w:pPr>
    </w:p>
    <w:p w:rsidR="00B122C1" w:rsidRPr="00833851" w:rsidRDefault="004E2BBE" w:rsidP="00381F08">
      <w:pPr>
        <w:autoSpaceDE w:val="0"/>
        <w:autoSpaceDN w:val="0"/>
        <w:adjustRightInd w:val="0"/>
        <w:spacing w:after="0" w:line="240" w:lineRule="auto"/>
        <w:rPr>
          <w:rFonts w:cs="Arial"/>
          <w:sz w:val="22"/>
        </w:rPr>
      </w:pPr>
      <w:r>
        <w:rPr>
          <w:rFonts w:cs="Arial"/>
          <w:sz w:val="22"/>
        </w:rPr>
        <w:t>The “Hospital Standardised Mortality Ratios by Year: National” chart</w:t>
      </w:r>
      <w:r w:rsidR="00B122C1" w:rsidRPr="00833851">
        <w:rPr>
          <w:rFonts w:cs="Arial"/>
          <w:sz w:val="22"/>
        </w:rPr>
        <w:t xml:space="preserve"> shows the HSMR at national level by </w:t>
      </w:r>
      <w:r w:rsidR="00EA64F4">
        <w:rPr>
          <w:rFonts w:cs="Arial"/>
          <w:sz w:val="22"/>
        </w:rPr>
        <w:t xml:space="preserve">calendar </w:t>
      </w:r>
      <w:r w:rsidR="00B122C1" w:rsidRPr="00833851">
        <w:rPr>
          <w:rFonts w:cs="Arial"/>
          <w:sz w:val="22"/>
        </w:rPr>
        <w:t xml:space="preserve">year.  </w:t>
      </w:r>
      <w:r>
        <w:rPr>
          <w:rFonts w:cs="Arial"/>
          <w:sz w:val="22"/>
        </w:rPr>
        <w:t>The “Hospital Standardised Mortality Ratios by Year: [DHB]”</w:t>
      </w:r>
      <w:r w:rsidR="00B122C1" w:rsidRPr="00833851">
        <w:rPr>
          <w:rFonts w:cs="Arial"/>
          <w:sz w:val="22"/>
        </w:rPr>
        <w:t xml:space="preserve"> </w:t>
      </w:r>
      <w:r>
        <w:rPr>
          <w:rFonts w:cs="Arial"/>
          <w:sz w:val="22"/>
        </w:rPr>
        <w:t xml:space="preserve">chart </w:t>
      </w:r>
      <w:r w:rsidR="00B122C1" w:rsidRPr="00833851">
        <w:rPr>
          <w:rFonts w:cs="Arial"/>
          <w:sz w:val="22"/>
        </w:rPr>
        <w:t xml:space="preserve">shows HSMR for a specific DHB by </w:t>
      </w:r>
      <w:r w:rsidR="00EA64F4">
        <w:rPr>
          <w:rFonts w:cs="Arial"/>
          <w:sz w:val="22"/>
        </w:rPr>
        <w:t xml:space="preserve">calendar </w:t>
      </w:r>
      <w:r w:rsidR="00B122C1" w:rsidRPr="00833851">
        <w:rPr>
          <w:rFonts w:cs="Arial"/>
          <w:sz w:val="22"/>
        </w:rPr>
        <w:t>yea</w:t>
      </w:r>
      <w:r>
        <w:rPr>
          <w:rFonts w:cs="Arial"/>
          <w:sz w:val="22"/>
        </w:rPr>
        <w:t>r.  The dashed lines show a 99.7</w:t>
      </w:r>
      <w:r w:rsidR="00B122C1" w:rsidRPr="00833851">
        <w:rPr>
          <w:rFonts w:cs="Arial"/>
          <w:sz w:val="22"/>
        </w:rPr>
        <w:t xml:space="preserve"> percent control limit around the </w:t>
      </w:r>
      <w:r w:rsidR="00C92E24" w:rsidRPr="00833851">
        <w:rPr>
          <w:rFonts w:cs="Arial"/>
          <w:sz w:val="22"/>
        </w:rPr>
        <w:t xml:space="preserve">2007 </w:t>
      </w:r>
      <w:r w:rsidR="00B122C1" w:rsidRPr="00833851">
        <w:rPr>
          <w:rFonts w:cs="Arial"/>
          <w:sz w:val="22"/>
        </w:rPr>
        <w:t xml:space="preserve">national </w:t>
      </w:r>
      <w:r w:rsidR="00C92E24" w:rsidRPr="00833851">
        <w:rPr>
          <w:rFonts w:cs="Arial"/>
          <w:sz w:val="22"/>
        </w:rPr>
        <w:t xml:space="preserve">and 2007 </w:t>
      </w:r>
      <w:r w:rsidR="00B122C1" w:rsidRPr="00833851">
        <w:rPr>
          <w:rFonts w:cs="Arial"/>
          <w:sz w:val="22"/>
        </w:rPr>
        <w:t xml:space="preserve">DHB average respectively. </w:t>
      </w:r>
      <w:r w:rsidR="00124661" w:rsidRPr="00833851">
        <w:rPr>
          <w:rFonts w:cs="Arial"/>
          <w:sz w:val="22"/>
        </w:rPr>
        <w:t xml:space="preserve"> </w:t>
      </w:r>
      <w:r w:rsidR="00B122C1" w:rsidRPr="00833851">
        <w:rPr>
          <w:rFonts w:cs="Arial"/>
          <w:sz w:val="22"/>
        </w:rPr>
        <w:t>The year 2007 was chosen as the base year for future comparison.</w:t>
      </w:r>
      <w:r w:rsidR="003125C1" w:rsidRPr="00833851">
        <w:rPr>
          <w:rFonts w:cs="Arial"/>
          <w:sz w:val="22"/>
        </w:rPr>
        <w:t xml:space="preserve">  The observed and predicted number of deaths are provided beneath the charts.  </w:t>
      </w:r>
    </w:p>
    <w:p w:rsidR="00B122C1" w:rsidRPr="00833851" w:rsidRDefault="00B122C1" w:rsidP="00381F08">
      <w:pPr>
        <w:autoSpaceDE w:val="0"/>
        <w:autoSpaceDN w:val="0"/>
        <w:adjustRightInd w:val="0"/>
        <w:spacing w:after="0" w:line="240" w:lineRule="auto"/>
        <w:rPr>
          <w:rFonts w:cs="Arial"/>
          <w:sz w:val="22"/>
        </w:rPr>
      </w:pPr>
    </w:p>
    <w:p w:rsidR="00B122C1" w:rsidRPr="00833851" w:rsidRDefault="0028030D" w:rsidP="00381F08">
      <w:pPr>
        <w:keepNext/>
        <w:autoSpaceDE w:val="0"/>
        <w:autoSpaceDN w:val="0"/>
        <w:adjustRightInd w:val="0"/>
        <w:spacing w:after="0" w:line="240" w:lineRule="auto"/>
        <w:rPr>
          <w:rFonts w:cs="Arial"/>
          <w:b/>
          <w:i/>
          <w:sz w:val="22"/>
        </w:rPr>
      </w:pPr>
      <w:r w:rsidRPr="00833851">
        <w:rPr>
          <w:rFonts w:cs="Arial"/>
          <w:b/>
          <w:i/>
          <w:sz w:val="22"/>
        </w:rPr>
        <w:t>3.2</w:t>
      </w:r>
      <w:r w:rsidRPr="00833851">
        <w:rPr>
          <w:rFonts w:cs="Arial"/>
          <w:b/>
          <w:i/>
          <w:sz w:val="22"/>
        </w:rPr>
        <w:tab/>
      </w:r>
      <w:r w:rsidR="00B122C1" w:rsidRPr="00833851">
        <w:rPr>
          <w:rFonts w:cs="Arial"/>
          <w:b/>
          <w:i/>
          <w:sz w:val="22"/>
        </w:rPr>
        <w:t>Box Chart</w:t>
      </w:r>
    </w:p>
    <w:p w:rsidR="00651A20" w:rsidRPr="00833851" w:rsidRDefault="00651A20" w:rsidP="00381F08">
      <w:pPr>
        <w:keepNext/>
        <w:autoSpaceDE w:val="0"/>
        <w:autoSpaceDN w:val="0"/>
        <w:adjustRightInd w:val="0"/>
        <w:spacing w:after="0" w:line="240" w:lineRule="auto"/>
        <w:rPr>
          <w:rFonts w:cs="Arial"/>
          <w:sz w:val="22"/>
        </w:rPr>
      </w:pPr>
    </w:p>
    <w:p w:rsidR="00B122C1" w:rsidRPr="00833851" w:rsidRDefault="00B122C1" w:rsidP="00381F08">
      <w:pPr>
        <w:keepNext/>
        <w:autoSpaceDE w:val="0"/>
        <w:autoSpaceDN w:val="0"/>
        <w:adjustRightInd w:val="0"/>
        <w:spacing w:after="0" w:line="240" w:lineRule="auto"/>
        <w:rPr>
          <w:rFonts w:cs="Arial"/>
          <w:sz w:val="22"/>
        </w:rPr>
      </w:pPr>
      <w:r w:rsidRPr="00833851">
        <w:rPr>
          <w:rFonts w:cs="Arial"/>
          <w:sz w:val="22"/>
        </w:rPr>
        <w:t xml:space="preserve">The </w:t>
      </w:r>
      <w:r w:rsidR="004E2BBE">
        <w:rPr>
          <w:rFonts w:cs="Arial"/>
          <w:sz w:val="22"/>
        </w:rPr>
        <w:t xml:space="preserve">“Hospital Standardised Mortality Ratios by Year: [DHB], 2013” chart </w:t>
      </w:r>
      <w:r w:rsidRPr="00833851">
        <w:rPr>
          <w:rFonts w:cs="Arial"/>
          <w:sz w:val="22"/>
        </w:rPr>
        <w:t>show</w:t>
      </w:r>
      <w:r w:rsidR="003125C1" w:rsidRPr="00833851">
        <w:rPr>
          <w:rFonts w:cs="Arial"/>
          <w:sz w:val="22"/>
        </w:rPr>
        <w:t>s</w:t>
      </w:r>
      <w:r w:rsidRPr="00833851">
        <w:rPr>
          <w:rFonts w:cs="Arial"/>
          <w:sz w:val="22"/>
        </w:rPr>
        <w:t xml:space="preserve"> where each facility or group of facilities are in relation to the national average HSMR, for example hospitals, over a single period of time. The box chart reflects the predicted variation in the data.</w:t>
      </w:r>
    </w:p>
    <w:p w:rsidR="00B122C1" w:rsidRPr="00833851" w:rsidRDefault="00B122C1" w:rsidP="00381F08">
      <w:pPr>
        <w:autoSpaceDE w:val="0"/>
        <w:autoSpaceDN w:val="0"/>
        <w:adjustRightInd w:val="0"/>
        <w:spacing w:after="0" w:line="240" w:lineRule="auto"/>
        <w:rPr>
          <w:rFonts w:cs="Arial"/>
          <w:sz w:val="22"/>
        </w:rPr>
      </w:pPr>
    </w:p>
    <w:p w:rsidR="00B122C1" w:rsidRPr="00833851" w:rsidRDefault="00B122C1" w:rsidP="00381F08">
      <w:pPr>
        <w:autoSpaceDE w:val="0"/>
        <w:autoSpaceDN w:val="0"/>
        <w:adjustRightInd w:val="0"/>
        <w:spacing w:after="0" w:line="240" w:lineRule="auto"/>
        <w:rPr>
          <w:rFonts w:cs="Arial"/>
          <w:sz w:val="22"/>
        </w:rPr>
      </w:pPr>
      <w:r w:rsidRPr="00833851">
        <w:rPr>
          <w:rFonts w:cs="Arial"/>
          <w:sz w:val="22"/>
        </w:rPr>
        <w:t>The main features of the box chart are:</w:t>
      </w:r>
    </w:p>
    <w:p w:rsidR="00B122C1" w:rsidRPr="00833851" w:rsidRDefault="00B122C1" w:rsidP="00381F08">
      <w:pPr>
        <w:pStyle w:val="ListParagraph"/>
        <w:numPr>
          <w:ilvl w:val="0"/>
          <w:numId w:val="3"/>
        </w:numPr>
        <w:autoSpaceDE w:val="0"/>
        <w:autoSpaceDN w:val="0"/>
        <w:adjustRightInd w:val="0"/>
        <w:spacing w:before="120" w:after="0" w:line="240" w:lineRule="auto"/>
        <w:ind w:left="714" w:hanging="357"/>
        <w:contextualSpacing w:val="0"/>
        <w:rPr>
          <w:rFonts w:cs="Arial"/>
          <w:sz w:val="22"/>
        </w:rPr>
      </w:pPr>
      <w:r w:rsidRPr="00833851">
        <w:rPr>
          <w:rFonts w:cs="Arial"/>
          <w:sz w:val="22"/>
        </w:rPr>
        <w:t>a long black centre line in the background is the national average of the year being evaluated.</w:t>
      </w:r>
    </w:p>
    <w:p w:rsidR="00B122C1" w:rsidRPr="00833851" w:rsidRDefault="00B122C1" w:rsidP="00381F08">
      <w:pPr>
        <w:pStyle w:val="ListParagraph"/>
        <w:numPr>
          <w:ilvl w:val="0"/>
          <w:numId w:val="3"/>
        </w:numPr>
        <w:autoSpaceDE w:val="0"/>
        <w:autoSpaceDN w:val="0"/>
        <w:adjustRightInd w:val="0"/>
        <w:spacing w:before="60" w:after="60" w:line="240" w:lineRule="auto"/>
        <w:ind w:left="714" w:hanging="357"/>
        <w:contextualSpacing w:val="0"/>
        <w:rPr>
          <w:rFonts w:cs="Arial"/>
          <w:sz w:val="22"/>
        </w:rPr>
      </w:pPr>
      <w:r w:rsidRPr="00833851">
        <w:rPr>
          <w:rFonts w:cs="Arial"/>
          <w:sz w:val="22"/>
        </w:rPr>
        <w:t>a short black vertical line showing the HSMR for a facility or group of facilities</w:t>
      </w:r>
    </w:p>
    <w:p w:rsidR="00B122C1" w:rsidRPr="00833851" w:rsidRDefault="00B122C1" w:rsidP="00381F08">
      <w:pPr>
        <w:pStyle w:val="ListParagraph"/>
        <w:numPr>
          <w:ilvl w:val="0"/>
          <w:numId w:val="3"/>
        </w:numPr>
        <w:autoSpaceDE w:val="0"/>
        <w:autoSpaceDN w:val="0"/>
        <w:adjustRightInd w:val="0"/>
        <w:spacing w:before="60" w:after="60" w:line="240" w:lineRule="auto"/>
        <w:ind w:left="714" w:hanging="357"/>
        <w:contextualSpacing w:val="0"/>
        <w:rPr>
          <w:rFonts w:cs="Arial"/>
          <w:sz w:val="22"/>
        </w:rPr>
      </w:pPr>
      <w:r w:rsidRPr="00833851">
        <w:rPr>
          <w:rFonts w:cs="Arial"/>
          <w:sz w:val="22"/>
        </w:rPr>
        <w:t>a dark blue box around the centre line, which shows the variation that would be expected around the average 95 percent of the time.  This is equivalent to 2 sigma.</w:t>
      </w:r>
    </w:p>
    <w:p w:rsidR="00B122C1" w:rsidRPr="00833851" w:rsidRDefault="00B122C1" w:rsidP="00381F08">
      <w:pPr>
        <w:pStyle w:val="ListParagraph"/>
        <w:numPr>
          <w:ilvl w:val="0"/>
          <w:numId w:val="3"/>
        </w:numPr>
        <w:autoSpaceDE w:val="0"/>
        <w:autoSpaceDN w:val="0"/>
        <w:adjustRightInd w:val="0"/>
        <w:spacing w:after="0" w:line="240" w:lineRule="auto"/>
        <w:contextualSpacing w:val="0"/>
        <w:rPr>
          <w:rFonts w:cs="Arial"/>
          <w:sz w:val="22"/>
        </w:rPr>
      </w:pPr>
      <w:proofErr w:type="gramStart"/>
      <w:r w:rsidRPr="00833851">
        <w:rPr>
          <w:rFonts w:cs="Arial"/>
          <w:sz w:val="22"/>
        </w:rPr>
        <w:t>a</w:t>
      </w:r>
      <w:proofErr w:type="gramEnd"/>
      <w:r w:rsidRPr="00833851">
        <w:rPr>
          <w:rFonts w:cs="Arial"/>
          <w:sz w:val="22"/>
        </w:rPr>
        <w:t xml:space="preserve"> light blue region, which extends the box </w:t>
      </w:r>
      <w:r w:rsidR="00101C1D">
        <w:rPr>
          <w:rFonts w:cs="Arial"/>
          <w:sz w:val="22"/>
        </w:rPr>
        <w:t>to the variation expected about</w:t>
      </w:r>
      <w:r w:rsidR="00101C1D">
        <w:rPr>
          <w:rFonts w:cs="Arial"/>
          <w:sz w:val="22"/>
        </w:rPr>
        <w:br/>
      </w:r>
      <w:r w:rsidRPr="00833851">
        <w:rPr>
          <w:rFonts w:cs="Arial"/>
          <w:sz w:val="22"/>
        </w:rPr>
        <w:t>99.</w:t>
      </w:r>
      <w:r w:rsidR="004E2BBE">
        <w:rPr>
          <w:rFonts w:cs="Arial"/>
          <w:sz w:val="22"/>
        </w:rPr>
        <w:t>7</w:t>
      </w:r>
      <w:r w:rsidRPr="00833851">
        <w:rPr>
          <w:rFonts w:cs="Arial"/>
          <w:sz w:val="22"/>
        </w:rPr>
        <w:t xml:space="preserve"> percent of the time.  This is equivalent to 3 sigma.</w:t>
      </w:r>
    </w:p>
    <w:p w:rsidR="00B122C1" w:rsidRPr="00833851" w:rsidRDefault="00B122C1" w:rsidP="00381F08">
      <w:pPr>
        <w:tabs>
          <w:tab w:val="left" w:pos="5497"/>
        </w:tabs>
        <w:autoSpaceDE w:val="0"/>
        <w:autoSpaceDN w:val="0"/>
        <w:adjustRightInd w:val="0"/>
        <w:spacing w:after="0" w:line="240" w:lineRule="auto"/>
        <w:rPr>
          <w:rFonts w:cs="Arial"/>
          <w:sz w:val="22"/>
        </w:rPr>
      </w:pPr>
    </w:p>
    <w:p w:rsidR="00B122C1" w:rsidRPr="00833851" w:rsidRDefault="00B122C1" w:rsidP="00381F08">
      <w:pPr>
        <w:autoSpaceDE w:val="0"/>
        <w:autoSpaceDN w:val="0"/>
        <w:adjustRightInd w:val="0"/>
        <w:spacing w:after="0" w:line="240" w:lineRule="auto"/>
        <w:rPr>
          <w:rFonts w:cs="Arial"/>
          <w:sz w:val="22"/>
        </w:rPr>
      </w:pPr>
      <w:r w:rsidRPr="00833851">
        <w:rPr>
          <w:rFonts w:cs="Arial"/>
          <w:sz w:val="22"/>
        </w:rPr>
        <w:t>Three sigm</w:t>
      </w:r>
      <w:r w:rsidR="004E2BBE">
        <w:rPr>
          <w:rFonts w:cs="Arial"/>
          <w:sz w:val="22"/>
        </w:rPr>
        <w:t>a, or standard errors, with 99.7</w:t>
      </w:r>
      <w:r w:rsidRPr="00833851">
        <w:rPr>
          <w:rFonts w:cs="Arial"/>
          <w:sz w:val="22"/>
        </w:rPr>
        <w:t xml:space="preserve"> percent intervals are used as control limits rather than </w:t>
      </w:r>
      <w:proofErr w:type="gramStart"/>
      <w:r w:rsidRPr="00833851">
        <w:rPr>
          <w:rFonts w:cs="Arial"/>
          <w:sz w:val="22"/>
        </w:rPr>
        <w:t>2 sigma with 95 percent intervals to reduce the number of false positives</w:t>
      </w:r>
      <w:proofErr w:type="gramEnd"/>
      <w:r w:rsidRPr="00833851">
        <w:rPr>
          <w:rFonts w:cs="Arial"/>
          <w:sz w:val="22"/>
        </w:rPr>
        <w:t xml:space="preserve">.  If there were no underlying change in the HSMRs for DHBs, on average </w:t>
      </w:r>
      <w:r w:rsidR="00101C1D">
        <w:rPr>
          <w:rFonts w:cs="Arial"/>
          <w:sz w:val="22"/>
        </w:rPr>
        <w:t>1</w:t>
      </w:r>
      <w:r w:rsidRPr="00833851">
        <w:rPr>
          <w:rFonts w:cs="Arial"/>
          <w:sz w:val="22"/>
        </w:rPr>
        <w:t xml:space="preserve"> of the 20 DHBs would have a statistically significant result outside 95 percent control limits every year purely by chance.</w:t>
      </w:r>
    </w:p>
    <w:p w:rsidR="00B122C1" w:rsidRPr="00833851" w:rsidRDefault="00B122C1" w:rsidP="00381F08">
      <w:pPr>
        <w:autoSpaceDE w:val="0"/>
        <w:autoSpaceDN w:val="0"/>
        <w:adjustRightInd w:val="0"/>
        <w:spacing w:after="0" w:line="240" w:lineRule="auto"/>
        <w:rPr>
          <w:rFonts w:cs="Arial"/>
          <w:sz w:val="22"/>
        </w:rPr>
      </w:pPr>
    </w:p>
    <w:p w:rsidR="00B122C1" w:rsidRPr="00833851" w:rsidRDefault="00B122C1" w:rsidP="00381F08">
      <w:pPr>
        <w:autoSpaceDE w:val="0"/>
        <w:autoSpaceDN w:val="0"/>
        <w:adjustRightInd w:val="0"/>
        <w:spacing w:after="0" w:line="240" w:lineRule="auto"/>
        <w:rPr>
          <w:rFonts w:cs="Arial"/>
          <w:sz w:val="22"/>
        </w:rPr>
      </w:pPr>
      <w:r w:rsidRPr="00833851">
        <w:rPr>
          <w:rFonts w:cs="Arial"/>
          <w:sz w:val="22"/>
        </w:rPr>
        <w:lastRenderedPageBreak/>
        <w:t xml:space="preserve">The box charts are not symmetrical. </w:t>
      </w:r>
      <w:r w:rsidR="00124661" w:rsidRPr="00833851">
        <w:rPr>
          <w:rFonts w:cs="Arial"/>
          <w:sz w:val="22"/>
        </w:rPr>
        <w:t xml:space="preserve"> </w:t>
      </w:r>
      <w:r w:rsidRPr="00833851">
        <w:rPr>
          <w:rFonts w:cs="Arial"/>
          <w:sz w:val="22"/>
        </w:rPr>
        <w:t>This is because deaths are better modelled by a Poisson distribution than say a normal distribution, especially when there are small numbers of predicted deaths.</w:t>
      </w:r>
    </w:p>
    <w:p w:rsidR="00B122C1" w:rsidRPr="00833851" w:rsidRDefault="00B122C1" w:rsidP="00381F08">
      <w:pPr>
        <w:autoSpaceDE w:val="0"/>
        <w:autoSpaceDN w:val="0"/>
        <w:adjustRightInd w:val="0"/>
        <w:spacing w:after="0" w:line="240" w:lineRule="auto"/>
        <w:rPr>
          <w:rFonts w:cs="Arial"/>
          <w:sz w:val="22"/>
        </w:rPr>
      </w:pPr>
    </w:p>
    <w:p w:rsidR="00B122C1" w:rsidRPr="00833851" w:rsidRDefault="00B122C1" w:rsidP="00381F08">
      <w:pPr>
        <w:autoSpaceDE w:val="0"/>
        <w:autoSpaceDN w:val="0"/>
        <w:adjustRightInd w:val="0"/>
        <w:spacing w:after="0" w:line="240" w:lineRule="auto"/>
        <w:rPr>
          <w:rFonts w:cs="Arial"/>
          <w:sz w:val="22"/>
        </w:rPr>
      </w:pPr>
      <w:r w:rsidRPr="00833851">
        <w:rPr>
          <w:rFonts w:cs="Arial"/>
          <w:sz w:val="22"/>
        </w:rPr>
        <w:t xml:space="preserve">If the HSMR (short black vertical line) is within the control limits, these are consistent with common cause for variation. </w:t>
      </w:r>
      <w:r w:rsidR="00124661" w:rsidRPr="00833851">
        <w:rPr>
          <w:rFonts w:cs="Arial"/>
          <w:sz w:val="22"/>
        </w:rPr>
        <w:t xml:space="preserve"> </w:t>
      </w:r>
      <w:r w:rsidRPr="00833851">
        <w:rPr>
          <w:rFonts w:cs="Arial"/>
          <w:sz w:val="22"/>
        </w:rPr>
        <w:t xml:space="preserve">Therefore, there is no special cause variation. </w:t>
      </w:r>
      <w:r w:rsidR="00124661" w:rsidRPr="00833851">
        <w:rPr>
          <w:rFonts w:cs="Arial"/>
          <w:sz w:val="22"/>
        </w:rPr>
        <w:t xml:space="preserve"> </w:t>
      </w:r>
      <w:r w:rsidRPr="00833851">
        <w:rPr>
          <w:rFonts w:cs="Arial"/>
          <w:sz w:val="22"/>
        </w:rPr>
        <w:t>However, if data points fall outside the control limits, common cause is a less likely explanation and the data is to display a ‘special cause variation’.</w:t>
      </w:r>
    </w:p>
    <w:p w:rsidR="00B122C1" w:rsidRPr="00833851" w:rsidRDefault="00B122C1" w:rsidP="00381F08">
      <w:pPr>
        <w:autoSpaceDE w:val="0"/>
        <w:autoSpaceDN w:val="0"/>
        <w:adjustRightInd w:val="0"/>
        <w:spacing w:after="0" w:line="240" w:lineRule="auto"/>
        <w:rPr>
          <w:rFonts w:cs="Arial"/>
          <w:sz w:val="22"/>
        </w:rPr>
      </w:pPr>
    </w:p>
    <w:p w:rsidR="00B122C1" w:rsidRPr="00833851" w:rsidRDefault="001B7E52" w:rsidP="00381F08">
      <w:pPr>
        <w:autoSpaceDE w:val="0"/>
        <w:autoSpaceDN w:val="0"/>
        <w:adjustRightInd w:val="0"/>
        <w:spacing w:after="0" w:line="240" w:lineRule="auto"/>
        <w:rPr>
          <w:rFonts w:cs="Arial"/>
          <w:sz w:val="22"/>
        </w:rPr>
      </w:pPr>
      <w:r w:rsidRPr="00833851">
        <w:rPr>
          <w:rFonts w:cs="Arial"/>
          <w:sz w:val="22"/>
        </w:rPr>
        <w:t xml:space="preserve">Chart </w:t>
      </w:r>
      <w:r w:rsidR="003125C1" w:rsidRPr="00833851">
        <w:rPr>
          <w:rFonts w:cs="Arial"/>
          <w:sz w:val="22"/>
        </w:rPr>
        <w:t>3</w:t>
      </w:r>
      <w:r w:rsidRPr="00833851">
        <w:rPr>
          <w:rFonts w:cs="Arial"/>
          <w:sz w:val="22"/>
        </w:rPr>
        <w:t xml:space="preserve"> displays HSMR of a specific DHB as well as facilities within that DHB.  </w:t>
      </w:r>
      <w:r w:rsidR="00B122C1" w:rsidRPr="00833851">
        <w:rPr>
          <w:rFonts w:cs="Arial"/>
          <w:sz w:val="22"/>
        </w:rPr>
        <w:t xml:space="preserve">Very small facilities, which reported 10 </w:t>
      </w:r>
      <w:r w:rsidR="00F318EF">
        <w:rPr>
          <w:rFonts w:cs="Arial"/>
          <w:sz w:val="22"/>
        </w:rPr>
        <w:t xml:space="preserve">or fewer than 10 </w:t>
      </w:r>
      <w:r w:rsidR="00B122C1" w:rsidRPr="00833851">
        <w:rPr>
          <w:rFonts w:cs="Arial"/>
          <w:sz w:val="22"/>
        </w:rPr>
        <w:t>deaths</w:t>
      </w:r>
      <w:r w:rsidR="00F318EF">
        <w:rPr>
          <w:rFonts w:cs="Arial"/>
          <w:sz w:val="22"/>
        </w:rPr>
        <w:t>,</w:t>
      </w:r>
      <w:r w:rsidR="00B122C1" w:rsidRPr="00833851">
        <w:rPr>
          <w:rFonts w:cs="Arial"/>
          <w:sz w:val="22"/>
        </w:rPr>
        <w:t xml:space="preserve"> were excluded in </w:t>
      </w:r>
      <w:r w:rsidRPr="00833851">
        <w:rPr>
          <w:rFonts w:cs="Arial"/>
          <w:sz w:val="22"/>
        </w:rPr>
        <w:t>c</w:t>
      </w:r>
      <w:r w:rsidR="00B122C1" w:rsidRPr="00833851">
        <w:rPr>
          <w:rFonts w:cs="Arial"/>
          <w:sz w:val="22"/>
        </w:rPr>
        <w:t>hart</w:t>
      </w:r>
      <w:r w:rsidRPr="00833851">
        <w:rPr>
          <w:rFonts w:cs="Arial"/>
          <w:sz w:val="22"/>
        </w:rPr>
        <w:t xml:space="preserve"> </w:t>
      </w:r>
      <w:r w:rsidR="00B152A5">
        <w:rPr>
          <w:rFonts w:cs="Arial"/>
          <w:sz w:val="22"/>
        </w:rPr>
        <w:t>3</w:t>
      </w:r>
      <w:r w:rsidR="00B122C1" w:rsidRPr="00833851">
        <w:rPr>
          <w:rFonts w:cs="Arial"/>
          <w:sz w:val="22"/>
        </w:rPr>
        <w:t xml:space="preserve">, as these were outliers with very wide confidence limits.  </w:t>
      </w:r>
    </w:p>
    <w:p w:rsidR="00D20B6F" w:rsidRPr="00833851" w:rsidRDefault="00D20B6F" w:rsidP="00381F08">
      <w:pPr>
        <w:autoSpaceDE w:val="0"/>
        <w:autoSpaceDN w:val="0"/>
        <w:adjustRightInd w:val="0"/>
        <w:spacing w:after="0" w:line="240" w:lineRule="auto"/>
        <w:rPr>
          <w:rFonts w:cs="Arial"/>
          <w:sz w:val="22"/>
        </w:rPr>
      </w:pPr>
    </w:p>
    <w:p w:rsidR="0028030D" w:rsidRPr="00833851" w:rsidRDefault="00526128" w:rsidP="00381F08">
      <w:pPr>
        <w:pStyle w:val="ListParagraph"/>
        <w:numPr>
          <w:ilvl w:val="0"/>
          <w:numId w:val="13"/>
        </w:numPr>
        <w:autoSpaceDE w:val="0"/>
        <w:autoSpaceDN w:val="0"/>
        <w:adjustRightInd w:val="0"/>
        <w:spacing w:after="0" w:line="240" w:lineRule="auto"/>
        <w:ind w:left="709" w:hanging="709"/>
        <w:contextualSpacing w:val="0"/>
        <w:rPr>
          <w:rFonts w:cs="Arial"/>
          <w:b/>
          <w:sz w:val="22"/>
        </w:rPr>
      </w:pPr>
      <w:r w:rsidRPr="00833851">
        <w:rPr>
          <w:rFonts w:cs="Arial"/>
          <w:b/>
          <w:sz w:val="22"/>
        </w:rPr>
        <w:t>Additional Notes</w:t>
      </w:r>
    </w:p>
    <w:p w:rsidR="0086626C" w:rsidRPr="00833851" w:rsidRDefault="0086626C" w:rsidP="00381F08">
      <w:pPr>
        <w:pStyle w:val="ListParagraph"/>
        <w:autoSpaceDE w:val="0"/>
        <w:autoSpaceDN w:val="0"/>
        <w:adjustRightInd w:val="0"/>
        <w:spacing w:after="0" w:line="240" w:lineRule="auto"/>
        <w:ind w:left="709"/>
        <w:contextualSpacing w:val="0"/>
        <w:rPr>
          <w:rFonts w:cs="Arial"/>
          <w:b/>
          <w:sz w:val="22"/>
        </w:rPr>
      </w:pPr>
    </w:p>
    <w:p w:rsidR="0028030D" w:rsidRPr="00833851" w:rsidRDefault="00E3002F" w:rsidP="00381F08">
      <w:pPr>
        <w:pStyle w:val="NoSpacing"/>
        <w:rPr>
          <w:rFonts w:cs="Arial"/>
          <w:b/>
          <w:i/>
          <w:sz w:val="22"/>
        </w:rPr>
      </w:pPr>
      <w:r w:rsidRPr="00833851">
        <w:rPr>
          <w:rFonts w:cs="Arial"/>
          <w:b/>
          <w:i/>
          <w:sz w:val="22"/>
        </w:rPr>
        <w:t>4.1</w:t>
      </w:r>
      <w:r w:rsidRPr="00833851">
        <w:rPr>
          <w:rFonts w:cs="Arial"/>
          <w:b/>
          <w:i/>
          <w:sz w:val="22"/>
        </w:rPr>
        <w:tab/>
      </w:r>
      <w:r w:rsidR="0028030D" w:rsidRPr="00833851">
        <w:rPr>
          <w:rFonts w:cs="Arial"/>
          <w:b/>
          <w:i/>
          <w:sz w:val="22"/>
        </w:rPr>
        <w:t>What factors may influence HSMR?</w:t>
      </w:r>
    </w:p>
    <w:p w:rsidR="0028030D" w:rsidRPr="00833851" w:rsidRDefault="0028030D" w:rsidP="00381F08">
      <w:pPr>
        <w:pStyle w:val="NoSpacing"/>
        <w:ind w:left="928"/>
        <w:rPr>
          <w:rFonts w:cs="Arial"/>
          <w:b/>
          <w:sz w:val="22"/>
        </w:rPr>
      </w:pPr>
    </w:p>
    <w:p w:rsidR="0028030D" w:rsidRPr="00833851" w:rsidRDefault="0028030D" w:rsidP="00381F08">
      <w:pPr>
        <w:tabs>
          <w:tab w:val="left" w:pos="709"/>
        </w:tabs>
        <w:spacing w:after="0" w:line="240" w:lineRule="auto"/>
        <w:rPr>
          <w:rFonts w:cs="Arial"/>
          <w:sz w:val="22"/>
        </w:rPr>
      </w:pPr>
      <w:r w:rsidRPr="00833851">
        <w:rPr>
          <w:rFonts w:cs="Arial"/>
          <w:sz w:val="22"/>
        </w:rPr>
        <w:t xml:space="preserve">There are a number of factors that influence hospital mortality, only some of which relate to the quality of healthcare. </w:t>
      </w:r>
      <w:r w:rsidR="00124661" w:rsidRPr="00833851">
        <w:rPr>
          <w:rFonts w:cs="Arial"/>
          <w:sz w:val="22"/>
        </w:rPr>
        <w:t xml:space="preserve"> </w:t>
      </w:r>
      <w:r w:rsidRPr="00833851">
        <w:rPr>
          <w:rFonts w:cs="Arial"/>
          <w:sz w:val="22"/>
        </w:rPr>
        <w:t>These include the nature of local health services (for example, which conditions are treated in the hospital compared with community-based services and access to end of life care), the way in which the hospital records and codes data about their admissions including depth of clinical coding and disease severity.  Whilst a good attempt is made to take into account evidence-based contributing factors when trying to achieve a “standardised” measure, such adjustments are not perfect and there is always likely to be some element in the final mortality measure that is unrelated to the quality of health care.  There will always be room for technical refinement of the model.  Any future refinement will likely require an iterative process of consultation and testing.</w:t>
      </w:r>
    </w:p>
    <w:p w:rsidR="001F71C0" w:rsidRPr="00833851" w:rsidRDefault="001F71C0" w:rsidP="00381F08">
      <w:pPr>
        <w:tabs>
          <w:tab w:val="left" w:pos="709"/>
        </w:tabs>
        <w:spacing w:after="0" w:line="240" w:lineRule="auto"/>
        <w:rPr>
          <w:rFonts w:cs="Arial"/>
          <w:sz w:val="22"/>
        </w:rPr>
      </w:pPr>
    </w:p>
    <w:p w:rsidR="001F71C0" w:rsidRPr="00833851" w:rsidRDefault="001F71C0" w:rsidP="00381F08">
      <w:pPr>
        <w:spacing w:after="0" w:line="240" w:lineRule="auto"/>
        <w:rPr>
          <w:rFonts w:cs="Arial"/>
          <w:b/>
          <w:i/>
          <w:sz w:val="22"/>
        </w:rPr>
      </w:pPr>
      <w:r w:rsidRPr="00833851">
        <w:rPr>
          <w:rFonts w:cs="Arial"/>
          <w:b/>
          <w:i/>
          <w:sz w:val="22"/>
        </w:rPr>
        <w:t>4.2</w:t>
      </w:r>
      <w:r w:rsidRPr="00833851">
        <w:rPr>
          <w:rFonts w:cs="Arial"/>
          <w:b/>
          <w:i/>
          <w:sz w:val="22"/>
        </w:rPr>
        <w:tab/>
        <w:t>What other quality dimensions need to be considered alongside HSMR?</w:t>
      </w:r>
    </w:p>
    <w:p w:rsidR="001F71C0" w:rsidRPr="00833851" w:rsidRDefault="001F71C0" w:rsidP="00381F08">
      <w:pPr>
        <w:spacing w:after="0" w:line="240" w:lineRule="auto"/>
        <w:rPr>
          <w:rFonts w:cs="Arial"/>
          <w:sz w:val="22"/>
        </w:rPr>
      </w:pPr>
    </w:p>
    <w:p w:rsidR="001F71C0" w:rsidRPr="00833851" w:rsidRDefault="001F71C0" w:rsidP="00381F08">
      <w:pPr>
        <w:spacing w:after="0" w:line="240" w:lineRule="auto"/>
      </w:pPr>
      <w:r w:rsidRPr="00833851">
        <w:rPr>
          <w:rFonts w:cs="Arial"/>
          <w:sz w:val="22"/>
        </w:rPr>
        <w:t xml:space="preserve">HSMR should be looked at </w:t>
      </w:r>
      <w:r w:rsidRPr="00833851">
        <w:t xml:space="preserve">alongside other quality indicators such as patient experience and selected safety measures covering healthcare associated infections, falls in hospital, safe surgery and medication safety (the Quality and Safety Markers).  These indicators are published regularly on </w:t>
      </w:r>
      <w:r w:rsidR="00381F08">
        <w:rPr>
          <w:rFonts w:cs="Arial"/>
          <w:sz w:val="22"/>
        </w:rPr>
        <w:t>the Commission</w:t>
      </w:r>
      <w:r w:rsidRPr="00833851">
        <w:t xml:space="preserve">’s website.  For further information on these indicators refer to the following web page: </w:t>
      </w:r>
    </w:p>
    <w:p w:rsidR="001F71C0" w:rsidRPr="00833851" w:rsidRDefault="001F71C0" w:rsidP="00381F08">
      <w:pPr>
        <w:spacing w:after="0" w:line="240" w:lineRule="auto"/>
      </w:pPr>
    </w:p>
    <w:p w:rsidR="001F71C0" w:rsidRPr="00833851" w:rsidRDefault="00E941F2" w:rsidP="00381F08">
      <w:pPr>
        <w:spacing w:after="0" w:line="240" w:lineRule="auto"/>
        <w:rPr>
          <w:rFonts w:cs="Arial"/>
          <w:sz w:val="22"/>
        </w:rPr>
      </w:pPr>
      <w:hyperlink r:id="rId12" w:history="1">
        <w:r w:rsidR="001F71C0" w:rsidRPr="00833851">
          <w:rPr>
            <w:rStyle w:val="Hyperlink"/>
            <w:rFonts w:cs="Arial"/>
            <w:sz w:val="22"/>
          </w:rPr>
          <w:t>http://www.hqsc.govt.nz/our-programmes/health-quality-evaluation/</w:t>
        </w:r>
      </w:hyperlink>
    </w:p>
    <w:p w:rsidR="001F71C0" w:rsidRPr="00833851" w:rsidRDefault="001F71C0" w:rsidP="00381F08">
      <w:pPr>
        <w:tabs>
          <w:tab w:val="left" w:pos="709"/>
        </w:tabs>
        <w:spacing w:after="0" w:line="240" w:lineRule="auto"/>
        <w:rPr>
          <w:rFonts w:cs="Arial"/>
          <w:sz w:val="22"/>
        </w:rPr>
      </w:pPr>
    </w:p>
    <w:p w:rsidR="00E3002F" w:rsidRPr="00833851" w:rsidRDefault="00E3002F" w:rsidP="00381F08">
      <w:pPr>
        <w:spacing w:after="0" w:line="240" w:lineRule="auto"/>
        <w:rPr>
          <w:rFonts w:cs="Arial"/>
          <w:b/>
          <w:i/>
          <w:sz w:val="22"/>
        </w:rPr>
      </w:pPr>
    </w:p>
    <w:p w:rsidR="0028030D" w:rsidRPr="00833851" w:rsidRDefault="00E3002F" w:rsidP="00381F08">
      <w:pPr>
        <w:keepNext/>
        <w:spacing w:after="0" w:line="240" w:lineRule="auto"/>
        <w:rPr>
          <w:rFonts w:cs="Arial"/>
          <w:b/>
          <w:i/>
          <w:sz w:val="22"/>
        </w:rPr>
      </w:pPr>
      <w:r w:rsidRPr="00833851">
        <w:rPr>
          <w:rFonts w:cs="Arial"/>
          <w:b/>
          <w:i/>
          <w:sz w:val="22"/>
        </w:rPr>
        <w:t>4.</w:t>
      </w:r>
      <w:r w:rsidR="001F71C0" w:rsidRPr="00833851">
        <w:rPr>
          <w:rFonts w:cs="Arial"/>
          <w:b/>
          <w:i/>
          <w:sz w:val="22"/>
        </w:rPr>
        <w:t>3</w:t>
      </w:r>
      <w:r w:rsidRPr="00833851">
        <w:rPr>
          <w:rFonts w:cs="Arial"/>
          <w:b/>
          <w:i/>
          <w:sz w:val="22"/>
        </w:rPr>
        <w:tab/>
      </w:r>
      <w:r w:rsidR="0028030D" w:rsidRPr="00833851">
        <w:rPr>
          <w:rFonts w:cs="Arial"/>
          <w:b/>
          <w:i/>
          <w:sz w:val="22"/>
        </w:rPr>
        <w:t>What is the base year and how is this set?</w:t>
      </w:r>
    </w:p>
    <w:p w:rsidR="00AF2DE6" w:rsidRPr="00833851" w:rsidRDefault="00AF2DE6" w:rsidP="00381F08">
      <w:pPr>
        <w:keepNext/>
        <w:spacing w:after="0" w:line="240" w:lineRule="auto"/>
        <w:rPr>
          <w:rFonts w:cs="Arial"/>
          <w:b/>
          <w:i/>
          <w:sz w:val="22"/>
        </w:rPr>
      </w:pPr>
    </w:p>
    <w:p w:rsidR="0028030D" w:rsidRPr="00833851" w:rsidRDefault="0028030D" w:rsidP="00381F08">
      <w:pPr>
        <w:keepNext/>
        <w:spacing w:after="0" w:line="240" w:lineRule="auto"/>
        <w:rPr>
          <w:rFonts w:cs="Arial"/>
          <w:sz w:val="22"/>
        </w:rPr>
      </w:pPr>
      <w:r w:rsidRPr="00833851">
        <w:rPr>
          <w:rFonts w:cs="Arial"/>
          <w:sz w:val="22"/>
        </w:rPr>
        <w:t xml:space="preserve">The Ministry and </w:t>
      </w:r>
      <w:r w:rsidR="00381F08">
        <w:rPr>
          <w:rFonts w:cs="Arial"/>
          <w:sz w:val="22"/>
        </w:rPr>
        <w:t>the Commission</w:t>
      </w:r>
      <w:r w:rsidR="00381F08" w:rsidRPr="00833851">
        <w:rPr>
          <w:rFonts w:cs="Arial"/>
          <w:sz w:val="22"/>
        </w:rPr>
        <w:t xml:space="preserve"> </w:t>
      </w:r>
      <w:r w:rsidRPr="00833851">
        <w:rPr>
          <w:rFonts w:cs="Arial"/>
          <w:sz w:val="22"/>
        </w:rPr>
        <w:t>have chosen to align our methodology with the National Health Service Scotland in regards to setting of a baseline.  It is understood that the method is one amongst many ways of observing change and will not adjust for system, technology or coding changes.  However, it will serve as a warning signal for investigation for quality improvement purposes.  The base year for the Ministry</w:t>
      </w:r>
      <w:r w:rsidR="00CB6C26">
        <w:rPr>
          <w:rFonts w:cs="Arial"/>
          <w:sz w:val="22"/>
        </w:rPr>
        <w:t xml:space="preserve"> and </w:t>
      </w:r>
      <w:r w:rsidR="00381F08">
        <w:rPr>
          <w:rFonts w:cs="Arial"/>
          <w:sz w:val="22"/>
        </w:rPr>
        <w:t>the Commission</w:t>
      </w:r>
      <w:r w:rsidR="00381F08" w:rsidRPr="00833851">
        <w:rPr>
          <w:rFonts w:cs="Arial"/>
          <w:sz w:val="22"/>
        </w:rPr>
        <w:t xml:space="preserve"> </w:t>
      </w:r>
      <w:r w:rsidRPr="00833851">
        <w:rPr>
          <w:rFonts w:cs="Arial"/>
          <w:sz w:val="22"/>
        </w:rPr>
        <w:t>model is 2007, and this is the year the model’s logistic regression calculates the probabilities.</w:t>
      </w:r>
      <w:r w:rsidR="00124661" w:rsidRPr="00833851">
        <w:rPr>
          <w:rFonts w:cs="Arial"/>
          <w:sz w:val="22"/>
        </w:rPr>
        <w:t xml:space="preserve"> </w:t>
      </w:r>
      <w:r w:rsidRPr="00833851">
        <w:rPr>
          <w:rFonts w:cs="Arial"/>
          <w:sz w:val="22"/>
        </w:rPr>
        <w:t xml:space="preserve"> These probabilities are then applied to inpatient data for the years 2008 to 2013.</w:t>
      </w:r>
    </w:p>
    <w:p w:rsidR="00AF2DE6" w:rsidRPr="00833851" w:rsidRDefault="00AF2DE6" w:rsidP="00381F08">
      <w:pPr>
        <w:keepNext/>
        <w:spacing w:after="0" w:line="240" w:lineRule="auto"/>
        <w:rPr>
          <w:rFonts w:cs="Arial"/>
          <w:sz w:val="22"/>
        </w:rPr>
      </w:pPr>
    </w:p>
    <w:p w:rsidR="00242199" w:rsidRPr="00833851" w:rsidRDefault="00242199" w:rsidP="00381F08">
      <w:pPr>
        <w:spacing w:after="0" w:line="240" w:lineRule="auto"/>
        <w:rPr>
          <w:rFonts w:cs="Arial"/>
          <w:sz w:val="22"/>
        </w:rPr>
      </w:pPr>
      <w:r w:rsidRPr="00833851">
        <w:rPr>
          <w:rFonts w:cs="Arial"/>
          <w:sz w:val="22"/>
        </w:rPr>
        <w:t>It is anticipated that the base year of the model will be reviewed and updated in the future.</w:t>
      </w:r>
    </w:p>
    <w:p w:rsidR="0086626C" w:rsidRPr="00833851" w:rsidRDefault="0086626C" w:rsidP="00381F08">
      <w:pPr>
        <w:spacing w:after="0" w:line="240" w:lineRule="auto"/>
        <w:rPr>
          <w:rFonts w:cs="Arial"/>
          <w:sz w:val="22"/>
        </w:rPr>
      </w:pPr>
    </w:p>
    <w:p w:rsidR="0028030D" w:rsidRPr="00833851" w:rsidRDefault="00E3002F" w:rsidP="00381F08">
      <w:pPr>
        <w:keepNext/>
        <w:spacing w:after="0" w:line="240" w:lineRule="auto"/>
        <w:rPr>
          <w:rFonts w:cs="Arial"/>
          <w:b/>
          <w:i/>
          <w:sz w:val="22"/>
        </w:rPr>
      </w:pPr>
      <w:r w:rsidRPr="00833851">
        <w:rPr>
          <w:rFonts w:cs="Arial"/>
          <w:b/>
          <w:i/>
          <w:sz w:val="22"/>
        </w:rPr>
        <w:lastRenderedPageBreak/>
        <w:t>4.</w:t>
      </w:r>
      <w:r w:rsidR="001F71C0" w:rsidRPr="00833851">
        <w:rPr>
          <w:rFonts w:cs="Arial"/>
          <w:b/>
          <w:i/>
          <w:sz w:val="22"/>
        </w:rPr>
        <w:t>4</w:t>
      </w:r>
      <w:r w:rsidRPr="00833851">
        <w:rPr>
          <w:rFonts w:cs="Arial"/>
          <w:b/>
          <w:i/>
          <w:sz w:val="22"/>
        </w:rPr>
        <w:tab/>
      </w:r>
      <w:r w:rsidR="0028030D" w:rsidRPr="00833851">
        <w:rPr>
          <w:rFonts w:cs="Arial"/>
          <w:b/>
          <w:i/>
          <w:sz w:val="22"/>
        </w:rPr>
        <w:t>What are control limits and how are these set?</w:t>
      </w:r>
    </w:p>
    <w:p w:rsidR="00AF2DE6" w:rsidRPr="00833851" w:rsidRDefault="00AF2DE6" w:rsidP="00381F08">
      <w:pPr>
        <w:keepNext/>
        <w:spacing w:after="0" w:line="240" w:lineRule="auto"/>
        <w:rPr>
          <w:rFonts w:cs="Arial"/>
          <w:b/>
          <w:i/>
          <w:sz w:val="22"/>
        </w:rPr>
      </w:pPr>
    </w:p>
    <w:p w:rsidR="0028030D" w:rsidRPr="00833851" w:rsidRDefault="0028030D" w:rsidP="00381F08">
      <w:pPr>
        <w:keepNext/>
        <w:spacing w:after="0" w:line="240" w:lineRule="auto"/>
        <w:rPr>
          <w:rFonts w:cs="Arial"/>
          <w:sz w:val="22"/>
        </w:rPr>
      </w:pPr>
      <w:r w:rsidRPr="00833851">
        <w:rPr>
          <w:rFonts w:cs="Arial"/>
          <w:sz w:val="22"/>
        </w:rPr>
        <w:t>Control limits are calculated using 200</w:t>
      </w:r>
      <w:r w:rsidR="00101C1D">
        <w:rPr>
          <w:rFonts w:cs="Arial"/>
          <w:sz w:val="22"/>
        </w:rPr>
        <w:t>7 as the base year.  These are three</w:t>
      </w:r>
      <w:r w:rsidRPr="00833851">
        <w:rPr>
          <w:rFonts w:cs="Arial"/>
          <w:sz w:val="22"/>
        </w:rPr>
        <w:t xml:space="preserve"> standard errors</w:t>
      </w:r>
      <w:r w:rsidRPr="00833851">
        <w:rPr>
          <w:rStyle w:val="FootnoteReference"/>
          <w:rFonts w:cs="Arial"/>
          <w:sz w:val="22"/>
        </w:rPr>
        <w:footnoteReference w:id="3"/>
      </w:r>
      <w:r w:rsidRPr="00833851">
        <w:rPr>
          <w:rFonts w:cs="Arial"/>
          <w:sz w:val="22"/>
        </w:rPr>
        <w:t xml:space="preserve"> (sigma) above and below the mean. </w:t>
      </w:r>
      <w:r w:rsidR="00124661" w:rsidRPr="00833851">
        <w:rPr>
          <w:rFonts w:cs="Arial"/>
          <w:sz w:val="22"/>
        </w:rPr>
        <w:t xml:space="preserve"> </w:t>
      </w:r>
      <w:r w:rsidRPr="00833851">
        <w:rPr>
          <w:rFonts w:cs="Arial"/>
          <w:sz w:val="22"/>
        </w:rPr>
        <w:t>The control limits are extended to later years so each year can be compared to these 2007 limits.</w:t>
      </w:r>
    </w:p>
    <w:p w:rsidR="00AF2DE6" w:rsidRPr="00833851" w:rsidRDefault="00AF2DE6" w:rsidP="00381F08">
      <w:pPr>
        <w:keepNext/>
        <w:spacing w:after="0" w:line="240" w:lineRule="auto"/>
        <w:rPr>
          <w:rFonts w:cs="Arial"/>
          <w:sz w:val="22"/>
        </w:rPr>
      </w:pPr>
    </w:p>
    <w:p w:rsidR="0028030D" w:rsidRPr="00833851" w:rsidRDefault="0028030D" w:rsidP="00381F08">
      <w:pPr>
        <w:spacing w:after="0" w:line="240" w:lineRule="auto"/>
        <w:rPr>
          <w:rFonts w:cs="Arial"/>
          <w:sz w:val="22"/>
        </w:rPr>
      </w:pPr>
      <w:r w:rsidRPr="00833851">
        <w:rPr>
          <w:rFonts w:cs="Arial"/>
          <w:sz w:val="22"/>
        </w:rPr>
        <w:t>The data is calculated yearly as there is considerable seasonality to the data.</w:t>
      </w:r>
    </w:p>
    <w:p w:rsidR="00124661" w:rsidRPr="00833851" w:rsidRDefault="00124661" w:rsidP="00381F08">
      <w:pPr>
        <w:spacing w:after="0" w:line="240" w:lineRule="auto"/>
        <w:rPr>
          <w:rFonts w:cs="Arial"/>
          <w:b/>
          <w:i/>
          <w:sz w:val="22"/>
        </w:rPr>
      </w:pPr>
    </w:p>
    <w:p w:rsidR="0028030D" w:rsidRPr="00833851" w:rsidRDefault="00E3002F" w:rsidP="00381F08">
      <w:pPr>
        <w:spacing w:after="0" w:line="240" w:lineRule="auto"/>
        <w:rPr>
          <w:rFonts w:cs="Arial"/>
          <w:b/>
          <w:i/>
          <w:sz w:val="22"/>
        </w:rPr>
      </w:pPr>
      <w:r w:rsidRPr="00833851">
        <w:rPr>
          <w:rFonts w:cs="Arial"/>
          <w:b/>
          <w:i/>
          <w:sz w:val="22"/>
        </w:rPr>
        <w:t>4.</w:t>
      </w:r>
      <w:r w:rsidR="001F71C0" w:rsidRPr="00833851">
        <w:rPr>
          <w:rFonts w:cs="Arial"/>
          <w:b/>
          <w:i/>
          <w:sz w:val="22"/>
        </w:rPr>
        <w:t>5</w:t>
      </w:r>
      <w:r w:rsidRPr="00833851">
        <w:rPr>
          <w:rFonts w:cs="Arial"/>
          <w:b/>
          <w:i/>
          <w:sz w:val="22"/>
        </w:rPr>
        <w:tab/>
      </w:r>
      <w:r w:rsidR="0028030D" w:rsidRPr="00833851">
        <w:rPr>
          <w:rFonts w:cs="Arial"/>
          <w:b/>
          <w:i/>
          <w:sz w:val="22"/>
        </w:rPr>
        <w:t>Why do the control limits vary so much</w:t>
      </w:r>
      <w:r w:rsidR="00AF2DE6" w:rsidRPr="00833851">
        <w:rPr>
          <w:rFonts w:cs="Arial"/>
          <w:b/>
          <w:i/>
          <w:sz w:val="22"/>
        </w:rPr>
        <w:t xml:space="preserve"> between facilities?</w:t>
      </w:r>
    </w:p>
    <w:p w:rsidR="00124661" w:rsidRPr="00833851" w:rsidRDefault="00124661" w:rsidP="00381F08">
      <w:pPr>
        <w:spacing w:after="0" w:line="240" w:lineRule="auto"/>
        <w:rPr>
          <w:rFonts w:cs="Arial"/>
          <w:b/>
          <w:i/>
          <w:sz w:val="20"/>
        </w:rPr>
      </w:pPr>
    </w:p>
    <w:p w:rsidR="0028030D" w:rsidRPr="00833851" w:rsidRDefault="0028030D" w:rsidP="00381F08">
      <w:pPr>
        <w:spacing w:after="0" w:line="240" w:lineRule="auto"/>
        <w:rPr>
          <w:rFonts w:cs="Arial"/>
          <w:sz w:val="22"/>
        </w:rPr>
      </w:pPr>
      <w:r w:rsidRPr="00833851">
        <w:rPr>
          <w:rFonts w:cs="Arial"/>
          <w:sz w:val="22"/>
        </w:rPr>
        <w:t>The variability in the control limits is largely dependent on the size of the hospitals.  Smaller facilities tend to have a greater variability.</w:t>
      </w:r>
      <w:r w:rsidR="00124661" w:rsidRPr="00833851">
        <w:rPr>
          <w:rFonts w:cs="Arial"/>
          <w:sz w:val="22"/>
        </w:rPr>
        <w:t xml:space="preserve"> </w:t>
      </w:r>
      <w:r w:rsidRPr="00833851">
        <w:rPr>
          <w:rFonts w:cs="Arial"/>
          <w:sz w:val="22"/>
        </w:rPr>
        <w:t xml:space="preserve"> The control limits are wider for these smaller facilities but the HSMR is more difficult to interpret as there is greater variability.</w:t>
      </w:r>
    </w:p>
    <w:p w:rsidR="0028030D" w:rsidRPr="00833851" w:rsidRDefault="0028030D" w:rsidP="00381F08">
      <w:pPr>
        <w:pStyle w:val="ListParagraph"/>
        <w:spacing w:after="0" w:line="240" w:lineRule="auto"/>
        <w:contextualSpacing w:val="0"/>
        <w:rPr>
          <w:rFonts w:cs="Arial"/>
          <w:sz w:val="10"/>
        </w:rPr>
      </w:pPr>
    </w:p>
    <w:p w:rsidR="0028030D" w:rsidRPr="00833851" w:rsidRDefault="00E3002F" w:rsidP="00381F08">
      <w:pPr>
        <w:spacing w:after="0" w:line="240" w:lineRule="auto"/>
        <w:rPr>
          <w:rFonts w:cs="Arial"/>
          <w:b/>
          <w:i/>
          <w:sz w:val="22"/>
        </w:rPr>
      </w:pPr>
      <w:r w:rsidRPr="00833851">
        <w:rPr>
          <w:rFonts w:cs="Arial"/>
          <w:b/>
          <w:i/>
          <w:sz w:val="22"/>
        </w:rPr>
        <w:t>4.</w:t>
      </w:r>
      <w:r w:rsidR="001F71C0" w:rsidRPr="00833851">
        <w:rPr>
          <w:rFonts w:cs="Arial"/>
          <w:b/>
          <w:i/>
          <w:sz w:val="22"/>
        </w:rPr>
        <w:t>6</w:t>
      </w:r>
      <w:r w:rsidRPr="00833851">
        <w:rPr>
          <w:rFonts w:cs="Arial"/>
          <w:b/>
          <w:i/>
          <w:sz w:val="22"/>
        </w:rPr>
        <w:tab/>
      </w:r>
      <w:r w:rsidR="0028030D" w:rsidRPr="00833851">
        <w:rPr>
          <w:rFonts w:cs="Arial"/>
          <w:b/>
          <w:i/>
          <w:sz w:val="22"/>
        </w:rPr>
        <w:t>What does a HSMR of 1 mean?</w:t>
      </w:r>
    </w:p>
    <w:p w:rsidR="00AF2DE6" w:rsidRPr="00833851" w:rsidRDefault="00AF2DE6" w:rsidP="00381F08">
      <w:pPr>
        <w:spacing w:after="0" w:line="240" w:lineRule="auto"/>
        <w:rPr>
          <w:rFonts w:cs="Arial"/>
          <w:b/>
          <w:i/>
          <w:sz w:val="20"/>
        </w:rPr>
      </w:pPr>
    </w:p>
    <w:p w:rsidR="0028030D" w:rsidRPr="00833851" w:rsidRDefault="00101C1D" w:rsidP="00381F08">
      <w:pPr>
        <w:spacing w:after="0" w:line="240" w:lineRule="auto"/>
        <w:rPr>
          <w:rFonts w:cs="Arial"/>
          <w:sz w:val="22"/>
        </w:rPr>
      </w:pPr>
      <w:r>
        <w:rPr>
          <w:rFonts w:cs="Arial"/>
          <w:sz w:val="22"/>
        </w:rPr>
        <w:t>A HSMR of 1</w:t>
      </w:r>
      <w:r w:rsidR="0028030D" w:rsidRPr="00833851">
        <w:rPr>
          <w:rFonts w:cs="Arial"/>
          <w:sz w:val="22"/>
        </w:rPr>
        <w:t xml:space="preserve"> means that, at an aggregate level, the number of deaths is the same as the predicted number of deaths, according to the predictive values applied to the admitted patients. </w:t>
      </w:r>
      <w:r w:rsidR="002B084F" w:rsidRPr="00833851">
        <w:rPr>
          <w:rFonts w:cs="Arial"/>
          <w:sz w:val="22"/>
        </w:rPr>
        <w:t xml:space="preserve"> </w:t>
      </w:r>
      <w:r w:rsidR="0028030D" w:rsidRPr="00833851">
        <w:rPr>
          <w:rFonts w:cs="Arial"/>
          <w:sz w:val="22"/>
        </w:rPr>
        <w:t>So in the base year where the actual and the predicted number of deaths a</w:t>
      </w:r>
      <w:r>
        <w:rPr>
          <w:rFonts w:cs="Arial"/>
          <w:sz w:val="22"/>
        </w:rPr>
        <w:t>re equal, its HSMR is equal to 1</w:t>
      </w:r>
      <w:r w:rsidR="0028030D" w:rsidRPr="00833851">
        <w:rPr>
          <w:rFonts w:cs="Arial"/>
          <w:sz w:val="22"/>
        </w:rPr>
        <w:t>.</w:t>
      </w:r>
    </w:p>
    <w:p w:rsidR="0028030D" w:rsidRPr="00833851" w:rsidRDefault="0028030D" w:rsidP="00381F08">
      <w:pPr>
        <w:pStyle w:val="ListParagraph"/>
        <w:spacing w:after="0" w:line="240" w:lineRule="auto"/>
        <w:contextualSpacing w:val="0"/>
        <w:rPr>
          <w:rFonts w:cs="Arial"/>
          <w:sz w:val="20"/>
        </w:rPr>
      </w:pPr>
    </w:p>
    <w:p w:rsidR="00956BD8" w:rsidRPr="00833851" w:rsidRDefault="00956BD8" w:rsidP="00381F08">
      <w:pPr>
        <w:spacing w:after="0" w:line="240" w:lineRule="auto"/>
        <w:rPr>
          <w:rFonts w:cs="Arial"/>
          <w:b/>
          <w:i/>
          <w:sz w:val="22"/>
        </w:rPr>
      </w:pPr>
      <w:r w:rsidRPr="00833851">
        <w:rPr>
          <w:rFonts w:cs="Arial"/>
          <w:b/>
          <w:i/>
          <w:sz w:val="22"/>
        </w:rPr>
        <w:t>4.</w:t>
      </w:r>
      <w:r w:rsidR="001F71C0" w:rsidRPr="00833851">
        <w:rPr>
          <w:rFonts w:cs="Arial"/>
          <w:b/>
          <w:i/>
          <w:sz w:val="22"/>
        </w:rPr>
        <w:t>7</w:t>
      </w:r>
      <w:r w:rsidRPr="00833851">
        <w:rPr>
          <w:rFonts w:cs="Arial"/>
          <w:b/>
          <w:i/>
          <w:sz w:val="22"/>
        </w:rPr>
        <w:tab/>
        <w:t>Why does the predicted death number fluctuate each year?</w:t>
      </w:r>
    </w:p>
    <w:p w:rsidR="00AF2DE6" w:rsidRPr="00833851" w:rsidRDefault="00AF2DE6" w:rsidP="00381F08">
      <w:pPr>
        <w:spacing w:after="0" w:line="240" w:lineRule="auto"/>
        <w:rPr>
          <w:rFonts w:cs="Arial"/>
          <w:b/>
          <w:i/>
          <w:sz w:val="20"/>
        </w:rPr>
      </w:pPr>
    </w:p>
    <w:p w:rsidR="00956BD8" w:rsidRPr="00833851" w:rsidRDefault="00956BD8" w:rsidP="00381F08">
      <w:pPr>
        <w:spacing w:after="0" w:line="240" w:lineRule="auto"/>
        <w:rPr>
          <w:rFonts w:cs="Arial"/>
          <w:sz w:val="22"/>
        </w:rPr>
      </w:pPr>
      <w:r w:rsidRPr="00833851">
        <w:rPr>
          <w:rFonts w:cs="Arial"/>
          <w:sz w:val="22"/>
        </w:rPr>
        <w:t>The predicted deaths will depend upon both the number of patients admitted and the mix of risk factors.  As both these change every year, the predicted deaths number for each DHB will also change every year.</w:t>
      </w:r>
    </w:p>
    <w:p w:rsidR="00956BD8" w:rsidRPr="00833851" w:rsidRDefault="00956BD8" w:rsidP="00381F08">
      <w:pPr>
        <w:pStyle w:val="ListParagraph"/>
        <w:spacing w:after="0" w:line="240" w:lineRule="auto"/>
        <w:contextualSpacing w:val="0"/>
        <w:rPr>
          <w:rFonts w:cs="Arial"/>
          <w:sz w:val="20"/>
        </w:rPr>
      </w:pPr>
    </w:p>
    <w:p w:rsidR="0028030D" w:rsidRPr="00833851" w:rsidRDefault="00E3002F" w:rsidP="00381F08">
      <w:pPr>
        <w:keepNext/>
        <w:spacing w:after="0" w:line="240" w:lineRule="auto"/>
        <w:rPr>
          <w:rFonts w:cs="Arial"/>
          <w:b/>
          <w:i/>
          <w:sz w:val="22"/>
        </w:rPr>
      </w:pPr>
      <w:r w:rsidRPr="00833851">
        <w:rPr>
          <w:rFonts w:cs="Arial"/>
          <w:b/>
          <w:i/>
          <w:sz w:val="22"/>
        </w:rPr>
        <w:t>4.</w:t>
      </w:r>
      <w:r w:rsidR="001F71C0" w:rsidRPr="00833851">
        <w:rPr>
          <w:rFonts w:cs="Arial"/>
          <w:b/>
          <w:i/>
          <w:sz w:val="22"/>
        </w:rPr>
        <w:t>8</w:t>
      </w:r>
      <w:r w:rsidRPr="00833851">
        <w:rPr>
          <w:rFonts w:cs="Arial"/>
          <w:b/>
          <w:i/>
          <w:sz w:val="22"/>
        </w:rPr>
        <w:tab/>
      </w:r>
      <w:r w:rsidR="0028030D" w:rsidRPr="00833851">
        <w:rPr>
          <w:rFonts w:cs="Arial"/>
          <w:b/>
          <w:i/>
          <w:sz w:val="22"/>
        </w:rPr>
        <w:t>What does a change over time in HSMR mean?  Is a static trend a good thing?</w:t>
      </w:r>
    </w:p>
    <w:p w:rsidR="00AF2DE6" w:rsidRPr="00833851" w:rsidRDefault="00AF2DE6" w:rsidP="00381F08">
      <w:pPr>
        <w:keepNext/>
        <w:spacing w:after="0" w:line="240" w:lineRule="auto"/>
        <w:rPr>
          <w:rFonts w:cs="Arial"/>
          <w:b/>
          <w:i/>
          <w:sz w:val="20"/>
        </w:rPr>
      </w:pPr>
    </w:p>
    <w:p w:rsidR="0028030D" w:rsidRPr="00833851" w:rsidRDefault="0028030D" w:rsidP="00381F08">
      <w:pPr>
        <w:keepNext/>
        <w:spacing w:after="0" w:line="240" w:lineRule="auto"/>
        <w:rPr>
          <w:rFonts w:cs="Arial"/>
          <w:sz w:val="22"/>
        </w:rPr>
      </w:pPr>
      <w:r w:rsidRPr="00833851">
        <w:rPr>
          <w:rFonts w:cs="Arial"/>
          <w:sz w:val="22"/>
        </w:rPr>
        <w:t>A change in HSMR, whether increasing or decreasing, should be treated as a trigger for further investigation in order to establish the reasons for the change.  A static trend is not necessarily favourable eg, if HSMR does not change much over time but is persistently high is cause for further investigation.</w:t>
      </w:r>
    </w:p>
    <w:p w:rsidR="00AF2DE6" w:rsidRPr="00833851" w:rsidRDefault="00AF2DE6" w:rsidP="00381F08">
      <w:pPr>
        <w:keepNext/>
        <w:spacing w:after="0" w:line="240" w:lineRule="auto"/>
        <w:rPr>
          <w:rFonts w:cs="Arial"/>
          <w:sz w:val="20"/>
        </w:rPr>
      </w:pPr>
    </w:p>
    <w:p w:rsidR="0028030D" w:rsidRPr="00833851" w:rsidRDefault="0028030D" w:rsidP="00381F08">
      <w:pPr>
        <w:spacing w:after="0" w:line="240" w:lineRule="auto"/>
        <w:rPr>
          <w:rFonts w:cs="Arial"/>
          <w:sz w:val="22"/>
        </w:rPr>
      </w:pPr>
      <w:r w:rsidRPr="00833851">
        <w:rPr>
          <w:rFonts w:cs="Arial"/>
          <w:sz w:val="22"/>
        </w:rPr>
        <w:t xml:space="preserve">Even within the control limits there may be an important trend to discern. </w:t>
      </w:r>
      <w:r w:rsidR="002B084F" w:rsidRPr="00833851">
        <w:rPr>
          <w:rFonts w:cs="Arial"/>
          <w:sz w:val="22"/>
        </w:rPr>
        <w:t xml:space="preserve"> </w:t>
      </w:r>
      <w:r w:rsidRPr="00833851">
        <w:rPr>
          <w:rFonts w:cs="Arial"/>
          <w:sz w:val="22"/>
        </w:rPr>
        <w:t>Moving from near one limit to the other may be more important than breaching the control limit.</w:t>
      </w:r>
    </w:p>
    <w:p w:rsidR="00E3002F" w:rsidRPr="00833851" w:rsidRDefault="00E3002F" w:rsidP="00381F08">
      <w:pPr>
        <w:spacing w:after="0" w:line="240" w:lineRule="auto"/>
        <w:rPr>
          <w:rFonts w:cs="Arial"/>
          <w:b/>
          <w:i/>
          <w:sz w:val="20"/>
        </w:rPr>
      </w:pPr>
    </w:p>
    <w:p w:rsidR="0028030D" w:rsidRPr="00833851" w:rsidRDefault="00E3002F" w:rsidP="00381F08">
      <w:pPr>
        <w:spacing w:after="0" w:line="240" w:lineRule="auto"/>
        <w:rPr>
          <w:rFonts w:cs="Arial"/>
          <w:b/>
          <w:i/>
          <w:sz w:val="22"/>
        </w:rPr>
      </w:pPr>
      <w:r w:rsidRPr="00833851">
        <w:rPr>
          <w:rFonts w:cs="Arial"/>
          <w:b/>
          <w:i/>
          <w:sz w:val="22"/>
        </w:rPr>
        <w:t>4.</w:t>
      </w:r>
      <w:r w:rsidR="001F71C0" w:rsidRPr="00833851">
        <w:rPr>
          <w:rFonts w:cs="Arial"/>
          <w:b/>
          <w:i/>
          <w:sz w:val="22"/>
        </w:rPr>
        <w:t>9</w:t>
      </w:r>
      <w:r w:rsidRPr="00833851">
        <w:rPr>
          <w:rFonts w:cs="Arial"/>
          <w:b/>
          <w:i/>
          <w:sz w:val="22"/>
        </w:rPr>
        <w:tab/>
      </w:r>
      <w:r w:rsidR="0028030D" w:rsidRPr="00833851">
        <w:rPr>
          <w:rFonts w:cs="Arial"/>
          <w:b/>
          <w:i/>
          <w:sz w:val="22"/>
        </w:rPr>
        <w:t>What are outlier results?</w:t>
      </w:r>
    </w:p>
    <w:p w:rsidR="00AF2DE6" w:rsidRPr="00833851" w:rsidRDefault="00AF2DE6" w:rsidP="00381F08">
      <w:pPr>
        <w:spacing w:after="0" w:line="240" w:lineRule="auto"/>
        <w:rPr>
          <w:rFonts w:cs="Arial"/>
          <w:b/>
          <w:i/>
          <w:sz w:val="20"/>
        </w:rPr>
      </w:pPr>
    </w:p>
    <w:p w:rsidR="0028030D" w:rsidRPr="00833851" w:rsidRDefault="0028030D" w:rsidP="00381F08">
      <w:pPr>
        <w:spacing w:after="0" w:line="240" w:lineRule="auto"/>
        <w:rPr>
          <w:rFonts w:cs="Arial"/>
          <w:sz w:val="22"/>
        </w:rPr>
      </w:pPr>
      <w:r w:rsidRPr="00833851">
        <w:rPr>
          <w:rFonts w:cs="Arial"/>
          <w:sz w:val="22"/>
        </w:rPr>
        <w:t>Outlier results refer to points that are beyond the contr</w:t>
      </w:r>
      <w:r w:rsidR="00101C1D">
        <w:rPr>
          <w:rFonts w:cs="Arial"/>
          <w:sz w:val="22"/>
        </w:rPr>
        <w:t>ol limits.  A control limit is three</w:t>
      </w:r>
      <w:r w:rsidRPr="00833851">
        <w:rPr>
          <w:rFonts w:cs="Arial"/>
          <w:sz w:val="22"/>
        </w:rPr>
        <w:t xml:space="preserve"> standard deviations above or below the mean.  For the line graphs that display trend over time, the control limits are set based on 2007 baseline data.  For the graphs that display single year results across DHBs or facilities, the control limits are set based on the national mean of the year in question.</w:t>
      </w:r>
      <w:r w:rsidR="002B084F" w:rsidRPr="00833851">
        <w:rPr>
          <w:rFonts w:cs="Arial"/>
          <w:sz w:val="22"/>
        </w:rPr>
        <w:t xml:space="preserve"> </w:t>
      </w:r>
      <w:r w:rsidRPr="00833851">
        <w:rPr>
          <w:rFonts w:cs="Arial"/>
          <w:sz w:val="22"/>
        </w:rPr>
        <w:t xml:space="preserve"> Points that are beyond the control limits indicate a special cause for variation.</w:t>
      </w:r>
      <w:r w:rsidRPr="00833851">
        <w:rPr>
          <w:rStyle w:val="FootnoteReference"/>
          <w:rFonts w:cs="Arial"/>
          <w:sz w:val="22"/>
        </w:rPr>
        <w:footnoteReference w:id="4"/>
      </w:r>
      <w:r w:rsidRPr="00833851">
        <w:rPr>
          <w:rFonts w:cs="Arial"/>
          <w:sz w:val="22"/>
        </w:rPr>
        <w:t xml:space="preserve">  They signal the need for further investigation at a local level.  This could include a stepwise approach at eliminating data quality issues before exploring other possible reasons such as patient casemix, resources and processes of care.</w:t>
      </w:r>
      <w:r w:rsidRPr="00833851">
        <w:rPr>
          <w:rStyle w:val="FootnoteReference"/>
          <w:rFonts w:cs="Arial"/>
          <w:sz w:val="22"/>
        </w:rPr>
        <w:footnoteReference w:id="5"/>
      </w:r>
      <w:r w:rsidRPr="00833851">
        <w:rPr>
          <w:rFonts w:cs="Arial"/>
          <w:sz w:val="22"/>
        </w:rPr>
        <w:t xml:space="preserve">  </w:t>
      </w:r>
      <w:r w:rsidR="008F5D7A" w:rsidRPr="00833851">
        <w:rPr>
          <w:rFonts w:cs="Arial"/>
          <w:sz w:val="22"/>
        </w:rPr>
        <w:t>Variation within the control limits is consistent with common cause variation.</w:t>
      </w:r>
      <w:r w:rsidRPr="00833851">
        <w:rPr>
          <w:rStyle w:val="FootnoteReference"/>
          <w:rFonts w:cs="Arial"/>
          <w:sz w:val="22"/>
        </w:rPr>
        <w:footnoteReference w:id="6"/>
      </w:r>
    </w:p>
    <w:p w:rsidR="00AF2DE6" w:rsidRPr="00833851" w:rsidRDefault="00AF2DE6" w:rsidP="00381F08">
      <w:pPr>
        <w:spacing w:after="0" w:line="240" w:lineRule="auto"/>
        <w:rPr>
          <w:rFonts w:cs="Arial"/>
          <w:sz w:val="20"/>
        </w:rPr>
      </w:pPr>
    </w:p>
    <w:p w:rsidR="00C51388" w:rsidRPr="00833851" w:rsidRDefault="00C51388" w:rsidP="00381F08">
      <w:pPr>
        <w:spacing w:after="0" w:line="240" w:lineRule="auto"/>
        <w:rPr>
          <w:rFonts w:cs="Arial"/>
          <w:sz w:val="22"/>
        </w:rPr>
      </w:pPr>
      <w:r w:rsidRPr="00833851">
        <w:rPr>
          <w:rFonts w:cs="Arial"/>
          <w:sz w:val="22"/>
        </w:rPr>
        <w:t>There will be difficulties in identifying outliers when the data were not designed to be compared across DHBs.  Significant changes over time within a facility or DHB will be a better signal for further investigation.</w:t>
      </w:r>
    </w:p>
    <w:p w:rsidR="00AF2DE6" w:rsidRPr="00833851" w:rsidRDefault="00AF2DE6" w:rsidP="00381F08">
      <w:pPr>
        <w:spacing w:after="0" w:line="240" w:lineRule="auto"/>
        <w:rPr>
          <w:rFonts w:cs="Arial"/>
          <w:sz w:val="20"/>
        </w:rPr>
      </w:pPr>
    </w:p>
    <w:p w:rsidR="0028030D" w:rsidRPr="00833851" w:rsidRDefault="0028030D" w:rsidP="00381F08">
      <w:pPr>
        <w:spacing w:after="0" w:line="240" w:lineRule="auto"/>
        <w:rPr>
          <w:rFonts w:cs="Arial"/>
          <w:sz w:val="22"/>
        </w:rPr>
      </w:pPr>
      <w:r w:rsidRPr="00833851">
        <w:rPr>
          <w:rFonts w:cs="Arial"/>
          <w:sz w:val="22"/>
        </w:rPr>
        <w:lastRenderedPageBreak/>
        <w:t>An alert should be followed up by an investigation of other quality indicators such as:</w:t>
      </w:r>
    </w:p>
    <w:p w:rsidR="0028030D" w:rsidRPr="00833851" w:rsidRDefault="0028030D" w:rsidP="00381F08">
      <w:pPr>
        <w:pStyle w:val="ListParagraph"/>
        <w:numPr>
          <w:ilvl w:val="0"/>
          <w:numId w:val="16"/>
        </w:numPr>
        <w:spacing w:before="60" w:after="0" w:line="240" w:lineRule="auto"/>
        <w:ind w:left="714" w:hanging="357"/>
        <w:contextualSpacing w:val="0"/>
        <w:rPr>
          <w:rFonts w:cs="Arial"/>
          <w:sz w:val="22"/>
        </w:rPr>
      </w:pPr>
      <w:r w:rsidRPr="00833851">
        <w:rPr>
          <w:rFonts w:cs="Arial"/>
          <w:sz w:val="22"/>
        </w:rPr>
        <w:t>patient experience</w:t>
      </w:r>
    </w:p>
    <w:p w:rsidR="0028030D" w:rsidRPr="00833851" w:rsidRDefault="0028030D" w:rsidP="00381F08">
      <w:pPr>
        <w:pStyle w:val="ListParagraph"/>
        <w:numPr>
          <w:ilvl w:val="0"/>
          <w:numId w:val="16"/>
        </w:numPr>
        <w:spacing w:after="0" w:line="240" w:lineRule="auto"/>
        <w:contextualSpacing w:val="0"/>
        <w:rPr>
          <w:rFonts w:cs="Arial"/>
          <w:sz w:val="22"/>
        </w:rPr>
      </w:pPr>
      <w:r w:rsidRPr="00833851">
        <w:rPr>
          <w:rFonts w:cs="Arial"/>
          <w:sz w:val="22"/>
        </w:rPr>
        <w:t>safety</w:t>
      </w:r>
    </w:p>
    <w:p w:rsidR="0028030D" w:rsidRPr="00833851" w:rsidRDefault="0028030D" w:rsidP="00381F08">
      <w:pPr>
        <w:pStyle w:val="ListParagraph"/>
        <w:numPr>
          <w:ilvl w:val="0"/>
          <w:numId w:val="16"/>
        </w:numPr>
        <w:spacing w:after="0" w:line="240" w:lineRule="auto"/>
        <w:contextualSpacing w:val="0"/>
        <w:rPr>
          <w:rFonts w:cs="Arial"/>
          <w:sz w:val="22"/>
        </w:rPr>
      </w:pPr>
      <w:r w:rsidRPr="00833851">
        <w:rPr>
          <w:rFonts w:cs="Arial"/>
          <w:sz w:val="22"/>
        </w:rPr>
        <w:t>workforce</w:t>
      </w:r>
    </w:p>
    <w:p w:rsidR="0028030D" w:rsidRPr="00833851" w:rsidRDefault="0028030D" w:rsidP="00381F08">
      <w:pPr>
        <w:pStyle w:val="ListParagraph"/>
        <w:numPr>
          <w:ilvl w:val="0"/>
          <w:numId w:val="16"/>
        </w:numPr>
        <w:spacing w:after="0" w:line="240" w:lineRule="auto"/>
        <w:contextualSpacing w:val="0"/>
        <w:rPr>
          <w:rFonts w:cs="Arial"/>
          <w:sz w:val="22"/>
        </w:rPr>
      </w:pPr>
      <w:r w:rsidRPr="00833851">
        <w:rPr>
          <w:rFonts w:cs="Arial"/>
          <w:sz w:val="22"/>
        </w:rPr>
        <w:t>clinical and operational effectiveness</w:t>
      </w:r>
    </w:p>
    <w:p w:rsidR="00AF2DE6" w:rsidRPr="00833851" w:rsidRDefault="00AF2DE6" w:rsidP="00381F08">
      <w:pPr>
        <w:pStyle w:val="ListParagraph"/>
        <w:numPr>
          <w:ilvl w:val="0"/>
          <w:numId w:val="16"/>
        </w:numPr>
        <w:spacing w:after="0" w:line="240" w:lineRule="auto"/>
        <w:contextualSpacing w:val="0"/>
        <w:rPr>
          <w:rFonts w:cs="Arial"/>
          <w:sz w:val="22"/>
        </w:rPr>
      </w:pPr>
      <w:r w:rsidRPr="00833851">
        <w:rPr>
          <w:rFonts w:cs="Arial"/>
          <w:sz w:val="22"/>
        </w:rPr>
        <w:t>leadership and governance</w:t>
      </w:r>
      <w:r w:rsidRPr="00833851">
        <w:rPr>
          <w:rStyle w:val="FootnoteReference"/>
          <w:rFonts w:cs="Arial"/>
          <w:sz w:val="22"/>
        </w:rPr>
        <w:footnoteReference w:id="7"/>
      </w:r>
      <w:r w:rsidRPr="00833851">
        <w:rPr>
          <w:rFonts w:cs="Arial"/>
          <w:sz w:val="22"/>
        </w:rPr>
        <w:t>.</w:t>
      </w:r>
    </w:p>
    <w:p w:rsidR="00124661" w:rsidRPr="00833851" w:rsidRDefault="00124661" w:rsidP="00381F08">
      <w:pPr>
        <w:pStyle w:val="ListParagraph"/>
        <w:spacing w:after="0" w:line="240" w:lineRule="auto"/>
        <w:contextualSpacing w:val="0"/>
        <w:rPr>
          <w:rFonts w:cs="Arial"/>
          <w:sz w:val="22"/>
        </w:rPr>
      </w:pPr>
    </w:p>
    <w:p w:rsidR="0028030D" w:rsidRPr="00833851" w:rsidRDefault="0028030D" w:rsidP="00381F08">
      <w:pPr>
        <w:spacing w:after="0" w:line="240" w:lineRule="auto"/>
        <w:rPr>
          <w:rFonts w:cs="Arial"/>
          <w:sz w:val="22"/>
        </w:rPr>
      </w:pPr>
      <w:r w:rsidRPr="00833851">
        <w:rPr>
          <w:rFonts w:cs="Arial"/>
          <w:sz w:val="22"/>
        </w:rPr>
        <w:t>There are also sub-organisational indicators at ward or unit level which could reveal variation at the organisational level</w:t>
      </w:r>
      <w:r w:rsidRPr="00833851">
        <w:rPr>
          <w:rStyle w:val="FootnoteReference"/>
          <w:rFonts w:cs="Arial"/>
          <w:sz w:val="22"/>
        </w:rPr>
        <w:footnoteReference w:id="8"/>
      </w:r>
      <w:r w:rsidRPr="00833851">
        <w:rPr>
          <w:rFonts w:cs="Arial"/>
          <w:sz w:val="22"/>
        </w:rPr>
        <w:t>.</w:t>
      </w:r>
    </w:p>
    <w:p w:rsidR="00A03E67" w:rsidRPr="00833851" w:rsidRDefault="00A03E67" w:rsidP="00381F08">
      <w:pPr>
        <w:spacing w:after="0" w:line="240" w:lineRule="auto"/>
        <w:rPr>
          <w:rFonts w:cs="Arial"/>
          <w:sz w:val="22"/>
        </w:rPr>
      </w:pPr>
    </w:p>
    <w:p w:rsidR="0028030D" w:rsidRPr="00833851" w:rsidRDefault="00E3002F" w:rsidP="00381F08">
      <w:pPr>
        <w:keepNext/>
        <w:tabs>
          <w:tab w:val="left" w:pos="851"/>
        </w:tabs>
        <w:spacing w:after="0" w:line="240" w:lineRule="auto"/>
        <w:rPr>
          <w:rFonts w:cs="Arial"/>
          <w:b/>
          <w:i/>
          <w:sz w:val="22"/>
        </w:rPr>
      </w:pPr>
      <w:r w:rsidRPr="00833851">
        <w:rPr>
          <w:rFonts w:cs="Arial"/>
          <w:b/>
          <w:i/>
          <w:sz w:val="22"/>
        </w:rPr>
        <w:t>4.</w:t>
      </w:r>
      <w:r w:rsidR="001F71C0" w:rsidRPr="00833851">
        <w:rPr>
          <w:rFonts w:cs="Arial"/>
          <w:b/>
          <w:i/>
          <w:sz w:val="22"/>
        </w:rPr>
        <w:t>10</w:t>
      </w:r>
      <w:r w:rsidRPr="00833851">
        <w:rPr>
          <w:rFonts w:cs="Arial"/>
          <w:b/>
          <w:i/>
          <w:sz w:val="22"/>
        </w:rPr>
        <w:tab/>
      </w:r>
      <w:r w:rsidR="0028030D" w:rsidRPr="00833851">
        <w:rPr>
          <w:rFonts w:cs="Arial"/>
          <w:b/>
          <w:i/>
          <w:sz w:val="22"/>
        </w:rPr>
        <w:t>How does the revised model differ from the Health Roundtable model?</w:t>
      </w:r>
    </w:p>
    <w:p w:rsidR="00124661" w:rsidRPr="00833851" w:rsidRDefault="00124661" w:rsidP="00381F08">
      <w:pPr>
        <w:keepNext/>
        <w:tabs>
          <w:tab w:val="left" w:pos="851"/>
        </w:tabs>
        <w:spacing w:after="0" w:line="240" w:lineRule="auto"/>
        <w:rPr>
          <w:rFonts w:cs="Arial"/>
          <w:b/>
          <w:i/>
          <w:sz w:val="22"/>
        </w:rPr>
      </w:pPr>
    </w:p>
    <w:p w:rsidR="0028030D" w:rsidRPr="00833851" w:rsidRDefault="0028030D" w:rsidP="00381F08">
      <w:pPr>
        <w:keepNext/>
        <w:spacing w:after="0" w:line="240" w:lineRule="auto"/>
        <w:rPr>
          <w:rFonts w:cs="Arial"/>
          <w:sz w:val="22"/>
        </w:rPr>
      </w:pPr>
      <w:r w:rsidRPr="00833851">
        <w:rPr>
          <w:rFonts w:cs="Arial"/>
          <w:sz w:val="22"/>
        </w:rPr>
        <w:t>The Health Roundtable (HRT) also provides a variation of the HSMR to DHBs.  During the development work of the revised model, the Ministry consulted with different stakeholders on the methodology including the HRT.</w:t>
      </w:r>
    </w:p>
    <w:p w:rsidR="00124661" w:rsidRPr="00833851" w:rsidRDefault="00124661" w:rsidP="00381F08">
      <w:pPr>
        <w:keepNext/>
        <w:spacing w:after="0" w:line="240" w:lineRule="auto"/>
        <w:rPr>
          <w:rFonts w:cs="Arial"/>
          <w:sz w:val="22"/>
        </w:rPr>
      </w:pPr>
    </w:p>
    <w:p w:rsidR="0028030D" w:rsidRPr="00833851" w:rsidRDefault="0028030D" w:rsidP="00381F08">
      <w:pPr>
        <w:spacing w:after="0" w:line="240" w:lineRule="auto"/>
        <w:rPr>
          <w:rFonts w:cs="Arial"/>
          <w:sz w:val="22"/>
        </w:rPr>
      </w:pPr>
      <w:r w:rsidRPr="00833851">
        <w:rPr>
          <w:rFonts w:cs="Arial"/>
          <w:sz w:val="22"/>
        </w:rPr>
        <w:t>There are several fundamental differences between the Ministry</w:t>
      </w:r>
      <w:r w:rsidR="00CB6C26">
        <w:rPr>
          <w:rFonts w:cs="Arial"/>
          <w:sz w:val="22"/>
        </w:rPr>
        <w:t xml:space="preserve"> and </w:t>
      </w:r>
      <w:r w:rsidR="00381F08">
        <w:rPr>
          <w:rFonts w:cs="Arial"/>
          <w:sz w:val="22"/>
        </w:rPr>
        <w:t>the Commission</w:t>
      </w:r>
      <w:r w:rsidR="00381F08" w:rsidRPr="00833851">
        <w:rPr>
          <w:rFonts w:cs="Arial"/>
          <w:sz w:val="22"/>
        </w:rPr>
        <w:t xml:space="preserve"> </w:t>
      </w:r>
      <w:r w:rsidRPr="00833851">
        <w:rPr>
          <w:rFonts w:cs="Arial"/>
          <w:sz w:val="22"/>
        </w:rPr>
        <w:t>model and the HRT Model.  These include:</w:t>
      </w:r>
    </w:p>
    <w:p w:rsidR="0028030D" w:rsidRPr="00833851" w:rsidRDefault="0028030D" w:rsidP="00381F08">
      <w:pPr>
        <w:pStyle w:val="ListParagraph"/>
        <w:numPr>
          <w:ilvl w:val="0"/>
          <w:numId w:val="17"/>
        </w:numPr>
        <w:spacing w:before="120" w:after="0" w:line="240" w:lineRule="auto"/>
        <w:ind w:left="714" w:hanging="357"/>
        <w:contextualSpacing w:val="0"/>
        <w:rPr>
          <w:rFonts w:cs="Arial"/>
          <w:sz w:val="22"/>
        </w:rPr>
      </w:pPr>
      <w:r w:rsidRPr="00833851">
        <w:rPr>
          <w:rFonts w:cs="Arial"/>
          <w:sz w:val="22"/>
        </w:rPr>
        <w:t>The HRT model accounts for hospital deaths only whilst the Ministry</w:t>
      </w:r>
      <w:r w:rsidR="00CB6C26">
        <w:rPr>
          <w:rFonts w:cs="Arial"/>
          <w:sz w:val="22"/>
        </w:rPr>
        <w:t xml:space="preserve"> and </w:t>
      </w:r>
      <w:r w:rsidR="00381F08">
        <w:rPr>
          <w:rFonts w:cs="Arial"/>
          <w:sz w:val="22"/>
        </w:rPr>
        <w:t>the Commission</w:t>
      </w:r>
      <w:r w:rsidR="00381F08" w:rsidRPr="00833851">
        <w:rPr>
          <w:rFonts w:cs="Arial"/>
          <w:sz w:val="22"/>
        </w:rPr>
        <w:t xml:space="preserve"> </w:t>
      </w:r>
      <w:r w:rsidRPr="00833851">
        <w:rPr>
          <w:rFonts w:cs="Arial"/>
          <w:sz w:val="22"/>
        </w:rPr>
        <w:t xml:space="preserve">model considers both hospital and community deaths within 30 days from admission.  Thus, the </w:t>
      </w:r>
      <w:r w:rsidR="00DE404E">
        <w:rPr>
          <w:rFonts w:cs="Arial"/>
          <w:sz w:val="22"/>
        </w:rPr>
        <w:t xml:space="preserve">Ministry and </w:t>
      </w:r>
      <w:r w:rsidR="00381F08">
        <w:rPr>
          <w:rFonts w:cs="Arial"/>
          <w:sz w:val="22"/>
        </w:rPr>
        <w:t>the Commission</w:t>
      </w:r>
      <w:r w:rsidR="00381F08" w:rsidRPr="00833851">
        <w:rPr>
          <w:rFonts w:cs="Arial"/>
          <w:sz w:val="22"/>
        </w:rPr>
        <w:t xml:space="preserve"> </w:t>
      </w:r>
      <w:r w:rsidRPr="00833851">
        <w:rPr>
          <w:rFonts w:cs="Arial"/>
          <w:sz w:val="22"/>
        </w:rPr>
        <w:t xml:space="preserve">model </w:t>
      </w:r>
      <w:proofErr w:type="gramStart"/>
      <w:r w:rsidRPr="00833851">
        <w:rPr>
          <w:rFonts w:cs="Arial"/>
          <w:sz w:val="22"/>
        </w:rPr>
        <w:t>is</w:t>
      </w:r>
      <w:proofErr w:type="gramEnd"/>
      <w:r w:rsidRPr="00833851">
        <w:rPr>
          <w:rFonts w:cs="Arial"/>
          <w:sz w:val="22"/>
        </w:rPr>
        <w:t xml:space="preserve"> able to account for deaths in the community in addition to the hospital deaths.</w:t>
      </w:r>
    </w:p>
    <w:p w:rsidR="0028030D" w:rsidRPr="00833851" w:rsidRDefault="0028030D" w:rsidP="00381F08">
      <w:pPr>
        <w:pStyle w:val="ListParagraph"/>
        <w:numPr>
          <w:ilvl w:val="0"/>
          <w:numId w:val="17"/>
        </w:numPr>
        <w:spacing w:before="60" w:after="60" w:line="240" w:lineRule="auto"/>
        <w:ind w:left="714" w:hanging="357"/>
        <w:contextualSpacing w:val="0"/>
        <w:rPr>
          <w:rFonts w:cs="Arial"/>
          <w:sz w:val="22"/>
        </w:rPr>
      </w:pPr>
      <w:r w:rsidRPr="00833851">
        <w:rPr>
          <w:rFonts w:cs="Arial"/>
          <w:sz w:val="22"/>
        </w:rPr>
        <w:t xml:space="preserve">The baseline period is wider for HRT compared to </w:t>
      </w:r>
      <w:r w:rsidR="00DE404E">
        <w:rPr>
          <w:rFonts w:cs="Arial"/>
          <w:sz w:val="22"/>
        </w:rPr>
        <w:t xml:space="preserve">the Ministry and </w:t>
      </w:r>
      <w:r w:rsidR="00381F08">
        <w:rPr>
          <w:rFonts w:cs="Arial"/>
          <w:sz w:val="22"/>
        </w:rPr>
        <w:t>the Commission</w:t>
      </w:r>
      <w:r w:rsidR="00381F08" w:rsidRPr="00833851">
        <w:rPr>
          <w:rFonts w:cs="Arial"/>
          <w:sz w:val="22"/>
        </w:rPr>
        <w:t xml:space="preserve"> </w:t>
      </w:r>
      <w:r w:rsidRPr="00833851">
        <w:rPr>
          <w:rFonts w:cs="Arial"/>
          <w:sz w:val="22"/>
        </w:rPr>
        <w:t>model.  Thus HRT is currently using a three year baseline</w:t>
      </w:r>
      <w:r w:rsidR="00DE404E">
        <w:rPr>
          <w:rFonts w:cs="Arial"/>
          <w:sz w:val="22"/>
        </w:rPr>
        <w:t xml:space="preserve"> while </w:t>
      </w:r>
      <w:r w:rsidRPr="00833851">
        <w:rPr>
          <w:rFonts w:cs="Arial"/>
          <w:sz w:val="22"/>
        </w:rPr>
        <w:t xml:space="preserve">the </w:t>
      </w:r>
      <w:r w:rsidR="00DE404E">
        <w:rPr>
          <w:rFonts w:cs="Arial"/>
          <w:sz w:val="22"/>
        </w:rPr>
        <w:t xml:space="preserve">Ministry and </w:t>
      </w:r>
      <w:r w:rsidR="00381F08">
        <w:rPr>
          <w:rFonts w:cs="Arial"/>
          <w:sz w:val="22"/>
        </w:rPr>
        <w:t>the Commission</w:t>
      </w:r>
      <w:r w:rsidRPr="00833851">
        <w:rPr>
          <w:rFonts w:cs="Arial"/>
          <w:sz w:val="22"/>
        </w:rPr>
        <w:t xml:space="preserve"> model uses a single year baseline which is the year the model’s logistic regression calculates the probabilities for applying to ot</w:t>
      </w:r>
      <w:r w:rsidR="00DE404E">
        <w:rPr>
          <w:rFonts w:cs="Arial"/>
          <w:sz w:val="22"/>
        </w:rPr>
        <w:t>her</w:t>
      </w:r>
      <w:r w:rsidRPr="00833851">
        <w:rPr>
          <w:rFonts w:cs="Arial"/>
          <w:sz w:val="22"/>
        </w:rPr>
        <w:t xml:space="preserve"> years.</w:t>
      </w:r>
    </w:p>
    <w:p w:rsidR="0028030D" w:rsidRPr="00833851" w:rsidRDefault="0028030D" w:rsidP="00381F08">
      <w:pPr>
        <w:pStyle w:val="ListParagraph"/>
        <w:numPr>
          <w:ilvl w:val="0"/>
          <w:numId w:val="17"/>
        </w:numPr>
        <w:spacing w:before="60" w:after="60" w:line="240" w:lineRule="auto"/>
        <w:ind w:left="714" w:hanging="357"/>
        <w:contextualSpacing w:val="0"/>
        <w:rPr>
          <w:rFonts w:cs="Arial"/>
          <w:sz w:val="22"/>
        </w:rPr>
      </w:pPr>
      <w:r w:rsidRPr="00833851">
        <w:rPr>
          <w:rFonts w:cs="Arial"/>
          <w:sz w:val="22"/>
        </w:rPr>
        <w:t>The HRT model includes data from Australia and from its members in New Zealand.</w:t>
      </w:r>
      <w:r w:rsidRPr="00833851" w:rsidDel="00A741CF">
        <w:rPr>
          <w:rFonts w:cs="Arial"/>
          <w:sz w:val="22"/>
        </w:rPr>
        <w:t xml:space="preserve"> </w:t>
      </w:r>
    </w:p>
    <w:p w:rsidR="0028030D" w:rsidRPr="00833851" w:rsidRDefault="0028030D" w:rsidP="00381F08">
      <w:pPr>
        <w:pStyle w:val="ListParagraph"/>
        <w:numPr>
          <w:ilvl w:val="0"/>
          <w:numId w:val="17"/>
        </w:numPr>
        <w:spacing w:before="60" w:after="60" w:line="240" w:lineRule="auto"/>
        <w:ind w:left="714" w:hanging="357"/>
        <w:contextualSpacing w:val="0"/>
        <w:rPr>
          <w:rFonts w:cs="Arial"/>
          <w:sz w:val="22"/>
        </w:rPr>
      </w:pPr>
      <w:r w:rsidRPr="00833851">
        <w:rPr>
          <w:rFonts w:cs="Arial"/>
          <w:sz w:val="22"/>
        </w:rPr>
        <w:t>The HRT model excludes palliative care type in order to include only acute care type.  The Ministry</w:t>
      </w:r>
      <w:r w:rsidR="00CB6C26">
        <w:rPr>
          <w:rFonts w:cs="Arial"/>
          <w:sz w:val="22"/>
        </w:rPr>
        <w:t xml:space="preserve"> and </w:t>
      </w:r>
      <w:r w:rsidR="00381F08">
        <w:rPr>
          <w:rFonts w:cs="Arial"/>
          <w:sz w:val="22"/>
        </w:rPr>
        <w:t>the Commission</w:t>
      </w:r>
      <w:r w:rsidR="00381F08" w:rsidRPr="00833851">
        <w:rPr>
          <w:rFonts w:cs="Arial"/>
          <w:sz w:val="22"/>
        </w:rPr>
        <w:t xml:space="preserve"> </w:t>
      </w:r>
      <w:r w:rsidRPr="00833851">
        <w:rPr>
          <w:rFonts w:cs="Arial"/>
          <w:sz w:val="22"/>
        </w:rPr>
        <w:t xml:space="preserve">model </w:t>
      </w:r>
      <w:proofErr w:type="gramStart"/>
      <w:r w:rsidRPr="00833851">
        <w:rPr>
          <w:rFonts w:cs="Arial"/>
          <w:sz w:val="22"/>
        </w:rPr>
        <w:t>does</w:t>
      </w:r>
      <w:proofErr w:type="gramEnd"/>
      <w:r w:rsidRPr="00833851">
        <w:rPr>
          <w:rFonts w:cs="Arial"/>
          <w:sz w:val="22"/>
        </w:rPr>
        <w:t xml:space="preserve"> not exclude palliative care as these events are not consistently coded across DHBs.</w:t>
      </w:r>
    </w:p>
    <w:p w:rsidR="0028030D" w:rsidRPr="00833851" w:rsidRDefault="0028030D" w:rsidP="00381F08">
      <w:pPr>
        <w:pStyle w:val="ListParagraph"/>
        <w:numPr>
          <w:ilvl w:val="0"/>
          <w:numId w:val="17"/>
        </w:numPr>
        <w:spacing w:before="60" w:after="60" w:line="240" w:lineRule="auto"/>
        <w:ind w:left="714" w:hanging="357"/>
        <w:contextualSpacing w:val="0"/>
        <w:rPr>
          <w:rFonts w:cs="Arial"/>
          <w:sz w:val="22"/>
        </w:rPr>
      </w:pPr>
      <w:r w:rsidRPr="00833851">
        <w:rPr>
          <w:rFonts w:cs="Arial"/>
          <w:sz w:val="22"/>
        </w:rPr>
        <w:t>Other variables which are excluded by the HRT model but are not part of the exclusion criteria in the M</w:t>
      </w:r>
      <w:r w:rsidR="00DE404E">
        <w:rPr>
          <w:rFonts w:cs="Arial"/>
          <w:sz w:val="22"/>
        </w:rPr>
        <w:t xml:space="preserve">inistry and </w:t>
      </w:r>
      <w:r w:rsidR="00381F08">
        <w:rPr>
          <w:rFonts w:cs="Arial"/>
          <w:sz w:val="22"/>
        </w:rPr>
        <w:t>the Commission</w:t>
      </w:r>
      <w:r w:rsidR="00381F08" w:rsidRPr="00833851">
        <w:rPr>
          <w:rFonts w:cs="Arial"/>
          <w:sz w:val="22"/>
        </w:rPr>
        <w:t xml:space="preserve"> </w:t>
      </w:r>
      <w:r w:rsidRPr="00833851">
        <w:rPr>
          <w:rFonts w:cs="Arial"/>
          <w:sz w:val="22"/>
        </w:rPr>
        <w:t>model are:  patients leaving against medical advice, routine dialysis, sudden unexplained deaths and some organ donors.  However, these variables may be considered for exclusion in the development of a future model for New Zealand.</w:t>
      </w:r>
    </w:p>
    <w:p w:rsidR="00A03E67" w:rsidRDefault="0028030D" w:rsidP="00381F08">
      <w:pPr>
        <w:pStyle w:val="ListParagraph"/>
        <w:numPr>
          <w:ilvl w:val="0"/>
          <w:numId w:val="17"/>
        </w:numPr>
        <w:spacing w:after="0" w:line="240" w:lineRule="auto"/>
        <w:contextualSpacing w:val="0"/>
        <w:rPr>
          <w:rFonts w:cs="Arial"/>
          <w:sz w:val="22"/>
        </w:rPr>
      </w:pPr>
      <w:r w:rsidRPr="00381F08">
        <w:rPr>
          <w:rFonts w:cs="Arial"/>
          <w:sz w:val="22"/>
        </w:rPr>
        <w:t>The HRT model does not adjust for socioeconomic deprivation whereas the Ministry</w:t>
      </w:r>
      <w:r w:rsidR="00CB6C26" w:rsidRPr="00381F08">
        <w:rPr>
          <w:rFonts w:cs="Arial"/>
          <w:sz w:val="22"/>
        </w:rPr>
        <w:t xml:space="preserve"> and </w:t>
      </w:r>
      <w:r w:rsidR="00381F08" w:rsidRPr="00381F08">
        <w:rPr>
          <w:rFonts w:cs="Arial"/>
          <w:sz w:val="22"/>
        </w:rPr>
        <w:t>the Commission</w:t>
      </w:r>
      <w:r w:rsidR="00381F08" w:rsidRPr="00381F08">
        <w:rPr>
          <w:rFonts w:cs="Arial"/>
          <w:sz w:val="22"/>
        </w:rPr>
        <w:t xml:space="preserve"> </w:t>
      </w:r>
      <w:r w:rsidRPr="00381F08">
        <w:rPr>
          <w:rFonts w:cs="Arial"/>
          <w:sz w:val="22"/>
        </w:rPr>
        <w:t>model uses New Zealand Deprivation Index, based on Census data for this adjustment.</w:t>
      </w:r>
    </w:p>
    <w:p w:rsidR="00381F08" w:rsidRDefault="00381F08" w:rsidP="00381F08">
      <w:pPr>
        <w:keepNext/>
        <w:tabs>
          <w:tab w:val="left" w:pos="851"/>
        </w:tabs>
        <w:spacing w:after="0" w:line="240" w:lineRule="auto"/>
        <w:rPr>
          <w:rFonts w:cs="Arial"/>
          <w:b/>
          <w:i/>
          <w:sz w:val="22"/>
        </w:rPr>
      </w:pPr>
    </w:p>
    <w:p w:rsidR="00A03E67" w:rsidRPr="00833851" w:rsidRDefault="00A03E67" w:rsidP="00381F08">
      <w:pPr>
        <w:keepNext/>
        <w:tabs>
          <w:tab w:val="left" w:pos="851"/>
        </w:tabs>
        <w:spacing w:after="0" w:line="240" w:lineRule="auto"/>
        <w:ind w:right="-472"/>
        <w:rPr>
          <w:rFonts w:cs="Arial"/>
          <w:b/>
          <w:i/>
          <w:sz w:val="22"/>
        </w:rPr>
      </w:pPr>
      <w:r w:rsidRPr="00833851">
        <w:rPr>
          <w:rFonts w:cs="Arial"/>
          <w:b/>
          <w:i/>
          <w:sz w:val="22"/>
        </w:rPr>
        <w:t>4.</w:t>
      </w:r>
      <w:r w:rsidR="00F20755" w:rsidRPr="00833851">
        <w:rPr>
          <w:rFonts w:cs="Arial"/>
          <w:b/>
          <w:i/>
          <w:sz w:val="22"/>
        </w:rPr>
        <w:t>1</w:t>
      </w:r>
      <w:r w:rsidR="001F71C0" w:rsidRPr="00833851">
        <w:rPr>
          <w:rFonts w:cs="Arial"/>
          <w:b/>
          <w:i/>
          <w:sz w:val="22"/>
        </w:rPr>
        <w:t>1</w:t>
      </w:r>
      <w:r w:rsidR="00381F08">
        <w:rPr>
          <w:rFonts w:cs="Arial"/>
          <w:b/>
          <w:i/>
          <w:sz w:val="22"/>
        </w:rPr>
        <w:tab/>
        <w:t>Why do</w:t>
      </w:r>
      <w:r w:rsidRPr="00833851">
        <w:rPr>
          <w:rFonts w:cs="Arial"/>
          <w:b/>
          <w:i/>
          <w:sz w:val="22"/>
        </w:rPr>
        <w:t xml:space="preserve"> the Ministry and </w:t>
      </w:r>
      <w:r w:rsidR="00381F08" w:rsidRPr="00381F08">
        <w:rPr>
          <w:rFonts w:cs="Arial"/>
          <w:b/>
          <w:i/>
          <w:sz w:val="22"/>
        </w:rPr>
        <w:t>the Commission</w:t>
      </w:r>
      <w:r w:rsidR="00381F08" w:rsidRPr="00833851">
        <w:rPr>
          <w:rFonts w:cs="Arial"/>
          <w:b/>
          <w:i/>
          <w:sz w:val="22"/>
        </w:rPr>
        <w:t xml:space="preserve"> </w:t>
      </w:r>
      <w:r w:rsidRPr="00833851">
        <w:rPr>
          <w:rFonts w:cs="Arial"/>
          <w:b/>
          <w:i/>
          <w:sz w:val="22"/>
        </w:rPr>
        <w:t xml:space="preserve">not adjust for palliative care </w:t>
      </w:r>
      <w:bookmarkStart w:id="1" w:name="_GoBack"/>
      <w:bookmarkEnd w:id="1"/>
      <w:proofErr w:type="gramStart"/>
      <w:r w:rsidRPr="00833851">
        <w:rPr>
          <w:rFonts w:cs="Arial"/>
          <w:b/>
          <w:i/>
          <w:sz w:val="22"/>
        </w:rPr>
        <w:t>events</w:t>
      </w:r>
      <w:proofErr w:type="gramEnd"/>
      <w:r w:rsidRPr="00833851">
        <w:rPr>
          <w:rFonts w:cs="Arial"/>
          <w:b/>
          <w:i/>
          <w:sz w:val="22"/>
        </w:rPr>
        <w:t>?</w:t>
      </w:r>
    </w:p>
    <w:p w:rsidR="00124661" w:rsidRPr="00833851" w:rsidRDefault="00124661" w:rsidP="00381F08">
      <w:pPr>
        <w:keepNext/>
        <w:tabs>
          <w:tab w:val="left" w:pos="851"/>
        </w:tabs>
        <w:spacing w:after="0" w:line="240" w:lineRule="auto"/>
        <w:rPr>
          <w:rFonts w:cs="Arial"/>
          <w:b/>
          <w:i/>
          <w:sz w:val="22"/>
        </w:rPr>
      </w:pPr>
    </w:p>
    <w:p w:rsidR="00A03E67" w:rsidRPr="00833851" w:rsidRDefault="00A03E67" w:rsidP="00381F08">
      <w:pPr>
        <w:keepNext/>
        <w:spacing w:after="0" w:line="240" w:lineRule="auto"/>
        <w:rPr>
          <w:rFonts w:cs="Arial"/>
          <w:sz w:val="22"/>
        </w:rPr>
      </w:pPr>
      <w:r w:rsidRPr="00833851">
        <w:rPr>
          <w:rFonts w:cs="Arial"/>
          <w:sz w:val="22"/>
        </w:rPr>
        <w:t xml:space="preserve">Current clinical codes recorded in the National Data Collections do not allow any model to comprehensively identify palliative care events.  This makes it difficult to understand how palliative care events contribute to differences in DHBs’ HSMRs.  The wide variance in coding practice makes exclusion of palliative care deaths a potential risk for distorting the overall ratios.  This draft revised model includes deaths outside of hospital which helps reduce, although not eliminate, this potential distortion.  This is one of the reasons why DHBs are encouraged to focus on their own results and trends overtime as differences in service provision will drive variances across DHBs. </w:t>
      </w:r>
    </w:p>
    <w:p w:rsidR="00A03E67" w:rsidRPr="00833851" w:rsidRDefault="00A03E67" w:rsidP="00381F08">
      <w:pPr>
        <w:spacing w:after="0" w:line="240" w:lineRule="auto"/>
        <w:rPr>
          <w:rFonts w:cs="Arial"/>
          <w:b/>
          <w:i/>
          <w:sz w:val="22"/>
        </w:rPr>
      </w:pPr>
    </w:p>
    <w:p w:rsidR="0028030D" w:rsidRPr="00833851" w:rsidRDefault="00E3002F" w:rsidP="00381F08">
      <w:pPr>
        <w:spacing w:after="0" w:line="240" w:lineRule="auto"/>
        <w:rPr>
          <w:rFonts w:cs="Arial"/>
          <w:b/>
          <w:i/>
          <w:sz w:val="22"/>
        </w:rPr>
      </w:pPr>
      <w:r w:rsidRPr="00833851">
        <w:rPr>
          <w:rFonts w:cs="Arial"/>
          <w:b/>
          <w:i/>
          <w:sz w:val="22"/>
        </w:rPr>
        <w:lastRenderedPageBreak/>
        <w:t>4.</w:t>
      </w:r>
      <w:r w:rsidR="00F20755" w:rsidRPr="00833851">
        <w:rPr>
          <w:rFonts w:cs="Arial"/>
          <w:b/>
          <w:i/>
          <w:sz w:val="22"/>
        </w:rPr>
        <w:t>1</w:t>
      </w:r>
      <w:r w:rsidR="001F71C0" w:rsidRPr="00833851">
        <w:rPr>
          <w:rFonts w:cs="Arial"/>
          <w:b/>
          <w:i/>
          <w:sz w:val="22"/>
        </w:rPr>
        <w:t>2</w:t>
      </w:r>
      <w:r w:rsidRPr="00833851">
        <w:rPr>
          <w:rFonts w:cs="Arial"/>
          <w:b/>
          <w:i/>
          <w:sz w:val="22"/>
        </w:rPr>
        <w:tab/>
      </w:r>
      <w:r w:rsidR="00124661" w:rsidRPr="00833851">
        <w:rPr>
          <w:rFonts w:cs="Arial"/>
          <w:b/>
          <w:i/>
          <w:sz w:val="22"/>
        </w:rPr>
        <w:t>How should HSMR be interpreted?</w:t>
      </w:r>
    </w:p>
    <w:p w:rsidR="00124661" w:rsidRPr="00833851" w:rsidRDefault="00124661" w:rsidP="00381F08">
      <w:pPr>
        <w:spacing w:after="0" w:line="240" w:lineRule="auto"/>
        <w:rPr>
          <w:rFonts w:cs="Arial"/>
          <w:b/>
          <w:sz w:val="22"/>
        </w:rPr>
      </w:pPr>
    </w:p>
    <w:p w:rsidR="00242199" w:rsidRPr="00833851" w:rsidRDefault="00242199" w:rsidP="00381F08">
      <w:pPr>
        <w:spacing w:after="0" w:line="240" w:lineRule="auto"/>
        <w:rPr>
          <w:rFonts w:cs="Arial"/>
          <w:color w:val="000000"/>
          <w:sz w:val="22"/>
        </w:rPr>
      </w:pPr>
      <w:r w:rsidRPr="00833851">
        <w:rPr>
          <w:rFonts w:cs="Arial"/>
          <w:color w:val="000000"/>
          <w:sz w:val="22"/>
        </w:rPr>
        <w:t>HSMR is widely used internationally, but on its own, it is not an indicator of the quality of care provided.  It is best used to track changes over time.  A sudden increase in HSMR may serve as a ‘flag’ highl</w:t>
      </w:r>
      <w:r w:rsidR="00124661" w:rsidRPr="00833851">
        <w:rPr>
          <w:rFonts w:cs="Arial"/>
          <w:color w:val="000000"/>
          <w:sz w:val="22"/>
        </w:rPr>
        <w:t>ighting a trend to investigate.</w:t>
      </w:r>
    </w:p>
    <w:p w:rsidR="00124661" w:rsidRPr="00833851" w:rsidRDefault="00124661" w:rsidP="00381F08">
      <w:pPr>
        <w:spacing w:after="0" w:line="240" w:lineRule="auto"/>
        <w:rPr>
          <w:rFonts w:cs="Arial"/>
          <w:color w:val="000000"/>
          <w:sz w:val="22"/>
        </w:rPr>
      </w:pPr>
    </w:p>
    <w:p w:rsidR="00242199" w:rsidRPr="00833851" w:rsidRDefault="00242199" w:rsidP="00381F08">
      <w:pPr>
        <w:spacing w:after="0" w:line="240" w:lineRule="auto"/>
        <w:rPr>
          <w:rFonts w:cs="Arial"/>
          <w:color w:val="000000"/>
          <w:sz w:val="22"/>
        </w:rPr>
      </w:pPr>
      <w:r w:rsidRPr="00833851">
        <w:rPr>
          <w:rFonts w:cs="Arial"/>
          <w:color w:val="000000"/>
          <w:sz w:val="22"/>
        </w:rPr>
        <w:t xml:space="preserve">A secondary use is to see if a particular hospital has a ratio significantly higher or lower than we would have predicted.  Again, this may act as </w:t>
      </w:r>
      <w:r w:rsidR="002B084F" w:rsidRPr="00833851">
        <w:rPr>
          <w:rFonts w:cs="Arial"/>
          <w:color w:val="000000"/>
          <w:sz w:val="22"/>
        </w:rPr>
        <w:t>a prompt for further enquiries.</w:t>
      </w:r>
    </w:p>
    <w:p w:rsidR="002B084F" w:rsidRPr="00833851" w:rsidRDefault="002B084F" w:rsidP="00381F08">
      <w:pPr>
        <w:spacing w:after="0" w:line="240" w:lineRule="auto"/>
        <w:rPr>
          <w:rFonts w:cs="Arial"/>
          <w:color w:val="000000"/>
          <w:sz w:val="22"/>
        </w:rPr>
      </w:pPr>
    </w:p>
    <w:p w:rsidR="0028030D" w:rsidRPr="00833851" w:rsidRDefault="00242199" w:rsidP="00381F08">
      <w:pPr>
        <w:spacing w:after="0" w:line="240" w:lineRule="auto"/>
        <w:rPr>
          <w:rFonts w:cs="Arial"/>
          <w:color w:val="000000"/>
          <w:sz w:val="22"/>
        </w:rPr>
      </w:pPr>
      <w:r w:rsidRPr="00833851">
        <w:rPr>
          <w:rFonts w:cs="Arial"/>
          <w:color w:val="000000"/>
          <w:sz w:val="22"/>
        </w:rPr>
        <w:t>It should not be used in isolation and cannot be used to rank hospital performance.  There are many factors that influence HSMRs, some of which may be beyond the control of the facility.</w:t>
      </w:r>
      <w:r w:rsidR="0028030D" w:rsidRPr="00833851">
        <w:rPr>
          <w:rFonts w:cs="Arial"/>
          <w:color w:val="000000"/>
          <w:sz w:val="22"/>
        </w:rPr>
        <w:t xml:space="preserve"> </w:t>
      </w:r>
    </w:p>
    <w:p w:rsidR="001F71C0" w:rsidRPr="00833851" w:rsidRDefault="001F71C0" w:rsidP="00381F08">
      <w:pPr>
        <w:spacing w:after="0" w:line="240" w:lineRule="auto"/>
        <w:rPr>
          <w:rFonts w:cs="Arial"/>
          <w:b/>
          <w:i/>
          <w:sz w:val="22"/>
        </w:rPr>
      </w:pPr>
    </w:p>
    <w:p w:rsidR="00651A20" w:rsidRPr="00833851" w:rsidRDefault="00124661" w:rsidP="00381F08">
      <w:pPr>
        <w:spacing w:after="0" w:line="240" w:lineRule="auto"/>
        <w:rPr>
          <w:rFonts w:cs="Arial"/>
          <w:b/>
          <w:i/>
          <w:sz w:val="22"/>
        </w:rPr>
      </w:pPr>
      <w:r w:rsidRPr="00833851">
        <w:rPr>
          <w:rFonts w:cs="Arial"/>
          <w:b/>
          <w:i/>
          <w:sz w:val="22"/>
        </w:rPr>
        <w:t>4.1</w:t>
      </w:r>
      <w:r w:rsidR="001F71C0" w:rsidRPr="00833851">
        <w:rPr>
          <w:rFonts w:cs="Arial"/>
          <w:b/>
          <w:i/>
          <w:sz w:val="22"/>
        </w:rPr>
        <w:t>3</w:t>
      </w:r>
      <w:r w:rsidR="00651A20" w:rsidRPr="00833851">
        <w:rPr>
          <w:rFonts w:cs="Arial"/>
          <w:b/>
          <w:i/>
          <w:sz w:val="22"/>
        </w:rPr>
        <w:tab/>
        <w:t>What do you mean by “</w:t>
      </w:r>
      <w:r w:rsidRPr="00833851">
        <w:rPr>
          <w:rFonts w:cs="Arial"/>
          <w:b/>
          <w:i/>
          <w:sz w:val="22"/>
        </w:rPr>
        <w:t>significantly higher or lower”?</w:t>
      </w:r>
    </w:p>
    <w:p w:rsidR="00124661" w:rsidRPr="00833851" w:rsidRDefault="00124661" w:rsidP="00381F08">
      <w:pPr>
        <w:spacing w:after="0" w:line="240" w:lineRule="auto"/>
        <w:rPr>
          <w:rFonts w:cs="Arial"/>
          <w:b/>
          <w:sz w:val="22"/>
        </w:rPr>
      </w:pPr>
    </w:p>
    <w:p w:rsidR="00651A20" w:rsidRPr="00833851" w:rsidRDefault="00651A20" w:rsidP="00381F08">
      <w:pPr>
        <w:spacing w:after="0" w:line="240" w:lineRule="auto"/>
        <w:rPr>
          <w:rFonts w:cs="Arial"/>
          <w:color w:val="000000"/>
          <w:sz w:val="22"/>
        </w:rPr>
      </w:pPr>
      <w:r w:rsidRPr="00833851">
        <w:rPr>
          <w:rFonts w:cs="Arial"/>
          <w:color w:val="000000"/>
          <w:sz w:val="22"/>
        </w:rPr>
        <w:t xml:space="preserve">Ratios go up or down a little every time they are measured. </w:t>
      </w:r>
      <w:r w:rsidR="002B084F" w:rsidRPr="00833851">
        <w:rPr>
          <w:rFonts w:cs="Arial"/>
          <w:color w:val="000000"/>
          <w:sz w:val="22"/>
        </w:rPr>
        <w:t xml:space="preserve"> </w:t>
      </w:r>
      <w:r w:rsidRPr="00833851">
        <w:rPr>
          <w:rFonts w:cs="Arial"/>
          <w:color w:val="000000"/>
          <w:sz w:val="22"/>
        </w:rPr>
        <w:t xml:space="preserve">There are well-established statistical methods that identify which changes or differences are due to chance and which reflect something real.  The word “significant” is used to describe changes or differences which </w:t>
      </w:r>
      <w:r w:rsidR="00956BD8" w:rsidRPr="00833851">
        <w:rPr>
          <w:rFonts w:cs="Arial"/>
          <w:color w:val="000000"/>
          <w:sz w:val="22"/>
        </w:rPr>
        <w:t xml:space="preserve">the model indicates a </w:t>
      </w:r>
      <w:r w:rsidR="0012257C" w:rsidRPr="00833851">
        <w:rPr>
          <w:rFonts w:cs="Arial"/>
          <w:color w:val="000000"/>
          <w:sz w:val="22"/>
        </w:rPr>
        <w:t>pre</w:t>
      </w:r>
      <w:r w:rsidR="00575F54" w:rsidRPr="00833851">
        <w:rPr>
          <w:rFonts w:cs="Arial"/>
          <w:color w:val="000000"/>
          <w:sz w:val="22"/>
        </w:rPr>
        <w:t>-</w:t>
      </w:r>
      <w:r w:rsidR="0012257C" w:rsidRPr="00833851">
        <w:rPr>
          <w:rFonts w:cs="Arial"/>
          <w:color w:val="000000"/>
          <w:sz w:val="22"/>
        </w:rPr>
        <w:t xml:space="preserve">determined </w:t>
      </w:r>
      <w:r w:rsidR="00956BD8" w:rsidRPr="00833851">
        <w:rPr>
          <w:rFonts w:cs="Arial"/>
          <w:color w:val="000000"/>
          <w:sz w:val="22"/>
        </w:rPr>
        <w:t>level of confidence that</w:t>
      </w:r>
      <w:r w:rsidRPr="00833851">
        <w:rPr>
          <w:rFonts w:cs="Arial"/>
          <w:color w:val="000000"/>
          <w:sz w:val="22"/>
        </w:rPr>
        <w:t xml:space="preserve"> </w:t>
      </w:r>
      <w:r w:rsidR="00956BD8" w:rsidRPr="00833851">
        <w:rPr>
          <w:rFonts w:cs="Arial"/>
          <w:color w:val="000000"/>
          <w:sz w:val="22"/>
        </w:rPr>
        <w:t xml:space="preserve">the observed high or low results are </w:t>
      </w:r>
      <w:r w:rsidRPr="00833851">
        <w:rPr>
          <w:rFonts w:cs="Arial"/>
          <w:color w:val="000000"/>
          <w:sz w:val="22"/>
        </w:rPr>
        <w:t>not caused by chance alone.</w:t>
      </w:r>
    </w:p>
    <w:p w:rsidR="00651A20" w:rsidRPr="00833851" w:rsidRDefault="00651A20" w:rsidP="00381F08">
      <w:pPr>
        <w:spacing w:after="0" w:line="240" w:lineRule="auto"/>
        <w:rPr>
          <w:rFonts w:cs="Arial"/>
          <w:color w:val="000000"/>
          <w:sz w:val="22"/>
        </w:rPr>
      </w:pPr>
    </w:p>
    <w:p w:rsidR="00651A20" w:rsidRPr="00833851" w:rsidRDefault="00124661" w:rsidP="00381F08">
      <w:pPr>
        <w:keepNext/>
        <w:spacing w:after="0" w:line="240" w:lineRule="auto"/>
        <w:rPr>
          <w:rFonts w:cs="Arial"/>
          <w:b/>
          <w:i/>
          <w:sz w:val="22"/>
        </w:rPr>
      </w:pPr>
      <w:r w:rsidRPr="00833851">
        <w:rPr>
          <w:rFonts w:cs="Arial"/>
          <w:b/>
          <w:i/>
          <w:sz w:val="22"/>
        </w:rPr>
        <w:t>4.1</w:t>
      </w:r>
      <w:r w:rsidR="001F71C0" w:rsidRPr="00833851">
        <w:rPr>
          <w:rFonts w:cs="Arial"/>
          <w:b/>
          <w:i/>
          <w:sz w:val="22"/>
        </w:rPr>
        <w:t>4</w:t>
      </w:r>
      <w:r w:rsidR="00651A20" w:rsidRPr="00833851">
        <w:rPr>
          <w:rFonts w:cs="Arial"/>
          <w:b/>
          <w:i/>
          <w:sz w:val="22"/>
        </w:rPr>
        <w:tab/>
        <w:t>Wha</w:t>
      </w:r>
      <w:r w:rsidRPr="00833851">
        <w:rPr>
          <w:rFonts w:cs="Arial"/>
          <w:b/>
          <w:i/>
          <w:sz w:val="22"/>
        </w:rPr>
        <w:t>t questions might HSMRs prompt?</w:t>
      </w:r>
    </w:p>
    <w:p w:rsidR="00124661" w:rsidRPr="00833851" w:rsidRDefault="00124661" w:rsidP="00381F08">
      <w:pPr>
        <w:keepNext/>
        <w:spacing w:after="0" w:line="240" w:lineRule="auto"/>
        <w:rPr>
          <w:rFonts w:cs="Arial"/>
          <w:b/>
          <w:sz w:val="22"/>
        </w:rPr>
      </w:pPr>
    </w:p>
    <w:p w:rsidR="00651A20" w:rsidRPr="00833851" w:rsidRDefault="00651A20" w:rsidP="00381F08">
      <w:pPr>
        <w:keepNext/>
        <w:spacing w:after="0" w:line="240" w:lineRule="auto"/>
        <w:rPr>
          <w:rFonts w:cs="Arial"/>
          <w:color w:val="000000"/>
          <w:sz w:val="22"/>
        </w:rPr>
      </w:pPr>
      <w:r w:rsidRPr="00833851">
        <w:rPr>
          <w:rFonts w:cs="Arial"/>
          <w:color w:val="000000"/>
          <w:sz w:val="22"/>
        </w:rPr>
        <w:t>HSMRs will always require further investigation in order to be understood.  The questions that HSMRs should prompt include:</w:t>
      </w:r>
    </w:p>
    <w:p w:rsidR="00651A20" w:rsidRPr="00833851" w:rsidRDefault="00651A20" w:rsidP="00381F08">
      <w:pPr>
        <w:pStyle w:val="ListParagraph"/>
        <w:numPr>
          <w:ilvl w:val="0"/>
          <w:numId w:val="17"/>
        </w:numPr>
        <w:spacing w:before="120" w:after="0" w:line="240" w:lineRule="auto"/>
        <w:ind w:left="714" w:hanging="357"/>
        <w:contextualSpacing w:val="0"/>
        <w:rPr>
          <w:rFonts w:cs="Arial"/>
          <w:sz w:val="22"/>
        </w:rPr>
      </w:pPr>
      <w:r w:rsidRPr="00833851">
        <w:rPr>
          <w:rFonts w:cs="Arial"/>
          <w:color w:val="000000"/>
          <w:sz w:val="22"/>
        </w:rPr>
        <w:t>What is the overall ratio made up of?</w:t>
      </w:r>
    </w:p>
    <w:p w:rsidR="00651A20" w:rsidRPr="00833851" w:rsidRDefault="00651A20" w:rsidP="00381F08">
      <w:pPr>
        <w:pStyle w:val="ListParagraph"/>
        <w:numPr>
          <w:ilvl w:val="0"/>
          <w:numId w:val="17"/>
        </w:numPr>
        <w:spacing w:before="60" w:after="60" w:line="240" w:lineRule="auto"/>
        <w:ind w:left="714" w:hanging="357"/>
        <w:contextualSpacing w:val="0"/>
        <w:rPr>
          <w:rFonts w:cs="Arial"/>
          <w:sz w:val="22"/>
        </w:rPr>
      </w:pPr>
      <w:r w:rsidRPr="00833851">
        <w:rPr>
          <w:rFonts w:cs="Arial"/>
          <w:color w:val="000000"/>
          <w:sz w:val="22"/>
        </w:rPr>
        <w:t>What is the variance between different parts of the hospital – are ratios high for some conditions or patient groups and low for others?</w:t>
      </w:r>
    </w:p>
    <w:p w:rsidR="00651A20" w:rsidRPr="00833851" w:rsidRDefault="00651A20" w:rsidP="00381F08">
      <w:pPr>
        <w:pStyle w:val="ListParagraph"/>
        <w:numPr>
          <w:ilvl w:val="0"/>
          <w:numId w:val="17"/>
        </w:numPr>
        <w:spacing w:before="60" w:after="60" w:line="240" w:lineRule="auto"/>
        <w:ind w:left="714" w:hanging="357"/>
        <w:contextualSpacing w:val="0"/>
        <w:rPr>
          <w:rFonts w:cs="Arial"/>
          <w:sz w:val="22"/>
        </w:rPr>
      </w:pPr>
      <w:r w:rsidRPr="00833851">
        <w:rPr>
          <w:rFonts w:cs="Arial"/>
          <w:color w:val="000000"/>
          <w:sz w:val="22"/>
        </w:rPr>
        <w:t>Are there any issues about data or coding of patient conditions that we should take account of?</w:t>
      </w:r>
    </w:p>
    <w:p w:rsidR="00651A20" w:rsidRPr="00833851" w:rsidRDefault="00651A20" w:rsidP="00381F08">
      <w:pPr>
        <w:pStyle w:val="ListParagraph"/>
        <w:numPr>
          <w:ilvl w:val="0"/>
          <w:numId w:val="17"/>
        </w:numPr>
        <w:spacing w:before="60" w:after="60" w:line="240" w:lineRule="auto"/>
        <w:ind w:left="714" w:hanging="357"/>
        <w:contextualSpacing w:val="0"/>
        <w:rPr>
          <w:rFonts w:cs="Arial"/>
          <w:sz w:val="22"/>
        </w:rPr>
      </w:pPr>
      <w:r w:rsidRPr="00833851">
        <w:rPr>
          <w:rFonts w:cs="Arial"/>
          <w:color w:val="000000"/>
          <w:sz w:val="22"/>
        </w:rPr>
        <w:t>Has there been any change recently, and has that change been focused in specific parts of the hospital?</w:t>
      </w:r>
    </w:p>
    <w:p w:rsidR="00242199" w:rsidRPr="00833851" w:rsidRDefault="00651A20" w:rsidP="00381F08">
      <w:pPr>
        <w:pStyle w:val="ListParagraph"/>
        <w:numPr>
          <w:ilvl w:val="0"/>
          <w:numId w:val="17"/>
        </w:numPr>
        <w:spacing w:after="0" w:line="240" w:lineRule="auto"/>
        <w:contextualSpacing w:val="0"/>
        <w:rPr>
          <w:rFonts w:cs="Arial"/>
          <w:b/>
          <w:sz w:val="22"/>
        </w:rPr>
      </w:pPr>
      <w:r w:rsidRPr="00833851">
        <w:rPr>
          <w:rFonts w:cs="Arial"/>
          <w:color w:val="000000"/>
          <w:sz w:val="22"/>
        </w:rPr>
        <w:t>Are there any issues of quality that we are aware of from other sources?  How do HSMRs coincide with these?</w:t>
      </w:r>
    </w:p>
    <w:p w:rsidR="00F71875" w:rsidRPr="00833851" w:rsidRDefault="00F71875" w:rsidP="00381F08">
      <w:pPr>
        <w:spacing w:after="0" w:line="240" w:lineRule="auto"/>
        <w:rPr>
          <w:rFonts w:cs="Arial"/>
          <w:color w:val="000000"/>
          <w:sz w:val="22"/>
        </w:rPr>
      </w:pPr>
    </w:p>
    <w:p w:rsidR="00A63F24" w:rsidRPr="00833851" w:rsidRDefault="00A63F24" w:rsidP="00381F08">
      <w:pPr>
        <w:spacing w:after="0" w:line="240" w:lineRule="auto"/>
        <w:rPr>
          <w:rFonts w:cs="Arial"/>
          <w:b/>
          <w:i/>
          <w:color w:val="000000"/>
          <w:sz w:val="22"/>
        </w:rPr>
      </w:pPr>
      <w:r w:rsidRPr="00833851">
        <w:rPr>
          <w:rFonts w:cs="Arial"/>
          <w:b/>
          <w:i/>
          <w:color w:val="000000"/>
          <w:sz w:val="22"/>
        </w:rPr>
        <w:t>4.1</w:t>
      </w:r>
      <w:r w:rsidR="001F71C0" w:rsidRPr="00833851">
        <w:rPr>
          <w:rFonts w:cs="Arial"/>
          <w:b/>
          <w:i/>
          <w:color w:val="000000"/>
          <w:sz w:val="22"/>
        </w:rPr>
        <w:t>5</w:t>
      </w:r>
      <w:r w:rsidRPr="00833851">
        <w:rPr>
          <w:rFonts w:cs="Arial"/>
          <w:b/>
          <w:i/>
          <w:color w:val="000000"/>
          <w:sz w:val="22"/>
        </w:rPr>
        <w:tab/>
      </w:r>
      <w:r w:rsidR="006C3504" w:rsidRPr="00833851">
        <w:rPr>
          <w:rFonts w:cs="Arial"/>
          <w:b/>
          <w:i/>
          <w:color w:val="000000"/>
          <w:sz w:val="22"/>
        </w:rPr>
        <w:t>How are post discharge deaths linked to discharged events</w:t>
      </w:r>
      <w:r w:rsidRPr="00833851">
        <w:rPr>
          <w:rFonts w:cs="Arial"/>
          <w:b/>
          <w:i/>
          <w:color w:val="000000"/>
          <w:sz w:val="22"/>
        </w:rPr>
        <w:t>?</w:t>
      </w:r>
    </w:p>
    <w:p w:rsidR="00A63F24" w:rsidRPr="00833851" w:rsidRDefault="00A63F24" w:rsidP="00381F08">
      <w:pPr>
        <w:spacing w:after="0" w:line="240" w:lineRule="auto"/>
        <w:rPr>
          <w:rFonts w:cs="Arial"/>
          <w:color w:val="000000"/>
          <w:sz w:val="22"/>
        </w:rPr>
      </w:pPr>
    </w:p>
    <w:p w:rsidR="00A63F24" w:rsidRPr="00833851" w:rsidRDefault="00A63F24" w:rsidP="00381F08">
      <w:pPr>
        <w:spacing w:after="0" w:line="240" w:lineRule="auto"/>
        <w:rPr>
          <w:rFonts w:cs="Arial"/>
          <w:color w:val="000000"/>
          <w:sz w:val="22"/>
        </w:rPr>
      </w:pPr>
      <w:r w:rsidRPr="00833851">
        <w:rPr>
          <w:rFonts w:cs="Arial"/>
          <w:color w:val="000000"/>
          <w:sz w:val="22"/>
        </w:rPr>
        <w:t xml:space="preserve">The data on deaths is obtained from the New Zealand mortality database and is joined by the National Health Index (NHI) number to the NMDS.  Each death is assigned to the last facility of admission.  This ensures that deaths are recorded only once </w:t>
      </w:r>
      <w:r w:rsidR="00767F24" w:rsidRPr="00833851">
        <w:rPr>
          <w:rFonts w:cs="Arial"/>
          <w:color w:val="000000"/>
          <w:sz w:val="22"/>
        </w:rPr>
        <w:t xml:space="preserve">to </w:t>
      </w:r>
      <w:r w:rsidRPr="00833851">
        <w:rPr>
          <w:rFonts w:cs="Arial"/>
          <w:color w:val="000000"/>
          <w:sz w:val="22"/>
        </w:rPr>
        <w:t>prevent</w:t>
      </w:r>
      <w:r w:rsidR="00767F24" w:rsidRPr="00833851">
        <w:rPr>
          <w:rFonts w:cs="Arial"/>
          <w:color w:val="000000"/>
          <w:sz w:val="22"/>
        </w:rPr>
        <w:t xml:space="preserve"> duplication</w:t>
      </w:r>
      <w:r w:rsidRPr="00833851">
        <w:rPr>
          <w:rFonts w:cs="Arial"/>
          <w:color w:val="000000"/>
          <w:sz w:val="22"/>
        </w:rPr>
        <w:t>.  For example, if a patient is transferred from hospital 1 to hospital 2 and dies in th</w:t>
      </w:r>
      <w:r w:rsidR="00767F24" w:rsidRPr="00833851">
        <w:rPr>
          <w:rFonts w:cs="Arial"/>
          <w:color w:val="000000"/>
          <w:sz w:val="22"/>
        </w:rPr>
        <w:t>e community</w:t>
      </w:r>
      <w:r w:rsidRPr="00833851">
        <w:rPr>
          <w:rFonts w:cs="Arial"/>
          <w:color w:val="000000"/>
          <w:sz w:val="22"/>
        </w:rPr>
        <w:t>, the death is assigned to hospital 2.</w:t>
      </w:r>
      <w:r w:rsidR="00767F24" w:rsidRPr="00833851">
        <w:rPr>
          <w:rFonts w:cs="Arial"/>
          <w:color w:val="000000"/>
          <w:sz w:val="22"/>
        </w:rPr>
        <w:t xml:space="preserve">  </w:t>
      </w:r>
      <w:r w:rsidRPr="00833851">
        <w:rPr>
          <w:rFonts w:cs="Arial"/>
          <w:color w:val="000000"/>
          <w:sz w:val="22"/>
        </w:rPr>
        <w:t xml:space="preserve">     </w:t>
      </w:r>
    </w:p>
    <w:p w:rsidR="00A63F24" w:rsidRPr="00833851" w:rsidRDefault="00A63F24" w:rsidP="00381F08">
      <w:pPr>
        <w:spacing w:after="0" w:line="240" w:lineRule="auto"/>
        <w:rPr>
          <w:rFonts w:cs="Arial"/>
          <w:color w:val="000000"/>
          <w:sz w:val="22"/>
        </w:rPr>
      </w:pPr>
    </w:p>
    <w:p w:rsidR="00A63F24" w:rsidRPr="00833851" w:rsidRDefault="00A63F24" w:rsidP="00381F08">
      <w:pPr>
        <w:spacing w:after="0" w:line="240" w:lineRule="auto"/>
        <w:rPr>
          <w:rFonts w:cs="Arial"/>
          <w:color w:val="000000"/>
          <w:sz w:val="22"/>
        </w:rPr>
      </w:pPr>
    </w:p>
    <w:p w:rsidR="00F71875" w:rsidRPr="00833851" w:rsidRDefault="00124661" w:rsidP="00381F08">
      <w:pPr>
        <w:spacing w:after="0" w:line="240" w:lineRule="auto"/>
        <w:rPr>
          <w:rFonts w:cs="Arial"/>
          <w:b/>
          <w:i/>
          <w:sz w:val="22"/>
        </w:rPr>
      </w:pPr>
      <w:r w:rsidRPr="00833851">
        <w:rPr>
          <w:rFonts w:cs="Arial"/>
          <w:b/>
          <w:i/>
          <w:sz w:val="22"/>
        </w:rPr>
        <w:t>4.1</w:t>
      </w:r>
      <w:r w:rsidR="001F71C0" w:rsidRPr="00833851">
        <w:rPr>
          <w:rFonts w:cs="Arial"/>
          <w:b/>
          <w:i/>
          <w:sz w:val="22"/>
        </w:rPr>
        <w:t>6</w:t>
      </w:r>
      <w:r w:rsidR="00F71875" w:rsidRPr="00833851">
        <w:rPr>
          <w:rFonts w:cs="Arial"/>
          <w:b/>
          <w:i/>
          <w:sz w:val="22"/>
        </w:rPr>
        <w:tab/>
        <w:t>What further work is planned</w:t>
      </w:r>
      <w:r w:rsidRPr="00833851">
        <w:rPr>
          <w:rFonts w:cs="Arial"/>
          <w:b/>
          <w:i/>
          <w:sz w:val="22"/>
        </w:rPr>
        <w:t>?</w:t>
      </w:r>
    </w:p>
    <w:p w:rsidR="00124661" w:rsidRPr="00833851" w:rsidRDefault="00124661" w:rsidP="00381F08">
      <w:pPr>
        <w:spacing w:after="0" w:line="240" w:lineRule="auto"/>
        <w:rPr>
          <w:rFonts w:cs="Arial"/>
          <w:b/>
          <w:sz w:val="22"/>
        </w:rPr>
      </w:pPr>
    </w:p>
    <w:p w:rsidR="00F71875" w:rsidRPr="00833851" w:rsidRDefault="00F71875" w:rsidP="00381F08">
      <w:pPr>
        <w:autoSpaceDE w:val="0"/>
        <w:autoSpaceDN w:val="0"/>
        <w:adjustRightInd w:val="0"/>
        <w:spacing w:after="0" w:line="240" w:lineRule="auto"/>
        <w:rPr>
          <w:rFonts w:cs="Arial"/>
          <w:sz w:val="22"/>
        </w:rPr>
      </w:pPr>
      <w:r w:rsidRPr="00833851">
        <w:rPr>
          <w:rFonts w:cs="Arial"/>
          <w:sz w:val="22"/>
        </w:rPr>
        <w:t>Early work has commenced with selective DHBs with the aim of applying the information at a more granular level such as health specialty.  This will enable local clinical leaders to act quickly and directly addressing any apparent issues emerging from the data.  This will also encourage a quality improvement mindset.</w:t>
      </w:r>
    </w:p>
    <w:p w:rsidR="00683ADF" w:rsidRPr="00833851" w:rsidRDefault="00683ADF" w:rsidP="00381F08">
      <w:pPr>
        <w:autoSpaceDE w:val="0"/>
        <w:autoSpaceDN w:val="0"/>
        <w:adjustRightInd w:val="0"/>
        <w:spacing w:after="0" w:line="240" w:lineRule="auto"/>
        <w:rPr>
          <w:rFonts w:cs="Arial"/>
          <w:sz w:val="22"/>
        </w:rPr>
      </w:pPr>
    </w:p>
    <w:p w:rsidR="00683ADF" w:rsidRPr="00AF2DE6" w:rsidRDefault="00683ADF" w:rsidP="00381F08">
      <w:pPr>
        <w:autoSpaceDE w:val="0"/>
        <w:autoSpaceDN w:val="0"/>
        <w:adjustRightInd w:val="0"/>
        <w:spacing w:after="0" w:line="240" w:lineRule="auto"/>
        <w:rPr>
          <w:rFonts w:cs="Arial"/>
          <w:sz w:val="22"/>
        </w:rPr>
      </w:pPr>
      <w:r w:rsidRPr="00833851">
        <w:rPr>
          <w:rFonts w:cs="Arial"/>
          <w:sz w:val="22"/>
        </w:rPr>
        <w:t>Conversation with the sector on this is continuous.</w:t>
      </w:r>
      <w:r w:rsidR="00124661" w:rsidRPr="00833851">
        <w:rPr>
          <w:rFonts w:cs="Arial"/>
          <w:sz w:val="22"/>
        </w:rPr>
        <w:t xml:space="preserve"> </w:t>
      </w:r>
      <w:r w:rsidRPr="00833851">
        <w:rPr>
          <w:rFonts w:cs="Arial"/>
          <w:sz w:val="22"/>
        </w:rPr>
        <w:t xml:space="preserve"> There will always be room for technical refinement of the model.</w:t>
      </w:r>
      <w:r w:rsidR="00124661" w:rsidRPr="00833851">
        <w:rPr>
          <w:rFonts w:cs="Arial"/>
          <w:sz w:val="22"/>
        </w:rPr>
        <w:t xml:space="preserve"> </w:t>
      </w:r>
      <w:r w:rsidRPr="00833851">
        <w:rPr>
          <w:rFonts w:cs="Arial"/>
          <w:sz w:val="22"/>
        </w:rPr>
        <w:t xml:space="preserve"> Any future refinement will likely require an iterative process of consultation and testing.  This includes seeking greater alignment with complementary tools that the sector may be using such as the HRT’s analysis.</w:t>
      </w:r>
      <w:r w:rsidRPr="00AF2DE6">
        <w:rPr>
          <w:rFonts w:cs="Arial"/>
          <w:sz w:val="22"/>
        </w:rPr>
        <w:t xml:space="preserve"> </w:t>
      </w:r>
    </w:p>
    <w:sectPr w:rsidR="00683ADF" w:rsidRPr="00AF2DE6" w:rsidSect="00381F08">
      <w:footerReference w:type="default" r:id="rId13"/>
      <w:pgSz w:w="11906" w:h="16838" w:code="9"/>
      <w:pgMar w:top="1304" w:right="1440" w:bottom="567" w:left="144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F2" w:rsidRDefault="00E941F2" w:rsidP="00E7079E">
      <w:pPr>
        <w:spacing w:after="0" w:line="240" w:lineRule="auto"/>
      </w:pPr>
      <w:r>
        <w:separator/>
      </w:r>
    </w:p>
  </w:endnote>
  <w:endnote w:type="continuationSeparator" w:id="0">
    <w:p w:rsidR="00E941F2" w:rsidRDefault="00E941F2" w:rsidP="00E7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763012"/>
      <w:docPartObj>
        <w:docPartGallery w:val="Page Numbers (Bottom of Page)"/>
        <w:docPartUnique/>
      </w:docPartObj>
    </w:sdtPr>
    <w:sdtEndPr>
      <w:rPr>
        <w:noProof/>
      </w:rPr>
    </w:sdtEndPr>
    <w:sdtContent>
      <w:p w:rsidR="00796F6A" w:rsidRDefault="00796F6A">
        <w:pPr>
          <w:pStyle w:val="Footer"/>
          <w:jc w:val="right"/>
        </w:pPr>
        <w:r>
          <w:fldChar w:fldCharType="begin"/>
        </w:r>
        <w:r>
          <w:instrText xml:space="preserve"> PAGE   \* MERGEFORMAT </w:instrText>
        </w:r>
        <w:r>
          <w:fldChar w:fldCharType="separate"/>
        </w:r>
        <w:r w:rsidR="00381F08">
          <w:rPr>
            <w:noProof/>
          </w:rPr>
          <w:t>8</w:t>
        </w:r>
        <w:r>
          <w:rPr>
            <w:noProof/>
          </w:rPr>
          <w:fldChar w:fldCharType="end"/>
        </w:r>
      </w:p>
    </w:sdtContent>
  </w:sdt>
  <w:p w:rsidR="00796F6A" w:rsidRDefault="00796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F2" w:rsidRDefault="00E941F2" w:rsidP="00E7079E">
      <w:pPr>
        <w:spacing w:after="0" w:line="240" w:lineRule="auto"/>
      </w:pPr>
      <w:r>
        <w:separator/>
      </w:r>
    </w:p>
  </w:footnote>
  <w:footnote w:type="continuationSeparator" w:id="0">
    <w:p w:rsidR="00E941F2" w:rsidRDefault="00E941F2" w:rsidP="00E7079E">
      <w:pPr>
        <w:spacing w:after="0" w:line="240" w:lineRule="auto"/>
      </w:pPr>
      <w:r>
        <w:continuationSeparator/>
      </w:r>
    </w:p>
  </w:footnote>
  <w:footnote w:id="1">
    <w:p w:rsidR="00592EA5" w:rsidRPr="00381F08" w:rsidRDefault="00592EA5">
      <w:pPr>
        <w:pStyle w:val="FootnoteText"/>
        <w:rPr>
          <w:rFonts w:cs="Arial"/>
          <w:sz w:val="18"/>
          <w:szCs w:val="18"/>
        </w:rPr>
      </w:pPr>
      <w:r w:rsidRPr="00381F08">
        <w:rPr>
          <w:rStyle w:val="FootnoteReference"/>
          <w:rFonts w:cs="Arial"/>
          <w:sz w:val="18"/>
          <w:szCs w:val="18"/>
        </w:rPr>
        <w:footnoteRef/>
      </w:r>
      <w:r w:rsidRPr="00381F08">
        <w:rPr>
          <w:rFonts w:cs="Arial"/>
          <w:sz w:val="18"/>
          <w:szCs w:val="18"/>
        </w:rPr>
        <w:t xml:space="preserve"> </w:t>
      </w:r>
      <w:r w:rsidR="00B76965" w:rsidRPr="00381F08">
        <w:rPr>
          <w:rFonts w:cs="Arial"/>
          <w:sz w:val="18"/>
          <w:szCs w:val="18"/>
          <w:lang w:val="en"/>
        </w:rPr>
        <w:t>"</w:t>
      </w:r>
      <w:r w:rsidR="00B76965" w:rsidRPr="00381F08">
        <w:rPr>
          <w:rFonts w:cs="Arial"/>
          <w:sz w:val="18"/>
          <w:szCs w:val="18"/>
        </w:rPr>
        <w:t>However tempting it may be, it is clinically meaningless and academically reckless to use such statistical measures to quantify actual numbers of avoidable deaths." Bruce Keogh, Medical Director of the NHS in England, July 2013</w:t>
      </w:r>
    </w:p>
  </w:footnote>
  <w:footnote w:id="2">
    <w:p w:rsidR="00470CB5" w:rsidRPr="00381F08" w:rsidRDefault="00470CB5">
      <w:pPr>
        <w:pStyle w:val="FootnoteText"/>
        <w:rPr>
          <w:sz w:val="18"/>
          <w:szCs w:val="18"/>
        </w:rPr>
      </w:pPr>
      <w:r w:rsidRPr="00381F08">
        <w:rPr>
          <w:rStyle w:val="FootnoteReference"/>
          <w:sz w:val="18"/>
          <w:szCs w:val="18"/>
        </w:rPr>
        <w:footnoteRef/>
      </w:r>
      <w:r w:rsidRPr="00381F08">
        <w:rPr>
          <w:sz w:val="18"/>
          <w:szCs w:val="18"/>
        </w:rPr>
        <w:t xml:space="preserve"> National Minimum Dataset (hospital events) data dictionary (version 7.5)</w:t>
      </w:r>
    </w:p>
  </w:footnote>
  <w:footnote w:id="3">
    <w:p w:rsidR="0028030D" w:rsidRPr="00381F08" w:rsidRDefault="0028030D" w:rsidP="0028030D">
      <w:pPr>
        <w:pStyle w:val="FootnoteText"/>
        <w:rPr>
          <w:rFonts w:cs="Arial"/>
          <w:sz w:val="18"/>
          <w:szCs w:val="18"/>
        </w:rPr>
      </w:pPr>
      <w:r w:rsidRPr="00381F08">
        <w:rPr>
          <w:rStyle w:val="FootnoteReference"/>
          <w:rFonts w:cs="Arial"/>
          <w:sz w:val="18"/>
          <w:szCs w:val="18"/>
        </w:rPr>
        <w:footnoteRef/>
      </w:r>
      <w:r w:rsidRPr="00381F08">
        <w:rPr>
          <w:rFonts w:cs="Arial"/>
          <w:sz w:val="18"/>
          <w:szCs w:val="18"/>
        </w:rPr>
        <w:t xml:space="preserve"> In Statistics, the standard error is the estimated standard deviation of a sample mean.</w:t>
      </w:r>
    </w:p>
  </w:footnote>
  <w:footnote w:id="4">
    <w:p w:rsidR="0028030D" w:rsidRPr="00381F08" w:rsidRDefault="0028030D" w:rsidP="0028030D">
      <w:pPr>
        <w:pStyle w:val="FootnoteText"/>
        <w:rPr>
          <w:rFonts w:cs="Arial"/>
          <w:sz w:val="18"/>
          <w:szCs w:val="18"/>
        </w:rPr>
      </w:pPr>
      <w:r w:rsidRPr="00381F08">
        <w:rPr>
          <w:rStyle w:val="FootnoteReference"/>
          <w:rFonts w:cs="Arial"/>
          <w:sz w:val="18"/>
          <w:szCs w:val="18"/>
        </w:rPr>
        <w:footnoteRef/>
      </w:r>
      <w:r w:rsidRPr="00381F08">
        <w:rPr>
          <w:rFonts w:cs="Arial"/>
          <w:sz w:val="18"/>
          <w:szCs w:val="18"/>
        </w:rPr>
        <w:t xml:space="preserve"> Special cause variation is a similar concept to showing a significant variation.  </w:t>
      </w:r>
    </w:p>
  </w:footnote>
  <w:footnote w:id="5">
    <w:p w:rsidR="0028030D" w:rsidRPr="00381F08" w:rsidRDefault="0028030D" w:rsidP="0028030D">
      <w:pPr>
        <w:pStyle w:val="FootnoteText"/>
        <w:rPr>
          <w:rFonts w:cs="Arial"/>
          <w:sz w:val="18"/>
          <w:szCs w:val="18"/>
        </w:rPr>
      </w:pPr>
      <w:r w:rsidRPr="00381F08">
        <w:rPr>
          <w:rStyle w:val="FootnoteReference"/>
          <w:rFonts w:cs="Arial"/>
          <w:sz w:val="18"/>
          <w:szCs w:val="18"/>
        </w:rPr>
        <w:footnoteRef/>
      </w:r>
      <w:r w:rsidRPr="00381F08">
        <w:rPr>
          <w:rFonts w:cs="Arial"/>
          <w:sz w:val="18"/>
          <w:szCs w:val="18"/>
        </w:rPr>
        <w:t xml:space="preserve"> Queensland Government (2013), “Guideline for Variable Life Adjusted Display and other National Patient Safety Indicators”, Guideline # QH-HSDGDL-032-1:2013 </w:t>
      </w:r>
    </w:p>
  </w:footnote>
  <w:footnote w:id="6">
    <w:p w:rsidR="0028030D" w:rsidRPr="00381F08" w:rsidRDefault="0028030D" w:rsidP="0028030D">
      <w:pPr>
        <w:pStyle w:val="FootnoteText"/>
        <w:rPr>
          <w:rFonts w:cs="Arial"/>
          <w:sz w:val="18"/>
          <w:szCs w:val="18"/>
        </w:rPr>
      </w:pPr>
      <w:r w:rsidRPr="00381F08">
        <w:rPr>
          <w:rStyle w:val="FootnoteReference"/>
          <w:rFonts w:cs="Arial"/>
          <w:sz w:val="18"/>
          <w:szCs w:val="18"/>
        </w:rPr>
        <w:footnoteRef/>
      </w:r>
      <w:r w:rsidRPr="00381F08">
        <w:rPr>
          <w:rFonts w:cs="Arial"/>
          <w:sz w:val="18"/>
          <w:szCs w:val="18"/>
        </w:rPr>
        <w:t xml:space="preserve"> Common cause variation is a similar concept to showing a non-significant variation.    </w:t>
      </w:r>
    </w:p>
  </w:footnote>
  <w:footnote w:id="7">
    <w:p w:rsidR="00AF2DE6" w:rsidRPr="00381F08" w:rsidRDefault="00AF2DE6" w:rsidP="00AF2DE6">
      <w:pPr>
        <w:pStyle w:val="FootnoteText"/>
        <w:rPr>
          <w:rFonts w:cs="Arial"/>
          <w:sz w:val="18"/>
          <w:szCs w:val="18"/>
        </w:rPr>
      </w:pPr>
      <w:r w:rsidRPr="00381F08">
        <w:rPr>
          <w:rStyle w:val="FootnoteReference"/>
          <w:rFonts w:cs="Arial"/>
          <w:sz w:val="18"/>
          <w:szCs w:val="18"/>
        </w:rPr>
        <w:footnoteRef/>
      </w:r>
      <w:r w:rsidRPr="00381F08">
        <w:rPr>
          <w:rFonts w:cs="Arial"/>
          <w:sz w:val="18"/>
          <w:szCs w:val="18"/>
        </w:rPr>
        <w:t xml:space="preserve"> Keogh B, July 2013, “Review into the quality of care and treatment provided by 14 hospital trusts in England: overview report”</w:t>
      </w:r>
    </w:p>
  </w:footnote>
  <w:footnote w:id="8">
    <w:p w:rsidR="0028030D" w:rsidRPr="00381F08" w:rsidRDefault="0028030D" w:rsidP="0028030D">
      <w:pPr>
        <w:pStyle w:val="FootnoteText"/>
        <w:rPr>
          <w:rFonts w:cs="Arial"/>
          <w:sz w:val="18"/>
          <w:szCs w:val="18"/>
        </w:rPr>
      </w:pPr>
      <w:r w:rsidRPr="00381F08">
        <w:rPr>
          <w:rStyle w:val="FootnoteReference"/>
          <w:rFonts w:cs="Arial"/>
          <w:sz w:val="18"/>
          <w:szCs w:val="18"/>
        </w:rPr>
        <w:footnoteRef/>
      </w:r>
      <w:r w:rsidRPr="00381F08">
        <w:rPr>
          <w:rFonts w:cs="Arial"/>
          <w:sz w:val="18"/>
          <w:szCs w:val="18"/>
        </w:rPr>
        <w:t xml:space="preserve"> Berwick D, August, 2013, “A promise to learn, a commitment to act – Improving the Safety of Patients in England”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6F0"/>
    <w:multiLevelType w:val="multilevel"/>
    <w:tmpl w:val="889E875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EE5112F"/>
    <w:multiLevelType w:val="hybridMultilevel"/>
    <w:tmpl w:val="ED8CB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6463121"/>
    <w:multiLevelType w:val="hybridMultilevel"/>
    <w:tmpl w:val="FFE22D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FCC0CF8"/>
    <w:multiLevelType w:val="hybridMultilevel"/>
    <w:tmpl w:val="64C2C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81730F5"/>
    <w:multiLevelType w:val="hybridMultilevel"/>
    <w:tmpl w:val="D1CAB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D054DE5"/>
    <w:multiLevelType w:val="hybridMultilevel"/>
    <w:tmpl w:val="19C64368"/>
    <w:lvl w:ilvl="0" w:tplc="14090001">
      <w:start w:val="1"/>
      <w:numFmt w:val="bullet"/>
      <w:lvlText w:val=""/>
      <w:lvlJc w:val="left"/>
      <w:pPr>
        <w:ind w:left="360" w:hanging="360"/>
      </w:pPr>
      <w:rPr>
        <w:rFonts w:ascii="Symbol" w:hAnsi="Symbol" w:hint="default"/>
      </w:rPr>
    </w:lvl>
    <w:lvl w:ilvl="1" w:tplc="51EA0878">
      <w:numFmt w:val="bullet"/>
      <w:lvlText w:val="•"/>
      <w:lvlJc w:val="left"/>
      <w:pPr>
        <w:ind w:left="1455" w:hanging="735"/>
      </w:pPr>
      <w:rPr>
        <w:rFonts w:ascii="Cambria" w:eastAsiaTheme="minorHAnsi" w:hAnsi="Cambria"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2D41546B"/>
    <w:multiLevelType w:val="multilevel"/>
    <w:tmpl w:val="889E875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026387"/>
    <w:multiLevelType w:val="hybridMultilevel"/>
    <w:tmpl w:val="F084A7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39D3A19"/>
    <w:multiLevelType w:val="hybridMultilevel"/>
    <w:tmpl w:val="04BAC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A1A33E3"/>
    <w:multiLevelType w:val="hybridMultilevel"/>
    <w:tmpl w:val="6EF4FB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3D4E24A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902B04"/>
    <w:multiLevelType w:val="hybridMultilevel"/>
    <w:tmpl w:val="EDD24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52603C5"/>
    <w:multiLevelType w:val="multilevel"/>
    <w:tmpl w:val="D2A4854E"/>
    <w:lvl w:ilvl="0">
      <w:start w:val="10"/>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3">
    <w:nsid w:val="50DF4186"/>
    <w:multiLevelType w:val="hybridMultilevel"/>
    <w:tmpl w:val="E266F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0C5288D"/>
    <w:multiLevelType w:val="hybridMultilevel"/>
    <w:tmpl w:val="53987C2E"/>
    <w:lvl w:ilvl="0" w:tplc="14090001">
      <w:start w:val="1"/>
      <w:numFmt w:val="bullet"/>
      <w:lvlText w:val=""/>
      <w:lvlJc w:val="left"/>
      <w:pPr>
        <w:ind w:left="720" w:hanging="360"/>
      </w:pPr>
      <w:rPr>
        <w:rFonts w:ascii="Symbol" w:hAnsi="Symbol" w:hint="default"/>
      </w:rPr>
    </w:lvl>
    <w:lvl w:ilvl="1" w:tplc="6C50BC56">
      <w:numFmt w:val="bullet"/>
      <w:lvlText w:val="•"/>
      <w:lvlJc w:val="left"/>
      <w:pPr>
        <w:ind w:left="1800" w:hanging="720"/>
      </w:pPr>
      <w:rPr>
        <w:rFonts w:ascii="Cambria" w:eastAsiaTheme="minorHAnsi" w:hAnsi="Cambria" w:cs="Arial Mäo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36F628D"/>
    <w:multiLevelType w:val="hybridMultilevel"/>
    <w:tmpl w:val="08029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7667CA4"/>
    <w:multiLevelType w:val="multilevel"/>
    <w:tmpl w:val="AA86527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A3120D8"/>
    <w:multiLevelType w:val="hybridMultilevel"/>
    <w:tmpl w:val="61CC6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15"/>
  </w:num>
  <w:num w:numId="5">
    <w:abstractNumId w:val="17"/>
  </w:num>
  <w:num w:numId="6">
    <w:abstractNumId w:val="3"/>
  </w:num>
  <w:num w:numId="7">
    <w:abstractNumId w:val="14"/>
  </w:num>
  <w:num w:numId="8">
    <w:abstractNumId w:val="8"/>
  </w:num>
  <w:num w:numId="9">
    <w:abstractNumId w:val="5"/>
  </w:num>
  <w:num w:numId="10">
    <w:abstractNumId w:val="10"/>
  </w:num>
  <w:num w:numId="11">
    <w:abstractNumId w:val="12"/>
  </w:num>
  <w:num w:numId="12">
    <w:abstractNumId w:val="6"/>
  </w:num>
  <w:num w:numId="13">
    <w:abstractNumId w:val="16"/>
  </w:num>
  <w:num w:numId="14">
    <w:abstractNumId w:val="2"/>
  </w:num>
  <w:num w:numId="15">
    <w:abstractNumId w:val="0"/>
  </w:num>
  <w:num w:numId="16">
    <w:abstractNumId w:val="7"/>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1F"/>
    <w:rsid w:val="00010558"/>
    <w:rsid w:val="0001423A"/>
    <w:rsid w:val="00015804"/>
    <w:rsid w:val="00025098"/>
    <w:rsid w:val="000268A5"/>
    <w:rsid w:val="00027C7A"/>
    <w:rsid w:val="00044018"/>
    <w:rsid w:val="00061C1F"/>
    <w:rsid w:val="00080A75"/>
    <w:rsid w:val="0008476D"/>
    <w:rsid w:val="00091E32"/>
    <w:rsid w:val="00092FFF"/>
    <w:rsid w:val="000A534F"/>
    <w:rsid w:val="000B428C"/>
    <w:rsid w:val="000B75F6"/>
    <w:rsid w:val="000C47EB"/>
    <w:rsid w:val="000D3907"/>
    <w:rsid w:val="000D5719"/>
    <w:rsid w:val="000F1912"/>
    <w:rsid w:val="000F311C"/>
    <w:rsid w:val="000F5E42"/>
    <w:rsid w:val="00101C1D"/>
    <w:rsid w:val="00102827"/>
    <w:rsid w:val="0012257C"/>
    <w:rsid w:val="00123D47"/>
    <w:rsid w:val="00124661"/>
    <w:rsid w:val="00125C04"/>
    <w:rsid w:val="00132EB2"/>
    <w:rsid w:val="00145F04"/>
    <w:rsid w:val="00153F64"/>
    <w:rsid w:val="00166BDE"/>
    <w:rsid w:val="001745B0"/>
    <w:rsid w:val="00176C7B"/>
    <w:rsid w:val="001827B5"/>
    <w:rsid w:val="001A673C"/>
    <w:rsid w:val="001B7E52"/>
    <w:rsid w:val="001C2D2C"/>
    <w:rsid w:val="001F2C91"/>
    <w:rsid w:val="001F3ABF"/>
    <w:rsid w:val="001F71C0"/>
    <w:rsid w:val="00201180"/>
    <w:rsid w:val="00214920"/>
    <w:rsid w:val="00242199"/>
    <w:rsid w:val="0024475D"/>
    <w:rsid w:val="00275FC9"/>
    <w:rsid w:val="0028030D"/>
    <w:rsid w:val="00284DC8"/>
    <w:rsid w:val="00292334"/>
    <w:rsid w:val="002A503D"/>
    <w:rsid w:val="002B084F"/>
    <w:rsid w:val="002B25BA"/>
    <w:rsid w:val="002F0CBB"/>
    <w:rsid w:val="002F68F5"/>
    <w:rsid w:val="00306F52"/>
    <w:rsid w:val="003125C1"/>
    <w:rsid w:val="0033666E"/>
    <w:rsid w:val="00357FD1"/>
    <w:rsid w:val="00362657"/>
    <w:rsid w:val="0037219C"/>
    <w:rsid w:val="003761BF"/>
    <w:rsid w:val="00381F08"/>
    <w:rsid w:val="00385947"/>
    <w:rsid w:val="003A053D"/>
    <w:rsid w:val="003A433C"/>
    <w:rsid w:val="003D74F0"/>
    <w:rsid w:val="00415911"/>
    <w:rsid w:val="004160D7"/>
    <w:rsid w:val="00426947"/>
    <w:rsid w:val="0045267B"/>
    <w:rsid w:val="004548EA"/>
    <w:rsid w:val="00460FDC"/>
    <w:rsid w:val="00470CB5"/>
    <w:rsid w:val="00484A67"/>
    <w:rsid w:val="004A17AC"/>
    <w:rsid w:val="004A5522"/>
    <w:rsid w:val="004D3260"/>
    <w:rsid w:val="004E2BBE"/>
    <w:rsid w:val="004E6992"/>
    <w:rsid w:val="00526128"/>
    <w:rsid w:val="00530B08"/>
    <w:rsid w:val="00530B0E"/>
    <w:rsid w:val="005525E3"/>
    <w:rsid w:val="00575F54"/>
    <w:rsid w:val="00582C1D"/>
    <w:rsid w:val="00582CB1"/>
    <w:rsid w:val="00585AC1"/>
    <w:rsid w:val="00592EA5"/>
    <w:rsid w:val="005939E0"/>
    <w:rsid w:val="005B4357"/>
    <w:rsid w:val="005B5394"/>
    <w:rsid w:val="005B55F6"/>
    <w:rsid w:val="005D59C1"/>
    <w:rsid w:val="005E2C12"/>
    <w:rsid w:val="005E653E"/>
    <w:rsid w:val="005F7C21"/>
    <w:rsid w:val="00606443"/>
    <w:rsid w:val="00617FF2"/>
    <w:rsid w:val="0063511C"/>
    <w:rsid w:val="00641F49"/>
    <w:rsid w:val="00651A20"/>
    <w:rsid w:val="00671539"/>
    <w:rsid w:val="00672330"/>
    <w:rsid w:val="006822F8"/>
    <w:rsid w:val="00683ADF"/>
    <w:rsid w:val="006C1D2F"/>
    <w:rsid w:val="006C3504"/>
    <w:rsid w:val="006C6314"/>
    <w:rsid w:val="006C6E54"/>
    <w:rsid w:val="006E1A06"/>
    <w:rsid w:val="00722B66"/>
    <w:rsid w:val="00767F24"/>
    <w:rsid w:val="00796F6A"/>
    <w:rsid w:val="007A3BD9"/>
    <w:rsid w:val="007A415B"/>
    <w:rsid w:val="007A60B8"/>
    <w:rsid w:val="007C28F3"/>
    <w:rsid w:val="007D4CEA"/>
    <w:rsid w:val="007D4CEC"/>
    <w:rsid w:val="007E7084"/>
    <w:rsid w:val="007F6B53"/>
    <w:rsid w:val="00813A43"/>
    <w:rsid w:val="00816A36"/>
    <w:rsid w:val="00833851"/>
    <w:rsid w:val="00833CED"/>
    <w:rsid w:val="00840D76"/>
    <w:rsid w:val="00844D9A"/>
    <w:rsid w:val="00850D07"/>
    <w:rsid w:val="0085532A"/>
    <w:rsid w:val="0086626C"/>
    <w:rsid w:val="008F27C0"/>
    <w:rsid w:val="008F501B"/>
    <w:rsid w:val="008F5D64"/>
    <w:rsid w:val="008F5D7A"/>
    <w:rsid w:val="009025B2"/>
    <w:rsid w:val="00904C92"/>
    <w:rsid w:val="009138C8"/>
    <w:rsid w:val="00942474"/>
    <w:rsid w:val="00956BD8"/>
    <w:rsid w:val="009866FE"/>
    <w:rsid w:val="009A45D2"/>
    <w:rsid w:val="009A4EE3"/>
    <w:rsid w:val="009A786E"/>
    <w:rsid w:val="009C679B"/>
    <w:rsid w:val="009E4083"/>
    <w:rsid w:val="009E4E38"/>
    <w:rsid w:val="009F749E"/>
    <w:rsid w:val="00A00891"/>
    <w:rsid w:val="00A03E67"/>
    <w:rsid w:val="00A20E7F"/>
    <w:rsid w:val="00A379F6"/>
    <w:rsid w:val="00A521A1"/>
    <w:rsid w:val="00A63F24"/>
    <w:rsid w:val="00A84121"/>
    <w:rsid w:val="00A95F56"/>
    <w:rsid w:val="00AA1BE5"/>
    <w:rsid w:val="00AA6875"/>
    <w:rsid w:val="00AA7E28"/>
    <w:rsid w:val="00AB6494"/>
    <w:rsid w:val="00AB751E"/>
    <w:rsid w:val="00AC71F7"/>
    <w:rsid w:val="00AF2DE6"/>
    <w:rsid w:val="00AF3065"/>
    <w:rsid w:val="00AF5D10"/>
    <w:rsid w:val="00B122C1"/>
    <w:rsid w:val="00B152A5"/>
    <w:rsid w:val="00B23F07"/>
    <w:rsid w:val="00B35410"/>
    <w:rsid w:val="00B6024C"/>
    <w:rsid w:val="00B76965"/>
    <w:rsid w:val="00B92517"/>
    <w:rsid w:val="00BA0AF7"/>
    <w:rsid w:val="00BA74C4"/>
    <w:rsid w:val="00BC5F6E"/>
    <w:rsid w:val="00BD5949"/>
    <w:rsid w:val="00BE35D0"/>
    <w:rsid w:val="00BF60E2"/>
    <w:rsid w:val="00C01E3E"/>
    <w:rsid w:val="00C06CA1"/>
    <w:rsid w:val="00C112BA"/>
    <w:rsid w:val="00C11896"/>
    <w:rsid w:val="00C21A26"/>
    <w:rsid w:val="00C45F44"/>
    <w:rsid w:val="00C4654E"/>
    <w:rsid w:val="00C51388"/>
    <w:rsid w:val="00C55930"/>
    <w:rsid w:val="00C5766E"/>
    <w:rsid w:val="00C649B7"/>
    <w:rsid w:val="00C67B9C"/>
    <w:rsid w:val="00C74BFD"/>
    <w:rsid w:val="00C81742"/>
    <w:rsid w:val="00C81E16"/>
    <w:rsid w:val="00C8244A"/>
    <w:rsid w:val="00C92E24"/>
    <w:rsid w:val="00CB0692"/>
    <w:rsid w:val="00CB3F81"/>
    <w:rsid w:val="00CB402C"/>
    <w:rsid w:val="00CB6C26"/>
    <w:rsid w:val="00CC1D6B"/>
    <w:rsid w:val="00CC325F"/>
    <w:rsid w:val="00CD1199"/>
    <w:rsid w:val="00CE6A51"/>
    <w:rsid w:val="00CF04F4"/>
    <w:rsid w:val="00CF3AED"/>
    <w:rsid w:val="00D02F29"/>
    <w:rsid w:val="00D20B6F"/>
    <w:rsid w:val="00D26521"/>
    <w:rsid w:val="00D44418"/>
    <w:rsid w:val="00D616DE"/>
    <w:rsid w:val="00D95C07"/>
    <w:rsid w:val="00DA09A8"/>
    <w:rsid w:val="00DA661B"/>
    <w:rsid w:val="00DD3B2F"/>
    <w:rsid w:val="00DD69A8"/>
    <w:rsid w:val="00DE404E"/>
    <w:rsid w:val="00DE484B"/>
    <w:rsid w:val="00DF7BA6"/>
    <w:rsid w:val="00E05240"/>
    <w:rsid w:val="00E1396F"/>
    <w:rsid w:val="00E146EC"/>
    <w:rsid w:val="00E16C0C"/>
    <w:rsid w:val="00E3002F"/>
    <w:rsid w:val="00E47E82"/>
    <w:rsid w:val="00E65491"/>
    <w:rsid w:val="00E67333"/>
    <w:rsid w:val="00E7079E"/>
    <w:rsid w:val="00E750FE"/>
    <w:rsid w:val="00E82097"/>
    <w:rsid w:val="00E82640"/>
    <w:rsid w:val="00E84A77"/>
    <w:rsid w:val="00E86EC1"/>
    <w:rsid w:val="00E920E2"/>
    <w:rsid w:val="00E941F2"/>
    <w:rsid w:val="00EA5CD6"/>
    <w:rsid w:val="00EA64F4"/>
    <w:rsid w:val="00EA7462"/>
    <w:rsid w:val="00EB421E"/>
    <w:rsid w:val="00EC53A1"/>
    <w:rsid w:val="00EC68AD"/>
    <w:rsid w:val="00EE2226"/>
    <w:rsid w:val="00EF5DFC"/>
    <w:rsid w:val="00F0607E"/>
    <w:rsid w:val="00F20755"/>
    <w:rsid w:val="00F251AE"/>
    <w:rsid w:val="00F318EF"/>
    <w:rsid w:val="00F323CD"/>
    <w:rsid w:val="00F458F8"/>
    <w:rsid w:val="00F647F4"/>
    <w:rsid w:val="00F64DAC"/>
    <w:rsid w:val="00F71875"/>
    <w:rsid w:val="00F72D4F"/>
    <w:rsid w:val="00F9082A"/>
    <w:rsid w:val="00F97904"/>
    <w:rsid w:val="00FB07BC"/>
    <w:rsid w:val="00FB49D3"/>
    <w:rsid w:val="00FC2673"/>
    <w:rsid w:val="00FF0B1C"/>
    <w:rsid w:val="00FF1CBA"/>
    <w:rsid w:val="00FF1FAE"/>
    <w:rsid w:val="00FF5848"/>
    <w:rsid w:val="00FF7B07"/>
    <w:rsid w:val="00FF7B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C0C"/>
    <w:pPr>
      <w:ind w:left="720"/>
      <w:contextualSpacing/>
    </w:pPr>
  </w:style>
  <w:style w:type="character" w:styleId="EndnoteReference">
    <w:name w:val="endnote reference"/>
    <w:basedOn w:val="DefaultParagraphFont"/>
    <w:uiPriority w:val="99"/>
    <w:semiHidden/>
    <w:unhideWhenUsed/>
    <w:rsid w:val="00E7079E"/>
    <w:rPr>
      <w:vertAlign w:val="superscript"/>
    </w:rPr>
  </w:style>
  <w:style w:type="paragraph" w:styleId="Header">
    <w:name w:val="header"/>
    <w:basedOn w:val="Normal"/>
    <w:link w:val="HeaderChar"/>
    <w:uiPriority w:val="99"/>
    <w:unhideWhenUsed/>
    <w:rsid w:val="00796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F6A"/>
  </w:style>
  <w:style w:type="paragraph" w:styleId="Footer">
    <w:name w:val="footer"/>
    <w:basedOn w:val="Normal"/>
    <w:link w:val="FooterChar"/>
    <w:uiPriority w:val="99"/>
    <w:unhideWhenUsed/>
    <w:rsid w:val="00796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F6A"/>
  </w:style>
  <w:style w:type="paragraph" w:styleId="BalloonText">
    <w:name w:val="Balloon Text"/>
    <w:basedOn w:val="Normal"/>
    <w:link w:val="BalloonTextChar"/>
    <w:uiPriority w:val="99"/>
    <w:semiHidden/>
    <w:unhideWhenUsed/>
    <w:rsid w:val="00DF7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BA6"/>
    <w:rPr>
      <w:rFonts w:ascii="Tahoma" w:hAnsi="Tahoma" w:cs="Tahoma"/>
      <w:sz w:val="16"/>
      <w:szCs w:val="16"/>
    </w:rPr>
  </w:style>
  <w:style w:type="paragraph" w:styleId="FootnoteText">
    <w:name w:val="footnote text"/>
    <w:basedOn w:val="Normal"/>
    <w:link w:val="FootnoteTextChar"/>
    <w:uiPriority w:val="99"/>
    <w:semiHidden/>
    <w:unhideWhenUsed/>
    <w:rsid w:val="00592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EA5"/>
    <w:rPr>
      <w:sz w:val="20"/>
      <w:szCs w:val="20"/>
    </w:rPr>
  </w:style>
  <w:style w:type="character" w:styleId="FootnoteReference">
    <w:name w:val="footnote reference"/>
    <w:basedOn w:val="DefaultParagraphFont"/>
    <w:uiPriority w:val="99"/>
    <w:semiHidden/>
    <w:unhideWhenUsed/>
    <w:rsid w:val="00592EA5"/>
    <w:rPr>
      <w:vertAlign w:val="superscript"/>
    </w:rPr>
  </w:style>
  <w:style w:type="character" w:styleId="CommentReference">
    <w:name w:val="annotation reference"/>
    <w:basedOn w:val="DefaultParagraphFont"/>
    <w:uiPriority w:val="99"/>
    <w:semiHidden/>
    <w:unhideWhenUsed/>
    <w:rsid w:val="006E1A06"/>
    <w:rPr>
      <w:sz w:val="16"/>
      <w:szCs w:val="16"/>
    </w:rPr>
  </w:style>
  <w:style w:type="paragraph" w:styleId="CommentText">
    <w:name w:val="annotation text"/>
    <w:basedOn w:val="Normal"/>
    <w:link w:val="CommentTextChar"/>
    <w:uiPriority w:val="99"/>
    <w:semiHidden/>
    <w:unhideWhenUsed/>
    <w:rsid w:val="006E1A06"/>
    <w:pPr>
      <w:spacing w:line="240" w:lineRule="auto"/>
    </w:pPr>
    <w:rPr>
      <w:sz w:val="20"/>
      <w:szCs w:val="20"/>
    </w:rPr>
  </w:style>
  <w:style w:type="character" w:customStyle="1" w:styleId="CommentTextChar">
    <w:name w:val="Comment Text Char"/>
    <w:basedOn w:val="DefaultParagraphFont"/>
    <w:link w:val="CommentText"/>
    <w:uiPriority w:val="99"/>
    <w:semiHidden/>
    <w:rsid w:val="006E1A06"/>
    <w:rPr>
      <w:sz w:val="20"/>
      <w:szCs w:val="20"/>
    </w:rPr>
  </w:style>
  <w:style w:type="paragraph" w:styleId="CommentSubject">
    <w:name w:val="annotation subject"/>
    <w:basedOn w:val="CommentText"/>
    <w:next w:val="CommentText"/>
    <w:link w:val="CommentSubjectChar"/>
    <w:uiPriority w:val="99"/>
    <w:semiHidden/>
    <w:unhideWhenUsed/>
    <w:rsid w:val="006E1A06"/>
    <w:rPr>
      <w:b/>
      <w:bCs/>
    </w:rPr>
  </w:style>
  <w:style w:type="character" w:customStyle="1" w:styleId="CommentSubjectChar">
    <w:name w:val="Comment Subject Char"/>
    <w:basedOn w:val="CommentTextChar"/>
    <w:link w:val="CommentSubject"/>
    <w:uiPriority w:val="99"/>
    <w:semiHidden/>
    <w:rsid w:val="006E1A06"/>
    <w:rPr>
      <w:b/>
      <w:bCs/>
      <w:sz w:val="20"/>
      <w:szCs w:val="20"/>
    </w:rPr>
  </w:style>
  <w:style w:type="paragraph" w:styleId="Revision">
    <w:name w:val="Revision"/>
    <w:hidden/>
    <w:uiPriority w:val="99"/>
    <w:semiHidden/>
    <w:rsid w:val="006E1A06"/>
    <w:pPr>
      <w:spacing w:after="0" w:line="240" w:lineRule="auto"/>
    </w:pPr>
  </w:style>
  <w:style w:type="paragraph" w:styleId="NoSpacing">
    <w:name w:val="No Spacing"/>
    <w:uiPriority w:val="1"/>
    <w:qFormat/>
    <w:rsid w:val="00214920"/>
    <w:pPr>
      <w:spacing w:after="0" w:line="240" w:lineRule="auto"/>
    </w:pPr>
    <w:rPr>
      <w:rFonts w:eastAsia="SimSun" w:cs="Times New Roman"/>
      <w:lang w:eastAsia="zh-CN"/>
    </w:rPr>
  </w:style>
  <w:style w:type="character" w:styleId="Hyperlink">
    <w:name w:val="Hyperlink"/>
    <w:basedOn w:val="DefaultParagraphFont"/>
    <w:uiPriority w:val="99"/>
    <w:unhideWhenUsed/>
    <w:rsid w:val="000C47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C0C"/>
    <w:pPr>
      <w:ind w:left="720"/>
      <w:contextualSpacing/>
    </w:pPr>
  </w:style>
  <w:style w:type="character" w:styleId="EndnoteReference">
    <w:name w:val="endnote reference"/>
    <w:basedOn w:val="DefaultParagraphFont"/>
    <w:uiPriority w:val="99"/>
    <w:semiHidden/>
    <w:unhideWhenUsed/>
    <w:rsid w:val="00E7079E"/>
    <w:rPr>
      <w:vertAlign w:val="superscript"/>
    </w:rPr>
  </w:style>
  <w:style w:type="paragraph" w:styleId="Header">
    <w:name w:val="header"/>
    <w:basedOn w:val="Normal"/>
    <w:link w:val="HeaderChar"/>
    <w:uiPriority w:val="99"/>
    <w:unhideWhenUsed/>
    <w:rsid w:val="00796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F6A"/>
  </w:style>
  <w:style w:type="paragraph" w:styleId="Footer">
    <w:name w:val="footer"/>
    <w:basedOn w:val="Normal"/>
    <w:link w:val="FooterChar"/>
    <w:uiPriority w:val="99"/>
    <w:unhideWhenUsed/>
    <w:rsid w:val="00796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F6A"/>
  </w:style>
  <w:style w:type="paragraph" w:styleId="BalloonText">
    <w:name w:val="Balloon Text"/>
    <w:basedOn w:val="Normal"/>
    <w:link w:val="BalloonTextChar"/>
    <w:uiPriority w:val="99"/>
    <w:semiHidden/>
    <w:unhideWhenUsed/>
    <w:rsid w:val="00DF7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BA6"/>
    <w:rPr>
      <w:rFonts w:ascii="Tahoma" w:hAnsi="Tahoma" w:cs="Tahoma"/>
      <w:sz w:val="16"/>
      <w:szCs w:val="16"/>
    </w:rPr>
  </w:style>
  <w:style w:type="paragraph" w:styleId="FootnoteText">
    <w:name w:val="footnote text"/>
    <w:basedOn w:val="Normal"/>
    <w:link w:val="FootnoteTextChar"/>
    <w:uiPriority w:val="99"/>
    <w:semiHidden/>
    <w:unhideWhenUsed/>
    <w:rsid w:val="00592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EA5"/>
    <w:rPr>
      <w:sz w:val="20"/>
      <w:szCs w:val="20"/>
    </w:rPr>
  </w:style>
  <w:style w:type="character" w:styleId="FootnoteReference">
    <w:name w:val="footnote reference"/>
    <w:basedOn w:val="DefaultParagraphFont"/>
    <w:uiPriority w:val="99"/>
    <w:semiHidden/>
    <w:unhideWhenUsed/>
    <w:rsid w:val="00592EA5"/>
    <w:rPr>
      <w:vertAlign w:val="superscript"/>
    </w:rPr>
  </w:style>
  <w:style w:type="character" w:styleId="CommentReference">
    <w:name w:val="annotation reference"/>
    <w:basedOn w:val="DefaultParagraphFont"/>
    <w:uiPriority w:val="99"/>
    <w:semiHidden/>
    <w:unhideWhenUsed/>
    <w:rsid w:val="006E1A06"/>
    <w:rPr>
      <w:sz w:val="16"/>
      <w:szCs w:val="16"/>
    </w:rPr>
  </w:style>
  <w:style w:type="paragraph" w:styleId="CommentText">
    <w:name w:val="annotation text"/>
    <w:basedOn w:val="Normal"/>
    <w:link w:val="CommentTextChar"/>
    <w:uiPriority w:val="99"/>
    <w:semiHidden/>
    <w:unhideWhenUsed/>
    <w:rsid w:val="006E1A06"/>
    <w:pPr>
      <w:spacing w:line="240" w:lineRule="auto"/>
    </w:pPr>
    <w:rPr>
      <w:sz w:val="20"/>
      <w:szCs w:val="20"/>
    </w:rPr>
  </w:style>
  <w:style w:type="character" w:customStyle="1" w:styleId="CommentTextChar">
    <w:name w:val="Comment Text Char"/>
    <w:basedOn w:val="DefaultParagraphFont"/>
    <w:link w:val="CommentText"/>
    <w:uiPriority w:val="99"/>
    <w:semiHidden/>
    <w:rsid w:val="006E1A06"/>
    <w:rPr>
      <w:sz w:val="20"/>
      <w:szCs w:val="20"/>
    </w:rPr>
  </w:style>
  <w:style w:type="paragraph" w:styleId="CommentSubject">
    <w:name w:val="annotation subject"/>
    <w:basedOn w:val="CommentText"/>
    <w:next w:val="CommentText"/>
    <w:link w:val="CommentSubjectChar"/>
    <w:uiPriority w:val="99"/>
    <w:semiHidden/>
    <w:unhideWhenUsed/>
    <w:rsid w:val="006E1A06"/>
    <w:rPr>
      <w:b/>
      <w:bCs/>
    </w:rPr>
  </w:style>
  <w:style w:type="character" w:customStyle="1" w:styleId="CommentSubjectChar">
    <w:name w:val="Comment Subject Char"/>
    <w:basedOn w:val="CommentTextChar"/>
    <w:link w:val="CommentSubject"/>
    <w:uiPriority w:val="99"/>
    <w:semiHidden/>
    <w:rsid w:val="006E1A06"/>
    <w:rPr>
      <w:b/>
      <w:bCs/>
      <w:sz w:val="20"/>
      <w:szCs w:val="20"/>
    </w:rPr>
  </w:style>
  <w:style w:type="paragraph" w:styleId="Revision">
    <w:name w:val="Revision"/>
    <w:hidden/>
    <w:uiPriority w:val="99"/>
    <w:semiHidden/>
    <w:rsid w:val="006E1A06"/>
    <w:pPr>
      <w:spacing w:after="0" w:line="240" w:lineRule="auto"/>
    </w:pPr>
  </w:style>
  <w:style w:type="paragraph" w:styleId="NoSpacing">
    <w:name w:val="No Spacing"/>
    <w:uiPriority w:val="1"/>
    <w:qFormat/>
    <w:rsid w:val="00214920"/>
    <w:pPr>
      <w:spacing w:after="0" w:line="240" w:lineRule="auto"/>
    </w:pPr>
    <w:rPr>
      <w:rFonts w:eastAsia="SimSun" w:cs="Times New Roman"/>
      <w:lang w:eastAsia="zh-CN"/>
    </w:rPr>
  </w:style>
  <w:style w:type="character" w:styleId="Hyperlink">
    <w:name w:val="Hyperlink"/>
    <w:basedOn w:val="DefaultParagraphFont"/>
    <w:uiPriority w:val="99"/>
    <w:unhideWhenUsed/>
    <w:rsid w:val="000C4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hqsc.govt.nz/our-programmes/health-quality-evaluation/projects/health-quality-and-safety-indica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A5DF18-3235-46B7-AC1A-9D79DFF3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3501</Words>
  <Characters>19957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dc:creator>
  <cp:lastModifiedBy>Jenny Bertelsen</cp:lastModifiedBy>
  <cp:revision>4</cp:revision>
  <cp:lastPrinted>2015-08-10T23:38:00Z</cp:lastPrinted>
  <dcterms:created xsi:type="dcterms:W3CDTF">2015-09-18T02:22:00Z</dcterms:created>
  <dcterms:modified xsi:type="dcterms:W3CDTF">2015-09-21T21:16:00Z</dcterms:modified>
</cp:coreProperties>
</file>