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9A5EB" w14:textId="55FB15F9" w:rsidR="0088494C" w:rsidRDefault="0088494C" w:rsidP="005D4143">
      <w:pPr>
        <w:pStyle w:val="Headline"/>
        <w:jc w:val="center"/>
      </w:pPr>
      <w:r w:rsidRPr="00F63BDD">
        <w:rPr>
          <w:noProof/>
          <w:lang w:eastAsia="en-NZ"/>
        </w:rPr>
        <w:drawing>
          <wp:inline distT="0" distB="0" distL="0" distR="0" wp14:anchorId="4F49ADC3" wp14:editId="4F49ADC4">
            <wp:extent cx="3154166" cy="933040"/>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6255" cy="942532"/>
                    </a:xfrm>
                    <a:prstGeom prst="rect">
                      <a:avLst/>
                    </a:prstGeom>
                  </pic:spPr>
                </pic:pic>
              </a:graphicData>
            </a:graphic>
          </wp:inline>
        </w:drawing>
      </w:r>
    </w:p>
    <w:p w14:paraId="1C86C9A6" w14:textId="79F2B720" w:rsidR="00D57BCC" w:rsidRPr="00F63BDD" w:rsidRDefault="00D57BCC" w:rsidP="005D4143">
      <w:pPr>
        <w:pStyle w:val="Headline"/>
        <w:jc w:val="center"/>
      </w:pPr>
      <w:r>
        <w:rPr>
          <w:noProof/>
        </w:rPr>
        <w:drawing>
          <wp:anchor distT="0" distB="0" distL="114300" distR="114300" simplePos="0" relativeHeight="251659264" behindDoc="1" locked="0" layoutInCell="1" allowOverlap="1" wp14:anchorId="6F682DF3" wp14:editId="6EF8B964">
            <wp:simplePos x="0" y="0"/>
            <wp:positionH relativeFrom="margin">
              <wp:align>center</wp:align>
            </wp:positionH>
            <wp:positionV relativeFrom="paragraph">
              <wp:posOffset>215558</wp:posOffset>
            </wp:positionV>
            <wp:extent cx="3888000" cy="627354"/>
            <wp:effectExtent l="0" t="0" r="0" b="1905"/>
            <wp:wrapTight wrapText="bothSides">
              <wp:wrapPolygon edited="0">
                <wp:start x="0" y="0"/>
                <wp:lineTo x="0" y="21009"/>
                <wp:lineTo x="21487" y="21009"/>
                <wp:lineTo x="21487" y="0"/>
                <wp:lineTo x="0" y="0"/>
              </wp:wrapPolygon>
            </wp:wrapTight>
            <wp:docPr id="183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rcRect l="67453" t="34580" r="23125" b="59863"/>
                    <a:stretch>
                      <a:fillRect/>
                    </a:stretch>
                  </pic:blipFill>
                  <pic:spPr>
                    <a:xfrm>
                      <a:off x="0" y="0"/>
                      <a:ext cx="3888000" cy="627354"/>
                    </a:xfrm>
                    <a:prstGeom prst="rect">
                      <a:avLst/>
                    </a:prstGeom>
                  </pic:spPr>
                </pic:pic>
              </a:graphicData>
            </a:graphic>
            <wp14:sizeRelH relativeFrom="page">
              <wp14:pctWidth>0</wp14:pctWidth>
            </wp14:sizeRelH>
            <wp14:sizeRelV relativeFrom="page">
              <wp14:pctHeight>0</wp14:pctHeight>
            </wp14:sizeRelV>
          </wp:anchor>
        </w:drawing>
      </w:r>
    </w:p>
    <w:p w14:paraId="4F49A5EC" w14:textId="77777777" w:rsidR="0088494C" w:rsidRPr="00F63BDD" w:rsidRDefault="0088494C" w:rsidP="006D4F9A">
      <w:pPr>
        <w:pStyle w:val="Headline"/>
      </w:pPr>
    </w:p>
    <w:p w14:paraId="4F49A5ED" w14:textId="56ED2BC3" w:rsidR="0088494C" w:rsidRDefault="0088494C" w:rsidP="005D4143">
      <w:pPr>
        <w:pStyle w:val="Headline"/>
        <w:jc w:val="center"/>
      </w:pPr>
    </w:p>
    <w:p w14:paraId="63B4AA2F" w14:textId="77777777" w:rsidR="00D57BCC" w:rsidRPr="00F63BDD" w:rsidRDefault="00D57BCC" w:rsidP="005D4143">
      <w:pPr>
        <w:pStyle w:val="Headline"/>
        <w:jc w:val="center"/>
      </w:pPr>
    </w:p>
    <w:p w14:paraId="4F49A5EE" w14:textId="664CC7B3" w:rsidR="00770697" w:rsidRPr="00F63BDD" w:rsidRDefault="00936F30" w:rsidP="005D4143">
      <w:pPr>
        <w:pStyle w:val="Headline"/>
        <w:jc w:val="center"/>
        <w:rPr>
          <w:rFonts w:cs="Arial"/>
        </w:rPr>
      </w:pPr>
      <w:r w:rsidRPr="00936F30">
        <w:t xml:space="preserve">New Zealand patient experience survey </w:t>
      </w:r>
      <w:r w:rsidR="00D45F08">
        <w:br/>
      </w:r>
      <w:r w:rsidRPr="00936F30">
        <w:t>programme refresh 2019/20</w:t>
      </w:r>
    </w:p>
    <w:p w14:paraId="4F49A5EF" w14:textId="77777777" w:rsidR="00770697" w:rsidRPr="00F63BDD" w:rsidRDefault="00770697" w:rsidP="006D4F9A"/>
    <w:p w14:paraId="4F49A5F0" w14:textId="77777777" w:rsidR="0088494C" w:rsidRPr="00F63BDD" w:rsidRDefault="0088494C" w:rsidP="006D4F9A"/>
    <w:p w14:paraId="4F49A5F1" w14:textId="77777777" w:rsidR="0088494C" w:rsidRPr="00F63BDD" w:rsidRDefault="0088494C" w:rsidP="006D4F9A"/>
    <w:p w14:paraId="4F49A5F2" w14:textId="77777777" w:rsidR="0088494C" w:rsidRPr="00F63BDD" w:rsidRDefault="0088494C" w:rsidP="006D4F9A"/>
    <w:p w14:paraId="4F49A5F3" w14:textId="77777777" w:rsidR="0088494C" w:rsidRPr="00F63BDD" w:rsidRDefault="0088494C" w:rsidP="006D4F9A"/>
    <w:p w14:paraId="4F49A5F4" w14:textId="77777777" w:rsidR="0088494C" w:rsidRPr="00F63BDD" w:rsidRDefault="0088494C" w:rsidP="006D4F9A"/>
    <w:p w14:paraId="4F49A5F5" w14:textId="77777777" w:rsidR="0088494C" w:rsidRPr="00F63BDD" w:rsidRDefault="0088494C" w:rsidP="006D4F9A"/>
    <w:p w14:paraId="4F49A5F6" w14:textId="77777777" w:rsidR="0088494C" w:rsidRPr="00F63BDD" w:rsidRDefault="0088494C" w:rsidP="006D4F9A"/>
    <w:p w14:paraId="4F49A5F7" w14:textId="77777777" w:rsidR="0088494C" w:rsidRPr="00F63BDD" w:rsidRDefault="0088494C" w:rsidP="006D4F9A"/>
    <w:p w14:paraId="4F49A5F8" w14:textId="77777777" w:rsidR="0088494C" w:rsidRPr="00F63BDD" w:rsidRDefault="0088494C" w:rsidP="006D4F9A"/>
    <w:p w14:paraId="4F49A5F9" w14:textId="77777777" w:rsidR="0088494C" w:rsidRPr="00F63BDD" w:rsidRDefault="0088494C" w:rsidP="006D4F9A"/>
    <w:p w14:paraId="4F49A5FA" w14:textId="77777777" w:rsidR="0088494C" w:rsidRPr="00F63BDD" w:rsidRDefault="0088494C" w:rsidP="006D4F9A"/>
    <w:p w14:paraId="4F49A5FB" w14:textId="77777777" w:rsidR="0088494C" w:rsidRPr="00F63BDD" w:rsidRDefault="0088494C" w:rsidP="006D4F9A"/>
    <w:p w14:paraId="4F49A5FC" w14:textId="77777777" w:rsidR="0088494C" w:rsidRPr="00F63BDD" w:rsidRDefault="0088494C" w:rsidP="006D4F9A"/>
    <w:p w14:paraId="4F49A5FD" w14:textId="77777777" w:rsidR="0088494C" w:rsidRPr="00F63BDD" w:rsidRDefault="0088494C" w:rsidP="006D4F9A"/>
    <w:p w14:paraId="4F49A5FE" w14:textId="3E92D0E0" w:rsidR="0088494C" w:rsidRDefault="0088494C" w:rsidP="006D4F9A"/>
    <w:p w14:paraId="2163FCCA" w14:textId="6DD21A7D" w:rsidR="002034F9" w:rsidRDefault="002034F9" w:rsidP="006D4F9A"/>
    <w:p w14:paraId="304F2EF6" w14:textId="4C101163" w:rsidR="004944F2" w:rsidRDefault="004944F2" w:rsidP="006D4F9A"/>
    <w:p w14:paraId="1F77D144" w14:textId="52A3F06C" w:rsidR="00015512" w:rsidRDefault="00015512" w:rsidP="006D4F9A"/>
    <w:p w14:paraId="5306345B" w14:textId="77777777" w:rsidR="00015512" w:rsidRPr="00F63BDD" w:rsidRDefault="00015512" w:rsidP="006D4F9A"/>
    <w:p w14:paraId="4F49A5FF" w14:textId="73145374" w:rsidR="0088494C" w:rsidRPr="00F63BDD" w:rsidRDefault="00936F30" w:rsidP="005D4143">
      <w:pPr>
        <w:jc w:val="center"/>
      </w:pPr>
      <w:r>
        <w:t>April</w:t>
      </w:r>
      <w:r w:rsidRPr="00F63BDD">
        <w:t xml:space="preserve"> </w:t>
      </w:r>
      <w:r w:rsidR="001B3520" w:rsidRPr="00F63BDD">
        <w:t>202</w:t>
      </w:r>
      <w:r w:rsidR="004944F2">
        <w:t>1</w:t>
      </w:r>
    </w:p>
    <w:sdt>
      <w:sdtPr>
        <w:rPr>
          <w:rFonts w:asciiTheme="minorHAnsi" w:eastAsiaTheme="minorEastAsia" w:hAnsiTheme="minorHAnsi" w:cstheme="minorBidi"/>
          <w:b w:val="0"/>
          <w:bCs w:val="0"/>
          <w:sz w:val="22"/>
          <w:szCs w:val="22"/>
          <w:lang w:bidi="ar-SA"/>
        </w:rPr>
        <w:id w:val="1163965719"/>
        <w:docPartObj>
          <w:docPartGallery w:val="Table of Contents"/>
          <w:docPartUnique/>
        </w:docPartObj>
      </w:sdtPr>
      <w:sdtEndPr>
        <w:rPr>
          <w:rFonts w:ascii="Arial" w:hAnsi="Arial" w:cs="Arial"/>
          <w:noProof/>
        </w:rPr>
      </w:sdtEndPr>
      <w:sdtContent>
        <w:p w14:paraId="4F49A61A" w14:textId="77777777" w:rsidR="00D064ED" w:rsidRPr="00F63BDD" w:rsidRDefault="00D064ED" w:rsidP="006D4F9A">
          <w:pPr>
            <w:pStyle w:val="TOCHeading"/>
          </w:pPr>
          <w:r w:rsidRPr="00F63BDD">
            <w:t>Contents</w:t>
          </w:r>
        </w:p>
        <w:p w14:paraId="0D65746F" w14:textId="4CF96CCF" w:rsidR="00F206FE" w:rsidRDefault="009A2BA1">
          <w:pPr>
            <w:pStyle w:val="TOC1"/>
            <w:tabs>
              <w:tab w:val="right" w:leader="dot" w:pos="9016"/>
            </w:tabs>
            <w:rPr>
              <w:rFonts w:asciiTheme="minorHAnsi" w:hAnsiTheme="minorHAnsi" w:cstheme="minorBidi"/>
              <w:noProof/>
              <w:lang w:eastAsia="en-NZ"/>
            </w:rPr>
          </w:pPr>
          <w:r>
            <w:fldChar w:fldCharType="begin"/>
          </w:r>
          <w:r>
            <w:instrText xml:space="preserve"> TOC \o "1-1" \h \z \u </w:instrText>
          </w:r>
          <w:r>
            <w:fldChar w:fldCharType="separate"/>
          </w:r>
          <w:hyperlink w:anchor="_Toc68605849" w:history="1">
            <w:r w:rsidR="00F206FE" w:rsidRPr="0072729F">
              <w:rPr>
                <w:rStyle w:val="Hyperlink"/>
                <w:noProof/>
              </w:rPr>
              <w:t>Document purpose</w:t>
            </w:r>
            <w:r w:rsidR="00F206FE">
              <w:rPr>
                <w:noProof/>
                <w:webHidden/>
              </w:rPr>
              <w:tab/>
            </w:r>
            <w:r w:rsidR="00F206FE">
              <w:rPr>
                <w:noProof/>
                <w:webHidden/>
              </w:rPr>
              <w:fldChar w:fldCharType="begin"/>
            </w:r>
            <w:r w:rsidR="00F206FE">
              <w:rPr>
                <w:noProof/>
                <w:webHidden/>
              </w:rPr>
              <w:instrText xml:space="preserve"> PAGEREF _Toc68605849 \h </w:instrText>
            </w:r>
            <w:r w:rsidR="00F206FE">
              <w:rPr>
                <w:noProof/>
                <w:webHidden/>
              </w:rPr>
            </w:r>
            <w:r w:rsidR="00F206FE">
              <w:rPr>
                <w:noProof/>
                <w:webHidden/>
              </w:rPr>
              <w:fldChar w:fldCharType="separate"/>
            </w:r>
            <w:r w:rsidR="00F327B1">
              <w:rPr>
                <w:noProof/>
                <w:webHidden/>
              </w:rPr>
              <w:t>3</w:t>
            </w:r>
            <w:r w:rsidR="00F206FE">
              <w:rPr>
                <w:noProof/>
                <w:webHidden/>
              </w:rPr>
              <w:fldChar w:fldCharType="end"/>
            </w:r>
          </w:hyperlink>
        </w:p>
        <w:p w14:paraId="08308E7C" w14:textId="66662371" w:rsidR="00F206FE" w:rsidRDefault="002A5784">
          <w:pPr>
            <w:pStyle w:val="TOC1"/>
            <w:tabs>
              <w:tab w:val="right" w:leader="dot" w:pos="9016"/>
            </w:tabs>
            <w:rPr>
              <w:rFonts w:asciiTheme="minorHAnsi" w:hAnsiTheme="minorHAnsi" w:cstheme="minorBidi"/>
              <w:noProof/>
              <w:lang w:eastAsia="en-NZ"/>
            </w:rPr>
          </w:pPr>
          <w:hyperlink w:anchor="_Toc68605850" w:history="1">
            <w:r w:rsidR="00F206FE" w:rsidRPr="0072729F">
              <w:rPr>
                <w:rStyle w:val="Hyperlink"/>
                <w:noProof/>
              </w:rPr>
              <w:t>Background</w:t>
            </w:r>
            <w:r w:rsidR="00F206FE">
              <w:rPr>
                <w:noProof/>
                <w:webHidden/>
              </w:rPr>
              <w:tab/>
            </w:r>
            <w:r w:rsidR="00F206FE">
              <w:rPr>
                <w:noProof/>
                <w:webHidden/>
              </w:rPr>
              <w:fldChar w:fldCharType="begin"/>
            </w:r>
            <w:r w:rsidR="00F206FE">
              <w:rPr>
                <w:noProof/>
                <w:webHidden/>
              </w:rPr>
              <w:instrText xml:space="preserve"> PAGEREF _Toc68605850 \h </w:instrText>
            </w:r>
            <w:r w:rsidR="00F206FE">
              <w:rPr>
                <w:noProof/>
                <w:webHidden/>
              </w:rPr>
            </w:r>
            <w:r w:rsidR="00F206FE">
              <w:rPr>
                <w:noProof/>
                <w:webHidden/>
              </w:rPr>
              <w:fldChar w:fldCharType="separate"/>
            </w:r>
            <w:r w:rsidR="00F327B1">
              <w:rPr>
                <w:noProof/>
                <w:webHidden/>
              </w:rPr>
              <w:t>3</w:t>
            </w:r>
            <w:r w:rsidR="00F206FE">
              <w:rPr>
                <w:noProof/>
                <w:webHidden/>
              </w:rPr>
              <w:fldChar w:fldCharType="end"/>
            </w:r>
          </w:hyperlink>
        </w:p>
        <w:p w14:paraId="49D6DB73" w14:textId="50BE05B1" w:rsidR="00F206FE" w:rsidRDefault="002A5784">
          <w:pPr>
            <w:pStyle w:val="TOC1"/>
            <w:tabs>
              <w:tab w:val="right" w:leader="dot" w:pos="9016"/>
            </w:tabs>
            <w:rPr>
              <w:rFonts w:asciiTheme="minorHAnsi" w:hAnsiTheme="minorHAnsi" w:cstheme="minorBidi"/>
              <w:noProof/>
              <w:lang w:eastAsia="en-NZ"/>
            </w:rPr>
          </w:pPr>
          <w:hyperlink w:anchor="_Toc68605851" w:history="1">
            <w:r w:rsidR="00F206FE" w:rsidRPr="0072729F">
              <w:rPr>
                <w:rStyle w:val="Hyperlink"/>
                <w:noProof/>
              </w:rPr>
              <w:t>Review of questionnaires</w:t>
            </w:r>
            <w:r w:rsidR="00F206FE">
              <w:rPr>
                <w:noProof/>
                <w:webHidden/>
              </w:rPr>
              <w:tab/>
            </w:r>
            <w:r w:rsidR="00F206FE">
              <w:rPr>
                <w:noProof/>
                <w:webHidden/>
              </w:rPr>
              <w:fldChar w:fldCharType="begin"/>
            </w:r>
            <w:r w:rsidR="00F206FE">
              <w:rPr>
                <w:noProof/>
                <w:webHidden/>
              </w:rPr>
              <w:instrText xml:space="preserve"> PAGEREF _Toc68605851 \h </w:instrText>
            </w:r>
            <w:r w:rsidR="00F206FE">
              <w:rPr>
                <w:noProof/>
                <w:webHidden/>
              </w:rPr>
            </w:r>
            <w:r w:rsidR="00F206FE">
              <w:rPr>
                <w:noProof/>
                <w:webHidden/>
              </w:rPr>
              <w:fldChar w:fldCharType="separate"/>
            </w:r>
            <w:r w:rsidR="00F327B1">
              <w:rPr>
                <w:noProof/>
                <w:webHidden/>
              </w:rPr>
              <w:t>5</w:t>
            </w:r>
            <w:r w:rsidR="00F206FE">
              <w:rPr>
                <w:noProof/>
                <w:webHidden/>
              </w:rPr>
              <w:fldChar w:fldCharType="end"/>
            </w:r>
          </w:hyperlink>
        </w:p>
        <w:p w14:paraId="52ADB1A7" w14:textId="3A5AC590" w:rsidR="00F206FE" w:rsidRDefault="002A5784">
          <w:pPr>
            <w:pStyle w:val="TOC1"/>
            <w:tabs>
              <w:tab w:val="right" w:leader="dot" w:pos="9016"/>
            </w:tabs>
            <w:rPr>
              <w:rFonts w:asciiTheme="minorHAnsi" w:hAnsiTheme="minorHAnsi" w:cstheme="minorBidi"/>
              <w:noProof/>
              <w:lang w:eastAsia="en-NZ"/>
            </w:rPr>
          </w:pPr>
          <w:hyperlink w:anchor="_Toc68605852" w:history="1">
            <w:r w:rsidR="00F206FE" w:rsidRPr="0072729F">
              <w:rPr>
                <w:rStyle w:val="Hyperlink"/>
                <w:noProof/>
              </w:rPr>
              <w:t>Stakeholder engagement</w:t>
            </w:r>
            <w:r w:rsidR="00F206FE">
              <w:rPr>
                <w:noProof/>
                <w:webHidden/>
              </w:rPr>
              <w:tab/>
            </w:r>
            <w:r w:rsidR="00F206FE">
              <w:rPr>
                <w:noProof/>
                <w:webHidden/>
              </w:rPr>
              <w:fldChar w:fldCharType="begin"/>
            </w:r>
            <w:r w:rsidR="00F206FE">
              <w:rPr>
                <w:noProof/>
                <w:webHidden/>
              </w:rPr>
              <w:instrText xml:space="preserve"> PAGEREF _Toc68605852 \h </w:instrText>
            </w:r>
            <w:r w:rsidR="00F206FE">
              <w:rPr>
                <w:noProof/>
                <w:webHidden/>
              </w:rPr>
            </w:r>
            <w:r w:rsidR="00F206FE">
              <w:rPr>
                <w:noProof/>
                <w:webHidden/>
              </w:rPr>
              <w:fldChar w:fldCharType="separate"/>
            </w:r>
            <w:r w:rsidR="00F327B1">
              <w:rPr>
                <w:noProof/>
                <w:webHidden/>
              </w:rPr>
              <w:t>8</w:t>
            </w:r>
            <w:r w:rsidR="00F206FE">
              <w:rPr>
                <w:noProof/>
                <w:webHidden/>
              </w:rPr>
              <w:fldChar w:fldCharType="end"/>
            </w:r>
          </w:hyperlink>
        </w:p>
        <w:p w14:paraId="6C853C91" w14:textId="5FB2EE77" w:rsidR="00F206FE" w:rsidRDefault="002A5784">
          <w:pPr>
            <w:pStyle w:val="TOC1"/>
            <w:tabs>
              <w:tab w:val="right" w:leader="dot" w:pos="9016"/>
            </w:tabs>
            <w:rPr>
              <w:rFonts w:asciiTheme="minorHAnsi" w:hAnsiTheme="minorHAnsi" w:cstheme="minorBidi"/>
              <w:noProof/>
              <w:lang w:eastAsia="en-NZ"/>
            </w:rPr>
          </w:pPr>
          <w:hyperlink w:anchor="_Toc68605853" w:history="1">
            <w:r w:rsidR="00F206FE" w:rsidRPr="0072729F">
              <w:rPr>
                <w:rStyle w:val="Hyperlink"/>
                <w:noProof/>
              </w:rPr>
              <w:t>Literacy and English level analysis</w:t>
            </w:r>
            <w:r w:rsidR="00F206FE">
              <w:rPr>
                <w:noProof/>
                <w:webHidden/>
              </w:rPr>
              <w:tab/>
            </w:r>
            <w:r w:rsidR="00F206FE">
              <w:rPr>
                <w:noProof/>
                <w:webHidden/>
              </w:rPr>
              <w:fldChar w:fldCharType="begin"/>
            </w:r>
            <w:r w:rsidR="00F206FE">
              <w:rPr>
                <w:noProof/>
                <w:webHidden/>
              </w:rPr>
              <w:instrText xml:space="preserve"> PAGEREF _Toc68605853 \h </w:instrText>
            </w:r>
            <w:r w:rsidR="00F206FE">
              <w:rPr>
                <w:noProof/>
                <w:webHidden/>
              </w:rPr>
            </w:r>
            <w:r w:rsidR="00F206FE">
              <w:rPr>
                <w:noProof/>
                <w:webHidden/>
              </w:rPr>
              <w:fldChar w:fldCharType="separate"/>
            </w:r>
            <w:r w:rsidR="00F327B1">
              <w:rPr>
                <w:noProof/>
                <w:webHidden/>
              </w:rPr>
              <w:t>9</w:t>
            </w:r>
            <w:r w:rsidR="00F206FE">
              <w:rPr>
                <w:noProof/>
                <w:webHidden/>
              </w:rPr>
              <w:fldChar w:fldCharType="end"/>
            </w:r>
          </w:hyperlink>
        </w:p>
        <w:p w14:paraId="4E716BE7" w14:textId="51E93AA4" w:rsidR="00F206FE" w:rsidRDefault="002A5784">
          <w:pPr>
            <w:pStyle w:val="TOC1"/>
            <w:tabs>
              <w:tab w:val="right" w:leader="dot" w:pos="9016"/>
            </w:tabs>
            <w:rPr>
              <w:rFonts w:asciiTheme="minorHAnsi" w:hAnsiTheme="minorHAnsi" w:cstheme="minorBidi"/>
              <w:noProof/>
              <w:lang w:eastAsia="en-NZ"/>
            </w:rPr>
          </w:pPr>
          <w:hyperlink w:anchor="_Toc68605854" w:history="1">
            <w:r w:rsidR="00F206FE" w:rsidRPr="0072729F">
              <w:rPr>
                <w:rStyle w:val="Hyperlink"/>
                <w:noProof/>
              </w:rPr>
              <w:t>Finalising the revised questionnaires</w:t>
            </w:r>
            <w:r w:rsidR="00F206FE">
              <w:rPr>
                <w:noProof/>
                <w:webHidden/>
              </w:rPr>
              <w:tab/>
            </w:r>
            <w:r w:rsidR="00F206FE">
              <w:rPr>
                <w:noProof/>
                <w:webHidden/>
              </w:rPr>
              <w:fldChar w:fldCharType="begin"/>
            </w:r>
            <w:r w:rsidR="00F206FE">
              <w:rPr>
                <w:noProof/>
                <w:webHidden/>
              </w:rPr>
              <w:instrText xml:space="preserve"> PAGEREF _Toc68605854 \h </w:instrText>
            </w:r>
            <w:r w:rsidR="00F206FE">
              <w:rPr>
                <w:noProof/>
                <w:webHidden/>
              </w:rPr>
            </w:r>
            <w:r w:rsidR="00F206FE">
              <w:rPr>
                <w:noProof/>
                <w:webHidden/>
              </w:rPr>
              <w:fldChar w:fldCharType="separate"/>
            </w:r>
            <w:r w:rsidR="00F327B1">
              <w:rPr>
                <w:noProof/>
                <w:webHidden/>
              </w:rPr>
              <w:t>10</w:t>
            </w:r>
            <w:r w:rsidR="00F206FE">
              <w:rPr>
                <w:noProof/>
                <w:webHidden/>
              </w:rPr>
              <w:fldChar w:fldCharType="end"/>
            </w:r>
          </w:hyperlink>
        </w:p>
        <w:p w14:paraId="7045660A" w14:textId="4EB3DC6F" w:rsidR="00F206FE" w:rsidRDefault="002A5784">
          <w:pPr>
            <w:pStyle w:val="TOC1"/>
            <w:tabs>
              <w:tab w:val="right" w:leader="dot" w:pos="9016"/>
            </w:tabs>
            <w:rPr>
              <w:rFonts w:asciiTheme="minorHAnsi" w:hAnsiTheme="minorHAnsi" w:cstheme="minorBidi"/>
              <w:noProof/>
              <w:lang w:eastAsia="en-NZ"/>
            </w:rPr>
          </w:pPr>
          <w:hyperlink w:anchor="_Toc68605855" w:history="1">
            <w:r w:rsidR="00F206FE" w:rsidRPr="0072729F">
              <w:rPr>
                <w:rStyle w:val="Hyperlink"/>
                <w:noProof/>
              </w:rPr>
              <w:t>Patient review of questionnaire through cognitive pre-testing</w:t>
            </w:r>
            <w:r w:rsidR="00F206FE">
              <w:rPr>
                <w:noProof/>
                <w:webHidden/>
              </w:rPr>
              <w:tab/>
            </w:r>
            <w:r w:rsidR="00F206FE">
              <w:rPr>
                <w:noProof/>
                <w:webHidden/>
              </w:rPr>
              <w:fldChar w:fldCharType="begin"/>
            </w:r>
            <w:r w:rsidR="00F206FE">
              <w:rPr>
                <w:noProof/>
                <w:webHidden/>
              </w:rPr>
              <w:instrText xml:space="preserve"> PAGEREF _Toc68605855 \h </w:instrText>
            </w:r>
            <w:r w:rsidR="00F206FE">
              <w:rPr>
                <w:noProof/>
                <w:webHidden/>
              </w:rPr>
            </w:r>
            <w:r w:rsidR="00F206FE">
              <w:rPr>
                <w:noProof/>
                <w:webHidden/>
              </w:rPr>
              <w:fldChar w:fldCharType="separate"/>
            </w:r>
            <w:r w:rsidR="00F327B1">
              <w:rPr>
                <w:noProof/>
                <w:webHidden/>
              </w:rPr>
              <w:t>10</w:t>
            </w:r>
            <w:r w:rsidR="00F206FE">
              <w:rPr>
                <w:noProof/>
                <w:webHidden/>
              </w:rPr>
              <w:fldChar w:fldCharType="end"/>
            </w:r>
          </w:hyperlink>
        </w:p>
        <w:p w14:paraId="316887C4" w14:textId="10A94458" w:rsidR="00F206FE" w:rsidRDefault="002A5784">
          <w:pPr>
            <w:pStyle w:val="TOC1"/>
            <w:tabs>
              <w:tab w:val="right" w:leader="dot" w:pos="9016"/>
            </w:tabs>
            <w:rPr>
              <w:rFonts w:asciiTheme="minorHAnsi" w:hAnsiTheme="minorHAnsi" w:cstheme="minorBidi"/>
              <w:noProof/>
              <w:lang w:eastAsia="en-NZ"/>
            </w:rPr>
          </w:pPr>
          <w:hyperlink w:anchor="_Toc68605856" w:history="1">
            <w:r w:rsidR="00F206FE" w:rsidRPr="0072729F">
              <w:rPr>
                <w:rStyle w:val="Hyperlink"/>
                <w:noProof/>
              </w:rPr>
              <w:t>Survey sampling and invitation methods</w:t>
            </w:r>
            <w:r w:rsidR="00F206FE">
              <w:rPr>
                <w:noProof/>
                <w:webHidden/>
              </w:rPr>
              <w:tab/>
            </w:r>
            <w:r w:rsidR="00F206FE">
              <w:rPr>
                <w:noProof/>
                <w:webHidden/>
              </w:rPr>
              <w:fldChar w:fldCharType="begin"/>
            </w:r>
            <w:r w:rsidR="00F206FE">
              <w:rPr>
                <w:noProof/>
                <w:webHidden/>
              </w:rPr>
              <w:instrText xml:space="preserve"> PAGEREF _Toc68605856 \h </w:instrText>
            </w:r>
            <w:r w:rsidR="00F206FE">
              <w:rPr>
                <w:noProof/>
                <w:webHidden/>
              </w:rPr>
            </w:r>
            <w:r w:rsidR="00F206FE">
              <w:rPr>
                <w:noProof/>
                <w:webHidden/>
              </w:rPr>
              <w:fldChar w:fldCharType="separate"/>
            </w:r>
            <w:r w:rsidR="00F327B1">
              <w:rPr>
                <w:noProof/>
                <w:webHidden/>
              </w:rPr>
              <w:t>15</w:t>
            </w:r>
            <w:r w:rsidR="00F206FE">
              <w:rPr>
                <w:noProof/>
                <w:webHidden/>
              </w:rPr>
              <w:fldChar w:fldCharType="end"/>
            </w:r>
          </w:hyperlink>
        </w:p>
        <w:p w14:paraId="4F49A668" w14:textId="122D470B" w:rsidR="00D064ED" w:rsidRPr="00F63BDD" w:rsidRDefault="009A2BA1" w:rsidP="006D4F9A">
          <w:r>
            <w:fldChar w:fldCharType="end"/>
          </w:r>
        </w:p>
      </w:sdtContent>
    </w:sdt>
    <w:p w14:paraId="6DCAA34A" w14:textId="77777777" w:rsidR="009A2BA1" w:rsidRDefault="009A2BA1" w:rsidP="006D4F9A"/>
    <w:p w14:paraId="3D776845" w14:textId="77777777" w:rsidR="009A2BA1" w:rsidRDefault="009A2BA1" w:rsidP="009A2BA1">
      <w:pPr>
        <w:jc w:val="center"/>
      </w:pPr>
    </w:p>
    <w:p w14:paraId="65D1B320" w14:textId="77777777" w:rsidR="009A2BA1" w:rsidRDefault="009A2BA1" w:rsidP="009A2BA1">
      <w:pPr>
        <w:jc w:val="center"/>
      </w:pPr>
    </w:p>
    <w:p w14:paraId="6075D005" w14:textId="77777777" w:rsidR="009A2BA1" w:rsidRDefault="009A2BA1" w:rsidP="009A2BA1">
      <w:pPr>
        <w:jc w:val="center"/>
      </w:pPr>
    </w:p>
    <w:p w14:paraId="5C9D4F87" w14:textId="77777777" w:rsidR="009A2BA1" w:rsidRDefault="009A2BA1" w:rsidP="009A2BA1">
      <w:pPr>
        <w:jc w:val="center"/>
      </w:pPr>
    </w:p>
    <w:p w14:paraId="2C542B84" w14:textId="77777777" w:rsidR="009A2BA1" w:rsidRDefault="009A2BA1" w:rsidP="009A2BA1">
      <w:pPr>
        <w:jc w:val="center"/>
      </w:pPr>
    </w:p>
    <w:p w14:paraId="0E939962" w14:textId="2E446E72" w:rsidR="009A2BA1" w:rsidRDefault="009A2BA1" w:rsidP="009A2BA1">
      <w:pPr>
        <w:jc w:val="center"/>
      </w:pPr>
    </w:p>
    <w:p w14:paraId="18B4A49A" w14:textId="77777777" w:rsidR="009A2BA1" w:rsidRDefault="009A2BA1" w:rsidP="009A2BA1">
      <w:pPr>
        <w:jc w:val="center"/>
      </w:pPr>
    </w:p>
    <w:p w14:paraId="646CBCF7" w14:textId="77777777" w:rsidR="009A2BA1" w:rsidRDefault="009A2BA1" w:rsidP="009A2BA1">
      <w:pPr>
        <w:jc w:val="center"/>
      </w:pPr>
    </w:p>
    <w:p w14:paraId="4C0AC03B" w14:textId="77777777" w:rsidR="009A2BA1" w:rsidRDefault="009A2BA1" w:rsidP="009A2BA1">
      <w:pPr>
        <w:jc w:val="center"/>
      </w:pPr>
    </w:p>
    <w:p w14:paraId="0DE28271" w14:textId="77777777" w:rsidR="009A2BA1" w:rsidRDefault="009A2BA1" w:rsidP="009A2BA1">
      <w:pPr>
        <w:jc w:val="center"/>
      </w:pPr>
    </w:p>
    <w:p w14:paraId="7B35C807" w14:textId="77777777" w:rsidR="009A2BA1" w:rsidRDefault="009A2BA1" w:rsidP="009A2BA1">
      <w:pPr>
        <w:jc w:val="center"/>
      </w:pPr>
    </w:p>
    <w:p w14:paraId="2FAE6C8B" w14:textId="77777777" w:rsidR="009A2BA1" w:rsidRDefault="009A2BA1" w:rsidP="009A2BA1">
      <w:pPr>
        <w:jc w:val="center"/>
      </w:pPr>
    </w:p>
    <w:p w14:paraId="40BBCCB3" w14:textId="77777777" w:rsidR="009A2BA1" w:rsidRDefault="009A2BA1" w:rsidP="009A2BA1">
      <w:pPr>
        <w:jc w:val="center"/>
      </w:pPr>
    </w:p>
    <w:p w14:paraId="5F5F941A" w14:textId="77777777" w:rsidR="009A2BA1" w:rsidRDefault="009A2BA1" w:rsidP="009A2BA1">
      <w:pPr>
        <w:jc w:val="center"/>
      </w:pPr>
    </w:p>
    <w:p w14:paraId="4A749D97" w14:textId="77777777" w:rsidR="009A2BA1" w:rsidRDefault="009A2BA1" w:rsidP="009A2BA1">
      <w:pPr>
        <w:jc w:val="center"/>
      </w:pPr>
    </w:p>
    <w:p w14:paraId="11E7385C" w14:textId="70C180BC" w:rsidR="009A2BA1" w:rsidRPr="00F63BDD" w:rsidRDefault="009A2BA1" w:rsidP="009A2BA1">
      <w:pPr>
        <w:jc w:val="center"/>
      </w:pPr>
      <w:r w:rsidRPr="00F63BDD">
        <w:t xml:space="preserve"> Health Quality &amp; Safety Commission 202</w:t>
      </w:r>
      <w:r>
        <w:t>1</w:t>
      </w:r>
    </w:p>
    <w:p w14:paraId="6E69D93E" w14:textId="77777777" w:rsidR="009A2BA1" w:rsidRPr="00F63BDD" w:rsidRDefault="009A2BA1" w:rsidP="009A2BA1">
      <w:pPr>
        <w:jc w:val="center"/>
      </w:pPr>
      <w:r w:rsidRPr="00F63BDD">
        <w:t>Health Quality &amp; Safety Commission</w:t>
      </w:r>
      <w:r w:rsidRPr="00F63BDD">
        <w:br/>
        <w:t>PO Box 25496, Wellington, New Zealand</w:t>
      </w:r>
    </w:p>
    <w:p w14:paraId="6DC005B9" w14:textId="77777777" w:rsidR="009A2BA1" w:rsidRPr="00F63BDD" w:rsidRDefault="009A2BA1" w:rsidP="009A2BA1">
      <w:pPr>
        <w:jc w:val="center"/>
      </w:pPr>
      <w:r w:rsidRPr="00F63BDD">
        <w:t>This document is available on the Health Quality &amp; Safety Commission’s website:</w:t>
      </w:r>
      <w:r w:rsidRPr="00F63BDD">
        <w:br/>
      </w:r>
      <w:hyperlink r:id="rId14" w:history="1">
        <w:r w:rsidRPr="002B026F">
          <w:rPr>
            <w:rStyle w:val="Hyperlink"/>
          </w:rPr>
          <w:t>www.hqsc.govt.nz</w:t>
        </w:r>
      </w:hyperlink>
    </w:p>
    <w:p w14:paraId="4F49A669" w14:textId="54D7970D" w:rsidR="00934D26" w:rsidRPr="00F63BDD" w:rsidRDefault="00934D26" w:rsidP="006D4F9A">
      <w:r w:rsidRPr="00F63BDD">
        <w:br w:type="page"/>
      </w:r>
    </w:p>
    <w:p w14:paraId="704274BD" w14:textId="6329A71A" w:rsidR="00015512" w:rsidRDefault="00015512" w:rsidP="006D4F9A">
      <w:pPr>
        <w:pStyle w:val="Heading1"/>
      </w:pPr>
      <w:bookmarkStart w:id="0" w:name="_Appendix_6:_Bias"/>
      <w:bookmarkStart w:id="1" w:name="_Appendix_7:_Manual"/>
      <w:bookmarkStart w:id="2" w:name="_Appendix_7:_Survey"/>
      <w:bookmarkStart w:id="3" w:name="_Appendix_7:_Survey_1"/>
      <w:bookmarkStart w:id="4" w:name="_Appendix_9:_Licensed"/>
      <w:bookmarkStart w:id="5" w:name="_Toc68605849"/>
      <w:bookmarkEnd w:id="0"/>
      <w:bookmarkEnd w:id="1"/>
      <w:bookmarkEnd w:id="2"/>
      <w:bookmarkEnd w:id="3"/>
      <w:bookmarkEnd w:id="4"/>
      <w:r>
        <w:lastRenderedPageBreak/>
        <w:t>Document purpose</w:t>
      </w:r>
      <w:bookmarkEnd w:id="5"/>
    </w:p>
    <w:p w14:paraId="43E9CA24" w14:textId="3D62356C" w:rsidR="00936F30" w:rsidRDefault="00936F30" w:rsidP="00936F30">
      <w:r>
        <w:t>This document describes the process the Health Quality &amp; Safety Commission</w:t>
      </w:r>
      <w:r w:rsidR="001D0F01">
        <w:t xml:space="preserve"> (the Commission)</w:t>
      </w:r>
      <w:r>
        <w:t xml:space="preserve"> and </w:t>
      </w:r>
      <w:r w:rsidR="001D0F01">
        <w:t xml:space="preserve">its </w:t>
      </w:r>
      <w:r>
        <w:t xml:space="preserve">contracted provider, Ipsos, undertook in 2019/20 to review and refresh the </w:t>
      </w:r>
      <w:r w:rsidR="001D0F01">
        <w:t xml:space="preserve">New Zealand </w:t>
      </w:r>
      <w:r>
        <w:t xml:space="preserve">patient experience survey </w:t>
      </w:r>
      <w:r w:rsidR="001D0F01" w:rsidRPr="00936F30">
        <w:t>programme</w:t>
      </w:r>
      <w:r>
        <w:t>.</w:t>
      </w:r>
    </w:p>
    <w:p w14:paraId="6751C3D3" w14:textId="7EB94B68" w:rsidR="001D0F01" w:rsidRDefault="00936F30" w:rsidP="00936F30">
      <w:r>
        <w:t xml:space="preserve">The purpose of the refresh was to </w:t>
      </w:r>
      <w:r w:rsidR="001D0F01">
        <w:t xml:space="preserve">check </w:t>
      </w:r>
      <w:r>
        <w:t xml:space="preserve">the surveys were working </w:t>
      </w:r>
      <w:r w:rsidR="001D0F01">
        <w:t xml:space="preserve">as well as possible </w:t>
      </w:r>
      <w:r>
        <w:t xml:space="preserve">and </w:t>
      </w:r>
      <w:r w:rsidR="001D0F01">
        <w:t xml:space="preserve">were </w:t>
      </w:r>
      <w:r>
        <w:t xml:space="preserve">meeting the needs of the sector. </w:t>
      </w:r>
    </w:p>
    <w:p w14:paraId="7AFC9620" w14:textId="258ECED7" w:rsidR="00936F30" w:rsidRDefault="00936F30" w:rsidP="00936F30">
      <w:r>
        <w:t xml:space="preserve">The refresh included a review of both questionnaires, multiple </w:t>
      </w:r>
      <w:r w:rsidR="001D0F01">
        <w:t xml:space="preserve">rounds of </w:t>
      </w:r>
      <w:r>
        <w:t xml:space="preserve">stakeholder engagement and cognitive pre-testing in priority populations of both the questionnaires and the survey process. </w:t>
      </w:r>
    </w:p>
    <w:p w14:paraId="07B5D449" w14:textId="77777777" w:rsidR="00936F30" w:rsidRDefault="00936F30" w:rsidP="00936F30">
      <w:pPr>
        <w:pStyle w:val="Heading1"/>
      </w:pPr>
      <w:bookmarkStart w:id="6" w:name="_Toc68605850"/>
      <w:r>
        <w:t>Background</w:t>
      </w:r>
      <w:bookmarkEnd w:id="6"/>
    </w:p>
    <w:p w14:paraId="659D9ABB" w14:textId="77777777" w:rsidR="00936F30" w:rsidRDefault="00936F30" w:rsidP="00936F30">
      <w:r>
        <w:t xml:space="preserve">The Commission runs two national adult patient experience surveys: the adult inpatient experience survey (IPES) and the primary care patient experience survey (PCPES). Both surveys aim to improve the quality of health services in Aotearoa New Zealand by enabling patients to give feedback that can be used to monitor and improve the quality and safety of health services. The surveys provide consistent tools that can be used for national measures as well as local assessment and improvement. </w:t>
      </w:r>
    </w:p>
    <w:p w14:paraId="6A45EA32" w14:textId="72A1E3E5" w:rsidR="00936F30" w:rsidRDefault="00936F30" w:rsidP="00936F30">
      <w:r>
        <w:t xml:space="preserve">The IPES has been running quarterly in all </w:t>
      </w:r>
      <w:r w:rsidR="001D0F01">
        <w:t>district health boards</w:t>
      </w:r>
      <w:r>
        <w:t xml:space="preserve"> (DHBs) since 2014. A selection of adult patients (aged 15 </w:t>
      </w:r>
      <w:r w:rsidR="001D0F01">
        <w:t xml:space="preserve">years </w:t>
      </w:r>
      <w:r>
        <w:t xml:space="preserve">and over) who spend at least one night in hospital during each survey sample period are invited to </w:t>
      </w:r>
      <w:r w:rsidR="001D0F01">
        <w:t>take part</w:t>
      </w:r>
      <w:r>
        <w:t xml:space="preserve">. </w:t>
      </w:r>
    </w:p>
    <w:p w14:paraId="17368072" w14:textId="63E4FDC9" w:rsidR="00936F30" w:rsidRDefault="00936F30" w:rsidP="00936F30">
      <w:r>
        <w:t xml:space="preserve">The PCPES was first introduced in 2015 </w:t>
      </w:r>
      <w:r w:rsidR="001D0F01">
        <w:t xml:space="preserve">in </w:t>
      </w:r>
      <w:r>
        <w:t xml:space="preserve">a small number of pilot general practices, with gradual implementation beginning in 2016. The survey </w:t>
      </w:r>
      <w:r w:rsidR="001D0F01">
        <w:t xml:space="preserve">now </w:t>
      </w:r>
      <w:r>
        <w:t xml:space="preserve">runs in most general practices nationally every quarter. Adults aged 15 </w:t>
      </w:r>
      <w:r w:rsidR="001D0F01">
        <w:t xml:space="preserve">years </w:t>
      </w:r>
      <w:r>
        <w:t xml:space="preserve">and over who are enrolled with and seen by participating general practices are invited to </w:t>
      </w:r>
      <w:r w:rsidR="001D0F01">
        <w:t>take part</w:t>
      </w:r>
      <w:r>
        <w:t>.</w:t>
      </w:r>
    </w:p>
    <w:p w14:paraId="20EA47B1" w14:textId="62E8E860" w:rsidR="00936F30" w:rsidRDefault="00936F30" w:rsidP="00936F30">
      <w:r>
        <w:t xml:space="preserve">In 2019, the Commission sought a request for proposals (RFP) from interested parties to undertake the ongoing quarterly data collection and reporting system services for the two surveys. The outcome of the RFP was a decision to move to a new survey provider, Ipsos. As part of the transition to the new provider, </w:t>
      </w:r>
      <w:r w:rsidR="001D0F01">
        <w:t xml:space="preserve">the Commission and Ipsos undertook </w:t>
      </w:r>
      <w:r>
        <w:t>a thorough review of the questionnaires and survey processes.</w:t>
      </w:r>
    </w:p>
    <w:p w14:paraId="56CD2691" w14:textId="77777777" w:rsidR="00936F30" w:rsidRDefault="00936F30" w:rsidP="00936F30">
      <w:pPr>
        <w:pStyle w:val="Heading4"/>
      </w:pPr>
      <w:r>
        <w:t>Framework for the refresh</w:t>
      </w:r>
    </w:p>
    <w:p w14:paraId="174D7DA4" w14:textId="6F1B5A89" w:rsidR="00936F30" w:rsidRDefault="00936F30" w:rsidP="00936F30">
      <w:r>
        <w:t xml:space="preserve">The framework for the refresh process </w:t>
      </w:r>
      <w:r w:rsidR="001D0F01">
        <w:t>focused</w:t>
      </w:r>
      <w:r>
        <w:t xml:space="preserve"> on improving </w:t>
      </w:r>
      <w:r w:rsidR="001D0F01">
        <w:t xml:space="preserve">survey </w:t>
      </w:r>
      <w:r>
        <w:t xml:space="preserve">participation </w:t>
      </w:r>
      <w:r w:rsidR="001D0F01">
        <w:t xml:space="preserve">by </w:t>
      </w:r>
      <w:r>
        <w:t>Māori and Pacific people</w:t>
      </w:r>
      <w:r w:rsidR="001D0F01">
        <w:t>s</w:t>
      </w:r>
      <w:r>
        <w:t xml:space="preserve">. Specific activities were threaded through the process, </w:t>
      </w:r>
      <w:r w:rsidR="001D0F01">
        <w:t>including</w:t>
      </w:r>
      <w:r>
        <w:t>:</w:t>
      </w:r>
    </w:p>
    <w:p w14:paraId="12D9C4D0" w14:textId="12208833" w:rsidR="00936F30" w:rsidRDefault="001D0F01" w:rsidP="00F73BFE">
      <w:pPr>
        <w:pStyle w:val="ListParagraph"/>
        <w:numPr>
          <w:ilvl w:val="0"/>
          <w:numId w:val="19"/>
        </w:numPr>
      </w:pPr>
      <w:r>
        <w:t xml:space="preserve">cognitive </w:t>
      </w:r>
      <w:r w:rsidR="00936F30">
        <w:t>pre-testing of the revised questions, with a focus on Māori and Pacific people</w:t>
      </w:r>
      <w:r>
        <w:t>s</w:t>
      </w:r>
    </w:p>
    <w:p w14:paraId="476016EF" w14:textId="0515BA77" w:rsidR="00936F30" w:rsidRDefault="001D0F01" w:rsidP="00F73BFE">
      <w:pPr>
        <w:pStyle w:val="ListParagraph"/>
        <w:numPr>
          <w:ilvl w:val="0"/>
          <w:numId w:val="19"/>
        </w:numPr>
      </w:pPr>
      <w:r>
        <w:t>t</w:t>
      </w:r>
      <w:r w:rsidR="00936F30">
        <w:t>esting the invitation wording</w:t>
      </w:r>
    </w:p>
    <w:p w14:paraId="4C5CB194" w14:textId="49C6AAE6" w:rsidR="00936F30" w:rsidRDefault="001D0F01" w:rsidP="00F73BFE">
      <w:pPr>
        <w:pStyle w:val="ListParagraph"/>
        <w:numPr>
          <w:ilvl w:val="0"/>
          <w:numId w:val="19"/>
        </w:numPr>
      </w:pPr>
      <w:r>
        <w:t>t</w:t>
      </w:r>
      <w:r w:rsidR="00936F30">
        <w:t>esting the survey process (how patients are informed of the survey)</w:t>
      </w:r>
    </w:p>
    <w:p w14:paraId="1B15640B" w14:textId="659712D4" w:rsidR="00936F30" w:rsidRDefault="00D233A9" w:rsidP="00F73BFE">
      <w:pPr>
        <w:pStyle w:val="ListParagraph"/>
        <w:numPr>
          <w:ilvl w:val="0"/>
          <w:numId w:val="19"/>
        </w:numPr>
      </w:pPr>
      <w:r>
        <w:t>r</w:t>
      </w:r>
      <w:r w:rsidR="00936F30">
        <w:t xml:space="preserve">eviewing and amending the sampling methodology </w:t>
      </w:r>
    </w:p>
    <w:p w14:paraId="1EABB557" w14:textId="6FBA4C4B" w:rsidR="00936F30" w:rsidRDefault="00D233A9" w:rsidP="00F73BFE">
      <w:pPr>
        <w:pStyle w:val="ListParagraph"/>
        <w:numPr>
          <w:ilvl w:val="0"/>
          <w:numId w:val="19"/>
        </w:numPr>
      </w:pPr>
      <w:r>
        <w:t>t</w:t>
      </w:r>
      <w:r w:rsidR="00936F30">
        <w:t xml:space="preserve">ranslating the revised questionnaires into </w:t>
      </w:r>
      <w:proofErr w:type="spellStart"/>
      <w:r w:rsidR="00936F30">
        <w:t>te</w:t>
      </w:r>
      <w:proofErr w:type="spellEnd"/>
      <w:r w:rsidR="00936F30">
        <w:t xml:space="preserve"> reo Māori</w:t>
      </w:r>
    </w:p>
    <w:p w14:paraId="05FCBD7F" w14:textId="752FD0C1" w:rsidR="00D233A9" w:rsidRDefault="00D233A9" w:rsidP="00DD7FD2">
      <w:pPr>
        <w:pStyle w:val="ListParagraph"/>
        <w:numPr>
          <w:ilvl w:val="0"/>
          <w:numId w:val="19"/>
        </w:numPr>
        <w:spacing w:after="200"/>
      </w:pPr>
      <w:r>
        <w:t>d</w:t>
      </w:r>
      <w:r w:rsidR="00936F30">
        <w:t xml:space="preserve">eveloping, </w:t>
      </w:r>
      <w:proofErr w:type="gramStart"/>
      <w:r w:rsidR="00936F30">
        <w:t>testing</w:t>
      </w:r>
      <w:proofErr w:type="gramEnd"/>
      <w:r w:rsidR="00936F30">
        <w:t xml:space="preserve"> and implementing a set of questions to measure patients’ experience of culturally safe care</w:t>
      </w:r>
      <w:r>
        <w:t>.</w:t>
      </w:r>
      <w:r>
        <w:br w:type="page"/>
      </w:r>
    </w:p>
    <w:p w14:paraId="2EDA8466" w14:textId="232CA3B6" w:rsidR="00936F30" w:rsidRDefault="00936F30" w:rsidP="00936F30">
      <w:r>
        <w:lastRenderedPageBreak/>
        <w:t xml:space="preserve">The refresh included the following </w:t>
      </w:r>
      <w:r w:rsidR="00D233A9">
        <w:t xml:space="preserve">four </w:t>
      </w:r>
      <w:r>
        <w:t>elements</w:t>
      </w:r>
      <w:r w:rsidR="00B9048D">
        <w:t>.</w:t>
      </w:r>
    </w:p>
    <w:p w14:paraId="10160C42" w14:textId="5208F492" w:rsidR="00936F30" w:rsidRDefault="00936F30" w:rsidP="003F0A76">
      <w:pPr>
        <w:pStyle w:val="ListParagraph"/>
        <w:numPr>
          <w:ilvl w:val="0"/>
          <w:numId w:val="11"/>
        </w:numPr>
      </w:pPr>
      <w:r>
        <w:t>Questionnaire review</w:t>
      </w:r>
    </w:p>
    <w:p w14:paraId="41189B09" w14:textId="3C9B6446" w:rsidR="00D233A9" w:rsidRDefault="00936F30" w:rsidP="00936F30">
      <w:r>
        <w:t xml:space="preserve">This involved a scan of existing surveys, a literature </w:t>
      </w:r>
      <w:proofErr w:type="gramStart"/>
      <w:r>
        <w:t>review</w:t>
      </w:r>
      <w:proofErr w:type="gramEnd"/>
      <w:r>
        <w:t xml:space="preserve"> and a review of the questionnaire. </w:t>
      </w:r>
    </w:p>
    <w:p w14:paraId="28DFDB34" w14:textId="538AF0A9" w:rsidR="00936F30" w:rsidRDefault="00936F30" w:rsidP="00936F30">
      <w:r>
        <w:t xml:space="preserve">The survey scan explored other New Zealand and international surveys. This included </w:t>
      </w:r>
      <w:r w:rsidR="00D233A9">
        <w:t xml:space="preserve">checking </w:t>
      </w:r>
      <w:r>
        <w:t xml:space="preserve">the </w:t>
      </w:r>
      <w:r w:rsidR="00D233A9">
        <w:t xml:space="preserve">revised </w:t>
      </w:r>
      <w:r>
        <w:t>questions aligned with those in the New Zealand Health Survey where appropriate.</w:t>
      </w:r>
    </w:p>
    <w:p w14:paraId="3F7BAC42" w14:textId="143F6C99" w:rsidR="00936F30" w:rsidRDefault="00936F30" w:rsidP="00936F30">
      <w:r>
        <w:t>The literature review focused on updating knowledge since implementation of the existing surveys as opposed to a review</w:t>
      </w:r>
      <w:r w:rsidR="00D233A9">
        <w:t xml:space="preserve"> that started from scratch</w:t>
      </w:r>
      <w:r>
        <w:t>.</w:t>
      </w:r>
    </w:p>
    <w:p w14:paraId="068C364C" w14:textId="3C51C540" w:rsidR="00936F30" w:rsidRDefault="00936F30" w:rsidP="00936F30">
      <w:r>
        <w:t>The following considerations underpinned the questionnaire review process</w:t>
      </w:r>
      <w:r w:rsidR="007051F5">
        <w:t>.</w:t>
      </w:r>
    </w:p>
    <w:p w14:paraId="4C0BBEAD" w14:textId="2808EB3D" w:rsidR="00936F30" w:rsidRDefault="00936F30" w:rsidP="003F0A76">
      <w:pPr>
        <w:pStyle w:val="ListParagraph"/>
        <w:numPr>
          <w:ilvl w:val="0"/>
          <w:numId w:val="12"/>
        </w:numPr>
      </w:pPr>
      <w:r>
        <w:t xml:space="preserve">Respondent burden: </w:t>
      </w:r>
      <w:r w:rsidR="009464D8">
        <w:t>t</w:t>
      </w:r>
      <w:r>
        <w:t xml:space="preserve">he questionnaire </w:t>
      </w:r>
      <w:r w:rsidR="00873160">
        <w:t>had to not</w:t>
      </w:r>
      <w:r>
        <w:t xml:space="preserve"> place an onerous burden on those who complete</w:t>
      </w:r>
      <w:r w:rsidR="007051F5">
        <w:t>d</w:t>
      </w:r>
      <w:r>
        <w:t xml:space="preserve"> it</w:t>
      </w:r>
      <w:r w:rsidR="00D233A9">
        <w:t xml:space="preserve">; it </w:t>
      </w:r>
      <w:r w:rsidR="00873160">
        <w:t>would be</w:t>
      </w:r>
      <w:r w:rsidR="00D233A9">
        <w:t xml:space="preserve"> quick to complete and easy to answer</w:t>
      </w:r>
      <w:r>
        <w:t xml:space="preserve"> the questions.</w:t>
      </w:r>
    </w:p>
    <w:p w14:paraId="799ECE1B" w14:textId="5D729259" w:rsidR="00936F30" w:rsidRDefault="00936F30" w:rsidP="003F0A76">
      <w:pPr>
        <w:pStyle w:val="ListParagraph"/>
        <w:numPr>
          <w:ilvl w:val="0"/>
          <w:numId w:val="12"/>
        </w:numPr>
      </w:pPr>
      <w:r>
        <w:t xml:space="preserve">Response rates: </w:t>
      </w:r>
      <w:r w:rsidR="009464D8">
        <w:t>t</w:t>
      </w:r>
      <w:r>
        <w:t>he questionnaire</w:t>
      </w:r>
      <w:r w:rsidR="00873160">
        <w:t xml:space="preserve"> had to</w:t>
      </w:r>
      <w:r>
        <w:t xml:space="preserve"> maximise</w:t>
      </w:r>
      <w:r w:rsidR="00D233A9">
        <w:t xml:space="preserve"> the chance of people </w:t>
      </w:r>
      <w:proofErr w:type="gramStart"/>
      <w:r>
        <w:t>respon</w:t>
      </w:r>
      <w:r w:rsidR="00D233A9">
        <w:t xml:space="preserve">ding; </w:t>
      </w:r>
      <w:r>
        <w:t xml:space="preserve"> </w:t>
      </w:r>
      <w:r w:rsidR="00D233A9">
        <w:t>questions</w:t>
      </w:r>
      <w:proofErr w:type="gramEnd"/>
      <w:r w:rsidR="00D233A9">
        <w:t xml:space="preserve"> </w:t>
      </w:r>
      <w:r w:rsidR="00873160">
        <w:t>were</w:t>
      </w:r>
      <w:r>
        <w:t xml:space="preserve"> easy </w:t>
      </w:r>
      <w:r w:rsidR="00873160">
        <w:t xml:space="preserve">and safe </w:t>
      </w:r>
      <w:r>
        <w:t xml:space="preserve">for respondents to answer and there </w:t>
      </w:r>
      <w:r w:rsidR="00873160">
        <w:t>wa</w:t>
      </w:r>
      <w:r>
        <w:t xml:space="preserve">s a benefit for them </w:t>
      </w:r>
      <w:r w:rsidR="00D233A9">
        <w:t>in answering</w:t>
      </w:r>
      <w:r>
        <w:t>.</w:t>
      </w:r>
    </w:p>
    <w:p w14:paraId="5C55EB27" w14:textId="71509D48" w:rsidR="00936F30" w:rsidRDefault="00936F30" w:rsidP="003F0A76">
      <w:pPr>
        <w:pStyle w:val="ListParagraph"/>
        <w:numPr>
          <w:ilvl w:val="0"/>
          <w:numId w:val="12"/>
        </w:numPr>
      </w:pPr>
      <w:r>
        <w:t>Picker questions</w:t>
      </w:r>
      <w:r w:rsidR="00773601">
        <w:t>:</w:t>
      </w:r>
      <w:r w:rsidR="00054916">
        <w:rPr>
          <w:rStyle w:val="FootnoteReference"/>
        </w:rPr>
        <w:footnoteReference w:id="1"/>
      </w:r>
      <w:r>
        <w:t xml:space="preserve"> </w:t>
      </w:r>
      <w:r w:rsidR="009464D8">
        <w:t xml:space="preserve">the </w:t>
      </w:r>
      <w:r>
        <w:t>IPES previously used the Picker question set</w:t>
      </w:r>
      <w:r w:rsidR="009464D8">
        <w:t>, incurring</w:t>
      </w:r>
      <w:r>
        <w:t xml:space="preserve"> a subscription cost </w:t>
      </w:r>
      <w:r w:rsidR="00873160">
        <w:t xml:space="preserve">that </w:t>
      </w:r>
      <w:r>
        <w:t xml:space="preserve">increased annually. </w:t>
      </w:r>
      <w:r w:rsidR="00873160">
        <w:t xml:space="preserve">We </w:t>
      </w:r>
      <w:r>
        <w:t>evaluate</w:t>
      </w:r>
      <w:r w:rsidR="00873160">
        <w:t>d</w:t>
      </w:r>
      <w:r>
        <w:t xml:space="preserve"> the benefit of this investment </w:t>
      </w:r>
      <w:r w:rsidR="00873160">
        <w:t xml:space="preserve">to </w:t>
      </w:r>
      <w:r>
        <w:t xml:space="preserve">decide whether it </w:t>
      </w:r>
      <w:r w:rsidR="00873160">
        <w:t xml:space="preserve">was still </w:t>
      </w:r>
      <w:r>
        <w:t>the best approach</w:t>
      </w:r>
      <w:r w:rsidR="00D80604">
        <w:t>, and decided it was not</w:t>
      </w:r>
      <w:r>
        <w:t>.</w:t>
      </w:r>
    </w:p>
    <w:p w14:paraId="672B0F0F" w14:textId="0668CA7A" w:rsidR="00936F30" w:rsidRDefault="00936F30" w:rsidP="003F0A76">
      <w:pPr>
        <w:pStyle w:val="ListParagraph"/>
        <w:numPr>
          <w:ilvl w:val="0"/>
          <w:numId w:val="12"/>
        </w:numPr>
      </w:pPr>
      <w:r>
        <w:t xml:space="preserve">Stakeholder needs: </w:t>
      </w:r>
      <w:r w:rsidR="00873160">
        <w:t xml:space="preserve">we </w:t>
      </w:r>
      <w:r w:rsidR="007051F5">
        <w:t>asked for</w:t>
      </w:r>
      <w:r w:rsidR="00873160">
        <w:t xml:space="preserve"> </w:t>
      </w:r>
      <w:r>
        <w:t xml:space="preserve">feedback from stakeholders to </w:t>
      </w:r>
      <w:r w:rsidR="00873160">
        <w:t xml:space="preserve">find out if </w:t>
      </w:r>
      <w:r>
        <w:t>the surveys best meet their needs.</w:t>
      </w:r>
    </w:p>
    <w:p w14:paraId="79ED8EC2" w14:textId="7FEB1036" w:rsidR="00936F30" w:rsidRDefault="00936F30" w:rsidP="003F0A76">
      <w:pPr>
        <w:pStyle w:val="ListParagraph"/>
        <w:numPr>
          <w:ilvl w:val="0"/>
          <w:numId w:val="12"/>
        </w:numPr>
      </w:pPr>
      <w:r>
        <w:t xml:space="preserve">Ability to drive change/improvements: </w:t>
      </w:r>
      <w:r w:rsidR="00873160">
        <w:t>t</w:t>
      </w:r>
      <w:r>
        <w:t xml:space="preserve">he questionnaire </w:t>
      </w:r>
      <w:r w:rsidR="00873160">
        <w:t>results had to generate ‘</w:t>
      </w:r>
      <w:r>
        <w:t>actionable</w:t>
      </w:r>
      <w:r w:rsidR="00873160">
        <w:t>’</w:t>
      </w:r>
      <w:r>
        <w:t xml:space="preserve"> information for providers so they can make improvements based on patient experience. </w:t>
      </w:r>
    </w:p>
    <w:p w14:paraId="298AA04A" w14:textId="0A389130" w:rsidR="00936F30" w:rsidRDefault="00936F30" w:rsidP="003F0A76">
      <w:pPr>
        <w:pStyle w:val="ListParagraph"/>
        <w:numPr>
          <w:ilvl w:val="0"/>
          <w:numId w:val="12"/>
        </w:numPr>
      </w:pPr>
      <w:r>
        <w:t xml:space="preserve">Consistency between surveys: </w:t>
      </w:r>
      <w:r w:rsidR="00873160">
        <w:t>t</w:t>
      </w:r>
      <w:r>
        <w:t>he review aim</w:t>
      </w:r>
      <w:r w:rsidR="00873160">
        <w:t>ed</w:t>
      </w:r>
      <w:r>
        <w:t xml:space="preserve"> to </w:t>
      </w:r>
      <w:r w:rsidR="00873160">
        <w:t xml:space="preserve">result in </w:t>
      </w:r>
      <w:r>
        <w:t>the two surveys</w:t>
      </w:r>
      <w:r w:rsidR="00873160">
        <w:t xml:space="preserve"> being</w:t>
      </w:r>
      <w:r>
        <w:t xml:space="preserve"> more closely </w:t>
      </w:r>
      <w:r w:rsidR="00873160">
        <w:t xml:space="preserve">aligned </w:t>
      </w:r>
      <w:r>
        <w:t>where suitable and beneficial.</w:t>
      </w:r>
    </w:p>
    <w:p w14:paraId="4633FB71" w14:textId="5CE6B91E" w:rsidR="00936F30" w:rsidRDefault="00873160" w:rsidP="003F0A76">
      <w:pPr>
        <w:pStyle w:val="ListParagraph"/>
        <w:numPr>
          <w:ilvl w:val="0"/>
          <w:numId w:val="12"/>
        </w:numPr>
      </w:pPr>
      <w:r>
        <w:t>T</w:t>
      </w:r>
      <w:r w:rsidR="00936F30">
        <w:t xml:space="preserve">he </w:t>
      </w:r>
      <w:r>
        <w:t xml:space="preserve">review considered the </w:t>
      </w:r>
      <w:r w:rsidR="00936F30">
        <w:t xml:space="preserve">impact of </w:t>
      </w:r>
      <w:r>
        <w:t xml:space="preserve">the </w:t>
      </w:r>
      <w:r w:rsidR="00936F30">
        <w:t>COVID-19 pandemic and resulting changes to health care delivery</w:t>
      </w:r>
      <w:r>
        <w:t>.</w:t>
      </w:r>
    </w:p>
    <w:p w14:paraId="5341FF9B" w14:textId="69E92ACC" w:rsidR="00936F30" w:rsidRDefault="00873160" w:rsidP="003F0A76">
      <w:pPr>
        <w:pStyle w:val="ListParagraph"/>
        <w:numPr>
          <w:ilvl w:val="0"/>
          <w:numId w:val="12"/>
        </w:numPr>
      </w:pPr>
      <w:r>
        <w:t xml:space="preserve">The revised questionnaire would undergo </w:t>
      </w:r>
      <w:r w:rsidR="00936F30">
        <w:t>a literacy and English level analysis</w:t>
      </w:r>
      <w:r>
        <w:t>.</w:t>
      </w:r>
    </w:p>
    <w:p w14:paraId="2E141DA1" w14:textId="311BCE78" w:rsidR="00936F30" w:rsidRDefault="00873160" w:rsidP="00C53AB7">
      <w:pPr>
        <w:pStyle w:val="ListParagraph"/>
        <w:numPr>
          <w:ilvl w:val="0"/>
          <w:numId w:val="12"/>
        </w:numPr>
        <w:ind w:left="357" w:hanging="357"/>
        <w:contextualSpacing w:val="0"/>
      </w:pPr>
      <w:r>
        <w:t>We would i</w:t>
      </w:r>
      <w:r w:rsidR="00936F30">
        <w:t>ncorporate best practice (learnings from survey scans and literature reviews).</w:t>
      </w:r>
    </w:p>
    <w:p w14:paraId="54C177F0" w14:textId="4EA90C37" w:rsidR="00936F30" w:rsidRDefault="00936F30" w:rsidP="003F0A76">
      <w:pPr>
        <w:pStyle w:val="ListParagraph"/>
        <w:numPr>
          <w:ilvl w:val="0"/>
          <w:numId w:val="11"/>
        </w:numPr>
      </w:pPr>
      <w:r>
        <w:t>Stakeholder engagement</w:t>
      </w:r>
    </w:p>
    <w:p w14:paraId="6596CE72" w14:textId="4D82095B" w:rsidR="00936F30" w:rsidRDefault="005E6BF8" w:rsidP="00936F30">
      <w:r>
        <w:t xml:space="preserve">We conducted workshops around each survey to better understand stakeholders’ </w:t>
      </w:r>
      <w:r w:rsidR="007051F5">
        <w:t xml:space="preserve">needs and their </w:t>
      </w:r>
      <w:r>
        <w:t>use of and concerns about the existing questionnaire</w:t>
      </w:r>
      <w:r w:rsidR="007051F5">
        <w:t>s</w:t>
      </w:r>
      <w:r>
        <w:t xml:space="preserve">. </w:t>
      </w:r>
      <w:r w:rsidR="00873160">
        <w:t>We also gathered feedback from a broader stakeholder group through supplementary forms. All</w:t>
      </w:r>
      <w:r w:rsidR="00936F30">
        <w:t xml:space="preserve"> feedback fed into the questionnaire review.</w:t>
      </w:r>
    </w:p>
    <w:p w14:paraId="0B547FFF" w14:textId="3C11418C" w:rsidR="00936F30" w:rsidRDefault="00873160" w:rsidP="00936F30">
      <w:r>
        <w:t>This process helped to identify n</w:t>
      </w:r>
      <w:r w:rsidR="00936F30">
        <w:t xml:space="preserve">ew question topics and areas to future-proof against changes in the health care system. </w:t>
      </w:r>
    </w:p>
    <w:p w14:paraId="43BF03F9" w14:textId="77777777" w:rsidR="00936F30" w:rsidRDefault="00936F30" w:rsidP="003F0A76">
      <w:pPr>
        <w:pStyle w:val="ListParagraph"/>
        <w:numPr>
          <w:ilvl w:val="0"/>
          <w:numId w:val="11"/>
        </w:numPr>
      </w:pPr>
      <w:r>
        <w:t>Cognitive pre-testing of revised questionnaires</w:t>
      </w:r>
    </w:p>
    <w:p w14:paraId="267CCD77" w14:textId="3CAEBB88" w:rsidR="001479A8" w:rsidRDefault="00873160" w:rsidP="00DD7FD2">
      <w:pPr>
        <w:rPr>
          <w:highlight w:val="lightGray"/>
        </w:rPr>
      </w:pPr>
      <w:r>
        <w:t>We conducted c</w:t>
      </w:r>
      <w:r w:rsidR="00936F30">
        <w:t>ognitive interviews to assess how patients underst</w:t>
      </w:r>
      <w:r>
        <w:t>oo</w:t>
      </w:r>
      <w:r w:rsidR="00936F30">
        <w:t>d and interpret</w:t>
      </w:r>
      <w:r>
        <w:t>ed</w:t>
      </w:r>
      <w:r w:rsidR="00936F30">
        <w:t xml:space="preserve"> the questions and instructions. As part of the goal to improve participation and explore ways to </w:t>
      </w:r>
      <w:r w:rsidR="00936F30">
        <w:lastRenderedPageBreak/>
        <w:t xml:space="preserve">improve response rates, </w:t>
      </w:r>
      <w:r>
        <w:t>we</w:t>
      </w:r>
      <w:r w:rsidR="00936F30">
        <w:t xml:space="preserve"> deliberate</w:t>
      </w:r>
      <w:r>
        <w:t>ly</w:t>
      </w:r>
      <w:r w:rsidR="00936F30">
        <w:t xml:space="preserve"> focus</w:t>
      </w:r>
      <w:r>
        <w:t>ed</w:t>
      </w:r>
      <w:r w:rsidR="00936F30">
        <w:t xml:space="preserve"> testing on Māori and Pacific people</w:t>
      </w:r>
      <w:r>
        <w:t>s</w:t>
      </w:r>
      <w:r w:rsidR="00936F30">
        <w:t>,</w:t>
      </w:r>
      <w:r>
        <w:t xml:space="preserve"> as well as</w:t>
      </w:r>
      <w:r w:rsidR="00936F30">
        <w:t xml:space="preserve"> youth and </w:t>
      </w:r>
      <w:r>
        <w:t xml:space="preserve">those in </w:t>
      </w:r>
      <w:r w:rsidR="00936F30">
        <w:t>rural</w:t>
      </w:r>
      <w:r>
        <w:t xml:space="preserve"> areas</w:t>
      </w:r>
      <w:r w:rsidR="00936F30">
        <w:t>.</w:t>
      </w:r>
    </w:p>
    <w:p w14:paraId="03AFEC6F" w14:textId="1B6C581B" w:rsidR="00936F30" w:rsidRDefault="00936F30" w:rsidP="001479A8">
      <w:pPr>
        <w:pStyle w:val="ListParagraph"/>
        <w:numPr>
          <w:ilvl w:val="0"/>
          <w:numId w:val="11"/>
        </w:numPr>
      </w:pPr>
      <w:r>
        <w:t>Review of the survey sample method</w:t>
      </w:r>
    </w:p>
    <w:p w14:paraId="28D68245" w14:textId="67443707" w:rsidR="00936F30" w:rsidRDefault="003A20F5" w:rsidP="00936F30">
      <w:r>
        <w:t>We reviewed the sampling methodology for both surveys and, along with the patient experience of care governance g</w:t>
      </w:r>
      <w:r w:rsidR="00936F30">
        <w:t>roup</w:t>
      </w:r>
      <w:r>
        <w:t>, decided</w:t>
      </w:r>
      <w:r w:rsidR="00936F30">
        <w:t xml:space="preserve"> to over-sample Māori and Pacific </w:t>
      </w:r>
      <w:r>
        <w:t>peoples deliberately</w:t>
      </w:r>
      <w:r w:rsidR="00936F30">
        <w:t>.</w:t>
      </w:r>
    </w:p>
    <w:p w14:paraId="48504D3C" w14:textId="77777777" w:rsidR="00936F30" w:rsidRDefault="00936F30" w:rsidP="00936F30">
      <w:pPr>
        <w:pStyle w:val="Heading4"/>
      </w:pPr>
      <w:r>
        <w:t>Implementing the revised questionnaires</w:t>
      </w:r>
    </w:p>
    <w:p w14:paraId="26663A5B" w14:textId="0BBCA241" w:rsidR="00A3708E" w:rsidRDefault="00936F30" w:rsidP="00936F30">
      <w:r>
        <w:t xml:space="preserve">The refresh work </w:t>
      </w:r>
      <w:r w:rsidR="008E0430">
        <w:t>started before</w:t>
      </w:r>
      <w:r>
        <w:t xml:space="preserve"> the COVID-19 pandemic in 2020 </w:t>
      </w:r>
      <w:r w:rsidR="00D80604">
        <w:t xml:space="preserve">while we were </w:t>
      </w:r>
      <w:r>
        <w:t>transition</w:t>
      </w:r>
      <w:r w:rsidR="00D80604">
        <w:t xml:space="preserve">ing </w:t>
      </w:r>
      <w:r>
        <w:t xml:space="preserve">the survey programme to </w:t>
      </w:r>
      <w:r w:rsidR="008E0430">
        <w:t>Ipsos</w:t>
      </w:r>
      <w:r>
        <w:t xml:space="preserve">. </w:t>
      </w:r>
    </w:p>
    <w:p w14:paraId="4BAFCB2A" w14:textId="5DF8E698" w:rsidR="00936F30" w:rsidRDefault="00D80604" w:rsidP="00936F30">
      <w:r>
        <w:t xml:space="preserve">We had </w:t>
      </w:r>
      <w:r w:rsidR="00936F30">
        <w:t xml:space="preserve">a pause in the quarterly programme </w:t>
      </w:r>
      <w:r w:rsidR="00AC0BB5">
        <w:t>in</w:t>
      </w:r>
      <w:r w:rsidR="00936F30">
        <w:t xml:space="preserve"> February 2020 </w:t>
      </w:r>
      <w:r>
        <w:t xml:space="preserve">as we moved to </w:t>
      </w:r>
      <w:r w:rsidR="00936F30">
        <w:t>the new provider</w:t>
      </w:r>
      <w:r>
        <w:t>.</w:t>
      </w:r>
      <w:r w:rsidR="00936F30">
        <w:t xml:space="preserve"> </w:t>
      </w:r>
      <w:r>
        <w:t>Then</w:t>
      </w:r>
      <w:r w:rsidR="00AC0BB5">
        <w:t>,</w:t>
      </w:r>
      <w:r>
        <w:t xml:space="preserve"> due to </w:t>
      </w:r>
      <w:r w:rsidR="00936F30">
        <w:t>the uncertainty of COVID-19 and its impact on health services</w:t>
      </w:r>
      <w:r>
        <w:t xml:space="preserve">, we were </w:t>
      </w:r>
      <w:r w:rsidR="00AC0BB5">
        <w:t xml:space="preserve">also </w:t>
      </w:r>
      <w:r>
        <w:t>unable</w:t>
      </w:r>
      <w:r w:rsidR="00936F30">
        <w:t xml:space="preserve"> to run the May 2020 survey. Quarterly surveying </w:t>
      </w:r>
      <w:r>
        <w:t>started again</w:t>
      </w:r>
      <w:r w:rsidR="00936F30">
        <w:t xml:space="preserve"> in August 2020 with the revised questionnaires.</w:t>
      </w:r>
    </w:p>
    <w:p w14:paraId="1E201BDE" w14:textId="772739A8" w:rsidR="00D80604" w:rsidRDefault="00D80604" w:rsidP="00936F30">
      <w:r>
        <w:t>We analysed the s</w:t>
      </w:r>
      <w:r w:rsidR="00936F30">
        <w:t xml:space="preserve">urvey responses </w:t>
      </w:r>
      <w:r w:rsidR="00F6443E">
        <w:t>after</w:t>
      </w:r>
      <w:r w:rsidR="00936F30">
        <w:t xml:space="preserve"> the August survey to confirm the questions performed as expected</w:t>
      </w:r>
      <w:r>
        <w:t>. This included</w:t>
      </w:r>
      <w:r w:rsidR="00936F30">
        <w:t xml:space="preserve"> checking for unusual responses and reading through respondent</w:t>
      </w:r>
      <w:r w:rsidR="00AC0BB5">
        <w:t>s’</w:t>
      </w:r>
      <w:r w:rsidR="00936F30">
        <w:t xml:space="preserve"> feedback to </w:t>
      </w:r>
      <w:r>
        <w:t xml:space="preserve">see if </w:t>
      </w:r>
      <w:r w:rsidR="00F6443E">
        <w:t>they</w:t>
      </w:r>
      <w:r>
        <w:t xml:space="preserve"> were raising any issues</w:t>
      </w:r>
      <w:r w:rsidR="00936F30">
        <w:t xml:space="preserve">. </w:t>
      </w:r>
    </w:p>
    <w:p w14:paraId="3211F854" w14:textId="1494FCC9" w:rsidR="00936F30" w:rsidRDefault="00936F30" w:rsidP="00936F30">
      <w:r>
        <w:t>Both questionnaires were then translated in</w:t>
      </w:r>
      <w:r w:rsidR="00D80604">
        <w:t>to</w:t>
      </w:r>
      <w:r>
        <w:t xml:space="preserve"> </w:t>
      </w:r>
      <w:proofErr w:type="spellStart"/>
      <w:r>
        <w:t>te</w:t>
      </w:r>
      <w:proofErr w:type="spellEnd"/>
      <w:r>
        <w:t xml:space="preserve"> reo Māori</w:t>
      </w:r>
      <w:r w:rsidR="00D80604">
        <w:t xml:space="preserve"> and respondents to the</w:t>
      </w:r>
      <w:r>
        <w:t xml:space="preserve"> November 2020 survey round</w:t>
      </w:r>
      <w:r w:rsidR="00D80604">
        <w:t xml:space="preserve"> were able to respond using </w:t>
      </w:r>
      <w:r w:rsidR="00AC0BB5">
        <w:t>these</w:t>
      </w:r>
      <w:r w:rsidR="00D80604">
        <w:t xml:space="preserve"> option</w:t>
      </w:r>
      <w:r w:rsidR="00AC0BB5">
        <w:t>s</w:t>
      </w:r>
      <w:r w:rsidR="00D80604">
        <w:t xml:space="preserve"> if they wished</w:t>
      </w:r>
      <w:r>
        <w:t>.</w:t>
      </w:r>
    </w:p>
    <w:p w14:paraId="767081D5" w14:textId="77777777" w:rsidR="00936F30" w:rsidRDefault="00936F30" w:rsidP="00936F30">
      <w:pPr>
        <w:pStyle w:val="Heading4"/>
      </w:pPr>
      <w:r>
        <w:t>Comparing historic data</w:t>
      </w:r>
    </w:p>
    <w:p w14:paraId="5531C7FB" w14:textId="7F6A251B" w:rsidR="00936F30" w:rsidRDefault="00936F30" w:rsidP="00936F30">
      <w:r>
        <w:t xml:space="preserve">We recommend caution </w:t>
      </w:r>
      <w:r w:rsidR="00D80604">
        <w:t xml:space="preserve">when </w:t>
      </w:r>
      <w:r>
        <w:t xml:space="preserve">comparing results from </w:t>
      </w:r>
      <w:r w:rsidR="00D80604">
        <w:t xml:space="preserve">surveys </w:t>
      </w:r>
      <w:r w:rsidR="00F6443E">
        <w:t>that use</w:t>
      </w:r>
      <w:r w:rsidR="00D80604">
        <w:t xml:space="preserve"> </w:t>
      </w:r>
      <w:r>
        <w:t xml:space="preserve">the refreshed approach and the previous versions </w:t>
      </w:r>
      <w:r w:rsidR="00D80604">
        <w:t>of the surveys, which ran</w:t>
      </w:r>
      <w:r>
        <w:t xml:space="preserve"> up to the end of 2019.</w:t>
      </w:r>
      <w:r w:rsidR="00F6443E">
        <w:t xml:space="preserve"> There are a number of reasons for this</w:t>
      </w:r>
      <w:r w:rsidR="00AC0BB5">
        <w:t>.</w:t>
      </w:r>
    </w:p>
    <w:p w14:paraId="44C2F3DA" w14:textId="01221750" w:rsidR="00F6443E" w:rsidRDefault="00936F30" w:rsidP="00C53AB7">
      <w:pPr>
        <w:pStyle w:val="ListParagraph"/>
        <w:numPr>
          <w:ilvl w:val="0"/>
          <w:numId w:val="20"/>
        </w:numPr>
      </w:pPr>
      <w:r>
        <w:t>For</w:t>
      </w:r>
      <w:r w:rsidR="00F6443E">
        <w:t xml:space="preserve"> the</w:t>
      </w:r>
      <w:r>
        <w:t xml:space="preserve"> IPES, the move away from the Picker question set meant a complete break in the time series (see below for more detail). </w:t>
      </w:r>
    </w:p>
    <w:p w14:paraId="71D1CEE8" w14:textId="21B36C0F" w:rsidR="00936F30" w:rsidRDefault="00F6443E" w:rsidP="00C53AB7">
      <w:pPr>
        <w:pStyle w:val="ListParagraph"/>
        <w:numPr>
          <w:ilvl w:val="0"/>
          <w:numId w:val="20"/>
        </w:numPr>
      </w:pPr>
      <w:r>
        <w:t xml:space="preserve">In the previous version of the PCPES, </w:t>
      </w:r>
      <w:r w:rsidR="00936F30">
        <w:t xml:space="preserve">patients were asked about their experience over the last 12 months, </w:t>
      </w:r>
      <w:r>
        <w:t xml:space="preserve">whereas </w:t>
      </w:r>
      <w:r w:rsidR="00936F30">
        <w:t xml:space="preserve">in the </w:t>
      </w:r>
      <w:r>
        <w:t xml:space="preserve">refreshed </w:t>
      </w:r>
      <w:r w:rsidR="00936F30">
        <w:t xml:space="preserve">survey they </w:t>
      </w:r>
      <w:r w:rsidR="00AC0BB5">
        <w:t>were</w:t>
      </w:r>
      <w:r w:rsidR="00936F30">
        <w:t xml:space="preserve"> asked about their most recent experience. </w:t>
      </w:r>
    </w:p>
    <w:p w14:paraId="18FB9B9C" w14:textId="67D46250" w:rsidR="00936F30" w:rsidRDefault="00936F30" w:rsidP="003F0A76">
      <w:pPr>
        <w:pStyle w:val="ListParagraph"/>
        <w:numPr>
          <w:ilvl w:val="0"/>
          <w:numId w:val="10"/>
        </w:numPr>
      </w:pPr>
      <w:r>
        <w:t>The effect of COVID-19 on the health system</w:t>
      </w:r>
      <w:r w:rsidR="00F6443E">
        <w:t xml:space="preserve"> (lockdown, and both people’s responses and actual population health) meant there were</w:t>
      </w:r>
      <w:r>
        <w:t xml:space="preserve"> disruptions to services during 2020</w:t>
      </w:r>
      <w:r w:rsidR="00F6443E">
        <w:t>, some of which</w:t>
      </w:r>
      <w:r>
        <w:t xml:space="preserve"> continu</w:t>
      </w:r>
      <w:r w:rsidR="00F6443E">
        <w:t>e</w:t>
      </w:r>
      <w:r>
        <w:t xml:space="preserve">.  </w:t>
      </w:r>
    </w:p>
    <w:p w14:paraId="078D76EF" w14:textId="16DFB3E1" w:rsidR="00936F30" w:rsidRDefault="00F6443E" w:rsidP="003F0A76">
      <w:pPr>
        <w:pStyle w:val="ListParagraph"/>
        <w:numPr>
          <w:ilvl w:val="0"/>
          <w:numId w:val="10"/>
        </w:numPr>
      </w:pPr>
      <w:r>
        <w:t>A</w:t>
      </w:r>
      <w:r w:rsidR="00936F30">
        <w:t xml:space="preserve"> new survey tool </w:t>
      </w:r>
      <w:r>
        <w:t xml:space="preserve">was adopted </w:t>
      </w:r>
      <w:r w:rsidR="00936F30">
        <w:t>(</w:t>
      </w:r>
      <w:r>
        <w:t>a result of</w:t>
      </w:r>
      <w:r w:rsidR="00936F30">
        <w:t xml:space="preserve"> using a different provider). </w:t>
      </w:r>
    </w:p>
    <w:p w14:paraId="59185855" w14:textId="19E584B6" w:rsidR="00936F30" w:rsidRDefault="00936F30" w:rsidP="003F0A76">
      <w:pPr>
        <w:pStyle w:val="ListParagraph"/>
        <w:numPr>
          <w:ilvl w:val="0"/>
          <w:numId w:val="10"/>
        </w:numPr>
      </w:pPr>
      <w:r>
        <w:t>The change in sampling method</w:t>
      </w:r>
      <w:r w:rsidR="00F6443E">
        <w:t xml:space="preserve">, with its </w:t>
      </w:r>
      <w:r>
        <w:t>focus on increasing response rates</w:t>
      </w:r>
      <w:r w:rsidR="00F6443E">
        <w:t>,</w:t>
      </w:r>
      <w:r>
        <w:t xml:space="preserve"> </w:t>
      </w:r>
      <w:r w:rsidR="00F6443E">
        <w:t>means a</w:t>
      </w:r>
      <w:r>
        <w:t xml:space="preserve"> </w:t>
      </w:r>
      <w:r w:rsidR="00C53AB7">
        <w:t xml:space="preserve">possible </w:t>
      </w:r>
      <w:r>
        <w:t xml:space="preserve">change </w:t>
      </w:r>
      <w:r w:rsidR="00F6443E">
        <w:t xml:space="preserve">in </w:t>
      </w:r>
      <w:r>
        <w:t>the results</w:t>
      </w:r>
      <w:r w:rsidR="00F6443E">
        <w:t>.</w:t>
      </w:r>
    </w:p>
    <w:p w14:paraId="586A90DF" w14:textId="152103C6" w:rsidR="00936F30" w:rsidRDefault="00D45F08" w:rsidP="00936F30">
      <w:pPr>
        <w:pStyle w:val="Heading1"/>
      </w:pPr>
      <w:bookmarkStart w:id="7" w:name="_Toc68605851"/>
      <w:r>
        <w:t>R</w:t>
      </w:r>
      <w:r w:rsidR="00936F30">
        <w:t>eview</w:t>
      </w:r>
      <w:r>
        <w:t xml:space="preserve"> of questionnaires</w:t>
      </w:r>
      <w:bookmarkEnd w:id="7"/>
    </w:p>
    <w:p w14:paraId="0B44A424" w14:textId="75A7893E" w:rsidR="00936F30" w:rsidRDefault="00936F30" w:rsidP="00936F30">
      <w:pPr>
        <w:pStyle w:val="Heading4"/>
      </w:pPr>
      <w:r>
        <w:t>Introduction and objectives</w:t>
      </w:r>
    </w:p>
    <w:p w14:paraId="6359A67C" w14:textId="05B3BA83" w:rsidR="00936F30" w:rsidRDefault="005E6BF8" w:rsidP="00936F30">
      <w:r>
        <w:t>We took a</w:t>
      </w:r>
      <w:r w:rsidR="00936F30">
        <w:t xml:space="preserve"> pragmatic rather than academic approach </w:t>
      </w:r>
      <w:r>
        <w:t>when</w:t>
      </w:r>
      <w:r w:rsidR="00936F30">
        <w:t xml:space="preserve"> review</w:t>
      </w:r>
      <w:r>
        <w:t>ing</w:t>
      </w:r>
      <w:r w:rsidR="00936F30">
        <w:t xml:space="preserve"> current best practice in patient experience surveys. This involved a survey scan and a literature review. The survey scan drew on international experience and also explored other New Zealand and international surveys. The literature review focused on updating knowledge since implementation of the existing survey rather </w:t>
      </w:r>
      <w:r>
        <w:t>a review that started from scratch</w:t>
      </w:r>
      <w:r w:rsidR="00936F30">
        <w:t>.</w:t>
      </w:r>
    </w:p>
    <w:p w14:paraId="5A4A01E8" w14:textId="51034081" w:rsidR="005E6BF8" w:rsidRDefault="005E6BF8" w:rsidP="005E6BF8">
      <w:r>
        <w:lastRenderedPageBreak/>
        <w:t>We conducted w</w:t>
      </w:r>
      <w:r w:rsidR="00936F30">
        <w:t>orkshops around each survey to better understand stakeholders</w:t>
      </w:r>
      <w:r>
        <w:t>’</w:t>
      </w:r>
      <w:r w:rsidR="00936F30">
        <w:t xml:space="preserve"> </w:t>
      </w:r>
      <w:r w:rsidR="00AC0BB5">
        <w:t xml:space="preserve">needs and </w:t>
      </w:r>
      <w:r w:rsidR="00936F30">
        <w:t xml:space="preserve">use of and concerns about the existing questionnaire. </w:t>
      </w:r>
      <w:r>
        <w:t>We also gathered feedback from a broader stakeholder group through supplementary forms. All feedback fed into the review</w:t>
      </w:r>
      <w:r w:rsidR="00D45F08">
        <w:t xml:space="preserve"> of the questionnaires</w:t>
      </w:r>
      <w:r>
        <w:t>.</w:t>
      </w:r>
    </w:p>
    <w:p w14:paraId="2BA129F4" w14:textId="50EBB53D" w:rsidR="00936F30" w:rsidRDefault="00936F30" w:rsidP="00936F30">
      <w:r>
        <w:t>The responses to the existing surveys were analysed</w:t>
      </w:r>
      <w:r w:rsidR="005E6BF8">
        <w:t xml:space="preserve">; we </w:t>
      </w:r>
      <w:r>
        <w:t>look</w:t>
      </w:r>
      <w:r w:rsidR="005E6BF8">
        <w:t>ed</w:t>
      </w:r>
      <w:r>
        <w:t xml:space="preserve"> specifically for comments from respondents, high levels of missing data or ‘do not know’ responses, and current results (</w:t>
      </w:r>
      <w:proofErr w:type="spellStart"/>
      <w:r>
        <w:t>eg</w:t>
      </w:r>
      <w:proofErr w:type="spellEnd"/>
      <w:r w:rsidR="005E6BF8">
        <w:t>,</w:t>
      </w:r>
      <w:r>
        <w:t xml:space="preserve"> differentiation in the data).</w:t>
      </w:r>
      <w:r w:rsidR="005E6BF8">
        <w:t xml:space="preserve"> </w:t>
      </w:r>
      <w:r>
        <w:t>This included:</w:t>
      </w:r>
    </w:p>
    <w:p w14:paraId="60D3373D" w14:textId="4E2B37C6" w:rsidR="00936F30" w:rsidRDefault="00936F30" w:rsidP="00C53AB7">
      <w:pPr>
        <w:pStyle w:val="ListParagraph"/>
        <w:numPr>
          <w:ilvl w:val="0"/>
          <w:numId w:val="21"/>
        </w:numPr>
      </w:pPr>
      <w:r>
        <w:t xml:space="preserve">desktop review, to identify questions </w:t>
      </w:r>
      <w:r w:rsidR="005E6BF8">
        <w:t xml:space="preserve">that </w:t>
      </w:r>
      <w:r>
        <w:t>may not meet best</w:t>
      </w:r>
      <w:r w:rsidR="005E6BF8">
        <w:t>-</w:t>
      </w:r>
      <w:r>
        <w:t>practice design principles or fit the information needs of the survey</w:t>
      </w:r>
    </w:p>
    <w:p w14:paraId="21FB0D32" w14:textId="6B0796A5" w:rsidR="00936F30" w:rsidRDefault="00936F30" w:rsidP="00C53AB7">
      <w:pPr>
        <w:pStyle w:val="ListParagraph"/>
        <w:numPr>
          <w:ilvl w:val="0"/>
          <w:numId w:val="21"/>
        </w:numPr>
      </w:pPr>
      <w:r>
        <w:t xml:space="preserve">item non-response analysis, to identify any questions </w:t>
      </w:r>
      <w:r w:rsidR="005E6BF8">
        <w:t xml:space="preserve">that </w:t>
      </w:r>
      <w:r>
        <w:t>respondents appear</w:t>
      </w:r>
      <w:r w:rsidR="005E6BF8">
        <w:t>ed</w:t>
      </w:r>
      <w:r>
        <w:t xml:space="preserve"> to have greater difficulty answering or were less likely to answer</w:t>
      </w:r>
    </w:p>
    <w:p w14:paraId="3735F3DB" w14:textId="6B5CE265" w:rsidR="00936F30" w:rsidRDefault="00936F30" w:rsidP="00C53AB7">
      <w:pPr>
        <w:pStyle w:val="ListParagraph"/>
        <w:numPr>
          <w:ilvl w:val="0"/>
          <w:numId w:val="21"/>
        </w:numPr>
      </w:pPr>
      <w:r>
        <w:t xml:space="preserve">item response analysis, to identify any questions </w:t>
      </w:r>
      <w:r w:rsidR="005E6BF8">
        <w:t xml:space="preserve">that </w:t>
      </w:r>
      <w:r>
        <w:t xml:space="preserve">may be subject to ceiling effects (there being little to gain from questions </w:t>
      </w:r>
      <w:r w:rsidR="005E6BF8">
        <w:t xml:space="preserve">that </w:t>
      </w:r>
      <w:r>
        <w:t xml:space="preserve">are almost always answered positively) or </w:t>
      </w:r>
      <w:r w:rsidR="005E6BF8">
        <w:t>show</w:t>
      </w:r>
      <w:r>
        <w:t xml:space="preserve"> little variation between groups or over time</w:t>
      </w:r>
    </w:p>
    <w:p w14:paraId="2BD8F758" w14:textId="77777777" w:rsidR="00936F30" w:rsidRDefault="00936F30" w:rsidP="00C53AB7">
      <w:pPr>
        <w:pStyle w:val="ListParagraph"/>
        <w:numPr>
          <w:ilvl w:val="0"/>
          <w:numId w:val="21"/>
        </w:numPr>
      </w:pPr>
      <w:r>
        <w:t>qualitative analysis of open-ended responses, to look for respondent feedback on survey questions and examples of question misinterpretation</w:t>
      </w:r>
    </w:p>
    <w:p w14:paraId="3D95BC31" w14:textId="4E5DBE2A" w:rsidR="00936F30" w:rsidRDefault="00936F30" w:rsidP="00C53AB7">
      <w:pPr>
        <w:pStyle w:val="ListParagraph"/>
        <w:numPr>
          <w:ilvl w:val="0"/>
          <w:numId w:val="21"/>
        </w:numPr>
      </w:pPr>
      <w:r>
        <w:t xml:space="preserve">consideration of findings from previous Commission reviews (pilot study, cognitive interviews conducted in 2015 and the </w:t>
      </w:r>
      <w:proofErr w:type="spellStart"/>
      <w:r>
        <w:t>Sapere</w:t>
      </w:r>
      <w:proofErr w:type="spellEnd"/>
      <w:r>
        <w:t xml:space="preserve"> evaluation</w:t>
      </w:r>
      <w:r w:rsidR="008472F2">
        <w:t xml:space="preserve"> of the PCPES</w:t>
      </w:r>
      <w:r w:rsidR="00AC0BB5">
        <w:t xml:space="preserve"> tool</w:t>
      </w:r>
      <w:r w:rsidR="00054916">
        <w:rPr>
          <w:rStyle w:val="FootnoteReference"/>
        </w:rPr>
        <w:footnoteReference w:id="2"/>
      </w:r>
      <w:r>
        <w:t>)</w:t>
      </w:r>
    </w:p>
    <w:p w14:paraId="346179BF" w14:textId="0B776733" w:rsidR="00936F30" w:rsidRDefault="00936F30" w:rsidP="00C53AB7">
      <w:pPr>
        <w:pStyle w:val="ListParagraph"/>
        <w:numPr>
          <w:ilvl w:val="0"/>
          <w:numId w:val="21"/>
        </w:numPr>
      </w:pPr>
      <w:r>
        <w:t xml:space="preserve">consideration of sector feedback </w:t>
      </w:r>
      <w:r w:rsidR="005E6BF8">
        <w:t xml:space="preserve">we have </w:t>
      </w:r>
      <w:r>
        <w:t xml:space="preserve">received since the survey began. </w:t>
      </w:r>
    </w:p>
    <w:p w14:paraId="0A366346" w14:textId="61E9990D" w:rsidR="002E157C" w:rsidRDefault="00936F30" w:rsidP="00936F30">
      <w:r>
        <w:t xml:space="preserve">The IPES questionnaire review </w:t>
      </w:r>
      <w:r w:rsidR="002E157C">
        <w:t xml:space="preserve">followed on </w:t>
      </w:r>
      <w:r>
        <w:t>from an earlier review of the proprietary questionnaire used from 2014</w:t>
      </w:r>
      <w:r w:rsidR="005E6BF8">
        <w:t xml:space="preserve"> to</w:t>
      </w:r>
      <w:r>
        <w:t xml:space="preserve"> 2019. That review sought to answer</w:t>
      </w:r>
      <w:r w:rsidR="002E157C">
        <w:t xml:space="preserve"> two questions:</w:t>
      </w:r>
    </w:p>
    <w:p w14:paraId="6F02A7B0" w14:textId="11C8A7E9" w:rsidR="002E157C" w:rsidRDefault="002E157C" w:rsidP="00C53AB7">
      <w:pPr>
        <w:pStyle w:val="ListParagraph"/>
        <w:numPr>
          <w:ilvl w:val="0"/>
          <w:numId w:val="8"/>
        </w:numPr>
      </w:pPr>
      <w:r>
        <w:t>Is</w:t>
      </w:r>
      <w:r w:rsidR="00936F30">
        <w:t xml:space="preserve"> the Picker question set </w:t>
      </w:r>
      <w:r>
        <w:t xml:space="preserve">still </w:t>
      </w:r>
      <w:r w:rsidR="00936F30">
        <w:t xml:space="preserve">the best approach? </w:t>
      </w:r>
    </w:p>
    <w:p w14:paraId="37176BA2" w14:textId="77777777" w:rsidR="002E157C" w:rsidRDefault="002E157C" w:rsidP="00C53AB7">
      <w:pPr>
        <w:pStyle w:val="ListParagraph"/>
        <w:numPr>
          <w:ilvl w:val="0"/>
          <w:numId w:val="8"/>
        </w:numPr>
      </w:pPr>
      <w:r>
        <w:t xml:space="preserve">If </w:t>
      </w:r>
      <w:r w:rsidR="00936F30">
        <w:t xml:space="preserve">not, which option/s should be adopted? </w:t>
      </w:r>
    </w:p>
    <w:p w14:paraId="1A8854FA" w14:textId="59863C33" w:rsidR="00936F30" w:rsidRDefault="002E157C">
      <w:r>
        <w:t xml:space="preserve">The result of the review was a </w:t>
      </w:r>
      <w:r w:rsidR="00936F30">
        <w:t>recommend</w:t>
      </w:r>
      <w:r>
        <w:t>ation to</w:t>
      </w:r>
      <w:r w:rsidR="00936F30">
        <w:t xml:space="preserve"> move to a non-proprietary survey combining two to three validated international questionnaires. </w:t>
      </w:r>
      <w:r>
        <w:t>This would</w:t>
      </w:r>
      <w:r w:rsidR="00936F30">
        <w:t xml:space="preserve"> allow for greater flexibility and customisation</w:t>
      </w:r>
      <w:r>
        <w:t>,</w:t>
      </w:r>
      <w:r w:rsidR="00936F30">
        <w:t xml:space="preserve"> and potential benchmarking with Australia in the future.</w:t>
      </w:r>
    </w:p>
    <w:p w14:paraId="7B30C452" w14:textId="3748FF8B" w:rsidR="00936F30" w:rsidRDefault="00936F30" w:rsidP="00936F30">
      <w:pPr>
        <w:pStyle w:val="Heading4"/>
      </w:pPr>
      <w:r>
        <w:t>Key actions</w:t>
      </w:r>
    </w:p>
    <w:p w14:paraId="18E88543" w14:textId="702E597D" w:rsidR="00936F30" w:rsidRDefault="00936F30" w:rsidP="00936F30">
      <w:r>
        <w:t>The questionnaire review process identified a set of improvements to the existing question sets</w:t>
      </w:r>
      <w:r w:rsidR="0038410C">
        <w:t>, described below</w:t>
      </w:r>
      <w:r>
        <w:t>. All these changes were implemented as part of the refresh.</w:t>
      </w:r>
    </w:p>
    <w:p w14:paraId="48941EB3" w14:textId="3E7710DB" w:rsidR="00936F30" w:rsidRDefault="00936F30" w:rsidP="00C53AB7">
      <w:pPr>
        <w:pStyle w:val="ListParagraph"/>
        <w:numPr>
          <w:ilvl w:val="0"/>
          <w:numId w:val="23"/>
        </w:numPr>
      </w:pPr>
      <w:r>
        <w:t>A</w:t>
      </w:r>
      <w:r w:rsidR="0038410C">
        <w:t>dopt a</w:t>
      </w:r>
      <w:r>
        <w:t xml:space="preserve"> core question set</w:t>
      </w:r>
    </w:p>
    <w:p w14:paraId="756A853A" w14:textId="2ADDF29A" w:rsidR="00936F30" w:rsidRDefault="00AC0BB5" w:rsidP="00936F30">
      <w:r>
        <w:t>A</w:t>
      </w:r>
      <w:r w:rsidR="00936F30">
        <w:t>dopt</w:t>
      </w:r>
      <w:r w:rsidR="0038410C">
        <w:t>ing</w:t>
      </w:r>
      <w:r w:rsidR="00936F30">
        <w:t xml:space="preserve"> a core question set to </w:t>
      </w:r>
      <w:r w:rsidR="0038410C">
        <w:t xml:space="preserve">align </w:t>
      </w:r>
      <w:r w:rsidR="00936F30">
        <w:t xml:space="preserve">more closely the IPES and PCPES questionnaires </w:t>
      </w:r>
      <w:r w:rsidR="0038410C">
        <w:t xml:space="preserve">would </w:t>
      </w:r>
      <w:r w:rsidR="00162D5E">
        <w:t>help to f</w:t>
      </w:r>
      <w:r w:rsidR="00936F30">
        <w:t xml:space="preserve">ocus on aspects of the experience that are common to all patient types and </w:t>
      </w:r>
      <w:r w:rsidR="00162D5E">
        <w:t xml:space="preserve">would </w:t>
      </w:r>
      <w:r w:rsidR="00936F30">
        <w:t>be used in both questionnaires alongside questions specific to the experience (</w:t>
      </w:r>
      <w:proofErr w:type="spellStart"/>
      <w:r w:rsidR="00936F30">
        <w:t>eg</w:t>
      </w:r>
      <w:proofErr w:type="spellEnd"/>
      <w:r w:rsidR="0038410C">
        <w:t>,</w:t>
      </w:r>
      <w:r w:rsidR="00936F30">
        <w:t xml:space="preserve"> primary care or inpatient). This approach would also provide a core set of questions to use across any new questionnaires</w:t>
      </w:r>
      <w:r>
        <w:t>,</w:t>
      </w:r>
      <w:r w:rsidR="00936F30">
        <w:t xml:space="preserve"> should the survey tool be expanded beyond primary care and inpatient experience. </w:t>
      </w:r>
    </w:p>
    <w:p w14:paraId="38827B14" w14:textId="77777777" w:rsidR="00936F30" w:rsidRDefault="00936F30" w:rsidP="00C53AB7">
      <w:pPr>
        <w:pStyle w:val="ListParagraph"/>
        <w:numPr>
          <w:ilvl w:val="0"/>
          <w:numId w:val="23"/>
        </w:numPr>
      </w:pPr>
      <w:r>
        <w:t>Replace the cultural support question with a set of cultural safety measures</w:t>
      </w:r>
    </w:p>
    <w:p w14:paraId="4BCFA4A5" w14:textId="4B04473A" w:rsidR="001479A8" w:rsidRDefault="00936F30" w:rsidP="00DD7FD2">
      <w:r>
        <w:t xml:space="preserve">The existing cultural support question was identified as being difficult to interpret and use. It was agreed that a separate part of the questionnaire review process would involve </w:t>
      </w:r>
      <w:r>
        <w:lastRenderedPageBreak/>
        <w:t xml:space="preserve">developing, </w:t>
      </w:r>
      <w:proofErr w:type="gramStart"/>
      <w:r>
        <w:t>testing</w:t>
      </w:r>
      <w:proofErr w:type="gramEnd"/>
      <w:r>
        <w:t xml:space="preserve"> and implementing a set of questions that measure patients’ experience of culturally safe care. </w:t>
      </w:r>
    </w:p>
    <w:p w14:paraId="0D11638F" w14:textId="419D54EB" w:rsidR="00936F30" w:rsidRDefault="00936F30" w:rsidP="00C53AB7">
      <w:pPr>
        <w:pStyle w:val="ListParagraph"/>
        <w:numPr>
          <w:ilvl w:val="0"/>
          <w:numId w:val="23"/>
        </w:numPr>
      </w:pPr>
      <w:r>
        <w:t>Review the modules</w:t>
      </w:r>
    </w:p>
    <w:p w14:paraId="6F252F47" w14:textId="12644EB2" w:rsidR="00936F30" w:rsidRDefault="00936F30" w:rsidP="00936F30">
      <w:r>
        <w:t xml:space="preserve">For </w:t>
      </w:r>
      <w:r w:rsidR="00AC0BB5">
        <w:t xml:space="preserve">the </w:t>
      </w:r>
      <w:r>
        <w:t>IPES, this included replacing the topic approach to the survey (</w:t>
      </w:r>
      <w:proofErr w:type="spellStart"/>
      <w:r>
        <w:t>eg</w:t>
      </w:r>
      <w:proofErr w:type="spellEnd"/>
      <w:r w:rsidR="00F10653">
        <w:t>,</w:t>
      </w:r>
      <w:r>
        <w:t xml:space="preserve"> surgery, communication) to one that follows the patient journey. This </w:t>
      </w:r>
      <w:r w:rsidR="00F10653">
        <w:t xml:space="preserve">would align </w:t>
      </w:r>
      <w:r>
        <w:t>more closely with the way a patient naturally assesses an experience</w:t>
      </w:r>
      <w:r w:rsidR="00F10653">
        <w:t>,</w:t>
      </w:r>
      <w:r>
        <w:t xml:space="preserve"> and</w:t>
      </w:r>
      <w:r w:rsidR="00F10653">
        <w:t xml:space="preserve"> with</w:t>
      </w:r>
      <w:r>
        <w:t xml:space="preserve"> best practice as reflected in the literature review and survey scan.</w:t>
      </w:r>
    </w:p>
    <w:p w14:paraId="39345C2F" w14:textId="72A246A7" w:rsidR="00936F30" w:rsidRDefault="00936F30" w:rsidP="00936F30">
      <w:r>
        <w:t xml:space="preserve">For </w:t>
      </w:r>
      <w:r w:rsidR="00AC0BB5">
        <w:t xml:space="preserve">the </w:t>
      </w:r>
      <w:r>
        <w:t xml:space="preserve">PCPES, there were several areas where better definition of which experience to include would improve responses. For example, in the medication section, it was not clear what constituted a regular medication and the inclusion of non-prescribed vitamins </w:t>
      </w:r>
      <w:r w:rsidR="00F10653">
        <w:t xml:space="preserve">made </w:t>
      </w:r>
      <w:r>
        <w:t xml:space="preserve">subsequent questions more difficult to answer. </w:t>
      </w:r>
    </w:p>
    <w:p w14:paraId="1A782796" w14:textId="7187F0BE" w:rsidR="00936F30" w:rsidRDefault="00936F30" w:rsidP="00936F30">
      <w:r>
        <w:t>In the PCPES the ‘other health</w:t>
      </w:r>
      <w:r w:rsidR="00F10653">
        <w:t xml:space="preserve"> </w:t>
      </w:r>
      <w:r>
        <w:t xml:space="preserve">care professionals’ and ‘specialist’ sections were removed because it was not possible to determine which providers the answers related to. This inability to assign results and lack of a mechanism to either identify the provider or provide them with the feedback meant </w:t>
      </w:r>
      <w:r w:rsidR="00AC0BB5">
        <w:t>responses</w:t>
      </w:r>
      <w:r>
        <w:t xml:space="preserve"> </w:t>
      </w:r>
      <w:r w:rsidR="00F10653">
        <w:t xml:space="preserve">could not </w:t>
      </w:r>
      <w:r>
        <w:t xml:space="preserve">be used for quality improvement purposes. </w:t>
      </w:r>
    </w:p>
    <w:p w14:paraId="495B0AA4" w14:textId="77777777" w:rsidR="00936F30" w:rsidRDefault="00936F30" w:rsidP="00C53AB7">
      <w:pPr>
        <w:pStyle w:val="ListParagraph"/>
        <w:numPr>
          <w:ilvl w:val="0"/>
          <w:numId w:val="23"/>
        </w:numPr>
      </w:pPr>
      <w:r>
        <w:t>Overall domain scores</w:t>
      </w:r>
    </w:p>
    <w:p w14:paraId="44B408D3" w14:textId="09883AB3" w:rsidR="00936F30" w:rsidRDefault="00936F30" w:rsidP="00936F30">
      <w:r>
        <w:t>The use of domain scores was discussed. Two key issues were</w:t>
      </w:r>
      <w:r w:rsidR="00F10653">
        <w:t>:</w:t>
      </w:r>
      <w:r>
        <w:t xml:space="preserve"> </w:t>
      </w:r>
      <w:proofErr w:type="spellStart"/>
      <w:r>
        <w:t>i</w:t>
      </w:r>
      <w:proofErr w:type="spellEnd"/>
      <w:r>
        <w:t>) these have been stable over time and it has been difficult to see any improvement on them quarter by quarter</w:t>
      </w:r>
      <w:r w:rsidR="00F10653">
        <w:t>;</w:t>
      </w:r>
      <w:r>
        <w:t xml:space="preserve"> and ii) the score itself </w:t>
      </w:r>
      <w:r w:rsidR="00F10653">
        <w:t xml:space="preserve">does not </w:t>
      </w:r>
      <w:r>
        <w:t>necessarily highlight where improvement is needed. This was particularly the case when the domain score was a composite of many questions.</w:t>
      </w:r>
    </w:p>
    <w:p w14:paraId="66374081" w14:textId="2F99A7AC" w:rsidR="00936F30" w:rsidRDefault="00F10653" w:rsidP="00936F30">
      <w:r>
        <w:t>We</w:t>
      </w:r>
      <w:r w:rsidR="00936F30">
        <w:t xml:space="preserve"> agreed the concept of domains remained a useful lens through which to review the results and </w:t>
      </w:r>
      <w:r>
        <w:t xml:space="preserve">domains </w:t>
      </w:r>
      <w:r w:rsidR="00936F30">
        <w:t>should continue in some form. However, domain scores would no longer be a key focus of reporting.</w:t>
      </w:r>
    </w:p>
    <w:p w14:paraId="0D1EE996" w14:textId="77777777" w:rsidR="00936F30" w:rsidRDefault="00936F30" w:rsidP="00C53AB7">
      <w:pPr>
        <w:pStyle w:val="ListParagraph"/>
        <w:numPr>
          <w:ilvl w:val="0"/>
          <w:numId w:val="23"/>
        </w:numPr>
      </w:pPr>
      <w:r>
        <w:t xml:space="preserve">Open-ended question approach </w:t>
      </w:r>
    </w:p>
    <w:p w14:paraId="75F3CF5E" w14:textId="072BA423" w:rsidR="00936F30" w:rsidRDefault="00F10653" w:rsidP="00936F30">
      <w:r>
        <w:t>We</w:t>
      </w:r>
      <w:r w:rsidR="00936F30">
        <w:t xml:space="preserve"> agreed to add to both surveys two constant</w:t>
      </w:r>
      <w:r w:rsidR="00AC0BB5">
        <w:t>,</w:t>
      </w:r>
      <w:r w:rsidR="00936F30">
        <w:t xml:space="preserve"> open-ended (free text) questions near the end of the questionnaire to ask</w:t>
      </w:r>
      <w:r>
        <w:t>:</w:t>
      </w:r>
      <w:r w:rsidR="00936F30">
        <w:t xml:space="preserve"> </w:t>
      </w:r>
      <w:proofErr w:type="spellStart"/>
      <w:r w:rsidR="00936F30">
        <w:t>i</w:t>
      </w:r>
      <w:proofErr w:type="spellEnd"/>
      <w:r w:rsidR="00936F30">
        <w:t>) what could have been improved</w:t>
      </w:r>
      <w:r>
        <w:t>;</w:t>
      </w:r>
      <w:r w:rsidR="00936F30">
        <w:t xml:space="preserve"> and ii) what went well. The benefit of this approach </w:t>
      </w:r>
      <w:r>
        <w:t>wa</w:t>
      </w:r>
      <w:r w:rsidR="00936F30">
        <w:t xml:space="preserve">s that specific information for improvement (what went wrong) and aspects that are working well </w:t>
      </w:r>
      <w:r>
        <w:t xml:space="preserve">would </w:t>
      </w:r>
      <w:r w:rsidR="00936F30">
        <w:t>be automatically classified for data users.</w:t>
      </w:r>
    </w:p>
    <w:p w14:paraId="06DA6EFF" w14:textId="3044878A" w:rsidR="00936F30" w:rsidRDefault="00936F30" w:rsidP="00936F30">
      <w:r>
        <w:t xml:space="preserve">A third floating question was suggested for </w:t>
      </w:r>
      <w:r w:rsidR="00F10653">
        <w:t xml:space="preserve">future </w:t>
      </w:r>
      <w:r>
        <w:t>consideration. This could be used to understand one closed question in more detail. The question selected might be an area of focus for providers or an aspect that requires more detail to understand how it could be improved.</w:t>
      </w:r>
    </w:p>
    <w:p w14:paraId="3FA9C53D" w14:textId="77777777" w:rsidR="00936F30" w:rsidRDefault="00936F30" w:rsidP="00C53AB7">
      <w:pPr>
        <w:pStyle w:val="ListParagraph"/>
        <w:numPr>
          <w:ilvl w:val="0"/>
          <w:numId w:val="23"/>
        </w:numPr>
      </w:pPr>
      <w:r>
        <w:t>Questionnaire feedback</w:t>
      </w:r>
    </w:p>
    <w:p w14:paraId="6F00797E" w14:textId="48C66C95" w:rsidR="00F10653" w:rsidRDefault="00F10653" w:rsidP="00936F30">
      <w:r>
        <w:t>We agreed to a</w:t>
      </w:r>
      <w:r w:rsidR="00936F30">
        <w:t xml:space="preserve">dd an open-ended question at the end of every survey to </w:t>
      </w:r>
      <w:r>
        <w:t xml:space="preserve">seek </w:t>
      </w:r>
      <w:r w:rsidR="00936F30">
        <w:t>feedback from respondents on the questionnaire itself. This provides important information on their survey experience such as questions they struggled to answer, survey length and any technical difficulties. Note that respondents can access an 0800 helpdesk</w:t>
      </w:r>
      <w:r>
        <w:t>,</w:t>
      </w:r>
      <w:r w:rsidR="00936F30">
        <w:t xml:space="preserve"> which is likely to address technical issues such as logging into and completing the survey. The questionnaire feedback will not be reported on but will be monitored closely by Ipsos and shared with the Commission. </w:t>
      </w:r>
    </w:p>
    <w:p w14:paraId="55FA05EF" w14:textId="77777777" w:rsidR="00F10653" w:rsidRDefault="00F10653">
      <w:pPr>
        <w:spacing w:after="200"/>
      </w:pPr>
      <w:r>
        <w:br w:type="page"/>
      </w:r>
    </w:p>
    <w:p w14:paraId="76E71D53" w14:textId="77777777" w:rsidR="00936F30" w:rsidRDefault="00936F30" w:rsidP="00C53AB7">
      <w:pPr>
        <w:pStyle w:val="ListParagraph"/>
        <w:numPr>
          <w:ilvl w:val="0"/>
          <w:numId w:val="23"/>
        </w:numPr>
      </w:pPr>
      <w:r>
        <w:lastRenderedPageBreak/>
        <w:t>Continuous questionnaire improvement</w:t>
      </w:r>
    </w:p>
    <w:p w14:paraId="3AECC7C0" w14:textId="5B05E8E0" w:rsidR="001479A8" w:rsidRDefault="00936F30" w:rsidP="00DD7FD2">
      <w:r>
        <w:t xml:space="preserve">An annual review of the questionnaires to ensure they remain fit for purpose </w:t>
      </w:r>
      <w:r w:rsidR="00F10653">
        <w:t>wa</w:t>
      </w:r>
      <w:r>
        <w:t>s recommended.</w:t>
      </w:r>
    </w:p>
    <w:p w14:paraId="16B38D3B" w14:textId="0CC3B457" w:rsidR="00936F30" w:rsidRDefault="00936F30" w:rsidP="00C53AB7">
      <w:pPr>
        <w:pStyle w:val="ListParagraph"/>
        <w:numPr>
          <w:ilvl w:val="0"/>
          <w:numId w:val="23"/>
        </w:numPr>
      </w:pPr>
      <w:r>
        <w:t xml:space="preserve">Align with </w:t>
      </w:r>
      <w:r w:rsidR="00F10653">
        <w:t>Stats NZ</w:t>
      </w:r>
      <w:r>
        <w:t xml:space="preserve"> demographic questions</w:t>
      </w:r>
    </w:p>
    <w:p w14:paraId="013DD54C" w14:textId="15F5126C" w:rsidR="00936F30" w:rsidRDefault="00936F30" w:rsidP="00936F30">
      <w:r>
        <w:t>In the update</w:t>
      </w:r>
      <w:r w:rsidR="00F10653">
        <w:t>, we needed to</w:t>
      </w:r>
      <w:r>
        <w:t xml:space="preserve"> ensure questions on gender and ethnicity aligned with wording from updated Stats NZ statistical standards. Sexual orientation </w:t>
      </w:r>
      <w:r w:rsidR="00F10653">
        <w:t xml:space="preserve">would </w:t>
      </w:r>
      <w:r>
        <w:t xml:space="preserve">be aligned once the new statistical standards are released. </w:t>
      </w:r>
    </w:p>
    <w:p w14:paraId="109D5A74" w14:textId="77777777" w:rsidR="00936F30" w:rsidRDefault="00936F30" w:rsidP="00C53AB7">
      <w:pPr>
        <w:pStyle w:val="ListParagraph"/>
        <w:numPr>
          <w:ilvl w:val="0"/>
          <w:numId w:val="23"/>
        </w:numPr>
      </w:pPr>
      <w:r>
        <w:t>Readability and accessibility</w:t>
      </w:r>
    </w:p>
    <w:p w14:paraId="7FA3D1A7" w14:textId="75D066B7" w:rsidR="00936F30" w:rsidRDefault="00F10653" w:rsidP="00936F30">
      <w:r>
        <w:t>We agreed to a</w:t>
      </w:r>
      <w:r w:rsidR="00936F30">
        <w:t xml:space="preserve">pply a test against an academic word list to ensure the questionnaires are appropriate for people with low levels of literacy. </w:t>
      </w:r>
    </w:p>
    <w:p w14:paraId="35895B47" w14:textId="77777777" w:rsidR="00936F30" w:rsidRDefault="00936F30" w:rsidP="00936F30">
      <w:r>
        <w:t>The questionnaire software tool will use best practice in accessibility for those with vision and mobility difficulties. This will align with the Commission’s commitment to working towards meeting the Accessibility Charter.</w:t>
      </w:r>
    </w:p>
    <w:p w14:paraId="454B9423" w14:textId="77777777" w:rsidR="00936F30" w:rsidRDefault="00936F30" w:rsidP="00C53AB7">
      <w:pPr>
        <w:pStyle w:val="ListParagraph"/>
        <w:numPr>
          <w:ilvl w:val="0"/>
          <w:numId w:val="23"/>
        </w:numPr>
        <w:ind w:left="357" w:hanging="357"/>
        <w:contextualSpacing w:val="0"/>
      </w:pPr>
      <w:r>
        <w:t>Other changes</w:t>
      </w:r>
    </w:p>
    <w:p w14:paraId="7F7ECFD0" w14:textId="7743CF8B" w:rsidR="00936F30" w:rsidRDefault="00936F30" w:rsidP="003F0A76">
      <w:pPr>
        <w:pStyle w:val="ListParagraph"/>
        <w:numPr>
          <w:ilvl w:val="0"/>
          <w:numId w:val="9"/>
        </w:numPr>
      </w:pPr>
      <w:r>
        <w:t xml:space="preserve">In </w:t>
      </w:r>
      <w:r w:rsidR="00AB6AC2">
        <w:t xml:space="preserve">the </w:t>
      </w:r>
      <w:r>
        <w:t>PCPES</w:t>
      </w:r>
      <w:r w:rsidR="00AB6AC2">
        <w:t>, we agreed to</w:t>
      </w:r>
      <w:r>
        <w:t xml:space="preserve"> change the timeframe from experience in the last 12 months to experience in the most recent visit. Asking about experience in last 12 months can lead to difficulties when experiences have varied greatly; respondents have changed practices within that time; or respondents do not have one GP or nurse they usually see. This approach </w:t>
      </w:r>
      <w:r w:rsidR="00AB6AC2">
        <w:t xml:space="preserve">would be </w:t>
      </w:r>
      <w:r>
        <w:t>more consistent with the question wording and response options</w:t>
      </w:r>
      <w:r w:rsidR="00AB6AC2">
        <w:t>,</w:t>
      </w:r>
      <w:r>
        <w:t xml:space="preserve"> which tend to frame a single experience. This change </w:t>
      </w:r>
      <w:r w:rsidR="00AB6AC2">
        <w:t xml:space="preserve">would </w:t>
      </w:r>
      <w:r>
        <w:t>also allow the addition of a question to differentiate which type of health care professional the most recent visit was with (</w:t>
      </w:r>
      <w:proofErr w:type="spellStart"/>
      <w:r>
        <w:t>eg</w:t>
      </w:r>
      <w:proofErr w:type="spellEnd"/>
      <w:r>
        <w:t xml:space="preserve">, usual doctor, other doctor, nurse, mental health professional) and </w:t>
      </w:r>
      <w:r w:rsidR="00AB6AC2">
        <w:t xml:space="preserve">to not combine </w:t>
      </w:r>
      <w:r>
        <w:t>GP and nurse in the one question.</w:t>
      </w:r>
    </w:p>
    <w:p w14:paraId="3EF75B3E" w14:textId="1586B63B" w:rsidR="00936F30" w:rsidRDefault="00936F30" w:rsidP="003F0A76">
      <w:pPr>
        <w:pStyle w:val="ListParagraph"/>
        <w:numPr>
          <w:ilvl w:val="0"/>
          <w:numId w:val="9"/>
        </w:numPr>
      </w:pPr>
      <w:r>
        <w:t>The questions were updated to allow for changes since the survey was developed in 2015. For example, COVID</w:t>
      </w:r>
      <w:r w:rsidR="00AB6AC2">
        <w:t>-19</w:t>
      </w:r>
      <w:r>
        <w:t xml:space="preserve"> led to a large increase in the use of video and phone consultations; these were added as an appointment option. Questions to gauge awareness and use of patient portals were also added.</w:t>
      </w:r>
    </w:p>
    <w:p w14:paraId="32743CF4" w14:textId="721AC634" w:rsidR="00936F30" w:rsidRDefault="00936F30" w:rsidP="003F0A76">
      <w:pPr>
        <w:pStyle w:val="ListParagraph"/>
        <w:numPr>
          <w:ilvl w:val="0"/>
          <w:numId w:val="9"/>
        </w:numPr>
      </w:pPr>
      <w:r>
        <w:t>Populations of interest</w:t>
      </w:r>
      <w:r w:rsidR="00AB6AC2">
        <w:t xml:space="preserve"> –</w:t>
      </w:r>
      <w:r>
        <w:t xml:space="preserve"> </w:t>
      </w:r>
      <w:r w:rsidR="00AB6AC2">
        <w:t>q</w:t>
      </w:r>
      <w:r>
        <w:t>uestions to identify different population groups were added. These included</w:t>
      </w:r>
      <w:r w:rsidR="00AC0BB5">
        <w:t xml:space="preserve"> </w:t>
      </w:r>
      <w:r>
        <w:t>disability status (added August 2019) and sexual orientation.</w:t>
      </w:r>
    </w:p>
    <w:p w14:paraId="03947BE7" w14:textId="77777777" w:rsidR="00936F30" w:rsidRDefault="00936F30" w:rsidP="00936F30">
      <w:pPr>
        <w:pStyle w:val="Heading1"/>
      </w:pPr>
      <w:bookmarkStart w:id="8" w:name="_Toc68605852"/>
      <w:r>
        <w:t>Stakeholder engagement</w:t>
      </w:r>
      <w:bookmarkEnd w:id="8"/>
    </w:p>
    <w:p w14:paraId="7261FE5E" w14:textId="049B734A" w:rsidR="00936F30" w:rsidRDefault="00AB6AC2" w:rsidP="00936F30">
      <w:r>
        <w:t>We engaged with s</w:t>
      </w:r>
      <w:r w:rsidR="00936F30">
        <w:t xml:space="preserve">takeholders at multiple points in </w:t>
      </w:r>
      <w:r>
        <w:t>the review</w:t>
      </w:r>
      <w:r w:rsidR="00936F30">
        <w:t xml:space="preserve"> process. </w:t>
      </w:r>
      <w:r>
        <w:t>The stakeholder workshops described above</w:t>
      </w:r>
      <w:r w:rsidR="00936F30">
        <w:t xml:space="preserve"> were attended by more than 75 stakeholders from </w:t>
      </w:r>
      <w:r w:rsidR="000743AE">
        <w:t>DHB</w:t>
      </w:r>
      <w:r w:rsidR="00936F30">
        <w:t>s, primary health organisations</w:t>
      </w:r>
      <w:r w:rsidR="00E858A9">
        <w:t xml:space="preserve"> (PHOs)</w:t>
      </w:r>
      <w:r w:rsidR="00936F30">
        <w:t xml:space="preserve">, general practice, the Ministry of Health, </w:t>
      </w:r>
      <w:r>
        <w:t xml:space="preserve">Stats </w:t>
      </w:r>
      <w:proofErr w:type="gramStart"/>
      <w:r>
        <w:t>NZ</w:t>
      </w:r>
      <w:proofErr w:type="gramEnd"/>
      <w:r w:rsidR="00936F30">
        <w:t xml:space="preserve"> and others. Additional feedback was collected via a supplementary feedback form or was shared directly.</w:t>
      </w:r>
    </w:p>
    <w:p w14:paraId="21FF4234" w14:textId="3E73BEBC" w:rsidR="00936F30" w:rsidRDefault="00AB6AC2" w:rsidP="00936F30">
      <w:r>
        <w:t xml:space="preserve">We held a </w:t>
      </w:r>
      <w:r w:rsidR="00936F30">
        <w:t>second set of workshops to gather more feedback on the revised questionnaires</w:t>
      </w:r>
      <w:r>
        <w:t xml:space="preserve"> and </w:t>
      </w:r>
      <w:r w:rsidR="00936F30">
        <w:t xml:space="preserve">clarify specific question areas where </w:t>
      </w:r>
      <w:r>
        <w:t xml:space="preserve">more </w:t>
      </w:r>
      <w:r w:rsidR="00936F30">
        <w:t>consultation was needed.</w:t>
      </w:r>
    </w:p>
    <w:p w14:paraId="310607AB" w14:textId="77777777" w:rsidR="001479A8" w:rsidRDefault="001479A8">
      <w:pPr>
        <w:spacing w:after="200"/>
        <w:rPr>
          <w:rFonts w:asciiTheme="majorHAnsi" w:eastAsiaTheme="majorEastAsia" w:hAnsiTheme="majorHAnsi" w:cstheme="majorBidi"/>
          <w:b/>
          <w:bCs/>
          <w:sz w:val="28"/>
          <w:szCs w:val="28"/>
        </w:rPr>
      </w:pPr>
      <w:r>
        <w:br w:type="page"/>
      </w:r>
    </w:p>
    <w:p w14:paraId="589B8FF8" w14:textId="28B7DF80" w:rsidR="00936F30" w:rsidRDefault="00936F30" w:rsidP="00936F30">
      <w:pPr>
        <w:pStyle w:val="Heading1"/>
      </w:pPr>
      <w:bookmarkStart w:id="9" w:name="_Toc68605853"/>
      <w:r>
        <w:lastRenderedPageBreak/>
        <w:t>Literacy and English level analysis</w:t>
      </w:r>
      <w:bookmarkEnd w:id="9"/>
    </w:p>
    <w:p w14:paraId="0489C03E" w14:textId="07E34893" w:rsidR="00936F30" w:rsidRDefault="00936F30" w:rsidP="00936F30">
      <w:r>
        <w:t xml:space="preserve">The surveys were developed with the aim of reaching a wide audience with varying levels of English literacy. </w:t>
      </w:r>
      <w:r w:rsidR="00AB6AC2">
        <w:t>We undertook a</w:t>
      </w:r>
      <w:r>
        <w:t xml:space="preserve"> vocabulary and readability review in comparison with English proficiency evaluation standards. </w:t>
      </w:r>
    </w:p>
    <w:p w14:paraId="33A0B54F" w14:textId="77777777" w:rsidR="00936F30" w:rsidRDefault="00936F30" w:rsidP="00936F30">
      <w:pPr>
        <w:pStyle w:val="Heading4"/>
      </w:pPr>
      <w:r>
        <w:t>Readability</w:t>
      </w:r>
    </w:p>
    <w:p w14:paraId="375866AD" w14:textId="0996547B" w:rsidR="00936F30" w:rsidRDefault="00936F30" w:rsidP="00936F30">
      <w:r>
        <w:t>A variety of tested reading-level formulas were used to understand whether respondents would have difficulty reading the surveys. Each method measure</w:t>
      </w:r>
      <w:r w:rsidR="00AB6AC2">
        <w:t>d</w:t>
      </w:r>
      <w:r>
        <w:t xml:space="preserve"> different criteria based on vocabulary, sentence length and complexity. The results of these tests show</w:t>
      </w:r>
      <w:r w:rsidR="00AB6AC2">
        <w:t>ed</w:t>
      </w:r>
      <w:r>
        <w:t xml:space="preserve"> the surveys are around Year 9 reading level</w:t>
      </w:r>
      <w:r w:rsidR="00765507">
        <w:t xml:space="preserve"> (see Tables 1 and 2)</w:t>
      </w:r>
      <w:r>
        <w:t>.</w:t>
      </w:r>
    </w:p>
    <w:p w14:paraId="092E8763" w14:textId="77777777" w:rsidR="003F0A76" w:rsidRPr="00D20877" w:rsidRDefault="003F0A76" w:rsidP="003F0A76">
      <w:pPr>
        <w:pStyle w:val="Heading2"/>
        <w:rPr>
          <w:rFonts w:asciiTheme="minorHAnsi" w:eastAsiaTheme="minorHAnsi" w:hAnsiTheme="minorHAnsi" w:cstheme="minorBidi"/>
          <w:sz w:val="22"/>
          <w:szCs w:val="22"/>
        </w:rPr>
      </w:pPr>
      <w:r>
        <w:rPr>
          <w:rFonts w:asciiTheme="minorHAnsi" w:eastAsiaTheme="minorHAnsi" w:hAnsiTheme="minorHAnsi" w:cstheme="minorBidi"/>
          <w:sz w:val="22"/>
          <w:szCs w:val="22"/>
        </w:rPr>
        <w:t>Table 1: Summary statistics of survey texts</w:t>
      </w:r>
    </w:p>
    <w:tbl>
      <w:tblPr>
        <w:tblStyle w:val="TableGridLight1"/>
        <w:tblW w:w="6181" w:type="dxa"/>
        <w:tblLook w:val="04A0" w:firstRow="1" w:lastRow="0" w:firstColumn="1" w:lastColumn="0" w:noHBand="0" w:noVBand="1"/>
      </w:tblPr>
      <w:tblGrid>
        <w:gridCol w:w="4201"/>
        <w:gridCol w:w="962"/>
        <w:gridCol w:w="1018"/>
      </w:tblGrid>
      <w:tr w:rsidR="003F0A76" w:rsidRPr="00AB6AC2" w14:paraId="49257D46" w14:textId="77777777" w:rsidTr="00C53AB7">
        <w:trPr>
          <w:trHeight w:val="150"/>
        </w:trPr>
        <w:tc>
          <w:tcPr>
            <w:tcW w:w="4815" w:type="dxa"/>
          </w:tcPr>
          <w:p w14:paraId="590C9BA2" w14:textId="3AC73625" w:rsidR="003F0A76" w:rsidRPr="00C53AB7" w:rsidRDefault="00AB6AC2" w:rsidP="00C53AB7">
            <w:pPr>
              <w:spacing w:before="40" w:after="40"/>
              <w:rPr>
                <w:rFonts w:asciiTheme="minorHAnsi" w:hAnsiTheme="minorHAnsi" w:cstheme="minorHAnsi"/>
                <w:b/>
                <w:bCs/>
                <w:lang w:val="en-NZ"/>
              </w:rPr>
            </w:pPr>
            <w:r w:rsidRPr="00AB6AC2">
              <w:rPr>
                <w:rFonts w:asciiTheme="minorHAnsi" w:hAnsiTheme="minorHAnsi" w:cstheme="minorHAnsi"/>
                <w:b/>
                <w:bCs/>
              </w:rPr>
              <w:t>Statistics</w:t>
            </w:r>
          </w:p>
        </w:tc>
        <w:tc>
          <w:tcPr>
            <w:tcW w:w="284" w:type="dxa"/>
          </w:tcPr>
          <w:p w14:paraId="53BB784E" w14:textId="77777777" w:rsidR="003F0A76" w:rsidRPr="00C53AB7" w:rsidRDefault="003F0A76" w:rsidP="00C53AB7">
            <w:pPr>
              <w:spacing w:before="40" w:after="40"/>
              <w:jc w:val="center"/>
              <w:rPr>
                <w:rFonts w:asciiTheme="minorHAnsi" w:hAnsiTheme="minorHAnsi" w:cstheme="minorHAnsi"/>
                <w:b/>
                <w:bCs/>
                <w:lang w:val="en-NZ"/>
              </w:rPr>
            </w:pPr>
            <w:r w:rsidRPr="00C53AB7">
              <w:rPr>
                <w:rFonts w:cstheme="minorHAnsi"/>
                <w:b/>
                <w:bCs/>
              </w:rPr>
              <w:t>PCPES</w:t>
            </w:r>
          </w:p>
        </w:tc>
        <w:tc>
          <w:tcPr>
            <w:tcW w:w="1082" w:type="dxa"/>
          </w:tcPr>
          <w:p w14:paraId="5A033C19" w14:textId="77777777" w:rsidR="003F0A76" w:rsidRPr="00C53AB7" w:rsidRDefault="003F0A76" w:rsidP="00C53AB7">
            <w:pPr>
              <w:spacing w:before="40" w:after="40"/>
              <w:jc w:val="center"/>
              <w:rPr>
                <w:rFonts w:asciiTheme="minorHAnsi" w:hAnsiTheme="minorHAnsi" w:cstheme="minorHAnsi"/>
                <w:b/>
                <w:bCs/>
              </w:rPr>
            </w:pPr>
            <w:r w:rsidRPr="00C53AB7">
              <w:rPr>
                <w:rFonts w:cstheme="minorHAnsi"/>
                <w:b/>
                <w:bCs/>
              </w:rPr>
              <w:t>IPES</w:t>
            </w:r>
          </w:p>
        </w:tc>
      </w:tr>
      <w:tr w:rsidR="003F0A76" w:rsidRPr="00A6202F" w14:paraId="0128124C" w14:textId="77777777" w:rsidTr="00C53AB7">
        <w:trPr>
          <w:trHeight w:val="128"/>
        </w:trPr>
        <w:tc>
          <w:tcPr>
            <w:tcW w:w="4815" w:type="dxa"/>
          </w:tcPr>
          <w:p w14:paraId="3E43B960" w14:textId="7777777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Number of sentences</w:t>
            </w:r>
          </w:p>
        </w:tc>
        <w:tc>
          <w:tcPr>
            <w:tcW w:w="284" w:type="dxa"/>
          </w:tcPr>
          <w:p w14:paraId="472B74A3" w14:textId="77777777" w:rsidR="003F0A76" w:rsidRPr="00A6202F" w:rsidRDefault="003F0A76" w:rsidP="00C53AB7">
            <w:pPr>
              <w:spacing w:before="40" w:after="40"/>
              <w:jc w:val="center"/>
              <w:rPr>
                <w:rFonts w:asciiTheme="minorHAnsi" w:hAnsiTheme="minorHAnsi" w:cstheme="minorHAnsi"/>
                <w:lang w:val="en-NZ"/>
              </w:rPr>
            </w:pPr>
            <w:r w:rsidRPr="00F52D96">
              <w:t>966</w:t>
            </w:r>
          </w:p>
        </w:tc>
        <w:tc>
          <w:tcPr>
            <w:tcW w:w="1082" w:type="dxa"/>
          </w:tcPr>
          <w:p w14:paraId="6926661B" w14:textId="77777777" w:rsidR="003F0A76" w:rsidRPr="00A6202F" w:rsidRDefault="003F0A76" w:rsidP="00C53AB7">
            <w:pPr>
              <w:spacing w:before="40" w:after="40"/>
              <w:jc w:val="center"/>
              <w:rPr>
                <w:rFonts w:asciiTheme="minorHAnsi" w:hAnsiTheme="minorHAnsi" w:cstheme="minorHAnsi"/>
                <w:lang w:val="en-NZ"/>
              </w:rPr>
            </w:pPr>
            <w:r w:rsidRPr="00F52D96">
              <w:t>354</w:t>
            </w:r>
          </w:p>
        </w:tc>
      </w:tr>
      <w:tr w:rsidR="003F0A76" w:rsidRPr="00A6202F" w14:paraId="156CC54D" w14:textId="77777777" w:rsidTr="00C53AB7">
        <w:trPr>
          <w:trHeight w:val="128"/>
        </w:trPr>
        <w:tc>
          <w:tcPr>
            <w:tcW w:w="4815" w:type="dxa"/>
          </w:tcPr>
          <w:p w14:paraId="7952A414" w14:textId="7777777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Words per sentence</w:t>
            </w:r>
          </w:p>
        </w:tc>
        <w:tc>
          <w:tcPr>
            <w:tcW w:w="284" w:type="dxa"/>
          </w:tcPr>
          <w:p w14:paraId="726D957D" w14:textId="77777777" w:rsidR="003F0A76" w:rsidRPr="00A6202F" w:rsidRDefault="003F0A76" w:rsidP="00C53AB7">
            <w:pPr>
              <w:spacing w:before="40" w:after="40"/>
              <w:jc w:val="center"/>
              <w:rPr>
                <w:rFonts w:asciiTheme="minorHAnsi" w:hAnsiTheme="minorHAnsi" w:cstheme="minorHAnsi"/>
                <w:lang w:val="en-NZ"/>
              </w:rPr>
            </w:pPr>
            <w:r w:rsidRPr="00F52D96">
              <w:t>5.3</w:t>
            </w:r>
          </w:p>
        </w:tc>
        <w:tc>
          <w:tcPr>
            <w:tcW w:w="1082" w:type="dxa"/>
          </w:tcPr>
          <w:p w14:paraId="710CDC4F" w14:textId="77777777" w:rsidR="003F0A76" w:rsidRPr="00A6202F" w:rsidRDefault="003F0A76" w:rsidP="00C53AB7">
            <w:pPr>
              <w:spacing w:before="40" w:after="40"/>
              <w:jc w:val="center"/>
              <w:rPr>
                <w:rFonts w:asciiTheme="minorHAnsi" w:hAnsiTheme="minorHAnsi" w:cstheme="minorHAnsi"/>
                <w:lang w:val="en-NZ"/>
              </w:rPr>
            </w:pPr>
            <w:r w:rsidRPr="00F52D96">
              <w:t>5.8</w:t>
            </w:r>
          </w:p>
        </w:tc>
      </w:tr>
      <w:tr w:rsidR="003F0A76" w:rsidRPr="00A6202F" w14:paraId="30519A4D" w14:textId="77777777" w:rsidTr="00C53AB7">
        <w:trPr>
          <w:trHeight w:val="128"/>
        </w:trPr>
        <w:tc>
          <w:tcPr>
            <w:tcW w:w="4815" w:type="dxa"/>
          </w:tcPr>
          <w:p w14:paraId="08D9E588" w14:textId="7777777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Characters per word</w:t>
            </w:r>
          </w:p>
        </w:tc>
        <w:tc>
          <w:tcPr>
            <w:tcW w:w="284" w:type="dxa"/>
          </w:tcPr>
          <w:p w14:paraId="2A473B9E" w14:textId="77777777" w:rsidR="003F0A76" w:rsidRPr="00A6202F" w:rsidRDefault="003F0A76" w:rsidP="00C53AB7">
            <w:pPr>
              <w:spacing w:before="40" w:after="40"/>
              <w:jc w:val="center"/>
              <w:rPr>
                <w:rFonts w:asciiTheme="minorHAnsi" w:hAnsiTheme="minorHAnsi" w:cstheme="minorHAnsi"/>
                <w:lang w:val="en-NZ"/>
              </w:rPr>
            </w:pPr>
            <w:r w:rsidRPr="00F52D96">
              <w:t>4.</w:t>
            </w:r>
            <w:r>
              <w:t>7</w:t>
            </w:r>
          </w:p>
        </w:tc>
        <w:tc>
          <w:tcPr>
            <w:tcW w:w="1082" w:type="dxa"/>
          </w:tcPr>
          <w:p w14:paraId="09C6F27F" w14:textId="77777777" w:rsidR="003F0A76" w:rsidRPr="00A6202F" w:rsidRDefault="003F0A76" w:rsidP="00C53AB7">
            <w:pPr>
              <w:spacing w:before="40" w:after="40"/>
              <w:jc w:val="center"/>
              <w:rPr>
                <w:rFonts w:asciiTheme="minorHAnsi" w:hAnsiTheme="minorHAnsi" w:cstheme="minorHAnsi"/>
                <w:lang w:val="en-NZ"/>
              </w:rPr>
            </w:pPr>
            <w:r w:rsidRPr="00F52D96">
              <w:t>4.</w:t>
            </w:r>
            <w:r>
              <w:t>6</w:t>
            </w:r>
          </w:p>
        </w:tc>
      </w:tr>
      <w:tr w:rsidR="003F0A76" w:rsidRPr="00A6202F" w14:paraId="3DDFA628" w14:textId="77777777" w:rsidTr="00C53AB7">
        <w:trPr>
          <w:trHeight w:val="128"/>
        </w:trPr>
        <w:tc>
          <w:tcPr>
            <w:tcW w:w="4815" w:type="dxa"/>
          </w:tcPr>
          <w:p w14:paraId="45993D3C" w14:textId="7777777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Percentage of difficult words (estimated)</w:t>
            </w:r>
          </w:p>
        </w:tc>
        <w:tc>
          <w:tcPr>
            <w:tcW w:w="284" w:type="dxa"/>
          </w:tcPr>
          <w:p w14:paraId="22CF08A8" w14:textId="77777777" w:rsidR="003F0A76" w:rsidRPr="00A6202F" w:rsidRDefault="003F0A76" w:rsidP="00C53AB7">
            <w:pPr>
              <w:spacing w:before="40" w:after="40"/>
              <w:jc w:val="center"/>
              <w:rPr>
                <w:rFonts w:asciiTheme="minorHAnsi" w:hAnsiTheme="minorHAnsi" w:cstheme="minorHAnsi"/>
                <w:lang w:val="en-NZ"/>
              </w:rPr>
            </w:pPr>
            <w:r w:rsidRPr="00F52D96">
              <w:t>15%</w:t>
            </w:r>
          </w:p>
        </w:tc>
        <w:tc>
          <w:tcPr>
            <w:tcW w:w="1082" w:type="dxa"/>
          </w:tcPr>
          <w:p w14:paraId="7B8BD10C" w14:textId="77777777" w:rsidR="003F0A76" w:rsidRPr="00A6202F" w:rsidRDefault="003F0A76" w:rsidP="00C53AB7">
            <w:pPr>
              <w:spacing w:before="40" w:after="40"/>
              <w:jc w:val="center"/>
              <w:rPr>
                <w:rFonts w:asciiTheme="minorHAnsi" w:hAnsiTheme="minorHAnsi" w:cstheme="minorHAnsi"/>
                <w:lang w:val="en-NZ"/>
              </w:rPr>
            </w:pPr>
            <w:r w:rsidRPr="00F52D96">
              <w:t>15%</w:t>
            </w:r>
          </w:p>
        </w:tc>
      </w:tr>
    </w:tbl>
    <w:p w14:paraId="15B7E1AE" w14:textId="77777777" w:rsidR="003F0A76" w:rsidRDefault="003F0A76" w:rsidP="00936F30"/>
    <w:p w14:paraId="1EAC1022" w14:textId="77777777" w:rsidR="003F0A76" w:rsidRPr="00C0438F" w:rsidRDefault="003F0A76" w:rsidP="003F0A76">
      <w:pPr>
        <w:rPr>
          <w:b/>
          <w:bCs/>
        </w:rPr>
      </w:pPr>
      <w:r>
        <w:rPr>
          <w:b/>
          <w:bCs/>
        </w:rPr>
        <w:t>Table 2: Reading level tests, summary scores</w:t>
      </w:r>
    </w:p>
    <w:tbl>
      <w:tblPr>
        <w:tblStyle w:val="TableGridLight1"/>
        <w:tblW w:w="8217" w:type="dxa"/>
        <w:tblLook w:val="04A0" w:firstRow="1" w:lastRow="0" w:firstColumn="1" w:lastColumn="0" w:noHBand="0" w:noVBand="1"/>
      </w:tblPr>
      <w:tblGrid>
        <w:gridCol w:w="6374"/>
        <w:gridCol w:w="992"/>
        <w:gridCol w:w="851"/>
      </w:tblGrid>
      <w:tr w:rsidR="003F0A76" w:rsidRPr="00AB6AC2" w14:paraId="1AADCF5A" w14:textId="77777777" w:rsidTr="00C53AB7">
        <w:trPr>
          <w:trHeight w:val="150"/>
        </w:trPr>
        <w:tc>
          <w:tcPr>
            <w:tcW w:w="6374" w:type="dxa"/>
          </w:tcPr>
          <w:p w14:paraId="49F3BC92" w14:textId="347D65D9" w:rsidR="003F0A76" w:rsidRPr="00C53AB7" w:rsidRDefault="00AB6AC2" w:rsidP="00C53AB7">
            <w:pPr>
              <w:spacing w:before="40" w:after="40"/>
              <w:rPr>
                <w:rFonts w:asciiTheme="minorHAnsi" w:hAnsiTheme="minorHAnsi" w:cstheme="minorHAnsi"/>
                <w:b/>
                <w:bCs/>
                <w:lang w:val="en-NZ"/>
              </w:rPr>
            </w:pPr>
            <w:r w:rsidRPr="00AB6AC2">
              <w:rPr>
                <w:rFonts w:asciiTheme="minorHAnsi" w:hAnsiTheme="minorHAnsi" w:cstheme="minorHAnsi"/>
                <w:b/>
                <w:bCs/>
              </w:rPr>
              <w:t>Reading</w:t>
            </w:r>
            <w:r w:rsidRPr="00C53AB7">
              <w:rPr>
                <w:rFonts w:asciiTheme="minorHAnsi" w:hAnsiTheme="minorHAnsi" w:cstheme="minorHAnsi"/>
                <w:b/>
                <w:bCs/>
              </w:rPr>
              <w:t>-</w:t>
            </w:r>
            <w:r w:rsidRPr="00AB6AC2">
              <w:rPr>
                <w:rFonts w:asciiTheme="minorHAnsi" w:hAnsiTheme="minorHAnsi" w:cstheme="minorHAnsi"/>
                <w:b/>
                <w:bCs/>
              </w:rPr>
              <w:t>level tests</w:t>
            </w:r>
          </w:p>
        </w:tc>
        <w:tc>
          <w:tcPr>
            <w:tcW w:w="992" w:type="dxa"/>
          </w:tcPr>
          <w:p w14:paraId="26960D2D" w14:textId="77777777" w:rsidR="003F0A76" w:rsidRPr="00C53AB7" w:rsidRDefault="003F0A76" w:rsidP="00C53AB7">
            <w:pPr>
              <w:spacing w:before="40" w:after="40"/>
              <w:jc w:val="center"/>
              <w:rPr>
                <w:rFonts w:asciiTheme="minorHAnsi" w:hAnsiTheme="minorHAnsi" w:cstheme="minorHAnsi"/>
                <w:b/>
                <w:bCs/>
                <w:lang w:val="en-NZ"/>
              </w:rPr>
            </w:pPr>
            <w:r w:rsidRPr="00C53AB7">
              <w:rPr>
                <w:rFonts w:asciiTheme="minorHAnsi" w:hAnsiTheme="minorHAnsi" w:cstheme="minorHAnsi"/>
                <w:b/>
                <w:bCs/>
              </w:rPr>
              <w:t>PCPES</w:t>
            </w:r>
          </w:p>
        </w:tc>
        <w:tc>
          <w:tcPr>
            <w:tcW w:w="851" w:type="dxa"/>
          </w:tcPr>
          <w:p w14:paraId="65842C8B" w14:textId="77777777" w:rsidR="003F0A76" w:rsidRPr="00C53AB7" w:rsidRDefault="003F0A76" w:rsidP="00C53AB7">
            <w:pPr>
              <w:spacing w:before="40" w:after="40"/>
              <w:jc w:val="center"/>
              <w:rPr>
                <w:rFonts w:asciiTheme="minorHAnsi" w:hAnsiTheme="minorHAnsi" w:cstheme="minorHAnsi"/>
                <w:b/>
                <w:bCs/>
                <w:lang w:val="en-NZ"/>
              </w:rPr>
            </w:pPr>
            <w:r w:rsidRPr="00C53AB7">
              <w:rPr>
                <w:rFonts w:asciiTheme="minorHAnsi" w:hAnsiTheme="minorHAnsi" w:cstheme="minorHAnsi"/>
                <w:b/>
                <w:bCs/>
              </w:rPr>
              <w:t>IPES</w:t>
            </w:r>
          </w:p>
        </w:tc>
      </w:tr>
      <w:tr w:rsidR="003F0A76" w:rsidRPr="00A6202F" w14:paraId="17C49132" w14:textId="77777777" w:rsidTr="00C53AB7">
        <w:trPr>
          <w:trHeight w:val="128"/>
        </w:trPr>
        <w:tc>
          <w:tcPr>
            <w:tcW w:w="6374" w:type="dxa"/>
          </w:tcPr>
          <w:p w14:paraId="18F87708" w14:textId="7777777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Flesch reading ease score</w:t>
            </w:r>
            <w:r>
              <w:rPr>
                <w:rFonts w:asciiTheme="minorHAnsi" w:hAnsiTheme="minorHAnsi" w:cstheme="minorHAnsi"/>
                <w:lang w:val="en-NZ"/>
              </w:rPr>
              <w:t xml:space="preserve"> (plain text = 60+)</w:t>
            </w:r>
          </w:p>
        </w:tc>
        <w:tc>
          <w:tcPr>
            <w:tcW w:w="992" w:type="dxa"/>
          </w:tcPr>
          <w:p w14:paraId="0EFB1E63" w14:textId="77777777" w:rsidR="003F0A76" w:rsidRPr="00A6202F" w:rsidRDefault="003F0A76" w:rsidP="00C53AB7">
            <w:pPr>
              <w:spacing w:before="40" w:after="40"/>
              <w:jc w:val="center"/>
              <w:rPr>
                <w:rFonts w:asciiTheme="minorHAnsi" w:hAnsiTheme="minorHAnsi" w:cstheme="minorHAnsi"/>
                <w:lang w:val="en-NZ"/>
              </w:rPr>
            </w:pPr>
            <w:r w:rsidRPr="00F52D96">
              <w:t>72.</w:t>
            </w:r>
            <w:r>
              <w:t>1</w:t>
            </w:r>
          </w:p>
        </w:tc>
        <w:tc>
          <w:tcPr>
            <w:tcW w:w="851" w:type="dxa"/>
          </w:tcPr>
          <w:p w14:paraId="52C98372" w14:textId="77777777" w:rsidR="003F0A76" w:rsidRPr="00A6202F" w:rsidRDefault="003F0A76" w:rsidP="00C53AB7">
            <w:pPr>
              <w:spacing w:before="40" w:after="40"/>
              <w:jc w:val="center"/>
              <w:rPr>
                <w:rFonts w:asciiTheme="minorHAnsi" w:hAnsiTheme="minorHAnsi" w:cstheme="minorHAnsi"/>
                <w:lang w:val="en-NZ"/>
              </w:rPr>
            </w:pPr>
            <w:r w:rsidRPr="00F52D96">
              <w:t>70.5</w:t>
            </w:r>
          </w:p>
        </w:tc>
      </w:tr>
      <w:tr w:rsidR="003F0A76" w:rsidRPr="00A6202F" w14:paraId="6227C482" w14:textId="77777777" w:rsidTr="00C53AB7">
        <w:trPr>
          <w:trHeight w:val="128"/>
        </w:trPr>
        <w:tc>
          <w:tcPr>
            <w:tcW w:w="6374" w:type="dxa"/>
          </w:tcPr>
          <w:p w14:paraId="6B02EA67" w14:textId="129D47D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Gunning Fog scale</w:t>
            </w:r>
            <w:r>
              <w:rPr>
                <w:rFonts w:asciiTheme="minorHAnsi" w:hAnsiTheme="minorHAnsi" w:cstheme="minorHAnsi"/>
                <w:lang w:val="en-NZ"/>
              </w:rPr>
              <w:t xml:space="preserve"> (5</w:t>
            </w:r>
            <w:r w:rsidR="00AB6AC2">
              <w:rPr>
                <w:rFonts w:asciiTheme="minorHAnsi" w:hAnsiTheme="minorHAnsi" w:cstheme="minorHAnsi"/>
                <w:lang w:val="en-NZ"/>
              </w:rPr>
              <w:t xml:space="preserve"> </w:t>
            </w:r>
            <w:r>
              <w:rPr>
                <w:rFonts w:asciiTheme="minorHAnsi" w:hAnsiTheme="minorHAnsi" w:cstheme="minorHAnsi"/>
                <w:lang w:val="en-NZ"/>
              </w:rPr>
              <w:t>=</w:t>
            </w:r>
            <w:r w:rsidR="00AB6AC2">
              <w:rPr>
                <w:rFonts w:asciiTheme="minorHAnsi" w:hAnsiTheme="minorHAnsi" w:cstheme="minorHAnsi"/>
                <w:lang w:val="en-NZ"/>
              </w:rPr>
              <w:t xml:space="preserve"> </w:t>
            </w:r>
            <w:r>
              <w:rPr>
                <w:rFonts w:asciiTheme="minorHAnsi" w:hAnsiTheme="minorHAnsi" w:cstheme="minorHAnsi"/>
                <w:lang w:val="en-NZ"/>
              </w:rPr>
              <w:t>readable, 10</w:t>
            </w:r>
            <w:r w:rsidR="00AB6AC2">
              <w:rPr>
                <w:rFonts w:asciiTheme="minorHAnsi" w:hAnsiTheme="minorHAnsi" w:cstheme="minorHAnsi"/>
                <w:lang w:val="en-NZ"/>
              </w:rPr>
              <w:t xml:space="preserve"> </w:t>
            </w:r>
            <w:r>
              <w:rPr>
                <w:rFonts w:asciiTheme="minorHAnsi" w:hAnsiTheme="minorHAnsi" w:cstheme="minorHAnsi"/>
                <w:lang w:val="en-NZ"/>
              </w:rPr>
              <w:t>=</w:t>
            </w:r>
            <w:r w:rsidR="00AB6AC2">
              <w:rPr>
                <w:rFonts w:asciiTheme="minorHAnsi" w:hAnsiTheme="minorHAnsi" w:cstheme="minorHAnsi"/>
                <w:lang w:val="en-NZ"/>
              </w:rPr>
              <w:t xml:space="preserve"> </w:t>
            </w:r>
            <w:r>
              <w:rPr>
                <w:rFonts w:asciiTheme="minorHAnsi" w:hAnsiTheme="minorHAnsi" w:cstheme="minorHAnsi"/>
                <w:lang w:val="en-NZ"/>
              </w:rPr>
              <w:t>hard, 15</w:t>
            </w:r>
            <w:r w:rsidR="00AB6AC2">
              <w:rPr>
                <w:rFonts w:asciiTheme="minorHAnsi" w:hAnsiTheme="minorHAnsi" w:cstheme="minorHAnsi"/>
                <w:lang w:val="en-NZ"/>
              </w:rPr>
              <w:t xml:space="preserve"> </w:t>
            </w:r>
            <w:r>
              <w:rPr>
                <w:rFonts w:asciiTheme="minorHAnsi" w:hAnsiTheme="minorHAnsi" w:cstheme="minorHAnsi"/>
                <w:lang w:val="en-NZ"/>
              </w:rPr>
              <w:t>=</w:t>
            </w:r>
            <w:r w:rsidR="00AB6AC2">
              <w:rPr>
                <w:rFonts w:asciiTheme="minorHAnsi" w:hAnsiTheme="minorHAnsi" w:cstheme="minorHAnsi"/>
                <w:lang w:val="en-NZ"/>
              </w:rPr>
              <w:t xml:space="preserve"> </w:t>
            </w:r>
            <w:r>
              <w:rPr>
                <w:rFonts w:asciiTheme="minorHAnsi" w:hAnsiTheme="minorHAnsi" w:cstheme="minorHAnsi"/>
                <w:lang w:val="en-NZ"/>
              </w:rPr>
              <w:t xml:space="preserve">difficult, </w:t>
            </w:r>
            <w:r w:rsidR="00AB6AC2">
              <w:rPr>
                <w:rFonts w:asciiTheme="minorHAnsi" w:hAnsiTheme="minorHAnsi" w:cstheme="minorHAnsi"/>
                <w:lang w:val="en-NZ"/>
              </w:rPr>
              <w:br/>
            </w:r>
            <w:r>
              <w:rPr>
                <w:rFonts w:asciiTheme="minorHAnsi" w:hAnsiTheme="minorHAnsi" w:cstheme="minorHAnsi"/>
                <w:lang w:val="en-NZ"/>
              </w:rPr>
              <w:t>20</w:t>
            </w:r>
            <w:r w:rsidR="00AB6AC2">
              <w:rPr>
                <w:rFonts w:asciiTheme="minorHAnsi" w:hAnsiTheme="minorHAnsi" w:cstheme="minorHAnsi"/>
                <w:lang w:val="en-NZ"/>
              </w:rPr>
              <w:t xml:space="preserve"> </w:t>
            </w:r>
            <w:r>
              <w:rPr>
                <w:rFonts w:asciiTheme="minorHAnsi" w:hAnsiTheme="minorHAnsi" w:cstheme="minorHAnsi"/>
                <w:lang w:val="en-NZ"/>
              </w:rPr>
              <w:t>=</w:t>
            </w:r>
            <w:r w:rsidR="00AB6AC2">
              <w:rPr>
                <w:rFonts w:asciiTheme="minorHAnsi" w:hAnsiTheme="minorHAnsi" w:cstheme="minorHAnsi"/>
                <w:lang w:val="en-NZ"/>
              </w:rPr>
              <w:t xml:space="preserve"> </w:t>
            </w:r>
            <w:r>
              <w:rPr>
                <w:rFonts w:asciiTheme="minorHAnsi" w:hAnsiTheme="minorHAnsi" w:cstheme="minorHAnsi"/>
                <w:lang w:val="en-NZ"/>
              </w:rPr>
              <w:t>very difficult)</w:t>
            </w:r>
          </w:p>
        </w:tc>
        <w:tc>
          <w:tcPr>
            <w:tcW w:w="992" w:type="dxa"/>
          </w:tcPr>
          <w:p w14:paraId="69E756F2" w14:textId="77777777" w:rsidR="003F0A76" w:rsidRPr="00A6202F" w:rsidRDefault="003F0A76" w:rsidP="00C53AB7">
            <w:pPr>
              <w:spacing w:before="40" w:after="40"/>
              <w:jc w:val="center"/>
              <w:rPr>
                <w:rFonts w:asciiTheme="minorHAnsi" w:hAnsiTheme="minorHAnsi" w:cstheme="minorHAnsi"/>
                <w:lang w:val="en-NZ"/>
              </w:rPr>
            </w:pPr>
            <w:r w:rsidRPr="00F52D96">
              <w:t>8.2</w:t>
            </w:r>
          </w:p>
        </w:tc>
        <w:tc>
          <w:tcPr>
            <w:tcW w:w="851" w:type="dxa"/>
          </w:tcPr>
          <w:p w14:paraId="6AFF608C" w14:textId="77777777" w:rsidR="003F0A76" w:rsidRPr="00A6202F" w:rsidRDefault="003F0A76" w:rsidP="00C53AB7">
            <w:pPr>
              <w:spacing w:before="40" w:after="40"/>
              <w:jc w:val="center"/>
              <w:rPr>
                <w:rFonts w:asciiTheme="minorHAnsi" w:hAnsiTheme="minorHAnsi" w:cstheme="minorHAnsi"/>
                <w:lang w:val="en-NZ"/>
              </w:rPr>
            </w:pPr>
            <w:r w:rsidRPr="00F52D96">
              <w:t>8.1</w:t>
            </w:r>
          </w:p>
        </w:tc>
      </w:tr>
      <w:tr w:rsidR="003F0A76" w:rsidRPr="00A6202F" w14:paraId="717CFD2C" w14:textId="77777777" w:rsidTr="00C53AB7">
        <w:trPr>
          <w:trHeight w:val="128"/>
        </w:trPr>
        <w:tc>
          <w:tcPr>
            <w:tcW w:w="6374" w:type="dxa"/>
          </w:tcPr>
          <w:p w14:paraId="2AAA8D90" w14:textId="7777777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Flesch–Kincaid grade level</w:t>
            </w:r>
            <w:r>
              <w:rPr>
                <w:rFonts w:asciiTheme="minorHAnsi" w:hAnsiTheme="minorHAnsi" w:cstheme="minorHAnsi"/>
                <w:lang w:val="en-NZ"/>
              </w:rPr>
              <w:t xml:space="preserve"> (average student in which year/grade)</w:t>
            </w:r>
          </w:p>
        </w:tc>
        <w:tc>
          <w:tcPr>
            <w:tcW w:w="992" w:type="dxa"/>
          </w:tcPr>
          <w:p w14:paraId="6C059B16" w14:textId="77777777" w:rsidR="003F0A76" w:rsidRPr="00A6202F" w:rsidRDefault="003F0A76" w:rsidP="00C53AB7">
            <w:pPr>
              <w:spacing w:before="40" w:after="40"/>
              <w:jc w:val="center"/>
              <w:rPr>
                <w:rFonts w:asciiTheme="minorHAnsi" w:hAnsiTheme="minorHAnsi" w:cstheme="minorHAnsi"/>
                <w:lang w:val="en-NZ"/>
              </w:rPr>
            </w:pPr>
            <w:r w:rsidRPr="00F52D96">
              <w:t>4.5</w:t>
            </w:r>
          </w:p>
        </w:tc>
        <w:tc>
          <w:tcPr>
            <w:tcW w:w="851" w:type="dxa"/>
          </w:tcPr>
          <w:p w14:paraId="2E1B89AA" w14:textId="77777777" w:rsidR="003F0A76" w:rsidRPr="00A6202F" w:rsidRDefault="003F0A76" w:rsidP="00C53AB7">
            <w:pPr>
              <w:spacing w:before="40" w:after="40"/>
              <w:jc w:val="center"/>
              <w:rPr>
                <w:rFonts w:asciiTheme="minorHAnsi" w:hAnsiTheme="minorHAnsi" w:cstheme="minorHAnsi"/>
                <w:lang w:val="en-NZ"/>
              </w:rPr>
            </w:pPr>
            <w:r w:rsidRPr="00F52D96">
              <w:t>4.</w:t>
            </w:r>
            <w:r>
              <w:t>9</w:t>
            </w:r>
          </w:p>
        </w:tc>
      </w:tr>
      <w:tr w:rsidR="003F0A76" w:rsidRPr="00A6202F" w14:paraId="5A0709B4" w14:textId="77777777" w:rsidTr="00C53AB7">
        <w:trPr>
          <w:trHeight w:val="128"/>
        </w:trPr>
        <w:tc>
          <w:tcPr>
            <w:tcW w:w="6374" w:type="dxa"/>
          </w:tcPr>
          <w:p w14:paraId="63096696" w14:textId="3BDB65EE"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SMOG</w:t>
            </w:r>
            <w:r w:rsidR="00054916">
              <w:rPr>
                <w:rFonts w:asciiTheme="minorHAnsi" w:hAnsiTheme="minorHAnsi" w:cstheme="minorHAnsi"/>
                <w:lang w:val="en-NZ"/>
              </w:rPr>
              <w:t xml:space="preserve"> (Simple Measure of Gobbledygook)</w:t>
            </w:r>
            <w:r w:rsidRPr="00A6202F">
              <w:rPr>
                <w:rFonts w:asciiTheme="minorHAnsi" w:hAnsiTheme="minorHAnsi" w:cstheme="minorHAnsi"/>
                <w:lang w:val="en-NZ"/>
              </w:rPr>
              <w:t xml:space="preserve"> grade</w:t>
            </w:r>
            <w:r>
              <w:rPr>
                <w:rFonts w:asciiTheme="minorHAnsi" w:hAnsiTheme="minorHAnsi" w:cstheme="minorHAnsi"/>
                <w:lang w:val="en-NZ"/>
              </w:rPr>
              <w:t xml:space="preserve"> (# years of education)</w:t>
            </w:r>
          </w:p>
        </w:tc>
        <w:tc>
          <w:tcPr>
            <w:tcW w:w="992" w:type="dxa"/>
          </w:tcPr>
          <w:p w14:paraId="7AB16E04" w14:textId="77777777" w:rsidR="003F0A76" w:rsidRPr="00A6202F" w:rsidRDefault="003F0A76" w:rsidP="00C53AB7">
            <w:pPr>
              <w:spacing w:before="40" w:after="40"/>
              <w:jc w:val="center"/>
              <w:rPr>
                <w:rFonts w:asciiTheme="minorHAnsi" w:hAnsiTheme="minorHAnsi" w:cstheme="minorHAnsi"/>
                <w:lang w:val="en-NZ"/>
              </w:rPr>
            </w:pPr>
            <w:r w:rsidRPr="00F52D96">
              <w:t>8.</w:t>
            </w:r>
            <w:r>
              <w:t>3</w:t>
            </w:r>
          </w:p>
        </w:tc>
        <w:tc>
          <w:tcPr>
            <w:tcW w:w="851" w:type="dxa"/>
          </w:tcPr>
          <w:p w14:paraId="03D69461" w14:textId="77777777" w:rsidR="003F0A76" w:rsidRPr="00A6202F" w:rsidRDefault="003F0A76" w:rsidP="00C53AB7">
            <w:pPr>
              <w:spacing w:before="40" w:after="40"/>
              <w:jc w:val="center"/>
              <w:rPr>
                <w:rFonts w:asciiTheme="minorHAnsi" w:hAnsiTheme="minorHAnsi" w:cstheme="minorHAnsi"/>
                <w:lang w:val="en-NZ"/>
              </w:rPr>
            </w:pPr>
            <w:r w:rsidRPr="00F52D96">
              <w:t>8.</w:t>
            </w:r>
            <w:r>
              <w:t>4</w:t>
            </w:r>
          </w:p>
        </w:tc>
      </w:tr>
      <w:tr w:rsidR="003F0A76" w:rsidRPr="00A6202F" w14:paraId="271A7962" w14:textId="77777777" w:rsidTr="00C53AB7">
        <w:trPr>
          <w:trHeight w:val="128"/>
        </w:trPr>
        <w:tc>
          <w:tcPr>
            <w:tcW w:w="6374" w:type="dxa"/>
          </w:tcPr>
          <w:p w14:paraId="5B0C2EA2" w14:textId="14EFCE6E"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Dale–</w:t>
            </w:r>
            <w:proofErr w:type="spellStart"/>
            <w:r w:rsidRPr="00A6202F">
              <w:rPr>
                <w:rFonts w:asciiTheme="minorHAnsi" w:hAnsiTheme="minorHAnsi" w:cstheme="minorHAnsi"/>
                <w:lang w:val="en-NZ"/>
              </w:rPr>
              <w:t>Chall</w:t>
            </w:r>
            <w:proofErr w:type="spellEnd"/>
            <w:r w:rsidRPr="00A6202F">
              <w:rPr>
                <w:rFonts w:asciiTheme="minorHAnsi" w:hAnsiTheme="minorHAnsi" w:cstheme="minorHAnsi"/>
                <w:lang w:val="en-NZ"/>
              </w:rPr>
              <w:t xml:space="preserve"> score</w:t>
            </w:r>
            <w:r>
              <w:rPr>
                <w:rFonts w:asciiTheme="minorHAnsi" w:hAnsiTheme="minorHAnsi" w:cstheme="minorHAnsi"/>
                <w:lang w:val="en-NZ"/>
              </w:rPr>
              <w:t xml:space="preserve"> (4</w:t>
            </w:r>
            <w:r w:rsidR="00AB6AC2">
              <w:rPr>
                <w:rFonts w:asciiTheme="minorHAnsi" w:hAnsiTheme="minorHAnsi" w:cstheme="minorHAnsi"/>
                <w:lang w:val="en-NZ"/>
              </w:rPr>
              <w:t xml:space="preserve"> </w:t>
            </w:r>
            <w:r>
              <w:rPr>
                <w:rFonts w:asciiTheme="minorHAnsi" w:hAnsiTheme="minorHAnsi" w:cstheme="minorHAnsi"/>
                <w:lang w:val="en-NZ"/>
              </w:rPr>
              <w:t>=</w:t>
            </w:r>
            <w:r w:rsidR="00AB6AC2">
              <w:rPr>
                <w:rFonts w:asciiTheme="minorHAnsi" w:hAnsiTheme="minorHAnsi" w:cstheme="minorHAnsi"/>
                <w:lang w:val="en-NZ"/>
              </w:rPr>
              <w:t xml:space="preserve"> </w:t>
            </w:r>
            <w:r>
              <w:rPr>
                <w:rFonts w:asciiTheme="minorHAnsi" w:hAnsiTheme="minorHAnsi" w:cstheme="minorHAnsi"/>
                <w:lang w:val="en-NZ"/>
              </w:rPr>
              <w:t>4</w:t>
            </w:r>
            <w:proofErr w:type="spellStart"/>
            <w:r w:rsidRPr="00ED4790">
              <w:rPr>
                <w:rFonts w:cstheme="minorHAnsi"/>
                <w:vertAlign w:val="superscript"/>
              </w:rPr>
              <w:t>th</w:t>
            </w:r>
            <w:proofErr w:type="spellEnd"/>
            <w:r>
              <w:rPr>
                <w:rFonts w:asciiTheme="minorHAnsi" w:hAnsiTheme="minorHAnsi" w:cstheme="minorHAnsi"/>
                <w:lang w:val="en-NZ"/>
              </w:rPr>
              <w:t xml:space="preserve"> grade, 9+</w:t>
            </w:r>
            <w:r w:rsidR="00AB6AC2">
              <w:rPr>
                <w:rFonts w:asciiTheme="minorHAnsi" w:hAnsiTheme="minorHAnsi" w:cstheme="minorHAnsi"/>
                <w:lang w:val="en-NZ"/>
              </w:rPr>
              <w:t xml:space="preserve"> </w:t>
            </w:r>
            <w:r>
              <w:rPr>
                <w:rFonts w:asciiTheme="minorHAnsi" w:hAnsiTheme="minorHAnsi" w:cstheme="minorHAnsi"/>
                <w:lang w:val="en-NZ"/>
              </w:rPr>
              <w:t>=</w:t>
            </w:r>
            <w:r w:rsidR="00AB6AC2">
              <w:rPr>
                <w:rFonts w:asciiTheme="minorHAnsi" w:hAnsiTheme="minorHAnsi" w:cstheme="minorHAnsi"/>
                <w:lang w:val="en-NZ"/>
              </w:rPr>
              <w:t xml:space="preserve"> </w:t>
            </w:r>
            <w:r>
              <w:rPr>
                <w:rFonts w:asciiTheme="minorHAnsi" w:hAnsiTheme="minorHAnsi" w:cstheme="minorHAnsi"/>
                <w:lang w:val="en-NZ"/>
              </w:rPr>
              <w:t>college)</w:t>
            </w:r>
          </w:p>
        </w:tc>
        <w:tc>
          <w:tcPr>
            <w:tcW w:w="992" w:type="dxa"/>
          </w:tcPr>
          <w:p w14:paraId="7D65DA6F" w14:textId="77777777" w:rsidR="003F0A76" w:rsidRPr="00A6202F" w:rsidRDefault="003F0A76" w:rsidP="00C53AB7">
            <w:pPr>
              <w:spacing w:before="40" w:after="40"/>
              <w:jc w:val="center"/>
              <w:rPr>
                <w:rFonts w:asciiTheme="minorHAnsi" w:hAnsiTheme="minorHAnsi" w:cstheme="minorHAnsi"/>
                <w:lang w:val="en-NZ"/>
              </w:rPr>
            </w:pPr>
            <w:r w:rsidRPr="00F52D96">
              <w:t>8.</w:t>
            </w:r>
            <w:r>
              <w:t>1</w:t>
            </w:r>
          </w:p>
        </w:tc>
        <w:tc>
          <w:tcPr>
            <w:tcW w:w="851" w:type="dxa"/>
          </w:tcPr>
          <w:p w14:paraId="4779CF82" w14:textId="77777777" w:rsidR="003F0A76" w:rsidRPr="00A6202F" w:rsidRDefault="003F0A76" w:rsidP="00C53AB7">
            <w:pPr>
              <w:spacing w:before="40" w:after="40"/>
              <w:jc w:val="center"/>
              <w:rPr>
                <w:rFonts w:asciiTheme="minorHAnsi" w:hAnsiTheme="minorHAnsi" w:cstheme="minorHAnsi"/>
                <w:lang w:val="en-NZ"/>
              </w:rPr>
            </w:pPr>
            <w:r w:rsidRPr="00F52D96">
              <w:t>7.</w:t>
            </w:r>
            <w:r>
              <w:t>3</w:t>
            </w:r>
          </w:p>
        </w:tc>
      </w:tr>
      <w:tr w:rsidR="003F0A76" w:rsidRPr="00A6202F" w14:paraId="49375741" w14:textId="77777777" w:rsidTr="00C53AB7">
        <w:trPr>
          <w:trHeight w:val="128"/>
        </w:trPr>
        <w:tc>
          <w:tcPr>
            <w:tcW w:w="6374" w:type="dxa"/>
          </w:tcPr>
          <w:p w14:paraId="3DAF5F32" w14:textId="585A4327" w:rsidR="003F0A76" w:rsidRPr="00A6202F" w:rsidRDefault="003F0A76" w:rsidP="00C53AB7">
            <w:pPr>
              <w:spacing w:before="40" w:after="40"/>
              <w:rPr>
                <w:rFonts w:asciiTheme="minorHAnsi" w:hAnsiTheme="minorHAnsi" w:cstheme="minorHAnsi"/>
                <w:lang w:val="en-NZ"/>
              </w:rPr>
            </w:pPr>
            <w:r w:rsidRPr="00A6202F">
              <w:rPr>
                <w:rFonts w:asciiTheme="minorHAnsi" w:hAnsiTheme="minorHAnsi" w:cstheme="minorHAnsi"/>
                <w:lang w:val="en-NZ"/>
              </w:rPr>
              <w:t>Fry readability grade level</w:t>
            </w:r>
            <w:r>
              <w:rPr>
                <w:rFonts w:asciiTheme="minorHAnsi" w:hAnsiTheme="minorHAnsi" w:cstheme="minorHAnsi"/>
                <w:lang w:val="en-NZ"/>
              </w:rPr>
              <w:t xml:space="preserve"> (</w:t>
            </w:r>
            <w:r w:rsidR="00AB6AC2">
              <w:rPr>
                <w:rFonts w:asciiTheme="minorHAnsi" w:hAnsiTheme="minorHAnsi" w:cstheme="minorHAnsi"/>
                <w:lang w:val="en-NZ"/>
              </w:rPr>
              <w:t xml:space="preserve">average </w:t>
            </w:r>
            <w:r>
              <w:rPr>
                <w:rFonts w:asciiTheme="minorHAnsi" w:hAnsiTheme="minorHAnsi" w:cstheme="minorHAnsi"/>
                <w:lang w:val="en-NZ"/>
              </w:rPr>
              <w:t>syllables/</w:t>
            </w:r>
            <w:r w:rsidR="00AB6AC2">
              <w:rPr>
                <w:rFonts w:asciiTheme="minorHAnsi" w:hAnsiTheme="minorHAnsi" w:cstheme="minorHAnsi"/>
                <w:lang w:val="en-NZ"/>
              </w:rPr>
              <w:t xml:space="preserve">average </w:t>
            </w:r>
            <w:r>
              <w:rPr>
                <w:rFonts w:asciiTheme="minorHAnsi" w:hAnsiTheme="minorHAnsi" w:cstheme="minorHAnsi"/>
                <w:lang w:val="en-NZ"/>
              </w:rPr>
              <w:t>sent</w:t>
            </w:r>
            <w:r w:rsidR="00AB6AC2">
              <w:rPr>
                <w:rFonts w:asciiTheme="minorHAnsi" w:hAnsiTheme="minorHAnsi" w:cstheme="minorHAnsi"/>
                <w:lang w:val="en-NZ"/>
              </w:rPr>
              <w:t>e</w:t>
            </w:r>
            <w:r>
              <w:rPr>
                <w:rFonts w:asciiTheme="minorHAnsi" w:hAnsiTheme="minorHAnsi" w:cstheme="minorHAnsi"/>
                <w:lang w:val="en-NZ"/>
              </w:rPr>
              <w:t>nces)</w:t>
            </w:r>
          </w:p>
        </w:tc>
        <w:tc>
          <w:tcPr>
            <w:tcW w:w="992" w:type="dxa"/>
          </w:tcPr>
          <w:p w14:paraId="0BE3DCA8" w14:textId="77777777" w:rsidR="003F0A76" w:rsidRPr="00A6202F" w:rsidRDefault="003F0A76" w:rsidP="00C53AB7">
            <w:pPr>
              <w:spacing w:before="40" w:after="40"/>
              <w:jc w:val="center"/>
              <w:rPr>
                <w:rFonts w:asciiTheme="minorHAnsi" w:hAnsiTheme="minorHAnsi" w:cstheme="minorHAnsi"/>
                <w:lang w:val="en-NZ"/>
              </w:rPr>
            </w:pPr>
            <w:r w:rsidRPr="00F52D96">
              <w:t>3</w:t>
            </w:r>
          </w:p>
        </w:tc>
        <w:tc>
          <w:tcPr>
            <w:tcW w:w="851" w:type="dxa"/>
          </w:tcPr>
          <w:p w14:paraId="3F94C431" w14:textId="77777777" w:rsidR="003F0A76" w:rsidRPr="00A6202F" w:rsidRDefault="003F0A76" w:rsidP="00C53AB7">
            <w:pPr>
              <w:spacing w:before="40" w:after="40"/>
              <w:jc w:val="center"/>
              <w:rPr>
                <w:rFonts w:asciiTheme="minorHAnsi" w:hAnsiTheme="minorHAnsi" w:cstheme="minorHAnsi"/>
                <w:lang w:val="en-NZ"/>
              </w:rPr>
            </w:pPr>
            <w:r w:rsidRPr="00F52D96">
              <w:t>4</w:t>
            </w:r>
          </w:p>
        </w:tc>
      </w:tr>
    </w:tbl>
    <w:p w14:paraId="51FE7B51" w14:textId="77777777" w:rsidR="00936F30" w:rsidRDefault="00936F30" w:rsidP="00936F30">
      <w:pPr>
        <w:pStyle w:val="Heading4"/>
      </w:pPr>
      <w:r>
        <w:t>Vocabulary</w:t>
      </w:r>
    </w:p>
    <w:p w14:paraId="2ACDBE53" w14:textId="37685A16" w:rsidR="00936F30" w:rsidRDefault="00936F30" w:rsidP="00936F30">
      <w:r>
        <w:t>The complexity of vocabulary used within the survey</w:t>
      </w:r>
      <w:r w:rsidR="00F736FD">
        <w:t>s</w:t>
      </w:r>
      <w:r>
        <w:t xml:space="preserve"> </w:t>
      </w:r>
      <w:r w:rsidR="00F736FD">
        <w:t xml:space="preserve">was </w:t>
      </w:r>
      <w:r>
        <w:t>also reviewed</w:t>
      </w:r>
      <w:r w:rsidR="00F736FD">
        <w:t xml:space="preserve"> using</w:t>
      </w:r>
      <w:r>
        <w:t xml:space="preserve"> a core vocabulary list of approximately 2,800 words that represent</w:t>
      </w:r>
      <w:r w:rsidR="00F736FD">
        <w:t>s</w:t>
      </w:r>
      <w:r>
        <w:t xml:space="preserve"> the most important words for learners. The New General Service List (NGSL) can be used to categorise the percentage of words in a text that fit within this list. An ideal target is for 95 percent of vocabulary to be on the general list. </w:t>
      </w:r>
    </w:p>
    <w:p w14:paraId="320B3F35" w14:textId="765183E2" w:rsidR="00936F30" w:rsidRDefault="00FD6BD3" w:rsidP="00936F30">
      <w:r>
        <w:t>Table 3</w:t>
      </w:r>
      <w:r w:rsidR="00936F30">
        <w:t xml:space="preserve"> shows that both surveys met the 95 percent criteria and</w:t>
      </w:r>
      <w:r w:rsidR="00F736FD">
        <w:t>,</w:t>
      </w:r>
      <w:r w:rsidR="00936F30">
        <w:t xml:space="preserve"> importantly</w:t>
      </w:r>
      <w:r w:rsidR="00F736FD">
        <w:t>,</w:t>
      </w:r>
      <w:r w:rsidR="00936F30">
        <w:t xml:space="preserve"> the 95 percent goal </w:t>
      </w:r>
      <w:r w:rsidR="00F736FD">
        <w:t xml:space="preserve">was </w:t>
      </w:r>
      <w:r w:rsidR="00936F30">
        <w:t>achieved in the first 1,000 words, meaning the text is fairly basic.</w:t>
      </w:r>
    </w:p>
    <w:p w14:paraId="7DCF2B5E" w14:textId="77777777" w:rsidR="003F0A76" w:rsidRPr="00A61C8D" w:rsidRDefault="003F0A76" w:rsidP="003F0A76">
      <w:pPr>
        <w:pStyle w:val="Heading2"/>
        <w:rPr>
          <w:rFonts w:asciiTheme="minorHAnsi" w:eastAsiaTheme="minorHAnsi" w:hAnsiTheme="minorHAnsi" w:cstheme="minorBidi"/>
          <w:b w:val="0"/>
          <w:bCs w:val="0"/>
          <w:sz w:val="22"/>
          <w:szCs w:val="22"/>
        </w:rPr>
      </w:pPr>
      <w:r w:rsidRPr="00A61C8D">
        <w:rPr>
          <w:rFonts w:asciiTheme="minorHAnsi" w:eastAsiaTheme="minorHAnsi" w:hAnsiTheme="minorHAnsi" w:cstheme="minorBidi"/>
          <w:sz w:val="22"/>
          <w:szCs w:val="22"/>
        </w:rPr>
        <w:lastRenderedPageBreak/>
        <w:t>Table 3:</w:t>
      </w:r>
      <w:r>
        <w:rPr>
          <w:rFonts w:asciiTheme="minorHAnsi" w:eastAsiaTheme="minorHAnsi" w:hAnsiTheme="minorHAnsi" w:cstheme="minorBidi"/>
          <w:sz w:val="22"/>
          <w:szCs w:val="22"/>
        </w:rPr>
        <w:t xml:space="preserve"> Percentage of survey text in vocabulary lists</w:t>
      </w:r>
    </w:p>
    <w:tbl>
      <w:tblPr>
        <w:tblStyle w:val="TableGridLight1"/>
        <w:tblW w:w="6237" w:type="dxa"/>
        <w:tblLook w:val="04A0" w:firstRow="1" w:lastRow="0" w:firstColumn="1" w:lastColumn="0" w:noHBand="0" w:noVBand="1"/>
      </w:tblPr>
      <w:tblGrid>
        <w:gridCol w:w="3969"/>
        <w:gridCol w:w="1134"/>
        <w:gridCol w:w="1134"/>
      </w:tblGrid>
      <w:tr w:rsidR="003F0A76" w:rsidRPr="00F736FD" w14:paraId="14BEE16E" w14:textId="77777777" w:rsidTr="00C53AB7">
        <w:trPr>
          <w:trHeight w:val="410"/>
        </w:trPr>
        <w:tc>
          <w:tcPr>
            <w:tcW w:w="3969" w:type="dxa"/>
          </w:tcPr>
          <w:p w14:paraId="0FBFA9F7" w14:textId="5146B5B4" w:rsidR="003F0A76" w:rsidRPr="00C53AB7" w:rsidRDefault="00F736FD" w:rsidP="00C53AB7">
            <w:pPr>
              <w:spacing w:before="40" w:after="40"/>
              <w:rPr>
                <w:b/>
                <w:bCs/>
                <w:szCs w:val="20"/>
                <w:lang w:val="en-NZ"/>
              </w:rPr>
            </w:pPr>
            <w:r w:rsidRPr="00C53AB7">
              <w:rPr>
                <w:b/>
                <w:bCs/>
                <w:szCs w:val="20"/>
              </w:rPr>
              <w:t>Word lists percentages</w:t>
            </w:r>
            <w:r w:rsidR="003F0A76" w:rsidRPr="00C53AB7">
              <w:rPr>
                <w:rStyle w:val="FootnoteReference"/>
                <w:b/>
                <w:bCs/>
                <w:szCs w:val="20"/>
              </w:rPr>
              <w:footnoteReference w:id="3"/>
            </w:r>
          </w:p>
        </w:tc>
        <w:tc>
          <w:tcPr>
            <w:tcW w:w="1134" w:type="dxa"/>
          </w:tcPr>
          <w:p w14:paraId="46E82319" w14:textId="77777777" w:rsidR="003F0A76" w:rsidRPr="00C53AB7" w:rsidRDefault="003F0A76" w:rsidP="00C53AB7">
            <w:pPr>
              <w:spacing w:before="40" w:after="40"/>
              <w:jc w:val="center"/>
              <w:rPr>
                <w:b/>
                <w:bCs/>
                <w:lang w:val="en-NZ"/>
              </w:rPr>
            </w:pPr>
            <w:r w:rsidRPr="00C53AB7">
              <w:rPr>
                <w:b/>
                <w:bCs/>
              </w:rPr>
              <w:t>PCPES</w:t>
            </w:r>
          </w:p>
        </w:tc>
        <w:tc>
          <w:tcPr>
            <w:tcW w:w="1134" w:type="dxa"/>
          </w:tcPr>
          <w:p w14:paraId="52976307" w14:textId="77777777" w:rsidR="003F0A76" w:rsidRPr="00C53AB7" w:rsidRDefault="003F0A76" w:rsidP="00C53AB7">
            <w:pPr>
              <w:spacing w:before="40" w:after="40"/>
              <w:jc w:val="center"/>
              <w:rPr>
                <w:b/>
                <w:bCs/>
                <w:lang w:val="en-NZ"/>
              </w:rPr>
            </w:pPr>
            <w:r w:rsidRPr="00C53AB7">
              <w:rPr>
                <w:b/>
                <w:bCs/>
              </w:rPr>
              <w:t>IPES</w:t>
            </w:r>
          </w:p>
        </w:tc>
      </w:tr>
      <w:tr w:rsidR="003F0A76" w:rsidRPr="008B6704" w14:paraId="4E69C780" w14:textId="77777777" w:rsidTr="00C53AB7">
        <w:trPr>
          <w:trHeight w:val="351"/>
        </w:trPr>
        <w:tc>
          <w:tcPr>
            <w:tcW w:w="3969" w:type="dxa"/>
          </w:tcPr>
          <w:p w14:paraId="79DB0349" w14:textId="5BDBE848" w:rsidR="003F0A76" w:rsidRPr="00A61C8D" w:rsidRDefault="003F0A76" w:rsidP="00C53AB7">
            <w:pPr>
              <w:spacing w:before="40" w:after="40"/>
              <w:rPr>
                <w:rFonts w:asciiTheme="minorHAnsi" w:hAnsiTheme="minorHAnsi" w:cstheme="minorHAnsi"/>
                <w:lang w:val="en-NZ"/>
              </w:rPr>
            </w:pPr>
            <w:r w:rsidRPr="00A61C8D">
              <w:rPr>
                <w:rFonts w:asciiTheme="minorHAnsi" w:hAnsiTheme="minorHAnsi" w:cstheme="minorHAnsi"/>
                <w:lang w:val="en-NZ"/>
              </w:rPr>
              <w:t xml:space="preserve">NGSL – </w:t>
            </w:r>
            <w:r w:rsidR="00F736FD">
              <w:rPr>
                <w:rFonts w:asciiTheme="minorHAnsi" w:hAnsiTheme="minorHAnsi" w:cstheme="minorHAnsi"/>
                <w:lang w:val="en-NZ"/>
              </w:rPr>
              <w:t>f</w:t>
            </w:r>
            <w:r w:rsidRPr="00A61C8D">
              <w:rPr>
                <w:rFonts w:asciiTheme="minorHAnsi" w:hAnsiTheme="minorHAnsi" w:cstheme="minorHAnsi"/>
                <w:lang w:val="en-NZ"/>
              </w:rPr>
              <w:t>irst 1,000 words</w:t>
            </w:r>
          </w:p>
        </w:tc>
        <w:tc>
          <w:tcPr>
            <w:tcW w:w="1134" w:type="dxa"/>
          </w:tcPr>
          <w:p w14:paraId="621A0EEA" w14:textId="77777777" w:rsidR="003F0A76" w:rsidRPr="008B6704" w:rsidRDefault="003F0A76" w:rsidP="00C53AB7">
            <w:pPr>
              <w:spacing w:before="40" w:after="40"/>
              <w:jc w:val="center"/>
              <w:rPr>
                <w:lang w:val="en-NZ"/>
              </w:rPr>
            </w:pPr>
            <w:r w:rsidRPr="008B6704">
              <w:rPr>
                <w:lang w:val="en-NZ"/>
              </w:rPr>
              <w:t>9</w:t>
            </w:r>
            <w:r>
              <w:rPr>
                <w:lang w:val="en-NZ"/>
              </w:rPr>
              <w:t>2</w:t>
            </w:r>
            <w:r w:rsidRPr="008B6704">
              <w:rPr>
                <w:lang w:val="en-NZ"/>
              </w:rPr>
              <w:t>%</w:t>
            </w:r>
          </w:p>
        </w:tc>
        <w:tc>
          <w:tcPr>
            <w:tcW w:w="1134" w:type="dxa"/>
          </w:tcPr>
          <w:p w14:paraId="1CBB098A" w14:textId="77777777" w:rsidR="003F0A76" w:rsidRPr="008B6704" w:rsidRDefault="003F0A76" w:rsidP="00C53AB7">
            <w:pPr>
              <w:spacing w:before="40" w:after="40"/>
              <w:jc w:val="center"/>
              <w:rPr>
                <w:lang w:val="en-NZ"/>
              </w:rPr>
            </w:pPr>
            <w:r w:rsidRPr="008B6704">
              <w:rPr>
                <w:lang w:val="en-NZ"/>
              </w:rPr>
              <w:t>9</w:t>
            </w:r>
            <w:r>
              <w:rPr>
                <w:lang w:val="en-NZ"/>
              </w:rPr>
              <w:t>1</w:t>
            </w:r>
            <w:r w:rsidRPr="008B6704">
              <w:rPr>
                <w:lang w:val="en-NZ"/>
              </w:rPr>
              <w:t>%</w:t>
            </w:r>
          </w:p>
        </w:tc>
      </w:tr>
      <w:tr w:rsidR="003F0A76" w:rsidRPr="008B6704" w14:paraId="45EF6B0C" w14:textId="77777777" w:rsidTr="00C53AB7">
        <w:trPr>
          <w:trHeight w:val="351"/>
        </w:trPr>
        <w:tc>
          <w:tcPr>
            <w:tcW w:w="3969" w:type="dxa"/>
          </w:tcPr>
          <w:p w14:paraId="4B176792" w14:textId="090BAEDF" w:rsidR="003F0A76" w:rsidRPr="00A61C8D" w:rsidRDefault="003F0A76" w:rsidP="00C53AB7">
            <w:pPr>
              <w:spacing w:before="40" w:after="40"/>
              <w:rPr>
                <w:rFonts w:asciiTheme="minorHAnsi" w:hAnsiTheme="minorHAnsi" w:cstheme="minorHAnsi"/>
                <w:lang w:val="en-NZ"/>
              </w:rPr>
            </w:pPr>
            <w:r w:rsidRPr="00A61C8D">
              <w:rPr>
                <w:rFonts w:asciiTheme="minorHAnsi" w:hAnsiTheme="minorHAnsi" w:cstheme="minorHAnsi"/>
                <w:lang w:val="en-NZ"/>
              </w:rPr>
              <w:t xml:space="preserve">NGSL – </w:t>
            </w:r>
            <w:r w:rsidR="00F736FD">
              <w:rPr>
                <w:rFonts w:asciiTheme="minorHAnsi" w:hAnsiTheme="minorHAnsi" w:cstheme="minorHAnsi"/>
                <w:lang w:val="en-NZ"/>
              </w:rPr>
              <w:t>s</w:t>
            </w:r>
            <w:r w:rsidRPr="00A61C8D">
              <w:rPr>
                <w:rFonts w:asciiTheme="minorHAnsi" w:hAnsiTheme="minorHAnsi" w:cstheme="minorHAnsi"/>
                <w:lang w:val="en-NZ"/>
              </w:rPr>
              <w:t xml:space="preserve">econd 1,000 </w:t>
            </w:r>
            <w:r w:rsidR="00F736FD">
              <w:rPr>
                <w:rFonts w:asciiTheme="minorHAnsi" w:hAnsiTheme="minorHAnsi" w:cstheme="minorHAnsi"/>
                <w:lang w:val="en-NZ"/>
              </w:rPr>
              <w:t>w</w:t>
            </w:r>
            <w:r w:rsidRPr="00A61C8D">
              <w:rPr>
                <w:rFonts w:asciiTheme="minorHAnsi" w:hAnsiTheme="minorHAnsi" w:cstheme="minorHAnsi"/>
                <w:lang w:val="en-NZ"/>
              </w:rPr>
              <w:t>ords</w:t>
            </w:r>
          </w:p>
        </w:tc>
        <w:tc>
          <w:tcPr>
            <w:tcW w:w="1134" w:type="dxa"/>
          </w:tcPr>
          <w:p w14:paraId="5BED1F5C" w14:textId="77777777" w:rsidR="003F0A76" w:rsidRPr="008B6704" w:rsidRDefault="003F0A76" w:rsidP="00C53AB7">
            <w:pPr>
              <w:spacing w:before="40" w:after="40"/>
              <w:jc w:val="center"/>
              <w:rPr>
                <w:lang w:val="en-NZ"/>
              </w:rPr>
            </w:pPr>
            <w:r>
              <w:rPr>
                <w:lang w:val="en-NZ"/>
              </w:rPr>
              <w:t>4</w:t>
            </w:r>
            <w:r w:rsidRPr="008B6704">
              <w:rPr>
                <w:lang w:val="en-NZ"/>
              </w:rPr>
              <w:t>%</w:t>
            </w:r>
          </w:p>
        </w:tc>
        <w:tc>
          <w:tcPr>
            <w:tcW w:w="1134" w:type="dxa"/>
          </w:tcPr>
          <w:p w14:paraId="32D8E5AA" w14:textId="77777777" w:rsidR="003F0A76" w:rsidRPr="008B6704" w:rsidRDefault="003F0A76" w:rsidP="00C53AB7">
            <w:pPr>
              <w:spacing w:before="40" w:after="40"/>
              <w:jc w:val="center"/>
              <w:rPr>
                <w:lang w:val="en-NZ"/>
              </w:rPr>
            </w:pPr>
            <w:r w:rsidRPr="008B6704">
              <w:rPr>
                <w:lang w:val="en-NZ"/>
              </w:rPr>
              <w:t>4%</w:t>
            </w:r>
          </w:p>
        </w:tc>
      </w:tr>
      <w:tr w:rsidR="003F0A76" w:rsidRPr="008B6704" w14:paraId="7A9A3DC7" w14:textId="77777777" w:rsidTr="00C53AB7">
        <w:trPr>
          <w:trHeight w:val="351"/>
        </w:trPr>
        <w:tc>
          <w:tcPr>
            <w:tcW w:w="3969" w:type="dxa"/>
          </w:tcPr>
          <w:p w14:paraId="0CEA7F5C" w14:textId="2040486D" w:rsidR="003F0A76" w:rsidRPr="00A61C8D" w:rsidRDefault="003F0A76" w:rsidP="00C53AB7">
            <w:pPr>
              <w:spacing w:before="40" w:after="40"/>
              <w:rPr>
                <w:rFonts w:asciiTheme="minorHAnsi" w:hAnsiTheme="minorHAnsi" w:cstheme="minorHAnsi"/>
                <w:lang w:val="en-NZ"/>
              </w:rPr>
            </w:pPr>
            <w:r w:rsidRPr="00A61C8D">
              <w:rPr>
                <w:rFonts w:asciiTheme="minorHAnsi" w:hAnsiTheme="minorHAnsi" w:cstheme="minorHAnsi"/>
                <w:lang w:val="en-NZ"/>
              </w:rPr>
              <w:t xml:space="preserve">NGSL – </w:t>
            </w:r>
            <w:r w:rsidR="00F736FD">
              <w:rPr>
                <w:rFonts w:asciiTheme="minorHAnsi" w:hAnsiTheme="minorHAnsi" w:cstheme="minorHAnsi"/>
                <w:lang w:val="en-NZ"/>
              </w:rPr>
              <w:t>n</w:t>
            </w:r>
            <w:r w:rsidRPr="00A61C8D">
              <w:rPr>
                <w:rFonts w:asciiTheme="minorHAnsi" w:hAnsiTheme="minorHAnsi" w:cstheme="minorHAnsi"/>
                <w:lang w:val="en-NZ"/>
              </w:rPr>
              <w:t>ext general word lists</w:t>
            </w:r>
          </w:p>
        </w:tc>
        <w:tc>
          <w:tcPr>
            <w:tcW w:w="1134" w:type="dxa"/>
          </w:tcPr>
          <w:p w14:paraId="1B24914A" w14:textId="77777777" w:rsidR="003F0A76" w:rsidRPr="008B6704" w:rsidRDefault="003F0A76" w:rsidP="00C53AB7">
            <w:pPr>
              <w:spacing w:before="40" w:after="40"/>
              <w:jc w:val="center"/>
              <w:rPr>
                <w:lang w:val="en-NZ"/>
              </w:rPr>
            </w:pPr>
            <w:r w:rsidRPr="008B6704">
              <w:rPr>
                <w:lang w:val="en-NZ"/>
              </w:rPr>
              <w:t>0.7%</w:t>
            </w:r>
          </w:p>
        </w:tc>
        <w:tc>
          <w:tcPr>
            <w:tcW w:w="1134" w:type="dxa"/>
          </w:tcPr>
          <w:p w14:paraId="64E68571" w14:textId="77777777" w:rsidR="003F0A76" w:rsidRPr="008B6704" w:rsidRDefault="003F0A76" w:rsidP="00C53AB7">
            <w:pPr>
              <w:spacing w:before="40" w:after="40"/>
              <w:jc w:val="center"/>
              <w:rPr>
                <w:lang w:val="en-NZ"/>
              </w:rPr>
            </w:pPr>
            <w:r w:rsidRPr="008B6704">
              <w:rPr>
                <w:lang w:val="en-NZ"/>
              </w:rPr>
              <w:t>1%</w:t>
            </w:r>
          </w:p>
        </w:tc>
      </w:tr>
      <w:tr w:rsidR="003F0A76" w:rsidRPr="008B6704" w14:paraId="1C47917B" w14:textId="77777777" w:rsidTr="00C53AB7">
        <w:trPr>
          <w:trHeight w:val="351"/>
        </w:trPr>
        <w:tc>
          <w:tcPr>
            <w:tcW w:w="3969" w:type="dxa"/>
          </w:tcPr>
          <w:p w14:paraId="0A40F38E" w14:textId="7E2D4918" w:rsidR="003F0A76" w:rsidRPr="00A61C8D" w:rsidRDefault="003F0A76" w:rsidP="00C53AB7">
            <w:pPr>
              <w:spacing w:before="40" w:after="40"/>
              <w:rPr>
                <w:rFonts w:asciiTheme="minorHAnsi" w:hAnsiTheme="minorHAnsi" w:cstheme="minorHAnsi"/>
                <w:lang w:val="en-NZ"/>
              </w:rPr>
            </w:pPr>
            <w:r w:rsidRPr="00A61C8D">
              <w:rPr>
                <w:rFonts w:asciiTheme="minorHAnsi" w:hAnsiTheme="minorHAnsi" w:cstheme="minorHAnsi"/>
                <w:lang w:val="en-NZ"/>
              </w:rPr>
              <w:t>NAWL</w:t>
            </w:r>
            <w:r w:rsidR="001A7243">
              <w:rPr>
                <w:rFonts w:asciiTheme="minorHAnsi" w:hAnsiTheme="minorHAnsi" w:cstheme="minorHAnsi"/>
                <w:lang w:val="en-NZ"/>
              </w:rPr>
              <w:t xml:space="preserve"> (</w:t>
            </w:r>
            <w:r w:rsidR="00773601">
              <w:rPr>
                <w:rFonts w:asciiTheme="minorHAnsi" w:hAnsiTheme="minorHAnsi" w:cstheme="minorHAnsi"/>
                <w:lang w:val="en-NZ"/>
              </w:rPr>
              <w:t>n</w:t>
            </w:r>
            <w:r w:rsidR="001A7243">
              <w:rPr>
                <w:rFonts w:asciiTheme="minorHAnsi" w:hAnsiTheme="minorHAnsi" w:cstheme="minorHAnsi"/>
                <w:lang w:val="en-NZ"/>
              </w:rPr>
              <w:t>ew academic word list)</w:t>
            </w:r>
            <w:r w:rsidRPr="00A61C8D">
              <w:rPr>
                <w:rFonts w:asciiTheme="minorHAnsi" w:hAnsiTheme="minorHAnsi" w:cstheme="minorHAnsi"/>
                <w:lang w:val="en-NZ"/>
              </w:rPr>
              <w:t xml:space="preserve"> – </w:t>
            </w:r>
            <w:r w:rsidR="00F736FD">
              <w:rPr>
                <w:rFonts w:asciiTheme="minorHAnsi" w:hAnsiTheme="minorHAnsi" w:cstheme="minorHAnsi"/>
                <w:lang w:val="en-NZ"/>
              </w:rPr>
              <w:t>a</w:t>
            </w:r>
            <w:r w:rsidRPr="00A61C8D">
              <w:rPr>
                <w:rFonts w:asciiTheme="minorHAnsi" w:hAnsiTheme="minorHAnsi" w:cstheme="minorHAnsi"/>
                <w:lang w:val="en-NZ"/>
              </w:rPr>
              <w:t>cademic words</w:t>
            </w:r>
          </w:p>
        </w:tc>
        <w:tc>
          <w:tcPr>
            <w:tcW w:w="1134" w:type="dxa"/>
          </w:tcPr>
          <w:p w14:paraId="78CC5697" w14:textId="77777777" w:rsidR="003F0A76" w:rsidRPr="008B6704" w:rsidRDefault="003F0A76" w:rsidP="00C53AB7">
            <w:pPr>
              <w:spacing w:before="40" w:after="40"/>
              <w:jc w:val="center"/>
              <w:rPr>
                <w:lang w:val="en-NZ"/>
              </w:rPr>
            </w:pPr>
            <w:r w:rsidRPr="008B6704">
              <w:rPr>
                <w:lang w:val="en-NZ"/>
              </w:rPr>
              <w:t>0.8%</w:t>
            </w:r>
          </w:p>
        </w:tc>
        <w:tc>
          <w:tcPr>
            <w:tcW w:w="1134" w:type="dxa"/>
          </w:tcPr>
          <w:p w14:paraId="5222CE0C" w14:textId="77777777" w:rsidR="003F0A76" w:rsidRPr="008B6704" w:rsidRDefault="003F0A76" w:rsidP="00C53AB7">
            <w:pPr>
              <w:spacing w:before="40" w:after="40"/>
              <w:jc w:val="center"/>
              <w:rPr>
                <w:lang w:val="en-NZ"/>
              </w:rPr>
            </w:pPr>
            <w:r w:rsidRPr="008B6704">
              <w:rPr>
                <w:lang w:val="en-NZ"/>
              </w:rPr>
              <w:t>0.8%</w:t>
            </w:r>
          </w:p>
        </w:tc>
      </w:tr>
      <w:tr w:rsidR="003F0A76" w:rsidRPr="008B6704" w14:paraId="3BF83198" w14:textId="77777777" w:rsidTr="00C53AB7">
        <w:trPr>
          <w:trHeight w:val="351"/>
        </w:trPr>
        <w:tc>
          <w:tcPr>
            <w:tcW w:w="3969" w:type="dxa"/>
          </w:tcPr>
          <w:p w14:paraId="00A4DD7A" w14:textId="77777777" w:rsidR="003F0A76" w:rsidRPr="00A61C8D" w:rsidRDefault="003F0A76" w:rsidP="00C53AB7">
            <w:pPr>
              <w:spacing w:before="40" w:after="40"/>
              <w:rPr>
                <w:rFonts w:asciiTheme="minorHAnsi" w:hAnsiTheme="minorHAnsi" w:cstheme="minorHAnsi"/>
                <w:lang w:val="en-NZ"/>
              </w:rPr>
            </w:pPr>
            <w:r w:rsidRPr="00A61C8D">
              <w:rPr>
                <w:rFonts w:asciiTheme="minorHAnsi" w:hAnsiTheme="minorHAnsi" w:cstheme="minorHAnsi"/>
                <w:lang w:val="en-NZ"/>
              </w:rPr>
              <w:t>Off-list words</w:t>
            </w:r>
          </w:p>
        </w:tc>
        <w:tc>
          <w:tcPr>
            <w:tcW w:w="1134" w:type="dxa"/>
          </w:tcPr>
          <w:p w14:paraId="4FD130DD" w14:textId="77777777" w:rsidR="003F0A76" w:rsidRPr="008B6704" w:rsidRDefault="003F0A76" w:rsidP="00C53AB7">
            <w:pPr>
              <w:spacing w:before="40" w:after="40"/>
              <w:jc w:val="center"/>
              <w:rPr>
                <w:lang w:val="en-NZ"/>
              </w:rPr>
            </w:pPr>
            <w:r w:rsidRPr="008B6704">
              <w:rPr>
                <w:lang w:val="en-NZ"/>
              </w:rPr>
              <w:t>3%</w:t>
            </w:r>
          </w:p>
        </w:tc>
        <w:tc>
          <w:tcPr>
            <w:tcW w:w="1134" w:type="dxa"/>
          </w:tcPr>
          <w:p w14:paraId="274C7A2F" w14:textId="77777777" w:rsidR="003F0A76" w:rsidRPr="008B6704" w:rsidRDefault="003F0A76" w:rsidP="00C53AB7">
            <w:pPr>
              <w:spacing w:before="40" w:after="40"/>
              <w:jc w:val="center"/>
              <w:rPr>
                <w:lang w:val="en-NZ"/>
              </w:rPr>
            </w:pPr>
            <w:r>
              <w:rPr>
                <w:lang w:val="en-NZ"/>
              </w:rPr>
              <w:t>3</w:t>
            </w:r>
            <w:r w:rsidRPr="008B6704">
              <w:rPr>
                <w:lang w:val="en-NZ"/>
              </w:rPr>
              <w:t>%</w:t>
            </w:r>
          </w:p>
        </w:tc>
      </w:tr>
    </w:tbl>
    <w:p w14:paraId="48DBDD4B" w14:textId="77777777" w:rsidR="00936F30" w:rsidRDefault="00936F30" w:rsidP="00936F30">
      <w:pPr>
        <w:pStyle w:val="Heading4"/>
      </w:pPr>
      <w:r>
        <w:t>Sentence structure and syntax</w:t>
      </w:r>
    </w:p>
    <w:p w14:paraId="6FF87E2E" w14:textId="46B1939F" w:rsidR="00936F30" w:rsidRDefault="00936F30" w:rsidP="00936F30">
      <w:r>
        <w:t xml:space="preserve">The sentence structure was also reviewed to simplify complex sentences. </w:t>
      </w:r>
    </w:p>
    <w:p w14:paraId="2B0D9496" w14:textId="45BF11DE" w:rsidR="00936F30" w:rsidRDefault="00936F30" w:rsidP="00936F30">
      <w:pPr>
        <w:pStyle w:val="Heading1"/>
      </w:pPr>
      <w:bookmarkStart w:id="10" w:name="_Toc68605854"/>
      <w:r>
        <w:t>Finalising the revised questionnaire</w:t>
      </w:r>
      <w:r w:rsidR="00F736FD">
        <w:t>s</w:t>
      </w:r>
      <w:bookmarkEnd w:id="10"/>
      <w:r>
        <w:t xml:space="preserve"> </w:t>
      </w:r>
    </w:p>
    <w:p w14:paraId="430A0B4B" w14:textId="0184F6D6" w:rsidR="00936F30" w:rsidRDefault="00936F30" w:rsidP="00936F30">
      <w:r>
        <w:t xml:space="preserve">Once </w:t>
      </w:r>
      <w:r w:rsidR="00F736FD">
        <w:t xml:space="preserve">we had finalised </w:t>
      </w:r>
      <w:r w:rsidR="00AC0BB5">
        <w:t xml:space="preserve">the </w:t>
      </w:r>
      <w:r>
        <w:t>revised questionnaire</w:t>
      </w:r>
      <w:r w:rsidR="00F736FD">
        <w:t>s</w:t>
      </w:r>
      <w:r>
        <w:t xml:space="preserve">, </w:t>
      </w:r>
      <w:r w:rsidR="00F736FD">
        <w:t xml:space="preserve">we </w:t>
      </w:r>
      <w:r>
        <w:t>shared</w:t>
      </w:r>
      <w:r w:rsidR="00F736FD">
        <w:t xml:space="preserve"> </w:t>
      </w:r>
      <w:r w:rsidR="00AC0BB5">
        <w:t>them</w:t>
      </w:r>
      <w:r>
        <w:t xml:space="preserve"> with stakeholders </w:t>
      </w:r>
      <w:r w:rsidR="00F736FD">
        <w:t xml:space="preserve">to get their </w:t>
      </w:r>
      <w:r>
        <w:t xml:space="preserve">feedback. </w:t>
      </w:r>
      <w:r w:rsidR="00F736FD">
        <w:t>They were</w:t>
      </w:r>
      <w:r>
        <w:t xml:space="preserve"> also compared </w:t>
      </w:r>
      <w:r w:rsidR="00F736FD">
        <w:t xml:space="preserve">with </w:t>
      </w:r>
      <w:r>
        <w:t>ongoing Ministry of Health and other initiatives such as Cornerstone</w:t>
      </w:r>
      <w:r w:rsidR="00F736FD">
        <w:t xml:space="preserve"> and</w:t>
      </w:r>
      <w:r>
        <w:t xml:space="preserve"> Healthcare Homes to </w:t>
      </w:r>
      <w:r w:rsidR="00F736FD">
        <w:t xml:space="preserve">check </w:t>
      </w:r>
      <w:r>
        <w:t xml:space="preserve">that necessary patient experience measures </w:t>
      </w:r>
      <w:r w:rsidR="00F736FD">
        <w:t xml:space="preserve">were still </w:t>
      </w:r>
      <w:r>
        <w:t xml:space="preserve">included. </w:t>
      </w:r>
    </w:p>
    <w:p w14:paraId="49476FA3" w14:textId="77777777" w:rsidR="00936F30" w:rsidRDefault="00936F30" w:rsidP="00936F30">
      <w:pPr>
        <w:pStyle w:val="Heading1"/>
      </w:pPr>
      <w:bookmarkStart w:id="11" w:name="_Toc68605855"/>
      <w:r>
        <w:t>Patient review of questionnaire through cognitive pre-testing</w:t>
      </w:r>
      <w:bookmarkEnd w:id="11"/>
    </w:p>
    <w:p w14:paraId="54929A0E" w14:textId="4A838CEC" w:rsidR="00936F30" w:rsidRDefault="00936F30" w:rsidP="00936F30">
      <w:r>
        <w:t>The revised questionnaires underwent full cognitive pre-testing to assess how patients underst</w:t>
      </w:r>
      <w:r w:rsidR="00D47E1B">
        <w:t>ood</w:t>
      </w:r>
      <w:r>
        <w:t xml:space="preserve"> and interpret</w:t>
      </w:r>
      <w:r w:rsidR="00D47E1B">
        <w:t>ed</w:t>
      </w:r>
      <w:r>
        <w:t xml:space="preserve"> the questions and instructions. The aim was to find out from patients if:</w:t>
      </w:r>
    </w:p>
    <w:p w14:paraId="172CDCC3" w14:textId="5B458E3B" w:rsidR="00936F30" w:rsidRDefault="00936F30" w:rsidP="00950930">
      <w:pPr>
        <w:pStyle w:val="ListParagraph"/>
        <w:numPr>
          <w:ilvl w:val="0"/>
          <w:numId w:val="24"/>
        </w:numPr>
      </w:pPr>
      <w:r>
        <w:t xml:space="preserve">the survey instructions </w:t>
      </w:r>
      <w:r w:rsidR="00AC0BB5">
        <w:t xml:space="preserve">and questions </w:t>
      </w:r>
      <w:r w:rsidR="00D47E1B">
        <w:t xml:space="preserve">were </w:t>
      </w:r>
      <w:r>
        <w:t>easy to understand</w:t>
      </w:r>
    </w:p>
    <w:p w14:paraId="26EF2DE0" w14:textId="4CD1CE30" w:rsidR="00936F30" w:rsidRDefault="00936F30" w:rsidP="00950930">
      <w:pPr>
        <w:pStyle w:val="ListParagraph"/>
        <w:numPr>
          <w:ilvl w:val="0"/>
          <w:numId w:val="24"/>
        </w:numPr>
      </w:pPr>
      <w:r>
        <w:t xml:space="preserve">the questions </w:t>
      </w:r>
      <w:r w:rsidR="00D47E1B">
        <w:t xml:space="preserve">were </w:t>
      </w:r>
      <w:r>
        <w:t>relevant</w:t>
      </w:r>
    </w:p>
    <w:p w14:paraId="40BFB621" w14:textId="6AD9BF06" w:rsidR="00936F30" w:rsidRDefault="00936F30" w:rsidP="00950930">
      <w:pPr>
        <w:pStyle w:val="ListParagraph"/>
        <w:numPr>
          <w:ilvl w:val="0"/>
          <w:numId w:val="24"/>
        </w:numPr>
      </w:pPr>
      <w:r>
        <w:t>the survey</w:t>
      </w:r>
      <w:r w:rsidR="00D47E1B">
        <w:t>s</w:t>
      </w:r>
      <w:r>
        <w:t xml:space="preserve"> enable</w:t>
      </w:r>
      <w:r w:rsidR="00D47E1B">
        <w:t>d</w:t>
      </w:r>
      <w:r>
        <w:t xml:space="preserve"> them to talk about what they </w:t>
      </w:r>
      <w:r w:rsidR="00D47E1B">
        <w:t>thought was</w:t>
      </w:r>
      <w:r>
        <w:t xml:space="preserve"> important</w:t>
      </w:r>
    </w:p>
    <w:p w14:paraId="15BADBF8" w14:textId="3E823587" w:rsidR="00936F30" w:rsidRDefault="00936F30" w:rsidP="00950930">
      <w:pPr>
        <w:pStyle w:val="ListParagraph"/>
        <w:numPr>
          <w:ilvl w:val="0"/>
          <w:numId w:val="24"/>
        </w:numPr>
      </w:pPr>
      <w:r>
        <w:t xml:space="preserve">any important questions </w:t>
      </w:r>
      <w:r w:rsidR="00D47E1B">
        <w:t xml:space="preserve">were </w:t>
      </w:r>
      <w:r>
        <w:t>missing</w:t>
      </w:r>
    </w:p>
    <w:p w14:paraId="3C95739D" w14:textId="47E04943" w:rsidR="00936F30" w:rsidRDefault="00D47E1B" w:rsidP="00950930">
      <w:pPr>
        <w:pStyle w:val="ListParagraph"/>
        <w:numPr>
          <w:ilvl w:val="0"/>
          <w:numId w:val="24"/>
        </w:numPr>
      </w:pPr>
      <w:r>
        <w:t xml:space="preserve">there were </w:t>
      </w:r>
      <w:r w:rsidR="00936F30">
        <w:t>any</w:t>
      </w:r>
      <w:r w:rsidRPr="00D47E1B">
        <w:t xml:space="preserve"> </w:t>
      </w:r>
      <w:r>
        <w:t>completion</w:t>
      </w:r>
      <w:r w:rsidR="00936F30">
        <w:t xml:space="preserve"> barriers </w:t>
      </w:r>
      <w:r>
        <w:t xml:space="preserve">or </w:t>
      </w:r>
      <w:r w:rsidR="00936F30">
        <w:t>triggers</w:t>
      </w:r>
      <w:r>
        <w:t xml:space="preserve"> –</w:t>
      </w:r>
      <w:r w:rsidR="00936F30">
        <w:t xml:space="preserve"> </w:t>
      </w:r>
      <w:r>
        <w:t>this information would help us to look at ways to improve</w:t>
      </w:r>
      <w:r w:rsidR="00936F30">
        <w:t xml:space="preserve"> response rate</w:t>
      </w:r>
      <w:r>
        <w:t>s.</w:t>
      </w:r>
    </w:p>
    <w:p w14:paraId="4C81228E" w14:textId="02676FB4" w:rsidR="00936F30" w:rsidRDefault="00936F30" w:rsidP="00936F30">
      <w:r>
        <w:t xml:space="preserve">As part of the goal to improve participation and explore ways to increase response rates, </w:t>
      </w:r>
      <w:r w:rsidR="00D47E1B">
        <w:t xml:space="preserve">we took </w:t>
      </w:r>
      <w:r>
        <w:t>a deliberate approach to focus</w:t>
      </w:r>
      <w:r w:rsidR="00D47E1B">
        <w:t>ing</w:t>
      </w:r>
      <w:r>
        <w:t xml:space="preserve"> testing in Māori and Pacific people</w:t>
      </w:r>
      <w:r w:rsidR="00D47E1B">
        <w:t>s</w:t>
      </w:r>
      <w:r>
        <w:t>, youth and rural.</w:t>
      </w:r>
    </w:p>
    <w:p w14:paraId="1117773B" w14:textId="24379225" w:rsidR="00936F30" w:rsidRDefault="00D47E1B" w:rsidP="00936F30">
      <w:r>
        <w:t xml:space="preserve">There were </w:t>
      </w:r>
      <w:r w:rsidR="00936F30">
        <w:t xml:space="preserve">19 interviews conducted between 4 March and 20 March 2020 in Hawke’s Bay and the Auckland region. </w:t>
      </w:r>
    </w:p>
    <w:p w14:paraId="57616A8A" w14:textId="77777777" w:rsidR="001479A8" w:rsidRDefault="001479A8">
      <w:pPr>
        <w:spacing w:after="200"/>
        <w:rPr>
          <w:rFonts w:asciiTheme="majorHAnsi" w:eastAsiaTheme="majorEastAsia" w:hAnsiTheme="majorHAnsi" w:cstheme="majorBidi"/>
          <w:b/>
          <w:bCs/>
          <w:i/>
          <w:iCs/>
        </w:rPr>
      </w:pPr>
      <w:r>
        <w:br w:type="page"/>
      </w:r>
    </w:p>
    <w:p w14:paraId="4C45DD83" w14:textId="72D4D9A5" w:rsidR="00936F30" w:rsidRDefault="00936F30" w:rsidP="00936F30">
      <w:pPr>
        <w:pStyle w:val="Heading4"/>
      </w:pPr>
      <w:r>
        <w:lastRenderedPageBreak/>
        <w:t>Approach</w:t>
      </w:r>
      <w:r w:rsidR="00D47E1B">
        <w:t xml:space="preserve"> to interviews</w:t>
      </w:r>
    </w:p>
    <w:p w14:paraId="2F4FC494" w14:textId="7FB8DA10" w:rsidR="00936F30" w:rsidRDefault="00936F30" w:rsidP="00936F30">
      <w:r>
        <w:t xml:space="preserve">Interviews were carried out at locations suitable to the respondent, </w:t>
      </w:r>
      <w:proofErr w:type="spellStart"/>
      <w:r>
        <w:t>eg</w:t>
      </w:r>
      <w:proofErr w:type="spellEnd"/>
      <w:r w:rsidR="00D47E1B">
        <w:t>,</w:t>
      </w:r>
      <w:r>
        <w:t xml:space="preserve"> their home, office or a location provided by Ipsos. Respondents received a </w:t>
      </w:r>
      <w:proofErr w:type="spellStart"/>
      <w:r>
        <w:t>koha</w:t>
      </w:r>
      <w:proofErr w:type="spellEnd"/>
      <w:r>
        <w:t xml:space="preserve"> </w:t>
      </w:r>
      <w:r w:rsidR="00D47E1B">
        <w:t>in recognition</w:t>
      </w:r>
      <w:r>
        <w:t xml:space="preserve"> for their time.</w:t>
      </w:r>
    </w:p>
    <w:p w14:paraId="22354160" w14:textId="2367E71B" w:rsidR="00936F30" w:rsidRDefault="00D47E1B" w:rsidP="00936F30">
      <w:r>
        <w:t>We took a</w:t>
      </w:r>
      <w:r w:rsidR="00936F30">
        <w:t xml:space="preserve"> </w:t>
      </w:r>
      <w:r>
        <w:t>‘</w:t>
      </w:r>
      <w:r w:rsidR="00936F30">
        <w:t>thought-aloud</w:t>
      </w:r>
      <w:r>
        <w:t>’</w:t>
      </w:r>
      <w:r w:rsidR="00936F30">
        <w:t xml:space="preserve"> approach</w:t>
      </w:r>
      <w:r w:rsidR="001A7243">
        <w:rPr>
          <w:rStyle w:val="FootnoteReference"/>
        </w:rPr>
        <w:footnoteReference w:id="4"/>
      </w:r>
      <w:r w:rsidR="00936F30">
        <w:t xml:space="preserve"> to question review with participants as they completed the questionnaire. Areas of interest were discussed </w:t>
      </w:r>
      <w:r>
        <w:t xml:space="preserve">further </w:t>
      </w:r>
      <w:r w:rsidR="00936F30">
        <w:t xml:space="preserve">after an initial unaided response to the questionnaire. This was followed by a discussion of communication and invitation options, and strategies for better engaging with various communities represented by the participants. </w:t>
      </w:r>
    </w:p>
    <w:p w14:paraId="7019D105" w14:textId="77777777" w:rsidR="00936F30" w:rsidRDefault="00936F30" w:rsidP="00936F30">
      <w:pPr>
        <w:pStyle w:val="Heading4"/>
      </w:pPr>
      <w:r>
        <w:t>Participants</w:t>
      </w:r>
    </w:p>
    <w:p w14:paraId="2974A228" w14:textId="2D659FCC" w:rsidR="00936F30" w:rsidRDefault="00D47E1B" w:rsidP="00936F30">
      <w:r>
        <w:t xml:space="preserve">Participants </w:t>
      </w:r>
      <w:r w:rsidR="00936F30">
        <w:t>were recruited from lists provided by DHB</w:t>
      </w:r>
      <w:r w:rsidR="00E858A9">
        <w:t>s</w:t>
      </w:r>
      <w:r w:rsidR="00936F30">
        <w:t xml:space="preserve"> and practices in Auckland and Hawke’s Bay to </w:t>
      </w:r>
      <w:r w:rsidR="00E858A9">
        <w:t xml:space="preserve">take part </w:t>
      </w:r>
      <w:r w:rsidR="00936F30">
        <w:t xml:space="preserve">in 1.5-hour interviews with an Ipsos interviewer. </w:t>
      </w:r>
      <w:r w:rsidR="00E858A9">
        <w:t xml:space="preserve">They </w:t>
      </w:r>
      <w:r w:rsidR="00936F30">
        <w:t xml:space="preserve">were asked by their DHBs or practices to </w:t>
      </w:r>
      <w:r w:rsidR="00E858A9">
        <w:t xml:space="preserve">take part </w:t>
      </w:r>
      <w:r w:rsidR="00936F30">
        <w:t xml:space="preserve">in an interview with Ipsos. Participation was voluntary, and patients were informed that Ipsos would be carrying out the interviews before their details were shared with Ipsos for scheduling interviews. The process of recruiting and conducting the interviews followed Ipsos’ standard processes to ensure respondent privacy and protection under the Research Association New Zealand Code of Practice. Interested participants were offered a secure neutral location to </w:t>
      </w:r>
      <w:r w:rsidR="00E858A9">
        <w:t>conduct the interview</w:t>
      </w:r>
      <w:r w:rsidR="00936F30">
        <w:t xml:space="preserve"> or to choose </w:t>
      </w:r>
      <w:r w:rsidR="00E858A9">
        <w:t xml:space="preserve">a </w:t>
      </w:r>
      <w:r w:rsidR="00936F30">
        <w:t xml:space="preserve">location based on their own comfort level. </w:t>
      </w:r>
    </w:p>
    <w:p w14:paraId="7A7D9D63" w14:textId="2EB03219" w:rsidR="00936F30" w:rsidRDefault="00936F30" w:rsidP="00936F30">
      <w:r>
        <w:t xml:space="preserve">In addition, Māori and Pacific advisors from Pegasus PHO, Counties </w:t>
      </w:r>
      <w:proofErr w:type="spellStart"/>
      <w:r>
        <w:t>Manakau</w:t>
      </w:r>
      <w:proofErr w:type="spellEnd"/>
      <w:r>
        <w:t xml:space="preserve"> DHB, </w:t>
      </w:r>
      <w:proofErr w:type="spellStart"/>
      <w:r>
        <w:t>Waitemat</w:t>
      </w:r>
      <w:r w:rsidR="00853211" w:rsidRPr="00950930">
        <w:rPr>
          <w:rFonts w:asciiTheme="minorHAnsi" w:hAnsiTheme="minorHAnsi" w:cstheme="minorHAnsi"/>
        </w:rPr>
        <w:t>ā</w:t>
      </w:r>
      <w:proofErr w:type="spellEnd"/>
      <w:r w:rsidR="00853211">
        <w:t xml:space="preserve"> </w:t>
      </w:r>
      <w:r>
        <w:t xml:space="preserve">DHB, Hawke’s Bay Consumer Council, Hawke’s Bay DHB, Whanganui DHB, Taranaki DHB and Auckland DHB were invited to provide feedback on the questionnaires. </w:t>
      </w:r>
    </w:p>
    <w:p w14:paraId="400BDC65" w14:textId="06838092" w:rsidR="00936F30" w:rsidRDefault="00936F30" w:rsidP="00936F30">
      <w:r>
        <w:t>Below is the breakdown of participants in the cognitive testing interviews</w:t>
      </w:r>
      <w:r w:rsidR="00F73C13">
        <w:t xml:space="preserve"> (Table 4)</w:t>
      </w:r>
      <w:r>
        <w:t xml:space="preserve">. The </w:t>
      </w:r>
      <w:r w:rsidR="00853211">
        <w:t xml:space="preserve">rising threat of COVID-19 did impact </w:t>
      </w:r>
      <w:r>
        <w:t>stakeholders</w:t>
      </w:r>
      <w:r w:rsidR="00853211">
        <w:t>’ ability</w:t>
      </w:r>
      <w:r>
        <w:t xml:space="preserve"> to </w:t>
      </w:r>
      <w:r w:rsidR="00853211">
        <w:t>take part</w:t>
      </w:r>
      <w:r>
        <w:t xml:space="preserve"> and meant there were a few missed targets, especially among Pacific people</w:t>
      </w:r>
      <w:r w:rsidR="00853211">
        <w:t>s</w:t>
      </w:r>
      <w:r>
        <w:t xml:space="preserve"> in primary care and rural patients. In addition, two of the final </w:t>
      </w:r>
      <w:r w:rsidR="00853211">
        <w:t>primary car</w:t>
      </w:r>
      <w:r>
        <w:t>e interviews were postponed to a later date.</w:t>
      </w:r>
    </w:p>
    <w:p w14:paraId="0E6A58A6" w14:textId="77777777" w:rsidR="001479A8" w:rsidRDefault="001479A8">
      <w:pPr>
        <w:spacing w:after="200"/>
        <w:rPr>
          <w:b/>
          <w:bCs/>
        </w:rPr>
      </w:pPr>
      <w:r>
        <w:rPr>
          <w:b/>
          <w:bCs/>
        </w:rPr>
        <w:br w:type="page"/>
      </w:r>
    </w:p>
    <w:p w14:paraId="2352A02F" w14:textId="4F41125D" w:rsidR="00547AEF" w:rsidRPr="00D10E89" w:rsidRDefault="00547AEF" w:rsidP="00547AEF">
      <w:r>
        <w:rPr>
          <w:b/>
          <w:bCs/>
        </w:rPr>
        <w:lastRenderedPageBreak/>
        <w:t>Table 4: Summary of participants included in cognitive testing interviews</w:t>
      </w:r>
    </w:p>
    <w:tbl>
      <w:tblPr>
        <w:tblStyle w:val="TableGridLight1"/>
        <w:tblW w:w="9180" w:type="dxa"/>
        <w:tblLook w:val="04A0" w:firstRow="1" w:lastRow="0" w:firstColumn="1" w:lastColumn="0" w:noHBand="0" w:noVBand="1"/>
      </w:tblPr>
      <w:tblGrid>
        <w:gridCol w:w="4180"/>
        <w:gridCol w:w="1860"/>
        <w:gridCol w:w="1780"/>
        <w:gridCol w:w="1360"/>
      </w:tblGrid>
      <w:tr w:rsidR="00547AEF" w:rsidRPr="00D10E89" w14:paraId="0DDB43DD" w14:textId="77777777" w:rsidTr="00950930">
        <w:trPr>
          <w:trHeight w:val="397"/>
        </w:trPr>
        <w:tc>
          <w:tcPr>
            <w:tcW w:w="4180" w:type="dxa"/>
            <w:noWrap/>
            <w:hideMark/>
          </w:tcPr>
          <w:p w14:paraId="33D7F302" w14:textId="77777777" w:rsidR="00547AEF" w:rsidRPr="00D10E89" w:rsidRDefault="00547AEF" w:rsidP="00950930">
            <w:pPr>
              <w:spacing w:before="40" w:after="40"/>
              <w:rPr>
                <w:rFonts w:eastAsia="Calibri" w:cstheme="minorHAnsi"/>
              </w:rPr>
            </w:pPr>
          </w:p>
        </w:tc>
        <w:tc>
          <w:tcPr>
            <w:tcW w:w="1860" w:type="dxa"/>
            <w:noWrap/>
            <w:hideMark/>
          </w:tcPr>
          <w:p w14:paraId="7E925596" w14:textId="77777777" w:rsidR="00547AEF" w:rsidRPr="00D10E89" w:rsidRDefault="00547AEF" w:rsidP="00950930">
            <w:pPr>
              <w:spacing w:before="40" w:after="40"/>
              <w:rPr>
                <w:rFonts w:eastAsia="Times New Roman" w:cstheme="minorHAnsi"/>
                <w:lang w:eastAsia="en-NZ"/>
              </w:rPr>
            </w:pPr>
          </w:p>
        </w:tc>
        <w:tc>
          <w:tcPr>
            <w:tcW w:w="3140" w:type="dxa"/>
            <w:gridSpan w:val="2"/>
            <w:noWrap/>
            <w:hideMark/>
          </w:tcPr>
          <w:p w14:paraId="4EEA4EBB" w14:textId="77777777" w:rsidR="00547AEF" w:rsidRPr="00D10E89" w:rsidRDefault="00547AEF" w:rsidP="00950930">
            <w:pPr>
              <w:spacing w:before="40" w:after="40"/>
              <w:jc w:val="center"/>
              <w:rPr>
                <w:rFonts w:eastAsia="Calibri" w:cstheme="minorHAnsi"/>
                <w:b/>
                <w:bCs/>
                <w:color w:val="000000"/>
                <w:lang w:eastAsia="en-NZ"/>
              </w:rPr>
            </w:pPr>
            <w:r w:rsidRPr="00D10E89">
              <w:rPr>
                <w:rFonts w:eastAsia="Calibri" w:cstheme="minorHAnsi"/>
                <w:b/>
                <w:bCs/>
                <w:color w:val="000000"/>
                <w:lang w:eastAsia="en-NZ"/>
              </w:rPr>
              <w:t>Participants</w:t>
            </w:r>
          </w:p>
        </w:tc>
      </w:tr>
      <w:tr w:rsidR="00547AEF" w:rsidRPr="00D10E89" w14:paraId="2A7747B9" w14:textId="77777777" w:rsidTr="00950930">
        <w:trPr>
          <w:trHeight w:val="172"/>
        </w:trPr>
        <w:tc>
          <w:tcPr>
            <w:tcW w:w="4180" w:type="dxa"/>
            <w:noWrap/>
            <w:hideMark/>
          </w:tcPr>
          <w:p w14:paraId="2FC7264A" w14:textId="77777777" w:rsidR="00547AEF" w:rsidRPr="00D10E89" w:rsidRDefault="00547AEF" w:rsidP="00950930">
            <w:pPr>
              <w:spacing w:before="40" w:after="40"/>
              <w:rPr>
                <w:rFonts w:eastAsia="Calibri" w:cstheme="minorHAnsi"/>
                <w:b/>
                <w:bCs/>
                <w:lang w:eastAsia="en-NZ"/>
              </w:rPr>
            </w:pPr>
            <w:r w:rsidRPr="00D10E89">
              <w:rPr>
                <w:rFonts w:eastAsia="Calibri" w:cstheme="minorHAnsi"/>
                <w:b/>
                <w:bCs/>
                <w:lang w:eastAsia="en-NZ"/>
              </w:rPr>
              <w:t>Group</w:t>
            </w:r>
          </w:p>
        </w:tc>
        <w:tc>
          <w:tcPr>
            <w:tcW w:w="1860" w:type="dxa"/>
            <w:noWrap/>
            <w:hideMark/>
          </w:tcPr>
          <w:p w14:paraId="0614B6C9" w14:textId="77777777" w:rsidR="00547AEF" w:rsidRPr="00D10E89" w:rsidRDefault="00547AEF" w:rsidP="00950930">
            <w:pPr>
              <w:spacing w:before="40" w:after="40"/>
              <w:jc w:val="center"/>
              <w:rPr>
                <w:rFonts w:eastAsia="Calibri" w:cstheme="minorHAnsi"/>
                <w:b/>
                <w:bCs/>
                <w:lang w:eastAsia="en-NZ"/>
              </w:rPr>
            </w:pPr>
            <w:r w:rsidRPr="00D10E89">
              <w:rPr>
                <w:rFonts w:eastAsia="Calibri" w:cstheme="minorHAnsi"/>
                <w:b/>
                <w:bCs/>
                <w:lang w:eastAsia="en-NZ"/>
              </w:rPr>
              <w:t>Target</w:t>
            </w:r>
          </w:p>
        </w:tc>
        <w:tc>
          <w:tcPr>
            <w:tcW w:w="1780" w:type="dxa"/>
            <w:noWrap/>
            <w:hideMark/>
          </w:tcPr>
          <w:p w14:paraId="63B4DE96" w14:textId="77777777" w:rsidR="00547AEF" w:rsidRPr="00D10E89" w:rsidRDefault="00547AEF" w:rsidP="00950930">
            <w:pPr>
              <w:spacing w:before="40" w:after="40"/>
              <w:jc w:val="center"/>
              <w:rPr>
                <w:rFonts w:eastAsia="Calibri" w:cstheme="minorHAnsi"/>
                <w:b/>
                <w:bCs/>
                <w:lang w:eastAsia="en-NZ"/>
              </w:rPr>
            </w:pPr>
            <w:r w:rsidRPr="00D10E89">
              <w:rPr>
                <w:rFonts w:eastAsia="Calibri" w:cstheme="minorHAnsi"/>
                <w:b/>
                <w:bCs/>
                <w:lang w:eastAsia="en-NZ"/>
              </w:rPr>
              <w:t>PCPES</w:t>
            </w:r>
          </w:p>
        </w:tc>
        <w:tc>
          <w:tcPr>
            <w:tcW w:w="1360" w:type="dxa"/>
            <w:noWrap/>
            <w:hideMark/>
          </w:tcPr>
          <w:p w14:paraId="2CCC08B8" w14:textId="77777777" w:rsidR="00547AEF" w:rsidRPr="00D10E89" w:rsidRDefault="00547AEF" w:rsidP="00950930">
            <w:pPr>
              <w:spacing w:before="40" w:after="40"/>
              <w:jc w:val="center"/>
              <w:rPr>
                <w:rFonts w:eastAsia="Calibri" w:cstheme="minorHAnsi"/>
                <w:b/>
                <w:bCs/>
                <w:lang w:eastAsia="en-NZ"/>
              </w:rPr>
            </w:pPr>
            <w:r w:rsidRPr="00D10E89">
              <w:rPr>
                <w:rFonts w:eastAsia="Calibri" w:cstheme="minorHAnsi"/>
                <w:b/>
                <w:bCs/>
                <w:lang w:eastAsia="en-NZ"/>
              </w:rPr>
              <w:t>IPES</w:t>
            </w:r>
          </w:p>
        </w:tc>
      </w:tr>
      <w:tr w:rsidR="00547AEF" w:rsidRPr="00853211" w14:paraId="60DCA833" w14:textId="77777777" w:rsidTr="00950930">
        <w:trPr>
          <w:trHeight w:val="106"/>
        </w:trPr>
        <w:tc>
          <w:tcPr>
            <w:tcW w:w="4180" w:type="dxa"/>
            <w:noWrap/>
            <w:hideMark/>
          </w:tcPr>
          <w:p w14:paraId="3D07459F" w14:textId="60BCA54F" w:rsidR="00547AEF" w:rsidRPr="00950930" w:rsidRDefault="00547AEF" w:rsidP="00950930">
            <w:pPr>
              <w:spacing w:before="40" w:after="40"/>
              <w:rPr>
                <w:rFonts w:eastAsia="Calibri" w:cstheme="minorHAnsi"/>
                <w:lang w:eastAsia="en-NZ"/>
              </w:rPr>
            </w:pPr>
            <w:r w:rsidRPr="00950930">
              <w:rPr>
                <w:rFonts w:eastAsia="Calibri" w:cstheme="minorHAnsi"/>
                <w:color w:val="000000"/>
                <w:lang w:eastAsia="en-NZ"/>
              </w:rPr>
              <w:t xml:space="preserve">Total </w:t>
            </w:r>
            <w:r w:rsidR="00853211" w:rsidRPr="00950930">
              <w:rPr>
                <w:rFonts w:eastAsia="Calibri" w:cstheme="minorHAnsi"/>
                <w:color w:val="000000"/>
                <w:lang w:eastAsia="en-NZ"/>
              </w:rPr>
              <w:t>interviews com</w:t>
            </w:r>
            <w:r w:rsidRPr="00950930">
              <w:rPr>
                <w:rFonts w:eastAsia="Calibri" w:cstheme="minorHAnsi"/>
                <w:color w:val="000000"/>
                <w:lang w:eastAsia="en-NZ"/>
              </w:rPr>
              <w:t>pleted</w:t>
            </w:r>
          </w:p>
        </w:tc>
        <w:tc>
          <w:tcPr>
            <w:tcW w:w="1860" w:type="dxa"/>
            <w:noWrap/>
          </w:tcPr>
          <w:p w14:paraId="5B06AE31" w14:textId="77777777" w:rsidR="00547AEF" w:rsidRPr="00853211" w:rsidRDefault="00547AEF" w:rsidP="00950930">
            <w:pPr>
              <w:spacing w:before="40" w:after="40"/>
              <w:jc w:val="center"/>
              <w:rPr>
                <w:rFonts w:eastAsia="Calibri" w:cstheme="minorHAnsi"/>
                <w:lang w:eastAsia="en-NZ"/>
              </w:rPr>
            </w:pPr>
          </w:p>
        </w:tc>
        <w:tc>
          <w:tcPr>
            <w:tcW w:w="1780" w:type="dxa"/>
            <w:noWrap/>
            <w:hideMark/>
          </w:tcPr>
          <w:p w14:paraId="2A5567F1" w14:textId="77777777" w:rsidR="00547AEF" w:rsidRPr="00853211" w:rsidRDefault="00547AEF" w:rsidP="00950930">
            <w:pPr>
              <w:spacing w:before="40" w:after="40"/>
              <w:jc w:val="center"/>
              <w:rPr>
                <w:rFonts w:eastAsia="Calibri" w:cstheme="minorHAnsi"/>
                <w:lang w:eastAsia="en-NZ"/>
              </w:rPr>
            </w:pPr>
            <w:r w:rsidRPr="00853211">
              <w:rPr>
                <w:rFonts w:eastAsia="Calibri" w:cstheme="minorHAnsi"/>
                <w:color w:val="000000"/>
                <w:lang w:eastAsia="en-NZ"/>
              </w:rPr>
              <w:t>8</w:t>
            </w:r>
          </w:p>
        </w:tc>
        <w:tc>
          <w:tcPr>
            <w:tcW w:w="1360" w:type="dxa"/>
            <w:noWrap/>
            <w:hideMark/>
          </w:tcPr>
          <w:p w14:paraId="29814FBC" w14:textId="77777777" w:rsidR="00547AEF" w:rsidRPr="00853211" w:rsidRDefault="00547AEF" w:rsidP="00950930">
            <w:pPr>
              <w:spacing w:before="40" w:after="40"/>
              <w:jc w:val="center"/>
              <w:rPr>
                <w:rFonts w:eastAsia="Calibri" w:cstheme="minorHAnsi"/>
                <w:lang w:eastAsia="en-NZ"/>
              </w:rPr>
            </w:pPr>
            <w:r w:rsidRPr="00853211">
              <w:rPr>
                <w:rFonts w:eastAsia="Calibri" w:cstheme="minorHAnsi"/>
                <w:color w:val="000000"/>
                <w:lang w:eastAsia="en-NZ"/>
              </w:rPr>
              <w:t>11</w:t>
            </w:r>
          </w:p>
        </w:tc>
      </w:tr>
      <w:tr w:rsidR="00853211" w:rsidRPr="00D10E89" w14:paraId="702BFDA0" w14:textId="77777777" w:rsidTr="00950930">
        <w:trPr>
          <w:trHeight w:val="182"/>
        </w:trPr>
        <w:tc>
          <w:tcPr>
            <w:tcW w:w="9180" w:type="dxa"/>
            <w:gridSpan w:val="4"/>
            <w:noWrap/>
            <w:hideMark/>
          </w:tcPr>
          <w:p w14:paraId="26E667E2" w14:textId="488C0397" w:rsidR="00853211" w:rsidRPr="00D10E89" w:rsidRDefault="00853211" w:rsidP="00950930">
            <w:pPr>
              <w:spacing w:before="40" w:after="40"/>
              <w:rPr>
                <w:rFonts w:eastAsia="Calibri" w:cstheme="minorHAnsi"/>
                <w:lang w:eastAsia="en-NZ"/>
              </w:rPr>
            </w:pPr>
            <w:r w:rsidRPr="00D10E89">
              <w:rPr>
                <w:rFonts w:eastAsia="Calibri" w:cstheme="minorHAnsi"/>
                <w:b/>
                <w:bCs/>
                <w:color w:val="000000"/>
                <w:lang w:eastAsia="en-NZ"/>
              </w:rPr>
              <w:t xml:space="preserve">Hard </w:t>
            </w:r>
            <w:r>
              <w:rPr>
                <w:rFonts w:eastAsia="Calibri" w:cstheme="minorHAnsi"/>
                <w:b/>
                <w:bCs/>
                <w:color w:val="000000"/>
                <w:lang w:eastAsia="en-NZ"/>
              </w:rPr>
              <w:t>t</w:t>
            </w:r>
            <w:r w:rsidRPr="00D10E89">
              <w:rPr>
                <w:rFonts w:eastAsia="Calibri" w:cstheme="minorHAnsi"/>
                <w:b/>
                <w:bCs/>
                <w:color w:val="000000"/>
                <w:lang w:eastAsia="en-NZ"/>
              </w:rPr>
              <w:t>argets</w:t>
            </w:r>
            <w:r>
              <w:rPr>
                <w:rFonts w:eastAsia="Calibri" w:cstheme="minorHAnsi"/>
                <w:b/>
                <w:bCs/>
                <w:color w:val="000000"/>
                <w:lang w:eastAsia="en-NZ"/>
              </w:rPr>
              <w:t>:</w:t>
            </w:r>
            <w:r>
              <w:rPr>
                <w:rStyle w:val="FootnoteReference"/>
                <w:rFonts w:eastAsia="Calibri" w:cstheme="minorHAnsi"/>
                <w:color w:val="000000"/>
                <w:lang w:eastAsia="en-NZ"/>
              </w:rPr>
              <w:footnoteReference w:id="5"/>
            </w:r>
          </w:p>
        </w:tc>
      </w:tr>
      <w:tr w:rsidR="00547AEF" w:rsidRPr="00D10E89" w14:paraId="39C122B6" w14:textId="77777777" w:rsidTr="00950930">
        <w:trPr>
          <w:trHeight w:val="340"/>
        </w:trPr>
        <w:tc>
          <w:tcPr>
            <w:tcW w:w="4180" w:type="dxa"/>
            <w:noWrap/>
            <w:hideMark/>
          </w:tcPr>
          <w:p w14:paraId="62ADC9A0" w14:textId="77777777" w:rsidR="00547AEF" w:rsidRPr="00D10E89" w:rsidRDefault="00547AEF" w:rsidP="00950930">
            <w:pPr>
              <w:spacing w:before="40" w:after="40"/>
              <w:rPr>
                <w:rFonts w:eastAsia="Calibri" w:cstheme="minorHAnsi"/>
                <w:lang w:eastAsia="en-NZ"/>
              </w:rPr>
            </w:pPr>
            <w:r w:rsidRPr="00D10E89">
              <w:rPr>
                <w:rFonts w:eastAsia="Calibri" w:cstheme="minorHAnsi"/>
                <w:color w:val="000000"/>
                <w:lang w:eastAsia="en-NZ"/>
              </w:rPr>
              <w:t>Māori</w:t>
            </w:r>
          </w:p>
        </w:tc>
        <w:tc>
          <w:tcPr>
            <w:tcW w:w="1860" w:type="dxa"/>
            <w:noWrap/>
            <w:hideMark/>
          </w:tcPr>
          <w:p w14:paraId="401CEB8C"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4</w:t>
            </w:r>
          </w:p>
        </w:tc>
        <w:tc>
          <w:tcPr>
            <w:tcW w:w="1780" w:type="dxa"/>
            <w:noWrap/>
            <w:hideMark/>
          </w:tcPr>
          <w:p w14:paraId="30852D55"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7</w:t>
            </w:r>
          </w:p>
        </w:tc>
        <w:tc>
          <w:tcPr>
            <w:tcW w:w="1360" w:type="dxa"/>
            <w:noWrap/>
            <w:hideMark/>
          </w:tcPr>
          <w:p w14:paraId="0028D6B2"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7</w:t>
            </w:r>
          </w:p>
        </w:tc>
      </w:tr>
      <w:tr w:rsidR="00547AEF" w:rsidRPr="00D10E89" w14:paraId="01596490" w14:textId="77777777" w:rsidTr="00950930">
        <w:trPr>
          <w:trHeight w:val="340"/>
        </w:trPr>
        <w:tc>
          <w:tcPr>
            <w:tcW w:w="4180" w:type="dxa"/>
            <w:noWrap/>
            <w:hideMark/>
          </w:tcPr>
          <w:p w14:paraId="415D74DD" w14:textId="3E729571" w:rsidR="00547AEF" w:rsidRPr="00D10E89" w:rsidRDefault="00547AEF" w:rsidP="00950930">
            <w:pPr>
              <w:spacing w:before="40" w:after="40"/>
              <w:rPr>
                <w:rFonts w:eastAsia="Calibri" w:cstheme="minorHAnsi"/>
                <w:lang w:eastAsia="en-NZ"/>
              </w:rPr>
            </w:pPr>
            <w:r w:rsidRPr="00D10E89">
              <w:rPr>
                <w:rFonts w:eastAsia="Calibri" w:cstheme="minorHAnsi"/>
                <w:lang w:eastAsia="en-NZ"/>
              </w:rPr>
              <w:t xml:space="preserve">Pacific </w:t>
            </w:r>
            <w:r w:rsidR="00853211">
              <w:rPr>
                <w:rFonts w:eastAsia="Calibri" w:cstheme="minorHAnsi"/>
                <w:lang w:eastAsia="en-NZ"/>
              </w:rPr>
              <w:t>p</w:t>
            </w:r>
            <w:r w:rsidRPr="00D10E89">
              <w:rPr>
                <w:rFonts w:eastAsia="Calibri" w:cstheme="minorHAnsi"/>
                <w:lang w:eastAsia="en-NZ"/>
              </w:rPr>
              <w:t>eoples</w:t>
            </w:r>
          </w:p>
        </w:tc>
        <w:tc>
          <w:tcPr>
            <w:tcW w:w="1860" w:type="dxa"/>
            <w:noWrap/>
            <w:hideMark/>
          </w:tcPr>
          <w:p w14:paraId="395914DB"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4</w:t>
            </w:r>
          </w:p>
        </w:tc>
        <w:tc>
          <w:tcPr>
            <w:tcW w:w="1780" w:type="dxa"/>
            <w:noWrap/>
            <w:hideMark/>
          </w:tcPr>
          <w:p w14:paraId="2981F5D8"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1</w:t>
            </w:r>
          </w:p>
        </w:tc>
        <w:tc>
          <w:tcPr>
            <w:tcW w:w="1360" w:type="dxa"/>
            <w:noWrap/>
            <w:hideMark/>
          </w:tcPr>
          <w:p w14:paraId="79C1229A"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5</w:t>
            </w:r>
          </w:p>
        </w:tc>
      </w:tr>
      <w:tr w:rsidR="00547AEF" w:rsidRPr="00D10E89" w14:paraId="097382CE" w14:textId="77777777" w:rsidTr="00950930">
        <w:trPr>
          <w:trHeight w:val="340"/>
        </w:trPr>
        <w:tc>
          <w:tcPr>
            <w:tcW w:w="4180" w:type="dxa"/>
            <w:noWrap/>
            <w:hideMark/>
          </w:tcPr>
          <w:p w14:paraId="5D738A1B" w14:textId="77777777" w:rsidR="00547AEF" w:rsidRPr="00D10E89" w:rsidRDefault="00547AEF" w:rsidP="00950930">
            <w:pPr>
              <w:spacing w:before="40" w:after="40"/>
              <w:rPr>
                <w:rFonts w:eastAsia="Calibri" w:cstheme="minorHAnsi"/>
                <w:lang w:eastAsia="en-NZ"/>
              </w:rPr>
            </w:pPr>
            <w:r w:rsidRPr="00D10E89">
              <w:rPr>
                <w:rFonts w:eastAsia="Calibri" w:cstheme="minorHAnsi"/>
                <w:color w:val="000000"/>
                <w:lang w:eastAsia="en-NZ"/>
              </w:rPr>
              <w:t xml:space="preserve">Asian </w:t>
            </w:r>
          </w:p>
        </w:tc>
        <w:tc>
          <w:tcPr>
            <w:tcW w:w="1860" w:type="dxa"/>
            <w:noWrap/>
            <w:hideMark/>
          </w:tcPr>
          <w:p w14:paraId="34860494"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c>
          <w:tcPr>
            <w:tcW w:w="1780" w:type="dxa"/>
            <w:noWrap/>
            <w:hideMark/>
          </w:tcPr>
          <w:p w14:paraId="146A6DBF"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c>
          <w:tcPr>
            <w:tcW w:w="1360" w:type="dxa"/>
            <w:noWrap/>
            <w:hideMark/>
          </w:tcPr>
          <w:p w14:paraId="5200F2E8"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r>
      <w:tr w:rsidR="00547AEF" w:rsidRPr="00D10E89" w14:paraId="44FD2F59" w14:textId="77777777" w:rsidTr="00950930">
        <w:trPr>
          <w:trHeight w:val="340"/>
        </w:trPr>
        <w:tc>
          <w:tcPr>
            <w:tcW w:w="4180" w:type="dxa"/>
            <w:noWrap/>
            <w:hideMark/>
          </w:tcPr>
          <w:p w14:paraId="2F6DC81E" w14:textId="77777777" w:rsidR="00547AEF" w:rsidRPr="00D10E89" w:rsidRDefault="00547AEF" w:rsidP="00950930">
            <w:pPr>
              <w:spacing w:before="40" w:after="40"/>
              <w:rPr>
                <w:rFonts w:eastAsia="Calibri" w:cstheme="minorHAnsi"/>
                <w:lang w:eastAsia="en-NZ"/>
              </w:rPr>
            </w:pPr>
            <w:r>
              <w:rPr>
                <w:rFonts w:eastAsia="Calibri" w:cstheme="minorHAnsi"/>
                <w:color w:val="000000"/>
                <w:lang w:eastAsia="en-NZ"/>
              </w:rPr>
              <w:t>Other</w:t>
            </w:r>
          </w:p>
        </w:tc>
        <w:tc>
          <w:tcPr>
            <w:tcW w:w="1860" w:type="dxa"/>
            <w:noWrap/>
            <w:hideMark/>
          </w:tcPr>
          <w:p w14:paraId="21A2F1FB"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c>
          <w:tcPr>
            <w:tcW w:w="1780" w:type="dxa"/>
            <w:noWrap/>
            <w:hideMark/>
          </w:tcPr>
          <w:p w14:paraId="0329DDD0"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c>
          <w:tcPr>
            <w:tcW w:w="1360" w:type="dxa"/>
            <w:noWrap/>
            <w:hideMark/>
          </w:tcPr>
          <w:p w14:paraId="782F2DCE"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r>
      <w:tr w:rsidR="00547AEF" w:rsidRPr="00D10E89" w14:paraId="76483155" w14:textId="77777777" w:rsidTr="00950930">
        <w:trPr>
          <w:trHeight w:val="340"/>
        </w:trPr>
        <w:tc>
          <w:tcPr>
            <w:tcW w:w="4180" w:type="dxa"/>
            <w:noWrap/>
            <w:hideMark/>
          </w:tcPr>
          <w:p w14:paraId="400E4F4F" w14:textId="4CDBE4DF" w:rsidR="00547AEF" w:rsidRPr="00D10E89" w:rsidRDefault="00547AEF" w:rsidP="00950930">
            <w:pPr>
              <w:spacing w:before="40" w:after="40"/>
              <w:rPr>
                <w:rFonts w:eastAsia="Calibri" w:cstheme="minorHAnsi"/>
                <w:lang w:eastAsia="en-NZ"/>
              </w:rPr>
            </w:pPr>
            <w:r w:rsidRPr="00D10E89">
              <w:rPr>
                <w:rFonts w:eastAsia="Calibri" w:cstheme="minorHAnsi"/>
                <w:lang w:eastAsia="en-NZ"/>
              </w:rPr>
              <w:t>Youth (15</w:t>
            </w:r>
            <w:r w:rsidR="00853211">
              <w:rPr>
                <w:rFonts w:eastAsia="Calibri" w:cstheme="minorHAnsi"/>
                <w:lang w:eastAsia="en-NZ"/>
              </w:rPr>
              <w:t>–</w:t>
            </w:r>
            <w:r w:rsidRPr="00D10E89">
              <w:rPr>
                <w:rFonts w:eastAsia="Calibri" w:cstheme="minorHAnsi"/>
                <w:lang w:eastAsia="en-NZ"/>
              </w:rPr>
              <w:t>24)</w:t>
            </w:r>
          </w:p>
        </w:tc>
        <w:tc>
          <w:tcPr>
            <w:tcW w:w="1860" w:type="dxa"/>
            <w:noWrap/>
            <w:hideMark/>
          </w:tcPr>
          <w:p w14:paraId="00056BB6"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3</w:t>
            </w:r>
          </w:p>
        </w:tc>
        <w:tc>
          <w:tcPr>
            <w:tcW w:w="1780" w:type="dxa"/>
            <w:noWrap/>
            <w:hideMark/>
          </w:tcPr>
          <w:p w14:paraId="6B01C8B5"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1</w:t>
            </w:r>
          </w:p>
        </w:tc>
        <w:tc>
          <w:tcPr>
            <w:tcW w:w="1360" w:type="dxa"/>
            <w:noWrap/>
            <w:hideMark/>
          </w:tcPr>
          <w:p w14:paraId="3E7DAC4F"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4</w:t>
            </w:r>
          </w:p>
        </w:tc>
      </w:tr>
      <w:tr w:rsidR="00547AEF" w:rsidRPr="00D10E89" w14:paraId="4EDDA2EC" w14:textId="77777777" w:rsidTr="00950930">
        <w:trPr>
          <w:trHeight w:val="340"/>
        </w:trPr>
        <w:tc>
          <w:tcPr>
            <w:tcW w:w="4180" w:type="dxa"/>
            <w:noWrap/>
            <w:hideMark/>
          </w:tcPr>
          <w:p w14:paraId="4A997387" w14:textId="77777777" w:rsidR="00547AEF" w:rsidRPr="00D10E89" w:rsidRDefault="00547AEF" w:rsidP="00950930">
            <w:pPr>
              <w:spacing w:before="40" w:after="40"/>
              <w:rPr>
                <w:rFonts w:eastAsia="Calibri" w:cstheme="minorHAnsi"/>
                <w:lang w:eastAsia="en-NZ"/>
              </w:rPr>
            </w:pPr>
            <w:r w:rsidRPr="00D10E89">
              <w:rPr>
                <w:rFonts w:eastAsia="Calibri" w:cstheme="minorHAnsi"/>
                <w:lang w:eastAsia="en-NZ"/>
              </w:rPr>
              <w:t>Rural</w:t>
            </w:r>
          </w:p>
        </w:tc>
        <w:tc>
          <w:tcPr>
            <w:tcW w:w="1860" w:type="dxa"/>
            <w:noWrap/>
            <w:hideMark/>
          </w:tcPr>
          <w:p w14:paraId="7BF1E060"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2</w:t>
            </w:r>
          </w:p>
        </w:tc>
        <w:tc>
          <w:tcPr>
            <w:tcW w:w="1780" w:type="dxa"/>
            <w:noWrap/>
            <w:hideMark/>
          </w:tcPr>
          <w:p w14:paraId="0939B704"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w:t>
            </w:r>
          </w:p>
        </w:tc>
        <w:tc>
          <w:tcPr>
            <w:tcW w:w="1360" w:type="dxa"/>
            <w:noWrap/>
            <w:hideMark/>
          </w:tcPr>
          <w:p w14:paraId="062EDCEA"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1</w:t>
            </w:r>
          </w:p>
        </w:tc>
      </w:tr>
      <w:tr w:rsidR="00547AEF" w:rsidRPr="00D10E89" w14:paraId="6E2E19BC" w14:textId="77777777" w:rsidTr="00950930">
        <w:trPr>
          <w:trHeight w:val="340"/>
        </w:trPr>
        <w:tc>
          <w:tcPr>
            <w:tcW w:w="4180" w:type="dxa"/>
            <w:noWrap/>
            <w:hideMark/>
          </w:tcPr>
          <w:p w14:paraId="27C00E21" w14:textId="77777777" w:rsidR="00547AEF" w:rsidRPr="00D10E89" w:rsidRDefault="00547AEF" w:rsidP="00950930">
            <w:pPr>
              <w:spacing w:before="40" w:after="40"/>
              <w:rPr>
                <w:rFonts w:eastAsia="Calibri" w:cstheme="minorHAnsi"/>
                <w:lang w:eastAsia="en-NZ"/>
              </w:rPr>
            </w:pPr>
            <w:r w:rsidRPr="00D10E89">
              <w:rPr>
                <w:rFonts w:eastAsia="Calibri" w:cstheme="minorHAnsi"/>
                <w:color w:val="000000"/>
                <w:lang w:eastAsia="en-NZ"/>
              </w:rPr>
              <w:t>Hawke’s Bay</w:t>
            </w:r>
          </w:p>
        </w:tc>
        <w:tc>
          <w:tcPr>
            <w:tcW w:w="1860" w:type="dxa"/>
            <w:noWrap/>
            <w:hideMark/>
          </w:tcPr>
          <w:p w14:paraId="0DEACC07"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5</w:t>
            </w:r>
          </w:p>
        </w:tc>
        <w:tc>
          <w:tcPr>
            <w:tcW w:w="1780" w:type="dxa"/>
            <w:noWrap/>
            <w:hideMark/>
          </w:tcPr>
          <w:p w14:paraId="03A1D953"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8</w:t>
            </w:r>
          </w:p>
        </w:tc>
        <w:tc>
          <w:tcPr>
            <w:tcW w:w="1360" w:type="dxa"/>
            <w:noWrap/>
            <w:hideMark/>
          </w:tcPr>
          <w:p w14:paraId="731B0224"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5</w:t>
            </w:r>
          </w:p>
        </w:tc>
      </w:tr>
      <w:tr w:rsidR="00547AEF" w:rsidRPr="00D10E89" w14:paraId="529C050C" w14:textId="77777777" w:rsidTr="00950930">
        <w:trPr>
          <w:trHeight w:val="340"/>
        </w:trPr>
        <w:tc>
          <w:tcPr>
            <w:tcW w:w="4180" w:type="dxa"/>
            <w:noWrap/>
            <w:hideMark/>
          </w:tcPr>
          <w:p w14:paraId="799E2878" w14:textId="77777777" w:rsidR="00547AEF" w:rsidRPr="00D10E89" w:rsidRDefault="00547AEF" w:rsidP="00950930">
            <w:pPr>
              <w:spacing w:before="40" w:after="40"/>
              <w:rPr>
                <w:rFonts w:eastAsia="Calibri" w:cstheme="minorHAnsi"/>
                <w:lang w:eastAsia="en-NZ"/>
              </w:rPr>
            </w:pPr>
            <w:r w:rsidRPr="00D10E89">
              <w:rPr>
                <w:rFonts w:eastAsia="Calibri" w:cstheme="minorHAnsi"/>
                <w:lang w:eastAsia="en-NZ"/>
              </w:rPr>
              <w:t>Auckland (with a focus on South Auckland)</w:t>
            </w:r>
          </w:p>
        </w:tc>
        <w:tc>
          <w:tcPr>
            <w:tcW w:w="1860" w:type="dxa"/>
            <w:noWrap/>
            <w:hideMark/>
          </w:tcPr>
          <w:p w14:paraId="43838871"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5</w:t>
            </w:r>
          </w:p>
        </w:tc>
        <w:tc>
          <w:tcPr>
            <w:tcW w:w="1780" w:type="dxa"/>
            <w:noWrap/>
            <w:hideMark/>
          </w:tcPr>
          <w:p w14:paraId="281632D7"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w:t>
            </w:r>
          </w:p>
        </w:tc>
        <w:tc>
          <w:tcPr>
            <w:tcW w:w="1360" w:type="dxa"/>
            <w:noWrap/>
            <w:hideMark/>
          </w:tcPr>
          <w:p w14:paraId="76A92922"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6</w:t>
            </w:r>
          </w:p>
        </w:tc>
      </w:tr>
      <w:tr w:rsidR="00853211" w:rsidRPr="00D10E89" w14:paraId="1910F37B" w14:textId="77777777" w:rsidTr="00950930">
        <w:trPr>
          <w:trHeight w:val="65"/>
        </w:trPr>
        <w:tc>
          <w:tcPr>
            <w:tcW w:w="9180" w:type="dxa"/>
            <w:gridSpan w:val="4"/>
            <w:noWrap/>
            <w:hideMark/>
          </w:tcPr>
          <w:p w14:paraId="3792E2BB" w14:textId="2AE80A2B" w:rsidR="00853211" w:rsidRPr="00D10E89" w:rsidRDefault="00853211" w:rsidP="00950930">
            <w:pPr>
              <w:spacing w:before="40" w:after="40"/>
              <w:rPr>
                <w:rFonts w:eastAsia="Calibri" w:cstheme="minorHAnsi"/>
                <w:b/>
                <w:bCs/>
                <w:lang w:eastAsia="en-NZ"/>
              </w:rPr>
            </w:pPr>
            <w:r w:rsidRPr="00D10E89">
              <w:rPr>
                <w:rFonts w:eastAsia="Calibri" w:cstheme="minorHAnsi"/>
                <w:b/>
                <w:bCs/>
                <w:color w:val="000000"/>
                <w:lang w:eastAsia="en-NZ"/>
              </w:rPr>
              <w:t xml:space="preserve">Soft </w:t>
            </w:r>
            <w:r>
              <w:rPr>
                <w:rFonts w:eastAsia="Calibri" w:cstheme="minorHAnsi"/>
                <w:b/>
                <w:bCs/>
                <w:color w:val="000000"/>
                <w:lang w:eastAsia="en-NZ"/>
              </w:rPr>
              <w:t>t</w:t>
            </w:r>
            <w:r w:rsidRPr="00D10E89">
              <w:rPr>
                <w:rFonts w:eastAsia="Calibri" w:cstheme="minorHAnsi"/>
                <w:b/>
                <w:bCs/>
                <w:color w:val="000000"/>
                <w:lang w:eastAsia="en-NZ"/>
              </w:rPr>
              <w:t>argets:</w:t>
            </w:r>
          </w:p>
        </w:tc>
      </w:tr>
      <w:tr w:rsidR="00547AEF" w:rsidRPr="00D10E89" w14:paraId="5286A52B" w14:textId="77777777" w:rsidTr="00950930">
        <w:trPr>
          <w:trHeight w:val="340"/>
        </w:trPr>
        <w:tc>
          <w:tcPr>
            <w:tcW w:w="4180" w:type="dxa"/>
            <w:noWrap/>
            <w:hideMark/>
          </w:tcPr>
          <w:p w14:paraId="3A597D77" w14:textId="3F25EF78" w:rsidR="00547AEF" w:rsidRPr="00D10E89" w:rsidRDefault="00547AEF" w:rsidP="00950930">
            <w:pPr>
              <w:spacing w:before="40" w:after="40"/>
              <w:rPr>
                <w:rFonts w:eastAsia="Calibri" w:cstheme="minorHAnsi"/>
                <w:lang w:eastAsia="en-NZ"/>
              </w:rPr>
            </w:pPr>
            <w:r w:rsidRPr="00D10E89">
              <w:rPr>
                <w:rFonts w:eastAsia="Calibri" w:cstheme="minorHAnsi"/>
                <w:color w:val="000000"/>
                <w:lang w:eastAsia="en-NZ"/>
              </w:rPr>
              <w:t>English as a second/foreign language</w:t>
            </w:r>
          </w:p>
        </w:tc>
        <w:tc>
          <w:tcPr>
            <w:tcW w:w="1860" w:type="dxa"/>
            <w:noWrap/>
            <w:hideMark/>
          </w:tcPr>
          <w:p w14:paraId="162F1886"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c>
          <w:tcPr>
            <w:tcW w:w="1780" w:type="dxa"/>
            <w:noWrap/>
            <w:hideMark/>
          </w:tcPr>
          <w:p w14:paraId="27CC7B70"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c>
          <w:tcPr>
            <w:tcW w:w="1360" w:type="dxa"/>
            <w:noWrap/>
            <w:hideMark/>
          </w:tcPr>
          <w:p w14:paraId="6AA83859"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r>
      <w:tr w:rsidR="00547AEF" w:rsidRPr="00D10E89" w14:paraId="3C677A88" w14:textId="77777777" w:rsidTr="00950930">
        <w:trPr>
          <w:trHeight w:val="340"/>
        </w:trPr>
        <w:tc>
          <w:tcPr>
            <w:tcW w:w="4180" w:type="dxa"/>
            <w:noWrap/>
            <w:hideMark/>
          </w:tcPr>
          <w:p w14:paraId="127B3F9C" w14:textId="2D60A01E" w:rsidR="00547AEF" w:rsidRPr="00D10E89" w:rsidRDefault="00547AEF" w:rsidP="00950930">
            <w:pPr>
              <w:spacing w:before="40" w:after="40"/>
              <w:rPr>
                <w:rFonts w:eastAsia="Calibri" w:cstheme="minorHAnsi"/>
                <w:lang w:eastAsia="en-NZ"/>
              </w:rPr>
            </w:pPr>
            <w:r>
              <w:rPr>
                <w:rFonts w:eastAsia="Calibri" w:cstheme="minorHAnsi"/>
                <w:lang w:eastAsia="en-NZ"/>
              </w:rPr>
              <w:t xml:space="preserve">(PCPES only) </w:t>
            </w:r>
            <w:r w:rsidRPr="00D10E89">
              <w:rPr>
                <w:rFonts w:eastAsia="Calibri" w:cstheme="minorHAnsi"/>
                <w:lang w:eastAsia="en-NZ"/>
              </w:rPr>
              <w:t>In past 12 months</w:t>
            </w:r>
            <w:r w:rsidR="00853211">
              <w:rPr>
                <w:rFonts w:eastAsia="Calibri" w:cstheme="minorHAnsi"/>
                <w:lang w:eastAsia="en-NZ"/>
              </w:rPr>
              <w:t>:</w:t>
            </w:r>
            <w:r>
              <w:rPr>
                <w:rFonts w:eastAsia="Calibri" w:cstheme="minorHAnsi"/>
                <w:lang w:eastAsia="en-NZ"/>
              </w:rPr>
              <w:t xml:space="preserve"> </w:t>
            </w:r>
          </w:p>
        </w:tc>
        <w:tc>
          <w:tcPr>
            <w:tcW w:w="1860" w:type="dxa"/>
            <w:noWrap/>
            <w:hideMark/>
          </w:tcPr>
          <w:p w14:paraId="1D44071C" w14:textId="77777777" w:rsidR="00547AEF" w:rsidRPr="00D10E89" w:rsidRDefault="00547AEF" w:rsidP="00950930">
            <w:pPr>
              <w:spacing w:before="40" w:after="40"/>
              <w:rPr>
                <w:rFonts w:eastAsia="Calibri" w:cstheme="minorHAnsi"/>
                <w:lang w:eastAsia="en-NZ"/>
              </w:rPr>
            </w:pPr>
          </w:p>
        </w:tc>
        <w:tc>
          <w:tcPr>
            <w:tcW w:w="1780" w:type="dxa"/>
            <w:noWrap/>
            <w:hideMark/>
          </w:tcPr>
          <w:p w14:paraId="55D182EE" w14:textId="77777777" w:rsidR="00547AEF" w:rsidRPr="00D10E89" w:rsidRDefault="00547AEF" w:rsidP="00950930">
            <w:pPr>
              <w:spacing w:before="40" w:after="40"/>
              <w:rPr>
                <w:rFonts w:eastAsia="Times New Roman" w:cstheme="minorHAnsi"/>
                <w:lang w:eastAsia="en-NZ"/>
              </w:rPr>
            </w:pPr>
          </w:p>
        </w:tc>
        <w:tc>
          <w:tcPr>
            <w:tcW w:w="1360" w:type="dxa"/>
            <w:noWrap/>
            <w:hideMark/>
          </w:tcPr>
          <w:p w14:paraId="6198C26B" w14:textId="77777777" w:rsidR="00547AEF" w:rsidRPr="00D10E89" w:rsidRDefault="00547AEF" w:rsidP="00950930">
            <w:pPr>
              <w:spacing w:before="40" w:after="40"/>
              <w:rPr>
                <w:rFonts w:eastAsia="Times New Roman" w:cstheme="minorHAnsi"/>
                <w:lang w:eastAsia="en-NZ"/>
              </w:rPr>
            </w:pPr>
          </w:p>
        </w:tc>
      </w:tr>
      <w:tr w:rsidR="00547AEF" w:rsidRPr="00D10E89" w14:paraId="79D27642" w14:textId="77777777" w:rsidTr="00950930">
        <w:trPr>
          <w:trHeight w:val="340"/>
        </w:trPr>
        <w:tc>
          <w:tcPr>
            <w:tcW w:w="4180" w:type="dxa"/>
            <w:noWrap/>
            <w:hideMark/>
          </w:tcPr>
          <w:p w14:paraId="68D49051" w14:textId="343A46C2" w:rsidR="00547AEF" w:rsidRPr="00D10E89" w:rsidRDefault="00F73C13" w:rsidP="00950930">
            <w:pPr>
              <w:spacing w:before="40" w:after="40"/>
              <w:ind w:firstLine="173"/>
              <w:rPr>
                <w:rFonts w:eastAsia="Calibri" w:cstheme="minorHAnsi"/>
                <w:lang w:eastAsia="en-NZ"/>
              </w:rPr>
            </w:pPr>
            <w:r w:rsidRPr="00D10E89">
              <w:rPr>
                <w:rFonts w:eastAsia="Calibri" w:cstheme="minorHAnsi"/>
                <w:color w:val="000000"/>
                <w:lang w:eastAsia="en-NZ"/>
              </w:rPr>
              <w:t xml:space="preserve">has </w:t>
            </w:r>
            <w:r w:rsidR="00547AEF" w:rsidRPr="00D10E89">
              <w:rPr>
                <w:rFonts w:eastAsia="Calibri" w:cstheme="minorHAnsi"/>
                <w:color w:val="000000"/>
                <w:lang w:eastAsia="en-NZ"/>
              </w:rPr>
              <w:t>been prescribed medication</w:t>
            </w:r>
          </w:p>
        </w:tc>
        <w:tc>
          <w:tcPr>
            <w:tcW w:w="1860" w:type="dxa"/>
            <w:noWrap/>
            <w:hideMark/>
          </w:tcPr>
          <w:p w14:paraId="3DB15642"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c>
          <w:tcPr>
            <w:tcW w:w="1780" w:type="dxa"/>
            <w:noWrap/>
            <w:hideMark/>
          </w:tcPr>
          <w:p w14:paraId="5746EBDB"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 xml:space="preserve">2 </w:t>
            </w:r>
          </w:p>
        </w:tc>
        <w:tc>
          <w:tcPr>
            <w:tcW w:w="1360" w:type="dxa"/>
            <w:noWrap/>
            <w:hideMark/>
          </w:tcPr>
          <w:p w14:paraId="56D30E25" w14:textId="77777777" w:rsidR="00547AEF" w:rsidRPr="00D10E89" w:rsidRDefault="00547AEF" w:rsidP="00950930">
            <w:pPr>
              <w:spacing w:before="40" w:after="40"/>
              <w:jc w:val="center"/>
              <w:rPr>
                <w:rFonts w:eastAsia="Calibri" w:cstheme="minorHAnsi"/>
                <w:highlight w:val="yellow"/>
                <w:lang w:eastAsia="en-NZ"/>
              </w:rPr>
            </w:pPr>
            <w:r w:rsidRPr="00D10E89">
              <w:rPr>
                <w:rFonts w:eastAsia="Calibri" w:cstheme="minorHAnsi"/>
                <w:lang w:eastAsia="en-NZ"/>
              </w:rPr>
              <w:t>-</w:t>
            </w:r>
          </w:p>
        </w:tc>
      </w:tr>
      <w:tr w:rsidR="00547AEF" w:rsidRPr="00D10E89" w14:paraId="5B39C421" w14:textId="77777777" w:rsidTr="00950930">
        <w:trPr>
          <w:trHeight w:val="340"/>
        </w:trPr>
        <w:tc>
          <w:tcPr>
            <w:tcW w:w="4180" w:type="dxa"/>
            <w:noWrap/>
            <w:hideMark/>
          </w:tcPr>
          <w:p w14:paraId="1A0FB37F" w14:textId="2779314E" w:rsidR="00547AEF" w:rsidRPr="00D10E89" w:rsidRDefault="00F73C13" w:rsidP="00950930">
            <w:pPr>
              <w:spacing w:before="40" w:after="40"/>
              <w:ind w:firstLine="173"/>
              <w:rPr>
                <w:rFonts w:eastAsia="Calibri" w:cstheme="minorHAnsi"/>
                <w:lang w:eastAsia="en-NZ"/>
              </w:rPr>
            </w:pPr>
            <w:r w:rsidRPr="00D10E89">
              <w:rPr>
                <w:rFonts w:eastAsia="Calibri" w:cstheme="minorHAnsi"/>
                <w:lang w:eastAsia="en-NZ"/>
              </w:rPr>
              <w:t xml:space="preserve">has </w:t>
            </w:r>
            <w:r w:rsidR="00547AEF" w:rsidRPr="00D10E89">
              <w:rPr>
                <w:rFonts w:eastAsia="Calibri" w:cstheme="minorHAnsi"/>
                <w:lang w:eastAsia="en-NZ"/>
              </w:rPr>
              <w:t>got a test or x-ray</w:t>
            </w:r>
          </w:p>
        </w:tc>
        <w:tc>
          <w:tcPr>
            <w:tcW w:w="1860" w:type="dxa"/>
            <w:noWrap/>
            <w:hideMark/>
          </w:tcPr>
          <w:p w14:paraId="6765C9CE"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2</w:t>
            </w:r>
          </w:p>
        </w:tc>
        <w:tc>
          <w:tcPr>
            <w:tcW w:w="1780" w:type="dxa"/>
            <w:noWrap/>
            <w:hideMark/>
          </w:tcPr>
          <w:p w14:paraId="46FBC64B"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 xml:space="preserve">2 </w:t>
            </w:r>
          </w:p>
        </w:tc>
        <w:tc>
          <w:tcPr>
            <w:tcW w:w="1360" w:type="dxa"/>
            <w:noWrap/>
            <w:hideMark/>
          </w:tcPr>
          <w:p w14:paraId="43F2F8A6" w14:textId="77777777" w:rsidR="00547AEF" w:rsidRPr="00D10E89" w:rsidRDefault="00547AEF" w:rsidP="00950930">
            <w:pPr>
              <w:spacing w:before="40" w:after="40"/>
              <w:jc w:val="center"/>
              <w:rPr>
                <w:rFonts w:eastAsia="Calibri" w:cstheme="minorHAnsi"/>
                <w:highlight w:val="yellow"/>
                <w:lang w:eastAsia="en-NZ"/>
              </w:rPr>
            </w:pPr>
            <w:r w:rsidRPr="00D10E89">
              <w:rPr>
                <w:rFonts w:eastAsia="Calibri" w:cstheme="minorHAnsi"/>
                <w:lang w:eastAsia="en-NZ"/>
              </w:rPr>
              <w:t>-</w:t>
            </w:r>
          </w:p>
        </w:tc>
      </w:tr>
      <w:tr w:rsidR="00547AEF" w:rsidRPr="00D10E89" w14:paraId="1FA9CDC2" w14:textId="77777777" w:rsidTr="00950930">
        <w:trPr>
          <w:trHeight w:val="340"/>
        </w:trPr>
        <w:tc>
          <w:tcPr>
            <w:tcW w:w="4180" w:type="dxa"/>
            <w:noWrap/>
            <w:hideMark/>
          </w:tcPr>
          <w:p w14:paraId="52261F4C" w14:textId="19C079B5" w:rsidR="00547AEF" w:rsidRPr="00D10E89" w:rsidRDefault="00F73C13" w:rsidP="00950930">
            <w:pPr>
              <w:spacing w:before="40" w:after="40"/>
              <w:ind w:firstLine="173"/>
              <w:rPr>
                <w:rFonts w:eastAsia="Calibri" w:cstheme="minorHAnsi"/>
                <w:lang w:eastAsia="en-NZ"/>
              </w:rPr>
            </w:pPr>
            <w:r w:rsidRPr="00D10E89">
              <w:rPr>
                <w:rFonts w:eastAsia="Calibri" w:cstheme="minorHAnsi"/>
                <w:color w:val="000000"/>
                <w:lang w:eastAsia="en-NZ"/>
              </w:rPr>
              <w:t xml:space="preserve">has </w:t>
            </w:r>
            <w:r w:rsidR="00547AEF" w:rsidRPr="00D10E89">
              <w:rPr>
                <w:rFonts w:eastAsia="Calibri" w:cstheme="minorHAnsi"/>
                <w:color w:val="000000"/>
                <w:lang w:eastAsia="en-NZ"/>
              </w:rPr>
              <w:t>visited emergency department</w:t>
            </w:r>
          </w:p>
        </w:tc>
        <w:tc>
          <w:tcPr>
            <w:tcW w:w="1860" w:type="dxa"/>
            <w:noWrap/>
            <w:hideMark/>
          </w:tcPr>
          <w:p w14:paraId="1B8B8360"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c>
          <w:tcPr>
            <w:tcW w:w="1780" w:type="dxa"/>
            <w:noWrap/>
            <w:hideMark/>
          </w:tcPr>
          <w:p w14:paraId="523BA868"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1</w:t>
            </w:r>
          </w:p>
        </w:tc>
        <w:tc>
          <w:tcPr>
            <w:tcW w:w="1360" w:type="dxa"/>
            <w:noWrap/>
            <w:hideMark/>
          </w:tcPr>
          <w:p w14:paraId="55B86FE7" w14:textId="77777777" w:rsidR="00547AEF" w:rsidRPr="00D10E89" w:rsidRDefault="00547AEF" w:rsidP="00950930">
            <w:pPr>
              <w:spacing w:before="40" w:after="40"/>
              <w:jc w:val="center"/>
              <w:rPr>
                <w:rFonts w:eastAsia="Calibri" w:cstheme="minorHAnsi"/>
                <w:highlight w:val="yellow"/>
                <w:lang w:eastAsia="en-NZ"/>
              </w:rPr>
            </w:pPr>
            <w:r w:rsidRPr="00D10E89">
              <w:rPr>
                <w:rFonts w:eastAsia="Calibri" w:cstheme="minorHAnsi"/>
                <w:lang w:eastAsia="en-NZ"/>
              </w:rPr>
              <w:t>-</w:t>
            </w:r>
          </w:p>
        </w:tc>
      </w:tr>
      <w:tr w:rsidR="00547AEF" w:rsidRPr="00D10E89" w14:paraId="404996DD" w14:textId="77777777" w:rsidTr="00950930">
        <w:trPr>
          <w:trHeight w:val="340"/>
        </w:trPr>
        <w:tc>
          <w:tcPr>
            <w:tcW w:w="4180" w:type="dxa"/>
            <w:noWrap/>
            <w:hideMark/>
          </w:tcPr>
          <w:p w14:paraId="504740FA" w14:textId="7EBFDE26" w:rsidR="00547AEF" w:rsidRPr="00D10E89" w:rsidRDefault="00F73C13" w:rsidP="00950930">
            <w:pPr>
              <w:spacing w:before="40" w:after="40"/>
              <w:ind w:firstLine="173"/>
              <w:rPr>
                <w:rFonts w:eastAsia="Calibri" w:cstheme="minorHAnsi"/>
                <w:lang w:eastAsia="en-NZ"/>
              </w:rPr>
            </w:pPr>
            <w:r w:rsidRPr="00D10E89">
              <w:rPr>
                <w:rFonts w:eastAsia="Calibri" w:cstheme="minorHAnsi"/>
                <w:lang w:eastAsia="en-NZ"/>
              </w:rPr>
              <w:t xml:space="preserve">has </w:t>
            </w:r>
            <w:r w:rsidR="00547AEF" w:rsidRPr="00D10E89">
              <w:rPr>
                <w:rFonts w:eastAsia="Calibri" w:cstheme="minorHAnsi"/>
                <w:lang w:eastAsia="en-NZ"/>
              </w:rPr>
              <w:t>stayed overnight in a hospital</w:t>
            </w:r>
          </w:p>
        </w:tc>
        <w:tc>
          <w:tcPr>
            <w:tcW w:w="1860" w:type="dxa"/>
            <w:noWrap/>
            <w:hideMark/>
          </w:tcPr>
          <w:p w14:paraId="589484D2"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2</w:t>
            </w:r>
          </w:p>
        </w:tc>
        <w:tc>
          <w:tcPr>
            <w:tcW w:w="1780" w:type="dxa"/>
            <w:noWrap/>
            <w:hideMark/>
          </w:tcPr>
          <w:p w14:paraId="54B84980"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 xml:space="preserve">1 </w:t>
            </w:r>
          </w:p>
        </w:tc>
        <w:tc>
          <w:tcPr>
            <w:tcW w:w="1360" w:type="dxa"/>
            <w:noWrap/>
            <w:hideMark/>
          </w:tcPr>
          <w:p w14:paraId="3CE88BD7" w14:textId="77777777" w:rsidR="00547AEF" w:rsidRPr="00D10E89" w:rsidRDefault="00547AEF" w:rsidP="00950930">
            <w:pPr>
              <w:spacing w:before="40" w:after="40"/>
              <w:jc w:val="center"/>
              <w:rPr>
                <w:rFonts w:eastAsia="Calibri" w:cstheme="minorHAnsi"/>
                <w:highlight w:val="yellow"/>
                <w:lang w:eastAsia="en-NZ"/>
              </w:rPr>
            </w:pPr>
            <w:r w:rsidRPr="00D10E89">
              <w:rPr>
                <w:rFonts w:eastAsia="Calibri" w:cstheme="minorHAnsi"/>
                <w:lang w:eastAsia="en-NZ"/>
              </w:rPr>
              <w:t>-</w:t>
            </w:r>
          </w:p>
        </w:tc>
      </w:tr>
      <w:tr w:rsidR="00547AEF" w:rsidRPr="00D10E89" w14:paraId="35F382A7" w14:textId="77777777" w:rsidTr="00950930">
        <w:trPr>
          <w:trHeight w:val="340"/>
        </w:trPr>
        <w:tc>
          <w:tcPr>
            <w:tcW w:w="4180" w:type="dxa"/>
            <w:noWrap/>
            <w:hideMark/>
          </w:tcPr>
          <w:p w14:paraId="622D7B5E" w14:textId="77777777" w:rsidR="00547AEF" w:rsidRPr="00D10E89" w:rsidRDefault="00547AEF" w:rsidP="00950930">
            <w:pPr>
              <w:spacing w:before="40" w:after="40"/>
              <w:rPr>
                <w:rFonts w:eastAsia="Calibri" w:cstheme="minorHAnsi"/>
                <w:lang w:eastAsia="en-NZ"/>
              </w:rPr>
            </w:pPr>
            <w:r>
              <w:rPr>
                <w:rFonts w:eastAsia="Calibri" w:cstheme="minorHAnsi"/>
                <w:color w:val="000000"/>
                <w:lang w:eastAsia="en-NZ"/>
              </w:rPr>
              <w:t xml:space="preserve">(PCPES only) </w:t>
            </w:r>
            <w:r w:rsidRPr="00D10E89">
              <w:rPr>
                <w:rFonts w:eastAsia="Calibri" w:cstheme="minorHAnsi"/>
                <w:color w:val="000000"/>
                <w:lang w:eastAsia="en-NZ"/>
              </w:rPr>
              <w:t>Currently has a long-term condition</w:t>
            </w:r>
          </w:p>
        </w:tc>
        <w:tc>
          <w:tcPr>
            <w:tcW w:w="1860" w:type="dxa"/>
            <w:noWrap/>
            <w:hideMark/>
          </w:tcPr>
          <w:p w14:paraId="05E2B23F"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c>
          <w:tcPr>
            <w:tcW w:w="1780" w:type="dxa"/>
            <w:noWrap/>
            <w:hideMark/>
          </w:tcPr>
          <w:p w14:paraId="64DCE058"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 xml:space="preserve">5 </w:t>
            </w:r>
          </w:p>
        </w:tc>
        <w:tc>
          <w:tcPr>
            <w:tcW w:w="1360" w:type="dxa"/>
            <w:noWrap/>
            <w:hideMark/>
          </w:tcPr>
          <w:p w14:paraId="0897786C" w14:textId="77777777" w:rsidR="00547AEF" w:rsidRPr="00D10E89" w:rsidRDefault="00547AEF" w:rsidP="00950930">
            <w:pPr>
              <w:spacing w:before="40" w:after="40"/>
              <w:jc w:val="center"/>
              <w:rPr>
                <w:rFonts w:eastAsia="Calibri" w:cstheme="minorHAnsi"/>
                <w:highlight w:val="yellow"/>
                <w:lang w:eastAsia="en-NZ"/>
              </w:rPr>
            </w:pPr>
            <w:r w:rsidRPr="00D10E89">
              <w:rPr>
                <w:rFonts w:eastAsia="Calibri" w:cstheme="minorHAnsi"/>
                <w:lang w:eastAsia="en-NZ"/>
              </w:rPr>
              <w:t>-</w:t>
            </w:r>
          </w:p>
        </w:tc>
      </w:tr>
      <w:tr w:rsidR="00547AEF" w:rsidRPr="00D10E89" w14:paraId="35EDEB95" w14:textId="77777777" w:rsidTr="00950930">
        <w:trPr>
          <w:trHeight w:val="340"/>
        </w:trPr>
        <w:tc>
          <w:tcPr>
            <w:tcW w:w="4180" w:type="dxa"/>
            <w:noWrap/>
            <w:hideMark/>
          </w:tcPr>
          <w:p w14:paraId="59E81C14" w14:textId="4B8915EA" w:rsidR="00547AEF" w:rsidRPr="00D10E89" w:rsidRDefault="00547AEF" w:rsidP="00950930">
            <w:pPr>
              <w:spacing w:before="40" w:after="40"/>
              <w:rPr>
                <w:rFonts w:eastAsia="Calibri" w:cstheme="minorHAnsi"/>
                <w:lang w:eastAsia="en-NZ"/>
              </w:rPr>
            </w:pPr>
            <w:r>
              <w:rPr>
                <w:rFonts w:eastAsia="Calibri" w:cstheme="minorHAnsi"/>
                <w:color w:val="000000"/>
                <w:lang w:eastAsia="en-NZ"/>
              </w:rPr>
              <w:t>(IPES</w:t>
            </w:r>
            <w:r w:rsidR="00F161FA">
              <w:rPr>
                <w:rFonts w:eastAsia="Calibri" w:cstheme="minorHAnsi"/>
                <w:color w:val="000000"/>
                <w:lang w:eastAsia="en-NZ"/>
              </w:rPr>
              <w:t xml:space="preserve"> only</w:t>
            </w:r>
            <w:r>
              <w:rPr>
                <w:rFonts w:eastAsia="Calibri" w:cstheme="minorHAnsi"/>
                <w:color w:val="000000"/>
                <w:lang w:eastAsia="en-NZ"/>
              </w:rPr>
              <w:t xml:space="preserve">) </w:t>
            </w:r>
            <w:r w:rsidRPr="00D10E89">
              <w:rPr>
                <w:rFonts w:eastAsia="Calibri" w:cstheme="minorHAnsi"/>
                <w:color w:val="000000"/>
                <w:lang w:eastAsia="en-NZ"/>
              </w:rPr>
              <w:t>Had an operation or procedure</w:t>
            </w:r>
          </w:p>
        </w:tc>
        <w:tc>
          <w:tcPr>
            <w:tcW w:w="1860" w:type="dxa"/>
            <w:noWrap/>
            <w:hideMark/>
          </w:tcPr>
          <w:p w14:paraId="388A1C2F"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2</w:t>
            </w:r>
          </w:p>
        </w:tc>
        <w:tc>
          <w:tcPr>
            <w:tcW w:w="1780" w:type="dxa"/>
            <w:noWrap/>
          </w:tcPr>
          <w:p w14:paraId="256806A6"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lang w:eastAsia="en-NZ"/>
              </w:rPr>
              <w:t>-</w:t>
            </w:r>
          </w:p>
        </w:tc>
        <w:tc>
          <w:tcPr>
            <w:tcW w:w="1360" w:type="dxa"/>
            <w:noWrap/>
            <w:hideMark/>
          </w:tcPr>
          <w:p w14:paraId="22D3E466" w14:textId="77777777" w:rsidR="00547AEF" w:rsidRPr="00D10E89" w:rsidRDefault="00547AEF" w:rsidP="00950930">
            <w:pPr>
              <w:spacing w:before="40" w:after="40"/>
              <w:jc w:val="center"/>
              <w:rPr>
                <w:rFonts w:eastAsia="Calibri" w:cstheme="minorHAnsi"/>
                <w:lang w:eastAsia="en-NZ"/>
              </w:rPr>
            </w:pPr>
            <w:r w:rsidRPr="00D10E89">
              <w:rPr>
                <w:rFonts w:eastAsia="Calibri" w:cstheme="minorHAnsi"/>
                <w:color w:val="000000"/>
                <w:lang w:eastAsia="en-NZ"/>
              </w:rPr>
              <w:t>8</w:t>
            </w:r>
          </w:p>
        </w:tc>
      </w:tr>
    </w:tbl>
    <w:p w14:paraId="028B0D4C" w14:textId="77777777" w:rsidR="00936F30" w:rsidRDefault="00936F30" w:rsidP="00936F30">
      <w:pPr>
        <w:pStyle w:val="Heading4"/>
      </w:pPr>
      <w:r>
        <w:t>Results</w:t>
      </w:r>
    </w:p>
    <w:p w14:paraId="2B89D9E7" w14:textId="3BA3AB5B" w:rsidR="00936F30" w:rsidRDefault="00936F30" w:rsidP="00936F30">
      <w:r>
        <w:t xml:space="preserve">Most participants were from Māori or Pacific communities. Overall, the questionnaires were well received by patients </w:t>
      </w:r>
      <w:r w:rsidR="00DC245C">
        <w:t xml:space="preserve">who took part </w:t>
      </w:r>
      <w:r>
        <w:t xml:space="preserve">in the cognitive </w:t>
      </w:r>
      <w:r w:rsidR="00F161FA">
        <w:t>pre-</w:t>
      </w:r>
      <w:r>
        <w:t xml:space="preserve">testing. </w:t>
      </w:r>
      <w:r w:rsidR="00950930">
        <w:t>Most participants felt that the questionnaires asked about all relevant aspects of their hospital or primary health care experience.</w:t>
      </w:r>
      <w:r>
        <w:t xml:space="preserve"> </w:t>
      </w:r>
    </w:p>
    <w:p w14:paraId="62793CB9" w14:textId="4B7D6082" w:rsidR="00936F30" w:rsidRDefault="00936F30" w:rsidP="00936F30">
      <w:pPr>
        <w:pStyle w:val="Heading4"/>
      </w:pPr>
      <w:r>
        <w:t xml:space="preserve">Improving </w:t>
      </w:r>
      <w:r w:rsidR="00DC245C">
        <w:t>response rates and encouraging pa</w:t>
      </w:r>
      <w:r>
        <w:t>rticipation</w:t>
      </w:r>
    </w:p>
    <w:p w14:paraId="601B72D3" w14:textId="3CA1061C" w:rsidR="00936F30" w:rsidRDefault="00936F30" w:rsidP="00936F30">
      <w:r>
        <w:t xml:space="preserve">Participants </w:t>
      </w:r>
      <w:r w:rsidR="00B920D9">
        <w:t xml:space="preserve">made </w:t>
      </w:r>
      <w:r>
        <w:t xml:space="preserve">suggestions </w:t>
      </w:r>
      <w:r w:rsidR="00B920D9">
        <w:t xml:space="preserve">about </w:t>
      </w:r>
      <w:r>
        <w:t>how best to reach them and members of their community</w:t>
      </w:r>
      <w:r w:rsidR="00B920D9">
        <w:t>.</w:t>
      </w:r>
    </w:p>
    <w:p w14:paraId="1810FEE4" w14:textId="77777777" w:rsidR="00936F30" w:rsidRDefault="00936F30" w:rsidP="00547AEF">
      <w:pPr>
        <w:pStyle w:val="ListParagraph"/>
        <w:numPr>
          <w:ilvl w:val="0"/>
          <w:numId w:val="13"/>
        </w:numPr>
      </w:pPr>
      <w:r>
        <w:t>Add a personalised connection on the survey invitation:</w:t>
      </w:r>
    </w:p>
    <w:p w14:paraId="5F0F3C6E" w14:textId="6DA8D959" w:rsidR="00936F30" w:rsidRDefault="00936F30" w:rsidP="00547AEF">
      <w:pPr>
        <w:pStyle w:val="ListParagraph"/>
        <w:numPr>
          <w:ilvl w:val="1"/>
          <w:numId w:val="13"/>
        </w:numPr>
      </w:pPr>
      <w:r>
        <w:t>Have the invitation come from the doctors and nurses with whom patients ha</w:t>
      </w:r>
      <w:r w:rsidR="00B920D9">
        <w:t>ve</w:t>
      </w:r>
      <w:r>
        <w:t xml:space="preserve"> already built trust</w:t>
      </w:r>
      <w:r w:rsidR="00B920D9">
        <w:t>.</w:t>
      </w:r>
    </w:p>
    <w:p w14:paraId="668E2C5D" w14:textId="3342D1D5" w:rsidR="00936F30" w:rsidRDefault="00936F30" w:rsidP="00547AEF">
      <w:pPr>
        <w:pStyle w:val="ListParagraph"/>
        <w:numPr>
          <w:ilvl w:val="1"/>
          <w:numId w:val="13"/>
        </w:numPr>
      </w:pPr>
      <w:r>
        <w:t>In primary care, have the doctor note the upcoming invitation during survey week</w:t>
      </w:r>
      <w:r w:rsidR="00B920D9">
        <w:t>.</w:t>
      </w:r>
    </w:p>
    <w:p w14:paraId="7748D4E8" w14:textId="25789CDE" w:rsidR="00936F30" w:rsidRDefault="00936F30" w:rsidP="00547AEF">
      <w:pPr>
        <w:pStyle w:val="ListParagraph"/>
        <w:numPr>
          <w:ilvl w:val="1"/>
          <w:numId w:val="13"/>
        </w:numPr>
      </w:pPr>
      <w:r>
        <w:t>Have a print version available, particularly for older participants</w:t>
      </w:r>
      <w:r w:rsidR="00B920D9">
        <w:t>.</w:t>
      </w:r>
    </w:p>
    <w:p w14:paraId="401CC26A" w14:textId="4FE0ECA3" w:rsidR="00936F30" w:rsidRDefault="00B920D9" w:rsidP="00547AEF">
      <w:pPr>
        <w:pStyle w:val="ListParagraph"/>
        <w:numPr>
          <w:ilvl w:val="0"/>
          <w:numId w:val="13"/>
        </w:numPr>
      </w:pPr>
      <w:r>
        <w:lastRenderedPageBreak/>
        <w:t>Have p</w:t>
      </w:r>
      <w:r w:rsidR="00936F30">
        <w:t>op-ups on popular health</w:t>
      </w:r>
      <w:r>
        <w:t>-</w:t>
      </w:r>
      <w:r w:rsidR="00936F30">
        <w:t xml:space="preserve">related websites and in social media as an invitation to </w:t>
      </w:r>
      <w:r>
        <w:t>take part.</w:t>
      </w:r>
      <w:r w:rsidR="00936F30">
        <w:t xml:space="preserve"> </w:t>
      </w:r>
    </w:p>
    <w:p w14:paraId="2A5B3958" w14:textId="02E3190C" w:rsidR="00936F30" w:rsidRDefault="00B920D9" w:rsidP="00547AEF">
      <w:pPr>
        <w:pStyle w:val="ListParagraph"/>
        <w:numPr>
          <w:ilvl w:val="0"/>
          <w:numId w:val="13"/>
        </w:numPr>
      </w:pPr>
      <w:r>
        <w:t>Use i</w:t>
      </w:r>
      <w:r w:rsidR="00936F30">
        <w:t>nvitation messaging that was generic but inclusive (using hello/kia ora/</w:t>
      </w:r>
      <w:proofErr w:type="spellStart"/>
      <w:r w:rsidR="00936F30">
        <w:t>talofa</w:t>
      </w:r>
      <w:proofErr w:type="spellEnd"/>
      <w:r w:rsidR="00936F30">
        <w:t xml:space="preserve"> lava). </w:t>
      </w:r>
    </w:p>
    <w:p w14:paraId="08B3C0D6" w14:textId="7B9ED609" w:rsidR="00936F30" w:rsidRDefault="00936F30" w:rsidP="00547AEF">
      <w:pPr>
        <w:pStyle w:val="ListParagraph"/>
        <w:numPr>
          <w:ilvl w:val="0"/>
          <w:numId w:val="13"/>
        </w:numPr>
      </w:pPr>
      <w:r>
        <w:t>Provide free data to complete the survey</w:t>
      </w:r>
      <w:r w:rsidR="00B920D9">
        <w:t>.</w:t>
      </w:r>
    </w:p>
    <w:p w14:paraId="72F97960" w14:textId="4AAD35BF" w:rsidR="00936F30" w:rsidRDefault="00B920D9" w:rsidP="00547AEF">
      <w:pPr>
        <w:pStyle w:val="ListParagraph"/>
        <w:numPr>
          <w:ilvl w:val="0"/>
          <w:numId w:val="13"/>
        </w:numPr>
      </w:pPr>
      <w:r>
        <w:t>Have i</w:t>
      </w:r>
      <w:r w:rsidR="00936F30">
        <w:t xml:space="preserve">ncentives to </w:t>
      </w:r>
      <w:r>
        <w:t>take part,</w:t>
      </w:r>
      <w:r w:rsidR="00936F30">
        <w:t xml:space="preserve"> such as small cash rewards, discounts at the chemist, entering a draw for a bigger prize and entrance to a community event. </w:t>
      </w:r>
    </w:p>
    <w:p w14:paraId="67B25B72" w14:textId="13983D4C" w:rsidR="00936F30" w:rsidRDefault="00936F30" w:rsidP="00547AEF">
      <w:pPr>
        <w:pStyle w:val="ListParagraph"/>
        <w:numPr>
          <w:ilvl w:val="0"/>
          <w:numId w:val="13"/>
        </w:numPr>
      </w:pPr>
      <w:r>
        <w:t>Several participants noted they would like a face-to-face approach where they could ask for clarification and</w:t>
      </w:r>
      <w:r w:rsidR="00B920D9">
        <w:t xml:space="preserve"> which</w:t>
      </w:r>
      <w:r>
        <w:t xml:space="preserve"> was more personalised</w:t>
      </w:r>
      <w:r w:rsidR="00B920D9">
        <w:t>;</w:t>
      </w:r>
      <w:r>
        <w:t xml:space="preserve"> this was particularly the case for older people. One suggestion was for community leaders, social </w:t>
      </w:r>
      <w:proofErr w:type="gramStart"/>
      <w:r>
        <w:t>workers</w:t>
      </w:r>
      <w:proofErr w:type="gramEnd"/>
      <w:r>
        <w:t xml:space="preserve"> or someone they know and trust to complete the questionnaire with them. Ipsos has provided an 0800 number to provide support</w:t>
      </w:r>
      <w:r w:rsidR="00B920D9">
        <w:t xml:space="preserve"> for people</w:t>
      </w:r>
      <w:r>
        <w:t xml:space="preserve"> completing the survey. </w:t>
      </w:r>
    </w:p>
    <w:p w14:paraId="406B231E" w14:textId="7318CAA0" w:rsidR="00936F30" w:rsidRDefault="00936F30" w:rsidP="00547AEF">
      <w:pPr>
        <w:pStyle w:val="ListParagraph"/>
        <w:numPr>
          <w:ilvl w:val="0"/>
          <w:numId w:val="13"/>
        </w:numPr>
      </w:pPr>
      <w:r>
        <w:t>Survey length was discussed. The ability to answer a shorter version was suggested as an option, whil</w:t>
      </w:r>
      <w:r w:rsidR="00B920D9">
        <w:t>e</w:t>
      </w:r>
      <w:r>
        <w:t xml:space="preserve"> for others the length and depth of questions worked well. One participant suggested offering a </w:t>
      </w:r>
      <w:r w:rsidR="00B920D9">
        <w:t>five</w:t>
      </w:r>
      <w:r>
        <w:t>-minute version that then allow</w:t>
      </w:r>
      <w:r w:rsidR="00B920D9">
        <w:t>ed</w:t>
      </w:r>
      <w:r>
        <w:t xml:space="preserve"> respondents to continue to more questions if they wish</w:t>
      </w:r>
      <w:r w:rsidR="00B920D9">
        <w:t>ed</w:t>
      </w:r>
      <w:r>
        <w:t>.</w:t>
      </w:r>
    </w:p>
    <w:p w14:paraId="692F15A8" w14:textId="12DFC1DB" w:rsidR="00936F30" w:rsidRDefault="00936F30" w:rsidP="00547AEF">
      <w:pPr>
        <w:pStyle w:val="ListParagraph"/>
        <w:numPr>
          <w:ilvl w:val="0"/>
          <w:numId w:val="13"/>
        </w:numPr>
      </w:pPr>
      <w:r>
        <w:t>The language of the survey was discussed with each participant. While most were happy to complete</w:t>
      </w:r>
      <w:r w:rsidR="00B920D9">
        <w:t xml:space="preserve"> it</w:t>
      </w:r>
      <w:r>
        <w:t xml:space="preserve"> in English, they noted others in their community might prefer a translated version (especially older groups). One Asian participant who spoke English as a second language noted that email and online response options </w:t>
      </w:r>
      <w:r w:rsidR="00B920D9">
        <w:t xml:space="preserve">were </w:t>
      </w:r>
      <w:r>
        <w:t xml:space="preserve">easier for </w:t>
      </w:r>
      <w:r w:rsidR="00B920D9">
        <w:t>people with</w:t>
      </w:r>
      <w:r w:rsidR="00B920D9" w:rsidRPr="00B920D9">
        <w:t xml:space="preserve"> </w:t>
      </w:r>
      <w:r w:rsidR="00B920D9">
        <w:t xml:space="preserve">a lack of confidence in oral English </w:t>
      </w:r>
      <w:r>
        <w:t xml:space="preserve">to complete. </w:t>
      </w:r>
    </w:p>
    <w:p w14:paraId="4E5EAD1D" w14:textId="77777777" w:rsidR="00936F30" w:rsidRDefault="00936F30" w:rsidP="00936F30">
      <w:pPr>
        <w:pStyle w:val="Heading4"/>
      </w:pPr>
      <w:r>
        <w:t>Communications – the email and text invitation</w:t>
      </w:r>
    </w:p>
    <w:p w14:paraId="21241EA2" w14:textId="3F613ADB" w:rsidR="00936F30" w:rsidRDefault="00D85B40" w:rsidP="00936F30">
      <w:r>
        <w:t>Participants in the review were given t</w:t>
      </w:r>
      <w:r w:rsidR="00936F30">
        <w:t>he email and text invitations</w:t>
      </w:r>
      <w:r>
        <w:t xml:space="preserve"> and asked to give feedback</w:t>
      </w:r>
      <w:r w:rsidR="00936F30">
        <w:t>.</w:t>
      </w:r>
      <w:r>
        <w:t xml:space="preserve"> </w:t>
      </w:r>
      <w:r w:rsidR="00936F30">
        <w:t xml:space="preserve"> </w:t>
      </w:r>
    </w:p>
    <w:p w14:paraId="01B7F250" w14:textId="77777777" w:rsidR="00936F30" w:rsidRDefault="00936F30" w:rsidP="00936F30">
      <w:r>
        <w:t>Features participants liked in the email were:</w:t>
      </w:r>
    </w:p>
    <w:p w14:paraId="08D7A927" w14:textId="0053758A" w:rsidR="00936F30" w:rsidRDefault="00D85B40" w:rsidP="00547AEF">
      <w:pPr>
        <w:pStyle w:val="ListParagraph"/>
        <w:numPr>
          <w:ilvl w:val="0"/>
          <w:numId w:val="14"/>
        </w:numPr>
      </w:pPr>
      <w:r>
        <w:t xml:space="preserve">including </w:t>
      </w:r>
      <w:r w:rsidR="00936F30">
        <w:t>their local DHB or practice logo</w:t>
      </w:r>
      <w:r>
        <w:t xml:space="preserve"> – this</w:t>
      </w:r>
      <w:r w:rsidR="00936F30">
        <w:t xml:space="preserve"> was important to build trust with the legitimacy of the invitation</w:t>
      </w:r>
    </w:p>
    <w:p w14:paraId="5480F896" w14:textId="2222F60B" w:rsidR="00936F30" w:rsidRDefault="00D85B40" w:rsidP="00547AEF">
      <w:pPr>
        <w:pStyle w:val="ListParagraph"/>
        <w:numPr>
          <w:ilvl w:val="0"/>
          <w:numId w:val="14"/>
        </w:numPr>
      </w:pPr>
      <w:r>
        <w:t xml:space="preserve">for </w:t>
      </w:r>
      <w:r w:rsidR="00936F30">
        <w:t>inpatient participants</w:t>
      </w:r>
      <w:r>
        <w:t xml:space="preserve">, </w:t>
      </w:r>
      <w:r w:rsidR="00936F30">
        <w:t>since the invitation was coming from the DHB the</w:t>
      </w:r>
      <w:r>
        <w:t>re was more</w:t>
      </w:r>
      <w:r w:rsidR="00936F30">
        <w:t xml:space="preserve"> urgency to read it carefully</w:t>
      </w:r>
      <w:r>
        <w:t xml:space="preserve"> and respond.</w:t>
      </w:r>
    </w:p>
    <w:p w14:paraId="72CD84E5" w14:textId="30E047D8" w:rsidR="00936F30" w:rsidRDefault="00936F30" w:rsidP="00936F30">
      <w:r>
        <w:t>Aspects of the email invitation to consider improving</w:t>
      </w:r>
      <w:r w:rsidR="00D85B40">
        <w:t xml:space="preserve"> were</w:t>
      </w:r>
      <w:r>
        <w:t>:</w:t>
      </w:r>
    </w:p>
    <w:p w14:paraId="5170441F" w14:textId="3245B72C" w:rsidR="00936F30" w:rsidRDefault="00D85B40" w:rsidP="00547AEF">
      <w:pPr>
        <w:pStyle w:val="ListParagraph"/>
        <w:numPr>
          <w:ilvl w:val="0"/>
          <w:numId w:val="15"/>
        </w:numPr>
      </w:pPr>
      <w:r>
        <w:t>e</w:t>
      </w:r>
      <w:r w:rsidR="00936F30">
        <w:t xml:space="preserve">nsure the invitation is not too long or wordy </w:t>
      </w:r>
    </w:p>
    <w:p w14:paraId="5AF227B6" w14:textId="0B3E4273" w:rsidR="00936F30" w:rsidRDefault="00D85B40" w:rsidP="00547AEF">
      <w:pPr>
        <w:pStyle w:val="ListParagraph"/>
        <w:numPr>
          <w:ilvl w:val="0"/>
          <w:numId w:val="15"/>
        </w:numPr>
      </w:pPr>
      <w:r>
        <w:t>a</w:t>
      </w:r>
      <w:r w:rsidR="00936F30">
        <w:t xml:space="preserve">dd information on how the results would be used. </w:t>
      </w:r>
      <w:r>
        <w:t>Participants valued a</w:t>
      </w:r>
      <w:r w:rsidR="00936F30">
        <w:t xml:space="preserve">ssurance that </w:t>
      </w:r>
      <w:r>
        <w:t>results are</w:t>
      </w:r>
      <w:r w:rsidR="00936F30">
        <w:t xml:space="preserve"> used to improve service</w:t>
      </w:r>
      <w:r>
        <w:t>s</w:t>
      </w:r>
      <w:r w:rsidR="00936F30">
        <w:t>.</w:t>
      </w:r>
    </w:p>
    <w:p w14:paraId="16EA51C7" w14:textId="71DF38F4" w:rsidR="00936F30" w:rsidRDefault="00936F30" w:rsidP="00936F30">
      <w:r>
        <w:t xml:space="preserve">The content of the email invitation was </w:t>
      </w:r>
      <w:r w:rsidR="00394F81">
        <w:t xml:space="preserve">considered </w:t>
      </w:r>
      <w:r>
        <w:t xml:space="preserve">helpful, even though not all participants read it all but might just confirm the purpose and then click on the link. </w:t>
      </w:r>
    </w:p>
    <w:p w14:paraId="364FFEE8" w14:textId="5F4D98D2" w:rsidR="00936F30" w:rsidRDefault="00936F30" w:rsidP="00936F30">
      <w:r>
        <w:t>With the text message</w:t>
      </w:r>
      <w:r w:rsidR="00394F81">
        <w:t>, some participants were concerned about</w:t>
      </w:r>
      <w:r>
        <w:t xml:space="preserve"> </w:t>
      </w:r>
      <w:r w:rsidR="00394F81">
        <w:t>identifying the source and verifying</w:t>
      </w:r>
      <w:r>
        <w:t xml:space="preserve"> the legitimacy of the sender.</w:t>
      </w:r>
      <w:r w:rsidR="00394F81">
        <w:t xml:space="preserve"> T</w:t>
      </w:r>
      <w:r>
        <w:t xml:space="preserve">iming the text to </w:t>
      </w:r>
      <w:r w:rsidR="00394F81">
        <w:t xml:space="preserve">directly </w:t>
      </w:r>
      <w:r>
        <w:t xml:space="preserve">follow the email invite and referencing further information would add credibility. </w:t>
      </w:r>
    </w:p>
    <w:p w14:paraId="07DB0C2D" w14:textId="0BDD7624" w:rsidR="001479A8" w:rsidRDefault="00936F30" w:rsidP="00F73C13">
      <w:pPr>
        <w:rPr>
          <w:rFonts w:asciiTheme="majorHAnsi" w:eastAsiaTheme="majorEastAsia" w:hAnsiTheme="majorHAnsi" w:cstheme="majorBidi"/>
          <w:b/>
          <w:bCs/>
          <w:i/>
          <w:iCs/>
        </w:rPr>
      </w:pPr>
      <w:r>
        <w:t xml:space="preserve">Older participants were less likely to </w:t>
      </w:r>
      <w:r w:rsidR="00394F81">
        <w:t>be</w:t>
      </w:r>
      <w:r>
        <w:t xml:space="preserve"> using email and text messages</w:t>
      </w:r>
      <w:r w:rsidR="00F161FA" w:rsidRPr="00F161FA">
        <w:t xml:space="preserve"> </w:t>
      </w:r>
      <w:r w:rsidR="00F161FA">
        <w:t>actively</w:t>
      </w:r>
      <w:r>
        <w:t xml:space="preserve"> for communication. </w:t>
      </w:r>
      <w:r w:rsidR="001479A8">
        <w:br w:type="page"/>
      </w:r>
    </w:p>
    <w:p w14:paraId="435F9CD6" w14:textId="72685114" w:rsidR="00936F30" w:rsidRDefault="00936F30" w:rsidP="00936F30">
      <w:pPr>
        <w:pStyle w:val="Heading4"/>
      </w:pPr>
      <w:r>
        <w:lastRenderedPageBreak/>
        <w:t xml:space="preserve">Scale and </w:t>
      </w:r>
      <w:r w:rsidR="002B7EE8">
        <w:t>response optio</w:t>
      </w:r>
      <w:r>
        <w:t>ns</w:t>
      </w:r>
    </w:p>
    <w:p w14:paraId="4610A24C" w14:textId="5D7D2707" w:rsidR="00936F30" w:rsidRDefault="00936F30" w:rsidP="00936F30">
      <w:r>
        <w:t>Different respondents had preference</w:t>
      </w:r>
      <w:r w:rsidR="008644CC">
        <w:t>s</w:t>
      </w:r>
      <w:r>
        <w:t xml:space="preserve"> for different scales. The most popular was a four-point scale ranging from completely to not at all, however </w:t>
      </w:r>
      <w:r w:rsidR="008644CC">
        <w:t xml:space="preserve">since </w:t>
      </w:r>
      <w:r>
        <w:t>there was nothing in pre</w:t>
      </w:r>
      <w:r w:rsidR="008644CC">
        <w:t>-</w:t>
      </w:r>
      <w:r>
        <w:t xml:space="preserve">testing that indicated respondents struggled with the response options given to them in the </w:t>
      </w:r>
      <w:r w:rsidR="008644CC">
        <w:t>three</w:t>
      </w:r>
      <w:r>
        <w:t>-point scale</w:t>
      </w:r>
      <w:r w:rsidR="008644CC">
        <w:t>, the latter was</w:t>
      </w:r>
      <w:r>
        <w:t xml:space="preserve"> retained.</w:t>
      </w:r>
    </w:p>
    <w:p w14:paraId="072F0E50" w14:textId="7844CDF2" w:rsidR="00936F30" w:rsidRDefault="008644CC" w:rsidP="00936F30">
      <w:r>
        <w:t xml:space="preserve">Participants identified </w:t>
      </w:r>
      <w:r w:rsidR="00936F30">
        <w:t>improvements to the visual presentation of the response options</w:t>
      </w:r>
      <w:r>
        <w:t xml:space="preserve"> for both surveys </w:t>
      </w:r>
      <w:r w:rsidR="00936F30">
        <w:t xml:space="preserve">to make </w:t>
      </w:r>
      <w:r>
        <w:t>them</w:t>
      </w:r>
      <w:r w:rsidR="00936F30">
        <w:t xml:space="preserve"> easier to view. </w:t>
      </w:r>
    </w:p>
    <w:p w14:paraId="3344B83A" w14:textId="77777777" w:rsidR="00936F30" w:rsidRDefault="00936F30" w:rsidP="00936F30">
      <w:pPr>
        <w:pStyle w:val="Heading4"/>
      </w:pPr>
      <w:r>
        <w:t>Resulting changes</w:t>
      </w:r>
    </w:p>
    <w:p w14:paraId="6E5C6681" w14:textId="565004D6" w:rsidR="00936F30" w:rsidRDefault="00936F30" w:rsidP="00936F30">
      <w:r>
        <w:t>Following the initial interviews, the following changes were made to the IPES questionnaire</w:t>
      </w:r>
      <w:r w:rsidR="00E26697">
        <w:t>.</w:t>
      </w:r>
    </w:p>
    <w:p w14:paraId="69D5501B" w14:textId="1CF1B930" w:rsidR="00936F30" w:rsidRDefault="000E6414" w:rsidP="00547AEF">
      <w:pPr>
        <w:pStyle w:val="ListParagraph"/>
        <w:numPr>
          <w:ilvl w:val="0"/>
          <w:numId w:val="16"/>
        </w:numPr>
      </w:pPr>
      <w:r>
        <w:t>P</w:t>
      </w:r>
      <w:r w:rsidR="00936F30">
        <w:t xml:space="preserve">rocedure </w:t>
      </w:r>
      <w:r>
        <w:t xml:space="preserve">was changed </w:t>
      </w:r>
      <w:r w:rsidR="00936F30">
        <w:t>to operation or surgery</w:t>
      </w:r>
      <w:r>
        <w:t>.</w:t>
      </w:r>
      <w:r w:rsidR="00936F30">
        <w:t xml:space="preserve"> (</w:t>
      </w:r>
      <w:r>
        <w:t>F</w:t>
      </w:r>
      <w:r w:rsidR="00936F30">
        <w:t>or example, ‘</w:t>
      </w:r>
      <w:r>
        <w:t>D</w:t>
      </w:r>
      <w:r w:rsidR="00936F30">
        <w:t>uring your visit in hospital, did you have a procedure?’ was changed to ‘</w:t>
      </w:r>
      <w:r>
        <w:t>D</w:t>
      </w:r>
      <w:r w:rsidR="00936F30">
        <w:t>uring your visit in hospital, did you have an operation or surgery?’</w:t>
      </w:r>
      <w:r>
        <w:t>)</w:t>
      </w:r>
    </w:p>
    <w:p w14:paraId="376F15B8" w14:textId="65F6987D" w:rsidR="00936F30" w:rsidRDefault="000E6414" w:rsidP="00547AEF">
      <w:pPr>
        <w:pStyle w:val="ListParagraph"/>
        <w:numPr>
          <w:ilvl w:val="0"/>
          <w:numId w:val="16"/>
        </w:numPr>
      </w:pPr>
      <w:r>
        <w:t>The f</w:t>
      </w:r>
      <w:r w:rsidR="00936F30">
        <w:t xml:space="preserve">amily/whānau ‘helping’ question </w:t>
      </w:r>
      <w:r>
        <w:t xml:space="preserve">was removed </w:t>
      </w:r>
      <w:r w:rsidR="00936F30">
        <w:t>to focus on family/whānau inclusion in discussions</w:t>
      </w:r>
      <w:r>
        <w:t>.</w:t>
      </w:r>
      <w:r w:rsidR="00936F30">
        <w:t xml:space="preserve"> (</w:t>
      </w:r>
      <w:r>
        <w:t>‘</w:t>
      </w:r>
      <w:r w:rsidR="00936F30">
        <w:t>Did hospital staff talk with you about whether you would have the help you needed when you left the hospital?</w:t>
      </w:r>
      <w:r>
        <w:t>’ was c</w:t>
      </w:r>
      <w:r w:rsidR="00936F30">
        <w:t>hanged to ‘</w:t>
      </w:r>
      <w:r>
        <w:t>D</w:t>
      </w:r>
      <w:r w:rsidR="00936F30">
        <w:t>id hospital staff include your family/whānau or someone close to you in discussions about planning for your care after your stay?’)</w:t>
      </w:r>
    </w:p>
    <w:p w14:paraId="3BA0FBA0" w14:textId="2D2383A9" w:rsidR="00936F30" w:rsidRDefault="000E6414" w:rsidP="00547AEF">
      <w:pPr>
        <w:pStyle w:val="ListParagraph"/>
        <w:numPr>
          <w:ilvl w:val="0"/>
          <w:numId w:val="16"/>
        </w:numPr>
      </w:pPr>
      <w:r>
        <w:t>The r</w:t>
      </w:r>
      <w:r w:rsidR="00936F30">
        <w:t xml:space="preserve">eligious or spiritual support question </w:t>
      </w:r>
      <w:r>
        <w:t xml:space="preserve">was removed. </w:t>
      </w:r>
      <w:r w:rsidR="00936F30">
        <w:t>(</w:t>
      </w:r>
      <w:r>
        <w:t>‘</w:t>
      </w:r>
      <w:r w:rsidR="00936F30">
        <w:t>Were you able to get religious or spiritual support if you wanted it?</w:t>
      </w:r>
      <w:r>
        <w:t>’</w:t>
      </w:r>
      <w:r w:rsidR="00936F30">
        <w:t>)</w:t>
      </w:r>
    </w:p>
    <w:p w14:paraId="29E2036A" w14:textId="07608D4D" w:rsidR="00936F30" w:rsidRDefault="000E6414" w:rsidP="00547AEF">
      <w:pPr>
        <w:pStyle w:val="ListParagraph"/>
        <w:numPr>
          <w:ilvl w:val="0"/>
          <w:numId w:val="16"/>
        </w:numPr>
      </w:pPr>
      <w:r>
        <w:t>T</w:t>
      </w:r>
      <w:r w:rsidR="00936F30">
        <w:t>he body tissue question</w:t>
      </w:r>
      <w:r>
        <w:t xml:space="preserve"> was removed pending</w:t>
      </w:r>
      <w:r w:rsidR="00936F30">
        <w:t xml:space="preserve"> cultural safety review</w:t>
      </w:r>
      <w:r>
        <w:t>.</w:t>
      </w:r>
      <w:r w:rsidR="00936F30">
        <w:t xml:space="preserve"> (</w:t>
      </w:r>
      <w:r>
        <w:t>‘</w:t>
      </w:r>
      <w:r w:rsidR="00936F30">
        <w:t>Were you able to decide what you wanted to do with any body tissue (organs, blood, hair etc…) that was removed, if any?</w:t>
      </w:r>
      <w:r>
        <w:t>’</w:t>
      </w:r>
      <w:r w:rsidR="00936F30">
        <w:t>)</w:t>
      </w:r>
    </w:p>
    <w:p w14:paraId="5EA9CEA0" w14:textId="38D18BF7" w:rsidR="00936F30" w:rsidRDefault="00E26697" w:rsidP="00547AEF">
      <w:pPr>
        <w:pStyle w:val="ListParagraph"/>
        <w:numPr>
          <w:ilvl w:val="0"/>
          <w:numId w:val="16"/>
        </w:numPr>
      </w:pPr>
      <w:r>
        <w:t>The s</w:t>
      </w:r>
      <w:r w:rsidR="00936F30">
        <w:t xml:space="preserve">taff ‘communicating with each other’ </w:t>
      </w:r>
      <w:r w:rsidR="000E6414">
        <w:t xml:space="preserve">question was replaced with </w:t>
      </w:r>
      <w:r>
        <w:t xml:space="preserve">a </w:t>
      </w:r>
      <w:r w:rsidR="00936F30">
        <w:t>‘conflicting information’ question</w:t>
      </w:r>
      <w:r w:rsidR="000E6414">
        <w:t>.</w:t>
      </w:r>
      <w:r w:rsidR="00936F30">
        <w:t xml:space="preserve"> (</w:t>
      </w:r>
      <w:r w:rsidR="000E6414">
        <w:t>‘</w:t>
      </w:r>
      <w:r w:rsidR="00936F30">
        <w:t>As far as you could tell, did the staff involved in your care communicate with each other about your treatment?</w:t>
      </w:r>
      <w:r w:rsidR="000E6414">
        <w:t>’</w:t>
      </w:r>
      <w:r w:rsidR="00936F30">
        <w:t xml:space="preserve"> </w:t>
      </w:r>
      <w:r w:rsidR="000E6414">
        <w:t xml:space="preserve">was </w:t>
      </w:r>
      <w:r w:rsidR="00936F30">
        <w:t>replaced with ‘</w:t>
      </w:r>
      <w:r w:rsidR="000E6414">
        <w:t>W</w:t>
      </w:r>
      <w:r w:rsidR="00936F30">
        <w:t xml:space="preserve">ere you given conflicting information by different doctors or staff involved in your care, </w:t>
      </w:r>
      <w:proofErr w:type="spellStart"/>
      <w:r w:rsidR="00936F30">
        <w:t>eg</w:t>
      </w:r>
      <w:proofErr w:type="spellEnd"/>
      <w:r w:rsidR="000E6414">
        <w:t>,</w:t>
      </w:r>
      <w:r w:rsidR="00936F30">
        <w:t xml:space="preserve"> one would tell you one thing and then another would tell you something different?</w:t>
      </w:r>
      <w:r w:rsidR="000E6414">
        <w:t>’</w:t>
      </w:r>
      <w:r w:rsidR="00936F30">
        <w:t>)</w:t>
      </w:r>
    </w:p>
    <w:p w14:paraId="3368B727" w14:textId="324333EA" w:rsidR="00936F30" w:rsidRDefault="000E6414" w:rsidP="00547AEF">
      <w:pPr>
        <w:pStyle w:val="ListParagraph"/>
        <w:numPr>
          <w:ilvl w:val="0"/>
          <w:numId w:val="16"/>
        </w:numPr>
      </w:pPr>
      <w:r>
        <w:t xml:space="preserve">The </w:t>
      </w:r>
      <w:r w:rsidR="00936F30">
        <w:t xml:space="preserve">introduction to </w:t>
      </w:r>
      <w:r>
        <w:t xml:space="preserve">the </w:t>
      </w:r>
      <w:r w:rsidR="00936F30">
        <w:t>‘overall evaluation’ question</w:t>
      </w:r>
      <w:r>
        <w:t xml:space="preserve"> was revised</w:t>
      </w:r>
      <w:r w:rsidR="00936F30">
        <w:t>. (</w:t>
      </w:r>
      <w:r>
        <w:t>‘</w:t>
      </w:r>
      <w:r w:rsidR="00936F30">
        <w:t>The next questions are about your overall view of your latest hospital visit. Please think about all the aspects of your visit including those we have covered in the questions above and any other aspects that are important to you.</w:t>
      </w:r>
      <w:r>
        <w:t>’</w:t>
      </w:r>
      <w:r w:rsidR="00936F30">
        <w:t>)</w:t>
      </w:r>
    </w:p>
    <w:p w14:paraId="534723A4" w14:textId="678C6636" w:rsidR="00936F30" w:rsidRDefault="00936F30" w:rsidP="00936F30">
      <w:r>
        <w:t xml:space="preserve">Changes to the </w:t>
      </w:r>
      <w:r w:rsidR="000E6414">
        <w:t>PCPES</w:t>
      </w:r>
      <w:r>
        <w:t xml:space="preserve"> included</w:t>
      </w:r>
      <w:r w:rsidR="000E6414">
        <w:t xml:space="preserve"> the following</w:t>
      </w:r>
      <w:r w:rsidR="00E26697">
        <w:t>.</w:t>
      </w:r>
    </w:p>
    <w:p w14:paraId="6B2F2790" w14:textId="6C89FDB7" w:rsidR="00936F30" w:rsidRDefault="000E6414" w:rsidP="00547AEF">
      <w:pPr>
        <w:pStyle w:val="ListParagraph"/>
        <w:numPr>
          <w:ilvl w:val="0"/>
          <w:numId w:val="17"/>
        </w:numPr>
      </w:pPr>
      <w:r>
        <w:t>The introduction was u</w:t>
      </w:r>
      <w:r w:rsidR="00936F30">
        <w:t>pdated to remind respondents to reflect on doctors and nurses at a specific practice</w:t>
      </w:r>
      <w:r>
        <w:t>.</w:t>
      </w:r>
    </w:p>
    <w:p w14:paraId="0B0DA91D" w14:textId="3529AB4F" w:rsidR="00936F30" w:rsidRDefault="000E6414" w:rsidP="00547AEF">
      <w:pPr>
        <w:pStyle w:val="ListParagraph"/>
        <w:numPr>
          <w:ilvl w:val="0"/>
          <w:numId w:val="17"/>
        </w:numPr>
      </w:pPr>
      <w:r>
        <w:t>T</w:t>
      </w:r>
      <w:r w:rsidR="00936F30">
        <w:t>he introduction to the ‘overall evaluation’ question</w:t>
      </w:r>
      <w:r>
        <w:t xml:space="preserve"> was revised</w:t>
      </w:r>
      <w:r w:rsidR="00936F30">
        <w:t>. (</w:t>
      </w:r>
      <w:r>
        <w:t>‘</w:t>
      </w:r>
      <w:r w:rsidR="00936F30">
        <w:t>The next questions are about your overall view of your latest experience with your GP/nurse clinic. Please think about all the aspects of experience stay including those we have covered in the questions above and any other aspects that are important to you.</w:t>
      </w:r>
      <w:r>
        <w:t>’</w:t>
      </w:r>
      <w:r w:rsidR="00936F30">
        <w:t>)</w:t>
      </w:r>
    </w:p>
    <w:p w14:paraId="261D834C" w14:textId="3AEC3B40" w:rsidR="00936F30" w:rsidRDefault="000E6414" w:rsidP="00547AEF">
      <w:pPr>
        <w:pStyle w:val="ListParagraph"/>
        <w:numPr>
          <w:ilvl w:val="0"/>
          <w:numId w:val="17"/>
        </w:numPr>
      </w:pPr>
      <w:r>
        <w:t>T</w:t>
      </w:r>
      <w:r w:rsidR="00936F30">
        <w:t>he wording for the access barriers question</w:t>
      </w:r>
      <w:r>
        <w:t xml:space="preserve"> was revised</w:t>
      </w:r>
      <w:r w:rsidR="00936F30">
        <w:t>. (</w:t>
      </w:r>
      <w:r>
        <w:t xml:space="preserve">The </w:t>
      </w:r>
      <w:r w:rsidR="00936F30">
        <w:t xml:space="preserve">question ‘In the last 12 months, was there a time when you had a medical problem but did not visit a GP or nurse because of cost?’ was removed and different cost barriers (appointment too expensive; owed money to the general practice or medical centre) were added to the list of reasons why </w:t>
      </w:r>
      <w:r>
        <w:t xml:space="preserve">someone </w:t>
      </w:r>
      <w:r w:rsidR="00936F30">
        <w:t>did not attend in the last 12 months</w:t>
      </w:r>
      <w:r>
        <w:t>.</w:t>
      </w:r>
      <w:r w:rsidR="00936F30">
        <w:t>)</w:t>
      </w:r>
    </w:p>
    <w:p w14:paraId="5542B235" w14:textId="75743621" w:rsidR="00936F30" w:rsidRDefault="00936F30" w:rsidP="00547AEF">
      <w:pPr>
        <w:pStyle w:val="ListParagraph"/>
        <w:numPr>
          <w:ilvl w:val="0"/>
          <w:numId w:val="17"/>
        </w:numPr>
      </w:pPr>
      <w:r>
        <w:lastRenderedPageBreak/>
        <w:t>‘</w:t>
      </w:r>
      <w:r w:rsidR="000E6414">
        <w:t>D</w:t>
      </w:r>
      <w:r>
        <w:t xml:space="preserve">on’t know’ </w:t>
      </w:r>
      <w:r w:rsidR="000E6414">
        <w:t xml:space="preserve">was removed </w:t>
      </w:r>
      <w:r>
        <w:t>from the wrong medicine being provided question. (‘In the last 12 months, have you been given the wrong medicine or wrong dose by someone from [PRACTICE NAME] or a pharmacist (outside of hospital)?’ Answer options yes/no.)</w:t>
      </w:r>
    </w:p>
    <w:p w14:paraId="7ABB6C8C" w14:textId="1D9A9AB0" w:rsidR="00936F30" w:rsidRDefault="000E6414" w:rsidP="00547AEF">
      <w:pPr>
        <w:pStyle w:val="ListParagraph"/>
        <w:numPr>
          <w:ilvl w:val="0"/>
          <w:numId w:val="17"/>
        </w:numPr>
      </w:pPr>
      <w:r>
        <w:t>F</w:t>
      </w:r>
      <w:r w:rsidR="00936F30">
        <w:t xml:space="preserve">amily/whānau involvement </w:t>
      </w:r>
      <w:r>
        <w:t xml:space="preserve">was removed </w:t>
      </w:r>
      <w:r w:rsidR="00936F30">
        <w:t>in</w:t>
      </w:r>
      <w:r>
        <w:t xml:space="preserve"> the</w:t>
      </w:r>
      <w:r w:rsidR="00936F30">
        <w:t xml:space="preserve"> long</w:t>
      </w:r>
      <w:r>
        <w:t>-</w:t>
      </w:r>
      <w:r w:rsidR="00936F30">
        <w:t>term condition planning question. (</w:t>
      </w:r>
      <w:r>
        <w:t>‘</w:t>
      </w:r>
      <w:r w:rsidR="00936F30">
        <w:t>In the last 12 months has your doctor(s) or specialist(s) included your family/whānau or someone close to you in discussions about your care or treatment for your condition(s)?</w:t>
      </w:r>
      <w:r>
        <w:t>’</w:t>
      </w:r>
      <w:r w:rsidR="00936F30">
        <w:t>)</w:t>
      </w:r>
    </w:p>
    <w:p w14:paraId="03403A23" w14:textId="672EABCE" w:rsidR="00936F30" w:rsidRDefault="00936F30" w:rsidP="00936F30">
      <w:pPr>
        <w:pStyle w:val="Heading4"/>
      </w:pPr>
      <w:r>
        <w:t xml:space="preserve">Future </w:t>
      </w:r>
      <w:r w:rsidR="000E6414">
        <w:t>suggestions to c</w:t>
      </w:r>
      <w:r>
        <w:t>onsider</w:t>
      </w:r>
    </w:p>
    <w:p w14:paraId="52030D2E" w14:textId="0D4A76D1" w:rsidR="00936F30" w:rsidRDefault="00840799" w:rsidP="00936F30">
      <w:r>
        <w:t xml:space="preserve">In the IPES, patients are asked the respect, kindness and understanding, and trust questions about their doctors, </w:t>
      </w:r>
      <w:proofErr w:type="gramStart"/>
      <w:r>
        <w:t>nurses</w:t>
      </w:r>
      <w:proofErr w:type="gramEnd"/>
      <w:r>
        <w:t xml:space="preserve"> and other members of their health care team. Asking three questions per aspect of care may be burdensome. </w:t>
      </w:r>
      <w:r w:rsidR="00936F30">
        <w:t xml:space="preserve">To shorten the survey, </w:t>
      </w:r>
      <w:r w:rsidR="00DC6930">
        <w:t xml:space="preserve">it may be worth </w:t>
      </w:r>
      <w:r w:rsidR="00936F30">
        <w:t xml:space="preserve">asking </w:t>
      </w:r>
      <w:r w:rsidR="00DB2613">
        <w:t xml:space="preserve">once each </w:t>
      </w:r>
      <w:r w:rsidR="00936F30">
        <w:t>about respect, kindness and understanding, and trust</w:t>
      </w:r>
      <w:r w:rsidR="00DB2613">
        <w:t xml:space="preserve">, </w:t>
      </w:r>
      <w:r w:rsidR="00936F30">
        <w:t xml:space="preserve">then clarifying which </w:t>
      </w:r>
      <w:r w:rsidR="00DC6930">
        <w:t xml:space="preserve">health care team member </w:t>
      </w:r>
      <w:r w:rsidR="00936F30">
        <w:t xml:space="preserve">role </w:t>
      </w:r>
      <w:r w:rsidR="00DC6930">
        <w:t xml:space="preserve">it applies if the answer </w:t>
      </w:r>
      <w:r w:rsidR="00936F30">
        <w:t>is a ‘no’. Most participants had consistent answers across each of these questions and were happy to respond to each of them.</w:t>
      </w:r>
    </w:p>
    <w:p w14:paraId="3ADBBE3B" w14:textId="77777777" w:rsidR="00936F30" w:rsidRDefault="00936F30" w:rsidP="00936F30">
      <w:pPr>
        <w:pStyle w:val="Heading1"/>
      </w:pPr>
      <w:bookmarkStart w:id="12" w:name="_Toc68605856"/>
      <w:r>
        <w:t>Survey sampling and invitation methods</w:t>
      </w:r>
      <w:bookmarkEnd w:id="12"/>
    </w:p>
    <w:p w14:paraId="5BF0626A" w14:textId="7CBCF7EE" w:rsidR="00936F30" w:rsidRDefault="00840799" w:rsidP="00936F30">
      <w:pPr>
        <w:pStyle w:val="Heading4"/>
      </w:pPr>
      <w:r>
        <w:t xml:space="preserve">Improving </w:t>
      </w:r>
      <w:r w:rsidR="00936F30">
        <w:t>participation</w:t>
      </w:r>
      <w:r>
        <w:t xml:space="preserve"> by Māori and Pacific patients</w:t>
      </w:r>
    </w:p>
    <w:p w14:paraId="7F9799D8" w14:textId="5223B733" w:rsidR="00936F30" w:rsidRDefault="00936F30" w:rsidP="00936F30">
      <w:r>
        <w:t>The Commission ran a COVID-19-specific patient experience survey in partnership with interested PHOs in June 2020.</w:t>
      </w:r>
      <w:r w:rsidR="00DB2613">
        <w:t xml:space="preserve"> </w:t>
      </w:r>
      <w:r>
        <w:t>To improve participation by Māori and Pacific patients in that survey we:</w:t>
      </w:r>
    </w:p>
    <w:p w14:paraId="75F5EF79" w14:textId="77777777" w:rsidR="00936F30" w:rsidRDefault="00936F30" w:rsidP="00547AEF">
      <w:pPr>
        <w:pStyle w:val="ListParagraph"/>
        <w:numPr>
          <w:ilvl w:val="0"/>
          <w:numId w:val="18"/>
        </w:numPr>
      </w:pPr>
      <w:r>
        <w:t>tested the content and style of the survey invitation with Māori and Pacific patients as part of the national survey review and applied those learnings to the COVID-19 survey</w:t>
      </w:r>
    </w:p>
    <w:p w14:paraId="76F0E678" w14:textId="3F37F193" w:rsidR="00936F30" w:rsidRDefault="00936F30" w:rsidP="00547AEF">
      <w:pPr>
        <w:pStyle w:val="ListParagraph"/>
        <w:numPr>
          <w:ilvl w:val="0"/>
          <w:numId w:val="18"/>
        </w:numPr>
      </w:pPr>
      <w:r>
        <w:t>tested different invitation modes to see which increased response rates</w:t>
      </w:r>
      <w:r w:rsidR="00DC37E8" w:rsidRPr="00DC37E8">
        <w:t xml:space="preserve"> </w:t>
      </w:r>
      <w:r w:rsidR="00DC37E8">
        <w:t>most</w:t>
      </w:r>
      <w:r>
        <w:t xml:space="preserve"> (</w:t>
      </w:r>
      <w:proofErr w:type="spellStart"/>
      <w:r>
        <w:t>eg</w:t>
      </w:r>
      <w:proofErr w:type="spellEnd"/>
      <w:r>
        <w:t>, pair email invite with SMS reminder, offer SMS to those with no email contact)</w:t>
      </w:r>
    </w:p>
    <w:p w14:paraId="12C690FE" w14:textId="77777777" w:rsidR="00936F30" w:rsidRDefault="00936F30" w:rsidP="00547AEF">
      <w:pPr>
        <w:pStyle w:val="ListParagraph"/>
        <w:numPr>
          <w:ilvl w:val="0"/>
          <w:numId w:val="18"/>
        </w:numPr>
      </w:pPr>
      <w:r>
        <w:t>amended the sample to over-sample Māori and Pacific patients deliberately.</w:t>
      </w:r>
    </w:p>
    <w:p w14:paraId="66B51C70" w14:textId="38B2BE4F" w:rsidR="00936F30" w:rsidRDefault="00936F30" w:rsidP="00936F30">
      <w:r>
        <w:t>The impact of amending the sample frame</w:t>
      </w:r>
      <w:r w:rsidR="001071B3">
        <w:t>work</w:t>
      </w:r>
      <w:r>
        <w:t xml:space="preserve"> meant that, while in November 2019 Māori received 10 percent of the survey invitations, in the COVID-19 survey, 27 percent of invitations were sent to Māori.</w:t>
      </w:r>
    </w:p>
    <w:p w14:paraId="4D10EF6B" w14:textId="6424B5D3" w:rsidR="00936F30" w:rsidRDefault="00DC37E8" w:rsidP="00936F30">
      <w:pPr>
        <w:pStyle w:val="Heading4"/>
      </w:pPr>
      <w:r>
        <w:t>PCPES</w:t>
      </w:r>
    </w:p>
    <w:p w14:paraId="1DBDC9F1" w14:textId="4AD3C646" w:rsidR="00936F30" w:rsidRDefault="00936F30" w:rsidP="00936F30">
      <w:r>
        <w:t xml:space="preserve">The approach to the </w:t>
      </w:r>
      <w:r w:rsidR="00DC37E8">
        <w:t>PCPES</w:t>
      </w:r>
      <w:r>
        <w:t xml:space="preserve"> is </w:t>
      </w:r>
      <w:r w:rsidR="00840799">
        <w:t>to</w:t>
      </w:r>
      <w:r>
        <w:t xml:space="preserve"> get as many responses as possible among all eligible contactable patients. Applying the findings from the COVID-19 survey, the sampling method has been changed to oversample Māori and Pacific patients</w:t>
      </w:r>
      <w:r w:rsidR="00DC37E8" w:rsidRPr="00DC37E8">
        <w:t xml:space="preserve"> </w:t>
      </w:r>
      <w:r w:rsidR="00DC37E8">
        <w:t>deliberately</w:t>
      </w:r>
      <w:r>
        <w:t>.</w:t>
      </w:r>
    </w:p>
    <w:p w14:paraId="14F8F5E0" w14:textId="469D93C4" w:rsidR="00936F30" w:rsidRDefault="00DC37E8" w:rsidP="00936F30">
      <w:pPr>
        <w:pStyle w:val="Heading4"/>
      </w:pPr>
      <w:r>
        <w:t>IPES</w:t>
      </w:r>
    </w:p>
    <w:p w14:paraId="2DFD4541" w14:textId="77777777" w:rsidR="00936F30" w:rsidRDefault="00936F30" w:rsidP="00936F30">
      <w:r>
        <w:t>Each DHB is responsible for extracting patient data that forms the survey sample. Up to the end of 2019, invitations were sent to a random sample of 400 patients per DHB. As part of the survey refresh, the limit on the number of invitations sent each quarter per DHB was removed.</w:t>
      </w:r>
    </w:p>
    <w:p w14:paraId="2CE0520C" w14:textId="395451B8" w:rsidR="001479A8" w:rsidRDefault="00936F30" w:rsidP="00DD7FD2">
      <w:pPr>
        <w:rPr>
          <w:rFonts w:asciiTheme="majorHAnsi" w:eastAsiaTheme="majorEastAsia" w:hAnsiTheme="majorHAnsi" w:cstheme="majorBidi"/>
          <w:b/>
          <w:bCs/>
          <w:i/>
          <w:iCs/>
        </w:rPr>
      </w:pPr>
      <w:r>
        <w:t xml:space="preserve">DHBs were </w:t>
      </w:r>
      <w:r w:rsidR="00046695">
        <w:t xml:space="preserve">also </w:t>
      </w:r>
      <w:r>
        <w:t>encouraged to ensure the patient sample provided contains a representative sample of Māori and Pacific people</w:t>
      </w:r>
      <w:r w:rsidR="00046695">
        <w:t>s</w:t>
      </w:r>
      <w:r>
        <w:t xml:space="preserve">. </w:t>
      </w:r>
      <w:r w:rsidR="00046695">
        <w:t>We</w:t>
      </w:r>
      <w:r>
        <w:t xml:space="preserve"> recommend DHBs monitor the percent</w:t>
      </w:r>
      <w:r w:rsidR="00046695">
        <w:t>age</w:t>
      </w:r>
      <w:r>
        <w:t xml:space="preserve"> of invitations sent each quarter by ethnicity and take proactive steps to improve the collection of patient contact details. </w:t>
      </w:r>
      <w:r w:rsidR="001479A8">
        <w:br w:type="page"/>
      </w:r>
    </w:p>
    <w:p w14:paraId="5BB507E9" w14:textId="796EDB4F" w:rsidR="00936F30" w:rsidRDefault="00936F30" w:rsidP="00936F30">
      <w:pPr>
        <w:pStyle w:val="Heading4"/>
      </w:pPr>
      <w:r>
        <w:lastRenderedPageBreak/>
        <w:t>Survey invitation method – improving participation</w:t>
      </w:r>
    </w:p>
    <w:p w14:paraId="4AFD673C" w14:textId="2D29F4D7" w:rsidR="00936F30" w:rsidRDefault="00936F30" w:rsidP="00936F30">
      <w:r>
        <w:t>A further learning from the COVID-19 survey was that pairing an email and a text invitation improves response rates in Māori and Pacific people</w:t>
      </w:r>
      <w:r w:rsidR="00046695">
        <w:t>s</w:t>
      </w:r>
      <w:r>
        <w:t>.</w:t>
      </w:r>
    </w:p>
    <w:p w14:paraId="766E50B8" w14:textId="553F862B" w:rsidR="00936F30" w:rsidRDefault="00936F30" w:rsidP="00936F30">
      <w:r>
        <w:t xml:space="preserve">This approach was tested in the </w:t>
      </w:r>
      <w:r w:rsidR="00046695">
        <w:t>PCPES</w:t>
      </w:r>
      <w:r>
        <w:t xml:space="preserve"> in November 2020 and resulted in a response rate for Māori and Pacific people</w:t>
      </w:r>
      <w:r w:rsidR="00046695">
        <w:t>s</w:t>
      </w:r>
      <w:r>
        <w:t xml:space="preserve"> that was comparable with non</w:t>
      </w:r>
      <w:r w:rsidR="00046695">
        <w:t>-</w:t>
      </w:r>
      <w:r>
        <w:t>Māori, non</w:t>
      </w:r>
      <w:r w:rsidR="00046695">
        <w:t>-</w:t>
      </w:r>
      <w:r>
        <w:t xml:space="preserve">Pacific. For the </w:t>
      </w:r>
      <w:r w:rsidR="00046695">
        <w:t>IPES</w:t>
      </w:r>
      <w:r>
        <w:t xml:space="preserve">, DHBs are encouraged to include both email and </w:t>
      </w:r>
      <w:proofErr w:type="spellStart"/>
      <w:r>
        <w:t>cellphone</w:t>
      </w:r>
      <w:proofErr w:type="spellEnd"/>
      <w:r>
        <w:t xml:space="preserve"> details for the Māori and Pacific patients in their sample.</w:t>
      </w:r>
    </w:p>
    <w:p w14:paraId="011BA094" w14:textId="010AF0D9" w:rsidR="00936F30" w:rsidRDefault="00936F30" w:rsidP="00936F30">
      <w:r>
        <w:t xml:space="preserve">The paired approach will </w:t>
      </w:r>
      <w:r w:rsidR="00046695">
        <w:t xml:space="preserve">continue to </w:t>
      </w:r>
      <w:r>
        <w:t>be used.</w:t>
      </w:r>
    </w:p>
    <w:p w14:paraId="1BEBF974" w14:textId="77777777" w:rsidR="00936F30" w:rsidRDefault="00936F30" w:rsidP="00936F30"/>
    <w:p w14:paraId="557D6232" w14:textId="281D4442" w:rsidR="00914F1E" w:rsidRPr="00F63BDD" w:rsidRDefault="00914F1E"/>
    <w:sectPr w:rsidR="00914F1E" w:rsidRPr="00F63BDD" w:rsidSect="00D57BCC">
      <w:footerReference w:type="default" r:id="rId15"/>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9ADE9" w14:textId="77777777" w:rsidR="00AC0BB5" w:rsidRDefault="00AC0BB5" w:rsidP="006D4F9A">
      <w:r>
        <w:separator/>
      </w:r>
    </w:p>
  </w:endnote>
  <w:endnote w:type="continuationSeparator" w:id="0">
    <w:p w14:paraId="4F49ADEA" w14:textId="77777777" w:rsidR="00AC0BB5" w:rsidRDefault="00AC0BB5" w:rsidP="006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Whitney Medium">
    <w:panose1 w:val="00000000000000000000"/>
    <w:charset w:val="00"/>
    <w:family w:val="modern"/>
    <w:notTrueType/>
    <w:pitch w:val="variable"/>
    <w:sig w:usb0="A00002FF" w:usb1="40000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94466172"/>
      <w:docPartObj>
        <w:docPartGallery w:val="Page Numbers (Bottom of Page)"/>
        <w:docPartUnique/>
      </w:docPartObj>
    </w:sdtPr>
    <w:sdtEndPr>
      <w:rPr>
        <w:noProof/>
      </w:rPr>
    </w:sdtEndPr>
    <w:sdtContent>
      <w:p w14:paraId="0CF1AD0C" w14:textId="1DFC69BC" w:rsidR="00AC0BB5" w:rsidRPr="00D57BCC" w:rsidRDefault="00AC0BB5" w:rsidP="006D4F9A">
        <w:pPr>
          <w:pStyle w:val="Footer"/>
          <w:rPr>
            <w:sz w:val="20"/>
            <w:szCs w:val="20"/>
          </w:rPr>
        </w:pPr>
      </w:p>
      <w:p w14:paraId="4F49ADED" w14:textId="10D47970" w:rsidR="00AC0BB5" w:rsidRPr="00D57BCC" w:rsidRDefault="00AC0BB5" w:rsidP="006D4F9A">
        <w:pPr>
          <w:pStyle w:val="Footer"/>
          <w:rPr>
            <w:sz w:val="20"/>
            <w:szCs w:val="20"/>
          </w:rPr>
        </w:pPr>
        <w:r w:rsidRPr="00936F30">
          <w:rPr>
            <w:sz w:val="20"/>
            <w:szCs w:val="20"/>
          </w:rPr>
          <w:t>New Zealand patient experience survey programme refresh 2019/20</w:t>
        </w:r>
        <w:r w:rsidRPr="00D57BCC">
          <w:rPr>
            <w:sz w:val="20"/>
            <w:szCs w:val="20"/>
          </w:rPr>
          <w:t xml:space="preserve"> (</w:t>
        </w:r>
        <w:r>
          <w:rPr>
            <w:sz w:val="20"/>
            <w:szCs w:val="20"/>
          </w:rPr>
          <w:t>April</w:t>
        </w:r>
        <w:r w:rsidRPr="00D57BCC">
          <w:rPr>
            <w:sz w:val="20"/>
            <w:szCs w:val="20"/>
          </w:rPr>
          <w:t xml:space="preserve"> 2021)</w:t>
        </w:r>
        <w:r w:rsidRPr="00D57BCC">
          <w:rPr>
            <w:sz w:val="20"/>
            <w:szCs w:val="20"/>
          </w:rPr>
          <w:tab/>
        </w:r>
        <w:r w:rsidRPr="00D57BCC">
          <w:rPr>
            <w:sz w:val="20"/>
            <w:szCs w:val="20"/>
          </w:rPr>
          <w:fldChar w:fldCharType="begin"/>
        </w:r>
        <w:r w:rsidRPr="00D57BCC">
          <w:rPr>
            <w:sz w:val="20"/>
            <w:szCs w:val="20"/>
          </w:rPr>
          <w:instrText xml:space="preserve"> PAGE   \* MERGEFORMAT </w:instrText>
        </w:r>
        <w:r w:rsidRPr="00D57BCC">
          <w:rPr>
            <w:sz w:val="20"/>
            <w:szCs w:val="20"/>
          </w:rPr>
          <w:fldChar w:fldCharType="separate"/>
        </w:r>
        <w:r w:rsidRPr="00D57BCC">
          <w:rPr>
            <w:noProof/>
            <w:sz w:val="20"/>
            <w:szCs w:val="20"/>
          </w:rPr>
          <w:t>4</w:t>
        </w:r>
        <w:r w:rsidRPr="00D57BC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9ADE7" w14:textId="77777777" w:rsidR="00AC0BB5" w:rsidRDefault="00AC0BB5" w:rsidP="006D4F9A">
      <w:r>
        <w:separator/>
      </w:r>
    </w:p>
  </w:footnote>
  <w:footnote w:type="continuationSeparator" w:id="0">
    <w:p w14:paraId="4F49ADE8" w14:textId="77777777" w:rsidR="00AC0BB5" w:rsidRDefault="00AC0BB5" w:rsidP="006D4F9A">
      <w:r>
        <w:continuationSeparator/>
      </w:r>
    </w:p>
  </w:footnote>
  <w:footnote w:id="1">
    <w:p w14:paraId="5895262F" w14:textId="1BE86BC8" w:rsidR="00AC0BB5" w:rsidRPr="00DD7FD2" w:rsidRDefault="00AC0BB5" w:rsidP="00DD7FD2">
      <w:pPr>
        <w:pStyle w:val="FootnoteText"/>
        <w:jc w:val="left"/>
        <w:rPr>
          <w:sz w:val="18"/>
          <w:szCs w:val="18"/>
        </w:rPr>
      </w:pPr>
      <w:r w:rsidRPr="00DD7FD2">
        <w:rPr>
          <w:rStyle w:val="FootnoteReference"/>
          <w:sz w:val="18"/>
          <w:szCs w:val="18"/>
        </w:rPr>
        <w:footnoteRef/>
      </w:r>
      <w:r w:rsidRPr="00DD7FD2">
        <w:rPr>
          <w:sz w:val="18"/>
          <w:szCs w:val="18"/>
        </w:rPr>
        <w:t xml:space="preserve"> The Picker Institute has developed and refined the principles of patient-centred care and the patient experience since the mid-1990s. The Picker Institute Principles of Patient-Centred Care (‘Picker Principles’) are used widely to develop measures of patient experience. </w:t>
      </w:r>
    </w:p>
  </w:footnote>
  <w:footnote w:id="2">
    <w:p w14:paraId="6B640D18" w14:textId="29441319" w:rsidR="00AC0BB5" w:rsidRPr="00DD7FD2" w:rsidRDefault="00AC0BB5" w:rsidP="00DD7FD2">
      <w:pPr>
        <w:pStyle w:val="FootnoteText"/>
        <w:jc w:val="left"/>
        <w:rPr>
          <w:sz w:val="18"/>
          <w:szCs w:val="18"/>
        </w:rPr>
      </w:pPr>
      <w:r w:rsidRPr="00DD7FD2">
        <w:rPr>
          <w:rStyle w:val="FootnoteReference"/>
          <w:sz w:val="18"/>
          <w:szCs w:val="18"/>
        </w:rPr>
        <w:footnoteRef/>
      </w:r>
      <w:r w:rsidRPr="00DD7FD2">
        <w:rPr>
          <w:sz w:val="18"/>
          <w:szCs w:val="18"/>
        </w:rPr>
        <w:t xml:space="preserve"> See: </w:t>
      </w:r>
      <w:hyperlink r:id="rId1" w:history="1">
        <w:r w:rsidRPr="00990980">
          <w:rPr>
            <w:rStyle w:val="Hyperlink"/>
            <w:sz w:val="18"/>
            <w:szCs w:val="18"/>
          </w:rPr>
          <w:t>www.hqsc.govt.nz/our-programmes/health-quality-evaluation/publications-and-resources/publication/3283</w:t>
        </w:r>
      </w:hyperlink>
      <w:r>
        <w:rPr>
          <w:sz w:val="18"/>
          <w:szCs w:val="18"/>
        </w:rPr>
        <w:t xml:space="preserve">. </w:t>
      </w:r>
    </w:p>
  </w:footnote>
  <w:footnote w:id="3">
    <w:p w14:paraId="3B9369DD" w14:textId="339D60FA" w:rsidR="00AC0BB5" w:rsidRPr="00DD7FD2" w:rsidRDefault="00AC0BB5" w:rsidP="00DD7FD2">
      <w:pPr>
        <w:pStyle w:val="FootnoteText"/>
        <w:jc w:val="left"/>
        <w:rPr>
          <w:sz w:val="18"/>
          <w:szCs w:val="18"/>
        </w:rPr>
      </w:pPr>
      <w:r w:rsidRPr="00DD7FD2">
        <w:rPr>
          <w:rStyle w:val="FootnoteReference"/>
          <w:sz w:val="18"/>
          <w:szCs w:val="18"/>
        </w:rPr>
        <w:footnoteRef/>
      </w:r>
      <w:r w:rsidRPr="00DD7FD2">
        <w:rPr>
          <w:sz w:val="18"/>
          <w:szCs w:val="18"/>
        </w:rPr>
        <w:t xml:space="preserve"> </w:t>
      </w:r>
      <w:r w:rsidRPr="00DD7FD2">
        <w:rPr>
          <w:sz w:val="18"/>
          <w:szCs w:val="18"/>
        </w:rPr>
        <w:t>Lexetutor – Corpus Vocabulary Tool</w:t>
      </w:r>
      <w:r w:rsidRPr="00DD7FD2">
        <w:rPr>
          <w:rFonts w:cs="Arial"/>
          <w:sz w:val="18"/>
          <w:szCs w:val="18"/>
        </w:rPr>
        <w:t xml:space="preserve"> –</w:t>
      </w:r>
      <w:r>
        <w:rPr>
          <w:rFonts w:cs="Arial"/>
          <w:sz w:val="18"/>
          <w:szCs w:val="18"/>
        </w:rPr>
        <w:t xml:space="preserve"> see:</w:t>
      </w:r>
      <w:r w:rsidRPr="00DD7FD2">
        <w:rPr>
          <w:rFonts w:cs="Arial"/>
          <w:sz w:val="18"/>
          <w:szCs w:val="18"/>
        </w:rPr>
        <w:t xml:space="preserve"> </w:t>
      </w:r>
      <w:hyperlink r:id="rId2" w:history="1">
        <w:r w:rsidRPr="00DD7FD2">
          <w:rPr>
            <w:rStyle w:val="Hyperlink"/>
            <w:rFonts w:cs="Arial"/>
            <w:sz w:val="18"/>
            <w:szCs w:val="18"/>
          </w:rPr>
          <w:t>www.lextutor.ca/cgi-bin/vp/comp/output.pl</w:t>
        </w:r>
      </w:hyperlink>
      <w:r>
        <w:rPr>
          <w:rFonts w:cs="Arial"/>
          <w:sz w:val="18"/>
          <w:szCs w:val="18"/>
        </w:rPr>
        <w:t>.</w:t>
      </w:r>
    </w:p>
  </w:footnote>
  <w:footnote w:id="4">
    <w:p w14:paraId="6419C076" w14:textId="496A6454" w:rsidR="00AC0BB5" w:rsidRPr="00DD7FD2" w:rsidRDefault="00AC0BB5" w:rsidP="00DD7FD2">
      <w:pPr>
        <w:pStyle w:val="FootnoteText"/>
        <w:jc w:val="left"/>
        <w:rPr>
          <w:sz w:val="18"/>
          <w:szCs w:val="18"/>
        </w:rPr>
      </w:pPr>
      <w:r w:rsidRPr="00DD7FD2">
        <w:rPr>
          <w:rStyle w:val="FootnoteReference"/>
          <w:sz w:val="18"/>
          <w:szCs w:val="18"/>
        </w:rPr>
        <w:footnoteRef/>
      </w:r>
      <w:r w:rsidRPr="00DD7FD2">
        <w:rPr>
          <w:sz w:val="18"/>
          <w:szCs w:val="18"/>
        </w:rPr>
        <w:t xml:space="preserve"> </w:t>
      </w:r>
      <w:r>
        <w:rPr>
          <w:sz w:val="18"/>
          <w:szCs w:val="18"/>
        </w:rPr>
        <w:t>In a ‘thought-aloud’ approach, p</w:t>
      </w:r>
      <w:r w:rsidRPr="00DD7FD2">
        <w:rPr>
          <w:sz w:val="18"/>
          <w:szCs w:val="18"/>
        </w:rPr>
        <w:t xml:space="preserve">articipants are asked to </w:t>
      </w:r>
      <w:r>
        <w:rPr>
          <w:sz w:val="18"/>
          <w:szCs w:val="18"/>
        </w:rPr>
        <w:t>say in words</w:t>
      </w:r>
      <w:r w:rsidRPr="00DD7FD2">
        <w:rPr>
          <w:sz w:val="18"/>
          <w:szCs w:val="18"/>
        </w:rPr>
        <w:t xml:space="preserve"> what they are thinking about when they are reading and answering questions. For example</w:t>
      </w:r>
      <w:r>
        <w:rPr>
          <w:sz w:val="18"/>
          <w:szCs w:val="18"/>
        </w:rPr>
        <w:t>,</w:t>
      </w:r>
      <w:r w:rsidRPr="00DD7FD2">
        <w:rPr>
          <w:sz w:val="18"/>
          <w:szCs w:val="18"/>
        </w:rPr>
        <w:t xml:space="preserve"> this could mean explaining different examples they are drawing on, how they are counting things, whether they are struggling to recall time periods or feeling uncomfortable about answering a question. </w:t>
      </w:r>
    </w:p>
  </w:footnote>
  <w:footnote w:id="5">
    <w:p w14:paraId="03737465" w14:textId="77777777" w:rsidR="00AC0BB5" w:rsidRPr="00DD7FD2" w:rsidRDefault="00AC0BB5" w:rsidP="00DD7FD2">
      <w:pPr>
        <w:pStyle w:val="FootnoteText"/>
        <w:jc w:val="left"/>
        <w:rPr>
          <w:sz w:val="18"/>
          <w:szCs w:val="18"/>
        </w:rPr>
      </w:pPr>
      <w:r w:rsidRPr="00DD7FD2">
        <w:rPr>
          <w:rStyle w:val="FootnoteReference"/>
          <w:sz w:val="18"/>
          <w:szCs w:val="18"/>
        </w:rPr>
        <w:footnoteRef/>
      </w:r>
      <w:r w:rsidRPr="00DD7FD2">
        <w:rPr>
          <w:sz w:val="18"/>
          <w:szCs w:val="18"/>
        </w:rPr>
        <w:t xml:space="preserve"> Total ethnicity was used for this measure; if a participant had multiple ethnicities these were all recorded.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2DFEEAEA"/>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9D64A38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3D2FF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C8C7A70"/>
    <w:multiLevelType w:val="hybridMultilevel"/>
    <w:tmpl w:val="FAA2A8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D9A0E99"/>
    <w:multiLevelType w:val="hybridMultilevel"/>
    <w:tmpl w:val="8E0E5AA4"/>
    <w:lvl w:ilvl="0" w:tplc="A70A9C18">
      <w:start w:val="1"/>
      <w:numFmt w:val="decimal"/>
      <w:pStyle w:val="1ListNumberQuestion2"/>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59635D"/>
    <w:multiLevelType w:val="hybridMultilevel"/>
    <w:tmpl w:val="5A3AFF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7" w15:restartNumberingAfterBreak="0">
    <w:nsid w:val="12020D57"/>
    <w:multiLevelType w:val="hybridMultilevel"/>
    <w:tmpl w:val="F5AEC1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0D6915"/>
    <w:multiLevelType w:val="hybridMultilevel"/>
    <w:tmpl w:val="95ECF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C580A6F"/>
    <w:multiLevelType w:val="hybridMultilevel"/>
    <w:tmpl w:val="5A3AFF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7DF62E2"/>
    <w:multiLevelType w:val="hybridMultilevel"/>
    <w:tmpl w:val="A1A6E9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553434"/>
    <w:multiLevelType w:val="hybridMultilevel"/>
    <w:tmpl w:val="F87AEE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35D3937"/>
    <w:multiLevelType w:val="hybridMultilevel"/>
    <w:tmpl w:val="5ABAE9C2"/>
    <w:lvl w:ilvl="0" w:tplc="FFFFFFFF">
      <w:start w:val="1"/>
      <w:numFmt w:val="lowerLetter"/>
      <w:pStyle w:val="ListText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13" w15:restartNumberingAfterBreak="0">
    <w:nsid w:val="35287D5A"/>
    <w:multiLevelType w:val="hybridMultilevel"/>
    <w:tmpl w:val="8D929D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32B1DAE"/>
    <w:multiLevelType w:val="hybridMultilevel"/>
    <w:tmpl w:val="A92444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61842AE"/>
    <w:multiLevelType w:val="hybridMultilevel"/>
    <w:tmpl w:val="B30C7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2B83105"/>
    <w:multiLevelType w:val="hybridMultilevel"/>
    <w:tmpl w:val="4C92E942"/>
    <w:lvl w:ilvl="0" w:tplc="1409000F">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58F16A40"/>
    <w:multiLevelType w:val="hybridMultilevel"/>
    <w:tmpl w:val="A880BE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FE51C3E"/>
    <w:multiLevelType w:val="hybridMultilevel"/>
    <w:tmpl w:val="AE488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9633951"/>
    <w:multiLevelType w:val="hybridMultilevel"/>
    <w:tmpl w:val="4E7082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A96571B"/>
    <w:multiLevelType w:val="hybridMultilevel"/>
    <w:tmpl w:val="B75CFDD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F402A7D"/>
    <w:multiLevelType w:val="multilevel"/>
    <w:tmpl w:val="837E1172"/>
    <w:lvl w:ilvl="0">
      <w:start w:val="1"/>
      <w:numFmt w:val="decimal"/>
      <w:lvlText w:val="%1."/>
      <w:lvlJc w:val="left"/>
      <w:pPr>
        <w:tabs>
          <w:tab w:val="num" w:pos="720"/>
        </w:tabs>
        <w:ind w:left="720" w:hanging="720"/>
      </w:pPr>
    </w:lvl>
    <w:lvl w:ilvl="1">
      <w:start w:val="1"/>
      <w:numFmt w:val="decimal"/>
      <w:pStyle w:val="HdSNumberLevel2"/>
      <w:lvlText w:val="%1.%2"/>
      <w:lvlJc w:val="left"/>
      <w:pPr>
        <w:tabs>
          <w:tab w:val="num" w:pos="720"/>
        </w:tabs>
        <w:ind w:left="720" w:hanging="700"/>
      </w:pPr>
      <w:rPr>
        <w:rFonts w:ascii="Arial" w:hAnsi="Arial" w:hint="default"/>
        <w:b w:val="0"/>
        <w:i w:val="0"/>
        <w:caps w:val="0"/>
        <w:strike w:val="0"/>
        <w:dstrike w:val="0"/>
        <w:vanish w:val="0"/>
        <w:color w:val="000000"/>
        <w:sz w:val="20"/>
        <w:szCs w:val="20"/>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2"/>
        <w:szCs w:val="22"/>
        <w:vertAlign w:val="baseline"/>
      </w:rPr>
    </w:lvl>
    <w:lvl w:ilvl="4">
      <w:start w:val="1"/>
      <w:numFmt w:val="none"/>
      <w:lvlText w:val="(A)"/>
      <w:lvlJc w:val="left"/>
      <w:pPr>
        <w:tabs>
          <w:tab w:val="num" w:pos="2880"/>
        </w:tabs>
        <w:ind w:left="2880" w:hanging="720"/>
      </w:pPr>
      <w:rPr>
        <w:rFonts w:ascii="Palatino" w:hAnsi="Univers (W1)" w:hint="default"/>
        <w:b w:val="0"/>
        <w:i w:val="0"/>
        <w:caps w:val="0"/>
        <w:strike w:val="0"/>
        <w:dstrike w:val="0"/>
        <w:vanish w:val="0"/>
        <w:color w:val="auto"/>
        <w:sz w:val="24"/>
        <w:vertAlign w:val="baseline"/>
      </w:rPr>
    </w:lvl>
    <w:lvl w:ilvl="5">
      <w:start w:val="1"/>
      <w:numFmt w:val="upperRoman"/>
      <w:lvlText w:val="(%6)"/>
      <w:lvlJc w:val="left"/>
      <w:pPr>
        <w:tabs>
          <w:tab w:val="num" w:pos="3600"/>
        </w:tabs>
        <w:ind w:left="3600" w:hanging="720"/>
      </w:pPr>
      <w:rPr>
        <w:rFonts w:ascii="Palatino" w:hAnsi="Univers (W1)" w:hint="default"/>
        <w:b w:val="0"/>
        <w:i w:val="0"/>
        <w:caps w:val="0"/>
        <w:strike w:val="0"/>
        <w:dstrike w:val="0"/>
        <w:vanish w:val="0"/>
        <w:color w:val="00000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261343F"/>
    <w:multiLevelType w:val="hybridMultilevel"/>
    <w:tmpl w:val="4156E0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B2D38C1"/>
    <w:multiLevelType w:val="hybridMultilevel"/>
    <w:tmpl w:val="2C621E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12"/>
  </w:num>
  <w:num w:numId="4">
    <w:abstractNumId w:val="2"/>
  </w:num>
  <w:num w:numId="5">
    <w:abstractNumId w:val="1"/>
  </w:num>
  <w:num w:numId="6">
    <w:abstractNumId w:val="0"/>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7"/>
  </w:num>
  <w:num w:numId="11">
    <w:abstractNumId w:val="20"/>
  </w:num>
  <w:num w:numId="12">
    <w:abstractNumId w:val="15"/>
  </w:num>
  <w:num w:numId="13">
    <w:abstractNumId w:val="11"/>
  </w:num>
  <w:num w:numId="14">
    <w:abstractNumId w:val="14"/>
  </w:num>
  <w:num w:numId="15">
    <w:abstractNumId w:val="10"/>
  </w:num>
  <w:num w:numId="16">
    <w:abstractNumId w:val="17"/>
  </w:num>
  <w:num w:numId="17">
    <w:abstractNumId w:val="23"/>
  </w:num>
  <w:num w:numId="18">
    <w:abstractNumId w:val="3"/>
  </w:num>
  <w:num w:numId="19">
    <w:abstractNumId w:val="8"/>
  </w:num>
  <w:num w:numId="20">
    <w:abstractNumId w:val="18"/>
  </w:num>
  <w:num w:numId="21">
    <w:abstractNumId w:val="13"/>
  </w:num>
  <w:num w:numId="22">
    <w:abstractNumId w:val="16"/>
  </w:num>
  <w:num w:numId="23">
    <w:abstractNumId w:val="9"/>
  </w:num>
  <w:num w:numId="2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6F"/>
    <w:rsid w:val="00001556"/>
    <w:rsid w:val="00007AEC"/>
    <w:rsid w:val="00011690"/>
    <w:rsid w:val="00015512"/>
    <w:rsid w:val="00017ADD"/>
    <w:rsid w:val="00021AAD"/>
    <w:rsid w:val="0002350A"/>
    <w:rsid w:val="00023F40"/>
    <w:rsid w:val="00031F35"/>
    <w:rsid w:val="00032599"/>
    <w:rsid w:val="00037D99"/>
    <w:rsid w:val="00037D9F"/>
    <w:rsid w:val="00037EBF"/>
    <w:rsid w:val="00045D81"/>
    <w:rsid w:val="00046695"/>
    <w:rsid w:val="00050728"/>
    <w:rsid w:val="000527F2"/>
    <w:rsid w:val="000528F2"/>
    <w:rsid w:val="0005324B"/>
    <w:rsid w:val="00053DE3"/>
    <w:rsid w:val="00054916"/>
    <w:rsid w:val="00054BAE"/>
    <w:rsid w:val="000579F5"/>
    <w:rsid w:val="000605AA"/>
    <w:rsid w:val="00062676"/>
    <w:rsid w:val="0006353E"/>
    <w:rsid w:val="00066712"/>
    <w:rsid w:val="00067B89"/>
    <w:rsid w:val="00074366"/>
    <w:rsid w:val="000743AE"/>
    <w:rsid w:val="00074D67"/>
    <w:rsid w:val="00080BCB"/>
    <w:rsid w:val="00081E1C"/>
    <w:rsid w:val="000822D6"/>
    <w:rsid w:val="00085A1D"/>
    <w:rsid w:val="0009011A"/>
    <w:rsid w:val="00092429"/>
    <w:rsid w:val="00092A8E"/>
    <w:rsid w:val="00092D4A"/>
    <w:rsid w:val="00095682"/>
    <w:rsid w:val="0009611A"/>
    <w:rsid w:val="00096241"/>
    <w:rsid w:val="000A4F5C"/>
    <w:rsid w:val="000B18E4"/>
    <w:rsid w:val="000C030A"/>
    <w:rsid w:val="000C1FDD"/>
    <w:rsid w:val="000C2660"/>
    <w:rsid w:val="000C2E84"/>
    <w:rsid w:val="000C69CE"/>
    <w:rsid w:val="000D0463"/>
    <w:rsid w:val="000D2262"/>
    <w:rsid w:val="000D5242"/>
    <w:rsid w:val="000E2106"/>
    <w:rsid w:val="000E5CE7"/>
    <w:rsid w:val="000E6414"/>
    <w:rsid w:val="000F17F2"/>
    <w:rsid w:val="000F4D0C"/>
    <w:rsid w:val="000F7BA8"/>
    <w:rsid w:val="00102555"/>
    <w:rsid w:val="001027B0"/>
    <w:rsid w:val="00106EEC"/>
    <w:rsid w:val="001071B3"/>
    <w:rsid w:val="0010746D"/>
    <w:rsid w:val="00112E77"/>
    <w:rsid w:val="00112F12"/>
    <w:rsid w:val="00113234"/>
    <w:rsid w:val="00113251"/>
    <w:rsid w:val="001149FD"/>
    <w:rsid w:val="00115BE2"/>
    <w:rsid w:val="00122326"/>
    <w:rsid w:val="00123CF5"/>
    <w:rsid w:val="00124AED"/>
    <w:rsid w:val="00130878"/>
    <w:rsid w:val="00132903"/>
    <w:rsid w:val="00132D96"/>
    <w:rsid w:val="0013339D"/>
    <w:rsid w:val="00136BD9"/>
    <w:rsid w:val="001433BB"/>
    <w:rsid w:val="00146A93"/>
    <w:rsid w:val="001479A8"/>
    <w:rsid w:val="001530D0"/>
    <w:rsid w:val="00154705"/>
    <w:rsid w:val="00155D55"/>
    <w:rsid w:val="00160C14"/>
    <w:rsid w:val="00161529"/>
    <w:rsid w:val="00162447"/>
    <w:rsid w:val="00162A8D"/>
    <w:rsid w:val="00162D5E"/>
    <w:rsid w:val="001650D9"/>
    <w:rsid w:val="00166FC2"/>
    <w:rsid w:val="00170058"/>
    <w:rsid w:val="00170595"/>
    <w:rsid w:val="00173477"/>
    <w:rsid w:val="0017464B"/>
    <w:rsid w:val="00180836"/>
    <w:rsid w:val="001818E1"/>
    <w:rsid w:val="00184361"/>
    <w:rsid w:val="0018638E"/>
    <w:rsid w:val="00186F6C"/>
    <w:rsid w:val="00191CCF"/>
    <w:rsid w:val="001921E6"/>
    <w:rsid w:val="00195CF9"/>
    <w:rsid w:val="001A093E"/>
    <w:rsid w:val="001A3DFC"/>
    <w:rsid w:val="001A51B6"/>
    <w:rsid w:val="001A7243"/>
    <w:rsid w:val="001B1007"/>
    <w:rsid w:val="001B15E9"/>
    <w:rsid w:val="001B3201"/>
    <w:rsid w:val="001B3520"/>
    <w:rsid w:val="001B48D2"/>
    <w:rsid w:val="001B4A5C"/>
    <w:rsid w:val="001B5C83"/>
    <w:rsid w:val="001B5CC3"/>
    <w:rsid w:val="001C105F"/>
    <w:rsid w:val="001C148E"/>
    <w:rsid w:val="001D0766"/>
    <w:rsid w:val="001D0F01"/>
    <w:rsid w:val="001D3B68"/>
    <w:rsid w:val="001D4748"/>
    <w:rsid w:val="001D4E8F"/>
    <w:rsid w:val="001D7A36"/>
    <w:rsid w:val="001E2394"/>
    <w:rsid w:val="001E7C80"/>
    <w:rsid w:val="001F257B"/>
    <w:rsid w:val="001F43F2"/>
    <w:rsid w:val="001F5E35"/>
    <w:rsid w:val="002034DD"/>
    <w:rsid w:val="002034F9"/>
    <w:rsid w:val="00203B15"/>
    <w:rsid w:val="00203CB2"/>
    <w:rsid w:val="002045B9"/>
    <w:rsid w:val="00211A6E"/>
    <w:rsid w:val="00212149"/>
    <w:rsid w:val="00214A6C"/>
    <w:rsid w:val="00215E89"/>
    <w:rsid w:val="0022315A"/>
    <w:rsid w:val="00226259"/>
    <w:rsid w:val="00230F78"/>
    <w:rsid w:val="00234848"/>
    <w:rsid w:val="002349EB"/>
    <w:rsid w:val="00235185"/>
    <w:rsid w:val="002351A3"/>
    <w:rsid w:val="00236CB7"/>
    <w:rsid w:val="00237832"/>
    <w:rsid w:val="002412CB"/>
    <w:rsid w:val="00241883"/>
    <w:rsid w:val="002423DF"/>
    <w:rsid w:val="00243009"/>
    <w:rsid w:val="00243D5C"/>
    <w:rsid w:val="00244946"/>
    <w:rsid w:val="00244CB8"/>
    <w:rsid w:val="00245CBB"/>
    <w:rsid w:val="00245CE7"/>
    <w:rsid w:val="00246F9D"/>
    <w:rsid w:val="002500DB"/>
    <w:rsid w:val="002526DC"/>
    <w:rsid w:val="00252732"/>
    <w:rsid w:val="002638FD"/>
    <w:rsid w:val="002642C9"/>
    <w:rsid w:val="00266533"/>
    <w:rsid w:val="00271497"/>
    <w:rsid w:val="00271FB6"/>
    <w:rsid w:val="002744EA"/>
    <w:rsid w:val="00275202"/>
    <w:rsid w:val="002772B8"/>
    <w:rsid w:val="0028271D"/>
    <w:rsid w:val="00282C68"/>
    <w:rsid w:val="002844A7"/>
    <w:rsid w:val="002851B5"/>
    <w:rsid w:val="00292FBF"/>
    <w:rsid w:val="0029369C"/>
    <w:rsid w:val="00293AC9"/>
    <w:rsid w:val="00294588"/>
    <w:rsid w:val="00296B84"/>
    <w:rsid w:val="002A08B7"/>
    <w:rsid w:val="002A3CA3"/>
    <w:rsid w:val="002A5784"/>
    <w:rsid w:val="002A7684"/>
    <w:rsid w:val="002B026F"/>
    <w:rsid w:val="002B0EC3"/>
    <w:rsid w:val="002B65A3"/>
    <w:rsid w:val="002B7EE8"/>
    <w:rsid w:val="002B7FF5"/>
    <w:rsid w:val="002C1DAD"/>
    <w:rsid w:val="002C36DE"/>
    <w:rsid w:val="002C6C41"/>
    <w:rsid w:val="002D21A3"/>
    <w:rsid w:val="002D473C"/>
    <w:rsid w:val="002D647C"/>
    <w:rsid w:val="002D71B6"/>
    <w:rsid w:val="002D75A3"/>
    <w:rsid w:val="002E157C"/>
    <w:rsid w:val="002E21C4"/>
    <w:rsid w:val="002E2429"/>
    <w:rsid w:val="002E26BF"/>
    <w:rsid w:val="002E2D4E"/>
    <w:rsid w:val="002E612B"/>
    <w:rsid w:val="002E614C"/>
    <w:rsid w:val="002F0747"/>
    <w:rsid w:val="002F1E18"/>
    <w:rsid w:val="002F228E"/>
    <w:rsid w:val="002F4F3B"/>
    <w:rsid w:val="002F58AD"/>
    <w:rsid w:val="002F626C"/>
    <w:rsid w:val="00300043"/>
    <w:rsid w:val="0030008E"/>
    <w:rsid w:val="00301052"/>
    <w:rsid w:val="00303A95"/>
    <w:rsid w:val="00304735"/>
    <w:rsid w:val="003060D1"/>
    <w:rsid w:val="00310C5E"/>
    <w:rsid w:val="00311925"/>
    <w:rsid w:val="003145B6"/>
    <w:rsid w:val="00315781"/>
    <w:rsid w:val="0032286F"/>
    <w:rsid w:val="0032494E"/>
    <w:rsid w:val="00324BB0"/>
    <w:rsid w:val="00325E43"/>
    <w:rsid w:val="00327F14"/>
    <w:rsid w:val="00332C6A"/>
    <w:rsid w:val="00333725"/>
    <w:rsid w:val="00334079"/>
    <w:rsid w:val="00335F2B"/>
    <w:rsid w:val="00337AC4"/>
    <w:rsid w:val="00341CE8"/>
    <w:rsid w:val="00343648"/>
    <w:rsid w:val="003441CA"/>
    <w:rsid w:val="003460F4"/>
    <w:rsid w:val="00346A49"/>
    <w:rsid w:val="00346B4E"/>
    <w:rsid w:val="003554D1"/>
    <w:rsid w:val="00355683"/>
    <w:rsid w:val="00357A56"/>
    <w:rsid w:val="003601F6"/>
    <w:rsid w:val="0036057E"/>
    <w:rsid w:val="00363C40"/>
    <w:rsid w:val="0036572C"/>
    <w:rsid w:val="0037522F"/>
    <w:rsid w:val="003813D3"/>
    <w:rsid w:val="0038389E"/>
    <w:rsid w:val="0038410C"/>
    <w:rsid w:val="00386137"/>
    <w:rsid w:val="0038777B"/>
    <w:rsid w:val="003924FD"/>
    <w:rsid w:val="00394F81"/>
    <w:rsid w:val="00396046"/>
    <w:rsid w:val="003A054D"/>
    <w:rsid w:val="003A06D2"/>
    <w:rsid w:val="003A14FD"/>
    <w:rsid w:val="003A2075"/>
    <w:rsid w:val="003A20F5"/>
    <w:rsid w:val="003A3A74"/>
    <w:rsid w:val="003A4CA7"/>
    <w:rsid w:val="003A61DA"/>
    <w:rsid w:val="003B0176"/>
    <w:rsid w:val="003B56AB"/>
    <w:rsid w:val="003B6EC5"/>
    <w:rsid w:val="003B787B"/>
    <w:rsid w:val="003B7B7A"/>
    <w:rsid w:val="003C1DB1"/>
    <w:rsid w:val="003C2835"/>
    <w:rsid w:val="003C31DA"/>
    <w:rsid w:val="003C4C8E"/>
    <w:rsid w:val="003C78FB"/>
    <w:rsid w:val="003D3D13"/>
    <w:rsid w:val="003D73CE"/>
    <w:rsid w:val="003D7505"/>
    <w:rsid w:val="003D754E"/>
    <w:rsid w:val="003E02C3"/>
    <w:rsid w:val="003E2924"/>
    <w:rsid w:val="003F0A76"/>
    <w:rsid w:val="003F0C53"/>
    <w:rsid w:val="003F27BC"/>
    <w:rsid w:val="003F7E80"/>
    <w:rsid w:val="00401511"/>
    <w:rsid w:val="004024A5"/>
    <w:rsid w:val="00403C8B"/>
    <w:rsid w:val="004045B0"/>
    <w:rsid w:val="0040479E"/>
    <w:rsid w:val="004047A1"/>
    <w:rsid w:val="00405706"/>
    <w:rsid w:val="00407765"/>
    <w:rsid w:val="00407BA8"/>
    <w:rsid w:val="00410B7E"/>
    <w:rsid w:val="0041196E"/>
    <w:rsid w:val="004152F6"/>
    <w:rsid w:val="00417756"/>
    <w:rsid w:val="00425733"/>
    <w:rsid w:val="00435ABF"/>
    <w:rsid w:val="00436A36"/>
    <w:rsid w:val="004416EC"/>
    <w:rsid w:val="00441727"/>
    <w:rsid w:val="004518A8"/>
    <w:rsid w:val="00451908"/>
    <w:rsid w:val="0045232C"/>
    <w:rsid w:val="004532E4"/>
    <w:rsid w:val="00453E27"/>
    <w:rsid w:val="00454863"/>
    <w:rsid w:val="004559E5"/>
    <w:rsid w:val="00457E61"/>
    <w:rsid w:val="00460002"/>
    <w:rsid w:val="00460899"/>
    <w:rsid w:val="00462EEA"/>
    <w:rsid w:val="00463DF6"/>
    <w:rsid w:val="00464E35"/>
    <w:rsid w:val="004669D8"/>
    <w:rsid w:val="00470EDC"/>
    <w:rsid w:val="00471C09"/>
    <w:rsid w:val="00472342"/>
    <w:rsid w:val="00473D67"/>
    <w:rsid w:val="004778AF"/>
    <w:rsid w:val="00480AF2"/>
    <w:rsid w:val="00480CA0"/>
    <w:rsid w:val="00483B19"/>
    <w:rsid w:val="004850B0"/>
    <w:rsid w:val="0048581E"/>
    <w:rsid w:val="00487201"/>
    <w:rsid w:val="00487B00"/>
    <w:rsid w:val="0049078D"/>
    <w:rsid w:val="00490FCD"/>
    <w:rsid w:val="00491238"/>
    <w:rsid w:val="00492284"/>
    <w:rsid w:val="00493AD0"/>
    <w:rsid w:val="004944F2"/>
    <w:rsid w:val="00494542"/>
    <w:rsid w:val="00494689"/>
    <w:rsid w:val="004951D1"/>
    <w:rsid w:val="00495A45"/>
    <w:rsid w:val="00496992"/>
    <w:rsid w:val="00496A79"/>
    <w:rsid w:val="00496F2A"/>
    <w:rsid w:val="004A0900"/>
    <w:rsid w:val="004A0AF3"/>
    <w:rsid w:val="004A20C9"/>
    <w:rsid w:val="004A2F58"/>
    <w:rsid w:val="004A3D96"/>
    <w:rsid w:val="004A6BD4"/>
    <w:rsid w:val="004B0551"/>
    <w:rsid w:val="004B29BB"/>
    <w:rsid w:val="004B6426"/>
    <w:rsid w:val="004B69F9"/>
    <w:rsid w:val="004B7A47"/>
    <w:rsid w:val="004C3E85"/>
    <w:rsid w:val="004C47C5"/>
    <w:rsid w:val="004C66A5"/>
    <w:rsid w:val="004C6D3B"/>
    <w:rsid w:val="004D01BE"/>
    <w:rsid w:val="004D31EB"/>
    <w:rsid w:val="004D3E5F"/>
    <w:rsid w:val="004D7BEF"/>
    <w:rsid w:val="004E13B2"/>
    <w:rsid w:val="004E321A"/>
    <w:rsid w:val="004E347E"/>
    <w:rsid w:val="004E6435"/>
    <w:rsid w:val="004E6855"/>
    <w:rsid w:val="004E6D31"/>
    <w:rsid w:val="004F2241"/>
    <w:rsid w:val="004F25CC"/>
    <w:rsid w:val="004F7509"/>
    <w:rsid w:val="005005DF"/>
    <w:rsid w:val="00501BD4"/>
    <w:rsid w:val="00503044"/>
    <w:rsid w:val="00504B78"/>
    <w:rsid w:val="0050746C"/>
    <w:rsid w:val="005075F1"/>
    <w:rsid w:val="00512AEA"/>
    <w:rsid w:val="00514099"/>
    <w:rsid w:val="005150B6"/>
    <w:rsid w:val="00516241"/>
    <w:rsid w:val="005236B3"/>
    <w:rsid w:val="005250DC"/>
    <w:rsid w:val="00525E23"/>
    <w:rsid w:val="00526A31"/>
    <w:rsid w:val="00531965"/>
    <w:rsid w:val="005328AD"/>
    <w:rsid w:val="00534520"/>
    <w:rsid w:val="00534D1D"/>
    <w:rsid w:val="00536EF0"/>
    <w:rsid w:val="0054277A"/>
    <w:rsid w:val="00542B95"/>
    <w:rsid w:val="005441CA"/>
    <w:rsid w:val="0054611A"/>
    <w:rsid w:val="00547143"/>
    <w:rsid w:val="00547AEF"/>
    <w:rsid w:val="00547F1F"/>
    <w:rsid w:val="005524ED"/>
    <w:rsid w:val="00553881"/>
    <w:rsid w:val="00555668"/>
    <w:rsid w:val="00555BC3"/>
    <w:rsid w:val="00561901"/>
    <w:rsid w:val="00562737"/>
    <w:rsid w:val="0056372E"/>
    <w:rsid w:val="005637C0"/>
    <w:rsid w:val="00564A33"/>
    <w:rsid w:val="0056546F"/>
    <w:rsid w:val="00567806"/>
    <w:rsid w:val="00572137"/>
    <w:rsid w:val="005738D0"/>
    <w:rsid w:val="00573E64"/>
    <w:rsid w:val="00575152"/>
    <w:rsid w:val="00577151"/>
    <w:rsid w:val="005830AB"/>
    <w:rsid w:val="0058410A"/>
    <w:rsid w:val="005846E3"/>
    <w:rsid w:val="005868CE"/>
    <w:rsid w:val="00590786"/>
    <w:rsid w:val="00594734"/>
    <w:rsid w:val="005949A6"/>
    <w:rsid w:val="0059609D"/>
    <w:rsid w:val="005A036E"/>
    <w:rsid w:val="005A0AC7"/>
    <w:rsid w:val="005A0CAB"/>
    <w:rsid w:val="005A5DA6"/>
    <w:rsid w:val="005A6519"/>
    <w:rsid w:val="005B148F"/>
    <w:rsid w:val="005B4B47"/>
    <w:rsid w:val="005B6E6D"/>
    <w:rsid w:val="005C3D3B"/>
    <w:rsid w:val="005C49E8"/>
    <w:rsid w:val="005C5C53"/>
    <w:rsid w:val="005D03D5"/>
    <w:rsid w:val="005D0D7B"/>
    <w:rsid w:val="005D18C5"/>
    <w:rsid w:val="005D38C2"/>
    <w:rsid w:val="005D4143"/>
    <w:rsid w:val="005D4AED"/>
    <w:rsid w:val="005E2549"/>
    <w:rsid w:val="005E26A2"/>
    <w:rsid w:val="005E30A4"/>
    <w:rsid w:val="005E5040"/>
    <w:rsid w:val="005E6BF8"/>
    <w:rsid w:val="005F160F"/>
    <w:rsid w:val="005F2B28"/>
    <w:rsid w:val="00602D7B"/>
    <w:rsid w:val="00603C14"/>
    <w:rsid w:val="00604AEE"/>
    <w:rsid w:val="00606D58"/>
    <w:rsid w:val="006072E4"/>
    <w:rsid w:val="006117C4"/>
    <w:rsid w:val="00612058"/>
    <w:rsid w:val="0061216F"/>
    <w:rsid w:val="00613720"/>
    <w:rsid w:val="00616D18"/>
    <w:rsid w:val="006227CA"/>
    <w:rsid w:val="00623841"/>
    <w:rsid w:val="00624D07"/>
    <w:rsid w:val="0062577C"/>
    <w:rsid w:val="00626DE2"/>
    <w:rsid w:val="00637D3D"/>
    <w:rsid w:val="006410AB"/>
    <w:rsid w:val="00647140"/>
    <w:rsid w:val="00650346"/>
    <w:rsid w:val="00651E2C"/>
    <w:rsid w:val="00656CED"/>
    <w:rsid w:val="006603FA"/>
    <w:rsid w:val="00661B20"/>
    <w:rsid w:val="00662BAF"/>
    <w:rsid w:val="006637FA"/>
    <w:rsid w:val="006640F2"/>
    <w:rsid w:val="00665A9D"/>
    <w:rsid w:val="00666309"/>
    <w:rsid w:val="00667578"/>
    <w:rsid w:val="00667DC0"/>
    <w:rsid w:val="00670112"/>
    <w:rsid w:val="00677048"/>
    <w:rsid w:val="006801CA"/>
    <w:rsid w:val="006814E9"/>
    <w:rsid w:val="0068190E"/>
    <w:rsid w:val="00685064"/>
    <w:rsid w:val="00685A25"/>
    <w:rsid w:val="00685C5A"/>
    <w:rsid w:val="00687C91"/>
    <w:rsid w:val="006905AE"/>
    <w:rsid w:val="00691297"/>
    <w:rsid w:val="00691953"/>
    <w:rsid w:val="00691B8F"/>
    <w:rsid w:val="00691EAC"/>
    <w:rsid w:val="00692111"/>
    <w:rsid w:val="006936F4"/>
    <w:rsid w:val="00693937"/>
    <w:rsid w:val="006958B6"/>
    <w:rsid w:val="006971D7"/>
    <w:rsid w:val="006A30B6"/>
    <w:rsid w:val="006A4371"/>
    <w:rsid w:val="006A508A"/>
    <w:rsid w:val="006A6947"/>
    <w:rsid w:val="006A6FC1"/>
    <w:rsid w:val="006B1DBD"/>
    <w:rsid w:val="006B3AE4"/>
    <w:rsid w:val="006C00CF"/>
    <w:rsid w:val="006C4AE7"/>
    <w:rsid w:val="006C78D4"/>
    <w:rsid w:val="006D132D"/>
    <w:rsid w:val="006D1B3F"/>
    <w:rsid w:val="006D2704"/>
    <w:rsid w:val="006D4B4D"/>
    <w:rsid w:val="006D4F9A"/>
    <w:rsid w:val="006E01D4"/>
    <w:rsid w:val="006E4066"/>
    <w:rsid w:val="006E6665"/>
    <w:rsid w:val="006E669A"/>
    <w:rsid w:val="006F00DF"/>
    <w:rsid w:val="006F0EE2"/>
    <w:rsid w:val="006F34C7"/>
    <w:rsid w:val="006F55E7"/>
    <w:rsid w:val="006F7CDA"/>
    <w:rsid w:val="006F7FB8"/>
    <w:rsid w:val="00702692"/>
    <w:rsid w:val="00702E32"/>
    <w:rsid w:val="00703DDD"/>
    <w:rsid w:val="007051F5"/>
    <w:rsid w:val="00705CBA"/>
    <w:rsid w:val="00706D1C"/>
    <w:rsid w:val="00707134"/>
    <w:rsid w:val="00711023"/>
    <w:rsid w:val="007111D8"/>
    <w:rsid w:val="007119C6"/>
    <w:rsid w:val="00712F4A"/>
    <w:rsid w:val="007142C8"/>
    <w:rsid w:val="0071587C"/>
    <w:rsid w:val="00720E65"/>
    <w:rsid w:val="00721B34"/>
    <w:rsid w:val="00722AFF"/>
    <w:rsid w:val="0072592B"/>
    <w:rsid w:val="007277CC"/>
    <w:rsid w:val="00730A2E"/>
    <w:rsid w:val="00730C65"/>
    <w:rsid w:val="007334A3"/>
    <w:rsid w:val="00735B89"/>
    <w:rsid w:val="007416E7"/>
    <w:rsid w:val="00741E73"/>
    <w:rsid w:val="00753367"/>
    <w:rsid w:val="007559C3"/>
    <w:rsid w:val="007567E5"/>
    <w:rsid w:val="00765507"/>
    <w:rsid w:val="00766619"/>
    <w:rsid w:val="00770697"/>
    <w:rsid w:val="0077199B"/>
    <w:rsid w:val="00773601"/>
    <w:rsid w:val="00774729"/>
    <w:rsid w:val="00775AC6"/>
    <w:rsid w:val="00776424"/>
    <w:rsid w:val="00777493"/>
    <w:rsid w:val="00781C9B"/>
    <w:rsid w:val="0078639F"/>
    <w:rsid w:val="007903BB"/>
    <w:rsid w:val="007906D3"/>
    <w:rsid w:val="00792207"/>
    <w:rsid w:val="00792911"/>
    <w:rsid w:val="0079377B"/>
    <w:rsid w:val="007940EB"/>
    <w:rsid w:val="00794279"/>
    <w:rsid w:val="00796C21"/>
    <w:rsid w:val="007A053E"/>
    <w:rsid w:val="007A345B"/>
    <w:rsid w:val="007A4AA1"/>
    <w:rsid w:val="007A5ABB"/>
    <w:rsid w:val="007A5DBB"/>
    <w:rsid w:val="007A7548"/>
    <w:rsid w:val="007B2E0C"/>
    <w:rsid w:val="007B2FA3"/>
    <w:rsid w:val="007B3411"/>
    <w:rsid w:val="007B3D6C"/>
    <w:rsid w:val="007B58AA"/>
    <w:rsid w:val="007C1350"/>
    <w:rsid w:val="007C164D"/>
    <w:rsid w:val="007C3FAC"/>
    <w:rsid w:val="007C6C01"/>
    <w:rsid w:val="007D0010"/>
    <w:rsid w:val="007D245F"/>
    <w:rsid w:val="007D33BF"/>
    <w:rsid w:val="007D3C3A"/>
    <w:rsid w:val="007D6381"/>
    <w:rsid w:val="007D6980"/>
    <w:rsid w:val="007D7E13"/>
    <w:rsid w:val="007D7EB7"/>
    <w:rsid w:val="007E1A25"/>
    <w:rsid w:val="007E233A"/>
    <w:rsid w:val="007E441A"/>
    <w:rsid w:val="007E56D3"/>
    <w:rsid w:val="007F0E70"/>
    <w:rsid w:val="007F3B32"/>
    <w:rsid w:val="00802F51"/>
    <w:rsid w:val="00803770"/>
    <w:rsid w:val="00803FA5"/>
    <w:rsid w:val="008048AA"/>
    <w:rsid w:val="008067BC"/>
    <w:rsid w:val="008109BB"/>
    <w:rsid w:val="008109C6"/>
    <w:rsid w:val="00810A07"/>
    <w:rsid w:val="00820D3E"/>
    <w:rsid w:val="008235FE"/>
    <w:rsid w:val="0082480D"/>
    <w:rsid w:val="00824A0C"/>
    <w:rsid w:val="008254D8"/>
    <w:rsid w:val="00827B6E"/>
    <w:rsid w:val="008316CA"/>
    <w:rsid w:val="008377FE"/>
    <w:rsid w:val="00840799"/>
    <w:rsid w:val="008423DD"/>
    <w:rsid w:val="00846836"/>
    <w:rsid w:val="00847214"/>
    <w:rsid w:val="008472F2"/>
    <w:rsid w:val="00853211"/>
    <w:rsid w:val="0085497F"/>
    <w:rsid w:val="0085573B"/>
    <w:rsid w:val="00856763"/>
    <w:rsid w:val="00856776"/>
    <w:rsid w:val="00857638"/>
    <w:rsid w:val="0086114E"/>
    <w:rsid w:val="0086206B"/>
    <w:rsid w:val="0086409A"/>
    <w:rsid w:val="008644CC"/>
    <w:rsid w:val="0087163F"/>
    <w:rsid w:val="00873160"/>
    <w:rsid w:val="008734EE"/>
    <w:rsid w:val="008736BD"/>
    <w:rsid w:val="00873971"/>
    <w:rsid w:val="008819F0"/>
    <w:rsid w:val="008836AB"/>
    <w:rsid w:val="0088494C"/>
    <w:rsid w:val="0088733C"/>
    <w:rsid w:val="00887486"/>
    <w:rsid w:val="00887513"/>
    <w:rsid w:val="00887523"/>
    <w:rsid w:val="00887C3A"/>
    <w:rsid w:val="008902FF"/>
    <w:rsid w:val="00892A98"/>
    <w:rsid w:val="00894259"/>
    <w:rsid w:val="00894800"/>
    <w:rsid w:val="00895A88"/>
    <w:rsid w:val="00896963"/>
    <w:rsid w:val="00896985"/>
    <w:rsid w:val="00897EC5"/>
    <w:rsid w:val="008A3BCF"/>
    <w:rsid w:val="008A748C"/>
    <w:rsid w:val="008B0080"/>
    <w:rsid w:val="008B0CF9"/>
    <w:rsid w:val="008B3F76"/>
    <w:rsid w:val="008B6343"/>
    <w:rsid w:val="008B69A2"/>
    <w:rsid w:val="008B7D2F"/>
    <w:rsid w:val="008C15AE"/>
    <w:rsid w:val="008C30AE"/>
    <w:rsid w:val="008D1150"/>
    <w:rsid w:val="008D4D67"/>
    <w:rsid w:val="008E0430"/>
    <w:rsid w:val="008E1C3B"/>
    <w:rsid w:val="008E312C"/>
    <w:rsid w:val="008E50C0"/>
    <w:rsid w:val="008E5C4F"/>
    <w:rsid w:val="008E612A"/>
    <w:rsid w:val="008E7FAF"/>
    <w:rsid w:val="008F40A7"/>
    <w:rsid w:val="008F6902"/>
    <w:rsid w:val="008F70E2"/>
    <w:rsid w:val="00901F2F"/>
    <w:rsid w:val="00902D8F"/>
    <w:rsid w:val="00902EA0"/>
    <w:rsid w:val="00904DE9"/>
    <w:rsid w:val="00905DC2"/>
    <w:rsid w:val="00906049"/>
    <w:rsid w:val="00906171"/>
    <w:rsid w:val="009120A4"/>
    <w:rsid w:val="00914F1E"/>
    <w:rsid w:val="0091591A"/>
    <w:rsid w:val="0091719A"/>
    <w:rsid w:val="0091727B"/>
    <w:rsid w:val="00920125"/>
    <w:rsid w:val="00920379"/>
    <w:rsid w:val="00927374"/>
    <w:rsid w:val="009278A2"/>
    <w:rsid w:val="00931146"/>
    <w:rsid w:val="00931D61"/>
    <w:rsid w:val="009324F0"/>
    <w:rsid w:val="00933DBD"/>
    <w:rsid w:val="00934D26"/>
    <w:rsid w:val="00936F30"/>
    <w:rsid w:val="009405EC"/>
    <w:rsid w:val="00940977"/>
    <w:rsid w:val="00943FD2"/>
    <w:rsid w:val="009444F5"/>
    <w:rsid w:val="009450E0"/>
    <w:rsid w:val="009464D8"/>
    <w:rsid w:val="00950930"/>
    <w:rsid w:val="0095383B"/>
    <w:rsid w:val="0095389A"/>
    <w:rsid w:val="00954DFB"/>
    <w:rsid w:val="00955161"/>
    <w:rsid w:val="00955B32"/>
    <w:rsid w:val="00957064"/>
    <w:rsid w:val="009605C8"/>
    <w:rsid w:val="00960D3C"/>
    <w:rsid w:val="009648C6"/>
    <w:rsid w:val="00965854"/>
    <w:rsid w:val="009678C6"/>
    <w:rsid w:val="009738A5"/>
    <w:rsid w:val="00977415"/>
    <w:rsid w:val="00977810"/>
    <w:rsid w:val="00980F03"/>
    <w:rsid w:val="009850D7"/>
    <w:rsid w:val="0098592F"/>
    <w:rsid w:val="00985CA0"/>
    <w:rsid w:val="00986A81"/>
    <w:rsid w:val="009874C9"/>
    <w:rsid w:val="009900ED"/>
    <w:rsid w:val="009911D1"/>
    <w:rsid w:val="009919A8"/>
    <w:rsid w:val="00994E99"/>
    <w:rsid w:val="0099585F"/>
    <w:rsid w:val="009959FD"/>
    <w:rsid w:val="009A1B1F"/>
    <w:rsid w:val="009A2BA1"/>
    <w:rsid w:val="009A60BC"/>
    <w:rsid w:val="009A60BD"/>
    <w:rsid w:val="009A6A1D"/>
    <w:rsid w:val="009A6D45"/>
    <w:rsid w:val="009A6DDF"/>
    <w:rsid w:val="009B0A73"/>
    <w:rsid w:val="009B2395"/>
    <w:rsid w:val="009B30AE"/>
    <w:rsid w:val="009B3400"/>
    <w:rsid w:val="009B5EAB"/>
    <w:rsid w:val="009B5F39"/>
    <w:rsid w:val="009B67A0"/>
    <w:rsid w:val="009C026F"/>
    <w:rsid w:val="009C0470"/>
    <w:rsid w:val="009C3C0B"/>
    <w:rsid w:val="009C3CB0"/>
    <w:rsid w:val="009C493A"/>
    <w:rsid w:val="009C7CFA"/>
    <w:rsid w:val="009D17B2"/>
    <w:rsid w:val="009D2E59"/>
    <w:rsid w:val="009D4F78"/>
    <w:rsid w:val="009D5E72"/>
    <w:rsid w:val="009D76BE"/>
    <w:rsid w:val="009E0748"/>
    <w:rsid w:val="009E1E1E"/>
    <w:rsid w:val="009E6C54"/>
    <w:rsid w:val="009F6877"/>
    <w:rsid w:val="00A00EAE"/>
    <w:rsid w:val="00A00FC2"/>
    <w:rsid w:val="00A014B6"/>
    <w:rsid w:val="00A039FA"/>
    <w:rsid w:val="00A07800"/>
    <w:rsid w:val="00A12277"/>
    <w:rsid w:val="00A1450A"/>
    <w:rsid w:val="00A2471A"/>
    <w:rsid w:val="00A262F6"/>
    <w:rsid w:val="00A27382"/>
    <w:rsid w:val="00A27474"/>
    <w:rsid w:val="00A27ADF"/>
    <w:rsid w:val="00A3011A"/>
    <w:rsid w:val="00A3338D"/>
    <w:rsid w:val="00A339BA"/>
    <w:rsid w:val="00A3490B"/>
    <w:rsid w:val="00A358AF"/>
    <w:rsid w:val="00A35AB6"/>
    <w:rsid w:val="00A3708E"/>
    <w:rsid w:val="00A37715"/>
    <w:rsid w:val="00A41C1F"/>
    <w:rsid w:val="00A4315E"/>
    <w:rsid w:val="00A43508"/>
    <w:rsid w:val="00A4487B"/>
    <w:rsid w:val="00A47622"/>
    <w:rsid w:val="00A5159B"/>
    <w:rsid w:val="00A549AE"/>
    <w:rsid w:val="00A54B4F"/>
    <w:rsid w:val="00A54D69"/>
    <w:rsid w:val="00A55F04"/>
    <w:rsid w:val="00A56960"/>
    <w:rsid w:val="00A56E84"/>
    <w:rsid w:val="00A57DC4"/>
    <w:rsid w:val="00A62279"/>
    <w:rsid w:val="00A65374"/>
    <w:rsid w:val="00A70DE3"/>
    <w:rsid w:val="00A715AC"/>
    <w:rsid w:val="00A71F3A"/>
    <w:rsid w:val="00A723AF"/>
    <w:rsid w:val="00A740F3"/>
    <w:rsid w:val="00A77251"/>
    <w:rsid w:val="00A7782B"/>
    <w:rsid w:val="00A81B50"/>
    <w:rsid w:val="00A83AED"/>
    <w:rsid w:val="00A87420"/>
    <w:rsid w:val="00A953F1"/>
    <w:rsid w:val="00A9577B"/>
    <w:rsid w:val="00A95B80"/>
    <w:rsid w:val="00AA3883"/>
    <w:rsid w:val="00AA4598"/>
    <w:rsid w:val="00AA50AA"/>
    <w:rsid w:val="00AA6F41"/>
    <w:rsid w:val="00AB47B6"/>
    <w:rsid w:val="00AB5182"/>
    <w:rsid w:val="00AB582E"/>
    <w:rsid w:val="00AB6AC2"/>
    <w:rsid w:val="00AB7BBA"/>
    <w:rsid w:val="00AC0BB5"/>
    <w:rsid w:val="00AC116B"/>
    <w:rsid w:val="00AC35E7"/>
    <w:rsid w:val="00AC52FC"/>
    <w:rsid w:val="00AC6533"/>
    <w:rsid w:val="00AC72C7"/>
    <w:rsid w:val="00AC7A17"/>
    <w:rsid w:val="00AD41C7"/>
    <w:rsid w:val="00AD7EF4"/>
    <w:rsid w:val="00AE0223"/>
    <w:rsid w:val="00AF29B8"/>
    <w:rsid w:val="00AF3672"/>
    <w:rsid w:val="00B0064F"/>
    <w:rsid w:val="00B006CA"/>
    <w:rsid w:val="00B00C54"/>
    <w:rsid w:val="00B02A02"/>
    <w:rsid w:val="00B03C17"/>
    <w:rsid w:val="00B064C2"/>
    <w:rsid w:val="00B17566"/>
    <w:rsid w:val="00B217D2"/>
    <w:rsid w:val="00B24B4B"/>
    <w:rsid w:val="00B3214B"/>
    <w:rsid w:val="00B32152"/>
    <w:rsid w:val="00B32848"/>
    <w:rsid w:val="00B35283"/>
    <w:rsid w:val="00B370D0"/>
    <w:rsid w:val="00B401DD"/>
    <w:rsid w:val="00B41098"/>
    <w:rsid w:val="00B4373B"/>
    <w:rsid w:val="00B470A7"/>
    <w:rsid w:val="00B47CC1"/>
    <w:rsid w:val="00B51E41"/>
    <w:rsid w:val="00B52404"/>
    <w:rsid w:val="00B54303"/>
    <w:rsid w:val="00B55BAD"/>
    <w:rsid w:val="00B56E77"/>
    <w:rsid w:val="00B70393"/>
    <w:rsid w:val="00B709B4"/>
    <w:rsid w:val="00B70F14"/>
    <w:rsid w:val="00B71643"/>
    <w:rsid w:val="00B73E95"/>
    <w:rsid w:val="00B753EB"/>
    <w:rsid w:val="00B75760"/>
    <w:rsid w:val="00B76B14"/>
    <w:rsid w:val="00B76E56"/>
    <w:rsid w:val="00B7795B"/>
    <w:rsid w:val="00B77D27"/>
    <w:rsid w:val="00B77FCF"/>
    <w:rsid w:val="00B821D7"/>
    <w:rsid w:val="00B822E6"/>
    <w:rsid w:val="00B846FE"/>
    <w:rsid w:val="00B85259"/>
    <w:rsid w:val="00B86B5D"/>
    <w:rsid w:val="00B8786F"/>
    <w:rsid w:val="00B9048D"/>
    <w:rsid w:val="00B913A3"/>
    <w:rsid w:val="00B91EC7"/>
    <w:rsid w:val="00B920D9"/>
    <w:rsid w:val="00B93B61"/>
    <w:rsid w:val="00B949C7"/>
    <w:rsid w:val="00B96191"/>
    <w:rsid w:val="00BA17D9"/>
    <w:rsid w:val="00BA220A"/>
    <w:rsid w:val="00BA26DA"/>
    <w:rsid w:val="00BA5076"/>
    <w:rsid w:val="00BA718E"/>
    <w:rsid w:val="00BB0AF1"/>
    <w:rsid w:val="00BB0D86"/>
    <w:rsid w:val="00BB38F7"/>
    <w:rsid w:val="00BB3B05"/>
    <w:rsid w:val="00BB43C8"/>
    <w:rsid w:val="00BB486F"/>
    <w:rsid w:val="00BB4E56"/>
    <w:rsid w:val="00BB582B"/>
    <w:rsid w:val="00BC1F48"/>
    <w:rsid w:val="00BC54DB"/>
    <w:rsid w:val="00BD1049"/>
    <w:rsid w:val="00BD217D"/>
    <w:rsid w:val="00BD5072"/>
    <w:rsid w:val="00BD6089"/>
    <w:rsid w:val="00BE3F57"/>
    <w:rsid w:val="00BE456C"/>
    <w:rsid w:val="00BE65D2"/>
    <w:rsid w:val="00BE7CFF"/>
    <w:rsid w:val="00BF2649"/>
    <w:rsid w:val="00BF2D0A"/>
    <w:rsid w:val="00BF7468"/>
    <w:rsid w:val="00BF75B1"/>
    <w:rsid w:val="00C005D4"/>
    <w:rsid w:val="00C011A1"/>
    <w:rsid w:val="00C01311"/>
    <w:rsid w:val="00C03B1E"/>
    <w:rsid w:val="00C05262"/>
    <w:rsid w:val="00C060DF"/>
    <w:rsid w:val="00C113A1"/>
    <w:rsid w:val="00C15A4A"/>
    <w:rsid w:val="00C163A3"/>
    <w:rsid w:val="00C16556"/>
    <w:rsid w:val="00C17CFD"/>
    <w:rsid w:val="00C203EB"/>
    <w:rsid w:val="00C2097D"/>
    <w:rsid w:val="00C2134B"/>
    <w:rsid w:val="00C21F75"/>
    <w:rsid w:val="00C258F6"/>
    <w:rsid w:val="00C25C99"/>
    <w:rsid w:val="00C27DBC"/>
    <w:rsid w:val="00C305F3"/>
    <w:rsid w:val="00C3213E"/>
    <w:rsid w:val="00C33C81"/>
    <w:rsid w:val="00C34544"/>
    <w:rsid w:val="00C34BB7"/>
    <w:rsid w:val="00C35C76"/>
    <w:rsid w:val="00C370EB"/>
    <w:rsid w:val="00C40863"/>
    <w:rsid w:val="00C40D69"/>
    <w:rsid w:val="00C426BD"/>
    <w:rsid w:val="00C43998"/>
    <w:rsid w:val="00C44DE8"/>
    <w:rsid w:val="00C45D66"/>
    <w:rsid w:val="00C464A6"/>
    <w:rsid w:val="00C51FEE"/>
    <w:rsid w:val="00C5214C"/>
    <w:rsid w:val="00C52A3A"/>
    <w:rsid w:val="00C53AB7"/>
    <w:rsid w:val="00C542FF"/>
    <w:rsid w:val="00C54DCE"/>
    <w:rsid w:val="00C554B5"/>
    <w:rsid w:val="00C56845"/>
    <w:rsid w:val="00C64582"/>
    <w:rsid w:val="00C64D7D"/>
    <w:rsid w:val="00C65598"/>
    <w:rsid w:val="00C67AA5"/>
    <w:rsid w:val="00C72111"/>
    <w:rsid w:val="00C74072"/>
    <w:rsid w:val="00C826A7"/>
    <w:rsid w:val="00C844D9"/>
    <w:rsid w:val="00C90431"/>
    <w:rsid w:val="00C958EE"/>
    <w:rsid w:val="00CA2AD7"/>
    <w:rsid w:val="00CA4AC0"/>
    <w:rsid w:val="00CA5732"/>
    <w:rsid w:val="00CA5B4E"/>
    <w:rsid w:val="00CA7DBB"/>
    <w:rsid w:val="00CA7EC1"/>
    <w:rsid w:val="00CB104F"/>
    <w:rsid w:val="00CB1A16"/>
    <w:rsid w:val="00CB7272"/>
    <w:rsid w:val="00CB72E7"/>
    <w:rsid w:val="00CC5469"/>
    <w:rsid w:val="00CC6720"/>
    <w:rsid w:val="00CD1037"/>
    <w:rsid w:val="00CD4FFC"/>
    <w:rsid w:val="00CD59F1"/>
    <w:rsid w:val="00CD5F9C"/>
    <w:rsid w:val="00CD76B9"/>
    <w:rsid w:val="00CE0AC4"/>
    <w:rsid w:val="00CE12B6"/>
    <w:rsid w:val="00CE45F9"/>
    <w:rsid w:val="00CE6993"/>
    <w:rsid w:val="00CE7407"/>
    <w:rsid w:val="00CF43F7"/>
    <w:rsid w:val="00CF6589"/>
    <w:rsid w:val="00CF7C80"/>
    <w:rsid w:val="00D00E41"/>
    <w:rsid w:val="00D00E45"/>
    <w:rsid w:val="00D0537F"/>
    <w:rsid w:val="00D05DDF"/>
    <w:rsid w:val="00D060AD"/>
    <w:rsid w:val="00D064D4"/>
    <w:rsid w:val="00D064ED"/>
    <w:rsid w:val="00D10A08"/>
    <w:rsid w:val="00D17D82"/>
    <w:rsid w:val="00D23375"/>
    <w:rsid w:val="00D233A9"/>
    <w:rsid w:val="00D305A6"/>
    <w:rsid w:val="00D317F6"/>
    <w:rsid w:val="00D3542B"/>
    <w:rsid w:val="00D4101D"/>
    <w:rsid w:val="00D42B3A"/>
    <w:rsid w:val="00D43D5B"/>
    <w:rsid w:val="00D45571"/>
    <w:rsid w:val="00D45F08"/>
    <w:rsid w:val="00D46067"/>
    <w:rsid w:val="00D4643A"/>
    <w:rsid w:val="00D47519"/>
    <w:rsid w:val="00D47E1B"/>
    <w:rsid w:val="00D57BCC"/>
    <w:rsid w:val="00D60152"/>
    <w:rsid w:val="00D63D3B"/>
    <w:rsid w:val="00D661C7"/>
    <w:rsid w:val="00D66FAD"/>
    <w:rsid w:val="00D70EAC"/>
    <w:rsid w:val="00D741CD"/>
    <w:rsid w:val="00D748B2"/>
    <w:rsid w:val="00D760A3"/>
    <w:rsid w:val="00D76305"/>
    <w:rsid w:val="00D7692F"/>
    <w:rsid w:val="00D76B8B"/>
    <w:rsid w:val="00D80604"/>
    <w:rsid w:val="00D80BE3"/>
    <w:rsid w:val="00D838EC"/>
    <w:rsid w:val="00D8480B"/>
    <w:rsid w:val="00D85B40"/>
    <w:rsid w:val="00D87C8B"/>
    <w:rsid w:val="00D923A2"/>
    <w:rsid w:val="00D92C13"/>
    <w:rsid w:val="00D9330B"/>
    <w:rsid w:val="00D93B26"/>
    <w:rsid w:val="00D93F4E"/>
    <w:rsid w:val="00D940DC"/>
    <w:rsid w:val="00D9435D"/>
    <w:rsid w:val="00D94996"/>
    <w:rsid w:val="00D963AB"/>
    <w:rsid w:val="00D966BD"/>
    <w:rsid w:val="00DA1411"/>
    <w:rsid w:val="00DA454B"/>
    <w:rsid w:val="00DA601B"/>
    <w:rsid w:val="00DA6938"/>
    <w:rsid w:val="00DB0B8B"/>
    <w:rsid w:val="00DB15E7"/>
    <w:rsid w:val="00DB1D19"/>
    <w:rsid w:val="00DB2613"/>
    <w:rsid w:val="00DB330F"/>
    <w:rsid w:val="00DB387F"/>
    <w:rsid w:val="00DB408B"/>
    <w:rsid w:val="00DB6F4D"/>
    <w:rsid w:val="00DB76C8"/>
    <w:rsid w:val="00DB792C"/>
    <w:rsid w:val="00DC042B"/>
    <w:rsid w:val="00DC245C"/>
    <w:rsid w:val="00DC37E8"/>
    <w:rsid w:val="00DC52DF"/>
    <w:rsid w:val="00DC6930"/>
    <w:rsid w:val="00DD03BC"/>
    <w:rsid w:val="00DD28E2"/>
    <w:rsid w:val="00DD32A3"/>
    <w:rsid w:val="00DD54B1"/>
    <w:rsid w:val="00DD6495"/>
    <w:rsid w:val="00DD7FD2"/>
    <w:rsid w:val="00DE2E5B"/>
    <w:rsid w:val="00DE4536"/>
    <w:rsid w:val="00DE66AA"/>
    <w:rsid w:val="00DE6E29"/>
    <w:rsid w:val="00DE6F6D"/>
    <w:rsid w:val="00DF4A66"/>
    <w:rsid w:val="00DF56AE"/>
    <w:rsid w:val="00DF5A35"/>
    <w:rsid w:val="00E01059"/>
    <w:rsid w:val="00E01422"/>
    <w:rsid w:val="00E021E7"/>
    <w:rsid w:val="00E0536C"/>
    <w:rsid w:val="00E077DB"/>
    <w:rsid w:val="00E118EA"/>
    <w:rsid w:val="00E1371E"/>
    <w:rsid w:val="00E14097"/>
    <w:rsid w:val="00E21137"/>
    <w:rsid w:val="00E22118"/>
    <w:rsid w:val="00E24B7A"/>
    <w:rsid w:val="00E250F6"/>
    <w:rsid w:val="00E26697"/>
    <w:rsid w:val="00E30739"/>
    <w:rsid w:val="00E31339"/>
    <w:rsid w:val="00E31A83"/>
    <w:rsid w:val="00E351FB"/>
    <w:rsid w:val="00E40B0C"/>
    <w:rsid w:val="00E4232C"/>
    <w:rsid w:val="00E44DFF"/>
    <w:rsid w:val="00E45D7C"/>
    <w:rsid w:val="00E472DE"/>
    <w:rsid w:val="00E5063F"/>
    <w:rsid w:val="00E5228F"/>
    <w:rsid w:val="00E53B45"/>
    <w:rsid w:val="00E5420D"/>
    <w:rsid w:val="00E60938"/>
    <w:rsid w:val="00E63ADC"/>
    <w:rsid w:val="00E66C13"/>
    <w:rsid w:val="00E70275"/>
    <w:rsid w:val="00E71CB6"/>
    <w:rsid w:val="00E747C7"/>
    <w:rsid w:val="00E75E64"/>
    <w:rsid w:val="00E75EF9"/>
    <w:rsid w:val="00E81C4C"/>
    <w:rsid w:val="00E81F68"/>
    <w:rsid w:val="00E854F7"/>
    <w:rsid w:val="00E858A9"/>
    <w:rsid w:val="00E8688E"/>
    <w:rsid w:val="00E9133F"/>
    <w:rsid w:val="00E925E0"/>
    <w:rsid w:val="00E94ACD"/>
    <w:rsid w:val="00EA0714"/>
    <w:rsid w:val="00EA1AAB"/>
    <w:rsid w:val="00EA2D87"/>
    <w:rsid w:val="00EA7427"/>
    <w:rsid w:val="00EA797D"/>
    <w:rsid w:val="00EB0E7F"/>
    <w:rsid w:val="00EB0FB2"/>
    <w:rsid w:val="00EB19A7"/>
    <w:rsid w:val="00EB22FE"/>
    <w:rsid w:val="00EB42C1"/>
    <w:rsid w:val="00EB4916"/>
    <w:rsid w:val="00EC1AC3"/>
    <w:rsid w:val="00EC3475"/>
    <w:rsid w:val="00EC3AF2"/>
    <w:rsid w:val="00EC4D9F"/>
    <w:rsid w:val="00EC56E4"/>
    <w:rsid w:val="00EC5E3C"/>
    <w:rsid w:val="00EC60CB"/>
    <w:rsid w:val="00EC6769"/>
    <w:rsid w:val="00ED1BF2"/>
    <w:rsid w:val="00ED2CAE"/>
    <w:rsid w:val="00ED6160"/>
    <w:rsid w:val="00ED79C7"/>
    <w:rsid w:val="00EE00C2"/>
    <w:rsid w:val="00EE0F5D"/>
    <w:rsid w:val="00EE10F5"/>
    <w:rsid w:val="00EE18E6"/>
    <w:rsid w:val="00EE2FE1"/>
    <w:rsid w:val="00EF0310"/>
    <w:rsid w:val="00EF1A85"/>
    <w:rsid w:val="00EF2A36"/>
    <w:rsid w:val="00EF37AE"/>
    <w:rsid w:val="00F01272"/>
    <w:rsid w:val="00F02040"/>
    <w:rsid w:val="00F021C6"/>
    <w:rsid w:val="00F0435F"/>
    <w:rsid w:val="00F10027"/>
    <w:rsid w:val="00F10653"/>
    <w:rsid w:val="00F1118B"/>
    <w:rsid w:val="00F12081"/>
    <w:rsid w:val="00F12573"/>
    <w:rsid w:val="00F161FA"/>
    <w:rsid w:val="00F206FE"/>
    <w:rsid w:val="00F2499A"/>
    <w:rsid w:val="00F24ABB"/>
    <w:rsid w:val="00F24B42"/>
    <w:rsid w:val="00F24E9E"/>
    <w:rsid w:val="00F27096"/>
    <w:rsid w:val="00F327B1"/>
    <w:rsid w:val="00F33413"/>
    <w:rsid w:val="00F358A8"/>
    <w:rsid w:val="00F40BDA"/>
    <w:rsid w:val="00F418E5"/>
    <w:rsid w:val="00F45FB5"/>
    <w:rsid w:val="00F47300"/>
    <w:rsid w:val="00F507BF"/>
    <w:rsid w:val="00F52503"/>
    <w:rsid w:val="00F526B9"/>
    <w:rsid w:val="00F54152"/>
    <w:rsid w:val="00F54674"/>
    <w:rsid w:val="00F56562"/>
    <w:rsid w:val="00F56B57"/>
    <w:rsid w:val="00F56FBC"/>
    <w:rsid w:val="00F61A90"/>
    <w:rsid w:val="00F61D1F"/>
    <w:rsid w:val="00F62223"/>
    <w:rsid w:val="00F6238E"/>
    <w:rsid w:val="00F63BDD"/>
    <w:rsid w:val="00F6443E"/>
    <w:rsid w:val="00F659AE"/>
    <w:rsid w:val="00F65AD9"/>
    <w:rsid w:val="00F66670"/>
    <w:rsid w:val="00F66A8F"/>
    <w:rsid w:val="00F66EDF"/>
    <w:rsid w:val="00F700FF"/>
    <w:rsid w:val="00F725EA"/>
    <w:rsid w:val="00F72E67"/>
    <w:rsid w:val="00F736FD"/>
    <w:rsid w:val="00F73BFE"/>
    <w:rsid w:val="00F73C13"/>
    <w:rsid w:val="00F75A21"/>
    <w:rsid w:val="00F766FC"/>
    <w:rsid w:val="00F76788"/>
    <w:rsid w:val="00F801C2"/>
    <w:rsid w:val="00F86A96"/>
    <w:rsid w:val="00F86BC8"/>
    <w:rsid w:val="00F9086D"/>
    <w:rsid w:val="00F912DD"/>
    <w:rsid w:val="00F92673"/>
    <w:rsid w:val="00F93049"/>
    <w:rsid w:val="00F93CFB"/>
    <w:rsid w:val="00F968A7"/>
    <w:rsid w:val="00F9758C"/>
    <w:rsid w:val="00FA082B"/>
    <w:rsid w:val="00FA1467"/>
    <w:rsid w:val="00FA1AA3"/>
    <w:rsid w:val="00FA1C56"/>
    <w:rsid w:val="00FA35C1"/>
    <w:rsid w:val="00FA3BEC"/>
    <w:rsid w:val="00FA4FA2"/>
    <w:rsid w:val="00FA6013"/>
    <w:rsid w:val="00FA73B6"/>
    <w:rsid w:val="00FB225A"/>
    <w:rsid w:val="00FB5227"/>
    <w:rsid w:val="00FB5ACD"/>
    <w:rsid w:val="00FB6066"/>
    <w:rsid w:val="00FC1019"/>
    <w:rsid w:val="00FC5EBC"/>
    <w:rsid w:val="00FC5F31"/>
    <w:rsid w:val="00FC696C"/>
    <w:rsid w:val="00FD00CC"/>
    <w:rsid w:val="00FD0B65"/>
    <w:rsid w:val="00FD4306"/>
    <w:rsid w:val="00FD58E6"/>
    <w:rsid w:val="00FD6BD3"/>
    <w:rsid w:val="00FE13CA"/>
    <w:rsid w:val="00FE2168"/>
    <w:rsid w:val="00FF049A"/>
    <w:rsid w:val="00FF2202"/>
    <w:rsid w:val="00FF23AA"/>
    <w:rsid w:val="00FF3E55"/>
    <w:rsid w:val="00FF57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F49A5EB"/>
  <w15:docId w15:val="{4115D908-5B43-4E64-80A1-ED801D18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512"/>
    <w:pPr>
      <w:spacing w:after="120"/>
    </w:pPr>
    <w:rPr>
      <w:rFonts w:ascii="Arial" w:hAnsi="Arial" w:cs="Arial"/>
    </w:rPr>
  </w:style>
  <w:style w:type="paragraph" w:styleId="Heading1">
    <w:name w:val="heading 1"/>
    <w:aliases w:val="h1,Section Heading,Part,(Chapter Nbr),level 1,Level 1 Head,H1,Spec,No numbers,heading1,heading 1,Level 1,contents,h1 chapter heading,proj,proj1,proj5,proj6,proj7,proj8,proj9,proj10,proj11,proj12,proj13,proj14,proj15,proj51,proj61,proj71,proj81"/>
    <w:basedOn w:val="Normal"/>
    <w:next w:val="Normal"/>
    <w:link w:val="Heading1Char"/>
    <w:uiPriority w:val="9"/>
    <w:qFormat/>
    <w:rsid w:val="00015512"/>
    <w:pPr>
      <w:spacing w:before="360" w:after="240"/>
      <w:contextualSpacing/>
      <w:outlineLvl w:val="0"/>
    </w:pPr>
    <w:rPr>
      <w:rFonts w:asciiTheme="majorHAnsi" w:eastAsiaTheme="majorEastAsia" w:hAnsiTheme="majorHAnsi" w:cstheme="majorBidi"/>
      <w:b/>
      <w:bCs/>
      <w:sz w:val="28"/>
      <w:szCs w:val="28"/>
    </w:rPr>
  </w:style>
  <w:style w:type="paragraph" w:styleId="Heading2">
    <w:name w:val="heading 2"/>
    <w:aliases w:val="Chapter Title,Heading 2a,H2,Reset numbering,W6_Hdg2,h2,heading 2,2,sub-sect,dd heading 2,dh2,Intro Text Bold,Header 2,l2,Level 2 Head,proj2,proj21,proj22,proj23,proj24,proj25,proj26,proj27,proj28,proj29,proj210,proj211,proj212,proj221,proj231"/>
    <w:basedOn w:val="Normal"/>
    <w:next w:val="Normal"/>
    <w:link w:val="Heading2Char"/>
    <w:uiPriority w:val="9"/>
    <w:unhideWhenUsed/>
    <w:qFormat/>
    <w:rsid w:val="00C72111"/>
    <w:pPr>
      <w:keepNext/>
      <w:spacing w:before="360"/>
      <w:outlineLvl w:val="1"/>
    </w:pPr>
    <w:rPr>
      <w:rFonts w:asciiTheme="majorHAnsi" w:eastAsiaTheme="majorEastAsia" w:hAnsiTheme="majorHAnsi" w:cstheme="majorBidi"/>
      <w:b/>
      <w:bCs/>
      <w:sz w:val="26"/>
      <w:szCs w:val="26"/>
    </w:rPr>
  </w:style>
  <w:style w:type="paragraph" w:styleId="Heading3">
    <w:name w:val="heading 3"/>
    <w:aliases w:val="Section,H3,H31,Level 1 - 1,h3,subhead,1.,h3 sub heading,underlined Heading,heading 3,proj3,proj31,proj32,proj33,proj34,proj35,proj36,proj37,proj38,proj39,proj310,proj311,proj312,proj321,proj331,proj341,proj351,proj361,proj371,proj381,proj391,3"/>
    <w:basedOn w:val="Normal"/>
    <w:next w:val="Normal"/>
    <w:link w:val="Heading3Char"/>
    <w:uiPriority w:val="9"/>
    <w:unhideWhenUsed/>
    <w:qFormat/>
    <w:rsid w:val="000E2106"/>
    <w:pPr>
      <w:spacing w:before="200" w:line="271" w:lineRule="auto"/>
      <w:outlineLvl w:val="2"/>
    </w:pPr>
    <w:rPr>
      <w:rFonts w:asciiTheme="majorHAnsi" w:eastAsiaTheme="majorEastAsia" w:hAnsiTheme="majorHAnsi" w:cstheme="majorBidi"/>
      <w:b/>
      <w:bCs/>
    </w:rPr>
  </w:style>
  <w:style w:type="paragraph" w:styleId="Heading4">
    <w:name w:val="heading 4"/>
    <w:aliases w:val="Level 2 - a,(Small Appendix),h4,h4 sub sub heading,H4,Map Title,4h,Org Heading 2,Heading 4 Char1,Heading 4 Char Char,Heading 4i Char,Heading 4 Char1 Char,Heading 4 Char Char Char,Heading 4 Char1 Char Char Char"/>
    <w:basedOn w:val="Normal"/>
    <w:next w:val="Normal"/>
    <w:link w:val="Heading4Char"/>
    <w:uiPriority w:val="9"/>
    <w:unhideWhenUsed/>
    <w:qFormat/>
    <w:rsid w:val="00D57BCC"/>
    <w:pPr>
      <w:spacing w:before="240"/>
      <w:outlineLvl w:val="3"/>
    </w:pPr>
    <w:rPr>
      <w:rFonts w:asciiTheme="majorHAnsi" w:eastAsiaTheme="majorEastAsia" w:hAnsiTheme="majorHAnsi" w:cstheme="majorBidi"/>
      <w:b/>
      <w:bCs/>
      <w:i/>
      <w:iCs/>
    </w:rPr>
  </w:style>
  <w:style w:type="paragraph" w:styleId="Heading5">
    <w:name w:val="heading 5"/>
    <w:aliases w:val="Level 3 - i,Body Text (R),Block Label,H5,h5,Para5,h51,h52,L5,(A),1cm Indent,L4,A,5,Roman list,heading 5"/>
    <w:basedOn w:val="Normal"/>
    <w:next w:val="Normal"/>
    <w:link w:val="Heading5Char"/>
    <w:uiPriority w:val="9"/>
    <w:unhideWhenUsed/>
    <w:qFormat/>
    <w:rsid w:val="009C026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C026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Legal Level 1.1."/>
    <w:basedOn w:val="Normal"/>
    <w:next w:val="Normal"/>
    <w:link w:val="Heading7Char"/>
    <w:uiPriority w:val="9"/>
    <w:unhideWhenUsed/>
    <w:qFormat/>
    <w:rsid w:val="009C026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9C026F"/>
    <w:pPr>
      <w:spacing w:after="0"/>
      <w:outlineLvl w:val="7"/>
    </w:pPr>
    <w:rPr>
      <w:rFonts w:asciiTheme="majorHAnsi" w:eastAsiaTheme="majorEastAsia" w:hAnsiTheme="majorHAnsi" w:cstheme="majorBidi"/>
      <w:sz w:val="20"/>
      <w:szCs w:val="20"/>
    </w:rPr>
  </w:style>
  <w:style w:type="paragraph" w:styleId="Heading9">
    <w:name w:val="heading 9"/>
    <w:aliases w:val="Legal Level 1.1.1.1.,Level (a),Appendix"/>
    <w:basedOn w:val="Normal"/>
    <w:next w:val="Normal"/>
    <w:link w:val="Heading9Char"/>
    <w:uiPriority w:val="9"/>
    <w:unhideWhenUsed/>
    <w:qFormat/>
    <w:rsid w:val="009C026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eafsnit1,Parágrafo da Lista1,List Paragraph2,List Paragraph21,cS List Paragraph,Colorful List - Accent 11,????,????1,Response list"/>
    <w:basedOn w:val="Normal"/>
    <w:link w:val="ListParagraphChar"/>
    <w:uiPriority w:val="34"/>
    <w:qFormat/>
    <w:rsid w:val="009C026F"/>
    <w:pPr>
      <w:ind w:left="720"/>
      <w:contextualSpacing/>
    </w:pPr>
  </w:style>
  <w:style w:type="character" w:styleId="Hyperlink">
    <w:name w:val="Hyperlink"/>
    <w:uiPriority w:val="99"/>
    <w:rsid w:val="006936F4"/>
    <w:rPr>
      <w:color w:val="0000FF"/>
      <w:u w:val="single"/>
    </w:rPr>
  </w:style>
  <w:style w:type="paragraph" w:styleId="FootnoteText">
    <w:name w:val="footnote text"/>
    <w:basedOn w:val="Normal"/>
    <w:link w:val="FootnoteTextChar"/>
    <w:uiPriority w:val="99"/>
    <w:unhideWhenUsed/>
    <w:rsid w:val="00BA220A"/>
    <w:pPr>
      <w:overflowPunct w:val="0"/>
      <w:autoSpaceDE w:val="0"/>
      <w:autoSpaceDN w:val="0"/>
      <w:adjustRightInd w:val="0"/>
      <w:spacing w:after="0" w:line="240" w:lineRule="auto"/>
      <w:jc w:val="both"/>
      <w:textAlignment w:val="baseline"/>
    </w:pPr>
    <w:rPr>
      <w:rFonts w:eastAsia="Times New Roman" w:cs="Times New Roman"/>
      <w:sz w:val="16"/>
      <w:szCs w:val="20"/>
    </w:rPr>
  </w:style>
  <w:style w:type="character" w:customStyle="1" w:styleId="FootnoteTextChar">
    <w:name w:val="Footnote Text Char"/>
    <w:basedOn w:val="DefaultParagraphFont"/>
    <w:link w:val="FootnoteText"/>
    <w:uiPriority w:val="99"/>
    <w:rsid w:val="00BA220A"/>
    <w:rPr>
      <w:rFonts w:eastAsia="Times New Roman" w:cs="Times New Roman"/>
      <w:sz w:val="16"/>
      <w:szCs w:val="20"/>
    </w:rPr>
  </w:style>
  <w:style w:type="character" w:styleId="FootnoteReference">
    <w:name w:val="footnote reference"/>
    <w:uiPriority w:val="99"/>
    <w:unhideWhenUsed/>
    <w:rsid w:val="006936F4"/>
    <w:rPr>
      <w:vertAlign w:val="superscript"/>
    </w:rPr>
  </w:style>
  <w:style w:type="paragraph" w:styleId="EndnoteText">
    <w:name w:val="endnote text"/>
    <w:basedOn w:val="Normal"/>
    <w:link w:val="EndnoteTextChar"/>
    <w:uiPriority w:val="99"/>
    <w:unhideWhenUsed/>
    <w:rsid w:val="006936F4"/>
    <w:pPr>
      <w:spacing w:line="240" w:lineRule="auto"/>
    </w:pPr>
    <w:rPr>
      <w:rFonts w:ascii="Cambria" w:eastAsia="Cambria" w:hAnsi="Cambria" w:cs="Times New Roman"/>
      <w:sz w:val="20"/>
      <w:szCs w:val="20"/>
      <w:lang w:val="en-GB"/>
    </w:rPr>
  </w:style>
  <w:style w:type="character" w:customStyle="1" w:styleId="EndnoteTextChar">
    <w:name w:val="Endnote Text Char"/>
    <w:basedOn w:val="DefaultParagraphFont"/>
    <w:link w:val="EndnoteText"/>
    <w:uiPriority w:val="99"/>
    <w:rsid w:val="006936F4"/>
    <w:rPr>
      <w:rFonts w:ascii="Cambria" w:eastAsia="Cambria" w:hAnsi="Cambria" w:cs="Times New Roman"/>
      <w:sz w:val="20"/>
      <w:szCs w:val="20"/>
      <w:lang w:val="en-GB"/>
    </w:rPr>
  </w:style>
  <w:style w:type="paragraph" w:styleId="NormalWeb">
    <w:name w:val="Normal (Web)"/>
    <w:basedOn w:val="Normal"/>
    <w:uiPriority w:val="99"/>
    <w:unhideWhenUsed/>
    <w:rsid w:val="00170058"/>
    <w:pPr>
      <w:spacing w:before="100" w:beforeAutospacing="1" w:after="135" w:line="270" w:lineRule="atLeast"/>
    </w:pPr>
    <w:rPr>
      <w:rFonts w:ascii="Times New Roman" w:eastAsia="Times New Roman" w:hAnsi="Times New Roman" w:cs="Times New Roman"/>
      <w:sz w:val="20"/>
      <w:szCs w:val="20"/>
      <w:lang w:eastAsia="en-NZ"/>
    </w:rPr>
  </w:style>
  <w:style w:type="character" w:customStyle="1" w:styleId="Heading2Char">
    <w:name w:val="Heading 2 Char"/>
    <w:aliases w:val="Chapter Title Char,Heading 2a Char,H2 Char,Reset numbering Char,W6_Hdg2 Char,h2 Char,heading 2 Char,2 Char,sub-sect Char,dd heading 2 Char,dh2 Char,Intro Text Bold Char,Header 2 Char,l2 Char,Level 2 Head Char,proj2 Char,proj21 Char"/>
    <w:basedOn w:val="DefaultParagraphFont"/>
    <w:link w:val="Heading2"/>
    <w:uiPriority w:val="9"/>
    <w:rsid w:val="00C72111"/>
    <w:rPr>
      <w:rFonts w:asciiTheme="majorHAnsi" w:eastAsiaTheme="majorEastAsia" w:hAnsiTheme="majorHAnsi" w:cstheme="majorBidi"/>
      <w:b/>
      <w:bCs/>
      <w:sz w:val="26"/>
      <w:szCs w:val="26"/>
    </w:rPr>
  </w:style>
  <w:style w:type="table" w:styleId="TableGrid">
    <w:name w:val="Table Grid"/>
    <w:basedOn w:val="TableNormal"/>
    <w:uiPriority w:val="39"/>
    <w:rsid w:val="00162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Section Heading Char,Part Char,(Chapter Nbr) Char,level 1 Char,Level 1 Head Char,H1 Char,Spec Char,No numbers Char,heading1 Char,heading 1 Char,Level 1 Char,contents Char,h1 chapter heading Char,proj Char,proj1 Char,proj5 Char"/>
    <w:basedOn w:val="DefaultParagraphFont"/>
    <w:link w:val="Heading1"/>
    <w:uiPriority w:val="9"/>
    <w:rsid w:val="00015512"/>
    <w:rPr>
      <w:rFonts w:asciiTheme="majorHAnsi" w:eastAsiaTheme="majorEastAsia" w:hAnsiTheme="majorHAnsi" w:cstheme="majorBidi"/>
      <w:b/>
      <w:bCs/>
      <w:sz w:val="28"/>
      <w:szCs w:val="28"/>
    </w:rPr>
  </w:style>
  <w:style w:type="paragraph" w:customStyle="1" w:styleId="Default">
    <w:name w:val="Default"/>
    <w:rsid w:val="00162A8D"/>
    <w:pPr>
      <w:autoSpaceDE w:val="0"/>
      <w:autoSpaceDN w:val="0"/>
      <w:adjustRightInd w:val="0"/>
      <w:spacing w:after="0" w:line="240" w:lineRule="auto"/>
    </w:pPr>
    <w:rPr>
      <w:rFonts w:ascii="Arial" w:eastAsia="Calibri" w:hAnsi="Arial" w:cs="Arial"/>
      <w:color w:val="000000"/>
      <w:sz w:val="24"/>
      <w:szCs w:val="24"/>
      <w:lang w:eastAsia="en-NZ"/>
    </w:rPr>
  </w:style>
  <w:style w:type="character" w:styleId="Strong">
    <w:name w:val="Strong"/>
    <w:uiPriority w:val="22"/>
    <w:qFormat/>
    <w:rsid w:val="009C026F"/>
    <w:rPr>
      <w:b/>
      <w:bCs/>
    </w:rPr>
  </w:style>
  <w:style w:type="paragraph" w:customStyle="1" w:styleId="TableText">
    <w:name w:val="Table Text"/>
    <w:basedOn w:val="Normal"/>
    <w:link w:val="TableTextChar"/>
    <w:rsid w:val="00770697"/>
    <w:pPr>
      <w:tabs>
        <w:tab w:val="left" w:pos="425"/>
      </w:tabs>
      <w:spacing w:after="100" w:afterAutospacing="1" w:line="240" w:lineRule="auto"/>
    </w:pPr>
    <w:rPr>
      <w:rFonts w:eastAsia="Times New Roman" w:cs="Times New Roman"/>
    </w:rPr>
  </w:style>
  <w:style w:type="character" w:customStyle="1" w:styleId="TableTextChar">
    <w:name w:val="Table Text Char"/>
    <w:link w:val="TableText"/>
    <w:rsid w:val="00770697"/>
    <w:rPr>
      <w:rFonts w:ascii="Arial" w:eastAsia="Times New Roman" w:hAnsi="Arial" w:cs="Times New Roman"/>
    </w:rPr>
  </w:style>
  <w:style w:type="paragraph" w:customStyle="1" w:styleId="Headline">
    <w:name w:val="Headline"/>
    <w:basedOn w:val="Normal"/>
    <w:rsid w:val="00770697"/>
    <w:pPr>
      <w:spacing w:after="100" w:afterAutospacing="1" w:line="240" w:lineRule="auto"/>
      <w:jc w:val="right"/>
    </w:pPr>
    <w:rPr>
      <w:rFonts w:eastAsia="Times New Roman" w:cs="Times New Roman"/>
      <w:b/>
      <w:sz w:val="32"/>
    </w:rPr>
  </w:style>
  <w:style w:type="paragraph" w:customStyle="1" w:styleId="CharChar1">
    <w:name w:val="Char Char1"/>
    <w:basedOn w:val="Normal"/>
    <w:semiHidden/>
    <w:rsid w:val="00770697"/>
    <w:pPr>
      <w:spacing w:after="160" w:line="240" w:lineRule="exact"/>
      <w:jc w:val="both"/>
    </w:pPr>
    <w:rPr>
      <w:rFonts w:eastAsia="Times New Roman" w:cs="Times New Roman"/>
      <w:bCs/>
      <w:iCs/>
      <w:noProof/>
    </w:rPr>
  </w:style>
  <w:style w:type="paragraph" w:styleId="Header">
    <w:name w:val="header"/>
    <w:basedOn w:val="Normal"/>
    <w:link w:val="HeaderChar"/>
    <w:uiPriority w:val="99"/>
    <w:unhideWhenUsed/>
    <w:rsid w:val="00770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697"/>
  </w:style>
  <w:style w:type="paragraph" w:styleId="Footer">
    <w:name w:val="footer"/>
    <w:basedOn w:val="Normal"/>
    <w:link w:val="FooterChar"/>
    <w:uiPriority w:val="99"/>
    <w:unhideWhenUsed/>
    <w:rsid w:val="00770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697"/>
  </w:style>
  <w:style w:type="paragraph" w:styleId="TOCHeading">
    <w:name w:val="TOC Heading"/>
    <w:basedOn w:val="Heading1"/>
    <w:next w:val="Normal"/>
    <w:uiPriority w:val="39"/>
    <w:unhideWhenUsed/>
    <w:qFormat/>
    <w:rsid w:val="009C026F"/>
    <w:pPr>
      <w:outlineLvl w:val="9"/>
    </w:pPr>
    <w:rPr>
      <w:lang w:bidi="en-US"/>
    </w:rPr>
  </w:style>
  <w:style w:type="paragraph" w:styleId="TOC1">
    <w:name w:val="toc 1"/>
    <w:basedOn w:val="Normal"/>
    <w:next w:val="Normal"/>
    <w:autoRedefine/>
    <w:uiPriority w:val="39"/>
    <w:unhideWhenUsed/>
    <w:rsid w:val="00770697"/>
    <w:pPr>
      <w:spacing w:after="100"/>
    </w:pPr>
  </w:style>
  <w:style w:type="paragraph" w:styleId="TOC2">
    <w:name w:val="toc 2"/>
    <w:basedOn w:val="Normal"/>
    <w:next w:val="Normal"/>
    <w:autoRedefine/>
    <w:uiPriority w:val="39"/>
    <w:unhideWhenUsed/>
    <w:rsid w:val="00770697"/>
    <w:pPr>
      <w:spacing w:after="100"/>
      <w:ind w:left="220"/>
    </w:pPr>
  </w:style>
  <w:style w:type="paragraph" w:styleId="BalloonText">
    <w:name w:val="Balloon Text"/>
    <w:basedOn w:val="Normal"/>
    <w:link w:val="BalloonTextChar"/>
    <w:uiPriority w:val="99"/>
    <w:unhideWhenUsed/>
    <w:rsid w:val="0077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0697"/>
    <w:rPr>
      <w:rFonts w:ascii="Tahoma" w:hAnsi="Tahoma" w:cs="Tahoma"/>
      <w:sz w:val="16"/>
      <w:szCs w:val="16"/>
    </w:rPr>
  </w:style>
  <w:style w:type="character" w:styleId="EndnoteReference">
    <w:name w:val="endnote reference"/>
    <w:basedOn w:val="DefaultParagraphFont"/>
    <w:uiPriority w:val="99"/>
    <w:semiHidden/>
    <w:unhideWhenUsed/>
    <w:rsid w:val="00243009"/>
    <w:rPr>
      <w:vertAlign w:val="superscript"/>
    </w:rPr>
  </w:style>
  <w:style w:type="character" w:styleId="PlaceholderText">
    <w:name w:val="Placeholder Text"/>
    <w:basedOn w:val="DefaultParagraphFont"/>
    <w:uiPriority w:val="99"/>
    <w:semiHidden/>
    <w:rsid w:val="00514099"/>
    <w:rPr>
      <w:color w:val="808080"/>
    </w:rPr>
  </w:style>
  <w:style w:type="character" w:styleId="CommentReference">
    <w:name w:val="annotation reference"/>
    <w:basedOn w:val="DefaultParagraphFont"/>
    <w:uiPriority w:val="99"/>
    <w:unhideWhenUsed/>
    <w:rsid w:val="00887486"/>
    <w:rPr>
      <w:sz w:val="16"/>
      <w:szCs w:val="16"/>
    </w:rPr>
  </w:style>
  <w:style w:type="paragraph" w:styleId="CommentText">
    <w:name w:val="annotation text"/>
    <w:basedOn w:val="Normal"/>
    <w:link w:val="CommentTextChar"/>
    <w:uiPriority w:val="99"/>
    <w:unhideWhenUsed/>
    <w:rsid w:val="00887486"/>
    <w:pPr>
      <w:spacing w:line="240" w:lineRule="auto"/>
    </w:pPr>
    <w:rPr>
      <w:sz w:val="20"/>
      <w:szCs w:val="20"/>
    </w:rPr>
  </w:style>
  <w:style w:type="character" w:customStyle="1" w:styleId="CommentTextChar">
    <w:name w:val="Comment Text Char"/>
    <w:basedOn w:val="DefaultParagraphFont"/>
    <w:link w:val="CommentText"/>
    <w:uiPriority w:val="99"/>
    <w:rsid w:val="00887486"/>
    <w:rPr>
      <w:sz w:val="20"/>
      <w:szCs w:val="20"/>
    </w:rPr>
  </w:style>
  <w:style w:type="paragraph" w:styleId="CommentSubject">
    <w:name w:val="annotation subject"/>
    <w:basedOn w:val="CommentText"/>
    <w:next w:val="CommentText"/>
    <w:link w:val="CommentSubjectChar"/>
    <w:uiPriority w:val="99"/>
    <w:semiHidden/>
    <w:unhideWhenUsed/>
    <w:rsid w:val="00887486"/>
    <w:rPr>
      <w:b/>
      <w:bCs/>
    </w:rPr>
  </w:style>
  <w:style w:type="character" w:customStyle="1" w:styleId="CommentSubjectChar">
    <w:name w:val="Comment Subject Char"/>
    <w:basedOn w:val="CommentTextChar"/>
    <w:link w:val="CommentSubject"/>
    <w:uiPriority w:val="99"/>
    <w:semiHidden/>
    <w:rsid w:val="00887486"/>
    <w:rPr>
      <w:b/>
      <w:bCs/>
      <w:sz w:val="20"/>
      <w:szCs w:val="20"/>
    </w:rPr>
  </w:style>
  <w:style w:type="paragraph" w:customStyle="1" w:styleId="CharChar10">
    <w:name w:val="Char Char1"/>
    <w:basedOn w:val="Normal"/>
    <w:semiHidden/>
    <w:rsid w:val="00EC1AC3"/>
    <w:pPr>
      <w:spacing w:after="160" w:line="240" w:lineRule="exact"/>
      <w:jc w:val="both"/>
    </w:pPr>
    <w:rPr>
      <w:rFonts w:eastAsia="Times New Roman" w:cs="Times New Roman"/>
      <w:bCs/>
      <w:iCs/>
      <w:noProof/>
    </w:rPr>
  </w:style>
  <w:style w:type="paragraph" w:customStyle="1" w:styleId="Imprint">
    <w:name w:val="Imprint"/>
    <w:basedOn w:val="Normal"/>
    <w:next w:val="Normal"/>
    <w:rsid w:val="00EC1AC3"/>
    <w:pPr>
      <w:spacing w:after="240" w:line="240" w:lineRule="auto"/>
      <w:jc w:val="center"/>
    </w:pPr>
    <w:rPr>
      <w:rFonts w:ascii="Arial Mäori" w:eastAsia="Times New Roman" w:hAnsi="Arial Mäori" w:cs="Times New Roman"/>
      <w:sz w:val="24"/>
      <w:szCs w:val="20"/>
    </w:rPr>
  </w:style>
  <w:style w:type="paragraph" w:customStyle="1" w:styleId="CharChar11">
    <w:name w:val="Char Char1"/>
    <w:basedOn w:val="Normal"/>
    <w:semiHidden/>
    <w:rsid w:val="00457E61"/>
    <w:pPr>
      <w:spacing w:after="160" w:line="240" w:lineRule="exact"/>
      <w:jc w:val="both"/>
    </w:pPr>
    <w:rPr>
      <w:rFonts w:eastAsia="Times New Roman" w:cs="Times New Roman"/>
      <w:bCs/>
      <w:iCs/>
      <w:noProof/>
    </w:rPr>
  </w:style>
  <w:style w:type="character" w:customStyle="1" w:styleId="Heading3Char">
    <w:name w:val="Heading 3 Char"/>
    <w:aliases w:val="Section Char,H3 Char,H31 Char,Level 1 - 1 Char,h3 Char,subhead Char,1. Char,h3 sub heading Char,underlined Heading Char,heading 3 Char,proj3 Char,proj31 Char,proj32 Char,proj33 Char,proj34 Char,proj35 Char,proj36 Char,proj37 Char,3 Char"/>
    <w:basedOn w:val="DefaultParagraphFont"/>
    <w:link w:val="Heading3"/>
    <w:uiPriority w:val="9"/>
    <w:rsid w:val="000E2106"/>
    <w:rPr>
      <w:rFonts w:asciiTheme="majorHAnsi" w:eastAsiaTheme="majorEastAsia" w:hAnsiTheme="majorHAnsi" w:cstheme="majorBidi"/>
      <w:b/>
      <w:bCs/>
    </w:rPr>
  </w:style>
  <w:style w:type="character" w:customStyle="1" w:styleId="Heading4Char">
    <w:name w:val="Heading 4 Char"/>
    <w:aliases w:val="Level 2 - a Char,(Small Appendix) Char,h4 Char,h4 sub sub heading Char,H4 Char,Map Title Char,4h Char,Org Heading 2 Char,Heading 4 Char1 Char1,Heading 4 Char Char Char1,Heading 4i Char Char,Heading 4 Char1 Char Char"/>
    <w:basedOn w:val="DefaultParagraphFont"/>
    <w:link w:val="Heading4"/>
    <w:uiPriority w:val="9"/>
    <w:rsid w:val="00D57BCC"/>
    <w:rPr>
      <w:rFonts w:asciiTheme="majorHAnsi" w:eastAsiaTheme="majorEastAsia" w:hAnsiTheme="majorHAnsi" w:cstheme="majorBidi"/>
      <w:b/>
      <w:bCs/>
      <w:i/>
      <w:iCs/>
    </w:rPr>
  </w:style>
  <w:style w:type="character" w:customStyle="1" w:styleId="Heading5Char">
    <w:name w:val="Heading 5 Char"/>
    <w:aliases w:val="Level 3 - i Char,Body Text (R) Char,Block Label Char,H5 Char,h5 Char,Para5 Char,h51 Char,h52 Char,L5 Char,(A) Char,1cm Indent Char,L4 Char,A Char,5 Char,Roman list Char,heading 5 Char"/>
    <w:basedOn w:val="DefaultParagraphFont"/>
    <w:link w:val="Heading5"/>
    <w:uiPriority w:val="9"/>
    <w:rsid w:val="009C026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C026F"/>
    <w:rPr>
      <w:rFonts w:asciiTheme="majorHAnsi" w:eastAsiaTheme="majorEastAsia" w:hAnsiTheme="majorHAnsi" w:cstheme="majorBidi"/>
      <w:b/>
      <w:bCs/>
      <w:i/>
      <w:iCs/>
      <w:color w:val="7F7F7F" w:themeColor="text1" w:themeTint="80"/>
    </w:rPr>
  </w:style>
  <w:style w:type="character" w:customStyle="1" w:styleId="Heading7Char">
    <w:name w:val="Heading 7 Char"/>
    <w:aliases w:val="Legal Level 1.1. Char"/>
    <w:basedOn w:val="DefaultParagraphFont"/>
    <w:link w:val="Heading7"/>
    <w:uiPriority w:val="9"/>
    <w:semiHidden/>
    <w:rsid w:val="009C026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C026F"/>
    <w:rPr>
      <w:rFonts w:asciiTheme="majorHAnsi" w:eastAsiaTheme="majorEastAsia" w:hAnsiTheme="majorHAnsi" w:cstheme="majorBidi"/>
      <w:sz w:val="20"/>
      <w:szCs w:val="20"/>
    </w:rPr>
  </w:style>
  <w:style w:type="character" w:customStyle="1" w:styleId="Heading9Char">
    <w:name w:val="Heading 9 Char"/>
    <w:aliases w:val="Legal Level 1.1.1.1. Char,Level (a) Char,Appendix Char"/>
    <w:basedOn w:val="DefaultParagraphFont"/>
    <w:link w:val="Heading9"/>
    <w:uiPriority w:val="9"/>
    <w:semiHidden/>
    <w:rsid w:val="009C026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C026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C026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C026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C026F"/>
    <w:rPr>
      <w:rFonts w:asciiTheme="majorHAnsi" w:eastAsiaTheme="majorEastAsia" w:hAnsiTheme="majorHAnsi" w:cstheme="majorBidi"/>
      <w:i/>
      <w:iCs/>
      <w:spacing w:val="13"/>
      <w:sz w:val="24"/>
      <w:szCs w:val="24"/>
    </w:rPr>
  </w:style>
  <w:style w:type="character" w:styleId="Emphasis">
    <w:name w:val="Emphasis"/>
    <w:uiPriority w:val="20"/>
    <w:qFormat/>
    <w:rsid w:val="009C026F"/>
    <w:rPr>
      <w:b/>
      <w:bCs/>
      <w:i/>
      <w:iCs/>
      <w:spacing w:val="10"/>
      <w:bdr w:val="none" w:sz="0" w:space="0" w:color="auto"/>
      <w:shd w:val="clear" w:color="auto" w:fill="auto"/>
    </w:rPr>
  </w:style>
  <w:style w:type="paragraph" w:styleId="NoSpacing">
    <w:name w:val="No Spacing"/>
    <w:aliases w:val="No Spacing higeag,Table"/>
    <w:basedOn w:val="Normal"/>
    <w:link w:val="NoSpacingChar"/>
    <w:uiPriority w:val="1"/>
    <w:qFormat/>
    <w:rsid w:val="009C026F"/>
    <w:pPr>
      <w:spacing w:after="0" w:line="240" w:lineRule="auto"/>
    </w:pPr>
  </w:style>
  <w:style w:type="paragraph" w:styleId="Quote">
    <w:name w:val="Quote"/>
    <w:basedOn w:val="Normal"/>
    <w:next w:val="Normal"/>
    <w:link w:val="QuoteChar"/>
    <w:uiPriority w:val="29"/>
    <w:qFormat/>
    <w:rsid w:val="009C026F"/>
    <w:pPr>
      <w:spacing w:before="200" w:after="0"/>
      <w:ind w:left="360" w:right="360"/>
    </w:pPr>
    <w:rPr>
      <w:i/>
      <w:iCs/>
    </w:rPr>
  </w:style>
  <w:style w:type="character" w:customStyle="1" w:styleId="QuoteChar">
    <w:name w:val="Quote Char"/>
    <w:basedOn w:val="DefaultParagraphFont"/>
    <w:link w:val="Quote"/>
    <w:uiPriority w:val="29"/>
    <w:rsid w:val="009C026F"/>
    <w:rPr>
      <w:i/>
      <w:iCs/>
    </w:rPr>
  </w:style>
  <w:style w:type="paragraph" w:styleId="IntenseQuote">
    <w:name w:val="Intense Quote"/>
    <w:basedOn w:val="Normal"/>
    <w:next w:val="Normal"/>
    <w:link w:val="IntenseQuoteChar"/>
    <w:uiPriority w:val="30"/>
    <w:qFormat/>
    <w:rsid w:val="009C026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C026F"/>
    <w:rPr>
      <w:b/>
      <w:bCs/>
      <w:i/>
      <w:iCs/>
    </w:rPr>
  </w:style>
  <w:style w:type="character" w:styleId="SubtleEmphasis">
    <w:name w:val="Subtle Emphasis"/>
    <w:uiPriority w:val="19"/>
    <w:qFormat/>
    <w:rsid w:val="009C026F"/>
    <w:rPr>
      <w:i/>
      <w:iCs/>
    </w:rPr>
  </w:style>
  <w:style w:type="character" w:styleId="IntenseEmphasis">
    <w:name w:val="Intense Emphasis"/>
    <w:uiPriority w:val="21"/>
    <w:qFormat/>
    <w:rsid w:val="009C026F"/>
    <w:rPr>
      <w:b/>
      <w:bCs/>
    </w:rPr>
  </w:style>
  <w:style w:type="character" w:styleId="SubtleReference">
    <w:name w:val="Subtle Reference"/>
    <w:uiPriority w:val="31"/>
    <w:qFormat/>
    <w:rsid w:val="009C026F"/>
    <w:rPr>
      <w:smallCaps/>
    </w:rPr>
  </w:style>
  <w:style w:type="character" w:styleId="IntenseReference">
    <w:name w:val="Intense Reference"/>
    <w:uiPriority w:val="32"/>
    <w:qFormat/>
    <w:rsid w:val="009C026F"/>
    <w:rPr>
      <w:smallCaps/>
      <w:spacing w:val="5"/>
      <w:u w:val="single"/>
    </w:rPr>
  </w:style>
  <w:style w:type="character" w:styleId="BookTitle">
    <w:name w:val="Book Title"/>
    <w:uiPriority w:val="33"/>
    <w:qFormat/>
    <w:rsid w:val="009C026F"/>
    <w:rPr>
      <w:i/>
      <w:iCs/>
      <w:smallCaps/>
      <w:spacing w:val="5"/>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locked/>
    <w:rsid w:val="00271FB6"/>
  </w:style>
  <w:style w:type="character" w:styleId="FollowedHyperlink">
    <w:name w:val="FollowedHyperlink"/>
    <w:basedOn w:val="DefaultParagraphFont"/>
    <w:uiPriority w:val="99"/>
    <w:semiHidden/>
    <w:unhideWhenUsed/>
    <w:rsid w:val="009648C6"/>
    <w:rPr>
      <w:color w:val="800080" w:themeColor="followedHyperlink"/>
      <w:u w:val="single"/>
    </w:rPr>
  </w:style>
  <w:style w:type="paragraph" w:styleId="TOC3">
    <w:name w:val="toc 3"/>
    <w:basedOn w:val="Normal"/>
    <w:next w:val="Normal"/>
    <w:autoRedefine/>
    <w:uiPriority w:val="39"/>
    <w:unhideWhenUsed/>
    <w:rsid w:val="00D064ED"/>
    <w:pPr>
      <w:spacing w:after="100"/>
      <w:ind w:left="440"/>
    </w:pPr>
  </w:style>
  <w:style w:type="character" w:customStyle="1" w:styleId="st">
    <w:name w:val="st"/>
    <w:basedOn w:val="DefaultParagraphFont"/>
    <w:rsid w:val="00E077DB"/>
  </w:style>
  <w:style w:type="paragraph" w:customStyle="1" w:styleId="BulletText2">
    <w:name w:val="Bullet Text 2"/>
    <w:basedOn w:val="Normal"/>
    <w:rsid w:val="00D00E45"/>
    <w:pPr>
      <w:numPr>
        <w:numId w:val="1"/>
      </w:numPr>
      <w:spacing w:after="0" w:line="240" w:lineRule="auto"/>
    </w:pPr>
    <w:rPr>
      <w:rFonts w:ascii="Garamond" w:eastAsia="Batang" w:hAnsi="Garamond" w:cs="Times New Roman"/>
      <w:sz w:val="20"/>
      <w:szCs w:val="20"/>
    </w:rPr>
  </w:style>
  <w:style w:type="character" w:customStyle="1" w:styleId="NoSpacingChar">
    <w:name w:val="No Spacing Char"/>
    <w:aliases w:val="No Spacing higeag Char,Table Char"/>
    <w:link w:val="NoSpacing"/>
    <w:uiPriority w:val="1"/>
    <w:rsid w:val="00FE13CA"/>
  </w:style>
  <w:style w:type="paragraph" w:styleId="Caption">
    <w:name w:val="caption"/>
    <w:basedOn w:val="Normal"/>
    <w:next w:val="Normal"/>
    <w:uiPriority w:val="35"/>
    <w:unhideWhenUsed/>
    <w:qFormat/>
    <w:rsid w:val="00EE2FE1"/>
    <w:pPr>
      <w:keepNext/>
      <w:spacing w:line="240" w:lineRule="auto"/>
    </w:pPr>
    <w:rPr>
      <w:rFonts w:asciiTheme="majorHAnsi" w:eastAsiaTheme="minorHAnsi" w:hAnsiTheme="majorHAnsi" w:cstheme="majorHAnsi"/>
      <w:b/>
      <w:i/>
      <w:iCs/>
      <w:lang w:val="en-GB"/>
    </w:rPr>
  </w:style>
  <w:style w:type="table" w:customStyle="1" w:styleId="TableGridLight1">
    <w:name w:val="Table Grid Light1"/>
    <w:basedOn w:val="TableNormal"/>
    <w:uiPriority w:val="40"/>
    <w:rsid w:val="00D05DDF"/>
    <w:pPr>
      <w:spacing w:after="0" w:line="240" w:lineRule="auto"/>
    </w:pPr>
    <w:rPr>
      <w:rFonts w:ascii="Arial" w:eastAsiaTheme="minorHAnsi" w:hAnsi="Arial" w:cs="Arial"/>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05DDF"/>
    <w:pPr>
      <w:spacing w:after="0" w:line="240" w:lineRule="auto"/>
    </w:pPr>
    <w:rPr>
      <w:rFonts w:ascii="Arial" w:eastAsiaTheme="minorHAnsi" w:hAnsi="Arial" w:cs="Arial"/>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cheduleLevel1">
    <w:name w:val="Schedule Level 1"/>
    <w:basedOn w:val="Normal"/>
    <w:rsid w:val="005441CA"/>
    <w:pPr>
      <w:keepNext/>
      <w:spacing w:after="240" w:line="240" w:lineRule="auto"/>
      <w:ind w:right="29"/>
      <w:jc w:val="both"/>
      <w:outlineLvl w:val="8"/>
    </w:pPr>
    <w:rPr>
      <w:rFonts w:eastAsia="Times New Roman" w:cs="Times New Roman"/>
      <w:b/>
      <w:bCs/>
      <w:lang w:eastAsia="en-GB"/>
    </w:rPr>
  </w:style>
  <w:style w:type="paragraph" w:customStyle="1" w:styleId="HdSNumberLevel2">
    <w:name w:val="HdS Number Level 2"/>
    <w:basedOn w:val="Normal"/>
    <w:autoRedefine/>
    <w:rsid w:val="005441CA"/>
    <w:pPr>
      <w:numPr>
        <w:ilvl w:val="1"/>
        <w:numId w:val="2"/>
      </w:numPr>
      <w:spacing w:before="200" w:line="240" w:lineRule="atLeast"/>
    </w:pPr>
    <w:rPr>
      <w:rFonts w:eastAsia="Times New Roman" w:cs="Times New Roman"/>
      <w:color w:val="000000"/>
      <w:sz w:val="20"/>
      <w:szCs w:val="18"/>
      <w:lang w:bidi="he-IL"/>
    </w:rPr>
  </w:style>
  <w:style w:type="paragraph" w:customStyle="1" w:styleId="ListText1">
    <w:name w:val="ListText1"/>
    <w:rsid w:val="00C464A6"/>
    <w:pPr>
      <w:numPr>
        <w:numId w:val="3"/>
      </w:numPr>
      <w:spacing w:before="120" w:after="0" w:line="240" w:lineRule="auto"/>
      <w:jc w:val="both"/>
    </w:pPr>
    <w:rPr>
      <w:rFonts w:ascii="Book Antiqua" w:eastAsia="Times New Roman" w:hAnsi="Book Antiqua" w:cs="Times New Roman"/>
      <w:sz w:val="24"/>
      <w:szCs w:val="24"/>
      <w:lang w:val="en-AU"/>
    </w:rPr>
  </w:style>
  <w:style w:type="paragraph" w:styleId="z-TopofForm">
    <w:name w:val="HTML Top of Form"/>
    <w:basedOn w:val="Normal"/>
    <w:next w:val="Normal"/>
    <w:link w:val="z-TopofFormChar"/>
    <w:hidden/>
    <w:uiPriority w:val="99"/>
    <w:semiHidden/>
    <w:unhideWhenUsed/>
    <w:rsid w:val="00AC72C7"/>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AC72C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72C7"/>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AC72C7"/>
    <w:rPr>
      <w:rFonts w:ascii="Arial" w:hAnsi="Arial" w:cs="Arial"/>
      <w:vanish/>
      <w:sz w:val="16"/>
      <w:szCs w:val="16"/>
    </w:rPr>
  </w:style>
  <w:style w:type="paragraph" w:styleId="Revision">
    <w:name w:val="Revision"/>
    <w:hidden/>
    <w:uiPriority w:val="99"/>
    <w:semiHidden/>
    <w:rsid w:val="00346B4E"/>
    <w:pPr>
      <w:spacing w:after="0" w:line="240" w:lineRule="auto"/>
    </w:pPr>
  </w:style>
  <w:style w:type="paragraph" w:customStyle="1" w:styleId="H3PES">
    <w:name w:val="H3 PES"/>
    <w:basedOn w:val="Normal"/>
    <w:link w:val="H3PESChar"/>
    <w:qFormat/>
    <w:rsid w:val="001B15E9"/>
    <w:pPr>
      <w:spacing w:before="240"/>
    </w:pPr>
    <w:rPr>
      <w:i/>
    </w:rPr>
  </w:style>
  <w:style w:type="character" w:customStyle="1" w:styleId="H3PESChar">
    <w:name w:val="H3 PES Char"/>
    <w:basedOn w:val="DefaultParagraphFont"/>
    <w:link w:val="H3PES"/>
    <w:rsid w:val="001B15E9"/>
    <w:rPr>
      <w:i/>
    </w:rPr>
  </w:style>
  <w:style w:type="character" w:customStyle="1" w:styleId="UnresolvedMention1">
    <w:name w:val="Unresolved Mention1"/>
    <w:basedOn w:val="DefaultParagraphFont"/>
    <w:uiPriority w:val="99"/>
    <w:semiHidden/>
    <w:unhideWhenUsed/>
    <w:rsid w:val="00D064D4"/>
    <w:rPr>
      <w:color w:val="605E5C"/>
      <w:shd w:val="clear" w:color="auto" w:fill="E1DFDD"/>
    </w:rPr>
  </w:style>
  <w:style w:type="character" w:customStyle="1" w:styleId="apple-converted-space">
    <w:name w:val="apple-converted-space"/>
    <w:basedOn w:val="DefaultParagraphFont"/>
    <w:rsid w:val="00337AC4"/>
  </w:style>
  <w:style w:type="character" w:customStyle="1" w:styleId="style3">
    <w:name w:val="style3"/>
    <w:basedOn w:val="DefaultParagraphFont"/>
    <w:rsid w:val="00337AC4"/>
  </w:style>
  <w:style w:type="character" w:customStyle="1" w:styleId="style2">
    <w:name w:val="style2"/>
    <w:basedOn w:val="DefaultParagraphFont"/>
    <w:rsid w:val="00337AC4"/>
  </w:style>
  <w:style w:type="paragraph" w:styleId="BodyText">
    <w:name w:val="Body Text"/>
    <w:basedOn w:val="Normal"/>
    <w:link w:val="BodyTextChar"/>
    <w:uiPriority w:val="1"/>
    <w:qFormat/>
    <w:rsid w:val="006C00CF"/>
    <w:pPr>
      <w:widowControl w:val="0"/>
    </w:pPr>
    <w:rPr>
      <w:rFonts w:eastAsia="Arial"/>
    </w:rPr>
  </w:style>
  <w:style w:type="character" w:customStyle="1" w:styleId="BodyTextChar">
    <w:name w:val="Body Text Char"/>
    <w:basedOn w:val="DefaultParagraphFont"/>
    <w:link w:val="BodyText"/>
    <w:uiPriority w:val="1"/>
    <w:rsid w:val="006C00CF"/>
    <w:rPr>
      <w:rFonts w:ascii="Arial" w:eastAsia="Arial" w:hAnsi="Arial" w:cs="Arial"/>
    </w:rPr>
  </w:style>
  <w:style w:type="paragraph" w:customStyle="1" w:styleId="VariableName">
    <w:name w:val="Variable Name"/>
    <w:basedOn w:val="Heading4"/>
    <w:next w:val="Normal"/>
    <w:link w:val="VariableNameChar"/>
    <w:qFormat/>
    <w:rsid w:val="00A35AB6"/>
    <w:pPr>
      <w:keepNext/>
      <w:keepLines/>
      <w:spacing w:line="259" w:lineRule="auto"/>
    </w:pPr>
    <w:rPr>
      <w:i w:val="0"/>
      <w:color w:val="000000" w:themeColor="text1"/>
      <w:sz w:val="24"/>
      <w:szCs w:val="24"/>
    </w:rPr>
  </w:style>
  <w:style w:type="paragraph" w:customStyle="1" w:styleId="NotesonQuestionSource">
    <w:name w:val="Notes on Question Source"/>
    <w:basedOn w:val="Normal"/>
    <w:link w:val="NotesonQuestionSourceChar"/>
    <w:qFormat/>
    <w:rsid w:val="00A35AB6"/>
    <w:pPr>
      <w:spacing w:after="0" w:line="259" w:lineRule="auto"/>
    </w:pPr>
    <w:rPr>
      <w:rFonts w:eastAsiaTheme="minorHAnsi"/>
      <w:i/>
      <w:iCs/>
      <w:color w:val="00B050"/>
      <w:sz w:val="18"/>
      <w:szCs w:val="18"/>
    </w:rPr>
  </w:style>
  <w:style w:type="character" w:customStyle="1" w:styleId="VariableNameChar">
    <w:name w:val="Variable Name Char"/>
    <w:basedOn w:val="Heading4Char"/>
    <w:link w:val="VariableName"/>
    <w:rsid w:val="00A35AB6"/>
    <w:rPr>
      <w:rFonts w:asciiTheme="majorHAnsi" w:eastAsiaTheme="majorEastAsia" w:hAnsiTheme="majorHAnsi" w:cstheme="majorBidi"/>
      <w:b/>
      <w:bCs/>
      <w:i w:val="0"/>
      <w:iCs/>
      <w:color w:val="000000" w:themeColor="text1"/>
      <w:sz w:val="24"/>
      <w:szCs w:val="24"/>
    </w:rPr>
  </w:style>
  <w:style w:type="character" w:customStyle="1" w:styleId="NotesonQuestionSourceChar">
    <w:name w:val="Notes on Question Source Char"/>
    <w:basedOn w:val="DefaultParagraphFont"/>
    <w:link w:val="NotesonQuestionSource"/>
    <w:rsid w:val="00A35AB6"/>
    <w:rPr>
      <w:rFonts w:eastAsiaTheme="minorHAnsi"/>
      <w:i/>
      <w:iCs/>
      <w:color w:val="00B050"/>
      <w:sz w:val="18"/>
      <w:szCs w:val="18"/>
    </w:rPr>
  </w:style>
  <w:style w:type="paragraph" w:customStyle="1" w:styleId="ProgrammingNote">
    <w:name w:val="Programming Note"/>
    <w:basedOn w:val="NotesonQuestionSource"/>
    <w:next w:val="Normal"/>
    <w:link w:val="ProgrammingNoteChar"/>
    <w:qFormat/>
    <w:rsid w:val="00A35AB6"/>
    <w:rPr>
      <w:b/>
      <w:bCs/>
      <w:i w:val="0"/>
      <w:iCs w:val="0"/>
      <w:color w:val="FF0000"/>
    </w:rPr>
  </w:style>
  <w:style w:type="character" w:customStyle="1" w:styleId="ProgrammingNoteChar">
    <w:name w:val="Programming Note Char"/>
    <w:basedOn w:val="NotesonQuestionSourceChar"/>
    <w:link w:val="ProgrammingNote"/>
    <w:rsid w:val="00A35AB6"/>
    <w:rPr>
      <w:rFonts w:eastAsiaTheme="minorHAnsi"/>
      <w:b/>
      <w:bCs/>
      <w:i w:val="0"/>
      <w:iCs w:val="0"/>
      <w:color w:val="FF0000"/>
      <w:sz w:val="18"/>
      <w:szCs w:val="18"/>
    </w:rPr>
  </w:style>
  <w:style w:type="paragraph" w:customStyle="1" w:styleId="ListBulletChar">
    <w:name w:val="List Bullet Char"/>
    <w:basedOn w:val="NotesonQuestionSource"/>
    <w:qFormat/>
    <w:rsid w:val="00A35AB6"/>
    <w:rPr>
      <w:color w:val="C0504D" w:themeColor="accent2"/>
    </w:rPr>
  </w:style>
  <w:style w:type="paragraph" w:customStyle="1" w:styleId="ListNumberChar">
    <w:name w:val="List Number Char"/>
    <w:basedOn w:val="NotesonQuestionSource"/>
    <w:qFormat/>
    <w:rsid w:val="00A35AB6"/>
    <w:rPr>
      <w:color w:val="8064A2" w:themeColor="accent4"/>
    </w:rPr>
  </w:style>
  <w:style w:type="paragraph" w:styleId="ListBullet">
    <w:name w:val="List Bullet"/>
    <w:basedOn w:val="Normal"/>
    <w:uiPriority w:val="99"/>
    <w:unhideWhenUsed/>
    <w:rsid w:val="00F63BDD"/>
    <w:pPr>
      <w:numPr>
        <w:numId w:val="4"/>
      </w:numPr>
      <w:contextualSpacing/>
    </w:pPr>
  </w:style>
  <w:style w:type="paragraph" w:styleId="ListNumber">
    <w:name w:val="List Number"/>
    <w:basedOn w:val="Normal"/>
    <w:uiPriority w:val="99"/>
    <w:unhideWhenUsed/>
    <w:rsid w:val="00F63BDD"/>
    <w:pPr>
      <w:numPr>
        <w:numId w:val="5"/>
      </w:numPr>
      <w:contextualSpacing/>
    </w:pPr>
  </w:style>
  <w:style w:type="paragraph" w:customStyle="1" w:styleId="msonormal0">
    <w:name w:val="msonormal"/>
    <w:basedOn w:val="Normal"/>
    <w:rsid w:val="00A35AB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Justification">
    <w:name w:val="Justification"/>
    <w:basedOn w:val="NotesonQuestionSource"/>
    <w:link w:val="JustificationChar"/>
    <w:qFormat/>
    <w:rsid w:val="00A35AB6"/>
    <w:rPr>
      <w:color w:val="1F497D" w:themeColor="text2"/>
    </w:rPr>
  </w:style>
  <w:style w:type="paragraph" w:customStyle="1" w:styleId="Changes">
    <w:name w:val="Changes"/>
    <w:basedOn w:val="NotesonQuestionSource"/>
    <w:link w:val="ChangesChar"/>
    <w:qFormat/>
    <w:rsid w:val="00A35AB6"/>
    <w:rPr>
      <w:color w:val="4BACC6" w:themeColor="accent5"/>
    </w:rPr>
  </w:style>
  <w:style w:type="character" w:customStyle="1" w:styleId="JustificationChar">
    <w:name w:val="Justification Char"/>
    <w:basedOn w:val="NotesonQuestionSourceChar"/>
    <w:link w:val="Justification"/>
    <w:rsid w:val="00A35AB6"/>
    <w:rPr>
      <w:rFonts w:eastAsiaTheme="minorHAnsi"/>
      <w:i/>
      <w:iCs/>
      <w:color w:val="1F497D" w:themeColor="text2"/>
      <w:sz w:val="18"/>
      <w:szCs w:val="18"/>
    </w:rPr>
  </w:style>
  <w:style w:type="character" w:customStyle="1" w:styleId="ChangesChar">
    <w:name w:val="Changes Char"/>
    <w:basedOn w:val="NotesonQuestionSourceChar"/>
    <w:link w:val="Changes"/>
    <w:rsid w:val="00A35AB6"/>
    <w:rPr>
      <w:rFonts w:eastAsiaTheme="minorHAnsi" w:cs="Arial"/>
      <w:i/>
      <w:iCs/>
      <w:color w:val="4BACC6" w:themeColor="accent5"/>
      <w:sz w:val="18"/>
      <w:szCs w:val="18"/>
    </w:rPr>
  </w:style>
  <w:style w:type="paragraph" w:customStyle="1" w:styleId="TableParagraph">
    <w:name w:val="Table Paragraph"/>
    <w:basedOn w:val="Normal"/>
    <w:uiPriority w:val="1"/>
    <w:qFormat/>
    <w:rsid w:val="00A35AB6"/>
    <w:pPr>
      <w:widowControl w:val="0"/>
      <w:autoSpaceDE w:val="0"/>
      <w:autoSpaceDN w:val="0"/>
      <w:spacing w:before="101" w:after="0" w:line="240" w:lineRule="auto"/>
    </w:pPr>
    <w:rPr>
      <w:rFonts w:ascii="Whitney Medium" w:eastAsia="Whitney Medium" w:hAnsi="Whitney Medium" w:cs="Whitney Medium"/>
      <w:lang w:val="en-US" w:bidi="en-US"/>
    </w:rPr>
  </w:style>
  <w:style w:type="paragraph" w:customStyle="1" w:styleId="N-Source">
    <w:name w:val="N - Source"/>
    <w:basedOn w:val="Normal"/>
    <w:link w:val="N-SourceChar"/>
    <w:qFormat/>
    <w:rsid w:val="00A35AB6"/>
    <w:pPr>
      <w:spacing w:after="0" w:line="259" w:lineRule="auto"/>
    </w:pPr>
    <w:rPr>
      <w:rFonts w:eastAsiaTheme="minorHAnsi"/>
      <w:i/>
      <w:iCs/>
      <w:color w:val="00B050"/>
      <w:sz w:val="18"/>
      <w:szCs w:val="18"/>
    </w:rPr>
  </w:style>
  <w:style w:type="character" w:customStyle="1" w:styleId="N-SourceChar">
    <w:name w:val="N - Source Char"/>
    <w:basedOn w:val="DefaultParagraphFont"/>
    <w:link w:val="N-Source"/>
    <w:rsid w:val="00A35AB6"/>
    <w:rPr>
      <w:rFonts w:eastAsiaTheme="minorHAnsi"/>
      <w:i/>
      <w:iCs/>
      <w:color w:val="00B050"/>
      <w:sz w:val="18"/>
      <w:szCs w:val="18"/>
    </w:rPr>
  </w:style>
  <w:style w:type="paragraph" w:customStyle="1" w:styleId="N-TestingNote">
    <w:name w:val="N - Testing Note"/>
    <w:basedOn w:val="N-Source"/>
    <w:link w:val="N-TestingNoteChar"/>
    <w:qFormat/>
    <w:rsid w:val="00A35AB6"/>
    <w:rPr>
      <w:color w:val="C0504D" w:themeColor="accent2"/>
    </w:rPr>
  </w:style>
  <w:style w:type="paragraph" w:customStyle="1" w:styleId="N-Analysis">
    <w:name w:val="N - Analysis"/>
    <w:basedOn w:val="N-Source"/>
    <w:link w:val="N-AnalysisChar"/>
    <w:qFormat/>
    <w:rsid w:val="00A35AB6"/>
    <w:rPr>
      <w:color w:val="8064A2" w:themeColor="accent4"/>
    </w:rPr>
  </w:style>
  <w:style w:type="character" w:customStyle="1" w:styleId="N-TestingNoteChar">
    <w:name w:val="N - Testing Note Char"/>
    <w:basedOn w:val="N-SourceChar"/>
    <w:link w:val="N-TestingNote"/>
    <w:rsid w:val="00A35AB6"/>
    <w:rPr>
      <w:rFonts w:eastAsiaTheme="minorHAnsi"/>
      <w:i/>
      <w:iCs/>
      <w:color w:val="C0504D" w:themeColor="accent2"/>
      <w:sz w:val="18"/>
      <w:szCs w:val="18"/>
    </w:rPr>
  </w:style>
  <w:style w:type="character" w:customStyle="1" w:styleId="N-AnalysisChar">
    <w:name w:val="N - Analysis Char"/>
    <w:basedOn w:val="N-SourceChar"/>
    <w:link w:val="N-Analysis"/>
    <w:rsid w:val="00A35AB6"/>
    <w:rPr>
      <w:rFonts w:eastAsiaTheme="minorHAnsi"/>
      <w:i/>
      <w:iCs/>
      <w:color w:val="8064A2" w:themeColor="accent4"/>
      <w:sz w:val="18"/>
      <w:szCs w:val="18"/>
    </w:rPr>
  </w:style>
  <w:style w:type="paragraph" w:customStyle="1" w:styleId="N-Justification">
    <w:name w:val="N - Justification"/>
    <w:basedOn w:val="N-Source"/>
    <w:link w:val="N-JustificationChar"/>
    <w:qFormat/>
    <w:rsid w:val="00A35AB6"/>
    <w:rPr>
      <w:color w:val="1F497D" w:themeColor="text2"/>
    </w:rPr>
  </w:style>
  <w:style w:type="paragraph" w:customStyle="1" w:styleId="N-Changes">
    <w:name w:val="N - Changes"/>
    <w:basedOn w:val="N-Source"/>
    <w:link w:val="N-ChangesChar"/>
    <w:qFormat/>
    <w:rsid w:val="00A35AB6"/>
    <w:rPr>
      <w:color w:val="4BACC6" w:themeColor="accent5"/>
    </w:rPr>
  </w:style>
  <w:style w:type="character" w:customStyle="1" w:styleId="N-JustificationChar">
    <w:name w:val="N - Justification Char"/>
    <w:basedOn w:val="N-SourceChar"/>
    <w:link w:val="N-Justification"/>
    <w:rsid w:val="00A35AB6"/>
    <w:rPr>
      <w:rFonts w:eastAsiaTheme="minorHAnsi"/>
      <w:i/>
      <w:iCs/>
      <w:color w:val="1F497D" w:themeColor="text2"/>
      <w:sz w:val="18"/>
      <w:szCs w:val="18"/>
    </w:rPr>
  </w:style>
  <w:style w:type="character" w:customStyle="1" w:styleId="N-ChangesChar">
    <w:name w:val="N - Changes Char"/>
    <w:basedOn w:val="N-SourceChar"/>
    <w:link w:val="N-Changes"/>
    <w:rsid w:val="00A35AB6"/>
    <w:rPr>
      <w:rFonts w:eastAsiaTheme="minorHAnsi"/>
      <w:i/>
      <w:iCs/>
      <w:color w:val="4BACC6" w:themeColor="accent5"/>
      <w:sz w:val="18"/>
      <w:szCs w:val="18"/>
    </w:rPr>
  </w:style>
  <w:style w:type="paragraph" w:styleId="List">
    <w:name w:val="List"/>
    <w:basedOn w:val="Normal"/>
    <w:uiPriority w:val="99"/>
    <w:unhideWhenUsed/>
    <w:rsid w:val="00132D96"/>
    <w:pPr>
      <w:ind w:left="283" w:hanging="283"/>
      <w:contextualSpacing/>
    </w:pPr>
  </w:style>
  <w:style w:type="character" w:customStyle="1" w:styleId="period">
    <w:name w:val="period"/>
    <w:basedOn w:val="DefaultParagraphFont"/>
    <w:rsid w:val="00A57DC4"/>
  </w:style>
  <w:style w:type="character" w:customStyle="1" w:styleId="cit">
    <w:name w:val="cit"/>
    <w:basedOn w:val="DefaultParagraphFont"/>
    <w:rsid w:val="00A57DC4"/>
  </w:style>
  <w:style w:type="character" w:customStyle="1" w:styleId="citation-doi">
    <w:name w:val="citation-doi"/>
    <w:basedOn w:val="DefaultParagraphFont"/>
    <w:rsid w:val="00A57DC4"/>
  </w:style>
  <w:style w:type="character" w:customStyle="1" w:styleId="authors-list-item">
    <w:name w:val="authors-list-item"/>
    <w:basedOn w:val="DefaultParagraphFont"/>
    <w:rsid w:val="00A57DC4"/>
  </w:style>
  <w:style w:type="character" w:customStyle="1" w:styleId="author-sup-separator">
    <w:name w:val="author-sup-separator"/>
    <w:basedOn w:val="DefaultParagraphFont"/>
    <w:rsid w:val="00A57DC4"/>
  </w:style>
  <w:style w:type="character" w:customStyle="1" w:styleId="comma">
    <w:name w:val="comma"/>
    <w:basedOn w:val="DefaultParagraphFont"/>
    <w:rsid w:val="00A57DC4"/>
  </w:style>
  <w:style w:type="character" w:styleId="UnresolvedMention">
    <w:name w:val="Unresolved Mention"/>
    <w:basedOn w:val="DefaultParagraphFont"/>
    <w:uiPriority w:val="99"/>
    <w:semiHidden/>
    <w:unhideWhenUsed/>
    <w:rsid w:val="00184361"/>
    <w:rPr>
      <w:color w:val="605E5C"/>
      <w:shd w:val="clear" w:color="auto" w:fill="E1DFDD"/>
    </w:rPr>
  </w:style>
  <w:style w:type="paragraph" w:styleId="ListNumber3">
    <w:name w:val="List Number 3"/>
    <w:aliases w:val="List Number 3_answer,ad_sub"/>
    <w:basedOn w:val="Normal"/>
    <w:uiPriority w:val="99"/>
    <w:semiHidden/>
    <w:unhideWhenUsed/>
    <w:rsid w:val="002034F9"/>
    <w:pPr>
      <w:numPr>
        <w:numId w:val="6"/>
      </w:numPr>
      <w:spacing w:after="0" w:line="320" w:lineRule="atLeast"/>
      <w:contextualSpacing/>
    </w:pPr>
    <w:rPr>
      <w:rFonts w:eastAsia="Times New Roman" w:cs="Times New Roman"/>
      <w:sz w:val="24"/>
      <w:szCs w:val="20"/>
      <w:lang w:val="en-US"/>
    </w:rPr>
  </w:style>
  <w:style w:type="paragraph" w:customStyle="1" w:styleId="1ListNumberQuestion2">
    <w:name w:val="1 List Number_Question2"/>
    <w:basedOn w:val="Normal"/>
    <w:qFormat/>
    <w:rsid w:val="002034F9"/>
    <w:pPr>
      <w:keepNext/>
      <w:keepLines/>
      <w:numPr>
        <w:numId w:val="7"/>
      </w:numPr>
      <w:spacing w:before="240" w:line="240" w:lineRule="auto"/>
      <w:ind w:left="540" w:hanging="626"/>
    </w:pPr>
    <w:rPr>
      <w:rFonts w:eastAsia="Times New Roman"/>
      <w:sz w:val="24"/>
      <w:szCs w:val="20"/>
      <w:lang w:val="en-US"/>
    </w:rPr>
  </w:style>
  <w:style w:type="paragraph" w:customStyle="1" w:styleId="NoteforAnalysis">
    <w:name w:val="Note for Analysis"/>
    <w:basedOn w:val="NotesonQuestionSource"/>
    <w:link w:val="NoteforAnalysisChar"/>
    <w:qFormat/>
    <w:rsid w:val="002034F9"/>
    <w:rPr>
      <w:color w:val="8064A2" w:themeColor="accent4"/>
    </w:rPr>
  </w:style>
  <w:style w:type="character" w:customStyle="1" w:styleId="NoteforAnalysisChar">
    <w:name w:val="Note for Analysis Char"/>
    <w:basedOn w:val="NotesonQuestionSourceChar"/>
    <w:link w:val="NoteforAnalysis"/>
    <w:rsid w:val="002034F9"/>
    <w:rPr>
      <w:rFonts w:eastAsiaTheme="minorHAnsi"/>
      <w:i/>
      <w:iCs/>
      <w:color w:val="8064A2" w:themeColor="accent4"/>
      <w:sz w:val="18"/>
      <w:szCs w:val="18"/>
    </w:rPr>
  </w:style>
  <w:style w:type="character" w:customStyle="1" w:styleId="CognitiveTestingNoteChar">
    <w:name w:val="Cognitive Testing Note Char"/>
    <w:basedOn w:val="NotesonQuestionSourceChar"/>
    <w:link w:val="CognitiveTestingNote"/>
    <w:locked/>
    <w:rsid w:val="002034F9"/>
    <w:rPr>
      <w:rFonts w:eastAsiaTheme="minorHAnsi"/>
      <w:i/>
      <w:iCs/>
      <w:color w:val="C0504D" w:themeColor="accent2"/>
      <w:sz w:val="18"/>
      <w:szCs w:val="18"/>
    </w:rPr>
  </w:style>
  <w:style w:type="paragraph" w:customStyle="1" w:styleId="CognitiveTestingNote">
    <w:name w:val="Cognitive Testing Note"/>
    <w:basedOn w:val="NotesonQuestionSource"/>
    <w:link w:val="CognitiveTestingNoteChar"/>
    <w:qFormat/>
    <w:rsid w:val="002034F9"/>
    <w:pPr>
      <w:spacing w:line="256" w:lineRule="auto"/>
    </w:pPr>
    <w:rPr>
      <w:color w:val="C0504D" w:themeColor="accent2"/>
    </w:rPr>
  </w:style>
  <w:style w:type="character" w:customStyle="1" w:styleId="normaltextrun">
    <w:name w:val="normaltextrun"/>
    <w:basedOn w:val="DefaultParagraphFont"/>
    <w:rsid w:val="004944F2"/>
  </w:style>
  <w:style w:type="character" w:customStyle="1" w:styleId="eop">
    <w:name w:val="eop"/>
    <w:basedOn w:val="DefaultParagraphFont"/>
    <w:rsid w:val="004944F2"/>
  </w:style>
  <w:style w:type="paragraph" w:customStyle="1" w:styleId="xmsonormal">
    <w:name w:val="x_msonormal"/>
    <w:basedOn w:val="Normal"/>
    <w:rsid w:val="00D57BCC"/>
    <w:pPr>
      <w:spacing w:after="0" w:line="240" w:lineRule="auto"/>
    </w:pPr>
    <w:rPr>
      <w:rFonts w:ascii="Calibri" w:eastAsiaTheme="minorHAnsi" w:hAnsi="Calibri" w:cs="Calibri"/>
      <w:lang w:eastAsia="en-NZ"/>
    </w:rPr>
  </w:style>
  <w:style w:type="table" w:customStyle="1" w:styleId="IpsosTable3White">
    <w:name w:val="Ipsos Table 3 White"/>
    <w:basedOn w:val="TableNormal"/>
    <w:uiPriority w:val="99"/>
    <w:rsid w:val="003F0A76"/>
    <w:pPr>
      <w:spacing w:after="0" w:line="240" w:lineRule="auto"/>
      <w:contextualSpacing/>
    </w:pPr>
    <w:rPr>
      <w:rFonts w:ascii="Arial" w:hAnsi="Arial"/>
      <w:sz w:val="20"/>
      <w:lang w:val="en-GB" w:eastAsia="en-GB"/>
    </w:rPr>
    <w:tblPr>
      <w:tblStyleRowBandSize w:val="1"/>
      <w:tblStyleColBandSize w:val="1"/>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wordWrap/>
        <w:jc w:val="center"/>
      </w:pPr>
      <w:rPr>
        <w:rFonts w:ascii="Arial" w:hAnsi="Arial"/>
        <w:b w:val="0"/>
        <w:i w:val="0"/>
        <w:caps w:val="0"/>
        <w:smallCaps w:val="0"/>
        <w:strike w:val="0"/>
        <w:dstrike w:val="0"/>
        <w:vanish w:val="0"/>
        <w:color w:val="FFFFFF" w:themeColor="background1"/>
        <w:sz w:val="20"/>
        <w:vertAlign w:val="baseline"/>
      </w:rPr>
      <w:tblPr/>
      <w:tcPr>
        <w:tcBorders>
          <w:top w:val="nil"/>
          <w:left w:val="nil"/>
          <w:bottom w:val="nil"/>
          <w:right w:val="single" w:sz="4" w:space="0" w:color="FFFFFF" w:themeColor="background1"/>
          <w:insideH w:val="nil"/>
          <w:insideV w:val="nil"/>
          <w:tl2br w:val="nil"/>
          <w:tr2bl w:val="nil"/>
        </w:tcBorders>
        <w:shd w:val="clear" w:color="auto" w:fill="2F499B"/>
      </w:tcPr>
    </w:tblStylePr>
    <w:tblStylePr w:type="firstCol">
      <w:pPr>
        <w:wordWrap/>
        <w:jc w:val="left"/>
      </w:pPr>
      <w:rPr>
        <w:rFonts w:ascii="Arial" w:hAnsi="Arial"/>
        <w:color w:val="FFFFFF" w:themeColor="background1"/>
        <w:sz w:val="22"/>
      </w:rPr>
      <w:tblPr/>
      <w:tcPr>
        <w:shd w:val="clear" w:color="auto" w:fill="009D9C"/>
      </w:tcPr>
    </w:tblStylePr>
    <w:tblStylePr w:type="band1Vert">
      <w:pPr>
        <w:wordWrap/>
        <w:jc w:val="center"/>
      </w:pPr>
      <w:rPr>
        <w:sz w:val="20"/>
      </w:rPr>
    </w:tblStylePr>
    <w:tblStylePr w:type="band2Vert">
      <w:pPr>
        <w:wordWrap/>
        <w:jc w:val="center"/>
      </w:pPr>
      <w:rPr>
        <w:sz w:val="20"/>
      </w:rPr>
      <w:tblPr/>
      <w:trPr>
        <w:cantSplit/>
      </w:tr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E7F5F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2621">
      <w:bodyDiv w:val="1"/>
      <w:marLeft w:val="0"/>
      <w:marRight w:val="0"/>
      <w:marTop w:val="0"/>
      <w:marBottom w:val="0"/>
      <w:divBdr>
        <w:top w:val="none" w:sz="0" w:space="0" w:color="auto"/>
        <w:left w:val="none" w:sz="0" w:space="0" w:color="auto"/>
        <w:bottom w:val="none" w:sz="0" w:space="0" w:color="auto"/>
        <w:right w:val="none" w:sz="0" w:space="0" w:color="auto"/>
      </w:divBdr>
    </w:div>
    <w:div w:id="119039305">
      <w:bodyDiv w:val="1"/>
      <w:marLeft w:val="0"/>
      <w:marRight w:val="0"/>
      <w:marTop w:val="0"/>
      <w:marBottom w:val="0"/>
      <w:divBdr>
        <w:top w:val="none" w:sz="0" w:space="0" w:color="auto"/>
        <w:left w:val="none" w:sz="0" w:space="0" w:color="auto"/>
        <w:bottom w:val="none" w:sz="0" w:space="0" w:color="auto"/>
        <w:right w:val="none" w:sz="0" w:space="0" w:color="auto"/>
      </w:divBdr>
    </w:div>
    <w:div w:id="162626693">
      <w:bodyDiv w:val="1"/>
      <w:marLeft w:val="0"/>
      <w:marRight w:val="0"/>
      <w:marTop w:val="0"/>
      <w:marBottom w:val="0"/>
      <w:divBdr>
        <w:top w:val="none" w:sz="0" w:space="0" w:color="auto"/>
        <w:left w:val="none" w:sz="0" w:space="0" w:color="auto"/>
        <w:bottom w:val="none" w:sz="0" w:space="0" w:color="auto"/>
        <w:right w:val="none" w:sz="0" w:space="0" w:color="auto"/>
      </w:divBdr>
    </w:div>
    <w:div w:id="163670028">
      <w:bodyDiv w:val="1"/>
      <w:marLeft w:val="0"/>
      <w:marRight w:val="0"/>
      <w:marTop w:val="0"/>
      <w:marBottom w:val="0"/>
      <w:divBdr>
        <w:top w:val="none" w:sz="0" w:space="0" w:color="auto"/>
        <w:left w:val="none" w:sz="0" w:space="0" w:color="auto"/>
        <w:bottom w:val="none" w:sz="0" w:space="0" w:color="auto"/>
        <w:right w:val="none" w:sz="0" w:space="0" w:color="auto"/>
      </w:divBdr>
    </w:div>
    <w:div w:id="163936773">
      <w:bodyDiv w:val="1"/>
      <w:marLeft w:val="0"/>
      <w:marRight w:val="0"/>
      <w:marTop w:val="0"/>
      <w:marBottom w:val="0"/>
      <w:divBdr>
        <w:top w:val="none" w:sz="0" w:space="0" w:color="auto"/>
        <w:left w:val="none" w:sz="0" w:space="0" w:color="auto"/>
        <w:bottom w:val="none" w:sz="0" w:space="0" w:color="auto"/>
        <w:right w:val="none" w:sz="0" w:space="0" w:color="auto"/>
      </w:divBdr>
    </w:div>
    <w:div w:id="187110580">
      <w:bodyDiv w:val="1"/>
      <w:marLeft w:val="0"/>
      <w:marRight w:val="0"/>
      <w:marTop w:val="0"/>
      <w:marBottom w:val="0"/>
      <w:divBdr>
        <w:top w:val="none" w:sz="0" w:space="0" w:color="auto"/>
        <w:left w:val="none" w:sz="0" w:space="0" w:color="auto"/>
        <w:bottom w:val="none" w:sz="0" w:space="0" w:color="auto"/>
        <w:right w:val="none" w:sz="0" w:space="0" w:color="auto"/>
      </w:divBdr>
    </w:div>
    <w:div w:id="193616766">
      <w:bodyDiv w:val="1"/>
      <w:marLeft w:val="0"/>
      <w:marRight w:val="0"/>
      <w:marTop w:val="0"/>
      <w:marBottom w:val="0"/>
      <w:divBdr>
        <w:top w:val="none" w:sz="0" w:space="0" w:color="auto"/>
        <w:left w:val="none" w:sz="0" w:space="0" w:color="auto"/>
        <w:bottom w:val="none" w:sz="0" w:space="0" w:color="auto"/>
        <w:right w:val="none" w:sz="0" w:space="0" w:color="auto"/>
      </w:divBdr>
    </w:div>
    <w:div w:id="209653313">
      <w:bodyDiv w:val="1"/>
      <w:marLeft w:val="0"/>
      <w:marRight w:val="0"/>
      <w:marTop w:val="0"/>
      <w:marBottom w:val="0"/>
      <w:divBdr>
        <w:top w:val="none" w:sz="0" w:space="0" w:color="auto"/>
        <w:left w:val="none" w:sz="0" w:space="0" w:color="auto"/>
        <w:bottom w:val="none" w:sz="0" w:space="0" w:color="auto"/>
        <w:right w:val="none" w:sz="0" w:space="0" w:color="auto"/>
      </w:divBdr>
    </w:div>
    <w:div w:id="224682268">
      <w:bodyDiv w:val="1"/>
      <w:marLeft w:val="0"/>
      <w:marRight w:val="0"/>
      <w:marTop w:val="0"/>
      <w:marBottom w:val="0"/>
      <w:divBdr>
        <w:top w:val="none" w:sz="0" w:space="0" w:color="auto"/>
        <w:left w:val="none" w:sz="0" w:space="0" w:color="auto"/>
        <w:bottom w:val="none" w:sz="0" w:space="0" w:color="auto"/>
        <w:right w:val="none" w:sz="0" w:space="0" w:color="auto"/>
      </w:divBdr>
    </w:div>
    <w:div w:id="268398463">
      <w:bodyDiv w:val="1"/>
      <w:marLeft w:val="0"/>
      <w:marRight w:val="0"/>
      <w:marTop w:val="0"/>
      <w:marBottom w:val="0"/>
      <w:divBdr>
        <w:top w:val="none" w:sz="0" w:space="0" w:color="auto"/>
        <w:left w:val="none" w:sz="0" w:space="0" w:color="auto"/>
        <w:bottom w:val="none" w:sz="0" w:space="0" w:color="auto"/>
        <w:right w:val="none" w:sz="0" w:space="0" w:color="auto"/>
      </w:divBdr>
    </w:div>
    <w:div w:id="460850415">
      <w:bodyDiv w:val="1"/>
      <w:marLeft w:val="0"/>
      <w:marRight w:val="0"/>
      <w:marTop w:val="0"/>
      <w:marBottom w:val="0"/>
      <w:divBdr>
        <w:top w:val="none" w:sz="0" w:space="0" w:color="auto"/>
        <w:left w:val="none" w:sz="0" w:space="0" w:color="auto"/>
        <w:bottom w:val="none" w:sz="0" w:space="0" w:color="auto"/>
        <w:right w:val="none" w:sz="0" w:space="0" w:color="auto"/>
      </w:divBdr>
    </w:div>
    <w:div w:id="481586447">
      <w:bodyDiv w:val="1"/>
      <w:marLeft w:val="0"/>
      <w:marRight w:val="0"/>
      <w:marTop w:val="0"/>
      <w:marBottom w:val="0"/>
      <w:divBdr>
        <w:top w:val="none" w:sz="0" w:space="0" w:color="auto"/>
        <w:left w:val="none" w:sz="0" w:space="0" w:color="auto"/>
        <w:bottom w:val="none" w:sz="0" w:space="0" w:color="auto"/>
        <w:right w:val="none" w:sz="0" w:space="0" w:color="auto"/>
      </w:divBdr>
      <w:divsChild>
        <w:div w:id="804814122">
          <w:marLeft w:val="0"/>
          <w:marRight w:val="0"/>
          <w:marTop w:val="0"/>
          <w:marBottom w:val="0"/>
          <w:divBdr>
            <w:top w:val="none" w:sz="0" w:space="0" w:color="auto"/>
            <w:left w:val="none" w:sz="0" w:space="0" w:color="auto"/>
            <w:bottom w:val="none" w:sz="0" w:space="0" w:color="auto"/>
            <w:right w:val="none" w:sz="0" w:space="0" w:color="auto"/>
          </w:divBdr>
          <w:divsChild>
            <w:div w:id="1774549946">
              <w:marLeft w:val="0"/>
              <w:marRight w:val="0"/>
              <w:marTop w:val="0"/>
              <w:marBottom w:val="0"/>
              <w:divBdr>
                <w:top w:val="none" w:sz="0" w:space="0" w:color="auto"/>
                <w:left w:val="none" w:sz="0" w:space="0" w:color="auto"/>
                <w:bottom w:val="none" w:sz="0" w:space="0" w:color="auto"/>
                <w:right w:val="none" w:sz="0" w:space="0" w:color="auto"/>
              </w:divBdr>
              <w:divsChild>
                <w:div w:id="1068653193">
                  <w:marLeft w:val="0"/>
                  <w:marRight w:val="0"/>
                  <w:marTop w:val="0"/>
                  <w:marBottom w:val="0"/>
                  <w:divBdr>
                    <w:top w:val="none" w:sz="0" w:space="0" w:color="auto"/>
                    <w:left w:val="none" w:sz="0" w:space="0" w:color="auto"/>
                    <w:bottom w:val="none" w:sz="0" w:space="0" w:color="auto"/>
                    <w:right w:val="none" w:sz="0" w:space="0" w:color="auto"/>
                  </w:divBdr>
                  <w:divsChild>
                    <w:div w:id="10545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3801">
          <w:marLeft w:val="0"/>
          <w:marRight w:val="0"/>
          <w:marTop w:val="0"/>
          <w:marBottom w:val="0"/>
          <w:divBdr>
            <w:top w:val="none" w:sz="0" w:space="0" w:color="auto"/>
            <w:left w:val="none" w:sz="0" w:space="0" w:color="auto"/>
            <w:bottom w:val="none" w:sz="0" w:space="0" w:color="auto"/>
            <w:right w:val="none" w:sz="0" w:space="0" w:color="auto"/>
          </w:divBdr>
          <w:divsChild>
            <w:div w:id="937562883">
              <w:marLeft w:val="0"/>
              <w:marRight w:val="0"/>
              <w:marTop w:val="0"/>
              <w:marBottom w:val="0"/>
              <w:divBdr>
                <w:top w:val="none" w:sz="0" w:space="0" w:color="auto"/>
                <w:left w:val="none" w:sz="0" w:space="0" w:color="auto"/>
                <w:bottom w:val="none" w:sz="0" w:space="0" w:color="auto"/>
                <w:right w:val="none" w:sz="0" w:space="0" w:color="auto"/>
              </w:divBdr>
              <w:divsChild>
                <w:div w:id="1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5449">
      <w:bodyDiv w:val="1"/>
      <w:marLeft w:val="0"/>
      <w:marRight w:val="0"/>
      <w:marTop w:val="0"/>
      <w:marBottom w:val="0"/>
      <w:divBdr>
        <w:top w:val="none" w:sz="0" w:space="0" w:color="auto"/>
        <w:left w:val="none" w:sz="0" w:space="0" w:color="auto"/>
        <w:bottom w:val="none" w:sz="0" w:space="0" w:color="auto"/>
        <w:right w:val="none" w:sz="0" w:space="0" w:color="auto"/>
      </w:divBdr>
    </w:div>
    <w:div w:id="614486850">
      <w:bodyDiv w:val="1"/>
      <w:marLeft w:val="0"/>
      <w:marRight w:val="0"/>
      <w:marTop w:val="0"/>
      <w:marBottom w:val="0"/>
      <w:divBdr>
        <w:top w:val="none" w:sz="0" w:space="0" w:color="auto"/>
        <w:left w:val="none" w:sz="0" w:space="0" w:color="auto"/>
        <w:bottom w:val="none" w:sz="0" w:space="0" w:color="auto"/>
        <w:right w:val="none" w:sz="0" w:space="0" w:color="auto"/>
      </w:divBdr>
    </w:div>
    <w:div w:id="681467107">
      <w:bodyDiv w:val="1"/>
      <w:marLeft w:val="0"/>
      <w:marRight w:val="0"/>
      <w:marTop w:val="0"/>
      <w:marBottom w:val="0"/>
      <w:divBdr>
        <w:top w:val="none" w:sz="0" w:space="0" w:color="auto"/>
        <w:left w:val="none" w:sz="0" w:space="0" w:color="auto"/>
        <w:bottom w:val="none" w:sz="0" w:space="0" w:color="auto"/>
        <w:right w:val="none" w:sz="0" w:space="0" w:color="auto"/>
      </w:divBdr>
    </w:div>
    <w:div w:id="701051447">
      <w:bodyDiv w:val="1"/>
      <w:marLeft w:val="0"/>
      <w:marRight w:val="0"/>
      <w:marTop w:val="0"/>
      <w:marBottom w:val="0"/>
      <w:divBdr>
        <w:top w:val="none" w:sz="0" w:space="0" w:color="auto"/>
        <w:left w:val="none" w:sz="0" w:space="0" w:color="auto"/>
        <w:bottom w:val="none" w:sz="0" w:space="0" w:color="auto"/>
        <w:right w:val="none" w:sz="0" w:space="0" w:color="auto"/>
      </w:divBdr>
    </w:div>
    <w:div w:id="777605905">
      <w:bodyDiv w:val="1"/>
      <w:marLeft w:val="0"/>
      <w:marRight w:val="0"/>
      <w:marTop w:val="0"/>
      <w:marBottom w:val="0"/>
      <w:divBdr>
        <w:top w:val="none" w:sz="0" w:space="0" w:color="auto"/>
        <w:left w:val="none" w:sz="0" w:space="0" w:color="auto"/>
        <w:bottom w:val="none" w:sz="0" w:space="0" w:color="auto"/>
        <w:right w:val="none" w:sz="0" w:space="0" w:color="auto"/>
      </w:divBdr>
    </w:div>
    <w:div w:id="806581064">
      <w:bodyDiv w:val="1"/>
      <w:marLeft w:val="0"/>
      <w:marRight w:val="0"/>
      <w:marTop w:val="0"/>
      <w:marBottom w:val="0"/>
      <w:divBdr>
        <w:top w:val="none" w:sz="0" w:space="0" w:color="auto"/>
        <w:left w:val="none" w:sz="0" w:space="0" w:color="auto"/>
        <w:bottom w:val="none" w:sz="0" w:space="0" w:color="auto"/>
        <w:right w:val="none" w:sz="0" w:space="0" w:color="auto"/>
      </w:divBdr>
    </w:div>
    <w:div w:id="839347433">
      <w:bodyDiv w:val="1"/>
      <w:marLeft w:val="0"/>
      <w:marRight w:val="0"/>
      <w:marTop w:val="0"/>
      <w:marBottom w:val="0"/>
      <w:divBdr>
        <w:top w:val="none" w:sz="0" w:space="0" w:color="auto"/>
        <w:left w:val="none" w:sz="0" w:space="0" w:color="auto"/>
        <w:bottom w:val="none" w:sz="0" w:space="0" w:color="auto"/>
        <w:right w:val="none" w:sz="0" w:space="0" w:color="auto"/>
      </w:divBdr>
    </w:div>
    <w:div w:id="864827983">
      <w:bodyDiv w:val="1"/>
      <w:marLeft w:val="0"/>
      <w:marRight w:val="0"/>
      <w:marTop w:val="0"/>
      <w:marBottom w:val="0"/>
      <w:divBdr>
        <w:top w:val="none" w:sz="0" w:space="0" w:color="auto"/>
        <w:left w:val="none" w:sz="0" w:space="0" w:color="auto"/>
        <w:bottom w:val="none" w:sz="0" w:space="0" w:color="auto"/>
        <w:right w:val="none" w:sz="0" w:space="0" w:color="auto"/>
      </w:divBdr>
    </w:div>
    <w:div w:id="921136790">
      <w:bodyDiv w:val="1"/>
      <w:marLeft w:val="0"/>
      <w:marRight w:val="0"/>
      <w:marTop w:val="0"/>
      <w:marBottom w:val="0"/>
      <w:divBdr>
        <w:top w:val="none" w:sz="0" w:space="0" w:color="auto"/>
        <w:left w:val="none" w:sz="0" w:space="0" w:color="auto"/>
        <w:bottom w:val="none" w:sz="0" w:space="0" w:color="auto"/>
        <w:right w:val="none" w:sz="0" w:space="0" w:color="auto"/>
      </w:divBdr>
      <w:divsChild>
        <w:div w:id="463432192">
          <w:marLeft w:val="0"/>
          <w:marRight w:val="0"/>
          <w:marTop w:val="0"/>
          <w:marBottom w:val="0"/>
          <w:divBdr>
            <w:top w:val="none" w:sz="0" w:space="0" w:color="auto"/>
            <w:left w:val="none" w:sz="0" w:space="0" w:color="auto"/>
            <w:bottom w:val="none" w:sz="0" w:space="0" w:color="auto"/>
            <w:right w:val="none" w:sz="0" w:space="0" w:color="auto"/>
          </w:divBdr>
          <w:divsChild>
            <w:div w:id="905262178">
              <w:marLeft w:val="0"/>
              <w:marRight w:val="0"/>
              <w:marTop w:val="0"/>
              <w:marBottom w:val="0"/>
              <w:divBdr>
                <w:top w:val="none" w:sz="0" w:space="0" w:color="auto"/>
                <w:left w:val="none" w:sz="0" w:space="0" w:color="auto"/>
                <w:bottom w:val="none" w:sz="0" w:space="0" w:color="auto"/>
                <w:right w:val="none" w:sz="0" w:space="0" w:color="auto"/>
              </w:divBdr>
              <w:divsChild>
                <w:div w:id="2144929630">
                  <w:marLeft w:val="0"/>
                  <w:marRight w:val="0"/>
                  <w:marTop w:val="0"/>
                  <w:marBottom w:val="0"/>
                  <w:divBdr>
                    <w:top w:val="none" w:sz="0" w:space="0" w:color="auto"/>
                    <w:left w:val="none" w:sz="0" w:space="0" w:color="auto"/>
                    <w:bottom w:val="none" w:sz="0" w:space="0" w:color="auto"/>
                    <w:right w:val="none" w:sz="0" w:space="0" w:color="auto"/>
                  </w:divBdr>
                  <w:divsChild>
                    <w:div w:id="401879534">
                      <w:marLeft w:val="0"/>
                      <w:marRight w:val="0"/>
                      <w:marTop w:val="0"/>
                      <w:marBottom w:val="0"/>
                      <w:divBdr>
                        <w:top w:val="none" w:sz="0" w:space="0" w:color="auto"/>
                        <w:left w:val="none" w:sz="0" w:space="0" w:color="auto"/>
                        <w:bottom w:val="none" w:sz="0" w:space="0" w:color="auto"/>
                        <w:right w:val="none" w:sz="0" w:space="0" w:color="auto"/>
                      </w:divBdr>
                      <w:divsChild>
                        <w:div w:id="1917858790">
                          <w:marLeft w:val="-300"/>
                          <w:marRight w:val="0"/>
                          <w:marTop w:val="0"/>
                          <w:marBottom w:val="0"/>
                          <w:divBdr>
                            <w:top w:val="none" w:sz="0" w:space="0" w:color="auto"/>
                            <w:left w:val="none" w:sz="0" w:space="0" w:color="auto"/>
                            <w:bottom w:val="none" w:sz="0" w:space="0" w:color="auto"/>
                            <w:right w:val="none" w:sz="0" w:space="0" w:color="auto"/>
                          </w:divBdr>
                          <w:divsChild>
                            <w:div w:id="768162563">
                              <w:marLeft w:val="0"/>
                              <w:marRight w:val="0"/>
                              <w:marTop w:val="0"/>
                              <w:marBottom w:val="0"/>
                              <w:divBdr>
                                <w:top w:val="none" w:sz="0" w:space="0" w:color="auto"/>
                                <w:left w:val="none" w:sz="0" w:space="0" w:color="auto"/>
                                <w:bottom w:val="none" w:sz="0" w:space="0" w:color="auto"/>
                                <w:right w:val="none" w:sz="0" w:space="0" w:color="auto"/>
                              </w:divBdr>
                              <w:divsChild>
                                <w:div w:id="16066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28631">
      <w:bodyDiv w:val="1"/>
      <w:marLeft w:val="0"/>
      <w:marRight w:val="0"/>
      <w:marTop w:val="0"/>
      <w:marBottom w:val="0"/>
      <w:divBdr>
        <w:top w:val="none" w:sz="0" w:space="0" w:color="auto"/>
        <w:left w:val="none" w:sz="0" w:space="0" w:color="auto"/>
        <w:bottom w:val="none" w:sz="0" w:space="0" w:color="auto"/>
        <w:right w:val="none" w:sz="0" w:space="0" w:color="auto"/>
      </w:divBdr>
    </w:div>
    <w:div w:id="1042049736">
      <w:bodyDiv w:val="1"/>
      <w:marLeft w:val="0"/>
      <w:marRight w:val="0"/>
      <w:marTop w:val="0"/>
      <w:marBottom w:val="0"/>
      <w:divBdr>
        <w:top w:val="none" w:sz="0" w:space="0" w:color="auto"/>
        <w:left w:val="none" w:sz="0" w:space="0" w:color="auto"/>
        <w:bottom w:val="none" w:sz="0" w:space="0" w:color="auto"/>
        <w:right w:val="none" w:sz="0" w:space="0" w:color="auto"/>
      </w:divBdr>
    </w:div>
    <w:div w:id="1120564420">
      <w:bodyDiv w:val="1"/>
      <w:marLeft w:val="0"/>
      <w:marRight w:val="0"/>
      <w:marTop w:val="0"/>
      <w:marBottom w:val="0"/>
      <w:divBdr>
        <w:top w:val="none" w:sz="0" w:space="0" w:color="auto"/>
        <w:left w:val="none" w:sz="0" w:space="0" w:color="auto"/>
        <w:bottom w:val="none" w:sz="0" w:space="0" w:color="auto"/>
        <w:right w:val="none" w:sz="0" w:space="0" w:color="auto"/>
      </w:divBdr>
      <w:divsChild>
        <w:div w:id="1891111959">
          <w:marLeft w:val="0"/>
          <w:marRight w:val="0"/>
          <w:marTop w:val="0"/>
          <w:marBottom w:val="0"/>
          <w:divBdr>
            <w:top w:val="none" w:sz="0" w:space="0" w:color="auto"/>
            <w:left w:val="none" w:sz="0" w:space="0" w:color="auto"/>
            <w:bottom w:val="none" w:sz="0" w:space="0" w:color="auto"/>
            <w:right w:val="none" w:sz="0" w:space="0" w:color="auto"/>
          </w:divBdr>
          <w:divsChild>
            <w:div w:id="1901094578">
              <w:marLeft w:val="0"/>
              <w:marRight w:val="0"/>
              <w:marTop w:val="0"/>
              <w:marBottom w:val="0"/>
              <w:divBdr>
                <w:top w:val="none" w:sz="0" w:space="0" w:color="auto"/>
                <w:left w:val="none" w:sz="0" w:space="0" w:color="auto"/>
                <w:bottom w:val="none" w:sz="0" w:space="0" w:color="auto"/>
                <w:right w:val="none" w:sz="0" w:space="0" w:color="auto"/>
              </w:divBdr>
              <w:divsChild>
                <w:div w:id="1249080137">
                  <w:marLeft w:val="0"/>
                  <w:marRight w:val="0"/>
                  <w:marTop w:val="0"/>
                  <w:marBottom w:val="0"/>
                  <w:divBdr>
                    <w:top w:val="none" w:sz="0" w:space="0" w:color="auto"/>
                    <w:left w:val="none" w:sz="0" w:space="0" w:color="auto"/>
                    <w:bottom w:val="none" w:sz="0" w:space="0" w:color="auto"/>
                    <w:right w:val="none" w:sz="0" w:space="0" w:color="auto"/>
                  </w:divBdr>
                  <w:divsChild>
                    <w:div w:id="894126177">
                      <w:marLeft w:val="-300"/>
                      <w:marRight w:val="0"/>
                      <w:marTop w:val="0"/>
                      <w:marBottom w:val="0"/>
                      <w:divBdr>
                        <w:top w:val="none" w:sz="0" w:space="0" w:color="auto"/>
                        <w:left w:val="none" w:sz="0" w:space="0" w:color="auto"/>
                        <w:bottom w:val="none" w:sz="0" w:space="0" w:color="auto"/>
                        <w:right w:val="none" w:sz="0" w:space="0" w:color="auto"/>
                      </w:divBdr>
                      <w:divsChild>
                        <w:div w:id="9780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2861">
      <w:bodyDiv w:val="1"/>
      <w:marLeft w:val="0"/>
      <w:marRight w:val="0"/>
      <w:marTop w:val="0"/>
      <w:marBottom w:val="0"/>
      <w:divBdr>
        <w:top w:val="none" w:sz="0" w:space="0" w:color="auto"/>
        <w:left w:val="none" w:sz="0" w:space="0" w:color="auto"/>
        <w:bottom w:val="none" w:sz="0" w:space="0" w:color="auto"/>
        <w:right w:val="none" w:sz="0" w:space="0" w:color="auto"/>
      </w:divBdr>
      <w:divsChild>
        <w:div w:id="1589535489">
          <w:marLeft w:val="0"/>
          <w:marRight w:val="0"/>
          <w:marTop w:val="0"/>
          <w:marBottom w:val="0"/>
          <w:divBdr>
            <w:top w:val="none" w:sz="0" w:space="0" w:color="auto"/>
            <w:left w:val="none" w:sz="0" w:space="0" w:color="auto"/>
            <w:bottom w:val="none" w:sz="0" w:space="0" w:color="auto"/>
            <w:right w:val="none" w:sz="0" w:space="0" w:color="auto"/>
          </w:divBdr>
          <w:divsChild>
            <w:div w:id="1973517226">
              <w:marLeft w:val="0"/>
              <w:marRight w:val="0"/>
              <w:marTop w:val="0"/>
              <w:marBottom w:val="0"/>
              <w:divBdr>
                <w:top w:val="none" w:sz="0" w:space="0" w:color="auto"/>
                <w:left w:val="none" w:sz="0" w:space="0" w:color="auto"/>
                <w:bottom w:val="none" w:sz="0" w:space="0" w:color="auto"/>
                <w:right w:val="none" w:sz="0" w:space="0" w:color="auto"/>
              </w:divBdr>
              <w:divsChild>
                <w:div w:id="1019741614">
                  <w:marLeft w:val="-225"/>
                  <w:marRight w:val="-225"/>
                  <w:marTop w:val="0"/>
                  <w:marBottom w:val="0"/>
                  <w:divBdr>
                    <w:top w:val="none" w:sz="0" w:space="0" w:color="auto"/>
                    <w:left w:val="none" w:sz="0" w:space="0" w:color="auto"/>
                    <w:bottom w:val="none" w:sz="0" w:space="0" w:color="auto"/>
                    <w:right w:val="none" w:sz="0" w:space="0" w:color="auto"/>
                  </w:divBdr>
                  <w:divsChild>
                    <w:div w:id="302857175">
                      <w:marLeft w:val="0"/>
                      <w:marRight w:val="0"/>
                      <w:marTop w:val="0"/>
                      <w:marBottom w:val="0"/>
                      <w:divBdr>
                        <w:top w:val="none" w:sz="0" w:space="0" w:color="auto"/>
                        <w:left w:val="none" w:sz="0" w:space="0" w:color="auto"/>
                        <w:bottom w:val="none" w:sz="0" w:space="0" w:color="auto"/>
                        <w:right w:val="none" w:sz="0" w:space="0" w:color="auto"/>
                      </w:divBdr>
                      <w:divsChild>
                        <w:div w:id="1737433524">
                          <w:marLeft w:val="0"/>
                          <w:marRight w:val="0"/>
                          <w:marTop w:val="0"/>
                          <w:marBottom w:val="0"/>
                          <w:divBdr>
                            <w:top w:val="none" w:sz="0" w:space="0" w:color="auto"/>
                            <w:left w:val="none" w:sz="0" w:space="0" w:color="auto"/>
                            <w:bottom w:val="none" w:sz="0" w:space="0" w:color="auto"/>
                            <w:right w:val="none" w:sz="0" w:space="0" w:color="auto"/>
                          </w:divBdr>
                          <w:divsChild>
                            <w:div w:id="662470611">
                              <w:marLeft w:val="-225"/>
                              <w:marRight w:val="-225"/>
                              <w:marTop w:val="0"/>
                              <w:marBottom w:val="0"/>
                              <w:divBdr>
                                <w:top w:val="none" w:sz="0" w:space="0" w:color="auto"/>
                                <w:left w:val="none" w:sz="0" w:space="0" w:color="auto"/>
                                <w:bottom w:val="none" w:sz="0" w:space="0" w:color="auto"/>
                                <w:right w:val="none" w:sz="0" w:space="0" w:color="auto"/>
                              </w:divBdr>
                              <w:divsChild>
                                <w:div w:id="1793405850">
                                  <w:marLeft w:val="0"/>
                                  <w:marRight w:val="0"/>
                                  <w:marTop w:val="0"/>
                                  <w:marBottom w:val="0"/>
                                  <w:divBdr>
                                    <w:top w:val="none" w:sz="0" w:space="0" w:color="auto"/>
                                    <w:left w:val="none" w:sz="0" w:space="0" w:color="auto"/>
                                    <w:bottom w:val="none" w:sz="0" w:space="0" w:color="auto"/>
                                    <w:right w:val="none" w:sz="0" w:space="0" w:color="auto"/>
                                  </w:divBdr>
                                  <w:divsChild>
                                    <w:div w:id="1093861856">
                                      <w:marLeft w:val="0"/>
                                      <w:marRight w:val="0"/>
                                      <w:marTop w:val="0"/>
                                      <w:marBottom w:val="0"/>
                                      <w:divBdr>
                                        <w:top w:val="none" w:sz="0" w:space="0" w:color="auto"/>
                                        <w:left w:val="none" w:sz="0" w:space="0" w:color="auto"/>
                                        <w:bottom w:val="none" w:sz="0" w:space="0" w:color="auto"/>
                                        <w:right w:val="none" w:sz="0" w:space="0" w:color="auto"/>
                                      </w:divBdr>
                                      <w:divsChild>
                                        <w:div w:id="577982588">
                                          <w:marLeft w:val="0"/>
                                          <w:marRight w:val="0"/>
                                          <w:marTop w:val="0"/>
                                          <w:marBottom w:val="0"/>
                                          <w:divBdr>
                                            <w:top w:val="none" w:sz="0" w:space="0" w:color="auto"/>
                                            <w:left w:val="none" w:sz="0" w:space="0" w:color="auto"/>
                                            <w:bottom w:val="none" w:sz="0" w:space="0" w:color="auto"/>
                                            <w:right w:val="none" w:sz="0" w:space="0" w:color="auto"/>
                                          </w:divBdr>
                                          <w:divsChild>
                                            <w:div w:id="1467355768">
                                              <w:marLeft w:val="0"/>
                                              <w:marRight w:val="0"/>
                                              <w:marTop w:val="0"/>
                                              <w:marBottom w:val="0"/>
                                              <w:divBdr>
                                                <w:top w:val="none" w:sz="0" w:space="0" w:color="auto"/>
                                                <w:left w:val="none" w:sz="0" w:space="0" w:color="auto"/>
                                                <w:bottom w:val="none" w:sz="0" w:space="0" w:color="auto"/>
                                                <w:right w:val="none" w:sz="0" w:space="0" w:color="auto"/>
                                              </w:divBdr>
                                              <w:divsChild>
                                                <w:div w:id="1619726906">
                                                  <w:marLeft w:val="0"/>
                                                  <w:marRight w:val="0"/>
                                                  <w:marTop w:val="0"/>
                                                  <w:marBottom w:val="0"/>
                                                  <w:divBdr>
                                                    <w:top w:val="none" w:sz="0" w:space="0" w:color="auto"/>
                                                    <w:left w:val="none" w:sz="0" w:space="0" w:color="auto"/>
                                                    <w:bottom w:val="none" w:sz="0" w:space="0" w:color="auto"/>
                                                    <w:right w:val="none" w:sz="0" w:space="0" w:color="auto"/>
                                                  </w:divBdr>
                                                  <w:divsChild>
                                                    <w:div w:id="19434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375086">
      <w:bodyDiv w:val="1"/>
      <w:marLeft w:val="0"/>
      <w:marRight w:val="0"/>
      <w:marTop w:val="0"/>
      <w:marBottom w:val="0"/>
      <w:divBdr>
        <w:top w:val="none" w:sz="0" w:space="0" w:color="auto"/>
        <w:left w:val="none" w:sz="0" w:space="0" w:color="auto"/>
        <w:bottom w:val="none" w:sz="0" w:space="0" w:color="auto"/>
        <w:right w:val="none" w:sz="0" w:space="0" w:color="auto"/>
      </w:divBdr>
    </w:div>
    <w:div w:id="1156730216">
      <w:bodyDiv w:val="1"/>
      <w:marLeft w:val="0"/>
      <w:marRight w:val="0"/>
      <w:marTop w:val="0"/>
      <w:marBottom w:val="0"/>
      <w:divBdr>
        <w:top w:val="none" w:sz="0" w:space="0" w:color="auto"/>
        <w:left w:val="none" w:sz="0" w:space="0" w:color="auto"/>
        <w:bottom w:val="none" w:sz="0" w:space="0" w:color="auto"/>
        <w:right w:val="none" w:sz="0" w:space="0" w:color="auto"/>
      </w:divBdr>
    </w:div>
    <w:div w:id="1209224248">
      <w:bodyDiv w:val="1"/>
      <w:marLeft w:val="0"/>
      <w:marRight w:val="0"/>
      <w:marTop w:val="0"/>
      <w:marBottom w:val="0"/>
      <w:divBdr>
        <w:top w:val="none" w:sz="0" w:space="0" w:color="auto"/>
        <w:left w:val="none" w:sz="0" w:space="0" w:color="auto"/>
        <w:bottom w:val="none" w:sz="0" w:space="0" w:color="auto"/>
        <w:right w:val="none" w:sz="0" w:space="0" w:color="auto"/>
      </w:divBdr>
    </w:div>
    <w:div w:id="1326936603">
      <w:bodyDiv w:val="1"/>
      <w:marLeft w:val="0"/>
      <w:marRight w:val="0"/>
      <w:marTop w:val="0"/>
      <w:marBottom w:val="0"/>
      <w:divBdr>
        <w:top w:val="none" w:sz="0" w:space="0" w:color="auto"/>
        <w:left w:val="none" w:sz="0" w:space="0" w:color="auto"/>
        <w:bottom w:val="none" w:sz="0" w:space="0" w:color="auto"/>
        <w:right w:val="none" w:sz="0" w:space="0" w:color="auto"/>
      </w:divBdr>
    </w:div>
    <w:div w:id="1447308964">
      <w:bodyDiv w:val="1"/>
      <w:marLeft w:val="0"/>
      <w:marRight w:val="0"/>
      <w:marTop w:val="0"/>
      <w:marBottom w:val="0"/>
      <w:divBdr>
        <w:top w:val="none" w:sz="0" w:space="0" w:color="auto"/>
        <w:left w:val="none" w:sz="0" w:space="0" w:color="auto"/>
        <w:bottom w:val="none" w:sz="0" w:space="0" w:color="auto"/>
        <w:right w:val="none" w:sz="0" w:space="0" w:color="auto"/>
      </w:divBdr>
    </w:div>
    <w:div w:id="1463645530">
      <w:bodyDiv w:val="1"/>
      <w:marLeft w:val="0"/>
      <w:marRight w:val="0"/>
      <w:marTop w:val="0"/>
      <w:marBottom w:val="0"/>
      <w:divBdr>
        <w:top w:val="none" w:sz="0" w:space="0" w:color="auto"/>
        <w:left w:val="none" w:sz="0" w:space="0" w:color="auto"/>
        <w:bottom w:val="none" w:sz="0" w:space="0" w:color="auto"/>
        <w:right w:val="none" w:sz="0" w:space="0" w:color="auto"/>
      </w:divBdr>
    </w:div>
    <w:div w:id="1570770251">
      <w:bodyDiv w:val="1"/>
      <w:marLeft w:val="0"/>
      <w:marRight w:val="0"/>
      <w:marTop w:val="0"/>
      <w:marBottom w:val="0"/>
      <w:divBdr>
        <w:top w:val="none" w:sz="0" w:space="0" w:color="auto"/>
        <w:left w:val="none" w:sz="0" w:space="0" w:color="auto"/>
        <w:bottom w:val="none" w:sz="0" w:space="0" w:color="auto"/>
        <w:right w:val="none" w:sz="0" w:space="0" w:color="auto"/>
      </w:divBdr>
    </w:div>
    <w:div w:id="1586768360">
      <w:bodyDiv w:val="1"/>
      <w:marLeft w:val="0"/>
      <w:marRight w:val="0"/>
      <w:marTop w:val="0"/>
      <w:marBottom w:val="0"/>
      <w:divBdr>
        <w:top w:val="none" w:sz="0" w:space="0" w:color="auto"/>
        <w:left w:val="none" w:sz="0" w:space="0" w:color="auto"/>
        <w:bottom w:val="none" w:sz="0" w:space="0" w:color="auto"/>
        <w:right w:val="none" w:sz="0" w:space="0" w:color="auto"/>
      </w:divBdr>
    </w:div>
    <w:div w:id="1587299208">
      <w:bodyDiv w:val="1"/>
      <w:marLeft w:val="0"/>
      <w:marRight w:val="0"/>
      <w:marTop w:val="0"/>
      <w:marBottom w:val="0"/>
      <w:divBdr>
        <w:top w:val="none" w:sz="0" w:space="0" w:color="auto"/>
        <w:left w:val="none" w:sz="0" w:space="0" w:color="auto"/>
        <w:bottom w:val="none" w:sz="0" w:space="0" w:color="auto"/>
        <w:right w:val="none" w:sz="0" w:space="0" w:color="auto"/>
      </w:divBdr>
      <w:divsChild>
        <w:div w:id="886380828">
          <w:marLeft w:val="0"/>
          <w:marRight w:val="0"/>
          <w:marTop w:val="0"/>
          <w:marBottom w:val="0"/>
          <w:divBdr>
            <w:top w:val="none" w:sz="0" w:space="0" w:color="auto"/>
            <w:left w:val="none" w:sz="0" w:space="0" w:color="auto"/>
            <w:bottom w:val="none" w:sz="0" w:space="0" w:color="auto"/>
            <w:right w:val="none" w:sz="0" w:space="0" w:color="auto"/>
          </w:divBdr>
          <w:divsChild>
            <w:div w:id="189223680">
              <w:marLeft w:val="0"/>
              <w:marRight w:val="0"/>
              <w:marTop w:val="0"/>
              <w:marBottom w:val="0"/>
              <w:divBdr>
                <w:top w:val="none" w:sz="0" w:space="0" w:color="auto"/>
                <w:left w:val="none" w:sz="0" w:space="0" w:color="auto"/>
                <w:bottom w:val="none" w:sz="0" w:space="0" w:color="auto"/>
                <w:right w:val="none" w:sz="0" w:space="0" w:color="auto"/>
              </w:divBdr>
              <w:divsChild>
                <w:div w:id="1477524481">
                  <w:marLeft w:val="0"/>
                  <w:marRight w:val="0"/>
                  <w:marTop w:val="0"/>
                  <w:marBottom w:val="0"/>
                  <w:divBdr>
                    <w:top w:val="none" w:sz="0" w:space="0" w:color="auto"/>
                    <w:left w:val="none" w:sz="0" w:space="0" w:color="auto"/>
                    <w:bottom w:val="none" w:sz="0" w:space="0" w:color="auto"/>
                    <w:right w:val="none" w:sz="0" w:space="0" w:color="auto"/>
                  </w:divBdr>
                  <w:divsChild>
                    <w:div w:id="411510852">
                      <w:marLeft w:val="-300"/>
                      <w:marRight w:val="0"/>
                      <w:marTop w:val="0"/>
                      <w:marBottom w:val="0"/>
                      <w:divBdr>
                        <w:top w:val="none" w:sz="0" w:space="0" w:color="auto"/>
                        <w:left w:val="none" w:sz="0" w:space="0" w:color="auto"/>
                        <w:bottom w:val="none" w:sz="0" w:space="0" w:color="auto"/>
                        <w:right w:val="none" w:sz="0" w:space="0" w:color="auto"/>
                      </w:divBdr>
                      <w:divsChild>
                        <w:div w:id="2341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83436">
      <w:bodyDiv w:val="1"/>
      <w:marLeft w:val="0"/>
      <w:marRight w:val="0"/>
      <w:marTop w:val="0"/>
      <w:marBottom w:val="0"/>
      <w:divBdr>
        <w:top w:val="none" w:sz="0" w:space="0" w:color="auto"/>
        <w:left w:val="none" w:sz="0" w:space="0" w:color="auto"/>
        <w:bottom w:val="none" w:sz="0" w:space="0" w:color="auto"/>
        <w:right w:val="none" w:sz="0" w:space="0" w:color="auto"/>
      </w:divBdr>
    </w:div>
    <w:div w:id="1714689373">
      <w:bodyDiv w:val="1"/>
      <w:marLeft w:val="0"/>
      <w:marRight w:val="0"/>
      <w:marTop w:val="0"/>
      <w:marBottom w:val="0"/>
      <w:divBdr>
        <w:top w:val="none" w:sz="0" w:space="0" w:color="auto"/>
        <w:left w:val="none" w:sz="0" w:space="0" w:color="auto"/>
        <w:bottom w:val="none" w:sz="0" w:space="0" w:color="auto"/>
        <w:right w:val="none" w:sz="0" w:space="0" w:color="auto"/>
      </w:divBdr>
    </w:div>
    <w:div w:id="1805848717">
      <w:bodyDiv w:val="1"/>
      <w:marLeft w:val="0"/>
      <w:marRight w:val="0"/>
      <w:marTop w:val="0"/>
      <w:marBottom w:val="0"/>
      <w:divBdr>
        <w:top w:val="none" w:sz="0" w:space="0" w:color="auto"/>
        <w:left w:val="none" w:sz="0" w:space="0" w:color="auto"/>
        <w:bottom w:val="none" w:sz="0" w:space="0" w:color="auto"/>
        <w:right w:val="none" w:sz="0" w:space="0" w:color="auto"/>
      </w:divBdr>
    </w:div>
    <w:div w:id="1806973087">
      <w:bodyDiv w:val="1"/>
      <w:marLeft w:val="0"/>
      <w:marRight w:val="0"/>
      <w:marTop w:val="0"/>
      <w:marBottom w:val="0"/>
      <w:divBdr>
        <w:top w:val="none" w:sz="0" w:space="0" w:color="auto"/>
        <w:left w:val="none" w:sz="0" w:space="0" w:color="auto"/>
        <w:bottom w:val="none" w:sz="0" w:space="0" w:color="auto"/>
        <w:right w:val="none" w:sz="0" w:space="0" w:color="auto"/>
      </w:divBdr>
    </w:div>
    <w:div w:id="1811048526">
      <w:bodyDiv w:val="1"/>
      <w:marLeft w:val="0"/>
      <w:marRight w:val="0"/>
      <w:marTop w:val="0"/>
      <w:marBottom w:val="0"/>
      <w:divBdr>
        <w:top w:val="none" w:sz="0" w:space="0" w:color="auto"/>
        <w:left w:val="none" w:sz="0" w:space="0" w:color="auto"/>
        <w:bottom w:val="none" w:sz="0" w:space="0" w:color="auto"/>
        <w:right w:val="none" w:sz="0" w:space="0" w:color="auto"/>
      </w:divBdr>
    </w:div>
    <w:div w:id="1814129754">
      <w:bodyDiv w:val="1"/>
      <w:marLeft w:val="0"/>
      <w:marRight w:val="0"/>
      <w:marTop w:val="0"/>
      <w:marBottom w:val="0"/>
      <w:divBdr>
        <w:top w:val="none" w:sz="0" w:space="0" w:color="auto"/>
        <w:left w:val="none" w:sz="0" w:space="0" w:color="auto"/>
        <w:bottom w:val="none" w:sz="0" w:space="0" w:color="auto"/>
        <w:right w:val="none" w:sz="0" w:space="0" w:color="auto"/>
      </w:divBdr>
    </w:div>
    <w:div w:id="1880973264">
      <w:bodyDiv w:val="1"/>
      <w:marLeft w:val="0"/>
      <w:marRight w:val="0"/>
      <w:marTop w:val="0"/>
      <w:marBottom w:val="0"/>
      <w:divBdr>
        <w:top w:val="none" w:sz="0" w:space="0" w:color="auto"/>
        <w:left w:val="none" w:sz="0" w:space="0" w:color="auto"/>
        <w:bottom w:val="none" w:sz="0" w:space="0" w:color="auto"/>
        <w:right w:val="none" w:sz="0" w:space="0" w:color="auto"/>
      </w:divBdr>
    </w:div>
    <w:div w:id="1893492375">
      <w:bodyDiv w:val="1"/>
      <w:marLeft w:val="0"/>
      <w:marRight w:val="0"/>
      <w:marTop w:val="0"/>
      <w:marBottom w:val="0"/>
      <w:divBdr>
        <w:top w:val="none" w:sz="0" w:space="0" w:color="auto"/>
        <w:left w:val="none" w:sz="0" w:space="0" w:color="auto"/>
        <w:bottom w:val="none" w:sz="0" w:space="0" w:color="auto"/>
        <w:right w:val="none" w:sz="0" w:space="0" w:color="auto"/>
      </w:divBdr>
    </w:div>
    <w:div w:id="1932202495">
      <w:bodyDiv w:val="1"/>
      <w:marLeft w:val="0"/>
      <w:marRight w:val="0"/>
      <w:marTop w:val="0"/>
      <w:marBottom w:val="0"/>
      <w:divBdr>
        <w:top w:val="none" w:sz="0" w:space="0" w:color="auto"/>
        <w:left w:val="none" w:sz="0" w:space="0" w:color="auto"/>
        <w:bottom w:val="none" w:sz="0" w:space="0" w:color="auto"/>
        <w:right w:val="none" w:sz="0" w:space="0" w:color="auto"/>
      </w:divBdr>
    </w:div>
    <w:div w:id="1975325519">
      <w:bodyDiv w:val="1"/>
      <w:marLeft w:val="0"/>
      <w:marRight w:val="0"/>
      <w:marTop w:val="0"/>
      <w:marBottom w:val="0"/>
      <w:divBdr>
        <w:top w:val="none" w:sz="0" w:space="0" w:color="auto"/>
        <w:left w:val="none" w:sz="0" w:space="0" w:color="auto"/>
        <w:bottom w:val="none" w:sz="0" w:space="0" w:color="auto"/>
        <w:right w:val="none" w:sz="0" w:space="0" w:color="auto"/>
      </w:divBdr>
    </w:div>
    <w:div w:id="2006203634">
      <w:bodyDiv w:val="1"/>
      <w:marLeft w:val="0"/>
      <w:marRight w:val="0"/>
      <w:marTop w:val="0"/>
      <w:marBottom w:val="0"/>
      <w:divBdr>
        <w:top w:val="none" w:sz="0" w:space="0" w:color="auto"/>
        <w:left w:val="none" w:sz="0" w:space="0" w:color="auto"/>
        <w:bottom w:val="none" w:sz="0" w:space="0" w:color="auto"/>
        <w:right w:val="none" w:sz="0" w:space="0" w:color="auto"/>
      </w:divBdr>
    </w:div>
    <w:div w:id="2029789676">
      <w:bodyDiv w:val="1"/>
      <w:marLeft w:val="0"/>
      <w:marRight w:val="0"/>
      <w:marTop w:val="0"/>
      <w:marBottom w:val="0"/>
      <w:divBdr>
        <w:top w:val="none" w:sz="0" w:space="0" w:color="auto"/>
        <w:left w:val="none" w:sz="0" w:space="0" w:color="auto"/>
        <w:bottom w:val="none" w:sz="0" w:space="0" w:color="auto"/>
        <w:right w:val="none" w:sz="0" w:space="0" w:color="auto"/>
      </w:divBdr>
    </w:div>
    <w:div w:id="2056003703">
      <w:bodyDiv w:val="1"/>
      <w:marLeft w:val="0"/>
      <w:marRight w:val="0"/>
      <w:marTop w:val="0"/>
      <w:marBottom w:val="0"/>
      <w:divBdr>
        <w:top w:val="none" w:sz="0" w:space="0" w:color="auto"/>
        <w:left w:val="none" w:sz="0" w:space="0" w:color="auto"/>
        <w:bottom w:val="none" w:sz="0" w:space="0" w:color="auto"/>
        <w:right w:val="none" w:sz="0" w:space="0" w:color="auto"/>
      </w:divBdr>
    </w:div>
    <w:div w:id="2063094199">
      <w:bodyDiv w:val="1"/>
      <w:marLeft w:val="0"/>
      <w:marRight w:val="0"/>
      <w:marTop w:val="0"/>
      <w:marBottom w:val="0"/>
      <w:divBdr>
        <w:top w:val="none" w:sz="0" w:space="0" w:color="auto"/>
        <w:left w:val="none" w:sz="0" w:space="0" w:color="auto"/>
        <w:bottom w:val="none" w:sz="0" w:space="0" w:color="auto"/>
        <w:right w:val="none" w:sz="0" w:space="0" w:color="auto"/>
      </w:divBdr>
    </w:div>
    <w:div w:id="2087535657">
      <w:bodyDiv w:val="1"/>
      <w:marLeft w:val="0"/>
      <w:marRight w:val="0"/>
      <w:marTop w:val="0"/>
      <w:marBottom w:val="0"/>
      <w:divBdr>
        <w:top w:val="none" w:sz="0" w:space="0" w:color="auto"/>
        <w:left w:val="none" w:sz="0" w:space="0" w:color="auto"/>
        <w:bottom w:val="none" w:sz="0" w:space="0" w:color="auto"/>
        <w:right w:val="none" w:sz="0" w:space="0" w:color="auto"/>
      </w:divBdr>
    </w:div>
    <w:div w:id="2100825897">
      <w:bodyDiv w:val="1"/>
      <w:marLeft w:val="0"/>
      <w:marRight w:val="0"/>
      <w:marTop w:val="0"/>
      <w:marBottom w:val="0"/>
      <w:divBdr>
        <w:top w:val="none" w:sz="0" w:space="0" w:color="auto"/>
        <w:left w:val="none" w:sz="0" w:space="0" w:color="auto"/>
        <w:bottom w:val="none" w:sz="0" w:space="0" w:color="auto"/>
        <w:right w:val="none" w:sz="0" w:space="0" w:color="auto"/>
      </w:divBdr>
    </w:div>
    <w:div w:id="21016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qsc.govt.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xtutor.ca/cgi-bin/vp/comp/output.pl" TargetMode="External"/><Relationship Id="rId1" Type="http://schemas.openxmlformats.org/officeDocument/2006/relationships/hyperlink" Target="http://www.hqsc.govt.nz/our-programmes/health-quality-evaluation/publications-and-resources/publication/3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Alexis Wevers</DisplayName>
        <AccountId>33</AccountId>
        <AccountType/>
      </UserInfo>
      <UserInfo>
        <DisplayName>Cristian Martin</DisplayName>
        <AccountId>167</AccountId>
        <AccountType/>
      </UserInfo>
      <UserInfo>
        <DisplayName>Avril Macfarlane</DisplayName>
        <AccountId>322</AccountId>
        <AccountType/>
      </UserInfo>
      <UserInfo>
        <DisplayName>Jocasta Whittingham</DisplayName>
        <AccountId>36</AccountId>
        <AccountType/>
      </UserInfo>
      <UserInfo>
        <DisplayName>Website Requests</DisplayName>
        <AccountId>160</AccountId>
        <AccountType/>
      </UserInfo>
      <UserInfo>
        <DisplayName>Falyn Cranston</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28" ma:contentTypeDescription="Use this content type to classify and store documents on HQSC DMS website" ma:contentTypeScope="" ma:versionID="6f5600e14986641514e3884dc953d9d0">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3f94f491633824fa6efa946b82b7f6b"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50CD0B78-DFFF-4C25-8AA8-0B527A85624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0172f7-231e-4b28-900f-03b7cb19e4c5"/>
    <ds:schemaRef ds:uri="bef9904b-9bca-4a1b-aca3-78dad2044d15"/>
    <ds:schemaRef ds:uri="http://www.w3.org/XML/1998/namespace"/>
    <ds:schemaRef ds:uri="http://purl.org/dc/dcmitype/"/>
  </ds:schemaRefs>
</ds:datastoreItem>
</file>

<file path=customXml/itemProps2.xml><?xml version="1.0" encoding="utf-8"?>
<ds:datastoreItem xmlns:ds="http://schemas.openxmlformats.org/officeDocument/2006/customXml" ds:itemID="{ACC99CED-73A5-40B2-806A-C3612E68122D}">
  <ds:schemaRefs>
    <ds:schemaRef ds:uri="http://schemas.openxmlformats.org/officeDocument/2006/bibliography"/>
  </ds:schemaRefs>
</ds:datastoreItem>
</file>

<file path=customXml/itemProps3.xml><?xml version="1.0" encoding="utf-8"?>
<ds:datastoreItem xmlns:ds="http://schemas.openxmlformats.org/officeDocument/2006/customXml" ds:itemID="{6DFC28E1-A3DB-4D72-9CB7-8963C26BA67F}">
  <ds:schemaRefs>
    <ds:schemaRef ds:uri="http://schemas.microsoft.com/sharepoint/v3/contenttype/forms"/>
  </ds:schemaRefs>
</ds:datastoreItem>
</file>

<file path=customXml/itemProps4.xml><?xml version="1.0" encoding="utf-8"?>
<ds:datastoreItem xmlns:ds="http://schemas.openxmlformats.org/officeDocument/2006/customXml" ds:itemID="{25EB6591-F4B4-47C7-9769-08A9A6BF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83EEA-97C3-49C7-850E-8274514F99C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Hamblin</dc:creator>
  <cp:lastModifiedBy>Falyn Cranston</cp:lastModifiedBy>
  <cp:revision>2</cp:revision>
  <cp:lastPrinted>2021-04-06T23:14:00Z</cp:lastPrinted>
  <dcterms:created xsi:type="dcterms:W3CDTF">2021-04-08T03:30:00Z</dcterms:created>
  <dcterms:modified xsi:type="dcterms:W3CDTF">2021-04-08T03:30:00Z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e56ceb89-c69e-45c3-bad6-603f471ab850</vt:lpwstr>
  </property>
  <property fmtid="{D5CDD505-2E9C-101B-9397-08002B2CF9AE}" pid="3" name="ContentTypeId">
    <vt:lpwstr>0x010100464BB556B3337A48846236E9064FB9CC0100884F12ABB982834B8463705F69941726</vt:lpwstr>
  </property>
  <property fmtid="{D5CDD505-2E9C-101B-9397-08002B2CF9AE}" pid="4" name="Order">
    <vt:r8>215600</vt:r8>
  </property>
</Properties>
</file>