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086D2" w14:textId="1A4EB7B3" w:rsidR="00595320" w:rsidRPr="00DC1C37" w:rsidRDefault="00CE1F4C" w:rsidP="00C003F4">
      <w:pPr>
        <w:spacing w:line="276" w:lineRule="auto"/>
        <w:rPr>
          <w:b/>
          <w:bCs/>
        </w:rPr>
      </w:pPr>
      <w:r w:rsidRPr="00DC1C37">
        <w:rPr>
          <w:b/>
          <w:bCs/>
        </w:rPr>
        <w:t>Measures</w:t>
      </w:r>
      <w:r w:rsidR="00DC1C37" w:rsidRPr="00DC1C37">
        <w:rPr>
          <w:b/>
          <w:bCs/>
        </w:rPr>
        <w:t xml:space="preserve"> for urinary tract infection (UTI) implementation</w:t>
      </w:r>
    </w:p>
    <w:p w14:paraId="0D5C2296" w14:textId="565954CF" w:rsidR="00C7697B" w:rsidRPr="00DE13EE" w:rsidRDefault="00CE1F4C" w:rsidP="00DE13EE">
      <w:pPr>
        <w:spacing w:line="276" w:lineRule="auto"/>
        <w:rPr>
          <w:rFonts w:cs="Arial"/>
          <w:sz w:val="22"/>
        </w:rPr>
      </w:pPr>
      <w:r w:rsidRPr="00DE13EE">
        <w:rPr>
          <w:rFonts w:cs="Arial"/>
          <w:sz w:val="22"/>
        </w:rPr>
        <w:t xml:space="preserve">Measures for this project are </w:t>
      </w:r>
      <w:r w:rsidR="002210FE" w:rsidRPr="00DE13EE">
        <w:rPr>
          <w:rFonts w:cs="Arial"/>
          <w:sz w:val="22"/>
        </w:rPr>
        <w:t>classified into three categories.</w:t>
      </w:r>
      <w:r w:rsidR="00C7697B" w:rsidRPr="00DE13EE">
        <w:rPr>
          <w:rFonts w:cs="Arial"/>
          <w:sz w:val="22"/>
        </w:rPr>
        <w:t xml:space="preserve"> </w:t>
      </w:r>
    </w:p>
    <w:p w14:paraId="5BA6BA9B" w14:textId="4D454F2B" w:rsidR="00CE1F4C" w:rsidRPr="00DE13EE" w:rsidRDefault="00CE1F4C" w:rsidP="00DE13EE">
      <w:pPr>
        <w:pStyle w:val="ListParagraph"/>
        <w:numPr>
          <w:ilvl w:val="0"/>
          <w:numId w:val="2"/>
        </w:numPr>
        <w:spacing w:line="276" w:lineRule="auto"/>
        <w:ind w:left="284" w:hanging="284"/>
        <w:contextualSpacing w:val="0"/>
        <w:rPr>
          <w:rFonts w:cs="Arial"/>
          <w:sz w:val="22"/>
        </w:rPr>
      </w:pPr>
      <w:r w:rsidRPr="00DE13EE">
        <w:rPr>
          <w:rFonts w:cs="Arial"/>
          <w:b/>
          <w:bCs/>
          <w:sz w:val="22"/>
        </w:rPr>
        <w:t>Outcome measure:</w:t>
      </w:r>
      <w:r w:rsidRPr="00DE13EE">
        <w:rPr>
          <w:rFonts w:cs="Arial"/>
          <w:sz w:val="22"/>
        </w:rPr>
        <w:t xml:space="preserve"> Outcome measures are measures of the performance of the system under study. They relate directly to the aim of the project. Outcome measures offer evidence that changes are having an impact at the system level.</w:t>
      </w:r>
    </w:p>
    <w:p w14:paraId="2541BA57" w14:textId="5EF5ED58" w:rsidR="00CE1F4C" w:rsidRPr="00DE13EE" w:rsidRDefault="00CE1F4C" w:rsidP="00DE13EE">
      <w:pPr>
        <w:pStyle w:val="ListParagraph"/>
        <w:numPr>
          <w:ilvl w:val="0"/>
          <w:numId w:val="2"/>
        </w:numPr>
        <w:spacing w:line="276" w:lineRule="auto"/>
        <w:ind w:left="284" w:hanging="284"/>
        <w:contextualSpacing w:val="0"/>
        <w:rPr>
          <w:rFonts w:cs="Arial"/>
          <w:sz w:val="22"/>
        </w:rPr>
      </w:pPr>
      <w:r w:rsidRPr="00DE13EE">
        <w:rPr>
          <w:rFonts w:cs="Arial"/>
          <w:b/>
          <w:bCs/>
          <w:sz w:val="22"/>
        </w:rPr>
        <w:t>Process measure</w:t>
      </w:r>
      <w:r w:rsidR="005C3073" w:rsidRPr="00DE13EE">
        <w:rPr>
          <w:rFonts w:cs="Arial"/>
          <w:b/>
          <w:bCs/>
          <w:sz w:val="22"/>
        </w:rPr>
        <w:t>:</w:t>
      </w:r>
      <w:r w:rsidR="005C3073" w:rsidRPr="00DE13EE">
        <w:rPr>
          <w:rFonts w:cs="Arial"/>
          <w:sz w:val="22"/>
        </w:rPr>
        <w:t xml:space="preserve">  Process measures capture the changes your quality improvement efforts make to the inputs or steps that contribute to system outcomes. For this project, process measures are developed based on the intervention identified.</w:t>
      </w:r>
    </w:p>
    <w:p w14:paraId="6EEF9FAE" w14:textId="414D768C" w:rsidR="00CE1F4C" w:rsidRPr="00DE13EE" w:rsidRDefault="00CE1F4C" w:rsidP="00DE13EE">
      <w:pPr>
        <w:pStyle w:val="ListParagraph"/>
        <w:numPr>
          <w:ilvl w:val="0"/>
          <w:numId w:val="2"/>
        </w:numPr>
        <w:spacing w:line="276" w:lineRule="auto"/>
        <w:ind w:left="284" w:hanging="284"/>
        <w:contextualSpacing w:val="0"/>
        <w:rPr>
          <w:rFonts w:cs="Arial"/>
          <w:sz w:val="22"/>
        </w:rPr>
      </w:pPr>
      <w:r w:rsidRPr="00DE13EE">
        <w:rPr>
          <w:rFonts w:cs="Arial"/>
          <w:b/>
          <w:bCs/>
          <w:sz w:val="22"/>
        </w:rPr>
        <w:t>Balancing measure</w:t>
      </w:r>
      <w:r w:rsidR="00C7697B" w:rsidRPr="00DE13EE">
        <w:rPr>
          <w:rFonts w:cs="Arial"/>
          <w:b/>
          <w:bCs/>
          <w:sz w:val="22"/>
        </w:rPr>
        <w:t>:</w:t>
      </w:r>
      <w:r w:rsidR="00C7697B" w:rsidRPr="00DE13EE">
        <w:rPr>
          <w:rFonts w:cs="Arial"/>
          <w:sz w:val="22"/>
        </w:rPr>
        <w:t xml:space="preserve"> To achieve an improvement in some measures while degrading performance in others is usually not acceptable. In making changes to improve outcomes, we want to be sure any related measures are maintained or improved.</w:t>
      </w:r>
    </w:p>
    <w:p w14:paraId="4037C8D2" w14:textId="572E6F2E" w:rsidR="00CE1F4C" w:rsidRPr="00DE13EE" w:rsidRDefault="00CE1F4C" w:rsidP="00DE13EE">
      <w:pPr>
        <w:spacing w:line="276" w:lineRule="auto"/>
        <w:rPr>
          <w:rFonts w:cs="Arial"/>
          <w:sz w:val="22"/>
        </w:rPr>
      </w:pPr>
    </w:p>
    <w:p w14:paraId="5027D908" w14:textId="77777777" w:rsidR="00CE1F4C" w:rsidRPr="00DE13EE" w:rsidRDefault="00CE1F4C" w:rsidP="00C003F4">
      <w:pPr>
        <w:spacing w:line="276" w:lineRule="auto"/>
        <w:rPr>
          <w:b/>
          <w:bCs/>
          <w:sz w:val="22"/>
          <w:szCs w:val="20"/>
        </w:rPr>
      </w:pPr>
      <w:r w:rsidRPr="00DE13EE">
        <w:rPr>
          <w:b/>
          <w:bCs/>
          <w:sz w:val="22"/>
          <w:szCs w:val="20"/>
        </w:rPr>
        <w:t>Outcome measures</w:t>
      </w:r>
    </w:p>
    <w:tbl>
      <w:tblPr>
        <w:tblStyle w:val="GridTable1Light-Accent61"/>
        <w:tblW w:w="8788" w:type="dxa"/>
        <w:tblLook w:val="04A0" w:firstRow="1" w:lastRow="0" w:firstColumn="1" w:lastColumn="0" w:noHBand="0" w:noVBand="1"/>
      </w:tblPr>
      <w:tblGrid>
        <w:gridCol w:w="2551"/>
        <w:gridCol w:w="3686"/>
        <w:gridCol w:w="2551"/>
      </w:tblGrid>
      <w:tr w:rsidR="00AB5922" w:rsidRPr="008D0D35" w14:paraId="6B08AA9E" w14:textId="77777777" w:rsidTr="00870B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1" w:type="dxa"/>
            <w:tcBorders>
              <w:top w:val="single" w:sz="4" w:space="0" w:color="C5E0B3" w:themeColor="accent6" w:themeTint="66"/>
              <w:left w:val="single" w:sz="4" w:space="0" w:color="C5E0B3" w:themeColor="accent6" w:themeTint="66"/>
              <w:right w:val="single" w:sz="4" w:space="0" w:color="C5E0B3" w:themeColor="accent6" w:themeTint="66"/>
            </w:tcBorders>
            <w:hideMark/>
          </w:tcPr>
          <w:p w14:paraId="296FF099" w14:textId="77777777" w:rsidR="00AB5922" w:rsidRDefault="00AB5922" w:rsidP="003C7566">
            <w:pPr>
              <w:spacing w:after="60" w:line="276" w:lineRule="auto"/>
              <w:rPr>
                <w:rFonts w:cs="Arial"/>
                <w:b w:val="0"/>
                <w:bCs w:val="0"/>
                <w:sz w:val="20"/>
                <w:szCs w:val="20"/>
              </w:rPr>
            </w:pPr>
            <w:r w:rsidRPr="008D0D35">
              <w:rPr>
                <w:rFonts w:cs="Arial"/>
                <w:sz w:val="20"/>
                <w:szCs w:val="20"/>
              </w:rPr>
              <w:t>Measure</w:t>
            </w:r>
          </w:p>
          <w:p w14:paraId="48F71220" w14:textId="4ACFADCF" w:rsidR="00AB5922" w:rsidRPr="003C7566" w:rsidRDefault="00AB5922" w:rsidP="003C7566">
            <w:pPr>
              <w:spacing w:after="60" w:line="276" w:lineRule="auto"/>
              <w:rPr>
                <w:rFonts w:cs="Arial"/>
                <w:b w:val="0"/>
                <w:bCs w:val="0"/>
                <w:i/>
                <w:iCs/>
                <w:sz w:val="20"/>
                <w:szCs w:val="20"/>
              </w:rPr>
            </w:pPr>
            <w:r w:rsidRPr="006A45FF">
              <w:rPr>
                <w:rFonts w:cs="Arial"/>
                <w:b w:val="0"/>
                <w:bCs w:val="0"/>
                <w:i/>
                <w:iCs/>
                <w:sz w:val="20"/>
                <w:szCs w:val="20"/>
              </w:rPr>
              <w:t>Name of the measure</w:t>
            </w:r>
          </w:p>
        </w:tc>
        <w:tc>
          <w:tcPr>
            <w:tcW w:w="3686" w:type="dxa"/>
            <w:tcBorders>
              <w:top w:val="single" w:sz="4" w:space="0" w:color="C5E0B3" w:themeColor="accent6" w:themeTint="66"/>
              <w:left w:val="single" w:sz="4" w:space="0" w:color="C5E0B3" w:themeColor="accent6" w:themeTint="66"/>
              <w:right w:val="single" w:sz="4" w:space="0" w:color="C5E0B3" w:themeColor="accent6" w:themeTint="66"/>
            </w:tcBorders>
            <w:hideMark/>
          </w:tcPr>
          <w:p w14:paraId="76C21113" w14:textId="77777777" w:rsidR="00AB5922" w:rsidRDefault="00AB5922" w:rsidP="003C7566">
            <w:pPr>
              <w:spacing w:after="60" w:line="276" w:lineRule="auto"/>
              <w:cnfStyle w:val="100000000000" w:firstRow="1" w:lastRow="0" w:firstColumn="0" w:lastColumn="0" w:oddVBand="0" w:evenVBand="0" w:oddHBand="0" w:evenHBand="0" w:firstRowFirstColumn="0" w:firstRowLastColumn="0" w:lastRowFirstColumn="0" w:lastRowLastColumn="0"/>
              <w:rPr>
                <w:rFonts w:cs="Arial"/>
                <w:b w:val="0"/>
                <w:bCs w:val="0"/>
                <w:sz w:val="20"/>
                <w:szCs w:val="20"/>
              </w:rPr>
            </w:pPr>
            <w:r w:rsidRPr="008D0D35">
              <w:rPr>
                <w:rFonts w:cs="Arial"/>
                <w:sz w:val="20"/>
                <w:szCs w:val="20"/>
              </w:rPr>
              <w:t>Formula</w:t>
            </w:r>
          </w:p>
          <w:p w14:paraId="497F2739" w14:textId="6FC9A56D" w:rsidR="00AB5922" w:rsidRPr="008D0D35" w:rsidRDefault="00AB5922" w:rsidP="003C7566">
            <w:pPr>
              <w:spacing w:after="60" w:line="276" w:lineRule="auto"/>
              <w:cnfStyle w:val="100000000000" w:firstRow="1" w:lastRow="0" w:firstColumn="0" w:lastColumn="0" w:oddVBand="0" w:evenVBand="0" w:oddHBand="0" w:evenHBand="0" w:firstRowFirstColumn="0" w:firstRowLastColumn="0" w:lastRowFirstColumn="0" w:lastRowLastColumn="0"/>
              <w:rPr>
                <w:rFonts w:cs="Arial"/>
                <w:sz w:val="20"/>
                <w:szCs w:val="20"/>
              </w:rPr>
            </w:pPr>
            <w:r>
              <w:rPr>
                <w:rFonts w:cs="Arial"/>
                <w:b w:val="0"/>
                <w:bCs w:val="0"/>
                <w:i/>
                <w:iCs/>
                <w:sz w:val="20"/>
                <w:szCs w:val="20"/>
              </w:rPr>
              <w:t>How to calculate</w:t>
            </w:r>
          </w:p>
        </w:tc>
        <w:tc>
          <w:tcPr>
            <w:tcW w:w="2551" w:type="dxa"/>
            <w:tcBorders>
              <w:top w:val="single" w:sz="4" w:space="0" w:color="C5E0B3" w:themeColor="accent6" w:themeTint="66"/>
              <w:left w:val="single" w:sz="4" w:space="0" w:color="C5E0B3" w:themeColor="accent6" w:themeTint="66"/>
              <w:right w:val="single" w:sz="4" w:space="0" w:color="C5E0B3" w:themeColor="accent6" w:themeTint="66"/>
            </w:tcBorders>
            <w:hideMark/>
          </w:tcPr>
          <w:p w14:paraId="539B7119" w14:textId="77777777" w:rsidR="00AB5922" w:rsidRDefault="00AB5922" w:rsidP="003C7566">
            <w:pPr>
              <w:spacing w:after="60" w:line="276" w:lineRule="auto"/>
              <w:cnfStyle w:val="100000000000" w:firstRow="1" w:lastRow="0" w:firstColumn="0" w:lastColumn="0" w:oddVBand="0" w:evenVBand="0" w:oddHBand="0" w:evenHBand="0" w:firstRowFirstColumn="0" w:firstRowLastColumn="0" w:lastRowFirstColumn="0" w:lastRowLastColumn="0"/>
              <w:rPr>
                <w:rFonts w:cs="Arial"/>
                <w:b w:val="0"/>
                <w:bCs w:val="0"/>
                <w:sz w:val="20"/>
                <w:szCs w:val="20"/>
              </w:rPr>
            </w:pPr>
            <w:r w:rsidRPr="008D0D35">
              <w:rPr>
                <w:rFonts w:cs="Arial"/>
                <w:sz w:val="20"/>
                <w:szCs w:val="20"/>
              </w:rPr>
              <w:t>Definition</w:t>
            </w:r>
          </w:p>
          <w:p w14:paraId="2E108821" w14:textId="223E5129" w:rsidR="00AB5922" w:rsidRPr="006A45FF" w:rsidRDefault="00C47D98" w:rsidP="003C7566">
            <w:pPr>
              <w:spacing w:after="60" w:line="276" w:lineRule="auto"/>
              <w:cnfStyle w:val="100000000000" w:firstRow="1" w:lastRow="0" w:firstColumn="0" w:lastColumn="0" w:oddVBand="0" w:evenVBand="0" w:oddHBand="0" w:evenHBand="0" w:firstRowFirstColumn="0" w:firstRowLastColumn="0" w:lastRowFirstColumn="0" w:lastRowLastColumn="0"/>
              <w:rPr>
                <w:rFonts w:cs="Arial"/>
                <w:b w:val="0"/>
                <w:bCs w:val="0"/>
                <w:i/>
                <w:iCs/>
                <w:sz w:val="20"/>
                <w:szCs w:val="20"/>
              </w:rPr>
            </w:pPr>
            <w:r>
              <w:rPr>
                <w:rFonts w:cs="Arial"/>
                <w:b w:val="0"/>
                <w:bCs w:val="0"/>
                <w:i/>
                <w:iCs/>
                <w:sz w:val="20"/>
                <w:szCs w:val="20"/>
              </w:rPr>
              <w:t>M</w:t>
            </w:r>
            <w:r w:rsidR="00AB5922" w:rsidRPr="006A45FF">
              <w:rPr>
                <w:rFonts w:cs="Arial"/>
                <w:b w:val="0"/>
                <w:bCs w:val="0"/>
                <w:i/>
                <w:iCs/>
                <w:sz w:val="20"/>
                <w:szCs w:val="20"/>
              </w:rPr>
              <w:t>eaning of the terms used in measure and formula</w:t>
            </w:r>
            <w:r w:rsidR="00AB5922">
              <w:rPr>
                <w:rFonts w:cs="Arial"/>
                <w:b w:val="0"/>
                <w:bCs w:val="0"/>
                <w:i/>
                <w:iCs/>
                <w:sz w:val="20"/>
                <w:szCs w:val="20"/>
              </w:rPr>
              <w:t xml:space="preserve"> column</w:t>
            </w:r>
          </w:p>
        </w:tc>
      </w:tr>
      <w:tr w:rsidR="00AB5922" w:rsidRPr="008D0D35" w14:paraId="6BD9BBF3" w14:textId="77777777" w:rsidTr="00870B97">
        <w:trPr>
          <w:trHeight w:val="934"/>
        </w:trPr>
        <w:tc>
          <w:tcPr>
            <w:cnfStyle w:val="001000000000" w:firstRow="0" w:lastRow="0" w:firstColumn="1" w:lastColumn="0" w:oddVBand="0" w:evenVBand="0" w:oddHBand="0" w:evenHBand="0" w:firstRowFirstColumn="0" w:firstRowLastColumn="0" w:lastRowFirstColumn="0" w:lastRowLastColumn="0"/>
            <w:tcW w:w="2551"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46866543" w14:textId="3F6773A7" w:rsidR="00AB5922" w:rsidRPr="008D0D35" w:rsidRDefault="00AB5922" w:rsidP="003C7566">
            <w:pPr>
              <w:spacing w:after="60" w:line="276" w:lineRule="auto"/>
              <w:rPr>
                <w:rFonts w:cs="Arial"/>
                <w:sz w:val="20"/>
                <w:szCs w:val="20"/>
              </w:rPr>
            </w:pPr>
            <w:r w:rsidRPr="005C3073">
              <w:rPr>
                <w:rFonts w:cs="Arial"/>
                <w:sz w:val="20"/>
                <w:szCs w:val="20"/>
              </w:rPr>
              <w:t xml:space="preserve">Total number of urinary antibiotic prescriptions </w:t>
            </w:r>
            <w:r w:rsidR="002F4A12">
              <w:rPr>
                <w:rFonts w:cs="Arial"/>
                <w:sz w:val="20"/>
                <w:szCs w:val="20"/>
              </w:rPr>
              <w:t xml:space="preserve">related to UTI </w:t>
            </w:r>
          </w:p>
        </w:tc>
        <w:tc>
          <w:tcPr>
            <w:tcW w:w="3686"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2CE78A8A" w14:textId="4677D11E" w:rsidR="00AB5922" w:rsidRPr="008D0D35" w:rsidRDefault="00AB5922" w:rsidP="003C7566">
            <w:pPr>
              <w:spacing w:after="60" w:line="276"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 xml:space="preserve">Count of </w:t>
            </w:r>
            <w:r w:rsidRPr="005C3073">
              <w:rPr>
                <w:rFonts w:cs="Arial"/>
                <w:sz w:val="20"/>
                <w:szCs w:val="20"/>
              </w:rPr>
              <w:t xml:space="preserve">urinary antibiotic prescriptions </w:t>
            </w:r>
            <w:r w:rsidR="00A87C79">
              <w:rPr>
                <w:rFonts w:cs="Arial"/>
                <w:sz w:val="20"/>
                <w:szCs w:val="20"/>
              </w:rPr>
              <w:t xml:space="preserve">related to </w:t>
            </w:r>
            <w:r w:rsidRPr="005C3073">
              <w:rPr>
                <w:rFonts w:cs="Arial"/>
                <w:sz w:val="20"/>
                <w:szCs w:val="20"/>
              </w:rPr>
              <w:t>UTI per week</w:t>
            </w:r>
            <w:r>
              <w:rPr>
                <w:rFonts w:cs="Arial"/>
                <w:sz w:val="20"/>
                <w:szCs w:val="20"/>
              </w:rPr>
              <w:t xml:space="preserve"> or </w:t>
            </w:r>
            <w:r w:rsidRPr="005C3073">
              <w:rPr>
                <w:rFonts w:cs="Arial"/>
                <w:sz w:val="20"/>
                <w:szCs w:val="20"/>
              </w:rPr>
              <w:t>month</w:t>
            </w:r>
          </w:p>
        </w:tc>
        <w:tc>
          <w:tcPr>
            <w:tcW w:w="2551"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tcPr>
          <w:p w14:paraId="6BD498B4" w14:textId="28C811D5" w:rsidR="00AB5922" w:rsidRPr="008D0D35" w:rsidRDefault="00AB5922" w:rsidP="003C7566">
            <w:pPr>
              <w:spacing w:after="60" w:line="276"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sidRPr="008D0D35">
              <w:rPr>
                <w:rFonts w:cs="Arial"/>
                <w:sz w:val="20"/>
                <w:szCs w:val="20"/>
              </w:rPr>
              <w:t xml:space="preserve">Count one prescription per UTI </w:t>
            </w:r>
            <w:r>
              <w:rPr>
                <w:rFonts w:cs="Arial"/>
                <w:sz w:val="20"/>
                <w:szCs w:val="20"/>
              </w:rPr>
              <w:t>case</w:t>
            </w:r>
          </w:p>
        </w:tc>
      </w:tr>
      <w:tr w:rsidR="00AB5922" w:rsidRPr="008D0D35" w14:paraId="24B4C29F" w14:textId="77777777" w:rsidTr="00870B97">
        <w:tc>
          <w:tcPr>
            <w:cnfStyle w:val="001000000000" w:firstRow="0" w:lastRow="0" w:firstColumn="1" w:lastColumn="0" w:oddVBand="0" w:evenVBand="0" w:oddHBand="0" w:evenHBand="0" w:firstRowFirstColumn="0" w:firstRowLastColumn="0" w:lastRowFirstColumn="0" w:lastRowLastColumn="0"/>
            <w:tcW w:w="2551"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tcPr>
          <w:p w14:paraId="408D1AFD" w14:textId="2E97DBD6" w:rsidR="00AB5922" w:rsidRPr="008D0D35" w:rsidRDefault="00AB5922" w:rsidP="003C7566">
            <w:pPr>
              <w:spacing w:after="60" w:line="276" w:lineRule="auto"/>
              <w:rPr>
                <w:rFonts w:cs="Arial"/>
                <w:sz w:val="20"/>
                <w:szCs w:val="20"/>
              </w:rPr>
            </w:pPr>
            <w:r w:rsidRPr="005C3073">
              <w:rPr>
                <w:rFonts w:cs="Arial"/>
                <w:sz w:val="20"/>
                <w:szCs w:val="20"/>
              </w:rPr>
              <w:t>Total number of UTI</w:t>
            </w:r>
          </w:p>
        </w:tc>
        <w:tc>
          <w:tcPr>
            <w:tcW w:w="3686"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tcPr>
          <w:p w14:paraId="00513F45" w14:textId="1AF41093" w:rsidR="00AB5922" w:rsidRDefault="00AB5922" w:rsidP="003C7566">
            <w:pPr>
              <w:spacing w:after="60" w:line="276"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 xml:space="preserve">Count of </w:t>
            </w:r>
            <w:r w:rsidR="00E31A54">
              <w:rPr>
                <w:rFonts w:cs="Arial"/>
                <w:sz w:val="20"/>
                <w:szCs w:val="20"/>
              </w:rPr>
              <w:t xml:space="preserve">cases </w:t>
            </w:r>
            <w:r>
              <w:rPr>
                <w:rFonts w:cs="Arial"/>
                <w:sz w:val="20"/>
                <w:szCs w:val="20"/>
              </w:rPr>
              <w:t>UTI per week or month</w:t>
            </w:r>
          </w:p>
          <w:p w14:paraId="47F4E7FF" w14:textId="71EDC418" w:rsidR="00AB5922" w:rsidRPr="008D0D35" w:rsidRDefault="00241B67" w:rsidP="003C7566">
            <w:pPr>
              <w:spacing w:after="60" w:line="276"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UTI</w:t>
            </w:r>
            <w:r w:rsidR="00525A29">
              <w:rPr>
                <w:rFonts w:cs="Arial"/>
                <w:sz w:val="20"/>
                <w:szCs w:val="20"/>
              </w:rPr>
              <w:t xml:space="preserve"> </w:t>
            </w:r>
            <w:r>
              <w:rPr>
                <w:rFonts w:cs="Arial"/>
                <w:sz w:val="20"/>
                <w:szCs w:val="20"/>
              </w:rPr>
              <w:t xml:space="preserve">= met clinical </w:t>
            </w:r>
            <w:r w:rsidRPr="008D0D35">
              <w:rPr>
                <w:rFonts w:cs="Arial"/>
                <w:sz w:val="20"/>
                <w:szCs w:val="20"/>
              </w:rPr>
              <w:t>signs and symptoms criteria</w:t>
            </w:r>
            <w:r>
              <w:rPr>
                <w:rFonts w:cs="Arial"/>
                <w:sz w:val="20"/>
                <w:szCs w:val="20"/>
              </w:rPr>
              <w:t xml:space="preserve"> +</w:t>
            </w:r>
            <w:r w:rsidR="00525A29">
              <w:rPr>
                <w:rFonts w:cs="Arial"/>
                <w:sz w:val="20"/>
                <w:szCs w:val="20"/>
              </w:rPr>
              <w:t xml:space="preserve"> </w:t>
            </w:r>
            <w:r>
              <w:rPr>
                <w:rFonts w:cs="Arial"/>
                <w:sz w:val="20"/>
                <w:szCs w:val="20"/>
              </w:rPr>
              <w:t xml:space="preserve">laboratory results </w:t>
            </w:r>
            <w:r w:rsidR="00B676FB">
              <w:rPr>
                <w:rFonts w:cs="Arial"/>
                <w:sz w:val="20"/>
                <w:szCs w:val="20"/>
              </w:rPr>
              <w:t xml:space="preserve">within </w:t>
            </w:r>
            <w:r w:rsidR="00B676FB" w:rsidRPr="00B676FB">
              <w:rPr>
                <w:rFonts w:cs="Arial"/>
                <w:sz w:val="20"/>
                <w:szCs w:val="20"/>
              </w:rPr>
              <w:t>range as described in decision</w:t>
            </w:r>
            <w:r w:rsidR="00525A29">
              <w:rPr>
                <w:rFonts w:cs="Arial"/>
                <w:sz w:val="20"/>
                <w:szCs w:val="20"/>
              </w:rPr>
              <w:t>-</w:t>
            </w:r>
            <w:r w:rsidR="00B676FB" w:rsidRPr="00B676FB">
              <w:rPr>
                <w:rFonts w:cs="Arial"/>
                <w:sz w:val="20"/>
                <w:szCs w:val="20"/>
              </w:rPr>
              <w:t>support tool</w:t>
            </w:r>
          </w:p>
        </w:tc>
        <w:tc>
          <w:tcPr>
            <w:tcW w:w="2551"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tcPr>
          <w:p w14:paraId="73342F7A" w14:textId="3EA4F082" w:rsidR="00B676FB" w:rsidRPr="008D0D35" w:rsidRDefault="00AB5922" w:rsidP="003C7566">
            <w:pPr>
              <w:spacing w:after="60" w:line="276"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sidRPr="008D0D35">
              <w:rPr>
                <w:rFonts w:cs="Arial"/>
                <w:sz w:val="20"/>
                <w:szCs w:val="20"/>
              </w:rPr>
              <w:t xml:space="preserve">UTI refers to any case </w:t>
            </w:r>
            <w:r>
              <w:rPr>
                <w:rFonts w:cs="Arial"/>
                <w:sz w:val="20"/>
                <w:szCs w:val="20"/>
              </w:rPr>
              <w:t xml:space="preserve">that </w:t>
            </w:r>
            <w:r w:rsidRPr="008D0D35">
              <w:rPr>
                <w:rFonts w:cs="Arial"/>
                <w:sz w:val="20"/>
                <w:szCs w:val="20"/>
              </w:rPr>
              <w:t xml:space="preserve">meets the </w:t>
            </w:r>
            <w:r>
              <w:rPr>
                <w:rFonts w:cs="Arial"/>
                <w:sz w:val="20"/>
                <w:szCs w:val="20"/>
              </w:rPr>
              <w:t xml:space="preserve">clinical </w:t>
            </w:r>
            <w:r w:rsidRPr="008D0D35">
              <w:rPr>
                <w:rFonts w:cs="Arial"/>
                <w:sz w:val="20"/>
                <w:szCs w:val="20"/>
              </w:rPr>
              <w:t>signs and symptoms criteria and a urine culture result within a specified range</w:t>
            </w:r>
            <w:r>
              <w:rPr>
                <w:rFonts w:cs="Arial"/>
                <w:sz w:val="20"/>
                <w:szCs w:val="20"/>
              </w:rPr>
              <w:t xml:space="preserve"> as described in </w:t>
            </w:r>
            <w:r w:rsidR="00525A29">
              <w:rPr>
                <w:rFonts w:cs="Arial"/>
                <w:sz w:val="20"/>
                <w:szCs w:val="20"/>
              </w:rPr>
              <w:t xml:space="preserve">the </w:t>
            </w:r>
            <w:r>
              <w:rPr>
                <w:rFonts w:cs="Arial"/>
                <w:sz w:val="20"/>
                <w:szCs w:val="20"/>
              </w:rPr>
              <w:t>decision</w:t>
            </w:r>
            <w:r w:rsidR="00525A29">
              <w:rPr>
                <w:rFonts w:cs="Arial"/>
                <w:sz w:val="20"/>
                <w:szCs w:val="20"/>
              </w:rPr>
              <w:t>-</w:t>
            </w:r>
            <w:r>
              <w:rPr>
                <w:rFonts w:cs="Arial"/>
                <w:sz w:val="20"/>
                <w:szCs w:val="20"/>
              </w:rPr>
              <w:t>support tool</w:t>
            </w:r>
          </w:p>
        </w:tc>
      </w:tr>
    </w:tbl>
    <w:p w14:paraId="459B061C" w14:textId="77777777" w:rsidR="00CE1F4C" w:rsidRPr="00803FD9" w:rsidRDefault="00CE1F4C" w:rsidP="00CE1F4C">
      <w:pPr>
        <w:rPr>
          <w:sz w:val="22"/>
          <w:szCs w:val="20"/>
        </w:rPr>
      </w:pPr>
    </w:p>
    <w:p w14:paraId="4B0AFBAA" w14:textId="52A6927F" w:rsidR="005C3073" w:rsidRPr="00DE13EE" w:rsidRDefault="005C3073" w:rsidP="00C003F4">
      <w:pPr>
        <w:spacing w:line="276" w:lineRule="auto"/>
        <w:rPr>
          <w:b/>
          <w:bCs/>
          <w:sz w:val="22"/>
          <w:szCs w:val="20"/>
        </w:rPr>
      </w:pPr>
      <w:r w:rsidRPr="00DE13EE">
        <w:rPr>
          <w:b/>
          <w:bCs/>
          <w:sz w:val="22"/>
          <w:szCs w:val="20"/>
        </w:rPr>
        <w:t>Process measures</w:t>
      </w:r>
    </w:p>
    <w:tbl>
      <w:tblPr>
        <w:tblStyle w:val="GridTable1Light-Accent61"/>
        <w:tblW w:w="8787" w:type="dxa"/>
        <w:tblInd w:w="-5" w:type="dxa"/>
        <w:tblLook w:val="04A0" w:firstRow="1" w:lastRow="0" w:firstColumn="1" w:lastColumn="0" w:noHBand="0" w:noVBand="1"/>
      </w:tblPr>
      <w:tblGrid>
        <w:gridCol w:w="2551"/>
        <w:gridCol w:w="3685"/>
        <w:gridCol w:w="2551"/>
      </w:tblGrid>
      <w:tr w:rsidR="00870B97" w:rsidRPr="003C7566" w14:paraId="3C9D27E3" w14:textId="77777777" w:rsidTr="00870B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1" w:type="dxa"/>
            <w:tcBorders>
              <w:top w:val="single" w:sz="4" w:space="0" w:color="C5E0B3" w:themeColor="accent6" w:themeTint="66"/>
              <w:left w:val="single" w:sz="4" w:space="0" w:color="C5E0B3" w:themeColor="accent6" w:themeTint="66"/>
              <w:right w:val="single" w:sz="4" w:space="0" w:color="C5E0B3" w:themeColor="accent6" w:themeTint="66"/>
            </w:tcBorders>
            <w:hideMark/>
          </w:tcPr>
          <w:p w14:paraId="764FA23B" w14:textId="77777777" w:rsidR="009419E8" w:rsidRPr="003C7566" w:rsidRDefault="009419E8" w:rsidP="00DE13EE">
            <w:pPr>
              <w:spacing w:after="60" w:line="276" w:lineRule="auto"/>
              <w:rPr>
                <w:rFonts w:cs="Arial"/>
                <w:sz w:val="20"/>
                <w:szCs w:val="20"/>
              </w:rPr>
            </w:pPr>
            <w:r w:rsidRPr="003C7566">
              <w:rPr>
                <w:rFonts w:cs="Arial"/>
                <w:sz w:val="20"/>
                <w:szCs w:val="20"/>
              </w:rPr>
              <w:t>Measure</w:t>
            </w:r>
          </w:p>
        </w:tc>
        <w:tc>
          <w:tcPr>
            <w:tcW w:w="3685" w:type="dxa"/>
            <w:tcBorders>
              <w:top w:val="single" w:sz="4" w:space="0" w:color="C5E0B3" w:themeColor="accent6" w:themeTint="66"/>
              <w:left w:val="single" w:sz="4" w:space="0" w:color="C5E0B3" w:themeColor="accent6" w:themeTint="66"/>
              <w:right w:val="single" w:sz="4" w:space="0" w:color="C5E0B3" w:themeColor="accent6" w:themeTint="66"/>
            </w:tcBorders>
            <w:hideMark/>
          </w:tcPr>
          <w:p w14:paraId="680FAC8A" w14:textId="77777777" w:rsidR="009419E8" w:rsidRPr="003C7566" w:rsidRDefault="009419E8" w:rsidP="00DE13EE">
            <w:pPr>
              <w:spacing w:after="60" w:line="276" w:lineRule="auto"/>
              <w:cnfStyle w:val="100000000000" w:firstRow="1" w:lastRow="0" w:firstColumn="0" w:lastColumn="0" w:oddVBand="0" w:evenVBand="0" w:oddHBand="0" w:evenHBand="0" w:firstRowFirstColumn="0" w:firstRowLastColumn="0" w:lastRowFirstColumn="0" w:lastRowLastColumn="0"/>
              <w:rPr>
                <w:rFonts w:cs="Arial"/>
                <w:sz w:val="20"/>
                <w:szCs w:val="20"/>
              </w:rPr>
            </w:pPr>
            <w:r w:rsidRPr="003C7566">
              <w:rPr>
                <w:rFonts w:cs="Arial"/>
                <w:sz w:val="20"/>
                <w:szCs w:val="20"/>
              </w:rPr>
              <w:t>Formula</w:t>
            </w:r>
          </w:p>
        </w:tc>
        <w:tc>
          <w:tcPr>
            <w:tcW w:w="2551" w:type="dxa"/>
            <w:tcBorders>
              <w:top w:val="single" w:sz="4" w:space="0" w:color="C5E0B3" w:themeColor="accent6" w:themeTint="66"/>
              <w:left w:val="single" w:sz="4" w:space="0" w:color="C5E0B3" w:themeColor="accent6" w:themeTint="66"/>
              <w:right w:val="single" w:sz="4" w:space="0" w:color="C5E0B3" w:themeColor="accent6" w:themeTint="66"/>
            </w:tcBorders>
            <w:hideMark/>
          </w:tcPr>
          <w:p w14:paraId="3C5B14C2" w14:textId="77777777" w:rsidR="009419E8" w:rsidRPr="003C7566" w:rsidRDefault="009419E8" w:rsidP="00DE13EE">
            <w:pPr>
              <w:spacing w:after="60" w:line="276" w:lineRule="auto"/>
              <w:cnfStyle w:val="100000000000" w:firstRow="1" w:lastRow="0" w:firstColumn="0" w:lastColumn="0" w:oddVBand="0" w:evenVBand="0" w:oddHBand="0" w:evenHBand="0" w:firstRowFirstColumn="0" w:firstRowLastColumn="0" w:lastRowFirstColumn="0" w:lastRowLastColumn="0"/>
              <w:rPr>
                <w:rFonts w:cs="Arial"/>
                <w:sz w:val="20"/>
                <w:szCs w:val="20"/>
              </w:rPr>
            </w:pPr>
            <w:r w:rsidRPr="003C7566">
              <w:rPr>
                <w:rFonts w:cs="Arial"/>
                <w:sz w:val="20"/>
                <w:szCs w:val="20"/>
              </w:rPr>
              <w:t>Definition</w:t>
            </w:r>
          </w:p>
        </w:tc>
      </w:tr>
      <w:tr w:rsidR="00870B97" w:rsidRPr="003C7566" w14:paraId="369E8F5B" w14:textId="77777777" w:rsidTr="00870B97">
        <w:tc>
          <w:tcPr>
            <w:cnfStyle w:val="001000000000" w:firstRow="0" w:lastRow="0" w:firstColumn="1" w:lastColumn="0" w:oddVBand="0" w:evenVBand="0" w:oddHBand="0" w:evenHBand="0" w:firstRowFirstColumn="0" w:firstRowLastColumn="0" w:lastRowFirstColumn="0" w:lastRowLastColumn="0"/>
            <w:tcW w:w="2551" w:type="dxa"/>
            <w:tcBorders>
              <w:top w:val="single" w:sz="4" w:space="0" w:color="C5E0B3" w:themeColor="accent6" w:themeTint="66"/>
              <w:left w:val="single" w:sz="4" w:space="0" w:color="C5E0B3" w:themeColor="accent6" w:themeTint="66"/>
              <w:right w:val="single" w:sz="4" w:space="0" w:color="C5E0B3" w:themeColor="accent6" w:themeTint="66"/>
            </w:tcBorders>
          </w:tcPr>
          <w:p w14:paraId="394473F7" w14:textId="15965C07" w:rsidR="009419E8" w:rsidRPr="003C7566" w:rsidRDefault="009419E8" w:rsidP="00DE13EE">
            <w:pPr>
              <w:spacing w:after="60" w:line="276" w:lineRule="auto"/>
              <w:rPr>
                <w:rFonts w:cs="Arial"/>
                <w:sz w:val="20"/>
                <w:szCs w:val="20"/>
              </w:rPr>
            </w:pPr>
            <w:r w:rsidRPr="003C7566">
              <w:rPr>
                <w:rFonts w:cs="Arial"/>
                <w:sz w:val="20"/>
                <w:szCs w:val="20"/>
              </w:rPr>
              <w:t>Percentage of urine specimen</w:t>
            </w:r>
            <w:r w:rsidR="00525A29" w:rsidRPr="003C7566">
              <w:rPr>
                <w:rFonts w:cs="Arial"/>
                <w:sz w:val="20"/>
                <w:szCs w:val="20"/>
              </w:rPr>
              <w:t>s</w:t>
            </w:r>
            <w:r w:rsidRPr="003C7566">
              <w:rPr>
                <w:rFonts w:cs="Arial"/>
                <w:sz w:val="20"/>
                <w:szCs w:val="20"/>
              </w:rPr>
              <w:t xml:space="preserve"> sen</w:t>
            </w:r>
            <w:r w:rsidR="00525A29" w:rsidRPr="003C7566">
              <w:rPr>
                <w:rFonts w:cs="Arial"/>
                <w:sz w:val="20"/>
                <w:szCs w:val="20"/>
              </w:rPr>
              <w:t>t</w:t>
            </w:r>
            <w:r w:rsidRPr="003C7566">
              <w:rPr>
                <w:rFonts w:cs="Arial"/>
                <w:sz w:val="20"/>
                <w:szCs w:val="20"/>
              </w:rPr>
              <w:t xml:space="preserve"> to laboratory for microscopy culture and sensitivity (MC&amp;S) testing that met criteria</w:t>
            </w:r>
          </w:p>
        </w:tc>
        <w:tc>
          <w:tcPr>
            <w:tcW w:w="3685" w:type="dxa"/>
            <w:tcBorders>
              <w:top w:val="single" w:sz="4" w:space="0" w:color="C5E0B3" w:themeColor="accent6" w:themeTint="66"/>
              <w:left w:val="single" w:sz="4" w:space="0" w:color="C5E0B3" w:themeColor="accent6" w:themeTint="66"/>
              <w:right w:val="single" w:sz="4" w:space="0" w:color="C5E0B3" w:themeColor="accent6" w:themeTint="66"/>
            </w:tcBorders>
          </w:tcPr>
          <w:p w14:paraId="6C09F653" w14:textId="445527BF" w:rsidR="009419E8" w:rsidRPr="003C7566" w:rsidRDefault="009419E8" w:rsidP="00DE13EE">
            <w:pPr>
              <w:spacing w:after="60" w:line="276"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sidRPr="003C7566">
              <w:rPr>
                <w:rFonts w:cs="Arial"/>
                <w:sz w:val="20"/>
                <w:szCs w:val="20"/>
              </w:rPr>
              <w:t>Numerator: Total number of urine samples sen</w:t>
            </w:r>
            <w:r w:rsidR="00525A29" w:rsidRPr="003C7566">
              <w:rPr>
                <w:rFonts w:cs="Arial"/>
                <w:sz w:val="20"/>
                <w:szCs w:val="20"/>
              </w:rPr>
              <w:t>t</w:t>
            </w:r>
            <w:r w:rsidRPr="003C7566">
              <w:rPr>
                <w:rFonts w:cs="Arial"/>
                <w:sz w:val="20"/>
                <w:szCs w:val="20"/>
              </w:rPr>
              <w:t xml:space="preserve"> to laboratory for MC&amp;S testing that met the clinical criteria of UTI</w:t>
            </w:r>
          </w:p>
          <w:p w14:paraId="0BA0537D" w14:textId="53652706" w:rsidR="009419E8" w:rsidRPr="003C7566" w:rsidRDefault="009419E8" w:rsidP="00DE13EE">
            <w:pPr>
              <w:spacing w:after="60" w:line="276"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sidRPr="003C7566">
              <w:rPr>
                <w:rFonts w:cs="Arial"/>
                <w:sz w:val="20"/>
                <w:szCs w:val="20"/>
              </w:rPr>
              <w:t>Denominator: Total number of urine samples sen</w:t>
            </w:r>
            <w:r w:rsidR="00525A29" w:rsidRPr="003C7566">
              <w:rPr>
                <w:rFonts w:cs="Arial"/>
                <w:sz w:val="20"/>
                <w:szCs w:val="20"/>
              </w:rPr>
              <w:t>t</w:t>
            </w:r>
            <w:r w:rsidRPr="003C7566">
              <w:rPr>
                <w:rFonts w:cs="Arial"/>
                <w:sz w:val="20"/>
                <w:szCs w:val="20"/>
              </w:rPr>
              <w:t xml:space="preserve"> to laboratory for MC&amp;S testing</w:t>
            </w:r>
          </w:p>
          <w:p w14:paraId="122191B1" w14:textId="44E8B480" w:rsidR="009419E8" w:rsidRPr="003C7566" w:rsidRDefault="009419E8" w:rsidP="00DE13EE">
            <w:pPr>
              <w:spacing w:after="60" w:line="276"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sidRPr="003C7566">
              <w:rPr>
                <w:rFonts w:cs="Arial"/>
                <w:sz w:val="20"/>
                <w:szCs w:val="20"/>
              </w:rPr>
              <w:t>% = (</w:t>
            </w:r>
            <w:r w:rsidR="00525A29" w:rsidRPr="003C7566">
              <w:rPr>
                <w:rFonts w:cs="Arial"/>
                <w:sz w:val="20"/>
                <w:szCs w:val="20"/>
              </w:rPr>
              <w:t>t</w:t>
            </w:r>
            <w:r w:rsidRPr="003C7566">
              <w:rPr>
                <w:rFonts w:cs="Arial"/>
                <w:sz w:val="20"/>
                <w:szCs w:val="20"/>
              </w:rPr>
              <w:t>otal number of urine samples sen</w:t>
            </w:r>
            <w:r w:rsidR="00525A29" w:rsidRPr="003C7566">
              <w:rPr>
                <w:rFonts w:cs="Arial"/>
                <w:sz w:val="20"/>
                <w:szCs w:val="20"/>
              </w:rPr>
              <w:t>t</w:t>
            </w:r>
            <w:r w:rsidRPr="003C7566">
              <w:rPr>
                <w:rFonts w:cs="Arial"/>
                <w:sz w:val="20"/>
                <w:szCs w:val="20"/>
              </w:rPr>
              <w:t xml:space="preserve"> to laboratory for MC&amp;S testing that met the clinical criteria of UTI </w:t>
            </w:r>
            <w:r w:rsidR="00DE61C9" w:rsidRPr="003C7566">
              <w:rPr>
                <w:rFonts w:cs="Arial"/>
                <w:sz w:val="20"/>
                <w:szCs w:val="20"/>
              </w:rPr>
              <w:t>÷</w:t>
            </w:r>
            <w:r w:rsidRPr="003C7566">
              <w:rPr>
                <w:rFonts w:cs="Arial"/>
                <w:sz w:val="20"/>
                <w:szCs w:val="20"/>
              </w:rPr>
              <w:t xml:space="preserve"> </w:t>
            </w:r>
            <w:r w:rsidR="00DE61C9" w:rsidRPr="003C7566">
              <w:rPr>
                <w:rFonts w:cs="Arial"/>
                <w:sz w:val="20"/>
                <w:szCs w:val="20"/>
              </w:rPr>
              <w:t>t</w:t>
            </w:r>
            <w:r w:rsidRPr="003C7566">
              <w:rPr>
                <w:rFonts w:cs="Arial"/>
                <w:sz w:val="20"/>
                <w:szCs w:val="20"/>
              </w:rPr>
              <w:t>otal number of urine samples sen</w:t>
            </w:r>
            <w:r w:rsidR="00DE61C9" w:rsidRPr="003C7566">
              <w:rPr>
                <w:rFonts w:cs="Arial"/>
                <w:sz w:val="20"/>
                <w:szCs w:val="20"/>
              </w:rPr>
              <w:t>t</w:t>
            </w:r>
            <w:r w:rsidRPr="003C7566">
              <w:rPr>
                <w:rFonts w:cs="Arial"/>
                <w:sz w:val="20"/>
                <w:szCs w:val="20"/>
              </w:rPr>
              <w:t xml:space="preserve"> to laboratory for MC&amp;S testing) × 100</w:t>
            </w:r>
          </w:p>
        </w:tc>
        <w:tc>
          <w:tcPr>
            <w:tcW w:w="2551" w:type="dxa"/>
            <w:tcBorders>
              <w:top w:val="single" w:sz="4" w:space="0" w:color="C5E0B3" w:themeColor="accent6" w:themeTint="66"/>
              <w:left w:val="single" w:sz="4" w:space="0" w:color="C5E0B3" w:themeColor="accent6" w:themeTint="66"/>
              <w:right w:val="single" w:sz="4" w:space="0" w:color="C5E0B3" w:themeColor="accent6" w:themeTint="66"/>
            </w:tcBorders>
          </w:tcPr>
          <w:p w14:paraId="2CDEE74D" w14:textId="13218180" w:rsidR="009419E8" w:rsidRPr="003C7566" w:rsidRDefault="009419E8" w:rsidP="00DE13EE">
            <w:pPr>
              <w:spacing w:after="60" w:line="276"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sidRPr="003C7566">
              <w:rPr>
                <w:rFonts w:cs="Arial"/>
                <w:sz w:val="20"/>
                <w:szCs w:val="20"/>
              </w:rPr>
              <w:t>Clinical criteria refer to the signs and symptoms criteria specified in the decision</w:t>
            </w:r>
            <w:r w:rsidR="00DE61C9" w:rsidRPr="003C7566">
              <w:rPr>
                <w:rFonts w:cs="Arial"/>
                <w:sz w:val="20"/>
                <w:szCs w:val="20"/>
              </w:rPr>
              <w:t>-</w:t>
            </w:r>
            <w:r w:rsidRPr="003C7566">
              <w:rPr>
                <w:rFonts w:cs="Arial"/>
                <w:sz w:val="20"/>
                <w:szCs w:val="20"/>
              </w:rPr>
              <w:t>support tool for UTI</w:t>
            </w:r>
          </w:p>
        </w:tc>
      </w:tr>
      <w:tr w:rsidR="00870B97" w:rsidRPr="003C7566" w14:paraId="2F51DF1F" w14:textId="77777777" w:rsidTr="00870B97">
        <w:tc>
          <w:tcPr>
            <w:cnfStyle w:val="001000000000" w:firstRow="0" w:lastRow="0" w:firstColumn="1" w:lastColumn="0" w:oddVBand="0" w:evenVBand="0" w:oddHBand="0" w:evenHBand="0" w:firstRowFirstColumn="0" w:firstRowLastColumn="0" w:lastRowFirstColumn="0" w:lastRowLastColumn="0"/>
            <w:tcW w:w="2551"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741004E1" w14:textId="2E617362" w:rsidR="009419E8" w:rsidRPr="003C7566" w:rsidRDefault="009419E8" w:rsidP="00DE13EE">
            <w:pPr>
              <w:spacing w:after="60" w:line="276" w:lineRule="auto"/>
              <w:rPr>
                <w:rFonts w:cs="Arial"/>
                <w:sz w:val="20"/>
                <w:szCs w:val="20"/>
              </w:rPr>
            </w:pPr>
            <w:r w:rsidRPr="003C7566">
              <w:rPr>
                <w:rFonts w:cs="Arial"/>
                <w:sz w:val="20"/>
                <w:szCs w:val="20"/>
              </w:rPr>
              <w:t xml:space="preserve">Percentage of urinary antibiotic prescriptions where signs and </w:t>
            </w:r>
            <w:r w:rsidRPr="003C7566">
              <w:rPr>
                <w:rFonts w:cs="Arial"/>
                <w:sz w:val="20"/>
                <w:szCs w:val="20"/>
              </w:rPr>
              <w:lastRenderedPageBreak/>
              <w:t>symptoms met the criteria for UTI according to the decision-support tool</w:t>
            </w:r>
          </w:p>
        </w:tc>
        <w:tc>
          <w:tcPr>
            <w:tcW w:w="3685"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4DB867A3" w14:textId="12D34286" w:rsidR="009419E8" w:rsidRPr="003C7566" w:rsidRDefault="009419E8" w:rsidP="00DE13EE">
            <w:pPr>
              <w:spacing w:after="60" w:line="276"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sidRPr="003C7566">
              <w:rPr>
                <w:rFonts w:cs="Arial"/>
                <w:sz w:val="20"/>
                <w:szCs w:val="20"/>
              </w:rPr>
              <w:lastRenderedPageBreak/>
              <w:t xml:space="preserve">Numerator: Total number of urinary antibiotic prescriptions where signs </w:t>
            </w:r>
            <w:r w:rsidRPr="003C7566">
              <w:rPr>
                <w:rFonts w:cs="Arial"/>
                <w:sz w:val="20"/>
                <w:szCs w:val="20"/>
              </w:rPr>
              <w:lastRenderedPageBreak/>
              <w:t>and symptoms met criteria for UTI according to the decision-support tool</w:t>
            </w:r>
          </w:p>
          <w:p w14:paraId="5A4209A4" w14:textId="366CC011" w:rsidR="009419E8" w:rsidRPr="003C7566" w:rsidRDefault="009419E8" w:rsidP="00DE13EE">
            <w:pPr>
              <w:spacing w:after="60" w:line="276"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sidRPr="003C7566">
              <w:rPr>
                <w:rFonts w:cs="Arial"/>
                <w:sz w:val="20"/>
                <w:szCs w:val="20"/>
              </w:rPr>
              <w:t>Denominator: Total number of suspected UTI cases</w:t>
            </w:r>
          </w:p>
          <w:p w14:paraId="3278BE08" w14:textId="3312B9E8" w:rsidR="009419E8" w:rsidRPr="003C7566" w:rsidRDefault="009419E8" w:rsidP="00DE13EE">
            <w:pPr>
              <w:spacing w:after="60" w:line="276"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sidRPr="003C7566">
              <w:rPr>
                <w:rFonts w:cs="Arial"/>
                <w:sz w:val="20"/>
                <w:szCs w:val="20"/>
              </w:rPr>
              <w:t>% = (total number of urinary antibiotic prescriptions where signs and symptoms met criteria for UTI according to the decision-support tool</w:t>
            </w:r>
            <w:r w:rsidR="00602BE3" w:rsidRPr="003C7566">
              <w:rPr>
                <w:rFonts w:cs="Arial"/>
                <w:sz w:val="20"/>
                <w:szCs w:val="20"/>
              </w:rPr>
              <w:t xml:space="preserve"> ÷ </w:t>
            </w:r>
            <w:r w:rsidRPr="003C7566">
              <w:rPr>
                <w:rFonts w:cs="Arial"/>
                <w:sz w:val="20"/>
                <w:szCs w:val="20"/>
              </w:rPr>
              <w:t>total number of suspected UTI cases) × 100</w:t>
            </w:r>
          </w:p>
        </w:tc>
        <w:tc>
          <w:tcPr>
            <w:tcW w:w="2551"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26AFF128" w14:textId="77777777" w:rsidR="009419E8" w:rsidRPr="003C7566" w:rsidRDefault="009419E8" w:rsidP="00DE13EE">
            <w:pPr>
              <w:spacing w:after="60" w:line="276"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sidRPr="003C7566">
              <w:rPr>
                <w:rFonts w:cs="Arial"/>
                <w:sz w:val="20"/>
                <w:szCs w:val="20"/>
              </w:rPr>
              <w:lastRenderedPageBreak/>
              <w:t>Count one prescription per UTI case</w:t>
            </w:r>
          </w:p>
          <w:p w14:paraId="46C35D6E" w14:textId="3469FA81" w:rsidR="009419E8" w:rsidRPr="003C7566" w:rsidRDefault="009419E8" w:rsidP="00DE13EE">
            <w:pPr>
              <w:spacing w:after="60" w:line="276"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sidRPr="003C7566">
              <w:rPr>
                <w:rFonts w:cs="Arial"/>
                <w:sz w:val="20"/>
                <w:szCs w:val="20"/>
              </w:rPr>
              <w:lastRenderedPageBreak/>
              <w:t>Here, case refers to every event of suspected UTI. This includes multiple events for the same residents, except those that reoccur within 2 weeks (unresolved UTI)</w:t>
            </w:r>
          </w:p>
          <w:p w14:paraId="5D1F107F" w14:textId="3B9BE571" w:rsidR="009419E8" w:rsidRPr="003C7566" w:rsidRDefault="009419E8" w:rsidP="00DE13EE">
            <w:pPr>
              <w:spacing w:after="60" w:line="276"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sidRPr="003C7566">
              <w:rPr>
                <w:rFonts w:cs="Arial"/>
                <w:sz w:val="20"/>
                <w:szCs w:val="20"/>
              </w:rPr>
              <w:t>Suspected UTI refers to bacteriuria along with signs or symptoms (specific and/or non-specific) that may indicate treatment for UTI</w:t>
            </w:r>
          </w:p>
        </w:tc>
      </w:tr>
      <w:tr w:rsidR="00870B97" w:rsidRPr="003C7566" w14:paraId="5688813D" w14:textId="77777777" w:rsidTr="00870B97">
        <w:tc>
          <w:tcPr>
            <w:cnfStyle w:val="001000000000" w:firstRow="0" w:lastRow="0" w:firstColumn="1" w:lastColumn="0" w:oddVBand="0" w:evenVBand="0" w:oddHBand="0" w:evenHBand="0" w:firstRowFirstColumn="0" w:firstRowLastColumn="0" w:lastRowFirstColumn="0" w:lastRowLastColumn="0"/>
            <w:tcW w:w="2551"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72E96B3F" w14:textId="77777777" w:rsidR="009419E8" w:rsidRPr="003C7566" w:rsidRDefault="009419E8" w:rsidP="00DE13EE">
            <w:pPr>
              <w:spacing w:after="60" w:line="276" w:lineRule="auto"/>
              <w:rPr>
                <w:rFonts w:cs="Arial"/>
                <w:sz w:val="20"/>
                <w:szCs w:val="20"/>
              </w:rPr>
            </w:pPr>
            <w:r w:rsidRPr="003C7566">
              <w:rPr>
                <w:rFonts w:cs="Arial"/>
                <w:sz w:val="20"/>
                <w:szCs w:val="20"/>
              </w:rPr>
              <w:lastRenderedPageBreak/>
              <w:t>Percentage of suspected UTI cases where decision-support tool was used</w:t>
            </w:r>
          </w:p>
        </w:tc>
        <w:tc>
          <w:tcPr>
            <w:tcW w:w="3685"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7FC4388F" w14:textId="474F2D36" w:rsidR="009419E8" w:rsidRPr="003C7566" w:rsidRDefault="009419E8" w:rsidP="00DE13EE">
            <w:pPr>
              <w:spacing w:after="60" w:line="276"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sidRPr="003C7566">
              <w:rPr>
                <w:rFonts w:cs="Arial"/>
                <w:sz w:val="20"/>
                <w:szCs w:val="20"/>
              </w:rPr>
              <w:t xml:space="preserve">Numerator: Total number of suspected UTI cases where decision-support tool was used to diagnose </w:t>
            </w:r>
          </w:p>
          <w:p w14:paraId="25BABCB6" w14:textId="105F2DA3" w:rsidR="009419E8" w:rsidRPr="003C7566" w:rsidRDefault="009419E8" w:rsidP="00DE13EE">
            <w:pPr>
              <w:spacing w:after="60" w:line="276"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sidRPr="003C7566">
              <w:rPr>
                <w:rFonts w:cs="Arial"/>
                <w:sz w:val="20"/>
                <w:szCs w:val="20"/>
              </w:rPr>
              <w:t>Denominator: Total number of suspected UTI cases</w:t>
            </w:r>
          </w:p>
          <w:p w14:paraId="07E66837" w14:textId="46D9A7F6" w:rsidR="009419E8" w:rsidRPr="003C7566" w:rsidRDefault="009419E8" w:rsidP="00DE13EE">
            <w:pPr>
              <w:spacing w:after="60" w:line="276"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sidRPr="003C7566">
              <w:rPr>
                <w:rFonts w:cs="Arial"/>
                <w:sz w:val="20"/>
                <w:szCs w:val="20"/>
              </w:rPr>
              <w:t>% = (total number of suspected UTI cases where decision-support tool was used to diagnose</w:t>
            </w:r>
            <w:r w:rsidR="00560A33" w:rsidRPr="003C7566">
              <w:rPr>
                <w:rFonts w:cs="Arial"/>
                <w:sz w:val="20"/>
                <w:szCs w:val="20"/>
              </w:rPr>
              <w:t xml:space="preserve"> ÷ </w:t>
            </w:r>
            <w:r w:rsidRPr="003C7566">
              <w:rPr>
                <w:rFonts w:cs="Arial"/>
                <w:sz w:val="20"/>
                <w:szCs w:val="20"/>
              </w:rPr>
              <w:t>total number of suspected UTI cases) × 100</w:t>
            </w:r>
          </w:p>
        </w:tc>
        <w:tc>
          <w:tcPr>
            <w:tcW w:w="2551"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2D38AE25" w14:textId="7B9653FE" w:rsidR="009419E8" w:rsidRPr="003C7566" w:rsidRDefault="009419E8" w:rsidP="00DE13EE">
            <w:pPr>
              <w:spacing w:after="60" w:line="276"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sidRPr="003C7566">
              <w:rPr>
                <w:rFonts w:cs="Arial"/>
                <w:sz w:val="20"/>
                <w:szCs w:val="20"/>
              </w:rPr>
              <w:t>Here, case refers to every event of suspected UTI. This includes multiple events for the same residents, except those that reoccur within 2 weeks (unresolved UTI)</w:t>
            </w:r>
          </w:p>
          <w:p w14:paraId="540C153F" w14:textId="4B67986E" w:rsidR="009419E8" w:rsidRPr="003C7566" w:rsidRDefault="009419E8" w:rsidP="00DE13EE">
            <w:pPr>
              <w:spacing w:after="60" w:line="276"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sidRPr="003C7566">
              <w:rPr>
                <w:rFonts w:cs="Arial"/>
                <w:sz w:val="20"/>
                <w:szCs w:val="20"/>
              </w:rPr>
              <w:t>Suspected UTI refers to bacteriuria along with signs or symptoms (specific and/or non-specific) that may indicate treatment for UTI</w:t>
            </w:r>
          </w:p>
        </w:tc>
      </w:tr>
      <w:tr w:rsidR="00870B97" w:rsidRPr="003C7566" w14:paraId="0E78DF7E" w14:textId="77777777" w:rsidTr="00870B97">
        <w:tc>
          <w:tcPr>
            <w:cnfStyle w:val="001000000000" w:firstRow="0" w:lastRow="0" w:firstColumn="1" w:lastColumn="0" w:oddVBand="0" w:evenVBand="0" w:oddHBand="0" w:evenHBand="0" w:firstRowFirstColumn="0" w:firstRowLastColumn="0" w:lastRowFirstColumn="0" w:lastRowLastColumn="0"/>
            <w:tcW w:w="2551"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4DD2EF61" w14:textId="51323146" w:rsidR="009419E8" w:rsidRPr="003C7566" w:rsidRDefault="009419E8" w:rsidP="00DE13EE">
            <w:pPr>
              <w:spacing w:after="60" w:line="276" w:lineRule="auto"/>
              <w:rPr>
                <w:rFonts w:cs="Arial"/>
                <w:sz w:val="20"/>
                <w:szCs w:val="20"/>
              </w:rPr>
            </w:pPr>
            <w:r w:rsidRPr="003C7566">
              <w:rPr>
                <w:rFonts w:cs="Arial"/>
                <w:sz w:val="20"/>
                <w:szCs w:val="20"/>
              </w:rPr>
              <w:t>Percentage of suspected UTI cases where dipstick was not used to diagnose</w:t>
            </w:r>
          </w:p>
        </w:tc>
        <w:tc>
          <w:tcPr>
            <w:tcW w:w="3685"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30363D7F" w14:textId="6ADFB787" w:rsidR="009419E8" w:rsidRPr="003C7566" w:rsidRDefault="009419E8" w:rsidP="00DE13EE">
            <w:pPr>
              <w:spacing w:after="60" w:line="276"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sidRPr="003C7566">
              <w:rPr>
                <w:rFonts w:cs="Arial"/>
                <w:sz w:val="20"/>
                <w:szCs w:val="20"/>
              </w:rPr>
              <w:t xml:space="preserve">Numerator: Total number of suspected UTI cases where dipstick was not used to diagnose </w:t>
            </w:r>
          </w:p>
          <w:p w14:paraId="2BE20223" w14:textId="7E4567BE" w:rsidR="009419E8" w:rsidRPr="003C7566" w:rsidRDefault="009419E8" w:rsidP="00DE13EE">
            <w:pPr>
              <w:spacing w:after="60" w:line="276"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sidRPr="003C7566">
              <w:rPr>
                <w:rFonts w:cs="Arial"/>
                <w:sz w:val="20"/>
                <w:szCs w:val="20"/>
              </w:rPr>
              <w:t>Denominator: Total number of suspected UTI cases</w:t>
            </w:r>
          </w:p>
          <w:p w14:paraId="1878B9C1" w14:textId="317DB690" w:rsidR="009419E8" w:rsidRPr="003C7566" w:rsidRDefault="009419E8" w:rsidP="00DE13EE">
            <w:pPr>
              <w:spacing w:after="60" w:line="276"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sidRPr="003C7566">
              <w:rPr>
                <w:rFonts w:cs="Arial"/>
                <w:sz w:val="20"/>
                <w:szCs w:val="20"/>
              </w:rPr>
              <w:t>% = (total number of suspected UTI cases where dipstick was not used to diagnose</w:t>
            </w:r>
            <w:r w:rsidR="00507E46" w:rsidRPr="003C7566">
              <w:rPr>
                <w:rFonts w:cs="Arial"/>
                <w:sz w:val="20"/>
                <w:szCs w:val="20"/>
              </w:rPr>
              <w:t xml:space="preserve"> ÷ </w:t>
            </w:r>
            <w:r w:rsidRPr="003C7566">
              <w:rPr>
                <w:rFonts w:cs="Arial"/>
                <w:sz w:val="20"/>
                <w:szCs w:val="20"/>
              </w:rPr>
              <w:t>total number of suspected UTI cases) × 100</w:t>
            </w:r>
          </w:p>
        </w:tc>
        <w:tc>
          <w:tcPr>
            <w:tcW w:w="2551"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6A7AEE10" w14:textId="19809476" w:rsidR="009419E8" w:rsidRPr="003C7566" w:rsidRDefault="009419E8" w:rsidP="00DE13EE">
            <w:pPr>
              <w:spacing w:after="60" w:line="276"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sidRPr="003C7566">
              <w:rPr>
                <w:rFonts w:cs="Arial"/>
                <w:sz w:val="20"/>
                <w:szCs w:val="20"/>
              </w:rPr>
              <w:t>Here, ‘dipstick not used to diagnose’ means a dipstick was not used to rule in UTI</w:t>
            </w:r>
          </w:p>
          <w:p w14:paraId="090BCA8F" w14:textId="77777777" w:rsidR="009419E8" w:rsidRPr="003C7566" w:rsidRDefault="009419E8" w:rsidP="00DE13EE">
            <w:pPr>
              <w:spacing w:after="60" w:line="276"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sidRPr="003C7566">
              <w:rPr>
                <w:rFonts w:cs="Arial"/>
                <w:sz w:val="20"/>
                <w:szCs w:val="20"/>
              </w:rPr>
              <w:t>Suspected UTI refers to bacteriuria along with signs or symptoms (specific and/or non-specific) that may indicate treatment for UTI</w:t>
            </w:r>
          </w:p>
        </w:tc>
      </w:tr>
      <w:tr w:rsidR="00870B97" w:rsidRPr="003C7566" w14:paraId="5BAA07DB" w14:textId="77777777" w:rsidTr="00870B97">
        <w:tc>
          <w:tcPr>
            <w:cnfStyle w:val="001000000000" w:firstRow="0" w:lastRow="0" w:firstColumn="1" w:lastColumn="0" w:oddVBand="0" w:evenVBand="0" w:oddHBand="0" w:evenHBand="0" w:firstRowFirstColumn="0" w:firstRowLastColumn="0" w:lastRowFirstColumn="0" w:lastRowLastColumn="0"/>
            <w:tcW w:w="2551"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4E22A86F" w14:textId="03BE79E7" w:rsidR="009419E8" w:rsidRPr="003C7566" w:rsidRDefault="009419E8" w:rsidP="00DE13EE">
            <w:pPr>
              <w:spacing w:after="60" w:line="276" w:lineRule="auto"/>
              <w:rPr>
                <w:rFonts w:cs="Arial"/>
                <w:sz w:val="20"/>
                <w:szCs w:val="20"/>
              </w:rPr>
            </w:pPr>
            <w:r w:rsidRPr="003C7566">
              <w:rPr>
                <w:rFonts w:cs="Arial"/>
                <w:sz w:val="20"/>
                <w:szCs w:val="20"/>
              </w:rPr>
              <w:t>Percentage of cases where treatment was reviewed by the prescriber after the laboratory results were available</w:t>
            </w:r>
          </w:p>
        </w:tc>
        <w:tc>
          <w:tcPr>
            <w:tcW w:w="3685"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22A484FD" w14:textId="01D5CA02" w:rsidR="009419E8" w:rsidRPr="003C7566" w:rsidRDefault="009419E8" w:rsidP="00DE13EE">
            <w:pPr>
              <w:spacing w:after="60" w:line="276"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sidRPr="003C7566">
              <w:rPr>
                <w:rFonts w:cs="Arial"/>
                <w:sz w:val="20"/>
                <w:szCs w:val="20"/>
              </w:rPr>
              <w:t xml:space="preserve">Numerator: Total number of cases where treatment was reviewed by </w:t>
            </w:r>
            <w:r w:rsidR="00507E46" w:rsidRPr="003C7566">
              <w:rPr>
                <w:rFonts w:cs="Arial"/>
                <w:sz w:val="20"/>
                <w:szCs w:val="20"/>
              </w:rPr>
              <w:t xml:space="preserve">the </w:t>
            </w:r>
            <w:r w:rsidRPr="003C7566">
              <w:rPr>
                <w:rFonts w:cs="Arial"/>
                <w:sz w:val="20"/>
                <w:szCs w:val="20"/>
              </w:rPr>
              <w:t>prescriber after receiving the laboratory results</w:t>
            </w:r>
          </w:p>
          <w:p w14:paraId="19070CBB" w14:textId="45ACC8E7" w:rsidR="009419E8" w:rsidRPr="003C7566" w:rsidRDefault="009419E8" w:rsidP="00DE13EE">
            <w:pPr>
              <w:spacing w:after="60" w:line="276"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sidRPr="003C7566">
              <w:rPr>
                <w:rFonts w:cs="Arial"/>
                <w:sz w:val="20"/>
                <w:szCs w:val="20"/>
              </w:rPr>
              <w:t>Denominator: Total number of suspected UTI cases where signs and symptoms m</w:t>
            </w:r>
            <w:r w:rsidR="00C10107" w:rsidRPr="003C7566">
              <w:rPr>
                <w:rFonts w:cs="Arial"/>
                <w:sz w:val="20"/>
                <w:szCs w:val="20"/>
              </w:rPr>
              <w:t>e</w:t>
            </w:r>
            <w:r w:rsidRPr="003C7566">
              <w:rPr>
                <w:rFonts w:cs="Arial"/>
                <w:sz w:val="20"/>
                <w:szCs w:val="20"/>
              </w:rPr>
              <w:t xml:space="preserve">t criteria for UTI and MC&amp;S testing was requested </w:t>
            </w:r>
          </w:p>
          <w:p w14:paraId="28EFE0A6" w14:textId="3B4FE62F" w:rsidR="009419E8" w:rsidRPr="003C7566" w:rsidRDefault="009419E8" w:rsidP="00DE13EE">
            <w:pPr>
              <w:spacing w:after="60" w:line="276"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sidRPr="003C7566">
              <w:rPr>
                <w:rFonts w:cs="Arial"/>
                <w:sz w:val="20"/>
                <w:szCs w:val="20"/>
              </w:rPr>
              <w:t xml:space="preserve">% = (total number of cases where treatment was reviewed by </w:t>
            </w:r>
            <w:r w:rsidR="00C10107" w:rsidRPr="003C7566">
              <w:rPr>
                <w:rFonts w:cs="Arial"/>
                <w:sz w:val="20"/>
                <w:szCs w:val="20"/>
              </w:rPr>
              <w:t xml:space="preserve">the </w:t>
            </w:r>
            <w:r w:rsidRPr="003C7566">
              <w:rPr>
                <w:rFonts w:cs="Arial"/>
                <w:sz w:val="20"/>
                <w:szCs w:val="20"/>
              </w:rPr>
              <w:t>prescriber</w:t>
            </w:r>
            <w:r w:rsidR="00C10107" w:rsidRPr="003C7566">
              <w:rPr>
                <w:rFonts w:cs="Arial"/>
                <w:sz w:val="20"/>
                <w:szCs w:val="20"/>
              </w:rPr>
              <w:t xml:space="preserve"> ÷</w:t>
            </w:r>
            <w:r w:rsidRPr="003C7566">
              <w:rPr>
                <w:rFonts w:cs="Arial"/>
                <w:sz w:val="20"/>
                <w:szCs w:val="20"/>
              </w:rPr>
              <w:t xml:space="preserve"> </w:t>
            </w:r>
            <w:r w:rsidR="00C10107" w:rsidRPr="003C7566">
              <w:rPr>
                <w:rFonts w:cs="Arial"/>
                <w:sz w:val="20"/>
                <w:szCs w:val="20"/>
              </w:rPr>
              <w:t>t</w:t>
            </w:r>
            <w:r w:rsidRPr="003C7566">
              <w:rPr>
                <w:rFonts w:cs="Arial"/>
                <w:sz w:val="20"/>
                <w:szCs w:val="20"/>
              </w:rPr>
              <w:t>otal number of suspected UTI cases where signs and symptoms met criteria for UTI and MC&amp;S testing was requested) × 100</w:t>
            </w:r>
          </w:p>
        </w:tc>
        <w:tc>
          <w:tcPr>
            <w:tcW w:w="2551"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158A12A7" w14:textId="481EA2A0" w:rsidR="009419E8" w:rsidRPr="003C7566" w:rsidRDefault="009419E8" w:rsidP="00DE13EE">
            <w:pPr>
              <w:spacing w:after="60" w:line="276"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sidRPr="003C7566">
              <w:rPr>
                <w:rFonts w:cs="Arial"/>
                <w:sz w:val="20"/>
                <w:szCs w:val="20"/>
              </w:rPr>
              <w:t xml:space="preserve">Review refers to prescriber review of therapy based on clinical response and </w:t>
            </w:r>
            <w:r w:rsidR="00C10107" w:rsidRPr="003C7566">
              <w:rPr>
                <w:rFonts w:cs="Arial"/>
                <w:sz w:val="20"/>
                <w:szCs w:val="20"/>
              </w:rPr>
              <w:t>MC&amp;S</w:t>
            </w:r>
            <w:r w:rsidRPr="003C7566">
              <w:rPr>
                <w:rFonts w:cs="Arial"/>
                <w:sz w:val="20"/>
                <w:szCs w:val="20"/>
              </w:rPr>
              <w:t xml:space="preserve"> results</w:t>
            </w:r>
          </w:p>
        </w:tc>
      </w:tr>
      <w:tr w:rsidR="00870B97" w:rsidRPr="003C7566" w14:paraId="7059E85E" w14:textId="77777777" w:rsidTr="00870B97">
        <w:tc>
          <w:tcPr>
            <w:cnfStyle w:val="001000000000" w:firstRow="0" w:lastRow="0" w:firstColumn="1" w:lastColumn="0" w:oddVBand="0" w:evenVBand="0" w:oddHBand="0" w:evenHBand="0" w:firstRowFirstColumn="0" w:firstRowLastColumn="0" w:lastRowFirstColumn="0" w:lastRowLastColumn="0"/>
            <w:tcW w:w="2551"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24FC5220" w14:textId="77777777" w:rsidR="009419E8" w:rsidRPr="003C7566" w:rsidRDefault="009419E8" w:rsidP="00DE13EE">
            <w:pPr>
              <w:spacing w:after="60" w:line="276" w:lineRule="auto"/>
              <w:rPr>
                <w:rFonts w:cs="Arial"/>
                <w:sz w:val="20"/>
                <w:szCs w:val="20"/>
              </w:rPr>
            </w:pPr>
            <w:r w:rsidRPr="003C7566">
              <w:rPr>
                <w:rFonts w:cs="Arial"/>
                <w:sz w:val="20"/>
                <w:szCs w:val="20"/>
              </w:rPr>
              <w:lastRenderedPageBreak/>
              <w:t xml:space="preserve">Percentage increase in the staff antibiotic/UTI knowledge and awareness </w:t>
            </w:r>
          </w:p>
        </w:tc>
        <w:tc>
          <w:tcPr>
            <w:tcW w:w="3685"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7EE748DF" w14:textId="77777777" w:rsidR="009419E8" w:rsidRPr="003C7566" w:rsidRDefault="009419E8" w:rsidP="00DE13EE">
            <w:pPr>
              <w:spacing w:after="60" w:line="276"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sidRPr="003C7566">
              <w:rPr>
                <w:rFonts w:cs="Arial"/>
                <w:sz w:val="20"/>
                <w:szCs w:val="20"/>
              </w:rPr>
              <w:t>Percentage increase = (post-education survey score − pre-education survey score)/pre-education survey score × 100</w:t>
            </w:r>
          </w:p>
        </w:tc>
        <w:tc>
          <w:tcPr>
            <w:tcW w:w="2551"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tcPr>
          <w:p w14:paraId="2980283B" w14:textId="7527DCFB" w:rsidR="009419E8" w:rsidRPr="003C7566" w:rsidRDefault="009419E8" w:rsidP="00DE13EE">
            <w:pPr>
              <w:spacing w:after="60" w:line="276"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sidRPr="003C7566">
              <w:rPr>
                <w:rFonts w:cs="Arial"/>
                <w:sz w:val="20"/>
                <w:szCs w:val="20"/>
              </w:rPr>
              <w:t>Post</w:t>
            </w:r>
            <w:r w:rsidR="00CE3D1A" w:rsidRPr="003C7566">
              <w:rPr>
                <w:rFonts w:cs="Arial"/>
                <w:sz w:val="20"/>
                <w:szCs w:val="20"/>
              </w:rPr>
              <w:t>-</w:t>
            </w:r>
            <w:r w:rsidRPr="003C7566">
              <w:rPr>
                <w:rFonts w:cs="Arial"/>
                <w:sz w:val="20"/>
                <w:szCs w:val="20"/>
              </w:rPr>
              <w:t xml:space="preserve">education survey refers to the survey that teams can undertake after providing the education session to relevant staff as part of </w:t>
            </w:r>
            <w:r w:rsidR="00CE3D1A" w:rsidRPr="003C7566">
              <w:rPr>
                <w:rFonts w:cs="Arial"/>
                <w:sz w:val="20"/>
                <w:szCs w:val="20"/>
              </w:rPr>
              <w:t xml:space="preserve">the </w:t>
            </w:r>
            <w:r w:rsidRPr="003C7566">
              <w:rPr>
                <w:rFonts w:cs="Arial"/>
                <w:sz w:val="20"/>
                <w:szCs w:val="20"/>
              </w:rPr>
              <w:t>implementing phase</w:t>
            </w:r>
          </w:p>
          <w:p w14:paraId="165BEA48" w14:textId="79BD52FA" w:rsidR="009419E8" w:rsidRPr="003C7566" w:rsidRDefault="009419E8" w:rsidP="00DE13EE">
            <w:pPr>
              <w:spacing w:after="60" w:line="276"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sidRPr="003C7566">
              <w:rPr>
                <w:rFonts w:cs="Arial"/>
                <w:sz w:val="20"/>
                <w:szCs w:val="20"/>
              </w:rPr>
              <w:t>Pre</w:t>
            </w:r>
            <w:r w:rsidR="00CE3D1A" w:rsidRPr="003C7566">
              <w:rPr>
                <w:rFonts w:cs="Arial"/>
                <w:sz w:val="20"/>
                <w:szCs w:val="20"/>
              </w:rPr>
              <w:t>-</w:t>
            </w:r>
            <w:r w:rsidRPr="003C7566">
              <w:rPr>
                <w:rFonts w:cs="Arial"/>
                <w:sz w:val="20"/>
                <w:szCs w:val="20"/>
              </w:rPr>
              <w:t>education survey refers to survey carried out before implementing the interventions</w:t>
            </w:r>
          </w:p>
          <w:p w14:paraId="09E39C82" w14:textId="38295886" w:rsidR="009419E8" w:rsidRPr="003C7566" w:rsidRDefault="009419E8" w:rsidP="00DE13EE">
            <w:pPr>
              <w:spacing w:after="60" w:line="276"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sidRPr="003C7566">
              <w:rPr>
                <w:rFonts w:cs="Arial"/>
                <w:sz w:val="20"/>
                <w:szCs w:val="20"/>
              </w:rPr>
              <w:t xml:space="preserve">Refer </w:t>
            </w:r>
            <w:r w:rsidR="00CE3D1A" w:rsidRPr="003C7566">
              <w:rPr>
                <w:rFonts w:cs="Arial"/>
                <w:sz w:val="20"/>
                <w:szCs w:val="20"/>
              </w:rPr>
              <w:t xml:space="preserve">to </w:t>
            </w:r>
            <w:r w:rsidR="004A1BC3" w:rsidRPr="003C7566">
              <w:rPr>
                <w:rFonts w:cs="Arial"/>
                <w:sz w:val="20"/>
                <w:szCs w:val="20"/>
              </w:rPr>
              <w:t>the AB UTI staff knowledge and confidence survey</w:t>
            </w:r>
            <w:r w:rsidRPr="003C7566">
              <w:rPr>
                <w:rFonts w:cs="Arial"/>
                <w:sz w:val="20"/>
                <w:szCs w:val="20"/>
              </w:rPr>
              <w:t xml:space="preserve"> for scores</w:t>
            </w:r>
          </w:p>
        </w:tc>
      </w:tr>
      <w:tr w:rsidR="00870B97" w:rsidRPr="003C7566" w14:paraId="35C3BB7B" w14:textId="77777777" w:rsidTr="00870B97">
        <w:tc>
          <w:tcPr>
            <w:cnfStyle w:val="001000000000" w:firstRow="0" w:lastRow="0" w:firstColumn="1" w:lastColumn="0" w:oddVBand="0" w:evenVBand="0" w:oddHBand="0" w:evenHBand="0" w:firstRowFirstColumn="0" w:firstRowLastColumn="0" w:lastRowFirstColumn="0" w:lastRowLastColumn="0"/>
            <w:tcW w:w="2551"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443456DC" w14:textId="1FACC908" w:rsidR="009419E8" w:rsidRPr="003C7566" w:rsidRDefault="009419E8" w:rsidP="00DE13EE">
            <w:pPr>
              <w:spacing w:after="60" w:line="276" w:lineRule="auto"/>
              <w:rPr>
                <w:rFonts w:cs="Arial"/>
                <w:sz w:val="20"/>
                <w:szCs w:val="20"/>
              </w:rPr>
            </w:pPr>
            <w:r w:rsidRPr="003C7566">
              <w:rPr>
                <w:rFonts w:cs="Arial"/>
                <w:sz w:val="20"/>
                <w:szCs w:val="20"/>
              </w:rPr>
              <w:t xml:space="preserve">Total number of urine samples sent to </w:t>
            </w:r>
            <w:r w:rsidR="004A1BC3" w:rsidRPr="003C7566">
              <w:rPr>
                <w:rFonts w:cs="Arial"/>
                <w:sz w:val="20"/>
                <w:szCs w:val="20"/>
              </w:rPr>
              <w:t xml:space="preserve">the </w:t>
            </w:r>
            <w:r w:rsidRPr="003C7566">
              <w:rPr>
                <w:rFonts w:cs="Arial"/>
                <w:sz w:val="20"/>
                <w:szCs w:val="20"/>
              </w:rPr>
              <w:t>lab</w:t>
            </w:r>
            <w:r w:rsidR="004A1BC3" w:rsidRPr="003C7566">
              <w:rPr>
                <w:rFonts w:cs="Arial"/>
                <w:sz w:val="20"/>
                <w:szCs w:val="20"/>
              </w:rPr>
              <w:t>oratory</w:t>
            </w:r>
            <w:r w:rsidRPr="003C7566">
              <w:rPr>
                <w:rFonts w:cs="Arial"/>
                <w:sz w:val="20"/>
                <w:szCs w:val="20"/>
              </w:rPr>
              <w:t xml:space="preserve"> for suspected UTIs per week/month</w:t>
            </w:r>
          </w:p>
        </w:tc>
        <w:tc>
          <w:tcPr>
            <w:tcW w:w="3685"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26F50160" w14:textId="77777777" w:rsidR="009419E8" w:rsidRPr="003C7566" w:rsidRDefault="009419E8" w:rsidP="00DE13EE">
            <w:pPr>
              <w:spacing w:after="60" w:line="276"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sidRPr="003C7566">
              <w:rPr>
                <w:rFonts w:cs="Arial"/>
                <w:sz w:val="20"/>
                <w:szCs w:val="20"/>
              </w:rPr>
              <w:t>Count of sample per week or month</w:t>
            </w:r>
          </w:p>
        </w:tc>
        <w:tc>
          <w:tcPr>
            <w:tcW w:w="2551"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20429658" w14:textId="2F0F0489" w:rsidR="009419E8" w:rsidRPr="003C7566" w:rsidRDefault="009419E8" w:rsidP="00DE13EE">
            <w:pPr>
              <w:spacing w:after="60" w:line="276"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sidRPr="003C7566">
              <w:rPr>
                <w:rFonts w:cs="Arial"/>
                <w:sz w:val="20"/>
                <w:szCs w:val="20"/>
              </w:rPr>
              <w:t xml:space="preserve">Urine sample refers to samples sent for </w:t>
            </w:r>
            <w:r w:rsidR="004A1BC3" w:rsidRPr="003C7566">
              <w:rPr>
                <w:rFonts w:cs="Arial"/>
                <w:sz w:val="20"/>
                <w:szCs w:val="20"/>
              </w:rPr>
              <w:t xml:space="preserve">MC&amp;S </w:t>
            </w:r>
            <w:r w:rsidRPr="003C7566">
              <w:rPr>
                <w:rFonts w:cs="Arial"/>
                <w:sz w:val="20"/>
                <w:szCs w:val="20"/>
              </w:rPr>
              <w:t>testing</w:t>
            </w:r>
          </w:p>
        </w:tc>
      </w:tr>
    </w:tbl>
    <w:p w14:paraId="30FC1B0D" w14:textId="77777777" w:rsidR="005C3073" w:rsidRPr="00803FD9" w:rsidRDefault="005C3073" w:rsidP="005C3073">
      <w:pPr>
        <w:rPr>
          <w:sz w:val="22"/>
          <w:szCs w:val="20"/>
        </w:rPr>
      </w:pPr>
    </w:p>
    <w:p w14:paraId="67462A6C" w14:textId="6E2DD010" w:rsidR="00CE1F4C" w:rsidRPr="00DE13EE" w:rsidRDefault="00CE1F4C" w:rsidP="00C003F4">
      <w:pPr>
        <w:spacing w:line="276" w:lineRule="auto"/>
        <w:rPr>
          <w:b/>
          <w:bCs/>
          <w:sz w:val="22"/>
          <w:szCs w:val="20"/>
        </w:rPr>
      </w:pPr>
      <w:r w:rsidRPr="00DE13EE">
        <w:rPr>
          <w:b/>
          <w:bCs/>
          <w:sz w:val="22"/>
          <w:szCs w:val="20"/>
        </w:rPr>
        <w:t>Balancing measures</w:t>
      </w:r>
    </w:p>
    <w:tbl>
      <w:tblPr>
        <w:tblStyle w:val="GridTable1Light-Accent61"/>
        <w:tblW w:w="8787" w:type="dxa"/>
        <w:tblLook w:val="04A0" w:firstRow="1" w:lastRow="0" w:firstColumn="1" w:lastColumn="0" w:noHBand="0" w:noVBand="1"/>
      </w:tblPr>
      <w:tblGrid>
        <w:gridCol w:w="2551"/>
        <w:gridCol w:w="3685"/>
        <w:gridCol w:w="2551"/>
      </w:tblGrid>
      <w:tr w:rsidR="00462CFC" w:rsidRPr="008D0D35" w14:paraId="5AF67AB5" w14:textId="77777777" w:rsidTr="00870B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1" w:type="dxa"/>
            <w:tcBorders>
              <w:top w:val="single" w:sz="4" w:space="0" w:color="C5E0B3" w:themeColor="accent6" w:themeTint="66"/>
              <w:left w:val="single" w:sz="4" w:space="0" w:color="C5E0B3" w:themeColor="accent6" w:themeTint="66"/>
              <w:right w:val="single" w:sz="4" w:space="0" w:color="C5E0B3" w:themeColor="accent6" w:themeTint="66"/>
            </w:tcBorders>
            <w:hideMark/>
          </w:tcPr>
          <w:p w14:paraId="02D346FA" w14:textId="77777777" w:rsidR="00462CFC" w:rsidRPr="008D0D35" w:rsidRDefault="00462CFC" w:rsidP="00803FD9">
            <w:pPr>
              <w:spacing w:after="60" w:line="276" w:lineRule="auto"/>
              <w:rPr>
                <w:rFonts w:cs="Arial"/>
                <w:sz w:val="20"/>
                <w:szCs w:val="20"/>
              </w:rPr>
            </w:pPr>
            <w:r w:rsidRPr="008D0D35">
              <w:rPr>
                <w:rFonts w:cs="Arial"/>
                <w:sz w:val="20"/>
                <w:szCs w:val="20"/>
              </w:rPr>
              <w:t>Measure</w:t>
            </w:r>
          </w:p>
        </w:tc>
        <w:tc>
          <w:tcPr>
            <w:tcW w:w="3685" w:type="dxa"/>
            <w:tcBorders>
              <w:top w:val="single" w:sz="4" w:space="0" w:color="C5E0B3" w:themeColor="accent6" w:themeTint="66"/>
              <w:left w:val="single" w:sz="4" w:space="0" w:color="C5E0B3" w:themeColor="accent6" w:themeTint="66"/>
              <w:right w:val="single" w:sz="4" w:space="0" w:color="C5E0B3" w:themeColor="accent6" w:themeTint="66"/>
            </w:tcBorders>
            <w:hideMark/>
          </w:tcPr>
          <w:p w14:paraId="7E568B7B" w14:textId="77777777" w:rsidR="00462CFC" w:rsidRPr="008D0D35" w:rsidRDefault="00462CFC" w:rsidP="00803FD9">
            <w:pPr>
              <w:spacing w:after="60" w:line="276" w:lineRule="auto"/>
              <w:cnfStyle w:val="100000000000" w:firstRow="1" w:lastRow="0" w:firstColumn="0" w:lastColumn="0" w:oddVBand="0" w:evenVBand="0" w:oddHBand="0" w:evenHBand="0" w:firstRowFirstColumn="0" w:firstRowLastColumn="0" w:lastRowFirstColumn="0" w:lastRowLastColumn="0"/>
              <w:rPr>
                <w:rFonts w:cs="Arial"/>
                <w:sz w:val="20"/>
                <w:szCs w:val="20"/>
              </w:rPr>
            </w:pPr>
            <w:r w:rsidRPr="008D0D35">
              <w:rPr>
                <w:rFonts w:cs="Arial"/>
                <w:sz w:val="20"/>
                <w:szCs w:val="20"/>
              </w:rPr>
              <w:t>Formula</w:t>
            </w:r>
          </w:p>
        </w:tc>
        <w:tc>
          <w:tcPr>
            <w:tcW w:w="2551" w:type="dxa"/>
            <w:tcBorders>
              <w:top w:val="single" w:sz="4" w:space="0" w:color="C5E0B3" w:themeColor="accent6" w:themeTint="66"/>
              <w:left w:val="single" w:sz="4" w:space="0" w:color="C5E0B3" w:themeColor="accent6" w:themeTint="66"/>
              <w:right w:val="single" w:sz="4" w:space="0" w:color="C5E0B3" w:themeColor="accent6" w:themeTint="66"/>
            </w:tcBorders>
            <w:hideMark/>
          </w:tcPr>
          <w:p w14:paraId="5931E366" w14:textId="77777777" w:rsidR="00462CFC" w:rsidRPr="008D0D35" w:rsidRDefault="00462CFC" w:rsidP="00803FD9">
            <w:pPr>
              <w:spacing w:after="60" w:line="276" w:lineRule="auto"/>
              <w:cnfStyle w:val="100000000000" w:firstRow="1" w:lastRow="0" w:firstColumn="0" w:lastColumn="0" w:oddVBand="0" w:evenVBand="0" w:oddHBand="0" w:evenHBand="0" w:firstRowFirstColumn="0" w:firstRowLastColumn="0" w:lastRowFirstColumn="0" w:lastRowLastColumn="0"/>
              <w:rPr>
                <w:rFonts w:cs="Arial"/>
                <w:sz w:val="20"/>
                <w:szCs w:val="20"/>
              </w:rPr>
            </w:pPr>
            <w:r w:rsidRPr="008D0D35">
              <w:rPr>
                <w:rFonts w:cs="Arial"/>
                <w:sz w:val="20"/>
                <w:szCs w:val="20"/>
              </w:rPr>
              <w:t>Definition</w:t>
            </w:r>
          </w:p>
        </w:tc>
      </w:tr>
      <w:tr w:rsidR="00462CFC" w:rsidRPr="008D0D35" w14:paraId="6D419C35" w14:textId="77777777" w:rsidTr="00870B97">
        <w:tc>
          <w:tcPr>
            <w:cnfStyle w:val="001000000000" w:firstRow="0" w:lastRow="0" w:firstColumn="1" w:lastColumn="0" w:oddVBand="0" w:evenVBand="0" w:oddHBand="0" w:evenHBand="0" w:firstRowFirstColumn="0" w:firstRowLastColumn="0" w:lastRowFirstColumn="0" w:lastRowLastColumn="0"/>
            <w:tcW w:w="2551"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3CCE5915" w14:textId="77777777" w:rsidR="00462CFC" w:rsidRPr="008D0D35" w:rsidRDefault="00462CFC" w:rsidP="00803FD9">
            <w:pPr>
              <w:spacing w:after="60" w:line="276" w:lineRule="auto"/>
              <w:rPr>
                <w:rFonts w:cs="Arial"/>
                <w:sz w:val="20"/>
                <w:szCs w:val="20"/>
              </w:rPr>
            </w:pPr>
            <w:r w:rsidRPr="008D0D35">
              <w:rPr>
                <w:rFonts w:cs="Arial"/>
                <w:sz w:val="20"/>
                <w:szCs w:val="20"/>
              </w:rPr>
              <w:t xml:space="preserve">Percentage of hospital </w:t>
            </w:r>
            <w:r>
              <w:rPr>
                <w:rFonts w:cs="Arial"/>
                <w:sz w:val="20"/>
                <w:szCs w:val="20"/>
              </w:rPr>
              <w:t>e</w:t>
            </w:r>
            <w:r w:rsidRPr="008D0D35">
              <w:rPr>
                <w:rFonts w:cs="Arial"/>
                <w:sz w:val="20"/>
                <w:szCs w:val="20"/>
              </w:rPr>
              <w:t xml:space="preserve">mergency </w:t>
            </w:r>
            <w:r>
              <w:rPr>
                <w:rFonts w:cs="Arial"/>
                <w:sz w:val="20"/>
                <w:szCs w:val="20"/>
              </w:rPr>
              <w:t>d</w:t>
            </w:r>
            <w:r w:rsidRPr="008D0D35">
              <w:rPr>
                <w:rFonts w:cs="Arial"/>
                <w:sz w:val="20"/>
                <w:szCs w:val="20"/>
              </w:rPr>
              <w:t>epartment presentations related to complications of UTI</w:t>
            </w:r>
          </w:p>
        </w:tc>
        <w:tc>
          <w:tcPr>
            <w:tcW w:w="3685"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28EDA264" w14:textId="398ED473" w:rsidR="00462CFC" w:rsidRDefault="00462CFC" w:rsidP="00803FD9">
            <w:pPr>
              <w:spacing w:after="60" w:line="276"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sidRPr="008D0D35">
              <w:rPr>
                <w:rFonts w:cs="Arial"/>
                <w:sz w:val="20"/>
                <w:szCs w:val="20"/>
              </w:rPr>
              <w:t xml:space="preserve">Numerator: Total </w:t>
            </w:r>
            <w:r>
              <w:rPr>
                <w:rFonts w:cs="Arial"/>
                <w:sz w:val="20"/>
                <w:szCs w:val="20"/>
              </w:rPr>
              <w:t>number of residents presented to hospital emergency department with complication</w:t>
            </w:r>
            <w:r w:rsidR="004A1BC3">
              <w:rPr>
                <w:rFonts w:cs="Arial"/>
                <w:sz w:val="20"/>
                <w:szCs w:val="20"/>
              </w:rPr>
              <w:t>s</w:t>
            </w:r>
            <w:r>
              <w:rPr>
                <w:rFonts w:cs="Arial"/>
                <w:sz w:val="20"/>
                <w:szCs w:val="20"/>
              </w:rPr>
              <w:t xml:space="preserve"> related to UTI</w:t>
            </w:r>
          </w:p>
          <w:p w14:paraId="040E96BB" w14:textId="77777777" w:rsidR="00462CFC" w:rsidRDefault="00462CFC" w:rsidP="00803FD9">
            <w:pPr>
              <w:spacing w:after="60" w:line="276" w:lineRule="auto"/>
              <w:cnfStyle w:val="000000000000" w:firstRow="0" w:lastRow="0" w:firstColumn="0" w:lastColumn="0" w:oddVBand="0" w:evenVBand="0" w:oddHBand="0" w:evenHBand="0" w:firstRowFirstColumn="0" w:firstRowLastColumn="0" w:lastRowFirstColumn="0" w:lastRowLastColumn="0"/>
              <w:rPr>
                <w:rFonts w:cs="Arial"/>
                <w:sz w:val="20"/>
                <w:szCs w:val="20"/>
              </w:rPr>
            </w:pPr>
          </w:p>
          <w:p w14:paraId="547CD198" w14:textId="4184FE02" w:rsidR="00462CFC" w:rsidRDefault="00462CFC" w:rsidP="00803FD9">
            <w:pPr>
              <w:spacing w:after="60" w:line="276"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sidRPr="008D0D35">
              <w:rPr>
                <w:rFonts w:cs="Arial"/>
                <w:sz w:val="20"/>
                <w:szCs w:val="20"/>
              </w:rPr>
              <w:t xml:space="preserve">Denominator: </w:t>
            </w:r>
            <w:r>
              <w:rPr>
                <w:rFonts w:cs="Arial"/>
                <w:sz w:val="20"/>
                <w:szCs w:val="20"/>
              </w:rPr>
              <w:t>T</w:t>
            </w:r>
            <w:r w:rsidRPr="008D0D35">
              <w:rPr>
                <w:rFonts w:cs="Arial"/>
                <w:sz w:val="20"/>
                <w:szCs w:val="20"/>
              </w:rPr>
              <w:t>otal number of residents presented to hospital</w:t>
            </w:r>
          </w:p>
          <w:p w14:paraId="04760B61" w14:textId="77777777" w:rsidR="00462CFC" w:rsidRDefault="00462CFC" w:rsidP="00803FD9">
            <w:pPr>
              <w:spacing w:after="60" w:line="276" w:lineRule="auto"/>
              <w:cnfStyle w:val="000000000000" w:firstRow="0" w:lastRow="0" w:firstColumn="0" w:lastColumn="0" w:oddVBand="0" w:evenVBand="0" w:oddHBand="0" w:evenHBand="0" w:firstRowFirstColumn="0" w:firstRowLastColumn="0" w:lastRowFirstColumn="0" w:lastRowLastColumn="0"/>
              <w:rPr>
                <w:rFonts w:cs="Arial"/>
                <w:sz w:val="20"/>
                <w:szCs w:val="20"/>
              </w:rPr>
            </w:pPr>
          </w:p>
          <w:p w14:paraId="533C409C" w14:textId="3BB6159F" w:rsidR="00462CFC" w:rsidRPr="008D0D35" w:rsidRDefault="00462CFC" w:rsidP="00803FD9">
            <w:pPr>
              <w:spacing w:after="60" w:line="276"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sidRPr="008D0D35">
              <w:rPr>
                <w:rFonts w:cs="Arial"/>
                <w:sz w:val="20"/>
                <w:szCs w:val="20"/>
              </w:rPr>
              <w:t>= (</w:t>
            </w:r>
            <w:r>
              <w:rPr>
                <w:rFonts w:cs="Arial"/>
                <w:sz w:val="20"/>
                <w:szCs w:val="20"/>
              </w:rPr>
              <w:t>t</w:t>
            </w:r>
            <w:r w:rsidRPr="008D0D35">
              <w:rPr>
                <w:rFonts w:cs="Arial"/>
                <w:sz w:val="20"/>
                <w:szCs w:val="20"/>
              </w:rPr>
              <w:t xml:space="preserve">otal </w:t>
            </w:r>
            <w:r>
              <w:rPr>
                <w:rFonts w:cs="Arial"/>
                <w:sz w:val="20"/>
                <w:szCs w:val="20"/>
              </w:rPr>
              <w:t>number of residents presented to hospital emergency department with complication related to UTI/t</w:t>
            </w:r>
            <w:r w:rsidRPr="008D0D35">
              <w:rPr>
                <w:rFonts w:cs="Arial"/>
                <w:sz w:val="20"/>
                <w:szCs w:val="20"/>
              </w:rPr>
              <w:t xml:space="preserve">otal number of residents presented to hospital) </w:t>
            </w:r>
            <w:r>
              <w:rPr>
                <w:rFonts w:cs="Arial"/>
                <w:sz w:val="20"/>
                <w:szCs w:val="20"/>
              </w:rPr>
              <w:t xml:space="preserve">× </w:t>
            </w:r>
            <w:r w:rsidRPr="008D0D35">
              <w:rPr>
                <w:rFonts w:cs="Arial"/>
                <w:sz w:val="20"/>
                <w:szCs w:val="20"/>
              </w:rPr>
              <w:t>100</w:t>
            </w:r>
          </w:p>
        </w:tc>
        <w:tc>
          <w:tcPr>
            <w:tcW w:w="2551"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tcPr>
          <w:p w14:paraId="49879389" w14:textId="65346940" w:rsidR="00462CFC" w:rsidRPr="008D0D35" w:rsidRDefault="00462CFC" w:rsidP="00803FD9">
            <w:pPr>
              <w:spacing w:after="60" w:line="276"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 xml:space="preserve">Residents refers to consumers living in care facilities (rest </w:t>
            </w:r>
            <w:r w:rsidRPr="00FD4AD1">
              <w:rPr>
                <w:rFonts w:cs="Arial"/>
                <w:sz w:val="20"/>
                <w:szCs w:val="20"/>
              </w:rPr>
              <w:t>home, hospital, dementia and psychogeriatric levels of care</w:t>
            </w:r>
            <w:r>
              <w:rPr>
                <w:rFonts w:cs="Arial"/>
                <w:sz w:val="20"/>
                <w:szCs w:val="20"/>
              </w:rPr>
              <w:t>)</w:t>
            </w:r>
            <w:r w:rsidR="008A2903">
              <w:rPr>
                <w:rFonts w:cs="Arial"/>
                <w:sz w:val="20"/>
                <w:szCs w:val="20"/>
              </w:rPr>
              <w:t xml:space="preserve">. </w:t>
            </w:r>
            <w:r>
              <w:rPr>
                <w:rFonts w:cs="Arial"/>
                <w:sz w:val="20"/>
                <w:szCs w:val="20"/>
              </w:rPr>
              <w:t xml:space="preserve">This </w:t>
            </w:r>
            <w:r w:rsidR="008A2903">
              <w:rPr>
                <w:rFonts w:cs="Arial"/>
                <w:sz w:val="20"/>
                <w:szCs w:val="20"/>
              </w:rPr>
              <w:t>excludes independent</w:t>
            </w:r>
            <w:r w:rsidRPr="007E269E">
              <w:rPr>
                <w:rFonts w:cs="Arial"/>
                <w:sz w:val="20"/>
                <w:szCs w:val="20"/>
              </w:rPr>
              <w:t xml:space="preserve"> residents not assessed as requiring rest home or hospital</w:t>
            </w:r>
            <w:r w:rsidR="004A1BC3">
              <w:rPr>
                <w:rFonts w:cs="Arial"/>
                <w:sz w:val="20"/>
                <w:szCs w:val="20"/>
              </w:rPr>
              <w:t>-</w:t>
            </w:r>
            <w:r w:rsidRPr="007E269E">
              <w:rPr>
                <w:rFonts w:cs="Arial"/>
                <w:sz w:val="20"/>
                <w:szCs w:val="20"/>
              </w:rPr>
              <w:t>level care within a retirement village</w:t>
            </w:r>
          </w:p>
        </w:tc>
      </w:tr>
    </w:tbl>
    <w:p w14:paraId="0897901B" w14:textId="77777777" w:rsidR="005B5C84" w:rsidRPr="00803FD9" w:rsidRDefault="005B5C84" w:rsidP="00CE1F4C">
      <w:pPr>
        <w:rPr>
          <w:sz w:val="22"/>
          <w:szCs w:val="20"/>
        </w:rPr>
      </w:pPr>
    </w:p>
    <w:p w14:paraId="39F8B6DF" w14:textId="77777777" w:rsidR="00870B97" w:rsidRDefault="00870B97">
      <w:pPr>
        <w:spacing w:after="160"/>
        <w:rPr>
          <w:b/>
          <w:bCs/>
        </w:rPr>
      </w:pPr>
      <w:r>
        <w:rPr>
          <w:b/>
          <w:bCs/>
        </w:rPr>
        <w:br w:type="page"/>
      </w:r>
    </w:p>
    <w:p w14:paraId="29F5E5D7" w14:textId="60370647" w:rsidR="00CE1F4C" w:rsidRPr="00DE13EE" w:rsidRDefault="006C6578" w:rsidP="00C003F4">
      <w:pPr>
        <w:spacing w:line="276" w:lineRule="auto"/>
        <w:rPr>
          <w:b/>
          <w:bCs/>
          <w:sz w:val="22"/>
          <w:szCs w:val="20"/>
        </w:rPr>
      </w:pPr>
      <w:r w:rsidRPr="00DE13EE">
        <w:rPr>
          <w:b/>
          <w:bCs/>
          <w:sz w:val="22"/>
          <w:szCs w:val="20"/>
        </w:rPr>
        <w:lastRenderedPageBreak/>
        <w:t xml:space="preserve">Optional </w:t>
      </w:r>
      <w:r w:rsidR="00CE1F4C" w:rsidRPr="00DE13EE">
        <w:rPr>
          <w:b/>
          <w:bCs/>
          <w:sz w:val="22"/>
          <w:szCs w:val="20"/>
        </w:rPr>
        <w:t>measures</w:t>
      </w:r>
    </w:p>
    <w:tbl>
      <w:tblPr>
        <w:tblStyle w:val="GridTable1Light-Accent61"/>
        <w:tblW w:w="8787" w:type="dxa"/>
        <w:tblLook w:val="04A0" w:firstRow="1" w:lastRow="0" w:firstColumn="1" w:lastColumn="0" w:noHBand="0" w:noVBand="1"/>
      </w:tblPr>
      <w:tblGrid>
        <w:gridCol w:w="2551"/>
        <w:gridCol w:w="3685"/>
        <w:gridCol w:w="2551"/>
      </w:tblGrid>
      <w:tr w:rsidR="000813E0" w:rsidRPr="008D0D35" w14:paraId="07C09A42" w14:textId="77777777" w:rsidTr="00870B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1" w:type="dxa"/>
            <w:tcBorders>
              <w:top w:val="single" w:sz="4" w:space="0" w:color="C5E0B3" w:themeColor="accent6" w:themeTint="66"/>
              <w:left w:val="single" w:sz="4" w:space="0" w:color="C5E0B3" w:themeColor="accent6" w:themeTint="66"/>
              <w:right w:val="single" w:sz="4" w:space="0" w:color="C5E0B3" w:themeColor="accent6" w:themeTint="66"/>
            </w:tcBorders>
            <w:hideMark/>
          </w:tcPr>
          <w:p w14:paraId="599B8A89" w14:textId="77777777" w:rsidR="000813E0" w:rsidRPr="008D0D35" w:rsidRDefault="000813E0" w:rsidP="00803FD9">
            <w:pPr>
              <w:spacing w:after="60" w:line="276" w:lineRule="auto"/>
              <w:rPr>
                <w:rFonts w:cs="Arial"/>
                <w:sz w:val="20"/>
                <w:szCs w:val="20"/>
              </w:rPr>
            </w:pPr>
            <w:r w:rsidRPr="008D0D35">
              <w:rPr>
                <w:rFonts w:cs="Arial"/>
                <w:sz w:val="20"/>
                <w:szCs w:val="20"/>
              </w:rPr>
              <w:t>Measure</w:t>
            </w:r>
          </w:p>
        </w:tc>
        <w:tc>
          <w:tcPr>
            <w:tcW w:w="3685" w:type="dxa"/>
            <w:tcBorders>
              <w:top w:val="single" w:sz="4" w:space="0" w:color="C5E0B3" w:themeColor="accent6" w:themeTint="66"/>
              <w:left w:val="single" w:sz="4" w:space="0" w:color="C5E0B3" w:themeColor="accent6" w:themeTint="66"/>
              <w:right w:val="single" w:sz="4" w:space="0" w:color="C5E0B3" w:themeColor="accent6" w:themeTint="66"/>
            </w:tcBorders>
            <w:hideMark/>
          </w:tcPr>
          <w:p w14:paraId="3F1E9418" w14:textId="77777777" w:rsidR="000813E0" w:rsidRPr="008D0D35" w:rsidRDefault="000813E0" w:rsidP="00803FD9">
            <w:pPr>
              <w:spacing w:after="60" w:line="276" w:lineRule="auto"/>
              <w:cnfStyle w:val="100000000000" w:firstRow="1" w:lastRow="0" w:firstColumn="0" w:lastColumn="0" w:oddVBand="0" w:evenVBand="0" w:oddHBand="0" w:evenHBand="0" w:firstRowFirstColumn="0" w:firstRowLastColumn="0" w:lastRowFirstColumn="0" w:lastRowLastColumn="0"/>
              <w:rPr>
                <w:rFonts w:cs="Arial"/>
                <w:sz w:val="20"/>
                <w:szCs w:val="20"/>
              </w:rPr>
            </w:pPr>
            <w:r w:rsidRPr="008D0D35">
              <w:rPr>
                <w:rFonts w:cs="Arial"/>
                <w:sz w:val="20"/>
                <w:szCs w:val="20"/>
              </w:rPr>
              <w:t>Formula</w:t>
            </w:r>
          </w:p>
        </w:tc>
        <w:tc>
          <w:tcPr>
            <w:tcW w:w="2551" w:type="dxa"/>
            <w:tcBorders>
              <w:top w:val="single" w:sz="4" w:space="0" w:color="C5E0B3" w:themeColor="accent6" w:themeTint="66"/>
              <w:left w:val="single" w:sz="4" w:space="0" w:color="C5E0B3" w:themeColor="accent6" w:themeTint="66"/>
              <w:right w:val="single" w:sz="4" w:space="0" w:color="C5E0B3" w:themeColor="accent6" w:themeTint="66"/>
            </w:tcBorders>
            <w:hideMark/>
          </w:tcPr>
          <w:p w14:paraId="13242CE5" w14:textId="77777777" w:rsidR="000813E0" w:rsidRPr="008D0D35" w:rsidRDefault="000813E0" w:rsidP="00803FD9">
            <w:pPr>
              <w:spacing w:after="60" w:line="276" w:lineRule="auto"/>
              <w:cnfStyle w:val="100000000000" w:firstRow="1" w:lastRow="0" w:firstColumn="0" w:lastColumn="0" w:oddVBand="0" w:evenVBand="0" w:oddHBand="0" w:evenHBand="0" w:firstRowFirstColumn="0" w:firstRowLastColumn="0" w:lastRowFirstColumn="0" w:lastRowLastColumn="0"/>
              <w:rPr>
                <w:rFonts w:cs="Arial"/>
                <w:sz w:val="20"/>
                <w:szCs w:val="20"/>
              </w:rPr>
            </w:pPr>
            <w:r w:rsidRPr="008D0D35">
              <w:rPr>
                <w:rFonts w:cs="Arial"/>
                <w:sz w:val="20"/>
                <w:szCs w:val="20"/>
              </w:rPr>
              <w:t>Definition</w:t>
            </w:r>
          </w:p>
        </w:tc>
      </w:tr>
      <w:tr w:rsidR="000813E0" w:rsidRPr="008D0D35" w14:paraId="04590580" w14:textId="77777777" w:rsidTr="00870B97">
        <w:trPr>
          <w:trHeight w:val="1766"/>
        </w:trPr>
        <w:tc>
          <w:tcPr>
            <w:cnfStyle w:val="001000000000" w:firstRow="0" w:lastRow="0" w:firstColumn="1" w:lastColumn="0" w:oddVBand="0" w:evenVBand="0" w:oddHBand="0" w:evenHBand="0" w:firstRowFirstColumn="0" w:firstRowLastColumn="0" w:lastRowFirstColumn="0" w:lastRowLastColumn="0"/>
            <w:tcW w:w="2551"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02EA9A3E" w14:textId="26B6B244" w:rsidR="000813E0" w:rsidRPr="008D0D35" w:rsidRDefault="000813E0" w:rsidP="00803FD9">
            <w:pPr>
              <w:spacing w:after="60" w:line="276" w:lineRule="auto"/>
              <w:rPr>
                <w:rFonts w:cs="Arial"/>
                <w:sz w:val="20"/>
                <w:szCs w:val="20"/>
              </w:rPr>
            </w:pPr>
            <w:r w:rsidRPr="008D0D35">
              <w:rPr>
                <w:rFonts w:cs="Arial"/>
                <w:sz w:val="20"/>
                <w:szCs w:val="20"/>
              </w:rPr>
              <w:t>Urinary antibiotic prescriptions for UTI per 1</w:t>
            </w:r>
            <w:r w:rsidR="004A1BC3">
              <w:rPr>
                <w:rFonts w:cs="Arial"/>
                <w:sz w:val="20"/>
                <w:szCs w:val="20"/>
              </w:rPr>
              <w:t>,</w:t>
            </w:r>
            <w:r w:rsidRPr="008D0D35">
              <w:rPr>
                <w:rFonts w:cs="Arial"/>
                <w:sz w:val="20"/>
                <w:szCs w:val="20"/>
              </w:rPr>
              <w:t>000 resident days</w:t>
            </w:r>
          </w:p>
        </w:tc>
        <w:tc>
          <w:tcPr>
            <w:tcW w:w="3685"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1EB697BA" w14:textId="59F39768" w:rsidR="0044231B" w:rsidRDefault="0044231B" w:rsidP="00803FD9">
            <w:pPr>
              <w:spacing w:after="60" w:line="276"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sidRPr="008D0D35">
              <w:rPr>
                <w:rFonts w:cs="Arial"/>
                <w:sz w:val="20"/>
                <w:szCs w:val="20"/>
              </w:rPr>
              <w:t xml:space="preserve">Numerator: </w:t>
            </w:r>
            <w:r>
              <w:rPr>
                <w:rFonts w:cs="Arial"/>
                <w:sz w:val="20"/>
                <w:szCs w:val="20"/>
              </w:rPr>
              <w:t>t</w:t>
            </w:r>
            <w:r w:rsidRPr="008D0D35">
              <w:rPr>
                <w:rFonts w:cs="Arial"/>
                <w:sz w:val="20"/>
                <w:szCs w:val="20"/>
              </w:rPr>
              <w:t xml:space="preserve">otal number of urinary antibiotic prescriptions </w:t>
            </w:r>
          </w:p>
          <w:p w14:paraId="5DE7729D" w14:textId="77777777" w:rsidR="0044231B" w:rsidRDefault="0044231B" w:rsidP="00803FD9">
            <w:pPr>
              <w:spacing w:after="60" w:line="276" w:lineRule="auto"/>
              <w:cnfStyle w:val="000000000000" w:firstRow="0" w:lastRow="0" w:firstColumn="0" w:lastColumn="0" w:oddVBand="0" w:evenVBand="0" w:oddHBand="0" w:evenHBand="0" w:firstRowFirstColumn="0" w:firstRowLastColumn="0" w:lastRowFirstColumn="0" w:lastRowLastColumn="0"/>
              <w:rPr>
                <w:rFonts w:cs="Arial"/>
                <w:sz w:val="20"/>
                <w:szCs w:val="20"/>
              </w:rPr>
            </w:pPr>
          </w:p>
          <w:p w14:paraId="1324EC25" w14:textId="6C5CC967" w:rsidR="0044231B" w:rsidRDefault="0044231B" w:rsidP="00803FD9">
            <w:pPr>
              <w:spacing w:after="60" w:line="276"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sidRPr="008D0D35">
              <w:rPr>
                <w:rFonts w:cs="Arial"/>
                <w:sz w:val="20"/>
                <w:szCs w:val="20"/>
              </w:rPr>
              <w:t>Denominator: total resident days</w:t>
            </w:r>
          </w:p>
          <w:p w14:paraId="588B116E" w14:textId="77777777" w:rsidR="0044231B" w:rsidRDefault="0044231B" w:rsidP="00803FD9">
            <w:pPr>
              <w:spacing w:after="60" w:line="276" w:lineRule="auto"/>
              <w:cnfStyle w:val="000000000000" w:firstRow="0" w:lastRow="0" w:firstColumn="0" w:lastColumn="0" w:oddVBand="0" w:evenVBand="0" w:oddHBand="0" w:evenHBand="0" w:firstRowFirstColumn="0" w:firstRowLastColumn="0" w:lastRowFirstColumn="0" w:lastRowLastColumn="0"/>
              <w:rPr>
                <w:rFonts w:cs="Arial"/>
                <w:sz w:val="20"/>
                <w:szCs w:val="20"/>
              </w:rPr>
            </w:pPr>
          </w:p>
          <w:p w14:paraId="333B1A63" w14:textId="2DAD1057" w:rsidR="000813E0" w:rsidRDefault="000813E0" w:rsidP="00803FD9">
            <w:pPr>
              <w:spacing w:after="60" w:line="276"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sidRPr="008D0D35">
              <w:rPr>
                <w:rFonts w:cs="Arial"/>
                <w:sz w:val="20"/>
                <w:szCs w:val="20"/>
              </w:rPr>
              <w:t>= (</w:t>
            </w:r>
            <w:r>
              <w:rPr>
                <w:rFonts w:cs="Arial"/>
                <w:sz w:val="20"/>
                <w:szCs w:val="20"/>
              </w:rPr>
              <w:t>t</w:t>
            </w:r>
            <w:r w:rsidRPr="008D0D35">
              <w:rPr>
                <w:rFonts w:cs="Arial"/>
                <w:sz w:val="20"/>
                <w:szCs w:val="20"/>
              </w:rPr>
              <w:t xml:space="preserve">otal number of urinary antibiotic prescriptions/total resident days) </w:t>
            </w:r>
            <w:r>
              <w:rPr>
                <w:rFonts w:cs="Arial"/>
                <w:sz w:val="20"/>
                <w:szCs w:val="20"/>
              </w:rPr>
              <w:t xml:space="preserve">× </w:t>
            </w:r>
            <w:r w:rsidRPr="008D0D35">
              <w:rPr>
                <w:rFonts w:cs="Arial"/>
                <w:sz w:val="20"/>
                <w:szCs w:val="20"/>
              </w:rPr>
              <w:t>1</w:t>
            </w:r>
            <w:r w:rsidR="00BA335D">
              <w:rPr>
                <w:rFonts w:cs="Arial"/>
                <w:sz w:val="20"/>
                <w:szCs w:val="20"/>
              </w:rPr>
              <w:t>,</w:t>
            </w:r>
            <w:r w:rsidRPr="008D0D35">
              <w:rPr>
                <w:rFonts w:cs="Arial"/>
                <w:sz w:val="20"/>
                <w:szCs w:val="20"/>
              </w:rPr>
              <w:t>000</w:t>
            </w:r>
          </w:p>
          <w:p w14:paraId="7D2BDBD7" w14:textId="53064969" w:rsidR="000B594D" w:rsidRPr="008D0D35" w:rsidRDefault="000B594D" w:rsidP="00803FD9">
            <w:pPr>
              <w:spacing w:after="60" w:line="276" w:lineRule="auto"/>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2551"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tcPr>
          <w:p w14:paraId="169DC477" w14:textId="77777777" w:rsidR="000813E0" w:rsidRPr="008D0D35" w:rsidRDefault="000813E0" w:rsidP="00803FD9">
            <w:pPr>
              <w:spacing w:after="60" w:line="276"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sidRPr="008D0D35">
              <w:rPr>
                <w:rFonts w:cs="Arial"/>
                <w:sz w:val="20"/>
                <w:szCs w:val="20"/>
              </w:rPr>
              <w:t>Count one prescription per UTI case</w:t>
            </w:r>
          </w:p>
          <w:p w14:paraId="3D86CF4A" w14:textId="77777777" w:rsidR="000813E0" w:rsidRPr="008D0D35" w:rsidRDefault="000813E0" w:rsidP="00803FD9">
            <w:pPr>
              <w:spacing w:after="60" w:line="276" w:lineRule="auto"/>
              <w:cnfStyle w:val="000000000000" w:firstRow="0" w:lastRow="0" w:firstColumn="0" w:lastColumn="0" w:oddVBand="0" w:evenVBand="0" w:oddHBand="0" w:evenHBand="0" w:firstRowFirstColumn="0" w:firstRowLastColumn="0" w:lastRowFirstColumn="0" w:lastRowLastColumn="0"/>
              <w:rPr>
                <w:rFonts w:cs="Arial"/>
                <w:sz w:val="20"/>
                <w:szCs w:val="20"/>
              </w:rPr>
            </w:pPr>
          </w:p>
          <w:p w14:paraId="77CB1D5A" w14:textId="77777777" w:rsidR="000813E0" w:rsidRPr="008D0D35" w:rsidRDefault="000813E0" w:rsidP="00803FD9">
            <w:pPr>
              <w:spacing w:after="60" w:line="276"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R</w:t>
            </w:r>
            <w:r w:rsidRPr="008D0D35">
              <w:rPr>
                <w:rFonts w:cs="Arial"/>
                <w:sz w:val="20"/>
                <w:szCs w:val="20"/>
              </w:rPr>
              <w:t>esident days refers to the number of days that each resident stayed at a home within a given month, summed across all residents</w:t>
            </w:r>
          </w:p>
        </w:tc>
      </w:tr>
      <w:tr w:rsidR="000813E0" w:rsidRPr="008D0D35" w14:paraId="0C2EB49A" w14:textId="77777777" w:rsidTr="00870B97">
        <w:tc>
          <w:tcPr>
            <w:cnfStyle w:val="001000000000" w:firstRow="0" w:lastRow="0" w:firstColumn="1" w:lastColumn="0" w:oddVBand="0" w:evenVBand="0" w:oddHBand="0" w:evenHBand="0" w:firstRowFirstColumn="0" w:firstRowLastColumn="0" w:lastRowFirstColumn="0" w:lastRowLastColumn="0"/>
            <w:tcW w:w="2551"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tcPr>
          <w:p w14:paraId="0F0ACF43" w14:textId="6358958C" w:rsidR="000813E0" w:rsidRPr="008D0D35" w:rsidRDefault="000813E0" w:rsidP="00803FD9">
            <w:pPr>
              <w:spacing w:after="60" w:line="276" w:lineRule="auto"/>
              <w:rPr>
                <w:rFonts w:cs="Arial"/>
                <w:sz w:val="20"/>
                <w:szCs w:val="20"/>
              </w:rPr>
            </w:pPr>
            <w:r>
              <w:rPr>
                <w:rFonts w:cs="Arial"/>
                <w:sz w:val="20"/>
                <w:szCs w:val="20"/>
              </w:rPr>
              <w:t>UTIs</w:t>
            </w:r>
            <w:r w:rsidRPr="008D0D35">
              <w:rPr>
                <w:rFonts w:cs="Arial"/>
                <w:sz w:val="20"/>
                <w:szCs w:val="20"/>
              </w:rPr>
              <w:t xml:space="preserve"> per 1</w:t>
            </w:r>
            <w:r w:rsidR="00BA335D">
              <w:rPr>
                <w:rFonts w:cs="Arial"/>
                <w:sz w:val="20"/>
                <w:szCs w:val="20"/>
              </w:rPr>
              <w:t>,</w:t>
            </w:r>
            <w:r w:rsidRPr="008D0D35">
              <w:rPr>
                <w:rFonts w:cs="Arial"/>
                <w:sz w:val="20"/>
                <w:szCs w:val="20"/>
              </w:rPr>
              <w:t>000 resident days</w:t>
            </w:r>
          </w:p>
        </w:tc>
        <w:tc>
          <w:tcPr>
            <w:tcW w:w="3685"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tcPr>
          <w:p w14:paraId="2B8B42D9" w14:textId="1FA0C28E" w:rsidR="000B594D" w:rsidRDefault="000B594D" w:rsidP="00803FD9">
            <w:pPr>
              <w:spacing w:after="60" w:line="276"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sidRPr="008D0D35">
              <w:rPr>
                <w:rFonts w:cs="Arial"/>
                <w:sz w:val="20"/>
                <w:szCs w:val="20"/>
              </w:rPr>
              <w:t xml:space="preserve">Numerator: </w:t>
            </w:r>
            <w:r>
              <w:rPr>
                <w:rFonts w:cs="Arial"/>
                <w:sz w:val="20"/>
                <w:szCs w:val="20"/>
              </w:rPr>
              <w:t>t</w:t>
            </w:r>
            <w:r w:rsidRPr="008D0D35">
              <w:rPr>
                <w:rFonts w:cs="Arial"/>
                <w:sz w:val="20"/>
                <w:szCs w:val="20"/>
              </w:rPr>
              <w:t>otal number of UTI</w:t>
            </w:r>
            <w:r>
              <w:rPr>
                <w:rFonts w:cs="Arial"/>
                <w:sz w:val="20"/>
                <w:szCs w:val="20"/>
              </w:rPr>
              <w:t>s</w:t>
            </w:r>
          </w:p>
          <w:p w14:paraId="18903F6C" w14:textId="77777777" w:rsidR="000B594D" w:rsidRDefault="000B594D" w:rsidP="00803FD9">
            <w:pPr>
              <w:spacing w:after="60" w:line="276" w:lineRule="auto"/>
              <w:cnfStyle w:val="000000000000" w:firstRow="0" w:lastRow="0" w:firstColumn="0" w:lastColumn="0" w:oddVBand="0" w:evenVBand="0" w:oddHBand="0" w:evenHBand="0" w:firstRowFirstColumn="0" w:firstRowLastColumn="0" w:lastRowFirstColumn="0" w:lastRowLastColumn="0"/>
              <w:rPr>
                <w:rFonts w:cs="Arial"/>
                <w:sz w:val="20"/>
                <w:szCs w:val="20"/>
              </w:rPr>
            </w:pPr>
          </w:p>
          <w:p w14:paraId="70DDDBBD" w14:textId="77777777" w:rsidR="000B594D" w:rsidRDefault="000B594D" w:rsidP="00803FD9">
            <w:pPr>
              <w:spacing w:after="60" w:line="276"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sidRPr="008D0D35">
              <w:rPr>
                <w:rFonts w:cs="Arial"/>
                <w:sz w:val="20"/>
                <w:szCs w:val="20"/>
              </w:rPr>
              <w:t>Denominator: total resident days</w:t>
            </w:r>
          </w:p>
          <w:p w14:paraId="2BE6DF03" w14:textId="77777777" w:rsidR="000B594D" w:rsidRDefault="000B594D" w:rsidP="00803FD9">
            <w:pPr>
              <w:spacing w:after="60" w:line="276" w:lineRule="auto"/>
              <w:cnfStyle w:val="000000000000" w:firstRow="0" w:lastRow="0" w:firstColumn="0" w:lastColumn="0" w:oddVBand="0" w:evenVBand="0" w:oddHBand="0" w:evenHBand="0" w:firstRowFirstColumn="0" w:firstRowLastColumn="0" w:lastRowFirstColumn="0" w:lastRowLastColumn="0"/>
              <w:rPr>
                <w:rFonts w:cs="Arial"/>
                <w:sz w:val="20"/>
                <w:szCs w:val="20"/>
              </w:rPr>
            </w:pPr>
          </w:p>
          <w:p w14:paraId="0F89DF8E" w14:textId="6E820089" w:rsidR="000B594D" w:rsidRPr="008D0D35" w:rsidRDefault="000813E0" w:rsidP="00803FD9">
            <w:pPr>
              <w:spacing w:after="60" w:line="276"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sidRPr="008D0D35">
              <w:rPr>
                <w:rFonts w:cs="Arial"/>
                <w:sz w:val="20"/>
                <w:szCs w:val="20"/>
              </w:rPr>
              <w:t>= (</w:t>
            </w:r>
            <w:r>
              <w:rPr>
                <w:rFonts w:cs="Arial"/>
                <w:sz w:val="20"/>
                <w:szCs w:val="20"/>
              </w:rPr>
              <w:t>t</w:t>
            </w:r>
            <w:r w:rsidRPr="008D0D35">
              <w:rPr>
                <w:rFonts w:cs="Arial"/>
                <w:sz w:val="20"/>
                <w:szCs w:val="20"/>
              </w:rPr>
              <w:t xml:space="preserve">otal number of </w:t>
            </w:r>
            <w:r>
              <w:rPr>
                <w:rFonts w:cs="Arial"/>
                <w:sz w:val="20"/>
                <w:szCs w:val="20"/>
              </w:rPr>
              <w:t>UTIs</w:t>
            </w:r>
            <w:r w:rsidRPr="008D0D35">
              <w:rPr>
                <w:rFonts w:cs="Arial"/>
                <w:sz w:val="20"/>
                <w:szCs w:val="20"/>
              </w:rPr>
              <w:t xml:space="preserve">/total resident days) </w:t>
            </w:r>
            <w:r>
              <w:rPr>
                <w:rFonts w:cs="Arial"/>
                <w:sz w:val="20"/>
                <w:szCs w:val="20"/>
              </w:rPr>
              <w:t xml:space="preserve">× </w:t>
            </w:r>
            <w:r w:rsidRPr="008D0D35">
              <w:rPr>
                <w:rFonts w:cs="Arial"/>
                <w:sz w:val="20"/>
                <w:szCs w:val="20"/>
              </w:rPr>
              <w:t>1</w:t>
            </w:r>
            <w:r w:rsidR="00BA335D">
              <w:rPr>
                <w:rFonts w:cs="Arial"/>
                <w:sz w:val="20"/>
                <w:szCs w:val="20"/>
              </w:rPr>
              <w:t>,</w:t>
            </w:r>
            <w:r w:rsidRPr="008D0D35">
              <w:rPr>
                <w:rFonts w:cs="Arial"/>
                <w:sz w:val="20"/>
                <w:szCs w:val="20"/>
              </w:rPr>
              <w:t>000</w:t>
            </w:r>
          </w:p>
        </w:tc>
        <w:tc>
          <w:tcPr>
            <w:tcW w:w="2551"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tcPr>
          <w:p w14:paraId="314C6686" w14:textId="45A33883" w:rsidR="000813E0" w:rsidRPr="008D0D35" w:rsidRDefault="000A3593" w:rsidP="00803FD9">
            <w:pPr>
              <w:spacing w:after="60" w:line="276"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sidRPr="008D0D35">
              <w:rPr>
                <w:rFonts w:cs="Arial"/>
                <w:sz w:val="20"/>
                <w:szCs w:val="20"/>
              </w:rPr>
              <w:t xml:space="preserve">UTI refers to any case </w:t>
            </w:r>
            <w:r>
              <w:rPr>
                <w:rFonts w:cs="Arial"/>
                <w:sz w:val="20"/>
                <w:szCs w:val="20"/>
              </w:rPr>
              <w:t xml:space="preserve">that </w:t>
            </w:r>
            <w:r w:rsidRPr="008D0D35">
              <w:rPr>
                <w:rFonts w:cs="Arial"/>
                <w:sz w:val="20"/>
                <w:szCs w:val="20"/>
              </w:rPr>
              <w:t xml:space="preserve">meets the </w:t>
            </w:r>
            <w:r>
              <w:rPr>
                <w:rFonts w:cs="Arial"/>
                <w:sz w:val="20"/>
                <w:szCs w:val="20"/>
              </w:rPr>
              <w:t xml:space="preserve">clinical </w:t>
            </w:r>
            <w:r w:rsidRPr="008D0D35">
              <w:rPr>
                <w:rFonts w:cs="Arial"/>
                <w:sz w:val="20"/>
                <w:szCs w:val="20"/>
              </w:rPr>
              <w:t>signs and symptoms criteria and a urine culture result within a specified range</w:t>
            </w:r>
            <w:r>
              <w:rPr>
                <w:rFonts w:cs="Arial"/>
                <w:sz w:val="20"/>
                <w:szCs w:val="20"/>
              </w:rPr>
              <w:t xml:space="preserve"> as described in </w:t>
            </w:r>
            <w:r w:rsidR="00BA335D">
              <w:rPr>
                <w:rFonts w:cs="Arial"/>
                <w:sz w:val="20"/>
                <w:szCs w:val="20"/>
              </w:rPr>
              <w:t xml:space="preserve">the </w:t>
            </w:r>
            <w:r>
              <w:rPr>
                <w:rFonts w:cs="Arial"/>
                <w:sz w:val="20"/>
                <w:szCs w:val="20"/>
              </w:rPr>
              <w:t>decision</w:t>
            </w:r>
            <w:r w:rsidR="00BA335D">
              <w:rPr>
                <w:rFonts w:cs="Arial"/>
                <w:sz w:val="20"/>
                <w:szCs w:val="20"/>
              </w:rPr>
              <w:t>-</w:t>
            </w:r>
            <w:r>
              <w:rPr>
                <w:rFonts w:cs="Arial"/>
                <w:sz w:val="20"/>
                <w:szCs w:val="20"/>
              </w:rPr>
              <w:t>support tool</w:t>
            </w:r>
            <w:r w:rsidRPr="008D0D35">
              <w:rPr>
                <w:rFonts w:cs="Arial"/>
                <w:sz w:val="20"/>
                <w:szCs w:val="20"/>
              </w:rPr>
              <w:t xml:space="preserve"> </w:t>
            </w:r>
          </w:p>
        </w:tc>
      </w:tr>
      <w:tr w:rsidR="00D661E7" w:rsidRPr="008D0D35" w14:paraId="22C57D19" w14:textId="77777777" w:rsidTr="00870B97">
        <w:tc>
          <w:tcPr>
            <w:cnfStyle w:val="001000000000" w:firstRow="0" w:lastRow="0" w:firstColumn="1" w:lastColumn="0" w:oddVBand="0" w:evenVBand="0" w:oddHBand="0" w:evenHBand="0" w:firstRowFirstColumn="0" w:firstRowLastColumn="0" w:lastRowFirstColumn="0" w:lastRowLastColumn="0"/>
            <w:tcW w:w="2551"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tcPr>
          <w:p w14:paraId="292CF078" w14:textId="7E5F753C" w:rsidR="00D661E7" w:rsidRDefault="00D661E7" w:rsidP="00803FD9">
            <w:pPr>
              <w:spacing w:after="60" w:line="276" w:lineRule="auto"/>
              <w:rPr>
                <w:rFonts w:cs="Arial"/>
                <w:sz w:val="20"/>
                <w:szCs w:val="20"/>
              </w:rPr>
            </w:pPr>
            <w:r>
              <w:rPr>
                <w:rFonts w:cs="Arial"/>
                <w:sz w:val="20"/>
                <w:szCs w:val="20"/>
              </w:rPr>
              <w:t xml:space="preserve">Total number of </w:t>
            </w:r>
            <w:r w:rsidR="003E4EAA">
              <w:rPr>
                <w:rFonts w:cs="Arial"/>
                <w:sz w:val="20"/>
                <w:szCs w:val="20"/>
              </w:rPr>
              <w:t xml:space="preserve">MC&amp;S </w:t>
            </w:r>
            <w:r w:rsidR="00412FC4" w:rsidRPr="00412FC4">
              <w:rPr>
                <w:rFonts w:cs="Arial"/>
                <w:sz w:val="20"/>
                <w:szCs w:val="20"/>
              </w:rPr>
              <w:t xml:space="preserve">laboratory </w:t>
            </w:r>
            <w:r w:rsidR="003E4EAA">
              <w:rPr>
                <w:rFonts w:cs="Arial"/>
                <w:sz w:val="20"/>
                <w:szCs w:val="20"/>
              </w:rPr>
              <w:t>testing</w:t>
            </w:r>
            <w:r w:rsidR="003E4EAA" w:rsidRPr="000C63C2">
              <w:rPr>
                <w:rFonts w:cs="Arial"/>
                <w:sz w:val="20"/>
                <w:szCs w:val="20"/>
              </w:rPr>
              <w:t xml:space="preserve"> </w:t>
            </w:r>
            <w:r w:rsidR="000C63C2" w:rsidRPr="000C63C2">
              <w:rPr>
                <w:rFonts w:cs="Arial"/>
                <w:sz w:val="20"/>
                <w:szCs w:val="20"/>
              </w:rPr>
              <w:t>for suspected UTI</w:t>
            </w:r>
          </w:p>
        </w:tc>
        <w:tc>
          <w:tcPr>
            <w:tcW w:w="3685"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tcPr>
          <w:p w14:paraId="3C11F5A0" w14:textId="4C0E9020" w:rsidR="002705A8" w:rsidRPr="008D0D35" w:rsidRDefault="000C63C2" w:rsidP="00803FD9">
            <w:pPr>
              <w:spacing w:after="60" w:line="276"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 xml:space="preserve">Count of </w:t>
            </w:r>
            <w:r w:rsidRPr="000C63C2">
              <w:rPr>
                <w:rFonts w:cs="Arial"/>
                <w:sz w:val="20"/>
                <w:szCs w:val="20"/>
              </w:rPr>
              <w:t xml:space="preserve">urine samples sent </w:t>
            </w:r>
            <w:r w:rsidR="009E2965">
              <w:rPr>
                <w:rFonts w:cs="Arial"/>
                <w:sz w:val="20"/>
                <w:szCs w:val="20"/>
              </w:rPr>
              <w:t xml:space="preserve">to the laboratory </w:t>
            </w:r>
            <w:r w:rsidR="000145C0">
              <w:rPr>
                <w:rFonts w:cs="Arial"/>
                <w:sz w:val="20"/>
                <w:szCs w:val="20"/>
              </w:rPr>
              <w:t>for MC&amp;S testing</w:t>
            </w:r>
            <w:r w:rsidR="000145C0" w:rsidRPr="000C63C2">
              <w:rPr>
                <w:rFonts w:cs="Arial"/>
                <w:sz w:val="20"/>
                <w:szCs w:val="20"/>
              </w:rPr>
              <w:t xml:space="preserve"> </w:t>
            </w:r>
            <w:r w:rsidRPr="000C63C2">
              <w:rPr>
                <w:rFonts w:cs="Arial"/>
                <w:sz w:val="20"/>
                <w:szCs w:val="20"/>
              </w:rPr>
              <w:t xml:space="preserve">for </w:t>
            </w:r>
            <w:r w:rsidR="0050184B">
              <w:rPr>
                <w:rFonts w:cs="Arial"/>
                <w:sz w:val="20"/>
                <w:szCs w:val="20"/>
              </w:rPr>
              <w:t xml:space="preserve">cases with </w:t>
            </w:r>
            <w:r w:rsidRPr="000C63C2">
              <w:rPr>
                <w:rFonts w:cs="Arial"/>
                <w:sz w:val="20"/>
                <w:szCs w:val="20"/>
              </w:rPr>
              <w:t>suspected UTI</w:t>
            </w:r>
            <w:r w:rsidR="00326D58">
              <w:rPr>
                <w:rFonts w:cs="Arial"/>
                <w:sz w:val="20"/>
                <w:szCs w:val="20"/>
              </w:rPr>
              <w:t xml:space="preserve"> per week or month</w:t>
            </w:r>
          </w:p>
        </w:tc>
        <w:tc>
          <w:tcPr>
            <w:tcW w:w="2551"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tcPr>
          <w:p w14:paraId="1808C049" w14:textId="77777777" w:rsidR="00D661E7" w:rsidRPr="008D0D35" w:rsidRDefault="00D661E7" w:rsidP="00803FD9">
            <w:pPr>
              <w:spacing w:after="60" w:line="276" w:lineRule="auto"/>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6879F6" w:rsidRPr="008D0D35" w14:paraId="00AD0B5D" w14:textId="77777777" w:rsidTr="00870B97">
        <w:tc>
          <w:tcPr>
            <w:cnfStyle w:val="001000000000" w:firstRow="0" w:lastRow="0" w:firstColumn="1" w:lastColumn="0" w:oddVBand="0" w:evenVBand="0" w:oddHBand="0" w:evenHBand="0" w:firstRowFirstColumn="0" w:firstRowLastColumn="0" w:lastRowFirstColumn="0" w:lastRowLastColumn="0"/>
            <w:tcW w:w="2551"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tcPr>
          <w:p w14:paraId="6EC62FBA" w14:textId="4DB42856" w:rsidR="006879F6" w:rsidRDefault="006879F6" w:rsidP="00803FD9">
            <w:pPr>
              <w:spacing w:after="60" w:line="276" w:lineRule="auto"/>
              <w:rPr>
                <w:rFonts w:cs="Arial"/>
                <w:sz w:val="20"/>
                <w:szCs w:val="20"/>
              </w:rPr>
            </w:pPr>
            <w:r>
              <w:rPr>
                <w:rFonts w:cs="Arial"/>
                <w:sz w:val="20"/>
                <w:szCs w:val="20"/>
              </w:rPr>
              <w:t>T</w:t>
            </w:r>
            <w:r w:rsidRPr="006879F6">
              <w:rPr>
                <w:rFonts w:cs="Arial"/>
                <w:sz w:val="20"/>
                <w:szCs w:val="20"/>
              </w:rPr>
              <w:t>ime to antibiotic use from onset of symptoms</w:t>
            </w:r>
          </w:p>
        </w:tc>
        <w:tc>
          <w:tcPr>
            <w:tcW w:w="3685"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tcPr>
          <w:p w14:paraId="4421D939" w14:textId="7A23011A" w:rsidR="006879F6" w:rsidRDefault="00BF7E26" w:rsidP="00803FD9">
            <w:pPr>
              <w:spacing w:after="60" w:line="276"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w:t>
            </w:r>
            <w:r w:rsidR="009E2965">
              <w:rPr>
                <w:rFonts w:cs="Arial"/>
                <w:sz w:val="20"/>
                <w:szCs w:val="20"/>
              </w:rPr>
              <w:t xml:space="preserve"> </w:t>
            </w:r>
            <w:r w:rsidR="00A8353E">
              <w:rPr>
                <w:rFonts w:cs="Arial"/>
                <w:sz w:val="20"/>
                <w:szCs w:val="20"/>
              </w:rPr>
              <w:t>T</w:t>
            </w:r>
            <w:r w:rsidR="007B43CE">
              <w:rPr>
                <w:rFonts w:cs="Arial"/>
                <w:sz w:val="20"/>
                <w:szCs w:val="20"/>
              </w:rPr>
              <w:t xml:space="preserve">ime from </w:t>
            </w:r>
            <w:r w:rsidR="00A8353E">
              <w:rPr>
                <w:rFonts w:cs="Arial"/>
                <w:sz w:val="20"/>
                <w:szCs w:val="20"/>
              </w:rPr>
              <w:t xml:space="preserve">prescribing of antibiotic </w:t>
            </w:r>
            <w:r>
              <w:rPr>
                <w:rFonts w:cs="Arial"/>
                <w:sz w:val="20"/>
                <w:szCs w:val="20"/>
              </w:rPr>
              <w:t>– when sign</w:t>
            </w:r>
            <w:r w:rsidR="009E2965">
              <w:rPr>
                <w:rFonts w:cs="Arial"/>
                <w:sz w:val="20"/>
                <w:szCs w:val="20"/>
              </w:rPr>
              <w:t>s</w:t>
            </w:r>
            <w:r>
              <w:rPr>
                <w:rFonts w:cs="Arial"/>
                <w:sz w:val="20"/>
                <w:szCs w:val="20"/>
              </w:rPr>
              <w:t xml:space="preserve"> and symptoms were identified</w:t>
            </w:r>
          </w:p>
        </w:tc>
        <w:tc>
          <w:tcPr>
            <w:tcW w:w="2551"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tcPr>
          <w:p w14:paraId="619733DA" w14:textId="6D0F2F67" w:rsidR="0058675F" w:rsidRPr="008D0D35" w:rsidRDefault="007B43CE" w:rsidP="00803FD9">
            <w:pPr>
              <w:spacing w:after="60" w:line="276"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Time can be calculated in hours or days</w:t>
            </w:r>
          </w:p>
        </w:tc>
      </w:tr>
      <w:tr w:rsidR="00ED2A58" w:rsidRPr="008D0D35" w14:paraId="6D96FF20" w14:textId="77777777" w:rsidTr="00870B97">
        <w:tc>
          <w:tcPr>
            <w:cnfStyle w:val="001000000000" w:firstRow="0" w:lastRow="0" w:firstColumn="1" w:lastColumn="0" w:oddVBand="0" w:evenVBand="0" w:oddHBand="0" w:evenHBand="0" w:firstRowFirstColumn="0" w:firstRowLastColumn="0" w:lastRowFirstColumn="0" w:lastRowLastColumn="0"/>
            <w:tcW w:w="2551"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tcPr>
          <w:p w14:paraId="49D579B8" w14:textId="59195FB6" w:rsidR="00ED2A58" w:rsidRDefault="008548B7" w:rsidP="00803FD9">
            <w:pPr>
              <w:spacing w:after="60" w:line="276" w:lineRule="auto"/>
              <w:rPr>
                <w:rFonts w:cs="Arial"/>
                <w:sz w:val="20"/>
                <w:szCs w:val="20"/>
              </w:rPr>
            </w:pPr>
            <w:r>
              <w:rPr>
                <w:rFonts w:cs="Arial"/>
                <w:sz w:val="20"/>
                <w:szCs w:val="20"/>
              </w:rPr>
              <w:t>N</w:t>
            </w:r>
            <w:r w:rsidRPr="008548B7">
              <w:rPr>
                <w:rFonts w:cs="Arial"/>
                <w:sz w:val="20"/>
                <w:szCs w:val="20"/>
              </w:rPr>
              <w:t xml:space="preserve">umber of residents where health has deteriorated as a result of waiting for MC&amp;S </w:t>
            </w:r>
            <w:r w:rsidR="00257EF7" w:rsidRPr="008548B7">
              <w:rPr>
                <w:rFonts w:cs="Arial"/>
                <w:sz w:val="20"/>
                <w:szCs w:val="20"/>
              </w:rPr>
              <w:t>lab</w:t>
            </w:r>
            <w:r w:rsidR="00257EF7">
              <w:rPr>
                <w:rFonts w:cs="Arial"/>
                <w:sz w:val="20"/>
                <w:szCs w:val="20"/>
              </w:rPr>
              <w:t>oratory</w:t>
            </w:r>
            <w:r w:rsidRPr="008548B7">
              <w:rPr>
                <w:rFonts w:cs="Arial"/>
                <w:sz w:val="20"/>
                <w:szCs w:val="20"/>
              </w:rPr>
              <w:t xml:space="preserve"> results</w:t>
            </w:r>
          </w:p>
        </w:tc>
        <w:tc>
          <w:tcPr>
            <w:tcW w:w="3685"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tcPr>
          <w:p w14:paraId="1DAB5206" w14:textId="4131E054" w:rsidR="000C53B6" w:rsidRDefault="00C324D3" w:rsidP="00803FD9">
            <w:pPr>
              <w:spacing w:after="60" w:line="276"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 xml:space="preserve">Count of residents </w:t>
            </w:r>
            <w:r w:rsidR="009D1497">
              <w:rPr>
                <w:rFonts w:cs="Arial"/>
                <w:sz w:val="20"/>
                <w:szCs w:val="20"/>
              </w:rPr>
              <w:t xml:space="preserve">who </w:t>
            </w:r>
            <w:r w:rsidR="00DB1AF0" w:rsidRPr="00695D41">
              <w:rPr>
                <w:rFonts w:cs="Arial"/>
                <w:sz w:val="20"/>
                <w:szCs w:val="20"/>
              </w:rPr>
              <w:t>a</w:t>
            </w:r>
            <w:r w:rsidR="00B143B0" w:rsidRPr="00695D41">
              <w:rPr>
                <w:rFonts w:cs="Arial"/>
                <w:sz w:val="20"/>
                <w:szCs w:val="20"/>
              </w:rPr>
              <w:t xml:space="preserve">re suspected </w:t>
            </w:r>
            <w:r w:rsidR="00DB1AF0" w:rsidRPr="00695D41">
              <w:rPr>
                <w:rFonts w:cs="Arial"/>
                <w:sz w:val="20"/>
                <w:szCs w:val="20"/>
              </w:rPr>
              <w:t xml:space="preserve">of having </w:t>
            </w:r>
            <w:r w:rsidR="00B143B0" w:rsidRPr="00695D41">
              <w:rPr>
                <w:rFonts w:cs="Arial"/>
                <w:sz w:val="20"/>
                <w:szCs w:val="20"/>
              </w:rPr>
              <w:t xml:space="preserve">UTI </w:t>
            </w:r>
            <w:r w:rsidR="000A4E78">
              <w:rPr>
                <w:rFonts w:cs="Arial"/>
                <w:sz w:val="20"/>
                <w:szCs w:val="20"/>
              </w:rPr>
              <w:t xml:space="preserve">+ </w:t>
            </w:r>
            <w:r w:rsidR="000A4E78" w:rsidRPr="005D6D05">
              <w:rPr>
                <w:rFonts w:cs="Arial"/>
                <w:sz w:val="20"/>
                <w:szCs w:val="20"/>
              </w:rPr>
              <w:t>signs</w:t>
            </w:r>
            <w:r w:rsidR="00B143B0" w:rsidRPr="005D6D05">
              <w:rPr>
                <w:rFonts w:cs="Arial"/>
                <w:sz w:val="20"/>
                <w:szCs w:val="20"/>
              </w:rPr>
              <w:t xml:space="preserve"> and symptoms </w:t>
            </w:r>
            <w:r w:rsidR="005D6D05" w:rsidRPr="005D6D05">
              <w:rPr>
                <w:rFonts w:cs="Arial"/>
                <w:sz w:val="20"/>
                <w:szCs w:val="20"/>
              </w:rPr>
              <w:t xml:space="preserve">+ </w:t>
            </w:r>
            <w:r w:rsidR="00B143B0" w:rsidRPr="005D6D05">
              <w:rPr>
                <w:rFonts w:cs="Arial"/>
                <w:sz w:val="20"/>
                <w:szCs w:val="20"/>
              </w:rPr>
              <w:t xml:space="preserve">met criteria for UTI </w:t>
            </w:r>
            <w:r w:rsidR="005D6D05" w:rsidRPr="005D6D05">
              <w:rPr>
                <w:rFonts w:cs="Arial"/>
                <w:sz w:val="20"/>
                <w:szCs w:val="20"/>
              </w:rPr>
              <w:t>+</w:t>
            </w:r>
            <w:r w:rsidR="00B143B0" w:rsidRPr="005D6D05">
              <w:rPr>
                <w:rFonts w:cs="Arial"/>
                <w:sz w:val="20"/>
                <w:szCs w:val="20"/>
              </w:rPr>
              <w:t xml:space="preserve"> who are waiting for MC&amp;S laboratory results</w:t>
            </w:r>
            <w:r w:rsidR="005D6D05" w:rsidRPr="005D6D05">
              <w:rPr>
                <w:rFonts w:cs="Arial"/>
                <w:sz w:val="20"/>
                <w:szCs w:val="20"/>
              </w:rPr>
              <w:t xml:space="preserve"> </w:t>
            </w:r>
            <w:r w:rsidR="000A4E78" w:rsidRPr="005D6D05">
              <w:rPr>
                <w:rFonts w:cs="Arial"/>
                <w:sz w:val="20"/>
                <w:szCs w:val="20"/>
              </w:rPr>
              <w:t>+ whose</w:t>
            </w:r>
            <w:r w:rsidRPr="005D6D05">
              <w:rPr>
                <w:rFonts w:cs="Arial"/>
                <w:sz w:val="20"/>
                <w:szCs w:val="20"/>
              </w:rPr>
              <w:t xml:space="preserve"> health has deteriorated</w:t>
            </w:r>
          </w:p>
        </w:tc>
        <w:tc>
          <w:tcPr>
            <w:tcW w:w="2551"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tcPr>
          <w:p w14:paraId="5248A813" w14:textId="77777777" w:rsidR="00210E06" w:rsidRDefault="00210E06" w:rsidP="00803FD9">
            <w:pPr>
              <w:spacing w:after="60" w:line="276"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 xml:space="preserve">Count of residents who </w:t>
            </w:r>
          </w:p>
          <w:p w14:paraId="4864C023" w14:textId="77777777" w:rsidR="00210E06" w:rsidRPr="00695D41" w:rsidRDefault="00210E06" w:rsidP="00803FD9">
            <w:pPr>
              <w:pStyle w:val="ListParagraph"/>
              <w:numPr>
                <w:ilvl w:val="0"/>
                <w:numId w:val="3"/>
              </w:numPr>
              <w:spacing w:after="60" w:line="276" w:lineRule="auto"/>
              <w:ind w:left="174" w:hanging="142"/>
              <w:contextualSpacing w:val="0"/>
              <w:cnfStyle w:val="000000000000" w:firstRow="0" w:lastRow="0" w:firstColumn="0" w:lastColumn="0" w:oddVBand="0" w:evenVBand="0" w:oddHBand="0" w:evenHBand="0" w:firstRowFirstColumn="0" w:firstRowLastColumn="0" w:lastRowFirstColumn="0" w:lastRowLastColumn="0"/>
              <w:rPr>
                <w:rFonts w:cs="Arial"/>
                <w:sz w:val="20"/>
                <w:szCs w:val="20"/>
              </w:rPr>
            </w:pPr>
            <w:r w:rsidRPr="00695D41">
              <w:rPr>
                <w:rFonts w:cs="Arial"/>
                <w:sz w:val="20"/>
                <w:szCs w:val="20"/>
              </w:rPr>
              <w:t xml:space="preserve">are suspected of having UTI </w:t>
            </w:r>
          </w:p>
          <w:p w14:paraId="5C2BD362" w14:textId="77777777" w:rsidR="00210E06" w:rsidRPr="00695D41" w:rsidRDefault="00210E06" w:rsidP="00803FD9">
            <w:pPr>
              <w:pStyle w:val="ListParagraph"/>
              <w:numPr>
                <w:ilvl w:val="0"/>
                <w:numId w:val="3"/>
              </w:numPr>
              <w:spacing w:after="60" w:line="276" w:lineRule="auto"/>
              <w:ind w:left="174" w:hanging="142"/>
              <w:contextualSpacing w:val="0"/>
              <w:cnfStyle w:val="000000000000" w:firstRow="0" w:lastRow="0" w:firstColumn="0" w:lastColumn="0" w:oddVBand="0" w:evenVBand="0" w:oddHBand="0" w:evenHBand="0" w:firstRowFirstColumn="0" w:firstRowLastColumn="0" w:lastRowFirstColumn="0" w:lastRowLastColumn="0"/>
              <w:rPr>
                <w:rFonts w:cs="Arial"/>
                <w:sz w:val="20"/>
                <w:szCs w:val="20"/>
              </w:rPr>
            </w:pPr>
            <w:r w:rsidRPr="00695D41">
              <w:rPr>
                <w:rFonts w:cs="Arial"/>
                <w:sz w:val="20"/>
                <w:szCs w:val="20"/>
              </w:rPr>
              <w:t xml:space="preserve">and signs and symptoms meet criteria for UTI </w:t>
            </w:r>
          </w:p>
          <w:p w14:paraId="18593A2F" w14:textId="77777777" w:rsidR="00210E06" w:rsidRDefault="00210E06" w:rsidP="00803FD9">
            <w:pPr>
              <w:pStyle w:val="ListParagraph"/>
              <w:numPr>
                <w:ilvl w:val="0"/>
                <w:numId w:val="3"/>
              </w:numPr>
              <w:spacing w:after="60" w:line="276" w:lineRule="auto"/>
              <w:ind w:left="174" w:hanging="142"/>
              <w:contextualSpacing w:val="0"/>
              <w:cnfStyle w:val="000000000000" w:firstRow="0" w:lastRow="0" w:firstColumn="0" w:lastColumn="0" w:oddVBand="0" w:evenVBand="0" w:oddHBand="0" w:evenHBand="0" w:firstRowFirstColumn="0" w:firstRowLastColumn="0" w:lastRowFirstColumn="0" w:lastRowLastColumn="0"/>
              <w:rPr>
                <w:rFonts w:cs="Arial"/>
                <w:sz w:val="20"/>
                <w:szCs w:val="20"/>
              </w:rPr>
            </w:pPr>
            <w:r w:rsidRPr="00695D41">
              <w:rPr>
                <w:rFonts w:cs="Arial"/>
                <w:sz w:val="20"/>
                <w:szCs w:val="20"/>
              </w:rPr>
              <w:t>and who are waiting for MC&amp;S laboratory results</w:t>
            </w:r>
          </w:p>
          <w:p w14:paraId="50768346" w14:textId="525EEE1C" w:rsidR="00ED2A58" w:rsidRPr="00ED00E1" w:rsidRDefault="00210E06" w:rsidP="00803FD9">
            <w:pPr>
              <w:pStyle w:val="ListParagraph"/>
              <w:numPr>
                <w:ilvl w:val="0"/>
                <w:numId w:val="3"/>
              </w:numPr>
              <w:spacing w:after="60" w:line="276" w:lineRule="auto"/>
              <w:ind w:left="174" w:hanging="142"/>
              <w:contextualSpacing w:val="0"/>
              <w:cnfStyle w:val="000000000000" w:firstRow="0" w:lastRow="0" w:firstColumn="0" w:lastColumn="0" w:oddVBand="0" w:evenVBand="0" w:oddHBand="0" w:evenHBand="0" w:firstRowFirstColumn="0" w:firstRowLastColumn="0" w:lastRowFirstColumn="0" w:lastRowLastColumn="0"/>
              <w:rPr>
                <w:rFonts w:cs="Arial"/>
                <w:sz w:val="20"/>
                <w:szCs w:val="20"/>
              </w:rPr>
            </w:pPr>
            <w:r w:rsidRPr="00210E06">
              <w:rPr>
                <w:rFonts w:cs="Arial"/>
                <w:sz w:val="20"/>
                <w:szCs w:val="20"/>
              </w:rPr>
              <w:t>and whose health has deteriorated</w:t>
            </w:r>
          </w:p>
        </w:tc>
      </w:tr>
    </w:tbl>
    <w:p w14:paraId="464C84C7" w14:textId="77777777" w:rsidR="00210E06" w:rsidRDefault="00210E06" w:rsidP="00FF416F"/>
    <w:sectPr w:rsidR="00210E06" w:rsidSect="00560A33">
      <w:pgSz w:w="11906" w:h="16838"/>
      <w:pgMar w:top="1440" w:right="1440"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9C30C3"/>
    <w:multiLevelType w:val="hybridMultilevel"/>
    <w:tmpl w:val="17E4E580"/>
    <w:lvl w:ilvl="0" w:tplc="E3802CEE">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54C13A41"/>
    <w:multiLevelType w:val="hybridMultilevel"/>
    <w:tmpl w:val="1FA08692"/>
    <w:lvl w:ilvl="0" w:tplc="50403AEE">
      <w:start w:val="6"/>
      <w:numFmt w:val="bullet"/>
      <w:lvlText w:val="-"/>
      <w:lvlJc w:val="left"/>
      <w:pPr>
        <w:ind w:left="720" w:hanging="360"/>
      </w:pPr>
      <w:rPr>
        <w:rFonts w:ascii="Arial" w:eastAsiaTheme="minorHAns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70C041BA"/>
    <w:multiLevelType w:val="hybridMultilevel"/>
    <w:tmpl w:val="A00A479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16cid:durableId="600187921">
    <w:abstractNumId w:val="2"/>
  </w:num>
  <w:num w:numId="2" w16cid:durableId="199051675">
    <w:abstractNumId w:val="0"/>
  </w:num>
  <w:num w:numId="3" w16cid:durableId="16270034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F4C"/>
    <w:rsid w:val="000145C0"/>
    <w:rsid w:val="000813E0"/>
    <w:rsid w:val="000974F2"/>
    <w:rsid w:val="000A3593"/>
    <w:rsid w:val="000A4E78"/>
    <w:rsid w:val="000B45E6"/>
    <w:rsid w:val="000B594D"/>
    <w:rsid w:val="000B73D9"/>
    <w:rsid w:val="000C53B6"/>
    <w:rsid w:val="000C63C2"/>
    <w:rsid w:val="00121F62"/>
    <w:rsid w:val="00141682"/>
    <w:rsid w:val="001F0819"/>
    <w:rsid w:val="00210E06"/>
    <w:rsid w:val="002210FE"/>
    <w:rsid w:val="002236F6"/>
    <w:rsid w:val="00241B67"/>
    <w:rsid w:val="0025624C"/>
    <w:rsid w:val="00257EF7"/>
    <w:rsid w:val="002705A8"/>
    <w:rsid w:val="00281562"/>
    <w:rsid w:val="002B4FF3"/>
    <w:rsid w:val="002F4A12"/>
    <w:rsid w:val="00301340"/>
    <w:rsid w:val="00311471"/>
    <w:rsid w:val="00326D58"/>
    <w:rsid w:val="00326E64"/>
    <w:rsid w:val="00345348"/>
    <w:rsid w:val="003547CF"/>
    <w:rsid w:val="003A3EC9"/>
    <w:rsid w:val="003C7566"/>
    <w:rsid w:val="003E4EAA"/>
    <w:rsid w:val="00412FC4"/>
    <w:rsid w:val="00421E68"/>
    <w:rsid w:val="0044231B"/>
    <w:rsid w:val="00462CFC"/>
    <w:rsid w:val="0046546B"/>
    <w:rsid w:val="004A1BC3"/>
    <w:rsid w:val="004C32ED"/>
    <w:rsid w:val="0050184B"/>
    <w:rsid w:val="00506FDD"/>
    <w:rsid w:val="00507E46"/>
    <w:rsid w:val="00523817"/>
    <w:rsid w:val="00525A29"/>
    <w:rsid w:val="00560A33"/>
    <w:rsid w:val="0058245E"/>
    <w:rsid w:val="0058675F"/>
    <w:rsid w:val="00595320"/>
    <w:rsid w:val="005B5C84"/>
    <w:rsid w:val="005C3073"/>
    <w:rsid w:val="005D6D05"/>
    <w:rsid w:val="005F599F"/>
    <w:rsid w:val="00602BE3"/>
    <w:rsid w:val="00682FF2"/>
    <w:rsid w:val="006879F6"/>
    <w:rsid w:val="00695D41"/>
    <w:rsid w:val="006A45FF"/>
    <w:rsid w:val="006C6578"/>
    <w:rsid w:val="006E6584"/>
    <w:rsid w:val="00723864"/>
    <w:rsid w:val="00724CEC"/>
    <w:rsid w:val="007A6C85"/>
    <w:rsid w:val="007B43CE"/>
    <w:rsid w:val="007B627D"/>
    <w:rsid w:val="007D2C72"/>
    <w:rsid w:val="007F4D0C"/>
    <w:rsid w:val="00803FD9"/>
    <w:rsid w:val="0081209C"/>
    <w:rsid w:val="008548B7"/>
    <w:rsid w:val="00861EFF"/>
    <w:rsid w:val="008635FE"/>
    <w:rsid w:val="00870B97"/>
    <w:rsid w:val="008A2903"/>
    <w:rsid w:val="008D5AF0"/>
    <w:rsid w:val="009419E8"/>
    <w:rsid w:val="00943FBC"/>
    <w:rsid w:val="009D1497"/>
    <w:rsid w:val="009E2965"/>
    <w:rsid w:val="009E7B32"/>
    <w:rsid w:val="00A11305"/>
    <w:rsid w:val="00A54227"/>
    <w:rsid w:val="00A80ECE"/>
    <w:rsid w:val="00A8353E"/>
    <w:rsid w:val="00A87C79"/>
    <w:rsid w:val="00AB5922"/>
    <w:rsid w:val="00B143B0"/>
    <w:rsid w:val="00B161B6"/>
    <w:rsid w:val="00B676FB"/>
    <w:rsid w:val="00B807E1"/>
    <w:rsid w:val="00BA335D"/>
    <w:rsid w:val="00BF7E26"/>
    <w:rsid w:val="00C003F4"/>
    <w:rsid w:val="00C10107"/>
    <w:rsid w:val="00C135D3"/>
    <w:rsid w:val="00C25612"/>
    <w:rsid w:val="00C324D3"/>
    <w:rsid w:val="00C433C8"/>
    <w:rsid w:val="00C47D98"/>
    <w:rsid w:val="00C7697B"/>
    <w:rsid w:val="00CB25CB"/>
    <w:rsid w:val="00CC0ECD"/>
    <w:rsid w:val="00CC4932"/>
    <w:rsid w:val="00CE1F4C"/>
    <w:rsid w:val="00CE3D1A"/>
    <w:rsid w:val="00CF6A9F"/>
    <w:rsid w:val="00D14F5A"/>
    <w:rsid w:val="00D661E7"/>
    <w:rsid w:val="00DB1AF0"/>
    <w:rsid w:val="00DC1C37"/>
    <w:rsid w:val="00DD4467"/>
    <w:rsid w:val="00DE13EE"/>
    <w:rsid w:val="00DE61C9"/>
    <w:rsid w:val="00E016D5"/>
    <w:rsid w:val="00E31A54"/>
    <w:rsid w:val="00E72B75"/>
    <w:rsid w:val="00ED00E1"/>
    <w:rsid w:val="00ED2A58"/>
    <w:rsid w:val="00EE2190"/>
    <w:rsid w:val="00F14D7D"/>
    <w:rsid w:val="00F418AA"/>
    <w:rsid w:val="00F60DC8"/>
    <w:rsid w:val="00F72D02"/>
    <w:rsid w:val="00FF31AF"/>
    <w:rsid w:val="00FF416F"/>
    <w:rsid w:val="00FF5FE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7CF1A"/>
  <w15:chartTrackingRefBased/>
  <w15:docId w15:val="{DBE34F08-8BF3-4207-9656-704D3D96A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Workbook normal"/>
    <w:qFormat/>
    <w:rsid w:val="00CE1F4C"/>
    <w:pPr>
      <w:spacing w:after="120"/>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E1F4C"/>
    <w:pPr>
      <w:ind w:left="720"/>
      <w:contextualSpacing/>
    </w:pPr>
  </w:style>
  <w:style w:type="character" w:customStyle="1" w:styleId="ListParagraphChar">
    <w:name w:val="List Paragraph Char"/>
    <w:basedOn w:val="DefaultParagraphFont"/>
    <w:link w:val="ListParagraph"/>
    <w:uiPriority w:val="34"/>
    <w:rsid w:val="00CE1F4C"/>
    <w:rPr>
      <w:rFonts w:ascii="Arial" w:hAnsi="Arial"/>
      <w:sz w:val="24"/>
    </w:rPr>
  </w:style>
  <w:style w:type="table" w:customStyle="1" w:styleId="GridTable1Light-Accent61">
    <w:name w:val="Grid Table 1 Light - Accent 61"/>
    <w:basedOn w:val="TableNormal"/>
    <w:next w:val="GridTable1Light-Accent6"/>
    <w:uiPriority w:val="46"/>
    <w:rsid w:val="00CE1F4C"/>
    <w:pPr>
      <w:spacing w:after="0" w:line="240" w:lineRule="auto"/>
    </w:pPr>
    <w:rPr>
      <w:rFonts w:ascii="Arial" w:hAnsi="Arial"/>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E1F4C"/>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195f19f-1c08-4647-b11c-ef8ab36169e7">
      <Terms xmlns="http://schemas.microsoft.com/office/infopath/2007/PartnerControls"/>
    </lcf76f155ced4ddcb4097134ff3c332f>
    <TaxCatchAll xmlns="bef9904b-9bca-4a1b-aca3-78dad2044d15" xsi:nil="true"/>
  </documentManagement>
</p:properties>
</file>

<file path=customXml/item2.xml><?xml version="1.0" encoding="utf-8"?>
<?mso-contentType ?>
<SharedContentType xmlns="Microsoft.SharePoint.Taxonomy.ContentTypeSync" SourceId="5f067919-d045-4b34-bd75-563914e94517" ContentTypeId="0x010100464BB556B3337A48846236E9064FB9CC01" PreviousValue="false"/>
</file>

<file path=customXml/item3.xml><?xml version="1.0" encoding="utf-8"?>
<ct:contentTypeSchema xmlns:ct="http://schemas.microsoft.com/office/2006/metadata/contentType" xmlns:ma="http://schemas.microsoft.com/office/2006/metadata/properties/metaAttributes" ct:_="" ma:_="" ma:contentTypeName="DMS document" ma:contentTypeID="0x010100464BB556B3337A48846236E9064FB9CC010016069D414DDC6B4999640F73160C6405" ma:contentTypeVersion="36" ma:contentTypeDescription="Use this content type to classify and store documents on HQSC DMS website" ma:contentTypeScope="" ma:versionID="5cc2ff221856bf72141df28c1076a1c4">
  <xsd:schema xmlns:xsd="http://www.w3.org/2001/XMLSchema" xmlns:xs="http://www.w3.org/2001/XMLSchema" xmlns:p="http://schemas.microsoft.com/office/2006/metadata/properties" xmlns:ns3="7195f19f-1c08-4647-b11c-ef8ab36169e7" xmlns:ns4="bef9904b-9bca-4a1b-aca3-78dad2044d15" targetNamespace="http://schemas.microsoft.com/office/2006/metadata/properties" ma:root="true" ma:fieldsID="aaf4674d5de20e2d0b44cf5203b726a0" ns3:_="" ns4:_="">
    <xsd:import namespace="7195f19f-1c08-4647-b11c-ef8ab36169e7"/>
    <xsd:import namespace="bef9904b-9bca-4a1b-aca3-78dad2044d1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95f19f-1c08-4647-b11c-ef8ab36169e7"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Location" ma:index="14"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f067919-d045-4b34-bd75-563914e9451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ef9904b-9bca-4a1b-aca3-78dad2044d1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24db9ff5-9934-4329-8878-4e2d029385bb}" ma:internalName="TaxCatchAll" ma:showField="CatchAllData" ma:web="bef9904b-9bca-4a1b-aca3-78dad2044d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103910-40B4-4DD7-B806-F15F47432709}">
  <ds:schemaRefs>
    <ds:schemaRef ds:uri="http://schemas.microsoft.com/office/2006/metadata/properties"/>
    <ds:schemaRef ds:uri="http://schemas.microsoft.com/office/infopath/2007/PartnerControls"/>
    <ds:schemaRef ds:uri="7195f19f-1c08-4647-b11c-ef8ab36169e7"/>
    <ds:schemaRef ds:uri="bef9904b-9bca-4a1b-aca3-78dad2044d15"/>
  </ds:schemaRefs>
</ds:datastoreItem>
</file>

<file path=customXml/itemProps2.xml><?xml version="1.0" encoding="utf-8"?>
<ds:datastoreItem xmlns:ds="http://schemas.openxmlformats.org/officeDocument/2006/customXml" ds:itemID="{6FC664FB-9544-4903-8922-0FC492DF397F}">
  <ds:schemaRefs>
    <ds:schemaRef ds:uri="Microsoft.SharePoint.Taxonomy.ContentTypeSync"/>
  </ds:schemaRefs>
</ds:datastoreItem>
</file>

<file path=customXml/itemProps3.xml><?xml version="1.0" encoding="utf-8"?>
<ds:datastoreItem xmlns:ds="http://schemas.openxmlformats.org/officeDocument/2006/customXml" ds:itemID="{BFEFDBC4-A6E2-491A-9210-9829ED5DB6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95f19f-1c08-4647-b11c-ef8ab36169e7"/>
    <ds:schemaRef ds:uri="bef9904b-9bca-4a1b-aca3-78dad2044d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9CED5F-C2BE-4B23-B3B4-F173B347A1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Pages>
  <Words>1164</Words>
  <Characters>6639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Prem Kumar</dc:creator>
  <cp:keywords/>
  <dc:description/>
  <cp:lastModifiedBy>Anna Thomson</cp:lastModifiedBy>
  <cp:revision>22</cp:revision>
  <dcterms:created xsi:type="dcterms:W3CDTF">2022-08-10T23:28:00Z</dcterms:created>
  <dcterms:modified xsi:type="dcterms:W3CDTF">2022-10-03T21:25:00Z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0x010100464BB556B3337A48846236E9064FB9CC010016069D414DDC6B4999640F73160C6405</vt:lpwstr>
  </property>
  <property fmtid="{D5CDD505-2E9C-101B-9397-08002B2CF9AE}" pid="3" name="MediaServiceImageTags">
    <vt:lpwstr/>
  </property>
</Properties>
</file>