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EBFF" w14:textId="77777777" w:rsidR="00B85C9C" w:rsidRPr="00B46928" w:rsidRDefault="00B85C9C" w:rsidP="00C04448">
      <w:pPr>
        <w:pStyle w:val="Heading1"/>
        <w:jc w:val="center"/>
        <w:rPr>
          <w:rFonts w:asciiTheme="majorBidi" w:hAnsiTheme="majorBidi"/>
        </w:rPr>
      </w:pPr>
    </w:p>
    <w:p w14:paraId="2AB96F41" w14:textId="77777777" w:rsidR="00B85C9C" w:rsidRPr="00B46928" w:rsidRDefault="00B85C9C" w:rsidP="00C04448">
      <w:pPr>
        <w:pStyle w:val="Heading1"/>
        <w:jc w:val="center"/>
        <w:rPr>
          <w:rFonts w:asciiTheme="majorBidi" w:hAnsiTheme="majorBidi"/>
        </w:rPr>
      </w:pPr>
    </w:p>
    <w:p w14:paraId="26EDCD62" w14:textId="77777777" w:rsidR="00B85C9C" w:rsidRPr="00B46928" w:rsidRDefault="00B85C9C" w:rsidP="00C04448">
      <w:pPr>
        <w:pStyle w:val="Heading1"/>
        <w:jc w:val="center"/>
        <w:rPr>
          <w:rFonts w:asciiTheme="majorBidi" w:hAnsiTheme="majorBidi"/>
        </w:rPr>
      </w:pPr>
    </w:p>
    <w:p w14:paraId="0BECE7FF" w14:textId="77777777" w:rsidR="00B85C9C" w:rsidRPr="00B46928" w:rsidRDefault="00B85C9C" w:rsidP="00C04448">
      <w:pPr>
        <w:pStyle w:val="Heading1"/>
        <w:jc w:val="center"/>
        <w:rPr>
          <w:rFonts w:asciiTheme="majorBidi" w:hAnsiTheme="majorBidi"/>
        </w:rPr>
      </w:pPr>
    </w:p>
    <w:p w14:paraId="1A8CC861" w14:textId="77777777" w:rsidR="00B85C9C" w:rsidRPr="00B46928" w:rsidRDefault="00B85C9C" w:rsidP="00C04448">
      <w:pPr>
        <w:pStyle w:val="Heading1"/>
        <w:jc w:val="center"/>
        <w:rPr>
          <w:rFonts w:asciiTheme="majorBidi" w:hAnsiTheme="majorBidi"/>
        </w:rPr>
      </w:pPr>
    </w:p>
    <w:p w14:paraId="25EFE132" w14:textId="4B3DD698" w:rsidR="00B85C9C" w:rsidRPr="00B46928" w:rsidRDefault="00B85C9C" w:rsidP="00C04448">
      <w:pPr>
        <w:pStyle w:val="Heading1"/>
        <w:jc w:val="center"/>
        <w:rPr>
          <w:rFonts w:asciiTheme="majorBidi" w:hAnsiTheme="majorBidi"/>
        </w:rPr>
      </w:pPr>
      <w:bookmarkStart w:id="0" w:name="_Toc105496971"/>
      <w:bookmarkStart w:id="1" w:name="_Hlk158905388"/>
      <w:r w:rsidRPr="00B46928">
        <w:rPr>
          <w:rFonts w:asciiTheme="majorBidi" w:hAnsiTheme="majorBidi"/>
        </w:rPr>
        <w:t xml:space="preserve">Quality Improvement Initiatives to </w:t>
      </w:r>
      <w:r w:rsidR="00202317">
        <w:rPr>
          <w:rFonts w:asciiTheme="majorBidi" w:hAnsiTheme="majorBidi"/>
        </w:rPr>
        <w:br/>
      </w:r>
      <w:r w:rsidRPr="00B46928">
        <w:rPr>
          <w:rFonts w:asciiTheme="majorBidi" w:hAnsiTheme="majorBidi"/>
        </w:rPr>
        <w:t>Reduce Anticoagulation-related Harm:</w:t>
      </w:r>
      <w:bookmarkEnd w:id="0"/>
    </w:p>
    <w:p w14:paraId="7E9EF83A" w14:textId="77777777" w:rsidR="00B85C9C" w:rsidRPr="00B46928" w:rsidRDefault="00B85C9C" w:rsidP="00C04448">
      <w:pPr>
        <w:pStyle w:val="Heading1"/>
        <w:jc w:val="center"/>
        <w:rPr>
          <w:rFonts w:asciiTheme="majorBidi" w:hAnsiTheme="majorBidi"/>
        </w:rPr>
      </w:pPr>
      <w:bookmarkStart w:id="2" w:name="_Toc105496972"/>
      <w:r w:rsidRPr="00B46928">
        <w:rPr>
          <w:rFonts w:asciiTheme="majorBidi" w:hAnsiTheme="majorBidi"/>
        </w:rPr>
        <w:t>A review of literature and practice</w:t>
      </w:r>
      <w:bookmarkEnd w:id="2"/>
    </w:p>
    <w:bookmarkEnd w:id="1"/>
    <w:p w14:paraId="33A5CAB3" w14:textId="77777777" w:rsidR="00B85C9C" w:rsidRPr="00B46928" w:rsidRDefault="00B85C9C" w:rsidP="00C04448">
      <w:pPr>
        <w:rPr>
          <w:rFonts w:asciiTheme="majorBidi" w:hAnsiTheme="majorBidi" w:cstheme="majorBidi"/>
        </w:rPr>
      </w:pPr>
    </w:p>
    <w:p w14:paraId="7A5DF1CA" w14:textId="77777777" w:rsidR="00B85C9C" w:rsidRPr="00B46928" w:rsidRDefault="00B85C9C" w:rsidP="00C04448">
      <w:pPr>
        <w:rPr>
          <w:rFonts w:asciiTheme="majorBidi" w:hAnsiTheme="majorBidi" w:cstheme="majorBidi"/>
        </w:rPr>
      </w:pPr>
    </w:p>
    <w:p w14:paraId="0111DE81" w14:textId="77777777" w:rsidR="00B85C9C" w:rsidRPr="00B46928" w:rsidRDefault="00B85C9C" w:rsidP="00C04448">
      <w:pPr>
        <w:rPr>
          <w:rFonts w:asciiTheme="majorBidi" w:hAnsiTheme="majorBidi" w:cstheme="majorBidi"/>
        </w:rPr>
      </w:pPr>
    </w:p>
    <w:p w14:paraId="2591A1C1" w14:textId="77777777" w:rsidR="00B85C9C" w:rsidRPr="00B46928" w:rsidRDefault="00B85C9C" w:rsidP="00C04448">
      <w:pPr>
        <w:jc w:val="center"/>
        <w:rPr>
          <w:rFonts w:asciiTheme="majorBidi" w:hAnsiTheme="majorBidi" w:cstheme="majorBidi"/>
        </w:rPr>
      </w:pPr>
      <w:r w:rsidRPr="00B46928">
        <w:rPr>
          <w:rFonts w:asciiTheme="majorBidi" w:hAnsiTheme="majorBidi" w:cstheme="majorBidi"/>
        </w:rPr>
        <w:t>June 2022</w:t>
      </w:r>
    </w:p>
    <w:p w14:paraId="5EF72701" w14:textId="77777777" w:rsidR="00B85C9C" w:rsidRPr="00B46928" w:rsidRDefault="00B85C9C" w:rsidP="00C04448">
      <w:pPr>
        <w:rPr>
          <w:rFonts w:asciiTheme="majorBidi" w:hAnsiTheme="majorBidi" w:cstheme="majorBidi"/>
        </w:rPr>
      </w:pPr>
    </w:p>
    <w:p w14:paraId="4AA0380D" w14:textId="77777777" w:rsidR="00B85C9C" w:rsidRPr="00B46928" w:rsidRDefault="00B85C9C" w:rsidP="00C04448">
      <w:pPr>
        <w:rPr>
          <w:rFonts w:asciiTheme="majorBidi" w:hAnsiTheme="majorBidi" w:cstheme="majorBidi"/>
        </w:rPr>
      </w:pPr>
    </w:p>
    <w:p w14:paraId="7F93356B" w14:textId="77777777" w:rsidR="00B85C9C" w:rsidRPr="00B46928" w:rsidRDefault="00B85C9C" w:rsidP="00C04448">
      <w:pPr>
        <w:rPr>
          <w:rFonts w:asciiTheme="majorBidi" w:hAnsiTheme="majorBidi" w:cstheme="majorBidi"/>
        </w:rPr>
      </w:pPr>
    </w:p>
    <w:p w14:paraId="4D753CE3" w14:textId="77777777" w:rsidR="00B85C9C" w:rsidRPr="00B46928" w:rsidRDefault="00B85C9C" w:rsidP="00C04448">
      <w:pPr>
        <w:rPr>
          <w:rFonts w:asciiTheme="majorBidi" w:hAnsiTheme="majorBidi" w:cstheme="majorBidi"/>
        </w:rPr>
      </w:pPr>
    </w:p>
    <w:p w14:paraId="25ADA36A" w14:textId="77777777" w:rsidR="00B85C9C" w:rsidRPr="00B46928" w:rsidRDefault="00B85C9C">
      <w:pPr>
        <w:rPr>
          <w:rFonts w:asciiTheme="majorBidi" w:hAnsiTheme="majorBidi" w:cstheme="majorBidi"/>
        </w:rPr>
      </w:pPr>
      <w:r w:rsidRPr="00B46928">
        <w:rPr>
          <w:rFonts w:asciiTheme="majorBidi" w:hAnsiTheme="majorBidi" w:cstheme="majorBidi"/>
        </w:rPr>
        <w:br w:type="page"/>
      </w:r>
    </w:p>
    <w:p w14:paraId="16CECC2E" w14:textId="63B3A79F" w:rsidR="00B85C9C" w:rsidRPr="00B46928" w:rsidRDefault="00B85C9C" w:rsidP="00316FCF">
      <w:pPr>
        <w:pStyle w:val="Heading2"/>
        <w:rPr>
          <w:rFonts w:asciiTheme="majorBidi" w:hAnsiTheme="majorBidi"/>
        </w:rPr>
      </w:pPr>
      <w:bookmarkStart w:id="3" w:name="_Toc105496973"/>
      <w:bookmarkStart w:id="4" w:name="_Toc105497778"/>
      <w:bookmarkStart w:id="5" w:name="_Toc106288206"/>
      <w:r w:rsidRPr="00B46928">
        <w:rPr>
          <w:rFonts w:asciiTheme="majorBidi" w:hAnsiTheme="majorBidi"/>
        </w:rPr>
        <w:lastRenderedPageBreak/>
        <w:t>Contents</w:t>
      </w:r>
      <w:bookmarkEnd w:id="3"/>
      <w:bookmarkEnd w:id="4"/>
      <w:bookmarkEnd w:id="5"/>
      <w:r w:rsidRPr="00B46928">
        <w:rPr>
          <w:rFonts w:asciiTheme="majorBidi" w:hAnsiTheme="majorBidi"/>
        </w:rPr>
        <w:t xml:space="preserve"> </w:t>
      </w:r>
    </w:p>
    <w:p w14:paraId="5D66BA6C" w14:textId="3FDD534D" w:rsidR="004F4D58" w:rsidRPr="00F819C6" w:rsidRDefault="00B85C9C" w:rsidP="00F819C6">
      <w:pPr>
        <w:pStyle w:val="TOC2"/>
        <w:rPr>
          <w:noProof/>
          <w:lang w:val="en-NZ"/>
        </w:rPr>
      </w:pPr>
      <w:r w:rsidRPr="00316FCF">
        <w:fldChar w:fldCharType="begin"/>
      </w:r>
      <w:r w:rsidRPr="00316FCF">
        <w:instrText xml:space="preserve"> TOC \o "2-4" \h \z \u </w:instrText>
      </w:r>
      <w:r w:rsidRPr="00316FCF">
        <w:fldChar w:fldCharType="separate"/>
      </w:r>
      <w:hyperlink w:anchor="_Toc106288206" w:history="1"/>
    </w:p>
    <w:p w14:paraId="490A9887" w14:textId="558C144D" w:rsidR="004F4D58" w:rsidRPr="00F819C6" w:rsidRDefault="00C8669A" w:rsidP="00F819C6">
      <w:pPr>
        <w:pStyle w:val="TOC2"/>
        <w:rPr>
          <w:noProof/>
          <w:lang w:val="en-NZ"/>
        </w:rPr>
      </w:pPr>
      <w:hyperlink w:anchor="_Toc106288207" w:history="1">
        <w:r w:rsidR="004F4D58" w:rsidRPr="00316FCF">
          <w:rPr>
            <w:rStyle w:val="Hyperlink"/>
            <w:rFonts w:ascii="Times New Roman" w:hAnsi="Times New Roman" w:cs="Times New Roman"/>
            <w:noProof/>
          </w:rPr>
          <w:t>Abbreviations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_Toc106288207 \h </w:instrText>
        </w:r>
        <w:r w:rsidR="004F4D58" w:rsidRPr="00F819C6">
          <w:rPr>
            <w:noProof/>
            <w:webHidden/>
          </w:rPr>
        </w:r>
        <w:r w:rsidR="004F4D58" w:rsidRPr="00F819C6">
          <w:rPr>
            <w:noProof/>
            <w:webHidden/>
          </w:rPr>
          <w:fldChar w:fldCharType="separate"/>
        </w:r>
        <w:r w:rsidR="004F4D58" w:rsidRPr="00F819C6">
          <w:rPr>
            <w:noProof/>
            <w:webHidden/>
          </w:rPr>
          <w:t>3</w:t>
        </w:r>
        <w:r w:rsidR="004F4D58" w:rsidRPr="00F819C6">
          <w:rPr>
            <w:noProof/>
            <w:webHidden/>
          </w:rPr>
          <w:fldChar w:fldCharType="end"/>
        </w:r>
      </w:hyperlink>
    </w:p>
    <w:p w14:paraId="368A3DF9" w14:textId="200A35C7" w:rsidR="004F4D58" w:rsidRPr="00F819C6" w:rsidRDefault="00C8669A" w:rsidP="00F819C6">
      <w:pPr>
        <w:pStyle w:val="TOC2"/>
        <w:rPr>
          <w:noProof/>
          <w:lang w:val="en-NZ"/>
        </w:rPr>
      </w:pPr>
      <w:hyperlink w:anchor="_Toc106288208" w:history="1">
        <w:r w:rsidR="004F4D58" w:rsidRPr="00316FCF">
          <w:rPr>
            <w:rStyle w:val="Hyperlink"/>
            <w:rFonts w:ascii="Times New Roman" w:hAnsi="Times New Roman" w:cs="Times New Roman"/>
            <w:noProof/>
          </w:rPr>
          <w:t>Executive Summary</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_Toc106288208 \h </w:instrText>
        </w:r>
        <w:r w:rsidR="004F4D58" w:rsidRPr="00F819C6">
          <w:rPr>
            <w:noProof/>
            <w:webHidden/>
          </w:rPr>
        </w:r>
        <w:r w:rsidR="004F4D58" w:rsidRPr="00F819C6">
          <w:rPr>
            <w:noProof/>
            <w:webHidden/>
          </w:rPr>
          <w:fldChar w:fldCharType="separate"/>
        </w:r>
        <w:r w:rsidR="004F4D58" w:rsidRPr="00F819C6">
          <w:rPr>
            <w:noProof/>
            <w:webHidden/>
          </w:rPr>
          <w:t>4</w:t>
        </w:r>
        <w:r w:rsidR="004F4D58" w:rsidRPr="00F819C6">
          <w:rPr>
            <w:noProof/>
            <w:webHidden/>
          </w:rPr>
          <w:fldChar w:fldCharType="end"/>
        </w:r>
      </w:hyperlink>
    </w:p>
    <w:p w14:paraId="70784582" w14:textId="2D200623" w:rsidR="004F4D58" w:rsidRPr="00F819C6" w:rsidRDefault="00C8669A" w:rsidP="00F819C6">
      <w:pPr>
        <w:pStyle w:val="TOC2"/>
        <w:rPr>
          <w:noProof/>
          <w:lang w:val="en-NZ"/>
        </w:rPr>
      </w:pPr>
      <w:hyperlink w:anchor="_Toc106288209" w:history="1">
        <w:r w:rsidR="004F4D58" w:rsidRPr="00316FCF">
          <w:rPr>
            <w:rStyle w:val="Hyperlink"/>
            <w:rFonts w:ascii="Times New Roman" w:hAnsi="Times New Roman" w:cs="Times New Roman"/>
            <w:noProof/>
          </w:rPr>
          <w:t>Introduction and Aims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_Toc106288209 \h </w:instrText>
        </w:r>
        <w:r w:rsidR="004F4D58" w:rsidRPr="00F819C6">
          <w:rPr>
            <w:noProof/>
            <w:webHidden/>
          </w:rPr>
        </w:r>
        <w:r w:rsidR="004F4D58" w:rsidRPr="00F819C6">
          <w:rPr>
            <w:noProof/>
            <w:webHidden/>
          </w:rPr>
          <w:fldChar w:fldCharType="separate"/>
        </w:r>
        <w:r w:rsidR="004F4D58" w:rsidRPr="00F819C6">
          <w:rPr>
            <w:noProof/>
            <w:webHidden/>
          </w:rPr>
          <w:t>5</w:t>
        </w:r>
        <w:r w:rsidR="004F4D58" w:rsidRPr="00F819C6">
          <w:rPr>
            <w:noProof/>
            <w:webHidden/>
          </w:rPr>
          <w:fldChar w:fldCharType="end"/>
        </w:r>
      </w:hyperlink>
    </w:p>
    <w:p w14:paraId="510F7414" w14:textId="73D68087" w:rsidR="004F4D58" w:rsidRPr="00F819C6" w:rsidRDefault="00C8669A" w:rsidP="00F819C6">
      <w:pPr>
        <w:pStyle w:val="TOC2"/>
        <w:rPr>
          <w:noProof/>
          <w:lang w:val="en-NZ"/>
        </w:rPr>
      </w:pPr>
      <w:hyperlink w:anchor="_Toc106288210" w:history="1">
        <w:r w:rsidR="004F4D58" w:rsidRPr="00316FCF">
          <w:rPr>
            <w:rStyle w:val="Hyperlink"/>
            <w:rFonts w:ascii="Times New Roman" w:hAnsi="Times New Roman" w:cs="Times New Roman"/>
            <w:noProof/>
          </w:rPr>
          <w:t>Methods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_Toc106288210 \h </w:instrText>
        </w:r>
        <w:r w:rsidR="004F4D58" w:rsidRPr="00F819C6">
          <w:rPr>
            <w:noProof/>
            <w:webHidden/>
          </w:rPr>
        </w:r>
        <w:r w:rsidR="004F4D58" w:rsidRPr="00F819C6">
          <w:rPr>
            <w:noProof/>
            <w:webHidden/>
          </w:rPr>
          <w:fldChar w:fldCharType="separate"/>
        </w:r>
        <w:r w:rsidR="004F4D58" w:rsidRPr="00F819C6">
          <w:rPr>
            <w:noProof/>
            <w:webHidden/>
          </w:rPr>
          <w:t>7</w:t>
        </w:r>
        <w:r w:rsidR="004F4D58" w:rsidRPr="00F819C6">
          <w:rPr>
            <w:noProof/>
            <w:webHidden/>
          </w:rPr>
          <w:fldChar w:fldCharType="end"/>
        </w:r>
      </w:hyperlink>
    </w:p>
    <w:p w14:paraId="58E4F3D0" w14:textId="774C8005" w:rsidR="004F4D58" w:rsidRPr="00F819C6" w:rsidRDefault="00C8669A" w:rsidP="00F819C6">
      <w:pPr>
        <w:pStyle w:val="TOC2"/>
        <w:rPr>
          <w:noProof/>
          <w:lang w:val="en-NZ"/>
        </w:rPr>
      </w:pPr>
      <w:hyperlink w:anchor="_Toc106288211" w:history="1">
        <w:r w:rsidR="004F4D58" w:rsidRPr="00316FCF">
          <w:rPr>
            <w:rStyle w:val="Hyperlink"/>
            <w:rFonts w:ascii="Times New Roman" w:hAnsi="Times New Roman" w:cs="Times New Roman"/>
            <w:noProof/>
          </w:rPr>
          <w:t>Findings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_Toc106288211 \h </w:instrText>
        </w:r>
        <w:r w:rsidR="004F4D58" w:rsidRPr="00F819C6">
          <w:rPr>
            <w:noProof/>
            <w:webHidden/>
          </w:rPr>
        </w:r>
        <w:r w:rsidR="004F4D58" w:rsidRPr="00F819C6">
          <w:rPr>
            <w:noProof/>
            <w:webHidden/>
          </w:rPr>
          <w:fldChar w:fldCharType="separate"/>
        </w:r>
        <w:r w:rsidR="004F4D58" w:rsidRPr="00F819C6">
          <w:rPr>
            <w:noProof/>
            <w:webHidden/>
          </w:rPr>
          <w:t>9</w:t>
        </w:r>
        <w:r w:rsidR="004F4D58" w:rsidRPr="00F819C6">
          <w:rPr>
            <w:noProof/>
            <w:webHidden/>
          </w:rPr>
          <w:fldChar w:fldCharType="end"/>
        </w:r>
      </w:hyperlink>
    </w:p>
    <w:p w14:paraId="626A5684" w14:textId="35BAA52C" w:rsidR="004F4D58" w:rsidRPr="00F819C6" w:rsidRDefault="00C8669A" w:rsidP="00F819C6">
      <w:pPr>
        <w:pStyle w:val="TOC3"/>
        <w:rPr>
          <w:noProof/>
          <w:lang w:val="en-NZ"/>
        </w:rPr>
      </w:pPr>
      <w:hyperlink w:anchor="_Toc106288212" w:history="1">
        <w:r w:rsidR="004F4D58" w:rsidRPr="00316FCF">
          <w:rPr>
            <w:rStyle w:val="Hyperlink"/>
            <w:rFonts w:ascii="Times New Roman" w:hAnsi="Times New Roman" w:cs="Times New Roman"/>
            <w:noProof/>
          </w:rPr>
          <w:t>Academic Literature</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_Toc106288212 \h </w:instrText>
        </w:r>
        <w:r w:rsidR="004F4D58" w:rsidRPr="00F819C6">
          <w:rPr>
            <w:noProof/>
            <w:webHidden/>
          </w:rPr>
        </w:r>
        <w:r w:rsidR="004F4D58" w:rsidRPr="00F819C6">
          <w:rPr>
            <w:noProof/>
            <w:webHidden/>
          </w:rPr>
          <w:fldChar w:fldCharType="separate"/>
        </w:r>
        <w:r w:rsidR="004F4D58" w:rsidRPr="00F819C6">
          <w:rPr>
            <w:noProof/>
            <w:webHidden/>
          </w:rPr>
          <w:t>9</w:t>
        </w:r>
        <w:r w:rsidR="004F4D58" w:rsidRPr="00F819C6">
          <w:rPr>
            <w:noProof/>
            <w:webHidden/>
          </w:rPr>
          <w:fldChar w:fldCharType="end"/>
        </w:r>
      </w:hyperlink>
    </w:p>
    <w:p w14:paraId="2485EBA2" w14:textId="5BB1FDA3" w:rsidR="004F4D58" w:rsidRPr="00316FCF" w:rsidRDefault="00C8669A" w:rsidP="00316FCF">
      <w:pPr>
        <w:pStyle w:val="TOC4"/>
        <w:tabs>
          <w:tab w:val="right" w:leader="dot" w:pos="9010"/>
        </w:tabs>
        <w:ind w:left="480"/>
        <w:rPr>
          <w:rFonts w:ascii="Times New Roman" w:hAnsi="Times New Roman" w:cs="Times New Roman"/>
          <w:noProof/>
          <w:lang w:val="en-NZ"/>
        </w:rPr>
      </w:pPr>
      <w:hyperlink w:anchor="_Toc106288213" w:history="1">
        <w:r w:rsidR="004F4D58" w:rsidRPr="00316FCF">
          <w:rPr>
            <w:rStyle w:val="Hyperlink"/>
            <w:rFonts w:ascii="Times New Roman" w:hAnsi="Times New Roman" w:cs="Times New Roman"/>
            <w:noProof/>
          </w:rPr>
          <w:t>Reviews of the Literature</w:t>
        </w:r>
        <w:r w:rsidR="004F4D58" w:rsidRPr="00316FCF">
          <w:rPr>
            <w:rFonts w:ascii="Times New Roman" w:hAnsi="Times New Roman" w:cs="Times New Roman"/>
            <w:noProof/>
            <w:webHidden/>
          </w:rPr>
          <w:tab/>
        </w:r>
        <w:r w:rsidR="004F4D58" w:rsidRPr="00316FCF">
          <w:rPr>
            <w:rFonts w:ascii="Times New Roman" w:hAnsi="Times New Roman" w:cs="Times New Roman"/>
            <w:noProof/>
            <w:webHidden/>
          </w:rPr>
          <w:fldChar w:fldCharType="begin"/>
        </w:r>
        <w:r w:rsidR="004F4D58" w:rsidRPr="00316FCF">
          <w:rPr>
            <w:rFonts w:ascii="Times New Roman" w:hAnsi="Times New Roman" w:cs="Times New Roman"/>
            <w:noProof/>
            <w:webHidden/>
          </w:rPr>
          <w:instrText xml:space="preserve"> PAGEREF _Toc106288213 \h </w:instrText>
        </w:r>
        <w:r w:rsidR="004F4D58" w:rsidRPr="00316FCF">
          <w:rPr>
            <w:rFonts w:ascii="Times New Roman" w:hAnsi="Times New Roman" w:cs="Times New Roman"/>
            <w:noProof/>
            <w:webHidden/>
          </w:rPr>
        </w:r>
        <w:r w:rsidR="004F4D58" w:rsidRPr="00316FCF">
          <w:rPr>
            <w:rFonts w:ascii="Times New Roman" w:hAnsi="Times New Roman" w:cs="Times New Roman"/>
            <w:noProof/>
            <w:webHidden/>
          </w:rPr>
          <w:fldChar w:fldCharType="separate"/>
        </w:r>
        <w:r w:rsidR="004F4D58" w:rsidRPr="00316FCF">
          <w:rPr>
            <w:rFonts w:ascii="Times New Roman" w:hAnsi="Times New Roman" w:cs="Times New Roman"/>
            <w:noProof/>
            <w:webHidden/>
          </w:rPr>
          <w:t>9</w:t>
        </w:r>
        <w:r w:rsidR="004F4D58" w:rsidRPr="00316FCF">
          <w:rPr>
            <w:rFonts w:ascii="Times New Roman" w:hAnsi="Times New Roman" w:cs="Times New Roman"/>
            <w:noProof/>
            <w:webHidden/>
          </w:rPr>
          <w:fldChar w:fldCharType="end"/>
        </w:r>
      </w:hyperlink>
    </w:p>
    <w:p w14:paraId="40AD6BFC" w14:textId="67675098" w:rsidR="004F4D58" w:rsidRPr="00316FCF" w:rsidRDefault="00C8669A" w:rsidP="00316FCF">
      <w:pPr>
        <w:pStyle w:val="TOC4"/>
        <w:tabs>
          <w:tab w:val="right" w:leader="dot" w:pos="9010"/>
        </w:tabs>
        <w:ind w:left="480"/>
        <w:rPr>
          <w:rFonts w:ascii="Times New Roman" w:hAnsi="Times New Roman" w:cs="Times New Roman"/>
          <w:noProof/>
          <w:lang w:val="en-NZ"/>
        </w:rPr>
      </w:pPr>
      <w:hyperlink w:anchor="_Toc106288214" w:history="1">
        <w:r w:rsidR="004F4D58" w:rsidRPr="00316FCF">
          <w:rPr>
            <w:rStyle w:val="Hyperlink"/>
            <w:rFonts w:ascii="Times New Roman" w:hAnsi="Times New Roman" w:cs="Times New Roman"/>
            <w:noProof/>
          </w:rPr>
          <w:t>Individual Studies</w:t>
        </w:r>
        <w:r w:rsidR="004F4D58" w:rsidRPr="00316FCF">
          <w:rPr>
            <w:rFonts w:ascii="Times New Roman" w:hAnsi="Times New Roman" w:cs="Times New Roman"/>
            <w:noProof/>
            <w:webHidden/>
          </w:rPr>
          <w:tab/>
        </w:r>
        <w:r w:rsidR="004F4D58" w:rsidRPr="00316FCF">
          <w:rPr>
            <w:rFonts w:ascii="Times New Roman" w:hAnsi="Times New Roman" w:cs="Times New Roman"/>
            <w:noProof/>
            <w:webHidden/>
          </w:rPr>
          <w:fldChar w:fldCharType="begin"/>
        </w:r>
        <w:r w:rsidR="004F4D58" w:rsidRPr="00316FCF">
          <w:rPr>
            <w:rFonts w:ascii="Times New Roman" w:hAnsi="Times New Roman" w:cs="Times New Roman"/>
            <w:noProof/>
            <w:webHidden/>
          </w:rPr>
          <w:instrText xml:space="preserve"> PAGEREF _Toc106288214 \h </w:instrText>
        </w:r>
        <w:r w:rsidR="004F4D58" w:rsidRPr="00316FCF">
          <w:rPr>
            <w:rFonts w:ascii="Times New Roman" w:hAnsi="Times New Roman" w:cs="Times New Roman"/>
            <w:noProof/>
            <w:webHidden/>
          </w:rPr>
        </w:r>
        <w:r w:rsidR="004F4D58" w:rsidRPr="00316FCF">
          <w:rPr>
            <w:rFonts w:ascii="Times New Roman" w:hAnsi="Times New Roman" w:cs="Times New Roman"/>
            <w:noProof/>
            <w:webHidden/>
          </w:rPr>
          <w:fldChar w:fldCharType="separate"/>
        </w:r>
        <w:r w:rsidR="004F4D58" w:rsidRPr="00316FCF">
          <w:rPr>
            <w:rFonts w:ascii="Times New Roman" w:hAnsi="Times New Roman" w:cs="Times New Roman"/>
            <w:noProof/>
            <w:webHidden/>
          </w:rPr>
          <w:t>10</w:t>
        </w:r>
        <w:r w:rsidR="004F4D58" w:rsidRPr="00316FCF">
          <w:rPr>
            <w:rFonts w:ascii="Times New Roman" w:hAnsi="Times New Roman" w:cs="Times New Roman"/>
            <w:noProof/>
            <w:webHidden/>
          </w:rPr>
          <w:fldChar w:fldCharType="end"/>
        </w:r>
      </w:hyperlink>
    </w:p>
    <w:p w14:paraId="58147CFC" w14:textId="4B42192F" w:rsidR="004F4D58" w:rsidRPr="00316FCF" w:rsidRDefault="00C8669A" w:rsidP="00316FCF">
      <w:pPr>
        <w:pStyle w:val="TOC4"/>
        <w:tabs>
          <w:tab w:val="right" w:leader="dot" w:pos="9010"/>
        </w:tabs>
        <w:ind w:left="480"/>
        <w:rPr>
          <w:rFonts w:ascii="Times New Roman" w:hAnsi="Times New Roman" w:cs="Times New Roman"/>
          <w:noProof/>
          <w:lang w:val="en-NZ"/>
        </w:rPr>
      </w:pPr>
      <w:hyperlink w:anchor="_Toc106288215" w:history="1">
        <w:r w:rsidR="004F4D58" w:rsidRPr="00316FCF">
          <w:rPr>
            <w:rStyle w:val="Hyperlink"/>
            <w:rFonts w:ascii="Times New Roman" w:hAnsi="Times New Roman" w:cs="Times New Roman"/>
            <w:noProof/>
          </w:rPr>
          <w:t>High-level Consensus or Commentary</w:t>
        </w:r>
        <w:r w:rsidR="004F4D58" w:rsidRPr="00316FCF">
          <w:rPr>
            <w:rFonts w:ascii="Times New Roman" w:hAnsi="Times New Roman" w:cs="Times New Roman"/>
            <w:noProof/>
            <w:webHidden/>
          </w:rPr>
          <w:tab/>
        </w:r>
        <w:r w:rsidR="004F4D58" w:rsidRPr="00316FCF">
          <w:rPr>
            <w:rFonts w:ascii="Times New Roman" w:hAnsi="Times New Roman" w:cs="Times New Roman"/>
            <w:noProof/>
            <w:webHidden/>
          </w:rPr>
          <w:fldChar w:fldCharType="begin"/>
        </w:r>
        <w:r w:rsidR="004F4D58" w:rsidRPr="00316FCF">
          <w:rPr>
            <w:rFonts w:ascii="Times New Roman" w:hAnsi="Times New Roman" w:cs="Times New Roman"/>
            <w:noProof/>
            <w:webHidden/>
          </w:rPr>
          <w:instrText xml:space="preserve"> PAGEREF _Toc106288215 \h </w:instrText>
        </w:r>
        <w:r w:rsidR="004F4D58" w:rsidRPr="00316FCF">
          <w:rPr>
            <w:rFonts w:ascii="Times New Roman" w:hAnsi="Times New Roman" w:cs="Times New Roman"/>
            <w:noProof/>
            <w:webHidden/>
          </w:rPr>
        </w:r>
        <w:r w:rsidR="004F4D58" w:rsidRPr="00316FCF">
          <w:rPr>
            <w:rFonts w:ascii="Times New Roman" w:hAnsi="Times New Roman" w:cs="Times New Roman"/>
            <w:noProof/>
            <w:webHidden/>
          </w:rPr>
          <w:fldChar w:fldCharType="separate"/>
        </w:r>
        <w:r w:rsidR="004F4D58" w:rsidRPr="00316FCF">
          <w:rPr>
            <w:rFonts w:ascii="Times New Roman" w:hAnsi="Times New Roman" w:cs="Times New Roman"/>
            <w:noProof/>
            <w:webHidden/>
          </w:rPr>
          <w:t>15</w:t>
        </w:r>
        <w:r w:rsidR="004F4D58" w:rsidRPr="00316FCF">
          <w:rPr>
            <w:rFonts w:ascii="Times New Roman" w:hAnsi="Times New Roman" w:cs="Times New Roman"/>
            <w:noProof/>
            <w:webHidden/>
          </w:rPr>
          <w:fldChar w:fldCharType="end"/>
        </w:r>
      </w:hyperlink>
    </w:p>
    <w:p w14:paraId="250BB29B" w14:textId="758F4077" w:rsidR="004F4D58" w:rsidRPr="00F819C6" w:rsidRDefault="00C8669A" w:rsidP="00F819C6">
      <w:pPr>
        <w:pStyle w:val="TOC3"/>
        <w:rPr>
          <w:noProof/>
          <w:lang w:val="en-NZ"/>
        </w:rPr>
      </w:pPr>
      <w:hyperlink w:anchor="_Toc106288216" w:history="1">
        <w:r w:rsidR="004F4D58" w:rsidRPr="00316FCF">
          <w:rPr>
            <w:rStyle w:val="Hyperlink"/>
            <w:rFonts w:ascii="Times New Roman" w:hAnsi="Times New Roman" w:cs="Times New Roman"/>
            <w:noProof/>
          </w:rPr>
          <w:t>Institutional Advice</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_Toc106288216 \h </w:instrText>
        </w:r>
        <w:r w:rsidR="004F4D58" w:rsidRPr="00F819C6">
          <w:rPr>
            <w:noProof/>
            <w:webHidden/>
          </w:rPr>
        </w:r>
        <w:r w:rsidR="004F4D58" w:rsidRPr="00F819C6">
          <w:rPr>
            <w:noProof/>
            <w:webHidden/>
          </w:rPr>
          <w:fldChar w:fldCharType="separate"/>
        </w:r>
        <w:r w:rsidR="004F4D58" w:rsidRPr="00F819C6">
          <w:rPr>
            <w:noProof/>
            <w:webHidden/>
          </w:rPr>
          <w:t>17</w:t>
        </w:r>
        <w:r w:rsidR="004F4D58" w:rsidRPr="00F819C6">
          <w:rPr>
            <w:noProof/>
            <w:webHidden/>
          </w:rPr>
          <w:fldChar w:fldCharType="end"/>
        </w:r>
      </w:hyperlink>
    </w:p>
    <w:p w14:paraId="4CCF9CBB" w14:textId="278C9E27" w:rsidR="004F4D58" w:rsidRPr="00F819C6" w:rsidRDefault="00C8669A" w:rsidP="00F819C6">
      <w:pPr>
        <w:pStyle w:val="TOC3"/>
        <w:rPr>
          <w:noProof/>
          <w:lang w:val="en-NZ"/>
        </w:rPr>
      </w:pPr>
      <w:hyperlink w:anchor="_Toc106288217" w:history="1">
        <w:r w:rsidR="004F4D58" w:rsidRPr="00316FCF">
          <w:rPr>
            <w:rStyle w:val="Hyperlink"/>
            <w:rFonts w:ascii="Times New Roman" w:hAnsi="Times New Roman" w:cs="Times New Roman"/>
            <w:noProof/>
          </w:rPr>
          <w:t>Case Studies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_Toc106288217 \h </w:instrText>
        </w:r>
        <w:r w:rsidR="004F4D58" w:rsidRPr="00F819C6">
          <w:rPr>
            <w:noProof/>
            <w:webHidden/>
          </w:rPr>
        </w:r>
        <w:r w:rsidR="004F4D58" w:rsidRPr="00F819C6">
          <w:rPr>
            <w:noProof/>
            <w:webHidden/>
          </w:rPr>
          <w:fldChar w:fldCharType="separate"/>
        </w:r>
        <w:r w:rsidR="004F4D58" w:rsidRPr="00F819C6">
          <w:rPr>
            <w:noProof/>
            <w:webHidden/>
          </w:rPr>
          <w:t>21</w:t>
        </w:r>
        <w:r w:rsidR="004F4D58" w:rsidRPr="00F819C6">
          <w:rPr>
            <w:noProof/>
            <w:webHidden/>
          </w:rPr>
          <w:fldChar w:fldCharType="end"/>
        </w:r>
      </w:hyperlink>
    </w:p>
    <w:p w14:paraId="53BC8328" w14:textId="2562503E" w:rsidR="004F4D58" w:rsidRPr="00F819C6" w:rsidRDefault="00C8669A" w:rsidP="00F819C6">
      <w:pPr>
        <w:pStyle w:val="TOC3"/>
        <w:rPr>
          <w:noProof/>
          <w:lang w:val="en-NZ"/>
        </w:rPr>
      </w:pPr>
      <w:hyperlink w:anchor="_Toc106288218" w:history="1">
        <w:r w:rsidR="004F4D58" w:rsidRPr="00316FCF">
          <w:rPr>
            <w:rStyle w:val="Hyperlink"/>
            <w:rFonts w:ascii="Times New Roman" w:hAnsi="Times New Roman" w:cs="Times New Roman"/>
            <w:noProof/>
          </w:rPr>
          <w:t>New Zealand Initiatives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_Toc106288218 \h </w:instrText>
        </w:r>
        <w:r w:rsidR="004F4D58" w:rsidRPr="00F819C6">
          <w:rPr>
            <w:noProof/>
            <w:webHidden/>
          </w:rPr>
        </w:r>
        <w:r w:rsidR="004F4D58" w:rsidRPr="00F819C6">
          <w:rPr>
            <w:noProof/>
            <w:webHidden/>
          </w:rPr>
          <w:fldChar w:fldCharType="separate"/>
        </w:r>
        <w:r w:rsidR="004F4D58" w:rsidRPr="00F819C6">
          <w:rPr>
            <w:noProof/>
            <w:webHidden/>
          </w:rPr>
          <w:t>23</w:t>
        </w:r>
        <w:r w:rsidR="004F4D58" w:rsidRPr="00F819C6">
          <w:rPr>
            <w:noProof/>
            <w:webHidden/>
          </w:rPr>
          <w:fldChar w:fldCharType="end"/>
        </w:r>
      </w:hyperlink>
    </w:p>
    <w:p w14:paraId="02006B7A" w14:textId="32295CB7" w:rsidR="004F4D58" w:rsidRPr="00F819C6" w:rsidRDefault="00C8669A" w:rsidP="00F819C6">
      <w:pPr>
        <w:pStyle w:val="TOC2"/>
        <w:rPr>
          <w:noProof/>
          <w:lang w:val="en-NZ"/>
        </w:rPr>
      </w:pPr>
      <w:hyperlink w:anchor="_Toc106288219" w:history="1">
        <w:r w:rsidR="004F4D58" w:rsidRPr="00316FCF">
          <w:rPr>
            <w:rStyle w:val="Hyperlink"/>
            <w:rFonts w:ascii="Times New Roman" w:hAnsi="Times New Roman" w:cs="Times New Roman"/>
            <w:noProof/>
          </w:rPr>
          <w:t>Discussion and Recommendations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_Toc106288219 \h </w:instrText>
        </w:r>
        <w:r w:rsidR="004F4D58" w:rsidRPr="00F819C6">
          <w:rPr>
            <w:noProof/>
            <w:webHidden/>
          </w:rPr>
        </w:r>
        <w:r w:rsidR="004F4D58" w:rsidRPr="00F819C6">
          <w:rPr>
            <w:noProof/>
            <w:webHidden/>
          </w:rPr>
          <w:fldChar w:fldCharType="separate"/>
        </w:r>
        <w:r w:rsidR="004F4D58" w:rsidRPr="00F819C6">
          <w:rPr>
            <w:noProof/>
            <w:webHidden/>
          </w:rPr>
          <w:t>26</w:t>
        </w:r>
        <w:r w:rsidR="004F4D58" w:rsidRPr="00F819C6">
          <w:rPr>
            <w:noProof/>
            <w:webHidden/>
          </w:rPr>
          <w:fldChar w:fldCharType="end"/>
        </w:r>
      </w:hyperlink>
    </w:p>
    <w:p w14:paraId="6527E7E8" w14:textId="70EAC529" w:rsidR="004F4D58" w:rsidRPr="00F819C6" w:rsidRDefault="00C8669A" w:rsidP="00F819C6">
      <w:pPr>
        <w:pStyle w:val="TOC2"/>
        <w:rPr>
          <w:noProof/>
          <w:lang w:val="en-NZ"/>
        </w:rPr>
      </w:pPr>
      <w:hyperlink w:anchor="_Toc106288220" w:history="1">
        <w:r w:rsidR="004F4D58" w:rsidRPr="00316FCF">
          <w:rPr>
            <w:rStyle w:val="Hyperlink"/>
            <w:rFonts w:ascii="Times New Roman" w:hAnsi="Times New Roman" w:cs="Times New Roman"/>
            <w:noProof/>
          </w:rPr>
          <w:t>Limitations of this Study</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_Toc106288220 \h </w:instrText>
        </w:r>
        <w:r w:rsidR="004F4D58" w:rsidRPr="00F819C6">
          <w:rPr>
            <w:noProof/>
            <w:webHidden/>
          </w:rPr>
        </w:r>
        <w:r w:rsidR="004F4D58" w:rsidRPr="00F819C6">
          <w:rPr>
            <w:noProof/>
            <w:webHidden/>
          </w:rPr>
          <w:fldChar w:fldCharType="separate"/>
        </w:r>
        <w:r w:rsidR="004F4D58" w:rsidRPr="00F819C6">
          <w:rPr>
            <w:noProof/>
            <w:webHidden/>
          </w:rPr>
          <w:t>30</w:t>
        </w:r>
        <w:r w:rsidR="004F4D58" w:rsidRPr="00F819C6">
          <w:rPr>
            <w:noProof/>
            <w:webHidden/>
          </w:rPr>
          <w:fldChar w:fldCharType="end"/>
        </w:r>
      </w:hyperlink>
    </w:p>
    <w:p w14:paraId="46F89F27" w14:textId="67DECE6A" w:rsidR="004F4D58" w:rsidRPr="00F819C6" w:rsidRDefault="00C8669A" w:rsidP="00F819C6">
      <w:pPr>
        <w:pStyle w:val="TOC2"/>
        <w:rPr>
          <w:noProof/>
          <w:lang w:val="en-NZ"/>
        </w:rPr>
      </w:pPr>
      <w:hyperlink w:anchor="_Toc106288221" w:history="1">
        <w:r w:rsidR="004F4D58" w:rsidRPr="00316FCF">
          <w:rPr>
            <w:rStyle w:val="Hyperlink"/>
            <w:rFonts w:ascii="Times New Roman" w:hAnsi="Times New Roman" w:cs="Times New Roman"/>
            <w:noProof/>
          </w:rPr>
          <w:t>Conclusion</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_Toc106288221 \h </w:instrText>
        </w:r>
        <w:r w:rsidR="004F4D58" w:rsidRPr="00F819C6">
          <w:rPr>
            <w:noProof/>
            <w:webHidden/>
          </w:rPr>
        </w:r>
        <w:r w:rsidR="004F4D58" w:rsidRPr="00F819C6">
          <w:rPr>
            <w:noProof/>
            <w:webHidden/>
          </w:rPr>
          <w:fldChar w:fldCharType="separate"/>
        </w:r>
        <w:r w:rsidR="004F4D58" w:rsidRPr="00F819C6">
          <w:rPr>
            <w:noProof/>
            <w:webHidden/>
          </w:rPr>
          <w:t>31</w:t>
        </w:r>
        <w:r w:rsidR="004F4D58" w:rsidRPr="00F819C6">
          <w:rPr>
            <w:noProof/>
            <w:webHidden/>
          </w:rPr>
          <w:fldChar w:fldCharType="end"/>
        </w:r>
      </w:hyperlink>
    </w:p>
    <w:p w14:paraId="4AFE6CEA" w14:textId="1C2E7475" w:rsidR="004F4D58" w:rsidRPr="00F819C6" w:rsidRDefault="00C8669A" w:rsidP="00F819C6">
      <w:pPr>
        <w:pStyle w:val="TOC2"/>
        <w:rPr>
          <w:noProof/>
          <w:lang w:val="en-NZ"/>
        </w:rPr>
      </w:pPr>
      <w:hyperlink w:anchor="_Toc106288222" w:history="1">
        <w:r w:rsidR="004F4D58" w:rsidRPr="00316FCF">
          <w:rPr>
            <w:rStyle w:val="Hyperlink"/>
            <w:rFonts w:ascii="Times New Roman" w:hAnsi="Times New Roman" w:cs="Times New Roman"/>
            <w:noProof/>
          </w:rPr>
          <w:t>Appendices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_Toc106288222 \h </w:instrText>
        </w:r>
        <w:r w:rsidR="004F4D58" w:rsidRPr="00F819C6">
          <w:rPr>
            <w:noProof/>
            <w:webHidden/>
          </w:rPr>
        </w:r>
        <w:r w:rsidR="004F4D58" w:rsidRPr="00F819C6">
          <w:rPr>
            <w:noProof/>
            <w:webHidden/>
          </w:rPr>
          <w:fldChar w:fldCharType="separate"/>
        </w:r>
        <w:r w:rsidR="004F4D58" w:rsidRPr="00F819C6">
          <w:rPr>
            <w:noProof/>
            <w:webHidden/>
          </w:rPr>
          <w:t>32</w:t>
        </w:r>
        <w:r w:rsidR="004F4D58" w:rsidRPr="00F819C6">
          <w:rPr>
            <w:noProof/>
            <w:webHidden/>
          </w:rPr>
          <w:fldChar w:fldCharType="end"/>
        </w:r>
      </w:hyperlink>
    </w:p>
    <w:p w14:paraId="1DA52D5E" w14:textId="024F1761" w:rsidR="004F4D58" w:rsidRPr="00F819C6" w:rsidRDefault="00C8669A" w:rsidP="00F819C6">
      <w:pPr>
        <w:pStyle w:val="TOC3"/>
        <w:rPr>
          <w:noProof/>
          <w:lang w:val="en-NZ"/>
        </w:rPr>
      </w:pPr>
      <w:hyperlink w:anchor="_Toc106288223" w:history="1">
        <w:r w:rsidR="004F4D58" w:rsidRPr="00316FCF">
          <w:rPr>
            <w:rStyle w:val="Hyperlink"/>
            <w:rFonts w:ascii="Times New Roman" w:hAnsi="Times New Roman" w:cs="Times New Roman"/>
            <w:noProof/>
          </w:rPr>
          <w:t>Appendix A: Tabulation of Sources Obtained (Tables A1 – A5)</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_Toc106288223 \h </w:instrText>
        </w:r>
        <w:r w:rsidR="004F4D58" w:rsidRPr="00F819C6">
          <w:rPr>
            <w:noProof/>
            <w:webHidden/>
          </w:rPr>
        </w:r>
        <w:r w:rsidR="004F4D58" w:rsidRPr="00F819C6">
          <w:rPr>
            <w:noProof/>
            <w:webHidden/>
          </w:rPr>
          <w:fldChar w:fldCharType="separate"/>
        </w:r>
        <w:r w:rsidR="004F4D58" w:rsidRPr="00F819C6">
          <w:rPr>
            <w:noProof/>
            <w:webHidden/>
          </w:rPr>
          <w:t>32</w:t>
        </w:r>
        <w:r w:rsidR="004F4D58" w:rsidRPr="00F819C6">
          <w:rPr>
            <w:noProof/>
            <w:webHidden/>
          </w:rPr>
          <w:fldChar w:fldCharType="end"/>
        </w:r>
      </w:hyperlink>
    </w:p>
    <w:p w14:paraId="64CA3940" w14:textId="3A3382E5" w:rsidR="004F4D58" w:rsidRPr="00F819C6" w:rsidRDefault="00C8669A" w:rsidP="00F819C6">
      <w:pPr>
        <w:pStyle w:val="TOC3"/>
        <w:rPr>
          <w:noProof/>
          <w:lang w:val="en-NZ"/>
        </w:rPr>
      </w:pPr>
      <w:hyperlink w:anchor="_Toc106288224" w:history="1">
        <w:r w:rsidR="004F4D58" w:rsidRPr="00316FCF">
          <w:rPr>
            <w:rStyle w:val="Hyperlink"/>
            <w:rFonts w:ascii="Times New Roman" w:hAnsi="Times New Roman" w:cs="Times New Roman"/>
            <w:noProof/>
          </w:rPr>
          <w:t>Appendix B: Search Strategies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_Toc106288224 \h </w:instrText>
        </w:r>
        <w:r w:rsidR="004F4D58" w:rsidRPr="00F819C6">
          <w:rPr>
            <w:noProof/>
            <w:webHidden/>
          </w:rPr>
        </w:r>
        <w:r w:rsidR="004F4D58" w:rsidRPr="00F819C6">
          <w:rPr>
            <w:noProof/>
            <w:webHidden/>
          </w:rPr>
          <w:fldChar w:fldCharType="separate"/>
        </w:r>
        <w:r w:rsidR="004F4D58" w:rsidRPr="00F819C6">
          <w:rPr>
            <w:noProof/>
            <w:webHidden/>
          </w:rPr>
          <w:t>69</w:t>
        </w:r>
        <w:r w:rsidR="004F4D58" w:rsidRPr="00F819C6">
          <w:rPr>
            <w:noProof/>
            <w:webHidden/>
          </w:rPr>
          <w:fldChar w:fldCharType="end"/>
        </w:r>
      </w:hyperlink>
    </w:p>
    <w:p w14:paraId="3D033EBE" w14:textId="620B6430" w:rsidR="004F4D58" w:rsidRPr="00316FCF" w:rsidRDefault="00C8669A" w:rsidP="00316FCF">
      <w:pPr>
        <w:pStyle w:val="TOC4"/>
        <w:tabs>
          <w:tab w:val="right" w:leader="dot" w:pos="9010"/>
        </w:tabs>
        <w:ind w:left="480"/>
        <w:rPr>
          <w:rFonts w:ascii="Times New Roman" w:hAnsi="Times New Roman" w:cs="Times New Roman"/>
          <w:noProof/>
          <w:lang w:val="en-NZ"/>
        </w:rPr>
      </w:pPr>
      <w:hyperlink w:anchor="_Toc106288225" w:history="1">
        <w:r w:rsidR="004F4D58" w:rsidRPr="00316FCF">
          <w:rPr>
            <w:rStyle w:val="Hyperlink"/>
            <w:rFonts w:ascii="Times New Roman" w:hAnsi="Times New Roman" w:cs="Times New Roman"/>
            <w:noProof/>
          </w:rPr>
          <w:t>Ministry of Health Search (2021)</w:t>
        </w:r>
        <w:r w:rsidR="004F4D58" w:rsidRPr="00316FCF">
          <w:rPr>
            <w:rFonts w:ascii="Times New Roman" w:hAnsi="Times New Roman" w:cs="Times New Roman"/>
            <w:noProof/>
            <w:webHidden/>
          </w:rPr>
          <w:tab/>
        </w:r>
        <w:r w:rsidR="004F4D58" w:rsidRPr="00316FCF">
          <w:rPr>
            <w:rFonts w:ascii="Times New Roman" w:hAnsi="Times New Roman" w:cs="Times New Roman"/>
            <w:noProof/>
            <w:webHidden/>
          </w:rPr>
          <w:fldChar w:fldCharType="begin"/>
        </w:r>
        <w:r w:rsidR="004F4D58" w:rsidRPr="00316FCF">
          <w:rPr>
            <w:rFonts w:ascii="Times New Roman" w:hAnsi="Times New Roman" w:cs="Times New Roman"/>
            <w:noProof/>
            <w:webHidden/>
          </w:rPr>
          <w:instrText xml:space="preserve"> PAGEREF _Toc106288225 \h </w:instrText>
        </w:r>
        <w:r w:rsidR="004F4D58" w:rsidRPr="00316FCF">
          <w:rPr>
            <w:rFonts w:ascii="Times New Roman" w:hAnsi="Times New Roman" w:cs="Times New Roman"/>
            <w:noProof/>
            <w:webHidden/>
          </w:rPr>
        </w:r>
        <w:r w:rsidR="004F4D58" w:rsidRPr="00316FCF">
          <w:rPr>
            <w:rFonts w:ascii="Times New Roman" w:hAnsi="Times New Roman" w:cs="Times New Roman"/>
            <w:noProof/>
            <w:webHidden/>
          </w:rPr>
          <w:fldChar w:fldCharType="separate"/>
        </w:r>
        <w:r w:rsidR="004F4D58" w:rsidRPr="00316FCF">
          <w:rPr>
            <w:rFonts w:ascii="Times New Roman" w:hAnsi="Times New Roman" w:cs="Times New Roman"/>
            <w:noProof/>
            <w:webHidden/>
          </w:rPr>
          <w:t>69</w:t>
        </w:r>
        <w:r w:rsidR="004F4D58" w:rsidRPr="00316FCF">
          <w:rPr>
            <w:rFonts w:ascii="Times New Roman" w:hAnsi="Times New Roman" w:cs="Times New Roman"/>
            <w:noProof/>
            <w:webHidden/>
          </w:rPr>
          <w:fldChar w:fldCharType="end"/>
        </w:r>
      </w:hyperlink>
    </w:p>
    <w:p w14:paraId="408AC77B" w14:textId="6A23A0F6" w:rsidR="004F4D58" w:rsidRPr="00316FCF" w:rsidRDefault="00C8669A" w:rsidP="00316FCF">
      <w:pPr>
        <w:pStyle w:val="TOC4"/>
        <w:tabs>
          <w:tab w:val="right" w:leader="dot" w:pos="9010"/>
        </w:tabs>
        <w:ind w:left="480"/>
        <w:rPr>
          <w:rFonts w:ascii="Times New Roman" w:hAnsi="Times New Roman" w:cs="Times New Roman"/>
          <w:noProof/>
          <w:lang w:val="en-NZ"/>
        </w:rPr>
      </w:pPr>
      <w:hyperlink w:anchor="_Toc106288226" w:history="1">
        <w:r w:rsidR="004F4D58" w:rsidRPr="00316FCF">
          <w:rPr>
            <w:rStyle w:val="Hyperlink"/>
            <w:rFonts w:ascii="Times New Roman" w:hAnsi="Times New Roman" w:cs="Times New Roman"/>
            <w:noProof/>
          </w:rPr>
          <w:t>Supplementary PubMed Strategies</w:t>
        </w:r>
        <w:r w:rsidR="004F4D58" w:rsidRPr="00316FCF">
          <w:rPr>
            <w:rFonts w:ascii="Times New Roman" w:hAnsi="Times New Roman" w:cs="Times New Roman"/>
            <w:noProof/>
            <w:webHidden/>
          </w:rPr>
          <w:tab/>
        </w:r>
        <w:r w:rsidR="004F4D58" w:rsidRPr="00316FCF">
          <w:rPr>
            <w:rFonts w:ascii="Times New Roman" w:hAnsi="Times New Roman" w:cs="Times New Roman"/>
            <w:noProof/>
            <w:webHidden/>
          </w:rPr>
          <w:fldChar w:fldCharType="begin"/>
        </w:r>
        <w:r w:rsidR="004F4D58" w:rsidRPr="00316FCF">
          <w:rPr>
            <w:rFonts w:ascii="Times New Roman" w:hAnsi="Times New Roman" w:cs="Times New Roman"/>
            <w:noProof/>
            <w:webHidden/>
          </w:rPr>
          <w:instrText xml:space="preserve"> PAGEREF _Toc106288226 \h </w:instrText>
        </w:r>
        <w:r w:rsidR="004F4D58" w:rsidRPr="00316FCF">
          <w:rPr>
            <w:rFonts w:ascii="Times New Roman" w:hAnsi="Times New Roman" w:cs="Times New Roman"/>
            <w:noProof/>
            <w:webHidden/>
          </w:rPr>
        </w:r>
        <w:r w:rsidR="004F4D58" w:rsidRPr="00316FCF">
          <w:rPr>
            <w:rFonts w:ascii="Times New Roman" w:hAnsi="Times New Roman" w:cs="Times New Roman"/>
            <w:noProof/>
            <w:webHidden/>
          </w:rPr>
          <w:fldChar w:fldCharType="separate"/>
        </w:r>
        <w:r w:rsidR="004F4D58" w:rsidRPr="00316FCF">
          <w:rPr>
            <w:rFonts w:ascii="Times New Roman" w:hAnsi="Times New Roman" w:cs="Times New Roman"/>
            <w:noProof/>
            <w:webHidden/>
          </w:rPr>
          <w:t>70</w:t>
        </w:r>
        <w:r w:rsidR="004F4D58" w:rsidRPr="00316FCF">
          <w:rPr>
            <w:rFonts w:ascii="Times New Roman" w:hAnsi="Times New Roman" w:cs="Times New Roman"/>
            <w:noProof/>
            <w:webHidden/>
          </w:rPr>
          <w:fldChar w:fldCharType="end"/>
        </w:r>
      </w:hyperlink>
    </w:p>
    <w:p w14:paraId="271385F6" w14:textId="7A6E2BFB" w:rsidR="004F4D58" w:rsidRPr="00F819C6" w:rsidRDefault="00C8669A" w:rsidP="00F819C6">
      <w:pPr>
        <w:pStyle w:val="TOC2"/>
        <w:rPr>
          <w:noProof/>
          <w:lang w:val="en-NZ"/>
        </w:rPr>
      </w:pPr>
      <w:hyperlink w:anchor="_Toc106288227" w:history="1">
        <w:r w:rsidR="004F4D58" w:rsidRPr="00316FCF">
          <w:rPr>
            <w:rStyle w:val="Hyperlink"/>
            <w:rFonts w:ascii="Times New Roman" w:hAnsi="Times New Roman" w:cs="Times New Roman"/>
            <w:noProof/>
          </w:rPr>
          <w:t>References</w:t>
        </w:r>
        <w:r w:rsidR="004F4D58" w:rsidRPr="00F819C6">
          <w:rPr>
            <w:noProof/>
            <w:webHidden/>
          </w:rPr>
          <w:tab/>
        </w:r>
        <w:r w:rsidR="004F4D58" w:rsidRPr="00F819C6">
          <w:rPr>
            <w:noProof/>
            <w:webHidden/>
          </w:rPr>
          <w:fldChar w:fldCharType="begin"/>
        </w:r>
        <w:r w:rsidR="004F4D58" w:rsidRPr="00F819C6">
          <w:rPr>
            <w:noProof/>
            <w:webHidden/>
          </w:rPr>
          <w:instrText xml:space="preserve"> PAGEREF _Toc106288227 \h </w:instrText>
        </w:r>
        <w:r w:rsidR="004F4D58" w:rsidRPr="00F819C6">
          <w:rPr>
            <w:noProof/>
            <w:webHidden/>
          </w:rPr>
        </w:r>
        <w:r w:rsidR="004F4D58" w:rsidRPr="00F819C6">
          <w:rPr>
            <w:noProof/>
            <w:webHidden/>
          </w:rPr>
          <w:fldChar w:fldCharType="separate"/>
        </w:r>
        <w:r w:rsidR="004F4D58" w:rsidRPr="00F819C6">
          <w:rPr>
            <w:noProof/>
            <w:webHidden/>
          </w:rPr>
          <w:t>71</w:t>
        </w:r>
        <w:r w:rsidR="004F4D58" w:rsidRPr="00F819C6">
          <w:rPr>
            <w:noProof/>
            <w:webHidden/>
          </w:rPr>
          <w:fldChar w:fldCharType="end"/>
        </w:r>
      </w:hyperlink>
    </w:p>
    <w:p w14:paraId="3F4DE4CE" w14:textId="330704C3" w:rsidR="00B85C9C" w:rsidRPr="00B46928" w:rsidRDefault="00B85C9C">
      <w:pPr>
        <w:rPr>
          <w:rFonts w:asciiTheme="majorBidi" w:hAnsiTheme="majorBidi" w:cstheme="majorBidi"/>
        </w:rPr>
      </w:pPr>
      <w:r w:rsidRPr="00316FCF">
        <w:rPr>
          <w:rFonts w:ascii="Times New Roman" w:hAnsi="Times New Roman" w:cs="Times New Roman"/>
        </w:rPr>
        <w:fldChar w:fldCharType="end"/>
      </w:r>
    </w:p>
    <w:p w14:paraId="2A4F7958" w14:textId="77777777" w:rsidR="00B85C9C" w:rsidRPr="00B46928" w:rsidRDefault="00B85C9C">
      <w:pPr>
        <w:rPr>
          <w:rFonts w:asciiTheme="majorBidi" w:hAnsiTheme="majorBidi" w:cstheme="majorBidi"/>
        </w:rPr>
      </w:pPr>
      <w:r w:rsidRPr="00B46928">
        <w:rPr>
          <w:rFonts w:asciiTheme="majorBidi" w:hAnsiTheme="majorBidi" w:cstheme="majorBidi"/>
        </w:rPr>
        <w:br w:type="page"/>
      </w:r>
    </w:p>
    <w:p w14:paraId="45EEFBE3" w14:textId="77777777" w:rsidR="00B85C9C" w:rsidRPr="00534EEF" w:rsidRDefault="00B85C9C" w:rsidP="00C55FE0">
      <w:pPr>
        <w:pStyle w:val="Heading2"/>
        <w:rPr>
          <w:rFonts w:asciiTheme="majorBidi" w:hAnsiTheme="majorBidi"/>
        </w:rPr>
      </w:pPr>
      <w:bookmarkStart w:id="6" w:name="_Toc106288207"/>
      <w:bookmarkStart w:id="7" w:name="_Toc105497779"/>
      <w:r w:rsidRPr="00534EEF">
        <w:rPr>
          <w:rFonts w:asciiTheme="majorBidi" w:hAnsiTheme="majorBidi"/>
        </w:rPr>
        <w:lastRenderedPageBreak/>
        <w:t>Abbreviations</w:t>
      </w:r>
      <w:bookmarkEnd w:id="6"/>
    </w:p>
    <w:p w14:paraId="7C4201E9" w14:textId="77777777" w:rsidR="00B85C9C" w:rsidRDefault="00B85C9C">
      <w:pPr>
        <w:rPr>
          <w:rFonts w:asciiTheme="majorBidi" w:hAnsiTheme="majorBidi"/>
        </w:rPr>
      </w:pPr>
    </w:p>
    <w:p w14:paraId="0B504EAB" w14:textId="77777777" w:rsidR="00B85C9C" w:rsidRDefault="00B85C9C">
      <w:pPr>
        <w:rPr>
          <w:rFonts w:asciiTheme="majorBidi" w:hAnsiTheme="majorBidi" w:cstheme="majorBidi"/>
        </w:rPr>
      </w:pPr>
      <w:r>
        <w:rPr>
          <w:rFonts w:asciiTheme="majorBidi" w:hAnsiTheme="majorBidi" w:cstheme="majorBidi"/>
        </w:rPr>
        <w:t>ACS</w:t>
      </w:r>
      <w:r>
        <w:rPr>
          <w:rFonts w:asciiTheme="majorBidi" w:hAnsiTheme="majorBidi" w:cstheme="majorBidi"/>
        </w:rPr>
        <w:tab/>
      </w:r>
      <w:r>
        <w:rPr>
          <w:rFonts w:asciiTheme="majorBidi" w:hAnsiTheme="majorBidi" w:cstheme="majorBidi"/>
        </w:rPr>
        <w:tab/>
      </w:r>
      <w:r>
        <w:rPr>
          <w:rFonts w:asciiTheme="majorBidi" w:hAnsiTheme="majorBidi" w:cstheme="majorBidi"/>
        </w:rPr>
        <w:tab/>
        <w:t>Anticoagulation stewardship</w:t>
      </w:r>
    </w:p>
    <w:p w14:paraId="22E6B5E3" w14:textId="77777777" w:rsidR="00B85C9C" w:rsidRDefault="00B85C9C">
      <w:pPr>
        <w:rPr>
          <w:rFonts w:asciiTheme="majorBidi" w:hAnsiTheme="majorBidi"/>
        </w:rPr>
      </w:pPr>
      <w:r>
        <w:rPr>
          <w:rFonts w:asciiTheme="majorBidi" w:hAnsiTheme="majorBidi" w:cstheme="majorBidi"/>
        </w:rPr>
        <w:t>ACSQHC</w:t>
      </w:r>
      <w:r>
        <w:rPr>
          <w:rFonts w:asciiTheme="majorBidi" w:hAnsiTheme="majorBidi" w:cstheme="majorBidi"/>
        </w:rPr>
        <w:tab/>
      </w:r>
      <w:r>
        <w:rPr>
          <w:rFonts w:asciiTheme="majorBidi" w:hAnsiTheme="majorBidi" w:cstheme="majorBidi"/>
        </w:rPr>
        <w:tab/>
      </w:r>
      <w:r w:rsidRPr="00E55096">
        <w:rPr>
          <w:rFonts w:asciiTheme="majorBidi" w:hAnsiTheme="majorBidi" w:cstheme="majorBidi"/>
        </w:rPr>
        <w:t>Australian Commission for Safety and Quality in Healthcare</w:t>
      </w:r>
    </w:p>
    <w:p w14:paraId="07DC8F0C" w14:textId="77777777" w:rsidR="00B85C9C" w:rsidRDefault="00B85C9C">
      <w:pPr>
        <w:rPr>
          <w:rFonts w:asciiTheme="majorBidi" w:hAnsiTheme="majorBidi"/>
        </w:rPr>
      </w:pPr>
      <w:r>
        <w:rPr>
          <w:rFonts w:asciiTheme="majorBidi" w:hAnsiTheme="majorBidi"/>
        </w:rPr>
        <w:t>ADE</w:t>
      </w:r>
      <w:r>
        <w:rPr>
          <w:rFonts w:asciiTheme="majorBidi" w:hAnsiTheme="majorBidi"/>
        </w:rPr>
        <w:tab/>
      </w:r>
      <w:r>
        <w:rPr>
          <w:rFonts w:asciiTheme="majorBidi" w:hAnsiTheme="majorBidi"/>
        </w:rPr>
        <w:tab/>
      </w:r>
      <w:r>
        <w:rPr>
          <w:rFonts w:asciiTheme="majorBidi" w:hAnsiTheme="majorBidi"/>
        </w:rPr>
        <w:tab/>
        <w:t>Adverse drug event</w:t>
      </w:r>
    </w:p>
    <w:p w14:paraId="33688113" w14:textId="77777777" w:rsidR="00B85C9C" w:rsidRDefault="00B85C9C">
      <w:pPr>
        <w:rPr>
          <w:rFonts w:asciiTheme="majorBidi" w:hAnsiTheme="majorBidi"/>
        </w:rPr>
      </w:pPr>
      <w:r>
        <w:rPr>
          <w:rFonts w:asciiTheme="majorBidi" w:hAnsiTheme="majorBidi"/>
        </w:rPr>
        <w:t>AF</w:t>
      </w:r>
      <w:r>
        <w:rPr>
          <w:rFonts w:asciiTheme="majorBidi" w:hAnsiTheme="majorBidi"/>
        </w:rPr>
        <w:tab/>
      </w:r>
      <w:r>
        <w:rPr>
          <w:rFonts w:asciiTheme="majorBidi" w:hAnsiTheme="majorBidi"/>
        </w:rPr>
        <w:tab/>
      </w:r>
      <w:r>
        <w:rPr>
          <w:rFonts w:asciiTheme="majorBidi" w:hAnsiTheme="majorBidi"/>
        </w:rPr>
        <w:tab/>
        <w:t>Atrial fibrillation</w:t>
      </w:r>
    </w:p>
    <w:p w14:paraId="4B2C74D7" w14:textId="77777777" w:rsidR="00B85C9C" w:rsidRDefault="00B85C9C">
      <w:pPr>
        <w:rPr>
          <w:rFonts w:asciiTheme="majorBidi" w:hAnsiTheme="majorBidi"/>
        </w:rPr>
      </w:pPr>
      <w:r>
        <w:rPr>
          <w:rFonts w:asciiTheme="majorBidi" w:hAnsiTheme="majorBidi"/>
        </w:rPr>
        <w:t>AHRQ</w:t>
      </w:r>
      <w:r>
        <w:rPr>
          <w:rFonts w:asciiTheme="majorBidi" w:hAnsiTheme="majorBidi"/>
        </w:rPr>
        <w:tab/>
      </w:r>
      <w:r>
        <w:rPr>
          <w:rFonts w:asciiTheme="majorBidi" w:hAnsiTheme="majorBidi"/>
        </w:rPr>
        <w:tab/>
      </w:r>
      <w:r>
        <w:rPr>
          <w:rFonts w:asciiTheme="majorBidi" w:hAnsiTheme="majorBidi"/>
        </w:rPr>
        <w:tab/>
      </w:r>
      <w:r w:rsidRPr="00E55096">
        <w:rPr>
          <w:rFonts w:asciiTheme="majorBidi" w:hAnsiTheme="majorBidi" w:cstheme="majorBidi"/>
        </w:rPr>
        <w:t>A</w:t>
      </w:r>
      <w:r>
        <w:rPr>
          <w:rFonts w:asciiTheme="majorBidi" w:hAnsiTheme="majorBidi" w:cstheme="majorBidi"/>
        </w:rPr>
        <w:t>gency for Health Research and Quality</w:t>
      </w:r>
    </w:p>
    <w:p w14:paraId="038B4C21" w14:textId="77777777" w:rsidR="00B85C9C" w:rsidRDefault="00B85C9C">
      <w:pPr>
        <w:rPr>
          <w:rFonts w:asciiTheme="majorBidi" w:hAnsiTheme="majorBidi"/>
        </w:rPr>
      </w:pPr>
      <w:r>
        <w:rPr>
          <w:rFonts w:asciiTheme="majorBidi" w:hAnsiTheme="majorBidi"/>
        </w:rPr>
        <w:t>AI</w:t>
      </w:r>
      <w:r>
        <w:rPr>
          <w:rFonts w:asciiTheme="majorBidi" w:hAnsiTheme="majorBidi"/>
        </w:rPr>
        <w:tab/>
      </w:r>
      <w:r>
        <w:rPr>
          <w:rFonts w:asciiTheme="majorBidi" w:hAnsiTheme="majorBidi"/>
        </w:rPr>
        <w:tab/>
      </w:r>
      <w:r>
        <w:rPr>
          <w:rFonts w:asciiTheme="majorBidi" w:hAnsiTheme="majorBidi"/>
        </w:rPr>
        <w:tab/>
        <w:t>Artificial intelligence</w:t>
      </w:r>
    </w:p>
    <w:p w14:paraId="11F4304F" w14:textId="77777777" w:rsidR="00B85C9C" w:rsidRDefault="00B85C9C">
      <w:pPr>
        <w:rPr>
          <w:rFonts w:asciiTheme="majorBidi" w:hAnsiTheme="majorBidi"/>
        </w:rPr>
      </w:pPr>
      <w:r>
        <w:rPr>
          <w:rFonts w:asciiTheme="majorBidi" w:hAnsiTheme="majorBidi"/>
        </w:rPr>
        <w:t>AMS</w:t>
      </w:r>
      <w:r>
        <w:rPr>
          <w:rFonts w:asciiTheme="majorBidi" w:hAnsiTheme="majorBidi"/>
        </w:rPr>
        <w:tab/>
      </w:r>
      <w:r>
        <w:rPr>
          <w:rFonts w:asciiTheme="majorBidi" w:hAnsiTheme="majorBidi"/>
        </w:rPr>
        <w:tab/>
      </w:r>
      <w:r>
        <w:rPr>
          <w:rFonts w:asciiTheme="majorBidi" w:hAnsiTheme="majorBidi"/>
        </w:rPr>
        <w:tab/>
        <w:t>Antimicrobial stewardship</w:t>
      </w:r>
    </w:p>
    <w:p w14:paraId="5FEE0184" w14:textId="77777777" w:rsidR="00B85C9C" w:rsidRDefault="00B85C9C">
      <w:pPr>
        <w:rPr>
          <w:rFonts w:asciiTheme="majorBidi" w:hAnsiTheme="majorBidi"/>
        </w:rPr>
      </w:pPr>
      <w:r>
        <w:rPr>
          <w:rFonts w:asciiTheme="majorBidi" w:hAnsiTheme="majorBidi"/>
        </w:rPr>
        <w:t>CDSS</w:t>
      </w:r>
      <w:r>
        <w:rPr>
          <w:rFonts w:asciiTheme="majorBidi" w:hAnsiTheme="majorBidi"/>
        </w:rPr>
        <w:tab/>
      </w:r>
      <w:r>
        <w:rPr>
          <w:rFonts w:asciiTheme="majorBidi" w:hAnsiTheme="majorBidi"/>
        </w:rPr>
        <w:tab/>
      </w:r>
      <w:r>
        <w:rPr>
          <w:rFonts w:asciiTheme="majorBidi" w:hAnsiTheme="majorBidi"/>
        </w:rPr>
        <w:tab/>
        <w:t>Clinical decision support system</w:t>
      </w:r>
    </w:p>
    <w:p w14:paraId="48BD1558" w14:textId="77777777" w:rsidR="00B85C9C" w:rsidRDefault="00B85C9C">
      <w:pPr>
        <w:rPr>
          <w:rFonts w:asciiTheme="majorBidi" w:hAnsiTheme="majorBidi"/>
        </w:rPr>
      </w:pPr>
      <w:r>
        <w:rPr>
          <w:rFonts w:asciiTheme="majorBidi" w:hAnsiTheme="majorBidi"/>
        </w:rPr>
        <w:t>CI</w:t>
      </w:r>
      <w:r>
        <w:rPr>
          <w:rFonts w:asciiTheme="majorBidi" w:hAnsiTheme="majorBidi"/>
        </w:rPr>
        <w:tab/>
      </w:r>
      <w:r>
        <w:rPr>
          <w:rFonts w:asciiTheme="majorBidi" w:hAnsiTheme="majorBidi"/>
        </w:rPr>
        <w:tab/>
      </w:r>
      <w:r>
        <w:rPr>
          <w:rFonts w:asciiTheme="majorBidi" w:hAnsiTheme="majorBidi"/>
        </w:rPr>
        <w:tab/>
        <w:t>Confidence interval</w:t>
      </w:r>
    </w:p>
    <w:p w14:paraId="18E8BC7E" w14:textId="77777777" w:rsidR="00B85C9C" w:rsidRPr="005551C2" w:rsidRDefault="00B85C9C" w:rsidP="005551C2">
      <w:pPr>
        <w:rPr>
          <w:rFonts w:asciiTheme="majorBidi" w:hAnsiTheme="majorBidi" w:cstheme="majorBidi"/>
        </w:rPr>
      </w:pPr>
      <w:r>
        <w:rPr>
          <w:rFonts w:asciiTheme="majorBidi" w:hAnsiTheme="majorBidi"/>
        </w:rPr>
        <w:t>CPOE</w:t>
      </w:r>
      <w:r>
        <w:rPr>
          <w:rFonts w:asciiTheme="majorBidi" w:hAnsiTheme="majorBidi"/>
        </w:rPr>
        <w:tab/>
      </w:r>
      <w:r>
        <w:rPr>
          <w:rFonts w:asciiTheme="majorBidi" w:hAnsiTheme="majorBidi"/>
        </w:rPr>
        <w:tab/>
      </w:r>
      <w:r>
        <w:rPr>
          <w:rFonts w:asciiTheme="majorBidi" w:hAnsiTheme="majorBidi"/>
        </w:rPr>
        <w:tab/>
      </w:r>
      <w:r>
        <w:rPr>
          <w:rFonts w:asciiTheme="majorBidi" w:hAnsiTheme="majorBidi" w:cstheme="majorBidi"/>
        </w:rPr>
        <w:t>C</w:t>
      </w:r>
      <w:r w:rsidRPr="00C6520E">
        <w:rPr>
          <w:rFonts w:asciiTheme="majorBidi" w:hAnsiTheme="majorBidi" w:cstheme="majorBidi"/>
        </w:rPr>
        <w:t>omputerised</w:t>
      </w:r>
      <w:r>
        <w:rPr>
          <w:rFonts w:asciiTheme="majorBidi" w:hAnsiTheme="majorBidi" w:cstheme="majorBidi"/>
        </w:rPr>
        <w:t xml:space="preserve"> </w:t>
      </w:r>
      <w:r w:rsidRPr="00C6520E">
        <w:rPr>
          <w:rFonts w:asciiTheme="majorBidi" w:hAnsiTheme="majorBidi" w:cstheme="majorBidi"/>
        </w:rPr>
        <w:t>physician order entry</w:t>
      </w:r>
    </w:p>
    <w:p w14:paraId="3393FA5A" w14:textId="77777777" w:rsidR="00B85C9C" w:rsidRDefault="00B85C9C">
      <w:pPr>
        <w:rPr>
          <w:rFonts w:asciiTheme="majorBidi" w:hAnsiTheme="majorBidi"/>
        </w:rPr>
      </w:pPr>
      <w:r>
        <w:rPr>
          <w:rFonts w:asciiTheme="majorBidi" w:hAnsiTheme="majorBidi"/>
        </w:rPr>
        <w:t>DHB</w:t>
      </w:r>
      <w:r>
        <w:rPr>
          <w:rFonts w:asciiTheme="majorBidi" w:hAnsiTheme="majorBidi"/>
        </w:rPr>
        <w:tab/>
      </w:r>
      <w:r>
        <w:rPr>
          <w:rFonts w:asciiTheme="majorBidi" w:hAnsiTheme="majorBidi"/>
        </w:rPr>
        <w:tab/>
      </w:r>
      <w:r>
        <w:rPr>
          <w:rFonts w:asciiTheme="majorBidi" w:hAnsiTheme="majorBidi"/>
        </w:rPr>
        <w:tab/>
        <w:t>District Health Board</w:t>
      </w:r>
    </w:p>
    <w:p w14:paraId="4EF81A99" w14:textId="77777777" w:rsidR="00B85C9C" w:rsidRDefault="00B85C9C">
      <w:pPr>
        <w:rPr>
          <w:rFonts w:asciiTheme="majorBidi" w:hAnsiTheme="majorBidi"/>
        </w:rPr>
      </w:pPr>
      <w:r>
        <w:rPr>
          <w:rFonts w:asciiTheme="majorBidi" w:hAnsiTheme="majorBidi"/>
        </w:rPr>
        <w:t>DOAC</w:t>
      </w:r>
      <w:r>
        <w:rPr>
          <w:rFonts w:asciiTheme="majorBidi" w:hAnsiTheme="majorBidi"/>
        </w:rPr>
        <w:tab/>
      </w:r>
      <w:r>
        <w:rPr>
          <w:rFonts w:asciiTheme="majorBidi" w:hAnsiTheme="majorBidi"/>
        </w:rPr>
        <w:tab/>
      </w:r>
      <w:r>
        <w:rPr>
          <w:rFonts w:asciiTheme="majorBidi" w:hAnsiTheme="majorBidi"/>
        </w:rPr>
        <w:tab/>
        <w:t>Direct oral anticoagulant</w:t>
      </w:r>
    </w:p>
    <w:p w14:paraId="1F213980" w14:textId="77777777" w:rsidR="00B85C9C" w:rsidRDefault="00B85C9C">
      <w:pPr>
        <w:rPr>
          <w:rFonts w:asciiTheme="majorBidi" w:hAnsiTheme="majorBidi"/>
        </w:rPr>
      </w:pPr>
      <w:r>
        <w:rPr>
          <w:rFonts w:asciiTheme="majorBidi" w:hAnsiTheme="majorBidi"/>
        </w:rPr>
        <w:t>DVT</w:t>
      </w:r>
      <w:r>
        <w:rPr>
          <w:rFonts w:asciiTheme="majorBidi" w:hAnsiTheme="majorBidi"/>
        </w:rPr>
        <w:tab/>
      </w:r>
      <w:r>
        <w:rPr>
          <w:rFonts w:asciiTheme="majorBidi" w:hAnsiTheme="majorBidi"/>
        </w:rPr>
        <w:tab/>
      </w:r>
      <w:r>
        <w:rPr>
          <w:rFonts w:asciiTheme="majorBidi" w:hAnsiTheme="majorBidi"/>
        </w:rPr>
        <w:tab/>
        <w:t>Deep vein thrombosis</w:t>
      </w:r>
    </w:p>
    <w:p w14:paraId="58A795C7" w14:textId="77777777" w:rsidR="00B85C9C" w:rsidRDefault="00B85C9C">
      <w:pPr>
        <w:rPr>
          <w:rFonts w:asciiTheme="majorBidi" w:hAnsiTheme="majorBidi"/>
        </w:rPr>
      </w:pPr>
      <w:r>
        <w:rPr>
          <w:rFonts w:asciiTheme="majorBidi" w:hAnsiTheme="majorBidi"/>
        </w:rPr>
        <w:t>ECMO</w:t>
      </w:r>
      <w:r>
        <w:rPr>
          <w:rFonts w:asciiTheme="majorBidi" w:hAnsiTheme="majorBidi"/>
        </w:rPr>
        <w:tab/>
      </w:r>
      <w:r>
        <w:rPr>
          <w:rFonts w:asciiTheme="majorBidi" w:hAnsiTheme="majorBidi"/>
        </w:rPr>
        <w:tab/>
      </w:r>
      <w:r>
        <w:rPr>
          <w:rFonts w:asciiTheme="majorBidi" w:hAnsiTheme="majorBidi"/>
        </w:rPr>
        <w:tab/>
        <w:t>Extracorporeal membrane oxygenation</w:t>
      </w:r>
    </w:p>
    <w:p w14:paraId="3029C890" w14:textId="77777777" w:rsidR="00B85C9C" w:rsidRDefault="00B85C9C">
      <w:pPr>
        <w:rPr>
          <w:rFonts w:asciiTheme="majorBidi" w:hAnsiTheme="majorBidi"/>
        </w:rPr>
      </w:pPr>
      <w:r>
        <w:rPr>
          <w:rFonts w:asciiTheme="majorBidi" w:hAnsiTheme="majorBidi"/>
        </w:rPr>
        <w:t>ED</w:t>
      </w:r>
      <w:r>
        <w:rPr>
          <w:rFonts w:asciiTheme="majorBidi" w:hAnsiTheme="majorBidi"/>
        </w:rPr>
        <w:tab/>
      </w:r>
      <w:r>
        <w:rPr>
          <w:rFonts w:asciiTheme="majorBidi" w:hAnsiTheme="majorBidi"/>
        </w:rPr>
        <w:tab/>
      </w:r>
      <w:r>
        <w:rPr>
          <w:rFonts w:asciiTheme="majorBidi" w:hAnsiTheme="majorBidi"/>
        </w:rPr>
        <w:tab/>
        <w:t>Emergency department</w:t>
      </w:r>
    </w:p>
    <w:p w14:paraId="4E000AE9" w14:textId="77777777" w:rsidR="00B85C9C" w:rsidRDefault="00B85C9C">
      <w:pPr>
        <w:rPr>
          <w:rFonts w:asciiTheme="majorBidi" w:hAnsiTheme="majorBidi"/>
        </w:rPr>
      </w:pPr>
      <w:r>
        <w:rPr>
          <w:rFonts w:asciiTheme="majorBidi" w:hAnsiTheme="majorBidi"/>
        </w:rPr>
        <w:t>EHR</w:t>
      </w:r>
      <w:r>
        <w:rPr>
          <w:rFonts w:asciiTheme="majorBidi" w:hAnsiTheme="majorBidi"/>
        </w:rPr>
        <w:tab/>
      </w:r>
      <w:r>
        <w:rPr>
          <w:rFonts w:asciiTheme="majorBidi" w:hAnsiTheme="majorBidi"/>
        </w:rPr>
        <w:tab/>
      </w:r>
      <w:r>
        <w:rPr>
          <w:rFonts w:asciiTheme="majorBidi" w:hAnsiTheme="majorBidi"/>
        </w:rPr>
        <w:tab/>
        <w:t>Electronic health record</w:t>
      </w:r>
    </w:p>
    <w:p w14:paraId="72AF7B3C" w14:textId="77777777" w:rsidR="00B85C9C" w:rsidRDefault="00B85C9C" w:rsidP="00064791">
      <w:pPr>
        <w:rPr>
          <w:rFonts w:asciiTheme="majorBidi" w:hAnsiTheme="majorBidi"/>
        </w:rPr>
      </w:pPr>
      <w:r>
        <w:rPr>
          <w:rFonts w:asciiTheme="majorBidi" w:hAnsiTheme="majorBidi"/>
        </w:rPr>
        <w:t>EMR</w:t>
      </w:r>
      <w:r>
        <w:rPr>
          <w:rFonts w:asciiTheme="majorBidi" w:hAnsiTheme="majorBidi"/>
        </w:rPr>
        <w:tab/>
      </w:r>
      <w:r>
        <w:rPr>
          <w:rFonts w:asciiTheme="majorBidi" w:hAnsiTheme="majorBidi"/>
        </w:rPr>
        <w:tab/>
      </w:r>
      <w:r>
        <w:rPr>
          <w:rFonts w:asciiTheme="majorBidi" w:hAnsiTheme="majorBidi"/>
        </w:rPr>
        <w:tab/>
        <w:t>Electronic medical record</w:t>
      </w:r>
    </w:p>
    <w:p w14:paraId="5117B0E5" w14:textId="77777777" w:rsidR="00B85C9C" w:rsidRDefault="00B85C9C" w:rsidP="00064791">
      <w:pPr>
        <w:rPr>
          <w:rFonts w:asciiTheme="majorBidi" w:hAnsiTheme="majorBidi"/>
        </w:rPr>
      </w:pPr>
      <w:r>
        <w:rPr>
          <w:rFonts w:asciiTheme="majorBidi" w:hAnsiTheme="majorBidi"/>
        </w:rPr>
        <w:t>FDA</w:t>
      </w:r>
      <w:r>
        <w:rPr>
          <w:rFonts w:asciiTheme="majorBidi" w:hAnsiTheme="majorBidi"/>
        </w:rPr>
        <w:tab/>
      </w:r>
      <w:r>
        <w:rPr>
          <w:rFonts w:asciiTheme="majorBidi" w:hAnsiTheme="majorBidi"/>
        </w:rPr>
        <w:tab/>
      </w:r>
      <w:r>
        <w:rPr>
          <w:rFonts w:asciiTheme="majorBidi" w:hAnsiTheme="majorBidi"/>
        </w:rPr>
        <w:tab/>
        <w:t>Federal Drug Administration</w:t>
      </w:r>
    </w:p>
    <w:p w14:paraId="14EA2406" w14:textId="77777777" w:rsidR="00B85C9C" w:rsidRDefault="00B85C9C" w:rsidP="00064791">
      <w:pPr>
        <w:rPr>
          <w:rFonts w:asciiTheme="majorBidi" w:hAnsiTheme="majorBidi"/>
        </w:rPr>
      </w:pPr>
      <w:r>
        <w:rPr>
          <w:rFonts w:asciiTheme="majorBidi" w:hAnsiTheme="majorBidi"/>
        </w:rPr>
        <w:t>GI</w:t>
      </w:r>
      <w:r>
        <w:rPr>
          <w:rFonts w:asciiTheme="majorBidi" w:hAnsiTheme="majorBidi"/>
        </w:rPr>
        <w:tab/>
      </w:r>
      <w:r>
        <w:rPr>
          <w:rFonts w:asciiTheme="majorBidi" w:hAnsiTheme="majorBidi"/>
        </w:rPr>
        <w:tab/>
      </w:r>
      <w:r>
        <w:rPr>
          <w:rFonts w:asciiTheme="majorBidi" w:hAnsiTheme="majorBidi"/>
        </w:rPr>
        <w:tab/>
        <w:t xml:space="preserve">Gastrointestinal </w:t>
      </w:r>
    </w:p>
    <w:p w14:paraId="7574C40E" w14:textId="77777777" w:rsidR="00B85C9C" w:rsidRDefault="00B85C9C" w:rsidP="00064791">
      <w:pPr>
        <w:rPr>
          <w:rFonts w:asciiTheme="majorBidi" w:hAnsiTheme="majorBidi"/>
        </w:rPr>
      </w:pPr>
      <w:r>
        <w:rPr>
          <w:rFonts w:asciiTheme="majorBidi" w:hAnsiTheme="majorBidi"/>
        </w:rPr>
        <w:t>GP</w:t>
      </w:r>
      <w:r>
        <w:rPr>
          <w:rFonts w:asciiTheme="majorBidi" w:hAnsiTheme="majorBidi"/>
        </w:rPr>
        <w:tab/>
      </w:r>
      <w:r>
        <w:rPr>
          <w:rFonts w:asciiTheme="majorBidi" w:hAnsiTheme="majorBidi"/>
        </w:rPr>
        <w:tab/>
      </w:r>
      <w:r>
        <w:rPr>
          <w:rFonts w:asciiTheme="majorBidi" w:hAnsiTheme="majorBidi"/>
        </w:rPr>
        <w:tab/>
        <w:t>General Practitioner</w:t>
      </w:r>
    </w:p>
    <w:p w14:paraId="1B92510A" w14:textId="77777777" w:rsidR="00B85C9C" w:rsidRDefault="00B85C9C">
      <w:pPr>
        <w:rPr>
          <w:rFonts w:asciiTheme="majorBidi" w:hAnsiTheme="majorBidi"/>
        </w:rPr>
      </w:pPr>
      <w:r>
        <w:rPr>
          <w:rFonts w:asciiTheme="majorBidi" w:hAnsiTheme="majorBidi"/>
        </w:rPr>
        <w:t>GPT-3</w:t>
      </w:r>
      <w:r>
        <w:rPr>
          <w:rFonts w:asciiTheme="majorBidi" w:hAnsiTheme="majorBidi"/>
        </w:rPr>
        <w:tab/>
      </w:r>
      <w:r>
        <w:rPr>
          <w:rFonts w:asciiTheme="majorBidi" w:hAnsiTheme="majorBidi"/>
        </w:rPr>
        <w:tab/>
      </w:r>
      <w:r>
        <w:rPr>
          <w:rFonts w:asciiTheme="majorBidi" w:hAnsiTheme="majorBidi"/>
        </w:rPr>
        <w:tab/>
        <w:t>Generative pre-trained transformer</w:t>
      </w:r>
    </w:p>
    <w:p w14:paraId="573B9B2A" w14:textId="77777777" w:rsidR="00B85C9C" w:rsidRDefault="00B85C9C">
      <w:pPr>
        <w:rPr>
          <w:rFonts w:asciiTheme="majorBidi" w:hAnsiTheme="majorBidi"/>
        </w:rPr>
      </w:pPr>
      <w:r>
        <w:rPr>
          <w:rFonts w:asciiTheme="majorBidi" w:hAnsiTheme="majorBidi"/>
        </w:rPr>
        <w:t>HIT</w:t>
      </w:r>
      <w:r>
        <w:rPr>
          <w:rFonts w:asciiTheme="majorBidi" w:hAnsiTheme="majorBidi"/>
        </w:rPr>
        <w:tab/>
      </w:r>
      <w:r>
        <w:rPr>
          <w:rFonts w:asciiTheme="majorBidi" w:hAnsiTheme="majorBidi"/>
        </w:rPr>
        <w:tab/>
      </w:r>
      <w:r>
        <w:rPr>
          <w:rFonts w:asciiTheme="majorBidi" w:hAnsiTheme="majorBidi"/>
        </w:rPr>
        <w:tab/>
        <w:t xml:space="preserve">Heparin-induced thrombocytopenia </w:t>
      </w:r>
    </w:p>
    <w:p w14:paraId="24BC6C62" w14:textId="77777777" w:rsidR="00B85C9C" w:rsidRDefault="00B85C9C">
      <w:pPr>
        <w:rPr>
          <w:rFonts w:asciiTheme="majorBidi" w:hAnsiTheme="majorBidi"/>
        </w:rPr>
      </w:pPr>
      <w:r>
        <w:rPr>
          <w:rFonts w:asciiTheme="majorBidi" w:hAnsiTheme="majorBidi"/>
        </w:rPr>
        <w:t>INR</w:t>
      </w:r>
      <w:r>
        <w:rPr>
          <w:rFonts w:asciiTheme="majorBidi" w:hAnsiTheme="majorBidi"/>
        </w:rPr>
        <w:tab/>
      </w:r>
      <w:r>
        <w:rPr>
          <w:rFonts w:asciiTheme="majorBidi" w:hAnsiTheme="majorBidi"/>
        </w:rPr>
        <w:tab/>
      </w:r>
      <w:r>
        <w:rPr>
          <w:rFonts w:asciiTheme="majorBidi" w:hAnsiTheme="majorBidi"/>
        </w:rPr>
        <w:tab/>
        <w:t>International normalised ratio</w:t>
      </w:r>
    </w:p>
    <w:p w14:paraId="6B96A212" w14:textId="77777777" w:rsidR="00B85C9C" w:rsidRDefault="00B85C9C">
      <w:pPr>
        <w:rPr>
          <w:rFonts w:asciiTheme="majorBidi" w:hAnsiTheme="majorBidi" w:cstheme="majorBidi"/>
        </w:rPr>
      </w:pPr>
      <w:r>
        <w:rPr>
          <w:rFonts w:asciiTheme="majorBidi" w:hAnsiTheme="majorBidi"/>
        </w:rPr>
        <w:t>ISMP</w:t>
      </w:r>
      <w:r>
        <w:rPr>
          <w:rFonts w:asciiTheme="majorBidi" w:hAnsiTheme="majorBidi"/>
        </w:rPr>
        <w:tab/>
      </w:r>
      <w:r>
        <w:rPr>
          <w:rFonts w:asciiTheme="majorBidi" w:hAnsiTheme="majorBidi"/>
        </w:rPr>
        <w:tab/>
      </w:r>
      <w:r>
        <w:rPr>
          <w:rFonts w:asciiTheme="majorBidi" w:hAnsiTheme="majorBidi"/>
        </w:rPr>
        <w:tab/>
      </w:r>
      <w:r w:rsidRPr="00E55096">
        <w:rPr>
          <w:rFonts w:asciiTheme="majorBidi" w:hAnsiTheme="majorBidi" w:cstheme="majorBidi"/>
        </w:rPr>
        <w:t>Institute for Safe Medical Practices</w:t>
      </w:r>
    </w:p>
    <w:p w14:paraId="0CD48EC5" w14:textId="77777777" w:rsidR="00B85C9C" w:rsidRDefault="00B85C9C">
      <w:pPr>
        <w:rPr>
          <w:rFonts w:asciiTheme="majorBidi" w:hAnsiTheme="majorBidi"/>
        </w:rPr>
      </w:pPr>
      <w:r>
        <w:rPr>
          <w:rFonts w:asciiTheme="majorBidi" w:hAnsiTheme="majorBidi" w:cstheme="majorBidi"/>
        </w:rPr>
        <w:t>IT</w:t>
      </w:r>
      <w:r>
        <w:rPr>
          <w:rFonts w:asciiTheme="majorBidi" w:hAnsiTheme="majorBidi" w:cstheme="majorBidi"/>
        </w:rPr>
        <w:tab/>
      </w:r>
      <w:r>
        <w:rPr>
          <w:rFonts w:asciiTheme="majorBidi" w:hAnsiTheme="majorBidi" w:cstheme="majorBidi"/>
        </w:rPr>
        <w:tab/>
      </w:r>
      <w:r>
        <w:rPr>
          <w:rFonts w:asciiTheme="majorBidi" w:hAnsiTheme="majorBidi" w:cstheme="majorBidi"/>
        </w:rPr>
        <w:tab/>
        <w:t>Information technology</w:t>
      </w:r>
    </w:p>
    <w:p w14:paraId="5175C35A" w14:textId="77777777" w:rsidR="00B85C9C" w:rsidRDefault="00B85C9C">
      <w:pPr>
        <w:rPr>
          <w:rFonts w:asciiTheme="majorBidi" w:hAnsiTheme="majorBidi"/>
        </w:rPr>
      </w:pPr>
      <w:r>
        <w:rPr>
          <w:rFonts w:asciiTheme="majorBidi" w:hAnsiTheme="majorBidi"/>
        </w:rPr>
        <w:t>LMWH</w:t>
      </w:r>
      <w:r>
        <w:rPr>
          <w:rFonts w:asciiTheme="majorBidi" w:hAnsiTheme="majorBidi"/>
        </w:rPr>
        <w:tab/>
      </w:r>
      <w:r>
        <w:rPr>
          <w:rFonts w:asciiTheme="majorBidi" w:hAnsiTheme="majorBidi"/>
        </w:rPr>
        <w:tab/>
        <w:t>Low molecular weight heparin</w:t>
      </w:r>
    </w:p>
    <w:p w14:paraId="2DD43ED8" w14:textId="77777777" w:rsidR="00B85C9C" w:rsidRDefault="00B85C9C">
      <w:pPr>
        <w:rPr>
          <w:rFonts w:asciiTheme="majorBidi" w:hAnsiTheme="majorBidi"/>
        </w:rPr>
      </w:pPr>
      <w:r>
        <w:rPr>
          <w:rFonts w:asciiTheme="majorBidi" w:hAnsiTheme="majorBidi"/>
        </w:rPr>
        <w:t>MHRA</w:t>
      </w:r>
      <w:r>
        <w:rPr>
          <w:rFonts w:asciiTheme="majorBidi" w:hAnsiTheme="majorBidi"/>
        </w:rPr>
        <w:tab/>
      </w:r>
      <w:r>
        <w:rPr>
          <w:rFonts w:asciiTheme="majorBidi" w:hAnsiTheme="majorBidi"/>
        </w:rPr>
        <w:tab/>
        <w:t>Medicines and Healthcare Products Regulatory Agency</w:t>
      </w:r>
    </w:p>
    <w:p w14:paraId="427BB491" w14:textId="77777777" w:rsidR="00B85C9C" w:rsidRDefault="00B85C9C" w:rsidP="00072A10">
      <w:pPr>
        <w:ind w:left="2160" w:hanging="2160"/>
        <w:rPr>
          <w:rFonts w:asciiTheme="majorBidi" w:hAnsiTheme="majorBidi"/>
          <w:lang w:val="en-NZ"/>
        </w:rPr>
      </w:pPr>
      <w:r>
        <w:rPr>
          <w:rFonts w:asciiTheme="majorBidi" w:hAnsiTheme="majorBidi"/>
        </w:rPr>
        <w:t>MIDAS</w:t>
      </w:r>
      <w:r>
        <w:rPr>
          <w:rFonts w:asciiTheme="majorBidi" w:hAnsiTheme="majorBidi"/>
        </w:rPr>
        <w:tab/>
      </w:r>
      <w:r w:rsidRPr="007F46A0">
        <w:rPr>
          <w:rFonts w:asciiTheme="majorBidi" w:hAnsiTheme="majorBidi"/>
          <w:lang w:val="en-NZ"/>
        </w:rPr>
        <w:t>Mentored Implementation and Dissemination of Anticoagulation Stewardship</w:t>
      </w:r>
    </w:p>
    <w:p w14:paraId="1ECAFF30" w14:textId="77777777" w:rsidR="00B85C9C" w:rsidRDefault="00B85C9C" w:rsidP="00072A10">
      <w:pPr>
        <w:ind w:left="2160" w:hanging="2160"/>
        <w:rPr>
          <w:rFonts w:asciiTheme="majorBidi" w:hAnsiTheme="majorBidi"/>
        </w:rPr>
      </w:pPr>
      <w:r>
        <w:rPr>
          <w:rFonts w:asciiTheme="majorBidi" w:hAnsiTheme="majorBidi"/>
          <w:lang w:val="en-NZ"/>
        </w:rPr>
        <w:t>NHS</w:t>
      </w:r>
      <w:r>
        <w:rPr>
          <w:rFonts w:asciiTheme="majorBidi" w:hAnsiTheme="majorBidi"/>
          <w:lang w:val="en-NZ"/>
        </w:rPr>
        <w:tab/>
        <w:t>National Health Service (UK)</w:t>
      </w:r>
    </w:p>
    <w:p w14:paraId="6CAC861D" w14:textId="77777777" w:rsidR="00B85C9C" w:rsidRDefault="00B85C9C">
      <w:pPr>
        <w:rPr>
          <w:rFonts w:asciiTheme="majorBidi" w:hAnsiTheme="majorBidi"/>
        </w:rPr>
      </w:pPr>
      <w:r>
        <w:rPr>
          <w:rFonts w:asciiTheme="majorBidi" w:hAnsiTheme="majorBidi"/>
        </w:rPr>
        <w:t>NICE</w:t>
      </w:r>
      <w:r>
        <w:rPr>
          <w:rFonts w:asciiTheme="majorBidi" w:hAnsiTheme="majorBidi"/>
        </w:rPr>
        <w:tab/>
      </w:r>
      <w:r>
        <w:rPr>
          <w:rFonts w:asciiTheme="majorBidi" w:hAnsiTheme="majorBidi"/>
        </w:rPr>
        <w:tab/>
      </w:r>
      <w:r>
        <w:rPr>
          <w:rFonts w:asciiTheme="majorBidi" w:hAnsiTheme="majorBidi"/>
        </w:rPr>
        <w:tab/>
        <w:t>National Institute for Health and Care Excellence</w:t>
      </w:r>
    </w:p>
    <w:p w14:paraId="31A1F0C9" w14:textId="77777777" w:rsidR="00B85C9C" w:rsidRDefault="00B85C9C">
      <w:pPr>
        <w:rPr>
          <w:rFonts w:asciiTheme="majorBidi" w:hAnsiTheme="majorBidi"/>
        </w:rPr>
      </w:pPr>
      <w:r>
        <w:rPr>
          <w:rFonts w:asciiTheme="majorBidi" w:hAnsiTheme="majorBidi"/>
        </w:rPr>
        <w:t>NPSG</w:t>
      </w:r>
      <w:r>
        <w:rPr>
          <w:rFonts w:asciiTheme="majorBidi" w:hAnsiTheme="majorBidi"/>
        </w:rPr>
        <w:tab/>
      </w:r>
      <w:r>
        <w:rPr>
          <w:rFonts w:asciiTheme="majorBidi" w:hAnsiTheme="majorBidi"/>
        </w:rPr>
        <w:tab/>
      </w:r>
      <w:r>
        <w:rPr>
          <w:rFonts w:asciiTheme="majorBidi" w:hAnsiTheme="majorBidi"/>
        </w:rPr>
        <w:tab/>
        <w:t>National Patient Safety Goal</w:t>
      </w:r>
    </w:p>
    <w:p w14:paraId="2C9F1860" w14:textId="77777777" w:rsidR="00B85C9C" w:rsidRDefault="00B85C9C">
      <w:pPr>
        <w:rPr>
          <w:rFonts w:asciiTheme="majorBidi" w:hAnsiTheme="majorBidi"/>
        </w:rPr>
      </w:pPr>
      <w:r>
        <w:rPr>
          <w:rFonts w:asciiTheme="majorBidi" w:hAnsiTheme="majorBidi"/>
        </w:rPr>
        <w:t>OR</w:t>
      </w:r>
      <w:r>
        <w:rPr>
          <w:rFonts w:asciiTheme="majorBidi" w:hAnsiTheme="majorBidi"/>
        </w:rPr>
        <w:tab/>
      </w:r>
      <w:r>
        <w:rPr>
          <w:rFonts w:asciiTheme="majorBidi" w:hAnsiTheme="majorBidi"/>
        </w:rPr>
        <w:tab/>
      </w:r>
      <w:r>
        <w:rPr>
          <w:rFonts w:asciiTheme="majorBidi" w:hAnsiTheme="majorBidi"/>
        </w:rPr>
        <w:tab/>
        <w:t>Odds ratio</w:t>
      </w:r>
    </w:p>
    <w:p w14:paraId="6E76EE0B" w14:textId="77777777" w:rsidR="00B85C9C" w:rsidRDefault="00B85C9C">
      <w:pPr>
        <w:rPr>
          <w:rFonts w:asciiTheme="majorBidi" w:hAnsiTheme="majorBidi"/>
        </w:rPr>
      </w:pPr>
      <w:r>
        <w:rPr>
          <w:rFonts w:asciiTheme="majorBidi" w:hAnsiTheme="majorBidi"/>
        </w:rPr>
        <w:t>PE</w:t>
      </w:r>
      <w:r>
        <w:rPr>
          <w:rFonts w:asciiTheme="majorBidi" w:hAnsiTheme="majorBidi"/>
        </w:rPr>
        <w:tab/>
      </w:r>
      <w:r>
        <w:rPr>
          <w:rFonts w:asciiTheme="majorBidi" w:hAnsiTheme="majorBidi"/>
        </w:rPr>
        <w:tab/>
      </w:r>
      <w:r>
        <w:rPr>
          <w:rFonts w:asciiTheme="majorBidi" w:hAnsiTheme="majorBidi"/>
        </w:rPr>
        <w:tab/>
        <w:t>Pulmonary embolism</w:t>
      </w:r>
    </w:p>
    <w:p w14:paraId="63970DA9" w14:textId="77777777" w:rsidR="00B85C9C" w:rsidRDefault="00B85C9C">
      <w:pPr>
        <w:rPr>
          <w:rFonts w:asciiTheme="majorBidi" w:hAnsiTheme="majorBidi"/>
        </w:rPr>
      </w:pPr>
      <w:r>
        <w:rPr>
          <w:rFonts w:asciiTheme="majorBidi" w:hAnsiTheme="majorBidi"/>
        </w:rPr>
        <w:t>PGY1/PGY2</w:t>
      </w:r>
      <w:r>
        <w:rPr>
          <w:rFonts w:asciiTheme="majorBidi" w:hAnsiTheme="majorBidi"/>
        </w:rPr>
        <w:tab/>
      </w:r>
      <w:r>
        <w:rPr>
          <w:rFonts w:asciiTheme="majorBidi" w:hAnsiTheme="majorBidi"/>
        </w:rPr>
        <w:tab/>
        <w:t>Post-graduate year 1/2 (junior doctors)</w:t>
      </w:r>
    </w:p>
    <w:p w14:paraId="34F3FB5D" w14:textId="77777777" w:rsidR="00B85C9C" w:rsidRDefault="00B85C9C">
      <w:pPr>
        <w:rPr>
          <w:rFonts w:asciiTheme="majorBidi" w:hAnsiTheme="majorBidi"/>
        </w:rPr>
      </w:pPr>
      <w:r>
        <w:rPr>
          <w:rFonts w:asciiTheme="majorBidi" w:hAnsiTheme="majorBidi"/>
        </w:rPr>
        <w:t>QI</w:t>
      </w:r>
      <w:r>
        <w:rPr>
          <w:rFonts w:asciiTheme="majorBidi" w:hAnsiTheme="majorBidi"/>
        </w:rPr>
        <w:tab/>
      </w:r>
      <w:r>
        <w:rPr>
          <w:rFonts w:asciiTheme="majorBidi" w:hAnsiTheme="majorBidi"/>
        </w:rPr>
        <w:tab/>
      </w:r>
      <w:r>
        <w:rPr>
          <w:rFonts w:asciiTheme="majorBidi" w:hAnsiTheme="majorBidi"/>
        </w:rPr>
        <w:tab/>
        <w:t>Quality improvement</w:t>
      </w:r>
    </w:p>
    <w:p w14:paraId="0EFEF901" w14:textId="77777777" w:rsidR="00B85C9C" w:rsidRDefault="00B85C9C">
      <w:pPr>
        <w:rPr>
          <w:rFonts w:asciiTheme="majorBidi" w:hAnsiTheme="majorBidi"/>
        </w:rPr>
      </w:pPr>
      <w:r>
        <w:rPr>
          <w:rFonts w:asciiTheme="majorBidi" w:hAnsiTheme="majorBidi"/>
        </w:rPr>
        <w:t>RCT</w:t>
      </w:r>
      <w:r>
        <w:rPr>
          <w:rFonts w:asciiTheme="majorBidi" w:hAnsiTheme="majorBidi"/>
        </w:rPr>
        <w:tab/>
      </w:r>
      <w:r>
        <w:rPr>
          <w:rFonts w:asciiTheme="majorBidi" w:hAnsiTheme="majorBidi"/>
        </w:rPr>
        <w:tab/>
      </w:r>
      <w:r>
        <w:rPr>
          <w:rFonts w:asciiTheme="majorBidi" w:hAnsiTheme="majorBidi"/>
        </w:rPr>
        <w:tab/>
        <w:t>Randomised controlled trial</w:t>
      </w:r>
    </w:p>
    <w:p w14:paraId="66A34326" w14:textId="77777777" w:rsidR="00B85C9C" w:rsidRDefault="00B85C9C">
      <w:pPr>
        <w:rPr>
          <w:rFonts w:asciiTheme="majorBidi" w:hAnsiTheme="majorBidi"/>
        </w:rPr>
      </w:pPr>
      <w:r>
        <w:rPr>
          <w:rFonts w:asciiTheme="majorBidi" w:hAnsiTheme="majorBidi"/>
        </w:rPr>
        <w:t>SPSP</w:t>
      </w:r>
      <w:r>
        <w:rPr>
          <w:rFonts w:asciiTheme="majorBidi" w:hAnsiTheme="majorBidi"/>
        </w:rPr>
        <w:tab/>
      </w:r>
      <w:r>
        <w:rPr>
          <w:rFonts w:asciiTheme="majorBidi" w:hAnsiTheme="majorBidi"/>
        </w:rPr>
        <w:tab/>
      </w:r>
      <w:r>
        <w:rPr>
          <w:rFonts w:asciiTheme="majorBidi" w:hAnsiTheme="majorBidi"/>
        </w:rPr>
        <w:tab/>
        <w:t>Scottish Patient Safety Programme</w:t>
      </w:r>
    </w:p>
    <w:p w14:paraId="2053F3F4" w14:textId="77777777" w:rsidR="00B85C9C" w:rsidRDefault="00B85C9C">
      <w:pPr>
        <w:rPr>
          <w:rFonts w:asciiTheme="majorBidi" w:hAnsiTheme="majorBidi"/>
        </w:rPr>
      </w:pPr>
      <w:r>
        <w:rPr>
          <w:rFonts w:asciiTheme="majorBidi" w:hAnsiTheme="majorBidi"/>
        </w:rPr>
        <w:t>TTR</w:t>
      </w:r>
      <w:r>
        <w:rPr>
          <w:rFonts w:asciiTheme="majorBidi" w:hAnsiTheme="majorBidi"/>
        </w:rPr>
        <w:tab/>
      </w:r>
      <w:r>
        <w:rPr>
          <w:rFonts w:asciiTheme="majorBidi" w:hAnsiTheme="majorBidi"/>
        </w:rPr>
        <w:tab/>
      </w:r>
      <w:r>
        <w:rPr>
          <w:rFonts w:asciiTheme="majorBidi" w:hAnsiTheme="majorBidi"/>
        </w:rPr>
        <w:tab/>
        <w:t>Time in therapeutic range</w:t>
      </w:r>
    </w:p>
    <w:p w14:paraId="4FC2A7BD" w14:textId="77777777" w:rsidR="00B85C9C" w:rsidRDefault="00B85C9C">
      <w:pPr>
        <w:rPr>
          <w:rFonts w:asciiTheme="majorBidi" w:hAnsiTheme="majorBidi"/>
        </w:rPr>
      </w:pPr>
      <w:r>
        <w:rPr>
          <w:rFonts w:asciiTheme="majorBidi" w:hAnsiTheme="majorBidi"/>
        </w:rPr>
        <w:t>UK</w:t>
      </w:r>
      <w:r>
        <w:rPr>
          <w:rFonts w:asciiTheme="majorBidi" w:hAnsiTheme="majorBidi"/>
        </w:rPr>
        <w:tab/>
      </w:r>
      <w:r>
        <w:rPr>
          <w:rFonts w:asciiTheme="majorBidi" w:hAnsiTheme="majorBidi"/>
        </w:rPr>
        <w:tab/>
      </w:r>
      <w:r>
        <w:rPr>
          <w:rFonts w:asciiTheme="majorBidi" w:hAnsiTheme="majorBidi"/>
        </w:rPr>
        <w:tab/>
        <w:t>United Kingdom</w:t>
      </w:r>
    </w:p>
    <w:p w14:paraId="79A9DE2A" w14:textId="77777777" w:rsidR="00B85C9C" w:rsidRDefault="00B85C9C">
      <w:pPr>
        <w:rPr>
          <w:rFonts w:asciiTheme="majorBidi" w:hAnsiTheme="majorBidi"/>
        </w:rPr>
      </w:pPr>
      <w:r>
        <w:rPr>
          <w:rFonts w:asciiTheme="majorBidi" w:hAnsiTheme="majorBidi"/>
        </w:rPr>
        <w:t>US</w:t>
      </w:r>
      <w:r>
        <w:rPr>
          <w:rFonts w:asciiTheme="majorBidi" w:hAnsiTheme="majorBidi"/>
        </w:rPr>
        <w:tab/>
      </w:r>
      <w:r>
        <w:rPr>
          <w:rFonts w:asciiTheme="majorBidi" w:hAnsiTheme="majorBidi"/>
        </w:rPr>
        <w:tab/>
      </w:r>
      <w:r>
        <w:rPr>
          <w:rFonts w:asciiTheme="majorBidi" w:hAnsiTheme="majorBidi"/>
        </w:rPr>
        <w:tab/>
        <w:t>United States</w:t>
      </w:r>
    </w:p>
    <w:p w14:paraId="04BCEFAA" w14:textId="77777777" w:rsidR="00B85C9C" w:rsidRDefault="00B85C9C">
      <w:pPr>
        <w:rPr>
          <w:rFonts w:asciiTheme="majorBidi" w:hAnsiTheme="majorBidi"/>
        </w:rPr>
      </w:pPr>
      <w:r>
        <w:rPr>
          <w:rFonts w:asciiTheme="majorBidi" w:hAnsiTheme="majorBidi"/>
        </w:rPr>
        <w:t>VTE</w:t>
      </w:r>
      <w:r>
        <w:rPr>
          <w:rFonts w:asciiTheme="majorBidi" w:hAnsiTheme="majorBidi"/>
        </w:rPr>
        <w:tab/>
      </w:r>
      <w:r>
        <w:rPr>
          <w:rFonts w:asciiTheme="majorBidi" w:hAnsiTheme="majorBidi"/>
        </w:rPr>
        <w:tab/>
      </w:r>
      <w:r>
        <w:rPr>
          <w:rFonts w:asciiTheme="majorBidi" w:hAnsiTheme="majorBidi"/>
        </w:rPr>
        <w:tab/>
        <w:t>Venous thromboembolism</w:t>
      </w:r>
    </w:p>
    <w:p w14:paraId="5F4310B7" w14:textId="77777777" w:rsidR="00B85C9C" w:rsidRDefault="00B85C9C">
      <w:pPr>
        <w:rPr>
          <w:rFonts w:asciiTheme="majorBidi" w:hAnsiTheme="majorBidi"/>
        </w:rPr>
      </w:pPr>
      <w:r>
        <w:rPr>
          <w:rFonts w:asciiTheme="majorBidi" w:hAnsiTheme="majorBidi"/>
        </w:rPr>
        <w:t>WHO</w:t>
      </w:r>
      <w:r>
        <w:rPr>
          <w:rFonts w:asciiTheme="majorBidi" w:hAnsiTheme="majorBidi"/>
        </w:rPr>
        <w:tab/>
      </w:r>
      <w:r>
        <w:rPr>
          <w:rFonts w:asciiTheme="majorBidi" w:hAnsiTheme="majorBidi"/>
        </w:rPr>
        <w:tab/>
      </w:r>
      <w:r>
        <w:rPr>
          <w:rFonts w:asciiTheme="majorBidi" w:hAnsiTheme="majorBidi"/>
        </w:rPr>
        <w:tab/>
        <w:t>World Health Organization</w:t>
      </w:r>
    </w:p>
    <w:p w14:paraId="2AE53305" w14:textId="77777777" w:rsidR="00B85C9C" w:rsidRDefault="00B85C9C">
      <w:pPr>
        <w:rPr>
          <w:rFonts w:asciiTheme="majorBidi" w:hAnsiTheme="majorBidi"/>
        </w:rPr>
      </w:pPr>
    </w:p>
    <w:p w14:paraId="35E307EE" w14:textId="77777777" w:rsidR="00B85C9C" w:rsidRDefault="00B85C9C">
      <w:pPr>
        <w:rPr>
          <w:rFonts w:asciiTheme="majorBidi" w:hAnsiTheme="majorBidi"/>
        </w:rPr>
      </w:pPr>
    </w:p>
    <w:p w14:paraId="61B40961" w14:textId="77777777" w:rsidR="00B85C9C" w:rsidRDefault="00B85C9C">
      <w:pPr>
        <w:rPr>
          <w:rFonts w:asciiTheme="majorBidi" w:hAnsiTheme="majorBidi"/>
        </w:rPr>
      </w:pPr>
    </w:p>
    <w:p w14:paraId="52D8B8DC" w14:textId="77777777" w:rsidR="00B85C9C" w:rsidRDefault="00B85C9C">
      <w:pPr>
        <w:rPr>
          <w:rFonts w:asciiTheme="majorBidi" w:hAnsiTheme="majorBidi"/>
        </w:rPr>
      </w:pPr>
    </w:p>
    <w:p w14:paraId="5F38BBF8" w14:textId="77777777" w:rsidR="00B85C9C" w:rsidRDefault="00B85C9C">
      <w:pPr>
        <w:rPr>
          <w:rFonts w:asciiTheme="majorBidi" w:eastAsiaTheme="majorEastAsia" w:hAnsiTheme="majorBidi" w:cstheme="majorBidi"/>
          <w:color w:val="2F5496" w:themeColor="accent1" w:themeShade="BF"/>
          <w:sz w:val="26"/>
          <w:szCs w:val="26"/>
        </w:rPr>
      </w:pPr>
      <w:r>
        <w:rPr>
          <w:rFonts w:asciiTheme="majorBidi" w:hAnsiTheme="majorBidi"/>
        </w:rPr>
        <w:br w:type="page"/>
      </w:r>
    </w:p>
    <w:p w14:paraId="1E8FF016" w14:textId="77777777" w:rsidR="00B85C9C" w:rsidRPr="00B46928" w:rsidRDefault="00B85C9C" w:rsidP="00C04448">
      <w:pPr>
        <w:pStyle w:val="Heading2"/>
        <w:rPr>
          <w:rFonts w:asciiTheme="majorBidi" w:hAnsiTheme="majorBidi"/>
        </w:rPr>
      </w:pPr>
      <w:bookmarkStart w:id="8" w:name="_Toc106288208"/>
      <w:r w:rsidRPr="00B46928">
        <w:rPr>
          <w:rFonts w:asciiTheme="majorBidi" w:hAnsiTheme="majorBidi"/>
        </w:rPr>
        <w:lastRenderedPageBreak/>
        <w:t>Executive Summary</w:t>
      </w:r>
      <w:bookmarkEnd w:id="7"/>
      <w:bookmarkEnd w:id="8"/>
    </w:p>
    <w:p w14:paraId="12FA516A" w14:textId="77777777" w:rsidR="00B85C9C" w:rsidRPr="00B46928" w:rsidRDefault="00B85C9C" w:rsidP="00C04448">
      <w:pPr>
        <w:rPr>
          <w:rFonts w:asciiTheme="majorBidi" w:hAnsiTheme="majorBidi" w:cstheme="majorBidi"/>
        </w:rPr>
      </w:pPr>
    </w:p>
    <w:p w14:paraId="281205AF" w14:textId="77777777" w:rsidR="00B85C9C" w:rsidRDefault="00B85C9C">
      <w:pPr>
        <w:rPr>
          <w:rFonts w:asciiTheme="majorBidi" w:hAnsiTheme="majorBidi" w:cstheme="majorBidi"/>
        </w:rPr>
      </w:pPr>
      <w:r>
        <w:rPr>
          <w:rFonts w:asciiTheme="majorBidi" w:hAnsiTheme="majorBidi" w:cstheme="majorBidi"/>
        </w:rPr>
        <w:t>The clinical benefits of anticoagulants come with risks and significant anticoagulant-related harm has been described. Despite these risks the use of anticoagulants is not always based on guidelines. In New Zealand, c</w:t>
      </w:r>
      <w:r w:rsidRPr="0086032E">
        <w:rPr>
          <w:rFonts w:asciiTheme="majorBidi" w:hAnsiTheme="majorBidi" w:cstheme="majorBidi"/>
        </w:rPr>
        <w:t xml:space="preserve">ommon errors </w:t>
      </w:r>
      <w:r>
        <w:rPr>
          <w:rFonts w:asciiTheme="majorBidi" w:hAnsiTheme="majorBidi" w:cstheme="majorBidi"/>
        </w:rPr>
        <w:t xml:space="preserve">in the prescribing of anticoagulants </w:t>
      </w:r>
      <w:r w:rsidRPr="0086032E">
        <w:rPr>
          <w:rFonts w:asciiTheme="majorBidi" w:hAnsiTheme="majorBidi" w:cstheme="majorBidi"/>
        </w:rPr>
        <w:t>include medication interactions, incorrect dosing and timing around dosing, patients not being monitored, and prescribers not taking</w:t>
      </w:r>
      <w:r>
        <w:rPr>
          <w:rFonts w:asciiTheme="majorBidi" w:hAnsiTheme="majorBidi" w:cstheme="majorBidi"/>
        </w:rPr>
        <w:t xml:space="preserve"> renal function</w:t>
      </w:r>
      <w:r w:rsidRPr="0086032E">
        <w:rPr>
          <w:rFonts w:asciiTheme="majorBidi" w:hAnsiTheme="majorBidi" w:cstheme="majorBidi"/>
        </w:rPr>
        <w:t xml:space="preserve"> into account</w:t>
      </w:r>
      <w:r>
        <w:rPr>
          <w:rFonts w:asciiTheme="majorBidi" w:hAnsiTheme="majorBidi" w:cstheme="majorBidi"/>
        </w:rPr>
        <w:t xml:space="preserve">. Additionally, anticoagulation must be appropriately managed before and after procedures and across transitions of care. </w:t>
      </w:r>
    </w:p>
    <w:p w14:paraId="5670CA90" w14:textId="77777777" w:rsidR="00B85C9C" w:rsidRDefault="00B85C9C">
      <w:pPr>
        <w:rPr>
          <w:rFonts w:asciiTheme="majorBidi" w:hAnsiTheme="majorBidi" w:cstheme="majorBidi"/>
        </w:rPr>
      </w:pPr>
    </w:p>
    <w:p w14:paraId="4017D4CC" w14:textId="0748FBF3" w:rsidR="00B85C9C" w:rsidRDefault="00B85C9C" w:rsidP="00AF3588">
      <w:pPr>
        <w:rPr>
          <w:rFonts w:asciiTheme="majorBidi" w:hAnsiTheme="majorBidi" w:cstheme="majorBidi"/>
        </w:rPr>
      </w:pPr>
      <w:r>
        <w:rPr>
          <w:rFonts w:asciiTheme="majorBidi" w:hAnsiTheme="majorBidi" w:cstheme="majorBidi"/>
        </w:rPr>
        <w:t>T</w:t>
      </w:r>
      <w:r w:rsidRPr="002B11A0">
        <w:rPr>
          <w:rFonts w:asciiTheme="majorBidi" w:hAnsiTheme="majorBidi" w:cstheme="majorBidi"/>
        </w:rPr>
        <w:t xml:space="preserve">he Health Quality </w:t>
      </w:r>
      <w:r w:rsidR="007C737A">
        <w:rPr>
          <w:rFonts w:asciiTheme="majorBidi" w:hAnsiTheme="majorBidi" w:cstheme="majorBidi"/>
        </w:rPr>
        <w:t>&amp;</w:t>
      </w:r>
      <w:r w:rsidR="007C737A" w:rsidRPr="002B11A0">
        <w:rPr>
          <w:rFonts w:asciiTheme="majorBidi" w:hAnsiTheme="majorBidi" w:cstheme="majorBidi"/>
        </w:rPr>
        <w:t xml:space="preserve"> </w:t>
      </w:r>
      <w:r w:rsidRPr="002B11A0">
        <w:rPr>
          <w:rFonts w:asciiTheme="majorBidi" w:hAnsiTheme="majorBidi" w:cstheme="majorBidi"/>
        </w:rPr>
        <w:t>Safety Commission</w:t>
      </w:r>
      <w:r>
        <w:rPr>
          <w:rFonts w:asciiTheme="majorBidi" w:hAnsiTheme="majorBidi" w:cstheme="majorBidi"/>
        </w:rPr>
        <w:t xml:space="preserve"> (The Commission)</w:t>
      </w:r>
      <w:r w:rsidRPr="002B11A0">
        <w:rPr>
          <w:rFonts w:asciiTheme="majorBidi" w:hAnsiTheme="majorBidi" w:cstheme="majorBidi"/>
        </w:rPr>
        <w:t xml:space="preserve"> is undertaking a quality improvement</w:t>
      </w:r>
      <w:r>
        <w:rPr>
          <w:rFonts w:asciiTheme="majorBidi" w:hAnsiTheme="majorBidi" w:cstheme="majorBidi"/>
        </w:rPr>
        <w:t xml:space="preserve"> (QI)</w:t>
      </w:r>
      <w:r w:rsidRPr="002B11A0">
        <w:rPr>
          <w:rFonts w:asciiTheme="majorBidi" w:hAnsiTheme="majorBidi" w:cstheme="majorBidi"/>
        </w:rPr>
        <w:t xml:space="preserve"> project </w:t>
      </w:r>
      <w:r>
        <w:rPr>
          <w:rFonts w:asciiTheme="majorBidi" w:hAnsiTheme="majorBidi" w:cstheme="majorBidi"/>
        </w:rPr>
        <w:t>with the aim of</w:t>
      </w:r>
      <w:r w:rsidRPr="002B11A0">
        <w:rPr>
          <w:rFonts w:asciiTheme="majorBidi" w:hAnsiTheme="majorBidi" w:cstheme="majorBidi"/>
        </w:rPr>
        <w:t xml:space="preserve"> reduc</w:t>
      </w:r>
      <w:r>
        <w:rPr>
          <w:rFonts w:asciiTheme="majorBidi" w:hAnsiTheme="majorBidi" w:cstheme="majorBidi"/>
        </w:rPr>
        <w:t xml:space="preserve">ing </w:t>
      </w:r>
      <w:r w:rsidRPr="002B11A0">
        <w:rPr>
          <w:rFonts w:asciiTheme="majorBidi" w:hAnsiTheme="majorBidi" w:cstheme="majorBidi"/>
        </w:rPr>
        <w:t>harm</w:t>
      </w:r>
      <w:r>
        <w:rPr>
          <w:rFonts w:asciiTheme="majorBidi" w:hAnsiTheme="majorBidi" w:cstheme="majorBidi"/>
        </w:rPr>
        <w:t xml:space="preserve"> from the use of anticoagulants</w:t>
      </w:r>
      <w:r w:rsidRPr="002B11A0">
        <w:rPr>
          <w:rFonts w:asciiTheme="majorBidi" w:hAnsiTheme="majorBidi" w:cstheme="majorBidi"/>
        </w:rPr>
        <w:t>.</w:t>
      </w:r>
      <w:r>
        <w:rPr>
          <w:rFonts w:asciiTheme="majorBidi" w:hAnsiTheme="majorBidi" w:cstheme="majorBidi"/>
        </w:rPr>
        <w:t xml:space="preserve"> This report presents the findings of a commissioned review of hospital QI initiatives that aim to reduce anticoagulant-related harm. The aim was to identify academic literature, institutional guidance, and New Zealand QI initiatives including systems, processes, or practices, relevant to the safe use of anticoagulants.</w:t>
      </w:r>
    </w:p>
    <w:p w14:paraId="6D4B71D2" w14:textId="77777777" w:rsidR="00B85C9C" w:rsidRDefault="00B85C9C" w:rsidP="00AF3588">
      <w:pPr>
        <w:rPr>
          <w:rFonts w:asciiTheme="majorBidi" w:hAnsiTheme="majorBidi" w:cstheme="majorBidi"/>
        </w:rPr>
      </w:pPr>
    </w:p>
    <w:p w14:paraId="025A6BB8" w14:textId="77777777" w:rsidR="00B85C9C" w:rsidRDefault="00B85C9C" w:rsidP="00AF3588">
      <w:pPr>
        <w:rPr>
          <w:rFonts w:asciiTheme="majorBidi" w:hAnsiTheme="majorBidi" w:cstheme="majorBidi"/>
        </w:rPr>
      </w:pPr>
      <w:r>
        <w:rPr>
          <w:rFonts w:asciiTheme="majorBidi" w:hAnsiTheme="majorBidi" w:cstheme="majorBidi"/>
        </w:rPr>
        <w:t xml:space="preserve">Anticoagulation stewardship programmes were found to show promise for improving adherence to guidelines, more appropriate prescribing, improved institutional processes, with potential cost-savings, and possible trends towards reduction in adverse events. </w:t>
      </w:r>
    </w:p>
    <w:p w14:paraId="61E33102" w14:textId="77777777" w:rsidR="00B85C9C" w:rsidRDefault="00B85C9C" w:rsidP="00AF3588">
      <w:pPr>
        <w:rPr>
          <w:rFonts w:asciiTheme="majorBidi" w:hAnsiTheme="majorBidi" w:cstheme="majorBidi"/>
        </w:rPr>
      </w:pPr>
    </w:p>
    <w:p w14:paraId="63DBF849" w14:textId="77777777" w:rsidR="00B85C9C" w:rsidRDefault="00B85C9C" w:rsidP="00AF3588">
      <w:pPr>
        <w:rPr>
          <w:rFonts w:asciiTheme="majorBidi" w:hAnsiTheme="majorBidi" w:cstheme="majorBidi"/>
        </w:rPr>
      </w:pPr>
      <w:r>
        <w:rPr>
          <w:rFonts w:asciiTheme="majorBidi" w:hAnsiTheme="majorBidi" w:cstheme="majorBidi"/>
        </w:rPr>
        <w:t>Evidence indicates there are benefits of increasing pharmacist involvement in prescribing, review of prescriptions, management of anticoagulation, and education and counselling for patients taking anticoagulants.</w:t>
      </w:r>
    </w:p>
    <w:p w14:paraId="08D10235" w14:textId="77777777" w:rsidR="00B85C9C" w:rsidRDefault="00B85C9C" w:rsidP="00AF3588">
      <w:pPr>
        <w:rPr>
          <w:rFonts w:asciiTheme="majorBidi" w:hAnsiTheme="majorBidi" w:cstheme="majorBidi"/>
        </w:rPr>
      </w:pPr>
    </w:p>
    <w:p w14:paraId="554E5E21" w14:textId="14D6956C" w:rsidR="00B85C9C" w:rsidRDefault="00B85C9C" w:rsidP="00AF3588">
      <w:pPr>
        <w:rPr>
          <w:rFonts w:asciiTheme="majorBidi" w:hAnsiTheme="majorBidi" w:cstheme="majorBidi"/>
        </w:rPr>
      </w:pPr>
      <w:r>
        <w:rPr>
          <w:rFonts w:asciiTheme="majorBidi" w:hAnsiTheme="majorBidi" w:cstheme="majorBidi"/>
        </w:rPr>
        <w:t xml:space="preserve">Technological interventions such as electronic alerts have been associated with improved prescribing quality, and the use of app-based guidance or electronic </w:t>
      </w:r>
      <w:r w:rsidR="00AA56F6">
        <w:rPr>
          <w:rFonts w:asciiTheme="majorBidi" w:hAnsiTheme="majorBidi" w:cstheme="majorBidi"/>
        </w:rPr>
        <w:t>clinical decision support systems</w:t>
      </w:r>
      <w:r w:rsidR="008E39B9">
        <w:rPr>
          <w:rFonts w:asciiTheme="majorBidi" w:hAnsiTheme="majorBidi" w:cstheme="majorBidi"/>
        </w:rPr>
        <w:t xml:space="preserve"> (CDSS)</w:t>
      </w:r>
      <w:r>
        <w:rPr>
          <w:rFonts w:asciiTheme="majorBidi" w:hAnsiTheme="majorBidi" w:cstheme="majorBidi"/>
        </w:rPr>
        <w:t xml:space="preserve"> may be associated with fewer </w:t>
      </w:r>
      <w:r w:rsidR="008E39B9">
        <w:rPr>
          <w:rFonts w:asciiTheme="majorBidi" w:hAnsiTheme="majorBidi" w:cstheme="majorBidi"/>
        </w:rPr>
        <w:t>emergency department</w:t>
      </w:r>
      <w:r>
        <w:rPr>
          <w:rFonts w:asciiTheme="majorBidi" w:hAnsiTheme="majorBidi" w:cstheme="majorBidi"/>
        </w:rPr>
        <w:t xml:space="preserve"> visits or decreased </w:t>
      </w:r>
      <w:r w:rsidR="00AA56F6">
        <w:rPr>
          <w:rFonts w:asciiTheme="majorBidi" w:hAnsiTheme="majorBidi" w:cstheme="majorBidi"/>
        </w:rPr>
        <w:t>rates of venous thromboembolism</w:t>
      </w:r>
      <w:r>
        <w:rPr>
          <w:rFonts w:asciiTheme="majorBidi" w:hAnsiTheme="majorBidi" w:cstheme="majorBidi"/>
        </w:rPr>
        <w:t xml:space="preserve">, however the evidence is weak. </w:t>
      </w:r>
    </w:p>
    <w:p w14:paraId="3A7DFEA4" w14:textId="77777777" w:rsidR="00B85C9C" w:rsidRDefault="00B85C9C" w:rsidP="00AF3588">
      <w:pPr>
        <w:rPr>
          <w:rFonts w:asciiTheme="majorBidi" w:hAnsiTheme="majorBidi" w:cstheme="majorBidi"/>
        </w:rPr>
      </w:pPr>
    </w:p>
    <w:p w14:paraId="0E9EAD93" w14:textId="77777777" w:rsidR="00B85C9C" w:rsidRDefault="00B85C9C" w:rsidP="00AF3588">
      <w:pPr>
        <w:rPr>
          <w:rFonts w:asciiTheme="majorBidi" w:hAnsiTheme="majorBidi" w:cstheme="majorBidi"/>
        </w:rPr>
      </w:pPr>
      <w:r>
        <w:rPr>
          <w:rFonts w:asciiTheme="majorBidi" w:hAnsiTheme="majorBidi" w:cstheme="majorBidi"/>
        </w:rPr>
        <w:t xml:space="preserve">Institutional advice supports the use of anticoagulation stewardship, monitoring and evaluation and continuous quality improvement. </w:t>
      </w:r>
    </w:p>
    <w:p w14:paraId="7875ABA1" w14:textId="77777777" w:rsidR="00B85C9C" w:rsidRDefault="00B85C9C" w:rsidP="00AF3588">
      <w:pPr>
        <w:rPr>
          <w:rFonts w:asciiTheme="majorBidi" w:hAnsiTheme="majorBidi" w:cstheme="majorBidi"/>
        </w:rPr>
      </w:pPr>
    </w:p>
    <w:p w14:paraId="5546276A" w14:textId="77777777" w:rsidR="00B85C9C" w:rsidRDefault="00B85C9C" w:rsidP="00AF3588">
      <w:pPr>
        <w:rPr>
          <w:rFonts w:asciiTheme="majorBidi" w:hAnsiTheme="majorBidi" w:cstheme="majorBidi"/>
        </w:rPr>
      </w:pPr>
      <w:r>
        <w:rPr>
          <w:rFonts w:asciiTheme="majorBidi" w:hAnsiTheme="majorBidi" w:cstheme="majorBidi"/>
        </w:rPr>
        <w:t xml:space="preserve">In New Zealand, DHBs have implemented a range of ad hoc approaches to ensuring the safe use of anticoagulants. However, most of these approaches have not been audited, evaluated, or systematically deployed. One notable exception is a peri-procedural anticoagulation bridging service at Capital and Coast DHB. </w:t>
      </w:r>
    </w:p>
    <w:p w14:paraId="7F62E4F2" w14:textId="77777777" w:rsidR="00B85C9C" w:rsidRDefault="00B85C9C" w:rsidP="00AF3588">
      <w:pPr>
        <w:rPr>
          <w:rFonts w:asciiTheme="majorBidi" w:hAnsiTheme="majorBidi" w:cstheme="majorBidi"/>
        </w:rPr>
      </w:pPr>
    </w:p>
    <w:p w14:paraId="0FF61725" w14:textId="77777777" w:rsidR="00B85C9C" w:rsidRDefault="00B85C9C" w:rsidP="001517F5">
      <w:pPr>
        <w:rPr>
          <w:rFonts w:asciiTheme="majorBidi" w:hAnsiTheme="majorBidi" w:cstheme="majorBidi"/>
        </w:rPr>
      </w:pPr>
      <w:r>
        <w:rPr>
          <w:rFonts w:asciiTheme="majorBidi" w:hAnsiTheme="majorBidi" w:cstheme="majorBidi"/>
        </w:rPr>
        <w:t>Based on the evidence sourced, this report concludes that three areas of apparent utility stand out. These are:</w:t>
      </w:r>
    </w:p>
    <w:p w14:paraId="6EE2AA66" w14:textId="77777777" w:rsidR="00B85C9C" w:rsidRDefault="00B85C9C" w:rsidP="001517F5">
      <w:pPr>
        <w:rPr>
          <w:rFonts w:asciiTheme="majorBidi" w:hAnsiTheme="majorBidi" w:cstheme="majorBidi"/>
        </w:rPr>
      </w:pPr>
    </w:p>
    <w:p w14:paraId="08B00198" w14:textId="77777777" w:rsidR="00B85C9C" w:rsidRDefault="00B85C9C" w:rsidP="001517F5">
      <w:pPr>
        <w:pStyle w:val="ListParagraph"/>
        <w:numPr>
          <w:ilvl w:val="0"/>
          <w:numId w:val="27"/>
        </w:numPr>
        <w:rPr>
          <w:rFonts w:asciiTheme="majorBidi" w:hAnsiTheme="majorBidi" w:cstheme="majorBidi"/>
        </w:rPr>
      </w:pPr>
      <w:r>
        <w:rPr>
          <w:rFonts w:asciiTheme="majorBidi" w:hAnsiTheme="majorBidi" w:cstheme="majorBidi"/>
        </w:rPr>
        <w:t xml:space="preserve">Expanding the role of pharmacists </w:t>
      </w:r>
    </w:p>
    <w:p w14:paraId="6339E57B" w14:textId="77777777" w:rsidR="00B85C9C" w:rsidRDefault="00B85C9C" w:rsidP="001517F5">
      <w:pPr>
        <w:pStyle w:val="ListParagraph"/>
        <w:numPr>
          <w:ilvl w:val="0"/>
          <w:numId w:val="27"/>
        </w:numPr>
        <w:rPr>
          <w:rFonts w:asciiTheme="majorBidi" w:hAnsiTheme="majorBidi" w:cstheme="majorBidi"/>
        </w:rPr>
      </w:pPr>
      <w:r>
        <w:rPr>
          <w:rFonts w:asciiTheme="majorBidi" w:hAnsiTheme="majorBidi" w:cstheme="majorBidi"/>
        </w:rPr>
        <w:t>Anticoagulation stewardship programmes</w:t>
      </w:r>
    </w:p>
    <w:p w14:paraId="3F25818A" w14:textId="41260E09" w:rsidR="00B85C9C" w:rsidRDefault="00B85C9C" w:rsidP="001517F5">
      <w:pPr>
        <w:pStyle w:val="ListParagraph"/>
        <w:numPr>
          <w:ilvl w:val="0"/>
          <w:numId w:val="27"/>
        </w:numPr>
        <w:rPr>
          <w:rFonts w:asciiTheme="majorBidi" w:hAnsiTheme="majorBidi" w:cstheme="majorBidi"/>
        </w:rPr>
      </w:pPr>
      <w:r>
        <w:rPr>
          <w:rFonts w:asciiTheme="majorBidi" w:hAnsiTheme="majorBidi" w:cstheme="majorBidi"/>
        </w:rPr>
        <w:t xml:space="preserve">Improved use of the </w:t>
      </w:r>
      <w:r w:rsidR="008E39B9">
        <w:rPr>
          <w:rFonts w:asciiTheme="majorBidi" w:hAnsiTheme="majorBidi" w:cstheme="majorBidi"/>
        </w:rPr>
        <w:t>electronic health record</w:t>
      </w:r>
      <w:r>
        <w:rPr>
          <w:rFonts w:asciiTheme="majorBidi" w:hAnsiTheme="majorBidi" w:cstheme="majorBidi"/>
        </w:rPr>
        <w:t xml:space="preserve"> and CDSS to support the above and facilitate efficient audit and evaluation</w:t>
      </w:r>
    </w:p>
    <w:p w14:paraId="1CE76D84" w14:textId="77777777" w:rsidR="00B85C9C" w:rsidRDefault="00B85C9C" w:rsidP="00D83C11">
      <w:pPr>
        <w:rPr>
          <w:rFonts w:asciiTheme="majorBidi" w:hAnsiTheme="majorBidi" w:cstheme="majorBidi"/>
        </w:rPr>
      </w:pPr>
    </w:p>
    <w:p w14:paraId="2B30D0EA" w14:textId="437244AA" w:rsidR="00B85C9C" w:rsidRDefault="00B85C9C" w:rsidP="00AA56F6">
      <w:pPr>
        <w:rPr>
          <w:rFonts w:asciiTheme="majorBidi" w:hAnsiTheme="majorBidi" w:cstheme="majorBidi"/>
        </w:rPr>
      </w:pPr>
      <w:r>
        <w:rPr>
          <w:rFonts w:asciiTheme="majorBidi" w:hAnsiTheme="majorBidi" w:cstheme="majorBidi"/>
        </w:rPr>
        <w:t>The discussion that follows describes specific details of suggested evidence-based interventions, the core components of stewardship programmes, and links to case studies and step-by-step approaches, as well tools for organisational self-assessment guidance.</w:t>
      </w:r>
    </w:p>
    <w:p w14:paraId="0ACB73A8" w14:textId="77777777" w:rsidR="00B85C9C" w:rsidRPr="00B46928" w:rsidRDefault="00B85C9C">
      <w:pPr>
        <w:rPr>
          <w:rFonts w:asciiTheme="majorBidi" w:hAnsiTheme="majorBidi" w:cstheme="majorBidi"/>
        </w:rPr>
      </w:pPr>
      <w:r w:rsidRPr="00B46928">
        <w:rPr>
          <w:rFonts w:asciiTheme="majorBidi" w:hAnsiTheme="majorBidi" w:cstheme="majorBidi"/>
        </w:rPr>
        <w:br w:type="page"/>
      </w:r>
    </w:p>
    <w:p w14:paraId="3A20B4EB" w14:textId="77777777" w:rsidR="00B85C9C" w:rsidRPr="004A78D2" w:rsidRDefault="00B85C9C" w:rsidP="00C04448">
      <w:pPr>
        <w:pStyle w:val="Heading2"/>
        <w:rPr>
          <w:rFonts w:asciiTheme="majorBidi" w:hAnsiTheme="majorBidi"/>
          <w:lang w:val="en-NZ"/>
        </w:rPr>
      </w:pPr>
      <w:bookmarkStart w:id="9" w:name="_Toc105497780"/>
      <w:bookmarkStart w:id="10" w:name="_Toc106288209"/>
      <w:r w:rsidRPr="00B46928">
        <w:rPr>
          <w:rFonts w:asciiTheme="majorBidi" w:hAnsiTheme="majorBidi"/>
        </w:rPr>
        <w:t>Introduction and Aims</w:t>
      </w:r>
      <w:bookmarkEnd w:id="9"/>
      <w:bookmarkEnd w:id="10"/>
    </w:p>
    <w:p w14:paraId="13C980C1" w14:textId="77777777" w:rsidR="00B85C9C" w:rsidRDefault="00B85C9C" w:rsidP="00C04448">
      <w:pPr>
        <w:rPr>
          <w:rFonts w:asciiTheme="majorBidi" w:hAnsiTheme="majorBidi" w:cstheme="majorBidi"/>
        </w:rPr>
      </w:pPr>
    </w:p>
    <w:p w14:paraId="345D1660" w14:textId="3B07BB3D" w:rsidR="00B85C9C" w:rsidRDefault="00B85C9C" w:rsidP="00C04448">
      <w:pPr>
        <w:rPr>
          <w:rFonts w:asciiTheme="majorBidi" w:hAnsiTheme="majorBidi" w:cstheme="majorBidi"/>
        </w:rPr>
      </w:pPr>
      <w:r>
        <w:rPr>
          <w:rFonts w:asciiTheme="majorBidi" w:hAnsiTheme="majorBidi" w:cstheme="majorBidi"/>
        </w:rPr>
        <w:t xml:space="preserve">Anticoagulants include unfractionated and low molecular weight heparins (LMWH), vitamin K antagonists such as warfarin, as well as direct oral anticoagulants (DOACs). These medicines are commonly used by individuals with cardiac and vascular conditions. Uses include stroke prevention for those with atrial fibrillation (AF) and prosthetic heart valves, as well as to reduce the risk of venous thromboembolism (VTE) in those with pulmonary embolism (PE) or deep vein thrombosis (DVT). The use of anticoagulants in the inpatient setting is very common with up to 40 per cent of medical inpatients warranting VTE prophylaxis </w:t>
      </w:r>
      <w:r>
        <w:rPr>
          <w:rFonts w:asciiTheme="majorBidi" w:hAnsiTheme="majorBidi" w:cstheme="majorBidi"/>
          <w:noProof/>
        </w:rPr>
        <w:t>(Anticoagulation Forum 2019b)</w:t>
      </w:r>
      <w:r>
        <w:rPr>
          <w:rFonts w:asciiTheme="majorBidi" w:hAnsiTheme="majorBidi" w:cstheme="majorBidi"/>
        </w:rPr>
        <w:t>. Despite these benefits, anticoagulants are used less commonly than evidence-based practice guidelines recommend.</w:t>
      </w:r>
    </w:p>
    <w:p w14:paraId="7230256F" w14:textId="77777777" w:rsidR="00B85C9C" w:rsidRDefault="00B85C9C" w:rsidP="00C04448">
      <w:pPr>
        <w:rPr>
          <w:rFonts w:asciiTheme="majorBidi" w:hAnsiTheme="majorBidi" w:cstheme="majorBidi"/>
        </w:rPr>
      </w:pPr>
    </w:p>
    <w:p w14:paraId="3C18F4E2" w14:textId="77777777" w:rsidR="00B85C9C" w:rsidRDefault="00B85C9C" w:rsidP="004D2C74">
      <w:pPr>
        <w:rPr>
          <w:rFonts w:asciiTheme="majorBidi" w:hAnsiTheme="majorBidi" w:cstheme="majorBidi"/>
        </w:rPr>
      </w:pPr>
      <w:r>
        <w:rPr>
          <w:rFonts w:asciiTheme="majorBidi" w:hAnsiTheme="majorBidi" w:cstheme="majorBidi"/>
        </w:rPr>
        <w:t>However, the use of anticoagulants is also associated with risks. There is an elevated risk of bleeding, and this can be exacerbated by patient factors such as poor renal function, or other factors such as drug-drug interactions. Despite these risks the use of anticoagulants does not always adhere to guideline recommended cautions.</w:t>
      </w:r>
    </w:p>
    <w:p w14:paraId="247748C3" w14:textId="77777777" w:rsidR="00B85C9C" w:rsidRDefault="00B85C9C" w:rsidP="004D2C74">
      <w:pPr>
        <w:rPr>
          <w:rFonts w:asciiTheme="majorBidi" w:hAnsiTheme="majorBidi" w:cstheme="majorBidi"/>
        </w:rPr>
      </w:pPr>
    </w:p>
    <w:p w14:paraId="0F2F1F55" w14:textId="4658C2FE" w:rsidR="00B85C9C" w:rsidRDefault="00B85C9C" w:rsidP="008B1DFC">
      <w:pPr>
        <w:rPr>
          <w:rFonts w:asciiTheme="majorBidi" w:hAnsiTheme="majorBidi" w:cstheme="majorBidi"/>
        </w:rPr>
      </w:pPr>
      <w:r>
        <w:rPr>
          <w:rFonts w:asciiTheme="majorBidi" w:hAnsiTheme="majorBidi" w:cstheme="majorBidi"/>
        </w:rPr>
        <w:t>Evidence has described under and over-utilisation of anticoagulants, inappropriate prescribing, inappropriate laboratory testing and diagnostics, suboptimal management of adverse drug reactions (ADEs), suboptimal care transitions, and excessive adverse event rates including bleeding and thrombosis. In New Zealand, c</w:t>
      </w:r>
      <w:r w:rsidRPr="0086032E">
        <w:rPr>
          <w:rFonts w:asciiTheme="majorBidi" w:hAnsiTheme="majorBidi" w:cstheme="majorBidi"/>
        </w:rPr>
        <w:t xml:space="preserve">ommon errors </w:t>
      </w:r>
      <w:r>
        <w:rPr>
          <w:rFonts w:asciiTheme="majorBidi" w:hAnsiTheme="majorBidi" w:cstheme="majorBidi"/>
        </w:rPr>
        <w:t xml:space="preserve">in the prescribing of anticoagulants </w:t>
      </w:r>
      <w:r w:rsidRPr="0086032E">
        <w:rPr>
          <w:rFonts w:asciiTheme="majorBidi" w:hAnsiTheme="majorBidi" w:cstheme="majorBidi"/>
        </w:rPr>
        <w:t>include medication interactions, incorrect dosing and timing around dosing, patients not being monitored, and prescribers not taking</w:t>
      </w:r>
      <w:r>
        <w:rPr>
          <w:rFonts w:asciiTheme="majorBidi" w:hAnsiTheme="majorBidi" w:cstheme="majorBidi"/>
        </w:rPr>
        <w:t xml:space="preserve"> renal function</w:t>
      </w:r>
      <w:r w:rsidRPr="0086032E">
        <w:rPr>
          <w:rFonts w:asciiTheme="majorBidi" w:hAnsiTheme="majorBidi" w:cstheme="majorBidi"/>
        </w:rPr>
        <w:t xml:space="preserve"> into account </w:t>
      </w:r>
      <w:r>
        <w:rPr>
          <w:rFonts w:asciiTheme="majorBidi" w:hAnsiTheme="majorBidi" w:cstheme="majorBidi"/>
          <w:noProof/>
        </w:rPr>
        <w:t xml:space="preserve">(Savage </w:t>
      </w:r>
      <w:r w:rsidR="00910D88">
        <w:rPr>
          <w:rFonts w:asciiTheme="majorBidi" w:hAnsiTheme="majorBidi" w:cstheme="majorBidi"/>
          <w:noProof/>
        </w:rPr>
        <w:t>and</w:t>
      </w:r>
      <w:r>
        <w:rPr>
          <w:rFonts w:asciiTheme="majorBidi" w:hAnsiTheme="majorBidi" w:cstheme="majorBidi"/>
          <w:noProof/>
        </w:rPr>
        <w:t xml:space="preserve"> Kunac 2016)</w:t>
      </w:r>
      <w:r>
        <w:rPr>
          <w:rFonts w:asciiTheme="majorBidi" w:hAnsiTheme="majorBidi" w:cstheme="majorBidi"/>
        </w:rPr>
        <w:t>.</w:t>
      </w:r>
    </w:p>
    <w:p w14:paraId="1DD1C617" w14:textId="77777777" w:rsidR="00B85C9C" w:rsidRDefault="00B85C9C" w:rsidP="004D2C74">
      <w:pPr>
        <w:rPr>
          <w:rFonts w:asciiTheme="majorBidi" w:hAnsiTheme="majorBidi" w:cstheme="majorBidi"/>
        </w:rPr>
      </w:pPr>
    </w:p>
    <w:p w14:paraId="13A91B67" w14:textId="7259859F" w:rsidR="00B85C9C" w:rsidRDefault="00B85C9C" w:rsidP="00C04448">
      <w:pPr>
        <w:rPr>
          <w:rFonts w:asciiTheme="majorBidi" w:hAnsiTheme="majorBidi" w:cstheme="majorBidi"/>
        </w:rPr>
      </w:pPr>
      <w:r>
        <w:rPr>
          <w:rFonts w:asciiTheme="majorBidi" w:hAnsiTheme="majorBidi" w:cstheme="majorBidi"/>
        </w:rPr>
        <w:t xml:space="preserve">Analysis of anticoagulation-related adverse events has shown that prescribers’ active errors rather than latent system factors are often a root cause of DOAC-related incidents. This may reflect lack of awareness of guidelines, or insufficient prescriber education, and may suggest avenues for quality improvement, such as increasing the role of pharmacists </w:t>
      </w:r>
      <w:r>
        <w:rPr>
          <w:rFonts w:asciiTheme="majorBidi" w:hAnsiTheme="majorBidi" w:cstheme="majorBidi"/>
          <w:noProof/>
        </w:rPr>
        <w:t xml:space="preserve">(Haque </w:t>
      </w:r>
      <w:r w:rsidR="00AA56F6">
        <w:rPr>
          <w:rFonts w:asciiTheme="majorBidi" w:hAnsiTheme="majorBidi" w:cstheme="majorBidi"/>
          <w:noProof/>
        </w:rPr>
        <w:t xml:space="preserve">et al </w:t>
      </w:r>
      <w:r>
        <w:rPr>
          <w:rFonts w:asciiTheme="majorBidi" w:hAnsiTheme="majorBidi" w:cstheme="majorBidi"/>
          <w:noProof/>
        </w:rPr>
        <w:t>2021)</w:t>
      </w:r>
      <w:r>
        <w:rPr>
          <w:rFonts w:asciiTheme="majorBidi" w:hAnsiTheme="majorBidi" w:cstheme="majorBidi"/>
        </w:rPr>
        <w:t>. As many as</w:t>
      </w:r>
      <w:r w:rsidRPr="0086032E">
        <w:rPr>
          <w:rFonts w:asciiTheme="majorBidi" w:hAnsiTheme="majorBidi" w:cstheme="majorBidi" w:hint="eastAsia"/>
        </w:rPr>
        <w:t xml:space="preserve"> one in six DOAC prescriptions </w:t>
      </w:r>
      <w:r>
        <w:rPr>
          <w:rFonts w:asciiTheme="majorBidi" w:hAnsiTheme="majorBidi" w:cstheme="majorBidi"/>
        </w:rPr>
        <w:t xml:space="preserve">do not follow guideline </w:t>
      </w:r>
      <w:r w:rsidRPr="0086032E">
        <w:rPr>
          <w:rFonts w:asciiTheme="majorBidi" w:hAnsiTheme="majorBidi" w:cstheme="majorBidi" w:hint="eastAsia"/>
        </w:rPr>
        <w:t>recommend</w:t>
      </w:r>
      <w:r>
        <w:rPr>
          <w:rFonts w:asciiTheme="majorBidi" w:hAnsiTheme="majorBidi" w:cstheme="majorBidi"/>
        </w:rPr>
        <w:t xml:space="preserve">ations </w:t>
      </w:r>
      <w:r>
        <w:rPr>
          <w:rFonts w:asciiTheme="majorBidi" w:hAnsiTheme="majorBidi" w:cstheme="majorBidi"/>
          <w:noProof/>
        </w:rPr>
        <w:t xml:space="preserve">(Vazquez </w:t>
      </w:r>
      <w:r w:rsidR="00910D88">
        <w:rPr>
          <w:rFonts w:asciiTheme="majorBidi" w:hAnsiTheme="majorBidi" w:cstheme="majorBidi"/>
          <w:noProof/>
        </w:rPr>
        <w:t>and</w:t>
      </w:r>
      <w:r>
        <w:rPr>
          <w:rFonts w:asciiTheme="majorBidi" w:hAnsiTheme="majorBidi" w:cstheme="majorBidi"/>
          <w:noProof/>
        </w:rPr>
        <w:t xml:space="preserve"> Barnes 2022)</w:t>
      </w:r>
      <w:r>
        <w:rPr>
          <w:rFonts w:asciiTheme="majorBidi" w:hAnsiTheme="majorBidi" w:cstheme="majorBidi"/>
        </w:rPr>
        <w:t>.</w:t>
      </w:r>
    </w:p>
    <w:p w14:paraId="598CF6FD" w14:textId="77777777" w:rsidR="00B85C9C" w:rsidRDefault="00B85C9C" w:rsidP="00C04448">
      <w:pPr>
        <w:rPr>
          <w:rFonts w:asciiTheme="majorBidi" w:hAnsiTheme="majorBidi" w:cstheme="majorBidi"/>
        </w:rPr>
      </w:pPr>
    </w:p>
    <w:p w14:paraId="0FEC2713" w14:textId="641130B6" w:rsidR="00B85C9C" w:rsidRDefault="00B85C9C" w:rsidP="002B11A0">
      <w:pPr>
        <w:rPr>
          <w:rFonts w:asciiTheme="majorBidi" w:hAnsiTheme="majorBidi" w:cstheme="majorBidi"/>
        </w:rPr>
      </w:pPr>
      <w:r>
        <w:rPr>
          <w:rFonts w:asciiTheme="majorBidi" w:hAnsiTheme="majorBidi" w:cstheme="majorBidi"/>
        </w:rPr>
        <w:t xml:space="preserve">The situation is complicated by the fact that recent years have seen the introduction of the new direct oral anticoagulants. These DOACs require less monitoring but remain very high-risk medications </w:t>
      </w:r>
      <w:r>
        <w:rPr>
          <w:rFonts w:asciiTheme="majorBidi" w:hAnsiTheme="majorBidi" w:cstheme="majorBidi"/>
          <w:noProof/>
        </w:rPr>
        <w:t xml:space="preserve">(Frazer </w:t>
      </w:r>
      <w:r w:rsidR="00AA56F6">
        <w:rPr>
          <w:rFonts w:asciiTheme="majorBidi" w:hAnsiTheme="majorBidi" w:cstheme="majorBidi"/>
          <w:noProof/>
        </w:rPr>
        <w:t xml:space="preserve">et al </w:t>
      </w:r>
      <w:r>
        <w:rPr>
          <w:rFonts w:asciiTheme="majorBidi" w:hAnsiTheme="majorBidi" w:cstheme="majorBidi"/>
          <w:noProof/>
        </w:rPr>
        <w:t>2019)</w:t>
      </w:r>
      <w:r>
        <w:rPr>
          <w:rFonts w:asciiTheme="majorBidi" w:hAnsiTheme="majorBidi" w:cstheme="majorBidi"/>
        </w:rPr>
        <w:t xml:space="preserve">. The DOACs require different dosing regimens, have different indications for use, along with expanding indications for anticoagulation use, new specific reversal agents, and the fact that many people taking anticoagulants need to undergo invasive procedures requiring an interruption to anticoagulation. There are few hospital anticoagulation monitoring services </w:t>
      </w:r>
      <w:r>
        <w:rPr>
          <w:rFonts w:asciiTheme="majorBidi" w:hAnsiTheme="majorBidi" w:cstheme="majorBidi"/>
          <w:noProof/>
        </w:rPr>
        <w:t>(Ahuja, Raco, Papadopoulos</w:t>
      </w:r>
      <w:r w:rsidR="00910D88">
        <w:rPr>
          <w:rFonts w:asciiTheme="majorBidi" w:hAnsiTheme="majorBidi" w:cstheme="majorBidi"/>
          <w:noProof/>
        </w:rPr>
        <w:t xml:space="preserve">, and </w:t>
      </w:r>
      <w:r>
        <w:rPr>
          <w:rFonts w:asciiTheme="majorBidi" w:hAnsiTheme="majorBidi" w:cstheme="majorBidi"/>
          <w:noProof/>
        </w:rPr>
        <w:t>Green</w:t>
      </w:r>
      <w:r w:rsidR="00910D88">
        <w:rPr>
          <w:rFonts w:asciiTheme="majorBidi" w:hAnsiTheme="majorBidi" w:cstheme="majorBidi"/>
          <w:noProof/>
        </w:rPr>
        <w:t xml:space="preserve"> </w:t>
      </w:r>
      <w:r>
        <w:rPr>
          <w:rFonts w:asciiTheme="majorBidi" w:hAnsiTheme="majorBidi" w:cstheme="majorBidi"/>
          <w:noProof/>
        </w:rPr>
        <w:t>2021)</w:t>
      </w:r>
      <w:r>
        <w:rPr>
          <w:rFonts w:asciiTheme="majorBidi" w:hAnsiTheme="majorBidi" w:cstheme="majorBidi"/>
        </w:rPr>
        <w:t xml:space="preserve">, and although some jurisdictions have community anticoagulation monitoring services, these don’t always include the DOACs </w:t>
      </w:r>
      <w:r>
        <w:rPr>
          <w:rFonts w:asciiTheme="majorBidi" w:hAnsiTheme="majorBidi" w:cstheme="majorBidi"/>
          <w:noProof/>
        </w:rPr>
        <w:t xml:space="preserve">(Sylvester </w:t>
      </w:r>
      <w:r w:rsidR="00AA56F6">
        <w:rPr>
          <w:rFonts w:asciiTheme="majorBidi" w:hAnsiTheme="majorBidi" w:cstheme="majorBidi"/>
          <w:noProof/>
        </w:rPr>
        <w:t xml:space="preserve">et al </w:t>
      </w:r>
      <w:r>
        <w:rPr>
          <w:rFonts w:asciiTheme="majorBidi" w:hAnsiTheme="majorBidi" w:cstheme="majorBidi"/>
          <w:noProof/>
        </w:rPr>
        <w:t>2018)</w:t>
      </w:r>
      <w:r>
        <w:rPr>
          <w:rFonts w:asciiTheme="majorBidi" w:hAnsiTheme="majorBidi" w:cstheme="majorBidi"/>
        </w:rPr>
        <w:t xml:space="preserve">, although it has been argued that they should </w:t>
      </w:r>
      <w:r>
        <w:rPr>
          <w:rFonts w:asciiTheme="majorBidi" w:hAnsiTheme="majorBidi" w:cstheme="majorBidi"/>
          <w:noProof/>
        </w:rPr>
        <w:t>(Clark</w:t>
      </w:r>
      <w:r w:rsidR="00910D88">
        <w:rPr>
          <w:rFonts w:asciiTheme="majorBidi" w:hAnsiTheme="majorBidi" w:cstheme="majorBidi"/>
          <w:noProof/>
        </w:rPr>
        <w:t xml:space="preserve"> </w:t>
      </w:r>
      <w:r>
        <w:rPr>
          <w:rFonts w:asciiTheme="majorBidi" w:hAnsiTheme="majorBidi" w:cstheme="majorBidi"/>
          <w:noProof/>
        </w:rPr>
        <w:t>2018)</w:t>
      </w:r>
      <w:r>
        <w:rPr>
          <w:rFonts w:asciiTheme="majorBidi" w:hAnsiTheme="majorBidi" w:cstheme="majorBidi"/>
        </w:rPr>
        <w:t>.</w:t>
      </w:r>
    </w:p>
    <w:p w14:paraId="71A3AB3D" w14:textId="77777777" w:rsidR="00B85C9C" w:rsidRDefault="00B85C9C" w:rsidP="00C04448">
      <w:pPr>
        <w:rPr>
          <w:rFonts w:asciiTheme="majorBidi" w:hAnsiTheme="majorBidi" w:cstheme="majorBidi"/>
        </w:rPr>
      </w:pPr>
    </w:p>
    <w:p w14:paraId="2EED2ADD" w14:textId="5F41591E" w:rsidR="00B85C9C" w:rsidRDefault="00B85C9C" w:rsidP="000D54F7">
      <w:pPr>
        <w:rPr>
          <w:rFonts w:asciiTheme="majorBidi" w:hAnsiTheme="majorBidi" w:cstheme="majorBidi"/>
        </w:rPr>
      </w:pPr>
      <w:r>
        <w:rPr>
          <w:rFonts w:asciiTheme="majorBidi" w:hAnsiTheme="majorBidi" w:cstheme="majorBidi"/>
        </w:rPr>
        <w:t>T</w:t>
      </w:r>
      <w:r w:rsidRPr="002B11A0">
        <w:rPr>
          <w:rFonts w:asciiTheme="majorBidi" w:hAnsiTheme="majorBidi" w:cstheme="majorBidi"/>
        </w:rPr>
        <w:t xml:space="preserve">he Health Quality </w:t>
      </w:r>
      <w:r w:rsidR="007C737A">
        <w:rPr>
          <w:rFonts w:asciiTheme="majorBidi" w:hAnsiTheme="majorBidi" w:cstheme="majorBidi"/>
        </w:rPr>
        <w:t>&amp;</w:t>
      </w:r>
      <w:r w:rsidR="007C737A" w:rsidRPr="002B11A0">
        <w:rPr>
          <w:rFonts w:asciiTheme="majorBidi" w:hAnsiTheme="majorBidi" w:cstheme="majorBidi"/>
        </w:rPr>
        <w:t xml:space="preserve"> </w:t>
      </w:r>
      <w:r w:rsidRPr="002B11A0">
        <w:rPr>
          <w:rFonts w:asciiTheme="majorBidi" w:hAnsiTheme="majorBidi" w:cstheme="majorBidi"/>
        </w:rPr>
        <w:t>Safety Commission</w:t>
      </w:r>
      <w:r>
        <w:rPr>
          <w:rFonts w:asciiTheme="majorBidi" w:hAnsiTheme="majorBidi" w:cstheme="majorBidi"/>
        </w:rPr>
        <w:t xml:space="preserve"> (The Commission)</w:t>
      </w:r>
      <w:r w:rsidRPr="002B11A0">
        <w:rPr>
          <w:rFonts w:asciiTheme="majorBidi" w:hAnsiTheme="majorBidi" w:cstheme="majorBidi"/>
        </w:rPr>
        <w:t xml:space="preserve"> is undertaking a quality improvement</w:t>
      </w:r>
      <w:r>
        <w:rPr>
          <w:rFonts w:asciiTheme="majorBidi" w:hAnsiTheme="majorBidi" w:cstheme="majorBidi"/>
        </w:rPr>
        <w:t xml:space="preserve"> (QI)</w:t>
      </w:r>
      <w:r w:rsidRPr="002B11A0">
        <w:rPr>
          <w:rFonts w:asciiTheme="majorBidi" w:hAnsiTheme="majorBidi" w:cstheme="majorBidi"/>
        </w:rPr>
        <w:t xml:space="preserve"> project </w:t>
      </w:r>
      <w:r>
        <w:rPr>
          <w:rFonts w:asciiTheme="majorBidi" w:hAnsiTheme="majorBidi" w:cstheme="majorBidi"/>
        </w:rPr>
        <w:t>with the aim of</w:t>
      </w:r>
      <w:r w:rsidRPr="002B11A0">
        <w:rPr>
          <w:rFonts w:asciiTheme="majorBidi" w:hAnsiTheme="majorBidi" w:cstheme="majorBidi"/>
        </w:rPr>
        <w:t xml:space="preserve"> reduc</w:t>
      </w:r>
      <w:r>
        <w:rPr>
          <w:rFonts w:asciiTheme="majorBidi" w:hAnsiTheme="majorBidi" w:cstheme="majorBidi"/>
        </w:rPr>
        <w:t xml:space="preserve">ing </w:t>
      </w:r>
      <w:r w:rsidRPr="002B11A0">
        <w:rPr>
          <w:rFonts w:asciiTheme="majorBidi" w:hAnsiTheme="majorBidi" w:cstheme="majorBidi"/>
        </w:rPr>
        <w:t>harm</w:t>
      </w:r>
      <w:r>
        <w:rPr>
          <w:rFonts w:asciiTheme="majorBidi" w:hAnsiTheme="majorBidi" w:cstheme="majorBidi"/>
        </w:rPr>
        <w:t xml:space="preserve"> from the use of anticoagulants</w:t>
      </w:r>
      <w:r w:rsidRPr="002B11A0">
        <w:rPr>
          <w:rFonts w:asciiTheme="majorBidi" w:hAnsiTheme="majorBidi" w:cstheme="majorBidi"/>
        </w:rPr>
        <w:t>.</w:t>
      </w:r>
      <w:r>
        <w:rPr>
          <w:rFonts w:asciiTheme="majorBidi" w:hAnsiTheme="majorBidi" w:cstheme="majorBidi"/>
        </w:rPr>
        <w:t xml:space="preserve"> </w:t>
      </w:r>
      <w:r w:rsidRPr="000946B1">
        <w:rPr>
          <w:rFonts w:asciiTheme="majorBidi" w:hAnsiTheme="majorBidi" w:cstheme="majorBidi"/>
        </w:rPr>
        <w:t>The Commission worked with the sector to identify a specific area for focus. The Commission has also identified (by survey of the DHB Quality and Risk leads) several projects across N</w:t>
      </w:r>
      <w:r>
        <w:rPr>
          <w:rFonts w:asciiTheme="majorBidi" w:hAnsiTheme="majorBidi" w:cstheme="majorBidi"/>
        </w:rPr>
        <w:t>ew Zealand</w:t>
      </w:r>
      <w:r w:rsidRPr="000946B1">
        <w:rPr>
          <w:rFonts w:asciiTheme="majorBidi" w:hAnsiTheme="majorBidi" w:cstheme="majorBidi"/>
        </w:rPr>
        <w:t xml:space="preserve"> relevant to this </w:t>
      </w:r>
      <w:r>
        <w:rPr>
          <w:rFonts w:asciiTheme="majorBidi" w:hAnsiTheme="majorBidi" w:cstheme="majorBidi"/>
        </w:rPr>
        <w:t>aim</w:t>
      </w:r>
      <w:r w:rsidRPr="000946B1">
        <w:rPr>
          <w:rFonts w:asciiTheme="majorBidi" w:hAnsiTheme="majorBidi" w:cstheme="majorBidi"/>
        </w:rPr>
        <w:t>.</w:t>
      </w:r>
      <w:r>
        <w:rPr>
          <w:rFonts w:asciiTheme="majorBidi" w:hAnsiTheme="majorBidi" w:cstheme="majorBidi"/>
        </w:rPr>
        <w:t xml:space="preserve"> The present work seeks to</w:t>
      </w:r>
      <w:r w:rsidRPr="000946B1">
        <w:rPr>
          <w:rFonts w:asciiTheme="majorBidi" w:hAnsiTheme="majorBidi" w:cstheme="majorBidi"/>
        </w:rPr>
        <w:t xml:space="preserve"> identify national and international work </w:t>
      </w:r>
      <w:r>
        <w:rPr>
          <w:rFonts w:asciiTheme="majorBidi" w:hAnsiTheme="majorBidi" w:cstheme="majorBidi"/>
        </w:rPr>
        <w:t xml:space="preserve">on </w:t>
      </w:r>
      <w:r w:rsidRPr="000946B1">
        <w:rPr>
          <w:rFonts w:asciiTheme="majorBidi" w:hAnsiTheme="majorBidi" w:cstheme="majorBidi"/>
        </w:rPr>
        <w:t>QI to reduce anticoagulant harm and to understand the efficacy of different approaches and interventions</w:t>
      </w:r>
      <w:r>
        <w:rPr>
          <w:rFonts w:asciiTheme="majorBidi" w:hAnsiTheme="majorBidi" w:cstheme="majorBidi"/>
        </w:rPr>
        <w:t>.</w:t>
      </w:r>
    </w:p>
    <w:p w14:paraId="5B9222BF" w14:textId="77777777" w:rsidR="00B85C9C" w:rsidRPr="00B46928" w:rsidRDefault="00B85C9C" w:rsidP="000D54F7">
      <w:pPr>
        <w:rPr>
          <w:rFonts w:asciiTheme="majorBidi" w:hAnsiTheme="majorBidi" w:cstheme="majorBidi"/>
        </w:rPr>
      </w:pPr>
    </w:p>
    <w:p w14:paraId="104BD7A6" w14:textId="77777777" w:rsidR="00B85C9C" w:rsidRPr="00B80554" w:rsidRDefault="00B85C9C" w:rsidP="00131C8A">
      <w:pPr>
        <w:pStyle w:val="Heading3"/>
      </w:pPr>
      <w:r w:rsidRPr="00B80554">
        <w:t>Aim and Scope</w:t>
      </w:r>
    </w:p>
    <w:p w14:paraId="489CC21D" w14:textId="77777777" w:rsidR="00B85C9C" w:rsidRDefault="00B85C9C">
      <w:pPr>
        <w:rPr>
          <w:rFonts w:asciiTheme="majorBidi" w:hAnsiTheme="majorBidi" w:cstheme="majorBidi"/>
        </w:rPr>
      </w:pPr>
    </w:p>
    <w:p w14:paraId="40CF9EF6" w14:textId="14553401" w:rsidR="00B85C9C" w:rsidRDefault="00B85C9C">
      <w:pPr>
        <w:rPr>
          <w:rFonts w:asciiTheme="majorBidi" w:hAnsiTheme="majorBidi" w:cstheme="majorBidi"/>
        </w:rPr>
      </w:pPr>
      <w:r>
        <w:rPr>
          <w:rFonts w:asciiTheme="majorBidi" w:hAnsiTheme="majorBidi" w:cstheme="majorBidi"/>
        </w:rPr>
        <w:t xml:space="preserve">The aim of the following review was to identify academic literature, institutional guidance, and New Zealand QI initiatives including systems, processes, or practices, relevant to the safe use of anticoagulants. The focus was on evidence since 2015, in a public hospital setting, where there has been a change or adjustment in anticoagulants, including reversal of anticoagulation, treatment planning, procedure or surgery postponement, and at discharge. The focus was adult consumers and identified QI should be able to be applied nationally. Anticoagulants of interest included the use of LMWHs, unfractionated heparin, vitamin K antagonists, and DOACs. </w:t>
      </w:r>
    </w:p>
    <w:p w14:paraId="6FDBAFE8" w14:textId="77777777" w:rsidR="004B1D39" w:rsidRPr="00B46928" w:rsidRDefault="004B1D39">
      <w:pPr>
        <w:rPr>
          <w:rFonts w:asciiTheme="majorBidi" w:hAnsiTheme="majorBidi" w:cstheme="majorBidi"/>
        </w:rPr>
      </w:pPr>
    </w:p>
    <w:p w14:paraId="781227B1" w14:textId="77777777" w:rsidR="00B85C9C" w:rsidRPr="00B46928" w:rsidRDefault="00B85C9C" w:rsidP="00C04448">
      <w:pPr>
        <w:pStyle w:val="Heading2"/>
        <w:rPr>
          <w:rFonts w:asciiTheme="majorBidi" w:hAnsiTheme="majorBidi"/>
        </w:rPr>
      </w:pPr>
      <w:bookmarkStart w:id="11" w:name="_Toc105497781"/>
      <w:bookmarkStart w:id="12" w:name="_Toc106288210"/>
      <w:r w:rsidRPr="00B46928">
        <w:rPr>
          <w:rFonts w:asciiTheme="majorBidi" w:hAnsiTheme="majorBidi"/>
        </w:rPr>
        <w:t>Methods</w:t>
      </w:r>
      <w:bookmarkEnd w:id="11"/>
      <w:bookmarkEnd w:id="12"/>
    </w:p>
    <w:p w14:paraId="6B89B9D1" w14:textId="77777777" w:rsidR="00B85C9C" w:rsidRPr="00E55096" w:rsidRDefault="00B85C9C" w:rsidP="00E55096">
      <w:pPr>
        <w:rPr>
          <w:rFonts w:asciiTheme="majorBidi" w:hAnsiTheme="majorBidi" w:cstheme="majorBidi"/>
        </w:rPr>
      </w:pPr>
    </w:p>
    <w:p w14:paraId="1DAA8555" w14:textId="77777777" w:rsidR="00B85C9C" w:rsidRPr="00E55096" w:rsidRDefault="00B85C9C" w:rsidP="00E55096">
      <w:pPr>
        <w:rPr>
          <w:rFonts w:asciiTheme="majorBidi" w:hAnsiTheme="majorBidi" w:cstheme="majorBidi"/>
        </w:rPr>
      </w:pPr>
      <w:r>
        <w:rPr>
          <w:rFonts w:asciiTheme="majorBidi" w:hAnsiTheme="majorBidi" w:cstheme="majorBidi"/>
        </w:rPr>
        <w:t>The literature scan</w:t>
      </w:r>
      <w:r w:rsidRPr="00E55096">
        <w:rPr>
          <w:rFonts w:asciiTheme="majorBidi" w:hAnsiTheme="majorBidi" w:cstheme="majorBidi"/>
        </w:rPr>
        <w:t xml:space="preserve"> consisted of a non-systematic, time-limited search. The search co</w:t>
      </w:r>
      <w:r>
        <w:rPr>
          <w:rFonts w:asciiTheme="majorBidi" w:hAnsiTheme="majorBidi" w:cstheme="majorBidi"/>
        </w:rPr>
        <w:t>mprised</w:t>
      </w:r>
      <w:r w:rsidRPr="00E55096">
        <w:rPr>
          <w:rFonts w:asciiTheme="majorBidi" w:hAnsiTheme="majorBidi" w:cstheme="majorBidi"/>
        </w:rPr>
        <w:t xml:space="preserve"> three parts (1) a review of the academic literature since 2015, (2) a review of advice published by international institutions, (3) a survey of activities occurring at DHBs around New Zealand. </w:t>
      </w:r>
    </w:p>
    <w:p w14:paraId="31C9D1D7" w14:textId="77777777" w:rsidR="00B85C9C" w:rsidRPr="00E55096" w:rsidRDefault="00B85C9C" w:rsidP="00E55096">
      <w:pPr>
        <w:rPr>
          <w:rFonts w:asciiTheme="majorBidi" w:hAnsiTheme="majorBidi" w:cstheme="majorBidi"/>
        </w:rPr>
      </w:pPr>
    </w:p>
    <w:p w14:paraId="2683F548" w14:textId="77777777" w:rsidR="00B85C9C" w:rsidRPr="00B80554" w:rsidRDefault="00B85C9C" w:rsidP="00131C8A">
      <w:pPr>
        <w:pStyle w:val="Heading3"/>
      </w:pPr>
      <w:r w:rsidRPr="00B80554">
        <w:t>Academic Literature Review</w:t>
      </w:r>
    </w:p>
    <w:p w14:paraId="2F658C45" w14:textId="77777777" w:rsidR="00B85C9C" w:rsidRPr="00E55096" w:rsidRDefault="00B85C9C" w:rsidP="00E55096">
      <w:pPr>
        <w:rPr>
          <w:rFonts w:asciiTheme="majorBidi" w:hAnsiTheme="majorBidi" w:cstheme="majorBidi"/>
        </w:rPr>
      </w:pPr>
    </w:p>
    <w:p w14:paraId="65C306FC" w14:textId="77777777" w:rsidR="00B85C9C" w:rsidRDefault="00B85C9C" w:rsidP="00314125">
      <w:pPr>
        <w:rPr>
          <w:rFonts w:asciiTheme="majorBidi" w:hAnsiTheme="majorBidi" w:cstheme="majorBidi"/>
        </w:rPr>
      </w:pPr>
      <w:r w:rsidRPr="00E55096">
        <w:rPr>
          <w:rFonts w:asciiTheme="majorBidi" w:hAnsiTheme="majorBidi" w:cstheme="majorBidi"/>
        </w:rPr>
        <w:t xml:space="preserve">The Ministry of Health conducted a literature search in </w:t>
      </w:r>
      <w:r>
        <w:rPr>
          <w:rFonts w:asciiTheme="majorBidi" w:hAnsiTheme="majorBidi" w:cstheme="majorBidi"/>
        </w:rPr>
        <w:t xml:space="preserve">December </w:t>
      </w:r>
      <w:r w:rsidRPr="00E55096">
        <w:rPr>
          <w:rFonts w:asciiTheme="majorBidi" w:hAnsiTheme="majorBidi" w:cstheme="majorBidi"/>
        </w:rPr>
        <w:t>2021 on, ‘Quality improvement activities to reduce harm from anticoagulant/antiplatelets’ (see Appendix</w:t>
      </w:r>
      <w:r>
        <w:rPr>
          <w:rFonts w:asciiTheme="majorBidi" w:hAnsiTheme="majorBidi" w:cstheme="majorBidi"/>
        </w:rPr>
        <w:t xml:space="preserve"> B</w:t>
      </w:r>
      <w:r w:rsidRPr="00E55096">
        <w:rPr>
          <w:rFonts w:asciiTheme="majorBidi" w:hAnsiTheme="majorBidi" w:cstheme="majorBidi"/>
        </w:rPr>
        <w:t xml:space="preserve"> for </w:t>
      </w:r>
      <w:r>
        <w:rPr>
          <w:rFonts w:asciiTheme="majorBidi" w:hAnsiTheme="majorBidi" w:cstheme="majorBidi"/>
        </w:rPr>
        <w:t xml:space="preserve">detailed </w:t>
      </w:r>
      <w:r w:rsidRPr="00E55096">
        <w:rPr>
          <w:rFonts w:asciiTheme="majorBidi" w:hAnsiTheme="majorBidi" w:cstheme="majorBidi"/>
        </w:rPr>
        <w:t>search strategy). Th</w:t>
      </w:r>
      <w:r>
        <w:rPr>
          <w:rFonts w:asciiTheme="majorBidi" w:hAnsiTheme="majorBidi" w:cstheme="majorBidi"/>
        </w:rPr>
        <w:t>is review</w:t>
      </w:r>
      <w:r w:rsidRPr="00E55096">
        <w:rPr>
          <w:rFonts w:asciiTheme="majorBidi" w:hAnsiTheme="majorBidi" w:cstheme="majorBidi"/>
        </w:rPr>
        <w:t xml:space="preserve"> provided </w:t>
      </w:r>
      <w:r>
        <w:rPr>
          <w:rFonts w:asciiTheme="majorBidi" w:hAnsiTheme="majorBidi" w:cstheme="majorBidi"/>
        </w:rPr>
        <w:t>the</w:t>
      </w:r>
      <w:r w:rsidRPr="00E55096">
        <w:rPr>
          <w:rFonts w:asciiTheme="majorBidi" w:hAnsiTheme="majorBidi" w:cstheme="majorBidi"/>
        </w:rPr>
        <w:t xml:space="preserve"> basis for an extended and targeted search with the aim of complementing the sources identified in the Ministry’s search</w:t>
      </w:r>
      <w:r>
        <w:rPr>
          <w:rFonts w:asciiTheme="majorBidi" w:hAnsiTheme="majorBidi" w:cstheme="majorBidi"/>
        </w:rPr>
        <w:t xml:space="preserve"> and t</w:t>
      </w:r>
      <w:r w:rsidRPr="00E55096">
        <w:rPr>
          <w:rFonts w:asciiTheme="majorBidi" w:hAnsiTheme="majorBidi" w:cstheme="majorBidi"/>
        </w:rPr>
        <w:t xml:space="preserve">he following databases were </w:t>
      </w:r>
      <w:r>
        <w:rPr>
          <w:rFonts w:asciiTheme="majorBidi" w:hAnsiTheme="majorBidi" w:cstheme="majorBidi"/>
        </w:rPr>
        <w:t xml:space="preserve">further </w:t>
      </w:r>
      <w:r w:rsidRPr="00E55096">
        <w:rPr>
          <w:rFonts w:asciiTheme="majorBidi" w:hAnsiTheme="majorBidi" w:cstheme="majorBidi"/>
        </w:rPr>
        <w:t xml:space="preserve">examined: PubMed, Cochrane, Google Scholar, </w:t>
      </w:r>
      <w:proofErr w:type="spellStart"/>
      <w:r w:rsidRPr="00E55096">
        <w:rPr>
          <w:rFonts w:asciiTheme="majorBidi" w:hAnsiTheme="majorBidi" w:cstheme="majorBidi"/>
        </w:rPr>
        <w:t>MedRxiv</w:t>
      </w:r>
      <w:proofErr w:type="spellEnd"/>
      <w:r w:rsidRPr="00E55096">
        <w:rPr>
          <w:rFonts w:asciiTheme="majorBidi" w:hAnsiTheme="majorBidi" w:cstheme="majorBidi"/>
        </w:rPr>
        <w:t xml:space="preserve">, </w:t>
      </w:r>
      <w:r>
        <w:rPr>
          <w:rFonts w:asciiTheme="majorBidi" w:hAnsiTheme="majorBidi" w:cstheme="majorBidi"/>
        </w:rPr>
        <w:t xml:space="preserve">and </w:t>
      </w:r>
      <w:proofErr w:type="spellStart"/>
      <w:r>
        <w:rPr>
          <w:rFonts w:asciiTheme="majorBidi" w:hAnsiTheme="majorBidi" w:cstheme="majorBidi"/>
        </w:rPr>
        <w:t>SafetyLit</w:t>
      </w:r>
      <w:proofErr w:type="spellEnd"/>
      <w:r>
        <w:rPr>
          <w:rFonts w:asciiTheme="majorBidi" w:hAnsiTheme="majorBidi" w:cstheme="majorBidi"/>
        </w:rPr>
        <w:t xml:space="preserve">. </w:t>
      </w:r>
    </w:p>
    <w:p w14:paraId="05EFDC2C" w14:textId="77777777" w:rsidR="00B85C9C" w:rsidRDefault="00B85C9C" w:rsidP="00E55096">
      <w:pPr>
        <w:rPr>
          <w:rFonts w:asciiTheme="majorBidi" w:hAnsiTheme="majorBidi" w:cstheme="majorBidi"/>
        </w:rPr>
      </w:pPr>
    </w:p>
    <w:p w14:paraId="5DDE49AB" w14:textId="77777777" w:rsidR="00B85C9C" w:rsidRPr="00E55096" w:rsidRDefault="00B85C9C" w:rsidP="00E55096">
      <w:pPr>
        <w:rPr>
          <w:rFonts w:asciiTheme="majorBidi" w:hAnsiTheme="majorBidi" w:cstheme="majorBidi"/>
        </w:rPr>
      </w:pPr>
      <w:r>
        <w:rPr>
          <w:rFonts w:asciiTheme="majorBidi" w:hAnsiTheme="majorBidi" w:cstheme="majorBidi"/>
        </w:rPr>
        <w:t xml:space="preserve">Targeted supplementary searches were undertaken on PubMed on 19 and 20 May 2022. Five targeted search queries are described in Appendix B. In total 2,183 titles were screened, and 94 abstracts were obtained. </w:t>
      </w:r>
    </w:p>
    <w:p w14:paraId="33BCFC1D" w14:textId="77777777" w:rsidR="00B85C9C" w:rsidRPr="00E55096" w:rsidRDefault="00B85C9C" w:rsidP="00E55096">
      <w:pPr>
        <w:rPr>
          <w:rFonts w:asciiTheme="majorBidi" w:hAnsiTheme="majorBidi" w:cstheme="majorBidi"/>
        </w:rPr>
      </w:pPr>
    </w:p>
    <w:p w14:paraId="7420B9F3" w14:textId="77777777" w:rsidR="00B85C9C" w:rsidRPr="00E55096" w:rsidRDefault="00B85C9C" w:rsidP="00E55096">
      <w:pPr>
        <w:rPr>
          <w:rFonts w:asciiTheme="majorBidi" w:hAnsiTheme="majorBidi" w:cstheme="majorBidi"/>
        </w:rPr>
      </w:pPr>
      <w:r>
        <w:rPr>
          <w:rFonts w:asciiTheme="majorBidi" w:hAnsiTheme="majorBidi" w:cstheme="majorBidi"/>
        </w:rPr>
        <w:t xml:space="preserve">Review of the Cochrane Database provided 3 additional sources, Google Scholar returned 6 in the first ten pages that were not duplicates of sources already obtained, </w:t>
      </w:r>
      <w:proofErr w:type="spellStart"/>
      <w:r>
        <w:rPr>
          <w:rFonts w:asciiTheme="majorBidi" w:hAnsiTheme="majorBidi" w:cstheme="majorBidi"/>
        </w:rPr>
        <w:t>MedRxiv</w:t>
      </w:r>
      <w:proofErr w:type="spellEnd"/>
      <w:r>
        <w:rPr>
          <w:rFonts w:asciiTheme="majorBidi" w:hAnsiTheme="majorBidi" w:cstheme="majorBidi"/>
        </w:rPr>
        <w:t xml:space="preserve"> and </w:t>
      </w:r>
      <w:proofErr w:type="spellStart"/>
      <w:r>
        <w:rPr>
          <w:rFonts w:asciiTheme="majorBidi" w:hAnsiTheme="majorBidi" w:cstheme="majorBidi"/>
        </w:rPr>
        <w:t>SafetyLit</w:t>
      </w:r>
      <w:proofErr w:type="spellEnd"/>
      <w:r>
        <w:rPr>
          <w:rFonts w:asciiTheme="majorBidi" w:hAnsiTheme="majorBidi" w:cstheme="majorBidi"/>
        </w:rPr>
        <w:t xml:space="preserve"> both returned no additional results.</w:t>
      </w:r>
    </w:p>
    <w:p w14:paraId="268AA22E" w14:textId="77777777" w:rsidR="00B85C9C" w:rsidRPr="00E55096" w:rsidRDefault="00B85C9C" w:rsidP="00E55096">
      <w:pPr>
        <w:rPr>
          <w:rFonts w:asciiTheme="majorBidi" w:hAnsiTheme="majorBidi" w:cstheme="majorBidi"/>
          <w:b/>
          <w:bCs/>
        </w:rPr>
      </w:pPr>
    </w:p>
    <w:p w14:paraId="2F7C7EC7" w14:textId="77777777" w:rsidR="00B85C9C" w:rsidRPr="00E55096" w:rsidRDefault="00B85C9C" w:rsidP="00AE73CA">
      <w:pPr>
        <w:rPr>
          <w:rFonts w:asciiTheme="majorBidi" w:hAnsiTheme="majorBidi" w:cstheme="majorBidi"/>
        </w:rPr>
      </w:pPr>
      <w:r>
        <w:rPr>
          <w:rFonts w:asciiTheme="majorBidi" w:hAnsiTheme="majorBidi" w:cstheme="majorBidi"/>
        </w:rPr>
        <w:t xml:space="preserve">A new semantic artificial intelligence (AI) search assistant called ‘Elicit’ was tested. </w:t>
      </w:r>
      <w:r w:rsidRPr="00E55096">
        <w:rPr>
          <w:rFonts w:asciiTheme="majorBidi" w:hAnsiTheme="majorBidi" w:cstheme="majorBidi"/>
        </w:rPr>
        <w:t>Elicit is a semantic AI assistant that identifies relevant literature using GPT-3</w:t>
      </w:r>
      <w:r>
        <w:rPr>
          <w:rFonts w:asciiTheme="majorBidi" w:hAnsiTheme="majorBidi" w:cstheme="majorBidi"/>
        </w:rPr>
        <w:t xml:space="preserve"> (an AI language model)</w:t>
      </w:r>
      <w:r w:rsidRPr="00E55096">
        <w:rPr>
          <w:rFonts w:asciiTheme="majorBidi" w:hAnsiTheme="majorBidi" w:cstheme="majorBidi"/>
        </w:rPr>
        <w:t>.</w:t>
      </w:r>
      <w:r>
        <w:rPr>
          <w:rStyle w:val="FootnoteReference"/>
          <w:rFonts w:asciiTheme="majorBidi" w:hAnsiTheme="majorBidi" w:cstheme="majorBidi"/>
        </w:rPr>
        <w:footnoteReference w:id="1"/>
      </w:r>
      <w:r w:rsidRPr="00E55096">
        <w:rPr>
          <w:rFonts w:asciiTheme="majorBidi" w:hAnsiTheme="majorBidi" w:cstheme="majorBidi"/>
        </w:rPr>
        <w:t xml:space="preserve"> Search queries are phrased in natural language rather than keywords. The search engine uses semantic structure to infer the papers of interest, results are refined by iteratively selecting results of interest and searching for ‘more like these’. </w:t>
      </w:r>
      <w:r>
        <w:rPr>
          <w:rFonts w:asciiTheme="majorBidi" w:hAnsiTheme="majorBidi" w:cstheme="majorBidi"/>
        </w:rPr>
        <w:t>Elicit was deployed on 19 May 2022 with the following query:</w:t>
      </w:r>
    </w:p>
    <w:p w14:paraId="56185762" w14:textId="77777777" w:rsidR="00B85C9C" w:rsidRPr="00E55096" w:rsidRDefault="00B85C9C" w:rsidP="00E55096">
      <w:pPr>
        <w:rPr>
          <w:rFonts w:asciiTheme="majorBidi" w:hAnsiTheme="majorBidi" w:cstheme="majorBidi"/>
        </w:rPr>
      </w:pPr>
    </w:p>
    <w:p w14:paraId="7EDD2230" w14:textId="77777777" w:rsidR="00B85C9C" w:rsidRDefault="00B85C9C" w:rsidP="00AE73CA">
      <w:pPr>
        <w:ind w:left="720"/>
        <w:rPr>
          <w:rFonts w:asciiTheme="majorBidi" w:hAnsiTheme="majorBidi" w:cstheme="majorBidi"/>
        </w:rPr>
      </w:pPr>
      <w:r w:rsidRPr="00E55096">
        <w:rPr>
          <w:rFonts w:asciiTheme="majorBidi" w:hAnsiTheme="majorBidi" w:cstheme="majorBidi"/>
        </w:rPr>
        <w:t>Query:</w:t>
      </w:r>
      <w:r w:rsidRPr="00E55096">
        <w:rPr>
          <w:rFonts w:asciiTheme="majorBidi" w:hAnsiTheme="majorBidi" w:cstheme="majorBidi"/>
          <w:b/>
          <w:bCs/>
        </w:rPr>
        <w:t xml:space="preserve"> </w:t>
      </w:r>
      <w:r>
        <w:rPr>
          <w:rFonts w:asciiTheme="majorBidi" w:hAnsiTheme="majorBidi" w:cstheme="majorBidi"/>
        </w:rPr>
        <w:t>‘</w:t>
      </w:r>
      <w:r w:rsidRPr="00E55096">
        <w:rPr>
          <w:rFonts w:asciiTheme="majorBidi" w:hAnsiTheme="majorBidi" w:cstheme="majorBidi"/>
        </w:rPr>
        <w:t>Reviews or randomised trials or studies that report on interventions or initiatives to reduce harm from anticoagulants or improve patient safety when anticoagulation is used. The studies should focus on human factors or systems interventions or quality improvements</w:t>
      </w:r>
      <w:r>
        <w:rPr>
          <w:rFonts w:asciiTheme="majorBidi" w:hAnsiTheme="majorBidi" w:cstheme="majorBidi"/>
        </w:rPr>
        <w:t>’</w:t>
      </w:r>
      <w:r w:rsidRPr="00E55096">
        <w:rPr>
          <w:rFonts w:asciiTheme="majorBidi" w:hAnsiTheme="majorBidi" w:cstheme="majorBidi"/>
        </w:rPr>
        <w:t xml:space="preserve"> </w:t>
      </w:r>
    </w:p>
    <w:p w14:paraId="0475989B" w14:textId="77777777" w:rsidR="00B85C9C" w:rsidRDefault="00B85C9C" w:rsidP="00AE73CA">
      <w:pPr>
        <w:ind w:left="720"/>
        <w:rPr>
          <w:rFonts w:asciiTheme="majorBidi" w:hAnsiTheme="majorBidi" w:cstheme="majorBidi"/>
        </w:rPr>
      </w:pPr>
    </w:p>
    <w:p w14:paraId="2E6C2DE1" w14:textId="77777777" w:rsidR="00B85C9C" w:rsidRDefault="00B85C9C" w:rsidP="00AE73CA">
      <w:pPr>
        <w:rPr>
          <w:rFonts w:asciiTheme="majorBidi" w:hAnsiTheme="majorBidi" w:cstheme="majorBidi"/>
        </w:rPr>
      </w:pPr>
      <w:r>
        <w:rPr>
          <w:rFonts w:asciiTheme="majorBidi" w:hAnsiTheme="majorBidi" w:cstheme="majorBidi"/>
        </w:rPr>
        <w:t xml:space="preserve">When limited to papers since 2015 and following ten iterations of selecting in-scope sources and instructing ‘more like these’, the Elicit search returned 19 additional sources that were not duplicates of sources already obtained. </w:t>
      </w:r>
    </w:p>
    <w:p w14:paraId="0728D3BA" w14:textId="77777777" w:rsidR="00B85C9C" w:rsidRDefault="00B85C9C" w:rsidP="00AE73CA">
      <w:pPr>
        <w:rPr>
          <w:rFonts w:asciiTheme="majorBidi" w:hAnsiTheme="majorBidi" w:cstheme="majorBidi"/>
        </w:rPr>
      </w:pPr>
    </w:p>
    <w:p w14:paraId="444F48E2" w14:textId="77777777" w:rsidR="00B85C9C" w:rsidRPr="00E55096" w:rsidRDefault="00B85C9C" w:rsidP="00AE73CA">
      <w:pPr>
        <w:rPr>
          <w:rFonts w:asciiTheme="majorBidi" w:hAnsiTheme="majorBidi" w:cstheme="majorBidi"/>
        </w:rPr>
      </w:pPr>
      <w:r>
        <w:rPr>
          <w:rFonts w:asciiTheme="majorBidi" w:hAnsiTheme="majorBidi" w:cstheme="majorBidi"/>
        </w:rPr>
        <w:t xml:space="preserve">Results from the Ministry’s search were screened by abstract. Of 82 abstracts retained, 36 were out-of-scope (often because they focused on primary care or were primarily reporting on strategies to increase anticoagulation use in AF), 11 had already been obtained in the searches above, and of 33 not already obtained 6 sources were relevant. </w:t>
      </w:r>
    </w:p>
    <w:p w14:paraId="30ABD66D" w14:textId="77777777" w:rsidR="00B85C9C" w:rsidRPr="00E55096" w:rsidRDefault="00B85C9C" w:rsidP="00E55096">
      <w:pPr>
        <w:rPr>
          <w:rFonts w:asciiTheme="majorBidi" w:hAnsiTheme="majorBidi" w:cstheme="majorBidi"/>
          <w:b/>
          <w:bCs/>
        </w:rPr>
      </w:pPr>
    </w:p>
    <w:p w14:paraId="4B4DE2A6" w14:textId="77777777" w:rsidR="00B85C9C" w:rsidRPr="00E55096" w:rsidRDefault="00B85C9C" w:rsidP="00E55096">
      <w:pPr>
        <w:rPr>
          <w:rFonts w:asciiTheme="majorBidi" w:hAnsiTheme="majorBidi" w:cstheme="majorBidi"/>
        </w:rPr>
      </w:pPr>
      <w:r>
        <w:rPr>
          <w:rFonts w:asciiTheme="majorBidi" w:hAnsiTheme="majorBidi" w:cstheme="majorBidi"/>
        </w:rPr>
        <w:t xml:space="preserve">In total 58 full-text papers were obtained from the academic literature. </w:t>
      </w:r>
    </w:p>
    <w:p w14:paraId="05FCC5FC" w14:textId="77777777" w:rsidR="00B85C9C" w:rsidRPr="00E55096" w:rsidRDefault="00B85C9C" w:rsidP="00E55096">
      <w:pPr>
        <w:rPr>
          <w:rFonts w:asciiTheme="majorBidi" w:hAnsiTheme="majorBidi" w:cstheme="majorBidi"/>
        </w:rPr>
      </w:pPr>
    </w:p>
    <w:p w14:paraId="21021201" w14:textId="77777777" w:rsidR="00B85C9C" w:rsidRPr="00B80554" w:rsidRDefault="00B85C9C" w:rsidP="00131C8A">
      <w:pPr>
        <w:pStyle w:val="Heading3"/>
      </w:pPr>
      <w:r w:rsidRPr="00B80554">
        <w:t>Search for Institutional Guidance</w:t>
      </w:r>
    </w:p>
    <w:p w14:paraId="6779632A" w14:textId="77777777" w:rsidR="00B85C9C" w:rsidRPr="00E55096" w:rsidRDefault="00B85C9C" w:rsidP="00E55096">
      <w:pPr>
        <w:rPr>
          <w:rFonts w:asciiTheme="majorBidi" w:hAnsiTheme="majorBidi" w:cstheme="majorBidi"/>
        </w:rPr>
      </w:pPr>
    </w:p>
    <w:p w14:paraId="36DE21F1" w14:textId="77777777" w:rsidR="00B85C9C" w:rsidRDefault="00B85C9C" w:rsidP="00E55096">
      <w:pPr>
        <w:rPr>
          <w:rFonts w:asciiTheme="majorBidi" w:hAnsiTheme="majorBidi" w:cstheme="majorBidi"/>
        </w:rPr>
      </w:pPr>
      <w:r w:rsidRPr="00E55096">
        <w:rPr>
          <w:rFonts w:asciiTheme="majorBidi" w:hAnsiTheme="majorBidi" w:cstheme="majorBidi"/>
        </w:rPr>
        <w:t xml:space="preserve">The grey literature was searched by scanning the websites of the following organisations, searching for ‘anticoagulant’ or ‘anticoagulation’: </w:t>
      </w:r>
    </w:p>
    <w:p w14:paraId="02C8F2AC" w14:textId="77777777" w:rsidR="00B85C9C" w:rsidRPr="00E55096" w:rsidRDefault="00B85C9C" w:rsidP="00E55096">
      <w:pPr>
        <w:rPr>
          <w:rFonts w:asciiTheme="majorBidi" w:hAnsiTheme="majorBidi" w:cstheme="majorBidi"/>
        </w:rPr>
      </w:pPr>
    </w:p>
    <w:p w14:paraId="721254F9"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UK National Institute for Health and Care Excellence (NICE)</w:t>
      </w:r>
    </w:p>
    <w:p w14:paraId="4452BFE8"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UK Medicines and Healthcare Products Regulatory Agency (MHRA)</w:t>
      </w:r>
    </w:p>
    <w:p w14:paraId="359903F8"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NHS Improvement</w:t>
      </w:r>
    </w:p>
    <w:p w14:paraId="4A3A0F05"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Scottish Patient Safety Programme (SPSP)</w:t>
      </w:r>
    </w:p>
    <w:p w14:paraId="305F090F"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A</w:t>
      </w:r>
      <w:r>
        <w:rPr>
          <w:rFonts w:asciiTheme="majorBidi" w:hAnsiTheme="majorBidi" w:cstheme="majorBidi"/>
        </w:rPr>
        <w:t>gency for Health Research and Quality (A</w:t>
      </w:r>
      <w:r w:rsidRPr="00E55096">
        <w:rPr>
          <w:rFonts w:asciiTheme="majorBidi" w:hAnsiTheme="majorBidi" w:cstheme="majorBidi"/>
        </w:rPr>
        <w:t>HRQ</w:t>
      </w:r>
      <w:r>
        <w:rPr>
          <w:rFonts w:asciiTheme="majorBidi" w:hAnsiTheme="majorBidi" w:cstheme="majorBidi"/>
        </w:rPr>
        <w:t>)</w:t>
      </w:r>
    </w:p>
    <w:p w14:paraId="48EB60E9"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Australian Commission for Safety and Quality in Healthcare</w:t>
      </w:r>
      <w:r>
        <w:rPr>
          <w:rFonts w:asciiTheme="majorBidi" w:hAnsiTheme="majorBidi" w:cstheme="majorBidi"/>
        </w:rPr>
        <w:t xml:space="preserve"> (ACSQHC)</w:t>
      </w:r>
    </w:p>
    <w:p w14:paraId="08F1AA08"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Health Excellence Canada (previously the Canadian Patient Safety Institute)</w:t>
      </w:r>
    </w:p>
    <w:p w14:paraId="3A14B126" w14:textId="77777777" w:rsidR="00B85C9C" w:rsidRPr="00E55096" w:rsidRDefault="00B85C9C" w:rsidP="00E55096">
      <w:pPr>
        <w:numPr>
          <w:ilvl w:val="0"/>
          <w:numId w:val="21"/>
        </w:numPr>
        <w:rPr>
          <w:rFonts w:asciiTheme="majorBidi" w:hAnsiTheme="majorBidi" w:cstheme="majorBidi"/>
        </w:rPr>
      </w:pPr>
      <w:r w:rsidRPr="00E55096">
        <w:rPr>
          <w:rFonts w:asciiTheme="majorBidi" w:hAnsiTheme="majorBidi" w:cstheme="majorBidi"/>
        </w:rPr>
        <w:t>Institute for Safe Medical Practices</w:t>
      </w:r>
      <w:r>
        <w:rPr>
          <w:rFonts w:asciiTheme="majorBidi" w:hAnsiTheme="majorBidi" w:cstheme="majorBidi"/>
        </w:rPr>
        <w:t xml:space="preserve"> (ISMP)</w:t>
      </w:r>
    </w:p>
    <w:p w14:paraId="46DCDA24" w14:textId="77777777" w:rsidR="00B85C9C" w:rsidRPr="00E55096" w:rsidRDefault="00B85C9C" w:rsidP="00E55096">
      <w:pPr>
        <w:rPr>
          <w:rFonts w:asciiTheme="majorBidi" w:hAnsiTheme="majorBidi" w:cstheme="majorBidi"/>
        </w:rPr>
      </w:pPr>
    </w:p>
    <w:p w14:paraId="21A98107" w14:textId="77777777" w:rsidR="00B85C9C" w:rsidRPr="00B80554" w:rsidRDefault="00B85C9C" w:rsidP="00131C8A">
      <w:pPr>
        <w:pStyle w:val="Heading3"/>
      </w:pPr>
      <w:r w:rsidRPr="00B80554">
        <w:t>New Zealand Initiatives</w:t>
      </w:r>
    </w:p>
    <w:p w14:paraId="7EC7BD3C" w14:textId="77777777" w:rsidR="00B85C9C" w:rsidRPr="00E55096" w:rsidRDefault="00B85C9C" w:rsidP="00E55096">
      <w:pPr>
        <w:rPr>
          <w:rFonts w:asciiTheme="majorBidi" w:hAnsiTheme="majorBidi" w:cstheme="majorBidi"/>
        </w:rPr>
      </w:pPr>
    </w:p>
    <w:p w14:paraId="6DA2607A" w14:textId="3EF9C031" w:rsidR="00B85C9C" w:rsidRDefault="00B85C9C">
      <w:pPr>
        <w:rPr>
          <w:rFonts w:asciiTheme="majorBidi" w:hAnsiTheme="majorBidi" w:cstheme="majorBidi"/>
        </w:rPr>
      </w:pPr>
      <w:r w:rsidRPr="00E55096">
        <w:rPr>
          <w:rFonts w:asciiTheme="majorBidi" w:hAnsiTheme="majorBidi" w:cstheme="majorBidi"/>
        </w:rPr>
        <w:t xml:space="preserve">In 2021 the Health Quality </w:t>
      </w:r>
      <w:r w:rsidR="007C737A">
        <w:rPr>
          <w:rFonts w:asciiTheme="majorBidi" w:hAnsiTheme="majorBidi" w:cstheme="majorBidi"/>
        </w:rPr>
        <w:t>&amp;</w:t>
      </w:r>
      <w:r w:rsidR="007C737A" w:rsidRPr="00E55096">
        <w:rPr>
          <w:rFonts w:asciiTheme="majorBidi" w:hAnsiTheme="majorBidi" w:cstheme="majorBidi"/>
        </w:rPr>
        <w:t xml:space="preserve"> </w:t>
      </w:r>
      <w:r w:rsidRPr="00E55096">
        <w:rPr>
          <w:rFonts w:asciiTheme="majorBidi" w:hAnsiTheme="majorBidi" w:cstheme="majorBidi"/>
        </w:rPr>
        <w:t xml:space="preserve">Safety Commission conducted a survey of DHB Quality and Risk Leads. This revealed several projects possibly relevant to the present review. These projects are listed in </w:t>
      </w:r>
      <w:r>
        <w:rPr>
          <w:rFonts w:asciiTheme="majorBidi" w:hAnsiTheme="majorBidi" w:cstheme="majorBidi"/>
        </w:rPr>
        <w:t xml:space="preserve">Appendix </w:t>
      </w:r>
      <w:r w:rsidRPr="00E55096">
        <w:rPr>
          <w:rFonts w:asciiTheme="majorBidi" w:hAnsiTheme="majorBidi" w:cstheme="majorBidi"/>
        </w:rPr>
        <w:t xml:space="preserve">Table </w:t>
      </w:r>
      <w:r>
        <w:rPr>
          <w:rFonts w:asciiTheme="majorBidi" w:hAnsiTheme="majorBidi" w:cstheme="majorBidi"/>
        </w:rPr>
        <w:t>A5 (see section on ‘New Zealand Initiatives’ under ‘Findings’ below)</w:t>
      </w:r>
      <w:r w:rsidRPr="00E55096">
        <w:rPr>
          <w:rFonts w:asciiTheme="majorBidi" w:hAnsiTheme="majorBidi" w:cstheme="majorBidi"/>
        </w:rPr>
        <w:t>. Contact details of pertinent staff</w:t>
      </w:r>
      <w:r>
        <w:rPr>
          <w:rFonts w:asciiTheme="majorBidi" w:hAnsiTheme="majorBidi" w:cstheme="majorBidi"/>
        </w:rPr>
        <w:t xml:space="preserve"> (</w:t>
      </w:r>
      <w:proofErr w:type="spellStart"/>
      <w:r>
        <w:rPr>
          <w:rFonts w:asciiTheme="majorBidi" w:hAnsiTheme="majorBidi" w:cstheme="majorBidi"/>
        </w:rPr>
        <w:t>eg</w:t>
      </w:r>
      <w:proofErr w:type="spellEnd"/>
      <w:r>
        <w:rPr>
          <w:rFonts w:asciiTheme="majorBidi" w:hAnsiTheme="majorBidi" w:cstheme="majorBidi"/>
        </w:rPr>
        <w:t xml:space="preserve"> medication safety pharmacists, clinical effectiveness or quality facilitators, haematologist)</w:t>
      </w:r>
      <w:r w:rsidRPr="00E55096">
        <w:rPr>
          <w:rFonts w:asciiTheme="majorBidi" w:hAnsiTheme="majorBidi" w:cstheme="majorBidi"/>
        </w:rPr>
        <w:t xml:space="preserve"> were obtained and a total of </w:t>
      </w:r>
      <w:r>
        <w:rPr>
          <w:rFonts w:asciiTheme="majorBidi" w:hAnsiTheme="majorBidi" w:cstheme="majorBidi"/>
        </w:rPr>
        <w:t>15</w:t>
      </w:r>
      <w:r w:rsidRPr="00E55096">
        <w:rPr>
          <w:rFonts w:asciiTheme="majorBidi" w:hAnsiTheme="majorBidi" w:cstheme="majorBidi"/>
        </w:rPr>
        <w:t xml:space="preserve"> individuals from </w:t>
      </w:r>
      <w:r>
        <w:rPr>
          <w:rFonts w:asciiTheme="majorBidi" w:hAnsiTheme="majorBidi" w:cstheme="majorBidi"/>
        </w:rPr>
        <w:t>10</w:t>
      </w:r>
      <w:r w:rsidRPr="00E55096">
        <w:rPr>
          <w:rFonts w:asciiTheme="majorBidi" w:hAnsiTheme="majorBidi" w:cstheme="majorBidi"/>
        </w:rPr>
        <w:t xml:space="preserve"> DHBs </w:t>
      </w:r>
      <w:r>
        <w:rPr>
          <w:rFonts w:asciiTheme="majorBidi" w:hAnsiTheme="majorBidi" w:cstheme="majorBidi"/>
        </w:rPr>
        <w:t>provided additional information</w:t>
      </w:r>
      <w:r w:rsidRPr="00E55096">
        <w:rPr>
          <w:rFonts w:asciiTheme="majorBidi" w:hAnsiTheme="majorBidi" w:cstheme="majorBidi"/>
        </w:rPr>
        <w:t xml:space="preserve"> about these projects. Information was obtained by email answers to questions, by phone interviews (n = </w:t>
      </w:r>
      <w:r>
        <w:rPr>
          <w:rFonts w:asciiTheme="majorBidi" w:hAnsiTheme="majorBidi" w:cstheme="majorBidi"/>
        </w:rPr>
        <w:t>6</w:t>
      </w:r>
      <w:r w:rsidRPr="00E55096">
        <w:rPr>
          <w:rFonts w:asciiTheme="majorBidi" w:hAnsiTheme="majorBidi" w:cstheme="majorBidi"/>
        </w:rPr>
        <w:t xml:space="preserve">), and by Zoom meetings (n = 1). </w:t>
      </w:r>
    </w:p>
    <w:p w14:paraId="2F8EF9A7" w14:textId="77777777" w:rsidR="00A9745E" w:rsidRPr="00B46928" w:rsidRDefault="00A9745E">
      <w:pPr>
        <w:rPr>
          <w:rFonts w:asciiTheme="majorBidi" w:hAnsiTheme="majorBidi" w:cstheme="majorBidi"/>
        </w:rPr>
      </w:pPr>
    </w:p>
    <w:p w14:paraId="095C1006" w14:textId="77777777" w:rsidR="00B85C9C" w:rsidRPr="00534EEF" w:rsidRDefault="00B85C9C" w:rsidP="006F53B8">
      <w:pPr>
        <w:pStyle w:val="Heading2"/>
        <w:rPr>
          <w:rFonts w:asciiTheme="majorBidi" w:hAnsiTheme="majorBidi"/>
        </w:rPr>
      </w:pPr>
      <w:bookmarkStart w:id="13" w:name="_Toc105497782"/>
      <w:bookmarkStart w:id="14" w:name="_Toc106288211"/>
      <w:r w:rsidRPr="00534EEF">
        <w:rPr>
          <w:rFonts w:asciiTheme="majorBidi" w:hAnsiTheme="majorBidi"/>
        </w:rPr>
        <w:t>Findings</w:t>
      </w:r>
      <w:bookmarkEnd w:id="13"/>
      <w:bookmarkEnd w:id="14"/>
    </w:p>
    <w:p w14:paraId="2BDF78A5" w14:textId="77777777" w:rsidR="00B85C9C" w:rsidRPr="00B46928" w:rsidRDefault="00B85C9C" w:rsidP="00C04448">
      <w:pPr>
        <w:rPr>
          <w:rFonts w:asciiTheme="majorBidi" w:hAnsiTheme="majorBidi" w:cstheme="majorBidi"/>
        </w:rPr>
      </w:pPr>
    </w:p>
    <w:p w14:paraId="372409D7" w14:textId="77777777" w:rsidR="00B85C9C" w:rsidRPr="00B46928" w:rsidRDefault="00B85C9C" w:rsidP="00C04448">
      <w:pPr>
        <w:rPr>
          <w:rFonts w:asciiTheme="majorBidi" w:hAnsiTheme="majorBidi" w:cstheme="majorBidi"/>
        </w:rPr>
      </w:pPr>
      <w:r>
        <w:rPr>
          <w:rFonts w:asciiTheme="majorBidi" w:hAnsiTheme="majorBidi" w:cstheme="majorBidi"/>
        </w:rPr>
        <w:t xml:space="preserve">The following section describes the findings of the review. Academic literature on safety and quality initiatives aimed at reducing anticoagulation-related harm is described first, followed by institutional advice, case studies, and current New Zealand initiatives. </w:t>
      </w:r>
    </w:p>
    <w:p w14:paraId="7C9A43E9" w14:textId="77777777" w:rsidR="00B85C9C" w:rsidRPr="00B46928" w:rsidRDefault="00B85C9C" w:rsidP="00C04448">
      <w:pPr>
        <w:rPr>
          <w:rFonts w:asciiTheme="majorBidi" w:hAnsiTheme="majorBidi" w:cstheme="majorBidi"/>
        </w:rPr>
      </w:pPr>
    </w:p>
    <w:p w14:paraId="452C346F" w14:textId="77777777" w:rsidR="00B85C9C" w:rsidRPr="00534EEF" w:rsidRDefault="00B85C9C" w:rsidP="00131C8A">
      <w:pPr>
        <w:pStyle w:val="Heading3"/>
      </w:pPr>
      <w:bookmarkStart w:id="15" w:name="_Toc105497783"/>
      <w:bookmarkStart w:id="16" w:name="_Toc106288212"/>
      <w:r w:rsidRPr="00534EEF">
        <w:t>Academic Literature</w:t>
      </w:r>
      <w:bookmarkEnd w:id="15"/>
      <w:bookmarkEnd w:id="16"/>
    </w:p>
    <w:p w14:paraId="4BE46AA7" w14:textId="77777777" w:rsidR="00B85C9C" w:rsidRPr="00B46928" w:rsidRDefault="00B85C9C" w:rsidP="00C04448">
      <w:pPr>
        <w:rPr>
          <w:rFonts w:asciiTheme="majorBidi" w:hAnsiTheme="majorBidi" w:cstheme="majorBidi"/>
        </w:rPr>
      </w:pPr>
    </w:p>
    <w:p w14:paraId="14DC6AD4" w14:textId="77777777" w:rsidR="00B85C9C" w:rsidRPr="003A58F9" w:rsidRDefault="00B85C9C" w:rsidP="003A58F9">
      <w:pPr>
        <w:rPr>
          <w:rFonts w:asciiTheme="majorBidi" w:hAnsiTheme="majorBidi" w:cstheme="majorBidi"/>
          <w:b/>
          <w:bCs/>
        </w:rPr>
      </w:pPr>
      <w:r>
        <w:rPr>
          <w:rFonts w:asciiTheme="majorBidi" w:hAnsiTheme="majorBidi" w:cstheme="majorBidi"/>
        </w:rPr>
        <w:t xml:space="preserve">A total of 48 sources from the academic literature were retained following full-text review. These were organised by study type and are tabulated in Appendix A. Appendix Table A1 displays meta-analyses and reviews (n = 8). Appendix Table A2 catalogues individual studies arranged by intervention type: anticoagulation stewardship (n = 6), discharge protocols and follow-up (n = 4), </w:t>
      </w:r>
      <w:r w:rsidRPr="002849C6">
        <w:rPr>
          <w:rFonts w:asciiTheme="majorBidi" w:hAnsiTheme="majorBidi" w:cstheme="majorBidi"/>
        </w:rPr>
        <w:t>pharmacist interventions (n = 1</w:t>
      </w:r>
      <w:r>
        <w:rPr>
          <w:rFonts w:asciiTheme="majorBidi" w:hAnsiTheme="majorBidi" w:cstheme="majorBidi"/>
        </w:rPr>
        <w:t>1</w:t>
      </w:r>
      <w:r w:rsidRPr="002849C6">
        <w:rPr>
          <w:rFonts w:asciiTheme="majorBidi" w:hAnsiTheme="majorBidi" w:cstheme="majorBidi"/>
        </w:rPr>
        <w:t xml:space="preserve">), </w:t>
      </w:r>
      <w:r>
        <w:rPr>
          <w:rFonts w:asciiTheme="majorBidi" w:hAnsiTheme="majorBidi" w:cstheme="majorBidi"/>
        </w:rPr>
        <w:t>e</w:t>
      </w:r>
      <w:r w:rsidRPr="002849C6">
        <w:rPr>
          <w:rFonts w:asciiTheme="majorBidi" w:hAnsiTheme="majorBidi" w:cstheme="majorBidi"/>
        </w:rPr>
        <w:t xml:space="preserve">-prescribing, </w:t>
      </w:r>
      <w:r>
        <w:rPr>
          <w:rFonts w:asciiTheme="majorBidi" w:hAnsiTheme="majorBidi" w:cstheme="majorBidi"/>
        </w:rPr>
        <w:t>e</w:t>
      </w:r>
      <w:r w:rsidRPr="002849C6">
        <w:rPr>
          <w:rFonts w:asciiTheme="majorBidi" w:hAnsiTheme="majorBidi" w:cstheme="majorBidi"/>
        </w:rPr>
        <w:t xml:space="preserve">lectronic </w:t>
      </w:r>
      <w:r>
        <w:rPr>
          <w:rFonts w:asciiTheme="majorBidi" w:hAnsiTheme="majorBidi" w:cstheme="majorBidi"/>
        </w:rPr>
        <w:t>h</w:t>
      </w:r>
      <w:r w:rsidRPr="002849C6">
        <w:rPr>
          <w:rFonts w:asciiTheme="majorBidi" w:hAnsiTheme="majorBidi" w:cstheme="majorBidi"/>
        </w:rPr>
        <w:t xml:space="preserve">ealth </w:t>
      </w:r>
      <w:r>
        <w:rPr>
          <w:rFonts w:asciiTheme="majorBidi" w:hAnsiTheme="majorBidi" w:cstheme="majorBidi"/>
        </w:rPr>
        <w:t>r</w:t>
      </w:r>
      <w:r w:rsidRPr="002849C6">
        <w:rPr>
          <w:rFonts w:asciiTheme="majorBidi" w:hAnsiTheme="majorBidi" w:cstheme="majorBidi"/>
        </w:rPr>
        <w:t xml:space="preserve">ecord, </w:t>
      </w:r>
      <w:r>
        <w:rPr>
          <w:rFonts w:asciiTheme="majorBidi" w:hAnsiTheme="majorBidi" w:cstheme="majorBidi"/>
        </w:rPr>
        <w:t>c</w:t>
      </w:r>
      <w:r w:rsidRPr="002849C6">
        <w:rPr>
          <w:rFonts w:asciiTheme="majorBidi" w:hAnsiTheme="majorBidi" w:cstheme="majorBidi"/>
        </w:rPr>
        <w:t xml:space="preserve">linical </w:t>
      </w:r>
      <w:r>
        <w:rPr>
          <w:rFonts w:asciiTheme="majorBidi" w:hAnsiTheme="majorBidi" w:cstheme="majorBidi"/>
        </w:rPr>
        <w:t>d</w:t>
      </w:r>
      <w:r w:rsidRPr="002849C6">
        <w:rPr>
          <w:rFonts w:asciiTheme="majorBidi" w:hAnsiTheme="majorBidi" w:cstheme="majorBidi"/>
        </w:rPr>
        <w:t xml:space="preserve">ecision </w:t>
      </w:r>
      <w:r>
        <w:rPr>
          <w:rFonts w:asciiTheme="majorBidi" w:hAnsiTheme="majorBidi" w:cstheme="majorBidi"/>
        </w:rPr>
        <w:t>s</w:t>
      </w:r>
      <w:r w:rsidRPr="002849C6">
        <w:rPr>
          <w:rFonts w:asciiTheme="majorBidi" w:hAnsiTheme="majorBidi" w:cstheme="majorBidi"/>
        </w:rPr>
        <w:t xml:space="preserve">upport </w:t>
      </w:r>
      <w:r>
        <w:rPr>
          <w:rFonts w:asciiTheme="majorBidi" w:hAnsiTheme="majorBidi" w:cstheme="majorBidi"/>
        </w:rPr>
        <w:t>s</w:t>
      </w:r>
      <w:r w:rsidRPr="002849C6">
        <w:rPr>
          <w:rFonts w:asciiTheme="majorBidi" w:hAnsiTheme="majorBidi" w:cstheme="majorBidi"/>
        </w:rPr>
        <w:t xml:space="preserve">ystems (CDSS), and </w:t>
      </w:r>
      <w:r>
        <w:rPr>
          <w:rFonts w:asciiTheme="majorBidi" w:hAnsiTheme="majorBidi" w:cstheme="majorBidi"/>
        </w:rPr>
        <w:t>a</w:t>
      </w:r>
      <w:r w:rsidRPr="002849C6">
        <w:rPr>
          <w:rFonts w:asciiTheme="majorBidi" w:hAnsiTheme="majorBidi" w:cstheme="majorBidi"/>
        </w:rPr>
        <w:t>pps</w:t>
      </w:r>
      <w:r>
        <w:rPr>
          <w:rFonts w:asciiTheme="majorBidi" w:hAnsiTheme="majorBidi" w:cstheme="majorBidi"/>
        </w:rPr>
        <w:t xml:space="preserve"> (n = 8), and ‘other’ interventions (n = 4). Appendix Table A3 presents high-level commentaries, consensus statements and interpretations of the literature (n = 7). The individual studies comprise a mixture of randomised controlled trials as well as non-randomised and observational studies. </w:t>
      </w:r>
    </w:p>
    <w:p w14:paraId="66FAF88B" w14:textId="77777777" w:rsidR="00B85C9C" w:rsidRPr="00B46928" w:rsidRDefault="00B85C9C" w:rsidP="00C04448">
      <w:pPr>
        <w:rPr>
          <w:rFonts w:asciiTheme="majorBidi" w:hAnsiTheme="majorBidi" w:cstheme="majorBidi"/>
        </w:rPr>
      </w:pPr>
    </w:p>
    <w:p w14:paraId="451DC8CF" w14:textId="77777777" w:rsidR="00B85C9C" w:rsidRPr="00534EEF" w:rsidRDefault="00B85C9C" w:rsidP="00CA1C8F">
      <w:pPr>
        <w:pStyle w:val="Heading4"/>
      </w:pPr>
      <w:bookmarkStart w:id="17" w:name="_Toc106288213"/>
      <w:r w:rsidRPr="00534EEF">
        <w:t>Reviews of the Literature</w:t>
      </w:r>
      <w:bookmarkEnd w:id="17"/>
    </w:p>
    <w:p w14:paraId="22AD7EA6" w14:textId="77777777" w:rsidR="00B85C9C" w:rsidRPr="00B46928" w:rsidRDefault="00B85C9C" w:rsidP="00C04448">
      <w:pPr>
        <w:rPr>
          <w:rFonts w:asciiTheme="majorBidi" w:hAnsiTheme="majorBidi" w:cstheme="majorBidi"/>
        </w:rPr>
      </w:pPr>
    </w:p>
    <w:p w14:paraId="74E06AC9" w14:textId="563D678F" w:rsidR="00B85C9C" w:rsidRDefault="00B85C9C" w:rsidP="00C9369F">
      <w:pPr>
        <w:rPr>
          <w:rFonts w:asciiTheme="majorBidi" w:hAnsiTheme="majorBidi" w:cstheme="majorBidi"/>
        </w:rPr>
      </w:pPr>
      <w:r>
        <w:rPr>
          <w:rFonts w:asciiTheme="majorBidi" w:hAnsiTheme="majorBidi" w:cstheme="majorBidi"/>
        </w:rPr>
        <w:t xml:space="preserve">Eight reviews of the literature were obtained. Details of these reviews are presented in Appendix Table A1. One systematic review included meta-analysis and evaluated </w:t>
      </w:r>
      <w:r w:rsidRPr="00C9369F">
        <w:rPr>
          <w:rFonts w:asciiTheme="majorBidi" w:hAnsiTheme="majorBidi" w:cstheme="majorBidi"/>
        </w:rPr>
        <w:t>the role of technology-based interventions in the management</w:t>
      </w:r>
      <w:r>
        <w:rPr>
          <w:rFonts w:asciiTheme="majorBidi" w:hAnsiTheme="majorBidi" w:cstheme="majorBidi"/>
        </w:rPr>
        <w:t xml:space="preserve"> </w:t>
      </w:r>
      <w:r w:rsidRPr="00C9369F">
        <w:rPr>
          <w:rFonts w:asciiTheme="majorBidi" w:hAnsiTheme="majorBidi" w:cstheme="majorBidi"/>
        </w:rPr>
        <w:t xml:space="preserve">of </w:t>
      </w:r>
      <w:r>
        <w:rPr>
          <w:rFonts w:asciiTheme="majorBidi" w:hAnsiTheme="majorBidi" w:cstheme="majorBidi"/>
        </w:rPr>
        <w:t xml:space="preserve">oral anticoagulants </w:t>
      </w:r>
      <w:r w:rsidRPr="00C9369F">
        <w:rPr>
          <w:rFonts w:asciiTheme="majorBidi" w:hAnsiTheme="majorBidi" w:cstheme="majorBidi"/>
        </w:rPr>
        <w:t xml:space="preserve">(Zheng </w:t>
      </w:r>
      <w:r w:rsidR="00AA56F6">
        <w:rPr>
          <w:rFonts w:asciiTheme="majorBidi" w:hAnsiTheme="majorBidi" w:cstheme="majorBidi"/>
        </w:rPr>
        <w:t xml:space="preserve">et al </w:t>
      </w:r>
      <w:r w:rsidRPr="00C9369F">
        <w:rPr>
          <w:rFonts w:asciiTheme="majorBidi" w:hAnsiTheme="majorBidi" w:cstheme="majorBidi"/>
        </w:rPr>
        <w:t>2020)</w:t>
      </w:r>
      <w:r>
        <w:rPr>
          <w:rFonts w:asciiTheme="majorBidi" w:hAnsiTheme="majorBidi" w:cstheme="majorBidi"/>
        </w:rPr>
        <w:t xml:space="preserve">. Five systematic reviews examined: EMR interventions to improve safety and quality of anticoagulation </w:t>
      </w:r>
      <w:r w:rsidRPr="0042131E">
        <w:rPr>
          <w:rFonts w:asciiTheme="majorBidi" w:hAnsiTheme="majorBidi" w:cstheme="majorBidi"/>
        </w:rPr>
        <w:t xml:space="preserve">(Austin, Barras, </w:t>
      </w:r>
      <w:r w:rsidR="00910D88">
        <w:rPr>
          <w:rFonts w:asciiTheme="majorBidi" w:hAnsiTheme="majorBidi" w:cstheme="majorBidi"/>
        </w:rPr>
        <w:t>and</w:t>
      </w:r>
      <w:r w:rsidRPr="0042131E">
        <w:rPr>
          <w:rFonts w:asciiTheme="majorBidi" w:hAnsiTheme="majorBidi" w:cstheme="majorBidi"/>
        </w:rPr>
        <w:t xml:space="preserve"> Sullivan</w:t>
      </w:r>
      <w:r w:rsidR="00910D88">
        <w:rPr>
          <w:rFonts w:asciiTheme="majorBidi" w:hAnsiTheme="majorBidi" w:cstheme="majorBidi"/>
        </w:rPr>
        <w:t xml:space="preserve"> </w:t>
      </w:r>
      <w:r w:rsidRPr="0042131E">
        <w:rPr>
          <w:rFonts w:asciiTheme="majorBidi" w:hAnsiTheme="majorBidi" w:cstheme="majorBidi"/>
        </w:rPr>
        <w:t>2020)</w:t>
      </w:r>
      <w:r>
        <w:rPr>
          <w:rFonts w:asciiTheme="majorBidi" w:hAnsiTheme="majorBidi" w:cstheme="majorBidi"/>
        </w:rPr>
        <w:t>, i</w:t>
      </w:r>
      <w:r w:rsidRPr="0042131E">
        <w:rPr>
          <w:rFonts w:asciiTheme="majorBidi" w:hAnsiTheme="majorBidi" w:cstheme="majorBidi"/>
        </w:rPr>
        <w:t>nterventions to improve safety and quality of anticoagulant prescribing for therapeutic interventions</w:t>
      </w:r>
      <w:r>
        <w:rPr>
          <w:rFonts w:asciiTheme="majorBidi" w:hAnsiTheme="majorBidi" w:cstheme="majorBidi"/>
        </w:rPr>
        <w:t xml:space="preserve"> </w:t>
      </w:r>
      <w:r w:rsidRPr="0042131E">
        <w:rPr>
          <w:rFonts w:asciiTheme="majorBidi" w:hAnsiTheme="majorBidi" w:cstheme="majorBidi"/>
        </w:rPr>
        <w:t xml:space="preserve">(Frazer </w:t>
      </w:r>
      <w:r w:rsidR="00AA56F6">
        <w:rPr>
          <w:rFonts w:asciiTheme="majorBidi" w:hAnsiTheme="majorBidi" w:cstheme="majorBidi"/>
        </w:rPr>
        <w:t xml:space="preserve">et al </w:t>
      </w:r>
      <w:r w:rsidRPr="0042131E">
        <w:rPr>
          <w:rFonts w:asciiTheme="majorBidi" w:hAnsiTheme="majorBidi" w:cstheme="majorBidi"/>
        </w:rPr>
        <w:t>2019)</w:t>
      </w:r>
      <w:r>
        <w:rPr>
          <w:rFonts w:asciiTheme="majorBidi" w:hAnsiTheme="majorBidi" w:cstheme="majorBidi"/>
        </w:rPr>
        <w:t xml:space="preserve">, system-wide interventions to improve VTE prophylaxis </w:t>
      </w:r>
      <w:r w:rsidRPr="0042131E">
        <w:rPr>
          <w:rFonts w:asciiTheme="majorBidi" w:hAnsiTheme="majorBidi" w:cstheme="majorBidi"/>
        </w:rPr>
        <w:t xml:space="preserve">(Kahn </w:t>
      </w:r>
      <w:r w:rsidR="00AA56F6">
        <w:rPr>
          <w:rFonts w:asciiTheme="majorBidi" w:hAnsiTheme="majorBidi" w:cstheme="majorBidi"/>
        </w:rPr>
        <w:t xml:space="preserve">et al </w:t>
      </w:r>
      <w:r w:rsidRPr="0042131E">
        <w:rPr>
          <w:rFonts w:asciiTheme="majorBidi" w:hAnsiTheme="majorBidi" w:cstheme="majorBidi"/>
        </w:rPr>
        <w:t>2018)</w:t>
      </w:r>
      <w:r>
        <w:rPr>
          <w:rFonts w:asciiTheme="majorBidi" w:hAnsiTheme="majorBidi" w:cstheme="majorBidi"/>
        </w:rPr>
        <w:t xml:space="preserve">, </w:t>
      </w:r>
      <w:r w:rsidRPr="0042131E">
        <w:rPr>
          <w:rFonts w:asciiTheme="majorBidi" w:hAnsiTheme="majorBidi" w:cstheme="majorBidi"/>
        </w:rPr>
        <w:t>the effect of education on mortality,</w:t>
      </w:r>
      <w:r>
        <w:rPr>
          <w:rFonts w:asciiTheme="majorBidi" w:hAnsiTheme="majorBidi" w:cstheme="majorBidi"/>
        </w:rPr>
        <w:t xml:space="preserve"> </w:t>
      </w:r>
      <w:r w:rsidRPr="0042131E">
        <w:rPr>
          <w:rFonts w:asciiTheme="majorBidi" w:hAnsiTheme="majorBidi" w:cstheme="majorBidi"/>
        </w:rPr>
        <w:t>thromboembolic events</w:t>
      </w:r>
      <w:r>
        <w:rPr>
          <w:rFonts w:asciiTheme="majorBidi" w:hAnsiTheme="majorBidi" w:cstheme="majorBidi"/>
        </w:rPr>
        <w:t xml:space="preserve">, and bleeding in patients taking oral anticoagulants </w:t>
      </w:r>
      <w:r w:rsidRPr="0042131E">
        <w:rPr>
          <w:rFonts w:asciiTheme="majorBidi" w:hAnsiTheme="majorBidi" w:cstheme="majorBidi"/>
        </w:rPr>
        <w:t xml:space="preserve">(Paquette </w:t>
      </w:r>
      <w:r w:rsidR="00AA56F6">
        <w:rPr>
          <w:rFonts w:asciiTheme="majorBidi" w:hAnsiTheme="majorBidi" w:cstheme="majorBidi"/>
        </w:rPr>
        <w:t xml:space="preserve">et al </w:t>
      </w:r>
      <w:r w:rsidRPr="0042131E">
        <w:rPr>
          <w:rFonts w:asciiTheme="majorBidi" w:hAnsiTheme="majorBidi" w:cstheme="majorBidi"/>
        </w:rPr>
        <w:t>2019)</w:t>
      </w:r>
      <w:r>
        <w:rPr>
          <w:rFonts w:asciiTheme="majorBidi" w:hAnsiTheme="majorBidi" w:cstheme="majorBidi"/>
        </w:rPr>
        <w:t xml:space="preserve">, and the </w:t>
      </w:r>
      <w:r w:rsidRPr="0042131E">
        <w:rPr>
          <w:rFonts w:asciiTheme="majorBidi" w:hAnsiTheme="majorBidi" w:cstheme="majorBidi"/>
        </w:rPr>
        <w:t>impact of computerized CDSS on prescribing of</w:t>
      </w:r>
      <w:r>
        <w:rPr>
          <w:rFonts w:asciiTheme="majorBidi" w:hAnsiTheme="majorBidi" w:cstheme="majorBidi"/>
        </w:rPr>
        <w:t xml:space="preserve"> oral anticoagulants </w:t>
      </w:r>
      <w:r w:rsidRPr="0042131E">
        <w:rPr>
          <w:rFonts w:asciiTheme="majorBidi" w:hAnsiTheme="majorBidi" w:cstheme="majorBidi"/>
        </w:rPr>
        <w:t>(</w:t>
      </w:r>
      <w:proofErr w:type="spellStart"/>
      <w:r w:rsidRPr="0042131E">
        <w:rPr>
          <w:rFonts w:asciiTheme="majorBidi" w:hAnsiTheme="majorBidi" w:cstheme="majorBidi"/>
        </w:rPr>
        <w:t>Sennesael</w:t>
      </w:r>
      <w:proofErr w:type="spellEnd"/>
      <w:r w:rsidRPr="0042131E">
        <w:rPr>
          <w:rFonts w:asciiTheme="majorBidi" w:hAnsiTheme="majorBidi" w:cstheme="majorBidi"/>
        </w:rPr>
        <w:t xml:space="preserve">, Krug, </w:t>
      </w:r>
      <w:proofErr w:type="spellStart"/>
      <w:r w:rsidRPr="0042131E">
        <w:rPr>
          <w:rFonts w:asciiTheme="majorBidi" w:hAnsiTheme="majorBidi" w:cstheme="majorBidi"/>
        </w:rPr>
        <w:t>Sneyers</w:t>
      </w:r>
      <w:proofErr w:type="spellEnd"/>
      <w:r w:rsidRPr="0042131E">
        <w:rPr>
          <w:rFonts w:asciiTheme="majorBidi" w:hAnsiTheme="majorBidi" w:cstheme="majorBidi"/>
        </w:rPr>
        <w:t xml:space="preserve">, </w:t>
      </w:r>
      <w:r w:rsidR="00910D88">
        <w:rPr>
          <w:rFonts w:asciiTheme="majorBidi" w:hAnsiTheme="majorBidi" w:cstheme="majorBidi"/>
        </w:rPr>
        <w:t>and</w:t>
      </w:r>
      <w:r w:rsidRPr="0042131E">
        <w:rPr>
          <w:rFonts w:asciiTheme="majorBidi" w:hAnsiTheme="majorBidi" w:cstheme="majorBidi"/>
        </w:rPr>
        <w:t xml:space="preserve"> </w:t>
      </w:r>
      <w:proofErr w:type="spellStart"/>
      <w:r w:rsidRPr="0042131E">
        <w:rPr>
          <w:rFonts w:asciiTheme="majorBidi" w:hAnsiTheme="majorBidi" w:cstheme="majorBidi"/>
        </w:rPr>
        <w:t>Spinewine</w:t>
      </w:r>
      <w:proofErr w:type="spellEnd"/>
      <w:r w:rsidRPr="0042131E">
        <w:rPr>
          <w:rFonts w:asciiTheme="majorBidi" w:hAnsiTheme="majorBidi" w:cstheme="majorBidi"/>
        </w:rPr>
        <w:t xml:space="preserve"> 2020)</w:t>
      </w:r>
      <w:r>
        <w:rPr>
          <w:rFonts w:asciiTheme="majorBidi" w:hAnsiTheme="majorBidi" w:cstheme="majorBidi"/>
        </w:rPr>
        <w:t xml:space="preserve">. Two narrative reviews examined </w:t>
      </w:r>
      <w:r w:rsidRPr="00C9369F">
        <w:rPr>
          <w:rFonts w:asciiTheme="majorBidi" w:hAnsiTheme="majorBidi" w:cstheme="majorBidi"/>
        </w:rPr>
        <w:t>patient-focused interventions</w:t>
      </w:r>
      <w:r>
        <w:rPr>
          <w:rFonts w:asciiTheme="majorBidi" w:hAnsiTheme="majorBidi" w:cstheme="majorBidi"/>
        </w:rPr>
        <w:t xml:space="preserve"> </w:t>
      </w:r>
      <w:r w:rsidRPr="00C9369F">
        <w:rPr>
          <w:rFonts w:asciiTheme="majorBidi" w:hAnsiTheme="majorBidi" w:cstheme="majorBidi"/>
        </w:rPr>
        <w:t>trialled to support vulnerable patient populations taking oral anticoagulants</w:t>
      </w:r>
      <w:r>
        <w:rPr>
          <w:rFonts w:asciiTheme="majorBidi" w:hAnsiTheme="majorBidi" w:cstheme="majorBidi"/>
        </w:rPr>
        <w:t xml:space="preserve"> </w:t>
      </w:r>
      <w:r w:rsidRPr="00C9369F">
        <w:rPr>
          <w:rFonts w:asciiTheme="majorBidi" w:hAnsiTheme="majorBidi" w:cstheme="majorBidi"/>
        </w:rPr>
        <w:t>(</w:t>
      </w:r>
      <w:proofErr w:type="spellStart"/>
      <w:r w:rsidRPr="00C9369F">
        <w:rPr>
          <w:rFonts w:asciiTheme="majorBidi" w:hAnsiTheme="majorBidi" w:cstheme="majorBidi"/>
        </w:rPr>
        <w:t>Yiu</w:t>
      </w:r>
      <w:proofErr w:type="spellEnd"/>
      <w:r w:rsidRPr="00C9369F">
        <w:rPr>
          <w:rFonts w:asciiTheme="majorBidi" w:hAnsiTheme="majorBidi" w:cstheme="majorBidi"/>
        </w:rPr>
        <w:t xml:space="preserve"> </w:t>
      </w:r>
      <w:r w:rsidR="00910D88">
        <w:rPr>
          <w:rFonts w:asciiTheme="majorBidi" w:hAnsiTheme="majorBidi" w:cstheme="majorBidi"/>
        </w:rPr>
        <w:t>and</w:t>
      </w:r>
      <w:r w:rsidRPr="00C9369F">
        <w:rPr>
          <w:rFonts w:asciiTheme="majorBidi" w:hAnsiTheme="majorBidi" w:cstheme="majorBidi"/>
        </w:rPr>
        <w:t xml:space="preserve"> Bajorek 2019)</w:t>
      </w:r>
      <w:r>
        <w:rPr>
          <w:rFonts w:asciiTheme="majorBidi" w:hAnsiTheme="majorBidi" w:cstheme="majorBidi"/>
        </w:rPr>
        <w:t xml:space="preserve">, and pharmacist-led inpatient anticoagulation services </w:t>
      </w:r>
      <w:r w:rsidRPr="00C9369F">
        <w:rPr>
          <w:rFonts w:asciiTheme="majorBidi" w:hAnsiTheme="majorBidi" w:cstheme="majorBidi"/>
        </w:rPr>
        <w:t xml:space="preserve">(Lee, Davis, </w:t>
      </w:r>
      <w:r w:rsidR="00910D88">
        <w:rPr>
          <w:rFonts w:asciiTheme="majorBidi" w:hAnsiTheme="majorBidi" w:cstheme="majorBidi"/>
        </w:rPr>
        <w:t>and</w:t>
      </w:r>
      <w:r w:rsidRPr="00C9369F">
        <w:rPr>
          <w:rFonts w:asciiTheme="majorBidi" w:hAnsiTheme="majorBidi" w:cstheme="majorBidi"/>
        </w:rPr>
        <w:t xml:space="preserve"> </w:t>
      </w:r>
      <w:proofErr w:type="spellStart"/>
      <w:r w:rsidRPr="00C9369F">
        <w:rPr>
          <w:rFonts w:asciiTheme="majorBidi" w:hAnsiTheme="majorBidi" w:cstheme="majorBidi"/>
        </w:rPr>
        <w:t>Kielly</w:t>
      </w:r>
      <w:proofErr w:type="spellEnd"/>
      <w:r w:rsidR="00910D88">
        <w:rPr>
          <w:rFonts w:asciiTheme="majorBidi" w:hAnsiTheme="majorBidi" w:cstheme="majorBidi"/>
        </w:rPr>
        <w:t xml:space="preserve"> </w:t>
      </w:r>
      <w:r w:rsidRPr="00C9369F">
        <w:rPr>
          <w:rFonts w:asciiTheme="majorBidi" w:hAnsiTheme="majorBidi" w:cstheme="majorBidi"/>
        </w:rPr>
        <w:t>2016)</w:t>
      </w:r>
      <w:r>
        <w:rPr>
          <w:rFonts w:asciiTheme="majorBidi" w:hAnsiTheme="majorBidi" w:cstheme="majorBidi"/>
        </w:rPr>
        <w:t>.</w:t>
      </w:r>
    </w:p>
    <w:p w14:paraId="606DA1F8" w14:textId="77777777" w:rsidR="00B85C9C" w:rsidRDefault="00B85C9C" w:rsidP="00C9369F">
      <w:pPr>
        <w:rPr>
          <w:rFonts w:asciiTheme="majorBidi" w:hAnsiTheme="majorBidi" w:cstheme="majorBidi"/>
        </w:rPr>
      </w:pPr>
    </w:p>
    <w:p w14:paraId="68EB9829" w14:textId="77777777" w:rsidR="00B85C9C" w:rsidRDefault="00B85C9C" w:rsidP="00C9369F">
      <w:pPr>
        <w:rPr>
          <w:rFonts w:asciiTheme="majorBidi" w:hAnsiTheme="majorBidi" w:cstheme="majorBidi"/>
        </w:rPr>
      </w:pPr>
      <w:r>
        <w:rPr>
          <w:rFonts w:asciiTheme="majorBidi" w:hAnsiTheme="majorBidi" w:cstheme="majorBidi"/>
        </w:rPr>
        <w:t xml:space="preserve">In general, these published reviews rated the quality of research evidence they evaluated to be of insufficiently high quality to make concrete recommendations. </w:t>
      </w:r>
    </w:p>
    <w:p w14:paraId="31393A68" w14:textId="77777777" w:rsidR="00B85C9C" w:rsidRDefault="00B85C9C" w:rsidP="00C9369F">
      <w:pPr>
        <w:rPr>
          <w:rFonts w:asciiTheme="majorBidi" w:hAnsiTheme="majorBidi" w:cstheme="majorBidi"/>
        </w:rPr>
      </w:pPr>
    </w:p>
    <w:p w14:paraId="7B8275A1" w14:textId="405AC069" w:rsidR="00B85C9C" w:rsidRDefault="00B85C9C" w:rsidP="00510D5A">
      <w:pPr>
        <w:rPr>
          <w:rFonts w:asciiTheme="majorBidi" w:hAnsiTheme="majorBidi" w:cstheme="majorBidi"/>
        </w:rPr>
      </w:pPr>
      <w:r>
        <w:rPr>
          <w:rFonts w:asciiTheme="majorBidi" w:hAnsiTheme="majorBidi" w:cstheme="majorBidi"/>
        </w:rPr>
        <w:t>Physician led anticoagulation consultation services may reduce bleeding rates in high-risk patients (based on one study where i</w:t>
      </w:r>
      <w:r w:rsidRPr="00C23070">
        <w:rPr>
          <w:rFonts w:asciiTheme="majorBidi" w:hAnsiTheme="majorBidi" w:cstheme="majorBidi"/>
        </w:rPr>
        <w:t>n-hospital bleeding rates were 58% lower in the physician-led intervention group compared with standard care (95% CI 2–82%; p = 0.03)</w:t>
      </w:r>
      <w:r>
        <w:rPr>
          <w:rFonts w:asciiTheme="majorBidi" w:hAnsiTheme="majorBidi" w:cstheme="majorBidi"/>
        </w:rPr>
        <w:t xml:space="preserve">. Decision-supported warfarin dosing, such as the use of dosing nomograms, led to more time with INR in the therapeutic range, but systematic education and feedback programmes for medical prescribers were not effective </w:t>
      </w:r>
      <w:r w:rsidRPr="00C23070">
        <w:rPr>
          <w:rFonts w:asciiTheme="majorBidi" w:hAnsiTheme="majorBidi" w:cstheme="majorBidi"/>
        </w:rPr>
        <w:t xml:space="preserve">(Frazer </w:t>
      </w:r>
      <w:r w:rsidR="00AA56F6">
        <w:rPr>
          <w:rFonts w:asciiTheme="majorBidi" w:hAnsiTheme="majorBidi" w:cstheme="majorBidi"/>
        </w:rPr>
        <w:t xml:space="preserve">et al </w:t>
      </w:r>
      <w:r w:rsidRPr="00C23070">
        <w:rPr>
          <w:rFonts w:asciiTheme="majorBidi" w:hAnsiTheme="majorBidi" w:cstheme="majorBidi"/>
        </w:rPr>
        <w:t>2019)</w:t>
      </w:r>
      <w:r>
        <w:rPr>
          <w:rFonts w:asciiTheme="majorBidi" w:hAnsiTheme="majorBidi" w:cstheme="majorBidi"/>
        </w:rPr>
        <w:t xml:space="preserve">. </w:t>
      </w:r>
    </w:p>
    <w:p w14:paraId="56E79720" w14:textId="77777777" w:rsidR="00B85C9C" w:rsidRDefault="00B85C9C" w:rsidP="00510D5A">
      <w:pPr>
        <w:rPr>
          <w:rFonts w:asciiTheme="majorBidi" w:hAnsiTheme="majorBidi" w:cstheme="majorBidi"/>
        </w:rPr>
      </w:pPr>
    </w:p>
    <w:p w14:paraId="0D9D875C" w14:textId="34D2B55E" w:rsidR="00B85C9C" w:rsidRDefault="00B85C9C" w:rsidP="00D54B7D">
      <w:pPr>
        <w:rPr>
          <w:rFonts w:asciiTheme="majorBidi" w:hAnsiTheme="majorBidi" w:cstheme="majorBidi"/>
        </w:rPr>
      </w:pPr>
      <w:r>
        <w:rPr>
          <w:rFonts w:asciiTheme="majorBidi" w:hAnsiTheme="majorBidi" w:cstheme="majorBidi"/>
        </w:rPr>
        <w:t xml:space="preserve">Supplemental education for patients was evaluated in one systematic review, with findings indicating only low or very-low certainty that patient-important outcomes were improved with serious risk of bias and spurious imprecision in studies </w:t>
      </w:r>
      <w:r w:rsidRPr="00510D5A">
        <w:rPr>
          <w:rFonts w:asciiTheme="majorBidi" w:hAnsiTheme="majorBidi" w:cstheme="majorBidi"/>
        </w:rPr>
        <w:t xml:space="preserve">(Paquette </w:t>
      </w:r>
      <w:r w:rsidR="00AA56F6">
        <w:rPr>
          <w:rFonts w:asciiTheme="majorBidi" w:hAnsiTheme="majorBidi" w:cstheme="majorBidi"/>
        </w:rPr>
        <w:t xml:space="preserve">et al </w:t>
      </w:r>
      <w:r w:rsidRPr="00510D5A">
        <w:rPr>
          <w:rFonts w:asciiTheme="majorBidi" w:hAnsiTheme="majorBidi" w:cstheme="majorBidi"/>
        </w:rPr>
        <w:t>2019)</w:t>
      </w:r>
      <w:r>
        <w:rPr>
          <w:rFonts w:asciiTheme="majorBidi" w:hAnsiTheme="majorBidi" w:cstheme="majorBidi"/>
        </w:rPr>
        <w:t xml:space="preserve">. A narrative review examined patient education, written information, patient decision aids, videos, pharmacist counselling, medication instructions, and multiple-component interventions, specifically aimed at patients with limited health literacy or from culturally and linguistically diverse backgrounds. Studies of several of these interventions reported positive impact in knowledge, reduction in bleeding events, and better INR control </w:t>
      </w:r>
      <w:r w:rsidRPr="00D54B7D">
        <w:rPr>
          <w:rFonts w:asciiTheme="majorBidi" w:hAnsiTheme="majorBidi" w:cstheme="majorBidi"/>
        </w:rPr>
        <w:t>(</w:t>
      </w:r>
      <w:proofErr w:type="spellStart"/>
      <w:r w:rsidRPr="00D54B7D">
        <w:rPr>
          <w:rFonts w:asciiTheme="majorBidi" w:hAnsiTheme="majorBidi" w:cstheme="majorBidi"/>
        </w:rPr>
        <w:t>Yiu</w:t>
      </w:r>
      <w:proofErr w:type="spellEnd"/>
      <w:r w:rsidRPr="00D54B7D">
        <w:rPr>
          <w:rFonts w:asciiTheme="majorBidi" w:hAnsiTheme="majorBidi" w:cstheme="majorBidi"/>
        </w:rPr>
        <w:t xml:space="preserve"> </w:t>
      </w:r>
      <w:r w:rsidR="00910D88">
        <w:rPr>
          <w:rFonts w:asciiTheme="majorBidi" w:hAnsiTheme="majorBidi" w:cstheme="majorBidi"/>
        </w:rPr>
        <w:t>and</w:t>
      </w:r>
      <w:r w:rsidRPr="00D54B7D">
        <w:rPr>
          <w:rFonts w:asciiTheme="majorBidi" w:hAnsiTheme="majorBidi" w:cstheme="majorBidi"/>
        </w:rPr>
        <w:t xml:space="preserve"> Bajorek 2019)</w:t>
      </w:r>
      <w:r>
        <w:rPr>
          <w:rFonts w:asciiTheme="majorBidi" w:hAnsiTheme="majorBidi" w:cstheme="majorBidi"/>
        </w:rPr>
        <w:t xml:space="preserve">, however, follow-up timeframes were often short, knowledge alone was assessed in some studies, and studies outside the review criteria were included. </w:t>
      </w:r>
    </w:p>
    <w:p w14:paraId="6F5E9B00" w14:textId="77777777" w:rsidR="00B85C9C" w:rsidRDefault="00B85C9C" w:rsidP="00C9369F">
      <w:pPr>
        <w:rPr>
          <w:rFonts w:asciiTheme="majorBidi" w:hAnsiTheme="majorBidi" w:cstheme="majorBidi"/>
        </w:rPr>
      </w:pPr>
    </w:p>
    <w:p w14:paraId="1B6D5340" w14:textId="7AD2F0F9" w:rsidR="00B85C9C" w:rsidRDefault="00B85C9C" w:rsidP="005551C2">
      <w:pPr>
        <w:rPr>
          <w:rFonts w:asciiTheme="majorBidi" w:hAnsiTheme="majorBidi" w:cstheme="majorBidi"/>
        </w:rPr>
      </w:pPr>
      <w:r>
        <w:rPr>
          <w:rFonts w:asciiTheme="majorBidi" w:hAnsiTheme="majorBidi" w:cstheme="majorBidi"/>
        </w:rPr>
        <w:t xml:space="preserve">E-health interventions were found to be generally underwhelming or under-studied. Some limited benefits were found for four major EMR interventions including </w:t>
      </w:r>
      <w:r w:rsidRPr="00C6520E">
        <w:rPr>
          <w:rFonts w:asciiTheme="majorBidi" w:hAnsiTheme="majorBidi" w:cstheme="majorBidi"/>
        </w:rPr>
        <w:t>computerised</w:t>
      </w:r>
      <w:r>
        <w:rPr>
          <w:rFonts w:asciiTheme="majorBidi" w:hAnsiTheme="majorBidi" w:cstheme="majorBidi"/>
        </w:rPr>
        <w:t xml:space="preserve"> </w:t>
      </w:r>
      <w:r w:rsidRPr="00C6520E">
        <w:rPr>
          <w:rFonts w:asciiTheme="majorBidi" w:hAnsiTheme="majorBidi" w:cstheme="majorBidi"/>
        </w:rPr>
        <w:t>physician order entry (CPOE), clinical decision support system</w:t>
      </w:r>
      <w:r>
        <w:rPr>
          <w:rFonts w:asciiTheme="majorBidi" w:hAnsiTheme="majorBidi" w:cstheme="majorBidi"/>
        </w:rPr>
        <w:t>s</w:t>
      </w:r>
      <w:r w:rsidRPr="00C6520E">
        <w:rPr>
          <w:rFonts w:asciiTheme="majorBidi" w:hAnsiTheme="majorBidi" w:cstheme="majorBidi"/>
        </w:rPr>
        <w:t xml:space="preserve"> (CDSS)</w:t>
      </w:r>
      <w:r>
        <w:rPr>
          <w:rFonts w:asciiTheme="majorBidi" w:hAnsiTheme="majorBidi" w:cstheme="majorBidi"/>
        </w:rPr>
        <w:t xml:space="preserve">, </w:t>
      </w:r>
      <w:r w:rsidRPr="00C6520E">
        <w:rPr>
          <w:rFonts w:asciiTheme="majorBidi" w:hAnsiTheme="majorBidi" w:cstheme="majorBidi"/>
        </w:rPr>
        <w:t>dashboard utilisation</w:t>
      </w:r>
      <w:r>
        <w:rPr>
          <w:rFonts w:asciiTheme="majorBidi" w:hAnsiTheme="majorBidi" w:cstheme="majorBidi"/>
        </w:rPr>
        <w:t xml:space="preserve">, </w:t>
      </w:r>
      <w:r w:rsidRPr="00C6520E">
        <w:rPr>
          <w:rFonts w:asciiTheme="majorBidi" w:hAnsiTheme="majorBidi" w:cstheme="majorBidi"/>
        </w:rPr>
        <w:t>and EMR implementation in general</w:t>
      </w:r>
      <w:r>
        <w:rPr>
          <w:rFonts w:asciiTheme="majorBidi" w:hAnsiTheme="majorBidi" w:cstheme="majorBidi"/>
        </w:rPr>
        <w:t>. However, r</w:t>
      </w:r>
      <w:r w:rsidRPr="00C6520E">
        <w:rPr>
          <w:rFonts w:asciiTheme="majorBidi" w:hAnsiTheme="majorBidi" w:cstheme="majorBidi"/>
        </w:rPr>
        <w:t xml:space="preserve">esearch investigating clinical impact to the patient </w:t>
      </w:r>
      <w:r>
        <w:rPr>
          <w:rFonts w:asciiTheme="majorBidi" w:hAnsiTheme="majorBidi" w:cstheme="majorBidi"/>
        </w:rPr>
        <w:t xml:space="preserve">was lacking </w:t>
      </w:r>
      <w:r>
        <w:rPr>
          <w:rFonts w:asciiTheme="majorBidi" w:hAnsiTheme="majorBidi" w:cstheme="majorBidi"/>
          <w:noProof/>
        </w:rPr>
        <w:t xml:space="preserve">(Austin </w:t>
      </w:r>
      <w:r w:rsidR="00AA56F6">
        <w:rPr>
          <w:rFonts w:asciiTheme="majorBidi" w:hAnsiTheme="majorBidi" w:cstheme="majorBidi"/>
          <w:noProof/>
        </w:rPr>
        <w:t xml:space="preserve">et al </w:t>
      </w:r>
      <w:r>
        <w:rPr>
          <w:rFonts w:asciiTheme="majorBidi" w:hAnsiTheme="majorBidi" w:cstheme="majorBidi"/>
          <w:noProof/>
        </w:rPr>
        <w:t>2020)</w:t>
      </w:r>
      <w:r w:rsidRPr="00C6520E">
        <w:rPr>
          <w:rFonts w:asciiTheme="majorBidi" w:hAnsiTheme="majorBidi" w:cstheme="majorBidi"/>
        </w:rPr>
        <w:t>.</w:t>
      </w:r>
      <w:r>
        <w:rPr>
          <w:rFonts w:asciiTheme="majorBidi" w:hAnsiTheme="majorBidi" w:cstheme="majorBidi"/>
        </w:rPr>
        <w:t xml:space="preserve"> Nevertheless, alerts increased the proportion of patients who received VTE prophylaxis and decreased the incidence of symptomatic VTE, additionally computer alerts were more effective than human alerts </w:t>
      </w:r>
      <w:r w:rsidRPr="00AB2A43">
        <w:rPr>
          <w:rFonts w:asciiTheme="majorBidi" w:hAnsiTheme="majorBidi" w:cstheme="majorBidi"/>
        </w:rPr>
        <w:t xml:space="preserve">(Kahn </w:t>
      </w:r>
      <w:r w:rsidR="00AA56F6">
        <w:rPr>
          <w:rFonts w:asciiTheme="majorBidi" w:hAnsiTheme="majorBidi" w:cstheme="majorBidi"/>
        </w:rPr>
        <w:t xml:space="preserve">et al </w:t>
      </w:r>
      <w:r w:rsidRPr="00AB2A43">
        <w:rPr>
          <w:rFonts w:asciiTheme="majorBidi" w:hAnsiTheme="majorBidi" w:cstheme="majorBidi"/>
        </w:rPr>
        <w:t>2018)</w:t>
      </w:r>
      <w:r>
        <w:rPr>
          <w:rFonts w:asciiTheme="majorBidi" w:hAnsiTheme="majorBidi" w:cstheme="majorBidi"/>
        </w:rPr>
        <w:t xml:space="preserve">. A further systematic review focusing just on CDSS for the initiation and monitoring of oral anticoagulants found evidence of significant improvements in practice (in 9 out of 16 studies), however clinical outcomes were poorly reported, the prevalence of CDSS use was low, and the risk of bias precluded general conclusions </w:t>
      </w:r>
      <w:r>
        <w:rPr>
          <w:rFonts w:asciiTheme="majorBidi" w:hAnsiTheme="majorBidi" w:cstheme="majorBidi"/>
          <w:noProof/>
        </w:rPr>
        <w:t xml:space="preserve">(Sennesael </w:t>
      </w:r>
      <w:r w:rsidR="00AA56F6">
        <w:rPr>
          <w:rFonts w:asciiTheme="majorBidi" w:hAnsiTheme="majorBidi" w:cstheme="majorBidi"/>
          <w:noProof/>
        </w:rPr>
        <w:t xml:space="preserve">et al </w:t>
      </w:r>
      <w:r>
        <w:rPr>
          <w:rFonts w:asciiTheme="majorBidi" w:hAnsiTheme="majorBidi" w:cstheme="majorBidi"/>
          <w:noProof/>
        </w:rPr>
        <w:t>2020)</w:t>
      </w:r>
      <w:r>
        <w:rPr>
          <w:rFonts w:asciiTheme="majorBidi" w:hAnsiTheme="majorBidi" w:cstheme="majorBidi"/>
        </w:rPr>
        <w:t xml:space="preserve">. Meta-analysis evaluating ‘technology-based’ interventions generally to manage warfarin (including telephone), found that the time in therapeutic range was improved, however, there was no statistically significant difference in safety </w:t>
      </w:r>
      <w:r w:rsidRPr="007466BA">
        <w:rPr>
          <w:rFonts w:asciiTheme="majorBidi" w:hAnsiTheme="majorBidi" w:cstheme="majorBidi"/>
        </w:rPr>
        <w:t xml:space="preserve">(Zheng </w:t>
      </w:r>
      <w:r w:rsidR="00AA56F6">
        <w:rPr>
          <w:rFonts w:asciiTheme="majorBidi" w:hAnsiTheme="majorBidi" w:cstheme="majorBidi"/>
        </w:rPr>
        <w:t xml:space="preserve">et al </w:t>
      </w:r>
      <w:r w:rsidRPr="007466BA">
        <w:rPr>
          <w:rFonts w:asciiTheme="majorBidi" w:hAnsiTheme="majorBidi" w:cstheme="majorBidi"/>
        </w:rPr>
        <w:t>2020)</w:t>
      </w:r>
      <w:r>
        <w:rPr>
          <w:rFonts w:asciiTheme="majorBidi" w:hAnsiTheme="majorBidi" w:cstheme="majorBidi"/>
        </w:rPr>
        <w:t xml:space="preserve">. </w:t>
      </w:r>
    </w:p>
    <w:p w14:paraId="4C1F88A7" w14:textId="77777777" w:rsidR="00B85C9C" w:rsidRDefault="00B85C9C" w:rsidP="00C23070">
      <w:pPr>
        <w:rPr>
          <w:rFonts w:asciiTheme="majorBidi" w:hAnsiTheme="majorBidi" w:cstheme="majorBidi"/>
        </w:rPr>
      </w:pPr>
    </w:p>
    <w:p w14:paraId="70CA56AA" w14:textId="2DA31602" w:rsidR="00B85C9C" w:rsidRPr="00B46928" w:rsidRDefault="00B85C9C" w:rsidP="007466BA">
      <w:pPr>
        <w:rPr>
          <w:rFonts w:asciiTheme="majorBidi" w:hAnsiTheme="majorBidi" w:cstheme="majorBidi"/>
        </w:rPr>
      </w:pPr>
      <w:r w:rsidRPr="00AB2A43">
        <w:rPr>
          <w:rFonts w:asciiTheme="majorBidi" w:hAnsiTheme="majorBidi" w:cstheme="majorBidi"/>
        </w:rPr>
        <w:t>Pharmacist management of heparin and warfarin</w:t>
      </w:r>
      <w:r w:rsidRPr="00CC2518">
        <w:rPr>
          <w:rFonts w:asciiTheme="majorBidi" w:hAnsiTheme="majorBidi" w:cstheme="majorBidi"/>
        </w:rPr>
        <w:t xml:space="preserve"> was found to provide some benefits in </w:t>
      </w:r>
      <w:r w:rsidRPr="00AB2A43">
        <w:rPr>
          <w:rFonts w:asciiTheme="majorBidi" w:hAnsiTheme="majorBidi" w:cstheme="majorBidi"/>
        </w:rPr>
        <w:t>surrogate outcomes</w:t>
      </w:r>
      <w:r w:rsidRPr="00CC2518">
        <w:rPr>
          <w:rFonts w:asciiTheme="majorBidi" w:hAnsiTheme="majorBidi" w:cstheme="majorBidi"/>
        </w:rPr>
        <w:t xml:space="preserve"> (greater time in therapeutic INR range, greater INR stability, decreased length of stay, and reduced major drug interactions) and may be associated with </w:t>
      </w:r>
      <w:r w:rsidRPr="00AB2A43">
        <w:rPr>
          <w:rFonts w:asciiTheme="majorBidi" w:hAnsiTheme="majorBidi" w:cstheme="majorBidi"/>
        </w:rPr>
        <w:t>reduced patient mortality</w:t>
      </w:r>
      <w:r w:rsidRPr="00CC2518">
        <w:rPr>
          <w:rFonts w:asciiTheme="majorBidi" w:hAnsiTheme="majorBidi" w:cstheme="majorBidi"/>
        </w:rPr>
        <w:t xml:space="preserve"> </w:t>
      </w:r>
      <w:r w:rsidRPr="00CC2518">
        <w:rPr>
          <w:rFonts w:asciiTheme="majorBidi" w:hAnsiTheme="majorBidi" w:cstheme="majorBidi"/>
          <w:noProof/>
        </w:rPr>
        <w:t xml:space="preserve">(Lee </w:t>
      </w:r>
      <w:r w:rsidR="00AA56F6">
        <w:rPr>
          <w:rFonts w:asciiTheme="majorBidi" w:hAnsiTheme="majorBidi" w:cstheme="majorBidi"/>
          <w:noProof/>
        </w:rPr>
        <w:t xml:space="preserve">et al </w:t>
      </w:r>
      <w:r w:rsidRPr="00CC2518">
        <w:rPr>
          <w:rFonts w:asciiTheme="majorBidi" w:hAnsiTheme="majorBidi" w:cstheme="majorBidi"/>
          <w:noProof/>
        </w:rPr>
        <w:t>2016)</w:t>
      </w:r>
      <w:r w:rsidRPr="00CC2518">
        <w:rPr>
          <w:rFonts w:asciiTheme="majorBidi" w:hAnsiTheme="majorBidi" w:cstheme="majorBidi"/>
        </w:rPr>
        <w:t>. However, conclusions were limited by small, poorly designed studies lacking statistical power, and measurement of surrogate outcomes.</w:t>
      </w:r>
    </w:p>
    <w:p w14:paraId="1D6BBC75" w14:textId="77777777" w:rsidR="00B85C9C" w:rsidRPr="00B46928" w:rsidRDefault="00B85C9C" w:rsidP="00C04448">
      <w:pPr>
        <w:rPr>
          <w:rFonts w:asciiTheme="majorBidi" w:hAnsiTheme="majorBidi" w:cstheme="majorBidi"/>
        </w:rPr>
      </w:pPr>
    </w:p>
    <w:p w14:paraId="4929A25B" w14:textId="77777777" w:rsidR="00B85C9C" w:rsidRPr="00534EEF" w:rsidRDefault="00B85C9C" w:rsidP="00CA1C8F">
      <w:pPr>
        <w:pStyle w:val="Heading4"/>
      </w:pPr>
      <w:bookmarkStart w:id="18" w:name="_Toc106288214"/>
      <w:r w:rsidRPr="00534EEF">
        <w:t>Individual Studies</w:t>
      </w:r>
      <w:bookmarkEnd w:id="18"/>
    </w:p>
    <w:p w14:paraId="5D464C55" w14:textId="77777777" w:rsidR="00B85C9C" w:rsidRDefault="00B85C9C" w:rsidP="00C04448">
      <w:pPr>
        <w:rPr>
          <w:rFonts w:asciiTheme="majorBidi" w:hAnsiTheme="majorBidi" w:cstheme="majorBidi"/>
        </w:rPr>
      </w:pPr>
    </w:p>
    <w:p w14:paraId="6CEB3976" w14:textId="77777777" w:rsidR="00B85C9C" w:rsidRDefault="00B85C9C" w:rsidP="00C04448">
      <w:pPr>
        <w:rPr>
          <w:rFonts w:asciiTheme="majorBidi" w:hAnsiTheme="majorBidi" w:cstheme="majorBidi"/>
        </w:rPr>
      </w:pPr>
      <w:r>
        <w:rPr>
          <w:rFonts w:asciiTheme="majorBidi" w:hAnsiTheme="majorBidi" w:cstheme="majorBidi"/>
        </w:rPr>
        <w:t>The 33 individual studies retained following full-text review are described in Appendix Table A2. The table organises studies first by intervention type and within each type studies are listed very roughly according to quality of the evidence they provide, with more robust studies listed first.</w:t>
      </w:r>
    </w:p>
    <w:p w14:paraId="170842E1" w14:textId="77777777" w:rsidR="00B85C9C" w:rsidRDefault="00B85C9C" w:rsidP="00C04448">
      <w:pPr>
        <w:rPr>
          <w:rFonts w:asciiTheme="majorBidi" w:hAnsiTheme="majorBidi" w:cstheme="majorBidi"/>
        </w:rPr>
      </w:pPr>
    </w:p>
    <w:p w14:paraId="32FA7181" w14:textId="77777777" w:rsidR="00B85C9C" w:rsidRPr="00131C8A" w:rsidRDefault="00B85C9C" w:rsidP="00131C8A">
      <w:pPr>
        <w:pStyle w:val="Heading3"/>
      </w:pPr>
      <w:r w:rsidRPr="00131C8A">
        <w:t>Anticoagulation Stewardship</w:t>
      </w:r>
    </w:p>
    <w:p w14:paraId="4CE12B71" w14:textId="77777777" w:rsidR="00B85C9C" w:rsidRDefault="00B85C9C" w:rsidP="00C04448">
      <w:pPr>
        <w:rPr>
          <w:rFonts w:asciiTheme="majorBidi" w:hAnsiTheme="majorBidi" w:cstheme="majorBidi"/>
        </w:rPr>
      </w:pPr>
    </w:p>
    <w:p w14:paraId="754C7620" w14:textId="77777777" w:rsidR="00B85C9C" w:rsidRDefault="00B85C9C" w:rsidP="00C04448">
      <w:pPr>
        <w:rPr>
          <w:rFonts w:asciiTheme="majorBidi" w:hAnsiTheme="majorBidi" w:cstheme="majorBidi"/>
        </w:rPr>
      </w:pPr>
      <w:r>
        <w:rPr>
          <w:rFonts w:asciiTheme="majorBidi" w:hAnsiTheme="majorBidi" w:cstheme="majorBidi"/>
        </w:rPr>
        <w:t xml:space="preserve">Anticoagulation stewardship programmes have been evaluated in several locations. These programmes usually consist of a multicomponent approach involving leadership, guidelines, protocols, anticoagulation services such as pharmacist screening or expert consultation, medication review/reconciliation, education, patient counselling, measurement, and are based on principles imported from antimicrobial stewardship programmes. </w:t>
      </w:r>
    </w:p>
    <w:p w14:paraId="115C8EEE" w14:textId="77777777" w:rsidR="00B85C9C" w:rsidRDefault="00B85C9C" w:rsidP="00C04448">
      <w:pPr>
        <w:rPr>
          <w:rFonts w:asciiTheme="majorBidi" w:hAnsiTheme="majorBidi" w:cstheme="majorBidi"/>
        </w:rPr>
      </w:pPr>
    </w:p>
    <w:p w14:paraId="26E40A1E" w14:textId="77DAA33A" w:rsidR="00B85C9C" w:rsidRDefault="00B85C9C" w:rsidP="00974D62">
      <w:pPr>
        <w:rPr>
          <w:rFonts w:asciiTheme="majorBidi" w:hAnsiTheme="majorBidi" w:cstheme="majorBidi"/>
        </w:rPr>
      </w:pPr>
      <w:r>
        <w:rPr>
          <w:rFonts w:asciiTheme="majorBidi" w:hAnsiTheme="majorBidi" w:cstheme="majorBidi"/>
        </w:rPr>
        <w:t xml:space="preserve">In the Netherlands, a prospective, non-randomised, pre-/post- study included 1,886 patients who started anticoagulation therapy in hospital and evaluated a multidisciplinary antithrombotic stewardship programme against usual care </w:t>
      </w:r>
      <w:r w:rsidRPr="00BF19CE">
        <w:rPr>
          <w:rFonts w:asciiTheme="majorBidi" w:hAnsiTheme="majorBidi" w:cstheme="majorBidi"/>
        </w:rPr>
        <w:t xml:space="preserve">(Dreijer, </w:t>
      </w:r>
      <w:proofErr w:type="spellStart"/>
      <w:r w:rsidRPr="00BF19CE">
        <w:rPr>
          <w:rFonts w:asciiTheme="majorBidi" w:hAnsiTheme="majorBidi" w:cstheme="majorBidi"/>
        </w:rPr>
        <w:t>Diepstraten</w:t>
      </w:r>
      <w:proofErr w:type="spellEnd"/>
      <w:r w:rsidRPr="00BF19CE">
        <w:rPr>
          <w:rFonts w:asciiTheme="majorBidi" w:hAnsiTheme="majorBidi" w:cstheme="majorBidi"/>
        </w:rPr>
        <w:t xml:space="preserve">, </w:t>
      </w:r>
      <w:proofErr w:type="spellStart"/>
      <w:r w:rsidRPr="00BF19CE">
        <w:rPr>
          <w:rFonts w:asciiTheme="majorBidi" w:hAnsiTheme="majorBidi" w:cstheme="majorBidi"/>
        </w:rPr>
        <w:t>Leebeek</w:t>
      </w:r>
      <w:proofErr w:type="spellEnd"/>
      <w:r w:rsidRPr="00BF19CE">
        <w:rPr>
          <w:rFonts w:asciiTheme="majorBidi" w:hAnsiTheme="majorBidi" w:cstheme="majorBidi"/>
        </w:rPr>
        <w:t xml:space="preserve">, </w:t>
      </w:r>
      <w:proofErr w:type="spellStart"/>
      <w:r w:rsidRPr="00BF19CE">
        <w:rPr>
          <w:rFonts w:asciiTheme="majorBidi" w:hAnsiTheme="majorBidi" w:cstheme="majorBidi"/>
        </w:rPr>
        <w:t>Kruip</w:t>
      </w:r>
      <w:proofErr w:type="spellEnd"/>
      <w:r w:rsidRPr="00BF19CE">
        <w:rPr>
          <w:rFonts w:asciiTheme="majorBidi" w:hAnsiTheme="majorBidi" w:cstheme="majorBidi"/>
        </w:rPr>
        <w:t xml:space="preserve">, </w:t>
      </w:r>
      <w:r w:rsidR="00910D88">
        <w:rPr>
          <w:rFonts w:asciiTheme="majorBidi" w:hAnsiTheme="majorBidi" w:cstheme="majorBidi"/>
        </w:rPr>
        <w:t>and</w:t>
      </w:r>
      <w:r w:rsidRPr="00BF19CE">
        <w:rPr>
          <w:rFonts w:asciiTheme="majorBidi" w:hAnsiTheme="majorBidi" w:cstheme="majorBidi"/>
        </w:rPr>
        <w:t xml:space="preserve"> van den </w:t>
      </w:r>
      <w:proofErr w:type="spellStart"/>
      <w:r w:rsidRPr="00BF19CE">
        <w:rPr>
          <w:rFonts w:asciiTheme="majorBidi" w:hAnsiTheme="majorBidi" w:cstheme="majorBidi"/>
        </w:rPr>
        <w:t>Bemt</w:t>
      </w:r>
      <w:proofErr w:type="spellEnd"/>
      <w:r w:rsidRPr="00BF19CE">
        <w:rPr>
          <w:rFonts w:asciiTheme="majorBidi" w:hAnsiTheme="majorBidi" w:cstheme="majorBidi"/>
        </w:rPr>
        <w:t xml:space="preserve"> 2019)</w:t>
      </w:r>
      <w:r>
        <w:rPr>
          <w:rFonts w:asciiTheme="majorBidi" w:hAnsiTheme="majorBidi" w:cstheme="majorBidi"/>
        </w:rPr>
        <w:t>. Implementation of the programme was associated with significantly greater adherence to guidelines (adjusted OR 1.58, 95% CI 1.21–2.05) with improved practice largely seen with low molecular weight heparins. A composite endpoint of bleeding or thrombosis by three months after hospitalisation showed a trend of reducing by 1.83% per two months (Jan–Dec 2017) following intervention (95% CI -2.58 to -1.08). However, there was no difference for in-hospital bleeding or thrombosis events. A</w:t>
      </w:r>
      <w:r w:rsidRPr="00974D62">
        <w:rPr>
          <w:rFonts w:asciiTheme="majorBidi" w:hAnsiTheme="majorBidi" w:cstheme="majorBidi"/>
        </w:rPr>
        <w:t>ll-cause mortality was lower in the intervention period [8.6% (81/945)] compared</w:t>
      </w:r>
      <w:r>
        <w:rPr>
          <w:rFonts w:asciiTheme="majorBidi" w:hAnsiTheme="majorBidi" w:cstheme="majorBidi"/>
        </w:rPr>
        <w:t xml:space="preserve"> </w:t>
      </w:r>
      <w:r w:rsidRPr="00974D62">
        <w:rPr>
          <w:rFonts w:asciiTheme="majorBidi" w:hAnsiTheme="majorBidi" w:cstheme="majorBidi"/>
        </w:rPr>
        <w:t>to the usual care period [11.5% (108/941)] OR 0.72 (0.53 to 0.98). Analysis of causes of death indicated that bleeding and thrombosis were not the driving factors</w:t>
      </w:r>
      <w:r>
        <w:rPr>
          <w:rFonts w:asciiTheme="majorBidi" w:hAnsiTheme="majorBidi" w:cstheme="majorBidi"/>
        </w:rPr>
        <w:t xml:space="preserve"> </w:t>
      </w:r>
      <w:r w:rsidRPr="00BF19CE">
        <w:rPr>
          <w:rFonts w:asciiTheme="majorBidi" w:hAnsiTheme="majorBidi" w:cstheme="majorBidi"/>
        </w:rPr>
        <w:t xml:space="preserve">(Dreijer </w:t>
      </w:r>
      <w:r w:rsidR="00AA56F6">
        <w:rPr>
          <w:rFonts w:asciiTheme="majorBidi" w:hAnsiTheme="majorBidi" w:cstheme="majorBidi"/>
        </w:rPr>
        <w:t xml:space="preserve">et al </w:t>
      </w:r>
      <w:r w:rsidRPr="00BF19CE">
        <w:rPr>
          <w:rFonts w:asciiTheme="majorBidi" w:hAnsiTheme="majorBidi" w:cstheme="majorBidi"/>
        </w:rPr>
        <w:t>2020)</w:t>
      </w:r>
      <w:r>
        <w:rPr>
          <w:rFonts w:asciiTheme="majorBidi" w:hAnsiTheme="majorBidi" w:cstheme="majorBidi"/>
        </w:rPr>
        <w:t>.</w:t>
      </w:r>
    </w:p>
    <w:p w14:paraId="1564E995" w14:textId="77777777" w:rsidR="00B85C9C" w:rsidRPr="00BF19CE" w:rsidRDefault="00B85C9C" w:rsidP="00BF19CE">
      <w:pPr>
        <w:rPr>
          <w:rFonts w:asciiTheme="majorBidi" w:hAnsiTheme="majorBidi" w:cstheme="majorBidi"/>
        </w:rPr>
      </w:pPr>
    </w:p>
    <w:p w14:paraId="5B61B3F2" w14:textId="6A9C7982" w:rsidR="00B85C9C" w:rsidRDefault="00B85C9C" w:rsidP="000A134D">
      <w:pPr>
        <w:rPr>
          <w:rFonts w:asciiTheme="majorBidi" w:hAnsiTheme="majorBidi" w:cstheme="majorBidi"/>
        </w:rPr>
      </w:pPr>
      <w:r>
        <w:rPr>
          <w:rFonts w:asciiTheme="majorBidi" w:hAnsiTheme="majorBidi" w:cstheme="majorBidi"/>
        </w:rPr>
        <w:t xml:space="preserve">In the United States, a pre-/post- intervention study evaluated an anticoagulation stewardship programme in which pharmacists and haematologists provided oversight of anticoagulant use, high-cost reversal agents and management of heparin-induced thrombocytopenia. Assessment was triggered by daily review of EMR generated reports. The comparator was usual care. Of 19,445 charts reviewed 1,930 contained a stewardship opportunity. Recommended interventions were accepted 83–91% of the time. Inappropriate use of </w:t>
      </w:r>
      <w:r w:rsidRPr="00340895">
        <w:rPr>
          <w:rFonts w:asciiTheme="majorBidi" w:hAnsiTheme="majorBidi" w:cstheme="majorBidi"/>
        </w:rPr>
        <w:t>prothrombin</w:t>
      </w:r>
      <w:r>
        <w:rPr>
          <w:rFonts w:asciiTheme="majorBidi" w:hAnsiTheme="majorBidi" w:cstheme="majorBidi"/>
        </w:rPr>
        <w:t xml:space="preserve"> </w:t>
      </w:r>
      <w:r w:rsidRPr="00340895">
        <w:rPr>
          <w:rFonts w:asciiTheme="majorBidi" w:hAnsiTheme="majorBidi" w:cstheme="majorBidi"/>
        </w:rPr>
        <w:t>complex concentrate</w:t>
      </w:r>
      <w:r>
        <w:rPr>
          <w:rFonts w:asciiTheme="majorBidi" w:hAnsiTheme="majorBidi" w:cstheme="majorBidi"/>
        </w:rPr>
        <w:t xml:space="preserve"> fell from 55.8% pre- to 2.6% post-intervention. The intervention was estimated to be cost-saving (-US$799,690) </w:t>
      </w:r>
      <w:r w:rsidRPr="00340895">
        <w:rPr>
          <w:rFonts w:asciiTheme="majorBidi" w:hAnsiTheme="majorBidi" w:cstheme="majorBidi"/>
        </w:rPr>
        <w:t>(</w:t>
      </w:r>
      <w:proofErr w:type="spellStart"/>
      <w:r w:rsidRPr="00340895">
        <w:rPr>
          <w:rFonts w:asciiTheme="majorBidi" w:hAnsiTheme="majorBidi" w:cstheme="majorBidi"/>
        </w:rPr>
        <w:t>Wychowski</w:t>
      </w:r>
      <w:proofErr w:type="spellEnd"/>
      <w:r w:rsidRPr="00340895">
        <w:rPr>
          <w:rFonts w:asciiTheme="majorBidi" w:hAnsiTheme="majorBidi" w:cstheme="majorBidi"/>
        </w:rPr>
        <w:t xml:space="preserve">, Ruscio, </w:t>
      </w:r>
      <w:proofErr w:type="spellStart"/>
      <w:r w:rsidRPr="00340895">
        <w:rPr>
          <w:rFonts w:asciiTheme="majorBidi" w:hAnsiTheme="majorBidi" w:cstheme="majorBidi"/>
        </w:rPr>
        <w:t>Kouides</w:t>
      </w:r>
      <w:proofErr w:type="spellEnd"/>
      <w:r w:rsidRPr="00340895">
        <w:rPr>
          <w:rFonts w:asciiTheme="majorBidi" w:hAnsiTheme="majorBidi" w:cstheme="majorBidi"/>
        </w:rPr>
        <w:t xml:space="preserve">, </w:t>
      </w:r>
      <w:r w:rsidR="00910D88">
        <w:rPr>
          <w:rFonts w:asciiTheme="majorBidi" w:hAnsiTheme="majorBidi" w:cstheme="majorBidi"/>
        </w:rPr>
        <w:t>and</w:t>
      </w:r>
      <w:r w:rsidRPr="00340895">
        <w:rPr>
          <w:rFonts w:asciiTheme="majorBidi" w:hAnsiTheme="majorBidi" w:cstheme="majorBidi"/>
        </w:rPr>
        <w:t xml:space="preserve"> Sham 2017)</w:t>
      </w:r>
      <w:r>
        <w:rPr>
          <w:rFonts w:asciiTheme="majorBidi" w:hAnsiTheme="majorBidi" w:cstheme="majorBidi"/>
        </w:rPr>
        <w:t xml:space="preserve">. A study in Israel of pharmacist-led anticoagulation stewardship similarly reported high rates of potentially inappropriately prescribed DOACs (one in three), with a high rate of physician acceptance of pharmacist recommendations (70%) </w:t>
      </w:r>
      <w:r w:rsidRPr="000A134D">
        <w:rPr>
          <w:rFonts w:asciiTheme="majorBidi" w:hAnsiTheme="majorBidi" w:cstheme="majorBidi"/>
        </w:rPr>
        <w:t xml:space="preserve">(Perlman </w:t>
      </w:r>
      <w:r w:rsidR="00AA56F6">
        <w:rPr>
          <w:rFonts w:asciiTheme="majorBidi" w:hAnsiTheme="majorBidi" w:cstheme="majorBidi"/>
        </w:rPr>
        <w:t xml:space="preserve">et al </w:t>
      </w:r>
      <w:r w:rsidRPr="000A134D">
        <w:rPr>
          <w:rFonts w:asciiTheme="majorBidi" w:hAnsiTheme="majorBidi" w:cstheme="majorBidi"/>
        </w:rPr>
        <w:t>2019)</w:t>
      </w:r>
      <w:r>
        <w:rPr>
          <w:rFonts w:asciiTheme="majorBidi" w:hAnsiTheme="majorBidi" w:cstheme="majorBidi"/>
        </w:rPr>
        <w:t xml:space="preserve">. Another real-time clinical surveillance and management study evaluated a haemostatic and antithrombotic stewardship programme focused on HIT, haemophilia A/B, ECMO, and patients with mechanical cardiac assist devices also found cost-savings (-US$1,449,417 in one financial year) </w:t>
      </w:r>
      <w:r w:rsidRPr="0050145C">
        <w:rPr>
          <w:rFonts w:asciiTheme="majorBidi" w:hAnsiTheme="majorBidi" w:cstheme="majorBidi"/>
        </w:rPr>
        <w:t xml:space="preserve">(Reardon </w:t>
      </w:r>
      <w:r w:rsidR="00AA56F6">
        <w:rPr>
          <w:rFonts w:asciiTheme="majorBidi" w:hAnsiTheme="majorBidi" w:cstheme="majorBidi"/>
        </w:rPr>
        <w:t xml:space="preserve">et al </w:t>
      </w:r>
      <w:r w:rsidRPr="0050145C">
        <w:rPr>
          <w:rFonts w:asciiTheme="majorBidi" w:hAnsiTheme="majorBidi" w:cstheme="majorBidi"/>
        </w:rPr>
        <w:t>2015)</w:t>
      </w:r>
      <w:r>
        <w:rPr>
          <w:rFonts w:asciiTheme="majorBidi" w:hAnsiTheme="majorBidi" w:cstheme="majorBidi"/>
        </w:rPr>
        <w:t>.</w:t>
      </w:r>
    </w:p>
    <w:p w14:paraId="4E413B4E" w14:textId="77777777" w:rsidR="00B85C9C" w:rsidRDefault="00B85C9C" w:rsidP="00144654">
      <w:pPr>
        <w:rPr>
          <w:rFonts w:asciiTheme="majorBidi" w:hAnsiTheme="majorBidi" w:cstheme="majorBidi"/>
        </w:rPr>
      </w:pPr>
    </w:p>
    <w:p w14:paraId="378D0ADC" w14:textId="2D74BCCA" w:rsidR="00B85C9C" w:rsidRDefault="00B85C9C" w:rsidP="00846278">
      <w:pPr>
        <w:rPr>
          <w:rFonts w:asciiTheme="majorBidi" w:hAnsiTheme="majorBidi" w:cstheme="majorBidi"/>
        </w:rPr>
      </w:pPr>
      <w:r>
        <w:rPr>
          <w:rFonts w:asciiTheme="majorBidi" w:hAnsiTheme="majorBidi" w:cstheme="majorBidi"/>
        </w:rPr>
        <w:t xml:space="preserve">In Australia, a pre-/post- study evaluated a </w:t>
      </w:r>
      <w:r w:rsidRPr="00144654">
        <w:rPr>
          <w:rFonts w:asciiTheme="majorBidi" w:hAnsiTheme="majorBidi" w:cstheme="majorBidi"/>
        </w:rPr>
        <w:t>public metropolitan tertiary referral hospital</w:t>
      </w:r>
      <w:r>
        <w:rPr>
          <w:rFonts w:asciiTheme="majorBidi" w:hAnsiTheme="majorBidi" w:cstheme="majorBidi"/>
        </w:rPr>
        <w:t xml:space="preserve">’s implementation of an anticoagulation and analgesic stewardship programme. The programme was based on antimicrobial management services principles and was led by a senior clinical pharmacist and clinical haematologist. It included multidisciplinary governance, clinical education, data </w:t>
      </w:r>
      <w:r w:rsidRPr="00846278">
        <w:rPr>
          <w:rFonts w:asciiTheme="majorBidi" w:hAnsiTheme="majorBidi" w:cstheme="majorBidi"/>
        </w:rPr>
        <w:t xml:space="preserve">and monitoring, QI initiatives and activities, and lead pharmacist involvement in patient-centred care. </w:t>
      </w:r>
      <w:r>
        <w:rPr>
          <w:rFonts w:asciiTheme="majorBidi" w:hAnsiTheme="majorBidi" w:cstheme="majorBidi"/>
        </w:rPr>
        <w:t>H</w:t>
      </w:r>
      <w:r w:rsidRPr="00846278">
        <w:rPr>
          <w:rFonts w:asciiTheme="majorBidi" w:hAnsiTheme="majorBidi" w:cstheme="majorBidi"/>
        </w:rPr>
        <w:t>ospital acquired VTE</w:t>
      </w:r>
      <w:r>
        <w:rPr>
          <w:rFonts w:asciiTheme="majorBidi" w:hAnsiTheme="majorBidi" w:cstheme="majorBidi"/>
        </w:rPr>
        <w:t xml:space="preserve">, as measured by coded data, reduced by </w:t>
      </w:r>
      <w:r w:rsidRPr="00846278">
        <w:rPr>
          <w:rFonts w:asciiTheme="majorBidi" w:hAnsiTheme="majorBidi" w:cstheme="majorBidi"/>
        </w:rPr>
        <w:t xml:space="preserve">33% </w:t>
      </w:r>
      <w:r>
        <w:rPr>
          <w:rFonts w:asciiTheme="majorBidi" w:hAnsiTheme="majorBidi" w:cstheme="majorBidi"/>
        </w:rPr>
        <w:t>in the following year</w:t>
      </w:r>
      <w:r w:rsidRPr="00846278">
        <w:rPr>
          <w:rFonts w:asciiTheme="majorBidi" w:hAnsiTheme="majorBidi" w:cstheme="majorBidi"/>
        </w:rPr>
        <w:t xml:space="preserve">. </w:t>
      </w:r>
      <w:r>
        <w:rPr>
          <w:rFonts w:asciiTheme="majorBidi" w:hAnsiTheme="majorBidi" w:cstheme="majorBidi"/>
        </w:rPr>
        <w:t>H</w:t>
      </w:r>
      <w:r w:rsidRPr="00846278">
        <w:rPr>
          <w:rFonts w:asciiTheme="majorBidi" w:hAnsiTheme="majorBidi" w:cstheme="majorBidi"/>
        </w:rPr>
        <w:t xml:space="preserve">ospital-wide anticoagulant-related bleeds </w:t>
      </w:r>
      <w:r>
        <w:rPr>
          <w:rFonts w:asciiTheme="majorBidi" w:hAnsiTheme="majorBidi" w:cstheme="majorBidi"/>
        </w:rPr>
        <w:t>twelve</w:t>
      </w:r>
      <w:r w:rsidRPr="00846278">
        <w:rPr>
          <w:rFonts w:asciiTheme="majorBidi" w:hAnsiTheme="majorBidi" w:cstheme="majorBidi"/>
        </w:rPr>
        <w:t xml:space="preserve"> months after</w:t>
      </w:r>
      <w:r>
        <w:rPr>
          <w:rFonts w:asciiTheme="majorBidi" w:hAnsiTheme="majorBidi" w:cstheme="majorBidi"/>
        </w:rPr>
        <w:t xml:space="preserve"> </w:t>
      </w:r>
      <w:r w:rsidRPr="00846278">
        <w:rPr>
          <w:rFonts w:asciiTheme="majorBidi" w:hAnsiTheme="majorBidi" w:cstheme="majorBidi"/>
        </w:rPr>
        <w:t>program</w:t>
      </w:r>
      <w:r>
        <w:rPr>
          <w:rFonts w:asciiTheme="majorBidi" w:hAnsiTheme="majorBidi" w:cstheme="majorBidi"/>
        </w:rPr>
        <w:t>me</w:t>
      </w:r>
      <w:r w:rsidRPr="00846278">
        <w:rPr>
          <w:rFonts w:asciiTheme="majorBidi" w:hAnsiTheme="majorBidi" w:cstheme="majorBidi"/>
        </w:rPr>
        <w:t xml:space="preserve"> implementation showed a 20% reduction in events</w:t>
      </w:r>
      <w:r>
        <w:rPr>
          <w:rFonts w:asciiTheme="majorBidi" w:hAnsiTheme="majorBidi" w:cstheme="majorBidi"/>
        </w:rPr>
        <w:t xml:space="preserve">. However, no statistical analysis was presented </w:t>
      </w:r>
      <w:r w:rsidRPr="00846278">
        <w:rPr>
          <w:rFonts w:asciiTheme="majorBidi" w:hAnsiTheme="majorBidi" w:cstheme="majorBidi"/>
          <w:noProof/>
        </w:rPr>
        <w:t xml:space="preserve">(Bui </w:t>
      </w:r>
      <w:r w:rsidR="00AA56F6">
        <w:rPr>
          <w:rFonts w:asciiTheme="majorBidi" w:hAnsiTheme="majorBidi" w:cstheme="majorBidi"/>
          <w:noProof/>
        </w:rPr>
        <w:t xml:space="preserve">et al </w:t>
      </w:r>
      <w:r w:rsidRPr="00846278">
        <w:rPr>
          <w:rFonts w:asciiTheme="majorBidi" w:hAnsiTheme="majorBidi" w:cstheme="majorBidi"/>
          <w:noProof/>
        </w:rPr>
        <w:t>2021)</w:t>
      </w:r>
      <w:r>
        <w:rPr>
          <w:rFonts w:asciiTheme="majorBidi" w:hAnsiTheme="majorBidi" w:cstheme="majorBidi"/>
        </w:rPr>
        <w:t>.</w:t>
      </w:r>
    </w:p>
    <w:p w14:paraId="38E66680" w14:textId="77777777" w:rsidR="00B85C9C" w:rsidRDefault="00B85C9C" w:rsidP="00846278">
      <w:pPr>
        <w:rPr>
          <w:rFonts w:asciiTheme="majorBidi" w:hAnsiTheme="majorBidi" w:cstheme="majorBidi"/>
        </w:rPr>
      </w:pPr>
    </w:p>
    <w:p w14:paraId="79F70866" w14:textId="011B5A6C" w:rsidR="00B85C9C" w:rsidRPr="00144654" w:rsidRDefault="00B85C9C" w:rsidP="00846278">
      <w:pPr>
        <w:rPr>
          <w:rFonts w:asciiTheme="majorBidi" w:hAnsiTheme="majorBidi" w:cstheme="majorBidi"/>
        </w:rPr>
      </w:pPr>
      <w:r>
        <w:rPr>
          <w:rFonts w:asciiTheme="majorBidi" w:hAnsiTheme="majorBidi" w:cstheme="majorBidi"/>
        </w:rPr>
        <w:t xml:space="preserve">In lower quality evidence, a multi-site hospital system in the United States reported its use of a multidisciplinary anticoagulant taskforce to address anticoagulation-related issues. Institutional self-assessment using the Institute for Safe Medical Practice antithrombotic self-assessment score (see below) rose from 67% to 87% </w:t>
      </w:r>
      <w:r w:rsidRPr="00144654">
        <w:rPr>
          <w:rFonts w:asciiTheme="majorBidi" w:hAnsiTheme="majorBidi" w:cstheme="majorBidi"/>
        </w:rPr>
        <w:t xml:space="preserve">(Attia </w:t>
      </w:r>
      <w:r w:rsidR="00AA56F6">
        <w:rPr>
          <w:rFonts w:asciiTheme="majorBidi" w:hAnsiTheme="majorBidi" w:cstheme="majorBidi"/>
        </w:rPr>
        <w:t xml:space="preserve">et al </w:t>
      </w:r>
      <w:r w:rsidRPr="00144654">
        <w:rPr>
          <w:rFonts w:asciiTheme="majorBidi" w:hAnsiTheme="majorBidi" w:cstheme="majorBidi"/>
        </w:rPr>
        <w:t>2022)</w:t>
      </w:r>
      <w:r>
        <w:rPr>
          <w:rFonts w:asciiTheme="majorBidi" w:hAnsiTheme="majorBidi" w:cstheme="majorBidi"/>
        </w:rPr>
        <w:t xml:space="preserve">. </w:t>
      </w:r>
    </w:p>
    <w:p w14:paraId="150A3156" w14:textId="77777777" w:rsidR="00B85C9C" w:rsidRDefault="00B85C9C" w:rsidP="00144654">
      <w:pPr>
        <w:rPr>
          <w:rFonts w:asciiTheme="majorBidi" w:hAnsiTheme="majorBidi" w:cstheme="majorBidi"/>
        </w:rPr>
      </w:pPr>
    </w:p>
    <w:p w14:paraId="43136285" w14:textId="77777777" w:rsidR="00B85C9C" w:rsidRDefault="00B85C9C" w:rsidP="00340895">
      <w:pPr>
        <w:rPr>
          <w:rFonts w:asciiTheme="majorBidi" w:hAnsiTheme="majorBidi" w:cstheme="majorBidi"/>
        </w:rPr>
      </w:pPr>
      <w:r>
        <w:rPr>
          <w:rFonts w:asciiTheme="majorBidi" w:hAnsiTheme="majorBidi" w:cstheme="majorBidi"/>
        </w:rPr>
        <w:t xml:space="preserve">Overall, the evidence sourced indicates that anticoagulation stewardship programmes may show some promise with evidence indicating improvements in adherence to guidelines, more appropriate prescribing, improved institutional processes, with potential cost-savings, and possible trends towards some reduction in adverse events. These findings are consistent with the Anticoagulation Forum’s advocacy and evidence for anticoagulation stewardship programmes and the Forum provides extensive resources to support implementation of stewardship programmes (see below). </w:t>
      </w:r>
    </w:p>
    <w:p w14:paraId="59B75D95" w14:textId="77777777" w:rsidR="00B85C9C" w:rsidRDefault="00B85C9C" w:rsidP="00C04448">
      <w:pPr>
        <w:rPr>
          <w:rFonts w:asciiTheme="majorBidi" w:hAnsiTheme="majorBidi" w:cstheme="majorBidi"/>
        </w:rPr>
      </w:pPr>
    </w:p>
    <w:p w14:paraId="6A8E1217" w14:textId="77777777" w:rsidR="00B85C9C" w:rsidRPr="00131C8A" w:rsidRDefault="00B85C9C" w:rsidP="00131C8A">
      <w:pPr>
        <w:pStyle w:val="Heading3"/>
      </w:pPr>
      <w:r w:rsidRPr="00131C8A">
        <w:t>Discharge protocols and follow-up</w:t>
      </w:r>
    </w:p>
    <w:p w14:paraId="6758EAF3" w14:textId="77777777" w:rsidR="00B85C9C" w:rsidRDefault="00B85C9C" w:rsidP="00C04448">
      <w:pPr>
        <w:rPr>
          <w:rFonts w:asciiTheme="majorBidi" w:hAnsiTheme="majorBidi" w:cstheme="majorBidi"/>
        </w:rPr>
      </w:pPr>
    </w:p>
    <w:p w14:paraId="593A4A03" w14:textId="77777777" w:rsidR="00B85C9C" w:rsidRDefault="00B85C9C" w:rsidP="00C04448">
      <w:pPr>
        <w:rPr>
          <w:rFonts w:asciiTheme="majorBidi" w:hAnsiTheme="majorBidi" w:cstheme="majorBidi"/>
        </w:rPr>
      </w:pPr>
      <w:r>
        <w:rPr>
          <w:rFonts w:asciiTheme="majorBidi" w:hAnsiTheme="majorBidi" w:cstheme="majorBidi"/>
        </w:rPr>
        <w:t xml:space="preserve">Interventions at the time of discharge, described in the sources identified, include system alerts, pharmacist follow-up by phone or home visit, patient educational resources, and structured clinical summaries. </w:t>
      </w:r>
    </w:p>
    <w:p w14:paraId="2C3637D9" w14:textId="77777777" w:rsidR="00B85C9C" w:rsidRDefault="00B85C9C" w:rsidP="00C04448">
      <w:pPr>
        <w:rPr>
          <w:rFonts w:asciiTheme="majorBidi" w:hAnsiTheme="majorBidi" w:cstheme="majorBidi"/>
        </w:rPr>
      </w:pPr>
    </w:p>
    <w:p w14:paraId="370942BE" w14:textId="426A1CD9" w:rsidR="00B85C9C" w:rsidRDefault="00B85C9C" w:rsidP="00910D88">
      <w:pPr>
        <w:rPr>
          <w:rFonts w:asciiTheme="majorBidi" w:hAnsiTheme="majorBidi" w:cstheme="majorBidi"/>
        </w:rPr>
      </w:pPr>
      <w:r>
        <w:rPr>
          <w:rFonts w:asciiTheme="majorBidi" w:hAnsiTheme="majorBidi" w:cstheme="majorBidi"/>
        </w:rPr>
        <w:t>In a small pre-/post- single centre study a Lean Six Sigma approach was implemented to reduce omission of warfarin at discharge. A system alert was created to identify patients who received warfarin during admission, but who had no warfarin prescription at discharge. Across 96 alerts, the rate of warfarin omission reduced from 10.5% to 0% (p = 0.03) following intervention</w:t>
      </w:r>
      <w:r w:rsidR="00910D88">
        <w:rPr>
          <w:rFonts w:asciiTheme="majorBidi" w:hAnsiTheme="majorBidi" w:cstheme="majorBidi"/>
        </w:rPr>
        <w:t xml:space="preserve"> </w:t>
      </w:r>
      <w:r w:rsidR="00910D88" w:rsidRPr="00910D88">
        <w:rPr>
          <w:rFonts w:asciiTheme="majorBidi" w:hAnsiTheme="majorBidi" w:cstheme="majorBidi"/>
        </w:rPr>
        <w:t xml:space="preserve">(Kallal, Griffen, </w:t>
      </w:r>
      <w:r w:rsidR="00910D88">
        <w:rPr>
          <w:rFonts w:asciiTheme="majorBidi" w:hAnsiTheme="majorBidi" w:cstheme="majorBidi"/>
        </w:rPr>
        <w:t>and</w:t>
      </w:r>
      <w:r w:rsidR="00910D88" w:rsidRPr="00910D88">
        <w:rPr>
          <w:rFonts w:asciiTheme="majorBidi" w:hAnsiTheme="majorBidi" w:cstheme="majorBidi"/>
        </w:rPr>
        <w:t xml:space="preserve"> Jaeger 2020)</w:t>
      </w:r>
      <w:r>
        <w:rPr>
          <w:rFonts w:asciiTheme="majorBidi" w:hAnsiTheme="majorBidi" w:cstheme="majorBidi"/>
        </w:rPr>
        <w:t xml:space="preserve">. </w:t>
      </w:r>
    </w:p>
    <w:p w14:paraId="795254BA" w14:textId="77777777" w:rsidR="00B85C9C" w:rsidRDefault="00B85C9C" w:rsidP="008C682C">
      <w:pPr>
        <w:rPr>
          <w:rFonts w:asciiTheme="majorBidi" w:hAnsiTheme="majorBidi" w:cstheme="majorBidi"/>
        </w:rPr>
      </w:pPr>
    </w:p>
    <w:p w14:paraId="66895E60" w14:textId="236CAE50" w:rsidR="00B85C9C" w:rsidRDefault="00B85C9C" w:rsidP="008C682C">
      <w:pPr>
        <w:rPr>
          <w:rFonts w:asciiTheme="majorBidi" w:hAnsiTheme="majorBidi" w:cstheme="majorBidi"/>
        </w:rPr>
      </w:pPr>
      <w:r>
        <w:rPr>
          <w:rFonts w:asciiTheme="majorBidi" w:hAnsiTheme="majorBidi" w:cstheme="majorBidi"/>
        </w:rPr>
        <w:t xml:space="preserve">However, the other studies sourced demonstrated no benefits resulting from interventions at discharge or follow-up. In an RCT, patients (n = 361) who received multifaceted pharmacist-led follow-up and were visited at home by a clinical pharmacist within four days of being discharged on a high risk medicine, exhibited no difference in adverse drug-related events (although few total events were reported) </w:t>
      </w:r>
      <w:r w:rsidRPr="004540E3">
        <w:rPr>
          <w:rFonts w:asciiTheme="majorBidi" w:hAnsiTheme="majorBidi" w:cstheme="majorBidi"/>
        </w:rPr>
        <w:t xml:space="preserve">(Gurwitz </w:t>
      </w:r>
      <w:r w:rsidR="00AA56F6">
        <w:rPr>
          <w:rFonts w:asciiTheme="majorBidi" w:hAnsiTheme="majorBidi" w:cstheme="majorBidi"/>
        </w:rPr>
        <w:t xml:space="preserve">et al </w:t>
      </w:r>
      <w:r w:rsidRPr="004540E3">
        <w:rPr>
          <w:rFonts w:asciiTheme="majorBidi" w:hAnsiTheme="majorBidi" w:cstheme="majorBidi"/>
        </w:rPr>
        <w:t>2021)</w:t>
      </w:r>
      <w:r>
        <w:rPr>
          <w:rFonts w:asciiTheme="majorBidi" w:hAnsiTheme="majorBidi" w:cstheme="majorBidi"/>
        </w:rPr>
        <w:t xml:space="preserve">. In another RCT, patients newly diagnosed with VTE and prescribed anticoagulation reported a ‘high quality care transition’ when they received a pharmacist home visit and subsequent anticoagulation expert consultation, however, their knowledge remained low </w:t>
      </w:r>
      <w:r w:rsidRPr="00256894">
        <w:rPr>
          <w:rFonts w:asciiTheme="majorBidi" w:hAnsiTheme="majorBidi" w:cstheme="majorBidi"/>
        </w:rPr>
        <w:t xml:space="preserve">(Kapoor </w:t>
      </w:r>
      <w:r w:rsidR="00AA56F6">
        <w:rPr>
          <w:rFonts w:asciiTheme="majorBidi" w:hAnsiTheme="majorBidi" w:cstheme="majorBidi"/>
        </w:rPr>
        <w:t xml:space="preserve">et al </w:t>
      </w:r>
      <w:r w:rsidRPr="00256894">
        <w:rPr>
          <w:rFonts w:asciiTheme="majorBidi" w:hAnsiTheme="majorBidi" w:cstheme="majorBidi"/>
        </w:rPr>
        <w:t>2020)</w:t>
      </w:r>
      <w:r>
        <w:rPr>
          <w:rFonts w:asciiTheme="majorBidi" w:hAnsiTheme="majorBidi" w:cstheme="majorBidi"/>
        </w:rPr>
        <w:t xml:space="preserve">. Additionally, a concise discharge report with the aim of improving timeliness of INR testing and quality of warfarin management post-hospital, had no effect on frequency of appropriate INR management </w:t>
      </w:r>
      <w:r w:rsidRPr="006276C4">
        <w:rPr>
          <w:rFonts w:asciiTheme="majorBidi" w:hAnsiTheme="majorBidi" w:cstheme="majorBidi"/>
        </w:rPr>
        <w:t xml:space="preserve">(Dunn </w:t>
      </w:r>
      <w:r w:rsidR="00AA56F6">
        <w:rPr>
          <w:rFonts w:asciiTheme="majorBidi" w:hAnsiTheme="majorBidi" w:cstheme="majorBidi"/>
        </w:rPr>
        <w:t xml:space="preserve">et al </w:t>
      </w:r>
      <w:r w:rsidRPr="006276C4">
        <w:rPr>
          <w:rFonts w:asciiTheme="majorBidi" w:hAnsiTheme="majorBidi" w:cstheme="majorBidi"/>
        </w:rPr>
        <w:t>2015)</w:t>
      </w:r>
      <w:r>
        <w:rPr>
          <w:rFonts w:asciiTheme="majorBidi" w:hAnsiTheme="majorBidi" w:cstheme="majorBidi"/>
        </w:rPr>
        <w:t xml:space="preserve">. However, the authors did note that such an intervention likely needed to be a component of a broader multifaceted intervention to be effective. </w:t>
      </w:r>
    </w:p>
    <w:p w14:paraId="3EF67DFD" w14:textId="77777777" w:rsidR="00B85C9C" w:rsidRDefault="00B85C9C" w:rsidP="008C682C">
      <w:pPr>
        <w:rPr>
          <w:rFonts w:asciiTheme="majorBidi" w:hAnsiTheme="majorBidi" w:cstheme="majorBidi"/>
        </w:rPr>
      </w:pPr>
    </w:p>
    <w:p w14:paraId="114C2915" w14:textId="77777777" w:rsidR="00B85C9C" w:rsidRDefault="00B85C9C" w:rsidP="008C682C">
      <w:pPr>
        <w:rPr>
          <w:rFonts w:asciiTheme="majorBidi" w:hAnsiTheme="majorBidi" w:cstheme="majorBidi"/>
        </w:rPr>
      </w:pPr>
      <w:r>
        <w:rPr>
          <w:rFonts w:asciiTheme="majorBidi" w:hAnsiTheme="majorBidi" w:cstheme="majorBidi"/>
        </w:rPr>
        <w:t xml:space="preserve">Overall, the evidence sourced provides little evidence for meaningful impact of the discharge protocols and follow-up regimens described. </w:t>
      </w:r>
    </w:p>
    <w:p w14:paraId="31D0B9C3" w14:textId="77777777" w:rsidR="00B85C9C" w:rsidRDefault="00B85C9C" w:rsidP="008C682C">
      <w:pPr>
        <w:rPr>
          <w:rFonts w:asciiTheme="majorBidi" w:hAnsiTheme="majorBidi" w:cstheme="majorBidi"/>
        </w:rPr>
      </w:pPr>
    </w:p>
    <w:p w14:paraId="2F732AFC" w14:textId="77777777" w:rsidR="00B85C9C" w:rsidRPr="00131C8A" w:rsidRDefault="00B85C9C" w:rsidP="00131C8A">
      <w:pPr>
        <w:pStyle w:val="Heading3"/>
      </w:pPr>
      <w:r w:rsidRPr="00131C8A">
        <w:t>Pharmacist Interventions</w:t>
      </w:r>
    </w:p>
    <w:p w14:paraId="7044C169" w14:textId="77777777" w:rsidR="00B85C9C" w:rsidRDefault="00B85C9C" w:rsidP="008C682C">
      <w:pPr>
        <w:rPr>
          <w:rFonts w:asciiTheme="majorBidi" w:hAnsiTheme="majorBidi" w:cstheme="majorBidi"/>
        </w:rPr>
      </w:pPr>
    </w:p>
    <w:p w14:paraId="18BCDE5F" w14:textId="77777777" w:rsidR="00B85C9C" w:rsidRDefault="00B85C9C" w:rsidP="008C682C">
      <w:pPr>
        <w:rPr>
          <w:rFonts w:asciiTheme="majorBidi" w:hAnsiTheme="majorBidi" w:cstheme="majorBidi"/>
        </w:rPr>
      </w:pPr>
      <w:r>
        <w:rPr>
          <w:rFonts w:asciiTheme="majorBidi" w:hAnsiTheme="majorBidi" w:cstheme="majorBidi"/>
        </w:rPr>
        <w:t xml:space="preserve">Of the 11 studies retrieved that described pharmacist interventions to reduce anticoagulant harm, 4 described patient education or counselling, 4 evaluated pharmacist prescribing or oversight of anticoagulation use, 2 assessed routine pharmacist review of DOAC prescriptions, and one described routine inclusion of pharmacists on ward rounds. </w:t>
      </w:r>
    </w:p>
    <w:p w14:paraId="20AB947E" w14:textId="77777777" w:rsidR="00B85C9C" w:rsidRDefault="00B85C9C" w:rsidP="00E771DC">
      <w:pPr>
        <w:rPr>
          <w:rFonts w:asciiTheme="majorBidi" w:hAnsiTheme="majorBidi" w:cstheme="majorBidi"/>
        </w:rPr>
      </w:pPr>
    </w:p>
    <w:p w14:paraId="716C5F2A" w14:textId="77777777" w:rsidR="00B85C9C" w:rsidRPr="00505DD2" w:rsidRDefault="00B85C9C" w:rsidP="00CA1C8F">
      <w:pPr>
        <w:pStyle w:val="Heading4"/>
      </w:pPr>
      <w:r w:rsidRPr="00505DD2">
        <w:t>Education/Counselling by Pharmacist</w:t>
      </w:r>
    </w:p>
    <w:p w14:paraId="658BD3B4" w14:textId="77777777" w:rsidR="00B85C9C" w:rsidRDefault="00B85C9C" w:rsidP="00E771DC">
      <w:pPr>
        <w:rPr>
          <w:rFonts w:asciiTheme="majorBidi" w:hAnsiTheme="majorBidi" w:cstheme="majorBidi"/>
        </w:rPr>
      </w:pPr>
    </w:p>
    <w:p w14:paraId="40458D90" w14:textId="3E7DE964" w:rsidR="00B85C9C" w:rsidRDefault="00B85C9C" w:rsidP="0019545F">
      <w:pPr>
        <w:rPr>
          <w:rFonts w:asciiTheme="majorBidi" w:hAnsiTheme="majorBidi" w:cstheme="majorBidi"/>
        </w:rPr>
      </w:pPr>
      <w:r>
        <w:rPr>
          <w:rFonts w:asciiTheme="majorBidi" w:hAnsiTheme="majorBidi" w:cstheme="majorBidi"/>
        </w:rPr>
        <w:t xml:space="preserve">An RCT (n = 200) examining those discharged on an oral anticoagulant and followed-up by phone at day 3 and day 30, found that pharmacist counselling plus nursing counselling compared with nursing counselling alone, led to significantly increased patient communication with their providers as well as increased awareness of their next appointment date. However, there were no differences in bleeding rates </w:t>
      </w:r>
      <w:r w:rsidRPr="0019545F">
        <w:rPr>
          <w:rFonts w:asciiTheme="majorBidi" w:hAnsiTheme="majorBidi" w:cstheme="majorBidi"/>
        </w:rPr>
        <w:t>(</w:t>
      </w:r>
      <w:proofErr w:type="spellStart"/>
      <w:r w:rsidRPr="0019545F">
        <w:rPr>
          <w:rFonts w:asciiTheme="majorBidi" w:hAnsiTheme="majorBidi" w:cstheme="majorBidi"/>
        </w:rPr>
        <w:t>Karaoui</w:t>
      </w:r>
      <w:proofErr w:type="spellEnd"/>
      <w:r w:rsidRPr="0019545F">
        <w:rPr>
          <w:rFonts w:asciiTheme="majorBidi" w:hAnsiTheme="majorBidi" w:cstheme="majorBidi"/>
        </w:rPr>
        <w:t xml:space="preserve">, Ramia, Mansour, Haddad, </w:t>
      </w:r>
      <w:r w:rsidR="00910D88">
        <w:rPr>
          <w:rFonts w:asciiTheme="majorBidi" w:hAnsiTheme="majorBidi" w:cstheme="majorBidi"/>
        </w:rPr>
        <w:t>and</w:t>
      </w:r>
      <w:r w:rsidRPr="0019545F">
        <w:rPr>
          <w:rFonts w:asciiTheme="majorBidi" w:hAnsiTheme="majorBidi" w:cstheme="majorBidi"/>
        </w:rPr>
        <w:t xml:space="preserve"> Chamoun 2021)</w:t>
      </w:r>
      <w:r>
        <w:rPr>
          <w:rFonts w:asciiTheme="majorBidi" w:hAnsiTheme="majorBidi" w:cstheme="majorBidi"/>
        </w:rPr>
        <w:t>.</w:t>
      </w:r>
    </w:p>
    <w:p w14:paraId="475499BD" w14:textId="77777777" w:rsidR="00B85C9C" w:rsidRDefault="00B85C9C" w:rsidP="0019545F">
      <w:pPr>
        <w:rPr>
          <w:rFonts w:asciiTheme="majorBidi" w:hAnsiTheme="majorBidi" w:cstheme="majorBidi"/>
        </w:rPr>
      </w:pPr>
    </w:p>
    <w:p w14:paraId="139ACBFE" w14:textId="7E909072" w:rsidR="00B85C9C" w:rsidRDefault="00B85C9C" w:rsidP="004F0506">
      <w:pPr>
        <w:rPr>
          <w:rFonts w:asciiTheme="majorBidi" w:hAnsiTheme="majorBidi" w:cstheme="majorBidi"/>
        </w:rPr>
      </w:pPr>
      <w:r>
        <w:rPr>
          <w:rFonts w:asciiTheme="majorBidi" w:hAnsiTheme="majorBidi" w:cstheme="majorBidi"/>
        </w:rPr>
        <w:t xml:space="preserve">Another RCT (n = 152) that studied pharmacist-led education (15 min, one-on-one) and follow-up (by phone, day 30 and 90) for patients newly started on warfarin, prior to discharge found that the intervention group spent more time in the extended target range than the control group (54.4% vs 42.0%, p = 0.024), and also had better warfarin knowledge (p = 0.003). No major bleeding events were observed and incidence of VTE was similar between groups </w:t>
      </w:r>
      <w:r w:rsidRPr="004F0506">
        <w:rPr>
          <w:rFonts w:asciiTheme="majorBidi" w:hAnsiTheme="majorBidi" w:cstheme="majorBidi"/>
        </w:rPr>
        <w:t xml:space="preserve">(Liang </w:t>
      </w:r>
      <w:r w:rsidR="00AA56F6">
        <w:rPr>
          <w:rFonts w:asciiTheme="majorBidi" w:hAnsiTheme="majorBidi" w:cstheme="majorBidi"/>
        </w:rPr>
        <w:t xml:space="preserve">et al </w:t>
      </w:r>
      <w:r w:rsidRPr="004F0506">
        <w:rPr>
          <w:rFonts w:asciiTheme="majorBidi" w:hAnsiTheme="majorBidi" w:cstheme="majorBidi"/>
        </w:rPr>
        <w:t>2020)</w:t>
      </w:r>
      <w:r>
        <w:rPr>
          <w:rFonts w:asciiTheme="majorBidi" w:hAnsiTheme="majorBidi" w:cstheme="majorBidi"/>
        </w:rPr>
        <w:t xml:space="preserve">. </w:t>
      </w:r>
    </w:p>
    <w:p w14:paraId="34908B11" w14:textId="77777777" w:rsidR="00B85C9C" w:rsidRDefault="00B85C9C" w:rsidP="004F0506">
      <w:pPr>
        <w:rPr>
          <w:rFonts w:asciiTheme="majorBidi" w:hAnsiTheme="majorBidi" w:cstheme="majorBidi"/>
        </w:rPr>
      </w:pPr>
    </w:p>
    <w:p w14:paraId="2833E312" w14:textId="1F73B85E" w:rsidR="00B85C9C" w:rsidRDefault="00B85C9C" w:rsidP="007E2825">
      <w:pPr>
        <w:rPr>
          <w:rFonts w:asciiTheme="majorBidi" w:hAnsiTheme="majorBidi" w:cstheme="majorBidi"/>
        </w:rPr>
      </w:pPr>
      <w:r>
        <w:rPr>
          <w:rFonts w:asciiTheme="majorBidi" w:hAnsiTheme="majorBidi" w:cstheme="majorBidi"/>
        </w:rPr>
        <w:t xml:space="preserve">A retrospective analysis of 174 patients discharged from the emergency department with a new prescription for an anticoagulant, found that those who had not received pharmacist counselling and phone follow-up, needed more intervention at follow-up, and were more likely to be readmitted to hospital or return to the ED within 90 days for an anticoagulation-related problem (12.1% vs 1.9%, p = 0.0069) </w:t>
      </w:r>
      <w:r>
        <w:rPr>
          <w:rFonts w:asciiTheme="majorBidi" w:hAnsiTheme="majorBidi" w:cstheme="majorBidi"/>
          <w:noProof/>
        </w:rPr>
        <w:t xml:space="preserve">(Zdyb, Courtney, Malik, Schmidt, </w:t>
      </w:r>
      <w:r w:rsidR="00910D88">
        <w:rPr>
          <w:rFonts w:asciiTheme="majorBidi" w:hAnsiTheme="majorBidi" w:cstheme="majorBidi"/>
          <w:noProof/>
        </w:rPr>
        <w:t>and</w:t>
      </w:r>
      <w:r>
        <w:rPr>
          <w:rFonts w:asciiTheme="majorBidi" w:hAnsiTheme="majorBidi" w:cstheme="majorBidi"/>
          <w:noProof/>
        </w:rPr>
        <w:t xml:space="preserve"> Lyden 2017)</w:t>
      </w:r>
      <w:r>
        <w:rPr>
          <w:rFonts w:asciiTheme="majorBidi" w:hAnsiTheme="majorBidi" w:cstheme="majorBidi"/>
        </w:rPr>
        <w:t xml:space="preserve">. There may be some systematic difference between cases and controls since controls were largely out-of-hours patients. </w:t>
      </w:r>
    </w:p>
    <w:p w14:paraId="699ADF7C" w14:textId="77777777" w:rsidR="00B85C9C" w:rsidRDefault="00B85C9C" w:rsidP="007E2825">
      <w:pPr>
        <w:rPr>
          <w:rFonts w:asciiTheme="majorBidi" w:hAnsiTheme="majorBidi" w:cstheme="majorBidi"/>
        </w:rPr>
      </w:pPr>
    </w:p>
    <w:p w14:paraId="757C8FDB" w14:textId="2AF6B7FF" w:rsidR="00B85C9C" w:rsidRDefault="00B85C9C" w:rsidP="00505DD2">
      <w:pPr>
        <w:rPr>
          <w:rFonts w:asciiTheme="majorBidi" w:hAnsiTheme="majorBidi" w:cstheme="majorBidi"/>
        </w:rPr>
      </w:pPr>
      <w:r>
        <w:rPr>
          <w:rFonts w:asciiTheme="majorBidi" w:hAnsiTheme="majorBidi" w:cstheme="majorBidi"/>
        </w:rPr>
        <w:t xml:space="preserve">A small retrospective cohort study (n = 57) of pharmacist education or counselling for inpatients with non-valvular AF and heart failure found that time in therapeutic range was higher in the intervention group (those instructed only by physicians) </w:t>
      </w:r>
      <w:r w:rsidRPr="00E771DC">
        <w:rPr>
          <w:rFonts w:asciiTheme="majorBidi" w:hAnsiTheme="majorBidi" w:cstheme="majorBidi"/>
        </w:rPr>
        <w:t xml:space="preserve">(An, Kose, Kikkawa, </w:t>
      </w:r>
      <w:r w:rsidR="00910D88">
        <w:rPr>
          <w:rFonts w:asciiTheme="majorBidi" w:hAnsiTheme="majorBidi" w:cstheme="majorBidi"/>
        </w:rPr>
        <w:t>and</w:t>
      </w:r>
      <w:r w:rsidRPr="00E771DC">
        <w:rPr>
          <w:rFonts w:asciiTheme="majorBidi" w:hAnsiTheme="majorBidi" w:cstheme="majorBidi"/>
        </w:rPr>
        <w:t xml:space="preserve"> Hayashi 2017)</w:t>
      </w:r>
      <w:r>
        <w:rPr>
          <w:rFonts w:asciiTheme="majorBidi" w:hAnsiTheme="majorBidi" w:cstheme="majorBidi"/>
        </w:rPr>
        <w:t>.</w:t>
      </w:r>
    </w:p>
    <w:p w14:paraId="46A7AF68" w14:textId="77777777" w:rsidR="00B85C9C" w:rsidRDefault="00B85C9C" w:rsidP="007E2825">
      <w:pPr>
        <w:rPr>
          <w:rFonts w:asciiTheme="majorBidi" w:hAnsiTheme="majorBidi" w:cstheme="majorBidi"/>
        </w:rPr>
      </w:pPr>
    </w:p>
    <w:p w14:paraId="2A010385" w14:textId="77777777" w:rsidR="00B85C9C" w:rsidRPr="00131C8A" w:rsidRDefault="00B85C9C" w:rsidP="00CA1C8F">
      <w:pPr>
        <w:pStyle w:val="Heading4"/>
      </w:pPr>
      <w:r w:rsidRPr="00505DD2">
        <w:t xml:space="preserve">Pharmacist </w:t>
      </w:r>
      <w:r>
        <w:t>P</w:t>
      </w:r>
      <w:r w:rsidRPr="00505DD2">
        <w:t xml:space="preserve">rescribing or </w:t>
      </w:r>
      <w:r>
        <w:t>O</w:t>
      </w:r>
      <w:r w:rsidRPr="00505DD2">
        <w:t>versight</w:t>
      </w:r>
    </w:p>
    <w:p w14:paraId="03F0DDE3" w14:textId="77777777" w:rsidR="00B85C9C" w:rsidRDefault="00B85C9C" w:rsidP="007E2825">
      <w:pPr>
        <w:rPr>
          <w:rFonts w:asciiTheme="majorBidi" w:hAnsiTheme="majorBidi" w:cstheme="majorBidi"/>
        </w:rPr>
      </w:pPr>
    </w:p>
    <w:p w14:paraId="4A7CF567" w14:textId="7C463DF0" w:rsidR="00B85C9C" w:rsidRDefault="00B85C9C" w:rsidP="002C4FC0">
      <w:pPr>
        <w:rPr>
          <w:rFonts w:asciiTheme="majorBidi" w:hAnsiTheme="majorBidi" w:cstheme="majorBidi"/>
        </w:rPr>
      </w:pPr>
      <w:r>
        <w:rPr>
          <w:rFonts w:asciiTheme="majorBidi" w:hAnsiTheme="majorBidi" w:cstheme="majorBidi"/>
        </w:rPr>
        <w:t xml:space="preserve">A retrospective single-centre cohort pre-/post- study (n = 502 inpatients) assessed a pharmacist-driven DOAC protocol allowing pharmacists to order and monitor DOACs prescribed for hospital inpatients for indications of VTE and AF. The comparator was usual care and in the post-phase there were significantly fewer medication errors (8.9% vs 16%, p = 0.017) </w:t>
      </w:r>
      <w:r w:rsidRPr="008E494D">
        <w:rPr>
          <w:rFonts w:asciiTheme="majorBidi" w:hAnsiTheme="majorBidi" w:cstheme="majorBidi"/>
          <w:noProof/>
        </w:rPr>
        <w:t xml:space="preserve">(Willeford, Leiman, </w:t>
      </w:r>
      <w:r w:rsidR="00910D88">
        <w:rPr>
          <w:rFonts w:asciiTheme="majorBidi" w:hAnsiTheme="majorBidi" w:cstheme="majorBidi"/>
          <w:noProof/>
        </w:rPr>
        <w:t>and</w:t>
      </w:r>
      <w:r w:rsidRPr="008E494D">
        <w:rPr>
          <w:rFonts w:asciiTheme="majorBidi" w:hAnsiTheme="majorBidi" w:cstheme="majorBidi"/>
          <w:noProof/>
        </w:rPr>
        <w:t xml:space="preserve"> Noel 2021)</w:t>
      </w:r>
      <w:r>
        <w:rPr>
          <w:rFonts w:asciiTheme="majorBidi" w:hAnsiTheme="majorBidi" w:cstheme="majorBidi"/>
        </w:rPr>
        <w:t xml:space="preserve">. Similarly, fewer medication errors were observed in low risk VTE patients discharged from ED when a pharmacist was involved at the time of diagnosis than in those patients without pharmacist involvement. However, this was a small study with only 14 patients in the intervention cohort </w:t>
      </w:r>
      <w:r w:rsidRPr="004F6303">
        <w:rPr>
          <w:rFonts w:asciiTheme="majorBidi" w:hAnsiTheme="majorBidi" w:cstheme="majorBidi"/>
        </w:rPr>
        <w:t xml:space="preserve">(Bakey </w:t>
      </w:r>
      <w:r w:rsidR="00910D88">
        <w:rPr>
          <w:rFonts w:asciiTheme="majorBidi" w:hAnsiTheme="majorBidi" w:cstheme="majorBidi"/>
        </w:rPr>
        <w:t>and</w:t>
      </w:r>
      <w:r w:rsidRPr="004F6303">
        <w:rPr>
          <w:rFonts w:asciiTheme="majorBidi" w:hAnsiTheme="majorBidi" w:cstheme="majorBidi"/>
        </w:rPr>
        <w:t xml:space="preserve"> Nguyen 2021)</w:t>
      </w:r>
      <w:r>
        <w:rPr>
          <w:rFonts w:asciiTheme="majorBidi" w:hAnsiTheme="majorBidi" w:cstheme="majorBidi"/>
        </w:rPr>
        <w:t xml:space="preserve">. A cost-effectiveness study, based on a 2013 RCT, evaluated pharmacist VTE risk assessment and prescribing of usual medications along with VTE prophylaxis in pre-admission clinics. Pharmacist prescribing increased the proportion of patients adequately treated and decreased VTE incidence. Although the authors conclude there were cost-savings, the 95% confidence intervals include zero, indicating that the study was potentially underpowered to detect a relevant difference </w:t>
      </w:r>
      <w:r w:rsidRPr="00A36A68">
        <w:rPr>
          <w:rFonts w:asciiTheme="majorBidi" w:hAnsiTheme="majorBidi" w:cstheme="majorBidi"/>
        </w:rPr>
        <w:t xml:space="preserve">(Hale, Merlo, Nissen, Coombes, </w:t>
      </w:r>
      <w:r w:rsidR="00910D88">
        <w:rPr>
          <w:rFonts w:asciiTheme="majorBidi" w:hAnsiTheme="majorBidi" w:cstheme="majorBidi"/>
        </w:rPr>
        <w:t>and</w:t>
      </w:r>
      <w:r w:rsidRPr="00A36A68">
        <w:rPr>
          <w:rFonts w:asciiTheme="majorBidi" w:hAnsiTheme="majorBidi" w:cstheme="majorBidi"/>
        </w:rPr>
        <w:t xml:space="preserve"> Graves 2018)</w:t>
      </w:r>
      <w:r>
        <w:rPr>
          <w:rFonts w:asciiTheme="majorBidi" w:hAnsiTheme="majorBidi" w:cstheme="majorBidi"/>
        </w:rPr>
        <w:t>.</w:t>
      </w:r>
    </w:p>
    <w:p w14:paraId="36DF4324" w14:textId="77777777" w:rsidR="00B85C9C" w:rsidRDefault="00B85C9C" w:rsidP="007E2825">
      <w:pPr>
        <w:rPr>
          <w:rFonts w:asciiTheme="majorBidi" w:hAnsiTheme="majorBidi" w:cstheme="majorBidi"/>
        </w:rPr>
      </w:pPr>
    </w:p>
    <w:p w14:paraId="2E1F83F0" w14:textId="77777777" w:rsidR="00B85C9C" w:rsidRPr="00131C8A" w:rsidRDefault="00B85C9C" w:rsidP="00CA1C8F">
      <w:pPr>
        <w:pStyle w:val="Heading4"/>
      </w:pPr>
      <w:r w:rsidRPr="002C4FC0">
        <w:t>Pharmacist Review of Prescriptions</w:t>
      </w:r>
    </w:p>
    <w:p w14:paraId="0A154916" w14:textId="77777777" w:rsidR="00B85C9C" w:rsidRDefault="00B85C9C" w:rsidP="00353FA5">
      <w:pPr>
        <w:rPr>
          <w:rFonts w:asciiTheme="majorBidi" w:hAnsiTheme="majorBidi" w:cstheme="majorBidi"/>
        </w:rPr>
      </w:pPr>
    </w:p>
    <w:p w14:paraId="6DA17BA0" w14:textId="40F566F1" w:rsidR="00B85C9C" w:rsidRDefault="00B85C9C" w:rsidP="002C4FC0">
      <w:pPr>
        <w:rPr>
          <w:rFonts w:asciiTheme="majorBidi" w:hAnsiTheme="majorBidi" w:cstheme="majorBidi"/>
        </w:rPr>
      </w:pPr>
      <w:r>
        <w:rPr>
          <w:rFonts w:asciiTheme="majorBidi" w:hAnsiTheme="majorBidi" w:cstheme="majorBidi"/>
        </w:rPr>
        <w:t xml:space="preserve">Pharmacist review of ED discharge prescriptions triggered by a real-time notification system in the EHR, identified 158 of 378 discharge prescriptions as having at least one problem. The intervention rate on anticoagulation prescriptions was 15.4% </w:t>
      </w:r>
      <w:r w:rsidRPr="00456C6E">
        <w:rPr>
          <w:rFonts w:asciiTheme="majorBidi" w:hAnsiTheme="majorBidi" w:cstheme="majorBidi"/>
        </w:rPr>
        <w:t xml:space="preserve">(Lineberry, Rozycki, Jordan, Mellett, </w:t>
      </w:r>
      <w:r w:rsidR="00910D88">
        <w:rPr>
          <w:rFonts w:asciiTheme="majorBidi" w:hAnsiTheme="majorBidi" w:cstheme="majorBidi"/>
        </w:rPr>
        <w:t>and</w:t>
      </w:r>
      <w:r w:rsidRPr="00456C6E">
        <w:rPr>
          <w:rFonts w:asciiTheme="majorBidi" w:hAnsiTheme="majorBidi" w:cstheme="majorBidi"/>
        </w:rPr>
        <w:t xml:space="preserve"> North 2021)</w:t>
      </w:r>
      <w:r>
        <w:rPr>
          <w:rFonts w:asciiTheme="majorBidi" w:hAnsiTheme="majorBidi" w:cstheme="majorBidi"/>
        </w:rPr>
        <w:t xml:space="preserve">. Comparable results were observed in a pre-/post- study of adult patients admitted to a community teaching hospital who received DOAC therapy. A pharmacist-driven DOAC service, including review of all patients on DOACs, was associated with a fall in inappropriate prescriptions compared with usual care (34% to 13.8%, p = 0.039) </w:t>
      </w:r>
      <w:r w:rsidRPr="00353FA5">
        <w:rPr>
          <w:rFonts w:asciiTheme="majorBidi" w:hAnsiTheme="majorBidi" w:cstheme="majorBidi"/>
        </w:rPr>
        <w:t xml:space="preserve">(Miele, Taylor, </w:t>
      </w:r>
      <w:r w:rsidR="00910D88">
        <w:rPr>
          <w:rFonts w:asciiTheme="majorBidi" w:hAnsiTheme="majorBidi" w:cstheme="majorBidi"/>
        </w:rPr>
        <w:t>and</w:t>
      </w:r>
      <w:r w:rsidRPr="00353FA5">
        <w:rPr>
          <w:rFonts w:asciiTheme="majorBidi" w:hAnsiTheme="majorBidi" w:cstheme="majorBidi"/>
        </w:rPr>
        <w:t xml:space="preserve"> Shah 2017)</w:t>
      </w:r>
      <w:r>
        <w:rPr>
          <w:rFonts w:asciiTheme="majorBidi" w:hAnsiTheme="majorBidi" w:cstheme="majorBidi"/>
        </w:rPr>
        <w:t xml:space="preserve">. Low quality descriptive evidence identified medication errors picked up by pharmacists accompanying internal medicine ward rounds </w:t>
      </w:r>
      <w:r w:rsidRPr="00353FA5">
        <w:rPr>
          <w:rFonts w:asciiTheme="majorBidi" w:hAnsiTheme="majorBidi" w:cstheme="majorBidi"/>
        </w:rPr>
        <w:t xml:space="preserve">(Sharma, Krishnamurthy, Snyder, </w:t>
      </w:r>
      <w:r w:rsidR="009E1609">
        <w:rPr>
          <w:rFonts w:asciiTheme="majorBidi" w:hAnsiTheme="majorBidi" w:cstheme="majorBidi"/>
        </w:rPr>
        <w:t>and</w:t>
      </w:r>
      <w:r w:rsidRPr="00353FA5">
        <w:rPr>
          <w:rFonts w:asciiTheme="majorBidi" w:hAnsiTheme="majorBidi" w:cstheme="majorBidi"/>
        </w:rPr>
        <w:t xml:space="preserve"> Mauro 2017)</w:t>
      </w:r>
      <w:r>
        <w:rPr>
          <w:rFonts w:asciiTheme="majorBidi" w:hAnsiTheme="majorBidi" w:cstheme="majorBidi"/>
        </w:rPr>
        <w:t xml:space="preserve">, and on surgical inpatient floors </w:t>
      </w:r>
      <w:r w:rsidRPr="00456C6E">
        <w:rPr>
          <w:rFonts w:asciiTheme="majorBidi" w:hAnsiTheme="majorBidi" w:cstheme="majorBidi"/>
        </w:rPr>
        <w:t xml:space="preserve">(Tavakoli, Adams-Sommer, </w:t>
      </w:r>
      <w:proofErr w:type="spellStart"/>
      <w:r w:rsidRPr="00456C6E">
        <w:rPr>
          <w:rFonts w:asciiTheme="majorBidi" w:hAnsiTheme="majorBidi" w:cstheme="majorBidi"/>
        </w:rPr>
        <w:t>Frendak</w:t>
      </w:r>
      <w:proofErr w:type="spellEnd"/>
      <w:r w:rsidRPr="00456C6E">
        <w:rPr>
          <w:rFonts w:asciiTheme="majorBidi" w:hAnsiTheme="majorBidi" w:cstheme="majorBidi"/>
        </w:rPr>
        <w:t xml:space="preserve">, Kiehle, </w:t>
      </w:r>
      <w:r w:rsidR="009E1609">
        <w:rPr>
          <w:rFonts w:asciiTheme="majorBidi" w:hAnsiTheme="majorBidi" w:cstheme="majorBidi"/>
        </w:rPr>
        <w:t>and</w:t>
      </w:r>
      <w:r w:rsidRPr="00456C6E">
        <w:rPr>
          <w:rFonts w:asciiTheme="majorBidi" w:hAnsiTheme="majorBidi" w:cstheme="majorBidi"/>
        </w:rPr>
        <w:t xml:space="preserve"> </w:t>
      </w:r>
      <w:proofErr w:type="spellStart"/>
      <w:r w:rsidRPr="00456C6E">
        <w:rPr>
          <w:rFonts w:asciiTheme="majorBidi" w:hAnsiTheme="majorBidi" w:cstheme="majorBidi"/>
        </w:rPr>
        <w:t>Dalpoas</w:t>
      </w:r>
      <w:proofErr w:type="spellEnd"/>
      <w:r w:rsidRPr="00456C6E">
        <w:rPr>
          <w:rFonts w:asciiTheme="majorBidi" w:hAnsiTheme="majorBidi" w:cstheme="majorBidi"/>
        </w:rPr>
        <w:t xml:space="preserve"> 2022)</w:t>
      </w:r>
      <w:r>
        <w:rPr>
          <w:rFonts w:asciiTheme="majorBidi" w:hAnsiTheme="majorBidi" w:cstheme="majorBidi"/>
        </w:rPr>
        <w:t>.</w:t>
      </w:r>
    </w:p>
    <w:p w14:paraId="67109086" w14:textId="77777777" w:rsidR="00B85C9C" w:rsidRDefault="00B85C9C" w:rsidP="002C4FC0">
      <w:pPr>
        <w:rPr>
          <w:rFonts w:asciiTheme="majorBidi" w:hAnsiTheme="majorBidi" w:cstheme="majorBidi"/>
        </w:rPr>
      </w:pPr>
    </w:p>
    <w:p w14:paraId="01855800" w14:textId="77777777" w:rsidR="00B85C9C" w:rsidRDefault="00B85C9C" w:rsidP="002C4FC0">
      <w:pPr>
        <w:rPr>
          <w:rFonts w:asciiTheme="majorBidi" w:hAnsiTheme="majorBidi" w:cstheme="majorBidi"/>
        </w:rPr>
      </w:pPr>
      <w:r>
        <w:rPr>
          <w:rFonts w:asciiTheme="majorBidi" w:hAnsiTheme="majorBidi" w:cstheme="majorBidi"/>
        </w:rPr>
        <w:t xml:space="preserve">Overall, most of the studies obtained indicate possible benefits of pharmacist involvement in prescribing, review of prescriptions, or education and counselling of patients taking anticoagulants. Pharmacist involvement in patient education appeared to lead to increased awareness of the care plan, increased time in therapeutic range, and possibly reduces return to ED. Pharmacist prescribing and oversight was associated with fewer medication errors, and pharmacist review of prescriptions can prevent medication errors. However, little evidence was sourced that reported on clinical outcomes. </w:t>
      </w:r>
    </w:p>
    <w:p w14:paraId="738D9A04" w14:textId="77777777" w:rsidR="00B85C9C" w:rsidRDefault="00B85C9C" w:rsidP="008C682C">
      <w:pPr>
        <w:rPr>
          <w:rFonts w:asciiTheme="majorBidi" w:hAnsiTheme="majorBidi" w:cstheme="majorBidi"/>
        </w:rPr>
      </w:pPr>
    </w:p>
    <w:p w14:paraId="1A5A7721" w14:textId="77777777" w:rsidR="00B85C9C" w:rsidRPr="008C682C" w:rsidRDefault="00B85C9C" w:rsidP="00131C8A">
      <w:pPr>
        <w:pStyle w:val="Heading3"/>
      </w:pPr>
      <w:r w:rsidRPr="008C682C">
        <w:t>E-prescribing, E</w:t>
      </w:r>
      <w:r>
        <w:t>HR</w:t>
      </w:r>
      <w:r w:rsidRPr="008C682C">
        <w:t>, CDSS, and Apps</w:t>
      </w:r>
    </w:p>
    <w:p w14:paraId="1B98ECC1" w14:textId="77777777" w:rsidR="00B85C9C" w:rsidRDefault="00B85C9C" w:rsidP="00072A10">
      <w:pPr>
        <w:keepNext/>
        <w:rPr>
          <w:rFonts w:asciiTheme="majorBidi" w:hAnsiTheme="majorBidi" w:cstheme="majorBidi"/>
        </w:rPr>
      </w:pPr>
    </w:p>
    <w:p w14:paraId="54BF71B1" w14:textId="77777777" w:rsidR="00B85C9C" w:rsidRDefault="00B85C9C" w:rsidP="00072A10">
      <w:pPr>
        <w:keepNext/>
        <w:rPr>
          <w:rFonts w:asciiTheme="majorBidi" w:hAnsiTheme="majorBidi" w:cstheme="majorBidi"/>
        </w:rPr>
      </w:pPr>
      <w:r>
        <w:rPr>
          <w:rFonts w:asciiTheme="majorBidi" w:hAnsiTheme="majorBidi" w:cstheme="majorBidi"/>
        </w:rPr>
        <w:t xml:space="preserve">The systematic reviews evaluating technological interventions discussed above found only limited evidence of benefit. Primary sources obtained for the present review included seven studies published recently (after 2018, with four published in 2021 or 2022). These recent studies evaluated: an app, clinical rule alerts, CDSSs, and a checklist automatically printed at the time of dispensing. </w:t>
      </w:r>
    </w:p>
    <w:p w14:paraId="4F797B60" w14:textId="77777777" w:rsidR="00B85C9C" w:rsidRDefault="00B85C9C" w:rsidP="008C682C">
      <w:pPr>
        <w:rPr>
          <w:rFonts w:asciiTheme="majorBidi" w:hAnsiTheme="majorBidi" w:cstheme="majorBidi"/>
        </w:rPr>
      </w:pPr>
    </w:p>
    <w:p w14:paraId="027EF72F" w14:textId="73B9AA52" w:rsidR="00B85C9C" w:rsidRDefault="00B85C9C" w:rsidP="00D27C49">
      <w:pPr>
        <w:rPr>
          <w:rFonts w:asciiTheme="majorBidi" w:hAnsiTheme="majorBidi" w:cstheme="majorBidi"/>
        </w:rPr>
      </w:pPr>
      <w:r>
        <w:rPr>
          <w:rFonts w:asciiTheme="majorBidi" w:hAnsiTheme="majorBidi" w:cstheme="majorBidi"/>
        </w:rPr>
        <w:t xml:space="preserve">A prospective two cohort comparison study (n = 642 adults on oral anticoagulation undergoing elective procedures) evaluated an app to support management of anticoagulation in the peri-procedural period. The app recommended evidence-based guidance. Acceptance of app-based guidance was significantly associated with fewer ED visits within 30 days post-procedure (4.0% vs 8.3%, p = 0.0205). However, acceptance was more common in patients who were also younger, on anticoagulants other than warfarin, and for procedures with high bleeding risk </w:t>
      </w:r>
      <w:r w:rsidRPr="00D27C49">
        <w:rPr>
          <w:rFonts w:asciiTheme="majorBidi" w:hAnsiTheme="majorBidi" w:cstheme="majorBidi"/>
        </w:rPr>
        <w:t xml:space="preserve">(Spyropoulos </w:t>
      </w:r>
      <w:r w:rsidR="00AA56F6">
        <w:rPr>
          <w:rFonts w:asciiTheme="majorBidi" w:hAnsiTheme="majorBidi" w:cstheme="majorBidi"/>
        </w:rPr>
        <w:t xml:space="preserve">et al </w:t>
      </w:r>
      <w:r w:rsidRPr="00D27C49">
        <w:rPr>
          <w:rFonts w:asciiTheme="majorBidi" w:hAnsiTheme="majorBidi" w:cstheme="majorBidi"/>
        </w:rPr>
        <w:t>2020)</w:t>
      </w:r>
      <w:r>
        <w:rPr>
          <w:rFonts w:asciiTheme="majorBidi" w:hAnsiTheme="majorBidi" w:cstheme="majorBidi"/>
        </w:rPr>
        <w:t xml:space="preserve">. </w:t>
      </w:r>
    </w:p>
    <w:p w14:paraId="5BDD695D" w14:textId="77777777" w:rsidR="00B85C9C" w:rsidRDefault="00B85C9C" w:rsidP="008C682C">
      <w:pPr>
        <w:rPr>
          <w:rFonts w:asciiTheme="majorBidi" w:hAnsiTheme="majorBidi" w:cstheme="majorBidi"/>
        </w:rPr>
      </w:pPr>
    </w:p>
    <w:p w14:paraId="582003D4" w14:textId="740DD633" w:rsidR="00B85C9C" w:rsidRDefault="00B85C9C" w:rsidP="00861964">
      <w:pPr>
        <w:rPr>
          <w:rFonts w:asciiTheme="majorBidi" w:hAnsiTheme="majorBidi" w:cstheme="majorBidi"/>
        </w:rPr>
      </w:pPr>
      <w:r>
        <w:rPr>
          <w:rFonts w:asciiTheme="majorBidi" w:hAnsiTheme="majorBidi" w:cstheme="majorBidi"/>
        </w:rPr>
        <w:t xml:space="preserve">A Belgian study of 39,481 clinical rule-based alerts reviewed by pharmacists found that pharmacists sent 2,568 electronic notes and made 637 phone calls as a result. Anticoagulants were the medicine class for which actions were most commonly carried out and 69% of actions were accepted by physicians </w:t>
      </w:r>
      <w:r w:rsidRPr="00760DDF">
        <w:rPr>
          <w:rFonts w:asciiTheme="majorBidi" w:hAnsiTheme="majorBidi" w:cstheme="majorBidi"/>
        </w:rPr>
        <w:t>(</w:t>
      </w:r>
      <w:proofErr w:type="spellStart"/>
      <w:r w:rsidRPr="00760DDF">
        <w:rPr>
          <w:rFonts w:asciiTheme="majorBidi" w:hAnsiTheme="majorBidi" w:cstheme="majorBidi"/>
        </w:rPr>
        <w:t>Quintens</w:t>
      </w:r>
      <w:proofErr w:type="spellEnd"/>
      <w:r w:rsidRPr="00760DDF">
        <w:rPr>
          <w:rFonts w:asciiTheme="majorBidi" w:hAnsiTheme="majorBidi" w:cstheme="majorBidi"/>
        </w:rPr>
        <w:t xml:space="preserve"> </w:t>
      </w:r>
      <w:r w:rsidR="00AA56F6">
        <w:rPr>
          <w:rFonts w:asciiTheme="majorBidi" w:hAnsiTheme="majorBidi" w:cstheme="majorBidi"/>
        </w:rPr>
        <w:t xml:space="preserve">et al </w:t>
      </w:r>
      <w:r w:rsidRPr="00760DDF">
        <w:rPr>
          <w:rFonts w:asciiTheme="majorBidi" w:hAnsiTheme="majorBidi" w:cstheme="majorBidi"/>
        </w:rPr>
        <w:t>2019)</w:t>
      </w:r>
      <w:r>
        <w:rPr>
          <w:rFonts w:asciiTheme="majorBidi" w:hAnsiTheme="majorBidi" w:cstheme="majorBidi"/>
        </w:rPr>
        <w:t xml:space="preserve">. The same group reported additional follow-up across two years, finding a relative reduction in anticoagulant-related potentially inappropriate prescriptions of 70% (95% CI, 54–81) </w:t>
      </w:r>
      <w:r w:rsidRPr="00861964">
        <w:rPr>
          <w:rFonts w:asciiTheme="majorBidi" w:hAnsiTheme="majorBidi" w:cstheme="majorBidi"/>
        </w:rPr>
        <w:t>(</w:t>
      </w:r>
      <w:proofErr w:type="spellStart"/>
      <w:r w:rsidRPr="00861964">
        <w:rPr>
          <w:rFonts w:asciiTheme="majorBidi" w:hAnsiTheme="majorBidi" w:cstheme="majorBidi"/>
        </w:rPr>
        <w:t>Quintens</w:t>
      </w:r>
      <w:proofErr w:type="spellEnd"/>
      <w:r w:rsidRPr="00861964">
        <w:rPr>
          <w:rFonts w:asciiTheme="majorBidi" w:hAnsiTheme="majorBidi" w:cstheme="majorBidi"/>
        </w:rPr>
        <w:t xml:space="preserve"> </w:t>
      </w:r>
      <w:r w:rsidR="00AA56F6">
        <w:rPr>
          <w:rFonts w:asciiTheme="majorBidi" w:hAnsiTheme="majorBidi" w:cstheme="majorBidi"/>
        </w:rPr>
        <w:t xml:space="preserve">et al </w:t>
      </w:r>
      <w:r w:rsidRPr="00861964">
        <w:rPr>
          <w:rFonts w:asciiTheme="majorBidi" w:hAnsiTheme="majorBidi" w:cstheme="majorBidi"/>
        </w:rPr>
        <w:t>2022)</w:t>
      </w:r>
      <w:r>
        <w:rPr>
          <w:rFonts w:asciiTheme="majorBidi" w:hAnsiTheme="majorBidi" w:cstheme="majorBidi"/>
        </w:rPr>
        <w:t>.</w:t>
      </w:r>
    </w:p>
    <w:p w14:paraId="5F3FD433" w14:textId="77777777" w:rsidR="00B85C9C" w:rsidRDefault="00B85C9C" w:rsidP="00327F0C">
      <w:pPr>
        <w:rPr>
          <w:rFonts w:asciiTheme="majorBidi" w:hAnsiTheme="majorBidi" w:cstheme="majorBidi"/>
        </w:rPr>
      </w:pPr>
    </w:p>
    <w:p w14:paraId="2EBC8FDB" w14:textId="2D96A14C" w:rsidR="00B85C9C" w:rsidRDefault="00B85C9C" w:rsidP="00327F0C">
      <w:pPr>
        <w:rPr>
          <w:rFonts w:asciiTheme="majorBidi" w:hAnsiTheme="majorBidi" w:cstheme="majorBidi"/>
        </w:rPr>
      </w:pPr>
      <w:r>
        <w:rPr>
          <w:rFonts w:asciiTheme="majorBidi" w:hAnsiTheme="majorBidi" w:cstheme="majorBidi"/>
        </w:rPr>
        <w:t xml:space="preserve">In a prospective observational study of 1,086 alerts, pharmacists generated an intervention 51% of the time. Of these 66% required a documented modification to therapy due to prescription error. The positive predictive value of adjustment in anticoagulation therapy resulting from alerts was 0.24 </w:t>
      </w:r>
      <w:r w:rsidRPr="00AC17C3">
        <w:rPr>
          <w:rFonts w:asciiTheme="majorBidi" w:hAnsiTheme="majorBidi" w:cstheme="majorBidi"/>
        </w:rPr>
        <w:t xml:space="preserve">(Ibáñez-Garcia </w:t>
      </w:r>
      <w:r w:rsidR="00AA56F6">
        <w:rPr>
          <w:rFonts w:asciiTheme="majorBidi" w:hAnsiTheme="majorBidi" w:cstheme="majorBidi"/>
        </w:rPr>
        <w:t xml:space="preserve">et al </w:t>
      </w:r>
      <w:r w:rsidRPr="00AC17C3">
        <w:rPr>
          <w:rFonts w:asciiTheme="majorBidi" w:hAnsiTheme="majorBidi" w:cstheme="majorBidi"/>
        </w:rPr>
        <w:t>2019)</w:t>
      </w:r>
      <w:r>
        <w:rPr>
          <w:rFonts w:asciiTheme="majorBidi" w:hAnsiTheme="majorBidi" w:cstheme="majorBidi"/>
        </w:rPr>
        <w:t xml:space="preserve">. A check sheet set to print automatically at the time of DOAC dispensing in hospital pharmacies was associated with an increase in pharmacist inquiries to prescribers from 0.6% to 2.3% (p = 0.0089), however clinical impacts were not measured </w:t>
      </w:r>
      <w:r w:rsidRPr="00327F0C">
        <w:rPr>
          <w:rFonts w:asciiTheme="majorBidi" w:hAnsiTheme="majorBidi" w:cstheme="majorBidi"/>
        </w:rPr>
        <w:t xml:space="preserve">(Ishikawa </w:t>
      </w:r>
      <w:r w:rsidR="00AA56F6">
        <w:rPr>
          <w:rFonts w:asciiTheme="majorBidi" w:hAnsiTheme="majorBidi" w:cstheme="majorBidi"/>
        </w:rPr>
        <w:t xml:space="preserve">et al </w:t>
      </w:r>
      <w:r w:rsidRPr="00327F0C">
        <w:rPr>
          <w:rFonts w:asciiTheme="majorBidi" w:hAnsiTheme="majorBidi" w:cstheme="majorBidi"/>
        </w:rPr>
        <w:t>2021)</w:t>
      </w:r>
      <w:r>
        <w:rPr>
          <w:rFonts w:asciiTheme="majorBidi" w:hAnsiTheme="majorBidi" w:cstheme="majorBidi"/>
        </w:rPr>
        <w:t>.</w:t>
      </w:r>
    </w:p>
    <w:p w14:paraId="12E78A8B" w14:textId="77777777" w:rsidR="00B85C9C" w:rsidRDefault="00B85C9C" w:rsidP="00327F0C">
      <w:pPr>
        <w:rPr>
          <w:rFonts w:asciiTheme="majorBidi" w:hAnsiTheme="majorBidi" w:cstheme="majorBidi"/>
        </w:rPr>
      </w:pPr>
    </w:p>
    <w:p w14:paraId="57BAC2FF" w14:textId="217AF80E" w:rsidR="00B85C9C" w:rsidRDefault="00B85C9C" w:rsidP="00327F0C">
      <w:pPr>
        <w:rPr>
          <w:rFonts w:asciiTheme="majorBidi" w:hAnsiTheme="majorBidi" w:cstheme="majorBidi"/>
        </w:rPr>
      </w:pPr>
      <w:r>
        <w:rPr>
          <w:rFonts w:asciiTheme="majorBidi" w:hAnsiTheme="majorBidi" w:cstheme="majorBidi"/>
        </w:rPr>
        <w:t xml:space="preserve">In a retrospective pre-/post- study of Australian inpatients prescribed a DOAC (n = 100), tailored electronic patient-specific physiological alerts improved the appropriateness of DOAC prescribing from 48% to 91% (p &lt; 0.05). However, the impact on hospital acquired complications was not statistically significant </w:t>
      </w:r>
      <w:r w:rsidRPr="00327F0C">
        <w:rPr>
          <w:rFonts w:asciiTheme="majorBidi" w:hAnsiTheme="majorBidi" w:cstheme="majorBidi"/>
        </w:rPr>
        <w:t>(Khalil 2021)</w:t>
      </w:r>
      <w:r>
        <w:rPr>
          <w:rFonts w:asciiTheme="majorBidi" w:hAnsiTheme="majorBidi" w:cstheme="majorBidi"/>
        </w:rPr>
        <w:t xml:space="preserve">. </w:t>
      </w:r>
    </w:p>
    <w:p w14:paraId="32D79BEF" w14:textId="77777777" w:rsidR="00B85C9C" w:rsidRDefault="00B85C9C" w:rsidP="00AC17C3">
      <w:pPr>
        <w:rPr>
          <w:rFonts w:asciiTheme="majorBidi" w:hAnsiTheme="majorBidi" w:cstheme="majorBidi"/>
        </w:rPr>
      </w:pPr>
    </w:p>
    <w:p w14:paraId="1485FDDD" w14:textId="6ECF9B67" w:rsidR="00B85C9C" w:rsidRDefault="00B85C9C" w:rsidP="00D27C49">
      <w:pPr>
        <w:rPr>
          <w:rFonts w:asciiTheme="majorBidi" w:hAnsiTheme="majorBidi" w:cstheme="majorBidi"/>
        </w:rPr>
      </w:pPr>
      <w:r>
        <w:rPr>
          <w:rFonts w:asciiTheme="majorBidi" w:hAnsiTheme="majorBidi" w:cstheme="majorBidi"/>
        </w:rPr>
        <w:t xml:space="preserve">A single centre pre-/post- implementation study evaluated the use of use of a multifunctional CDSS based on national and international guidelines for VTE prevention. Implementation of the CDSS was associated with a decrease in the rate of hospital acquired VTE (11.71 per 1000 hospitalizations to 4.84, p = 0.0068) </w:t>
      </w:r>
      <w:r w:rsidRPr="00D27C49">
        <w:rPr>
          <w:rFonts w:asciiTheme="majorBidi" w:hAnsiTheme="majorBidi" w:cstheme="majorBidi"/>
        </w:rPr>
        <w:t xml:space="preserve">(Nazarenko </w:t>
      </w:r>
      <w:r w:rsidR="00AA56F6">
        <w:rPr>
          <w:rFonts w:asciiTheme="majorBidi" w:hAnsiTheme="majorBidi" w:cstheme="majorBidi"/>
        </w:rPr>
        <w:t xml:space="preserve">et al </w:t>
      </w:r>
      <w:r w:rsidRPr="00D27C49">
        <w:rPr>
          <w:rFonts w:asciiTheme="majorBidi" w:hAnsiTheme="majorBidi" w:cstheme="majorBidi"/>
        </w:rPr>
        <w:t>2015)</w:t>
      </w:r>
      <w:r>
        <w:rPr>
          <w:rFonts w:asciiTheme="majorBidi" w:hAnsiTheme="majorBidi" w:cstheme="majorBidi"/>
        </w:rPr>
        <w:t xml:space="preserve">. However, in another study, retrospective review of 121 randomly selected inpatients indicated that computerised CDSS tools to enhance safety when DOACs are used did not correlate with bleeding events </w:t>
      </w:r>
      <w:r>
        <w:rPr>
          <w:rFonts w:asciiTheme="majorBidi" w:hAnsiTheme="majorBidi" w:cstheme="majorBidi"/>
          <w:noProof/>
        </w:rPr>
        <w:t xml:space="preserve">(Ahuja </w:t>
      </w:r>
      <w:r w:rsidR="00AA56F6">
        <w:rPr>
          <w:rFonts w:asciiTheme="majorBidi" w:hAnsiTheme="majorBidi" w:cstheme="majorBidi"/>
          <w:noProof/>
        </w:rPr>
        <w:t xml:space="preserve">et al </w:t>
      </w:r>
      <w:r>
        <w:rPr>
          <w:rFonts w:asciiTheme="majorBidi" w:hAnsiTheme="majorBidi" w:cstheme="majorBidi"/>
          <w:noProof/>
        </w:rPr>
        <w:t>2021)</w:t>
      </w:r>
      <w:r>
        <w:rPr>
          <w:rFonts w:asciiTheme="majorBidi" w:hAnsiTheme="majorBidi" w:cstheme="majorBidi"/>
        </w:rPr>
        <w:t xml:space="preserve">. </w:t>
      </w:r>
    </w:p>
    <w:p w14:paraId="7368B92F" w14:textId="77777777" w:rsidR="00B85C9C" w:rsidRDefault="00B85C9C" w:rsidP="00D27C49">
      <w:pPr>
        <w:rPr>
          <w:rFonts w:asciiTheme="majorBidi" w:hAnsiTheme="majorBidi" w:cstheme="majorBidi"/>
        </w:rPr>
      </w:pPr>
    </w:p>
    <w:p w14:paraId="13953F3B" w14:textId="77777777" w:rsidR="00B85C9C" w:rsidRDefault="00B85C9C" w:rsidP="00337FD2">
      <w:pPr>
        <w:rPr>
          <w:rFonts w:asciiTheme="majorBidi" w:hAnsiTheme="majorBidi" w:cstheme="majorBidi"/>
        </w:rPr>
      </w:pPr>
      <w:r>
        <w:rPr>
          <w:rFonts w:asciiTheme="majorBidi" w:hAnsiTheme="majorBidi" w:cstheme="majorBidi"/>
        </w:rPr>
        <w:t xml:space="preserve">Consistent with the systematic reviews reported above, the individual studies obtained suggest that electronic alerts lead to improved prescribing quality, and that use of app-based guidance or electronic CDSS may be associated with fewer ED visits or decreased VTE rates. However, most studies did not report hard clinical outcomes, and most were low quality, uncontrolled, non-randomised studies. </w:t>
      </w:r>
    </w:p>
    <w:p w14:paraId="5FA77759" w14:textId="77777777" w:rsidR="00B85C9C" w:rsidRDefault="00B85C9C" w:rsidP="008C682C">
      <w:pPr>
        <w:rPr>
          <w:rFonts w:asciiTheme="majorBidi" w:hAnsiTheme="majorBidi" w:cstheme="majorBidi"/>
        </w:rPr>
      </w:pPr>
    </w:p>
    <w:p w14:paraId="369A8506" w14:textId="77777777" w:rsidR="00B85C9C" w:rsidRPr="008C682C" w:rsidRDefault="00B85C9C" w:rsidP="00131C8A">
      <w:pPr>
        <w:pStyle w:val="Heading3"/>
      </w:pPr>
      <w:r w:rsidRPr="008C682C">
        <w:t>Other Interventions</w:t>
      </w:r>
    </w:p>
    <w:p w14:paraId="60EDFC09" w14:textId="77777777" w:rsidR="00B85C9C" w:rsidRDefault="00B85C9C" w:rsidP="008C682C">
      <w:pPr>
        <w:rPr>
          <w:rFonts w:asciiTheme="majorBidi" w:hAnsiTheme="majorBidi" w:cstheme="majorBidi"/>
        </w:rPr>
      </w:pPr>
    </w:p>
    <w:p w14:paraId="24EAE2B4" w14:textId="77777777" w:rsidR="00B85C9C" w:rsidRDefault="00B85C9C" w:rsidP="008C682C">
      <w:pPr>
        <w:rPr>
          <w:rFonts w:asciiTheme="majorBidi" w:hAnsiTheme="majorBidi" w:cstheme="majorBidi"/>
        </w:rPr>
      </w:pPr>
      <w:r>
        <w:rPr>
          <w:rFonts w:asciiTheme="majorBidi" w:hAnsiTheme="majorBidi" w:cstheme="majorBidi"/>
        </w:rPr>
        <w:t>Other interventions described in the sources obtained include use of a shared decision-making tool, a specialist perioperative bridging service, a QI intervention bundle, and a surgical ward round checklist.</w:t>
      </w:r>
    </w:p>
    <w:p w14:paraId="6207C96A" w14:textId="77777777" w:rsidR="00B85C9C" w:rsidRDefault="00B85C9C" w:rsidP="008C682C">
      <w:pPr>
        <w:rPr>
          <w:rFonts w:asciiTheme="majorBidi" w:hAnsiTheme="majorBidi" w:cstheme="majorBidi"/>
        </w:rPr>
      </w:pPr>
    </w:p>
    <w:p w14:paraId="5FC6BFEC" w14:textId="14075DB1" w:rsidR="00B85C9C" w:rsidRDefault="00B85C9C" w:rsidP="0026533E">
      <w:pPr>
        <w:rPr>
          <w:rFonts w:asciiTheme="majorBidi" w:hAnsiTheme="majorBidi" w:cstheme="majorBidi"/>
        </w:rPr>
      </w:pPr>
      <w:r>
        <w:rPr>
          <w:rFonts w:asciiTheme="majorBidi" w:hAnsiTheme="majorBidi" w:cstheme="majorBidi"/>
        </w:rPr>
        <w:t xml:space="preserve">In an RCT, n = 922 (including hospital inpatients), the use of the ‘Anticoagulation Choice’ shared decision-making tool had no impact on anticoagulation adherence or clinical safety outcomes </w:t>
      </w:r>
      <w:r w:rsidRPr="0026533E">
        <w:rPr>
          <w:rFonts w:asciiTheme="majorBidi" w:hAnsiTheme="majorBidi" w:cstheme="majorBidi"/>
        </w:rPr>
        <w:t xml:space="preserve">(Noseworthy </w:t>
      </w:r>
      <w:r w:rsidR="00AA56F6">
        <w:rPr>
          <w:rFonts w:asciiTheme="majorBidi" w:hAnsiTheme="majorBidi" w:cstheme="majorBidi"/>
        </w:rPr>
        <w:t xml:space="preserve">et al </w:t>
      </w:r>
      <w:r w:rsidRPr="0026533E">
        <w:rPr>
          <w:rFonts w:asciiTheme="majorBidi" w:hAnsiTheme="majorBidi" w:cstheme="majorBidi"/>
        </w:rPr>
        <w:t>2022)</w:t>
      </w:r>
      <w:r>
        <w:rPr>
          <w:rFonts w:asciiTheme="majorBidi" w:hAnsiTheme="majorBidi" w:cstheme="majorBidi"/>
        </w:rPr>
        <w:t xml:space="preserve">. </w:t>
      </w:r>
    </w:p>
    <w:p w14:paraId="66BDA776" w14:textId="77777777" w:rsidR="00B85C9C" w:rsidRDefault="00B85C9C" w:rsidP="008C682C">
      <w:pPr>
        <w:rPr>
          <w:rFonts w:asciiTheme="majorBidi" w:hAnsiTheme="majorBidi" w:cstheme="majorBidi"/>
        </w:rPr>
      </w:pPr>
    </w:p>
    <w:p w14:paraId="14CE34D5" w14:textId="613394B1" w:rsidR="00B85C9C" w:rsidRDefault="00B85C9C" w:rsidP="0026533E">
      <w:pPr>
        <w:rPr>
          <w:rFonts w:asciiTheme="majorBidi" w:hAnsiTheme="majorBidi" w:cstheme="majorBidi"/>
        </w:rPr>
      </w:pPr>
      <w:r>
        <w:rPr>
          <w:rFonts w:asciiTheme="majorBidi" w:hAnsiTheme="majorBidi" w:cstheme="majorBidi"/>
        </w:rPr>
        <w:t xml:space="preserve">A QI intervention bundle aimed to increase guideline compliance with prophylactic doses of anticoagulation in gynaecological oncological procedures. Compliance improved from 73% to 96% (n = 100, p &lt; 0.001) when compared to historical controls (n = 182). The rate of VTE remained unchanged </w:t>
      </w:r>
      <w:r w:rsidRPr="0026533E">
        <w:rPr>
          <w:rFonts w:asciiTheme="majorBidi" w:hAnsiTheme="majorBidi" w:cstheme="majorBidi"/>
        </w:rPr>
        <w:t>(</w:t>
      </w:r>
      <w:proofErr w:type="spellStart"/>
      <w:r w:rsidRPr="0026533E">
        <w:rPr>
          <w:rFonts w:asciiTheme="majorBidi" w:hAnsiTheme="majorBidi" w:cstheme="majorBidi"/>
        </w:rPr>
        <w:t>Pelkofski</w:t>
      </w:r>
      <w:proofErr w:type="spellEnd"/>
      <w:r w:rsidRPr="0026533E">
        <w:rPr>
          <w:rFonts w:asciiTheme="majorBidi" w:hAnsiTheme="majorBidi" w:cstheme="majorBidi"/>
        </w:rPr>
        <w:t xml:space="preserve">, Baker, </w:t>
      </w:r>
      <w:proofErr w:type="spellStart"/>
      <w:r w:rsidRPr="0026533E">
        <w:rPr>
          <w:rFonts w:asciiTheme="majorBidi" w:hAnsiTheme="majorBidi" w:cstheme="majorBidi"/>
        </w:rPr>
        <w:t>Rowlingson</w:t>
      </w:r>
      <w:proofErr w:type="spellEnd"/>
      <w:r w:rsidRPr="0026533E">
        <w:rPr>
          <w:rFonts w:asciiTheme="majorBidi" w:hAnsiTheme="majorBidi" w:cstheme="majorBidi"/>
        </w:rPr>
        <w:t xml:space="preserve">, Cantrell, </w:t>
      </w:r>
      <w:r w:rsidR="009E1609">
        <w:rPr>
          <w:rFonts w:asciiTheme="majorBidi" w:hAnsiTheme="majorBidi" w:cstheme="majorBidi"/>
        </w:rPr>
        <w:t>and</w:t>
      </w:r>
      <w:r w:rsidRPr="0026533E">
        <w:rPr>
          <w:rFonts w:asciiTheme="majorBidi" w:hAnsiTheme="majorBidi" w:cstheme="majorBidi"/>
        </w:rPr>
        <w:t xml:space="preserve"> Duska 2019)</w:t>
      </w:r>
      <w:r>
        <w:rPr>
          <w:rFonts w:asciiTheme="majorBidi" w:hAnsiTheme="majorBidi" w:cstheme="majorBidi"/>
        </w:rPr>
        <w:t xml:space="preserve">. </w:t>
      </w:r>
    </w:p>
    <w:p w14:paraId="45CD967C" w14:textId="77777777" w:rsidR="00B85C9C" w:rsidRDefault="00B85C9C" w:rsidP="0026533E">
      <w:pPr>
        <w:rPr>
          <w:rFonts w:asciiTheme="majorBidi" w:hAnsiTheme="majorBidi" w:cstheme="majorBidi"/>
        </w:rPr>
      </w:pPr>
    </w:p>
    <w:p w14:paraId="7B12FB58" w14:textId="567407EC" w:rsidR="00B85C9C" w:rsidRDefault="00B85C9C" w:rsidP="0026533E">
      <w:pPr>
        <w:rPr>
          <w:rFonts w:asciiTheme="majorBidi" w:hAnsiTheme="majorBidi" w:cstheme="majorBidi"/>
        </w:rPr>
      </w:pPr>
      <w:r>
        <w:rPr>
          <w:rFonts w:asciiTheme="majorBidi" w:hAnsiTheme="majorBidi" w:cstheme="majorBidi"/>
        </w:rPr>
        <w:t xml:space="preserve">A surgical ward round checklist was implemented at Christchurch Hospital and evaluated over a two-week period. After the intervention anticoagulation/antiplatelet treatment increased from 32% to 58.1% (p &lt; 0.05) </w:t>
      </w:r>
      <w:r w:rsidRPr="0026533E">
        <w:rPr>
          <w:rFonts w:asciiTheme="majorBidi" w:hAnsiTheme="majorBidi" w:cstheme="majorBidi"/>
        </w:rPr>
        <w:t xml:space="preserve">(Tranter-Entwistle </w:t>
      </w:r>
      <w:r w:rsidR="00AA56F6">
        <w:rPr>
          <w:rFonts w:asciiTheme="majorBidi" w:hAnsiTheme="majorBidi" w:cstheme="majorBidi"/>
        </w:rPr>
        <w:t xml:space="preserve">et al </w:t>
      </w:r>
      <w:r w:rsidRPr="0026533E">
        <w:rPr>
          <w:rFonts w:asciiTheme="majorBidi" w:hAnsiTheme="majorBidi" w:cstheme="majorBidi"/>
        </w:rPr>
        <w:t>2020)</w:t>
      </w:r>
      <w:r>
        <w:rPr>
          <w:rFonts w:asciiTheme="majorBidi" w:hAnsiTheme="majorBidi" w:cstheme="majorBidi"/>
        </w:rPr>
        <w:t xml:space="preserve">.  </w:t>
      </w:r>
    </w:p>
    <w:p w14:paraId="2241592E" w14:textId="77777777" w:rsidR="00B85C9C" w:rsidRDefault="00B85C9C" w:rsidP="0026533E">
      <w:pPr>
        <w:rPr>
          <w:rFonts w:asciiTheme="majorBidi" w:hAnsiTheme="majorBidi" w:cstheme="majorBidi"/>
        </w:rPr>
      </w:pPr>
    </w:p>
    <w:p w14:paraId="4006F714" w14:textId="3A3FBE7F" w:rsidR="00B85C9C" w:rsidRDefault="00B85C9C" w:rsidP="002359BA">
      <w:pPr>
        <w:rPr>
          <w:rFonts w:asciiTheme="majorBidi" w:hAnsiTheme="majorBidi" w:cstheme="majorBidi"/>
        </w:rPr>
      </w:pPr>
      <w:r>
        <w:rPr>
          <w:rFonts w:asciiTheme="majorBidi" w:hAnsiTheme="majorBidi" w:cstheme="majorBidi"/>
        </w:rPr>
        <w:t xml:space="preserve">A specialist perioperative anticoagulation bridging service was developed at Capital and Coast DHB. The aim was to devise individualised plans for interruption of anticoagulation and have these plans managed by the specialist service. A single-centre, prospective analysis of 566 consecutive patients who underwent a procedure found low rates of major bleeding (1.9%) and thrombosis (0.8%) at day 30. These rates were comparable to those in RCTs, however, the study itself included no comparator group </w:t>
      </w:r>
      <w:r w:rsidRPr="002359BA">
        <w:rPr>
          <w:rFonts w:asciiTheme="majorBidi" w:hAnsiTheme="majorBidi" w:cstheme="majorBidi"/>
          <w:noProof/>
        </w:rPr>
        <w:t xml:space="preserve">(Ruell, Smith, Perera, </w:t>
      </w:r>
      <w:r w:rsidR="009E1609">
        <w:rPr>
          <w:rFonts w:asciiTheme="majorBidi" w:hAnsiTheme="majorBidi" w:cstheme="majorBidi"/>
          <w:noProof/>
        </w:rPr>
        <w:t>and</w:t>
      </w:r>
      <w:r w:rsidRPr="002359BA">
        <w:rPr>
          <w:rFonts w:asciiTheme="majorBidi" w:hAnsiTheme="majorBidi" w:cstheme="majorBidi"/>
          <w:noProof/>
        </w:rPr>
        <w:t xml:space="preserve"> Carter 2019)</w:t>
      </w:r>
      <w:r>
        <w:rPr>
          <w:rFonts w:asciiTheme="majorBidi" w:hAnsiTheme="majorBidi" w:cstheme="majorBidi"/>
        </w:rPr>
        <w:t xml:space="preserve">. </w:t>
      </w:r>
    </w:p>
    <w:p w14:paraId="66418B09" w14:textId="77777777" w:rsidR="00B85C9C" w:rsidRDefault="00B85C9C" w:rsidP="00A9430D">
      <w:pPr>
        <w:rPr>
          <w:rFonts w:asciiTheme="majorBidi" w:hAnsiTheme="majorBidi" w:cstheme="majorBidi"/>
        </w:rPr>
      </w:pPr>
    </w:p>
    <w:p w14:paraId="7B7FD120" w14:textId="77777777" w:rsidR="00B85C9C" w:rsidRPr="00B46928" w:rsidRDefault="00B85C9C" w:rsidP="00A9430D">
      <w:pPr>
        <w:rPr>
          <w:rFonts w:asciiTheme="majorBidi" w:hAnsiTheme="majorBidi" w:cstheme="majorBidi"/>
        </w:rPr>
      </w:pPr>
      <w:r>
        <w:rPr>
          <w:rFonts w:asciiTheme="majorBidi" w:hAnsiTheme="majorBidi" w:cstheme="majorBidi"/>
        </w:rPr>
        <w:t xml:space="preserve">Overall, evidence suggests these other interventions might have some impact on guideline compliance, however there was scant evidence for any impact on clinical outcomes. </w:t>
      </w:r>
    </w:p>
    <w:p w14:paraId="7186B84D" w14:textId="77777777" w:rsidR="00B85C9C" w:rsidRDefault="00B85C9C" w:rsidP="00C04448">
      <w:pPr>
        <w:rPr>
          <w:rFonts w:asciiTheme="majorBidi" w:hAnsiTheme="majorBidi" w:cstheme="majorBidi"/>
        </w:rPr>
      </w:pPr>
    </w:p>
    <w:p w14:paraId="58594F97" w14:textId="77777777" w:rsidR="00B85C9C" w:rsidRPr="00CA1C8F" w:rsidRDefault="00B85C9C" w:rsidP="00CA1C8F">
      <w:pPr>
        <w:pStyle w:val="Heading4"/>
      </w:pPr>
      <w:bookmarkStart w:id="19" w:name="_Toc106288215"/>
      <w:r w:rsidRPr="00CA1C8F">
        <w:t>High-level Consensus or Commentary</w:t>
      </w:r>
      <w:bookmarkEnd w:id="19"/>
    </w:p>
    <w:p w14:paraId="754F4A2A" w14:textId="77777777" w:rsidR="00B85C9C" w:rsidRDefault="00B85C9C" w:rsidP="003A58F9">
      <w:pPr>
        <w:rPr>
          <w:rFonts w:asciiTheme="majorBidi" w:hAnsiTheme="majorBidi" w:cstheme="majorBidi"/>
        </w:rPr>
      </w:pPr>
    </w:p>
    <w:p w14:paraId="7DDD2630" w14:textId="689681BE" w:rsidR="00B85C9C" w:rsidRDefault="00B85C9C" w:rsidP="003A58F9">
      <w:pPr>
        <w:rPr>
          <w:rFonts w:asciiTheme="majorBidi" w:hAnsiTheme="majorBidi" w:cstheme="majorBidi"/>
          <w:lang w:val="en-NZ"/>
        </w:rPr>
      </w:pPr>
      <w:r>
        <w:rPr>
          <w:rFonts w:asciiTheme="majorBidi" w:hAnsiTheme="majorBidi" w:cstheme="majorBidi"/>
        </w:rPr>
        <w:t>High-level consensus statements of summaries obtained are described in Appendix Table A3. Most of the high-level statements obtained pertained to the United States context. The Joint Commission’s National Patient Safety Goal NPSG.03.05.01 aims to ‘</w:t>
      </w:r>
      <w:r w:rsidRPr="001978D8">
        <w:rPr>
          <w:rFonts w:asciiTheme="majorBidi" w:hAnsiTheme="majorBidi" w:cstheme="majorBidi"/>
          <w:lang w:val="en-NZ"/>
        </w:rPr>
        <w:t>Reduce the likelihood of patient harm associated with the use of anticoagulant therapy</w:t>
      </w:r>
      <w:r>
        <w:rPr>
          <w:rFonts w:asciiTheme="majorBidi" w:hAnsiTheme="majorBidi" w:cstheme="majorBidi"/>
          <w:lang w:val="en-NZ"/>
        </w:rPr>
        <w:t xml:space="preserve">’. Commentary on this goal from the </w:t>
      </w:r>
      <w:r w:rsidRPr="00B87072">
        <w:rPr>
          <w:rFonts w:asciiTheme="majorBidi" w:hAnsiTheme="majorBidi" w:cstheme="majorBidi"/>
          <w:lang w:val="en-NZ"/>
        </w:rPr>
        <w:t xml:space="preserve">Anticoagulation Forum </w:t>
      </w:r>
      <w:r w:rsidRPr="00B87072">
        <w:rPr>
          <w:rFonts w:asciiTheme="majorBidi" w:hAnsiTheme="majorBidi" w:cstheme="majorBidi"/>
          <w:noProof/>
        </w:rPr>
        <w:t xml:space="preserve">(Dager </w:t>
      </w:r>
      <w:r w:rsidR="00AA56F6">
        <w:rPr>
          <w:rFonts w:asciiTheme="majorBidi" w:hAnsiTheme="majorBidi" w:cstheme="majorBidi"/>
          <w:noProof/>
        </w:rPr>
        <w:t xml:space="preserve">et al </w:t>
      </w:r>
      <w:r w:rsidRPr="00B87072">
        <w:rPr>
          <w:rFonts w:asciiTheme="majorBidi" w:hAnsiTheme="majorBidi" w:cstheme="majorBidi"/>
          <w:noProof/>
        </w:rPr>
        <w:t>2020)</w:t>
      </w:r>
      <w:r w:rsidRPr="00B87072">
        <w:rPr>
          <w:rFonts w:asciiTheme="majorBidi" w:hAnsiTheme="majorBidi" w:cstheme="majorBidi"/>
          <w:lang w:val="en-NZ"/>
        </w:rPr>
        <w:t>, notes the rapid evolution of medical evidence and</w:t>
      </w:r>
      <w:r>
        <w:rPr>
          <w:rFonts w:asciiTheme="majorBidi" w:hAnsiTheme="majorBidi" w:cstheme="majorBidi"/>
          <w:lang w:val="en-NZ"/>
        </w:rPr>
        <w:t xml:space="preserve"> best practices means that organisations must undertake serial re-evaluation of their guidance. The Anticoagulation Forum itself provides continually updated materials at their ‘</w:t>
      </w:r>
      <w:proofErr w:type="spellStart"/>
      <w:r>
        <w:rPr>
          <w:rFonts w:asciiTheme="majorBidi" w:hAnsiTheme="majorBidi" w:cstheme="majorBidi"/>
          <w:lang w:val="en-NZ"/>
        </w:rPr>
        <w:t>Centers</w:t>
      </w:r>
      <w:proofErr w:type="spellEnd"/>
      <w:r>
        <w:rPr>
          <w:rFonts w:asciiTheme="majorBidi" w:hAnsiTheme="majorBidi" w:cstheme="majorBidi"/>
          <w:lang w:val="en-NZ"/>
        </w:rPr>
        <w:t xml:space="preserve"> of Excellence’ website. However, to achieve safe use of anticoagulants institutions need high level buy in, appropriate resourcing, clear communication, engagement of multidisciplinary teams, easily retrievable policies and procedures, involvement from pharmacy and informatics, continuous redesign and evaluation. </w:t>
      </w:r>
    </w:p>
    <w:p w14:paraId="280F063C" w14:textId="77777777" w:rsidR="00B85C9C" w:rsidRDefault="00B85C9C" w:rsidP="003A58F9">
      <w:pPr>
        <w:rPr>
          <w:rFonts w:asciiTheme="majorBidi" w:hAnsiTheme="majorBidi" w:cstheme="majorBidi"/>
          <w:lang w:val="en-NZ"/>
        </w:rPr>
      </w:pPr>
    </w:p>
    <w:p w14:paraId="636EFCF1" w14:textId="6ED8E59C" w:rsidR="00B85C9C" w:rsidRDefault="00B85C9C" w:rsidP="003A58F9">
      <w:pPr>
        <w:rPr>
          <w:rFonts w:asciiTheme="majorBidi" w:hAnsiTheme="majorBidi" w:cstheme="majorBidi"/>
        </w:rPr>
      </w:pPr>
      <w:r w:rsidRPr="00C90A32">
        <w:rPr>
          <w:rFonts w:asciiTheme="majorBidi" w:hAnsiTheme="majorBidi" w:cstheme="majorBidi"/>
          <w:lang w:val="en-NZ"/>
        </w:rPr>
        <w:t xml:space="preserve">Picking up on the theme of involving pharmacists, the International Pharmacists Anticoagulation Taskforce issued a Position Statement </w:t>
      </w:r>
      <w:r>
        <w:rPr>
          <w:rFonts w:asciiTheme="majorBidi" w:hAnsiTheme="majorBidi" w:cstheme="majorBidi"/>
          <w:lang w:val="en-NZ"/>
        </w:rPr>
        <w:t>that identified</w:t>
      </w:r>
      <w:r w:rsidRPr="00C90A32">
        <w:rPr>
          <w:rFonts w:asciiTheme="majorBidi" w:hAnsiTheme="majorBidi" w:cstheme="majorBidi"/>
        </w:rPr>
        <w:t xml:space="preserve"> seven steps on the patient care pathway where pharmacy input could be beneficial</w:t>
      </w:r>
      <w:r>
        <w:rPr>
          <w:rFonts w:asciiTheme="majorBidi" w:hAnsiTheme="majorBidi" w:cstheme="majorBidi"/>
        </w:rPr>
        <w:t xml:space="preserve"> </w:t>
      </w:r>
      <w:r w:rsidRPr="00C90A32">
        <w:rPr>
          <w:rFonts w:asciiTheme="majorBidi" w:hAnsiTheme="majorBidi" w:cstheme="majorBidi"/>
        </w:rPr>
        <w:t xml:space="preserve">(Alves da Costa, Rydant, </w:t>
      </w:r>
      <w:r w:rsidR="00172FB7">
        <w:rPr>
          <w:rFonts w:asciiTheme="majorBidi" w:hAnsiTheme="majorBidi" w:cstheme="majorBidi"/>
        </w:rPr>
        <w:t>and</w:t>
      </w:r>
      <w:r w:rsidRPr="00C90A32">
        <w:rPr>
          <w:rFonts w:asciiTheme="majorBidi" w:hAnsiTheme="majorBidi" w:cstheme="majorBidi"/>
        </w:rPr>
        <w:t xml:space="preserve"> Antoniou</w:t>
      </w:r>
      <w:r w:rsidR="00172FB7">
        <w:rPr>
          <w:rFonts w:asciiTheme="majorBidi" w:hAnsiTheme="majorBidi" w:cstheme="majorBidi"/>
        </w:rPr>
        <w:t xml:space="preserve"> </w:t>
      </w:r>
      <w:r w:rsidRPr="00C90A32">
        <w:rPr>
          <w:rFonts w:asciiTheme="majorBidi" w:hAnsiTheme="majorBidi" w:cstheme="majorBidi"/>
        </w:rPr>
        <w:t>2020). The statement cites research literature pertaining to all steps, however only one step is based in the hospital context. Pharmacists could contribute to:</w:t>
      </w:r>
      <w:r>
        <w:rPr>
          <w:rFonts w:asciiTheme="majorBidi" w:hAnsiTheme="majorBidi" w:cstheme="majorBidi"/>
        </w:rPr>
        <w:t xml:space="preserve"> </w:t>
      </w:r>
    </w:p>
    <w:p w14:paraId="33EA9EE4" w14:textId="77777777" w:rsidR="00B85C9C" w:rsidRDefault="00B85C9C" w:rsidP="003A58F9">
      <w:pPr>
        <w:rPr>
          <w:rFonts w:asciiTheme="majorBidi" w:hAnsiTheme="majorBidi" w:cstheme="majorBidi"/>
        </w:rPr>
      </w:pPr>
    </w:p>
    <w:p w14:paraId="4ADE5589"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d</w:t>
      </w:r>
      <w:r w:rsidRPr="00C90A32">
        <w:rPr>
          <w:rFonts w:asciiTheme="majorBidi" w:hAnsiTheme="majorBidi" w:cstheme="majorBidi"/>
        </w:rPr>
        <w:t>osing and monitoring check</w:t>
      </w:r>
      <w:r>
        <w:rPr>
          <w:rFonts w:asciiTheme="majorBidi" w:hAnsiTheme="majorBidi" w:cstheme="majorBidi"/>
        </w:rPr>
        <w:t>ing</w:t>
      </w:r>
    </w:p>
    <w:p w14:paraId="4E845843" w14:textId="77777777" w:rsidR="00B85C9C" w:rsidRDefault="00B85C9C" w:rsidP="003A58F9">
      <w:pPr>
        <w:pStyle w:val="ListParagraph"/>
        <w:numPr>
          <w:ilvl w:val="0"/>
          <w:numId w:val="6"/>
        </w:numPr>
        <w:rPr>
          <w:rFonts w:asciiTheme="majorBidi" w:hAnsiTheme="majorBidi" w:cstheme="majorBidi"/>
        </w:rPr>
      </w:pPr>
      <w:r w:rsidRPr="00C90A32">
        <w:rPr>
          <w:rFonts w:asciiTheme="majorBidi" w:hAnsiTheme="majorBidi" w:cstheme="majorBidi"/>
        </w:rPr>
        <w:t>integrated medicines management</w:t>
      </w:r>
    </w:p>
    <w:p w14:paraId="463AE6F8"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p</w:t>
      </w:r>
      <w:r w:rsidRPr="00C90A32">
        <w:rPr>
          <w:rFonts w:asciiTheme="majorBidi" w:hAnsiTheme="majorBidi" w:cstheme="majorBidi"/>
        </w:rPr>
        <w:t>harmacokinetics monitoring</w:t>
      </w:r>
    </w:p>
    <w:p w14:paraId="5CBB8FC2"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m</w:t>
      </w:r>
      <w:r w:rsidRPr="00C90A32">
        <w:rPr>
          <w:rFonts w:asciiTheme="majorBidi" w:hAnsiTheme="majorBidi" w:cstheme="majorBidi"/>
        </w:rPr>
        <w:t>onitor</w:t>
      </w:r>
      <w:r>
        <w:rPr>
          <w:rFonts w:asciiTheme="majorBidi" w:hAnsiTheme="majorBidi" w:cstheme="majorBidi"/>
        </w:rPr>
        <w:t>ing</w:t>
      </w:r>
      <w:r w:rsidRPr="00C90A32">
        <w:rPr>
          <w:rFonts w:asciiTheme="majorBidi" w:hAnsiTheme="majorBidi" w:cstheme="majorBidi"/>
        </w:rPr>
        <w:t xml:space="preserve"> off-label prescribing (</w:t>
      </w:r>
      <w:r>
        <w:rPr>
          <w:rFonts w:asciiTheme="majorBidi" w:hAnsiTheme="majorBidi" w:cstheme="majorBidi"/>
        </w:rPr>
        <w:t>where there is</w:t>
      </w:r>
      <w:r w:rsidRPr="00C90A32">
        <w:rPr>
          <w:rFonts w:asciiTheme="majorBidi" w:hAnsiTheme="majorBidi" w:cstheme="majorBidi"/>
        </w:rPr>
        <w:t xml:space="preserve"> no </w:t>
      </w:r>
      <w:r>
        <w:rPr>
          <w:rFonts w:asciiTheme="majorBidi" w:hAnsiTheme="majorBidi" w:cstheme="majorBidi"/>
        </w:rPr>
        <w:t xml:space="preserve">evidence-based </w:t>
      </w:r>
      <w:r w:rsidRPr="00C90A32">
        <w:rPr>
          <w:rFonts w:asciiTheme="majorBidi" w:hAnsiTheme="majorBidi" w:cstheme="majorBidi"/>
        </w:rPr>
        <w:t>benefit)</w:t>
      </w:r>
    </w:p>
    <w:p w14:paraId="2286F340"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e</w:t>
      </w:r>
      <w:r w:rsidRPr="00C90A32">
        <w:rPr>
          <w:rFonts w:asciiTheme="majorBidi" w:hAnsiTheme="majorBidi" w:cstheme="majorBidi"/>
        </w:rPr>
        <w:t>nsur</w:t>
      </w:r>
      <w:r>
        <w:rPr>
          <w:rFonts w:asciiTheme="majorBidi" w:hAnsiTheme="majorBidi" w:cstheme="majorBidi"/>
        </w:rPr>
        <w:t>ing</w:t>
      </w:r>
      <w:r w:rsidRPr="00C90A32">
        <w:rPr>
          <w:rFonts w:asciiTheme="majorBidi" w:hAnsiTheme="majorBidi" w:cstheme="majorBidi"/>
        </w:rPr>
        <w:t xml:space="preserve"> appropriate dosing (including renal function adjustment)</w:t>
      </w:r>
    </w:p>
    <w:p w14:paraId="2E2E95B3"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m</w:t>
      </w:r>
      <w:r w:rsidRPr="00C90A32">
        <w:rPr>
          <w:rFonts w:asciiTheme="majorBidi" w:hAnsiTheme="majorBidi" w:cstheme="majorBidi"/>
        </w:rPr>
        <w:t>onitor</w:t>
      </w:r>
      <w:r>
        <w:rPr>
          <w:rFonts w:asciiTheme="majorBidi" w:hAnsiTheme="majorBidi" w:cstheme="majorBidi"/>
        </w:rPr>
        <w:t>ing</w:t>
      </w:r>
      <w:r w:rsidRPr="00C90A32">
        <w:rPr>
          <w:rFonts w:asciiTheme="majorBidi" w:hAnsiTheme="majorBidi" w:cstheme="majorBidi"/>
        </w:rPr>
        <w:t xml:space="preserve"> for excess anticoagulant perioperatively, and insufficient at discharge</w:t>
      </w:r>
    </w:p>
    <w:p w14:paraId="4C31B763" w14:textId="77777777" w:rsidR="00B85C9C" w:rsidRDefault="00B85C9C" w:rsidP="003A58F9">
      <w:pPr>
        <w:pStyle w:val="ListParagraph"/>
        <w:numPr>
          <w:ilvl w:val="0"/>
          <w:numId w:val="6"/>
        </w:numPr>
        <w:rPr>
          <w:rFonts w:asciiTheme="majorBidi" w:hAnsiTheme="majorBidi" w:cstheme="majorBidi"/>
        </w:rPr>
      </w:pPr>
      <w:r>
        <w:rPr>
          <w:rFonts w:asciiTheme="majorBidi" w:hAnsiTheme="majorBidi" w:cstheme="majorBidi"/>
        </w:rPr>
        <w:t>e</w:t>
      </w:r>
      <w:r w:rsidRPr="00C90A32">
        <w:rPr>
          <w:rFonts w:asciiTheme="majorBidi" w:hAnsiTheme="majorBidi" w:cstheme="majorBidi"/>
        </w:rPr>
        <w:t>ducat</w:t>
      </w:r>
      <w:r>
        <w:rPr>
          <w:rFonts w:asciiTheme="majorBidi" w:hAnsiTheme="majorBidi" w:cstheme="majorBidi"/>
        </w:rPr>
        <w:t>ing</w:t>
      </w:r>
      <w:r w:rsidRPr="00C90A32">
        <w:rPr>
          <w:rFonts w:asciiTheme="majorBidi" w:hAnsiTheme="majorBidi" w:cstheme="majorBidi"/>
        </w:rPr>
        <w:t xml:space="preserve"> patients at discharge (often </w:t>
      </w:r>
      <w:r>
        <w:rPr>
          <w:rFonts w:asciiTheme="majorBidi" w:hAnsiTheme="majorBidi" w:cstheme="majorBidi"/>
        </w:rPr>
        <w:t>there are three</w:t>
      </w:r>
      <w:r w:rsidRPr="00C90A32">
        <w:rPr>
          <w:rFonts w:asciiTheme="majorBidi" w:hAnsiTheme="majorBidi" w:cstheme="majorBidi"/>
        </w:rPr>
        <w:t xml:space="preserve"> or more changed medications)</w:t>
      </w:r>
    </w:p>
    <w:p w14:paraId="2A55361F" w14:textId="77777777" w:rsidR="00B85C9C" w:rsidRPr="00C90A32" w:rsidRDefault="00B85C9C" w:rsidP="003A58F9">
      <w:pPr>
        <w:pStyle w:val="ListParagraph"/>
        <w:numPr>
          <w:ilvl w:val="0"/>
          <w:numId w:val="6"/>
        </w:numPr>
        <w:rPr>
          <w:rFonts w:asciiTheme="majorBidi" w:hAnsiTheme="majorBidi" w:cstheme="majorBidi"/>
        </w:rPr>
      </w:pPr>
      <w:r>
        <w:rPr>
          <w:rFonts w:asciiTheme="majorBidi" w:hAnsiTheme="majorBidi" w:cstheme="majorBidi"/>
        </w:rPr>
        <w:t>i</w:t>
      </w:r>
      <w:r w:rsidRPr="00C90A32">
        <w:rPr>
          <w:rFonts w:asciiTheme="majorBidi" w:hAnsiTheme="majorBidi" w:cstheme="majorBidi"/>
        </w:rPr>
        <w:t>mprov</w:t>
      </w:r>
      <w:r>
        <w:rPr>
          <w:rFonts w:asciiTheme="majorBidi" w:hAnsiTheme="majorBidi" w:cstheme="majorBidi"/>
        </w:rPr>
        <w:t>ing</w:t>
      </w:r>
      <w:r w:rsidRPr="00C90A32">
        <w:rPr>
          <w:rFonts w:asciiTheme="majorBidi" w:hAnsiTheme="majorBidi" w:cstheme="majorBidi"/>
        </w:rPr>
        <w:t xml:space="preserve"> transfer of information</w:t>
      </w:r>
    </w:p>
    <w:p w14:paraId="2209FEFB" w14:textId="77777777" w:rsidR="00B85C9C" w:rsidRDefault="00B85C9C" w:rsidP="003A58F9">
      <w:pPr>
        <w:rPr>
          <w:rFonts w:asciiTheme="majorBidi" w:hAnsiTheme="majorBidi" w:cstheme="majorBidi"/>
          <w:lang w:val="en-NZ"/>
        </w:rPr>
      </w:pPr>
    </w:p>
    <w:p w14:paraId="7487B41A" w14:textId="77777777" w:rsidR="00B85C9C" w:rsidRDefault="00B85C9C" w:rsidP="003A58F9">
      <w:pPr>
        <w:rPr>
          <w:rFonts w:asciiTheme="majorBidi" w:hAnsiTheme="majorBidi" w:cstheme="majorBidi"/>
        </w:rPr>
      </w:pPr>
      <w:r>
        <w:rPr>
          <w:rFonts w:asciiTheme="majorBidi" w:hAnsiTheme="majorBidi" w:cstheme="majorBidi"/>
        </w:rPr>
        <w:t>Accompanying NPSG.03.05.01, the Joint Commission provides a ‘List of Resources’</w:t>
      </w:r>
      <w:r>
        <w:rPr>
          <w:rStyle w:val="FootnoteReference"/>
          <w:rFonts w:asciiTheme="majorBidi" w:hAnsiTheme="majorBidi" w:cstheme="majorBidi"/>
        </w:rPr>
        <w:footnoteReference w:id="2"/>
      </w:r>
      <w:r>
        <w:rPr>
          <w:rFonts w:asciiTheme="majorBidi" w:hAnsiTheme="majorBidi" w:cstheme="majorBidi"/>
        </w:rPr>
        <w:t xml:space="preserve"> organised around six elements of performance. These elements include: </w:t>
      </w:r>
    </w:p>
    <w:p w14:paraId="1515503F" w14:textId="77777777" w:rsidR="00B85C9C" w:rsidRDefault="00B85C9C" w:rsidP="003A58F9">
      <w:pPr>
        <w:rPr>
          <w:rFonts w:asciiTheme="majorBidi" w:hAnsiTheme="majorBidi" w:cstheme="majorBidi"/>
        </w:rPr>
      </w:pPr>
    </w:p>
    <w:p w14:paraId="6DB42BAB" w14:textId="77777777" w:rsidR="00B85C9C" w:rsidRDefault="00B85C9C" w:rsidP="003A58F9">
      <w:pPr>
        <w:pStyle w:val="ListParagraph"/>
        <w:numPr>
          <w:ilvl w:val="0"/>
          <w:numId w:val="2"/>
        </w:numPr>
        <w:rPr>
          <w:rFonts w:asciiTheme="majorBidi" w:hAnsiTheme="majorBidi" w:cstheme="majorBidi"/>
        </w:rPr>
      </w:pPr>
      <w:r w:rsidRPr="00B87072">
        <w:rPr>
          <w:rFonts w:asciiTheme="majorBidi" w:hAnsiTheme="majorBidi" w:cstheme="majorBidi"/>
        </w:rPr>
        <w:t xml:space="preserve">EPs 1 through 3 include the use of approved protocols and evidence-based practice guidelines for medication selection, reversal and management of bleeding, and perioperative care. </w:t>
      </w:r>
    </w:p>
    <w:p w14:paraId="33FC3476" w14:textId="77777777" w:rsidR="00B85C9C" w:rsidRDefault="00B85C9C" w:rsidP="003A58F9">
      <w:pPr>
        <w:pStyle w:val="ListParagraph"/>
        <w:numPr>
          <w:ilvl w:val="0"/>
          <w:numId w:val="2"/>
        </w:numPr>
        <w:rPr>
          <w:rFonts w:asciiTheme="majorBidi" w:hAnsiTheme="majorBidi" w:cstheme="majorBidi"/>
        </w:rPr>
      </w:pPr>
      <w:r w:rsidRPr="00B87072">
        <w:rPr>
          <w:rFonts w:asciiTheme="majorBidi" w:hAnsiTheme="majorBidi" w:cstheme="majorBidi"/>
        </w:rPr>
        <w:t xml:space="preserve">EP 4 requires a written policy about laboratory testing to monitor and adjust anticoagulation. </w:t>
      </w:r>
    </w:p>
    <w:p w14:paraId="6D7557B9" w14:textId="77777777" w:rsidR="00B85C9C" w:rsidRDefault="00B85C9C" w:rsidP="003A58F9">
      <w:pPr>
        <w:pStyle w:val="ListParagraph"/>
        <w:numPr>
          <w:ilvl w:val="0"/>
          <w:numId w:val="2"/>
        </w:numPr>
        <w:rPr>
          <w:rFonts w:asciiTheme="majorBidi" w:hAnsiTheme="majorBidi" w:cstheme="majorBidi"/>
        </w:rPr>
      </w:pPr>
      <w:r w:rsidRPr="00B87072">
        <w:rPr>
          <w:rFonts w:asciiTheme="majorBidi" w:hAnsiTheme="majorBidi" w:cstheme="majorBidi"/>
        </w:rPr>
        <w:t xml:space="preserve">EP 5 addresses institutional safety practices, including the development of processes for identifying and responding to adverse drug events. </w:t>
      </w:r>
    </w:p>
    <w:p w14:paraId="49B351A3" w14:textId="77777777" w:rsidR="00B85C9C" w:rsidRDefault="00B85C9C" w:rsidP="003A58F9">
      <w:pPr>
        <w:pStyle w:val="ListParagraph"/>
        <w:numPr>
          <w:ilvl w:val="0"/>
          <w:numId w:val="2"/>
        </w:numPr>
        <w:rPr>
          <w:rFonts w:asciiTheme="majorBidi" w:hAnsiTheme="majorBidi" w:cstheme="majorBidi"/>
        </w:rPr>
      </w:pPr>
      <w:r w:rsidRPr="00B87072">
        <w:rPr>
          <w:rFonts w:asciiTheme="majorBidi" w:hAnsiTheme="majorBidi" w:cstheme="majorBidi"/>
        </w:rPr>
        <w:t>EP6 focuses on patient education, ensuring that patients are aware of medication dose and schedule, follow-up plan, and potential drug interactions and adverse reactions</w:t>
      </w:r>
    </w:p>
    <w:p w14:paraId="7F4FB6BF" w14:textId="77777777" w:rsidR="00B85C9C" w:rsidRDefault="00B85C9C" w:rsidP="003A58F9">
      <w:pPr>
        <w:rPr>
          <w:rFonts w:asciiTheme="majorBidi" w:hAnsiTheme="majorBidi" w:cstheme="majorBidi"/>
        </w:rPr>
      </w:pPr>
    </w:p>
    <w:p w14:paraId="3022CA1A" w14:textId="2596DA1A" w:rsidR="00B85C9C" w:rsidRPr="00D33DB4" w:rsidRDefault="00B85C9C" w:rsidP="003A58F9">
      <w:pPr>
        <w:rPr>
          <w:rFonts w:asciiTheme="majorBidi" w:hAnsiTheme="majorBidi" w:cstheme="majorBidi"/>
        </w:rPr>
      </w:pPr>
      <w:r w:rsidRPr="00D33DB4">
        <w:rPr>
          <w:rFonts w:asciiTheme="majorBidi" w:hAnsiTheme="majorBidi" w:cstheme="majorBidi"/>
        </w:rPr>
        <w:t xml:space="preserve">Commentary on the List of Resources argues that there is an opportunity to implement ‘systems-based haematologists’, who are specialty-trained physicians, employed by a hospital, </w:t>
      </w:r>
      <w:r w:rsidRPr="00D33DB4">
        <w:rPr>
          <w:rFonts w:asciiTheme="majorBidi" w:hAnsiTheme="majorBidi" w:cstheme="majorBidi"/>
          <w:i/>
          <w:iCs/>
        </w:rPr>
        <w:t>or health system</w:t>
      </w:r>
      <w:r w:rsidRPr="00D33DB4">
        <w:rPr>
          <w:rFonts w:asciiTheme="majorBidi" w:hAnsiTheme="majorBidi" w:cstheme="majorBidi"/>
        </w:rPr>
        <w:t>, to optimize individual patient care, as well as the overall system of health care delivery</w:t>
      </w:r>
      <w:r>
        <w:rPr>
          <w:rFonts w:asciiTheme="majorBidi" w:hAnsiTheme="majorBidi" w:cstheme="majorBidi"/>
        </w:rPr>
        <w:t xml:space="preserve"> </w:t>
      </w:r>
      <w:r w:rsidRPr="00D33DB4">
        <w:rPr>
          <w:rFonts w:asciiTheme="majorBidi" w:hAnsiTheme="majorBidi" w:cstheme="majorBidi"/>
          <w:noProof/>
        </w:rPr>
        <w:t xml:space="preserve">(May </w:t>
      </w:r>
      <w:r w:rsidR="00172FB7">
        <w:rPr>
          <w:rFonts w:asciiTheme="majorBidi" w:hAnsiTheme="majorBidi" w:cstheme="majorBidi"/>
          <w:noProof/>
        </w:rPr>
        <w:t>and</w:t>
      </w:r>
      <w:r w:rsidRPr="00D33DB4">
        <w:rPr>
          <w:rFonts w:asciiTheme="majorBidi" w:hAnsiTheme="majorBidi" w:cstheme="majorBidi"/>
          <w:noProof/>
        </w:rPr>
        <w:t xml:space="preserve"> Moll 2019)</w:t>
      </w:r>
      <w:r w:rsidRPr="00D33DB4">
        <w:rPr>
          <w:rFonts w:asciiTheme="majorBidi" w:hAnsiTheme="majorBidi" w:cstheme="majorBidi"/>
        </w:rPr>
        <w:t xml:space="preserve">. </w:t>
      </w:r>
    </w:p>
    <w:p w14:paraId="41B02614" w14:textId="77777777" w:rsidR="00B85C9C" w:rsidRPr="00B46928" w:rsidRDefault="00B85C9C" w:rsidP="003A58F9">
      <w:pPr>
        <w:rPr>
          <w:rFonts w:asciiTheme="majorBidi" w:hAnsiTheme="majorBidi" w:cstheme="majorBidi"/>
        </w:rPr>
      </w:pPr>
    </w:p>
    <w:p w14:paraId="1DB1B6EB" w14:textId="77777777" w:rsidR="00B85C9C" w:rsidRDefault="00B85C9C" w:rsidP="003A58F9">
      <w:pPr>
        <w:rPr>
          <w:rFonts w:asciiTheme="majorBidi" w:hAnsiTheme="majorBidi" w:cstheme="majorBidi"/>
        </w:rPr>
      </w:pPr>
      <w:r>
        <w:rPr>
          <w:rFonts w:asciiTheme="majorBidi" w:hAnsiTheme="majorBidi" w:cstheme="majorBidi"/>
        </w:rPr>
        <w:t xml:space="preserve">Two relevant consensus statements of the New York State Anticoagulation Task Force were obtained. </w:t>
      </w:r>
    </w:p>
    <w:p w14:paraId="45C30D31" w14:textId="77777777" w:rsidR="00B85C9C" w:rsidRDefault="00B85C9C" w:rsidP="003A58F9">
      <w:pPr>
        <w:rPr>
          <w:rFonts w:asciiTheme="majorBidi" w:hAnsiTheme="majorBidi" w:cstheme="majorBidi"/>
        </w:rPr>
      </w:pPr>
    </w:p>
    <w:p w14:paraId="66DDF700" w14:textId="192EDBA5" w:rsidR="00B85C9C" w:rsidRPr="00A317F6" w:rsidRDefault="00B85C9C" w:rsidP="003A58F9">
      <w:pPr>
        <w:pStyle w:val="ListParagraph"/>
        <w:numPr>
          <w:ilvl w:val="0"/>
          <w:numId w:val="3"/>
        </w:numPr>
        <w:rPr>
          <w:rFonts w:asciiTheme="majorBidi" w:hAnsiTheme="majorBidi" w:cstheme="majorBidi"/>
        </w:rPr>
      </w:pPr>
      <w:r w:rsidRPr="00A317F6">
        <w:rPr>
          <w:rFonts w:asciiTheme="majorBidi" w:hAnsiTheme="majorBidi" w:cstheme="majorBidi"/>
        </w:rPr>
        <w:t xml:space="preserve">The first of these provided consensus on features of electronic health records necessary to deliver optimised anticoagulation therapy. The multidisciplinary panel of anticoagulation experts generated 78 recommended EHR features across 20 key discrete areas and 425 individual logic steps. These features are detailed in Table 5 of Spyropoulos et al, p.118-120, (Spyropoulos </w:t>
      </w:r>
      <w:r w:rsidR="00AA56F6">
        <w:rPr>
          <w:rFonts w:asciiTheme="majorBidi" w:hAnsiTheme="majorBidi" w:cstheme="majorBidi"/>
        </w:rPr>
        <w:t xml:space="preserve">et al </w:t>
      </w:r>
      <w:r w:rsidRPr="00A317F6">
        <w:rPr>
          <w:rFonts w:asciiTheme="majorBidi" w:hAnsiTheme="majorBidi" w:cstheme="majorBidi"/>
        </w:rPr>
        <w:t xml:space="preserve">2015). </w:t>
      </w:r>
    </w:p>
    <w:p w14:paraId="6C59B1E9" w14:textId="77777777" w:rsidR="00B85C9C" w:rsidRDefault="00B85C9C" w:rsidP="003A58F9">
      <w:pPr>
        <w:rPr>
          <w:rFonts w:asciiTheme="majorBidi" w:hAnsiTheme="majorBidi" w:cstheme="majorBidi"/>
        </w:rPr>
      </w:pPr>
    </w:p>
    <w:p w14:paraId="480B1B99" w14:textId="4A4AD04C" w:rsidR="00B85C9C" w:rsidRPr="00A317F6" w:rsidRDefault="00B85C9C" w:rsidP="003A58F9">
      <w:pPr>
        <w:pStyle w:val="ListParagraph"/>
        <w:numPr>
          <w:ilvl w:val="0"/>
          <w:numId w:val="3"/>
        </w:numPr>
        <w:rPr>
          <w:rFonts w:asciiTheme="majorBidi" w:hAnsiTheme="majorBidi" w:cstheme="majorBidi"/>
        </w:rPr>
      </w:pPr>
      <w:r w:rsidRPr="00A317F6">
        <w:rPr>
          <w:rFonts w:asciiTheme="majorBidi" w:hAnsiTheme="majorBidi" w:cstheme="majorBidi"/>
        </w:rPr>
        <w:t xml:space="preserve">The second consensus statement emerged from the premise that anticoagulated patients are vulnerable to adverse drug events when they experience transitions in care or changes to medication. There are 12 general data elements and three that are specific to warfarin, which should accompany all anticoagulated patients undergoing care transitions. Triller et al 2018, Table 1, lists these 15 requisite data elements (Triller </w:t>
      </w:r>
      <w:r w:rsidR="00AA56F6">
        <w:rPr>
          <w:rFonts w:asciiTheme="majorBidi" w:hAnsiTheme="majorBidi" w:cstheme="majorBidi"/>
        </w:rPr>
        <w:t xml:space="preserve">et al </w:t>
      </w:r>
      <w:r w:rsidRPr="00A317F6">
        <w:rPr>
          <w:rFonts w:asciiTheme="majorBidi" w:hAnsiTheme="majorBidi" w:cstheme="majorBidi"/>
        </w:rPr>
        <w:t>2018).</w:t>
      </w:r>
    </w:p>
    <w:p w14:paraId="6D2EA268" w14:textId="77777777" w:rsidR="00B85C9C" w:rsidRDefault="00B85C9C" w:rsidP="003A58F9">
      <w:pPr>
        <w:rPr>
          <w:rFonts w:asciiTheme="majorBidi" w:hAnsiTheme="majorBidi" w:cstheme="majorBidi"/>
        </w:rPr>
      </w:pPr>
    </w:p>
    <w:p w14:paraId="31196A37" w14:textId="2739DC15" w:rsidR="00B85C9C" w:rsidRDefault="00B85C9C" w:rsidP="003A58F9">
      <w:pPr>
        <w:rPr>
          <w:rFonts w:asciiTheme="majorBidi" w:hAnsiTheme="majorBidi" w:cstheme="majorBidi"/>
        </w:rPr>
      </w:pPr>
      <w:r>
        <w:rPr>
          <w:rFonts w:asciiTheme="majorBidi" w:hAnsiTheme="majorBidi" w:cstheme="majorBidi"/>
        </w:rPr>
        <w:t xml:space="preserve">The Health and Human Services Office of Disease Prevention and Health Promotion published a ‘National Action Plan for Adverse Drug Prevention’ in 2014 </w:t>
      </w:r>
      <w:r w:rsidRPr="00156506">
        <w:rPr>
          <w:rFonts w:asciiTheme="majorBidi" w:hAnsiTheme="majorBidi" w:cstheme="majorBidi"/>
        </w:rPr>
        <w:t>(Dept Health and Human Services 2014)</w:t>
      </w:r>
      <w:r>
        <w:rPr>
          <w:rFonts w:asciiTheme="majorBidi" w:hAnsiTheme="majorBidi" w:cstheme="majorBidi"/>
        </w:rPr>
        <w:t xml:space="preserve">. Anticoagulants are one of three medication classes targeted. Opportunities to prevent anticoagulation adverse drug events in the inpatient setting include: </w:t>
      </w:r>
      <w:r w:rsidRPr="00156506">
        <w:rPr>
          <w:rFonts w:asciiTheme="majorBidi" w:hAnsiTheme="majorBidi" w:cstheme="majorBidi"/>
        </w:rPr>
        <w:t>improv</w:t>
      </w:r>
      <w:r>
        <w:rPr>
          <w:rFonts w:asciiTheme="majorBidi" w:hAnsiTheme="majorBidi" w:cstheme="majorBidi"/>
        </w:rPr>
        <w:t>ing</w:t>
      </w:r>
      <w:r w:rsidRPr="00156506">
        <w:rPr>
          <w:rFonts w:asciiTheme="majorBidi" w:hAnsiTheme="majorBidi" w:cstheme="majorBidi"/>
        </w:rPr>
        <w:t xml:space="preserve"> provider knowledge, improv</w:t>
      </w:r>
      <w:r>
        <w:rPr>
          <w:rFonts w:asciiTheme="majorBidi" w:hAnsiTheme="majorBidi" w:cstheme="majorBidi"/>
        </w:rPr>
        <w:t>ing</w:t>
      </w:r>
      <w:r w:rsidRPr="00156506">
        <w:rPr>
          <w:rFonts w:asciiTheme="majorBidi" w:hAnsiTheme="majorBidi" w:cstheme="majorBidi"/>
        </w:rPr>
        <w:t xml:space="preserve"> dissemination of evidence-based tools, </w:t>
      </w:r>
      <w:r>
        <w:rPr>
          <w:rFonts w:asciiTheme="majorBidi" w:hAnsiTheme="majorBidi" w:cstheme="majorBidi"/>
        </w:rPr>
        <w:t xml:space="preserve">and </w:t>
      </w:r>
      <w:r w:rsidRPr="00156506">
        <w:rPr>
          <w:rFonts w:asciiTheme="majorBidi" w:hAnsiTheme="majorBidi" w:cstheme="majorBidi"/>
        </w:rPr>
        <w:t>develop</w:t>
      </w:r>
      <w:r>
        <w:rPr>
          <w:rFonts w:asciiTheme="majorBidi" w:hAnsiTheme="majorBidi" w:cstheme="majorBidi"/>
        </w:rPr>
        <w:t>ment of</w:t>
      </w:r>
      <w:r w:rsidRPr="00156506">
        <w:rPr>
          <w:rFonts w:asciiTheme="majorBidi" w:hAnsiTheme="majorBidi" w:cstheme="majorBidi"/>
        </w:rPr>
        <w:t xml:space="preserve"> guidelines</w:t>
      </w:r>
      <w:r>
        <w:rPr>
          <w:rFonts w:asciiTheme="majorBidi" w:hAnsiTheme="majorBidi" w:cstheme="majorBidi"/>
        </w:rPr>
        <w:t>, along with e</w:t>
      </w:r>
      <w:r w:rsidRPr="00156506">
        <w:rPr>
          <w:rFonts w:asciiTheme="majorBidi" w:hAnsiTheme="majorBidi" w:cstheme="majorBidi"/>
        </w:rPr>
        <w:t xml:space="preserve">ffective communication and coordination of care: </w:t>
      </w:r>
      <w:r>
        <w:rPr>
          <w:rFonts w:asciiTheme="majorBidi" w:hAnsiTheme="majorBidi" w:cstheme="majorBidi"/>
        </w:rPr>
        <w:t xml:space="preserve">such as </w:t>
      </w:r>
      <w:r w:rsidRPr="00156506">
        <w:rPr>
          <w:rFonts w:asciiTheme="majorBidi" w:hAnsiTheme="majorBidi" w:cstheme="majorBidi"/>
        </w:rPr>
        <w:t>improve</w:t>
      </w:r>
      <w:r>
        <w:rPr>
          <w:rFonts w:asciiTheme="majorBidi" w:hAnsiTheme="majorBidi" w:cstheme="majorBidi"/>
        </w:rPr>
        <w:t>d</w:t>
      </w:r>
      <w:r w:rsidRPr="00156506">
        <w:rPr>
          <w:rFonts w:asciiTheme="majorBidi" w:hAnsiTheme="majorBidi" w:cstheme="majorBidi"/>
        </w:rPr>
        <w:t xml:space="preserve"> EHR tools to integrate pharmacy</w:t>
      </w:r>
      <w:r>
        <w:rPr>
          <w:rFonts w:asciiTheme="majorBidi" w:hAnsiTheme="majorBidi" w:cstheme="majorBidi"/>
        </w:rPr>
        <w:t xml:space="preserve"> and l</w:t>
      </w:r>
      <w:r w:rsidRPr="00156506">
        <w:rPr>
          <w:rFonts w:asciiTheme="majorBidi" w:hAnsiTheme="majorBidi" w:cstheme="majorBidi"/>
        </w:rPr>
        <w:t xml:space="preserve">aboratory data, electronic flowsheets, CDSS, </w:t>
      </w:r>
      <w:r>
        <w:rPr>
          <w:rFonts w:asciiTheme="majorBidi" w:hAnsiTheme="majorBidi" w:cstheme="majorBidi"/>
        </w:rPr>
        <w:t xml:space="preserve">and </w:t>
      </w:r>
      <w:r w:rsidRPr="00156506">
        <w:rPr>
          <w:rFonts w:asciiTheme="majorBidi" w:hAnsiTheme="majorBidi" w:cstheme="majorBidi"/>
        </w:rPr>
        <w:t>integrat</w:t>
      </w:r>
      <w:r>
        <w:rPr>
          <w:rFonts w:asciiTheme="majorBidi" w:hAnsiTheme="majorBidi" w:cstheme="majorBidi"/>
        </w:rPr>
        <w:t>ing</w:t>
      </w:r>
      <w:r w:rsidRPr="00156506">
        <w:rPr>
          <w:rFonts w:asciiTheme="majorBidi" w:hAnsiTheme="majorBidi" w:cstheme="majorBidi"/>
        </w:rPr>
        <w:t xml:space="preserve"> anticoagulation-specific targets into care transition models</w:t>
      </w:r>
      <w:r>
        <w:rPr>
          <w:rFonts w:asciiTheme="majorBidi" w:hAnsiTheme="majorBidi" w:cstheme="majorBidi"/>
        </w:rPr>
        <w:t xml:space="preserve"> </w:t>
      </w:r>
      <w:r w:rsidRPr="00156506">
        <w:rPr>
          <w:rFonts w:asciiTheme="majorBidi" w:hAnsiTheme="majorBidi" w:cstheme="majorBidi"/>
          <w:noProof/>
        </w:rPr>
        <w:t xml:space="preserve">(Harris </w:t>
      </w:r>
      <w:r w:rsidR="00AA56F6">
        <w:rPr>
          <w:rFonts w:asciiTheme="majorBidi" w:hAnsiTheme="majorBidi" w:cstheme="majorBidi"/>
          <w:noProof/>
        </w:rPr>
        <w:t xml:space="preserve">et al </w:t>
      </w:r>
      <w:r w:rsidRPr="00156506">
        <w:rPr>
          <w:rFonts w:asciiTheme="majorBidi" w:hAnsiTheme="majorBidi" w:cstheme="majorBidi"/>
          <w:noProof/>
        </w:rPr>
        <w:t>2015)</w:t>
      </w:r>
      <w:r>
        <w:rPr>
          <w:rFonts w:asciiTheme="majorBidi" w:hAnsiTheme="majorBidi" w:cstheme="majorBidi"/>
        </w:rPr>
        <w:t>. A range of ‘Federal Assets’ exist to support these activities including: a</w:t>
      </w:r>
      <w:r w:rsidRPr="00156506">
        <w:rPr>
          <w:rFonts w:asciiTheme="majorBidi" w:hAnsiTheme="majorBidi" w:cstheme="majorBidi"/>
        </w:rPr>
        <w:t xml:space="preserve">nticoagulation protocols, </w:t>
      </w:r>
      <w:r>
        <w:rPr>
          <w:rFonts w:asciiTheme="majorBidi" w:hAnsiTheme="majorBidi" w:cstheme="majorBidi"/>
        </w:rPr>
        <w:t xml:space="preserve">a </w:t>
      </w:r>
      <w:r w:rsidRPr="00156506">
        <w:rPr>
          <w:rFonts w:asciiTheme="majorBidi" w:hAnsiTheme="majorBidi" w:cstheme="majorBidi"/>
        </w:rPr>
        <w:t xml:space="preserve">national anticoagulation training program, education for providers, </w:t>
      </w:r>
      <w:r>
        <w:rPr>
          <w:rFonts w:asciiTheme="majorBidi" w:hAnsiTheme="majorBidi" w:cstheme="majorBidi"/>
        </w:rPr>
        <w:t xml:space="preserve">the </w:t>
      </w:r>
      <w:r w:rsidRPr="00156506">
        <w:rPr>
          <w:rFonts w:asciiTheme="majorBidi" w:hAnsiTheme="majorBidi" w:cstheme="majorBidi"/>
        </w:rPr>
        <w:t>chronic disease self-management program, patient education sheet</w:t>
      </w:r>
      <w:r>
        <w:rPr>
          <w:rFonts w:asciiTheme="majorBidi" w:hAnsiTheme="majorBidi" w:cstheme="majorBidi"/>
        </w:rPr>
        <w:t xml:space="preserve">s </w:t>
      </w:r>
      <w:r w:rsidRPr="00156506">
        <w:rPr>
          <w:rFonts w:asciiTheme="majorBidi" w:hAnsiTheme="majorBidi" w:cstheme="majorBidi"/>
        </w:rPr>
        <w:t xml:space="preserve">and video, medication guides, ‘Project Red’ including medicines reconciliation, anticoagulant electronic flowsheet, medication use tracker, CDSS, </w:t>
      </w:r>
      <w:r>
        <w:rPr>
          <w:rFonts w:asciiTheme="majorBidi" w:hAnsiTheme="majorBidi" w:cstheme="majorBidi"/>
        </w:rPr>
        <w:t xml:space="preserve">and a </w:t>
      </w:r>
      <w:r w:rsidRPr="00156506">
        <w:rPr>
          <w:rFonts w:asciiTheme="majorBidi" w:hAnsiTheme="majorBidi" w:cstheme="majorBidi"/>
        </w:rPr>
        <w:t>shared resource centre</w:t>
      </w:r>
      <w:r>
        <w:rPr>
          <w:rFonts w:asciiTheme="majorBidi" w:hAnsiTheme="majorBidi" w:cstheme="majorBidi"/>
        </w:rPr>
        <w:t xml:space="preserve">. Page 58–66 of the National Action Plan details the interventions relevant to anticoagulation in the inpatient setting. </w:t>
      </w:r>
    </w:p>
    <w:p w14:paraId="370C9254" w14:textId="77777777" w:rsidR="00B85C9C" w:rsidRDefault="00B85C9C" w:rsidP="003A58F9">
      <w:pPr>
        <w:rPr>
          <w:rFonts w:asciiTheme="majorBidi" w:hAnsiTheme="majorBidi" w:cstheme="majorBidi"/>
        </w:rPr>
      </w:pPr>
    </w:p>
    <w:p w14:paraId="78566BE4" w14:textId="6D244461" w:rsidR="00B85C9C" w:rsidRDefault="00B85C9C" w:rsidP="003A58F9">
      <w:pPr>
        <w:rPr>
          <w:rFonts w:asciiTheme="majorBidi" w:hAnsiTheme="majorBidi" w:cstheme="majorBidi"/>
        </w:rPr>
      </w:pPr>
      <w:r w:rsidRPr="008410BD">
        <w:rPr>
          <w:rFonts w:asciiTheme="majorBidi" w:hAnsiTheme="majorBidi" w:cstheme="majorBidi"/>
        </w:rPr>
        <w:t xml:space="preserve">The Michigan Anticoagulation Quality Improvement Initiative Toolkit </w:t>
      </w:r>
      <w:r w:rsidRPr="005A42E8">
        <w:rPr>
          <w:rFonts w:asciiTheme="majorBidi" w:hAnsiTheme="majorBidi" w:cstheme="majorBidi"/>
        </w:rPr>
        <w:t>Recommen</w:t>
      </w:r>
      <w:r>
        <w:rPr>
          <w:rFonts w:asciiTheme="majorBidi" w:hAnsiTheme="majorBidi" w:cstheme="majorBidi"/>
        </w:rPr>
        <w:t>ds a range of</w:t>
      </w:r>
      <w:r w:rsidRPr="005A42E8">
        <w:rPr>
          <w:rFonts w:asciiTheme="majorBidi" w:hAnsiTheme="majorBidi" w:cstheme="majorBidi"/>
        </w:rPr>
        <w:t xml:space="preserve"> </w:t>
      </w:r>
      <w:r>
        <w:rPr>
          <w:rFonts w:asciiTheme="majorBidi" w:hAnsiTheme="majorBidi" w:cstheme="majorBidi"/>
        </w:rPr>
        <w:t>quality improvement</w:t>
      </w:r>
      <w:r w:rsidRPr="005A42E8">
        <w:rPr>
          <w:rFonts w:asciiTheme="majorBidi" w:hAnsiTheme="majorBidi" w:cstheme="majorBidi"/>
        </w:rPr>
        <w:t xml:space="preserve"> measures</w:t>
      </w:r>
      <w:r>
        <w:rPr>
          <w:rFonts w:asciiTheme="majorBidi" w:hAnsiTheme="majorBidi" w:cstheme="majorBidi"/>
        </w:rPr>
        <w:t xml:space="preserve"> for anticoagulation safety </w:t>
      </w:r>
      <w:r w:rsidRPr="005A42E8">
        <w:rPr>
          <w:rFonts w:asciiTheme="majorBidi" w:hAnsiTheme="majorBidi" w:cstheme="majorBidi"/>
        </w:rPr>
        <w:t xml:space="preserve">(Barnes </w:t>
      </w:r>
      <w:r w:rsidR="00172FB7">
        <w:rPr>
          <w:rFonts w:asciiTheme="majorBidi" w:hAnsiTheme="majorBidi" w:cstheme="majorBidi"/>
        </w:rPr>
        <w:t>and</w:t>
      </w:r>
      <w:r w:rsidRPr="005A42E8">
        <w:rPr>
          <w:rFonts w:asciiTheme="majorBidi" w:hAnsiTheme="majorBidi" w:cstheme="majorBidi"/>
        </w:rPr>
        <w:t xml:space="preserve"> Kline-Rogers</w:t>
      </w:r>
      <w:r w:rsidR="00172FB7">
        <w:rPr>
          <w:rFonts w:asciiTheme="majorBidi" w:hAnsiTheme="majorBidi" w:cstheme="majorBidi"/>
        </w:rPr>
        <w:t xml:space="preserve"> </w:t>
      </w:r>
      <w:r w:rsidRPr="005A42E8">
        <w:rPr>
          <w:rFonts w:asciiTheme="majorBidi" w:hAnsiTheme="majorBidi" w:cstheme="majorBidi"/>
        </w:rPr>
        <w:t>2015)</w:t>
      </w:r>
      <w:r>
        <w:rPr>
          <w:rFonts w:asciiTheme="majorBidi" w:hAnsiTheme="majorBidi" w:cstheme="majorBidi"/>
        </w:rPr>
        <w:t>. These include measuring</w:t>
      </w:r>
      <w:r w:rsidRPr="005A42E8">
        <w:rPr>
          <w:rFonts w:asciiTheme="majorBidi" w:hAnsiTheme="majorBidi" w:cstheme="majorBidi"/>
        </w:rPr>
        <w:t>:</w:t>
      </w:r>
    </w:p>
    <w:p w14:paraId="2675FFB1" w14:textId="77777777" w:rsidR="00B85C9C" w:rsidRDefault="00B85C9C" w:rsidP="003A58F9">
      <w:pPr>
        <w:rPr>
          <w:rFonts w:asciiTheme="majorBidi" w:hAnsiTheme="majorBidi" w:cstheme="majorBidi"/>
        </w:rPr>
      </w:pPr>
    </w:p>
    <w:p w14:paraId="17DEF881" w14:textId="77777777" w:rsidR="00B85C9C" w:rsidRDefault="00B85C9C" w:rsidP="003A58F9">
      <w:pPr>
        <w:pStyle w:val="ListParagraph"/>
        <w:numPr>
          <w:ilvl w:val="0"/>
          <w:numId w:val="4"/>
        </w:numPr>
        <w:rPr>
          <w:rFonts w:asciiTheme="majorBidi" w:hAnsiTheme="majorBidi" w:cstheme="majorBidi"/>
        </w:rPr>
      </w:pPr>
      <w:r w:rsidRPr="005A42E8">
        <w:rPr>
          <w:rFonts w:asciiTheme="majorBidi" w:hAnsiTheme="majorBidi" w:cstheme="majorBidi"/>
        </w:rPr>
        <w:t>clinical events (bleeding, stroke/VTE, ED visits, hospitalizations, death)</w:t>
      </w:r>
    </w:p>
    <w:p w14:paraId="5FF0201D" w14:textId="77777777" w:rsidR="00B85C9C" w:rsidRDefault="00B85C9C" w:rsidP="003A58F9">
      <w:pPr>
        <w:pStyle w:val="ListParagraph"/>
        <w:numPr>
          <w:ilvl w:val="0"/>
          <w:numId w:val="4"/>
        </w:numPr>
        <w:rPr>
          <w:rFonts w:asciiTheme="majorBidi" w:hAnsiTheme="majorBidi" w:cstheme="majorBidi"/>
        </w:rPr>
      </w:pPr>
      <w:r w:rsidRPr="005A42E8">
        <w:rPr>
          <w:rFonts w:asciiTheme="majorBidi" w:hAnsiTheme="majorBidi" w:cstheme="majorBidi"/>
        </w:rPr>
        <w:t>surrogate measures (TTR, INR variability, percent in/out of range INRs, percent missed or late INR test, adherence)</w:t>
      </w:r>
    </w:p>
    <w:p w14:paraId="1A0CDBAB" w14:textId="77777777" w:rsidR="00B85C9C" w:rsidRDefault="00B85C9C" w:rsidP="003A58F9">
      <w:pPr>
        <w:pStyle w:val="ListParagraph"/>
        <w:numPr>
          <w:ilvl w:val="0"/>
          <w:numId w:val="4"/>
        </w:numPr>
        <w:rPr>
          <w:rFonts w:asciiTheme="majorBidi" w:hAnsiTheme="majorBidi" w:cstheme="majorBidi"/>
        </w:rPr>
      </w:pPr>
      <w:r w:rsidRPr="005A42E8">
        <w:rPr>
          <w:rFonts w:asciiTheme="majorBidi" w:hAnsiTheme="majorBidi" w:cstheme="majorBidi"/>
        </w:rPr>
        <w:t xml:space="preserve">process </w:t>
      </w:r>
      <w:r>
        <w:rPr>
          <w:rFonts w:asciiTheme="majorBidi" w:hAnsiTheme="majorBidi" w:cstheme="majorBidi"/>
        </w:rPr>
        <w:t>measures</w:t>
      </w:r>
      <w:r w:rsidRPr="005A42E8">
        <w:rPr>
          <w:rFonts w:asciiTheme="majorBidi" w:hAnsiTheme="majorBidi" w:cstheme="majorBidi"/>
        </w:rPr>
        <w:t xml:space="preserve"> (INR in first 2 weeks, time from warfarin initiation to first INR, time from out-of-range INR to patient contact)</w:t>
      </w:r>
    </w:p>
    <w:p w14:paraId="7A53EE82" w14:textId="77777777" w:rsidR="00B85C9C" w:rsidRPr="00D77FF1" w:rsidRDefault="00B85C9C" w:rsidP="00D77FF1">
      <w:pPr>
        <w:pStyle w:val="ListParagraph"/>
        <w:numPr>
          <w:ilvl w:val="0"/>
          <w:numId w:val="4"/>
        </w:numPr>
        <w:rPr>
          <w:rFonts w:asciiTheme="majorBidi" w:hAnsiTheme="majorBidi" w:cstheme="majorBidi"/>
        </w:rPr>
      </w:pPr>
      <w:r w:rsidRPr="005A42E8">
        <w:rPr>
          <w:rFonts w:asciiTheme="majorBidi" w:hAnsiTheme="majorBidi" w:cstheme="majorBidi"/>
        </w:rPr>
        <w:t>population focused</w:t>
      </w:r>
      <w:r>
        <w:rPr>
          <w:rFonts w:asciiTheme="majorBidi" w:hAnsiTheme="majorBidi" w:cstheme="majorBidi"/>
        </w:rPr>
        <w:t xml:space="preserve"> measures</w:t>
      </w:r>
      <w:r w:rsidRPr="005A42E8">
        <w:rPr>
          <w:rFonts w:asciiTheme="majorBidi" w:hAnsiTheme="majorBidi" w:cstheme="majorBidi"/>
        </w:rPr>
        <w:t xml:space="preserve"> (percent of patients receiving guideline-based appropriate care, percent of patients receiving appropriate education, patients with drug-drug interactions at risk for GI bleeding)</w:t>
      </w:r>
    </w:p>
    <w:p w14:paraId="00F1E4B2" w14:textId="77777777" w:rsidR="00B85C9C" w:rsidRPr="00B46928" w:rsidRDefault="00B85C9C" w:rsidP="00C04448">
      <w:pPr>
        <w:rPr>
          <w:rFonts w:asciiTheme="majorBidi" w:hAnsiTheme="majorBidi" w:cstheme="majorBidi"/>
        </w:rPr>
      </w:pPr>
    </w:p>
    <w:p w14:paraId="5ADF30B1" w14:textId="77777777" w:rsidR="00B85C9C" w:rsidRPr="00534EEF" w:rsidRDefault="00B85C9C" w:rsidP="00131C8A">
      <w:pPr>
        <w:pStyle w:val="Heading3"/>
      </w:pPr>
      <w:bookmarkStart w:id="20" w:name="_Toc105497784"/>
      <w:bookmarkStart w:id="21" w:name="_Toc106288216"/>
      <w:r w:rsidRPr="00534EEF">
        <w:t>Institutional Advice</w:t>
      </w:r>
      <w:bookmarkEnd w:id="20"/>
      <w:bookmarkEnd w:id="21"/>
    </w:p>
    <w:p w14:paraId="3F5BE0B3" w14:textId="77777777" w:rsidR="00B85C9C" w:rsidRPr="00B46928" w:rsidRDefault="00B85C9C" w:rsidP="00C04448">
      <w:pPr>
        <w:rPr>
          <w:rFonts w:asciiTheme="majorBidi" w:hAnsiTheme="majorBidi" w:cstheme="majorBidi"/>
        </w:rPr>
      </w:pPr>
    </w:p>
    <w:p w14:paraId="42C815A2" w14:textId="77777777" w:rsidR="00B85C9C" w:rsidRDefault="00B85C9C" w:rsidP="00C04448">
      <w:pPr>
        <w:rPr>
          <w:rFonts w:asciiTheme="majorBidi" w:hAnsiTheme="majorBidi" w:cstheme="majorBidi"/>
        </w:rPr>
      </w:pPr>
      <w:r>
        <w:rPr>
          <w:rFonts w:asciiTheme="majorBidi" w:hAnsiTheme="majorBidi" w:cstheme="majorBidi"/>
        </w:rPr>
        <w:t xml:space="preserve">Search of institutional websites revealed a wealth of advice and guidance about stroke prevention in atrial fibrillation, and recommendations to increase the proportion of patients with AF who are anticoagulated. However, there was considerably less guidance aimed at reducing harm from anticoagulants. Information obtained from six institutions is highlighted in Appendix Table A4. The institutions are the Agency for Healthcare Research and Quality (AHRQ), the Anticoagulation Forum, the Australian Commission for Safety and Quality in Healthcare (ACSQHC), the Institute for Safe Medical Practices (ISMP), the UK National Institute for Health and Care Excellence (NICE), and the Scottish Patient Safety Programme (SPSP). </w:t>
      </w:r>
    </w:p>
    <w:p w14:paraId="10F2C331" w14:textId="77777777" w:rsidR="00B85C9C" w:rsidRDefault="00B85C9C" w:rsidP="00C04448">
      <w:pPr>
        <w:rPr>
          <w:rFonts w:asciiTheme="majorBidi" w:hAnsiTheme="majorBidi" w:cstheme="majorBidi"/>
        </w:rPr>
      </w:pPr>
    </w:p>
    <w:p w14:paraId="4C36F263" w14:textId="77777777" w:rsidR="00B85C9C" w:rsidRPr="007702ED" w:rsidRDefault="00B85C9C" w:rsidP="00CA1C8F">
      <w:pPr>
        <w:pStyle w:val="Heading4"/>
      </w:pPr>
      <w:r w:rsidRPr="007702ED">
        <w:t>AHRQ</w:t>
      </w:r>
    </w:p>
    <w:p w14:paraId="72FD93A8" w14:textId="77777777" w:rsidR="00B85C9C" w:rsidRDefault="00B85C9C" w:rsidP="00C04448">
      <w:pPr>
        <w:rPr>
          <w:rFonts w:asciiTheme="majorBidi" w:hAnsiTheme="majorBidi" w:cstheme="majorBidi"/>
        </w:rPr>
      </w:pPr>
    </w:p>
    <w:p w14:paraId="0516901E" w14:textId="23602936" w:rsidR="00B85C9C" w:rsidRDefault="00B85C9C" w:rsidP="00643C11">
      <w:pPr>
        <w:rPr>
          <w:rFonts w:asciiTheme="majorBidi" w:hAnsiTheme="majorBidi" w:cstheme="majorBidi"/>
        </w:rPr>
      </w:pPr>
      <w:r>
        <w:rPr>
          <w:rFonts w:asciiTheme="majorBidi" w:hAnsiTheme="majorBidi" w:cstheme="majorBidi"/>
        </w:rPr>
        <w:t xml:space="preserve">There were 115 results for a search for ‘anticoagulation </w:t>
      </w:r>
      <w:proofErr w:type="spellStart"/>
      <w:r>
        <w:rPr>
          <w:rFonts w:asciiTheme="majorBidi" w:hAnsiTheme="majorBidi" w:cstheme="majorBidi"/>
        </w:rPr>
        <w:t>filetype:PDF</w:t>
      </w:r>
      <w:proofErr w:type="spellEnd"/>
      <w:r>
        <w:rPr>
          <w:rFonts w:asciiTheme="majorBidi" w:hAnsiTheme="majorBidi" w:cstheme="majorBidi"/>
        </w:rPr>
        <w:t>’ on the AHRQ website. Users were directed to the Anticoagulation Forum’s ‘MIDAS Programme’ (see below). The AHRQ website also hosted a 2008 Institute for Healthcare Improvement Anticoagulation Toolkit, which advised that, ‘</w:t>
      </w:r>
      <w:r w:rsidRPr="00643C11">
        <w:rPr>
          <w:rFonts w:asciiTheme="majorBidi" w:hAnsiTheme="majorBidi" w:cstheme="majorBidi"/>
        </w:rPr>
        <w:t>Adverse drug events (ADEs) associated with anticoagulants can be reduced by implementing recognized safe practices in high-risk areas, redesigning care processes, partnering with patients and families, and maximizing communications within and across the care continuum</w:t>
      </w:r>
      <w:r>
        <w:rPr>
          <w:rFonts w:asciiTheme="majorBidi" w:hAnsiTheme="majorBidi" w:cstheme="majorBidi"/>
        </w:rPr>
        <w:t xml:space="preserve">’. However, the more recent ‘Making Healthcare Safer III’ resource contained a chapter specifically on anticoagulants </w:t>
      </w:r>
      <w:r w:rsidRPr="00643C11">
        <w:rPr>
          <w:rFonts w:asciiTheme="majorBidi" w:hAnsiTheme="majorBidi" w:cstheme="majorBidi"/>
        </w:rPr>
        <w:t>(AHRQ 2020)</w:t>
      </w:r>
      <w:r>
        <w:rPr>
          <w:rFonts w:asciiTheme="majorBidi" w:hAnsiTheme="majorBidi" w:cstheme="majorBidi"/>
        </w:rPr>
        <w:t>. The most relevant recommendation was for pharmacist-provided anticoagulation management services (largely in the ambulatory care setting). It was noted that o</w:t>
      </w:r>
      <w:r w:rsidRPr="00643C11">
        <w:rPr>
          <w:rFonts w:asciiTheme="majorBidi" w:hAnsiTheme="majorBidi" w:cstheme="majorBidi"/>
        </w:rPr>
        <w:t xml:space="preserve">ther interventions such as dosing protocols or nomograms for </w:t>
      </w:r>
      <w:r>
        <w:rPr>
          <w:rFonts w:asciiTheme="majorBidi" w:hAnsiTheme="majorBidi" w:cstheme="majorBidi"/>
        </w:rPr>
        <w:t>DOAC</w:t>
      </w:r>
      <w:r w:rsidRPr="00643C11">
        <w:rPr>
          <w:rFonts w:asciiTheme="majorBidi" w:hAnsiTheme="majorBidi" w:cstheme="majorBidi"/>
        </w:rPr>
        <w:t>s, a</w:t>
      </w:r>
      <w:r>
        <w:rPr>
          <w:rFonts w:asciiTheme="majorBidi" w:hAnsiTheme="majorBidi" w:cstheme="majorBidi"/>
        </w:rPr>
        <w:t>s well as</w:t>
      </w:r>
      <w:r w:rsidRPr="00643C11">
        <w:rPr>
          <w:rFonts w:asciiTheme="majorBidi" w:hAnsiTheme="majorBidi" w:cstheme="majorBidi"/>
        </w:rPr>
        <w:t xml:space="preserve"> interventions </w:t>
      </w:r>
      <w:r>
        <w:rPr>
          <w:rFonts w:asciiTheme="majorBidi" w:hAnsiTheme="majorBidi" w:cstheme="majorBidi"/>
        </w:rPr>
        <w:t>supporting</w:t>
      </w:r>
      <w:r w:rsidRPr="00643C11">
        <w:rPr>
          <w:rFonts w:asciiTheme="majorBidi" w:hAnsiTheme="majorBidi" w:cstheme="majorBidi"/>
        </w:rPr>
        <w:t xml:space="preserve"> safe transitions of care </w:t>
      </w:r>
      <w:r>
        <w:rPr>
          <w:rFonts w:asciiTheme="majorBidi" w:hAnsiTheme="majorBidi" w:cstheme="majorBidi"/>
        </w:rPr>
        <w:t>lacked a</w:t>
      </w:r>
      <w:r w:rsidRPr="00643C11">
        <w:rPr>
          <w:rFonts w:asciiTheme="majorBidi" w:hAnsiTheme="majorBidi" w:cstheme="majorBidi"/>
        </w:rPr>
        <w:t xml:space="preserve"> high-quality evidence</w:t>
      </w:r>
      <w:r>
        <w:rPr>
          <w:rFonts w:asciiTheme="majorBidi" w:hAnsiTheme="majorBidi" w:cstheme="majorBidi"/>
        </w:rPr>
        <w:t xml:space="preserve"> base</w:t>
      </w:r>
      <w:r w:rsidRPr="00643C11">
        <w:rPr>
          <w:rFonts w:asciiTheme="majorBidi" w:hAnsiTheme="majorBidi" w:cstheme="majorBidi"/>
        </w:rPr>
        <w:t xml:space="preserve">. </w:t>
      </w:r>
    </w:p>
    <w:p w14:paraId="4DA37A95" w14:textId="77777777" w:rsidR="00B85C9C" w:rsidRDefault="00B85C9C" w:rsidP="00643C11">
      <w:pPr>
        <w:rPr>
          <w:rFonts w:asciiTheme="majorBidi" w:hAnsiTheme="majorBidi" w:cstheme="majorBidi"/>
        </w:rPr>
      </w:pPr>
    </w:p>
    <w:p w14:paraId="13A27C00" w14:textId="77777777" w:rsidR="00B85C9C" w:rsidRPr="007702ED" w:rsidRDefault="00B85C9C" w:rsidP="00CA1C8F">
      <w:pPr>
        <w:pStyle w:val="Heading4"/>
      </w:pPr>
      <w:r w:rsidRPr="007702ED">
        <w:t xml:space="preserve">Anticoagulation Forum </w:t>
      </w:r>
    </w:p>
    <w:p w14:paraId="5B7BC59E" w14:textId="77777777" w:rsidR="00B85C9C" w:rsidRDefault="00B85C9C" w:rsidP="007301F5">
      <w:pPr>
        <w:keepNext/>
        <w:rPr>
          <w:rFonts w:asciiTheme="majorBidi" w:hAnsiTheme="majorBidi" w:cstheme="majorBidi"/>
        </w:rPr>
      </w:pPr>
    </w:p>
    <w:p w14:paraId="36593263" w14:textId="3B19CCB7" w:rsidR="00B85C9C" w:rsidRPr="00175041" w:rsidRDefault="00B85C9C" w:rsidP="007301F5">
      <w:pPr>
        <w:keepNext/>
        <w:rPr>
          <w:rFonts w:asciiTheme="majorBidi" w:hAnsiTheme="majorBidi" w:cstheme="majorBidi"/>
        </w:rPr>
      </w:pPr>
      <w:r w:rsidRPr="00175041">
        <w:rPr>
          <w:rFonts w:asciiTheme="majorBidi" w:hAnsiTheme="majorBidi" w:cstheme="majorBidi"/>
        </w:rPr>
        <w:t xml:space="preserve">The Anticoagulation Forum, with funding support from the FDA, leveraging off the Joint Commission’s updated national patient safety goal that now includes DOACs, produced an Anticoagulation Stewardship Guide (Anticoagulation Forum 2019b). The guide uses much of the same language and many concepts based on the practice of antibiotic stewardship. An </w:t>
      </w:r>
      <w:r>
        <w:rPr>
          <w:rFonts w:asciiTheme="majorBidi" w:hAnsiTheme="majorBidi" w:cstheme="majorBidi"/>
        </w:rPr>
        <w:t xml:space="preserve">associated overview </w:t>
      </w:r>
      <w:r w:rsidRPr="00175041">
        <w:rPr>
          <w:rFonts w:asciiTheme="majorBidi" w:hAnsiTheme="majorBidi" w:cstheme="majorBidi"/>
        </w:rPr>
        <w:t xml:space="preserve">slide presentation </w:t>
      </w:r>
      <w:r>
        <w:rPr>
          <w:rFonts w:asciiTheme="majorBidi" w:hAnsiTheme="majorBidi" w:cstheme="majorBidi"/>
        </w:rPr>
        <w:t>is freely available.</w:t>
      </w:r>
      <w:r>
        <w:rPr>
          <w:rStyle w:val="FootnoteReference"/>
          <w:rFonts w:asciiTheme="majorBidi" w:hAnsiTheme="majorBidi" w:cstheme="majorBidi"/>
        </w:rPr>
        <w:footnoteReference w:id="3"/>
      </w:r>
      <w:r w:rsidRPr="00175041">
        <w:rPr>
          <w:rFonts w:asciiTheme="majorBidi" w:hAnsiTheme="majorBidi" w:cstheme="majorBidi"/>
        </w:rPr>
        <w:t xml:space="preserve"> </w:t>
      </w:r>
      <w:r>
        <w:rPr>
          <w:rFonts w:asciiTheme="majorBidi" w:hAnsiTheme="majorBidi" w:cstheme="majorBidi"/>
        </w:rPr>
        <w:t xml:space="preserve">The guide is intended for all care settings and all anticoagulation populations. </w:t>
      </w:r>
      <w:r>
        <w:rPr>
          <w:rFonts w:asciiTheme="majorBidi" w:hAnsiTheme="majorBidi" w:cstheme="majorBidi"/>
          <w:lang w:val="en-NZ"/>
        </w:rPr>
        <w:t xml:space="preserve">Additionally, a ‘how to’ guide published in the peer-reviewed academic literature describes the justification for anticoagulation stewardship and a step-by-step approach that has been successful at Johns Hopkins Hospital and can be deployed by any healthcare organisation </w:t>
      </w:r>
      <w:r>
        <w:rPr>
          <w:rFonts w:asciiTheme="majorBidi" w:hAnsiTheme="majorBidi" w:cstheme="majorBidi"/>
          <w:noProof/>
          <w:lang w:val="en-NZ"/>
        </w:rPr>
        <w:t xml:space="preserve">(Dane </w:t>
      </w:r>
      <w:r w:rsidR="00AA56F6">
        <w:rPr>
          <w:rFonts w:asciiTheme="majorBidi" w:hAnsiTheme="majorBidi" w:cstheme="majorBidi"/>
          <w:noProof/>
          <w:lang w:val="en-NZ"/>
        </w:rPr>
        <w:t xml:space="preserve">et al </w:t>
      </w:r>
      <w:r>
        <w:rPr>
          <w:rFonts w:asciiTheme="majorBidi" w:hAnsiTheme="majorBidi" w:cstheme="majorBidi"/>
          <w:noProof/>
          <w:lang w:val="en-NZ"/>
        </w:rPr>
        <w:t>2022)</w:t>
      </w:r>
      <w:r>
        <w:rPr>
          <w:rFonts w:asciiTheme="majorBidi" w:hAnsiTheme="majorBidi" w:cstheme="majorBidi"/>
          <w:lang w:val="en-NZ"/>
        </w:rPr>
        <w:t>.</w:t>
      </w:r>
    </w:p>
    <w:p w14:paraId="16EEE0B3" w14:textId="77777777" w:rsidR="00B85C9C" w:rsidRDefault="00B85C9C" w:rsidP="00643C11">
      <w:pPr>
        <w:rPr>
          <w:rFonts w:asciiTheme="majorBidi" w:hAnsiTheme="majorBidi" w:cstheme="majorBidi"/>
        </w:rPr>
      </w:pPr>
    </w:p>
    <w:p w14:paraId="652EF99C" w14:textId="77777777" w:rsidR="00B85C9C" w:rsidRDefault="00B85C9C" w:rsidP="007F46A0">
      <w:pPr>
        <w:rPr>
          <w:rFonts w:asciiTheme="majorBidi" w:hAnsiTheme="majorBidi" w:cstheme="majorBidi"/>
        </w:rPr>
      </w:pPr>
      <w:r>
        <w:rPr>
          <w:rFonts w:asciiTheme="majorBidi" w:hAnsiTheme="majorBidi" w:cstheme="majorBidi"/>
        </w:rPr>
        <w:t xml:space="preserve">The </w:t>
      </w:r>
      <w:r w:rsidRPr="007F46A0">
        <w:rPr>
          <w:rFonts w:asciiTheme="majorBidi" w:hAnsiTheme="majorBidi" w:cstheme="majorBidi"/>
        </w:rPr>
        <w:t xml:space="preserve">Anticoagulation Forum promotes the </w:t>
      </w:r>
      <w:r w:rsidRPr="007F46A0">
        <w:rPr>
          <w:rFonts w:asciiTheme="majorBidi" w:hAnsiTheme="majorBidi"/>
          <w:lang w:val="en-NZ"/>
        </w:rPr>
        <w:t>Mentored Implementation and Dissemination of Anticoagulation Stewardship (</w:t>
      </w:r>
      <w:r w:rsidRPr="007F46A0">
        <w:rPr>
          <w:rFonts w:asciiTheme="majorBidi" w:hAnsiTheme="majorBidi" w:cstheme="majorBidi"/>
        </w:rPr>
        <w:t>MIDAS) programme.</w:t>
      </w:r>
      <w:r>
        <w:rPr>
          <w:rFonts w:asciiTheme="majorBidi" w:hAnsiTheme="majorBidi" w:cstheme="majorBidi"/>
        </w:rPr>
        <w:t xml:space="preserve"> The recommended anticoagulation stewardship consists of seven core elements (the guide expands on all of these): </w:t>
      </w:r>
    </w:p>
    <w:p w14:paraId="562AB38E" w14:textId="77777777" w:rsidR="00B85C9C" w:rsidRDefault="00B85C9C" w:rsidP="007F46A0">
      <w:pPr>
        <w:rPr>
          <w:rFonts w:asciiTheme="majorBidi" w:hAnsiTheme="majorBidi" w:cstheme="majorBidi"/>
        </w:rPr>
      </w:pPr>
    </w:p>
    <w:p w14:paraId="3F373F47"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Secure Administrative Leadership Commitment: </w:t>
      </w:r>
      <w:r w:rsidRPr="00175041">
        <w:rPr>
          <w:rFonts w:asciiTheme="majorBidi" w:hAnsiTheme="majorBidi" w:cstheme="majorBidi"/>
          <w:lang w:val="en-NZ"/>
        </w:rPr>
        <w:t>Dedicating necessary human, financial, and technology resources</w:t>
      </w:r>
    </w:p>
    <w:p w14:paraId="458367D3"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Establish Professional Accountability and Expertise:</w:t>
      </w:r>
      <w:r w:rsidRPr="00175041">
        <w:rPr>
          <w:rFonts w:asciiTheme="majorBidi" w:hAnsiTheme="majorBidi" w:cstheme="majorBidi"/>
          <w:lang w:val="en-NZ"/>
        </w:rPr>
        <w:t> Appointing a single leader responsible for program outcomes, supported by at least one clinician with expertise in anticoagulation management</w:t>
      </w:r>
    </w:p>
    <w:p w14:paraId="5D32EC1B"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Engage Multidisciplinary Support:</w:t>
      </w:r>
      <w:r w:rsidRPr="00175041">
        <w:rPr>
          <w:rFonts w:asciiTheme="majorBidi" w:hAnsiTheme="majorBidi" w:cstheme="majorBidi"/>
          <w:lang w:val="en-NZ"/>
        </w:rPr>
        <w:t> Involving key specialists and disciplines to obtain perspective from all domains of the care delivery system</w:t>
      </w:r>
    </w:p>
    <w:p w14:paraId="0598BB94"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Perform Data Collection, Tracking, and Analysis:</w:t>
      </w:r>
      <w:r w:rsidRPr="00175041">
        <w:rPr>
          <w:rFonts w:asciiTheme="majorBidi" w:hAnsiTheme="majorBidi" w:cstheme="majorBidi"/>
          <w:lang w:val="en-NZ"/>
        </w:rPr>
        <w:t> Defining the population, objectively evaluating performance, and guiding decision-making</w:t>
      </w:r>
    </w:p>
    <w:p w14:paraId="4F60C23B"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Implement Systematic Care:</w:t>
      </w:r>
      <w:r w:rsidRPr="00175041">
        <w:rPr>
          <w:rFonts w:asciiTheme="majorBidi" w:hAnsiTheme="majorBidi" w:cstheme="majorBidi"/>
          <w:lang w:val="en-NZ"/>
        </w:rPr>
        <w:t> Implementing sustainable, efficient, evidence-based action(s) at the system level to assure the safety and quality of anticoagulation management</w:t>
      </w:r>
    </w:p>
    <w:p w14:paraId="4E082461"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Facilitate Transitions of Care:</w:t>
      </w:r>
      <w:r w:rsidRPr="00175041">
        <w:rPr>
          <w:rFonts w:asciiTheme="majorBidi" w:hAnsiTheme="majorBidi" w:cstheme="majorBidi"/>
          <w:lang w:val="en-NZ"/>
        </w:rPr>
        <w:t> Creating systems to optimize communication and ensure safe transitions between care settings</w:t>
      </w:r>
    </w:p>
    <w:p w14:paraId="29687A00" w14:textId="77777777" w:rsidR="00B85C9C" w:rsidRPr="00175041" w:rsidRDefault="00B85C9C" w:rsidP="00175041">
      <w:pPr>
        <w:numPr>
          <w:ilvl w:val="0"/>
          <w:numId w:val="7"/>
        </w:numPr>
        <w:rPr>
          <w:rFonts w:asciiTheme="majorBidi" w:hAnsiTheme="majorBidi" w:cstheme="majorBidi"/>
          <w:lang w:val="en-NZ"/>
        </w:rPr>
      </w:pPr>
      <w:r w:rsidRPr="00175041">
        <w:rPr>
          <w:rFonts w:asciiTheme="majorBidi" w:hAnsiTheme="majorBidi" w:cstheme="majorBidi"/>
          <w:b/>
          <w:bCs/>
          <w:lang w:val="en-NZ"/>
        </w:rPr>
        <w:t>Advance Education, Comprehension, and Competency:</w:t>
      </w:r>
      <w:r w:rsidRPr="00175041">
        <w:rPr>
          <w:rFonts w:asciiTheme="majorBidi" w:hAnsiTheme="majorBidi" w:cstheme="majorBidi"/>
          <w:lang w:val="en-NZ"/>
        </w:rPr>
        <w:t> Assuring that clinicians, patients, and others have the knowledge and skills necessary to optimize outcomes</w:t>
      </w:r>
    </w:p>
    <w:p w14:paraId="281D26E5" w14:textId="77777777" w:rsidR="00B85C9C" w:rsidRPr="007F46A0" w:rsidRDefault="00B85C9C" w:rsidP="007F46A0">
      <w:pPr>
        <w:rPr>
          <w:rFonts w:asciiTheme="majorBidi" w:hAnsiTheme="majorBidi"/>
          <w:lang w:val="en-NZ"/>
        </w:rPr>
      </w:pPr>
    </w:p>
    <w:p w14:paraId="0169F151" w14:textId="77777777" w:rsidR="00B85C9C" w:rsidRDefault="00B85C9C" w:rsidP="007F46A0">
      <w:pPr>
        <w:rPr>
          <w:rFonts w:asciiTheme="majorBidi" w:hAnsiTheme="majorBidi" w:cstheme="majorBidi"/>
        </w:rPr>
      </w:pPr>
      <w:r>
        <w:rPr>
          <w:rFonts w:asciiTheme="majorBidi" w:hAnsiTheme="majorBidi" w:cstheme="majorBidi"/>
        </w:rPr>
        <w:t xml:space="preserve">The MIDAS programme runs across 24 months and pairs </w:t>
      </w:r>
      <w:r w:rsidRPr="007702ED">
        <w:rPr>
          <w:rFonts w:asciiTheme="majorBidi" w:hAnsiTheme="majorBidi" w:cstheme="majorBidi"/>
        </w:rPr>
        <w:t>nationally recognized anticoagulation experts</w:t>
      </w:r>
      <w:r>
        <w:rPr>
          <w:rFonts w:asciiTheme="majorBidi" w:hAnsiTheme="majorBidi" w:cstheme="majorBidi"/>
        </w:rPr>
        <w:t xml:space="preserve"> with hospitals</w:t>
      </w:r>
      <w:r w:rsidRPr="007702ED">
        <w:rPr>
          <w:rFonts w:asciiTheme="majorBidi" w:hAnsiTheme="majorBidi" w:cstheme="majorBidi"/>
        </w:rPr>
        <w:t xml:space="preserve">. The experts assist hospitals </w:t>
      </w:r>
      <w:r>
        <w:rPr>
          <w:rFonts w:asciiTheme="majorBidi" w:hAnsiTheme="majorBidi" w:cstheme="majorBidi"/>
        </w:rPr>
        <w:t xml:space="preserve">to deploy </w:t>
      </w:r>
      <w:r w:rsidRPr="007702ED">
        <w:rPr>
          <w:rFonts w:asciiTheme="majorBidi" w:hAnsiTheme="majorBidi" w:cstheme="majorBidi"/>
        </w:rPr>
        <w:t>the Core Elements of Anticoagulation Stewardship</w:t>
      </w:r>
      <w:r>
        <w:rPr>
          <w:rFonts w:asciiTheme="majorBidi" w:hAnsiTheme="majorBidi" w:cstheme="majorBidi"/>
        </w:rPr>
        <w:t xml:space="preserve">. The programme will result in an ‘Implementation Playbook’ by the end of 2022. Evaluation of stewardship implementation is ongoing, and case studies are presented below (see ‘Case Studies’). </w:t>
      </w:r>
    </w:p>
    <w:p w14:paraId="585B66E6" w14:textId="77777777" w:rsidR="00B85C9C" w:rsidRDefault="00B85C9C" w:rsidP="007F46A0">
      <w:pPr>
        <w:rPr>
          <w:rFonts w:asciiTheme="majorBidi" w:hAnsiTheme="majorBidi" w:cstheme="majorBidi"/>
        </w:rPr>
      </w:pPr>
    </w:p>
    <w:p w14:paraId="4587616B" w14:textId="1AFB89F4" w:rsidR="00B85C9C" w:rsidRDefault="00B85C9C" w:rsidP="007F46A0">
      <w:pPr>
        <w:rPr>
          <w:rFonts w:asciiTheme="majorBidi" w:hAnsiTheme="majorBidi" w:cstheme="majorBidi"/>
        </w:rPr>
      </w:pPr>
      <w:r w:rsidRPr="007702ED">
        <w:rPr>
          <w:rFonts w:asciiTheme="majorBidi" w:hAnsiTheme="majorBidi" w:cstheme="majorBidi"/>
        </w:rPr>
        <w:t>The Forum provides supporting resources including a Core Elements of Anticoagulation Stewardship Programmes guidebook (Anticoagulation Forum 2019b) and the Administrative Oversight Gap Analysis: Hospitals and Skilled Nursing Facilities (Anticoagulation Forum 2019a). Organisations can self-assess using the ‘Checklist of Core Elements’</w:t>
      </w:r>
      <w:r w:rsidRPr="007702ED">
        <w:rPr>
          <w:rStyle w:val="FootnoteReference"/>
          <w:rFonts w:asciiTheme="majorBidi" w:hAnsiTheme="majorBidi" w:cstheme="majorBidi"/>
        </w:rPr>
        <w:footnoteReference w:id="4"/>
      </w:r>
      <w:r w:rsidRPr="007702ED">
        <w:rPr>
          <w:rFonts w:asciiTheme="majorBidi" w:hAnsiTheme="majorBidi" w:cstheme="majorBidi"/>
        </w:rPr>
        <w:t xml:space="preserve"> and access the supporting resources at the Anticoagulation Forum’s ‘</w:t>
      </w:r>
      <w:proofErr w:type="spellStart"/>
      <w:r w:rsidRPr="007702ED">
        <w:rPr>
          <w:rFonts w:asciiTheme="majorBidi" w:hAnsiTheme="majorBidi" w:cstheme="majorBidi"/>
        </w:rPr>
        <w:t>Centers</w:t>
      </w:r>
      <w:proofErr w:type="spellEnd"/>
      <w:r w:rsidRPr="007702ED">
        <w:rPr>
          <w:rFonts w:asciiTheme="majorBidi" w:hAnsiTheme="majorBidi" w:cstheme="majorBidi"/>
        </w:rPr>
        <w:t xml:space="preserve"> of Excellence Resource </w:t>
      </w:r>
      <w:proofErr w:type="spellStart"/>
      <w:r w:rsidRPr="007702ED">
        <w:rPr>
          <w:rFonts w:asciiTheme="majorBidi" w:hAnsiTheme="majorBidi" w:cstheme="majorBidi"/>
        </w:rPr>
        <w:t>Center</w:t>
      </w:r>
      <w:proofErr w:type="spellEnd"/>
      <w:r w:rsidRPr="007702ED">
        <w:rPr>
          <w:rFonts w:asciiTheme="majorBidi" w:hAnsiTheme="majorBidi" w:cstheme="majorBidi"/>
        </w:rPr>
        <w:t>’.</w:t>
      </w:r>
      <w:r w:rsidRPr="007702ED">
        <w:rPr>
          <w:rStyle w:val="FootnoteReference"/>
          <w:rFonts w:asciiTheme="majorBidi" w:hAnsiTheme="majorBidi" w:cstheme="majorBidi"/>
        </w:rPr>
        <w:footnoteReference w:id="5"/>
      </w:r>
    </w:p>
    <w:p w14:paraId="75B11F55" w14:textId="77777777" w:rsidR="00B85C9C" w:rsidRDefault="00B85C9C" w:rsidP="007F46A0">
      <w:pPr>
        <w:rPr>
          <w:rFonts w:asciiTheme="majorBidi" w:hAnsiTheme="majorBidi" w:cstheme="majorBidi"/>
        </w:rPr>
      </w:pPr>
    </w:p>
    <w:p w14:paraId="270BFB70" w14:textId="6928193F" w:rsidR="00B85C9C" w:rsidRDefault="00B85C9C" w:rsidP="007B5360">
      <w:pPr>
        <w:rPr>
          <w:rFonts w:asciiTheme="majorBidi" w:hAnsiTheme="majorBidi" w:cstheme="majorBidi"/>
        </w:rPr>
      </w:pPr>
      <w:r>
        <w:rPr>
          <w:rFonts w:asciiTheme="majorBidi" w:hAnsiTheme="majorBidi" w:cstheme="majorBidi"/>
        </w:rPr>
        <w:t xml:space="preserve">The Forum has published an evidence summary </w:t>
      </w:r>
      <w:r>
        <w:rPr>
          <w:rFonts w:asciiTheme="majorBidi" w:hAnsiTheme="majorBidi" w:cstheme="majorBidi"/>
          <w:noProof/>
        </w:rPr>
        <w:t>(Anticoagulation Forum 2022a)</w:t>
      </w:r>
      <w:r>
        <w:rPr>
          <w:rFonts w:asciiTheme="majorBidi" w:hAnsiTheme="majorBidi" w:cstheme="majorBidi"/>
        </w:rPr>
        <w:t xml:space="preserve"> and supporting bibliography.</w:t>
      </w:r>
      <w:r>
        <w:rPr>
          <w:rStyle w:val="FootnoteReference"/>
          <w:rFonts w:asciiTheme="majorBidi" w:hAnsiTheme="majorBidi" w:cstheme="majorBidi"/>
        </w:rPr>
        <w:footnoteReference w:id="6"/>
      </w:r>
      <w:r>
        <w:rPr>
          <w:rFonts w:asciiTheme="majorBidi" w:hAnsiTheme="majorBidi" w:cstheme="majorBidi"/>
        </w:rPr>
        <w:t xml:space="preserve"> The evidence cited by the Forum suggests benefits in proportion of appropriate dosing, reduction in dosing errors, decrease in major bleeding, decrease in death, improved medication adherence, reduced inappropriate aspirin-anticoagulation combination, and improved warfarin control, among other outcomes. The programme may also be cost-saving </w:t>
      </w:r>
      <w:r w:rsidRPr="00AB5F8B">
        <w:rPr>
          <w:rFonts w:asciiTheme="majorBidi" w:hAnsiTheme="majorBidi" w:cstheme="majorBidi"/>
        </w:rPr>
        <w:t>(Anticoagulation Forum 2022b)</w:t>
      </w:r>
      <w:r>
        <w:rPr>
          <w:rFonts w:asciiTheme="majorBidi" w:hAnsiTheme="majorBidi" w:cstheme="majorBidi"/>
        </w:rPr>
        <w:t xml:space="preserve">, with North Carolina Medical </w:t>
      </w:r>
      <w:proofErr w:type="spellStart"/>
      <w:r>
        <w:rPr>
          <w:rFonts w:asciiTheme="majorBidi" w:hAnsiTheme="majorBidi" w:cstheme="majorBidi"/>
        </w:rPr>
        <w:t>Center</w:t>
      </w:r>
      <w:proofErr w:type="spellEnd"/>
      <w:r>
        <w:rPr>
          <w:rFonts w:asciiTheme="majorBidi" w:hAnsiTheme="majorBidi" w:cstheme="majorBidi"/>
        </w:rPr>
        <w:t xml:space="preserve"> reporting US$4million in annual cost-savings driven largely by reduced use of recombinant Factor </w:t>
      </w:r>
      <w:proofErr w:type="spellStart"/>
      <w:r>
        <w:rPr>
          <w:rFonts w:asciiTheme="majorBidi" w:hAnsiTheme="majorBidi" w:cstheme="majorBidi"/>
        </w:rPr>
        <w:t>VIIa</w:t>
      </w:r>
      <w:proofErr w:type="spellEnd"/>
      <w:r>
        <w:rPr>
          <w:rFonts w:asciiTheme="majorBidi" w:hAnsiTheme="majorBidi" w:cstheme="majorBidi"/>
        </w:rPr>
        <w:t xml:space="preserve"> and reduced length of stay. </w:t>
      </w:r>
    </w:p>
    <w:p w14:paraId="11B9BF66" w14:textId="77777777" w:rsidR="00B85C9C" w:rsidRDefault="00B85C9C" w:rsidP="00AB5F8B">
      <w:pPr>
        <w:rPr>
          <w:rFonts w:asciiTheme="majorBidi" w:hAnsiTheme="majorBidi" w:cstheme="majorBidi"/>
        </w:rPr>
      </w:pPr>
    </w:p>
    <w:p w14:paraId="1DF05904" w14:textId="6A0E1608" w:rsidR="00B85C9C" w:rsidRDefault="00B85C9C" w:rsidP="00D77FF1">
      <w:pPr>
        <w:rPr>
          <w:rFonts w:asciiTheme="majorBidi" w:hAnsiTheme="majorBidi" w:cstheme="majorBidi"/>
        </w:rPr>
      </w:pPr>
      <w:r>
        <w:rPr>
          <w:rFonts w:asciiTheme="majorBidi" w:hAnsiTheme="majorBidi" w:cstheme="majorBidi"/>
        </w:rPr>
        <w:t xml:space="preserve">In addition to the comprehensive advice published by the Anticoagulation Forum, Dane et al describe the approach to anticoagulation stewardship at Johns Hopkins Hospital in detail </w:t>
      </w:r>
      <w:r>
        <w:rPr>
          <w:rFonts w:asciiTheme="majorBidi" w:hAnsiTheme="majorBidi" w:cstheme="majorBidi"/>
          <w:noProof/>
        </w:rPr>
        <w:t xml:space="preserve">(Dane </w:t>
      </w:r>
      <w:r w:rsidR="00AA56F6">
        <w:rPr>
          <w:rFonts w:asciiTheme="majorBidi" w:hAnsiTheme="majorBidi" w:cstheme="majorBidi"/>
          <w:noProof/>
        </w:rPr>
        <w:t xml:space="preserve">et al </w:t>
      </w:r>
      <w:r>
        <w:rPr>
          <w:rFonts w:asciiTheme="majorBidi" w:hAnsiTheme="majorBidi" w:cstheme="majorBidi"/>
          <w:noProof/>
        </w:rPr>
        <w:t>2022)</w:t>
      </w:r>
      <w:r>
        <w:rPr>
          <w:rFonts w:asciiTheme="majorBidi" w:hAnsiTheme="majorBidi" w:cstheme="majorBidi"/>
        </w:rPr>
        <w:t xml:space="preserve">. These authors note the high risks associated with antithrombotic medicines and the high cost of associated haemostatic medications. This article first reviews the evidence for the effectiveness and cost-savings of established programmes. Noting the significant impact of several established haemostatic/antithrombotic stewardship programmes the authors then explain exactly how organisations can develop and implement their own programme. The toolkit provided covers three phases and is explicit in its instructions (Table 2 in the paper details 23 discrete practical steps across the three phases): </w:t>
      </w:r>
    </w:p>
    <w:p w14:paraId="2893A155" w14:textId="77777777" w:rsidR="00B85C9C" w:rsidRDefault="00B85C9C" w:rsidP="00D77FF1">
      <w:pPr>
        <w:rPr>
          <w:rFonts w:asciiTheme="majorBidi" w:hAnsiTheme="majorBidi" w:cstheme="majorBidi"/>
        </w:rPr>
      </w:pPr>
    </w:p>
    <w:p w14:paraId="42A0FA2B" w14:textId="77777777" w:rsidR="00B85C9C" w:rsidRDefault="00B85C9C" w:rsidP="00D77FF1">
      <w:pPr>
        <w:pStyle w:val="ListParagraph"/>
        <w:numPr>
          <w:ilvl w:val="0"/>
          <w:numId w:val="29"/>
        </w:numPr>
        <w:rPr>
          <w:rFonts w:asciiTheme="majorBidi" w:hAnsiTheme="majorBidi" w:cstheme="majorBidi"/>
        </w:rPr>
      </w:pPr>
      <w:r w:rsidRPr="00460500">
        <w:rPr>
          <w:rFonts w:asciiTheme="majorBidi" w:hAnsiTheme="majorBidi" w:cstheme="majorBidi"/>
          <w:b/>
          <w:bCs/>
        </w:rPr>
        <w:t>Phase One</w:t>
      </w:r>
      <w:r>
        <w:rPr>
          <w:rFonts w:asciiTheme="majorBidi" w:hAnsiTheme="majorBidi" w:cstheme="majorBidi"/>
        </w:rPr>
        <w:t xml:space="preserve"> </w:t>
      </w:r>
      <w:r w:rsidRPr="00460500">
        <w:rPr>
          <w:rFonts w:asciiTheme="majorBidi" w:hAnsiTheme="majorBidi" w:cstheme="majorBidi"/>
        </w:rPr>
        <w:t>focuses on establishing</w:t>
      </w:r>
      <w:r>
        <w:rPr>
          <w:rFonts w:asciiTheme="majorBidi" w:hAnsiTheme="majorBidi" w:cstheme="majorBidi"/>
        </w:rPr>
        <w:t xml:space="preserve"> </w:t>
      </w:r>
      <w:r w:rsidRPr="00460500">
        <w:rPr>
          <w:rFonts w:asciiTheme="majorBidi" w:hAnsiTheme="majorBidi" w:cstheme="majorBidi"/>
        </w:rPr>
        <w:t>the program</w:t>
      </w:r>
      <w:r>
        <w:rPr>
          <w:rFonts w:asciiTheme="majorBidi" w:hAnsiTheme="majorBidi" w:cstheme="majorBidi"/>
        </w:rPr>
        <w:t>me</w:t>
      </w:r>
      <w:r w:rsidRPr="00460500">
        <w:rPr>
          <w:rFonts w:asciiTheme="majorBidi" w:hAnsiTheme="majorBidi" w:cstheme="majorBidi"/>
        </w:rPr>
        <w:t xml:space="preserve"> infrastructure</w:t>
      </w:r>
      <w:r>
        <w:rPr>
          <w:rFonts w:asciiTheme="majorBidi" w:hAnsiTheme="majorBidi" w:cstheme="majorBidi"/>
        </w:rPr>
        <w:t xml:space="preserve">, </w:t>
      </w:r>
      <w:r w:rsidRPr="00460500">
        <w:rPr>
          <w:rFonts w:asciiTheme="majorBidi" w:hAnsiTheme="majorBidi" w:cstheme="majorBidi"/>
        </w:rPr>
        <w:t>defining the current state of</w:t>
      </w:r>
      <w:r>
        <w:rPr>
          <w:rFonts w:asciiTheme="majorBidi" w:hAnsiTheme="majorBidi" w:cstheme="majorBidi"/>
        </w:rPr>
        <w:t xml:space="preserve"> practice, and </w:t>
      </w:r>
      <w:r w:rsidRPr="00460500">
        <w:rPr>
          <w:rFonts w:asciiTheme="majorBidi" w:hAnsiTheme="majorBidi" w:cstheme="majorBidi"/>
        </w:rPr>
        <w:t>identify</w:t>
      </w:r>
      <w:r>
        <w:rPr>
          <w:rFonts w:asciiTheme="majorBidi" w:hAnsiTheme="majorBidi" w:cstheme="majorBidi"/>
        </w:rPr>
        <w:t>ing</w:t>
      </w:r>
      <w:r w:rsidRPr="00460500">
        <w:rPr>
          <w:rFonts w:asciiTheme="majorBidi" w:hAnsiTheme="majorBidi" w:cstheme="majorBidi"/>
        </w:rPr>
        <w:t xml:space="preserve"> opportunities for </w:t>
      </w:r>
      <w:r>
        <w:rPr>
          <w:rFonts w:asciiTheme="majorBidi" w:hAnsiTheme="majorBidi" w:cstheme="majorBidi"/>
        </w:rPr>
        <w:t>QI intervention. All existing stewardship programmes have been at least co-led by pharmacists and haematologists.</w:t>
      </w:r>
    </w:p>
    <w:p w14:paraId="34AA179E" w14:textId="77777777" w:rsidR="00B85C9C" w:rsidRDefault="00B85C9C" w:rsidP="00D77FF1">
      <w:pPr>
        <w:pStyle w:val="ListParagraph"/>
        <w:numPr>
          <w:ilvl w:val="0"/>
          <w:numId w:val="29"/>
        </w:numPr>
        <w:rPr>
          <w:rFonts w:asciiTheme="majorBidi" w:hAnsiTheme="majorBidi" w:cstheme="majorBidi"/>
        </w:rPr>
      </w:pPr>
      <w:r w:rsidRPr="001E488C">
        <w:rPr>
          <w:rFonts w:asciiTheme="majorBidi" w:hAnsiTheme="majorBidi" w:cstheme="majorBidi"/>
          <w:b/>
          <w:bCs/>
        </w:rPr>
        <w:t>Phase Two</w:t>
      </w:r>
      <w:r>
        <w:rPr>
          <w:rFonts w:asciiTheme="majorBidi" w:hAnsiTheme="majorBidi" w:cstheme="majorBidi"/>
        </w:rPr>
        <w:t xml:space="preserve"> consists of </w:t>
      </w:r>
      <w:r w:rsidRPr="001E488C">
        <w:rPr>
          <w:rFonts w:asciiTheme="majorBidi" w:hAnsiTheme="majorBidi" w:cstheme="majorBidi"/>
        </w:rPr>
        <w:t>identify</w:t>
      </w:r>
      <w:r>
        <w:rPr>
          <w:rFonts w:asciiTheme="majorBidi" w:hAnsiTheme="majorBidi" w:cstheme="majorBidi"/>
        </w:rPr>
        <w:t>ing</w:t>
      </w:r>
      <w:r w:rsidRPr="001E488C">
        <w:rPr>
          <w:rFonts w:asciiTheme="majorBidi" w:hAnsiTheme="majorBidi" w:cstheme="majorBidi"/>
        </w:rPr>
        <w:t xml:space="preserve"> targeted interventions and broadly</w:t>
      </w:r>
      <w:r>
        <w:rPr>
          <w:rFonts w:asciiTheme="majorBidi" w:hAnsiTheme="majorBidi" w:cstheme="majorBidi"/>
        </w:rPr>
        <w:t xml:space="preserve"> </w:t>
      </w:r>
      <w:r w:rsidRPr="001E488C">
        <w:rPr>
          <w:rFonts w:asciiTheme="majorBidi" w:hAnsiTheme="majorBidi" w:cstheme="majorBidi"/>
        </w:rPr>
        <w:t>implementing the</w:t>
      </w:r>
      <w:r>
        <w:rPr>
          <w:rFonts w:asciiTheme="majorBidi" w:hAnsiTheme="majorBidi" w:cstheme="majorBidi"/>
        </w:rPr>
        <w:t>m</w:t>
      </w:r>
      <w:r w:rsidRPr="001E488C">
        <w:rPr>
          <w:rFonts w:asciiTheme="majorBidi" w:hAnsiTheme="majorBidi" w:cstheme="majorBidi"/>
        </w:rPr>
        <w:t xml:space="preserve"> </w:t>
      </w:r>
      <w:r>
        <w:rPr>
          <w:rFonts w:asciiTheme="majorBidi" w:hAnsiTheme="majorBidi" w:cstheme="majorBidi"/>
        </w:rPr>
        <w:t xml:space="preserve">as well as </w:t>
      </w:r>
      <w:r w:rsidRPr="001E488C">
        <w:rPr>
          <w:rFonts w:asciiTheme="majorBidi" w:hAnsiTheme="majorBidi" w:cstheme="majorBidi"/>
        </w:rPr>
        <w:t xml:space="preserve">developing materials needed </w:t>
      </w:r>
      <w:r>
        <w:rPr>
          <w:rFonts w:asciiTheme="majorBidi" w:hAnsiTheme="majorBidi" w:cstheme="majorBidi"/>
        </w:rPr>
        <w:t xml:space="preserve">to </w:t>
      </w:r>
      <w:r w:rsidRPr="001E488C">
        <w:rPr>
          <w:rFonts w:asciiTheme="majorBidi" w:hAnsiTheme="majorBidi" w:cstheme="majorBidi"/>
        </w:rPr>
        <w:t>standardi</w:t>
      </w:r>
      <w:r>
        <w:rPr>
          <w:rFonts w:asciiTheme="majorBidi" w:hAnsiTheme="majorBidi" w:cstheme="majorBidi"/>
        </w:rPr>
        <w:t xml:space="preserve">se </w:t>
      </w:r>
      <w:r w:rsidRPr="001E488C">
        <w:rPr>
          <w:rFonts w:asciiTheme="majorBidi" w:hAnsiTheme="majorBidi" w:cstheme="majorBidi"/>
        </w:rPr>
        <w:t>clinical practices for h</w:t>
      </w:r>
      <w:r>
        <w:rPr>
          <w:rFonts w:asciiTheme="majorBidi" w:hAnsiTheme="majorBidi" w:cstheme="majorBidi"/>
        </w:rPr>
        <w:t>a</w:t>
      </w:r>
      <w:r w:rsidRPr="001E488C">
        <w:rPr>
          <w:rFonts w:asciiTheme="majorBidi" w:hAnsiTheme="majorBidi" w:cstheme="majorBidi"/>
        </w:rPr>
        <w:t>emostatic and antithrombotic use</w:t>
      </w:r>
      <w:r>
        <w:rPr>
          <w:rFonts w:asciiTheme="majorBidi" w:hAnsiTheme="majorBidi" w:cstheme="majorBidi"/>
        </w:rPr>
        <w:t xml:space="preserve">. </w:t>
      </w:r>
    </w:p>
    <w:p w14:paraId="7C58D3A0" w14:textId="77777777" w:rsidR="00B85C9C" w:rsidRPr="00D77FF1" w:rsidRDefault="00B85C9C" w:rsidP="00D77FF1">
      <w:pPr>
        <w:pStyle w:val="ListParagraph"/>
        <w:numPr>
          <w:ilvl w:val="0"/>
          <w:numId w:val="29"/>
        </w:numPr>
        <w:rPr>
          <w:rFonts w:asciiTheme="majorBidi" w:hAnsiTheme="majorBidi" w:cstheme="majorBidi"/>
        </w:rPr>
      </w:pPr>
      <w:r w:rsidRPr="001E488C">
        <w:rPr>
          <w:rFonts w:asciiTheme="majorBidi" w:hAnsiTheme="majorBidi" w:cstheme="majorBidi"/>
          <w:b/>
          <w:bCs/>
        </w:rPr>
        <w:t>Phase Three</w:t>
      </w:r>
      <w:r>
        <w:rPr>
          <w:rFonts w:asciiTheme="majorBidi" w:hAnsiTheme="majorBidi" w:cstheme="majorBidi"/>
        </w:rPr>
        <w:t xml:space="preserve"> </w:t>
      </w:r>
      <w:r w:rsidRPr="001E488C">
        <w:rPr>
          <w:rFonts w:asciiTheme="majorBidi" w:hAnsiTheme="majorBidi" w:cstheme="majorBidi"/>
        </w:rPr>
        <w:t>provide</w:t>
      </w:r>
      <w:r>
        <w:rPr>
          <w:rFonts w:asciiTheme="majorBidi" w:hAnsiTheme="majorBidi" w:cstheme="majorBidi"/>
        </w:rPr>
        <w:t>s</w:t>
      </w:r>
      <w:r w:rsidRPr="001E488C">
        <w:rPr>
          <w:rFonts w:asciiTheme="majorBidi" w:hAnsiTheme="majorBidi" w:cstheme="majorBidi"/>
        </w:rPr>
        <w:t xml:space="preserve"> ongoing assessment of adherence to implemented policies,</w:t>
      </w:r>
      <w:r>
        <w:rPr>
          <w:rFonts w:asciiTheme="majorBidi" w:hAnsiTheme="majorBidi" w:cstheme="majorBidi"/>
        </w:rPr>
        <w:t xml:space="preserve"> </w:t>
      </w:r>
      <w:r w:rsidRPr="001E488C">
        <w:rPr>
          <w:rFonts w:asciiTheme="majorBidi" w:hAnsiTheme="majorBidi" w:cstheme="majorBidi"/>
        </w:rPr>
        <w:t>guidelines, and targeted interventions, a</w:t>
      </w:r>
      <w:r>
        <w:rPr>
          <w:rFonts w:asciiTheme="majorBidi" w:hAnsiTheme="majorBidi" w:cstheme="majorBidi"/>
        </w:rPr>
        <w:t>s well as</w:t>
      </w:r>
      <w:r w:rsidRPr="001E488C">
        <w:rPr>
          <w:rFonts w:asciiTheme="majorBidi" w:hAnsiTheme="majorBidi" w:cstheme="majorBidi"/>
        </w:rPr>
        <w:t xml:space="preserve"> identify</w:t>
      </w:r>
      <w:r>
        <w:rPr>
          <w:rFonts w:asciiTheme="majorBidi" w:hAnsiTheme="majorBidi" w:cstheme="majorBidi"/>
        </w:rPr>
        <w:t>ing</w:t>
      </w:r>
      <w:r w:rsidRPr="001E488C">
        <w:rPr>
          <w:rFonts w:asciiTheme="majorBidi" w:hAnsiTheme="majorBidi" w:cstheme="majorBidi"/>
        </w:rPr>
        <w:t xml:space="preserve"> new opportunities</w:t>
      </w:r>
      <w:r>
        <w:rPr>
          <w:rFonts w:asciiTheme="majorBidi" w:hAnsiTheme="majorBidi" w:cstheme="majorBidi"/>
        </w:rPr>
        <w:t>.</w:t>
      </w:r>
    </w:p>
    <w:p w14:paraId="76BB890C" w14:textId="77777777" w:rsidR="00B85C9C" w:rsidRPr="007F46A0" w:rsidRDefault="00B85C9C" w:rsidP="007F46A0">
      <w:pPr>
        <w:rPr>
          <w:rFonts w:asciiTheme="majorBidi" w:hAnsiTheme="majorBidi" w:cstheme="majorBidi"/>
        </w:rPr>
      </w:pPr>
    </w:p>
    <w:p w14:paraId="13858F2B" w14:textId="77777777" w:rsidR="00B85C9C" w:rsidRPr="007702ED" w:rsidRDefault="00B85C9C" w:rsidP="00CA1C8F">
      <w:pPr>
        <w:pStyle w:val="Heading4"/>
      </w:pPr>
      <w:r w:rsidRPr="007702ED">
        <w:t>ACSQHC</w:t>
      </w:r>
    </w:p>
    <w:p w14:paraId="05D21734" w14:textId="77777777" w:rsidR="00B85C9C" w:rsidRDefault="00B85C9C" w:rsidP="00643C11">
      <w:pPr>
        <w:rPr>
          <w:rFonts w:asciiTheme="majorBidi" w:hAnsiTheme="majorBidi" w:cstheme="majorBidi"/>
        </w:rPr>
      </w:pPr>
    </w:p>
    <w:p w14:paraId="67D0CA4E" w14:textId="425D717C" w:rsidR="00B85C9C" w:rsidRDefault="00B85C9C" w:rsidP="00BB62EF">
      <w:pPr>
        <w:rPr>
          <w:rFonts w:asciiTheme="majorBidi" w:hAnsiTheme="majorBidi" w:cstheme="majorBidi"/>
        </w:rPr>
      </w:pPr>
      <w:r>
        <w:rPr>
          <w:rFonts w:asciiTheme="majorBidi" w:hAnsiTheme="majorBidi" w:cstheme="majorBidi"/>
        </w:rPr>
        <w:t>Five relevant results were returned on the ACSQHC website. Many resources pre-dated 2015 and were, therefore, out-of-scope. However, ACSQHC directed users a document detailing</w:t>
      </w:r>
      <w:r w:rsidRPr="00BB62EF">
        <w:rPr>
          <w:rFonts w:asciiTheme="majorBidi" w:hAnsiTheme="majorBidi" w:cstheme="majorBidi"/>
        </w:rPr>
        <w:t xml:space="preserve"> </w:t>
      </w:r>
      <w:r>
        <w:rPr>
          <w:rFonts w:asciiTheme="majorBidi" w:hAnsiTheme="majorBidi" w:cstheme="majorBidi"/>
        </w:rPr>
        <w:t>‘</w:t>
      </w:r>
      <w:r w:rsidRPr="00BB62EF">
        <w:rPr>
          <w:rFonts w:asciiTheme="majorBidi" w:hAnsiTheme="majorBidi" w:cstheme="majorBidi"/>
          <w:lang w:val="en-NZ"/>
        </w:rPr>
        <w:t>Medication without harm WHO Global Patient Safety Challenge Australia’s response</w:t>
      </w:r>
      <w:r>
        <w:rPr>
          <w:rFonts w:asciiTheme="majorBidi" w:hAnsiTheme="majorBidi" w:cstheme="majorBidi"/>
          <w:lang w:val="en-NZ"/>
        </w:rPr>
        <w:t>’</w:t>
      </w:r>
      <w:r w:rsidRPr="00BB62EF">
        <w:rPr>
          <w:rFonts w:asciiTheme="majorBidi" w:hAnsiTheme="majorBidi" w:cstheme="majorBidi"/>
          <w:lang w:val="en-NZ"/>
        </w:rPr>
        <w:t xml:space="preserve"> </w:t>
      </w:r>
      <w:r w:rsidRPr="00BB62EF">
        <w:rPr>
          <w:rFonts w:asciiTheme="majorBidi" w:hAnsiTheme="majorBidi" w:cstheme="majorBidi"/>
          <w:noProof/>
          <w:lang w:val="en-NZ"/>
        </w:rPr>
        <w:t>(ACSQHC 2020)</w:t>
      </w:r>
      <w:r>
        <w:rPr>
          <w:rFonts w:asciiTheme="majorBidi" w:hAnsiTheme="majorBidi" w:cstheme="majorBidi"/>
          <w:lang w:val="en-NZ"/>
        </w:rPr>
        <w:t xml:space="preserve">, as well as </w:t>
      </w:r>
      <w:r>
        <w:rPr>
          <w:rFonts w:asciiTheme="majorBidi" w:hAnsiTheme="majorBidi" w:cstheme="majorBidi"/>
        </w:rPr>
        <w:t>to the National Quality Use of Medicines Indicators in Australian Hospitals. The indicators for antithrombotic therapy are:</w:t>
      </w:r>
    </w:p>
    <w:p w14:paraId="4FEDF6D0" w14:textId="77777777" w:rsidR="00B85C9C" w:rsidRDefault="00B85C9C" w:rsidP="00BB62EF">
      <w:pPr>
        <w:rPr>
          <w:rFonts w:asciiTheme="majorBidi" w:hAnsiTheme="majorBidi" w:cstheme="majorBidi"/>
          <w:lang w:val="en-NZ"/>
        </w:rPr>
      </w:pPr>
    </w:p>
    <w:p w14:paraId="772279A7"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1.1 Antithrombotic therapy – Percentage of hospitalised adult patients that are assessed for risk of venous thromboembolism</w:t>
      </w:r>
    </w:p>
    <w:p w14:paraId="00A1F1AF"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 xml:space="preserve">1.2 Antithrombotic therapy – Percentage of hospitalised adult patients that receive venous thromboembolism prophylaxis appropriate to their level of risk </w:t>
      </w:r>
    </w:p>
    <w:p w14:paraId="5FC17D58"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 xml:space="preserve">1.3 Antithrombotic therapy – Percentage of patients prescribed enoxaparin whose dosing schedule is appropriate </w:t>
      </w:r>
    </w:p>
    <w:p w14:paraId="1CF290B5"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 xml:space="preserve">1.4 Antithrombotic therapy – Percentage of patients prescribed hospital initiated warfarin whose loading doses are consistent with a drug and therapeutics committee </w:t>
      </w:r>
    </w:p>
    <w:p w14:paraId="20A638BC"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 xml:space="preserve">1.5 Antithrombotic therapy – Percentage of patients with an INR above 4 whose dosage has been adjusted or reviewed prior to the next warfarin dose  </w:t>
      </w:r>
    </w:p>
    <w:p w14:paraId="23DB5AFE" w14:textId="77777777" w:rsidR="00B85C9C" w:rsidRPr="00BB62EF" w:rsidRDefault="00B85C9C" w:rsidP="00BB62EF">
      <w:pPr>
        <w:ind w:left="720"/>
        <w:rPr>
          <w:rFonts w:asciiTheme="majorBidi" w:hAnsiTheme="majorBidi" w:cstheme="majorBidi"/>
          <w:lang w:val="en-NZ"/>
        </w:rPr>
      </w:pPr>
      <w:r w:rsidRPr="00BB62EF">
        <w:rPr>
          <w:rFonts w:asciiTheme="majorBidi" w:hAnsiTheme="majorBidi" w:cstheme="majorBidi"/>
          <w:lang w:val="en-NZ"/>
        </w:rPr>
        <w:t xml:space="preserve">1.6 Antithrombotic therapy – Percentage of patients with atrial fibrillation that are discharged on oral anticoagulants </w:t>
      </w:r>
    </w:p>
    <w:p w14:paraId="313E7BD2" w14:textId="77777777" w:rsidR="00B85C9C" w:rsidRPr="00BB62EF" w:rsidRDefault="00B85C9C" w:rsidP="003D3FDE">
      <w:pPr>
        <w:ind w:left="720"/>
        <w:rPr>
          <w:rFonts w:asciiTheme="majorBidi" w:hAnsiTheme="majorBidi" w:cstheme="majorBidi"/>
          <w:lang w:val="en-NZ"/>
        </w:rPr>
      </w:pPr>
      <w:r w:rsidRPr="00BB62EF">
        <w:rPr>
          <w:rFonts w:asciiTheme="majorBidi" w:hAnsiTheme="majorBidi" w:cstheme="majorBidi"/>
          <w:lang w:val="en-NZ"/>
        </w:rPr>
        <w:t>5.4 Continuity of care – Percentage of patients on warfarin that receive written information regarding warfarin management prior to discharge</w:t>
      </w:r>
    </w:p>
    <w:p w14:paraId="4520EDF2" w14:textId="77777777" w:rsidR="00B85C9C" w:rsidRDefault="00B85C9C" w:rsidP="00BB62EF">
      <w:pPr>
        <w:rPr>
          <w:rFonts w:asciiTheme="majorBidi" w:hAnsiTheme="majorBidi" w:cstheme="majorBidi"/>
        </w:rPr>
      </w:pPr>
    </w:p>
    <w:p w14:paraId="1B5541C5" w14:textId="77777777" w:rsidR="00B85C9C" w:rsidRPr="00833266" w:rsidRDefault="00B85C9C" w:rsidP="00CA1C8F">
      <w:pPr>
        <w:pStyle w:val="Heading4"/>
      </w:pPr>
      <w:r w:rsidRPr="00833266">
        <w:t>ISMP</w:t>
      </w:r>
    </w:p>
    <w:p w14:paraId="30C8E8C7" w14:textId="77777777" w:rsidR="00B85C9C" w:rsidRDefault="00B85C9C" w:rsidP="00643C11">
      <w:pPr>
        <w:rPr>
          <w:rFonts w:asciiTheme="majorBidi" w:hAnsiTheme="majorBidi" w:cstheme="majorBidi"/>
        </w:rPr>
      </w:pPr>
    </w:p>
    <w:p w14:paraId="2696D557" w14:textId="77777777" w:rsidR="00B85C9C" w:rsidRDefault="00B85C9C" w:rsidP="00926ECE">
      <w:pPr>
        <w:rPr>
          <w:rFonts w:asciiTheme="majorBidi" w:hAnsiTheme="majorBidi" w:cstheme="majorBidi"/>
          <w:lang w:val="en-NZ"/>
        </w:rPr>
      </w:pPr>
      <w:r w:rsidRPr="00926ECE">
        <w:rPr>
          <w:rFonts w:asciiTheme="majorBidi" w:hAnsiTheme="majorBidi" w:cstheme="majorBidi"/>
        </w:rPr>
        <w:t xml:space="preserve">ISMP recommends that </w:t>
      </w:r>
      <w:r w:rsidRPr="00926ECE">
        <w:rPr>
          <w:rFonts w:asciiTheme="majorBidi" w:hAnsiTheme="majorBidi" w:cstheme="majorBidi"/>
          <w:lang w:val="en-NZ"/>
        </w:rPr>
        <w:t>organisations use the ISMP Medication Safety Self-Assessment for antithrombotic therapy,</w:t>
      </w:r>
      <w:r w:rsidRPr="00926ECE">
        <w:rPr>
          <w:rStyle w:val="FootnoteReference"/>
          <w:rFonts w:asciiTheme="majorBidi" w:hAnsiTheme="majorBidi" w:cstheme="majorBidi"/>
          <w:lang w:val="en-NZ"/>
        </w:rPr>
        <w:footnoteReference w:id="7"/>
      </w:r>
      <w:r w:rsidRPr="00926ECE">
        <w:rPr>
          <w:rFonts w:asciiTheme="majorBidi" w:hAnsiTheme="majorBidi" w:cstheme="majorBidi"/>
          <w:lang w:val="en-NZ"/>
        </w:rPr>
        <w:t xml:space="preserve"> which covers 11 ‘core characteristics’ across 8 domains and includes 115 items:</w:t>
      </w:r>
    </w:p>
    <w:p w14:paraId="0383232E" w14:textId="77777777" w:rsidR="00B85C9C" w:rsidRPr="00926ECE" w:rsidRDefault="00B85C9C" w:rsidP="00926ECE">
      <w:pPr>
        <w:rPr>
          <w:rFonts w:asciiTheme="majorBidi" w:hAnsiTheme="majorBidi" w:cstheme="majorBidi"/>
          <w:lang w:val="en-NZ"/>
        </w:rPr>
      </w:pPr>
    </w:p>
    <w:p w14:paraId="58E95481"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Patient information</w:t>
      </w:r>
    </w:p>
    <w:p w14:paraId="0A5BCCEE"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Drug information</w:t>
      </w:r>
    </w:p>
    <w:p w14:paraId="7ED187CB"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Communication</w:t>
      </w:r>
    </w:p>
    <w:p w14:paraId="475385EF"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Drug storage</w:t>
      </w:r>
    </w:p>
    <w:p w14:paraId="6A460028"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Medication devices</w:t>
      </w:r>
    </w:p>
    <w:p w14:paraId="1A80F2AC"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Competency/Education</w:t>
      </w:r>
    </w:p>
    <w:p w14:paraId="5FEA78CA"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Patient education</w:t>
      </w:r>
    </w:p>
    <w:p w14:paraId="4128C216" w14:textId="77777777" w:rsidR="00B85C9C" w:rsidRPr="00926ECE" w:rsidRDefault="00B85C9C" w:rsidP="00926ECE">
      <w:pPr>
        <w:numPr>
          <w:ilvl w:val="0"/>
          <w:numId w:val="8"/>
        </w:numPr>
        <w:rPr>
          <w:rFonts w:asciiTheme="majorBidi" w:hAnsiTheme="majorBidi" w:cstheme="majorBidi"/>
          <w:lang w:val="en-NZ"/>
        </w:rPr>
      </w:pPr>
      <w:r w:rsidRPr="00926ECE">
        <w:rPr>
          <w:rFonts w:asciiTheme="majorBidi" w:hAnsiTheme="majorBidi" w:cstheme="majorBidi"/>
          <w:lang w:val="en-NZ"/>
        </w:rPr>
        <w:t>Quality processes</w:t>
      </w:r>
    </w:p>
    <w:p w14:paraId="53AAA4A0" w14:textId="77777777" w:rsidR="00B85C9C" w:rsidRDefault="00B85C9C" w:rsidP="00643C11">
      <w:pPr>
        <w:rPr>
          <w:rFonts w:asciiTheme="majorBidi" w:hAnsiTheme="majorBidi" w:cstheme="majorBidi"/>
        </w:rPr>
      </w:pPr>
    </w:p>
    <w:p w14:paraId="547A77C6" w14:textId="77777777" w:rsidR="00B85C9C" w:rsidRPr="00926ECE" w:rsidRDefault="00B85C9C" w:rsidP="00CA1C8F">
      <w:pPr>
        <w:pStyle w:val="Heading4"/>
      </w:pPr>
      <w:r w:rsidRPr="00926ECE">
        <w:t>NICE</w:t>
      </w:r>
    </w:p>
    <w:p w14:paraId="7951C51D" w14:textId="77777777" w:rsidR="00B85C9C" w:rsidRDefault="00B85C9C" w:rsidP="007301F5">
      <w:pPr>
        <w:keepNext/>
        <w:rPr>
          <w:rFonts w:asciiTheme="majorBidi" w:hAnsiTheme="majorBidi" w:cstheme="majorBidi"/>
        </w:rPr>
      </w:pPr>
    </w:p>
    <w:p w14:paraId="5103CFBD" w14:textId="77777777" w:rsidR="00B85C9C" w:rsidRDefault="00B85C9C" w:rsidP="007301F5">
      <w:pPr>
        <w:keepNext/>
        <w:rPr>
          <w:rFonts w:asciiTheme="majorBidi" w:hAnsiTheme="majorBidi" w:cstheme="majorBidi"/>
        </w:rPr>
      </w:pPr>
      <w:r w:rsidRPr="00926ECE">
        <w:rPr>
          <w:rFonts w:asciiTheme="majorBidi" w:hAnsiTheme="majorBidi" w:cstheme="majorBidi"/>
        </w:rPr>
        <w:t>NICE provides quality standards and guidance for several anticoagulation-related aspects of care including</w:t>
      </w:r>
      <w:r>
        <w:rPr>
          <w:rFonts w:asciiTheme="majorBidi" w:hAnsiTheme="majorBidi" w:cstheme="majorBidi"/>
        </w:rPr>
        <w:t xml:space="preserve"> the</w:t>
      </w:r>
      <w:r w:rsidRPr="00926ECE">
        <w:rPr>
          <w:rFonts w:asciiTheme="majorBidi" w:hAnsiTheme="majorBidi" w:cstheme="majorBidi"/>
        </w:rPr>
        <w:t xml:space="preserve"> diagnosis and management of VTE</w:t>
      </w:r>
      <w:r>
        <w:rPr>
          <w:rFonts w:asciiTheme="majorBidi" w:hAnsiTheme="majorBidi" w:cstheme="majorBidi"/>
        </w:rPr>
        <w:t xml:space="preserve"> (for example, QS-201 and NG-158).</w:t>
      </w:r>
      <w:r w:rsidRPr="00926ECE">
        <w:rPr>
          <w:rFonts w:asciiTheme="majorBidi" w:hAnsiTheme="majorBidi" w:cstheme="majorBidi"/>
        </w:rPr>
        <w:t xml:space="preserve"> </w:t>
      </w:r>
    </w:p>
    <w:p w14:paraId="1A455636" w14:textId="77777777" w:rsidR="00B85C9C" w:rsidRDefault="00B85C9C" w:rsidP="00FC239A">
      <w:pPr>
        <w:rPr>
          <w:rFonts w:asciiTheme="majorBidi" w:hAnsiTheme="majorBidi" w:cstheme="majorBidi"/>
        </w:rPr>
      </w:pPr>
      <w:r w:rsidRPr="00FC239A">
        <w:rPr>
          <w:rFonts w:asciiTheme="majorBidi" w:hAnsiTheme="majorBidi" w:cstheme="majorBidi"/>
        </w:rPr>
        <w:t xml:space="preserve">NICE guidance NG158 states in sections 1.2 and 1.5 that patients should be discharged with adequate monitoring of anticoagulant treatment and </w:t>
      </w:r>
      <w:r>
        <w:rPr>
          <w:rFonts w:asciiTheme="majorBidi" w:hAnsiTheme="majorBidi" w:cstheme="majorBidi"/>
        </w:rPr>
        <w:t>should be</w:t>
      </w:r>
      <w:r w:rsidRPr="00FC239A">
        <w:rPr>
          <w:rFonts w:asciiTheme="majorBidi" w:hAnsiTheme="majorBidi" w:cstheme="majorBidi"/>
        </w:rPr>
        <w:t xml:space="preserve"> provided with sufficient information and education</w:t>
      </w:r>
      <w:r>
        <w:rPr>
          <w:rFonts w:asciiTheme="majorBidi" w:hAnsiTheme="majorBidi" w:cstheme="majorBidi"/>
        </w:rPr>
        <w:t xml:space="preserve">. However, </w:t>
      </w:r>
      <w:r w:rsidRPr="00926ECE">
        <w:rPr>
          <w:rFonts w:asciiTheme="majorBidi" w:hAnsiTheme="majorBidi" w:cstheme="majorBidi"/>
        </w:rPr>
        <w:t>mostly this</w:t>
      </w:r>
      <w:r>
        <w:rPr>
          <w:rFonts w:asciiTheme="majorBidi" w:hAnsiTheme="majorBidi" w:cstheme="majorBidi"/>
        </w:rPr>
        <w:t xml:space="preserve"> guidance</w:t>
      </w:r>
      <w:r w:rsidRPr="00926ECE">
        <w:rPr>
          <w:rFonts w:asciiTheme="majorBidi" w:hAnsiTheme="majorBidi" w:cstheme="majorBidi"/>
        </w:rPr>
        <w:t xml:space="preserve"> is not specific to anticoagulation-related harm </w:t>
      </w:r>
      <w:r>
        <w:rPr>
          <w:rFonts w:asciiTheme="majorBidi" w:hAnsiTheme="majorBidi" w:cstheme="majorBidi"/>
        </w:rPr>
        <w:t xml:space="preserve">quality initiatives. The NICE website does however host case studies in shared learning, and two of these are detailed below (see ‘Case Studies’). </w:t>
      </w:r>
    </w:p>
    <w:p w14:paraId="71091335" w14:textId="77777777" w:rsidR="00B85C9C" w:rsidRDefault="00B85C9C" w:rsidP="00926ECE">
      <w:pPr>
        <w:rPr>
          <w:rFonts w:asciiTheme="majorBidi" w:hAnsiTheme="majorBidi" w:cstheme="majorBidi"/>
        </w:rPr>
      </w:pPr>
    </w:p>
    <w:p w14:paraId="0432BDF0" w14:textId="77777777" w:rsidR="00B85C9C" w:rsidRPr="00DC2401" w:rsidRDefault="00B85C9C" w:rsidP="00CA1C8F">
      <w:pPr>
        <w:pStyle w:val="Heading4"/>
      </w:pPr>
      <w:r w:rsidRPr="00DC2401">
        <w:t>SPSP</w:t>
      </w:r>
    </w:p>
    <w:p w14:paraId="29AD4009" w14:textId="77777777" w:rsidR="00B85C9C" w:rsidRDefault="00B85C9C" w:rsidP="00926ECE">
      <w:pPr>
        <w:rPr>
          <w:rFonts w:asciiTheme="majorBidi" w:hAnsiTheme="majorBidi" w:cstheme="majorBidi"/>
        </w:rPr>
      </w:pPr>
    </w:p>
    <w:p w14:paraId="767E544F" w14:textId="15D77598" w:rsidR="00B85C9C" w:rsidRDefault="00B85C9C" w:rsidP="00DC2401">
      <w:pPr>
        <w:rPr>
          <w:rFonts w:asciiTheme="majorBidi" w:hAnsiTheme="majorBidi" w:cstheme="majorBidi"/>
        </w:rPr>
      </w:pPr>
      <w:r>
        <w:rPr>
          <w:rFonts w:asciiTheme="majorBidi" w:hAnsiTheme="majorBidi" w:cstheme="majorBidi"/>
        </w:rPr>
        <w:t xml:space="preserve">The Scottish Patient Safety Programme supports a Warfarin Care Bundle </w:t>
      </w:r>
      <w:r w:rsidRPr="00DC2401">
        <w:rPr>
          <w:rFonts w:asciiTheme="majorBidi" w:hAnsiTheme="majorBidi" w:cstheme="majorBidi"/>
        </w:rPr>
        <w:t>(Health Improvement Scotland 2015)</w:t>
      </w:r>
      <w:r>
        <w:rPr>
          <w:rFonts w:asciiTheme="majorBidi" w:hAnsiTheme="majorBidi" w:cstheme="majorBidi"/>
        </w:rPr>
        <w:t xml:space="preserve">, which is largely targeted at primary care. The Warfarin Bundle consists of: </w:t>
      </w:r>
    </w:p>
    <w:p w14:paraId="67755FFF" w14:textId="77777777" w:rsidR="00B85C9C" w:rsidRDefault="00B85C9C" w:rsidP="00DC2401">
      <w:pPr>
        <w:rPr>
          <w:rFonts w:asciiTheme="majorBidi" w:hAnsiTheme="majorBidi" w:cstheme="majorBidi"/>
        </w:rPr>
      </w:pPr>
    </w:p>
    <w:p w14:paraId="1CF098DF"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1: </w:t>
      </w:r>
      <w:r w:rsidRPr="00BD0388">
        <w:rPr>
          <w:rFonts w:asciiTheme="majorBidi" w:hAnsiTheme="majorBidi" w:cstheme="majorBidi"/>
        </w:rPr>
        <w:t>Warfarin dose is prescribed according to local guidance.</w:t>
      </w:r>
    </w:p>
    <w:p w14:paraId="552577AE"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2: </w:t>
      </w:r>
      <w:r w:rsidRPr="00BD0388">
        <w:rPr>
          <w:rFonts w:asciiTheme="majorBidi" w:hAnsiTheme="majorBidi" w:cstheme="majorBidi"/>
        </w:rPr>
        <w:t xml:space="preserve">Is the target INR and duration of treatment clearly documented in the notes? </w:t>
      </w:r>
    </w:p>
    <w:p w14:paraId="196D31CB"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3: </w:t>
      </w:r>
      <w:r w:rsidRPr="00BD0388">
        <w:rPr>
          <w:rFonts w:asciiTheme="majorBidi" w:hAnsiTheme="majorBidi" w:cstheme="majorBidi"/>
        </w:rPr>
        <w:t xml:space="preserve">Patient complying with dosage instructions. </w:t>
      </w:r>
    </w:p>
    <w:p w14:paraId="0D1BFB96"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4: </w:t>
      </w:r>
      <w:r w:rsidRPr="00BD0388">
        <w:rPr>
          <w:rFonts w:asciiTheme="majorBidi" w:hAnsiTheme="majorBidi" w:cstheme="majorBidi"/>
        </w:rPr>
        <w:t xml:space="preserve">INR is taken according to previous recommendation. INR is taken within 7 days of planned repeat INR? </w:t>
      </w:r>
    </w:p>
    <w:p w14:paraId="058F5DDF"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5: </w:t>
      </w:r>
      <w:r w:rsidRPr="00BD0388">
        <w:rPr>
          <w:rFonts w:asciiTheme="majorBidi" w:hAnsiTheme="majorBidi" w:cstheme="majorBidi"/>
        </w:rPr>
        <w:t xml:space="preserve">Patient receives regular education. Patient has received education in the last 6 months. </w:t>
      </w:r>
    </w:p>
    <w:p w14:paraId="6810E636" w14:textId="77777777" w:rsidR="00B85C9C" w:rsidRPr="00BD0388" w:rsidRDefault="00B85C9C" w:rsidP="00BD0388">
      <w:pPr>
        <w:ind w:left="720"/>
        <w:rPr>
          <w:rFonts w:asciiTheme="majorBidi" w:hAnsiTheme="majorBidi" w:cstheme="majorBidi"/>
        </w:rPr>
      </w:pPr>
      <w:r w:rsidRPr="00BD0388">
        <w:rPr>
          <w:rFonts w:asciiTheme="majorBidi" w:hAnsiTheme="majorBidi" w:cstheme="majorBidi"/>
          <w:b/>
          <w:bCs/>
        </w:rPr>
        <w:t xml:space="preserve">Measure 6: </w:t>
      </w:r>
      <w:r w:rsidRPr="00BD0388">
        <w:rPr>
          <w:rFonts w:asciiTheme="majorBidi" w:hAnsiTheme="majorBidi" w:cstheme="majorBidi"/>
        </w:rPr>
        <w:t>Have all Measures been met?</w:t>
      </w:r>
    </w:p>
    <w:p w14:paraId="6B5C9A47" w14:textId="77777777" w:rsidR="00B85C9C" w:rsidRDefault="00B85C9C" w:rsidP="00DC2401">
      <w:pPr>
        <w:rPr>
          <w:rFonts w:asciiTheme="majorBidi" w:hAnsiTheme="majorBidi" w:cstheme="majorBidi"/>
        </w:rPr>
      </w:pPr>
    </w:p>
    <w:p w14:paraId="03511599" w14:textId="5CC45A8B" w:rsidR="00B85C9C" w:rsidRDefault="00B85C9C">
      <w:pPr>
        <w:rPr>
          <w:rFonts w:asciiTheme="majorBidi" w:hAnsiTheme="majorBidi" w:cstheme="majorBidi"/>
        </w:rPr>
      </w:pPr>
      <w:r>
        <w:rPr>
          <w:rFonts w:asciiTheme="majorBidi" w:hAnsiTheme="majorBidi" w:cstheme="majorBidi"/>
        </w:rPr>
        <w:t xml:space="preserve">The programme was evaluated in 2015 and the evaluation found </w:t>
      </w:r>
      <w:r w:rsidRPr="00DC2401">
        <w:rPr>
          <w:rFonts w:asciiTheme="majorBidi" w:hAnsiTheme="majorBidi" w:cstheme="majorBidi"/>
        </w:rPr>
        <w:t>improvements in</w:t>
      </w:r>
      <w:r>
        <w:rPr>
          <w:rFonts w:asciiTheme="majorBidi" w:hAnsiTheme="majorBidi" w:cstheme="majorBidi"/>
        </w:rPr>
        <w:t>:</w:t>
      </w:r>
      <w:r w:rsidRPr="00DC2401">
        <w:rPr>
          <w:rFonts w:asciiTheme="majorBidi" w:hAnsiTheme="majorBidi" w:cstheme="majorBidi"/>
        </w:rPr>
        <w:t xml:space="preserve"> mean time in therapeutic range, good control, and excellent control, as well as fewer very abnormal results and patient attendances</w:t>
      </w:r>
      <w:r>
        <w:rPr>
          <w:rFonts w:asciiTheme="majorBidi" w:hAnsiTheme="majorBidi" w:cstheme="majorBidi"/>
        </w:rPr>
        <w:t xml:space="preserve"> </w:t>
      </w:r>
      <w:r>
        <w:rPr>
          <w:rFonts w:asciiTheme="majorBidi" w:hAnsiTheme="majorBidi" w:cstheme="majorBidi"/>
          <w:noProof/>
        </w:rPr>
        <w:t xml:space="preserve">(McNab, McKay, </w:t>
      </w:r>
      <w:r w:rsidR="00172FB7">
        <w:rPr>
          <w:rFonts w:asciiTheme="majorBidi" w:hAnsiTheme="majorBidi" w:cstheme="majorBidi"/>
          <w:noProof/>
        </w:rPr>
        <w:t>and</w:t>
      </w:r>
      <w:r>
        <w:rPr>
          <w:rFonts w:asciiTheme="majorBidi" w:hAnsiTheme="majorBidi" w:cstheme="majorBidi"/>
          <w:noProof/>
        </w:rPr>
        <w:t xml:space="preserve"> Bowie 2015)</w:t>
      </w:r>
      <w:r w:rsidRPr="00DC2401">
        <w:rPr>
          <w:rFonts w:asciiTheme="majorBidi" w:hAnsiTheme="majorBidi" w:cstheme="majorBidi"/>
        </w:rPr>
        <w:t>.</w:t>
      </w:r>
      <w:bookmarkStart w:id="22" w:name="_Toc105497785"/>
    </w:p>
    <w:p w14:paraId="52DD342E" w14:textId="77777777" w:rsidR="00F32B42" w:rsidRPr="00CA1C8F" w:rsidRDefault="00F32B42">
      <w:pPr>
        <w:rPr>
          <w:rFonts w:asciiTheme="majorBidi" w:hAnsiTheme="majorBidi" w:cstheme="majorBidi"/>
        </w:rPr>
      </w:pPr>
    </w:p>
    <w:p w14:paraId="58B64979" w14:textId="77777777" w:rsidR="00B85C9C" w:rsidRDefault="00B85C9C">
      <w:pPr>
        <w:rPr>
          <w:rFonts w:asciiTheme="majorHAnsi" w:eastAsiaTheme="majorEastAsia" w:hAnsiTheme="majorHAnsi" w:cstheme="majorBidi"/>
          <w:color w:val="1F3763" w:themeColor="accent1" w:themeShade="7F"/>
        </w:rPr>
      </w:pPr>
    </w:p>
    <w:p w14:paraId="642D9E51" w14:textId="77777777" w:rsidR="00B85C9C" w:rsidRPr="00534EEF" w:rsidRDefault="00B85C9C" w:rsidP="00131C8A">
      <w:pPr>
        <w:pStyle w:val="Heading3"/>
      </w:pPr>
      <w:bookmarkStart w:id="23" w:name="_Toc106288217"/>
      <w:r w:rsidRPr="00534EEF">
        <w:t>Case Studies</w:t>
      </w:r>
      <w:bookmarkEnd w:id="22"/>
      <w:bookmarkEnd w:id="23"/>
    </w:p>
    <w:p w14:paraId="451F87D4" w14:textId="77777777" w:rsidR="00B85C9C" w:rsidRDefault="00B85C9C" w:rsidP="001B039F"/>
    <w:p w14:paraId="65AABA43" w14:textId="77777777" w:rsidR="00B85C9C" w:rsidRPr="00D77FF1" w:rsidRDefault="00B85C9C" w:rsidP="001B039F">
      <w:pPr>
        <w:rPr>
          <w:rFonts w:asciiTheme="majorBidi" w:hAnsiTheme="majorBidi" w:cstheme="majorBidi"/>
        </w:rPr>
      </w:pPr>
      <w:r>
        <w:rPr>
          <w:rFonts w:asciiTheme="majorBidi" w:hAnsiTheme="majorBidi" w:cstheme="majorBidi"/>
        </w:rPr>
        <w:t xml:space="preserve">In addition to the detailed case study of anticoagulation stewardship provided in Dane et al (see ‘Institutional Advice’ above), the following examples illustrate the development and implementation of QI initiatives to reduce harm associated with anticoagulant use. </w:t>
      </w:r>
    </w:p>
    <w:p w14:paraId="61B88BE8" w14:textId="77777777" w:rsidR="00B85C9C" w:rsidRDefault="00B85C9C" w:rsidP="001B039F"/>
    <w:p w14:paraId="076FCE88" w14:textId="77777777" w:rsidR="001F4D1E" w:rsidRDefault="001F4D1E">
      <w:pPr>
        <w:rPr>
          <w:rFonts w:asciiTheme="majorBidi" w:hAnsiTheme="majorBidi" w:cstheme="majorBidi"/>
          <w:i/>
          <w:iCs/>
        </w:rPr>
      </w:pPr>
      <w:r>
        <w:rPr>
          <w:rFonts w:asciiTheme="majorBidi" w:hAnsiTheme="majorBidi" w:cstheme="majorBidi"/>
          <w:i/>
          <w:iCs/>
        </w:rPr>
        <w:br w:type="page"/>
      </w:r>
    </w:p>
    <w:p w14:paraId="7FDC2EE0" w14:textId="2FEF3923" w:rsidR="00B85C9C" w:rsidRPr="00B500A1" w:rsidRDefault="00B85C9C" w:rsidP="00CA1C8F">
      <w:pPr>
        <w:pStyle w:val="Heading4"/>
        <w:rPr>
          <w:b/>
          <w:bCs/>
        </w:rPr>
      </w:pPr>
      <w:r w:rsidRPr="00230C05">
        <w:t xml:space="preserve">Capital and Coast District Health Board: </w:t>
      </w:r>
      <w:r>
        <w:t xml:space="preserve">Periprocedural </w:t>
      </w:r>
      <w:r w:rsidRPr="00230C05">
        <w:t>Bridging Service</w:t>
      </w:r>
      <w:r w:rsidRPr="00B500A1">
        <w:t xml:space="preserve"> </w:t>
      </w:r>
      <w:r w:rsidRPr="00CA1C8F">
        <w:rPr>
          <w:i w:val="0"/>
          <w:iCs w:val="0"/>
          <w:noProof/>
        </w:rPr>
        <w:t xml:space="preserve">(Ruell </w:t>
      </w:r>
      <w:r w:rsidR="00AA56F6" w:rsidRPr="00CA1C8F">
        <w:rPr>
          <w:i w:val="0"/>
          <w:iCs w:val="0"/>
          <w:noProof/>
        </w:rPr>
        <w:t xml:space="preserve">et al </w:t>
      </w:r>
      <w:r w:rsidRPr="00CA1C8F">
        <w:rPr>
          <w:i w:val="0"/>
          <w:iCs w:val="0"/>
          <w:noProof/>
        </w:rPr>
        <w:t>2019)</w:t>
      </w:r>
    </w:p>
    <w:p w14:paraId="3CFF4149" w14:textId="77777777" w:rsidR="00B85C9C" w:rsidRDefault="00B85C9C" w:rsidP="001B039F">
      <w:pPr>
        <w:rPr>
          <w:rFonts w:asciiTheme="majorBidi" w:hAnsiTheme="majorBidi" w:cstheme="majorBidi"/>
        </w:rPr>
      </w:pPr>
    </w:p>
    <w:p w14:paraId="27785561" w14:textId="77777777" w:rsidR="00B85C9C" w:rsidRDefault="00B85C9C" w:rsidP="00ED36F7">
      <w:pPr>
        <w:rPr>
          <w:rFonts w:asciiTheme="majorBidi" w:hAnsiTheme="majorBidi" w:cstheme="majorBidi"/>
        </w:rPr>
      </w:pPr>
      <w:r>
        <w:rPr>
          <w:rFonts w:asciiTheme="majorBidi" w:hAnsiTheme="majorBidi" w:cstheme="majorBidi"/>
        </w:rPr>
        <w:t xml:space="preserve">Following multiple procedure cancellations due to issues with patients’ anticoagulation status, Wellington Hospital initiated a wraparound peri-procedure anticoagulation bridging service. This was setup by professional agreement with all involved clinicians and was to be run by the hospital thrombosis service. Everyone involved recognised the importance of optimal bridging for patient safety and the scheduling of services. The intention was to provide individual bridging assessments including implementation of the appropriate management, communication, and education. The thrombosis service (which included expert thrombosis nurses) would contact patients, provide key reminders about stopping and starting medications, ensure documentation was complete, and manage a safe return to the previous anticoagulant. Once established the service was evaluated and the overall incidence of major bleeding was 1.9% at day 30 (rate of thrombosis was 0.8%). This figure compares favourably with the BRIDGE study where rates of bleeding were 1.3% in the no bridging group and 3.2% in the bridging group. </w:t>
      </w:r>
    </w:p>
    <w:p w14:paraId="4E702522" w14:textId="77777777" w:rsidR="00B85C9C" w:rsidRPr="000333BF" w:rsidRDefault="00B85C9C" w:rsidP="00ED36F7">
      <w:pPr>
        <w:rPr>
          <w:rFonts w:asciiTheme="majorBidi" w:hAnsiTheme="majorBidi" w:cstheme="majorBidi"/>
        </w:rPr>
      </w:pPr>
    </w:p>
    <w:p w14:paraId="3F4D5A59" w14:textId="77777777" w:rsidR="00B85C9C" w:rsidRDefault="00B85C9C" w:rsidP="00F32B42">
      <w:pPr>
        <w:pStyle w:val="Heading4"/>
      </w:pPr>
      <w:r w:rsidRPr="000333BF">
        <w:t>Western Sussex NHS Foundation Trus</w:t>
      </w:r>
      <w:r>
        <w:t xml:space="preserve">t: </w:t>
      </w:r>
      <w:r w:rsidRPr="00652506">
        <w:t xml:space="preserve">Pharmacists on </w:t>
      </w:r>
      <w:r>
        <w:t>w</w:t>
      </w:r>
      <w:r w:rsidRPr="00652506">
        <w:t xml:space="preserve">ard </w:t>
      </w:r>
      <w:r>
        <w:t>r</w:t>
      </w:r>
      <w:r w:rsidRPr="00652506">
        <w:t>ounds</w:t>
      </w:r>
      <w:r>
        <w:rPr>
          <w:rStyle w:val="FootnoteReference"/>
        </w:rPr>
        <w:footnoteReference w:id="8"/>
      </w:r>
      <w:r>
        <w:t xml:space="preserve"> </w:t>
      </w:r>
    </w:p>
    <w:p w14:paraId="158FEFBC" w14:textId="77777777" w:rsidR="00B85C9C" w:rsidRDefault="00B85C9C" w:rsidP="000333BF">
      <w:pPr>
        <w:rPr>
          <w:rFonts w:asciiTheme="majorBidi" w:hAnsiTheme="majorBidi" w:cstheme="majorBidi"/>
        </w:rPr>
      </w:pPr>
    </w:p>
    <w:p w14:paraId="4DECCC3F" w14:textId="77777777" w:rsidR="00B85C9C" w:rsidRPr="000333BF" w:rsidRDefault="00B85C9C" w:rsidP="000333BF">
      <w:pPr>
        <w:rPr>
          <w:rFonts w:asciiTheme="majorBidi" w:hAnsiTheme="majorBidi" w:cstheme="majorBidi"/>
        </w:rPr>
      </w:pPr>
      <w:r>
        <w:rPr>
          <w:rFonts w:asciiTheme="majorBidi" w:hAnsiTheme="majorBidi" w:cstheme="majorBidi"/>
        </w:rPr>
        <w:t xml:space="preserve">The Western Sussex NHS Foundation Trust recognised that the UK Carter Report (2016) recommended deploying more clinical pharmacists, including pharmacist prescribers. The aim was to derive value from medicines as well as optimising their use through medicines review and reconciliation. Western Sussex integrated pharmacists into the ward multidisciplinary team, particularly on surgical wards, ensuring that decision support is present at the point of prescribing. Venous thromboembolism prophylaxis is one of the most common prescriptions on surgical wards and the presence of the pharmacist was intended to improve compliance with relevant guidelines and ensure prescribing was correct and appropriate as soon as possible after admission. Independent Prescribing pharmacists could also help facilitate timely discharge. The pharmacists scan electronic drug charts and note potential issues, such as potential interactions or dosing. Being physically present on the ward round means that access to the prescriber is ensured and notes in the medical record are not unintentionally overlooked. Baseline audit showed that up to 33% of surgical patients did not have full VTE assessment and 20% did not have appropriate prophylaxis. At first the role of the pharmacist on the ward rounds was not fully understood, but after a trial consultants described the pharmacist as essential and asked for their presence at every ward round. Pharmacists suggested on average 1.3 interventions per patient. </w:t>
      </w:r>
    </w:p>
    <w:p w14:paraId="10647BA2" w14:textId="77777777" w:rsidR="00B85C9C" w:rsidRDefault="00B85C9C" w:rsidP="00C04448">
      <w:pPr>
        <w:rPr>
          <w:rFonts w:asciiTheme="majorBidi" w:hAnsiTheme="majorBidi" w:cstheme="majorBidi"/>
        </w:rPr>
      </w:pPr>
    </w:p>
    <w:p w14:paraId="79E7BB28" w14:textId="0B86CF2C" w:rsidR="00B85C9C" w:rsidRPr="001140D1" w:rsidRDefault="00B85C9C" w:rsidP="00F32B42">
      <w:pPr>
        <w:pStyle w:val="Heading4"/>
        <w:rPr>
          <w:b/>
          <w:bCs/>
        </w:rPr>
      </w:pPr>
      <w:r w:rsidRPr="00ED36F7">
        <w:t>Anticoagulation Forum</w:t>
      </w:r>
      <w:r>
        <w:t xml:space="preserve"> (US)</w:t>
      </w:r>
      <w:r w:rsidRPr="00ED36F7">
        <w:t xml:space="preserve">: Profiles </w:t>
      </w:r>
      <w:r>
        <w:t>of stewardship</w:t>
      </w:r>
      <w:r w:rsidRPr="001140D1">
        <w:rPr>
          <w:b/>
          <w:bCs/>
        </w:rPr>
        <w:t xml:space="preserve"> </w:t>
      </w:r>
      <w:r w:rsidRPr="00F32B42">
        <w:rPr>
          <w:i w:val="0"/>
          <w:iCs w:val="0"/>
          <w:noProof/>
        </w:rPr>
        <w:t>(Anticoagulation Forum</w:t>
      </w:r>
      <w:r w:rsidR="00172FB7" w:rsidRPr="00F32B42">
        <w:rPr>
          <w:i w:val="0"/>
          <w:iCs w:val="0"/>
          <w:noProof/>
        </w:rPr>
        <w:t xml:space="preserve"> </w:t>
      </w:r>
      <w:r w:rsidRPr="00F32B42">
        <w:rPr>
          <w:i w:val="0"/>
          <w:iCs w:val="0"/>
          <w:noProof/>
        </w:rPr>
        <w:t>2022b)</w:t>
      </w:r>
    </w:p>
    <w:p w14:paraId="4A03EE68" w14:textId="77777777" w:rsidR="00B85C9C" w:rsidRDefault="00B85C9C" w:rsidP="00C04448">
      <w:pPr>
        <w:rPr>
          <w:rFonts w:asciiTheme="majorBidi" w:hAnsiTheme="majorBidi" w:cstheme="majorBidi"/>
        </w:rPr>
      </w:pPr>
    </w:p>
    <w:p w14:paraId="13DDF5CF" w14:textId="77777777" w:rsidR="00B85C9C" w:rsidRDefault="00B85C9C" w:rsidP="00C04448">
      <w:pPr>
        <w:rPr>
          <w:rFonts w:asciiTheme="majorBidi" w:hAnsiTheme="majorBidi" w:cstheme="majorBidi"/>
        </w:rPr>
      </w:pPr>
      <w:r>
        <w:rPr>
          <w:rFonts w:asciiTheme="majorBidi" w:hAnsiTheme="majorBidi" w:cstheme="majorBidi"/>
        </w:rPr>
        <w:t xml:space="preserve">The Anticoagulation Forum has collected examples of hospitals that have deployed anticoagulation stewardship models. These programmes are multidisciplinary and/or pharmacy-driven, often targeting dose minimisation of clotting factor use and reducing need for high-cost reversal. Programmes have also aimed to reduce HIT antibody testing through use of the 4T pre-test probability score. Hospitals implementing these programmes include: Johns Hopkins Hospital, North Carolina Medical </w:t>
      </w:r>
      <w:proofErr w:type="spellStart"/>
      <w:r>
        <w:rPr>
          <w:rFonts w:asciiTheme="majorBidi" w:hAnsiTheme="majorBidi" w:cstheme="majorBidi"/>
        </w:rPr>
        <w:t>Center</w:t>
      </w:r>
      <w:proofErr w:type="spellEnd"/>
      <w:r>
        <w:rPr>
          <w:rFonts w:asciiTheme="majorBidi" w:hAnsiTheme="majorBidi" w:cstheme="majorBidi"/>
        </w:rPr>
        <w:t xml:space="preserve">, Tufts Medical </w:t>
      </w:r>
      <w:proofErr w:type="spellStart"/>
      <w:r>
        <w:rPr>
          <w:rFonts w:asciiTheme="majorBidi" w:hAnsiTheme="majorBidi" w:cstheme="majorBidi"/>
        </w:rPr>
        <w:t>Center</w:t>
      </w:r>
      <w:proofErr w:type="spellEnd"/>
      <w:r>
        <w:rPr>
          <w:rFonts w:asciiTheme="majorBidi" w:hAnsiTheme="majorBidi" w:cstheme="majorBidi"/>
        </w:rPr>
        <w:t xml:space="preserve">, and Rochester General Hospital, among others. The impact across eight profiled hospitals included cost savings and cost avoidance ranging from tens of thousands to millions of dollars, reductions in length of stay, reduced use of reversal agents, and identification of patients inappropriately on some treatments. </w:t>
      </w:r>
    </w:p>
    <w:p w14:paraId="452BBA80" w14:textId="77777777" w:rsidR="00B85C9C" w:rsidRDefault="00B85C9C" w:rsidP="00C04448">
      <w:pPr>
        <w:rPr>
          <w:rFonts w:asciiTheme="majorBidi" w:hAnsiTheme="majorBidi" w:cstheme="majorBidi"/>
        </w:rPr>
      </w:pPr>
    </w:p>
    <w:p w14:paraId="399E9219" w14:textId="585509C1" w:rsidR="00B85C9C" w:rsidRPr="0083188C" w:rsidRDefault="00B85C9C" w:rsidP="0083188C">
      <w:pPr>
        <w:rPr>
          <w:rFonts w:asciiTheme="majorBidi" w:hAnsiTheme="majorBidi" w:cstheme="majorBidi"/>
          <w:b/>
          <w:bCs/>
        </w:rPr>
      </w:pPr>
      <w:r w:rsidRPr="00ED36F7">
        <w:rPr>
          <w:rFonts w:asciiTheme="majorBidi" w:hAnsiTheme="majorBidi" w:cstheme="majorBidi"/>
          <w:i/>
          <w:iCs/>
        </w:rPr>
        <w:t>Alfred Hospital, Melbourne</w:t>
      </w:r>
      <w:r>
        <w:rPr>
          <w:rFonts w:asciiTheme="majorBidi" w:hAnsiTheme="majorBidi" w:cstheme="majorBidi"/>
          <w:i/>
          <w:iCs/>
        </w:rPr>
        <w:t>: Anticoagulation stewardship</w:t>
      </w:r>
      <w:r>
        <w:rPr>
          <w:rFonts w:asciiTheme="majorBidi" w:hAnsiTheme="majorBidi" w:cstheme="majorBidi"/>
          <w:b/>
          <w:bCs/>
        </w:rPr>
        <w:t xml:space="preserve"> </w:t>
      </w:r>
      <w:r>
        <w:rPr>
          <w:rFonts w:asciiTheme="majorBidi" w:hAnsiTheme="majorBidi" w:cstheme="majorBidi"/>
          <w:noProof/>
        </w:rPr>
        <w:t xml:space="preserve">(Bui </w:t>
      </w:r>
      <w:r w:rsidR="00AA56F6">
        <w:rPr>
          <w:rFonts w:asciiTheme="majorBidi" w:hAnsiTheme="majorBidi" w:cstheme="majorBidi"/>
          <w:noProof/>
        </w:rPr>
        <w:t xml:space="preserve">et al </w:t>
      </w:r>
      <w:r>
        <w:rPr>
          <w:rFonts w:asciiTheme="majorBidi" w:hAnsiTheme="majorBidi" w:cstheme="majorBidi"/>
          <w:noProof/>
        </w:rPr>
        <w:t>2021)</w:t>
      </w:r>
    </w:p>
    <w:p w14:paraId="13579B82" w14:textId="77777777" w:rsidR="00B85C9C" w:rsidRDefault="00B85C9C" w:rsidP="0083188C">
      <w:pPr>
        <w:rPr>
          <w:rFonts w:asciiTheme="majorBidi" w:hAnsiTheme="majorBidi" w:cstheme="majorBidi"/>
        </w:rPr>
      </w:pPr>
    </w:p>
    <w:p w14:paraId="22F57636" w14:textId="77777777" w:rsidR="00B85C9C" w:rsidRPr="001140D1" w:rsidRDefault="00B85C9C" w:rsidP="001140D1">
      <w:pPr>
        <w:rPr>
          <w:rFonts w:asciiTheme="majorBidi" w:hAnsiTheme="majorBidi" w:cstheme="majorBidi"/>
        </w:rPr>
      </w:pPr>
      <w:r>
        <w:rPr>
          <w:rFonts w:asciiTheme="majorBidi" w:hAnsiTheme="majorBidi" w:cstheme="majorBidi"/>
        </w:rPr>
        <w:t xml:space="preserve">The Alfred is a tertiary referral hospital network with more than 600 beds across three campuses. In 2011 Alfred Health launched an antimicrobial stewardship (AMS) programme led by a full-time senior clinical pharmacist with part-time support from infectious disease physicians. Key components of the AMS programme included </w:t>
      </w:r>
      <w:r w:rsidRPr="0083188C">
        <w:rPr>
          <w:rFonts w:asciiTheme="majorBidi" w:hAnsiTheme="majorBidi" w:cstheme="majorBidi"/>
        </w:rPr>
        <w:t>regular review of</w:t>
      </w:r>
      <w:r>
        <w:rPr>
          <w:rFonts w:asciiTheme="majorBidi" w:hAnsiTheme="majorBidi" w:cstheme="majorBidi"/>
        </w:rPr>
        <w:t xml:space="preserve"> </w:t>
      </w:r>
      <w:r w:rsidRPr="0083188C">
        <w:rPr>
          <w:rFonts w:asciiTheme="majorBidi" w:hAnsiTheme="majorBidi" w:cstheme="majorBidi"/>
        </w:rPr>
        <w:t>antimicrobial use, feedback and education to prescribers, antimicrobial</w:t>
      </w:r>
      <w:r>
        <w:rPr>
          <w:rFonts w:asciiTheme="majorBidi" w:hAnsiTheme="majorBidi" w:cstheme="majorBidi"/>
        </w:rPr>
        <w:t xml:space="preserve"> </w:t>
      </w:r>
      <w:r w:rsidRPr="0083188C">
        <w:rPr>
          <w:rFonts w:asciiTheme="majorBidi" w:hAnsiTheme="majorBidi" w:cstheme="majorBidi"/>
        </w:rPr>
        <w:t>formulary restriction,</w:t>
      </w:r>
      <w:r>
        <w:rPr>
          <w:rFonts w:asciiTheme="majorBidi" w:hAnsiTheme="majorBidi" w:cstheme="majorBidi"/>
        </w:rPr>
        <w:t xml:space="preserve"> </w:t>
      </w:r>
      <w:r w:rsidRPr="0083188C">
        <w:rPr>
          <w:rFonts w:asciiTheme="majorBidi" w:hAnsiTheme="majorBidi" w:cstheme="majorBidi"/>
        </w:rPr>
        <w:t>research</w:t>
      </w:r>
      <w:r>
        <w:rPr>
          <w:rFonts w:asciiTheme="majorBidi" w:hAnsiTheme="majorBidi" w:cstheme="majorBidi"/>
        </w:rPr>
        <w:t>,</w:t>
      </w:r>
      <w:r w:rsidRPr="0083188C">
        <w:rPr>
          <w:rFonts w:asciiTheme="majorBidi" w:hAnsiTheme="majorBidi" w:cstheme="majorBidi"/>
        </w:rPr>
        <w:t xml:space="preserve"> and </w:t>
      </w:r>
      <w:r>
        <w:rPr>
          <w:rFonts w:asciiTheme="majorBidi" w:hAnsiTheme="majorBidi" w:cstheme="majorBidi"/>
        </w:rPr>
        <w:t xml:space="preserve">ongoing improvement initiatives. The programme led to reduction in antimicrobial use and improved patient outcomes. Alfred Health took the core elements of their well-established AMS programme and developed anticoagulation and analgesic stewardship programmes with the same philosophy and components. Critical aspects included multidisciplinary hospital-wide stakeholder engagement, clinician education, monitoring outcomes supported by access to data, quality improvement activities, and involvement of the lead pharmacist in patient-centred care. Implementation followed key stages of exploring the current situation, planning, implementation, monitoring, evaluation, and iterated change. It was important to have dedicated expertise and resources, including identified champions and engagement with end-users. The ACS programme </w:t>
      </w:r>
      <w:r w:rsidRPr="004743AF">
        <w:rPr>
          <w:rFonts w:asciiTheme="majorBidi" w:hAnsiTheme="majorBidi" w:cstheme="majorBidi"/>
        </w:rPr>
        <w:t>aims</w:t>
      </w:r>
      <w:r>
        <w:rPr>
          <w:rFonts w:asciiTheme="majorBidi" w:hAnsiTheme="majorBidi" w:cstheme="majorBidi"/>
        </w:rPr>
        <w:t xml:space="preserve"> </w:t>
      </w:r>
      <w:r w:rsidRPr="004743AF">
        <w:rPr>
          <w:rFonts w:asciiTheme="majorBidi" w:hAnsiTheme="majorBidi" w:cstheme="majorBidi"/>
        </w:rPr>
        <w:t>to improve institution-wide management and oversight</w:t>
      </w:r>
      <w:r>
        <w:rPr>
          <w:rFonts w:asciiTheme="majorBidi" w:hAnsiTheme="majorBidi" w:cstheme="majorBidi"/>
        </w:rPr>
        <w:t xml:space="preserve"> </w:t>
      </w:r>
      <w:r w:rsidRPr="004743AF">
        <w:rPr>
          <w:rFonts w:asciiTheme="majorBidi" w:hAnsiTheme="majorBidi" w:cstheme="majorBidi"/>
        </w:rPr>
        <w:t>of anticoagulation across all settings</w:t>
      </w:r>
      <w:r>
        <w:rPr>
          <w:rFonts w:asciiTheme="majorBidi" w:hAnsiTheme="majorBidi" w:cstheme="majorBidi"/>
        </w:rPr>
        <w:t xml:space="preserve"> with a focus on appropriateness rather than minimisation of use. Q</w:t>
      </w:r>
      <w:r w:rsidRPr="001140D1">
        <w:rPr>
          <w:rFonts w:asciiTheme="majorBidi" w:hAnsiTheme="majorBidi" w:cstheme="majorBidi"/>
        </w:rPr>
        <w:t>uality improvement activities include</w:t>
      </w:r>
      <w:r>
        <w:rPr>
          <w:rFonts w:asciiTheme="majorBidi" w:hAnsiTheme="majorBidi" w:cstheme="majorBidi"/>
        </w:rPr>
        <w:t>d audit of VTE prophylaxis, i</w:t>
      </w:r>
      <w:r w:rsidRPr="001140D1">
        <w:rPr>
          <w:rFonts w:asciiTheme="majorBidi" w:hAnsiTheme="majorBidi" w:cstheme="majorBidi"/>
        </w:rPr>
        <w:t>ncreased</w:t>
      </w:r>
      <w:r>
        <w:rPr>
          <w:rFonts w:asciiTheme="majorBidi" w:hAnsiTheme="majorBidi" w:cstheme="majorBidi"/>
        </w:rPr>
        <w:t xml:space="preserve"> </w:t>
      </w:r>
      <w:r w:rsidRPr="001140D1">
        <w:rPr>
          <w:rFonts w:asciiTheme="majorBidi" w:hAnsiTheme="majorBidi" w:cstheme="majorBidi"/>
        </w:rPr>
        <w:t>prescribing of pharmacological prophylaxis for high-risk</w:t>
      </w:r>
    </w:p>
    <w:p w14:paraId="3DC4C0FF" w14:textId="77777777" w:rsidR="00B85C9C" w:rsidRDefault="00B85C9C" w:rsidP="001140D1">
      <w:pPr>
        <w:rPr>
          <w:rFonts w:asciiTheme="majorBidi" w:hAnsiTheme="majorBidi" w:cstheme="majorBidi"/>
        </w:rPr>
      </w:pPr>
      <w:r w:rsidRPr="001140D1">
        <w:rPr>
          <w:rFonts w:asciiTheme="majorBidi" w:hAnsiTheme="majorBidi" w:cstheme="majorBidi"/>
        </w:rPr>
        <w:t>patients and access to intermittent pneumatic compression</w:t>
      </w:r>
      <w:r>
        <w:rPr>
          <w:rFonts w:asciiTheme="majorBidi" w:hAnsiTheme="majorBidi" w:cstheme="majorBidi"/>
        </w:rPr>
        <w:t>,</w:t>
      </w:r>
      <w:r w:rsidRPr="001140D1">
        <w:rPr>
          <w:rFonts w:asciiTheme="majorBidi" w:hAnsiTheme="majorBidi" w:cstheme="majorBidi"/>
        </w:rPr>
        <w:t xml:space="preserve"> a VTE</w:t>
      </w:r>
      <w:r>
        <w:rPr>
          <w:rFonts w:asciiTheme="majorBidi" w:hAnsiTheme="majorBidi" w:cstheme="majorBidi"/>
        </w:rPr>
        <w:t xml:space="preserve"> </w:t>
      </w:r>
      <w:r w:rsidRPr="001140D1">
        <w:rPr>
          <w:rFonts w:asciiTheme="majorBidi" w:hAnsiTheme="majorBidi" w:cstheme="majorBidi"/>
        </w:rPr>
        <w:t>information leaflet to provide patient education</w:t>
      </w:r>
      <w:r>
        <w:rPr>
          <w:rFonts w:asciiTheme="majorBidi" w:hAnsiTheme="majorBidi" w:cstheme="majorBidi"/>
        </w:rPr>
        <w:t>,</w:t>
      </w:r>
      <w:r w:rsidRPr="001140D1">
        <w:rPr>
          <w:rFonts w:asciiTheme="majorBidi" w:hAnsiTheme="majorBidi" w:cstheme="majorBidi"/>
        </w:rPr>
        <w:t xml:space="preserve"> and</w:t>
      </w:r>
      <w:r>
        <w:rPr>
          <w:rFonts w:asciiTheme="majorBidi" w:hAnsiTheme="majorBidi" w:cstheme="majorBidi"/>
        </w:rPr>
        <w:t xml:space="preserve"> </w:t>
      </w:r>
      <w:r w:rsidRPr="001140D1">
        <w:rPr>
          <w:rFonts w:asciiTheme="majorBidi" w:hAnsiTheme="majorBidi" w:cstheme="majorBidi"/>
        </w:rPr>
        <w:t>quality assurance reviews</w:t>
      </w:r>
      <w:r>
        <w:rPr>
          <w:rFonts w:asciiTheme="majorBidi" w:hAnsiTheme="majorBidi" w:cstheme="majorBidi"/>
        </w:rPr>
        <w:t xml:space="preserve"> </w:t>
      </w:r>
      <w:r w:rsidRPr="001140D1">
        <w:rPr>
          <w:rFonts w:asciiTheme="majorBidi" w:hAnsiTheme="majorBidi" w:cstheme="majorBidi"/>
        </w:rPr>
        <w:t>investigating special populations</w:t>
      </w:r>
      <w:r>
        <w:rPr>
          <w:rFonts w:asciiTheme="majorBidi" w:hAnsiTheme="majorBidi" w:cstheme="majorBidi"/>
        </w:rPr>
        <w:t xml:space="preserve"> </w:t>
      </w:r>
      <w:r w:rsidRPr="001140D1">
        <w:rPr>
          <w:rFonts w:asciiTheme="majorBidi" w:hAnsiTheme="majorBidi" w:cstheme="majorBidi"/>
        </w:rPr>
        <w:t>such as bariatric and burns patients</w:t>
      </w:r>
      <w:r>
        <w:rPr>
          <w:rFonts w:asciiTheme="majorBidi" w:hAnsiTheme="majorBidi" w:cstheme="majorBidi"/>
        </w:rPr>
        <w:t>. Hospital acquired VTE decreased by 33% and anticoagulation-related bleeds decreased by 20%.</w:t>
      </w:r>
    </w:p>
    <w:p w14:paraId="402CC623" w14:textId="77777777" w:rsidR="00B85C9C" w:rsidRDefault="00B85C9C" w:rsidP="00793624">
      <w:pPr>
        <w:rPr>
          <w:rFonts w:asciiTheme="majorBidi" w:hAnsiTheme="majorBidi" w:cstheme="majorBidi"/>
        </w:rPr>
      </w:pPr>
    </w:p>
    <w:p w14:paraId="10B9FBD8" w14:textId="59E7B6D8" w:rsidR="00B85C9C" w:rsidRDefault="00B85C9C" w:rsidP="00F32B42">
      <w:pPr>
        <w:pStyle w:val="Heading4"/>
      </w:pPr>
      <w:r w:rsidRPr="00ED36F7">
        <w:t xml:space="preserve">Erasmus University Medical </w:t>
      </w:r>
      <w:proofErr w:type="spellStart"/>
      <w:r w:rsidRPr="00ED36F7">
        <w:t>Center</w:t>
      </w:r>
      <w:proofErr w:type="spellEnd"/>
      <w:r w:rsidRPr="00ED36F7">
        <w:t xml:space="preserve"> and the Reinier de Graaf Hospital, Netherlands: Anti</w:t>
      </w:r>
      <w:r>
        <w:t>thrombotic</w:t>
      </w:r>
      <w:r w:rsidRPr="00ED36F7">
        <w:t xml:space="preserve"> stewardship</w:t>
      </w:r>
      <w:r>
        <w:t xml:space="preserve"> </w:t>
      </w:r>
      <w:r w:rsidRPr="00F32B42">
        <w:rPr>
          <w:i w:val="0"/>
          <w:iCs w:val="0"/>
          <w:noProof/>
        </w:rPr>
        <w:t xml:space="preserve">(Dreijer </w:t>
      </w:r>
      <w:r w:rsidR="00AA56F6" w:rsidRPr="00F32B42">
        <w:rPr>
          <w:i w:val="0"/>
          <w:iCs w:val="0"/>
          <w:noProof/>
        </w:rPr>
        <w:t xml:space="preserve">et al </w:t>
      </w:r>
      <w:r w:rsidRPr="00F32B42">
        <w:rPr>
          <w:i w:val="0"/>
          <w:iCs w:val="0"/>
          <w:noProof/>
        </w:rPr>
        <w:t xml:space="preserve">2019; Dreijer </w:t>
      </w:r>
      <w:r w:rsidR="00AA56F6" w:rsidRPr="00F32B42">
        <w:rPr>
          <w:i w:val="0"/>
          <w:iCs w:val="0"/>
          <w:noProof/>
        </w:rPr>
        <w:t xml:space="preserve">et al </w:t>
      </w:r>
      <w:r w:rsidRPr="00F32B42">
        <w:rPr>
          <w:i w:val="0"/>
          <w:iCs w:val="0"/>
          <w:noProof/>
        </w:rPr>
        <w:t>2020)</w:t>
      </w:r>
    </w:p>
    <w:p w14:paraId="49FF39C0" w14:textId="77777777" w:rsidR="00B85C9C" w:rsidRDefault="00B85C9C" w:rsidP="00225165">
      <w:pPr>
        <w:rPr>
          <w:rFonts w:asciiTheme="majorBidi" w:hAnsiTheme="majorBidi" w:cstheme="majorBidi"/>
        </w:rPr>
      </w:pPr>
    </w:p>
    <w:p w14:paraId="5F576200" w14:textId="77777777" w:rsidR="00B85C9C" w:rsidRDefault="00B85C9C" w:rsidP="00974D62">
      <w:pPr>
        <w:rPr>
          <w:rFonts w:asciiTheme="majorBidi" w:hAnsiTheme="majorBidi" w:cstheme="majorBidi"/>
        </w:rPr>
      </w:pPr>
      <w:r>
        <w:rPr>
          <w:rFonts w:asciiTheme="majorBidi" w:hAnsiTheme="majorBidi" w:cstheme="majorBidi"/>
        </w:rPr>
        <w:t xml:space="preserve">These two Dutch hospitals implemented an anticoagulation stewardship programme based upon the formation of a multidisciplinary antithrombotic team. At Erasmus, the team consisted of a specialised thrombosis nurse (the case manager), as well as haematologist, paediatric haematologist, head haematologist, hospital pharmacist, cardiologist, anaesthetist, pulmonary physician, neurologist, vascular surgeon and a quality officer. These teams focused on providing hospital-wide education about antithrombotic therapy, medication reviews by hospital pharmacists (this included dosing, duplicate medication, drug-drug interactions, contraindications, and perioperative bridging), drafting of antithrombotic guidelines and a uniform policy, patient counselling daily, medication reconciliation (at admission data from the thrombosis service was handed to the responsible physician, at discharge pharmacotherapy advice/medication review were handed to the thrombosis service or GP, and community pharmacist). This initiative led to a statistically significant increase in adherence to anticoagulant guidelines. This was largely due to improved use of LMWH with respect to renal function and bodyweight. Additionally, there was some indication of a reduction in bleeding and thrombotic events, but this trend was not apparent immediately following intervention, rather it increased across time (change in trend -1.83% per 2 months). However, all-cause mortality was lower in the intervention period </w:t>
      </w:r>
      <w:r w:rsidRPr="00974D62">
        <w:rPr>
          <w:rFonts w:asciiTheme="majorBidi" w:hAnsiTheme="majorBidi" w:cstheme="majorBidi"/>
        </w:rPr>
        <w:t>[8.6% (81/945)] compared</w:t>
      </w:r>
      <w:r>
        <w:rPr>
          <w:rFonts w:asciiTheme="majorBidi" w:hAnsiTheme="majorBidi" w:cstheme="majorBidi"/>
        </w:rPr>
        <w:t xml:space="preserve"> </w:t>
      </w:r>
      <w:r w:rsidRPr="00974D62">
        <w:rPr>
          <w:rFonts w:asciiTheme="majorBidi" w:hAnsiTheme="majorBidi" w:cstheme="majorBidi"/>
        </w:rPr>
        <w:t>to the usual care period [11.5% (108/941)] OR 0.72 (0.53 to 0.98).</w:t>
      </w:r>
      <w:r>
        <w:rPr>
          <w:rFonts w:asciiTheme="majorBidi" w:hAnsiTheme="majorBidi" w:cstheme="majorBidi"/>
        </w:rPr>
        <w:t xml:space="preserve"> Analysis of causes of death indicated that bleeding and thrombosis were not the driving factors. However, a generalised improvement in care cannot be ruled out. The cost per admission of anticoagulant users decreased by EUR790 (p = 0.27) at one hospital and by EUR480 (p = 0.09) at the other, although neither was statistically significant. </w:t>
      </w:r>
    </w:p>
    <w:p w14:paraId="36577F61" w14:textId="77777777" w:rsidR="00B85C9C" w:rsidRDefault="00B85C9C" w:rsidP="00793624">
      <w:pPr>
        <w:rPr>
          <w:rFonts w:asciiTheme="majorBidi" w:hAnsiTheme="majorBidi" w:cstheme="majorBidi"/>
        </w:rPr>
      </w:pPr>
    </w:p>
    <w:p w14:paraId="55BE7CDC" w14:textId="77777777" w:rsidR="00B85C9C" w:rsidRPr="00B500A1" w:rsidRDefault="00B85C9C" w:rsidP="00F32B42">
      <w:pPr>
        <w:pStyle w:val="Heading4"/>
      </w:pPr>
      <w:r w:rsidRPr="00CA46EC">
        <w:t>Nottingham Universities Hospitals Trust</w:t>
      </w:r>
      <w:r>
        <w:t>: Discharge follow-up</w:t>
      </w:r>
      <w:r>
        <w:rPr>
          <w:rStyle w:val="FootnoteReference"/>
        </w:rPr>
        <w:footnoteReference w:id="9"/>
      </w:r>
    </w:p>
    <w:p w14:paraId="07C8EED9" w14:textId="77777777" w:rsidR="00B85C9C" w:rsidRDefault="00B85C9C" w:rsidP="00ED36F7">
      <w:pPr>
        <w:rPr>
          <w:rFonts w:asciiTheme="majorBidi" w:hAnsiTheme="majorBidi" w:cstheme="majorBidi"/>
        </w:rPr>
      </w:pPr>
    </w:p>
    <w:p w14:paraId="3876F10D" w14:textId="44C58E98" w:rsidR="00B85C9C" w:rsidRDefault="00B85C9C" w:rsidP="00C04448">
      <w:pPr>
        <w:rPr>
          <w:rFonts w:asciiTheme="majorBidi" w:hAnsiTheme="majorBidi" w:cstheme="majorBidi"/>
        </w:rPr>
      </w:pPr>
      <w:r>
        <w:rPr>
          <w:rFonts w:asciiTheme="majorBidi" w:hAnsiTheme="majorBidi" w:cstheme="majorBidi"/>
        </w:rPr>
        <w:t>Nottingham Universities Hospitals Trust began looking at how to improve the discharge process for patients with a PE. This was an especially pressing issue given recent trends towards managing haemodynamically stable patients with PE as outpatients. NICE provided guidance about adequate monitoring of anticoagulation treatment and patient necessary education/information. British Thoracic Society Guidelines 2018 state that a patient should be formally reviewed during the first week after discharge. A multidisciplinary panel</w:t>
      </w:r>
      <w:r w:rsidRPr="00D57B4E">
        <w:rPr>
          <w:rFonts w:asciiTheme="majorBidi" w:hAnsiTheme="majorBidi" w:cstheme="majorBidi"/>
        </w:rPr>
        <w:t xml:space="preserve"> decided that anticoagulation nurse specialists would contact patients</w:t>
      </w:r>
      <w:r>
        <w:rPr>
          <w:rFonts w:asciiTheme="majorBidi" w:hAnsiTheme="majorBidi" w:cstheme="majorBidi"/>
        </w:rPr>
        <w:t xml:space="preserve"> within a week and a protocol was created. A PE pathway and electronic referral was developed to be in line with all guidelines. A new DVD was commissioned for patient information and rolled out on wards. During the initial roll-out of the new system it became clear that about 20% of patients had not been given advice on what to do if their condition deteriorates and 47% had not been given a card to alert others to their new anticoagulant medication. The new follow-up process should help prevent these omissions. </w:t>
      </w:r>
    </w:p>
    <w:p w14:paraId="460A56A4" w14:textId="77777777" w:rsidR="00B85C9C" w:rsidRDefault="00B85C9C" w:rsidP="00C04448">
      <w:pPr>
        <w:rPr>
          <w:rFonts w:asciiTheme="majorBidi" w:hAnsiTheme="majorBidi" w:cstheme="majorBidi"/>
        </w:rPr>
      </w:pPr>
    </w:p>
    <w:p w14:paraId="15AAA008" w14:textId="77777777" w:rsidR="00B85C9C" w:rsidRPr="00534EEF" w:rsidRDefault="00B85C9C" w:rsidP="00131C8A">
      <w:pPr>
        <w:pStyle w:val="Heading3"/>
      </w:pPr>
      <w:bookmarkStart w:id="24" w:name="_Toc105497786"/>
      <w:bookmarkStart w:id="25" w:name="_Toc106288218"/>
      <w:r w:rsidRPr="00534EEF">
        <w:t>New Zealand Initiatives</w:t>
      </w:r>
      <w:bookmarkEnd w:id="24"/>
      <w:bookmarkEnd w:id="25"/>
    </w:p>
    <w:p w14:paraId="4DCA0D33" w14:textId="77777777" w:rsidR="00B85C9C" w:rsidRPr="00B46928" w:rsidRDefault="00B85C9C" w:rsidP="00C1476C">
      <w:pPr>
        <w:rPr>
          <w:rFonts w:asciiTheme="majorBidi" w:hAnsiTheme="majorBidi" w:cstheme="majorBidi"/>
        </w:rPr>
      </w:pPr>
    </w:p>
    <w:p w14:paraId="5B694381" w14:textId="77777777" w:rsidR="00B85C9C" w:rsidRDefault="00B85C9C" w:rsidP="00C1476C">
      <w:pPr>
        <w:rPr>
          <w:rFonts w:asciiTheme="majorBidi" w:hAnsiTheme="majorBidi" w:cstheme="majorBidi"/>
        </w:rPr>
      </w:pPr>
      <w:r w:rsidRPr="00B46928">
        <w:rPr>
          <w:rFonts w:asciiTheme="majorBidi" w:hAnsiTheme="majorBidi" w:cstheme="majorBidi"/>
        </w:rPr>
        <w:t xml:space="preserve">Ten DHBs provided </w:t>
      </w:r>
      <w:r>
        <w:rPr>
          <w:rFonts w:asciiTheme="majorBidi" w:hAnsiTheme="majorBidi" w:cstheme="majorBidi"/>
        </w:rPr>
        <w:t xml:space="preserve">information pertaining to initiatives for reducing anticoagulation-related harm in response to the Commission’s survey of Quality and Risk Leads. Survey responses are summarised in the second column of Appendix Table A5. Additional information provided by the targeted individuals who were additionally approached is also presented in Appendix Table A5. </w:t>
      </w:r>
    </w:p>
    <w:p w14:paraId="704F8DDE" w14:textId="77777777" w:rsidR="00B85C9C" w:rsidRDefault="00B85C9C" w:rsidP="00C1476C">
      <w:pPr>
        <w:rPr>
          <w:rFonts w:asciiTheme="majorBidi" w:hAnsiTheme="majorBidi" w:cstheme="majorBidi"/>
        </w:rPr>
      </w:pPr>
    </w:p>
    <w:p w14:paraId="37026DF8" w14:textId="77777777" w:rsidR="00B85C9C" w:rsidRDefault="00B85C9C" w:rsidP="00C1476C">
      <w:pPr>
        <w:rPr>
          <w:rFonts w:asciiTheme="majorBidi" w:hAnsiTheme="majorBidi" w:cstheme="majorBidi"/>
        </w:rPr>
      </w:pPr>
      <w:r>
        <w:rPr>
          <w:rFonts w:asciiTheme="majorBidi" w:hAnsiTheme="majorBidi" w:cstheme="majorBidi"/>
        </w:rPr>
        <w:t xml:space="preserve">DHB responses indicate some activities taking place are aimed at reducing harm from anticoagulants, but responses also highlight several needs and opportunities. </w:t>
      </w:r>
    </w:p>
    <w:p w14:paraId="7341815B" w14:textId="77777777" w:rsidR="00B85C9C" w:rsidRDefault="00B85C9C" w:rsidP="00C1476C">
      <w:pPr>
        <w:rPr>
          <w:rFonts w:asciiTheme="majorBidi" w:hAnsiTheme="majorBidi" w:cstheme="majorBidi"/>
        </w:rPr>
      </w:pPr>
    </w:p>
    <w:p w14:paraId="330C7E17" w14:textId="77777777" w:rsidR="00B85C9C" w:rsidRDefault="00B85C9C" w:rsidP="00D36EC2">
      <w:pPr>
        <w:rPr>
          <w:rFonts w:asciiTheme="majorBidi" w:hAnsiTheme="majorBidi" w:cstheme="majorBidi"/>
        </w:rPr>
      </w:pPr>
      <w:r>
        <w:rPr>
          <w:rFonts w:asciiTheme="majorBidi" w:hAnsiTheme="majorBidi" w:cstheme="majorBidi"/>
        </w:rPr>
        <w:t xml:space="preserve">Guidelines and protocols for the use of anticoagulants and for VTE prophylaxis are common, however, many are ad hoc with different guidelines in different clinical areas and there appears to be little evaluation and infrequent audit of adherence. Partly the lack of audit has been attributed to disruptions from the Covid-19 pandemic. Even when audit takes place, however, it is unclear what the gold standard is because there is no national approach or agreed standard of care. </w:t>
      </w:r>
    </w:p>
    <w:p w14:paraId="014DFFEB" w14:textId="77777777" w:rsidR="00B85C9C" w:rsidRDefault="00B85C9C" w:rsidP="00D36EC2">
      <w:pPr>
        <w:rPr>
          <w:rFonts w:asciiTheme="majorBidi" w:hAnsiTheme="majorBidi" w:cstheme="majorBidi"/>
        </w:rPr>
      </w:pPr>
    </w:p>
    <w:p w14:paraId="285F7965" w14:textId="77777777" w:rsidR="00B85C9C" w:rsidRDefault="00B85C9C" w:rsidP="00D36EC2">
      <w:pPr>
        <w:rPr>
          <w:rFonts w:asciiTheme="majorBidi" w:hAnsiTheme="majorBidi" w:cstheme="majorBidi"/>
        </w:rPr>
      </w:pPr>
      <w:r>
        <w:rPr>
          <w:rFonts w:asciiTheme="majorBidi" w:hAnsiTheme="majorBidi" w:cstheme="majorBidi"/>
        </w:rPr>
        <w:t xml:space="preserve">Requiring electronic documentation of VTE assessment and the use of post-take ward round forms is helping to ensure that risk information is recorded. </w:t>
      </w:r>
    </w:p>
    <w:p w14:paraId="71C0D2CF" w14:textId="77777777" w:rsidR="00B85C9C" w:rsidRDefault="00B85C9C" w:rsidP="00D36EC2">
      <w:pPr>
        <w:rPr>
          <w:rFonts w:asciiTheme="majorBidi" w:hAnsiTheme="majorBidi" w:cstheme="majorBidi"/>
        </w:rPr>
      </w:pPr>
    </w:p>
    <w:p w14:paraId="0D64409B" w14:textId="77777777" w:rsidR="00B85C9C" w:rsidRDefault="00B85C9C" w:rsidP="00D36EC2">
      <w:pPr>
        <w:rPr>
          <w:rFonts w:asciiTheme="majorBidi" w:hAnsiTheme="majorBidi" w:cstheme="majorBidi"/>
        </w:rPr>
      </w:pPr>
      <w:r>
        <w:rPr>
          <w:rFonts w:asciiTheme="majorBidi" w:hAnsiTheme="majorBidi" w:cstheme="majorBidi"/>
        </w:rPr>
        <w:t xml:space="preserve">Additional guidance for the use of anticoagulants has been provided through development of apps (including warfarin reversal and rivaroxaban use) that make guidelines accessible, however, these are not yet integrated into common apps used by medical staff such as </w:t>
      </w:r>
      <w:proofErr w:type="spellStart"/>
      <w:r>
        <w:rPr>
          <w:rFonts w:asciiTheme="majorBidi" w:hAnsiTheme="majorBidi" w:cstheme="majorBidi"/>
        </w:rPr>
        <w:t>MedApp</w:t>
      </w:r>
      <w:proofErr w:type="spellEnd"/>
      <w:r>
        <w:rPr>
          <w:rFonts w:asciiTheme="majorBidi" w:hAnsiTheme="majorBidi" w:cstheme="majorBidi"/>
        </w:rPr>
        <w:t xml:space="preserve"> or EHRs. Other cognitive aids in use include lanyards providing readily available information on anticoagulant use. </w:t>
      </w:r>
    </w:p>
    <w:p w14:paraId="5A0F3DAB" w14:textId="77777777" w:rsidR="00B85C9C" w:rsidRDefault="00B85C9C" w:rsidP="00C1476C">
      <w:pPr>
        <w:rPr>
          <w:rFonts w:asciiTheme="majorBidi" w:hAnsiTheme="majorBidi" w:cstheme="majorBidi"/>
        </w:rPr>
      </w:pPr>
    </w:p>
    <w:p w14:paraId="15BDAE47" w14:textId="77777777" w:rsidR="00B85C9C" w:rsidRDefault="00B85C9C" w:rsidP="00C1476C">
      <w:pPr>
        <w:rPr>
          <w:rFonts w:asciiTheme="majorBidi" w:hAnsiTheme="majorBidi" w:cstheme="majorBidi"/>
        </w:rPr>
      </w:pPr>
      <w:r>
        <w:rPr>
          <w:rFonts w:asciiTheme="majorBidi" w:hAnsiTheme="majorBidi" w:cstheme="majorBidi"/>
        </w:rPr>
        <w:t xml:space="preserve">Alerts exist to flag double-charting of anticoagulants, but alerts regarding renal function are generally not integrated with laboratory results, and therefore do not offer patient-specific clinical decision support. </w:t>
      </w:r>
    </w:p>
    <w:p w14:paraId="28D39583" w14:textId="77777777" w:rsidR="00B85C9C" w:rsidRDefault="00B85C9C" w:rsidP="00C1476C">
      <w:pPr>
        <w:rPr>
          <w:rFonts w:asciiTheme="majorBidi" w:hAnsiTheme="majorBidi" w:cstheme="majorBidi"/>
        </w:rPr>
      </w:pPr>
    </w:p>
    <w:p w14:paraId="581B9383" w14:textId="77777777" w:rsidR="00B85C9C" w:rsidRDefault="00B85C9C" w:rsidP="00C1476C">
      <w:pPr>
        <w:rPr>
          <w:rFonts w:asciiTheme="majorBidi" w:hAnsiTheme="majorBidi" w:cstheme="majorBidi"/>
        </w:rPr>
      </w:pPr>
      <w:r>
        <w:rPr>
          <w:rFonts w:asciiTheme="majorBidi" w:hAnsiTheme="majorBidi" w:cstheme="majorBidi"/>
        </w:rPr>
        <w:t xml:space="preserve">Education has commonly been deployed, largely focussed on PGY1 and PGY2, but also for trainee interns, including low fidelity simulation activities. Presentations have been made at grand rounds, and posters developed guiding safe DOAC use, as well as adverse event updates. However, some education initiatives were obstructed by failure of e-learning platforms, or because information was not kept up to date. There has been no real evaluation of education initiatives beyond participant opinions. </w:t>
      </w:r>
    </w:p>
    <w:p w14:paraId="34F6E906" w14:textId="77777777" w:rsidR="00B85C9C" w:rsidRDefault="00B85C9C" w:rsidP="00C1476C">
      <w:pPr>
        <w:rPr>
          <w:rFonts w:asciiTheme="majorBidi" w:hAnsiTheme="majorBidi" w:cstheme="majorBidi"/>
        </w:rPr>
      </w:pPr>
    </w:p>
    <w:p w14:paraId="7F565C40" w14:textId="77777777" w:rsidR="00B85C9C" w:rsidRDefault="00B85C9C" w:rsidP="006B57C8">
      <w:pPr>
        <w:rPr>
          <w:rFonts w:asciiTheme="majorBidi" w:hAnsiTheme="majorBidi" w:cstheme="majorBidi"/>
        </w:rPr>
      </w:pPr>
      <w:r>
        <w:rPr>
          <w:rFonts w:asciiTheme="majorBidi" w:hAnsiTheme="majorBidi" w:cstheme="majorBidi"/>
        </w:rPr>
        <w:t xml:space="preserve">Coloured bracelets identifying patients on warfarin don’t appear to have prevented reportable events, although this was possibly because photocopies of an out-of-date form were concurrently in use. </w:t>
      </w:r>
    </w:p>
    <w:p w14:paraId="2F1DF19F" w14:textId="77777777" w:rsidR="00B85C9C" w:rsidRDefault="00B85C9C" w:rsidP="006B57C8">
      <w:pPr>
        <w:rPr>
          <w:rFonts w:asciiTheme="majorBidi" w:hAnsiTheme="majorBidi" w:cstheme="majorBidi"/>
        </w:rPr>
      </w:pPr>
    </w:p>
    <w:p w14:paraId="2ACB29AB" w14:textId="77777777" w:rsidR="00B85C9C" w:rsidRDefault="00B85C9C" w:rsidP="00ED74DD">
      <w:pPr>
        <w:rPr>
          <w:rFonts w:asciiTheme="majorBidi" w:hAnsiTheme="majorBidi" w:cstheme="majorBidi"/>
        </w:rPr>
      </w:pPr>
      <w:r>
        <w:rPr>
          <w:rFonts w:asciiTheme="majorBidi" w:hAnsiTheme="majorBidi" w:cstheme="majorBidi"/>
        </w:rPr>
        <w:t xml:space="preserve">Separate anticoagulant/antiplatelet and heparin medication charts have been used. However, the mix of paper and electronic, or the need to look at additional charts, risks confusion. </w:t>
      </w:r>
    </w:p>
    <w:p w14:paraId="4F0A54D8" w14:textId="77777777" w:rsidR="00B85C9C" w:rsidRDefault="00B85C9C" w:rsidP="00ED74DD">
      <w:pPr>
        <w:rPr>
          <w:rFonts w:asciiTheme="majorBidi" w:hAnsiTheme="majorBidi" w:cstheme="majorBidi"/>
        </w:rPr>
      </w:pPr>
    </w:p>
    <w:p w14:paraId="5A65C67F" w14:textId="77777777" w:rsidR="00B85C9C" w:rsidRDefault="00B85C9C" w:rsidP="00ED74DD">
      <w:pPr>
        <w:rPr>
          <w:rFonts w:asciiTheme="majorBidi" w:hAnsiTheme="majorBidi" w:cstheme="majorBidi"/>
        </w:rPr>
      </w:pPr>
      <w:r>
        <w:rPr>
          <w:rFonts w:asciiTheme="majorBidi" w:hAnsiTheme="majorBidi" w:cstheme="majorBidi"/>
        </w:rPr>
        <w:t xml:space="preserve">Heparin safety has been addressed by providing heparin in pre-filled bags. </w:t>
      </w:r>
    </w:p>
    <w:p w14:paraId="0D7CE2C9" w14:textId="77777777" w:rsidR="00B85C9C" w:rsidRDefault="00B85C9C" w:rsidP="006B57C8">
      <w:pPr>
        <w:rPr>
          <w:rFonts w:asciiTheme="majorBidi" w:hAnsiTheme="majorBidi" w:cstheme="majorBidi"/>
        </w:rPr>
      </w:pPr>
    </w:p>
    <w:p w14:paraId="0B14FB09" w14:textId="2535AE73" w:rsidR="00B85C9C" w:rsidRDefault="00B85C9C" w:rsidP="006B57C8">
      <w:pPr>
        <w:rPr>
          <w:rFonts w:asciiTheme="majorBidi" w:hAnsiTheme="majorBidi" w:cstheme="majorBidi"/>
        </w:rPr>
      </w:pPr>
      <w:r>
        <w:rPr>
          <w:rFonts w:asciiTheme="majorBidi" w:hAnsiTheme="majorBidi" w:cstheme="majorBidi"/>
        </w:rPr>
        <w:t xml:space="preserve">A specialist anticoagulation bridging service operates at one DHB, this is detailed in the section on ‘Case Studies’ above </w:t>
      </w:r>
      <w:r>
        <w:rPr>
          <w:rFonts w:asciiTheme="majorBidi" w:hAnsiTheme="majorBidi" w:cstheme="majorBidi"/>
          <w:noProof/>
        </w:rPr>
        <w:t xml:space="preserve">(Ruell </w:t>
      </w:r>
      <w:r w:rsidR="00AA56F6">
        <w:rPr>
          <w:rFonts w:asciiTheme="majorBidi" w:hAnsiTheme="majorBidi" w:cstheme="majorBidi"/>
          <w:noProof/>
        </w:rPr>
        <w:t xml:space="preserve">et al </w:t>
      </w:r>
      <w:r>
        <w:rPr>
          <w:rFonts w:asciiTheme="majorBidi" w:hAnsiTheme="majorBidi" w:cstheme="majorBidi"/>
          <w:noProof/>
        </w:rPr>
        <w:t>2019)</w:t>
      </w:r>
      <w:r>
        <w:rPr>
          <w:rFonts w:asciiTheme="majorBidi" w:hAnsiTheme="majorBidi" w:cstheme="majorBidi"/>
        </w:rPr>
        <w:t xml:space="preserve">. This programme was formally evaluated and found to have outcomes comparable to those of published randomized controlled trials. This programme is in part facilitated by specialist thrombosis nurses. </w:t>
      </w:r>
    </w:p>
    <w:p w14:paraId="3EEF3CB8" w14:textId="77777777" w:rsidR="00B85C9C" w:rsidRDefault="00B85C9C" w:rsidP="006B57C8">
      <w:pPr>
        <w:rPr>
          <w:rFonts w:asciiTheme="majorBidi" w:hAnsiTheme="majorBidi" w:cstheme="majorBidi"/>
        </w:rPr>
      </w:pPr>
    </w:p>
    <w:p w14:paraId="7AF93E60" w14:textId="77777777" w:rsidR="00B85C9C" w:rsidRDefault="00B85C9C" w:rsidP="00E43217">
      <w:pPr>
        <w:rPr>
          <w:rFonts w:asciiTheme="majorBidi" w:hAnsiTheme="majorBidi" w:cstheme="majorBidi"/>
        </w:rPr>
      </w:pPr>
      <w:r>
        <w:rPr>
          <w:rFonts w:asciiTheme="majorBidi" w:hAnsiTheme="majorBidi" w:cstheme="majorBidi"/>
        </w:rPr>
        <w:t>Specialist thrombosis services also exist at Auckland, Counties Manukau, Waitemata, Mid-Central, Canterbury, and Capital and Coast DHBs. Such services support</w:t>
      </w:r>
      <w:r w:rsidRPr="00E43217">
        <w:rPr>
          <w:rFonts w:asciiTheme="majorBidi" w:hAnsiTheme="majorBidi" w:cstheme="majorBidi"/>
        </w:rPr>
        <w:t xml:space="preserve"> important intervention</w:t>
      </w:r>
      <w:r>
        <w:rPr>
          <w:rFonts w:asciiTheme="majorBidi" w:hAnsiTheme="majorBidi" w:cstheme="majorBidi"/>
        </w:rPr>
        <w:t>s</w:t>
      </w:r>
      <w:r w:rsidRPr="00E43217">
        <w:rPr>
          <w:rFonts w:asciiTheme="majorBidi" w:hAnsiTheme="majorBidi" w:cstheme="majorBidi"/>
        </w:rPr>
        <w:t xml:space="preserve"> at the time of discharge for patients with VTE. </w:t>
      </w:r>
      <w:r>
        <w:rPr>
          <w:rFonts w:asciiTheme="majorBidi" w:hAnsiTheme="majorBidi" w:cstheme="majorBidi"/>
        </w:rPr>
        <w:t>C</w:t>
      </w:r>
      <w:r w:rsidRPr="00E43217">
        <w:rPr>
          <w:rFonts w:asciiTheme="majorBidi" w:hAnsiTheme="majorBidi" w:cstheme="majorBidi"/>
        </w:rPr>
        <w:t xml:space="preserve">linical nurse specialists </w:t>
      </w:r>
      <w:r>
        <w:rPr>
          <w:rFonts w:asciiTheme="majorBidi" w:hAnsiTheme="majorBidi" w:cstheme="majorBidi"/>
        </w:rPr>
        <w:t>liaise with</w:t>
      </w:r>
      <w:r w:rsidRPr="00E43217">
        <w:rPr>
          <w:rFonts w:asciiTheme="majorBidi" w:hAnsiTheme="majorBidi" w:cstheme="majorBidi"/>
        </w:rPr>
        <w:t xml:space="preserve"> a haematologist/thrombosis specialist</w:t>
      </w:r>
      <w:r>
        <w:rPr>
          <w:rFonts w:asciiTheme="majorBidi" w:hAnsiTheme="majorBidi" w:cstheme="majorBidi"/>
        </w:rPr>
        <w:t xml:space="preserve"> and</w:t>
      </w:r>
      <w:r w:rsidRPr="00E43217">
        <w:rPr>
          <w:rFonts w:asciiTheme="majorBidi" w:hAnsiTheme="majorBidi" w:cstheme="majorBidi"/>
        </w:rPr>
        <w:t xml:space="preserve"> educate patients </w:t>
      </w:r>
      <w:r>
        <w:rPr>
          <w:rFonts w:asciiTheme="majorBidi" w:hAnsiTheme="majorBidi" w:cstheme="majorBidi"/>
        </w:rPr>
        <w:t>about</w:t>
      </w:r>
      <w:r w:rsidRPr="00E43217">
        <w:rPr>
          <w:rFonts w:asciiTheme="majorBidi" w:hAnsiTheme="majorBidi" w:cstheme="majorBidi"/>
        </w:rPr>
        <w:t xml:space="preserve"> their VTE and medications, and often follow up by phone.</w:t>
      </w:r>
    </w:p>
    <w:p w14:paraId="46DAD96B" w14:textId="77777777" w:rsidR="00B85C9C" w:rsidRDefault="00B85C9C" w:rsidP="00C1476C">
      <w:pPr>
        <w:rPr>
          <w:rFonts w:asciiTheme="majorBidi" w:hAnsiTheme="majorBidi" w:cstheme="majorBidi"/>
        </w:rPr>
      </w:pPr>
    </w:p>
    <w:p w14:paraId="54D3B11E" w14:textId="77777777" w:rsidR="00B85C9C" w:rsidRDefault="00B85C9C" w:rsidP="00C1476C">
      <w:pPr>
        <w:rPr>
          <w:rFonts w:asciiTheme="majorBidi" w:hAnsiTheme="majorBidi" w:cstheme="majorBidi"/>
        </w:rPr>
      </w:pPr>
      <w:r>
        <w:rPr>
          <w:rFonts w:asciiTheme="majorBidi" w:hAnsiTheme="majorBidi" w:cstheme="majorBidi"/>
        </w:rPr>
        <w:t xml:space="preserve">Pharmacist rounding provides some oversight of anticoagulation use and pharmacists are also providing one-on-one education to patients on the ward prior to discharge. Without evaluation it is unclear whether this education is opportunistic or systematic. </w:t>
      </w:r>
    </w:p>
    <w:p w14:paraId="583E9E2B" w14:textId="77777777" w:rsidR="00B85C9C" w:rsidRDefault="00B85C9C" w:rsidP="00C1476C">
      <w:pPr>
        <w:rPr>
          <w:rFonts w:asciiTheme="majorBidi" w:hAnsiTheme="majorBidi" w:cstheme="majorBidi"/>
        </w:rPr>
      </w:pPr>
    </w:p>
    <w:p w14:paraId="7546C264" w14:textId="77777777" w:rsidR="00B85C9C" w:rsidRDefault="00B85C9C" w:rsidP="00C1476C">
      <w:pPr>
        <w:rPr>
          <w:rFonts w:asciiTheme="majorBidi" w:hAnsiTheme="majorBidi" w:cstheme="majorBidi"/>
        </w:rPr>
      </w:pPr>
      <w:r>
        <w:rPr>
          <w:rFonts w:asciiTheme="majorBidi" w:hAnsiTheme="majorBidi" w:cstheme="majorBidi"/>
        </w:rPr>
        <w:t xml:space="preserve">At discharge, warfarin-specific fields on discharge paperwork provide information to GPs and ensure follow-up INR testing is arranged. However, barriers to getting even relatively small changes to discharge forms were also reported. There are also barriers to referring patients directly to community anticoagulation management services where GPs must make this referral. </w:t>
      </w:r>
    </w:p>
    <w:p w14:paraId="369C7050" w14:textId="77777777" w:rsidR="00B85C9C" w:rsidRDefault="00B85C9C" w:rsidP="00C1476C">
      <w:pPr>
        <w:rPr>
          <w:rFonts w:asciiTheme="majorBidi" w:hAnsiTheme="majorBidi" w:cstheme="majorBidi"/>
        </w:rPr>
      </w:pPr>
    </w:p>
    <w:p w14:paraId="2A8D7BD0" w14:textId="77777777" w:rsidR="00B85C9C" w:rsidRDefault="00B85C9C" w:rsidP="00AA17C5">
      <w:pPr>
        <w:rPr>
          <w:rFonts w:asciiTheme="majorBidi" w:hAnsiTheme="majorBidi" w:cstheme="majorBidi"/>
        </w:rPr>
      </w:pPr>
      <w:r>
        <w:rPr>
          <w:rFonts w:asciiTheme="majorBidi" w:hAnsiTheme="majorBidi" w:cstheme="majorBidi"/>
        </w:rPr>
        <w:t>Expert DHB informants suggested that the following would all be useful to pursue: Systematic e-prescribing, clinical decision support systems that include learning opportunities, universal electronic notes, integration of renal function alerts with laboratory data (linked to individual patients), the ability to identify patients coming for outpatient procedures who are taking anticoagulants, national rather than ad hoc guidelines on VTE prophylaxis, automated audits with clear criteria, more pharmacists, and the use of electronic forms to prevent photocopying old documents.</w:t>
      </w:r>
    </w:p>
    <w:p w14:paraId="7289DFAC" w14:textId="77777777" w:rsidR="00B85C9C" w:rsidRDefault="00B85C9C">
      <w:pPr>
        <w:rPr>
          <w:rFonts w:asciiTheme="majorBidi" w:eastAsiaTheme="majorEastAsia" w:hAnsiTheme="majorBidi" w:cstheme="majorBidi"/>
          <w:color w:val="2F5496" w:themeColor="accent1" w:themeShade="BF"/>
          <w:sz w:val="26"/>
          <w:szCs w:val="26"/>
        </w:rPr>
      </w:pPr>
      <w:bookmarkStart w:id="26" w:name="_Toc105497787"/>
      <w:r>
        <w:rPr>
          <w:rFonts w:asciiTheme="majorBidi" w:hAnsiTheme="majorBidi"/>
        </w:rPr>
        <w:br w:type="page"/>
      </w:r>
    </w:p>
    <w:p w14:paraId="2E56CEB5" w14:textId="77777777" w:rsidR="00B85C9C" w:rsidRPr="00B46928" w:rsidRDefault="00B85C9C" w:rsidP="00C1476C">
      <w:pPr>
        <w:pStyle w:val="Heading2"/>
        <w:rPr>
          <w:rFonts w:asciiTheme="majorBidi" w:hAnsiTheme="majorBidi"/>
        </w:rPr>
      </w:pPr>
      <w:bookmarkStart w:id="27" w:name="_Toc106288219"/>
      <w:r w:rsidRPr="00B46928">
        <w:rPr>
          <w:rFonts w:asciiTheme="majorBidi" w:hAnsiTheme="majorBidi"/>
        </w:rPr>
        <w:t>Discussion and Recommendations</w:t>
      </w:r>
      <w:bookmarkEnd w:id="26"/>
      <w:bookmarkEnd w:id="27"/>
    </w:p>
    <w:p w14:paraId="5344CE18" w14:textId="77777777" w:rsidR="00B85C9C" w:rsidRDefault="00B85C9C" w:rsidP="00C1476C">
      <w:pPr>
        <w:rPr>
          <w:rFonts w:asciiTheme="majorBidi" w:hAnsiTheme="majorBidi" w:cstheme="majorBidi"/>
        </w:rPr>
      </w:pPr>
    </w:p>
    <w:p w14:paraId="11A34E7B" w14:textId="77777777" w:rsidR="00B85C9C" w:rsidRDefault="00B85C9C" w:rsidP="00C1476C">
      <w:pPr>
        <w:rPr>
          <w:rFonts w:asciiTheme="majorBidi" w:hAnsiTheme="majorBidi" w:cstheme="majorBidi"/>
        </w:rPr>
      </w:pPr>
      <w:r>
        <w:rPr>
          <w:rFonts w:asciiTheme="majorBidi" w:hAnsiTheme="majorBidi" w:cstheme="majorBidi"/>
        </w:rPr>
        <w:t>The evidence presented above includes surprisingly few high-quality studies, especially given the long history of anticoagulation-related harm, and efforts dedicated to reducing harm from other medicines such as antibiotics or opiates. Nevertheless, interpreting the evidence described above, and tabulated in Appendix A below, three areas of apparent utility stand out. These are:</w:t>
      </w:r>
    </w:p>
    <w:p w14:paraId="41067D68" w14:textId="77777777" w:rsidR="00B85C9C" w:rsidRDefault="00B85C9C" w:rsidP="00C1476C">
      <w:pPr>
        <w:rPr>
          <w:rFonts w:asciiTheme="majorBidi" w:hAnsiTheme="majorBidi" w:cstheme="majorBidi"/>
        </w:rPr>
      </w:pPr>
    </w:p>
    <w:p w14:paraId="3105C584" w14:textId="77777777" w:rsidR="00B85C9C" w:rsidRDefault="00B85C9C" w:rsidP="00C45649">
      <w:pPr>
        <w:pStyle w:val="ListParagraph"/>
        <w:numPr>
          <w:ilvl w:val="0"/>
          <w:numId w:val="27"/>
        </w:numPr>
        <w:rPr>
          <w:rFonts w:asciiTheme="majorBidi" w:hAnsiTheme="majorBidi" w:cstheme="majorBidi"/>
        </w:rPr>
      </w:pPr>
      <w:r>
        <w:rPr>
          <w:rFonts w:asciiTheme="majorBidi" w:hAnsiTheme="majorBidi" w:cstheme="majorBidi"/>
        </w:rPr>
        <w:t xml:space="preserve">Expanding the role of pharmacists </w:t>
      </w:r>
    </w:p>
    <w:p w14:paraId="45771E69" w14:textId="77777777" w:rsidR="00B85C9C" w:rsidRDefault="00B85C9C" w:rsidP="00C45649">
      <w:pPr>
        <w:pStyle w:val="ListParagraph"/>
        <w:numPr>
          <w:ilvl w:val="0"/>
          <w:numId w:val="27"/>
        </w:numPr>
        <w:rPr>
          <w:rFonts w:asciiTheme="majorBidi" w:hAnsiTheme="majorBidi" w:cstheme="majorBidi"/>
        </w:rPr>
      </w:pPr>
      <w:r>
        <w:rPr>
          <w:rFonts w:asciiTheme="majorBidi" w:hAnsiTheme="majorBidi" w:cstheme="majorBidi"/>
        </w:rPr>
        <w:t>Anticoagulation stewardship programmes</w:t>
      </w:r>
    </w:p>
    <w:p w14:paraId="05D68A99" w14:textId="77777777" w:rsidR="00B85C9C" w:rsidRDefault="00B85C9C" w:rsidP="00C45649">
      <w:pPr>
        <w:pStyle w:val="ListParagraph"/>
        <w:numPr>
          <w:ilvl w:val="0"/>
          <w:numId w:val="27"/>
        </w:numPr>
        <w:rPr>
          <w:rFonts w:asciiTheme="majorBidi" w:hAnsiTheme="majorBidi" w:cstheme="majorBidi"/>
        </w:rPr>
      </w:pPr>
      <w:r>
        <w:rPr>
          <w:rFonts w:asciiTheme="majorBidi" w:hAnsiTheme="majorBidi" w:cstheme="majorBidi"/>
        </w:rPr>
        <w:t>Improved use of the EHR and CDSS to support the above and facilitate efficient audit and evaluation</w:t>
      </w:r>
    </w:p>
    <w:p w14:paraId="128FCB01" w14:textId="77777777" w:rsidR="00B85C9C" w:rsidRDefault="00B85C9C" w:rsidP="00D42CC6">
      <w:pPr>
        <w:rPr>
          <w:rFonts w:asciiTheme="majorBidi" w:hAnsiTheme="majorBidi" w:cstheme="majorBidi"/>
        </w:rPr>
      </w:pPr>
    </w:p>
    <w:p w14:paraId="316B9A6A" w14:textId="77777777" w:rsidR="00B85C9C" w:rsidRDefault="00B85C9C" w:rsidP="00D42CC6">
      <w:pPr>
        <w:rPr>
          <w:rFonts w:asciiTheme="majorBidi" w:hAnsiTheme="majorBidi" w:cstheme="majorBidi"/>
        </w:rPr>
      </w:pPr>
      <w:r>
        <w:rPr>
          <w:rFonts w:asciiTheme="majorBidi" w:hAnsiTheme="majorBidi" w:cstheme="majorBidi"/>
        </w:rPr>
        <w:t xml:space="preserve">Additionally, the institutional advice identified in this study provided recommendations in favour of pharmacist-provided anticoagulation management services, anticoagulation stewardship programmes, the measurement of performance indicators, institutional self-assessment using published tools, and widespread use of clinical guidelines. Pursuing the three avenues of QI above should facilitate these recommendations. </w:t>
      </w:r>
    </w:p>
    <w:p w14:paraId="080F9F11" w14:textId="77777777" w:rsidR="00B85C9C" w:rsidRDefault="00B85C9C" w:rsidP="00D42CC6">
      <w:pPr>
        <w:rPr>
          <w:rFonts w:asciiTheme="majorBidi" w:hAnsiTheme="majorBidi" w:cstheme="majorBidi"/>
        </w:rPr>
      </w:pPr>
    </w:p>
    <w:p w14:paraId="5A55F863" w14:textId="651348E3" w:rsidR="00B85C9C" w:rsidRPr="00D42CC6" w:rsidRDefault="00B85C9C" w:rsidP="006C4488">
      <w:pPr>
        <w:rPr>
          <w:rFonts w:asciiTheme="majorBidi" w:hAnsiTheme="majorBidi" w:cstheme="majorBidi"/>
        </w:rPr>
      </w:pPr>
      <w:r>
        <w:rPr>
          <w:rFonts w:asciiTheme="majorBidi" w:hAnsiTheme="majorBidi" w:cstheme="majorBidi"/>
        </w:rPr>
        <w:t xml:space="preserve">It is also noted that an additional literature review was undertaken for the Commission by a pharmacy student in 2019 (Zhang 2019, </w:t>
      </w:r>
      <w:r w:rsidR="00172FB7">
        <w:rPr>
          <w:rFonts w:asciiTheme="majorBidi" w:hAnsiTheme="majorBidi" w:cstheme="majorBidi"/>
        </w:rPr>
        <w:t>unpublished</w:t>
      </w:r>
      <w:r>
        <w:rPr>
          <w:rFonts w:asciiTheme="majorBidi" w:hAnsiTheme="majorBidi" w:cstheme="majorBidi"/>
        </w:rPr>
        <w:t xml:space="preserve">). Although this review focused on evidence of anticoagulation-related harm, it had a secondary purpose to identify interventions for the safer use of anticoagulants. This earlier review identified potential QI avenues as follows: pharmacist identification of errors, education for patients and prescribers, anticoagulation stewardship programmes, and active encouragement of adverse event reporting. These findings are consistent with the three areas listed above since anticoagulation stewardship programmes generally include education for staff as well as reporting of adverse events. </w:t>
      </w:r>
    </w:p>
    <w:p w14:paraId="2F26C40F" w14:textId="77777777" w:rsidR="00B85C9C" w:rsidRDefault="00B85C9C" w:rsidP="00C1476C">
      <w:pPr>
        <w:rPr>
          <w:rFonts w:asciiTheme="majorBidi" w:hAnsiTheme="majorBidi" w:cstheme="majorBidi"/>
        </w:rPr>
      </w:pPr>
    </w:p>
    <w:p w14:paraId="7D3C41F8" w14:textId="77777777" w:rsidR="00B85C9C" w:rsidRPr="00CC0539" w:rsidRDefault="00B85C9C" w:rsidP="00D63EE7">
      <w:pPr>
        <w:pStyle w:val="Heading3"/>
      </w:pPr>
      <w:r w:rsidRPr="00CC0539">
        <w:t xml:space="preserve">Expanding the </w:t>
      </w:r>
      <w:r>
        <w:t>R</w:t>
      </w:r>
      <w:r w:rsidRPr="00CC0539">
        <w:t xml:space="preserve">ole of </w:t>
      </w:r>
      <w:r>
        <w:t>P</w:t>
      </w:r>
      <w:r w:rsidRPr="00CC0539">
        <w:t xml:space="preserve">harmacists </w:t>
      </w:r>
    </w:p>
    <w:p w14:paraId="0BBBD516" w14:textId="77777777" w:rsidR="00B85C9C" w:rsidRDefault="00B85C9C" w:rsidP="00C1476C">
      <w:pPr>
        <w:rPr>
          <w:rFonts w:asciiTheme="majorBidi" w:hAnsiTheme="majorBidi" w:cstheme="majorBidi"/>
        </w:rPr>
      </w:pPr>
    </w:p>
    <w:p w14:paraId="3FEA688F" w14:textId="1AF92D9B" w:rsidR="00B85C9C" w:rsidRDefault="00B85C9C" w:rsidP="00C1476C">
      <w:pPr>
        <w:rPr>
          <w:rFonts w:asciiTheme="majorBidi" w:hAnsiTheme="majorBidi" w:cstheme="majorBidi"/>
        </w:rPr>
      </w:pPr>
      <w:r>
        <w:rPr>
          <w:rFonts w:asciiTheme="majorBidi" w:hAnsiTheme="majorBidi" w:cstheme="majorBidi"/>
        </w:rPr>
        <w:t xml:space="preserve">The role of pharmacists in improving management of anticoagulation has been well-studied in the community setting with many benefits identified </w:t>
      </w:r>
      <w:r>
        <w:rPr>
          <w:rFonts w:asciiTheme="majorBidi" w:hAnsiTheme="majorBidi" w:cstheme="majorBidi"/>
          <w:noProof/>
        </w:rPr>
        <w:t xml:space="preserve">(Entezari-Maleki, Dousti, Hamishehkar, </w:t>
      </w:r>
      <w:r w:rsidR="00172FB7">
        <w:rPr>
          <w:rFonts w:asciiTheme="majorBidi" w:hAnsiTheme="majorBidi" w:cstheme="majorBidi"/>
          <w:noProof/>
        </w:rPr>
        <w:t>and</w:t>
      </w:r>
      <w:r>
        <w:rPr>
          <w:rFonts w:asciiTheme="majorBidi" w:hAnsiTheme="majorBidi" w:cstheme="majorBidi"/>
          <w:noProof/>
        </w:rPr>
        <w:t xml:space="preserve"> Gholami 2016)</w:t>
      </w:r>
      <w:r>
        <w:rPr>
          <w:rFonts w:asciiTheme="majorBidi" w:hAnsiTheme="majorBidi" w:cstheme="majorBidi"/>
        </w:rPr>
        <w:t xml:space="preserve">. The narrative review by Lee et al described previous (out-of-scope) evidence of a possible reduction in mortality in hospitals with pharmacist managed warfarin or heparin therapy </w:t>
      </w:r>
      <w:r>
        <w:rPr>
          <w:rFonts w:asciiTheme="majorBidi" w:hAnsiTheme="majorBidi" w:cstheme="majorBidi"/>
          <w:noProof/>
        </w:rPr>
        <w:t xml:space="preserve">(Lee </w:t>
      </w:r>
      <w:r w:rsidR="00AA56F6">
        <w:rPr>
          <w:rFonts w:asciiTheme="majorBidi" w:hAnsiTheme="majorBidi" w:cstheme="majorBidi"/>
          <w:noProof/>
        </w:rPr>
        <w:t xml:space="preserve">et al </w:t>
      </w:r>
      <w:r>
        <w:rPr>
          <w:rFonts w:asciiTheme="majorBidi" w:hAnsiTheme="majorBidi" w:cstheme="majorBidi"/>
          <w:noProof/>
        </w:rPr>
        <w:t>2016)</w:t>
      </w:r>
      <w:r>
        <w:rPr>
          <w:rFonts w:asciiTheme="majorBidi" w:hAnsiTheme="majorBidi" w:cstheme="majorBidi"/>
        </w:rPr>
        <w:t xml:space="preserve">. Additionally, several of the studies identified provide low to moderate quality evidence that pharmacist prescribing privileges, pharmacist review of prescribing, or other forms of pharmacist oversight, improve the quality of anticoagulation prescription with respect to guideline adherence, adjustment for patient-specific factors, and appropriateness of prescription. Pharmacist counselling of patients may increase time in therapeutic range, and possibly reduces the frequency of return to ED. </w:t>
      </w:r>
    </w:p>
    <w:p w14:paraId="1EBA1F4D" w14:textId="77777777" w:rsidR="00B85C9C" w:rsidRDefault="00B85C9C" w:rsidP="00C1476C">
      <w:pPr>
        <w:rPr>
          <w:rFonts w:asciiTheme="majorBidi" w:hAnsiTheme="majorBidi" w:cstheme="majorBidi"/>
        </w:rPr>
      </w:pPr>
    </w:p>
    <w:p w14:paraId="654F8F48" w14:textId="77777777" w:rsidR="00B85C9C" w:rsidRDefault="00B85C9C" w:rsidP="00C1476C">
      <w:pPr>
        <w:rPr>
          <w:rFonts w:asciiTheme="majorBidi" w:hAnsiTheme="majorBidi" w:cstheme="majorBidi"/>
        </w:rPr>
      </w:pPr>
      <w:r>
        <w:rPr>
          <w:rFonts w:asciiTheme="majorBidi" w:hAnsiTheme="majorBidi" w:cstheme="majorBidi"/>
        </w:rPr>
        <w:t xml:space="preserve">Efforts could be made to systematically incorporate pharmacists in decisions to use anticoagulants, their prescription, monitoring, adjustment, and to support patients in their use. Pharmacist review can be automatically triggered by EMR reports, clinical rule alerts, and pharmacists can contribute as active team members on multidisciplinary rounds, in pre-admission, perioperatively, or by reviewing discharge prescriptions. It is likely that an expanded pharmacy workforce enabling systematic oversight of the prescribing and monitoring of anticoagulants both in hospital and via community monitoring services, including both warfarin and the DOACs, with appropriate systematic electronic alerts of anticoagulant use, would lead to safer use of these medicines. The intermediate step of patients needing a GP referral following discharge from hospital to access anticoagulation monitoring services may be a barrier to appropriate and systematic monitoring. </w:t>
      </w:r>
    </w:p>
    <w:p w14:paraId="3838B3D8" w14:textId="77777777" w:rsidR="00B85C9C" w:rsidRDefault="00B85C9C" w:rsidP="00C1476C">
      <w:pPr>
        <w:rPr>
          <w:rFonts w:asciiTheme="majorBidi" w:hAnsiTheme="majorBidi" w:cstheme="majorBidi"/>
        </w:rPr>
      </w:pPr>
    </w:p>
    <w:p w14:paraId="72583484" w14:textId="77777777" w:rsidR="00B85C9C" w:rsidRPr="00467994" w:rsidRDefault="00B85C9C" w:rsidP="00D63EE7">
      <w:pPr>
        <w:pStyle w:val="Heading3"/>
      </w:pPr>
      <w:r w:rsidRPr="00467994">
        <w:t>Anticoagulant Stewardship</w:t>
      </w:r>
    </w:p>
    <w:p w14:paraId="3CE39DFF" w14:textId="77777777" w:rsidR="00B85C9C" w:rsidRDefault="00B85C9C" w:rsidP="006C4488">
      <w:pPr>
        <w:keepNext/>
        <w:rPr>
          <w:rFonts w:asciiTheme="majorBidi" w:hAnsiTheme="majorBidi" w:cstheme="majorBidi"/>
        </w:rPr>
      </w:pPr>
    </w:p>
    <w:p w14:paraId="033104CD" w14:textId="7BAC39D4" w:rsidR="00B85C9C" w:rsidRDefault="00B85C9C" w:rsidP="006C4488">
      <w:pPr>
        <w:keepNext/>
        <w:rPr>
          <w:rFonts w:asciiTheme="majorBidi" w:hAnsiTheme="majorBidi" w:cstheme="majorBidi"/>
        </w:rPr>
      </w:pPr>
      <w:r w:rsidRPr="00953305">
        <w:rPr>
          <w:rFonts w:asciiTheme="majorBidi" w:hAnsiTheme="majorBidi" w:cstheme="majorBidi"/>
        </w:rPr>
        <w:t>Stewardship</w:t>
      </w:r>
      <w:r>
        <w:rPr>
          <w:rFonts w:asciiTheme="majorBidi" w:hAnsiTheme="majorBidi" w:cstheme="majorBidi"/>
        </w:rPr>
        <w:t xml:space="preserve"> of anticoagulants derives support from several areas: the fact that guideline-based physician-led anticoagulation consultation services have been found to reduce bleeding rates, in high-risk patients </w:t>
      </w:r>
      <w:r w:rsidRPr="00C23070">
        <w:rPr>
          <w:rFonts w:asciiTheme="majorBidi" w:hAnsiTheme="majorBidi" w:cstheme="majorBidi"/>
        </w:rPr>
        <w:t xml:space="preserve">(Frazer </w:t>
      </w:r>
      <w:r w:rsidR="00AA56F6">
        <w:rPr>
          <w:rFonts w:asciiTheme="majorBidi" w:hAnsiTheme="majorBidi" w:cstheme="majorBidi"/>
        </w:rPr>
        <w:t xml:space="preserve">et al </w:t>
      </w:r>
      <w:r w:rsidRPr="00C23070">
        <w:rPr>
          <w:rFonts w:asciiTheme="majorBidi" w:hAnsiTheme="majorBidi" w:cstheme="majorBidi"/>
        </w:rPr>
        <w:t>2019)</w:t>
      </w:r>
      <w:r>
        <w:rPr>
          <w:rFonts w:asciiTheme="majorBidi" w:hAnsiTheme="majorBidi" w:cstheme="majorBidi"/>
        </w:rPr>
        <w:t xml:space="preserve">, combined with the totality of evidence demonstrating improved outcomes with some kinds of pharmacist-led anticoagulation services, as well as successes with the model of antimicrobial stewardship, and the apparent cost-effectiveness of these approaches. A key benefit of stewardship programmes is that individual organisations can take a systematic approach and prioritise where, locally, action is most warranted. This provides the benefits of a national programme (of stewardship) with locally tailored interventions. </w:t>
      </w:r>
    </w:p>
    <w:p w14:paraId="0A91D2B1" w14:textId="77777777" w:rsidR="00B85C9C" w:rsidRDefault="00B85C9C" w:rsidP="00953305">
      <w:pPr>
        <w:rPr>
          <w:rFonts w:asciiTheme="majorBidi" w:hAnsiTheme="majorBidi" w:cstheme="majorBidi"/>
        </w:rPr>
      </w:pPr>
    </w:p>
    <w:p w14:paraId="174C75D8" w14:textId="29535729" w:rsidR="00B85C9C" w:rsidRDefault="00B85C9C" w:rsidP="00953305">
      <w:pPr>
        <w:rPr>
          <w:rFonts w:asciiTheme="majorBidi" w:hAnsiTheme="majorBidi" w:cstheme="majorBidi"/>
        </w:rPr>
      </w:pPr>
      <w:r>
        <w:rPr>
          <w:rFonts w:asciiTheme="majorBidi" w:hAnsiTheme="majorBidi" w:cstheme="majorBidi"/>
        </w:rPr>
        <w:t xml:space="preserve">Hospital-wide studies of stewardship programmes provide good evidence for improved guideline compliance </w:t>
      </w:r>
      <w:r>
        <w:rPr>
          <w:rFonts w:asciiTheme="majorBidi" w:hAnsiTheme="majorBidi" w:cstheme="majorBidi"/>
          <w:noProof/>
        </w:rPr>
        <w:t xml:space="preserve">(Dreijer </w:t>
      </w:r>
      <w:r w:rsidR="00AA56F6">
        <w:rPr>
          <w:rFonts w:asciiTheme="majorBidi" w:hAnsiTheme="majorBidi" w:cstheme="majorBidi"/>
          <w:noProof/>
        </w:rPr>
        <w:t xml:space="preserve">et al </w:t>
      </w:r>
      <w:r>
        <w:rPr>
          <w:rFonts w:asciiTheme="majorBidi" w:hAnsiTheme="majorBidi" w:cstheme="majorBidi"/>
          <w:noProof/>
        </w:rPr>
        <w:t xml:space="preserve">2019; Wychowski </w:t>
      </w:r>
      <w:r w:rsidR="00AA56F6">
        <w:rPr>
          <w:rFonts w:asciiTheme="majorBidi" w:hAnsiTheme="majorBidi" w:cstheme="majorBidi"/>
          <w:noProof/>
        </w:rPr>
        <w:t xml:space="preserve">et al </w:t>
      </w:r>
      <w:r>
        <w:rPr>
          <w:rFonts w:asciiTheme="majorBidi" w:hAnsiTheme="majorBidi" w:cstheme="majorBidi"/>
          <w:noProof/>
        </w:rPr>
        <w:t>2017)</w:t>
      </w:r>
      <w:r>
        <w:rPr>
          <w:rFonts w:asciiTheme="majorBidi" w:hAnsiTheme="majorBidi" w:cstheme="majorBidi"/>
        </w:rPr>
        <w:t xml:space="preserve">, and provide suggestions of trends toward improved endpoints such as reduced incidence of VTE and bleeding </w:t>
      </w:r>
      <w:r>
        <w:rPr>
          <w:rFonts w:asciiTheme="majorBidi" w:hAnsiTheme="majorBidi" w:cstheme="majorBidi"/>
          <w:noProof/>
        </w:rPr>
        <w:t xml:space="preserve">(Bui </w:t>
      </w:r>
      <w:r w:rsidR="00AA56F6">
        <w:rPr>
          <w:rFonts w:asciiTheme="majorBidi" w:hAnsiTheme="majorBidi" w:cstheme="majorBidi"/>
          <w:noProof/>
        </w:rPr>
        <w:t xml:space="preserve">et al </w:t>
      </w:r>
      <w:r>
        <w:rPr>
          <w:rFonts w:asciiTheme="majorBidi" w:hAnsiTheme="majorBidi" w:cstheme="majorBidi"/>
          <w:noProof/>
        </w:rPr>
        <w:t xml:space="preserve">2021; Dreijer </w:t>
      </w:r>
      <w:r w:rsidR="00AA56F6">
        <w:rPr>
          <w:rFonts w:asciiTheme="majorBidi" w:hAnsiTheme="majorBidi" w:cstheme="majorBidi"/>
          <w:noProof/>
        </w:rPr>
        <w:t xml:space="preserve">et al </w:t>
      </w:r>
      <w:r>
        <w:rPr>
          <w:rFonts w:asciiTheme="majorBidi" w:hAnsiTheme="majorBidi" w:cstheme="majorBidi"/>
          <w:noProof/>
        </w:rPr>
        <w:t>2020)</w:t>
      </w:r>
      <w:r>
        <w:rPr>
          <w:rFonts w:asciiTheme="majorBidi" w:hAnsiTheme="majorBidi" w:cstheme="majorBidi"/>
        </w:rPr>
        <w:t xml:space="preserve">, and reduced all-cause mortality </w:t>
      </w:r>
      <w:r w:rsidRPr="00BF19CE">
        <w:rPr>
          <w:rFonts w:asciiTheme="majorBidi" w:hAnsiTheme="majorBidi" w:cstheme="majorBidi"/>
        </w:rPr>
        <w:t xml:space="preserve">(Dreijer </w:t>
      </w:r>
      <w:r w:rsidR="00AA56F6">
        <w:rPr>
          <w:rFonts w:asciiTheme="majorBidi" w:hAnsiTheme="majorBidi" w:cstheme="majorBidi"/>
        </w:rPr>
        <w:t xml:space="preserve">et al </w:t>
      </w:r>
      <w:r w:rsidRPr="00BF19CE">
        <w:rPr>
          <w:rFonts w:asciiTheme="majorBidi" w:hAnsiTheme="majorBidi" w:cstheme="majorBidi"/>
        </w:rPr>
        <w:t>2020)</w:t>
      </w:r>
      <w:r>
        <w:rPr>
          <w:rFonts w:asciiTheme="majorBidi" w:hAnsiTheme="majorBidi" w:cstheme="majorBidi"/>
        </w:rPr>
        <w:t>. However, the evidence for these patient outcomes is not as robust, or not fully explained, and further ongoing study is warranted.</w:t>
      </w:r>
    </w:p>
    <w:p w14:paraId="6B51AA03" w14:textId="77777777" w:rsidR="00B85C9C" w:rsidRDefault="00B85C9C" w:rsidP="00953305">
      <w:pPr>
        <w:rPr>
          <w:rFonts w:asciiTheme="majorBidi" w:hAnsiTheme="majorBidi" w:cstheme="majorBidi"/>
        </w:rPr>
      </w:pPr>
    </w:p>
    <w:p w14:paraId="36F41BC8" w14:textId="64574F06" w:rsidR="00B85C9C" w:rsidRDefault="00B85C9C" w:rsidP="00953305">
      <w:pPr>
        <w:rPr>
          <w:rFonts w:asciiTheme="majorBidi" w:hAnsiTheme="majorBidi" w:cstheme="majorBidi"/>
        </w:rPr>
      </w:pPr>
      <w:r>
        <w:rPr>
          <w:rFonts w:asciiTheme="majorBidi" w:hAnsiTheme="majorBidi" w:cstheme="majorBidi"/>
        </w:rPr>
        <w:t xml:space="preserve">Anticoagulation stewardship is recommended by several institutions including the Anticoagulation Forum </w:t>
      </w:r>
      <w:r>
        <w:rPr>
          <w:rFonts w:asciiTheme="majorBidi" w:hAnsiTheme="majorBidi" w:cstheme="majorBidi"/>
          <w:noProof/>
        </w:rPr>
        <w:t>(Anticoagulation Forum 2019b)</w:t>
      </w:r>
      <w:r>
        <w:rPr>
          <w:rFonts w:asciiTheme="majorBidi" w:hAnsiTheme="majorBidi" w:cstheme="majorBidi"/>
        </w:rPr>
        <w:t xml:space="preserve">, on the basis of a wide range of evidence supporting the individual components of such programmes. These programmes effectively take the philosophy around consistent and expert management of anticoagulation use which underpins current community pharmacy anticoagulation management services and expand it across the entire healthcare organisation or system. </w:t>
      </w:r>
    </w:p>
    <w:p w14:paraId="4DDA8C11" w14:textId="77777777" w:rsidR="00B85C9C" w:rsidRDefault="00B85C9C" w:rsidP="00953305">
      <w:pPr>
        <w:rPr>
          <w:rFonts w:asciiTheme="majorBidi" w:hAnsiTheme="majorBidi" w:cstheme="majorBidi"/>
        </w:rPr>
      </w:pPr>
    </w:p>
    <w:p w14:paraId="543C3BCB" w14:textId="047F9078" w:rsidR="00B85C9C" w:rsidRDefault="00B85C9C" w:rsidP="00953305">
      <w:pPr>
        <w:rPr>
          <w:rFonts w:asciiTheme="majorBidi" w:hAnsiTheme="majorBidi" w:cstheme="majorBidi"/>
        </w:rPr>
      </w:pPr>
      <w:r>
        <w:rPr>
          <w:rFonts w:asciiTheme="majorBidi" w:hAnsiTheme="majorBidi" w:cstheme="majorBidi"/>
        </w:rPr>
        <w:t xml:space="preserve">Stewardship may be more difficult to implement at smaller sites, and cost-effectiveness considerations will be important. However, evidence suggests that stewardship programmes in several settings are demonstrably cost-saving, particularly when applied to the use of high-cost reversal agents and the management of HIT </w:t>
      </w:r>
      <w:r>
        <w:rPr>
          <w:rFonts w:asciiTheme="majorBidi" w:hAnsiTheme="majorBidi" w:cstheme="majorBidi"/>
          <w:noProof/>
        </w:rPr>
        <w:t>(Anticoagulation Forum 2022b)</w:t>
      </w:r>
      <w:r>
        <w:rPr>
          <w:rFonts w:asciiTheme="majorBidi" w:hAnsiTheme="majorBidi" w:cstheme="majorBidi"/>
        </w:rPr>
        <w:t xml:space="preserve">. </w:t>
      </w:r>
    </w:p>
    <w:p w14:paraId="25CECFDC" w14:textId="77777777" w:rsidR="00B85C9C" w:rsidRDefault="00B85C9C" w:rsidP="00953305">
      <w:pPr>
        <w:rPr>
          <w:rFonts w:asciiTheme="majorBidi" w:hAnsiTheme="majorBidi" w:cstheme="majorBidi"/>
        </w:rPr>
      </w:pPr>
    </w:p>
    <w:p w14:paraId="0A090118" w14:textId="20742C43" w:rsidR="00B85C9C" w:rsidRDefault="00B85C9C" w:rsidP="00953305">
      <w:pPr>
        <w:rPr>
          <w:rFonts w:asciiTheme="majorBidi" w:hAnsiTheme="majorBidi" w:cstheme="majorBidi"/>
        </w:rPr>
      </w:pPr>
      <w:r>
        <w:rPr>
          <w:rFonts w:asciiTheme="majorBidi" w:hAnsiTheme="majorBidi" w:cstheme="majorBidi"/>
        </w:rPr>
        <w:t xml:space="preserve">Stewardship could be integrated with other possible solutions, relevant in defined areas, and a multidisciplinary governance team for stewardship could prioritise which interventions to implement and in which order. Stewardship could oversee the integration of approaches such as discharge prescription checking, referral to community ambulatory anticoagulation management services, specialist periprocedural bridging services (managing those on anticoagulants pre-, during, and post- procedures), and roll-out of supporting e-prescribing, CDSS, and audit tools. Notably, evaluation of the impact of the periprocedural bridging in avoiding procedure cancellation should be undertaken, along with ongoing measurement of clinical outcomes as already described </w:t>
      </w:r>
      <w:r>
        <w:rPr>
          <w:rFonts w:asciiTheme="majorBidi" w:hAnsiTheme="majorBidi" w:cstheme="majorBidi"/>
          <w:noProof/>
        </w:rPr>
        <w:t xml:space="preserve">(Ruell </w:t>
      </w:r>
      <w:r w:rsidR="00AA56F6">
        <w:rPr>
          <w:rFonts w:asciiTheme="majorBidi" w:hAnsiTheme="majorBidi" w:cstheme="majorBidi"/>
          <w:noProof/>
        </w:rPr>
        <w:t xml:space="preserve">et al </w:t>
      </w:r>
      <w:r>
        <w:rPr>
          <w:rFonts w:asciiTheme="majorBidi" w:hAnsiTheme="majorBidi" w:cstheme="majorBidi"/>
          <w:noProof/>
        </w:rPr>
        <w:t>2019)</w:t>
      </w:r>
      <w:r>
        <w:rPr>
          <w:rFonts w:asciiTheme="majorBidi" w:hAnsiTheme="majorBidi" w:cstheme="majorBidi"/>
        </w:rPr>
        <w:t>.</w:t>
      </w:r>
    </w:p>
    <w:p w14:paraId="167BA4DA" w14:textId="77777777" w:rsidR="00B85C9C" w:rsidRDefault="00B85C9C" w:rsidP="00953305">
      <w:pPr>
        <w:rPr>
          <w:rFonts w:asciiTheme="majorBidi" w:hAnsiTheme="majorBidi" w:cstheme="majorBidi"/>
        </w:rPr>
      </w:pPr>
    </w:p>
    <w:p w14:paraId="206FFC57" w14:textId="69823251" w:rsidR="00B85C9C" w:rsidRDefault="00B85C9C" w:rsidP="00F74CC8">
      <w:pPr>
        <w:rPr>
          <w:rFonts w:asciiTheme="majorBidi" w:hAnsiTheme="majorBidi" w:cstheme="majorBidi"/>
        </w:rPr>
      </w:pPr>
      <w:r>
        <w:rPr>
          <w:rFonts w:asciiTheme="majorBidi" w:hAnsiTheme="majorBidi" w:cstheme="majorBidi"/>
        </w:rPr>
        <w:t xml:space="preserve">Advice for developing and optimising anticoagulation stewardship programmes has been provided by the Anticoagulation Forum, along with self-assessment guides for organisations, and by the Johns Hopkins Hospital programme </w:t>
      </w:r>
      <w:r>
        <w:rPr>
          <w:rFonts w:asciiTheme="majorBidi" w:hAnsiTheme="majorBidi" w:cstheme="majorBidi"/>
          <w:noProof/>
        </w:rPr>
        <w:t xml:space="preserve">(Dane </w:t>
      </w:r>
      <w:r w:rsidR="00AA56F6">
        <w:rPr>
          <w:rFonts w:asciiTheme="majorBidi" w:hAnsiTheme="majorBidi" w:cstheme="majorBidi"/>
          <w:noProof/>
        </w:rPr>
        <w:t xml:space="preserve">et al </w:t>
      </w:r>
      <w:r>
        <w:rPr>
          <w:rFonts w:asciiTheme="majorBidi" w:hAnsiTheme="majorBidi" w:cstheme="majorBidi"/>
          <w:noProof/>
        </w:rPr>
        <w:t>2022)</w:t>
      </w:r>
      <w:r>
        <w:rPr>
          <w:rFonts w:asciiTheme="majorBidi" w:hAnsiTheme="majorBidi" w:cstheme="majorBidi"/>
        </w:rPr>
        <w:t xml:space="preserve">. Descriptions of successful anticoagulation stewardship programmes are available in the literature, and a selection of these studies are highlighted in Appendix Table A2. In general, such programmes require sophisticated multidisciplinary governance and oversight, dedicated resourcing, as well as continuous audit and redesign (see Box 1), but the potential clinical benefits and possible cost-savings could make programmes worthwhile. It appears that no systematic review of anticoagulation stewardship programmes exists, and this shortcoming should be remedied. </w:t>
      </w:r>
    </w:p>
    <w:p w14:paraId="0330517A" w14:textId="77777777" w:rsidR="00B85C9C" w:rsidRDefault="00B85C9C" w:rsidP="00F74CC8">
      <w:pPr>
        <w:rPr>
          <w:rFonts w:asciiTheme="majorBidi" w:hAnsiTheme="majorBidi" w:cstheme="majorBidi"/>
        </w:rPr>
      </w:pPr>
    </w:p>
    <w:p w14:paraId="6FB26DD0" w14:textId="77777777" w:rsidR="00B85C9C" w:rsidRDefault="00B85C9C" w:rsidP="00F74CC8">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9264" behindDoc="0" locked="0" layoutInCell="1" allowOverlap="1" wp14:anchorId="12D21958" wp14:editId="5E62D24F">
                <wp:simplePos x="0" y="0"/>
                <wp:positionH relativeFrom="column">
                  <wp:posOffset>15631</wp:posOffset>
                </wp:positionH>
                <wp:positionV relativeFrom="paragraph">
                  <wp:posOffset>155332</wp:posOffset>
                </wp:positionV>
                <wp:extent cx="5680954" cy="6197600"/>
                <wp:effectExtent l="0" t="0" r="15240" b="12700"/>
                <wp:wrapNone/>
                <wp:docPr id="1" name="Text Box 1"/>
                <wp:cNvGraphicFramePr/>
                <a:graphic xmlns:a="http://schemas.openxmlformats.org/drawingml/2006/main">
                  <a:graphicData uri="http://schemas.microsoft.com/office/word/2010/wordprocessingShape">
                    <wps:wsp>
                      <wps:cNvSpPr txBox="1"/>
                      <wps:spPr>
                        <a:xfrm>
                          <a:off x="0" y="0"/>
                          <a:ext cx="5680954" cy="6197600"/>
                        </a:xfrm>
                        <a:prstGeom prst="rect">
                          <a:avLst/>
                        </a:prstGeom>
                        <a:solidFill>
                          <a:schemeClr val="lt1"/>
                        </a:solidFill>
                        <a:ln w="6350">
                          <a:solidFill>
                            <a:prstClr val="black"/>
                          </a:solidFill>
                        </a:ln>
                      </wps:spPr>
                      <wps:txbx>
                        <w:txbxContent>
                          <w:p w14:paraId="0CC98746" w14:textId="77777777" w:rsidR="00B85C9C" w:rsidRPr="00316FCF" w:rsidRDefault="00B85C9C">
                            <w:pPr>
                              <w:rPr>
                                <w:rFonts w:ascii="Times New Roman" w:hAnsi="Times New Roman" w:cs="Times New Roman"/>
                                <w:b/>
                                <w:bCs/>
                              </w:rPr>
                            </w:pPr>
                            <w:r w:rsidRPr="00316FCF">
                              <w:rPr>
                                <w:rFonts w:ascii="Times New Roman" w:hAnsi="Times New Roman" w:cs="Times New Roman"/>
                                <w:b/>
                                <w:bCs/>
                              </w:rPr>
                              <w:t>Box 1: Key components of anticoagulation stewardship programmes</w:t>
                            </w:r>
                          </w:p>
                          <w:p w14:paraId="2A5752CC" w14:textId="77777777" w:rsidR="00B85C9C" w:rsidRPr="00316FCF" w:rsidRDefault="00B85C9C">
                            <w:pPr>
                              <w:rPr>
                                <w:rFonts w:ascii="Times New Roman" w:hAnsi="Times New Roman" w:cs="Times New Roman"/>
                                <w:b/>
                                <w:bCs/>
                              </w:rPr>
                            </w:pPr>
                          </w:p>
                          <w:p w14:paraId="73102D71"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High level buy-in from administrative leadership</w:t>
                            </w:r>
                          </w:p>
                          <w:p w14:paraId="4EAC3BA1"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Budgeted resources for development and ongoing support</w:t>
                            </w:r>
                          </w:p>
                          <w:p w14:paraId="40785D3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a champion to serve as programme leader</w:t>
                            </w:r>
                          </w:p>
                          <w:p w14:paraId="649BE223"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anticoagulation expert(s) to support leader</w:t>
                            </w:r>
                          </w:p>
                          <w:p w14:paraId="4B3F418A"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Engage multidisciplinary support across key areas</w:t>
                            </w:r>
                          </w:p>
                          <w:p w14:paraId="54C22964"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Establish a mechanism to obtain multidisciplinary input</w:t>
                            </w:r>
                          </w:p>
                          <w:p w14:paraId="37BACE8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Deploy IT resources to develop necessary tools</w:t>
                            </w:r>
                          </w:p>
                          <w:p w14:paraId="1490D0E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Track processes and outcomes: adherence to guidelines, documentation, quality of anticoagulation management, adverse events, education (staff/patient), safety and effectiveness of care transitions (see ‘Measurement’ below)</w:t>
                            </w:r>
                          </w:p>
                          <w:p w14:paraId="12ABF86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opportunities for improvement</w:t>
                            </w:r>
                          </w:p>
                          <w:p w14:paraId="6A664FC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Feedback to administrators</w:t>
                            </w:r>
                          </w:p>
                          <w:p w14:paraId="720E770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Develop policy and evidence-based guidelines/protocols and ensure these are easy to retrieve at point of care</w:t>
                            </w:r>
                          </w:p>
                          <w:p w14:paraId="2FF83DAD"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Implement pharmacist-driven interventions (see above)</w:t>
                            </w:r>
                          </w:p>
                          <w:p w14:paraId="6162E74B"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Implement standardised processes for: identifying patients receiving anticoagulation therapy, managing periprocedural anticoagulation, identifying anticoagulant users transitioning to other care settings</w:t>
                            </w:r>
                          </w:p>
                          <w:p w14:paraId="2A501318"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Ensure adequate staff training</w:t>
                            </w:r>
                          </w:p>
                          <w:p w14:paraId="5CF95A4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lang w:val="en-NZ"/>
                              </w:rPr>
                            </w:pPr>
                            <w:r w:rsidRPr="00316FCF">
                              <w:rPr>
                                <w:rFonts w:ascii="Times New Roman" w:hAnsi="Times New Roman" w:cs="Times New Roman"/>
                              </w:rPr>
                              <w:t>Ensure adequate patient/wh</w:t>
                            </w:r>
                            <w:r w:rsidRPr="00316FCF">
                              <w:rPr>
                                <w:rFonts w:ascii="Times New Roman" w:hAnsi="Times New Roman" w:cs="Times New Roman"/>
                                <w:lang w:val="en-NZ"/>
                              </w:rPr>
                              <w:t>ā</w:t>
                            </w:r>
                            <w:r w:rsidRPr="00316FCF">
                              <w:rPr>
                                <w:rFonts w:ascii="Times New Roman" w:hAnsi="Times New Roman" w:cs="Times New Roman"/>
                              </w:rPr>
                              <w:t>nau education</w:t>
                            </w:r>
                          </w:p>
                          <w:p w14:paraId="650A5353"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Continuous redesign based on evaluation and measurement</w:t>
                            </w:r>
                          </w:p>
                          <w:p w14:paraId="582B940F"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Institutional self-assessment using published tools, eg:</w:t>
                            </w:r>
                          </w:p>
                          <w:p w14:paraId="1ADBD56C" w14:textId="2CD605AA"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rPr>
                              <w:t xml:space="preserve">Anticoagulation Forum ‘Checklist for Core Elements of Anticoagulation Stewardship Programmes’ </w:t>
                            </w:r>
                            <w:r w:rsidRPr="00316FCF">
                              <w:rPr>
                                <w:rFonts w:ascii="Times New Roman" w:hAnsi="Times New Roman" w:cs="Times New Roman"/>
                                <w:noProof/>
                              </w:rPr>
                              <w:t>(Anticoagulation Forum 2019b)</w:t>
                            </w:r>
                          </w:p>
                          <w:p w14:paraId="7E975F21" w14:textId="29A41BD5"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rPr>
                              <w:t>ISMP</w:t>
                            </w:r>
                            <w:r w:rsidRPr="00316FCF">
                              <w:rPr>
                                <w:rFonts w:ascii="Times New Roman" w:hAnsi="Times New Roman" w:cs="Times New Roman"/>
                                <w:lang w:val="en-NZ"/>
                              </w:rPr>
                              <w:t xml:space="preserve"> Medication Safety Self-Assessment for antithrombotic therapy </w:t>
                            </w:r>
                            <w:r w:rsidRPr="00316FCF">
                              <w:rPr>
                                <w:rFonts w:ascii="Times New Roman" w:hAnsi="Times New Roman" w:cs="Times New Roman"/>
                                <w:noProof/>
                                <w:lang w:val="en-NZ"/>
                              </w:rPr>
                              <w:t>(ISMP 2017)</w:t>
                            </w:r>
                          </w:p>
                          <w:p w14:paraId="10297F76" w14:textId="171FDBF8"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lang w:val="en-NZ"/>
                              </w:rPr>
                              <w:t xml:space="preserve">‘Table 2’ and ‘Table 3’ in </w:t>
                            </w:r>
                            <w:r w:rsidRPr="00316FCF">
                              <w:rPr>
                                <w:rFonts w:ascii="Times New Roman" w:hAnsi="Times New Roman" w:cs="Times New Roman"/>
                                <w:noProof/>
                                <w:lang w:val="en-NZ"/>
                              </w:rPr>
                              <w:t xml:space="preserve">(Dane </w:t>
                            </w:r>
                            <w:r w:rsidR="00AA56F6" w:rsidRPr="00316FCF">
                              <w:rPr>
                                <w:rFonts w:ascii="Times New Roman" w:hAnsi="Times New Roman" w:cs="Times New Roman"/>
                                <w:noProof/>
                                <w:lang w:val="en-NZ"/>
                              </w:rPr>
                              <w:t xml:space="preserve">et al </w:t>
                            </w:r>
                            <w:r w:rsidRPr="00316FCF">
                              <w:rPr>
                                <w:rFonts w:ascii="Times New Roman" w:hAnsi="Times New Roman" w:cs="Times New Roman"/>
                                <w:noProof/>
                                <w:lang w:val="en-NZ"/>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21958" id="_x0000_t202" coordsize="21600,21600" o:spt="202" path="m,l,21600r21600,l21600,xe">
                <v:stroke joinstyle="miter"/>
                <v:path gradientshapeok="t" o:connecttype="rect"/>
              </v:shapetype>
              <v:shape id="Text Box 1" o:spid="_x0000_s1026" type="#_x0000_t202" style="position:absolute;margin-left:1.25pt;margin-top:12.25pt;width:447.3pt;height:4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znOAIAAH0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" fillcolor="white [3201]" strokeweight=".5pt">
                <v:textbox>
                  <w:txbxContent>
                    <w:p w14:paraId="0CC98746" w14:textId="77777777" w:rsidR="00B85C9C" w:rsidRPr="00316FCF" w:rsidRDefault="00B85C9C">
                      <w:pPr>
                        <w:rPr>
                          <w:rFonts w:ascii="Times New Roman" w:hAnsi="Times New Roman" w:cs="Times New Roman"/>
                          <w:b/>
                          <w:bCs/>
                        </w:rPr>
                      </w:pPr>
                      <w:r w:rsidRPr="00316FCF">
                        <w:rPr>
                          <w:rFonts w:ascii="Times New Roman" w:hAnsi="Times New Roman" w:cs="Times New Roman"/>
                          <w:b/>
                          <w:bCs/>
                        </w:rPr>
                        <w:t>Box 1: Key components of anticoagulation stewardship programmes</w:t>
                      </w:r>
                    </w:p>
                    <w:p w14:paraId="2A5752CC" w14:textId="77777777" w:rsidR="00B85C9C" w:rsidRPr="00316FCF" w:rsidRDefault="00B85C9C">
                      <w:pPr>
                        <w:rPr>
                          <w:rFonts w:ascii="Times New Roman" w:hAnsi="Times New Roman" w:cs="Times New Roman"/>
                          <w:b/>
                          <w:bCs/>
                        </w:rPr>
                      </w:pPr>
                    </w:p>
                    <w:p w14:paraId="73102D71"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High level buy-in from administrative leadership</w:t>
                      </w:r>
                    </w:p>
                    <w:p w14:paraId="4EAC3BA1"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Budgeted resources for development and ongoing support</w:t>
                      </w:r>
                    </w:p>
                    <w:p w14:paraId="40785D3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a champion to serve as programme leader</w:t>
                      </w:r>
                    </w:p>
                    <w:p w14:paraId="649BE223"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anticoagulation expert(s) to support leader</w:t>
                      </w:r>
                    </w:p>
                    <w:p w14:paraId="4B3F418A"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Engage multidisciplinary support across key areas</w:t>
                      </w:r>
                    </w:p>
                    <w:p w14:paraId="54C22964"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Establish a mechanism to obtain multidisciplinary input</w:t>
                      </w:r>
                    </w:p>
                    <w:p w14:paraId="37BACE8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Deploy IT resources to develop necessary tools</w:t>
                      </w:r>
                    </w:p>
                    <w:p w14:paraId="1490D0E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Track processes and outcomes: adherence to guidelines, documentation, quality of anticoagulation management, adverse events, education (staff/patient), safety and effectiveness of care transitions (see ‘Measurement’ below)</w:t>
                      </w:r>
                    </w:p>
                    <w:p w14:paraId="12ABF86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Identify opportunities for improvement</w:t>
                      </w:r>
                    </w:p>
                    <w:p w14:paraId="6A664FC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Feedback to administrators</w:t>
                      </w:r>
                    </w:p>
                    <w:p w14:paraId="720E7700"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Develop policy and evidence-based guidelines/protocols and ensure these are easy to retrieve at point of care</w:t>
                      </w:r>
                    </w:p>
                    <w:p w14:paraId="2FF83DAD"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Implement pharmacist-driven interventions (see above)</w:t>
                      </w:r>
                    </w:p>
                    <w:p w14:paraId="6162E74B"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Implement standardised processes for: identifying patients receiving anticoagulation therapy, managing periprocedural anticoagulation, identifying anticoagulant users transitioning to other care settings</w:t>
                      </w:r>
                    </w:p>
                    <w:p w14:paraId="2A501318"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Ensure adequate staff training</w:t>
                      </w:r>
                    </w:p>
                    <w:p w14:paraId="5CF95A4E"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lang w:val="en-NZ"/>
                        </w:rPr>
                      </w:pPr>
                      <w:r w:rsidRPr="00316FCF">
                        <w:rPr>
                          <w:rFonts w:ascii="Times New Roman" w:hAnsi="Times New Roman" w:cs="Times New Roman"/>
                        </w:rPr>
                        <w:t>Ensure adequate patient/wh</w:t>
                      </w:r>
                      <w:r w:rsidRPr="00316FCF">
                        <w:rPr>
                          <w:rFonts w:ascii="Times New Roman" w:hAnsi="Times New Roman" w:cs="Times New Roman"/>
                          <w:lang w:val="en-NZ"/>
                        </w:rPr>
                        <w:t>ā</w:t>
                      </w:r>
                      <w:r w:rsidRPr="00316FCF">
                        <w:rPr>
                          <w:rFonts w:ascii="Times New Roman" w:hAnsi="Times New Roman" w:cs="Times New Roman"/>
                        </w:rPr>
                        <w:t>nau education</w:t>
                      </w:r>
                    </w:p>
                    <w:p w14:paraId="650A5353"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Continuous redesign based on evaluation and measurement</w:t>
                      </w:r>
                    </w:p>
                    <w:p w14:paraId="582B940F" w14:textId="77777777" w:rsidR="00B85C9C" w:rsidRPr="00316FCF" w:rsidRDefault="00B85C9C" w:rsidP="002E506E">
                      <w:pPr>
                        <w:pStyle w:val="ListParagraph"/>
                        <w:numPr>
                          <w:ilvl w:val="0"/>
                          <w:numId w:val="32"/>
                        </w:numPr>
                        <w:spacing w:after="120" w:line="276" w:lineRule="auto"/>
                        <w:ind w:hanging="357"/>
                        <w:rPr>
                          <w:rFonts w:ascii="Times New Roman" w:hAnsi="Times New Roman" w:cs="Times New Roman"/>
                        </w:rPr>
                      </w:pPr>
                      <w:r w:rsidRPr="00316FCF">
                        <w:rPr>
                          <w:rFonts w:ascii="Times New Roman" w:hAnsi="Times New Roman" w:cs="Times New Roman"/>
                        </w:rPr>
                        <w:t>Institutional self-assessment using published tools, eg:</w:t>
                      </w:r>
                    </w:p>
                    <w:p w14:paraId="1ADBD56C" w14:textId="2CD605AA"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rPr>
                        <w:t xml:space="preserve">Anticoagulation Forum ‘Checklist for Core Elements of Anticoagulation Stewardship Programmes’ </w:t>
                      </w:r>
                      <w:r w:rsidRPr="00316FCF">
                        <w:rPr>
                          <w:rFonts w:ascii="Times New Roman" w:hAnsi="Times New Roman" w:cs="Times New Roman"/>
                          <w:noProof/>
                        </w:rPr>
                        <w:t>(Anticoagulation Forum 2019b)</w:t>
                      </w:r>
                    </w:p>
                    <w:p w14:paraId="7E975F21" w14:textId="29A41BD5"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rPr>
                        <w:t>ISMP</w:t>
                      </w:r>
                      <w:r w:rsidRPr="00316FCF">
                        <w:rPr>
                          <w:rFonts w:ascii="Times New Roman" w:hAnsi="Times New Roman" w:cs="Times New Roman"/>
                          <w:lang w:val="en-NZ"/>
                        </w:rPr>
                        <w:t xml:space="preserve"> Medication Safety Self-Assessment for antithrombotic therapy </w:t>
                      </w:r>
                      <w:r w:rsidRPr="00316FCF">
                        <w:rPr>
                          <w:rFonts w:ascii="Times New Roman" w:hAnsi="Times New Roman" w:cs="Times New Roman"/>
                          <w:noProof/>
                          <w:lang w:val="en-NZ"/>
                        </w:rPr>
                        <w:t>(ISMP 2017)</w:t>
                      </w:r>
                    </w:p>
                    <w:p w14:paraId="10297F76" w14:textId="171FDBF8" w:rsidR="00B85C9C" w:rsidRPr="00316FCF" w:rsidRDefault="00B85C9C" w:rsidP="002E506E">
                      <w:pPr>
                        <w:pStyle w:val="ListParagraph"/>
                        <w:numPr>
                          <w:ilvl w:val="1"/>
                          <w:numId w:val="32"/>
                        </w:numPr>
                        <w:spacing w:after="120" w:line="276" w:lineRule="auto"/>
                        <w:ind w:hanging="357"/>
                        <w:rPr>
                          <w:rFonts w:ascii="Times New Roman" w:hAnsi="Times New Roman" w:cs="Times New Roman"/>
                        </w:rPr>
                      </w:pPr>
                      <w:r w:rsidRPr="00316FCF">
                        <w:rPr>
                          <w:rFonts w:ascii="Times New Roman" w:hAnsi="Times New Roman" w:cs="Times New Roman"/>
                          <w:lang w:val="en-NZ"/>
                        </w:rPr>
                        <w:t xml:space="preserve">‘Table 2’ and ‘Table 3’ in </w:t>
                      </w:r>
                      <w:r w:rsidRPr="00316FCF">
                        <w:rPr>
                          <w:rFonts w:ascii="Times New Roman" w:hAnsi="Times New Roman" w:cs="Times New Roman"/>
                          <w:noProof/>
                          <w:lang w:val="en-NZ"/>
                        </w:rPr>
                        <w:t xml:space="preserve">(Dane </w:t>
                      </w:r>
                      <w:r w:rsidR="00AA56F6" w:rsidRPr="00316FCF">
                        <w:rPr>
                          <w:rFonts w:ascii="Times New Roman" w:hAnsi="Times New Roman" w:cs="Times New Roman"/>
                          <w:noProof/>
                          <w:lang w:val="en-NZ"/>
                        </w:rPr>
                        <w:t xml:space="preserve">et al </w:t>
                      </w:r>
                      <w:r w:rsidRPr="00316FCF">
                        <w:rPr>
                          <w:rFonts w:ascii="Times New Roman" w:hAnsi="Times New Roman" w:cs="Times New Roman"/>
                          <w:noProof/>
                          <w:lang w:val="en-NZ"/>
                        </w:rPr>
                        <w:t>2022)</w:t>
                      </w:r>
                    </w:p>
                  </w:txbxContent>
                </v:textbox>
              </v:shape>
            </w:pict>
          </mc:Fallback>
        </mc:AlternateContent>
      </w:r>
    </w:p>
    <w:p w14:paraId="2B2BC31F" w14:textId="77777777" w:rsidR="00B85C9C" w:rsidRDefault="00B85C9C" w:rsidP="00F74CC8">
      <w:pPr>
        <w:rPr>
          <w:rFonts w:asciiTheme="majorBidi" w:hAnsiTheme="majorBidi" w:cstheme="majorBidi"/>
        </w:rPr>
      </w:pPr>
    </w:p>
    <w:p w14:paraId="48E93EB9" w14:textId="77777777" w:rsidR="00B85C9C" w:rsidRDefault="00B85C9C" w:rsidP="00F74CC8">
      <w:pPr>
        <w:rPr>
          <w:rFonts w:asciiTheme="majorBidi" w:hAnsiTheme="majorBidi" w:cstheme="majorBidi"/>
        </w:rPr>
      </w:pPr>
    </w:p>
    <w:p w14:paraId="37181D78" w14:textId="77777777" w:rsidR="00B85C9C" w:rsidRDefault="00B85C9C" w:rsidP="00F74CC8">
      <w:pPr>
        <w:rPr>
          <w:rFonts w:asciiTheme="majorBidi" w:hAnsiTheme="majorBidi" w:cstheme="majorBidi"/>
        </w:rPr>
      </w:pPr>
    </w:p>
    <w:p w14:paraId="332F4B67" w14:textId="77777777" w:rsidR="00B85C9C" w:rsidRDefault="00B85C9C" w:rsidP="00F74CC8">
      <w:pPr>
        <w:rPr>
          <w:rFonts w:asciiTheme="majorBidi" w:hAnsiTheme="majorBidi" w:cstheme="majorBidi"/>
        </w:rPr>
      </w:pPr>
    </w:p>
    <w:p w14:paraId="386C7AD8" w14:textId="77777777" w:rsidR="00B85C9C" w:rsidRDefault="00B85C9C" w:rsidP="00F74CC8">
      <w:pPr>
        <w:rPr>
          <w:rFonts w:asciiTheme="majorBidi" w:hAnsiTheme="majorBidi" w:cstheme="majorBidi"/>
        </w:rPr>
      </w:pPr>
    </w:p>
    <w:p w14:paraId="34B194CC" w14:textId="77777777" w:rsidR="00B85C9C" w:rsidRDefault="00B85C9C">
      <w:pPr>
        <w:rPr>
          <w:rFonts w:asciiTheme="majorBidi" w:hAnsiTheme="majorBidi" w:cstheme="majorBidi"/>
        </w:rPr>
      </w:pPr>
    </w:p>
    <w:p w14:paraId="1BA63845" w14:textId="77777777" w:rsidR="00B85C9C" w:rsidRDefault="00B85C9C" w:rsidP="00F74CC8">
      <w:pPr>
        <w:rPr>
          <w:rFonts w:asciiTheme="majorBidi" w:hAnsiTheme="majorBidi" w:cstheme="majorBidi"/>
        </w:rPr>
      </w:pPr>
    </w:p>
    <w:p w14:paraId="52C96098" w14:textId="77777777" w:rsidR="00B85C9C" w:rsidRDefault="00B85C9C" w:rsidP="00F74CC8">
      <w:pPr>
        <w:rPr>
          <w:rFonts w:asciiTheme="majorBidi" w:hAnsiTheme="majorBidi" w:cstheme="majorBidi"/>
        </w:rPr>
      </w:pPr>
    </w:p>
    <w:p w14:paraId="128B8389" w14:textId="77777777" w:rsidR="00B85C9C" w:rsidRDefault="00B85C9C" w:rsidP="00F74CC8">
      <w:pPr>
        <w:rPr>
          <w:rFonts w:asciiTheme="majorBidi" w:hAnsiTheme="majorBidi" w:cstheme="majorBidi"/>
        </w:rPr>
      </w:pPr>
    </w:p>
    <w:p w14:paraId="0D41C9DB" w14:textId="77777777" w:rsidR="00B85C9C" w:rsidRDefault="00B85C9C" w:rsidP="00F74CC8">
      <w:pPr>
        <w:rPr>
          <w:rFonts w:asciiTheme="majorBidi" w:hAnsiTheme="majorBidi" w:cstheme="majorBidi"/>
        </w:rPr>
      </w:pPr>
    </w:p>
    <w:p w14:paraId="2FE99B0B" w14:textId="77777777" w:rsidR="00B85C9C" w:rsidRDefault="00B85C9C" w:rsidP="00F74CC8">
      <w:pPr>
        <w:rPr>
          <w:rFonts w:asciiTheme="majorBidi" w:hAnsiTheme="majorBidi" w:cstheme="majorBidi"/>
        </w:rPr>
      </w:pPr>
    </w:p>
    <w:p w14:paraId="2FEDCF96" w14:textId="77777777" w:rsidR="00B85C9C" w:rsidRDefault="00B85C9C" w:rsidP="00F74CC8">
      <w:pPr>
        <w:rPr>
          <w:rFonts w:asciiTheme="majorBidi" w:hAnsiTheme="majorBidi" w:cstheme="majorBidi"/>
        </w:rPr>
      </w:pPr>
    </w:p>
    <w:p w14:paraId="5141781F" w14:textId="77777777" w:rsidR="00B85C9C" w:rsidRDefault="00B85C9C" w:rsidP="00F74CC8">
      <w:pPr>
        <w:rPr>
          <w:rFonts w:asciiTheme="majorBidi" w:hAnsiTheme="majorBidi" w:cstheme="majorBidi"/>
        </w:rPr>
      </w:pPr>
    </w:p>
    <w:p w14:paraId="57AA13CE" w14:textId="77777777" w:rsidR="00B85C9C" w:rsidRDefault="00B85C9C" w:rsidP="00F74CC8">
      <w:pPr>
        <w:rPr>
          <w:rFonts w:asciiTheme="majorBidi" w:hAnsiTheme="majorBidi" w:cstheme="majorBidi"/>
        </w:rPr>
      </w:pPr>
    </w:p>
    <w:p w14:paraId="32C697CF" w14:textId="77777777" w:rsidR="00B85C9C" w:rsidRDefault="00B85C9C" w:rsidP="00F74CC8">
      <w:pPr>
        <w:rPr>
          <w:rFonts w:asciiTheme="majorBidi" w:hAnsiTheme="majorBidi" w:cstheme="majorBidi"/>
        </w:rPr>
      </w:pPr>
    </w:p>
    <w:p w14:paraId="07BAAF1A" w14:textId="77777777" w:rsidR="00B85C9C" w:rsidRDefault="00B85C9C" w:rsidP="00F74CC8">
      <w:pPr>
        <w:rPr>
          <w:rFonts w:asciiTheme="majorBidi" w:hAnsiTheme="majorBidi" w:cstheme="majorBidi"/>
        </w:rPr>
      </w:pPr>
    </w:p>
    <w:p w14:paraId="1FDC3630" w14:textId="77777777" w:rsidR="00B85C9C" w:rsidRDefault="00B85C9C" w:rsidP="00F74CC8">
      <w:pPr>
        <w:rPr>
          <w:rFonts w:asciiTheme="majorBidi" w:hAnsiTheme="majorBidi" w:cstheme="majorBidi"/>
        </w:rPr>
      </w:pPr>
    </w:p>
    <w:p w14:paraId="5E179CB0" w14:textId="77777777" w:rsidR="00B85C9C" w:rsidRDefault="00B85C9C" w:rsidP="00F74CC8">
      <w:pPr>
        <w:rPr>
          <w:rFonts w:asciiTheme="majorBidi" w:hAnsiTheme="majorBidi" w:cstheme="majorBidi"/>
        </w:rPr>
      </w:pPr>
    </w:p>
    <w:p w14:paraId="4AE2F031" w14:textId="77777777" w:rsidR="00B85C9C" w:rsidRDefault="00B85C9C" w:rsidP="00F74CC8">
      <w:pPr>
        <w:rPr>
          <w:rFonts w:asciiTheme="majorBidi" w:hAnsiTheme="majorBidi" w:cstheme="majorBidi"/>
        </w:rPr>
      </w:pPr>
    </w:p>
    <w:p w14:paraId="7F2562FC" w14:textId="77777777" w:rsidR="00B85C9C" w:rsidRDefault="00B85C9C" w:rsidP="00953305">
      <w:pPr>
        <w:rPr>
          <w:rFonts w:asciiTheme="majorBidi" w:hAnsiTheme="majorBidi" w:cstheme="majorBidi"/>
        </w:rPr>
      </w:pPr>
    </w:p>
    <w:p w14:paraId="58535FEC" w14:textId="77777777" w:rsidR="00B85C9C" w:rsidRDefault="00B85C9C" w:rsidP="00DF38DB">
      <w:pPr>
        <w:keepNext/>
        <w:rPr>
          <w:rFonts w:asciiTheme="majorBidi" w:hAnsiTheme="majorBidi" w:cstheme="majorBidi"/>
          <w:b/>
          <w:bCs/>
        </w:rPr>
      </w:pPr>
    </w:p>
    <w:p w14:paraId="1193BCAD" w14:textId="77777777" w:rsidR="00B85C9C" w:rsidRDefault="00B85C9C" w:rsidP="00DF38DB">
      <w:pPr>
        <w:keepNext/>
        <w:rPr>
          <w:rFonts w:asciiTheme="majorBidi" w:hAnsiTheme="majorBidi" w:cstheme="majorBidi"/>
          <w:b/>
          <w:bCs/>
        </w:rPr>
      </w:pPr>
    </w:p>
    <w:p w14:paraId="6BB9E773" w14:textId="77777777" w:rsidR="00B85C9C" w:rsidRDefault="00B85C9C" w:rsidP="00DF38DB">
      <w:pPr>
        <w:keepNext/>
        <w:rPr>
          <w:rFonts w:asciiTheme="majorBidi" w:hAnsiTheme="majorBidi" w:cstheme="majorBidi"/>
          <w:b/>
          <w:bCs/>
        </w:rPr>
      </w:pPr>
    </w:p>
    <w:p w14:paraId="55F1263B" w14:textId="77777777" w:rsidR="00B85C9C" w:rsidRDefault="00B85C9C" w:rsidP="00DF38DB">
      <w:pPr>
        <w:keepNext/>
        <w:rPr>
          <w:rFonts w:asciiTheme="majorBidi" w:hAnsiTheme="majorBidi" w:cstheme="majorBidi"/>
          <w:b/>
          <w:bCs/>
        </w:rPr>
      </w:pPr>
    </w:p>
    <w:p w14:paraId="1F547E3A" w14:textId="77777777" w:rsidR="00B85C9C" w:rsidRDefault="00B85C9C" w:rsidP="00DF38DB">
      <w:pPr>
        <w:keepNext/>
        <w:rPr>
          <w:rFonts w:asciiTheme="majorBidi" w:hAnsiTheme="majorBidi" w:cstheme="majorBidi"/>
          <w:b/>
          <w:bCs/>
        </w:rPr>
      </w:pPr>
    </w:p>
    <w:p w14:paraId="077B33EA" w14:textId="77777777" w:rsidR="00B85C9C" w:rsidRDefault="00B85C9C" w:rsidP="00DF38DB">
      <w:pPr>
        <w:keepNext/>
        <w:rPr>
          <w:rFonts w:asciiTheme="majorBidi" w:hAnsiTheme="majorBidi" w:cstheme="majorBidi"/>
          <w:b/>
          <w:bCs/>
        </w:rPr>
      </w:pPr>
    </w:p>
    <w:p w14:paraId="1C835E5E" w14:textId="77777777" w:rsidR="00B85C9C" w:rsidRDefault="00B85C9C" w:rsidP="00DF38DB">
      <w:pPr>
        <w:keepNext/>
        <w:rPr>
          <w:rFonts w:asciiTheme="majorBidi" w:hAnsiTheme="majorBidi" w:cstheme="majorBidi"/>
          <w:b/>
          <w:bCs/>
        </w:rPr>
      </w:pPr>
    </w:p>
    <w:p w14:paraId="76C80520" w14:textId="77777777" w:rsidR="00B85C9C" w:rsidRDefault="00B85C9C" w:rsidP="00DF38DB">
      <w:pPr>
        <w:keepNext/>
        <w:rPr>
          <w:rFonts w:asciiTheme="majorBidi" w:hAnsiTheme="majorBidi" w:cstheme="majorBidi"/>
          <w:b/>
          <w:bCs/>
        </w:rPr>
      </w:pPr>
    </w:p>
    <w:p w14:paraId="727999AD" w14:textId="77777777" w:rsidR="00B85C9C" w:rsidRDefault="00B85C9C" w:rsidP="00DF38DB">
      <w:pPr>
        <w:keepNext/>
        <w:rPr>
          <w:rFonts w:asciiTheme="majorBidi" w:hAnsiTheme="majorBidi" w:cstheme="majorBidi"/>
          <w:b/>
          <w:bCs/>
        </w:rPr>
      </w:pPr>
    </w:p>
    <w:p w14:paraId="3E098832" w14:textId="77777777" w:rsidR="00B85C9C" w:rsidRDefault="00B85C9C" w:rsidP="00DF38DB">
      <w:pPr>
        <w:keepNext/>
        <w:rPr>
          <w:rFonts w:asciiTheme="majorBidi" w:hAnsiTheme="majorBidi" w:cstheme="majorBidi"/>
          <w:b/>
          <w:bCs/>
        </w:rPr>
      </w:pPr>
    </w:p>
    <w:p w14:paraId="0EBAB3DE" w14:textId="77777777" w:rsidR="00B85C9C" w:rsidRDefault="00B85C9C" w:rsidP="00DF38DB">
      <w:pPr>
        <w:keepNext/>
        <w:rPr>
          <w:rFonts w:asciiTheme="majorBidi" w:hAnsiTheme="majorBidi" w:cstheme="majorBidi"/>
          <w:b/>
          <w:bCs/>
        </w:rPr>
      </w:pPr>
    </w:p>
    <w:p w14:paraId="2B930CFD" w14:textId="77777777" w:rsidR="00B85C9C" w:rsidRDefault="00B85C9C" w:rsidP="00DF38DB">
      <w:pPr>
        <w:keepNext/>
        <w:rPr>
          <w:rFonts w:asciiTheme="majorBidi" w:hAnsiTheme="majorBidi" w:cstheme="majorBidi"/>
          <w:b/>
          <w:bCs/>
        </w:rPr>
      </w:pPr>
    </w:p>
    <w:p w14:paraId="4366085F" w14:textId="77777777" w:rsidR="00B85C9C" w:rsidRDefault="00B85C9C" w:rsidP="00DF38DB">
      <w:pPr>
        <w:keepNext/>
        <w:rPr>
          <w:rFonts w:asciiTheme="majorBidi" w:hAnsiTheme="majorBidi" w:cstheme="majorBidi"/>
          <w:b/>
          <w:bCs/>
        </w:rPr>
      </w:pPr>
    </w:p>
    <w:p w14:paraId="3C5C02C6" w14:textId="77777777" w:rsidR="00B85C9C" w:rsidRDefault="00B85C9C" w:rsidP="00DF38DB">
      <w:pPr>
        <w:keepNext/>
        <w:rPr>
          <w:rFonts w:asciiTheme="majorBidi" w:hAnsiTheme="majorBidi" w:cstheme="majorBidi"/>
          <w:b/>
          <w:bCs/>
        </w:rPr>
      </w:pPr>
    </w:p>
    <w:p w14:paraId="30E32CBD" w14:textId="77777777" w:rsidR="00B85C9C" w:rsidRDefault="00B85C9C">
      <w:pPr>
        <w:rPr>
          <w:rFonts w:asciiTheme="majorBidi" w:hAnsiTheme="majorBidi" w:cstheme="majorBidi"/>
          <w:b/>
          <w:bCs/>
        </w:rPr>
      </w:pPr>
      <w:r>
        <w:rPr>
          <w:rFonts w:asciiTheme="majorBidi" w:hAnsiTheme="majorBidi" w:cstheme="majorBidi"/>
          <w:b/>
          <w:bCs/>
        </w:rPr>
        <w:br w:type="page"/>
      </w:r>
    </w:p>
    <w:p w14:paraId="16381B17" w14:textId="77777777" w:rsidR="00B85C9C" w:rsidRPr="008B564B" w:rsidRDefault="00B85C9C" w:rsidP="00D63EE7">
      <w:pPr>
        <w:pStyle w:val="Heading3"/>
      </w:pPr>
      <w:r w:rsidRPr="008B564B">
        <w:t>Electronic Solutions</w:t>
      </w:r>
    </w:p>
    <w:p w14:paraId="0173FF53" w14:textId="77777777" w:rsidR="00B85C9C" w:rsidRDefault="00B85C9C" w:rsidP="00DF38DB">
      <w:pPr>
        <w:keepNext/>
        <w:rPr>
          <w:rFonts w:asciiTheme="majorBidi" w:hAnsiTheme="majorBidi" w:cstheme="majorBidi"/>
        </w:rPr>
      </w:pPr>
    </w:p>
    <w:p w14:paraId="5A16CEF2" w14:textId="77777777" w:rsidR="00B85C9C" w:rsidRDefault="00B85C9C" w:rsidP="00DF38DB">
      <w:pPr>
        <w:keepNext/>
        <w:rPr>
          <w:rFonts w:asciiTheme="majorBidi" w:hAnsiTheme="majorBidi" w:cstheme="majorBidi"/>
        </w:rPr>
      </w:pPr>
      <w:r>
        <w:rPr>
          <w:rFonts w:asciiTheme="majorBidi" w:hAnsiTheme="majorBidi" w:cstheme="majorBidi"/>
        </w:rPr>
        <w:t xml:space="preserve">Several DHB key informants spoken to for this project mentioned the shortcomings of paper workflow, which included information not being available to those who need it, as well as possible benefits of electronic prescribing, electronic health records, and better integration of laboratory data with patient-specific prescribing guidance. </w:t>
      </w:r>
    </w:p>
    <w:p w14:paraId="380DF1CF" w14:textId="77777777" w:rsidR="00B85C9C" w:rsidRDefault="00B85C9C" w:rsidP="00953305">
      <w:pPr>
        <w:rPr>
          <w:rFonts w:asciiTheme="majorBidi" w:hAnsiTheme="majorBidi" w:cstheme="majorBidi"/>
        </w:rPr>
      </w:pPr>
    </w:p>
    <w:p w14:paraId="0A02539E" w14:textId="77777777" w:rsidR="00B85C9C" w:rsidRDefault="00B85C9C" w:rsidP="00953305">
      <w:pPr>
        <w:rPr>
          <w:rFonts w:asciiTheme="majorBidi" w:hAnsiTheme="majorBidi" w:cstheme="majorBidi"/>
        </w:rPr>
      </w:pPr>
      <w:r>
        <w:rPr>
          <w:rFonts w:asciiTheme="majorBidi" w:hAnsiTheme="majorBidi" w:cstheme="majorBidi"/>
        </w:rPr>
        <w:t xml:space="preserve">The impact of pharmacists and multidisciplinary stewardship teams would likely be enhanced by systematic implementation of electronic systems that allow daily reports, clinical-rule based alerts to pharmacists and other healthcare team members, and automated audit and evaluation of progress to facilitate ongoing QI. </w:t>
      </w:r>
    </w:p>
    <w:p w14:paraId="164E7778" w14:textId="77777777" w:rsidR="00B85C9C" w:rsidRDefault="00B85C9C" w:rsidP="00953305">
      <w:pPr>
        <w:rPr>
          <w:rFonts w:asciiTheme="majorBidi" w:hAnsiTheme="majorBidi" w:cstheme="majorBidi"/>
        </w:rPr>
      </w:pPr>
    </w:p>
    <w:p w14:paraId="5B49EA5E" w14:textId="6DF5E0B3" w:rsidR="00B85C9C" w:rsidRDefault="00B85C9C" w:rsidP="00953305">
      <w:pPr>
        <w:rPr>
          <w:rFonts w:asciiTheme="majorBidi" w:hAnsiTheme="majorBidi" w:cstheme="majorBidi"/>
        </w:rPr>
      </w:pPr>
      <w:r>
        <w:rPr>
          <w:rFonts w:asciiTheme="majorBidi" w:hAnsiTheme="majorBidi" w:cstheme="majorBidi"/>
        </w:rPr>
        <w:t xml:space="preserve">The literature sourced, and described above, did not provide strong evidence about a range of electronic solutions when deployed in isolation, but in their systematic review Austin et al concluded that computerised physician order entry needs to be combined with computerised CDSSs to ensure effectiveness </w:t>
      </w:r>
      <w:r>
        <w:rPr>
          <w:rFonts w:asciiTheme="majorBidi" w:hAnsiTheme="majorBidi" w:cstheme="majorBidi"/>
          <w:noProof/>
        </w:rPr>
        <w:t xml:space="preserve">(Austin </w:t>
      </w:r>
      <w:r w:rsidR="00AA56F6">
        <w:rPr>
          <w:rFonts w:asciiTheme="majorBidi" w:hAnsiTheme="majorBidi" w:cstheme="majorBidi"/>
          <w:noProof/>
        </w:rPr>
        <w:t xml:space="preserve">et al </w:t>
      </w:r>
      <w:r>
        <w:rPr>
          <w:rFonts w:asciiTheme="majorBidi" w:hAnsiTheme="majorBidi" w:cstheme="majorBidi"/>
          <w:noProof/>
        </w:rPr>
        <w:t>2020)</w:t>
      </w:r>
      <w:r>
        <w:rPr>
          <w:rFonts w:asciiTheme="majorBidi" w:hAnsiTheme="majorBidi" w:cstheme="majorBidi"/>
        </w:rPr>
        <w:t xml:space="preserve">. Furthermore, studies of several interventions demonstrated that the possible utility of an expanded role for pharmacists depends in part on universal implementation of electronic prescribing systems and the ability to run reports and program clinical alerts, which in some cases could be stealth alerts notifying pharmacists, or other members of a stewardship team about relevant patients, or context-aware alerts, thereby overcoming alert fatigue. Prescribing alerts need to be integrated with laboratory systems to provide patient-specific decision support. This is particularly pressing given the very high proportion of inappropriate prescriptions described in the studies sourced. </w:t>
      </w:r>
    </w:p>
    <w:p w14:paraId="3DB105B2" w14:textId="77777777" w:rsidR="00B85C9C" w:rsidRDefault="00B85C9C" w:rsidP="00953305">
      <w:pPr>
        <w:rPr>
          <w:rFonts w:asciiTheme="majorBidi" w:hAnsiTheme="majorBidi" w:cstheme="majorBidi"/>
        </w:rPr>
      </w:pPr>
    </w:p>
    <w:p w14:paraId="4B344692" w14:textId="6B7745AD" w:rsidR="00B85C9C" w:rsidRDefault="00B85C9C" w:rsidP="00BF3EB3">
      <w:pPr>
        <w:rPr>
          <w:rFonts w:asciiTheme="majorBidi" w:hAnsiTheme="majorBidi" w:cstheme="majorBidi"/>
        </w:rPr>
      </w:pPr>
      <w:r>
        <w:rPr>
          <w:rFonts w:asciiTheme="majorBidi" w:hAnsiTheme="majorBidi" w:cstheme="majorBidi"/>
        </w:rPr>
        <w:t xml:space="preserve">Overall, although the evidence for electronic solutions (including apps, CDSS, e-prescribing, EMRs, and other digital solutions) is generally of low quality these systems may be needed to effectively support programmes to utilise the knowledge and expertise of pharmacists, and multidisciplinary teams. A key barrier to the effectiveness of CDSS is their low use </w:t>
      </w:r>
      <w:r>
        <w:rPr>
          <w:rFonts w:asciiTheme="majorBidi" w:hAnsiTheme="majorBidi" w:cstheme="majorBidi"/>
          <w:noProof/>
        </w:rPr>
        <w:t xml:space="preserve">(Sennesael </w:t>
      </w:r>
      <w:r w:rsidR="00AA56F6">
        <w:rPr>
          <w:rFonts w:asciiTheme="majorBidi" w:hAnsiTheme="majorBidi" w:cstheme="majorBidi"/>
          <w:noProof/>
        </w:rPr>
        <w:t xml:space="preserve">et al </w:t>
      </w:r>
      <w:r>
        <w:rPr>
          <w:rFonts w:asciiTheme="majorBidi" w:hAnsiTheme="majorBidi" w:cstheme="majorBidi"/>
          <w:noProof/>
        </w:rPr>
        <w:t>2020)</w:t>
      </w:r>
      <w:r>
        <w:rPr>
          <w:rFonts w:asciiTheme="majorBidi" w:hAnsiTheme="majorBidi" w:cstheme="majorBidi"/>
        </w:rPr>
        <w:t xml:space="preserve">, which might reflect poor user experience and underscores the need for effective implementation. Nonetheless, low rates of adherence to guidelines suggests that the benefit of clinical research is being lost because it is not being incorporated into practice. Well-designed CDSS should help address this problem </w:t>
      </w:r>
      <w:r>
        <w:rPr>
          <w:rFonts w:asciiTheme="majorBidi" w:hAnsiTheme="majorBidi" w:cstheme="majorBidi"/>
          <w:noProof/>
        </w:rPr>
        <w:t xml:space="preserve">(Nazarenko </w:t>
      </w:r>
      <w:r w:rsidR="00AA56F6">
        <w:rPr>
          <w:rFonts w:asciiTheme="majorBidi" w:hAnsiTheme="majorBidi" w:cstheme="majorBidi"/>
          <w:noProof/>
        </w:rPr>
        <w:t xml:space="preserve">et al </w:t>
      </w:r>
      <w:r>
        <w:rPr>
          <w:rFonts w:asciiTheme="majorBidi" w:hAnsiTheme="majorBidi" w:cstheme="majorBidi"/>
          <w:noProof/>
        </w:rPr>
        <w:t>2015)</w:t>
      </w:r>
      <w:r>
        <w:rPr>
          <w:rFonts w:asciiTheme="majorBidi" w:hAnsiTheme="majorBidi" w:cstheme="majorBidi"/>
        </w:rPr>
        <w:t xml:space="preserve"> and should probably employ a modern user interface and the familiar ease of an app.</w:t>
      </w:r>
    </w:p>
    <w:p w14:paraId="2F841EC4" w14:textId="77777777" w:rsidR="00B85C9C" w:rsidRDefault="00B85C9C" w:rsidP="00C1476C">
      <w:pPr>
        <w:rPr>
          <w:rFonts w:asciiTheme="majorBidi" w:hAnsiTheme="majorBidi" w:cstheme="majorBidi"/>
        </w:rPr>
      </w:pPr>
    </w:p>
    <w:p w14:paraId="7A9D02DE" w14:textId="77777777" w:rsidR="00B85C9C" w:rsidRPr="00E748DD" w:rsidRDefault="00B85C9C" w:rsidP="00D63EE7">
      <w:pPr>
        <w:pStyle w:val="Heading3"/>
      </w:pPr>
      <w:r w:rsidRPr="00E748DD">
        <w:t>Measurement</w:t>
      </w:r>
    </w:p>
    <w:p w14:paraId="7483EB4B" w14:textId="77777777" w:rsidR="00B85C9C" w:rsidRDefault="00B85C9C" w:rsidP="00C1476C">
      <w:pPr>
        <w:rPr>
          <w:rFonts w:asciiTheme="majorBidi" w:hAnsiTheme="majorBidi" w:cstheme="majorBidi"/>
        </w:rPr>
      </w:pPr>
    </w:p>
    <w:p w14:paraId="03E684C6" w14:textId="37C0DB13" w:rsidR="00B85C9C" w:rsidRDefault="00B85C9C" w:rsidP="00C1476C">
      <w:pPr>
        <w:rPr>
          <w:rFonts w:asciiTheme="majorBidi" w:hAnsiTheme="majorBidi" w:cstheme="majorBidi"/>
        </w:rPr>
      </w:pPr>
      <w:r>
        <w:rPr>
          <w:rFonts w:asciiTheme="majorBidi" w:hAnsiTheme="majorBidi" w:cstheme="majorBidi"/>
        </w:rPr>
        <w:t xml:space="preserve">Quality improvement initiatives must be monitored and evaluated to ensure benefits are realised. However, a national approach and standard of care would likely help facilitate meaningful and comparable audit and evaluation. In the case of anticoagulation-related harm, a range of clinical and non-clinical metrics have been proposed. The following list includes examples of metrics, those advocated in the Michigan Anticoagulation Quality Improvement Toolkit </w:t>
      </w:r>
      <w:r>
        <w:rPr>
          <w:rFonts w:asciiTheme="majorBidi" w:hAnsiTheme="majorBidi" w:cstheme="majorBidi"/>
          <w:noProof/>
        </w:rPr>
        <w:t xml:space="preserve">(Barnes </w:t>
      </w:r>
      <w:r w:rsidR="008B50C6">
        <w:rPr>
          <w:rFonts w:asciiTheme="majorBidi" w:hAnsiTheme="majorBidi" w:cstheme="majorBidi"/>
          <w:noProof/>
        </w:rPr>
        <w:t>and</w:t>
      </w:r>
      <w:r>
        <w:rPr>
          <w:rFonts w:asciiTheme="majorBidi" w:hAnsiTheme="majorBidi" w:cstheme="majorBidi"/>
          <w:noProof/>
        </w:rPr>
        <w:t xml:space="preserve"> Kline-Rogers 2015)</w:t>
      </w:r>
      <w:r>
        <w:rPr>
          <w:rFonts w:asciiTheme="majorBidi" w:hAnsiTheme="majorBidi" w:cstheme="majorBidi"/>
        </w:rPr>
        <w:t xml:space="preserve">, the National Quality Use of Medicines Indicators in Australian Hospitals </w:t>
      </w:r>
      <w:r>
        <w:rPr>
          <w:rFonts w:asciiTheme="majorBidi" w:hAnsiTheme="majorBidi" w:cstheme="majorBidi"/>
          <w:noProof/>
        </w:rPr>
        <w:t>(ACSQHC 2020)</w:t>
      </w:r>
      <w:r>
        <w:rPr>
          <w:rFonts w:asciiTheme="majorBidi" w:hAnsiTheme="majorBidi" w:cstheme="majorBidi"/>
        </w:rPr>
        <w:t xml:space="preserve">, and the Scottish Patient Safety Programme Warfarin Bundle </w:t>
      </w:r>
      <w:r>
        <w:rPr>
          <w:rFonts w:asciiTheme="majorBidi" w:hAnsiTheme="majorBidi" w:cstheme="majorBidi"/>
          <w:noProof/>
        </w:rPr>
        <w:t>(Health Improvement Scotland 2015)</w:t>
      </w:r>
      <w:r>
        <w:rPr>
          <w:rFonts w:asciiTheme="majorBidi" w:hAnsiTheme="majorBidi" w:cstheme="majorBidi"/>
        </w:rPr>
        <w:t>. Some selection of these measures could be employed to monitor progress (along with institutional self-assessments as discussed above), ideally those that can be automatically captured and monitored through electronic systems</w:t>
      </w:r>
      <w:r w:rsidRPr="0026466F">
        <w:rPr>
          <w:rFonts w:asciiTheme="majorBidi" w:hAnsiTheme="majorBidi" w:cstheme="majorBidi"/>
        </w:rPr>
        <w:t>:</w:t>
      </w:r>
    </w:p>
    <w:p w14:paraId="3D806264" w14:textId="77777777" w:rsidR="00B85C9C" w:rsidRDefault="00B85C9C" w:rsidP="00C1476C">
      <w:pPr>
        <w:rPr>
          <w:rFonts w:asciiTheme="majorBidi" w:hAnsiTheme="majorBidi" w:cstheme="majorBidi"/>
        </w:rPr>
      </w:pPr>
    </w:p>
    <w:p w14:paraId="3A0A9BB6" w14:textId="77777777" w:rsidR="00D63EE7" w:rsidRDefault="00D63EE7">
      <w:pPr>
        <w:rPr>
          <w:rFonts w:asciiTheme="majorBidi" w:hAnsiTheme="majorBidi" w:cstheme="majorBidi"/>
        </w:rPr>
      </w:pPr>
      <w:r>
        <w:rPr>
          <w:rFonts w:asciiTheme="majorBidi" w:hAnsiTheme="majorBidi" w:cstheme="majorBidi"/>
        </w:rPr>
        <w:br w:type="page"/>
      </w:r>
    </w:p>
    <w:p w14:paraId="014B7498" w14:textId="6B65C384" w:rsidR="00B85C9C" w:rsidRDefault="00B85C9C" w:rsidP="0076118D">
      <w:pPr>
        <w:pStyle w:val="ListParagraph"/>
        <w:numPr>
          <w:ilvl w:val="0"/>
          <w:numId w:val="28"/>
        </w:numPr>
        <w:rPr>
          <w:rFonts w:asciiTheme="majorBidi" w:hAnsiTheme="majorBidi" w:cstheme="majorBidi"/>
        </w:rPr>
      </w:pPr>
      <w:r>
        <w:rPr>
          <w:rFonts w:asciiTheme="majorBidi" w:hAnsiTheme="majorBidi" w:cstheme="majorBidi"/>
        </w:rPr>
        <w:t xml:space="preserve">Michigan: </w:t>
      </w:r>
    </w:p>
    <w:p w14:paraId="46C48BAA"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Clinical events (bleeding, stroke/VTE, ED visits, hospitalizations, death)</w:t>
      </w:r>
    </w:p>
    <w:p w14:paraId="7D2EC52F" w14:textId="77777777" w:rsidR="00B85C9C" w:rsidRDefault="00B85C9C" w:rsidP="000772FE">
      <w:pPr>
        <w:pStyle w:val="ListParagraph"/>
        <w:numPr>
          <w:ilvl w:val="1"/>
          <w:numId w:val="28"/>
        </w:numPr>
        <w:rPr>
          <w:rFonts w:asciiTheme="majorBidi" w:hAnsiTheme="majorBidi" w:cstheme="majorBidi"/>
        </w:rPr>
      </w:pPr>
      <w:r>
        <w:rPr>
          <w:rFonts w:asciiTheme="majorBidi" w:hAnsiTheme="majorBidi" w:cstheme="majorBidi"/>
        </w:rPr>
        <w:t>S</w:t>
      </w:r>
      <w:r w:rsidRPr="0076118D">
        <w:rPr>
          <w:rFonts w:asciiTheme="majorBidi" w:hAnsiTheme="majorBidi" w:cstheme="majorBidi"/>
        </w:rPr>
        <w:t>urrogate measures (TTR, INR variability, percent in/out of range INRs, percent missed or late INR test, adherence)</w:t>
      </w:r>
    </w:p>
    <w:p w14:paraId="064F8BDF" w14:textId="77777777" w:rsidR="00B85C9C" w:rsidRDefault="00B85C9C" w:rsidP="000772FE">
      <w:pPr>
        <w:pStyle w:val="ListParagraph"/>
        <w:numPr>
          <w:ilvl w:val="1"/>
          <w:numId w:val="28"/>
        </w:numPr>
        <w:rPr>
          <w:rFonts w:asciiTheme="majorBidi" w:hAnsiTheme="majorBidi" w:cstheme="majorBidi"/>
        </w:rPr>
      </w:pPr>
      <w:r>
        <w:rPr>
          <w:rFonts w:asciiTheme="majorBidi" w:hAnsiTheme="majorBidi" w:cstheme="majorBidi"/>
        </w:rPr>
        <w:t>P</w:t>
      </w:r>
      <w:r w:rsidRPr="0076118D">
        <w:rPr>
          <w:rFonts w:asciiTheme="majorBidi" w:hAnsiTheme="majorBidi" w:cstheme="majorBidi"/>
        </w:rPr>
        <w:t>rocess of care (INR in first 2 weeks, time from warfarin initiation to first INR, time from out-of-range INR to patient contact)</w:t>
      </w:r>
    </w:p>
    <w:p w14:paraId="34B59DCA" w14:textId="77777777" w:rsidR="00B85C9C" w:rsidRDefault="00B85C9C" w:rsidP="000772FE">
      <w:pPr>
        <w:pStyle w:val="ListParagraph"/>
        <w:numPr>
          <w:ilvl w:val="1"/>
          <w:numId w:val="28"/>
        </w:numPr>
        <w:rPr>
          <w:rFonts w:asciiTheme="majorBidi" w:hAnsiTheme="majorBidi" w:cstheme="majorBidi"/>
        </w:rPr>
      </w:pPr>
      <w:r>
        <w:rPr>
          <w:rFonts w:asciiTheme="majorBidi" w:hAnsiTheme="majorBidi" w:cstheme="majorBidi"/>
        </w:rPr>
        <w:t>P</w:t>
      </w:r>
      <w:r w:rsidRPr="0076118D">
        <w:rPr>
          <w:rFonts w:asciiTheme="majorBidi" w:hAnsiTheme="majorBidi" w:cstheme="majorBidi"/>
        </w:rPr>
        <w:t>opulation focused (percent of patients receiving guideline-based appropriate care, percent of patients receiving appropriate education, patients with drug-drug interactions at risk for GI bleeding)</w:t>
      </w:r>
    </w:p>
    <w:p w14:paraId="36731591" w14:textId="77777777" w:rsidR="00B85C9C" w:rsidRPr="000772FE" w:rsidRDefault="00B85C9C" w:rsidP="0076118D">
      <w:pPr>
        <w:pStyle w:val="ListParagraph"/>
        <w:numPr>
          <w:ilvl w:val="0"/>
          <w:numId w:val="28"/>
        </w:numPr>
        <w:rPr>
          <w:rFonts w:asciiTheme="majorBidi" w:hAnsiTheme="majorBidi" w:cstheme="majorBidi"/>
        </w:rPr>
      </w:pPr>
      <w:r>
        <w:rPr>
          <w:rFonts w:asciiTheme="majorBidi" w:hAnsiTheme="majorBidi" w:cstheme="majorBidi"/>
          <w:lang w:val="en-NZ"/>
        </w:rPr>
        <w:t>Australia:</w:t>
      </w:r>
    </w:p>
    <w:p w14:paraId="780F2494"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Percentage of hospitalised adult patients that are assessed for risk of venous thromboembolism</w:t>
      </w:r>
    </w:p>
    <w:p w14:paraId="77FB37D9"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 xml:space="preserve">Percentage of hospitalised adult patients that receive venous thromboembolism prophylaxis appropriate to their level of risk </w:t>
      </w:r>
    </w:p>
    <w:p w14:paraId="7B9A8A39"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 xml:space="preserve">Percentage of patients prescribed enoxaparin whose dosing schedule is appropriate </w:t>
      </w:r>
    </w:p>
    <w:p w14:paraId="72B5996D"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Percentage of patients prescribed hospital initiated warfarin whose loading doses are consistent with a drug and therapeutics committee</w:t>
      </w:r>
    </w:p>
    <w:p w14:paraId="3BCBDA04"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Percentage of patients with an INR above 4 whose dosage has been adjusted or reviewed prior to the next warfarin dose</w:t>
      </w:r>
    </w:p>
    <w:p w14:paraId="1677A931"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Percentage of patients with atrial fibrillation that are discharged on oral anticoagulants</w:t>
      </w:r>
    </w:p>
    <w:p w14:paraId="07A27932" w14:textId="77777777" w:rsidR="00B85C9C" w:rsidRPr="0076118D"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lang w:val="en-NZ"/>
        </w:rPr>
        <w:t>Percentage of patients on warfarin that receive written information regarding warfarin management prior to discharge</w:t>
      </w:r>
    </w:p>
    <w:p w14:paraId="7F103612" w14:textId="77777777" w:rsidR="00B85C9C" w:rsidRDefault="00B85C9C" w:rsidP="0076118D">
      <w:pPr>
        <w:pStyle w:val="ListParagraph"/>
        <w:numPr>
          <w:ilvl w:val="0"/>
          <w:numId w:val="28"/>
        </w:numPr>
        <w:rPr>
          <w:rFonts w:asciiTheme="majorBidi" w:hAnsiTheme="majorBidi" w:cstheme="majorBidi"/>
        </w:rPr>
      </w:pPr>
      <w:r>
        <w:rPr>
          <w:rFonts w:asciiTheme="majorBidi" w:hAnsiTheme="majorBidi" w:cstheme="majorBidi"/>
        </w:rPr>
        <w:t xml:space="preserve">Scotland: </w:t>
      </w:r>
    </w:p>
    <w:p w14:paraId="2BF7589C"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Warfarin dose is prescribed according to local guidance.</w:t>
      </w:r>
    </w:p>
    <w:p w14:paraId="4B0F2D1E"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 xml:space="preserve">Is the target INR and duration of treatment clearly documented in the notes? </w:t>
      </w:r>
    </w:p>
    <w:p w14:paraId="2042A693"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 xml:space="preserve">Patient complying with dosage instructions. </w:t>
      </w:r>
    </w:p>
    <w:p w14:paraId="37FD249A"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INR is taken according to previous recommendation</w:t>
      </w:r>
      <w:r>
        <w:rPr>
          <w:rFonts w:asciiTheme="majorBidi" w:hAnsiTheme="majorBidi" w:cstheme="majorBidi"/>
        </w:rPr>
        <w:t>/</w:t>
      </w:r>
      <w:r w:rsidRPr="0076118D">
        <w:rPr>
          <w:rFonts w:asciiTheme="majorBidi" w:hAnsiTheme="majorBidi" w:cstheme="majorBidi"/>
        </w:rPr>
        <w:t xml:space="preserve">INR is taken within 7 days of planned repeat INR? </w:t>
      </w:r>
    </w:p>
    <w:p w14:paraId="05720190" w14:textId="77777777" w:rsidR="00B85C9C" w:rsidRDefault="00B85C9C" w:rsidP="000772FE">
      <w:pPr>
        <w:pStyle w:val="ListParagraph"/>
        <w:numPr>
          <w:ilvl w:val="1"/>
          <w:numId w:val="28"/>
        </w:numPr>
        <w:rPr>
          <w:rFonts w:asciiTheme="majorBidi" w:hAnsiTheme="majorBidi" w:cstheme="majorBidi"/>
        </w:rPr>
      </w:pPr>
      <w:r w:rsidRPr="0076118D">
        <w:rPr>
          <w:rFonts w:asciiTheme="majorBidi" w:hAnsiTheme="majorBidi" w:cstheme="majorBidi"/>
        </w:rPr>
        <w:t>Patient receives regular education</w:t>
      </w:r>
      <w:r>
        <w:rPr>
          <w:rFonts w:asciiTheme="majorBidi" w:hAnsiTheme="majorBidi" w:cstheme="majorBidi"/>
        </w:rPr>
        <w:t>/</w:t>
      </w:r>
      <w:r w:rsidRPr="0076118D">
        <w:rPr>
          <w:rFonts w:asciiTheme="majorBidi" w:hAnsiTheme="majorBidi" w:cstheme="majorBidi"/>
        </w:rPr>
        <w:t xml:space="preserve">Patient has received education in the last 6 months. </w:t>
      </w:r>
    </w:p>
    <w:p w14:paraId="3ECD1B05" w14:textId="7D5ECB89" w:rsidR="00B85C9C" w:rsidRPr="00B453A5" w:rsidRDefault="00B85C9C" w:rsidP="00316FCF">
      <w:pPr>
        <w:pStyle w:val="ListParagraph"/>
        <w:numPr>
          <w:ilvl w:val="1"/>
          <w:numId w:val="28"/>
        </w:numPr>
        <w:rPr>
          <w:rFonts w:asciiTheme="majorBidi" w:hAnsiTheme="majorBidi" w:cstheme="majorBidi"/>
        </w:rPr>
      </w:pPr>
      <w:r w:rsidRPr="00B453A5">
        <w:rPr>
          <w:rFonts w:asciiTheme="majorBidi" w:hAnsiTheme="majorBidi" w:cstheme="majorBidi"/>
        </w:rPr>
        <w:t>Have all Measures been met?</w:t>
      </w:r>
    </w:p>
    <w:p w14:paraId="5D925BEB" w14:textId="77777777" w:rsidR="00B85C9C" w:rsidRDefault="00B85C9C" w:rsidP="00445A50">
      <w:pPr>
        <w:rPr>
          <w:rFonts w:asciiTheme="majorBidi" w:hAnsiTheme="majorBidi" w:cstheme="majorBidi"/>
        </w:rPr>
      </w:pPr>
    </w:p>
    <w:p w14:paraId="52DD33B1" w14:textId="77777777" w:rsidR="00B85C9C" w:rsidRPr="00534EEF" w:rsidRDefault="00B85C9C" w:rsidP="006F53B8">
      <w:pPr>
        <w:pStyle w:val="Heading2"/>
        <w:rPr>
          <w:rFonts w:asciiTheme="majorBidi" w:hAnsiTheme="majorBidi"/>
        </w:rPr>
      </w:pPr>
      <w:bookmarkStart w:id="28" w:name="_Toc106288220"/>
      <w:r w:rsidRPr="00534EEF">
        <w:rPr>
          <w:rFonts w:asciiTheme="majorBidi" w:hAnsiTheme="majorBidi"/>
        </w:rPr>
        <w:t>Limitations of this Study</w:t>
      </w:r>
      <w:bookmarkEnd w:id="28"/>
    </w:p>
    <w:p w14:paraId="0B14E7AB" w14:textId="77777777" w:rsidR="00B85C9C" w:rsidRDefault="00B85C9C" w:rsidP="00C1476C">
      <w:pPr>
        <w:rPr>
          <w:rFonts w:asciiTheme="majorBidi" w:hAnsiTheme="majorBidi" w:cstheme="majorBidi"/>
        </w:rPr>
      </w:pPr>
    </w:p>
    <w:p w14:paraId="3C0840D8" w14:textId="77777777" w:rsidR="00B85C9C" w:rsidRDefault="00B85C9C" w:rsidP="003C6903">
      <w:pPr>
        <w:rPr>
          <w:rFonts w:asciiTheme="majorBidi" w:hAnsiTheme="majorBidi" w:cstheme="majorBidi"/>
        </w:rPr>
      </w:pPr>
      <w:r>
        <w:rPr>
          <w:rFonts w:asciiTheme="majorBidi" w:hAnsiTheme="majorBidi" w:cstheme="majorBidi"/>
        </w:rPr>
        <w:t xml:space="preserve">This study has some limitations. Firstly, it was not a systematic review, but rather a time-limited evidence scan, which aimed to find the most relevant evidence, not necessarily all the evidence. It is expected that there will be evidence that exists but is not described in this report. Additionally, the organisations’ whose websites were searched are those thought </w:t>
      </w:r>
      <w:r w:rsidRPr="003C6903">
        <w:rPr>
          <w:rFonts w:asciiTheme="majorBidi" w:hAnsiTheme="majorBidi" w:cstheme="majorBidi"/>
          <w:i/>
          <w:iCs/>
        </w:rPr>
        <w:t>a priori</w:t>
      </w:r>
      <w:r>
        <w:rPr>
          <w:rFonts w:asciiTheme="majorBidi" w:hAnsiTheme="majorBidi" w:cstheme="majorBidi"/>
        </w:rPr>
        <w:t xml:space="preserve"> to have been most likely to have published relevant information. Hence, the search of institutional websites was not systematic or exhaustive. Furthermore, key informants at DHBs were selectively approached, based on information received suggesting who might have the relevant knowledge for each DHB. Time constraints meant that only a selected group of key informants could be interviewed, and it is possible that other informants may have been able to provide additional information. The DHB findings are, therefore, illustrative rather than comprehensive. Finally, the overall quality of literature and evidence sourced was low, which means that these findings should be seen as provisional, pending the publication of results from larger, or more methodologically robust research and evaluation. </w:t>
      </w:r>
    </w:p>
    <w:p w14:paraId="1A4A62AD" w14:textId="77777777" w:rsidR="00B85C9C" w:rsidRPr="00B46928" w:rsidRDefault="00B85C9C" w:rsidP="00C1476C">
      <w:pPr>
        <w:pStyle w:val="Heading2"/>
        <w:rPr>
          <w:rFonts w:asciiTheme="majorBidi" w:hAnsiTheme="majorBidi"/>
        </w:rPr>
      </w:pPr>
      <w:bookmarkStart w:id="29" w:name="_Toc105497788"/>
      <w:bookmarkStart w:id="30" w:name="_Toc106288221"/>
      <w:r w:rsidRPr="00B46928">
        <w:rPr>
          <w:rFonts w:asciiTheme="majorBidi" w:hAnsiTheme="majorBidi"/>
        </w:rPr>
        <w:t>Conclusion</w:t>
      </w:r>
      <w:bookmarkEnd w:id="29"/>
      <w:bookmarkEnd w:id="30"/>
    </w:p>
    <w:p w14:paraId="32B835AE" w14:textId="77777777" w:rsidR="00B85C9C" w:rsidRDefault="00B85C9C" w:rsidP="00C1476C">
      <w:pPr>
        <w:rPr>
          <w:rFonts w:asciiTheme="majorBidi" w:hAnsiTheme="majorBidi" w:cstheme="majorBidi"/>
        </w:rPr>
      </w:pPr>
    </w:p>
    <w:p w14:paraId="5FF01BD7" w14:textId="77777777" w:rsidR="00B85C9C" w:rsidRDefault="00B85C9C" w:rsidP="00F16EC7">
      <w:pPr>
        <w:rPr>
          <w:rFonts w:asciiTheme="majorBidi" w:hAnsiTheme="majorBidi" w:cstheme="majorBidi"/>
        </w:rPr>
      </w:pPr>
      <w:r>
        <w:rPr>
          <w:rFonts w:asciiTheme="majorBidi" w:hAnsiTheme="majorBidi" w:cstheme="majorBidi"/>
        </w:rPr>
        <w:t xml:space="preserve">This study sought to identify academic literature, institutional guidance, and New Zealand QI initiatives relevant to the safe use of anticoagulants in hospital settings. Most evidence obtained was of low quality, however, there were some promising findings. These findings largely focus on increasing the role of pharmacists, in all settings (including wards, ED, preadmission clinics, anticoagulation management services, and other settings), as well as anticoagulation stewardship programmes, and some electronic interventions in conjunction with the above. Institutional guidance obtained largely concurred with this assessment of the evidence and anticoagulation stewardship programmes are enthusiastically promoted by the Anticoagulation Forum in particular, along with a wealth of supporting materials. </w:t>
      </w:r>
    </w:p>
    <w:p w14:paraId="1968F9D3" w14:textId="77777777" w:rsidR="00B85C9C" w:rsidRDefault="00B85C9C" w:rsidP="00F16EC7">
      <w:pPr>
        <w:rPr>
          <w:rFonts w:asciiTheme="majorBidi" w:hAnsiTheme="majorBidi" w:cstheme="majorBidi"/>
        </w:rPr>
      </w:pPr>
    </w:p>
    <w:p w14:paraId="6B44CAA6" w14:textId="77777777" w:rsidR="00B85C9C" w:rsidRDefault="00B85C9C" w:rsidP="00F16EC7">
      <w:pPr>
        <w:rPr>
          <w:rFonts w:asciiTheme="majorBidi" w:hAnsiTheme="majorBidi" w:cstheme="majorBidi"/>
        </w:rPr>
      </w:pPr>
      <w:r>
        <w:rPr>
          <w:rFonts w:asciiTheme="majorBidi" w:hAnsiTheme="majorBidi" w:cstheme="majorBidi"/>
        </w:rPr>
        <w:t xml:space="preserve">Transitions of care have been identified as points at which management of anticoagulation is susceptible to discontinuity, error, or oversight. In the above evidence and discussion, change ideas have been identified that are pertinent to every care transition. These include pharmacist involvement (along with specialist thrombosis nurses) in pre-admissions, anticoagulation bridging services to manage the interruption of anticoagulation for elective procedures, systematic pharmacist oversight of anticoagulation prescriptions on the wards, at ED discharge, and inpatient discharge to the community, with potential for direct referral of those on anticoagulation to community anticoagulation management services, including patients taking DOACs. Anticoagulation management services could be established where these do not already exist. </w:t>
      </w:r>
    </w:p>
    <w:p w14:paraId="491F2895" w14:textId="77777777" w:rsidR="00B85C9C" w:rsidRDefault="00B85C9C" w:rsidP="00F16EC7">
      <w:pPr>
        <w:rPr>
          <w:rFonts w:asciiTheme="majorBidi" w:hAnsiTheme="majorBidi" w:cstheme="majorBidi"/>
        </w:rPr>
      </w:pPr>
    </w:p>
    <w:p w14:paraId="4B64B3B8" w14:textId="77777777" w:rsidR="00B85C9C" w:rsidRDefault="00B85C9C" w:rsidP="00F16EC7">
      <w:pPr>
        <w:rPr>
          <w:rFonts w:asciiTheme="majorBidi" w:hAnsiTheme="majorBidi" w:cstheme="majorBidi"/>
        </w:rPr>
      </w:pPr>
      <w:r>
        <w:rPr>
          <w:rFonts w:asciiTheme="majorBidi" w:hAnsiTheme="majorBidi" w:cstheme="majorBidi"/>
        </w:rPr>
        <w:t xml:space="preserve">These interventions can be governed by multidisciplinary anticoagulation stewardship programmes, that assess current practice, and prioritise interventions appropriate and specific to local context. Interventions at transitions of care, as well as stewardship programmes, can be supported using e-prescribing, with patient-context-specific CDSS and systems of alerts so that the right individuals are notified of patients relevant to their expertise and scope of practice. Systematic use of electronic systems would support monitoring, audit, and evaluation. A national programme could be established that pairs ‘systems haematologists’, or others with relevant expertise, with hospitals to help develop these programmes. Nationally consistent standards of care and guidelines could help reduce complexity and make audit comparable across providers. </w:t>
      </w:r>
    </w:p>
    <w:p w14:paraId="714F80A5" w14:textId="77777777" w:rsidR="00B85C9C" w:rsidRDefault="00B85C9C" w:rsidP="00F16EC7">
      <w:pPr>
        <w:rPr>
          <w:rFonts w:asciiTheme="majorBidi" w:hAnsiTheme="majorBidi" w:cstheme="majorBidi"/>
        </w:rPr>
      </w:pPr>
    </w:p>
    <w:p w14:paraId="12071BE0" w14:textId="77777777" w:rsidR="00B85C9C" w:rsidRDefault="00B85C9C" w:rsidP="00F16EC7">
      <w:pPr>
        <w:rPr>
          <w:rFonts w:asciiTheme="majorBidi" w:hAnsiTheme="majorBidi" w:cstheme="majorBidi"/>
        </w:rPr>
      </w:pPr>
      <w:r>
        <w:rPr>
          <w:rFonts w:asciiTheme="majorBidi" w:hAnsiTheme="majorBidi" w:cstheme="majorBidi"/>
        </w:rPr>
        <w:t xml:space="preserve">The above can be achieved by following the step-by-step toolkits that exist to support initiatives aimed at reducing anticoagulant-related harm. </w:t>
      </w:r>
    </w:p>
    <w:p w14:paraId="35C52370" w14:textId="77777777" w:rsidR="00B85C9C" w:rsidRDefault="00B85C9C" w:rsidP="00C1476C">
      <w:pPr>
        <w:rPr>
          <w:rFonts w:asciiTheme="majorBidi" w:hAnsiTheme="majorBidi" w:cstheme="majorBidi"/>
        </w:rPr>
      </w:pPr>
    </w:p>
    <w:p w14:paraId="66ED48F7" w14:textId="77777777" w:rsidR="00B85C9C" w:rsidRDefault="00B85C9C" w:rsidP="00C1476C">
      <w:pPr>
        <w:rPr>
          <w:rFonts w:asciiTheme="majorBidi" w:hAnsiTheme="majorBidi" w:cstheme="majorBidi"/>
        </w:rPr>
      </w:pPr>
    </w:p>
    <w:p w14:paraId="38151E4C" w14:textId="77777777" w:rsidR="00B85C9C" w:rsidRDefault="00B85C9C" w:rsidP="00C1476C">
      <w:pPr>
        <w:rPr>
          <w:rFonts w:asciiTheme="majorBidi" w:hAnsiTheme="majorBidi" w:cstheme="majorBidi"/>
        </w:rPr>
      </w:pPr>
    </w:p>
    <w:p w14:paraId="1D381909" w14:textId="77777777" w:rsidR="00B85C9C" w:rsidRDefault="00B85C9C" w:rsidP="00C1476C">
      <w:pPr>
        <w:rPr>
          <w:rFonts w:asciiTheme="majorBidi" w:hAnsiTheme="majorBidi" w:cstheme="majorBidi"/>
        </w:rPr>
      </w:pPr>
    </w:p>
    <w:p w14:paraId="0C25366E" w14:textId="77777777" w:rsidR="00B85C9C" w:rsidRDefault="00B85C9C" w:rsidP="00C1476C">
      <w:pPr>
        <w:rPr>
          <w:rFonts w:asciiTheme="majorBidi" w:hAnsiTheme="majorBidi" w:cstheme="majorBidi"/>
        </w:rPr>
      </w:pPr>
    </w:p>
    <w:p w14:paraId="0AA5CA5E" w14:textId="77777777" w:rsidR="00B85C9C" w:rsidRPr="00B46928" w:rsidRDefault="00B85C9C" w:rsidP="00C1476C">
      <w:pPr>
        <w:rPr>
          <w:rFonts w:asciiTheme="majorBidi" w:hAnsiTheme="majorBidi" w:cstheme="majorBidi"/>
        </w:rPr>
      </w:pPr>
    </w:p>
    <w:p w14:paraId="155138AA" w14:textId="77777777" w:rsidR="00B85C9C" w:rsidRPr="00B46928" w:rsidRDefault="00B85C9C" w:rsidP="00C1476C">
      <w:pPr>
        <w:rPr>
          <w:rFonts w:asciiTheme="majorBidi" w:hAnsiTheme="majorBidi" w:cstheme="majorBidi"/>
        </w:rPr>
      </w:pPr>
    </w:p>
    <w:p w14:paraId="67F7944B" w14:textId="77777777" w:rsidR="00B85C9C" w:rsidRDefault="00B85C9C">
      <w:pPr>
        <w:rPr>
          <w:rFonts w:asciiTheme="majorBidi" w:hAnsiTheme="majorBidi" w:cstheme="majorBidi"/>
        </w:rPr>
        <w:sectPr w:rsidR="00B85C9C" w:rsidSect="00012C2D">
          <w:footerReference w:type="even" r:id="rId11"/>
          <w:footerReference w:type="default" r:id="rId12"/>
          <w:pgSz w:w="11900" w:h="16840"/>
          <w:pgMar w:top="1440" w:right="1440" w:bottom="1440" w:left="1440" w:header="708" w:footer="708" w:gutter="0"/>
          <w:cols w:space="708"/>
          <w:docGrid w:linePitch="360"/>
        </w:sectPr>
      </w:pPr>
    </w:p>
    <w:p w14:paraId="2000E67A" w14:textId="77777777" w:rsidR="00B85C9C" w:rsidRPr="00B46928" w:rsidRDefault="00B85C9C" w:rsidP="009D1703">
      <w:pPr>
        <w:pStyle w:val="Heading2"/>
        <w:rPr>
          <w:rFonts w:asciiTheme="majorBidi" w:hAnsiTheme="majorBidi"/>
        </w:rPr>
      </w:pPr>
      <w:bookmarkStart w:id="31" w:name="_Toc105497789"/>
      <w:bookmarkStart w:id="32" w:name="_Toc106288222"/>
      <w:r w:rsidRPr="00B46928">
        <w:rPr>
          <w:rFonts w:asciiTheme="majorBidi" w:hAnsiTheme="majorBidi"/>
        </w:rPr>
        <w:t>Appendices</w:t>
      </w:r>
      <w:bookmarkEnd w:id="31"/>
      <w:bookmarkEnd w:id="32"/>
    </w:p>
    <w:p w14:paraId="5D969901" w14:textId="77777777" w:rsidR="00B85C9C" w:rsidRPr="00B46928" w:rsidRDefault="00B85C9C" w:rsidP="009D1703">
      <w:pPr>
        <w:rPr>
          <w:rFonts w:asciiTheme="majorBidi" w:hAnsiTheme="majorBidi" w:cstheme="majorBidi"/>
        </w:rPr>
      </w:pPr>
    </w:p>
    <w:p w14:paraId="7578AE86" w14:textId="77777777" w:rsidR="00B85C9C" w:rsidRPr="00534EEF" w:rsidRDefault="00B85C9C" w:rsidP="00131C8A">
      <w:pPr>
        <w:pStyle w:val="Heading3"/>
      </w:pPr>
      <w:bookmarkStart w:id="33" w:name="_Toc106288223"/>
      <w:r w:rsidRPr="00534EEF">
        <w:t>Appendix A: Tabulation of Sources Obtained (Tables A1 – A5)</w:t>
      </w:r>
      <w:bookmarkEnd w:id="33"/>
    </w:p>
    <w:p w14:paraId="31CC51DA" w14:textId="77777777" w:rsidR="00B85C9C" w:rsidRDefault="00B85C9C" w:rsidP="009D1703">
      <w:pPr>
        <w:rPr>
          <w:rFonts w:asciiTheme="majorBidi" w:hAnsiTheme="majorBidi" w:cstheme="majorBidi"/>
          <w:b/>
          <w:bCs/>
        </w:rPr>
      </w:pPr>
    </w:p>
    <w:p w14:paraId="066CE5C0" w14:textId="77777777" w:rsidR="00B85C9C" w:rsidRPr="008D6755" w:rsidRDefault="00B85C9C" w:rsidP="009D1703">
      <w:pPr>
        <w:spacing w:after="120"/>
        <w:rPr>
          <w:rFonts w:asciiTheme="majorBidi" w:hAnsiTheme="majorBidi" w:cstheme="majorBidi"/>
          <w:b/>
          <w:bCs/>
        </w:rPr>
      </w:pPr>
      <w:r w:rsidRPr="008D6755">
        <w:rPr>
          <w:rFonts w:asciiTheme="majorBidi" w:hAnsiTheme="majorBidi" w:cstheme="majorBidi"/>
          <w:b/>
          <w:bCs/>
        </w:rPr>
        <w:t>Tab</w:t>
      </w:r>
      <w:r>
        <w:rPr>
          <w:rFonts w:asciiTheme="majorBidi" w:hAnsiTheme="majorBidi" w:cstheme="majorBidi"/>
          <w:b/>
          <w:bCs/>
        </w:rPr>
        <w:t>le A1</w:t>
      </w:r>
      <w:r w:rsidRPr="008D6755">
        <w:rPr>
          <w:rFonts w:asciiTheme="majorBidi" w:hAnsiTheme="majorBidi" w:cstheme="majorBidi"/>
          <w:b/>
          <w:bCs/>
        </w:rPr>
        <w:t>: Anticoagulant harm QI initiatives</w:t>
      </w:r>
      <w:r>
        <w:rPr>
          <w:rFonts w:asciiTheme="majorBidi" w:hAnsiTheme="majorBidi" w:cstheme="majorBidi"/>
          <w:b/>
          <w:bCs/>
        </w:rPr>
        <w:t xml:space="preserve"> - Meta-analyses &amp; reviews </w:t>
      </w:r>
      <w:r w:rsidRPr="00CD3E62">
        <w:rPr>
          <w:rFonts w:asciiTheme="majorBidi" w:hAnsiTheme="majorBidi" w:cstheme="majorBidi"/>
        </w:rPr>
        <w:t>(arranged alphabetically</w:t>
      </w:r>
      <w:r>
        <w:rPr>
          <w:rFonts w:asciiTheme="majorBidi" w:hAnsiTheme="majorBidi" w:cstheme="majorBidi"/>
        </w:rPr>
        <w:t xml:space="preserve"> by first author</w:t>
      </w:r>
      <w:r w:rsidRPr="00CD3E62">
        <w:rPr>
          <w:rFonts w:asciiTheme="majorBidi" w:hAnsiTheme="majorBidi" w:cstheme="majorBidi"/>
        </w:rPr>
        <w:t>)</w:t>
      </w:r>
    </w:p>
    <w:tbl>
      <w:tblPr>
        <w:tblStyle w:val="TableGrid"/>
        <w:tblW w:w="0" w:type="auto"/>
        <w:tblLook w:val="04A0" w:firstRow="1" w:lastRow="0" w:firstColumn="1" w:lastColumn="0" w:noHBand="0" w:noVBand="1"/>
      </w:tblPr>
      <w:tblGrid>
        <w:gridCol w:w="1743"/>
        <w:gridCol w:w="1743"/>
        <w:gridCol w:w="1471"/>
        <w:gridCol w:w="1701"/>
        <w:gridCol w:w="1701"/>
        <w:gridCol w:w="3543"/>
        <w:gridCol w:w="1560"/>
      </w:tblGrid>
      <w:tr w:rsidR="00B85C9C" w:rsidRPr="008D6755" w14:paraId="05645D3F" w14:textId="77777777" w:rsidTr="00CA6F03">
        <w:trPr>
          <w:tblHeader/>
        </w:trPr>
        <w:tc>
          <w:tcPr>
            <w:tcW w:w="1743" w:type="dxa"/>
            <w:tcBorders>
              <w:bottom w:val="single" w:sz="4" w:space="0" w:color="auto"/>
            </w:tcBorders>
            <w:shd w:val="clear" w:color="auto" w:fill="D9D9D9" w:themeFill="background1" w:themeFillShade="D9"/>
          </w:tcPr>
          <w:p w14:paraId="1AB6AA27"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Authors/link</w:t>
            </w:r>
          </w:p>
        </w:tc>
        <w:tc>
          <w:tcPr>
            <w:tcW w:w="1743" w:type="dxa"/>
            <w:tcBorders>
              <w:bottom w:val="single" w:sz="4" w:space="0" w:color="auto"/>
            </w:tcBorders>
            <w:shd w:val="clear" w:color="auto" w:fill="D9D9D9" w:themeFill="background1" w:themeFillShade="D9"/>
          </w:tcPr>
          <w:p w14:paraId="6CAA64DE"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D</w:t>
            </w:r>
            <w:r>
              <w:rPr>
                <w:rFonts w:asciiTheme="majorBidi" w:hAnsiTheme="majorBidi" w:cstheme="majorBidi"/>
                <w:b/>
                <w:bCs/>
                <w:sz w:val="20"/>
                <w:szCs w:val="20"/>
              </w:rPr>
              <w:t>esign</w:t>
            </w:r>
          </w:p>
        </w:tc>
        <w:tc>
          <w:tcPr>
            <w:tcW w:w="1471" w:type="dxa"/>
            <w:tcBorders>
              <w:bottom w:val="single" w:sz="4" w:space="0" w:color="auto"/>
            </w:tcBorders>
            <w:shd w:val="clear" w:color="auto" w:fill="D9D9D9" w:themeFill="background1" w:themeFillShade="D9"/>
          </w:tcPr>
          <w:p w14:paraId="5FEC9C85"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Population</w:t>
            </w:r>
          </w:p>
        </w:tc>
        <w:tc>
          <w:tcPr>
            <w:tcW w:w="1701" w:type="dxa"/>
            <w:tcBorders>
              <w:bottom w:val="single" w:sz="4" w:space="0" w:color="auto"/>
            </w:tcBorders>
            <w:shd w:val="clear" w:color="auto" w:fill="D9D9D9" w:themeFill="background1" w:themeFillShade="D9"/>
          </w:tcPr>
          <w:p w14:paraId="133D8E89"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Intervention</w:t>
            </w:r>
          </w:p>
        </w:tc>
        <w:tc>
          <w:tcPr>
            <w:tcW w:w="1701" w:type="dxa"/>
            <w:tcBorders>
              <w:bottom w:val="single" w:sz="4" w:space="0" w:color="auto"/>
            </w:tcBorders>
            <w:shd w:val="clear" w:color="auto" w:fill="D9D9D9" w:themeFill="background1" w:themeFillShade="D9"/>
          </w:tcPr>
          <w:p w14:paraId="3B91C6AE"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Comparator</w:t>
            </w:r>
          </w:p>
        </w:tc>
        <w:tc>
          <w:tcPr>
            <w:tcW w:w="3543" w:type="dxa"/>
            <w:tcBorders>
              <w:bottom w:val="single" w:sz="4" w:space="0" w:color="auto"/>
            </w:tcBorders>
            <w:shd w:val="clear" w:color="auto" w:fill="D9D9D9" w:themeFill="background1" w:themeFillShade="D9"/>
          </w:tcPr>
          <w:p w14:paraId="627FE1CB"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Outcome</w:t>
            </w:r>
          </w:p>
        </w:tc>
        <w:tc>
          <w:tcPr>
            <w:tcW w:w="1560" w:type="dxa"/>
            <w:tcBorders>
              <w:bottom w:val="single" w:sz="4" w:space="0" w:color="auto"/>
            </w:tcBorders>
            <w:shd w:val="clear" w:color="auto" w:fill="D9D9D9" w:themeFill="background1" w:themeFillShade="D9"/>
          </w:tcPr>
          <w:p w14:paraId="5F0607C1"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Quality of Evidence</w:t>
            </w:r>
          </w:p>
        </w:tc>
      </w:tr>
      <w:tr w:rsidR="00B85C9C" w:rsidRPr="008D6755" w14:paraId="67D4CAE7" w14:textId="77777777" w:rsidTr="00CA6F03">
        <w:tc>
          <w:tcPr>
            <w:tcW w:w="1743" w:type="dxa"/>
          </w:tcPr>
          <w:p w14:paraId="7659DD1A" w14:textId="77777777" w:rsidR="00B85C9C" w:rsidRPr="00AF3C40" w:rsidRDefault="00B85C9C" w:rsidP="00CA6F03">
            <w:pPr>
              <w:rPr>
                <w:rFonts w:asciiTheme="majorBidi" w:hAnsiTheme="majorBidi" w:cstheme="majorBidi"/>
                <w:sz w:val="20"/>
                <w:szCs w:val="20"/>
              </w:rPr>
            </w:pPr>
            <w:r w:rsidRPr="00AF3C40">
              <w:rPr>
                <w:rFonts w:asciiTheme="majorBidi" w:hAnsiTheme="majorBidi" w:cstheme="majorBidi"/>
                <w:sz w:val="20"/>
                <w:szCs w:val="20"/>
              </w:rPr>
              <w:t>Austin et al 2020</w:t>
            </w:r>
          </w:p>
          <w:p w14:paraId="1660D1B2" w14:textId="77777777" w:rsidR="00B85C9C" w:rsidRPr="008D6755" w:rsidRDefault="00B85C9C" w:rsidP="008B50C6">
            <w:pPr>
              <w:rPr>
                <w:rFonts w:asciiTheme="majorBidi" w:hAnsiTheme="majorBidi" w:cstheme="majorBidi"/>
                <w:sz w:val="20"/>
                <w:szCs w:val="20"/>
              </w:rPr>
            </w:pPr>
          </w:p>
        </w:tc>
        <w:tc>
          <w:tcPr>
            <w:tcW w:w="1743" w:type="dxa"/>
          </w:tcPr>
          <w:p w14:paraId="1B596A5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Systematic review of literature (to Sept 2018) to </w:t>
            </w:r>
            <w:r w:rsidRPr="00C424B1">
              <w:rPr>
                <w:rFonts w:asciiTheme="majorBidi" w:hAnsiTheme="majorBidi" w:cstheme="majorBidi"/>
                <w:sz w:val="20"/>
                <w:szCs w:val="20"/>
              </w:rPr>
              <w:t>determine which EMR</w:t>
            </w:r>
            <w:r>
              <w:rPr>
                <w:rFonts w:asciiTheme="majorBidi" w:hAnsiTheme="majorBidi" w:cstheme="majorBidi"/>
                <w:sz w:val="20"/>
                <w:szCs w:val="20"/>
              </w:rPr>
              <w:t xml:space="preserve"> </w:t>
            </w:r>
            <w:r w:rsidRPr="00C424B1">
              <w:rPr>
                <w:rFonts w:asciiTheme="majorBidi" w:hAnsiTheme="majorBidi" w:cstheme="majorBidi"/>
                <w:sz w:val="20"/>
                <w:szCs w:val="20"/>
              </w:rPr>
              <w:t>interventions</w:t>
            </w:r>
            <w:r>
              <w:rPr>
                <w:rFonts w:asciiTheme="majorBidi" w:hAnsiTheme="majorBidi" w:cstheme="majorBidi"/>
                <w:sz w:val="20"/>
                <w:szCs w:val="20"/>
              </w:rPr>
              <w:t xml:space="preserve"> </w:t>
            </w:r>
            <w:r w:rsidRPr="00C424B1">
              <w:rPr>
                <w:rFonts w:asciiTheme="majorBidi" w:hAnsiTheme="majorBidi" w:cstheme="majorBidi"/>
                <w:sz w:val="20"/>
                <w:szCs w:val="20"/>
              </w:rPr>
              <w:t>improved</w:t>
            </w:r>
            <w:r>
              <w:rPr>
                <w:rFonts w:asciiTheme="majorBidi" w:hAnsiTheme="majorBidi" w:cstheme="majorBidi"/>
                <w:sz w:val="20"/>
                <w:szCs w:val="20"/>
              </w:rPr>
              <w:t xml:space="preserve"> </w:t>
            </w:r>
            <w:r w:rsidRPr="00C424B1">
              <w:rPr>
                <w:rFonts w:asciiTheme="majorBidi" w:hAnsiTheme="majorBidi" w:cstheme="majorBidi"/>
                <w:sz w:val="20"/>
                <w:szCs w:val="20"/>
              </w:rPr>
              <w:t>safety and quality of anticoagulation</w:t>
            </w:r>
            <w:r>
              <w:rPr>
                <w:rFonts w:asciiTheme="majorBidi" w:hAnsiTheme="majorBidi" w:cstheme="majorBidi"/>
                <w:sz w:val="20"/>
                <w:szCs w:val="20"/>
              </w:rPr>
              <w:t>.</w:t>
            </w:r>
            <w:r w:rsidRPr="00C424B1">
              <w:rPr>
                <w:rFonts w:asciiTheme="majorBidi" w:hAnsiTheme="majorBidi" w:cstheme="majorBidi"/>
                <w:sz w:val="20"/>
                <w:szCs w:val="20"/>
              </w:rPr>
              <w:t xml:space="preserve"> </w:t>
            </w:r>
          </w:p>
          <w:p w14:paraId="50523D50" w14:textId="77777777" w:rsidR="00B85C9C" w:rsidRPr="008D6755" w:rsidRDefault="00B85C9C" w:rsidP="00CA6F03">
            <w:pPr>
              <w:rPr>
                <w:rFonts w:asciiTheme="majorBidi" w:hAnsiTheme="majorBidi" w:cstheme="majorBidi"/>
                <w:sz w:val="20"/>
                <w:szCs w:val="20"/>
              </w:rPr>
            </w:pPr>
            <w:r w:rsidRPr="00C424B1">
              <w:rPr>
                <w:rFonts w:asciiTheme="majorBidi" w:hAnsiTheme="majorBidi" w:cstheme="majorBidi"/>
                <w:sz w:val="20"/>
                <w:szCs w:val="20"/>
              </w:rPr>
              <w:t xml:space="preserve">27 </w:t>
            </w:r>
            <w:r>
              <w:rPr>
                <w:rFonts w:asciiTheme="majorBidi" w:hAnsiTheme="majorBidi" w:cstheme="majorBidi"/>
                <w:sz w:val="20"/>
                <w:szCs w:val="20"/>
              </w:rPr>
              <w:t>studies (</w:t>
            </w:r>
            <w:r w:rsidRPr="00C424B1">
              <w:rPr>
                <w:rFonts w:asciiTheme="majorBidi" w:hAnsiTheme="majorBidi" w:cstheme="majorBidi"/>
                <w:sz w:val="20"/>
                <w:szCs w:val="20"/>
              </w:rPr>
              <w:t>includ</w:t>
            </w:r>
            <w:r>
              <w:rPr>
                <w:rFonts w:asciiTheme="majorBidi" w:hAnsiTheme="majorBidi" w:cstheme="majorBidi"/>
                <w:sz w:val="20"/>
                <w:szCs w:val="20"/>
              </w:rPr>
              <w:t>ing</w:t>
            </w:r>
            <w:r w:rsidRPr="00C424B1">
              <w:rPr>
                <w:rFonts w:asciiTheme="majorBidi" w:hAnsiTheme="majorBidi" w:cstheme="majorBidi"/>
                <w:sz w:val="20"/>
                <w:szCs w:val="20"/>
              </w:rPr>
              <w:t xml:space="preserve"> 3 </w:t>
            </w:r>
            <w:r>
              <w:rPr>
                <w:rFonts w:asciiTheme="majorBidi" w:hAnsiTheme="majorBidi" w:cstheme="majorBidi"/>
                <w:sz w:val="20"/>
                <w:szCs w:val="20"/>
              </w:rPr>
              <w:t>RCT</w:t>
            </w:r>
            <w:r w:rsidRPr="00C424B1">
              <w:rPr>
                <w:rFonts w:asciiTheme="majorBidi" w:hAnsiTheme="majorBidi" w:cstheme="majorBidi"/>
                <w:sz w:val="20"/>
                <w:szCs w:val="20"/>
              </w:rPr>
              <w:t>s, 4 cohort studies and 20 pre/post observational studies</w:t>
            </w:r>
            <w:r>
              <w:rPr>
                <w:rFonts w:asciiTheme="majorBidi" w:hAnsiTheme="majorBidi" w:cstheme="majorBidi"/>
                <w:sz w:val="20"/>
                <w:szCs w:val="20"/>
              </w:rPr>
              <w:t>)</w:t>
            </w:r>
          </w:p>
        </w:tc>
        <w:tc>
          <w:tcPr>
            <w:tcW w:w="1471" w:type="dxa"/>
          </w:tcPr>
          <w:p w14:paraId="7E07037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I</w:t>
            </w:r>
            <w:r w:rsidRPr="00C424B1">
              <w:rPr>
                <w:rFonts w:asciiTheme="majorBidi" w:hAnsiTheme="majorBidi" w:cstheme="majorBidi"/>
                <w:sz w:val="20"/>
                <w:szCs w:val="20"/>
              </w:rPr>
              <w:t>npatient hospital setting</w:t>
            </w:r>
          </w:p>
        </w:tc>
        <w:tc>
          <w:tcPr>
            <w:tcW w:w="1701" w:type="dxa"/>
          </w:tcPr>
          <w:p w14:paraId="6E1E0C61" w14:textId="77777777" w:rsidR="00B85C9C" w:rsidRPr="00C424B1" w:rsidRDefault="00B85C9C" w:rsidP="00CA6F03">
            <w:pPr>
              <w:rPr>
                <w:rFonts w:asciiTheme="majorBidi" w:hAnsiTheme="majorBidi" w:cstheme="majorBidi"/>
                <w:sz w:val="20"/>
                <w:szCs w:val="20"/>
              </w:rPr>
            </w:pPr>
            <w:r w:rsidRPr="00A36694">
              <w:rPr>
                <w:rFonts w:asciiTheme="majorBidi" w:hAnsiTheme="majorBidi" w:cstheme="majorBidi"/>
                <w:b/>
                <w:bCs/>
                <w:sz w:val="20"/>
                <w:szCs w:val="20"/>
              </w:rPr>
              <w:t>4 major EMR interventions</w:t>
            </w:r>
            <w:r>
              <w:rPr>
                <w:rFonts w:asciiTheme="majorBidi" w:hAnsiTheme="majorBidi" w:cstheme="majorBidi"/>
                <w:sz w:val="20"/>
                <w:szCs w:val="20"/>
              </w:rPr>
              <w:t>:</w:t>
            </w:r>
            <w:r w:rsidRPr="00C424B1">
              <w:rPr>
                <w:rFonts w:asciiTheme="majorBidi" w:hAnsiTheme="majorBidi" w:cstheme="majorBidi"/>
                <w:sz w:val="20"/>
                <w:szCs w:val="20"/>
              </w:rPr>
              <w:t xml:space="preserve"> computerised</w:t>
            </w:r>
          </w:p>
          <w:p w14:paraId="11CDDF26" w14:textId="77777777" w:rsidR="00B85C9C" w:rsidRPr="00C424B1" w:rsidRDefault="00B85C9C" w:rsidP="00CA6F03">
            <w:pPr>
              <w:rPr>
                <w:rFonts w:asciiTheme="majorBidi" w:hAnsiTheme="majorBidi" w:cstheme="majorBidi"/>
                <w:sz w:val="20"/>
                <w:szCs w:val="20"/>
              </w:rPr>
            </w:pPr>
            <w:r w:rsidRPr="00C424B1">
              <w:rPr>
                <w:rFonts w:asciiTheme="majorBidi" w:hAnsiTheme="majorBidi" w:cstheme="majorBidi"/>
                <w:sz w:val="20"/>
                <w:szCs w:val="20"/>
              </w:rPr>
              <w:t>physician order entry (CPOE) (n = 4 studies), clinical decision support system (CDSS) methods (n = 21),</w:t>
            </w:r>
          </w:p>
          <w:p w14:paraId="21F67CAA" w14:textId="77777777" w:rsidR="00B85C9C" w:rsidRPr="008D6755" w:rsidRDefault="00B85C9C" w:rsidP="00CA6F03">
            <w:pPr>
              <w:rPr>
                <w:rFonts w:asciiTheme="majorBidi" w:hAnsiTheme="majorBidi" w:cstheme="majorBidi"/>
                <w:sz w:val="20"/>
                <w:szCs w:val="20"/>
              </w:rPr>
            </w:pPr>
            <w:r w:rsidRPr="00C424B1">
              <w:rPr>
                <w:rFonts w:asciiTheme="majorBidi" w:hAnsiTheme="majorBidi" w:cstheme="majorBidi"/>
                <w:sz w:val="20"/>
                <w:szCs w:val="20"/>
              </w:rPr>
              <w:t>dashboard utilisation (n = 1) and EMR implementation in general (n = 1)</w:t>
            </w:r>
          </w:p>
        </w:tc>
        <w:tc>
          <w:tcPr>
            <w:tcW w:w="1701" w:type="dxa"/>
          </w:tcPr>
          <w:p w14:paraId="081940A8"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Business as usual</w:t>
            </w:r>
          </w:p>
        </w:tc>
        <w:tc>
          <w:tcPr>
            <w:tcW w:w="3543" w:type="dxa"/>
          </w:tcPr>
          <w:p w14:paraId="4BD217AA" w14:textId="77777777" w:rsidR="00B85C9C" w:rsidRDefault="00B85C9C" w:rsidP="00CA6F03">
            <w:pPr>
              <w:rPr>
                <w:rFonts w:asciiTheme="majorBidi" w:hAnsiTheme="majorBidi" w:cstheme="majorBidi"/>
                <w:sz w:val="20"/>
                <w:szCs w:val="20"/>
              </w:rPr>
            </w:pPr>
            <w:r>
              <w:rPr>
                <w:rFonts w:asciiTheme="majorBidi" w:hAnsiTheme="majorBidi" w:cstheme="majorBidi"/>
                <w:b/>
                <w:bCs/>
                <w:sz w:val="20"/>
                <w:szCs w:val="20"/>
              </w:rPr>
              <w:t>Some l</w:t>
            </w:r>
            <w:r w:rsidRPr="00E139F2">
              <w:rPr>
                <w:rFonts w:asciiTheme="majorBidi" w:hAnsiTheme="majorBidi" w:cstheme="majorBidi"/>
                <w:b/>
                <w:bCs/>
                <w:sz w:val="20"/>
                <w:szCs w:val="20"/>
              </w:rPr>
              <w:t>imited benefits</w:t>
            </w:r>
            <w:r w:rsidRPr="00E139F2">
              <w:rPr>
                <w:rFonts w:asciiTheme="majorBidi" w:hAnsiTheme="majorBidi" w:cstheme="majorBidi"/>
                <w:sz w:val="20"/>
                <w:szCs w:val="20"/>
              </w:rPr>
              <w:t xml:space="preserve"> have been demonstrated to date</w:t>
            </w:r>
            <w:r>
              <w:rPr>
                <w:rFonts w:asciiTheme="majorBidi" w:hAnsiTheme="majorBidi" w:cstheme="majorBidi"/>
                <w:sz w:val="20"/>
                <w:szCs w:val="20"/>
              </w:rPr>
              <w:t xml:space="preserve"> across 7 outcomes: </w:t>
            </w:r>
          </w:p>
          <w:p w14:paraId="55E2BC28" w14:textId="77777777" w:rsidR="00B85C9C" w:rsidRPr="00E139F2" w:rsidRDefault="00B85C9C" w:rsidP="00CA6F03">
            <w:pPr>
              <w:rPr>
                <w:rFonts w:asciiTheme="majorBidi" w:hAnsiTheme="majorBidi" w:cstheme="majorBidi"/>
                <w:sz w:val="20"/>
                <w:szCs w:val="20"/>
              </w:rPr>
            </w:pPr>
            <w:r>
              <w:rPr>
                <w:rFonts w:asciiTheme="majorBidi" w:hAnsiTheme="majorBidi" w:cstheme="majorBidi"/>
                <w:sz w:val="20"/>
                <w:szCs w:val="20"/>
              </w:rPr>
              <w:t>P</w:t>
            </w:r>
            <w:r w:rsidRPr="00E139F2">
              <w:rPr>
                <w:rFonts w:asciiTheme="majorBidi" w:hAnsiTheme="majorBidi" w:cstheme="majorBidi"/>
                <w:sz w:val="20"/>
                <w:szCs w:val="20"/>
              </w:rPr>
              <w:t>rescribing or documentation</w:t>
            </w:r>
          </w:p>
          <w:p w14:paraId="76593DD8" w14:textId="77777777" w:rsidR="00B85C9C" w:rsidRDefault="00B85C9C" w:rsidP="00CA6F03">
            <w:pPr>
              <w:rPr>
                <w:rFonts w:asciiTheme="majorBidi" w:hAnsiTheme="majorBidi" w:cstheme="majorBidi"/>
                <w:sz w:val="20"/>
                <w:szCs w:val="20"/>
              </w:rPr>
            </w:pPr>
            <w:r w:rsidRPr="00E139F2">
              <w:rPr>
                <w:rFonts w:asciiTheme="majorBidi" w:hAnsiTheme="majorBidi" w:cstheme="majorBidi"/>
                <w:sz w:val="20"/>
                <w:szCs w:val="20"/>
              </w:rPr>
              <w:t>compliance (n = 18)</w:t>
            </w:r>
            <w:r>
              <w:rPr>
                <w:rFonts w:asciiTheme="majorBidi" w:hAnsiTheme="majorBidi" w:cstheme="majorBidi"/>
                <w:sz w:val="20"/>
                <w:szCs w:val="20"/>
              </w:rPr>
              <w:t xml:space="preserve">, </w:t>
            </w:r>
            <w:r w:rsidRPr="00E139F2">
              <w:rPr>
                <w:rFonts w:asciiTheme="majorBidi" w:hAnsiTheme="majorBidi" w:cstheme="majorBidi"/>
                <w:sz w:val="20"/>
                <w:szCs w:val="20"/>
              </w:rPr>
              <w:t>medication errors (n = 9),</w:t>
            </w:r>
            <w:r>
              <w:rPr>
                <w:rFonts w:asciiTheme="majorBidi" w:hAnsiTheme="majorBidi" w:cstheme="majorBidi"/>
                <w:sz w:val="20"/>
                <w:szCs w:val="20"/>
              </w:rPr>
              <w:t xml:space="preserve"> </w:t>
            </w:r>
            <w:r w:rsidRPr="00E139F2">
              <w:rPr>
                <w:rFonts w:asciiTheme="majorBidi" w:hAnsiTheme="majorBidi" w:cstheme="majorBidi"/>
                <w:sz w:val="20"/>
                <w:szCs w:val="20"/>
              </w:rPr>
              <w:t>adverse drug events (n = 5), patient outcomes</w:t>
            </w:r>
            <w:r>
              <w:rPr>
                <w:rFonts w:asciiTheme="majorBidi" w:hAnsiTheme="majorBidi" w:cstheme="majorBidi"/>
                <w:sz w:val="20"/>
                <w:szCs w:val="20"/>
              </w:rPr>
              <w:t xml:space="preserve"> </w:t>
            </w:r>
            <w:r w:rsidRPr="00E139F2">
              <w:rPr>
                <w:rFonts w:asciiTheme="majorBidi" w:hAnsiTheme="majorBidi" w:cstheme="majorBidi"/>
                <w:sz w:val="20"/>
                <w:szCs w:val="20"/>
              </w:rPr>
              <w:t>(morbidity/mortality/length of</w:t>
            </w:r>
            <w:r>
              <w:rPr>
                <w:rFonts w:asciiTheme="majorBidi" w:hAnsiTheme="majorBidi" w:cstheme="majorBidi"/>
                <w:sz w:val="20"/>
                <w:szCs w:val="20"/>
              </w:rPr>
              <w:t xml:space="preserve"> </w:t>
            </w:r>
            <w:r w:rsidRPr="00E139F2">
              <w:rPr>
                <w:rFonts w:asciiTheme="majorBidi" w:hAnsiTheme="majorBidi" w:cstheme="majorBidi"/>
                <w:sz w:val="20"/>
                <w:szCs w:val="20"/>
              </w:rPr>
              <w:t>hospital stay/re-hospitalisation)</w:t>
            </w:r>
            <w:r>
              <w:rPr>
                <w:rFonts w:asciiTheme="majorBidi" w:hAnsiTheme="majorBidi" w:cstheme="majorBidi"/>
                <w:sz w:val="20"/>
                <w:szCs w:val="20"/>
              </w:rPr>
              <w:t xml:space="preserve"> </w:t>
            </w:r>
            <w:r w:rsidRPr="00E139F2">
              <w:rPr>
                <w:rFonts w:asciiTheme="majorBidi" w:hAnsiTheme="majorBidi" w:cstheme="majorBidi"/>
                <w:sz w:val="20"/>
                <w:szCs w:val="20"/>
              </w:rPr>
              <w:t>(n = 5), quality use of anticoagulant (n =</w:t>
            </w:r>
            <w:r>
              <w:rPr>
                <w:rFonts w:asciiTheme="majorBidi" w:hAnsiTheme="majorBidi" w:cstheme="majorBidi"/>
                <w:sz w:val="20"/>
                <w:szCs w:val="20"/>
              </w:rPr>
              <w:t xml:space="preserve"> </w:t>
            </w:r>
            <w:r w:rsidRPr="00E139F2">
              <w:rPr>
                <w:rFonts w:asciiTheme="majorBidi" w:hAnsiTheme="majorBidi" w:cstheme="majorBidi"/>
                <w:sz w:val="20"/>
                <w:szCs w:val="20"/>
              </w:rPr>
              <w:t>4), end-user acceptance (n = 4), cost</w:t>
            </w:r>
            <w:r>
              <w:rPr>
                <w:rFonts w:asciiTheme="majorBidi" w:hAnsiTheme="majorBidi" w:cstheme="majorBidi"/>
                <w:sz w:val="20"/>
                <w:szCs w:val="20"/>
              </w:rPr>
              <w:t xml:space="preserve"> </w:t>
            </w:r>
            <w:r w:rsidRPr="00E139F2">
              <w:rPr>
                <w:rFonts w:asciiTheme="majorBidi" w:hAnsiTheme="majorBidi" w:cstheme="majorBidi"/>
                <w:sz w:val="20"/>
                <w:szCs w:val="20"/>
              </w:rPr>
              <w:t>effectiveness (n = 1).</w:t>
            </w:r>
          </w:p>
          <w:p w14:paraId="58A67636" w14:textId="77777777" w:rsidR="00B85C9C" w:rsidRDefault="00B85C9C" w:rsidP="00CA6F03">
            <w:pPr>
              <w:rPr>
                <w:rFonts w:asciiTheme="majorBidi" w:hAnsiTheme="majorBidi" w:cstheme="majorBidi"/>
                <w:sz w:val="20"/>
                <w:szCs w:val="20"/>
              </w:rPr>
            </w:pPr>
          </w:p>
          <w:p w14:paraId="0511E171" w14:textId="77777777" w:rsidR="00B85C9C" w:rsidRDefault="00B85C9C" w:rsidP="00CA6F03">
            <w:pPr>
              <w:rPr>
                <w:rFonts w:asciiTheme="majorBidi" w:hAnsiTheme="majorBidi" w:cstheme="majorBidi"/>
                <w:sz w:val="20"/>
                <w:szCs w:val="20"/>
              </w:rPr>
            </w:pPr>
            <w:r w:rsidRPr="00120AFC">
              <w:rPr>
                <w:rFonts w:asciiTheme="majorBidi" w:hAnsiTheme="majorBidi" w:cstheme="majorBidi"/>
                <w:b/>
                <w:bCs/>
                <w:sz w:val="20"/>
                <w:szCs w:val="20"/>
              </w:rPr>
              <w:t>Research investigating clinical impact to the patient is scarce</w:t>
            </w:r>
            <w:r w:rsidRPr="00120AFC">
              <w:rPr>
                <w:rFonts w:asciiTheme="majorBidi" w:hAnsiTheme="majorBidi" w:cstheme="majorBidi"/>
                <w:sz w:val="20"/>
                <w:szCs w:val="20"/>
              </w:rPr>
              <w:t>, with only 5</w:t>
            </w:r>
            <w:r>
              <w:rPr>
                <w:rFonts w:asciiTheme="majorBidi" w:hAnsiTheme="majorBidi" w:cstheme="majorBidi"/>
                <w:sz w:val="20"/>
                <w:szCs w:val="20"/>
              </w:rPr>
              <w:t xml:space="preserve"> </w:t>
            </w:r>
            <w:r w:rsidRPr="00120AFC">
              <w:rPr>
                <w:rFonts w:asciiTheme="majorBidi" w:hAnsiTheme="majorBidi" w:cstheme="majorBidi"/>
                <w:sz w:val="20"/>
                <w:szCs w:val="20"/>
              </w:rPr>
              <w:t>studies reviewing ADEs and 5 investigating</w:t>
            </w:r>
            <w:r>
              <w:rPr>
                <w:rFonts w:asciiTheme="majorBidi" w:hAnsiTheme="majorBidi" w:cstheme="majorBidi"/>
                <w:sz w:val="20"/>
                <w:szCs w:val="20"/>
              </w:rPr>
              <w:t xml:space="preserve"> </w:t>
            </w:r>
            <w:r w:rsidRPr="00120AFC">
              <w:rPr>
                <w:rFonts w:asciiTheme="majorBidi" w:hAnsiTheme="majorBidi" w:cstheme="majorBidi"/>
                <w:sz w:val="20"/>
                <w:szCs w:val="20"/>
              </w:rPr>
              <w:t>morbidity/mortality/LOS/re-hospitalisation outcomes</w:t>
            </w:r>
          </w:p>
          <w:p w14:paraId="1A026E24" w14:textId="77777777" w:rsidR="00B85C9C" w:rsidRDefault="00B85C9C" w:rsidP="00CA6F03">
            <w:pPr>
              <w:rPr>
                <w:rFonts w:asciiTheme="majorBidi" w:hAnsiTheme="majorBidi" w:cstheme="majorBidi"/>
                <w:sz w:val="20"/>
                <w:szCs w:val="20"/>
              </w:rPr>
            </w:pPr>
          </w:p>
          <w:p w14:paraId="6A93E18C" w14:textId="242A0FF5" w:rsidR="00B85C9C" w:rsidRPr="008D6755" w:rsidRDefault="00B85C9C">
            <w:pPr>
              <w:rPr>
                <w:rFonts w:asciiTheme="majorBidi" w:hAnsiTheme="majorBidi" w:cstheme="majorBidi"/>
                <w:sz w:val="20"/>
                <w:szCs w:val="20"/>
              </w:rPr>
            </w:pPr>
            <w:r>
              <w:rPr>
                <w:rFonts w:asciiTheme="majorBidi" w:hAnsiTheme="majorBidi" w:cstheme="majorBidi"/>
                <w:sz w:val="20"/>
                <w:szCs w:val="20"/>
              </w:rPr>
              <w:t>“</w:t>
            </w:r>
            <w:r w:rsidRPr="00E139F2">
              <w:rPr>
                <w:rFonts w:asciiTheme="majorBidi" w:hAnsiTheme="majorBidi" w:cstheme="majorBidi"/>
                <w:sz w:val="20"/>
                <w:szCs w:val="20"/>
              </w:rPr>
              <w:t>It appears healthcare</w:t>
            </w:r>
            <w:r>
              <w:rPr>
                <w:rFonts w:asciiTheme="majorBidi" w:hAnsiTheme="majorBidi" w:cstheme="majorBidi"/>
                <w:sz w:val="20"/>
                <w:szCs w:val="20"/>
              </w:rPr>
              <w:t xml:space="preserve"> </w:t>
            </w:r>
            <w:r w:rsidRPr="00E139F2">
              <w:rPr>
                <w:rFonts w:asciiTheme="majorBidi" w:hAnsiTheme="majorBidi" w:cstheme="majorBidi"/>
                <w:sz w:val="20"/>
                <w:szCs w:val="20"/>
              </w:rPr>
              <w:t>organisations are yet to determine optimal, evidence-based-methods to improve EMR utilisation</w:t>
            </w:r>
            <w:r>
              <w:rPr>
                <w:rFonts w:asciiTheme="majorBidi" w:hAnsiTheme="majorBidi" w:cstheme="majorBidi"/>
                <w:sz w:val="20"/>
                <w:szCs w:val="20"/>
              </w:rPr>
              <w:t>”</w:t>
            </w:r>
          </w:p>
        </w:tc>
        <w:tc>
          <w:tcPr>
            <w:tcW w:w="1560" w:type="dxa"/>
          </w:tcPr>
          <w:p w14:paraId="4640A8C7" w14:textId="77777777" w:rsidR="00B85C9C" w:rsidRDefault="00B85C9C" w:rsidP="00CA6F03">
            <w:pPr>
              <w:rPr>
                <w:rFonts w:asciiTheme="majorBidi" w:hAnsiTheme="majorBidi" w:cstheme="majorBidi"/>
                <w:sz w:val="20"/>
                <w:szCs w:val="20"/>
              </w:rPr>
            </w:pPr>
            <w:r w:rsidRPr="00BF0AEA">
              <w:rPr>
                <w:rFonts w:asciiTheme="majorBidi" w:hAnsiTheme="majorBidi" w:cstheme="majorBidi"/>
                <w:sz w:val="20"/>
                <w:szCs w:val="20"/>
              </w:rPr>
              <w:t>No papers</w:t>
            </w:r>
            <w:r>
              <w:rPr>
                <w:rFonts w:asciiTheme="majorBidi" w:hAnsiTheme="majorBidi" w:cstheme="majorBidi"/>
                <w:sz w:val="20"/>
                <w:szCs w:val="20"/>
              </w:rPr>
              <w:t xml:space="preserve"> </w:t>
            </w:r>
            <w:r w:rsidRPr="00BF0AEA">
              <w:rPr>
                <w:rFonts w:asciiTheme="majorBidi" w:hAnsiTheme="majorBidi" w:cstheme="majorBidi"/>
                <w:sz w:val="20"/>
                <w:szCs w:val="20"/>
              </w:rPr>
              <w:t>assessed the effectiveness of</w:t>
            </w:r>
            <w:r>
              <w:rPr>
                <w:rFonts w:asciiTheme="majorBidi" w:hAnsiTheme="majorBidi" w:cstheme="majorBidi"/>
                <w:sz w:val="20"/>
                <w:szCs w:val="20"/>
              </w:rPr>
              <w:t xml:space="preserve"> </w:t>
            </w:r>
            <w:r w:rsidRPr="00BF0AEA">
              <w:rPr>
                <w:rFonts w:asciiTheme="majorBidi" w:hAnsiTheme="majorBidi" w:cstheme="majorBidi"/>
                <w:sz w:val="20"/>
                <w:szCs w:val="20"/>
              </w:rPr>
              <w:t>EMR strategies</w:t>
            </w:r>
            <w:r>
              <w:rPr>
                <w:rFonts w:asciiTheme="majorBidi" w:hAnsiTheme="majorBidi" w:cstheme="majorBidi"/>
                <w:sz w:val="20"/>
                <w:szCs w:val="20"/>
              </w:rPr>
              <w:t xml:space="preserve"> </w:t>
            </w:r>
            <w:r w:rsidRPr="00BF0AEA">
              <w:rPr>
                <w:rFonts w:asciiTheme="majorBidi" w:hAnsiTheme="majorBidi" w:cstheme="majorBidi"/>
                <w:sz w:val="20"/>
                <w:szCs w:val="20"/>
              </w:rPr>
              <w:t>on improving the quality</w:t>
            </w:r>
            <w:r>
              <w:rPr>
                <w:rFonts w:asciiTheme="majorBidi" w:hAnsiTheme="majorBidi" w:cstheme="majorBidi"/>
                <w:sz w:val="20"/>
                <w:szCs w:val="20"/>
              </w:rPr>
              <w:t xml:space="preserve"> </w:t>
            </w:r>
            <w:r w:rsidRPr="00BF0AEA">
              <w:rPr>
                <w:rFonts w:asciiTheme="majorBidi" w:hAnsiTheme="majorBidi" w:cstheme="majorBidi"/>
                <w:sz w:val="20"/>
                <w:szCs w:val="20"/>
              </w:rPr>
              <w:t>and safety of use of DOACs</w:t>
            </w:r>
          </w:p>
          <w:p w14:paraId="3997A9DE" w14:textId="77777777" w:rsidR="00B85C9C" w:rsidRDefault="00B85C9C" w:rsidP="00CA6F03">
            <w:pPr>
              <w:rPr>
                <w:rFonts w:asciiTheme="majorBidi" w:hAnsiTheme="majorBidi" w:cstheme="majorBidi"/>
                <w:sz w:val="20"/>
                <w:szCs w:val="20"/>
              </w:rPr>
            </w:pPr>
          </w:p>
          <w:p w14:paraId="0A5C7FB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T</w:t>
            </w:r>
            <w:r w:rsidRPr="00101681">
              <w:rPr>
                <w:rFonts w:asciiTheme="majorBidi" w:hAnsiTheme="majorBidi" w:cstheme="majorBidi"/>
                <w:sz w:val="20"/>
                <w:szCs w:val="20"/>
              </w:rPr>
              <w:t>he 3 RCTs were designed and conducted to reduce bias</w:t>
            </w:r>
            <w:r>
              <w:rPr>
                <w:rFonts w:asciiTheme="majorBidi" w:hAnsiTheme="majorBidi" w:cstheme="majorBidi"/>
                <w:sz w:val="20"/>
                <w:szCs w:val="20"/>
              </w:rPr>
              <w:t>.</w:t>
            </w:r>
          </w:p>
          <w:p w14:paraId="199D6A8D" w14:textId="77777777" w:rsidR="00B85C9C" w:rsidRDefault="00B85C9C" w:rsidP="00CA6F03">
            <w:pPr>
              <w:rPr>
                <w:rFonts w:asciiTheme="majorBidi" w:hAnsiTheme="majorBidi" w:cstheme="majorBidi"/>
                <w:sz w:val="20"/>
                <w:szCs w:val="20"/>
              </w:rPr>
            </w:pPr>
          </w:p>
          <w:p w14:paraId="470D647C"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Other studies lacked robust allocation method</w:t>
            </w:r>
          </w:p>
        </w:tc>
      </w:tr>
      <w:tr w:rsidR="00B85C9C" w:rsidRPr="008D6755" w14:paraId="2DDE107B" w14:textId="77777777" w:rsidTr="00CA6F03">
        <w:tc>
          <w:tcPr>
            <w:tcW w:w="1743" w:type="dxa"/>
          </w:tcPr>
          <w:p w14:paraId="6978E24C" w14:textId="77777777" w:rsidR="00B85C9C" w:rsidRPr="00AF3C40" w:rsidRDefault="00B85C9C" w:rsidP="00CA6F03">
            <w:pPr>
              <w:rPr>
                <w:rFonts w:asciiTheme="majorBidi" w:hAnsiTheme="majorBidi" w:cstheme="majorBidi"/>
                <w:sz w:val="20"/>
                <w:szCs w:val="20"/>
              </w:rPr>
            </w:pPr>
            <w:r w:rsidRPr="00AF3C40">
              <w:rPr>
                <w:rFonts w:asciiTheme="majorBidi" w:hAnsiTheme="majorBidi" w:cstheme="majorBidi"/>
                <w:sz w:val="20"/>
                <w:szCs w:val="20"/>
              </w:rPr>
              <w:t>Frazer et al (2019)</w:t>
            </w:r>
          </w:p>
          <w:p w14:paraId="3B94E7BB" w14:textId="77777777" w:rsidR="00B85C9C" w:rsidRPr="00270697" w:rsidRDefault="00B85C9C" w:rsidP="008B50C6">
            <w:pPr>
              <w:rPr>
                <w:rFonts w:asciiTheme="majorBidi" w:hAnsiTheme="majorBidi" w:cstheme="majorBidi"/>
                <w:sz w:val="20"/>
                <w:szCs w:val="20"/>
              </w:rPr>
            </w:pPr>
          </w:p>
        </w:tc>
        <w:tc>
          <w:tcPr>
            <w:tcW w:w="1743" w:type="dxa"/>
          </w:tcPr>
          <w:p w14:paraId="5A8AC381"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Systematic review of literature (to March 2018) on </w:t>
            </w:r>
            <w:r w:rsidRPr="000C0BED">
              <w:rPr>
                <w:rFonts w:asciiTheme="majorBidi" w:hAnsiTheme="majorBidi" w:cstheme="majorBidi"/>
                <w:sz w:val="20"/>
                <w:szCs w:val="20"/>
              </w:rPr>
              <w:t xml:space="preserve">interventions to improve safety or quality </w:t>
            </w:r>
            <w:r>
              <w:rPr>
                <w:rFonts w:asciiTheme="majorBidi" w:hAnsiTheme="majorBidi" w:cstheme="majorBidi"/>
                <w:sz w:val="20"/>
                <w:szCs w:val="20"/>
              </w:rPr>
              <w:t xml:space="preserve">of </w:t>
            </w:r>
            <w:r w:rsidRPr="000C0BED">
              <w:rPr>
                <w:rFonts w:asciiTheme="majorBidi" w:hAnsiTheme="majorBidi" w:cstheme="majorBidi"/>
                <w:sz w:val="20"/>
                <w:szCs w:val="20"/>
              </w:rPr>
              <w:t>anticoagulant prescribing</w:t>
            </w:r>
            <w:r>
              <w:rPr>
                <w:rFonts w:asciiTheme="majorBidi" w:hAnsiTheme="majorBidi" w:cstheme="majorBidi"/>
                <w:sz w:val="20"/>
                <w:szCs w:val="20"/>
              </w:rPr>
              <w:t xml:space="preserve"> </w:t>
            </w:r>
          </w:p>
          <w:p w14:paraId="187B0C2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(19 controlled trials included, n = 12,742)</w:t>
            </w:r>
          </w:p>
        </w:tc>
        <w:tc>
          <w:tcPr>
            <w:tcW w:w="1471" w:type="dxa"/>
          </w:tcPr>
          <w:p w14:paraId="438DD0F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Hospital inpatients </w:t>
            </w:r>
          </w:p>
        </w:tc>
        <w:tc>
          <w:tcPr>
            <w:tcW w:w="1701" w:type="dxa"/>
          </w:tcPr>
          <w:p w14:paraId="32957DCD" w14:textId="77777777" w:rsidR="00B85C9C" w:rsidRPr="008D6755" w:rsidRDefault="00B85C9C" w:rsidP="00CA6F03">
            <w:pPr>
              <w:rPr>
                <w:rFonts w:asciiTheme="majorBidi" w:hAnsiTheme="majorBidi" w:cstheme="majorBidi"/>
                <w:sz w:val="20"/>
                <w:szCs w:val="20"/>
              </w:rPr>
            </w:pPr>
            <w:r w:rsidRPr="00856C45">
              <w:rPr>
                <w:rFonts w:asciiTheme="majorBidi" w:hAnsiTheme="majorBidi" w:cstheme="majorBidi"/>
                <w:b/>
                <w:bCs/>
                <w:sz w:val="20"/>
                <w:szCs w:val="20"/>
              </w:rPr>
              <w:t>Interventions to improve safety and quality of anticoagulant prescribing</w:t>
            </w:r>
            <w:r>
              <w:rPr>
                <w:rFonts w:asciiTheme="majorBidi" w:hAnsiTheme="majorBidi" w:cstheme="majorBidi"/>
                <w:sz w:val="20"/>
                <w:szCs w:val="20"/>
              </w:rPr>
              <w:t xml:space="preserve"> for therapeutic interventions</w:t>
            </w:r>
          </w:p>
        </w:tc>
        <w:tc>
          <w:tcPr>
            <w:tcW w:w="1701" w:type="dxa"/>
          </w:tcPr>
          <w:p w14:paraId="2C07E98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intervention, usual care, or another intervention</w:t>
            </w:r>
          </w:p>
        </w:tc>
        <w:tc>
          <w:tcPr>
            <w:tcW w:w="3543" w:type="dxa"/>
          </w:tcPr>
          <w:p w14:paraId="4697BC62" w14:textId="77777777" w:rsidR="00B85C9C" w:rsidRDefault="00B85C9C" w:rsidP="00CA6F03">
            <w:pPr>
              <w:rPr>
                <w:rFonts w:asciiTheme="majorBidi" w:hAnsiTheme="majorBidi" w:cstheme="majorBidi"/>
                <w:sz w:val="20"/>
                <w:szCs w:val="20"/>
              </w:rPr>
            </w:pPr>
            <w:r w:rsidRPr="00C038F0">
              <w:rPr>
                <w:rFonts w:asciiTheme="majorBidi" w:hAnsiTheme="majorBidi" w:cstheme="majorBidi"/>
                <w:b/>
                <w:bCs/>
                <w:sz w:val="20"/>
                <w:szCs w:val="20"/>
              </w:rPr>
              <w:t>Physician-led anticoagulation consultation services</w:t>
            </w:r>
            <w:r w:rsidRPr="00C038F0">
              <w:rPr>
                <w:rFonts w:asciiTheme="majorBidi" w:hAnsiTheme="majorBidi" w:cstheme="majorBidi"/>
                <w:sz w:val="20"/>
                <w:szCs w:val="20"/>
              </w:rPr>
              <w:t xml:space="preserve"> may reduce bleeding rates in high-risk patients. </w:t>
            </w:r>
          </w:p>
          <w:p w14:paraId="4622E699" w14:textId="77777777" w:rsidR="00B85C9C" w:rsidRDefault="00B85C9C" w:rsidP="00CA6F03">
            <w:pPr>
              <w:rPr>
                <w:rFonts w:asciiTheme="majorBidi" w:hAnsiTheme="majorBidi" w:cstheme="majorBidi"/>
                <w:sz w:val="20"/>
                <w:szCs w:val="20"/>
              </w:rPr>
            </w:pPr>
          </w:p>
          <w:p w14:paraId="43F5641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M</w:t>
            </w:r>
            <w:r w:rsidRPr="00C038F0">
              <w:rPr>
                <w:rFonts w:asciiTheme="majorBidi" w:hAnsiTheme="majorBidi" w:cstheme="majorBidi"/>
                <w:sz w:val="20"/>
                <w:szCs w:val="20"/>
              </w:rPr>
              <w:t>eta</w:t>
            </w:r>
            <w:r>
              <w:rPr>
                <w:rFonts w:asciiTheme="majorBidi" w:hAnsiTheme="majorBidi" w:cstheme="majorBidi"/>
                <w:sz w:val="20"/>
                <w:szCs w:val="20"/>
              </w:rPr>
              <w:t>-</w:t>
            </w:r>
            <w:r w:rsidRPr="00C038F0">
              <w:rPr>
                <w:rFonts w:asciiTheme="majorBidi" w:hAnsiTheme="majorBidi" w:cstheme="majorBidi"/>
                <w:sz w:val="20"/>
                <w:szCs w:val="20"/>
              </w:rPr>
              <w:t>analysis</w:t>
            </w:r>
            <w:r>
              <w:rPr>
                <w:rFonts w:asciiTheme="majorBidi" w:hAnsiTheme="majorBidi" w:cstheme="majorBidi"/>
                <w:sz w:val="20"/>
                <w:szCs w:val="20"/>
              </w:rPr>
              <w:t xml:space="preserve"> found </w:t>
            </w:r>
            <w:r w:rsidRPr="00C038F0">
              <w:rPr>
                <w:rFonts w:asciiTheme="majorBidi" w:hAnsiTheme="majorBidi" w:cstheme="majorBidi"/>
                <w:b/>
                <w:bCs/>
                <w:sz w:val="20"/>
                <w:szCs w:val="20"/>
              </w:rPr>
              <w:t>decision supported warfarin dosing</w:t>
            </w:r>
            <w:r w:rsidRPr="00C038F0">
              <w:rPr>
                <w:rFonts w:asciiTheme="majorBidi" w:hAnsiTheme="majorBidi" w:cstheme="majorBidi"/>
                <w:sz w:val="20"/>
                <w:szCs w:val="20"/>
              </w:rPr>
              <w:t xml:space="preserve"> resulted in higher proportion of time with </w:t>
            </w:r>
            <w:r>
              <w:rPr>
                <w:rFonts w:asciiTheme="majorBidi" w:hAnsiTheme="majorBidi" w:cstheme="majorBidi"/>
                <w:sz w:val="20"/>
                <w:szCs w:val="20"/>
              </w:rPr>
              <w:t>INR</w:t>
            </w:r>
            <w:r w:rsidRPr="00C038F0">
              <w:rPr>
                <w:rFonts w:asciiTheme="majorBidi" w:hAnsiTheme="majorBidi" w:cstheme="majorBidi"/>
                <w:sz w:val="20"/>
                <w:szCs w:val="20"/>
              </w:rPr>
              <w:t xml:space="preserve"> in therapeutic</w:t>
            </w:r>
            <w:r>
              <w:rPr>
                <w:rFonts w:asciiTheme="majorBidi" w:hAnsiTheme="majorBidi" w:cstheme="majorBidi"/>
                <w:sz w:val="20"/>
                <w:szCs w:val="20"/>
              </w:rPr>
              <w:t xml:space="preserve"> </w:t>
            </w:r>
            <w:r w:rsidRPr="00C038F0">
              <w:rPr>
                <w:rFonts w:asciiTheme="majorBidi" w:hAnsiTheme="majorBidi" w:cstheme="majorBidi"/>
                <w:sz w:val="20"/>
                <w:szCs w:val="20"/>
              </w:rPr>
              <w:t xml:space="preserve">range (p = 0.0007). </w:t>
            </w:r>
          </w:p>
          <w:p w14:paraId="380E488F" w14:textId="77777777" w:rsidR="00B85C9C" w:rsidRDefault="00B85C9C" w:rsidP="00CA6F03">
            <w:pPr>
              <w:rPr>
                <w:rFonts w:asciiTheme="majorBidi" w:hAnsiTheme="majorBidi" w:cstheme="majorBidi"/>
                <w:sz w:val="20"/>
                <w:szCs w:val="20"/>
              </w:rPr>
            </w:pPr>
          </w:p>
          <w:p w14:paraId="17026D3E"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Other CDSS </w:t>
            </w:r>
            <w:r w:rsidRPr="00C038F0">
              <w:rPr>
                <w:rFonts w:asciiTheme="majorBidi" w:hAnsiTheme="majorBidi" w:cstheme="majorBidi"/>
                <w:sz w:val="20"/>
                <w:szCs w:val="20"/>
              </w:rPr>
              <w:t>and heparin</w:t>
            </w:r>
            <w:r>
              <w:rPr>
                <w:rFonts w:asciiTheme="majorBidi" w:hAnsiTheme="majorBidi" w:cstheme="majorBidi"/>
                <w:sz w:val="20"/>
                <w:szCs w:val="20"/>
              </w:rPr>
              <w:t xml:space="preserve"> </w:t>
            </w:r>
            <w:r w:rsidRPr="00C038F0">
              <w:rPr>
                <w:rFonts w:asciiTheme="majorBidi" w:hAnsiTheme="majorBidi" w:cstheme="majorBidi"/>
                <w:sz w:val="20"/>
                <w:szCs w:val="20"/>
              </w:rPr>
              <w:t>monitoring systems did not</w:t>
            </w:r>
            <w:r>
              <w:rPr>
                <w:rFonts w:asciiTheme="majorBidi" w:hAnsiTheme="majorBidi" w:cstheme="majorBidi"/>
                <w:sz w:val="20"/>
                <w:szCs w:val="20"/>
              </w:rPr>
              <w:t xml:space="preserve"> </w:t>
            </w:r>
            <w:r w:rsidRPr="00C038F0">
              <w:rPr>
                <w:rFonts w:asciiTheme="majorBidi" w:hAnsiTheme="majorBidi" w:cstheme="majorBidi"/>
                <w:sz w:val="20"/>
                <w:szCs w:val="20"/>
              </w:rPr>
              <w:t>demonstrate</w:t>
            </w:r>
            <w:r>
              <w:rPr>
                <w:rFonts w:asciiTheme="majorBidi" w:hAnsiTheme="majorBidi" w:cstheme="majorBidi"/>
                <w:sz w:val="20"/>
                <w:szCs w:val="20"/>
              </w:rPr>
              <w:t xml:space="preserve"> </w:t>
            </w:r>
            <w:r w:rsidRPr="00C038F0">
              <w:rPr>
                <w:rFonts w:asciiTheme="majorBidi" w:hAnsiTheme="majorBidi" w:cstheme="majorBidi"/>
                <w:sz w:val="20"/>
                <w:szCs w:val="20"/>
              </w:rPr>
              <w:t>improved safety, and quality findings were inconsistent.</w:t>
            </w:r>
          </w:p>
          <w:p w14:paraId="5325AE73" w14:textId="77777777" w:rsidR="00B85C9C" w:rsidRDefault="00B85C9C" w:rsidP="00CA6F03">
            <w:pPr>
              <w:rPr>
                <w:rFonts w:asciiTheme="majorBidi" w:hAnsiTheme="majorBidi" w:cstheme="majorBidi"/>
                <w:sz w:val="20"/>
                <w:szCs w:val="20"/>
              </w:rPr>
            </w:pPr>
          </w:p>
          <w:p w14:paraId="67A26431" w14:textId="77777777" w:rsidR="00B85C9C" w:rsidRDefault="00B85C9C" w:rsidP="00CA6F03">
            <w:pPr>
              <w:rPr>
                <w:rFonts w:asciiTheme="majorBidi" w:hAnsiTheme="majorBidi" w:cstheme="majorBidi"/>
                <w:sz w:val="20"/>
                <w:szCs w:val="20"/>
              </w:rPr>
            </w:pPr>
            <w:r w:rsidRPr="00C038F0">
              <w:rPr>
                <w:rFonts w:asciiTheme="majorBidi" w:hAnsiTheme="majorBidi" w:cstheme="majorBidi"/>
                <w:b/>
                <w:bCs/>
                <w:sz w:val="20"/>
                <w:szCs w:val="20"/>
              </w:rPr>
              <w:t>Systematic education and feedback programs were not efficacious</w:t>
            </w:r>
            <w:r w:rsidRPr="00C038F0">
              <w:rPr>
                <w:rFonts w:asciiTheme="majorBidi" w:hAnsiTheme="majorBidi" w:cstheme="majorBidi"/>
                <w:sz w:val="20"/>
                <w:szCs w:val="20"/>
              </w:rPr>
              <w:t>.</w:t>
            </w:r>
          </w:p>
          <w:p w14:paraId="5BEA93A6" w14:textId="77777777" w:rsidR="00B85C9C" w:rsidRDefault="00B85C9C" w:rsidP="00CA6F03">
            <w:pPr>
              <w:rPr>
                <w:rFonts w:asciiTheme="majorBidi" w:hAnsiTheme="majorBidi" w:cstheme="majorBidi"/>
                <w:sz w:val="20"/>
                <w:szCs w:val="20"/>
              </w:rPr>
            </w:pPr>
          </w:p>
          <w:p w14:paraId="1C6CE832" w14:textId="02AB462D" w:rsidR="00B85C9C" w:rsidRPr="008D6755" w:rsidRDefault="00B85C9C">
            <w:pPr>
              <w:rPr>
                <w:rFonts w:asciiTheme="majorBidi" w:hAnsiTheme="majorBidi" w:cstheme="majorBidi"/>
                <w:sz w:val="20"/>
                <w:szCs w:val="20"/>
              </w:rPr>
            </w:pPr>
            <w:r>
              <w:rPr>
                <w:rFonts w:asciiTheme="majorBidi" w:hAnsiTheme="majorBidi" w:cstheme="majorBidi"/>
                <w:sz w:val="20"/>
                <w:szCs w:val="20"/>
              </w:rPr>
              <w:t>The authors noted that: “</w:t>
            </w:r>
            <w:r w:rsidRPr="007D3064">
              <w:rPr>
                <w:rFonts w:asciiTheme="majorBidi" w:hAnsiTheme="majorBidi" w:cstheme="majorBidi"/>
                <w:sz w:val="20"/>
                <w:szCs w:val="20"/>
              </w:rPr>
              <w:t>While there is insufficient evidence</w:t>
            </w:r>
            <w:r>
              <w:rPr>
                <w:rFonts w:asciiTheme="majorBidi" w:hAnsiTheme="majorBidi" w:cstheme="majorBidi"/>
                <w:sz w:val="20"/>
                <w:szCs w:val="20"/>
              </w:rPr>
              <w:t xml:space="preserve"> </w:t>
            </w:r>
            <w:r w:rsidRPr="007D3064">
              <w:rPr>
                <w:rFonts w:asciiTheme="majorBidi" w:hAnsiTheme="majorBidi" w:cstheme="majorBidi"/>
                <w:sz w:val="20"/>
                <w:szCs w:val="20"/>
              </w:rPr>
              <w:t>to recommend widespread implementation of inpatient</w:t>
            </w:r>
            <w:r>
              <w:rPr>
                <w:rFonts w:asciiTheme="majorBidi" w:hAnsiTheme="majorBidi" w:cstheme="majorBidi"/>
                <w:sz w:val="20"/>
                <w:szCs w:val="20"/>
              </w:rPr>
              <w:t xml:space="preserve"> </w:t>
            </w:r>
            <w:r w:rsidRPr="007D3064">
              <w:rPr>
                <w:rFonts w:asciiTheme="majorBidi" w:hAnsiTheme="majorBidi" w:cstheme="majorBidi"/>
                <w:sz w:val="20"/>
                <w:szCs w:val="20"/>
              </w:rPr>
              <w:t>anticoagulation consultation services on the basis of this single</w:t>
            </w:r>
            <w:r>
              <w:rPr>
                <w:rFonts w:asciiTheme="majorBidi" w:hAnsiTheme="majorBidi" w:cstheme="majorBidi"/>
                <w:sz w:val="20"/>
                <w:szCs w:val="20"/>
              </w:rPr>
              <w:t xml:space="preserve"> </w:t>
            </w:r>
            <w:r w:rsidRPr="007D3064">
              <w:rPr>
                <w:rFonts w:asciiTheme="majorBidi" w:hAnsiTheme="majorBidi" w:cstheme="majorBidi"/>
                <w:sz w:val="20"/>
                <w:szCs w:val="20"/>
              </w:rPr>
              <w:t>study</w:t>
            </w:r>
            <w:r>
              <w:rPr>
                <w:rFonts w:asciiTheme="majorBidi" w:hAnsiTheme="majorBidi" w:cstheme="majorBidi"/>
                <w:sz w:val="20"/>
                <w:szCs w:val="20"/>
              </w:rPr>
              <w:t xml:space="preserve"> (</w:t>
            </w:r>
            <w:r w:rsidRPr="007D3064">
              <w:rPr>
                <w:rFonts w:asciiTheme="majorBidi" w:hAnsiTheme="majorBidi" w:cstheme="majorBidi"/>
                <w:b/>
                <w:bCs/>
                <w:sz w:val="20"/>
                <w:szCs w:val="20"/>
              </w:rPr>
              <w:t>Landefeld et al 1992</w:t>
            </w:r>
            <w:r>
              <w:rPr>
                <w:rFonts w:asciiTheme="majorBidi" w:hAnsiTheme="majorBidi" w:cstheme="majorBidi"/>
                <w:sz w:val="20"/>
                <w:szCs w:val="20"/>
              </w:rPr>
              <w:t>)</w:t>
            </w:r>
            <w:r w:rsidRPr="007D3064">
              <w:rPr>
                <w:rFonts w:asciiTheme="majorBidi" w:hAnsiTheme="majorBidi" w:cstheme="majorBidi"/>
                <w:sz w:val="20"/>
                <w:szCs w:val="20"/>
              </w:rPr>
              <w:t>, support from observational</w:t>
            </w:r>
            <w:r>
              <w:rPr>
                <w:rFonts w:asciiTheme="majorBidi" w:hAnsiTheme="majorBidi" w:cstheme="majorBidi"/>
                <w:sz w:val="20"/>
                <w:szCs w:val="20"/>
              </w:rPr>
              <w:t xml:space="preserve"> </w:t>
            </w:r>
            <w:r w:rsidRPr="007D3064">
              <w:rPr>
                <w:rFonts w:asciiTheme="majorBidi" w:hAnsiTheme="majorBidi" w:cstheme="majorBidi"/>
                <w:sz w:val="20"/>
                <w:szCs w:val="20"/>
              </w:rPr>
              <w:t>studies</w:t>
            </w:r>
            <w:r>
              <w:rPr>
                <w:rFonts w:asciiTheme="majorBidi" w:hAnsiTheme="majorBidi" w:cstheme="majorBidi"/>
                <w:sz w:val="20"/>
                <w:szCs w:val="20"/>
              </w:rPr>
              <w:t>,</w:t>
            </w:r>
            <w:r w:rsidRPr="007D3064">
              <w:rPr>
                <w:rFonts w:asciiTheme="majorBidi" w:hAnsiTheme="majorBidi" w:cstheme="majorBidi"/>
                <w:sz w:val="20"/>
                <w:szCs w:val="20"/>
              </w:rPr>
              <w:t xml:space="preserve"> and</w:t>
            </w:r>
            <w:r>
              <w:rPr>
                <w:rFonts w:asciiTheme="majorBidi" w:hAnsiTheme="majorBidi" w:cstheme="majorBidi"/>
                <w:sz w:val="20"/>
                <w:szCs w:val="20"/>
              </w:rPr>
              <w:t xml:space="preserve"> </w:t>
            </w:r>
            <w:r w:rsidRPr="007D3064">
              <w:rPr>
                <w:rFonts w:asciiTheme="majorBidi" w:hAnsiTheme="majorBidi" w:cstheme="majorBidi"/>
                <w:sz w:val="20"/>
                <w:szCs w:val="20"/>
              </w:rPr>
              <w:t>high</w:t>
            </w:r>
            <w:r>
              <w:rPr>
                <w:rFonts w:asciiTheme="majorBidi" w:hAnsiTheme="majorBidi" w:cstheme="majorBidi"/>
                <w:sz w:val="20"/>
                <w:szCs w:val="20"/>
              </w:rPr>
              <w:t>-</w:t>
            </w:r>
            <w:r w:rsidRPr="007D3064">
              <w:rPr>
                <w:rFonts w:asciiTheme="majorBidi" w:hAnsiTheme="majorBidi" w:cstheme="majorBidi"/>
                <w:sz w:val="20"/>
                <w:szCs w:val="20"/>
              </w:rPr>
              <w:t>level evidence of the utility of consultation</w:t>
            </w:r>
            <w:r>
              <w:rPr>
                <w:rFonts w:asciiTheme="majorBidi" w:hAnsiTheme="majorBidi" w:cstheme="majorBidi"/>
                <w:sz w:val="20"/>
                <w:szCs w:val="20"/>
              </w:rPr>
              <w:t xml:space="preserve"> </w:t>
            </w:r>
            <w:r w:rsidRPr="007D3064">
              <w:rPr>
                <w:rFonts w:asciiTheme="majorBidi" w:hAnsiTheme="majorBidi" w:cstheme="majorBidi"/>
                <w:sz w:val="20"/>
                <w:szCs w:val="20"/>
              </w:rPr>
              <w:t>systems in</w:t>
            </w:r>
            <w:r>
              <w:rPr>
                <w:rFonts w:asciiTheme="majorBidi" w:hAnsiTheme="majorBidi" w:cstheme="majorBidi"/>
                <w:sz w:val="20"/>
                <w:szCs w:val="20"/>
              </w:rPr>
              <w:t xml:space="preserve"> </w:t>
            </w:r>
            <w:r w:rsidRPr="007D3064">
              <w:rPr>
                <w:rFonts w:asciiTheme="majorBidi" w:hAnsiTheme="majorBidi" w:cstheme="majorBidi"/>
                <w:sz w:val="20"/>
                <w:szCs w:val="20"/>
              </w:rPr>
              <w:t>other contexts (such as</w:t>
            </w:r>
            <w:r>
              <w:rPr>
                <w:rFonts w:asciiTheme="majorBidi" w:hAnsiTheme="majorBidi" w:cstheme="majorBidi"/>
                <w:sz w:val="20"/>
                <w:szCs w:val="20"/>
              </w:rPr>
              <w:t xml:space="preserve"> </w:t>
            </w:r>
            <w:r w:rsidRPr="007D3064">
              <w:rPr>
                <w:rFonts w:asciiTheme="majorBidi" w:hAnsiTheme="majorBidi" w:cstheme="majorBidi"/>
                <w:sz w:val="20"/>
                <w:szCs w:val="20"/>
              </w:rPr>
              <w:t>outpatient</w:t>
            </w:r>
            <w:r>
              <w:rPr>
                <w:rFonts w:asciiTheme="majorBidi" w:hAnsiTheme="majorBidi" w:cstheme="majorBidi"/>
                <w:sz w:val="20"/>
                <w:szCs w:val="20"/>
              </w:rPr>
              <w:t>-</w:t>
            </w:r>
            <w:r w:rsidRPr="007D3064">
              <w:rPr>
                <w:rFonts w:asciiTheme="majorBidi" w:hAnsiTheme="majorBidi" w:cstheme="majorBidi"/>
                <w:sz w:val="20"/>
                <w:szCs w:val="20"/>
              </w:rPr>
              <w:t>based anticoagulation</w:t>
            </w:r>
            <w:r>
              <w:rPr>
                <w:rFonts w:asciiTheme="majorBidi" w:hAnsiTheme="majorBidi" w:cstheme="majorBidi"/>
                <w:sz w:val="20"/>
                <w:szCs w:val="20"/>
              </w:rPr>
              <w:t xml:space="preserve"> </w:t>
            </w:r>
            <w:r w:rsidRPr="007D3064">
              <w:rPr>
                <w:rFonts w:asciiTheme="majorBidi" w:hAnsiTheme="majorBidi" w:cstheme="majorBidi"/>
                <w:sz w:val="20"/>
                <w:szCs w:val="20"/>
              </w:rPr>
              <w:t>clinics and antimicrobial</w:t>
            </w:r>
            <w:r>
              <w:rPr>
                <w:rFonts w:asciiTheme="majorBidi" w:hAnsiTheme="majorBidi" w:cstheme="majorBidi"/>
                <w:sz w:val="20"/>
                <w:szCs w:val="20"/>
              </w:rPr>
              <w:t xml:space="preserve"> </w:t>
            </w:r>
            <w:r w:rsidRPr="007D3064">
              <w:rPr>
                <w:rFonts w:asciiTheme="majorBidi" w:hAnsiTheme="majorBidi" w:cstheme="majorBidi"/>
                <w:sz w:val="20"/>
                <w:szCs w:val="20"/>
              </w:rPr>
              <w:t>stewardship) suggest further</w:t>
            </w:r>
            <w:r>
              <w:rPr>
                <w:rFonts w:asciiTheme="majorBidi" w:hAnsiTheme="majorBidi" w:cstheme="majorBidi"/>
                <w:sz w:val="20"/>
                <w:szCs w:val="20"/>
              </w:rPr>
              <w:t xml:space="preserve"> </w:t>
            </w:r>
            <w:r w:rsidRPr="007D3064">
              <w:rPr>
                <w:rFonts w:asciiTheme="majorBidi" w:hAnsiTheme="majorBidi" w:cstheme="majorBidi"/>
                <w:sz w:val="20"/>
                <w:szCs w:val="20"/>
              </w:rPr>
              <w:t>RCTs are warranted. Establishing an anticoagulation consultation</w:t>
            </w:r>
            <w:r>
              <w:rPr>
                <w:rFonts w:asciiTheme="majorBidi" w:hAnsiTheme="majorBidi" w:cstheme="majorBidi"/>
                <w:sz w:val="20"/>
                <w:szCs w:val="20"/>
              </w:rPr>
              <w:t xml:space="preserve"> </w:t>
            </w:r>
            <w:r w:rsidRPr="007D3064">
              <w:rPr>
                <w:rFonts w:asciiTheme="majorBidi" w:hAnsiTheme="majorBidi" w:cstheme="majorBidi"/>
                <w:sz w:val="20"/>
                <w:szCs w:val="20"/>
              </w:rPr>
              <w:t>service is resource intensive, may only be viable in</w:t>
            </w:r>
            <w:r>
              <w:rPr>
                <w:rFonts w:asciiTheme="majorBidi" w:hAnsiTheme="majorBidi" w:cstheme="majorBidi"/>
                <w:sz w:val="20"/>
                <w:szCs w:val="20"/>
              </w:rPr>
              <w:t xml:space="preserve"> </w:t>
            </w:r>
            <w:r w:rsidRPr="007D3064">
              <w:rPr>
                <w:rFonts w:asciiTheme="majorBidi" w:hAnsiTheme="majorBidi" w:cstheme="majorBidi"/>
                <w:sz w:val="20"/>
                <w:szCs w:val="20"/>
              </w:rPr>
              <w:t>larger centres and cost-effectiveness is uncertain.</w:t>
            </w:r>
            <w:r>
              <w:rPr>
                <w:rFonts w:asciiTheme="majorBidi" w:hAnsiTheme="majorBidi" w:cstheme="majorBidi"/>
                <w:sz w:val="20"/>
                <w:szCs w:val="20"/>
              </w:rPr>
              <w:t>” (p.1654)</w:t>
            </w:r>
          </w:p>
        </w:tc>
        <w:tc>
          <w:tcPr>
            <w:tcW w:w="1560" w:type="dxa"/>
          </w:tcPr>
          <w:p w14:paraId="19148DB9"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No study evaluated prescribing of LMWH or DOACs </w:t>
            </w:r>
          </w:p>
          <w:p w14:paraId="448DB797" w14:textId="77777777" w:rsidR="00B85C9C" w:rsidRDefault="00B85C9C" w:rsidP="00CA6F03">
            <w:pPr>
              <w:rPr>
                <w:rFonts w:asciiTheme="majorBidi" w:hAnsiTheme="majorBidi" w:cstheme="majorBidi"/>
                <w:sz w:val="20"/>
                <w:szCs w:val="20"/>
              </w:rPr>
            </w:pPr>
          </w:p>
          <w:p w14:paraId="0BC8FD57" w14:textId="77777777" w:rsidR="00B85C9C" w:rsidRPr="00DC11C0" w:rsidRDefault="00B85C9C" w:rsidP="00CA6F03">
            <w:pPr>
              <w:rPr>
                <w:rFonts w:asciiTheme="majorBidi" w:hAnsiTheme="majorBidi" w:cstheme="majorBidi"/>
                <w:sz w:val="20"/>
                <w:szCs w:val="20"/>
              </w:rPr>
            </w:pPr>
            <w:r>
              <w:rPr>
                <w:rFonts w:asciiTheme="majorBidi" w:hAnsiTheme="majorBidi" w:cstheme="majorBidi"/>
                <w:sz w:val="20"/>
                <w:szCs w:val="20"/>
              </w:rPr>
              <w:t>Authors state: “</w:t>
            </w:r>
            <w:r w:rsidRPr="00DC11C0">
              <w:rPr>
                <w:rFonts w:asciiTheme="majorBidi" w:hAnsiTheme="majorBidi" w:cstheme="majorBidi"/>
                <w:sz w:val="20"/>
                <w:szCs w:val="20"/>
              </w:rPr>
              <w:t xml:space="preserve">There is currently </w:t>
            </w:r>
            <w:r w:rsidRPr="00DC11C0">
              <w:rPr>
                <w:rFonts w:asciiTheme="majorBidi" w:hAnsiTheme="majorBidi" w:cstheme="majorBidi"/>
                <w:b/>
                <w:bCs/>
                <w:sz w:val="20"/>
                <w:szCs w:val="20"/>
              </w:rPr>
              <w:t>insufficient high-quality evidence</w:t>
            </w:r>
            <w:r w:rsidRPr="00DC11C0">
              <w:rPr>
                <w:rFonts w:asciiTheme="majorBidi" w:hAnsiTheme="majorBidi" w:cstheme="majorBidi"/>
                <w:sz w:val="20"/>
                <w:szCs w:val="20"/>
              </w:rPr>
              <w:t xml:space="preserve"> to recommend any reviewed intervention, though several</w:t>
            </w:r>
          </w:p>
          <w:p w14:paraId="38ABB225" w14:textId="77777777" w:rsidR="00B85C9C" w:rsidRPr="008D6755" w:rsidRDefault="00B85C9C" w:rsidP="00CA6F03">
            <w:pPr>
              <w:rPr>
                <w:rFonts w:asciiTheme="majorBidi" w:hAnsiTheme="majorBidi" w:cstheme="majorBidi"/>
                <w:sz w:val="20"/>
                <w:szCs w:val="20"/>
              </w:rPr>
            </w:pPr>
            <w:r w:rsidRPr="00DC11C0">
              <w:rPr>
                <w:rFonts w:asciiTheme="majorBidi" w:hAnsiTheme="majorBidi" w:cstheme="majorBidi"/>
                <w:sz w:val="20"/>
                <w:szCs w:val="20"/>
              </w:rPr>
              <w:t>warrant closer evaluation</w:t>
            </w:r>
            <w:r>
              <w:rPr>
                <w:rFonts w:asciiTheme="majorBidi" w:hAnsiTheme="majorBidi" w:cstheme="majorBidi"/>
                <w:sz w:val="20"/>
                <w:szCs w:val="20"/>
              </w:rPr>
              <w:t>.”</w:t>
            </w:r>
          </w:p>
        </w:tc>
      </w:tr>
      <w:tr w:rsidR="00B85C9C" w:rsidRPr="008D6755" w14:paraId="3F6455EB" w14:textId="77777777" w:rsidTr="00CA6F03">
        <w:tc>
          <w:tcPr>
            <w:tcW w:w="1743" w:type="dxa"/>
          </w:tcPr>
          <w:p w14:paraId="3B2B0CC2" w14:textId="4D5BF61F" w:rsidR="00B85C9C" w:rsidRDefault="00B85C9C" w:rsidP="00CA6F03">
            <w:pPr>
              <w:rPr>
                <w:rFonts w:asciiTheme="majorBidi" w:hAnsiTheme="majorBidi" w:cstheme="majorBidi"/>
                <w:sz w:val="20"/>
                <w:szCs w:val="20"/>
              </w:rPr>
            </w:pPr>
            <w:r>
              <w:rPr>
                <w:rFonts w:asciiTheme="majorBidi" w:hAnsiTheme="majorBidi" w:cstheme="majorBidi"/>
                <w:sz w:val="20"/>
                <w:szCs w:val="20"/>
              </w:rPr>
              <w:t>Kahn et al 2018 (full text)</w:t>
            </w:r>
          </w:p>
          <w:p w14:paraId="7D9552A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&amp; </w:t>
            </w:r>
          </w:p>
          <w:p w14:paraId="6490CB40"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Kahn et al 2019 (abridged version)</w:t>
            </w:r>
          </w:p>
          <w:p w14:paraId="21D23663" w14:textId="5BFDF261" w:rsidR="00B85C9C" w:rsidRPr="008D6755" w:rsidRDefault="00B85C9C" w:rsidP="00CA6F03">
            <w:pPr>
              <w:rPr>
                <w:rFonts w:asciiTheme="majorBidi" w:hAnsiTheme="majorBidi" w:cstheme="majorBidi"/>
                <w:sz w:val="20"/>
                <w:szCs w:val="20"/>
              </w:rPr>
            </w:pPr>
          </w:p>
        </w:tc>
        <w:tc>
          <w:tcPr>
            <w:tcW w:w="1743" w:type="dxa"/>
          </w:tcPr>
          <w:p w14:paraId="187D292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Cochrane systematic review of RCTs </w:t>
            </w:r>
          </w:p>
          <w:p w14:paraId="14A108C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(13 studies included, n = 33,207)</w:t>
            </w:r>
          </w:p>
        </w:tc>
        <w:tc>
          <w:tcPr>
            <w:tcW w:w="1471" w:type="dxa"/>
          </w:tcPr>
          <w:p w14:paraId="00D9751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Hospitalized surgical and medical patients at risk of VTE</w:t>
            </w:r>
          </w:p>
        </w:tc>
        <w:tc>
          <w:tcPr>
            <w:tcW w:w="1701" w:type="dxa"/>
          </w:tcPr>
          <w:p w14:paraId="316D7D79" w14:textId="77777777" w:rsidR="00B85C9C" w:rsidRDefault="00B85C9C" w:rsidP="00CA6F03">
            <w:pPr>
              <w:rPr>
                <w:rFonts w:asciiTheme="majorBidi" w:hAnsiTheme="majorBidi" w:cstheme="majorBidi"/>
                <w:sz w:val="20"/>
                <w:szCs w:val="20"/>
              </w:rPr>
            </w:pPr>
            <w:r w:rsidRPr="00856C45">
              <w:rPr>
                <w:rFonts w:asciiTheme="majorBidi" w:hAnsiTheme="majorBidi" w:cstheme="majorBidi"/>
                <w:b/>
                <w:bCs/>
                <w:sz w:val="20"/>
                <w:szCs w:val="20"/>
              </w:rPr>
              <w:t>System-wide interventions</w:t>
            </w:r>
            <w:r>
              <w:rPr>
                <w:rFonts w:asciiTheme="majorBidi" w:hAnsiTheme="majorBidi" w:cstheme="majorBidi"/>
                <w:sz w:val="20"/>
                <w:szCs w:val="20"/>
              </w:rPr>
              <w:t xml:space="preserve"> such as alerts, multifaceted interventions, education, pre-printed orders </w:t>
            </w:r>
          </w:p>
          <w:p w14:paraId="50735270" w14:textId="77777777" w:rsidR="00B85C9C" w:rsidRPr="008D6755" w:rsidRDefault="00B85C9C" w:rsidP="00CA6F03">
            <w:pPr>
              <w:rPr>
                <w:rFonts w:asciiTheme="majorBidi" w:hAnsiTheme="majorBidi" w:cstheme="majorBidi"/>
                <w:sz w:val="20"/>
                <w:szCs w:val="20"/>
              </w:rPr>
            </w:pPr>
          </w:p>
        </w:tc>
        <w:tc>
          <w:tcPr>
            <w:tcW w:w="1701" w:type="dxa"/>
          </w:tcPr>
          <w:p w14:paraId="732E82F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intervention, existing policy, or another intervention</w:t>
            </w:r>
          </w:p>
        </w:tc>
        <w:tc>
          <w:tcPr>
            <w:tcW w:w="3543" w:type="dxa"/>
          </w:tcPr>
          <w:p w14:paraId="5A633205" w14:textId="77777777" w:rsidR="00B85C9C" w:rsidRDefault="00B85C9C" w:rsidP="00CA6F03">
            <w:pPr>
              <w:rPr>
                <w:rFonts w:asciiTheme="majorBidi" w:hAnsiTheme="majorBidi" w:cstheme="majorBidi"/>
                <w:sz w:val="20"/>
                <w:szCs w:val="20"/>
              </w:rPr>
            </w:pPr>
            <w:r w:rsidRPr="007C26C6">
              <w:rPr>
                <w:rFonts w:asciiTheme="majorBidi" w:hAnsiTheme="majorBidi" w:cstheme="majorBidi"/>
                <w:sz w:val="20"/>
                <w:szCs w:val="20"/>
              </w:rPr>
              <w:t>Alerts increased the proportion of patients</w:t>
            </w:r>
            <w:r>
              <w:rPr>
                <w:rFonts w:asciiTheme="majorBidi" w:hAnsiTheme="majorBidi" w:cstheme="majorBidi"/>
                <w:sz w:val="20"/>
                <w:szCs w:val="20"/>
              </w:rPr>
              <w:t xml:space="preserve"> </w:t>
            </w:r>
            <w:r w:rsidRPr="007C26C6">
              <w:rPr>
                <w:rFonts w:asciiTheme="majorBidi" w:hAnsiTheme="majorBidi" w:cstheme="majorBidi"/>
                <w:sz w:val="20"/>
                <w:szCs w:val="20"/>
              </w:rPr>
              <w:t>who received prophylaxis and appropriate prophylaxis and</w:t>
            </w:r>
            <w:r>
              <w:rPr>
                <w:rFonts w:asciiTheme="majorBidi" w:hAnsiTheme="majorBidi" w:cstheme="majorBidi"/>
                <w:sz w:val="20"/>
                <w:szCs w:val="20"/>
              </w:rPr>
              <w:t xml:space="preserve"> </w:t>
            </w:r>
            <w:r w:rsidRPr="007C26C6">
              <w:rPr>
                <w:rFonts w:asciiTheme="majorBidi" w:hAnsiTheme="majorBidi" w:cstheme="majorBidi"/>
                <w:sz w:val="20"/>
                <w:szCs w:val="20"/>
              </w:rPr>
              <w:t>decreased the incidence of</w:t>
            </w:r>
            <w:r>
              <w:rPr>
                <w:rFonts w:asciiTheme="majorBidi" w:hAnsiTheme="majorBidi" w:cstheme="majorBidi"/>
                <w:sz w:val="20"/>
                <w:szCs w:val="20"/>
              </w:rPr>
              <w:t xml:space="preserve"> </w:t>
            </w:r>
            <w:r w:rsidRPr="007C26C6">
              <w:rPr>
                <w:rFonts w:asciiTheme="majorBidi" w:hAnsiTheme="majorBidi" w:cstheme="majorBidi"/>
                <w:sz w:val="20"/>
                <w:szCs w:val="20"/>
              </w:rPr>
              <w:t>symptomatic VTE.</w:t>
            </w:r>
            <w:r>
              <w:rPr>
                <w:rFonts w:asciiTheme="majorBidi" w:hAnsiTheme="majorBidi" w:cstheme="majorBidi"/>
                <w:sz w:val="20"/>
                <w:szCs w:val="20"/>
              </w:rPr>
              <w:t xml:space="preserve"> </w:t>
            </w:r>
            <w:r w:rsidRPr="00AC0F43">
              <w:rPr>
                <w:rFonts w:asciiTheme="majorBidi" w:hAnsiTheme="majorBidi" w:cstheme="majorBidi"/>
                <w:b/>
                <w:bCs/>
                <w:sz w:val="20"/>
                <w:szCs w:val="20"/>
              </w:rPr>
              <w:t>Computer alerts were more effective than human alerts</w:t>
            </w:r>
            <w:r>
              <w:rPr>
                <w:rFonts w:asciiTheme="majorBidi" w:hAnsiTheme="majorBidi" w:cstheme="majorBidi"/>
                <w:sz w:val="20"/>
                <w:szCs w:val="20"/>
              </w:rPr>
              <w:t>.</w:t>
            </w:r>
            <w:r w:rsidRPr="007C26C6">
              <w:rPr>
                <w:rFonts w:asciiTheme="majorBidi" w:hAnsiTheme="majorBidi" w:cstheme="majorBidi"/>
                <w:sz w:val="20"/>
                <w:szCs w:val="20"/>
              </w:rPr>
              <w:t xml:space="preserve"> </w:t>
            </w:r>
          </w:p>
          <w:p w14:paraId="2A82C00F" w14:textId="77777777" w:rsidR="00B85C9C" w:rsidRDefault="00B85C9C" w:rsidP="00CA6F03">
            <w:pPr>
              <w:rPr>
                <w:rFonts w:asciiTheme="majorBidi" w:hAnsiTheme="majorBidi" w:cstheme="majorBidi"/>
                <w:sz w:val="20"/>
                <w:szCs w:val="20"/>
              </w:rPr>
            </w:pPr>
            <w:r w:rsidRPr="007C26C6">
              <w:rPr>
                <w:rFonts w:asciiTheme="majorBidi" w:hAnsiTheme="majorBidi" w:cstheme="majorBidi"/>
                <w:sz w:val="20"/>
                <w:szCs w:val="20"/>
              </w:rPr>
              <w:t>Multifaceted</w:t>
            </w:r>
            <w:r>
              <w:rPr>
                <w:rFonts w:asciiTheme="majorBidi" w:hAnsiTheme="majorBidi" w:cstheme="majorBidi"/>
                <w:sz w:val="20"/>
                <w:szCs w:val="20"/>
              </w:rPr>
              <w:t xml:space="preserve"> </w:t>
            </w:r>
            <w:r w:rsidRPr="007C26C6">
              <w:rPr>
                <w:rFonts w:asciiTheme="majorBidi" w:hAnsiTheme="majorBidi" w:cstheme="majorBidi"/>
                <w:sz w:val="20"/>
                <w:szCs w:val="20"/>
              </w:rPr>
              <w:t>interventions increased the proportion of patients who</w:t>
            </w:r>
            <w:r>
              <w:rPr>
                <w:rFonts w:asciiTheme="majorBidi" w:hAnsiTheme="majorBidi" w:cstheme="majorBidi"/>
                <w:sz w:val="20"/>
                <w:szCs w:val="20"/>
              </w:rPr>
              <w:t xml:space="preserve"> </w:t>
            </w:r>
            <w:r w:rsidRPr="007C26C6">
              <w:rPr>
                <w:rFonts w:asciiTheme="majorBidi" w:hAnsiTheme="majorBidi" w:cstheme="majorBidi"/>
                <w:sz w:val="20"/>
                <w:szCs w:val="20"/>
              </w:rPr>
              <w:t>received prophylaxis</w:t>
            </w:r>
            <w:r>
              <w:rPr>
                <w:rFonts w:asciiTheme="majorBidi" w:hAnsiTheme="majorBidi" w:cstheme="majorBidi"/>
                <w:sz w:val="20"/>
                <w:szCs w:val="20"/>
              </w:rPr>
              <w:t xml:space="preserve"> </w:t>
            </w:r>
            <w:r w:rsidRPr="007C26C6">
              <w:rPr>
                <w:rFonts w:asciiTheme="majorBidi" w:hAnsiTheme="majorBidi" w:cstheme="majorBidi"/>
                <w:sz w:val="20"/>
                <w:szCs w:val="20"/>
              </w:rPr>
              <w:t>but were less effective</w:t>
            </w:r>
            <w:r>
              <w:rPr>
                <w:rFonts w:asciiTheme="majorBidi" w:hAnsiTheme="majorBidi" w:cstheme="majorBidi"/>
                <w:sz w:val="20"/>
                <w:szCs w:val="20"/>
              </w:rPr>
              <w:t xml:space="preserve"> </w:t>
            </w:r>
            <w:r w:rsidRPr="007C26C6">
              <w:rPr>
                <w:rFonts w:asciiTheme="majorBidi" w:hAnsiTheme="majorBidi" w:cstheme="majorBidi"/>
                <w:sz w:val="20"/>
                <w:szCs w:val="20"/>
              </w:rPr>
              <w:t>than alerts</w:t>
            </w:r>
          </w:p>
          <w:p w14:paraId="750EDBE8" w14:textId="77777777" w:rsidR="00B85C9C" w:rsidRDefault="00B85C9C" w:rsidP="00CA6F03">
            <w:pPr>
              <w:rPr>
                <w:rFonts w:asciiTheme="majorBidi" w:hAnsiTheme="majorBidi" w:cstheme="majorBidi"/>
                <w:sz w:val="20"/>
                <w:szCs w:val="20"/>
              </w:rPr>
            </w:pPr>
          </w:p>
          <w:p w14:paraId="58BF4439" w14:textId="047F22F1" w:rsidR="00B85C9C" w:rsidRPr="008D6755" w:rsidRDefault="00B85C9C">
            <w:pPr>
              <w:rPr>
                <w:rFonts w:asciiTheme="majorBidi" w:hAnsiTheme="majorBidi" w:cstheme="majorBidi"/>
                <w:sz w:val="20"/>
                <w:szCs w:val="20"/>
              </w:rPr>
            </w:pPr>
            <w:r>
              <w:rPr>
                <w:rFonts w:asciiTheme="majorBidi" w:hAnsiTheme="majorBidi" w:cstheme="majorBidi"/>
                <w:sz w:val="20"/>
                <w:szCs w:val="20"/>
              </w:rPr>
              <w:t xml:space="preserve">There was </w:t>
            </w:r>
            <w:r w:rsidRPr="00856C45">
              <w:rPr>
                <w:rFonts w:asciiTheme="majorBidi" w:hAnsiTheme="majorBidi" w:cstheme="majorBidi"/>
                <w:b/>
                <w:bCs/>
                <w:sz w:val="20"/>
                <w:szCs w:val="20"/>
              </w:rPr>
              <w:t>absolute increase in the prescription of prophylaxis associated with alerts</w:t>
            </w:r>
            <w:r>
              <w:rPr>
                <w:rFonts w:asciiTheme="majorBidi" w:hAnsiTheme="majorBidi" w:cstheme="majorBidi"/>
                <w:sz w:val="20"/>
                <w:szCs w:val="20"/>
              </w:rPr>
              <w:t xml:space="preserve"> </w:t>
            </w:r>
            <w:r w:rsidRPr="007C26C6">
              <w:rPr>
                <w:rFonts w:asciiTheme="majorBidi" w:hAnsiTheme="majorBidi" w:cstheme="majorBidi"/>
                <w:sz w:val="20"/>
                <w:szCs w:val="20"/>
              </w:rPr>
              <w:t>(21% increase, 95% CI [15% to</w:t>
            </w:r>
            <w:r>
              <w:rPr>
                <w:rFonts w:asciiTheme="majorBidi" w:hAnsiTheme="majorBidi" w:cstheme="majorBidi"/>
                <w:sz w:val="20"/>
                <w:szCs w:val="20"/>
              </w:rPr>
              <w:t xml:space="preserve"> </w:t>
            </w:r>
            <w:r w:rsidRPr="007C26C6">
              <w:rPr>
                <w:rFonts w:asciiTheme="majorBidi" w:hAnsiTheme="majorBidi" w:cstheme="majorBidi"/>
                <w:sz w:val="20"/>
                <w:szCs w:val="20"/>
              </w:rPr>
              <w:t>275%]) and multifaceted</w:t>
            </w:r>
            <w:r>
              <w:rPr>
                <w:rFonts w:asciiTheme="majorBidi" w:hAnsiTheme="majorBidi" w:cstheme="majorBidi"/>
                <w:sz w:val="20"/>
                <w:szCs w:val="20"/>
              </w:rPr>
              <w:t xml:space="preserve"> </w:t>
            </w:r>
            <w:r w:rsidRPr="007C26C6">
              <w:rPr>
                <w:rFonts w:asciiTheme="majorBidi" w:hAnsiTheme="majorBidi" w:cstheme="majorBidi"/>
                <w:sz w:val="20"/>
                <w:szCs w:val="20"/>
              </w:rPr>
              <w:t>interventions (4% increase, 95% CI [3% to 11%]), absolute</w:t>
            </w:r>
            <w:r>
              <w:rPr>
                <w:rFonts w:asciiTheme="majorBidi" w:hAnsiTheme="majorBidi" w:cstheme="majorBidi"/>
                <w:sz w:val="20"/>
                <w:szCs w:val="20"/>
              </w:rPr>
              <w:t xml:space="preserve"> </w:t>
            </w:r>
            <w:r w:rsidRPr="007C26C6">
              <w:rPr>
                <w:rFonts w:asciiTheme="majorBidi" w:hAnsiTheme="majorBidi" w:cstheme="majorBidi"/>
                <w:sz w:val="20"/>
                <w:szCs w:val="20"/>
              </w:rPr>
              <w:t>increase in the prescription of appropriate</w:t>
            </w:r>
            <w:r>
              <w:rPr>
                <w:rFonts w:asciiTheme="majorBidi" w:hAnsiTheme="majorBidi" w:cstheme="majorBidi"/>
                <w:sz w:val="20"/>
                <w:szCs w:val="20"/>
              </w:rPr>
              <w:t xml:space="preserve"> </w:t>
            </w:r>
            <w:r w:rsidRPr="007C26C6">
              <w:rPr>
                <w:rFonts w:asciiTheme="majorBidi" w:hAnsiTheme="majorBidi" w:cstheme="majorBidi"/>
                <w:sz w:val="20"/>
                <w:szCs w:val="20"/>
              </w:rPr>
              <w:t>prophylaxis</w:t>
            </w:r>
            <w:r>
              <w:rPr>
                <w:rFonts w:asciiTheme="majorBidi" w:hAnsiTheme="majorBidi" w:cstheme="majorBidi"/>
                <w:sz w:val="20"/>
                <w:szCs w:val="20"/>
              </w:rPr>
              <w:t xml:space="preserve"> </w:t>
            </w:r>
            <w:r w:rsidRPr="007C26C6">
              <w:rPr>
                <w:rFonts w:asciiTheme="majorBidi" w:hAnsiTheme="majorBidi" w:cstheme="majorBidi"/>
                <w:sz w:val="20"/>
                <w:szCs w:val="20"/>
              </w:rPr>
              <w:t>associated with alerts (16% increase, 95% CI [12% to</w:t>
            </w:r>
            <w:r>
              <w:rPr>
                <w:rFonts w:asciiTheme="majorBidi" w:hAnsiTheme="majorBidi" w:cstheme="majorBidi"/>
                <w:sz w:val="20"/>
                <w:szCs w:val="20"/>
              </w:rPr>
              <w:t xml:space="preserve"> </w:t>
            </w:r>
            <w:r w:rsidRPr="007C26C6">
              <w:rPr>
                <w:rFonts w:asciiTheme="majorBidi" w:hAnsiTheme="majorBidi" w:cstheme="majorBidi"/>
                <w:sz w:val="20"/>
                <w:szCs w:val="20"/>
              </w:rPr>
              <w:t>20%])</w:t>
            </w:r>
            <w:r>
              <w:rPr>
                <w:rFonts w:asciiTheme="majorBidi" w:hAnsiTheme="majorBidi" w:cstheme="majorBidi"/>
                <w:sz w:val="20"/>
                <w:szCs w:val="20"/>
              </w:rPr>
              <w:t xml:space="preserve"> </w:t>
            </w:r>
            <w:r w:rsidRPr="007C26C6">
              <w:rPr>
                <w:rFonts w:asciiTheme="majorBidi" w:hAnsiTheme="majorBidi" w:cstheme="majorBidi"/>
                <w:sz w:val="20"/>
                <w:szCs w:val="20"/>
              </w:rPr>
              <w:t>and relative risk reductions (risk ratio 64%, 95% CI [47% to</w:t>
            </w:r>
            <w:r>
              <w:rPr>
                <w:rFonts w:asciiTheme="majorBidi" w:hAnsiTheme="majorBidi" w:cstheme="majorBidi"/>
                <w:sz w:val="20"/>
                <w:szCs w:val="20"/>
              </w:rPr>
              <w:t xml:space="preserve"> </w:t>
            </w:r>
            <w:r w:rsidRPr="007C26C6">
              <w:rPr>
                <w:rFonts w:asciiTheme="majorBidi" w:hAnsiTheme="majorBidi" w:cstheme="majorBidi"/>
                <w:sz w:val="20"/>
                <w:szCs w:val="20"/>
              </w:rPr>
              <w:t>86%]) in the incidence of</w:t>
            </w:r>
            <w:r>
              <w:rPr>
                <w:rFonts w:asciiTheme="majorBidi" w:hAnsiTheme="majorBidi" w:cstheme="majorBidi"/>
                <w:sz w:val="20"/>
                <w:szCs w:val="20"/>
              </w:rPr>
              <w:t xml:space="preserve"> </w:t>
            </w:r>
            <w:r w:rsidRPr="007C26C6">
              <w:rPr>
                <w:rFonts w:asciiTheme="majorBidi" w:hAnsiTheme="majorBidi" w:cstheme="majorBidi"/>
                <w:sz w:val="20"/>
                <w:szCs w:val="20"/>
              </w:rPr>
              <w:t>symptomatic VTE associated with</w:t>
            </w:r>
            <w:r>
              <w:rPr>
                <w:rFonts w:asciiTheme="majorBidi" w:hAnsiTheme="majorBidi" w:cstheme="majorBidi"/>
                <w:sz w:val="20"/>
                <w:szCs w:val="20"/>
              </w:rPr>
              <w:t xml:space="preserve"> </w:t>
            </w:r>
            <w:r w:rsidRPr="007C26C6">
              <w:rPr>
                <w:rFonts w:asciiTheme="majorBidi" w:hAnsiTheme="majorBidi" w:cstheme="majorBidi"/>
                <w:sz w:val="20"/>
                <w:szCs w:val="20"/>
              </w:rPr>
              <w:t>alerts</w:t>
            </w:r>
          </w:p>
        </w:tc>
        <w:tc>
          <w:tcPr>
            <w:tcW w:w="1560" w:type="dxa"/>
          </w:tcPr>
          <w:p w14:paraId="3CA9210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Authors state: “</w:t>
            </w:r>
            <w:r w:rsidRPr="000B7258">
              <w:rPr>
                <w:rFonts w:asciiTheme="majorBidi" w:hAnsiTheme="majorBidi" w:cstheme="majorBidi"/>
                <w:sz w:val="20"/>
                <w:szCs w:val="20"/>
              </w:rPr>
              <w:t>The quality of evidence for improvement</w:t>
            </w:r>
            <w:r>
              <w:rPr>
                <w:rFonts w:asciiTheme="majorBidi" w:hAnsiTheme="majorBidi" w:cstheme="majorBidi"/>
                <w:sz w:val="20"/>
                <w:szCs w:val="20"/>
              </w:rPr>
              <w:t xml:space="preserve"> </w:t>
            </w:r>
            <w:r w:rsidRPr="000B7258">
              <w:rPr>
                <w:rFonts w:asciiTheme="majorBidi" w:hAnsiTheme="majorBidi" w:cstheme="majorBidi"/>
                <w:sz w:val="20"/>
                <w:szCs w:val="20"/>
              </w:rPr>
              <w:t>in outcomes was judged to be low to moderate certainty</w:t>
            </w:r>
            <w:r>
              <w:rPr>
                <w:rFonts w:asciiTheme="majorBidi" w:hAnsiTheme="majorBidi" w:cstheme="majorBidi"/>
                <w:sz w:val="20"/>
                <w:szCs w:val="20"/>
              </w:rPr>
              <w:t>.”</w:t>
            </w:r>
          </w:p>
        </w:tc>
      </w:tr>
      <w:tr w:rsidR="00B85C9C" w:rsidRPr="008D6755" w14:paraId="4B761E82" w14:textId="77777777" w:rsidTr="00CA6F03">
        <w:tc>
          <w:tcPr>
            <w:tcW w:w="1743" w:type="dxa"/>
          </w:tcPr>
          <w:p w14:paraId="0740EC72" w14:textId="38485B64" w:rsidR="00B85C9C" w:rsidRPr="00B442C0" w:rsidRDefault="00B85C9C" w:rsidP="00CA6F03">
            <w:pPr>
              <w:rPr>
                <w:rFonts w:asciiTheme="majorBidi" w:hAnsiTheme="majorBidi" w:cstheme="majorBidi"/>
                <w:sz w:val="20"/>
                <w:szCs w:val="20"/>
              </w:rPr>
            </w:pPr>
            <w:r w:rsidRPr="00B442C0">
              <w:rPr>
                <w:rFonts w:asciiTheme="majorBidi" w:hAnsiTheme="majorBidi" w:cstheme="majorBidi"/>
                <w:sz w:val="20"/>
                <w:szCs w:val="20"/>
              </w:rPr>
              <w:t xml:space="preserve">Lee et al 2016 </w:t>
            </w:r>
          </w:p>
          <w:p w14:paraId="60BB7D3F" w14:textId="77777777" w:rsidR="00B85C9C" w:rsidRPr="00B442C0" w:rsidRDefault="00B85C9C" w:rsidP="00CA6F03">
            <w:pPr>
              <w:rPr>
                <w:rFonts w:asciiTheme="majorBidi" w:hAnsiTheme="majorBidi" w:cstheme="majorBidi"/>
                <w:sz w:val="20"/>
                <w:szCs w:val="20"/>
              </w:rPr>
            </w:pPr>
          </w:p>
        </w:tc>
        <w:tc>
          <w:tcPr>
            <w:tcW w:w="1743" w:type="dxa"/>
          </w:tcPr>
          <w:p w14:paraId="13C0BDB2" w14:textId="77777777" w:rsidR="00B85C9C" w:rsidRPr="00B442C0" w:rsidRDefault="00B85C9C" w:rsidP="00CA6F03">
            <w:pPr>
              <w:rPr>
                <w:rFonts w:asciiTheme="majorBidi" w:hAnsiTheme="majorBidi" w:cstheme="majorBidi"/>
                <w:sz w:val="20"/>
                <w:szCs w:val="20"/>
              </w:rPr>
            </w:pPr>
            <w:r w:rsidRPr="00B442C0">
              <w:rPr>
                <w:rFonts w:asciiTheme="majorBidi" w:hAnsiTheme="majorBidi" w:cstheme="majorBidi"/>
                <w:sz w:val="20"/>
                <w:szCs w:val="20"/>
              </w:rPr>
              <w:t>Narrative review of literature on clinical impact of pharmacist-led anticoagulation services to evaluate efficacy and safety</w:t>
            </w:r>
          </w:p>
          <w:p w14:paraId="643A070A" w14:textId="77777777" w:rsidR="00B85C9C" w:rsidRPr="00B442C0" w:rsidRDefault="00B85C9C" w:rsidP="00CA6F03">
            <w:pPr>
              <w:rPr>
                <w:rFonts w:asciiTheme="majorBidi" w:hAnsiTheme="majorBidi" w:cstheme="majorBidi"/>
                <w:sz w:val="20"/>
                <w:szCs w:val="20"/>
              </w:rPr>
            </w:pPr>
          </w:p>
        </w:tc>
        <w:tc>
          <w:tcPr>
            <w:tcW w:w="1471" w:type="dxa"/>
          </w:tcPr>
          <w:p w14:paraId="212CFF60"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w:t>
            </w:r>
            <w:r w:rsidRPr="00DC135C">
              <w:rPr>
                <w:rFonts w:asciiTheme="majorBidi" w:hAnsiTheme="majorBidi" w:cstheme="majorBidi"/>
                <w:sz w:val="20"/>
                <w:szCs w:val="20"/>
              </w:rPr>
              <w:t>atient populations varied among studies (</w:t>
            </w:r>
            <w:proofErr w:type="spellStart"/>
            <w:r w:rsidRPr="00DC135C">
              <w:rPr>
                <w:rFonts w:asciiTheme="majorBidi" w:hAnsiTheme="majorBidi" w:cstheme="majorBidi"/>
                <w:sz w:val="20"/>
                <w:szCs w:val="20"/>
              </w:rPr>
              <w:t>eg</w:t>
            </w:r>
            <w:proofErr w:type="spellEnd"/>
            <w:r w:rsidRPr="00DC135C">
              <w:rPr>
                <w:rFonts w:asciiTheme="majorBidi" w:hAnsiTheme="majorBidi" w:cstheme="majorBidi"/>
                <w:sz w:val="20"/>
                <w:szCs w:val="20"/>
              </w:rPr>
              <w:t>, elderly patients, post</w:t>
            </w:r>
            <w:r>
              <w:rPr>
                <w:rFonts w:asciiTheme="majorBidi" w:hAnsiTheme="majorBidi" w:cstheme="majorBidi"/>
                <w:sz w:val="20"/>
                <w:szCs w:val="20"/>
              </w:rPr>
              <w:t xml:space="preserve"> </w:t>
            </w:r>
            <w:r w:rsidRPr="00DC135C">
              <w:rPr>
                <w:rFonts w:asciiTheme="majorBidi" w:hAnsiTheme="majorBidi" w:cstheme="majorBidi"/>
                <w:sz w:val="20"/>
                <w:szCs w:val="20"/>
              </w:rPr>
              <w:t>valve replacement surgery patients, and orthop</w:t>
            </w:r>
            <w:r>
              <w:rPr>
                <w:rFonts w:asciiTheme="majorBidi" w:hAnsiTheme="majorBidi" w:cstheme="majorBidi"/>
                <w:sz w:val="20"/>
                <w:szCs w:val="20"/>
              </w:rPr>
              <w:t>a</w:t>
            </w:r>
            <w:r w:rsidRPr="00DC135C">
              <w:rPr>
                <w:rFonts w:asciiTheme="majorBidi" w:hAnsiTheme="majorBidi" w:cstheme="majorBidi"/>
                <w:sz w:val="20"/>
                <w:szCs w:val="20"/>
              </w:rPr>
              <w:t>edic surgery patients)</w:t>
            </w:r>
          </w:p>
          <w:p w14:paraId="564DB933" w14:textId="77777777" w:rsidR="00B85C9C" w:rsidRDefault="00B85C9C" w:rsidP="00CA6F03">
            <w:pPr>
              <w:rPr>
                <w:rFonts w:asciiTheme="majorBidi" w:hAnsiTheme="majorBidi" w:cstheme="majorBidi"/>
                <w:sz w:val="20"/>
                <w:szCs w:val="20"/>
              </w:rPr>
            </w:pPr>
          </w:p>
        </w:tc>
        <w:tc>
          <w:tcPr>
            <w:tcW w:w="1701" w:type="dxa"/>
          </w:tcPr>
          <w:p w14:paraId="7EC6C39F" w14:textId="77777777" w:rsidR="00B85C9C" w:rsidRPr="00876E2D" w:rsidRDefault="00B85C9C" w:rsidP="00CA6F03">
            <w:pPr>
              <w:rPr>
                <w:rFonts w:asciiTheme="majorBidi" w:hAnsiTheme="majorBidi" w:cstheme="majorBidi"/>
                <w:b/>
                <w:bCs/>
                <w:sz w:val="20"/>
                <w:szCs w:val="20"/>
              </w:rPr>
            </w:pPr>
            <w:r w:rsidRPr="00876E2D">
              <w:rPr>
                <w:rFonts w:asciiTheme="majorBidi" w:hAnsiTheme="majorBidi" w:cstheme="majorBidi"/>
                <w:b/>
                <w:bCs/>
                <w:sz w:val="20"/>
                <w:szCs w:val="20"/>
              </w:rPr>
              <w:t>Pharmacist-led inpatient anticoagulation services</w:t>
            </w:r>
          </w:p>
        </w:tc>
        <w:tc>
          <w:tcPr>
            <w:tcW w:w="1701" w:type="dxa"/>
          </w:tcPr>
          <w:p w14:paraId="2A4BB2C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U</w:t>
            </w:r>
            <w:r w:rsidRPr="00216CFD">
              <w:rPr>
                <w:rFonts w:asciiTheme="majorBidi" w:hAnsiTheme="majorBidi" w:cstheme="majorBidi"/>
                <w:sz w:val="20"/>
                <w:szCs w:val="20"/>
              </w:rPr>
              <w:t>sual or physician-managed care</w:t>
            </w:r>
          </w:p>
        </w:tc>
        <w:tc>
          <w:tcPr>
            <w:tcW w:w="3543" w:type="dxa"/>
          </w:tcPr>
          <w:p w14:paraId="35158A0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26</w:t>
            </w:r>
            <w:r w:rsidRPr="009A3E0A">
              <w:rPr>
                <w:rFonts w:asciiTheme="majorBidi" w:hAnsiTheme="majorBidi" w:cstheme="majorBidi"/>
                <w:sz w:val="20"/>
                <w:szCs w:val="20"/>
              </w:rPr>
              <w:t xml:space="preserve"> studies included</w:t>
            </w:r>
            <w:r>
              <w:rPr>
                <w:rFonts w:asciiTheme="majorBidi" w:hAnsiTheme="majorBidi" w:cstheme="majorBidi"/>
                <w:sz w:val="20"/>
                <w:szCs w:val="20"/>
              </w:rPr>
              <w:t>.</w:t>
            </w:r>
          </w:p>
          <w:p w14:paraId="165D084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D</w:t>
            </w:r>
            <w:r w:rsidRPr="009A3E0A">
              <w:rPr>
                <w:rFonts w:asciiTheme="majorBidi" w:hAnsiTheme="majorBidi" w:cstheme="majorBidi"/>
                <w:sz w:val="20"/>
                <w:szCs w:val="20"/>
              </w:rPr>
              <w:t xml:space="preserve">ivided into two categories: </w:t>
            </w:r>
          </w:p>
          <w:p w14:paraId="0A148968" w14:textId="77777777" w:rsidR="00B85C9C" w:rsidRDefault="00B85C9C" w:rsidP="00CA6F03">
            <w:pPr>
              <w:rPr>
                <w:rFonts w:asciiTheme="majorBidi" w:hAnsiTheme="majorBidi" w:cstheme="majorBidi"/>
                <w:sz w:val="20"/>
                <w:szCs w:val="20"/>
              </w:rPr>
            </w:pPr>
            <w:r w:rsidRPr="009A3E0A">
              <w:rPr>
                <w:rFonts w:asciiTheme="majorBidi" w:hAnsiTheme="majorBidi" w:cstheme="majorBidi"/>
                <w:sz w:val="20"/>
                <w:szCs w:val="20"/>
              </w:rPr>
              <w:t>1) autono</w:t>
            </w:r>
            <w:r w:rsidRPr="009A3E0A">
              <w:rPr>
                <w:rFonts w:asciiTheme="majorBidi" w:hAnsiTheme="majorBidi" w:cstheme="majorBidi"/>
                <w:sz w:val="20"/>
                <w:szCs w:val="20"/>
              </w:rPr>
              <w:softHyphen/>
              <w:t xml:space="preserve">mous pharmacist-managed anticoagulation programs (PMAPs) </w:t>
            </w:r>
          </w:p>
          <w:p w14:paraId="50E811EE" w14:textId="77777777" w:rsidR="00B85C9C" w:rsidRDefault="00B85C9C" w:rsidP="00CA6F03">
            <w:pPr>
              <w:rPr>
                <w:rFonts w:asciiTheme="majorBidi" w:hAnsiTheme="majorBidi" w:cstheme="majorBidi"/>
                <w:sz w:val="20"/>
                <w:szCs w:val="20"/>
              </w:rPr>
            </w:pPr>
            <w:r w:rsidRPr="009A3E0A">
              <w:rPr>
                <w:rFonts w:asciiTheme="majorBidi" w:hAnsiTheme="majorBidi" w:cstheme="majorBidi"/>
                <w:sz w:val="20"/>
                <w:szCs w:val="20"/>
              </w:rPr>
              <w:t>2) pharmacist recommen</w:t>
            </w:r>
            <w:r w:rsidRPr="009A3E0A">
              <w:rPr>
                <w:rFonts w:asciiTheme="majorBidi" w:hAnsiTheme="majorBidi" w:cstheme="majorBidi"/>
                <w:sz w:val="20"/>
                <w:szCs w:val="20"/>
              </w:rPr>
              <w:softHyphen/>
              <w:t>dation</w:t>
            </w:r>
          </w:p>
          <w:p w14:paraId="7204A54F" w14:textId="77777777" w:rsidR="00B85C9C" w:rsidRDefault="00B85C9C" w:rsidP="00CA6F03">
            <w:pPr>
              <w:rPr>
                <w:rFonts w:asciiTheme="majorBidi" w:hAnsiTheme="majorBidi" w:cstheme="majorBidi"/>
                <w:sz w:val="20"/>
                <w:szCs w:val="20"/>
              </w:rPr>
            </w:pPr>
          </w:p>
          <w:p w14:paraId="3746BD56" w14:textId="77777777" w:rsidR="00B85C9C" w:rsidRDefault="00B85C9C" w:rsidP="00CA6F03">
            <w:pPr>
              <w:rPr>
                <w:rFonts w:asciiTheme="majorBidi" w:hAnsiTheme="majorBidi" w:cstheme="majorBidi"/>
                <w:sz w:val="20"/>
                <w:szCs w:val="20"/>
              </w:rPr>
            </w:pPr>
            <w:r w:rsidRPr="00876E2D">
              <w:rPr>
                <w:rFonts w:asciiTheme="majorBidi" w:hAnsiTheme="majorBidi" w:cstheme="majorBidi"/>
                <w:b/>
                <w:bCs/>
                <w:sz w:val="20"/>
                <w:szCs w:val="20"/>
              </w:rPr>
              <w:t>Pharmacist management of heparin and warfarin appears to result in improvements in some surrogate outcomes</w:t>
            </w:r>
            <w:r w:rsidRPr="009A3E0A">
              <w:rPr>
                <w:rFonts w:asciiTheme="majorBidi" w:hAnsiTheme="majorBidi" w:cstheme="majorBidi"/>
                <w:sz w:val="20"/>
                <w:szCs w:val="20"/>
              </w:rPr>
              <w:t xml:space="preserve"> (international normalized ratio [INR] stability and time in INR goal range).</w:t>
            </w:r>
          </w:p>
          <w:p w14:paraId="2FDA6CFA" w14:textId="77777777" w:rsidR="00B85C9C" w:rsidRDefault="00B85C9C" w:rsidP="00CA6F03">
            <w:pPr>
              <w:rPr>
                <w:rFonts w:asciiTheme="majorBidi" w:hAnsiTheme="majorBidi" w:cstheme="majorBidi"/>
                <w:sz w:val="20"/>
                <w:szCs w:val="20"/>
              </w:rPr>
            </w:pPr>
            <w:r w:rsidRPr="009A3E0A">
              <w:rPr>
                <w:rFonts w:asciiTheme="majorBidi" w:hAnsiTheme="majorBidi" w:cstheme="majorBidi"/>
                <w:sz w:val="20"/>
                <w:szCs w:val="20"/>
              </w:rPr>
              <w:t>There is also some indication that</w:t>
            </w:r>
            <w:r>
              <w:rPr>
                <w:rFonts w:asciiTheme="majorBidi" w:hAnsiTheme="majorBidi" w:cstheme="majorBidi"/>
                <w:sz w:val="20"/>
                <w:szCs w:val="20"/>
              </w:rPr>
              <w:t xml:space="preserve"> pharmacist management</w:t>
            </w:r>
            <w:r w:rsidRPr="009A3E0A">
              <w:rPr>
                <w:rFonts w:asciiTheme="majorBidi" w:hAnsiTheme="majorBidi" w:cstheme="majorBidi"/>
                <w:sz w:val="20"/>
                <w:szCs w:val="20"/>
              </w:rPr>
              <w:t xml:space="preserve"> </w:t>
            </w:r>
            <w:r w:rsidRPr="00876E2D">
              <w:rPr>
                <w:rFonts w:asciiTheme="majorBidi" w:hAnsiTheme="majorBidi" w:cstheme="majorBidi"/>
                <w:b/>
                <w:bCs/>
                <w:sz w:val="20"/>
                <w:szCs w:val="20"/>
              </w:rPr>
              <w:t>may be associated with reduced patient mortality</w:t>
            </w:r>
            <w:r w:rsidRPr="009A3E0A">
              <w:rPr>
                <w:rFonts w:asciiTheme="majorBidi" w:hAnsiTheme="majorBidi" w:cstheme="majorBidi"/>
                <w:sz w:val="20"/>
                <w:szCs w:val="20"/>
              </w:rPr>
              <w:t xml:space="preserve">. </w:t>
            </w:r>
          </w:p>
          <w:p w14:paraId="6993796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For direct</w:t>
            </w:r>
            <w:r w:rsidRPr="009A3E0A">
              <w:rPr>
                <w:rFonts w:asciiTheme="majorBidi" w:hAnsiTheme="majorBidi" w:cstheme="majorBidi"/>
                <w:sz w:val="20"/>
                <w:szCs w:val="20"/>
              </w:rPr>
              <w:t xml:space="preserve"> thrombin inhibitors, there seems to be a shorter time to therapeutic </w:t>
            </w:r>
            <w:proofErr w:type="spellStart"/>
            <w:r w:rsidRPr="009A3E0A">
              <w:rPr>
                <w:rFonts w:asciiTheme="majorBidi" w:hAnsiTheme="majorBidi" w:cstheme="majorBidi"/>
                <w:sz w:val="20"/>
                <w:szCs w:val="20"/>
              </w:rPr>
              <w:t>aPTT</w:t>
            </w:r>
            <w:proofErr w:type="spellEnd"/>
            <w:r w:rsidRPr="009A3E0A">
              <w:rPr>
                <w:rFonts w:asciiTheme="majorBidi" w:hAnsiTheme="majorBidi" w:cstheme="majorBidi"/>
                <w:sz w:val="20"/>
                <w:szCs w:val="20"/>
              </w:rPr>
              <w:t xml:space="preserve"> and a greater percentage of time in the therapeutic range, as well as a decrease in the frequency of medication errors. </w:t>
            </w:r>
          </w:p>
          <w:p w14:paraId="59A5424D" w14:textId="77777777" w:rsidR="00B85C9C" w:rsidRPr="009A3E0A" w:rsidRDefault="00B85C9C" w:rsidP="00CA6F03">
            <w:pPr>
              <w:rPr>
                <w:rFonts w:asciiTheme="majorBidi" w:hAnsiTheme="majorBidi" w:cstheme="majorBidi"/>
                <w:sz w:val="20"/>
                <w:szCs w:val="20"/>
              </w:rPr>
            </w:pPr>
            <w:r w:rsidRPr="009A3E0A">
              <w:rPr>
                <w:rFonts w:asciiTheme="majorBidi" w:hAnsiTheme="majorBidi" w:cstheme="majorBidi"/>
                <w:sz w:val="20"/>
                <w:szCs w:val="20"/>
              </w:rPr>
              <w:t>Pharmacist recommendation services have generally resulted in a greater time in therapeutic INR range, greater INR stability, decreased length of stay, and reduced major drug interactions, with no significant differences in safety outcomes</w:t>
            </w:r>
            <w:r>
              <w:rPr>
                <w:rFonts w:asciiTheme="majorBidi" w:hAnsiTheme="majorBidi" w:cstheme="majorBidi"/>
                <w:sz w:val="20"/>
                <w:szCs w:val="20"/>
              </w:rPr>
              <w:t xml:space="preserve"> (see Table 1, p.55-56 in the paper for list of individual studies and results).</w:t>
            </w:r>
          </w:p>
          <w:p w14:paraId="33ED74AA" w14:textId="77777777" w:rsidR="00B85C9C" w:rsidRDefault="00B85C9C" w:rsidP="00CA6F03">
            <w:pPr>
              <w:rPr>
                <w:rFonts w:asciiTheme="majorBidi" w:hAnsiTheme="majorBidi" w:cstheme="majorBidi"/>
                <w:sz w:val="20"/>
                <w:szCs w:val="20"/>
              </w:rPr>
            </w:pPr>
            <w:r w:rsidRPr="00876E2D">
              <w:rPr>
                <w:rFonts w:asciiTheme="majorBidi" w:hAnsiTheme="majorBidi" w:cstheme="majorBidi"/>
                <w:sz w:val="20"/>
                <w:szCs w:val="20"/>
              </w:rPr>
              <w:t>Authors’ conclusion, “</w:t>
            </w:r>
            <w:r w:rsidRPr="009A3E0A">
              <w:rPr>
                <w:rFonts w:asciiTheme="majorBidi" w:hAnsiTheme="majorBidi" w:cstheme="majorBidi"/>
                <w:sz w:val="20"/>
                <w:szCs w:val="20"/>
              </w:rPr>
              <w:t>Pharmacist-led inpatient anticoagulation management seems to result in superior outcomes, as compared to usual or physician-managed care.</w:t>
            </w:r>
            <w:r>
              <w:rPr>
                <w:rFonts w:asciiTheme="majorBidi" w:hAnsiTheme="majorBidi" w:cstheme="majorBidi"/>
                <w:sz w:val="20"/>
                <w:szCs w:val="20"/>
              </w:rPr>
              <w:t>”</w:t>
            </w:r>
          </w:p>
        </w:tc>
        <w:tc>
          <w:tcPr>
            <w:tcW w:w="1560" w:type="dxa"/>
          </w:tcPr>
          <w:p w14:paraId="37A17ECA" w14:textId="77777777" w:rsidR="00B85C9C" w:rsidRPr="009A3E0A" w:rsidRDefault="00B85C9C" w:rsidP="00CA6F03">
            <w:pPr>
              <w:rPr>
                <w:rFonts w:asciiTheme="majorBidi" w:hAnsiTheme="majorBidi" w:cstheme="majorBidi"/>
                <w:sz w:val="20"/>
                <w:szCs w:val="20"/>
              </w:rPr>
            </w:pPr>
            <w:r>
              <w:rPr>
                <w:rFonts w:asciiTheme="majorBidi" w:hAnsiTheme="majorBidi" w:cstheme="majorBidi"/>
                <w:sz w:val="20"/>
                <w:szCs w:val="20"/>
              </w:rPr>
              <w:t xml:space="preserve">Non-systematic review of literature to 2015. </w:t>
            </w:r>
          </w:p>
          <w:p w14:paraId="4989EDD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C</w:t>
            </w:r>
            <w:r w:rsidRPr="009A3E0A">
              <w:rPr>
                <w:rFonts w:asciiTheme="majorBidi" w:hAnsiTheme="majorBidi" w:cstheme="majorBidi"/>
                <w:sz w:val="20"/>
                <w:szCs w:val="20"/>
              </w:rPr>
              <w:t>onclusion</w:t>
            </w:r>
            <w:r>
              <w:rPr>
                <w:rFonts w:asciiTheme="majorBidi" w:hAnsiTheme="majorBidi" w:cstheme="majorBidi"/>
                <w:sz w:val="20"/>
                <w:szCs w:val="20"/>
              </w:rPr>
              <w:t>s</w:t>
            </w:r>
            <w:r w:rsidRPr="009A3E0A">
              <w:rPr>
                <w:rFonts w:asciiTheme="majorBidi" w:hAnsiTheme="majorBidi" w:cstheme="majorBidi"/>
                <w:sz w:val="20"/>
                <w:szCs w:val="20"/>
              </w:rPr>
              <w:t xml:space="preserve"> </w:t>
            </w:r>
            <w:r>
              <w:rPr>
                <w:rFonts w:asciiTheme="majorBidi" w:hAnsiTheme="majorBidi" w:cstheme="majorBidi"/>
                <w:sz w:val="20"/>
                <w:szCs w:val="20"/>
              </w:rPr>
              <w:t>were</w:t>
            </w:r>
            <w:r w:rsidRPr="009A3E0A">
              <w:rPr>
                <w:rFonts w:asciiTheme="majorBidi" w:hAnsiTheme="majorBidi" w:cstheme="majorBidi"/>
                <w:sz w:val="20"/>
                <w:szCs w:val="20"/>
              </w:rPr>
              <w:t xml:space="preserve"> limited by small, poorly designed studies lacking statistical power, focusing mainly on surrogate outcomes.</w:t>
            </w:r>
            <w:r>
              <w:rPr>
                <w:rFonts w:asciiTheme="majorBidi" w:hAnsiTheme="majorBidi" w:cstheme="majorBidi"/>
                <w:sz w:val="20"/>
                <w:szCs w:val="20"/>
              </w:rPr>
              <w:t xml:space="preserve"> No meta-analysis conducted.</w:t>
            </w:r>
          </w:p>
        </w:tc>
      </w:tr>
      <w:tr w:rsidR="00B85C9C" w:rsidRPr="008D6755" w14:paraId="06155806" w14:textId="77777777" w:rsidTr="00CA6F03">
        <w:tc>
          <w:tcPr>
            <w:tcW w:w="1743" w:type="dxa"/>
          </w:tcPr>
          <w:p w14:paraId="0D7D2D0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Paquette et al 2019</w:t>
            </w:r>
          </w:p>
          <w:p w14:paraId="16364509" w14:textId="4AE6D13C" w:rsidR="00B85C9C" w:rsidRPr="008D6755" w:rsidRDefault="00B85C9C" w:rsidP="00CA6F03">
            <w:pPr>
              <w:rPr>
                <w:rFonts w:asciiTheme="majorBidi" w:hAnsiTheme="majorBidi" w:cstheme="majorBidi"/>
                <w:sz w:val="20"/>
                <w:szCs w:val="20"/>
              </w:rPr>
            </w:pPr>
          </w:p>
        </w:tc>
        <w:tc>
          <w:tcPr>
            <w:tcW w:w="1743" w:type="dxa"/>
          </w:tcPr>
          <w:p w14:paraId="3B0320AB" w14:textId="77777777" w:rsidR="00B85C9C" w:rsidRPr="00243079" w:rsidRDefault="00B85C9C" w:rsidP="00CA6F03">
            <w:pPr>
              <w:rPr>
                <w:rFonts w:asciiTheme="majorBidi" w:hAnsiTheme="majorBidi" w:cstheme="majorBidi"/>
                <w:sz w:val="20"/>
                <w:szCs w:val="20"/>
              </w:rPr>
            </w:pPr>
            <w:r>
              <w:rPr>
                <w:rFonts w:asciiTheme="majorBidi" w:hAnsiTheme="majorBidi" w:cstheme="majorBidi"/>
                <w:sz w:val="20"/>
                <w:szCs w:val="20"/>
              </w:rPr>
              <w:t xml:space="preserve">Systematic review to </w:t>
            </w:r>
            <w:r w:rsidRPr="00243079">
              <w:rPr>
                <w:rFonts w:asciiTheme="majorBidi" w:hAnsiTheme="majorBidi" w:cstheme="majorBidi"/>
                <w:sz w:val="20"/>
                <w:szCs w:val="20"/>
              </w:rPr>
              <w:t>assesses the effect of education on mortality,</w:t>
            </w:r>
          </w:p>
          <w:p w14:paraId="02091505" w14:textId="77777777" w:rsidR="00B85C9C" w:rsidRPr="008D6755" w:rsidRDefault="00B85C9C" w:rsidP="00CA6F03">
            <w:pPr>
              <w:rPr>
                <w:rFonts w:asciiTheme="majorBidi" w:hAnsiTheme="majorBidi" w:cstheme="majorBidi"/>
                <w:sz w:val="20"/>
                <w:szCs w:val="20"/>
              </w:rPr>
            </w:pPr>
            <w:r w:rsidRPr="00243079">
              <w:rPr>
                <w:rFonts w:asciiTheme="majorBidi" w:hAnsiTheme="majorBidi" w:cstheme="majorBidi"/>
                <w:sz w:val="20"/>
                <w:szCs w:val="20"/>
              </w:rPr>
              <w:t>thromboembolic events (TEEs) including venous thromboembolism</w:t>
            </w:r>
            <w:r>
              <w:rPr>
                <w:rFonts w:asciiTheme="majorBidi" w:hAnsiTheme="majorBidi" w:cstheme="majorBidi"/>
                <w:sz w:val="20"/>
                <w:szCs w:val="20"/>
              </w:rPr>
              <w:t xml:space="preserve"> </w:t>
            </w:r>
            <w:r w:rsidRPr="00243079">
              <w:rPr>
                <w:rFonts w:asciiTheme="majorBidi" w:hAnsiTheme="majorBidi" w:cstheme="majorBidi"/>
                <w:sz w:val="20"/>
                <w:szCs w:val="20"/>
              </w:rPr>
              <w:t>(VTE), and bleeding</w:t>
            </w:r>
            <w:r>
              <w:rPr>
                <w:rFonts w:asciiTheme="majorBidi" w:hAnsiTheme="majorBidi" w:cstheme="majorBidi"/>
                <w:sz w:val="20"/>
                <w:szCs w:val="20"/>
              </w:rPr>
              <w:t xml:space="preserve"> </w:t>
            </w:r>
            <w:r w:rsidRPr="00243079">
              <w:rPr>
                <w:rFonts w:asciiTheme="majorBidi" w:hAnsiTheme="majorBidi" w:cstheme="majorBidi"/>
                <w:sz w:val="20"/>
                <w:szCs w:val="20"/>
              </w:rPr>
              <w:t>in patients taking OACs</w:t>
            </w:r>
            <w:r>
              <w:rPr>
                <w:rFonts w:asciiTheme="majorBidi" w:hAnsiTheme="majorBidi" w:cstheme="majorBidi"/>
                <w:sz w:val="20"/>
                <w:szCs w:val="20"/>
              </w:rPr>
              <w:t xml:space="preserve"> (9 RCTs, n = 1,366)</w:t>
            </w:r>
          </w:p>
        </w:tc>
        <w:tc>
          <w:tcPr>
            <w:tcW w:w="1471" w:type="dxa"/>
          </w:tcPr>
          <w:p w14:paraId="31780C9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3 studies included inpatient setting</w:t>
            </w:r>
          </w:p>
        </w:tc>
        <w:tc>
          <w:tcPr>
            <w:tcW w:w="1701" w:type="dxa"/>
          </w:tcPr>
          <w:p w14:paraId="6587403D" w14:textId="77777777" w:rsidR="00B85C9C" w:rsidRDefault="00B85C9C" w:rsidP="00CA6F03">
            <w:pPr>
              <w:rPr>
                <w:rFonts w:asciiTheme="majorBidi" w:hAnsiTheme="majorBidi" w:cstheme="majorBidi"/>
                <w:sz w:val="20"/>
                <w:szCs w:val="20"/>
              </w:rPr>
            </w:pPr>
            <w:r w:rsidRPr="00A36694">
              <w:rPr>
                <w:rFonts w:asciiTheme="majorBidi" w:hAnsiTheme="majorBidi" w:cstheme="majorBidi"/>
                <w:b/>
                <w:bCs/>
                <w:sz w:val="20"/>
                <w:szCs w:val="20"/>
              </w:rPr>
              <w:t>Supplemental education for patients</w:t>
            </w:r>
            <w:r>
              <w:rPr>
                <w:rFonts w:asciiTheme="majorBidi" w:hAnsiTheme="majorBidi" w:cstheme="majorBidi"/>
                <w:sz w:val="20"/>
                <w:szCs w:val="20"/>
              </w:rPr>
              <w:t xml:space="preserve"> (explaining incorrect JAKQ responses; or daily visits by nurses and physicians emphasizing education, visual material; or 5-min educational video) </w:t>
            </w:r>
          </w:p>
          <w:p w14:paraId="10B85707" w14:textId="77777777" w:rsidR="00B85C9C" w:rsidRPr="008D6755" w:rsidRDefault="00B85C9C" w:rsidP="00CA6F03">
            <w:pPr>
              <w:rPr>
                <w:rFonts w:asciiTheme="majorBidi" w:hAnsiTheme="majorBidi" w:cstheme="majorBidi"/>
                <w:sz w:val="20"/>
                <w:szCs w:val="20"/>
              </w:rPr>
            </w:pPr>
          </w:p>
        </w:tc>
        <w:tc>
          <w:tcPr>
            <w:tcW w:w="1701" w:type="dxa"/>
          </w:tcPr>
          <w:p w14:paraId="0AEF6C7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w:t>
            </w:r>
          </w:p>
        </w:tc>
        <w:tc>
          <w:tcPr>
            <w:tcW w:w="3543" w:type="dxa"/>
          </w:tcPr>
          <w:p w14:paraId="1E21625C"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Authors conclusion: “</w:t>
            </w:r>
            <w:r w:rsidRPr="00996AD2">
              <w:rPr>
                <w:rFonts w:asciiTheme="majorBidi" w:hAnsiTheme="majorBidi" w:cstheme="majorBidi"/>
                <w:sz w:val="20"/>
                <w:szCs w:val="20"/>
              </w:rPr>
              <w:t>Despite additionally searching the 6 most recent research</w:t>
            </w:r>
            <w:r>
              <w:rPr>
                <w:rFonts w:asciiTheme="majorBidi" w:hAnsiTheme="majorBidi" w:cstheme="majorBidi"/>
                <w:sz w:val="20"/>
                <w:szCs w:val="20"/>
              </w:rPr>
              <w:t xml:space="preserve"> </w:t>
            </w:r>
            <w:r w:rsidRPr="00996AD2">
              <w:rPr>
                <w:rFonts w:asciiTheme="majorBidi" w:hAnsiTheme="majorBidi" w:cstheme="majorBidi"/>
                <w:sz w:val="20"/>
                <w:szCs w:val="20"/>
              </w:rPr>
              <w:t>intensive</w:t>
            </w:r>
            <w:r>
              <w:rPr>
                <w:rFonts w:asciiTheme="majorBidi" w:hAnsiTheme="majorBidi" w:cstheme="majorBidi"/>
                <w:sz w:val="20"/>
                <w:szCs w:val="20"/>
              </w:rPr>
              <w:t xml:space="preserve"> </w:t>
            </w:r>
            <w:r w:rsidRPr="00996AD2">
              <w:rPr>
                <w:rFonts w:asciiTheme="majorBidi" w:hAnsiTheme="majorBidi" w:cstheme="majorBidi"/>
                <w:sz w:val="20"/>
                <w:szCs w:val="20"/>
              </w:rPr>
              <w:t xml:space="preserve">years and including additional studies, there was </w:t>
            </w:r>
            <w:r w:rsidRPr="00996AD2">
              <w:rPr>
                <w:rFonts w:asciiTheme="majorBidi" w:hAnsiTheme="majorBidi" w:cstheme="majorBidi"/>
                <w:b/>
                <w:bCs/>
                <w:sz w:val="20"/>
                <w:szCs w:val="20"/>
              </w:rPr>
              <w:t>low to</w:t>
            </w:r>
            <w:r w:rsidRPr="00A52F09">
              <w:rPr>
                <w:rFonts w:asciiTheme="majorBidi" w:hAnsiTheme="majorBidi" w:cstheme="majorBidi"/>
                <w:b/>
                <w:bCs/>
                <w:sz w:val="20"/>
                <w:szCs w:val="20"/>
              </w:rPr>
              <w:t xml:space="preserve"> </w:t>
            </w:r>
            <w:r w:rsidRPr="00996AD2">
              <w:rPr>
                <w:rFonts w:asciiTheme="majorBidi" w:hAnsiTheme="majorBidi" w:cstheme="majorBidi"/>
                <w:b/>
                <w:bCs/>
                <w:sz w:val="20"/>
                <w:szCs w:val="20"/>
              </w:rPr>
              <w:t>very low certainty in the evidence for improving patient-important</w:t>
            </w:r>
            <w:r w:rsidRPr="00A52F09">
              <w:rPr>
                <w:rFonts w:asciiTheme="majorBidi" w:hAnsiTheme="majorBidi" w:cstheme="majorBidi"/>
                <w:b/>
                <w:bCs/>
                <w:sz w:val="20"/>
                <w:szCs w:val="20"/>
              </w:rPr>
              <w:t xml:space="preserve"> </w:t>
            </w:r>
            <w:r w:rsidRPr="00996AD2">
              <w:rPr>
                <w:rFonts w:asciiTheme="majorBidi" w:hAnsiTheme="majorBidi" w:cstheme="majorBidi"/>
                <w:b/>
                <w:bCs/>
                <w:sz w:val="20"/>
                <w:szCs w:val="20"/>
              </w:rPr>
              <w:t>outcomes with supplemental education</w:t>
            </w:r>
            <w:r w:rsidRPr="00996AD2">
              <w:rPr>
                <w:rFonts w:asciiTheme="majorBidi" w:hAnsiTheme="majorBidi" w:cstheme="majorBidi"/>
                <w:sz w:val="20"/>
                <w:szCs w:val="20"/>
              </w:rPr>
              <w:t>. Although absolute risk</w:t>
            </w:r>
            <w:r>
              <w:rPr>
                <w:rFonts w:asciiTheme="majorBidi" w:hAnsiTheme="majorBidi" w:cstheme="majorBidi"/>
                <w:sz w:val="20"/>
                <w:szCs w:val="20"/>
              </w:rPr>
              <w:t xml:space="preserve"> </w:t>
            </w:r>
            <w:r w:rsidRPr="00996AD2">
              <w:rPr>
                <w:rFonts w:asciiTheme="majorBidi" w:hAnsiTheme="majorBidi" w:cstheme="majorBidi"/>
                <w:sz w:val="20"/>
                <w:szCs w:val="20"/>
              </w:rPr>
              <w:t>of harm with education tended to be lower with supplemental</w:t>
            </w:r>
            <w:r>
              <w:rPr>
                <w:rFonts w:asciiTheme="majorBidi" w:hAnsiTheme="majorBidi" w:cstheme="majorBidi"/>
                <w:sz w:val="20"/>
                <w:szCs w:val="20"/>
              </w:rPr>
              <w:t xml:space="preserve"> </w:t>
            </w:r>
            <w:r w:rsidRPr="00996AD2">
              <w:rPr>
                <w:rFonts w:asciiTheme="majorBidi" w:hAnsiTheme="majorBidi" w:cstheme="majorBidi"/>
                <w:sz w:val="20"/>
                <w:szCs w:val="20"/>
              </w:rPr>
              <w:t>education, we were uncertain about this effect on critically</w:t>
            </w:r>
            <w:r>
              <w:rPr>
                <w:rFonts w:asciiTheme="majorBidi" w:hAnsiTheme="majorBidi" w:cstheme="majorBidi"/>
                <w:sz w:val="20"/>
                <w:szCs w:val="20"/>
              </w:rPr>
              <w:t xml:space="preserve"> </w:t>
            </w:r>
            <w:r w:rsidRPr="00996AD2">
              <w:rPr>
                <w:rFonts w:asciiTheme="majorBidi" w:hAnsiTheme="majorBidi" w:cstheme="majorBidi"/>
                <w:sz w:val="20"/>
                <w:szCs w:val="20"/>
              </w:rPr>
              <w:t>important outcomes. The small magnitude of improvement</w:t>
            </w:r>
            <w:r>
              <w:rPr>
                <w:rFonts w:asciiTheme="majorBidi" w:hAnsiTheme="majorBidi" w:cstheme="majorBidi"/>
                <w:sz w:val="20"/>
                <w:szCs w:val="20"/>
              </w:rPr>
              <w:t xml:space="preserve"> </w:t>
            </w:r>
            <w:r w:rsidRPr="00996AD2">
              <w:rPr>
                <w:rFonts w:asciiTheme="majorBidi" w:hAnsiTheme="majorBidi" w:cstheme="majorBidi"/>
                <w:sz w:val="20"/>
                <w:szCs w:val="20"/>
              </w:rPr>
              <w:t>(</w:t>
            </w:r>
            <w:r>
              <w:rPr>
                <w:rFonts w:asciiTheme="majorBidi" w:hAnsiTheme="majorBidi" w:cstheme="majorBidi"/>
                <w:sz w:val="20"/>
                <w:szCs w:val="20"/>
              </w:rPr>
              <w:t>&lt;</w:t>
            </w:r>
            <w:r w:rsidRPr="00996AD2">
              <w:rPr>
                <w:rFonts w:asciiTheme="majorBidi" w:hAnsiTheme="majorBidi" w:cstheme="majorBidi"/>
                <w:sz w:val="20"/>
                <w:szCs w:val="20"/>
              </w:rPr>
              <w:t>3%) on TTR alone is unlikely to be sufficient to improve critical</w:t>
            </w:r>
            <w:r>
              <w:rPr>
                <w:rFonts w:asciiTheme="majorBidi" w:hAnsiTheme="majorBidi" w:cstheme="majorBidi"/>
                <w:sz w:val="20"/>
                <w:szCs w:val="20"/>
              </w:rPr>
              <w:t>”</w:t>
            </w:r>
          </w:p>
        </w:tc>
        <w:tc>
          <w:tcPr>
            <w:tcW w:w="1560" w:type="dxa"/>
          </w:tcPr>
          <w:p w14:paraId="01C7155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Authors state, “T</w:t>
            </w:r>
            <w:r w:rsidRPr="00C86C10">
              <w:rPr>
                <w:rFonts w:asciiTheme="majorBidi" w:hAnsiTheme="majorBidi" w:cstheme="majorBidi"/>
                <w:sz w:val="20"/>
                <w:szCs w:val="20"/>
              </w:rPr>
              <w:t>he certainty</w:t>
            </w:r>
            <w:r>
              <w:rPr>
                <w:rFonts w:asciiTheme="majorBidi" w:hAnsiTheme="majorBidi" w:cstheme="majorBidi"/>
                <w:sz w:val="20"/>
                <w:szCs w:val="20"/>
              </w:rPr>
              <w:t xml:space="preserve"> </w:t>
            </w:r>
            <w:r w:rsidRPr="00C86C10">
              <w:rPr>
                <w:rFonts w:asciiTheme="majorBidi" w:hAnsiTheme="majorBidi" w:cstheme="majorBidi"/>
                <w:sz w:val="20"/>
                <w:szCs w:val="20"/>
              </w:rPr>
              <w:t>of evidence was low to very low because of serious risk of bias and serious imprecision</w:t>
            </w:r>
            <w:r>
              <w:rPr>
                <w:rFonts w:asciiTheme="majorBidi" w:hAnsiTheme="majorBidi" w:cstheme="majorBidi"/>
                <w:sz w:val="20"/>
                <w:szCs w:val="20"/>
              </w:rPr>
              <w:t>”</w:t>
            </w:r>
          </w:p>
          <w:p w14:paraId="4D89E9F1" w14:textId="77777777" w:rsidR="00B85C9C" w:rsidRDefault="00B85C9C" w:rsidP="00CA6F03">
            <w:pPr>
              <w:rPr>
                <w:rFonts w:asciiTheme="majorBidi" w:hAnsiTheme="majorBidi" w:cstheme="majorBidi"/>
                <w:sz w:val="20"/>
                <w:szCs w:val="20"/>
              </w:rPr>
            </w:pPr>
          </w:p>
          <w:p w14:paraId="4B43E0D6" w14:textId="361DEEF2" w:rsidR="00B85C9C" w:rsidRPr="008D6755" w:rsidRDefault="00B85C9C">
            <w:pPr>
              <w:rPr>
                <w:rFonts w:asciiTheme="majorBidi" w:hAnsiTheme="majorBidi" w:cstheme="majorBidi"/>
                <w:sz w:val="20"/>
                <w:szCs w:val="20"/>
              </w:rPr>
            </w:pPr>
            <w:r>
              <w:rPr>
                <w:rFonts w:asciiTheme="majorBidi" w:hAnsiTheme="majorBidi" w:cstheme="majorBidi"/>
                <w:sz w:val="20"/>
                <w:szCs w:val="20"/>
              </w:rPr>
              <w:t>S</w:t>
            </w:r>
            <w:r w:rsidRPr="00996AD2">
              <w:rPr>
                <w:rFonts w:asciiTheme="majorBidi" w:hAnsiTheme="majorBidi" w:cstheme="majorBidi"/>
                <w:sz w:val="20"/>
                <w:szCs w:val="20"/>
              </w:rPr>
              <w:t>mall number of</w:t>
            </w:r>
            <w:r>
              <w:rPr>
                <w:rFonts w:asciiTheme="majorBidi" w:hAnsiTheme="majorBidi" w:cstheme="majorBidi"/>
                <w:sz w:val="20"/>
                <w:szCs w:val="20"/>
              </w:rPr>
              <w:t xml:space="preserve"> </w:t>
            </w:r>
            <w:r w:rsidRPr="00996AD2">
              <w:rPr>
                <w:rFonts w:asciiTheme="majorBidi" w:hAnsiTheme="majorBidi" w:cstheme="majorBidi"/>
                <w:sz w:val="20"/>
                <w:szCs w:val="20"/>
              </w:rPr>
              <w:t>events</w:t>
            </w:r>
            <w:r>
              <w:rPr>
                <w:rFonts w:asciiTheme="majorBidi" w:hAnsiTheme="majorBidi" w:cstheme="majorBidi"/>
                <w:sz w:val="20"/>
                <w:szCs w:val="20"/>
              </w:rPr>
              <w:t xml:space="preserve"> </w:t>
            </w:r>
            <w:r w:rsidRPr="00996AD2">
              <w:rPr>
                <w:rFonts w:asciiTheme="majorBidi" w:hAnsiTheme="majorBidi" w:cstheme="majorBidi"/>
                <w:sz w:val="20"/>
                <w:szCs w:val="20"/>
              </w:rPr>
              <w:t xml:space="preserve">and limited follow-up </w:t>
            </w:r>
            <w:r>
              <w:rPr>
                <w:rFonts w:asciiTheme="majorBidi" w:hAnsiTheme="majorBidi" w:cstheme="majorBidi"/>
                <w:sz w:val="20"/>
                <w:szCs w:val="20"/>
              </w:rPr>
              <w:t xml:space="preserve">raises serious </w:t>
            </w:r>
            <w:r w:rsidRPr="00996AD2">
              <w:rPr>
                <w:rFonts w:asciiTheme="majorBidi" w:hAnsiTheme="majorBidi" w:cstheme="majorBidi"/>
                <w:sz w:val="20"/>
                <w:szCs w:val="20"/>
              </w:rPr>
              <w:t>concern with overall precision</w:t>
            </w:r>
            <w:r>
              <w:rPr>
                <w:rFonts w:asciiTheme="majorBidi" w:hAnsiTheme="majorBidi" w:cstheme="majorBidi"/>
                <w:sz w:val="20"/>
                <w:szCs w:val="20"/>
              </w:rPr>
              <w:t xml:space="preserve">. Difficult to draw conclusions with any certainty. </w:t>
            </w:r>
          </w:p>
        </w:tc>
      </w:tr>
      <w:tr w:rsidR="00B85C9C" w:rsidRPr="008D6755" w14:paraId="5D07E42A" w14:textId="77777777" w:rsidTr="00CA6F03">
        <w:tc>
          <w:tcPr>
            <w:tcW w:w="1743" w:type="dxa"/>
          </w:tcPr>
          <w:p w14:paraId="7BDE8F54"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Sennessael</w:t>
            </w:r>
            <w:proofErr w:type="spellEnd"/>
            <w:r>
              <w:rPr>
                <w:rFonts w:asciiTheme="majorBidi" w:hAnsiTheme="majorBidi" w:cstheme="majorBidi"/>
                <w:sz w:val="20"/>
                <w:szCs w:val="20"/>
              </w:rPr>
              <w:t xml:space="preserve"> et al 2020</w:t>
            </w:r>
          </w:p>
          <w:p w14:paraId="242D8FB7" w14:textId="13F5D6B2" w:rsidR="00B85C9C" w:rsidRPr="008D6755" w:rsidRDefault="00B85C9C" w:rsidP="00CA6F03">
            <w:pPr>
              <w:rPr>
                <w:rFonts w:asciiTheme="majorBidi" w:hAnsiTheme="majorBidi" w:cstheme="majorBidi"/>
                <w:sz w:val="20"/>
                <w:szCs w:val="20"/>
              </w:rPr>
            </w:pPr>
          </w:p>
        </w:tc>
        <w:tc>
          <w:tcPr>
            <w:tcW w:w="1743" w:type="dxa"/>
          </w:tcPr>
          <w:p w14:paraId="02EF1F40"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Systematic review of</w:t>
            </w:r>
            <w:r w:rsidRPr="00BB5A36">
              <w:rPr>
                <w:rFonts w:asciiTheme="majorBidi" w:hAnsiTheme="majorBidi" w:cstheme="majorBidi"/>
                <w:sz w:val="20"/>
                <w:szCs w:val="20"/>
              </w:rPr>
              <w:t xml:space="preserve"> impact of computerized</w:t>
            </w:r>
            <w:r>
              <w:rPr>
                <w:rFonts w:asciiTheme="majorBidi" w:hAnsiTheme="majorBidi" w:cstheme="majorBidi"/>
                <w:sz w:val="20"/>
                <w:szCs w:val="20"/>
              </w:rPr>
              <w:t xml:space="preserve"> </w:t>
            </w:r>
            <w:r w:rsidRPr="00BB5A36">
              <w:rPr>
                <w:rFonts w:asciiTheme="majorBidi" w:hAnsiTheme="majorBidi" w:cstheme="majorBidi"/>
                <w:sz w:val="20"/>
                <w:szCs w:val="20"/>
              </w:rPr>
              <w:t xml:space="preserve">CDSS on prescribing of </w:t>
            </w:r>
            <w:r>
              <w:rPr>
                <w:rFonts w:asciiTheme="majorBidi" w:hAnsiTheme="majorBidi" w:cstheme="majorBidi"/>
                <w:sz w:val="20"/>
                <w:szCs w:val="20"/>
              </w:rPr>
              <w:t xml:space="preserve">OACs </w:t>
            </w:r>
            <w:r w:rsidRPr="00BB5A36">
              <w:rPr>
                <w:rFonts w:asciiTheme="majorBidi" w:hAnsiTheme="majorBidi" w:cstheme="majorBidi"/>
                <w:sz w:val="20"/>
                <w:szCs w:val="20"/>
              </w:rPr>
              <w:t>and features associated with success or</w:t>
            </w:r>
            <w:r>
              <w:rPr>
                <w:rFonts w:asciiTheme="majorBidi" w:hAnsiTheme="majorBidi" w:cstheme="majorBidi"/>
                <w:sz w:val="20"/>
                <w:szCs w:val="20"/>
              </w:rPr>
              <w:t xml:space="preserve"> </w:t>
            </w:r>
            <w:r w:rsidRPr="00BB5A36">
              <w:rPr>
                <w:rFonts w:asciiTheme="majorBidi" w:hAnsiTheme="majorBidi" w:cstheme="majorBidi"/>
                <w:sz w:val="20"/>
                <w:szCs w:val="20"/>
              </w:rPr>
              <w:t>failure</w:t>
            </w:r>
            <w:r>
              <w:rPr>
                <w:rFonts w:asciiTheme="majorBidi" w:hAnsiTheme="majorBidi" w:cstheme="majorBidi"/>
                <w:sz w:val="20"/>
                <w:szCs w:val="20"/>
              </w:rPr>
              <w:t xml:space="preserve"> (16 studies included)</w:t>
            </w:r>
          </w:p>
          <w:p w14:paraId="2A8E7D78" w14:textId="77777777" w:rsidR="00B85C9C" w:rsidRPr="008D6755" w:rsidRDefault="00B85C9C" w:rsidP="00CA6F03">
            <w:pPr>
              <w:rPr>
                <w:rFonts w:asciiTheme="majorBidi" w:hAnsiTheme="majorBidi" w:cstheme="majorBidi"/>
                <w:sz w:val="20"/>
                <w:szCs w:val="20"/>
              </w:rPr>
            </w:pPr>
          </w:p>
        </w:tc>
        <w:tc>
          <w:tcPr>
            <w:tcW w:w="1471" w:type="dxa"/>
          </w:tcPr>
          <w:p w14:paraId="3770264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6 studies were in hospitals</w:t>
            </w:r>
          </w:p>
        </w:tc>
        <w:tc>
          <w:tcPr>
            <w:tcW w:w="1701" w:type="dxa"/>
          </w:tcPr>
          <w:p w14:paraId="647A7AA4" w14:textId="77777777" w:rsidR="00B85C9C" w:rsidRPr="00A36694" w:rsidRDefault="00B85C9C" w:rsidP="00CA6F03">
            <w:pPr>
              <w:rPr>
                <w:rFonts w:asciiTheme="majorBidi" w:hAnsiTheme="majorBidi" w:cstheme="majorBidi"/>
                <w:b/>
                <w:bCs/>
                <w:sz w:val="20"/>
                <w:szCs w:val="20"/>
              </w:rPr>
            </w:pPr>
            <w:r w:rsidRPr="00A36694">
              <w:rPr>
                <w:rFonts w:asciiTheme="majorBidi" w:hAnsiTheme="majorBidi" w:cstheme="majorBidi"/>
                <w:b/>
                <w:bCs/>
                <w:sz w:val="20"/>
                <w:szCs w:val="20"/>
              </w:rPr>
              <w:t>CDSS for</w:t>
            </w:r>
          </w:p>
          <w:p w14:paraId="49BFCC88" w14:textId="77777777" w:rsidR="00B85C9C" w:rsidRPr="00A36694" w:rsidRDefault="00B85C9C" w:rsidP="00CA6F03">
            <w:pPr>
              <w:rPr>
                <w:rFonts w:asciiTheme="majorBidi" w:hAnsiTheme="majorBidi" w:cstheme="majorBidi"/>
                <w:b/>
                <w:bCs/>
                <w:sz w:val="20"/>
                <w:szCs w:val="20"/>
              </w:rPr>
            </w:pPr>
            <w:r w:rsidRPr="00A36694">
              <w:rPr>
                <w:rFonts w:asciiTheme="majorBidi" w:hAnsiTheme="majorBidi" w:cstheme="majorBidi"/>
                <w:b/>
                <w:bCs/>
                <w:sz w:val="20"/>
                <w:szCs w:val="20"/>
              </w:rPr>
              <w:t xml:space="preserve">the initiation or monitoring of oral anticoagulants </w:t>
            </w:r>
          </w:p>
          <w:p w14:paraId="5E1646E9" w14:textId="77777777" w:rsidR="00B85C9C" w:rsidRDefault="00B85C9C" w:rsidP="00CA6F03">
            <w:pPr>
              <w:rPr>
                <w:rFonts w:asciiTheme="majorBidi" w:hAnsiTheme="majorBidi" w:cstheme="majorBidi"/>
                <w:sz w:val="20"/>
                <w:szCs w:val="20"/>
              </w:rPr>
            </w:pPr>
          </w:p>
          <w:p w14:paraId="17AB39C1" w14:textId="77777777" w:rsidR="00B85C9C" w:rsidRDefault="00B85C9C" w:rsidP="00CA6F03">
            <w:pPr>
              <w:rPr>
                <w:rFonts w:asciiTheme="majorBidi" w:hAnsiTheme="majorBidi" w:cstheme="majorBidi"/>
                <w:sz w:val="20"/>
                <w:szCs w:val="20"/>
              </w:rPr>
            </w:pPr>
          </w:p>
          <w:p w14:paraId="1ED3642D" w14:textId="77777777" w:rsidR="00B85C9C" w:rsidRPr="008D6755" w:rsidRDefault="00B85C9C" w:rsidP="00CA6F03">
            <w:pPr>
              <w:rPr>
                <w:rFonts w:asciiTheme="majorBidi" w:hAnsiTheme="majorBidi" w:cstheme="majorBidi"/>
                <w:sz w:val="20"/>
                <w:szCs w:val="20"/>
              </w:rPr>
            </w:pPr>
          </w:p>
        </w:tc>
        <w:tc>
          <w:tcPr>
            <w:tcW w:w="1701" w:type="dxa"/>
          </w:tcPr>
          <w:p w14:paraId="2EB6DBA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Routine care</w:t>
            </w:r>
          </w:p>
        </w:tc>
        <w:tc>
          <w:tcPr>
            <w:tcW w:w="3543" w:type="dxa"/>
          </w:tcPr>
          <w:p w14:paraId="38147BB1" w14:textId="77777777" w:rsidR="00B85C9C" w:rsidRPr="00FB1E5E" w:rsidRDefault="00B85C9C" w:rsidP="00CA6F03">
            <w:pPr>
              <w:rPr>
                <w:rFonts w:asciiTheme="majorBidi" w:hAnsiTheme="majorBidi" w:cstheme="majorBidi"/>
                <w:sz w:val="20"/>
                <w:szCs w:val="20"/>
              </w:rPr>
            </w:pPr>
            <w:r w:rsidRPr="00FB1E5E">
              <w:rPr>
                <w:rFonts w:asciiTheme="majorBidi" w:hAnsiTheme="majorBidi" w:cstheme="majorBidi"/>
                <w:sz w:val="20"/>
                <w:szCs w:val="20"/>
              </w:rPr>
              <w:t>Most CDSS were integrated</w:t>
            </w:r>
          </w:p>
          <w:p w14:paraId="04DA04BB" w14:textId="77777777" w:rsidR="00B85C9C" w:rsidRDefault="00B85C9C" w:rsidP="00CA6F03">
            <w:pPr>
              <w:rPr>
                <w:rFonts w:asciiTheme="majorBidi" w:hAnsiTheme="majorBidi" w:cstheme="majorBidi"/>
                <w:sz w:val="20"/>
                <w:szCs w:val="20"/>
              </w:rPr>
            </w:pPr>
            <w:r w:rsidRPr="00FB1E5E">
              <w:rPr>
                <w:rFonts w:asciiTheme="majorBidi" w:hAnsiTheme="majorBidi" w:cstheme="majorBidi"/>
                <w:sz w:val="20"/>
                <w:szCs w:val="20"/>
              </w:rPr>
              <w:t>in electronic records or prescribing and provided support automatically at the</w:t>
            </w:r>
            <w:r>
              <w:rPr>
                <w:rFonts w:asciiTheme="majorBidi" w:hAnsiTheme="majorBidi" w:cstheme="majorBidi"/>
                <w:sz w:val="20"/>
                <w:szCs w:val="20"/>
              </w:rPr>
              <w:t xml:space="preserve"> point of care.</w:t>
            </w:r>
          </w:p>
          <w:p w14:paraId="3AF41BBA" w14:textId="77777777" w:rsidR="00B85C9C" w:rsidRPr="00FB1E5E" w:rsidRDefault="00B85C9C" w:rsidP="00CA6F03">
            <w:pPr>
              <w:rPr>
                <w:rFonts w:asciiTheme="majorBidi" w:hAnsiTheme="majorBidi" w:cstheme="majorBidi"/>
                <w:sz w:val="20"/>
                <w:szCs w:val="20"/>
              </w:rPr>
            </w:pPr>
            <w:r w:rsidRPr="00FB1E5E">
              <w:rPr>
                <w:rFonts w:asciiTheme="majorBidi" w:hAnsiTheme="majorBidi" w:cstheme="majorBidi"/>
                <w:b/>
                <w:bCs/>
                <w:sz w:val="20"/>
                <w:szCs w:val="20"/>
              </w:rPr>
              <w:t>Significant improvements in practitioner performance</w:t>
            </w:r>
            <w:r w:rsidRPr="00FB1E5E">
              <w:rPr>
                <w:rFonts w:asciiTheme="majorBidi" w:hAnsiTheme="majorBidi" w:cstheme="majorBidi"/>
                <w:sz w:val="20"/>
                <w:szCs w:val="20"/>
              </w:rPr>
              <w:t xml:space="preserve"> were found in 9 out of 16 studies</w:t>
            </w:r>
            <w:r>
              <w:rPr>
                <w:rFonts w:asciiTheme="majorBidi" w:hAnsiTheme="majorBidi" w:cstheme="majorBidi"/>
                <w:sz w:val="20"/>
                <w:szCs w:val="20"/>
              </w:rPr>
              <w:t xml:space="preserve">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not reordering interacting medicines following alert, reduced medication errors, proportion of AF on OAC).</w:t>
            </w:r>
          </w:p>
          <w:p w14:paraId="41D8855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C</w:t>
            </w:r>
            <w:r w:rsidRPr="00FB1E5E">
              <w:rPr>
                <w:rFonts w:asciiTheme="majorBidi" w:hAnsiTheme="majorBidi" w:cstheme="majorBidi"/>
                <w:sz w:val="20"/>
                <w:szCs w:val="20"/>
              </w:rPr>
              <w:t>linical outcomes were poorly reported</w:t>
            </w:r>
            <w:r>
              <w:rPr>
                <w:rFonts w:asciiTheme="majorBidi" w:hAnsiTheme="majorBidi" w:cstheme="majorBidi"/>
                <w:sz w:val="20"/>
                <w:szCs w:val="20"/>
              </w:rPr>
              <w:t>.</w:t>
            </w:r>
          </w:p>
          <w:p w14:paraId="2A801B1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Low usage of CDSS noted (5-30%).</w:t>
            </w:r>
          </w:p>
          <w:p w14:paraId="0F9D36C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The only study that found a reduced risk of bleeding (in the CDSS group) was in primary care setting: </w:t>
            </w:r>
            <w:r w:rsidRPr="00C15F05">
              <w:rPr>
                <w:rFonts w:asciiTheme="majorBidi" w:hAnsiTheme="majorBidi" w:cstheme="majorBidi"/>
                <w:sz w:val="20"/>
                <w:szCs w:val="20"/>
              </w:rPr>
              <w:t>Karlsson et al.</w:t>
            </w:r>
            <w:r>
              <w:rPr>
                <w:rFonts w:asciiTheme="majorBidi" w:hAnsiTheme="majorBidi" w:cstheme="majorBidi"/>
                <w:sz w:val="20"/>
                <w:szCs w:val="20"/>
              </w:rPr>
              <w:t xml:space="preserve"> </w:t>
            </w:r>
            <w:r w:rsidRPr="00C15F05">
              <w:rPr>
                <w:rFonts w:asciiTheme="majorBidi" w:hAnsiTheme="majorBidi" w:cstheme="majorBidi"/>
                <w:sz w:val="20"/>
                <w:szCs w:val="20"/>
              </w:rPr>
              <w:t>(12 vs. 16 events per</w:t>
            </w:r>
            <w:r>
              <w:rPr>
                <w:rFonts w:asciiTheme="majorBidi" w:hAnsiTheme="majorBidi" w:cstheme="majorBidi"/>
                <w:sz w:val="20"/>
                <w:szCs w:val="20"/>
              </w:rPr>
              <w:t xml:space="preserve"> </w:t>
            </w:r>
            <w:r w:rsidRPr="00C15F05">
              <w:rPr>
                <w:rFonts w:asciiTheme="majorBidi" w:hAnsiTheme="majorBidi" w:cstheme="majorBidi"/>
                <w:sz w:val="20"/>
                <w:szCs w:val="20"/>
              </w:rPr>
              <w:t>1000 patients, p = 0.04)</w:t>
            </w:r>
          </w:p>
          <w:p w14:paraId="1D4C1557" w14:textId="77777777" w:rsidR="00B85C9C" w:rsidRPr="008D6755" w:rsidRDefault="00B85C9C" w:rsidP="00CA6F03">
            <w:pPr>
              <w:rPr>
                <w:rFonts w:asciiTheme="majorBidi" w:hAnsiTheme="majorBidi" w:cstheme="majorBidi"/>
                <w:sz w:val="20"/>
                <w:szCs w:val="20"/>
              </w:rPr>
            </w:pPr>
          </w:p>
        </w:tc>
        <w:tc>
          <w:tcPr>
            <w:tcW w:w="1560" w:type="dxa"/>
          </w:tcPr>
          <w:p w14:paraId="0ADB6D4C" w14:textId="77777777" w:rsidR="00B85C9C" w:rsidRPr="00B66A42" w:rsidRDefault="00B85C9C" w:rsidP="00CA6F03">
            <w:pPr>
              <w:rPr>
                <w:rFonts w:asciiTheme="majorBidi" w:hAnsiTheme="majorBidi" w:cstheme="majorBidi"/>
                <w:sz w:val="20"/>
                <w:szCs w:val="20"/>
              </w:rPr>
            </w:pPr>
            <w:r>
              <w:rPr>
                <w:rFonts w:asciiTheme="majorBidi" w:hAnsiTheme="majorBidi" w:cstheme="majorBidi"/>
                <w:sz w:val="20"/>
                <w:szCs w:val="20"/>
              </w:rPr>
              <w:t>Authors state: “</w:t>
            </w:r>
            <w:r w:rsidRPr="00B66A42">
              <w:rPr>
                <w:rFonts w:asciiTheme="majorBidi" w:hAnsiTheme="majorBidi" w:cstheme="majorBidi"/>
                <w:sz w:val="20"/>
                <w:szCs w:val="20"/>
              </w:rPr>
              <w:t>the small number and heterogeneity</w:t>
            </w:r>
          </w:p>
          <w:p w14:paraId="1EFCA30D" w14:textId="77777777" w:rsidR="00B85C9C" w:rsidRPr="008D6755" w:rsidRDefault="00B85C9C" w:rsidP="00CA6F03">
            <w:pPr>
              <w:rPr>
                <w:rFonts w:asciiTheme="majorBidi" w:hAnsiTheme="majorBidi" w:cstheme="majorBidi"/>
                <w:sz w:val="20"/>
                <w:szCs w:val="20"/>
              </w:rPr>
            </w:pPr>
            <w:r w:rsidRPr="00B66A42">
              <w:rPr>
                <w:rFonts w:asciiTheme="majorBidi" w:hAnsiTheme="majorBidi" w:cstheme="majorBidi"/>
                <w:sz w:val="20"/>
                <w:szCs w:val="20"/>
              </w:rPr>
              <w:t xml:space="preserve">of studies, the limited impact and the </w:t>
            </w:r>
            <w:r w:rsidRPr="00B66A42">
              <w:rPr>
                <w:rFonts w:asciiTheme="majorBidi" w:hAnsiTheme="majorBidi" w:cstheme="majorBidi"/>
                <w:b/>
                <w:bCs/>
                <w:sz w:val="20"/>
                <w:szCs w:val="20"/>
              </w:rPr>
              <w:t>risk of bias preclude general conclusions</w:t>
            </w:r>
            <w:r w:rsidRPr="00B66A42">
              <w:rPr>
                <w:rFonts w:asciiTheme="majorBidi" w:hAnsiTheme="majorBidi" w:cstheme="majorBidi"/>
                <w:sz w:val="20"/>
                <w:szCs w:val="20"/>
              </w:rPr>
              <w:t xml:space="preserve"> regarding the impact of CDSS on oral anticoagulant</w:t>
            </w:r>
            <w:r>
              <w:rPr>
                <w:rFonts w:asciiTheme="majorBidi" w:hAnsiTheme="majorBidi" w:cstheme="majorBidi"/>
                <w:sz w:val="20"/>
                <w:szCs w:val="20"/>
              </w:rPr>
              <w:t xml:space="preserve"> </w:t>
            </w:r>
            <w:r w:rsidRPr="00B66A42">
              <w:rPr>
                <w:rFonts w:asciiTheme="majorBidi" w:hAnsiTheme="majorBidi" w:cstheme="majorBidi"/>
                <w:sz w:val="20"/>
                <w:szCs w:val="20"/>
              </w:rPr>
              <w:t>prescribing. Moreover, the effect on clinical outcomes remains unclear.</w:t>
            </w:r>
            <w:r>
              <w:rPr>
                <w:rFonts w:asciiTheme="majorBidi" w:hAnsiTheme="majorBidi" w:cstheme="majorBidi"/>
                <w:sz w:val="20"/>
                <w:szCs w:val="20"/>
              </w:rPr>
              <w:t>”</w:t>
            </w:r>
          </w:p>
        </w:tc>
      </w:tr>
      <w:tr w:rsidR="00B85C9C" w:rsidRPr="008D6755" w14:paraId="0C00F7E0" w14:textId="77777777" w:rsidTr="00CA6F03">
        <w:tc>
          <w:tcPr>
            <w:tcW w:w="1743" w:type="dxa"/>
          </w:tcPr>
          <w:p w14:paraId="46F158C0" w14:textId="1B6CF320" w:rsidR="00B85C9C" w:rsidRPr="004C4D20" w:rsidRDefault="00B85C9C" w:rsidP="008B50C6">
            <w:pPr>
              <w:rPr>
                <w:rFonts w:asciiTheme="majorBidi" w:hAnsiTheme="majorBidi" w:cstheme="majorBidi"/>
                <w:sz w:val="20"/>
                <w:szCs w:val="20"/>
              </w:rPr>
            </w:pPr>
            <w:r w:rsidRPr="004C4D20">
              <w:rPr>
                <w:rFonts w:asciiTheme="majorBidi" w:hAnsiTheme="majorBidi" w:cstheme="majorBidi"/>
                <w:noProof/>
                <w:sz w:val="20"/>
                <w:szCs w:val="20"/>
              </w:rPr>
              <w:t xml:space="preserve">Yiu </w:t>
            </w:r>
            <w:r w:rsidR="008B50C6">
              <w:rPr>
                <w:rFonts w:asciiTheme="majorBidi" w:hAnsiTheme="majorBidi" w:cstheme="majorBidi"/>
                <w:noProof/>
                <w:sz w:val="20"/>
                <w:szCs w:val="20"/>
              </w:rPr>
              <w:t>and</w:t>
            </w:r>
            <w:r w:rsidRPr="004C4D20">
              <w:rPr>
                <w:rFonts w:asciiTheme="majorBidi" w:hAnsiTheme="majorBidi" w:cstheme="majorBidi"/>
                <w:noProof/>
                <w:sz w:val="20"/>
                <w:szCs w:val="20"/>
              </w:rPr>
              <w:t xml:space="preserve"> Bajorek 2019</w:t>
            </w:r>
          </w:p>
          <w:p w14:paraId="33E68874" w14:textId="77777777" w:rsidR="00B85C9C" w:rsidRPr="004C4D20" w:rsidRDefault="00B85C9C" w:rsidP="00CA6F03">
            <w:pPr>
              <w:rPr>
                <w:rFonts w:asciiTheme="majorBidi" w:hAnsiTheme="majorBidi" w:cstheme="majorBidi"/>
                <w:sz w:val="20"/>
                <w:szCs w:val="20"/>
              </w:rPr>
            </w:pPr>
          </w:p>
        </w:tc>
        <w:tc>
          <w:tcPr>
            <w:tcW w:w="1743" w:type="dxa"/>
          </w:tcPr>
          <w:p w14:paraId="2E0DA7A7"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Narrative review with aim to identify patient-focused interventions</w:t>
            </w:r>
          </w:p>
          <w:p w14:paraId="5CE57F84"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trialled to support vulnerable patient populations taking oral anticoagulants and outcomes</w:t>
            </w:r>
          </w:p>
          <w:p w14:paraId="6B59E097" w14:textId="77777777" w:rsidR="00B85C9C" w:rsidRPr="004C4D20" w:rsidRDefault="00B85C9C" w:rsidP="00CA6F03">
            <w:pPr>
              <w:rPr>
                <w:rFonts w:asciiTheme="majorBidi" w:hAnsiTheme="majorBidi" w:cstheme="majorBidi"/>
                <w:sz w:val="20"/>
                <w:szCs w:val="20"/>
              </w:rPr>
            </w:pPr>
          </w:p>
        </w:tc>
        <w:tc>
          <w:tcPr>
            <w:tcW w:w="1471" w:type="dxa"/>
          </w:tcPr>
          <w:p w14:paraId="7209E16F"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Oral anticoagulants (warfarin and DOACs), older persons (65 years and over),</w:t>
            </w:r>
          </w:p>
          <w:p w14:paraId="001A64C7"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those with limited health literacy, and those from culturally and linguistically diverse (CALD)</w:t>
            </w:r>
          </w:p>
          <w:p w14:paraId="0F98C6BD"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backgrounds</w:t>
            </w:r>
          </w:p>
          <w:p w14:paraId="730D0D16" w14:textId="77777777" w:rsidR="00B85C9C" w:rsidRPr="004C4D20" w:rsidRDefault="00B85C9C" w:rsidP="00CA6F03">
            <w:pPr>
              <w:rPr>
                <w:rFonts w:asciiTheme="majorBidi" w:hAnsiTheme="majorBidi" w:cstheme="majorBidi"/>
                <w:sz w:val="20"/>
                <w:szCs w:val="20"/>
              </w:rPr>
            </w:pPr>
          </w:p>
        </w:tc>
        <w:tc>
          <w:tcPr>
            <w:tcW w:w="1701" w:type="dxa"/>
          </w:tcPr>
          <w:p w14:paraId="56BBF7B0" w14:textId="77777777" w:rsidR="00B85C9C" w:rsidRPr="004C4D20" w:rsidRDefault="00B85C9C" w:rsidP="00CA6F03">
            <w:pPr>
              <w:rPr>
                <w:rFonts w:asciiTheme="majorBidi" w:hAnsiTheme="majorBidi" w:cstheme="majorBidi"/>
                <w:sz w:val="20"/>
                <w:szCs w:val="20"/>
              </w:rPr>
            </w:pPr>
            <w:r w:rsidRPr="00772CF8">
              <w:rPr>
                <w:rFonts w:asciiTheme="majorBidi" w:hAnsiTheme="majorBidi" w:cstheme="majorBidi"/>
                <w:b/>
                <w:bCs/>
                <w:sz w:val="20"/>
                <w:szCs w:val="20"/>
              </w:rPr>
              <w:t>Monitoring using INR</w:t>
            </w:r>
            <w:r w:rsidRPr="004C4D20">
              <w:rPr>
                <w:rFonts w:asciiTheme="majorBidi" w:hAnsiTheme="majorBidi" w:cstheme="majorBidi"/>
                <w:sz w:val="20"/>
                <w:szCs w:val="20"/>
              </w:rPr>
              <w:t xml:space="preserve"> (n = 20</w:t>
            </w:r>
            <w:r>
              <w:rPr>
                <w:rFonts w:asciiTheme="majorBidi" w:hAnsiTheme="majorBidi" w:cstheme="majorBidi"/>
                <w:sz w:val="20"/>
                <w:szCs w:val="20"/>
              </w:rPr>
              <w:t xml:space="preserve"> studies</w:t>
            </w:r>
            <w:r w:rsidRPr="004C4D20">
              <w:rPr>
                <w:rFonts w:asciiTheme="majorBidi" w:hAnsiTheme="majorBidi" w:cstheme="majorBidi"/>
                <w:sz w:val="20"/>
                <w:szCs w:val="20"/>
              </w:rPr>
              <w:t xml:space="preserve">), </w:t>
            </w:r>
            <w:r w:rsidRPr="00772CF8">
              <w:rPr>
                <w:rFonts w:asciiTheme="majorBidi" w:hAnsiTheme="majorBidi" w:cstheme="majorBidi"/>
                <w:b/>
                <w:bCs/>
                <w:sz w:val="20"/>
                <w:szCs w:val="20"/>
              </w:rPr>
              <w:t>patient education</w:t>
            </w:r>
            <w:r>
              <w:rPr>
                <w:rFonts w:asciiTheme="majorBidi" w:hAnsiTheme="majorBidi" w:cstheme="majorBidi"/>
                <w:sz w:val="20"/>
                <w:szCs w:val="20"/>
              </w:rPr>
              <w:t>:</w:t>
            </w:r>
            <w:r w:rsidRPr="004C4D20">
              <w:rPr>
                <w:rFonts w:asciiTheme="majorBidi" w:hAnsiTheme="majorBidi" w:cstheme="majorBidi"/>
                <w:sz w:val="20"/>
                <w:szCs w:val="20"/>
              </w:rPr>
              <w:t xml:space="preserve"> written information (n = 2), decision aids (DAs) (n = 6), videos (n = 3), pharmacist counselling (n = 1), medication instructions (n = 1), and programs with multiple components (n = 4).</w:t>
            </w:r>
          </w:p>
          <w:p w14:paraId="041A002B" w14:textId="77777777" w:rsidR="00B85C9C" w:rsidRPr="004C4D20" w:rsidRDefault="00B85C9C" w:rsidP="00CA6F03">
            <w:pPr>
              <w:rPr>
                <w:rFonts w:asciiTheme="majorBidi" w:hAnsiTheme="majorBidi" w:cstheme="majorBidi"/>
                <w:sz w:val="20"/>
                <w:szCs w:val="20"/>
              </w:rPr>
            </w:pPr>
          </w:p>
        </w:tc>
        <w:tc>
          <w:tcPr>
            <w:tcW w:w="1701" w:type="dxa"/>
          </w:tcPr>
          <w:p w14:paraId="7485344E" w14:textId="77777777" w:rsidR="00B85C9C" w:rsidRPr="004C4D20" w:rsidRDefault="00B85C9C" w:rsidP="00CA6F03">
            <w:pPr>
              <w:rPr>
                <w:rFonts w:asciiTheme="majorBidi" w:hAnsiTheme="majorBidi" w:cstheme="majorBidi"/>
                <w:sz w:val="20"/>
                <w:szCs w:val="20"/>
              </w:rPr>
            </w:pPr>
            <w:r>
              <w:rPr>
                <w:rFonts w:asciiTheme="majorBidi" w:hAnsiTheme="majorBidi" w:cstheme="majorBidi"/>
                <w:sz w:val="20"/>
                <w:szCs w:val="20"/>
              </w:rPr>
              <w:t>Often usual care</w:t>
            </w:r>
          </w:p>
        </w:tc>
        <w:tc>
          <w:tcPr>
            <w:tcW w:w="3543" w:type="dxa"/>
          </w:tcPr>
          <w:p w14:paraId="35348780"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41 studies were identified</w:t>
            </w:r>
            <w:r>
              <w:rPr>
                <w:rFonts w:asciiTheme="majorBidi" w:hAnsiTheme="majorBidi" w:cstheme="majorBidi"/>
                <w:sz w:val="20"/>
                <w:szCs w:val="20"/>
              </w:rPr>
              <w:t xml:space="preserve"> (37 were studies of older people taking warfarin)</w:t>
            </w:r>
            <w:r w:rsidRPr="004C4D20">
              <w:rPr>
                <w:rFonts w:asciiTheme="majorBidi" w:hAnsiTheme="majorBidi" w:cstheme="majorBidi"/>
                <w:sz w:val="20"/>
                <w:szCs w:val="20"/>
              </w:rPr>
              <w:t xml:space="preserve">. </w:t>
            </w:r>
          </w:p>
          <w:p w14:paraId="3B3F1A62" w14:textId="77777777" w:rsidR="00B85C9C" w:rsidRPr="004C4D20" w:rsidRDefault="00B85C9C" w:rsidP="00CA6F03">
            <w:pPr>
              <w:rPr>
                <w:rFonts w:asciiTheme="majorBidi" w:hAnsiTheme="majorBidi" w:cstheme="majorBidi"/>
                <w:sz w:val="20"/>
                <w:szCs w:val="20"/>
              </w:rPr>
            </w:pPr>
          </w:p>
          <w:p w14:paraId="7EE3F61E"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A variety of outcomes were assessed including knowledge, anticoagulation control, adverse effects, decisional conflict, mortality, QOL, and patient satisfaction and persistence with warfarin therapy.</w:t>
            </w:r>
          </w:p>
          <w:p w14:paraId="0A65D8E9" w14:textId="77777777" w:rsidR="00B85C9C" w:rsidRPr="004C4D20" w:rsidRDefault="00B85C9C" w:rsidP="00CA6F03">
            <w:pPr>
              <w:rPr>
                <w:rFonts w:asciiTheme="majorBidi" w:hAnsiTheme="majorBidi" w:cstheme="majorBidi"/>
                <w:sz w:val="20"/>
                <w:szCs w:val="20"/>
              </w:rPr>
            </w:pPr>
            <w:r w:rsidRPr="00772CF8">
              <w:rPr>
                <w:rFonts w:asciiTheme="majorBidi" w:hAnsiTheme="majorBidi" w:cstheme="majorBidi"/>
                <w:b/>
                <w:bCs/>
                <w:sz w:val="20"/>
                <w:szCs w:val="20"/>
              </w:rPr>
              <w:t>Many interventions reported a significant positive impact on patients’ knowledge, reduction in the number of AEs caused by haemorrhage, and better INR control</w:t>
            </w:r>
            <w:r w:rsidRPr="004C4D20">
              <w:rPr>
                <w:rFonts w:asciiTheme="majorBidi" w:hAnsiTheme="majorBidi" w:cstheme="majorBidi"/>
                <w:sz w:val="20"/>
                <w:szCs w:val="20"/>
              </w:rPr>
              <w:t>.</w:t>
            </w:r>
          </w:p>
          <w:p w14:paraId="003F0770" w14:textId="77777777" w:rsidR="00B85C9C" w:rsidRDefault="00B85C9C" w:rsidP="00CA6F03">
            <w:pPr>
              <w:rPr>
                <w:rFonts w:asciiTheme="majorBidi" w:hAnsiTheme="majorBidi" w:cstheme="majorBidi"/>
                <w:sz w:val="20"/>
                <w:szCs w:val="20"/>
              </w:rPr>
            </w:pPr>
          </w:p>
          <w:p w14:paraId="0D0D0E49"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One RCT (n = 125) found benefits of education alone in improving TTR (Khan 2004)</w:t>
            </w:r>
          </w:p>
          <w:p w14:paraId="48E9BBA5" w14:textId="77777777" w:rsidR="00B85C9C" w:rsidRDefault="00B85C9C" w:rsidP="00CA6F03">
            <w:pPr>
              <w:rPr>
                <w:rFonts w:asciiTheme="majorBidi" w:hAnsiTheme="majorBidi" w:cstheme="majorBidi"/>
                <w:sz w:val="20"/>
                <w:szCs w:val="20"/>
              </w:rPr>
            </w:pPr>
          </w:p>
          <w:p w14:paraId="49D088D7" w14:textId="77777777" w:rsidR="00B85C9C" w:rsidRPr="004C4D20" w:rsidRDefault="00B85C9C" w:rsidP="00CA6F03">
            <w:pPr>
              <w:rPr>
                <w:rFonts w:asciiTheme="majorBidi" w:hAnsiTheme="majorBidi" w:cstheme="majorBidi"/>
                <w:sz w:val="20"/>
                <w:szCs w:val="20"/>
              </w:rPr>
            </w:pPr>
            <w:r w:rsidRPr="004C4D20">
              <w:rPr>
                <w:rFonts w:asciiTheme="majorBidi" w:hAnsiTheme="majorBidi" w:cstheme="majorBidi"/>
                <w:sz w:val="20"/>
                <w:szCs w:val="20"/>
              </w:rPr>
              <w:t>A post-discharge home-based service decreased AEs from warfarin</w:t>
            </w:r>
          </w:p>
          <w:p w14:paraId="601E7DD7" w14:textId="77777777" w:rsidR="00B85C9C" w:rsidRPr="004C4D20" w:rsidRDefault="00B85C9C" w:rsidP="00CA6F03">
            <w:pPr>
              <w:rPr>
                <w:rFonts w:asciiTheme="majorBidi" w:hAnsiTheme="majorBidi" w:cstheme="majorBidi"/>
                <w:sz w:val="20"/>
                <w:szCs w:val="20"/>
              </w:rPr>
            </w:pPr>
          </w:p>
        </w:tc>
        <w:tc>
          <w:tcPr>
            <w:tcW w:w="1560" w:type="dxa"/>
          </w:tcPr>
          <w:p w14:paraId="69A57832" w14:textId="7977B406" w:rsidR="00B85C9C" w:rsidRDefault="00B85C9C">
            <w:pPr>
              <w:rPr>
                <w:rFonts w:asciiTheme="majorBidi" w:hAnsiTheme="majorBidi" w:cstheme="majorBidi"/>
                <w:sz w:val="20"/>
                <w:szCs w:val="20"/>
              </w:rPr>
            </w:pPr>
            <w:r w:rsidRPr="004C4D20">
              <w:rPr>
                <w:rFonts w:asciiTheme="majorBidi" w:hAnsiTheme="majorBidi" w:cstheme="majorBidi"/>
                <w:sz w:val="20"/>
                <w:szCs w:val="20"/>
              </w:rPr>
              <w:t>Non-systematic narrative review of literature to June 2017,</w:t>
            </w:r>
            <w:r>
              <w:rPr>
                <w:rFonts w:asciiTheme="majorBidi" w:hAnsiTheme="majorBidi" w:cstheme="majorBidi"/>
                <w:sz w:val="20"/>
                <w:szCs w:val="20"/>
              </w:rPr>
              <w:t xml:space="preserve"> many studies were RCTs or prospective, however</w:t>
            </w:r>
            <w:r w:rsidRPr="004C4D20">
              <w:rPr>
                <w:rFonts w:asciiTheme="majorBidi" w:hAnsiTheme="majorBidi" w:cstheme="majorBidi"/>
                <w:sz w:val="20"/>
                <w:szCs w:val="20"/>
              </w:rPr>
              <w:t xml:space="preserve"> timeframe of some outcomes as short as 28 days (</w:t>
            </w:r>
            <w:r>
              <w:rPr>
                <w:rFonts w:asciiTheme="majorBidi" w:hAnsiTheme="majorBidi" w:cstheme="majorBidi"/>
                <w:sz w:val="20"/>
                <w:szCs w:val="20"/>
              </w:rPr>
              <w:t xml:space="preserve">only </w:t>
            </w:r>
            <w:r w:rsidRPr="004C4D20">
              <w:rPr>
                <w:rFonts w:asciiTheme="majorBidi" w:hAnsiTheme="majorBidi" w:cstheme="majorBidi"/>
                <w:sz w:val="20"/>
                <w:szCs w:val="20"/>
              </w:rPr>
              <w:t xml:space="preserve">knowledge </w:t>
            </w:r>
            <w:r>
              <w:rPr>
                <w:rFonts w:asciiTheme="majorBidi" w:hAnsiTheme="majorBidi" w:cstheme="majorBidi"/>
                <w:sz w:val="20"/>
                <w:szCs w:val="20"/>
              </w:rPr>
              <w:t xml:space="preserve">assessed </w:t>
            </w:r>
            <w:r w:rsidRPr="004C4D20">
              <w:rPr>
                <w:rFonts w:asciiTheme="majorBidi" w:hAnsiTheme="majorBidi" w:cstheme="majorBidi"/>
                <w:sz w:val="20"/>
                <w:szCs w:val="20"/>
              </w:rPr>
              <w:t xml:space="preserve">in one study), some studies included because they fit the search criteria, not because they studied the vulnerable groups of interest. </w:t>
            </w:r>
            <w:r>
              <w:rPr>
                <w:rFonts w:asciiTheme="majorBidi" w:hAnsiTheme="majorBidi" w:cstheme="majorBidi"/>
                <w:sz w:val="20"/>
                <w:szCs w:val="20"/>
              </w:rPr>
              <w:t>H</w:t>
            </w:r>
            <w:r w:rsidRPr="004C4D20">
              <w:rPr>
                <w:rFonts w:asciiTheme="majorBidi" w:hAnsiTheme="majorBidi" w:cstheme="majorBidi"/>
                <w:sz w:val="20"/>
                <w:szCs w:val="20"/>
              </w:rPr>
              <w:t>eterogeneous methods and outcomes</w:t>
            </w:r>
            <w:r>
              <w:rPr>
                <w:rFonts w:asciiTheme="majorBidi" w:hAnsiTheme="majorBidi" w:cstheme="majorBidi"/>
                <w:sz w:val="20"/>
                <w:szCs w:val="20"/>
              </w:rPr>
              <w:t>,</w:t>
            </w:r>
            <w:r w:rsidRPr="004C4D20">
              <w:rPr>
                <w:rFonts w:asciiTheme="majorBidi" w:hAnsiTheme="majorBidi" w:cstheme="majorBidi"/>
                <w:sz w:val="20"/>
                <w:szCs w:val="20"/>
              </w:rPr>
              <w:t xml:space="preserve"> no meta-analysis performed.</w:t>
            </w:r>
          </w:p>
        </w:tc>
      </w:tr>
      <w:tr w:rsidR="00B85C9C" w:rsidRPr="008D6755" w14:paraId="4014742B" w14:textId="77777777" w:rsidTr="00CA6F03">
        <w:tc>
          <w:tcPr>
            <w:tcW w:w="1743" w:type="dxa"/>
          </w:tcPr>
          <w:p w14:paraId="1C31FA7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Zheng et al 2020</w:t>
            </w:r>
          </w:p>
          <w:p w14:paraId="4462292E" w14:textId="3DB7E14D" w:rsidR="00B85C9C" w:rsidRPr="008D6755" w:rsidRDefault="00B85C9C" w:rsidP="00CA6F03">
            <w:pPr>
              <w:rPr>
                <w:rFonts w:asciiTheme="majorBidi" w:hAnsiTheme="majorBidi" w:cstheme="majorBidi"/>
                <w:sz w:val="20"/>
                <w:szCs w:val="20"/>
              </w:rPr>
            </w:pPr>
          </w:p>
        </w:tc>
        <w:tc>
          <w:tcPr>
            <w:tcW w:w="1743" w:type="dxa"/>
          </w:tcPr>
          <w:p w14:paraId="04D298EA" w14:textId="77777777" w:rsidR="00B85C9C" w:rsidRPr="00DE1272" w:rsidRDefault="00B85C9C" w:rsidP="00CA6F03">
            <w:pPr>
              <w:rPr>
                <w:rFonts w:asciiTheme="majorBidi" w:hAnsiTheme="majorBidi" w:cstheme="majorBidi"/>
                <w:sz w:val="20"/>
                <w:szCs w:val="20"/>
              </w:rPr>
            </w:pPr>
            <w:r>
              <w:rPr>
                <w:rFonts w:asciiTheme="majorBidi" w:hAnsiTheme="majorBidi" w:cstheme="majorBidi"/>
                <w:sz w:val="20"/>
                <w:szCs w:val="20"/>
              </w:rPr>
              <w:t xml:space="preserve">Systematic review and meta-analysis </w:t>
            </w:r>
            <w:r w:rsidRPr="00DE1272">
              <w:rPr>
                <w:rFonts w:asciiTheme="majorBidi" w:hAnsiTheme="majorBidi" w:cstheme="majorBidi"/>
                <w:sz w:val="20"/>
                <w:szCs w:val="20"/>
              </w:rPr>
              <w:t>to</w:t>
            </w:r>
            <w:r>
              <w:rPr>
                <w:rFonts w:asciiTheme="majorBidi" w:hAnsiTheme="majorBidi" w:cstheme="majorBidi"/>
                <w:sz w:val="20"/>
                <w:szCs w:val="20"/>
              </w:rPr>
              <w:t xml:space="preserve"> </w:t>
            </w:r>
            <w:r w:rsidRPr="00DE1272">
              <w:rPr>
                <w:rFonts w:asciiTheme="majorBidi" w:hAnsiTheme="majorBidi" w:cstheme="majorBidi"/>
                <w:sz w:val="20"/>
                <w:szCs w:val="20"/>
              </w:rPr>
              <w:t>evaluate the role of technology-based interventions in the management</w:t>
            </w:r>
          </w:p>
          <w:p w14:paraId="1E40FC43" w14:textId="77777777" w:rsidR="00B85C9C" w:rsidRPr="008D6755" w:rsidRDefault="00B85C9C" w:rsidP="00CA6F03">
            <w:pPr>
              <w:rPr>
                <w:rFonts w:asciiTheme="majorBidi" w:hAnsiTheme="majorBidi" w:cstheme="majorBidi"/>
                <w:sz w:val="20"/>
                <w:szCs w:val="20"/>
              </w:rPr>
            </w:pPr>
            <w:r w:rsidRPr="00DE1272">
              <w:rPr>
                <w:rFonts w:asciiTheme="majorBidi" w:hAnsiTheme="majorBidi" w:cstheme="majorBidi"/>
                <w:sz w:val="20"/>
                <w:szCs w:val="20"/>
              </w:rPr>
              <w:t>of OACs</w:t>
            </w:r>
            <w:r>
              <w:rPr>
                <w:rFonts w:asciiTheme="majorBidi" w:hAnsiTheme="majorBidi" w:cstheme="majorBidi"/>
                <w:sz w:val="20"/>
                <w:szCs w:val="20"/>
              </w:rPr>
              <w:t xml:space="preserve"> (15 RCTs included, n = 2,218)</w:t>
            </w:r>
          </w:p>
        </w:tc>
        <w:tc>
          <w:tcPr>
            <w:tcW w:w="1471" w:type="dxa"/>
          </w:tcPr>
          <w:p w14:paraId="3E1A531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Multiple settings, including discharge from hospital, mean age &gt;60 years in all studies.</w:t>
            </w:r>
          </w:p>
          <w:p w14:paraId="12F31890" w14:textId="77777777" w:rsidR="00B85C9C" w:rsidRDefault="00B85C9C" w:rsidP="00CA6F03">
            <w:pPr>
              <w:rPr>
                <w:rFonts w:asciiTheme="majorBidi" w:hAnsiTheme="majorBidi" w:cstheme="majorBidi"/>
                <w:sz w:val="20"/>
                <w:szCs w:val="20"/>
              </w:rPr>
            </w:pPr>
          </w:p>
          <w:p w14:paraId="1302196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Inclusion criteria: </w:t>
            </w:r>
          </w:p>
          <w:p w14:paraId="5295CDD3" w14:textId="77777777" w:rsidR="00B85C9C" w:rsidRDefault="00B85C9C" w:rsidP="00CA6F03">
            <w:pPr>
              <w:rPr>
                <w:rFonts w:asciiTheme="majorBidi" w:hAnsiTheme="majorBidi" w:cstheme="majorBidi"/>
                <w:sz w:val="20"/>
                <w:szCs w:val="20"/>
              </w:rPr>
            </w:pPr>
            <w:r w:rsidRPr="009B5C25">
              <w:rPr>
                <w:rFonts w:asciiTheme="majorBidi" w:hAnsiTheme="majorBidi" w:cstheme="majorBidi"/>
                <w:sz w:val="20"/>
                <w:szCs w:val="20"/>
              </w:rPr>
              <w:t>(1) RCT</w:t>
            </w:r>
          </w:p>
          <w:p w14:paraId="5805FB15" w14:textId="77777777" w:rsidR="00B85C9C" w:rsidRDefault="00B85C9C" w:rsidP="00CA6F03">
            <w:pPr>
              <w:rPr>
                <w:rFonts w:asciiTheme="majorBidi" w:hAnsiTheme="majorBidi" w:cstheme="majorBidi"/>
                <w:sz w:val="20"/>
                <w:szCs w:val="20"/>
              </w:rPr>
            </w:pPr>
            <w:r w:rsidRPr="009B5C25">
              <w:rPr>
                <w:rFonts w:asciiTheme="majorBidi" w:hAnsiTheme="majorBidi" w:cstheme="majorBidi"/>
                <w:sz w:val="20"/>
                <w:szCs w:val="20"/>
              </w:rPr>
              <w:t>(2) taking warfarin</w:t>
            </w:r>
          </w:p>
          <w:p w14:paraId="787E2FE3" w14:textId="77777777" w:rsidR="00B85C9C" w:rsidRPr="009B5C25" w:rsidRDefault="00B85C9C" w:rsidP="00CA6F03">
            <w:pPr>
              <w:rPr>
                <w:rFonts w:asciiTheme="majorBidi" w:hAnsiTheme="majorBidi" w:cstheme="majorBidi"/>
                <w:sz w:val="20"/>
                <w:szCs w:val="20"/>
              </w:rPr>
            </w:pPr>
            <w:r w:rsidRPr="009B5C25">
              <w:rPr>
                <w:rFonts w:asciiTheme="majorBidi" w:hAnsiTheme="majorBidi" w:cstheme="majorBidi"/>
                <w:sz w:val="20"/>
                <w:szCs w:val="20"/>
              </w:rPr>
              <w:t>(3) technology-based</w:t>
            </w:r>
          </w:p>
          <w:p w14:paraId="1C0020D0" w14:textId="77777777" w:rsidR="00B85C9C" w:rsidRDefault="00B85C9C" w:rsidP="00CA6F03">
            <w:pPr>
              <w:rPr>
                <w:rFonts w:asciiTheme="majorBidi" w:hAnsiTheme="majorBidi" w:cstheme="majorBidi"/>
                <w:sz w:val="20"/>
                <w:szCs w:val="20"/>
              </w:rPr>
            </w:pPr>
            <w:r w:rsidRPr="009B5C25">
              <w:rPr>
                <w:rFonts w:asciiTheme="majorBidi" w:hAnsiTheme="majorBidi" w:cstheme="majorBidi"/>
                <w:sz w:val="20"/>
                <w:szCs w:val="20"/>
              </w:rPr>
              <w:t>interventions used to manage OACs;</w:t>
            </w:r>
          </w:p>
          <w:p w14:paraId="4BF77D17" w14:textId="77777777" w:rsidR="00B85C9C" w:rsidRPr="009B5C25" w:rsidRDefault="00B85C9C" w:rsidP="00CA6F03">
            <w:pPr>
              <w:rPr>
                <w:rFonts w:asciiTheme="majorBidi" w:hAnsiTheme="majorBidi" w:cstheme="majorBidi"/>
                <w:sz w:val="20"/>
                <w:szCs w:val="20"/>
              </w:rPr>
            </w:pPr>
            <w:r w:rsidRPr="009B5C25">
              <w:rPr>
                <w:rFonts w:asciiTheme="majorBidi" w:hAnsiTheme="majorBidi" w:cstheme="majorBidi"/>
                <w:sz w:val="20"/>
                <w:szCs w:val="20"/>
              </w:rPr>
              <w:t xml:space="preserve">(4) results </w:t>
            </w:r>
            <w:r>
              <w:rPr>
                <w:rFonts w:asciiTheme="majorBidi" w:hAnsiTheme="majorBidi" w:cstheme="majorBidi"/>
                <w:sz w:val="20"/>
                <w:szCs w:val="20"/>
              </w:rPr>
              <w:t xml:space="preserve">report </w:t>
            </w:r>
            <w:r w:rsidRPr="009B5C25">
              <w:rPr>
                <w:rFonts w:asciiTheme="majorBidi" w:hAnsiTheme="majorBidi" w:cstheme="majorBidi"/>
                <w:sz w:val="20"/>
                <w:szCs w:val="20"/>
              </w:rPr>
              <w:t>TTR</w:t>
            </w:r>
            <w:r>
              <w:rPr>
                <w:rFonts w:asciiTheme="majorBidi" w:hAnsiTheme="majorBidi" w:cstheme="majorBidi"/>
                <w:sz w:val="20"/>
                <w:szCs w:val="20"/>
              </w:rPr>
              <w:t xml:space="preserve">, </w:t>
            </w:r>
            <w:r w:rsidRPr="009B5C25">
              <w:rPr>
                <w:rFonts w:asciiTheme="majorBidi" w:hAnsiTheme="majorBidi" w:cstheme="majorBidi"/>
                <w:sz w:val="20"/>
                <w:szCs w:val="20"/>
              </w:rPr>
              <w:t>bleeding, and</w:t>
            </w:r>
          </w:p>
          <w:p w14:paraId="7086B7A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VTE</w:t>
            </w:r>
            <w:r w:rsidRPr="009B5C25">
              <w:rPr>
                <w:rFonts w:asciiTheme="majorBidi" w:hAnsiTheme="majorBidi" w:cstheme="majorBidi"/>
                <w:sz w:val="20"/>
                <w:szCs w:val="20"/>
              </w:rPr>
              <w:t xml:space="preserve"> events</w:t>
            </w:r>
          </w:p>
          <w:p w14:paraId="7B40EC9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w:t>
            </w:r>
            <w:r w:rsidRPr="009B5C25">
              <w:rPr>
                <w:rFonts w:asciiTheme="majorBidi" w:hAnsiTheme="majorBidi" w:cstheme="majorBidi"/>
                <w:sz w:val="20"/>
                <w:szCs w:val="20"/>
              </w:rPr>
              <w:t>5)</w:t>
            </w:r>
            <w:r>
              <w:rPr>
                <w:rFonts w:asciiTheme="majorBidi" w:hAnsiTheme="majorBidi" w:cstheme="majorBidi"/>
                <w:sz w:val="20"/>
                <w:szCs w:val="20"/>
              </w:rPr>
              <w:t xml:space="preserve"> </w:t>
            </w:r>
            <w:r w:rsidRPr="009B5C25">
              <w:rPr>
                <w:rFonts w:asciiTheme="majorBidi" w:hAnsiTheme="majorBidi" w:cstheme="majorBidi"/>
                <w:sz w:val="20"/>
                <w:szCs w:val="20"/>
              </w:rPr>
              <w:t>English</w:t>
            </w:r>
          </w:p>
        </w:tc>
        <w:tc>
          <w:tcPr>
            <w:tcW w:w="1701" w:type="dxa"/>
          </w:tcPr>
          <w:p w14:paraId="04C0619A" w14:textId="77777777" w:rsidR="00B85C9C" w:rsidRPr="008D6755" w:rsidRDefault="00B85C9C" w:rsidP="00CA6F03">
            <w:pPr>
              <w:rPr>
                <w:rFonts w:asciiTheme="majorBidi" w:hAnsiTheme="majorBidi" w:cstheme="majorBidi"/>
                <w:sz w:val="20"/>
                <w:szCs w:val="20"/>
              </w:rPr>
            </w:pPr>
            <w:r w:rsidRPr="00581A82">
              <w:rPr>
                <w:rFonts w:asciiTheme="majorBidi" w:hAnsiTheme="majorBidi" w:cstheme="majorBidi"/>
                <w:b/>
                <w:bCs/>
                <w:sz w:val="20"/>
                <w:szCs w:val="20"/>
              </w:rPr>
              <w:t>Technology-based intervention</w:t>
            </w:r>
            <w:r>
              <w:rPr>
                <w:rFonts w:asciiTheme="majorBidi" w:hAnsiTheme="majorBidi" w:cstheme="majorBidi"/>
                <w:sz w:val="20"/>
                <w:szCs w:val="20"/>
              </w:rPr>
              <w:t xml:space="preserve"> to manage warfarin, telephone included. </w:t>
            </w:r>
          </w:p>
        </w:tc>
        <w:tc>
          <w:tcPr>
            <w:tcW w:w="1701" w:type="dxa"/>
          </w:tcPr>
          <w:p w14:paraId="636D0C3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w:t>
            </w:r>
          </w:p>
        </w:tc>
        <w:tc>
          <w:tcPr>
            <w:tcW w:w="3543" w:type="dxa"/>
          </w:tcPr>
          <w:p w14:paraId="697A6774" w14:textId="77777777" w:rsidR="00B85C9C" w:rsidRDefault="00B85C9C" w:rsidP="00CA6F03">
            <w:pPr>
              <w:rPr>
                <w:rFonts w:asciiTheme="majorBidi" w:hAnsiTheme="majorBidi" w:cstheme="majorBidi"/>
                <w:sz w:val="20"/>
                <w:szCs w:val="20"/>
              </w:rPr>
            </w:pPr>
            <w:r w:rsidRPr="00BB44AD">
              <w:rPr>
                <w:rFonts w:asciiTheme="majorBidi" w:hAnsiTheme="majorBidi" w:cstheme="majorBidi"/>
                <w:b/>
                <w:bCs/>
                <w:sz w:val="20"/>
                <w:szCs w:val="20"/>
              </w:rPr>
              <w:t>Technology-based interventions significantly improved the</w:t>
            </w:r>
            <w:r w:rsidRPr="00CD3CF1">
              <w:rPr>
                <w:rFonts w:asciiTheme="majorBidi" w:hAnsiTheme="majorBidi" w:cstheme="majorBidi"/>
                <w:b/>
                <w:bCs/>
                <w:sz w:val="20"/>
                <w:szCs w:val="20"/>
              </w:rPr>
              <w:t xml:space="preserve"> </w:t>
            </w:r>
            <w:r w:rsidRPr="00BB44AD">
              <w:rPr>
                <w:rFonts w:asciiTheme="majorBidi" w:hAnsiTheme="majorBidi" w:cstheme="majorBidi"/>
                <w:b/>
                <w:bCs/>
                <w:sz w:val="20"/>
                <w:szCs w:val="20"/>
              </w:rPr>
              <w:t>effectiveness of</w:t>
            </w:r>
            <w:r w:rsidRPr="00CD3CF1">
              <w:rPr>
                <w:rFonts w:asciiTheme="majorBidi" w:hAnsiTheme="majorBidi" w:cstheme="majorBidi"/>
                <w:b/>
                <w:bCs/>
                <w:sz w:val="20"/>
                <w:szCs w:val="20"/>
              </w:rPr>
              <w:t xml:space="preserve"> </w:t>
            </w:r>
            <w:r w:rsidRPr="00BB44AD">
              <w:rPr>
                <w:rFonts w:asciiTheme="majorBidi" w:hAnsiTheme="majorBidi" w:cstheme="majorBidi"/>
                <w:b/>
                <w:bCs/>
                <w:sz w:val="20"/>
                <w:szCs w:val="20"/>
              </w:rPr>
              <w:t>oral anticoagulation management</w:t>
            </w:r>
            <w:r>
              <w:rPr>
                <w:rFonts w:asciiTheme="majorBidi" w:hAnsiTheme="majorBidi" w:cstheme="majorBidi"/>
                <w:b/>
                <w:bCs/>
                <w:sz w:val="20"/>
                <w:szCs w:val="20"/>
              </w:rPr>
              <w:t xml:space="preserve">, </w:t>
            </w:r>
            <w:r>
              <w:rPr>
                <w:rFonts w:asciiTheme="majorBidi" w:hAnsiTheme="majorBidi" w:cstheme="majorBidi"/>
                <w:sz w:val="20"/>
                <w:szCs w:val="20"/>
              </w:rPr>
              <w:t>as measured by TTR</w:t>
            </w:r>
            <w:r w:rsidRPr="00BB44AD">
              <w:rPr>
                <w:rFonts w:asciiTheme="majorBidi" w:hAnsiTheme="majorBidi" w:cstheme="majorBidi"/>
                <w:sz w:val="20"/>
                <w:szCs w:val="20"/>
              </w:rPr>
              <w:t xml:space="preserve"> (mean difference [MD]=6.07; 95% CI 0.84-11.30; I2=72%; P=.02). </w:t>
            </w:r>
          </w:p>
          <w:p w14:paraId="17DFC64D" w14:textId="77777777" w:rsidR="00B85C9C" w:rsidRDefault="00B85C9C" w:rsidP="00CA6F03">
            <w:pPr>
              <w:rPr>
                <w:rFonts w:asciiTheme="majorBidi" w:hAnsiTheme="majorBidi" w:cstheme="majorBidi"/>
                <w:sz w:val="20"/>
                <w:szCs w:val="20"/>
              </w:rPr>
            </w:pPr>
          </w:p>
          <w:p w14:paraId="7EC746CB" w14:textId="77777777" w:rsidR="00B85C9C" w:rsidRDefault="00B85C9C" w:rsidP="00CA6F03">
            <w:pPr>
              <w:rPr>
                <w:rFonts w:asciiTheme="majorBidi" w:hAnsiTheme="majorBidi" w:cstheme="majorBidi"/>
                <w:sz w:val="20"/>
                <w:szCs w:val="20"/>
              </w:rPr>
            </w:pPr>
            <w:r w:rsidRPr="00BB44AD">
              <w:rPr>
                <w:rFonts w:asciiTheme="majorBidi" w:hAnsiTheme="majorBidi" w:cstheme="majorBidi"/>
                <w:sz w:val="20"/>
                <w:szCs w:val="20"/>
              </w:rPr>
              <w:t>The safety of oral</w:t>
            </w:r>
            <w:r>
              <w:rPr>
                <w:rFonts w:asciiTheme="majorBidi" w:hAnsiTheme="majorBidi" w:cstheme="majorBidi"/>
                <w:sz w:val="20"/>
                <w:szCs w:val="20"/>
              </w:rPr>
              <w:t xml:space="preserve"> </w:t>
            </w:r>
            <w:r w:rsidRPr="00BB44AD">
              <w:rPr>
                <w:rFonts w:asciiTheme="majorBidi" w:hAnsiTheme="majorBidi" w:cstheme="majorBidi"/>
                <w:sz w:val="20"/>
                <w:szCs w:val="20"/>
              </w:rPr>
              <w:t xml:space="preserve">anticoagulation management was also improved, but the results were </w:t>
            </w:r>
            <w:r w:rsidRPr="00BB44AD">
              <w:rPr>
                <w:rFonts w:asciiTheme="majorBidi" w:hAnsiTheme="majorBidi" w:cstheme="majorBidi"/>
                <w:b/>
                <w:bCs/>
                <w:sz w:val="20"/>
                <w:szCs w:val="20"/>
              </w:rPr>
              <w:t>not statistically significant</w:t>
            </w:r>
            <w:r w:rsidRPr="00BB44AD">
              <w:rPr>
                <w:rFonts w:asciiTheme="majorBidi" w:hAnsiTheme="majorBidi" w:cstheme="majorBidi"/>
                <w:sz w:val="20"/>
                <w:szCs w:val="20"/>
              </w:rPr>
              <w:t>. Bleeding events were reduced</w:t>
            </w:r>
            <w:r>
              <w:rPr>
                <w:rFonts w:asciiTheme="majorBidi" w:hAnsiTheme="majorBidi" w:cstheme="majorBidi"/>
                <w:sz w:val="20"/>
                <w:szCs w:val="20"/>
              </w:rPr>
              <w:t xml:space="preserve"> </w:t>
            </w:r>
            <w:r w:rsidRPr="00BB44AD">
              <w:rPr>
                <w:rFonts w:asciiTheme="majorBidi" w:hAnsiTheme="majorBidi" w:cstheme="majorBidi"/>
                <w:sz w:val="20"/>
                <w:szCs w:val="20"/>
              </w:rPr>
              <w:t>(major bleeding events MD=1.02; 95% CI 0.78-1.32; I2=0%; P=.90; minor bleeding events MD=1.06, 95% CI 0.77-1.44; I2=41%;</w:t>
            </w:r>
            <w:r>
              <w:rPr>
                <w:rFonts w:asciiTheme="majorBidi" w:hAnsiTheme="majorBidi" w:cstheme="majorBidi"/>
                <w:sz w:val="20"/>
                <w:szCs w:val="20"/>
              </w:rPr>
              <w:t xml:space="preserve"> </w:t>
            </w:r>
            <w:r w:rsidRPr="00BB44AD">
              <w:rPr>
                <w:rFonts w:asciiTheme="majorBidi" w:hAnsiTheme="majorBidi" w:cstheme="majorBidi"/>
                <w:sz w:val="20"/>
                <w:szCs w:val="20"/>
              </w:rPr>
              <w:t>P=.73) and</w:t>
            </w:r>
            <w:r>
              <w:rPr>
                <w:rFonts w:asciiTheme="majorBidi" w:hAnsiTheme="majorBidi" w:cstheme="majorBidi"/>
                <w:sz w:val="20"/>
                <w:szCs w:val="20"/>
              </w:rPr>
              <w:t xml:space="preserve"> </w:t>
            </w:r>
            <w:r w:rsidRPr="00BB44AD">
              <w:rPr>
                <w:rFonts w:asciiTheme="majorBidi" w:hAnsiTheme="majorBidi" w:cstheme="majorBidi"/>
                <w:sz w:val="20"/>
                <w:szCs w:val="20"/>
              </w:rPr>
              <w:t>thromboembolism events were</w:t>
            </w:r>
            <w:r>
              <w:rPr>
                <w:rFonts w:asciiTheme="majorBidi" w:hAnsiTheme="majorBidi" w:cstheme="majorBidi"/>
                <w:sz w:val="20"/>
                <w:szCs w:val="20"/>
              </w:rPr>
              <w:t xml:space="preserve"> </w:t>
            </w:r>
            <w:r w:rsidRPr="00BB44AD">
              <w:rPr>
                <w:rFonts w:asciiTheme="majorBidi" w:hAnsiTheme="majorBidi" w:cstheme="majorBidi"/>
                <w:sz w:val="20"/>
                <w:szCs w:val="20"/>
              </w:rPr>
              <w:t xml:space="preserve">reduced (MD=0.71; 95% CI 0.49-1.01; I2=0%; P=.06). </w:t>
            </w:r>
          </w:p>
          <w:p w14:paraId="3DF3DD3F" w14:textId="77777777" w:rsidR="00B85C9C" w:rsidRDefault="00B85C9C" w:rsidP="00CA6F03">
            <w:pPr>
              <w:rPr>
                <w:rFonts w:asciiTheme="majorBidi" w:hAnsiTheme="majorBidi" w:cstheme="majorBidi"/>
                <w:sz w:val="20"/>
                <w:szCs w:val="20"/>
              </w:rPr>
            </w:pPr>
          </w:p>
          <w:p w14:paraId="4F7B8B55" w14:textId="77777777" w:rsidR="00B85C9C" w:rsidRPr="008D6755" w:rsidRDefault="00B85C9C" w:rsidP="00CA6F03">
            <w:pPr>
              <w:rPr>
                <w:rFonts w:asciiTheme="majorBidi" w:hAnsiTheme="majorBidi" w:cstheme="majorBidi"/>
                <w:sz w:val="20"/>
                <w:szCs w:val="20"/>
              </w:rPr>
            </w:pPr>
            <w:r w:rsidRPr="00BB44AD">
              <w:rPr>
                <w:rFonts w:asciiTheme="majorBidi" w:hAnsiTheme="majorBidi" w:cstheme="majorBidi"/>
                <w:sz w:val="20"/>
                <w:szCs w:val="20"/>
              </w:rPr>
              <w:t>In general,</w:t>
            </w:r>
            <w:r>
              <w:rPr>
                <w:rFonts w:asciiTheme="majorBidi" w:hAnsiTheme="majorBidi" w:cstheme="majorBidi"/>
                <w:sz w:val="20"/>
                <w:szCs w:val="20"/>
              </w:rPr>
              <w:t xml:space="preserve"> </w:t>
            </w:r>
            <w:r w:rsidRPr="00BB44AD">
              <w:rPr>
                <w:rFonts w:asciiTheme="majorBidi" w:hAnsiTheme="majorBidi" w:cstheme="majorBidi"/>
                <w:sz w:val="20"/>
                <w:szCs w:val="20"/>
              </w:rPr>
              <w:t>patients were more</w:t>
            </w:r>
            <w:r>
              <w:rPr>
                <w:rFonts w:asciiTheme="majorBidi" w:hAnsiTheme="majorBidi" w:cstheme="majorBidi"/>
                <w:sz w:val="20"/>
                <w:szCs w:val="20"/>
              </w:rPr>
              <w:t xml:space="preserve"> </w:t>
            </w:r>
            <w:r w:rsidRPr="00BB44AD">
              <w:rPr>
                <w:rFonts w:asciiTheme="majorBidi" w:hAnsiTheme="majorBidi" w:cstheme="majorBidi"/>
                <w:sz w:val="20"/>
                <w:szCs w:val="20"/>
              </w:rPr>
              <w:t>satisfied with technology-based interventions,</w:t>
            </w:r>
            <w:r>
              <w:rPr>
                <w:rFonts w:asciiTheme="majorBidi" w:hAnsiTheme="majorBidi" w:cstheme="majorBidi"/>
                <w:sz w:val="20"/>
                <w:szCs w:val="20"/>
              </w:rPr>
              <w:t xml:space="preserve"> </w:t>
            </w:r>
            <w:r w:rsidRPr="00BB44AD">
              <w:rPr>
                <w:rFonts w:asciiTheme="majorBidi" w:hAnsiTheme="majorBidi" w:cstheme="majorBidi"/>
                <w:sz w:val="20"/>
                <w:szCs w:val="20"/>
              </w:rPr>
              <w:t>which could also improve their knowledge of anticoagulation management, improve</w:t>
            </w:r>
            <w:r>
              <w:rPr>
                <w:rFonts w:asciiTheme="majorBidi" w:hAnsiTheme="majorBidi" w:cstheme="majorBidi"/>
                <w:sz w:val="20"/>
                <w:szCs w:val="20"/>
              </w:rPr>
              <w:t xml:space="preserve"> </w:t>
            </w:r>
            <w:r w:rsidRPr="00BB44AD">
              <w:rPr>
                <w:rFonts w:asciiTheme="majorBidi" w:hAnsiTheme="majorBidi" w:cstheme="majorBidi"/>
                <w:sz w:val="20"/>
                <w:szCs w:val="20"/>
              </w:rPr>
              <w:t>their quality of life, and reduce mortality and hospitalization events.</w:t>
            </w:r>
          </w:p>
        </w:tc>
        <w:tc>
          <w:tcPr>
            <w:tcW w:w="1560" w:type="dxa"/>
          </w:tcPr>
          <w:p w14:paraId="519D26BA" w14:textId="77777777" w:rsidR="00B85C9C" w:rsidRPr="00CD3CF1" w:rsidRDefault="00B85C9C" w:rsidP="00CA6F03">
            <w:pPr>
              <w:rPr>
                <w:rFonts w:asciiTheme="majorBidi" w:hAnsiTheme="majorBidi" w:cstheme="majorBidi"/>
                <w:sz w:val="20"/>
                <w:szCs w:val="20"/>
              </w:rPr>
            </w:pPr>
            <w:r>
              <w:rPr>
                <w:rFonts w:asciiTheme="majorBidi" w:hAnsiTheme="majorBidi" w:cstheme="majorBidi"/>
                <w:sz w:val="20"/>
                <w:szCs w:val="20"/>
              </w:rPr>
              <w:t>I</w:t>
            </w:r>
            <w:r w:rsidRPr="00CD3CF1">
              <w:rPr>
                <w:rFonts w:asciiTheme="majorBidi" w:hAnsiTheme="majorBidi" w:cstheme="majorBidi"/>
                <w:sz w:val="20"/>
                <w:szCs w:val="20"/>
              </w:rPr>
              <w:t>ncluded studies had relatively small sample sizes and varying</w:t>
            </w:r>
          </w:p>
          <w:p w14:paraId="14E38829" w14:textId="77777777" w:rsidR="00B85C9C" w:rsidRDefault="00B85C9C" w:rsidP="00CA6F03">
            <w:pPr>
              <w:rPr>
                <w:rFonts w:asciiTheme="majorBidi" w:hAnsiTheme="majorBidi" w:cstheme="majorBidi"/>
                <w:sz w:val="20"/>
                <w:szCs w:val="20"/>
              </w:rPr>
            </w:pPr>
            <w:r w:rsidRPr="00CD3CF1">
              <w:rPr>
                <w:rFonts w:asciiTheme="majorBidi" w:hAnsiTheme="majorBidi" w:cstheme="majorBidi"/>
                <w:sz w:val="20"/>
                <w:szCs w:val="20"/>
              </w:rPr>
              <w:t>follow-up times, with some as short as 1 month</w:t>
            </w:r>
            <w:r>
              <w:rPr>
                <w:rFonts w:asciiTheme="majorBidi" w:hAnsiTheme="majorBidi" w:cstheme="majorBidi"/>
                <w:sz w:val="20"/>
                <w:szCs w:val="20"/>
              </w:rPr>
              <w:t>.</w:t>
            </w:r>
          </w:p>
          <w:p w14:paraId="77EB5785" w14:textId="77777777" w:rsidR="00B85C9C" w:rsidRDefault="00B85C9C" w:rsidP="00CA6F03">
            <w:pPr>
              <w:rPr>
                <w:rFonts w:asciiTheme="majorBidi" w:hAnsiTheme="majorBidi" w:cstheme="majorBidi"/>
                <w:sz w:val="20"/>
                <w:szCs w:val="20"/>
              </w:rPr>
            </w:pPr>
          </w:p>
          <w:p w14:paraId="1A898639" w14:textId="77777777" w:rsidR="00B85C9C" w:rsidRPr="00084DF6" w:rsidRDefault="00B85C9C" w:rsidP="00CA6F03">
            <w:pPr>
              <w:rPr>
                <w:rFonts w:asciiTheme="majorBidi" w:hAnsiTheme="majorBidi" w:cstheme="majorBidi"/>
                <w:sz w:val="20"/>
                <w:szCs w:val="20"/>
              </w:rPr>
            </w:pPr>
            <w:r>
              <w:rPr>
                <w:rFonts w:asciiTheme="majorBidi" w:hAnsiTheme="majorBidi" w:cstheme="majorBidi"/>
                <w:sz w:val="20"/>
                <w:szCs w:val="20"/>
              </w:rPr>
              <w:t>Authors state, “t</w:t>
            </w:r>
            <w:r w:rsidRPr="00084DF6">
              <w:rPr>
                <w:rFonts w:asciiTheme="majorBidi" w:hAnsiTheme="majorBidi" w:cstheme="majorBidi"/>
                <w:sz w:val="20"/>
                <w:szCs w:val="20"/>
              </w:rPr>
              <w:t>he Cochrane</w:t>
            </w:r>
          </w:p>
          <w:p w14:paraId="28EF0AC1" w14:textId="77777777" w:rsidR="00B85C9C" w:rsidRPr="00084DF6" w:rsidRDefault="00B85C9C" w:rsidP="00CA6F03">
            <w:pPr>
              <w:rPr>
                <w:rFonts w:asciiTheme="majorBidi" w:hAnsiTheme="majorBidi" w:cstheme="majorBidi"/>
                <w:b/>
                <w:bCs/>
                <w:sz w:val="20"/>
                <w:szCs w:val="20"/>
              </w:rPr>
            </w:pPr>
            <w:r w:rsidRPr="00084DF6">
              <w:rPr>
                <w:rFonts w:asciiTheme="majorBidi" w:hAnsiTheme="majorBidi" w:cstheme="majorBidi"/>
                <w:sz w:val="20"/>
                <w:szCs w:val="20"/>
              </w:rPr>
              <w:t>systematic evaluation method was used for quality</w:t>
            </w:r>
            <w:r>
              <w:rPr>
                <w:rFonts w:asciiTheme="majorBidi" w:hAnsiTheme="majorBidi" w:cstheme="majorBidi"/>
                <w:sz w:val="20"/>
                <w:szCs w:val="20"/>
              </w:rPr>
              <w:t xml:space="preserve"> </w:t>
            </w:r>
            <w:r w:rsidRPr="00084DF6">
              <w:rPr>
                <w:rFonts w:asciiTheme="majorBidi" w:hAnsiTheme="majorBidi" w:cstheme="majorBidi"/>
                <w:sz w:val="20"/>
                <w:szCs w:val="20"/>
              </w:rPr>
              <w:t>evaluation,</w:t>
            </w:r>
            <w:r>
              <w:rPr>
                <w:rFonts w:asciiTheme="majorBidi" w:hAnsiTheme="majorBidi" w:cstheme="majorBidi"/>
                <w:sz w:val="20"/>
                <w:szCs w:val="20"/>
              </w:rPr>
              <w:t xml:space="preserve"> </w:t>
            </w:r>
            <w:r w:rsidRPr="00084DF6">
              <w:rPr>
                <w:rFonts w:asciiTheme="majorBidi" w:hAnsiTheme="majorBidi" w:cstheme="majorBidi"/>
                <w:sz w:val="20"/>
                <w:szCs w:val="20"/>
              </w:rPr>
              <w:t>and overall, the included studies</w:t>
            </w:r>
            <w:r>
              <w:rPr>
                <w:rFonts w:asciiTheme="majorBidi" w:hAnsiTheme="majorBidi" w:cstheme="majorBidi"/>
                <w:sz w:val="20"/>
                <w:szCs w:val="20"/>
              </w:rPr>
              <w:t xml:space="preserve"> </w:t>
            </w:r>
            <w:r w:rsidRPr="00084DF6">
              <w:rPr>
                <w:rFonts w:asciiTheme="majorBidi" w:hAnsiTheme="majorBidi" w:cstheme="majorBidi"/>
                <w:sz w:val="20"/>
                <w:szCs w:val="20"/>
              </w:rPr>
              <w:t xml:space="preserve">had </w:t>
            </w:r>
            <w:r w:rsidRPr="00084DF6">
              <w:rPr>
                <w:rFonts w:asciiTheme="majorBidi" w:hAnsiTheme="majorBidi" w:cstheme="majorBidi"/>
                <w:b/>
                <w:bCs/>
                <w:sz w:val="20"/>
                <w:szCs w:val="20"/>
              </w:rPr>
              <w:t>low risk of bias and were</w:t>
            </w:r>
          </w:p>
          <w:p w14:paraId="757C63FA" w14:textId="77777777" w:rsidR="00B85C9C" w:rsidRPr="008D6755" w:rsidRDefault="00B85C9C" w:rsidP="00CA6F03">
            <w:pPr>
              <w:rPr>
                <w:rFonts w:asciiTheme="majorBidi" w:hAnsiTheme="majorBidi" w:cstheme="majorBidi"/>
                <w:sz w:val="20"/>
                <w:szCs w:val="20"/>
              </w:rPr>
            </w:pPr>
            <w:r w:rsidRPr="00B66A42">
              <w:rPr>
                <w:rFonts w:asciiTheme="majorBidi" w:hAnsiTheme="majorBidi" w:cstheme="majorBidi"/>
                <w:b/>
                <w:bCs/>
                <w:sz w:val="20"/>
                <w:szCs w:val="20"/>
              </w:rPr>
              <w:t>high quality</w:t>
            </w:r>
            <w:r>
              <w:rPr>
                <w:rFonts w:asciiTheme="majorBidi" w:hAnsiTheme="majorBidi" w:cstheme="majorBidi"/>
                <w:sz w:val="20"/>
                <w:szCs w:val="20"/>
              </w:rPr>
              <w:t>.”</w:t>
            </w:r>
          </w:p>
        </w:tc>
      </w:tr>
    </w:tbl>
    <w:p w14:paraId="6BB96352" w14:textId="77777777" w:rsidR="00B85C9C" w:rsidRDefault="00B85C9C" w:rsidP="009D1703">
      <w:pPr>
        <w:rPr>
          <w:rFonts w:asciiTheme="majorBidi" w:hAnsiTheme="majorBidi" w:cstheme="majorBidi"/>
          <w:b/>
          <w:bCs/>
        </w:rPr>
      </w:pPr>
    </w:p>
    <w:p w14:paraId="4224287D" w14:textId="77777777" w:rsidR="00B85C9C" w:rsidRDefault="00B85C9C">
      <w:pPr>
        <w:rPr>
          <w:rFonts w:asciiTheme="majorBidi" w:hAnsiTheme="majorBidi" w:cstheme="majorBidi"/>
          <w:b/>
          <w:bCs/>
        </w:rPr>
      </w:pPr>
      <w:r>
        <w:rPr>
          <w:rFonts w:asciiTheme="majorBidi" w:hAnsiTheme="majorBidi" w:cstheme="majorBidi"/>
          <w:b/>
          <w:bCs/>
        </w:rPr>
        <w:br w:type="page"/>
      </w:r>
    </w:p>
    <w:p w14:paraId="00322C3D" w14:textId="77777777" w:rsidR="00B85C9C" w:rsidRPr="008D6755" w:rsidRDefault="00B85C9C" w:rsidP="009D1703">
      <w:pPr>
        <w:spacing w:after="120"/>
        <w:rPr>
          <w:rFonts w:asciiTheme="majorBidi" w:hAnsiTheme="majorBidi" w:cstheme="majorBidi"/>
          <w:b/>
          <w:bCs/>
        </w:rPr>
      </w:pPr>
      <w:r w:rsidRPr="008D6755">
        <w:rPr>
          <w:rFonts w:asciiTheme="majorBidi" w:hAnsiTheme="majorBidi" w:cstheme="majorBidi"/>
          <w:b/>
          <w:bCs/>
        </w:rPr>
        <w:t>Tab</w:t>
      </w:r>
      <w:r>
        <w:rPr>
          <w:rFonts w:asciiTheme="majorBidi" w:hAnsiTheme="majorBidi" w:cstheme="majorBidi"/>
          <w:b/>
          <w:bCs/>
        </w:rPr>
        <w:t>le A2</w:t>
      </w:r>
      <w:r w:rsidRPr="008D6755">
        <w:rPr>
          <w:rFonts w:asciiTheme="majorBidi" w:hAnsiTheme="majorBidi" w:cstheme="majorBidi"/>
          <w:b/>
          <w:bCs/>
        </w:rPr>
        <w:t>: Anticoagulant harm QI initiatives</w:t>
      </w:r>
      <w:r>
        <w:rPr>
          <w:rFonts w:asciiTheme="majorBidi" w:hAnsiTheme="majorBidi" w:cstheme="majorBidi"/>
          <w:b/>
          <w:bCs/>
        </w:rPr>
        <w:t xml:space="preserve"> - Individual studies </w:t>
      </w:r>
      <w:r w:rsidRPr="0043131C">
        <w:rPr>
          <w:rFonts w:asciiTheme="majorBidi" w:hAnsiTheme="majorBidi" w:cstheme="majorBidi"/>
        </w:rPr>
        <w:t xml:space="preserve">(arranged by intervention type: anticoagulation stewardship, interventions at discharge, pharmacist interventions, electronic interventions and CDSS, </w:t>
      </w:r>
      <w:r>
        <w:rPr>
          <w:rFonts w:asciiTheme="majorBidi" w:hAnsiTheme="majorBidi" w:cstheme="majorBidi"/>
        </w:rPr>
        <w:t xml:space="preserve">and </w:t>
      </w:r>
      <w:r w:rsidRPr="0043131C">
        <w:rPr>
          <w:rFonts w:asciiTheme="majorBidi" w:hAnsiTheme="majorBidi" w:cstheme="majorBidi"/>
        </w:rPr>
        <w:t>other interventions)</w:t>
      </w:r>
    </w:p>
    <w:tbl>
      <w:tblPr>
        <w:tblStyle w:val="TableGrid"/>
        <w:tblW w:w="0" w:type="auto"/>
        <w:tblLook w:val="04A0" w:firstRow="1" w:lastRow="0" w:firstColumn="1" w:lastColumn="0" w:noHBand="0" w:noVBand="1"/>
      </w:tblPr>
      <w:tblGrid>
        <w:gridCol w:w="1783"/>
        <w:gridCol w:w="1638"/>
        <w:gridCol w:w="1678"/>
        <w:gridCol w:w="2699"/>
        <w:gridCol w:w="1472"/>
        <w:gridCol w:w="3139"/>
        <w:gridCol w:w="1541"/>
      </w:tblGrid>
      <w:tr w:rsidR="00B85C9C" w:rsidRPr="008D6755" w14:paraId="53951A11" w14:textId="77777777" w:rsidTr="00CA6F03">
        <w:trPr>
          <w:tblHeader/>
        </w:trPr>
        <w:tc>
          <w:tcPr>
            <w:tcW w:w="1783" w:type="dxa"/>
            <w:tcBorders>
              <w:bottom w:val="single" w:sz="4" w:space="0" w:color="auto"/>
            </w:tcBorders>
            <w:shd w:val="clear" w:color="auto" w:fill="D9D9D9" w:themeFill="background1" w:themeFillShade="D9"/>
          </w:tcPr>
          <w:p w14:paraId="1FD7D80F" w14:textId="77777777" w:rsidR="00B85C9C"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Authors/link</w:t>
            </w:r>
          </w:p>
          <w:p w14:paraId="36887E42" w14:textId="77777777" w:rsidR="00B85C9C" w:rsidRPr="008D6755" w:rsidRDefault="00B85C9C" w:rsidP="00CA6F03">
            <w:pPr>
              <w:rPr>
                <w:rFonts w:asciiTheme="majorBidi" w:hAnsiTheme="majorBidi" w:cstheme="majorBidi"/>
                <w:b/>
                <w:bCs/>
                <w:sz w:val="20"/>
                <w:szCs w:val="20"/>
              </w:rPr>
            </w:pPr>
          </w:p>
        </w:tc>
        <w:tc>
          <w:tcPr>
            <w:tcW w:w="1638" w:type="dxa"/>
            <w:tcBorders>
              <w:bottom w:val="single" w:sz="4" w:space="0" w:color="auto"/>
            </w:tcBorders>
            <w:shd w:val="clear" w:color="auto" w:fill="D9D9D9" w:themeFill="background1" w:themeFillShade="D9"/>
          </w:tcPr>
          <w:p w14:paraId="2D6084CB" w14:textId="77777777" w:rsidR="00B85C9C" w:rsidRPr="008D6755" w:rsidRDefault="00B85C9C" w:rsidP="00CA6F03">
            <w:pPr>
              <w:rPr>
                <w:rFonts w:asciiTheme="majorBidi" w:hAnsiTheme="majorBidi" w:cstheme="majorBidi"/>
                <w:b/>
                <w:bCs/>
                <w:sz w:val="20"/>
                <w:szCs w:val="20"/>
              </w:rPr>
            </w:pPr>
            <w:r>
              <w:rPr>
                <w:rFonts w:asciiTheme="majorBidi" w:hAnsiTheme="majorBidi" w:cstheme="majorBidi"/>
                <w:b/>
                <w:bCs/>
                <w:sz w:val="20"/>
                <w:szCs w:val="20"/>
              </w:rPr>
              <w:t>Design</w:t>
            </w:r>
          </w:p>
        </w:tc>
        <w:tc>
          <w:tcPr>
            <w:tcW w:w="1678" w:type="dxa"/>
            <w:tcBorders>
              <w:bottom w:val="single" w:sz="4" w:space="0" w:color="auto"/>
            </w:tcBorders>
            <w:shd w:val="clear" w:color="auto" w:fill="D9D9D9" w:themeFill="background1" w:themeFillShade="D9"/>
          </w:tcPr>
          <w:p w14:paraId="6AD318EA"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Population</w:t>
            </w:r>
          </w:p>
        </w:tc>
        <w:tc>
          <w:tcPr>
            <w:tcW w:w="2699" w:type="dxa"/>
            <w:tcBorders>
              <w:bottom w:val="single" w:sz="4" w:space="0" w:color="auto"/>
            </w:tcBorders>
            <w:shd w:val="clear" w:color="auto" w:fill="D9D9D9" w:themeFill="background1" w:themeFillShade="D9"/>
          </w:tcPr>
          <w:p w14:paraId="3F6FB98D"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Intervention</w:t>
            </w:r>
          </w:p>
        </w:tc>
        <w:tc>
          <w:tcPr>
            <w:tcW w:w="1472" w:type="dxa"/>
            <w:tcBorders>
              <w:bottom w:val="single" w:sz="4" w:space="0" w:color="auto"/>
            </w:tcBorders>
            <w:shd w:val="clear" w:color="auto" w:fill="D9D9D9" w:themeFill="background1" w:themeFillShade="D9"/>
          </w:tcPr>
          <w:p w14:paraId="3C2E2978"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Comparator</w:t>
            </w:r>
          </w:p>
        </w:tc>
        <w:tc>
          <w:tcPr>
            <w:tcW w:w="3139" w:type="dxa"/>
            <w:tcBorders>
              <w:bottom w:val="single" w:sz="4" w:space="0" w:color="auto"/>
            </w:tcBorders>
            <w:shd w:val="clear" w:color="auto" w:fill="D9D9D9" w:themeFill="background1" w:themeFillShade="D9"/>
          </w:tcPr>
          <w:p w14:paraId="51F9B2DD"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Outcome</w:t>
            </w:r>
          </w:p>
        </w:tc>
        <w:tc>
          <w:tcPr>
            <w:tcW w:w="1541" w:type="dxa"/>
            <w:tcBorders>
              <w:bottom w:val="single" w:sz="4" w:space="0" w:color="auto"/>
            </w:tcBorders>
            <w:shd w:val="clear" w:color="auto" w:fill="D9D9D9" w:themeFill="background1" w:themeFillShade="D9"/>
          </w:tcPr>
          <w:p w14:paraId="734FB30E"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Quality of Evidence</w:t>
            </w:r>
          </w:p>
        </w:tc>
      </w:tr>
      <w:tr w:rsidR="00B85C9C" w:rsidRPr="001A1529" w14:paraId="1BAE01BF" w14:textId="77777777" w:rsidTr="00CA6F03">
        <w:tc>
          <w:tcPr>
            <w:tcW w:w="1783" w:type="dxa"/>
            <w:shd w:val="clear" w:color="auto" w:fill="F2F2F2" w:themeFill="background1" w:themeFillShade="F2"/>
          </w:tcPr>
          <w:p w14:paraId="1A15F34B" w14:textId="77777777" w:rsidR="00B85C9C" w:rsidRPr="00E434CF" w:rsidRDefault="00B85C9C" w:rsidP="00CA6F03">
            <w:pPr>
              <w:rPr>
                <w:rFonts w:asciiTheme="majorBidi" w:hAnsiTheme="majorBidi" w:cstheme="majorBidi"/>
                <w:b/>
                <w:bCs/>
                <w:sz w:val="20"/>
                <w:szCs w:val="20"/>
              </w:rPr>
            </w:pPr>
            <w:r w:rsidRPr="00E434CF">
              <w:rPr>
                <w:rFonts w:asciiTheme="majorBidi" w:hAnsiTheme="majorBidi" w:cstheme="majorBidi"/>
                <w:b/>
                <w:bCs/>
                <w:sz w:val="20"/>
                <w:szCs w:val="20"/>
              </w:rPr>
              <w:t>Anticoagulation Stewardship</w:t>
            </w:r>
          </w:p>
        </w:tc>
        <w:tc>
          <w:tcPr>
            <w:tcW w:w="1638" w:type="dxa"/>
            <w:shd w:val="clear" w:color="auto" w:fill="F2F2F2" w:themeFill="background1" w:themeFillShade="F2"/>
          </w:tcPr>
          <w:p w14:paraId="5723340D" w14:textId="77777777" w:rsidR="00B85C9C" w:rsidRPr="001A1529" w:rsidRDefault="00B85C9C" w:rsidP="00CA6F03">
            <w:pPr>
              <w:rPr>
                <w:rFonts w:asciiTheme="majorBidi" w:hAnsiTheme="majorBidi" w:cstheme="majorBidi"/>
                <w:b/>
                <w:bCs/>
                <w:sz w:val="20"/>
                <w:szCs w:val="20"/>
              </w:rPr>
            </w:pPr>
          </w:p>
        </w:tc>
        <w:tc>
          <w:tcPr>
            <w:tcW w:w="1678" w:type="dxa"/>
            <w:shd w:val="clear" w:color="auto" w:fill="F2F2F2" w:themeFill="background1" w:themeFillShade="F2"/>
          </w:tcPr>
          <w:p w14:paraId="7C90AC36" w14:textId="77777777" w:rsidR="00B85C9C" w:rsidRPr="001A1529" w:rsidRDefault="00B85C9C" w:rsidP="00CA6F03">
            <w:pPr>
              <w:rPr>
                <w:rFonts w:asciiTheme="majorBidi" w:hAnsiTheme="majorBidi" w:cstheme="majorBidi"/>
                <w:b/>
                <w:bCs/>
                <w:sz w:val="20"/>
                <w:szCs w:val="20"/>
              </w:rPr>
            </w:pPr>
          </w:p>
        </w:tc>
        <w:tc>
          <w:tcPr>
            <w:tcW w:w="2699" w:type="dxa"/>
            <w:shd w:val="clear" w:color="auto" w:fill="F2F2F2" w:themeFill="background1" w:themeFillShade="F2"/>
          </w:tcPr>
          <w:p w14:paraId="552B9D7C" w14:textId="77777777" w:rsidR="00B85C9C" w:rsidRPr="001A1529" w:rsidRDefault="00B85C9C" w:rsidP="00CA6F03">
            <w:pPr>
              <w:rPr>
                <w:rFonts w:asciiTheme="majorBidi" w:hAnsiTheme="majorBidi" w:cstheme="majorBidi"/>
                <w:b/>
                <w:bCs/>
                <w:sz w:val="20"/>
                <w:szCs w:val="20"/>
              </w:rPr>
            </w:pPr>
          </w:p>
        </w:tc>
        <w:tc>
          <w:tcPr>
            <w:tcW w:w="1472" w:type="dxa"/>
            <w:shd w:val="clear" w:color="auto" w:fill="F2F2F2" w:themeFill="background1" w:themeFillShade="F2"/>
          </w:tcPr>
          <w:p w14:paraId="05458048" w14:textId="77777777" w:rsidR="00B85C9C" w:rsidRPr="001A1529" w:rsidRDefault="00B85C9C" w:rsidP="00CA6F03">
            <w:pPr>
              <w:rPr>
                <w:rFonts w:asciiTheme="majorBidi" w:hAnsiTheme="majorBidi" w:cstheme="majorBidi"/>
                <w:b/>
                <w:bCs/>
                <w:sz w:val="20"/>
                <w:szCs w:val="20"/>
              </w:rPr>
            </w:pPr>
          </w:p>
        </w:tc>
        <w:tc>
          <w:tcPr>
            <w:tcW w:w="3139" w:type="dxa"/>
            <w:shd w:val="clear" w:color="auto" w:fill="F2F2F2" w:themeFill="background1" w:themeFillShade="F2"/>
          </w:tcPr>
          <w:p w14:paraId="565702A7" w14:textId="77777777" w:rsidR="00B85C9C" w:rsidRPr="001A1529" w:rsidRDefault="00B85C9C" w:rsidP="00CA6F03">
            <w:pPr>
              <w:rPr>
                <w:rFonts w:asciiTheme="majorBidi" w:hAnsiTheme="majorBidi" w:cstheme="majorBidi"/>
                <w:b/>
                <w:bCs/>
                <w:sz w:val="20"/>
                <w:szCs w:val="20"/>
              </w:rPr>
            </w:pPr>
          </w:p>
        </w:tc>
        <w:tc>
          <w:tcPr>
            <w:tcW w:w="1541" w:type="dxa"/>
            <w:shd w:val="clear" w:color="auto" w:fill="F2F2F2" w:themeFill="background1" w:themeFillShade="F2"/>
          </w:tcPr>
          <w:p w14:paraId="630D98DB" w14:textId="77777777" w:rsidR="00B85C9C" w:rsidRPr="001A1529" w:rsidRDefault="00B85C9C" w:rsidP="00CA6F03">
            <w:pPr>
              <w:rPr>
                <w:rFonts w:asciiTheme="majorBidi" w:hAnsiTheme="majorBidi" w:cstheme="majorBidi"/>
                <w:b/>
                <w:bCs/>
                <w:sz w:val="20"/>
                <w:szCs w:val="20"/>
              </w:rPr>
            </w:pPr>
          </w:p>
        </w:tc>
      </w:tr>
      <w:tr w:rsidR="00B85C9C" w:rsidRPr="008D6755" w14:paraId="65945DF2" w14:textId="77777777" w:rsidTr="00CA6F03">
        <w:tc>
          <w:tcPr>
            <w:tcW w:w="1783" w:type="dxa"/>
          </w:tcPr>
          <w:p w14:paraId="7D85BD59"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Dreijer et al 2019</w:t>
            </w:r>
          </w:p>
          <w:p w14:paraId="27073ED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AND</w:t>
            </w:r>
          </w:p>
          <w:p w14:paraId="5C037728" w14:textId="77777777" w:rsidR="00B85C9C" w:rsidRPr="00AF3C40" w:rsidRDefault="00B85C9C" w:rsidP="00CA6F03">
            <w:pPr>
              <w:rPr>
                <w:rFonts w:asciiTheme="majorBidi" w:hAnsiTheme="majorBidi" w:cstheme="majorBidi"/>
                <w:sz w:val="20"/>
                <w:szCs w:val="20"/>
              </w:rPr>
            </w:pPr>
            <w:r w:rsidRPr="00AF3C40">
              <w:rPr>
                <w:rFonts w:asciiTheme="majorBidi" w:hAnsiTheme="majorBidi" w:cstheme="majorBidi"/>
                <w:sz w:val="20"/>
                <w:szCs w:val="20"/>
              </w:rPr>
              <w:t>Dreijer et al 2020</w:t>
            </w:r>
          </w:p>
          <w:p w14:paraId="0BFF0F54" w14:textId="524B162C" w:rsidR="00B85C9C" w:rsidRPr="008D6755" w:rsidRDefault="00B85C9C" w:rsidP="00CA6F03">
            <w:pPr>
              <w:rPr>
                <w:rFonts w:asciiTheme="majorBidi" w:hAnsiTheme="majorBidi" w:cstheme="majorBidi"/>
                <w:sz w:val="20"/>
                <w:szCs w:val="20"/>
              </w:rPr>
            </w:pPr>
          </w:p>
        </w:tc>
        <w:tc>
          <w:tcPr>
            <w:tcW w:w="1638" w:type="dxa"/>
          </w:tcPr>
          <w:p w14:paraId="52FBBC2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Two hospitals, </w:t>
            </w:r>
            <w:r w:rsidRPr="005D14B4">
              <w:rPr>
                <w:rFonts w:asciiTheme="majorBidi" w:hAnsiTheme="majorBidi" w:cstheme="majorBidi"/>
                <w:sz w:val="20"/>
                <w:szCs w:val="20"/>
              </w:rPr>
              <w:t>prospective non-randomised before-and-after study</w:t>
            </w:r>
            <w:r>
              <w:rPr>
                <w:rFonts w:asciiTheme="majorBidi" w:hAnsiTheme="majorBidi" w:cstheme="majorBidi"/>
                <w:sz w:val="20"/>
                <w:szCs w:val="20"/>
              </w:rPr>
              <w:t xml:space="preserve"> (n = 1,886)</w:t>
            </w:r>
          </w:p>
        </w:tc>
        <w:tc>
          <w:tcPr>
            <w:tcW w:w="1678" w:type="dxa"/>
          </w:tcPr>
          <w:p w14:paraId="1E6E8F5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Netherlands, p</w:t>
            </w:r>
            <w:r w:rsidRPr="003E57E7">
              <w:rPr>
                <w:rFonts w:asciiTheme="majorBidi" w:hAnsiTheme="majorBidi" w:cstheme="majorBidi"/>
                <w:sz w:val="20"/>
                <w:szCs w:val="20"/>
              </w:rPr>
              <w:t>atients hospitalized between October 2015</w:t>
            </w:r>
            <w:r>
              <w:rPr>
                <w:rFonts w:asciiTheme="majorBidi" w:hAnsiTheme="majorBidi" w:cstheme="majorBidi"/>
                <w:sz w:val="20"/>
                <w:szCs w:val="20"/>
              </w:rPr>
              <w:t xml:space="preserve"> </w:t>
            </w:r>
            <w:r w:rsidRPr="003E57E7">
              <w:rPr>
                <w:rFonts w:asciiTheme="majorBidi" w:hAnsiTheme="majorBidi" w:cstheme="majorBidi"/>
                <w:sz w:val="20"/>
                <w:szCs w:val="20"/>
              </w:rPr>
              <w:t>and December 2017</w:t>
            </w:r>
            <w:r>
              <w:rPr>
                <w:rFonts w:asciiTheme="majorBidi" w:hAnsiTheme="majorBidi" w:cstheme="majorBidi"/>
                <w:sz w:val="20"/>
                <w:szCs w:val="20"/>
              </w:rPr>
              <w:t xml:space="preserve"> </w:t>
            </w:r>
            <w:r w:rsidRPr="003E57E7">
              <w:rPr>
                <w:rFonts w:asciiTheme="majorBidi" w:hAnsiTheme="majorBidi" w:cstheme="majorBidi"/>
                <w:sz w:val="20"/>
                <w:szCs w:val="20"/>
              </w:rPr>
              <w:t>and treated with anticoagulant therapy</w:t>
            </w:r>
          </w:p>
          <w:p w14:paraId="127EE982" w14:textId="77777777" w:rsidR="00B85C9C" w:rsidRPr="008D6755" w:rsidRDefault="00B85C9C" w:rsidP="00CA6F03">
            <w:pPr>
              <w:rPr>
                <w:rFonts w:asciiTheme="majorBidi" w:hAnsiTheme="majorBidi" w:cstheme="majorBidi"/>
                <w:sz w:val="20"/>
                <w:szCs w:val="20"/>
              </w:rPr>
            </w:pPr>
          </w:p>
        </w:tc>
        <w:tc>
          <w:tcPr>
            <w:tcW w:w="2699" w:type="dxa"/>
          </w:tcPr>
          <w:p w14:paraId="29D0EA55" w14:textId="77777777" w:rsidR="00B85C9C" w:rsidRPr="003E57E7" w:rsidRDefault="00B85C9C" w:rsidP="00CA6F03">
            <w:pPr>
              <w:rPr>
                <w:rFonts w:asciiTheme="majorBidi" w:hAnsiTheme="majorBidi" w:cstheme="majorBidi"/>
                <w:sz w:val="20"/>
                <w:szCs w:val="20"/>
              </w:rPr>
            </w:pPr>
            <w:r>
              <w:rPr>
                <w:rFonts w:asciiTheme="majorBidi" w:hAnsiTheme="majorBidi" w:cstheme="majorBidi"/>
                <w:sz w:val="20"/>
                <w:szCs w:val="20"/>
              </w:rPr>
              <w:t>H</w:t>
            </w:r>
            <w:r w:rsidRPr="003E57E7">
              <w:rPr>
                <w:rFonts w:asciiTheme="majorBidi" w:hAnsiTheme="majorBidi" w:cstheme="majorBidi"/>
                <w:sz w:val="20"/>
                <w:szCs w:val="20"/>
              </w:rPr>
              <w:t>ospital-based</w:t>
            </w:r>
          </w:p>
          <w:p w14:paraId="4EBA8B01" w14:textId="77777777" w:rsidR="00B85C9C" w:rsidRPr="003E57E7" w:rsidRDefault="00B85C9C" w:rsidP="00CA6F03">
            <w:pPr>
              <w:rPr>
                <w:rFonts w:asciiTheme="majorBidi" w:hAnsiTheme="majorBidi" w:cstheme="majorBidi"/>
                <w:sz w:val="20"/>
                <w:szCs w:val="20"/>
              </w:rPr>
            </w:pPr>
            <w:r w:rsidRPr="003E57E7">
              <w:rPr>
                <w:rFonts w:asciiTheme="majorBidi" w:hAnsiTheme="majorBidi" w:cstheme="majorBidi"/>
                <w:b/>
                <w:bCs/>
                <w:sz w:val="20"/>
                <w:szCs w:val="20"/>
              </w:rPr>
              <w:t>multidisciplinary antithrombotic stewardship programme</w:t>
            </w:r>
            <w:r>
              <w:rPr>
                <w:rFonts w:asciiTheme="majorBidi" w:hAnsiTheme="majorBidi" w:cstheme="majorBidi"/>
                <w:sz w:val="20"/>
                <w:szCs w:val="20"/>
              </w:rPr>
              <w:t xml:space="preserve"> (</w:t>
            </w:r>
            <w:r w:rsidRPr="003E57E7">
              <w:rPr>
                <w:rFonts w:asciiTheme="majorBidi" w:hAnsiTheme="majorBidi" w:cstheme="majorBidi"/>
                <w:sz w:val="20"/>
                <w:szCs w:val="20"/>
              </w:rPr>
              <w:t>education, medication reviews, drafting of local anticoagulant therapy protocols, patient counse</w:t>
            </w:r>
            <w:r>
              <w:rPr>
                <w:rFonts w:asciiTheme="majorBidi" w:hAnsiTheme="majorBidi" w:cstheme="majorBidi"/>
                <w:sz w:val="20"/>
                <w:szCs w:val="20"/>
              </w:rPr>
              <w:t>l</w:t>
            </w:r>
            <w:r w:rsidRPr="003E57E7">
              <w:rPr>
                <w:rFonts w:asciiTheme="majorBidi" w:hAnsiTheme="majorBidi" w:cstheme="majorBidi"/>
                <w:sz w:val="20"/>
                <w:szCs w:val="20"/>
              </w:rPr>
              <w:t>ling and medication reconciliation</w:t>
            </w:r>
          </w:p>
          <w:p w14:paraId="6573942E" w14:textId="77777777" w:rsidR="00B85C9C" w:rsidRDefault="00B85C9C" w:rsidP="00CA6F03">
            <w:pPr>
              <w:rPr>
                <w:rFonts w:asciiTheme="majorBidi" w:hAnsiTheme="majorBidi" w:cstheme="majorBidi"/>
                <w:sz w:val="20"/>
                <w:szCs w:val="20"/>
              </w:rPr>
            </w:pPr>
            <w:r w:rsidRPr="003E57E7">
              <w:rPr>
                <w:rFonts w:asciiTheme="majorBidi" w:hAnsiTheme="majorBidi" w:cstheme="majorBidi"/>
                <w:sz w:val="20"/>
                <w:szCs w:val="20"/>
              </w:rPr>
              <w:t>at admission and discharge</w:t>
            </w:r>
            <w:r>
              <w:rPr>
                <w:rFonts w:asciiTheme="majorBidi" w:hAnsiTheme="majorBidi" w:cstheme="majorBidi"/>
                <w:sz w:val="20"/>
                <w:szCs w:val="20"/>
              </w:rPr>
              <w:t xml:space="preserve">). </w:t>
            </w:r>
          </w:p>
          <w:p w14:paraId="1E089B5B" w14:textId="77777777" w:rsidR="00B85C9C" w:rsidRPr="001D4FA5" w:rsidRDefault="00B85C9C" w:rsidP="00CA6F03">
            <w:pPr>
              <w:rPr>
                <w:rFonts w:asciiTheme="majorBidi" w:hAnsiTheme="majorBidi" w:cstheme="majorBidi"/>
                <w:sz w:val="20"/>
                <w:szCs w:val="20"/>
              </w:rPr>
            </w:pPr>
            <w:r>
              <w:rPr>
                <w:rFonts w:asciiTheme="majorBidi" w:hAnsiTheme="majorBidi" w:cstheme="majorBidi"/>
                <w:sz w:val="20"/>
                <w:szCs w:val="20"/>
              </w:rPr>
              <w:t>The</w:t>
            </w:r>
            <w:r w:rsidRPr="001D4FA5">
              <w:rPr>
                <w:rFonts w:ascii="Times New Roman" w:hAnsi="Times New Roman" w:cs="Times New Roman"/>
                <w:sz w:val="20"/>
                <w:szCs w:val="20"/>
              </w:rPr>
              <w:t xml:space="preserve"> </w:t>
            </w:r>
            <w:r w:rsidRPr="001D4FA5">
              <w:rPr>
                <w:rFonts w:asciiTheme="majorBidi" w:hAnsiTheme="majorBidi" w:cstheme="majorBidi"/>
                <w:sz w:val="20"/>
                <w:szCs w:val="20"/>
              </w:rPr>
              <w:t>pharmacotherapy review focused on</w:t>
            </w:r>
            <w:r>
              <w:rPr>
                <w:rFonts w:asciiTheme="majorBidi" w:hAnsiTheme="majorBidi" w:cstheme="majorBidi"/>
                <w:sz w:val="20"/>
                <w:szCs w:val="20"/>
              </w:rPr>
              <w:t xml:space="preserve"> </w:t>
            </w:r>
            <w:r w:rsidRPr="001D4FA5">
              <w:rPr>
                <w:rFonts w:asciiTheme="majorBidi" w:hAnsiTheme="majorBidi" w:cstheme="majorBidi"/>
                <w:sz w:val="20"/>
                <w:szCs w:val="20"/>
              </w:rPr>
              <w:t>dosing (i.e., in relation to decreased renal function, body</w:t>
            </w:r>
            <w:r>
              <w:rPr>
                <w:rFonts w:asciiTheme="majorBidi" w:hAnsiTheme="majorBidi" w:cstheme="majorBidi"/>
                <w:sz w:val="20"/>
                <w:szCs w:val="20"/>
              </w:rPr>
              <w:t xml:space="preserve"> </w:t>
            </w:r>
            <w:r w:rsidRPr="001D4FA5">
              <w:rPr>
                <w:rFonts w:asciiTheme="majorBidi" w:hAnsiTheme="majorBidi" w:cstheme="majorBidi"/>
                <w:sz w:val="20"/>
                <w:szCs w:val="20"/>
              </w:rPr>
              <w:t>weight and age), duplicate medication,</w:t>
            </w:r>
            <w:r>
              <w:rPr>
                <w:rFonts w:asciiTheme="majorBidi" w:hAnsiTheme="majorBidi" w:cstheme="majorBidi"/>
                <w:sz w:val="20"/>
                <w:szCs w:val="20"/>
              </w:rPr>
              <w:t xml:space="preserve"> </w:t>
            </w:r>
            <w:r w:rsidRPr="001D4FA5">
              <w:rPr>
                <w:rFonts w:asciiTheme="majorBidi" w:hAnsiTheme="majorBidi" w:cstheme="majorBidi"/>
                <w:sz w:val="20"/>
                <w:szCs w:val="20"/>
              </w:rPr>
              <w:t>drug–drug interactions,</w:t>
            </w:r>
          </w:p>
          <w:p w14:paraId="4B3CA216" w14:textId="77777777" w:rsidR="00B85C9C" w:rsidRPr="001D4FA5" w:rsidRDefault="00B85C9C" w:rsidP="00CA6F03">
            <w:pPr>
              <w:rPr>
                <w:rFonts w:asciiTheme="majorBidi" w:hAnsiTheme="majorBidi" w:cstheme="majorBidi"/>
                <w:sz w:val="20"/>
                <w:szCs w:val="20"/>
              </w:rPr>
            </w:pPr>
            <w:r w:rsidRPr="001D4FA5">
              <w:rPr>
                <w:rFonts w:asciiTheme="majorBidi" w:hAnsiTheme="majorBidi" w:cstheme="majorBidi"/>
                <w:sz w:val="20"/>
                <w:szCs w:val="20"/>
              </w:rPr>
              <w:t>contraindications and perioperative bridging of</w:t>
            </w:r>
          </w:p>
          <w:p w14:paraId="70231063" w14:textId="77777777" w:rsidR="00B85C9C" w:rsidRDefault="00B85C9C" w:rsidP="00CA6F03">
            <w:pPr>
              <w:rPr>
                <w:rFonts w:asciiTheme="majorBidi" w:hAnsiTheme="majorBidi" w:cstheme="majorBidi"/>
                <w:sz w:val="20"/>
                <w:szCs w:val="20"/>
              </w:rPr>
            </w:pPr>
            <w:r w:rsidRPr="001D4FA5">
              <w:rPr>
                <w:rFonts w:asciiTheme="majorBidi" w:hAnsiTheme="majorBidi" w:cstheme="majorBidi"/>
                <w:sz w:val="20"/>
                <w:szCs w:val="20"/>
              </w:rPr>
              <w:t>anticoagulants</w:t>
            </w:r>
          </w:p>
          <w:p w14:paraId="0C38A379" w14:textId="77777777" w:rsidR="00B85C9C" w:rsidRPr="008D6755" w:rsidRDefault="00B85C9C" w:rsidP="00CA6F03">
            <w:pPr>
              <w:rPr>
                <w:rFonts w:asciiTheme="majorBidi" w:hAnsiTheme="majorBidi" w:cstheme="majorBidi"/>
                <w:sz w:val="20"/>
                <w:szCs w:val="20"/>
              </w:rPr>
            </w:pPr>
          </w:p>
        </w:tc>
        <w:tc>
          <w:tcPr>
            <w:tcW w:w="1472" w:type="dxa"/>
          </w:tcPr>
          <w:p w14:paraId="73E4160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Business as usual pre-intervention</w:t>
            </w:r>
          </w:p>
        </w:tc>
        <w:tc>
          <w:tcPr>
            <w:tcW w:w="3139" w:type="dxa"/>
          </w:tcPr>
          <w:p w14:paraId="102DBF72" w14:textId="77777777" w:rsidR="00B85C9C" w:rsidRDefault="00B85C9C" w:rsidP="00CA6F03">
            <w:pPr>
              <w:rPr>
                <w:rFonts w:asciiTheme="majorBidi" w:hAnsiTheme="majorBidi" w:cstheme="majorBidi"/>
                <w:sz w:val="20"/>
                <w:szCs w:val="20"/>
              </w:rPr>
            </w:pPr>
            <w:r w:rsidRPr="003E57E7">
              <w:rPr>
                <w:rFonts w:asciiTheme="majorBidi" w:hAnsiTheme="majorBidi" w:cstheme="majorBidi"/>
                <w:b/>
                <w:bCs/>
                <w:sz w:val="20"/>
                <w:szCs w:val="20"/>
              </w:rPr>
              <w:t>Adherence was observed significantly more often during the intervention period</w:t>
            </w:r>
            <w:r w:rsidRPr="003E57E7">
              <w:rPr>
                <w:rFonts w:asciiTheme="majorBidi" w:hAnsiTheme="majorBidi" w:cstheme="majorBidi"/>
                <w:sz w:val="20"/>
                <w:szCs w:val="20"/>
              </w:rPr>
              <w:t xml:space="preserve"> (adjusted odds ratio [</w:t>
            </w:r>
            <w:proofErr w:type="spellStart"/>
            <w:r w:rsidRPr="003E57E7">
              <w:rPr>
                <w:rFonts w:asciiTheme="majorBidi" w:hAnsiTheme="majorBidi" w:cstheme="majorBidi"/>
                <w:sz w:val="20"/>
                <w:szCs w:val="20"/>
              </w:rPr>
              <w:t>ORadj</w:t>
            </w:r>
            <w:proofErr w:type="spellEnd"/>
            <w:r w:rsidRPr="003E57E7">
              <w:rPr>
                <w:rFonts w:asciiTheme="majorBidi" w:hAnsiTheme="majorBidi" w:cstheme="majorBidi"/>
                <w:sz w:val="20"/>
                <w:szCs w:val="20"/>
              </w:rPr>
              <w:t>] 1.58, 95% confidence interval [95% CI] 1.21–2.05).</w:t>
            </w:r>
            <w:r>
              <w:rPr>
                <w:rFonts w:asciiTheme="majorBidi" w:hAnsiTheme="majorBidi" w:cstheme="majorBidi"/>
                <w:sz w:val="20"/>
                <w:szCs w:val="20"/>
              </w:rPr>
              <w:t xml:space="preserve"> T</w:t>
            </w:r>
            <w:r w:rsidRPr="003E57E7">
              <w:rPr>
                <w:rFonts w:asciiTheme="majorBidi" w:hAnsiTheme="majorBidi" w:cstheme="majorBidi"/>
                <w:sz w:val="20"/>
                <w:szCs w:val="20"/>
              </w:rPr>
              <w:t>he significantly higher overall adherence in the</w:t>
            </w:r>
            <w:r>
              <w:rPr>
                <w:rFonts w:asciiTheme="majorBidi" w:hAnsiTheme="majorBidi" w:cstheme="majorBidi"/>
                <w:sz w:val="20"/>
                <w:szCs w:val="20"/>
              </w:rPr>
              <w:t xml:space="preserve"> </w:t>
            </w:r>
            <w:r w:rsidRPr="003E57E7">
              <w:rPr>
                <w:rFonts w:asciiTheme="majorBidi" w:hAnsiTheme="majorBidi" w:cstheme="majorBidi"/>
                <w:sz w:val="20"/>
                <w:szCs w:val="20"/>
              </w:rPr>
              <w:t>intervention period was attributed to dosing</w:t>
            </w:r>
            <w:r>
              <w:rPr>
                <w:rFonts w:asciiTheme="majorBidi" w:hAnsiTheme="majorBidi" w:cstheme="majorBidi"/>
                <w:sz w:val="20"/>
                <w:szCs w:val="20"/>
              </w:rPr>
              <w:t xml:space="preserve"> </w:t>
            </w:r>
            <w:r w:rsidRPr="003E57E7">
              <w:rPr>
                <w:rFonts w:asciiTheme="majorBidi" w:hAnsiTheme="majorBidi" w:cstheme="majorBidi"/>
                <w:sz w:val="20"/>
                <w:szCs w:val="20"/>
              </w:rPr>
              <w:t>of LMWHs (odds ratio [OR] 1.58, 95% CI 1.16–2.14)</w:t>
            </w:r>
            <w:r>
              <w:rPr>
                <w:rFonts w:asciiTheme="majorBidi" w:hAnsiTheme="majorBidi" w:cstheme="majorBidi"/>
                <w:sz w:val="20"/>
                <w:szCs w:val="20"/>
              </w:rPr>
              <w:t>.</w:t>
            </w:r>
          </w:p>
          <w:p w14:paraId="4616352E" w14:textId="77777777" w:rsidR="00B85C9C" w:rsidRPr="003E57E7" w:rsidRDefault="00B85C9C" w:rsidP="00CA6F03">
            <w:pPr>
              <w:rPr>
                <w:rFonts w:asciiTheme="majorBidi" w:hAnsiTheme="majorBidi" w:cstheme="majorBidi"/>
                <w:sz w:val="20"/>
                <w:szCs w:val="20"/>
              </w:rPr>
            </w:pPr>
            <w:r>
              <w:rPr>
                <w:rFonts w:asciiTheme="majorBidi" w:hAnsiTheme="majorBidi" w:cstheme="majorBidi"/>
                <w:sz w:val="20"/>
                <w:szCs w:val="20"/>
              </w:rPr>
              <w:t>“I</w:t>
            </w:r>
            <w:r w:rsidRPr="003E57E7">
              <w:rPr>
                <w:rFonts w:asciiTheme="majorBidi" w:hAnsiTheme="majorBidi" w:cstheme="majorBidi"/>
                <w:sz w:val="20"/>
                <w:szCs w:val="20"/>
              </w:rPr>
              <w:t>ntroduction of a multidisciplinary</w:t>
            </w:r>
          </w:p>
          <w:p w14:paraId="5D030B76" w14:textId="77777777" w:rsidR="00B85C9C" w:rsidRDefault="00B85C9C" w:rsidP="00CA6F03">
            <w:pPr>
              <w:rPr>
                <w:rFonts w:asciiTheme="majorBidi" w:hAnsiTheme="majorBidi" w:cstheme="majorBidi"/>
                <w:sz w:val="20"/>
                <w:szCs w:val="20"/>
              </w:rPr>
            </w:pPr>
            <w:r w:rsidRPr="003E57E7">
              <w:rPr>
                <w:rFonts w:asciiTheme="majorBidi" w:hAnsiTheme="majorBidi" w:cstheme="majorBidi"/>
                <w:sz w:val="20"/>
                <w:szCs w:val="20"/>
              </w:rPr>
              <w:t>antithrombotic stewardship leads to a significantly higher overall adherence to anticoagulant guidelines</w:t>
            </w:r>
            <w:r>
              <w:rPr>
                <w:rFonts w:asciiTheme="majorBidi" w:hAnsiTheme="majorBidi" w:cstheme="majorBidi"/>
                <w:sz w:val="20"/>
                <w:szCs w:val="20"/>
              </w:rPr>
              <w:t>.”</w:t>
            </w:r>
          </w:p>
          <w:p w14:paraId="58DBA155" w14:textId="77777777" w:rsidR="00B85C9C" w:rsidRDefault="00B85C9C" w:rsidP="00CA6F03">
            <w:pPr>
              <w:rPr>
                <w:rFonts w:asciiTheme="majorBidi" w:hAnsiTheme="majorBidi" w:cstheme="majorBidi"/>
                <w:b/>
                <w:bCs/>
                <w:sz w:val="20"/>
                <w:szCs w:val="20"/>
              </w:rPr>
            </w:pPr>
            <w:r>
              <w:rPr>
                <w:rFonts w:asciiTheme="majorBidi" w:hAnsiTheme="majorBidi" w:cstheme="majorBidi"/>
                <w:sz w:val="20"/>
                <w:szCs w:val="20"/>
              </w:rPr>
              <w:t xml:space="preserve">Dreijer et al 2020 additionally examined a </w:t>
            </w:r>
            <w:r w:rsidRPr="00F153C8">
              <w:rPr>
                <w:rFonts w:asciiTheme="majorBidi" w:hAnsiTheme="majorBidi" w:cstheme="majorBidi"/>
                <w:b/>
                <w:bCs/>
                <w:sz w:val="20"/>
                <w:szCs w:val="20"/>
              </w:rPr>
              <w:t>composite endpoint: one or more bleeding episodes or one or more thrombotic event</w:t>
            </w:r>
            <w:r w:rsidRPr="00B1485A">
              <w:rPr>
                <w:rFonts w:asciiTheme="majorBidi" w:hAnsiTheme="majorBidi" w:cstheme="majorBidi"/>
                <w:sz w:val="20"/>
                <w:szCs w:val="20"/>
              </w:rPr>
              <w:t xml:space="preserve"> from hospitalization until three months after hospitalization in patients using anticoagulant</w:t>
            </w:r>
            <w:r>
              <w:rPr>
                <w:rFonts w:asciiTheme="majorBidi" w:hAnsiTheme="majorBidi" w:cstheme="majorBidi"/>
                <w:sz w:val="20"/>
                <w:szCs w:val="20"/>
              </w:rPr>
              <w:t xml:space="preserve"> </w:t>
            </w:r>
            <w:r w:rsidRPr="00B1485A">
              <w:rPr>
                <w:rFonts w:asciiTheme="majorBidi" w:hAnsiTheme="majorBidi" w:cstheme="majorBidi"/>
                <w:sz w:val="20"/>
                <w:szCs w:val="20"/>
              </w:rPr>
              <w:t>drugs</w:t>
            </w:r>
            <w:r>
              <w:rPr>
                <w:rFonts w:asciiTheme="majorBidi" w:hAnsiTheme="majorBidi" w:cstheme="majorBidi"/>
                <w:sz w:val="20"/>
                <w:szCs w:val="20"/>
              </w:rPr>
              <w:t xml:space="preserve">, this </w:t>
            </w:r>
            <w:r w:rsidRPr="00F153C8">
              <w:rPr>
                <w:rFonts w:asciiTheme="majorBidi" w:hAnsiTheme="majorBidi" w:cstheme="majorBidi"/>
                <w:b/>
                <w:bCs/>
                <w:sz w:val="20"/>
                <w:szCs w:val="20"/>
              </w:rPr>
              <w:t>reduced in the intervention group (-1.83% (-2.58% to -1.08%) per 2 month period).</w:t>
            </w:r>
            <w:r>
              <w:rPr>
                <w:rFonts w:asciiTheme="majorBidi" w:hAnsiTheme="majorBidi" w:cstheme="majorBidi"/>
                <w:b/>
                <w:bCs/>
                <w:sz w:val="20"/>
                <w:szCs w:val="20"/>
              </w:rPr>
              <w:t xml:space="preserve"> </w:t>
            </w:r>
          </w:p>
          <w:p w14:paraId="7CC91031" w14:textId="77777777" w:rsidR="00B85C9C" w:rsidRPr="00F153C8" w:rsidRDefault="00B85C9C" w:rsidP="00CA6F03">
            <w:pPr>
              <w:rPr>
                <w:rFonts w:asciiTheme="majorBidi" w:hAnsiTheme="majorBidi" w:cstheme="majorBidi"/>
                <w:b/>
                <w:bCs/>
                <w:sz w:val="20"/>
                <w:szCs w:val="20"/>
              </w:rPr>
            </w:pPr>
            <w:r w:rsidRPr="00F153C8">
              <w:rPr>
                <w:rFonts w:asciiTheme="majorBidi" w:hAnsiTheme="majorBidi" w:cstheme="majorBidi"/>
                <w:b/>
                <w:bCs/>
                <w:sz w:val="20"/>
                <w:szCs w:val="20"/>
              </w:rPr>
              <w:t>All-cause mortality was significantly lower in the intervention period [8.6% (81/945)] compared</w:t>
            </w:r>
          </w:p>
          <w:p w14:paraId="487F3198" w14:textId="77777777" w:rsidR="00B85C9C" w:rsidRDefault="00B85C9C" w:rsidP="00CA6F03">
            <w:pPr>
              <w:rPr>
                <w:rFonts w:asciiTheme="majorBidi" w:hAnsiTheme="majorBidi" w:cstheme="majorBidi"/>
                <w:b/>
                <w:bCs/>
                <w:sz w:val="20"/>
                <w:szCs w:val="20"/>
              </w:rPr>
            </w:pPr>
            <w:r w:rsidRPr="00F153C8">
              <w:rPr>
                <w:rFonts w:asciiTheme="majorBidi" w:hAnsiTheme="majorBidi" w:cstheme="majorBidi"/>
                <w:b/>
                <w:bCs/>
                <w:sz w:val="20"/>
                <w:szCs w:val="20"/>
              </w:rPr>
              <w:t>to the usual care period [11.5% (108/941)] OR 0.72 (0.53 to 0.98).</w:t>
            </w:r>
          </w:p>
          <w:p w14:paraId="232A8489" w14:textId="6E2950A6" w:rsidR="00B85C9C" w:rsidRPr="008D6755" w:rsidRDefault="00B85C9C">
            <w:pPr>
              <w:rPr>
                <w:rFonts w:asciiTheme="majorBidi" w:hAnsiTheme="majorBidi" w:cstheme="majorBidi"/>
                <w:sz w:val="20"/>
                <w:szCs w:val="20"/>
              </w:rPr>
            </w:pPr>
            <w:r>
              <w:rPr>
                <w:rFonts w:asciiTheme="majorBidi" w:hAnsiTheme="majorBidi" w:cstheme="majorBidi"/>
                <w:b/>
                <w:bCs/>
                <w:sz w:val="20"/>
                <w:szCs w:val="20"/>
              </w:rPr>
              <w:t xml:space="preserve">Economic evaluation showed that total costs decreased at both sites, although not statistically significantly. </w:t>
            </w:r>
          </w:p>
        </w:tc>
        <w:tc>
          <w:tcPr>
            <w:tcW w:w="1541" w:type="dxa"/>
          </w:tcPr>
          <w:p w14:paraId="312B4F7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Moderate quality (multi-site, large population, composite endpoint measured, as well as all-cause mortality), but nonrandomised, and some variation in before and after patient populations, including that more intervention patients were on NOACs and fewer on warfarin </w:t>
            </w:r>
          </w:p>
        </w:tc>
      </w:tr>
      <w:tr w:rsidR="00B85C9C" w:rsidRPr="008D6755" w14:paraId="6F77C71B" w14:textId="77777777" w:rsidTr="00CA6F03">
        <w:tc>
          <w:tcPr>
            <w:tcW w:w="1783" w:type="dxa"/>
          </w:tcPr>
          <w:p w14:paraId="07E50554"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Wychowski</w:t>
            </w:r>
            <w:proofErr w:type="spellEnd"/>
            <w:r>
              <w:rPr>
                <w:rFonts w:asciiTheme="majorBidi" w:hAnsiTheme="majorBidi" w:cstheme="majorBidi"/>
                <w:sz w:val="20"/>
                <w:szCs w:val="20"/>
              </w:rPr>
              <w:t xml:space="preserve"> et al 2017 </w:t>
            </w:r>
          </w:p>
          <w:p w14:paraId="780A1704" w14:textId="259E6F9A" w:rsidR="00B85C9C" w:rsidRPr="00D52BD9" w:rsidRDefault="00B85C9C" w:rsidP="00CA6F03">
            <w:pPr>
              <w:rPr>
                <w:rFonts w:asciiTheme="majorBidi" w:hAnsiTheme="majorBidi" w:cstheme="majorBidi"/>
                <w:sz w:val="20"/>
                <w:szCs w:val="20"/>
              </w:rPr>
            </w:pPr>
          </w:p>
        </w:tc>
        <w:tc>
          <w:tcPr>
            <w:tcW w:w="1638" w:type="dxa"/>
          </w:tcPr>
          <w:p w14:paraId="3621FAC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Pre-/post- intervention study</w:t>
            </w:r>
          </w:p>
        </w:tc>
        <w:tc>
          <w:tcPr>
            <w:tcW w:w="1678" w:type="dxa"/>
          </w:tcPr>
          <w:p w14:paraId="509F582C"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USA, inpatient, hospital-wide</w:t>
            </w:r>
          </w:p>
        </w:tc>
        <w:tc>
          <w:tcPr>
            <w:tcW w:w="2699" w:type="dxa"/>
          </w:tcPr>
          <w:p w14:paraId="0C0677B0" w14:textId="77777777" w:rsidR="00B85C9C" w:rsidRPr="00971D90" w:rsidRDefault="00B85C9C" w:rsidP="00CA6F03">
            <w:pPr>
              <w:rPr>
                <w:rFonts w:asciiTheme="majorBidi" w:hAnsiTheme="majorBidi" w:cstheme="majorBidi"/>
                <w:sz w:val="20"/>
                <w:szCs w:val="20"/>
              </w:rPr>
            </w:pPr>
            <w:r w:rsidRPr="00971D90">
              <w:rPr>
                <w:rFonts w:asciiTheme="majorBidi" w:hAnsiTheme="majorBidi" w:cstheme="majorBidi"/>
                <w:b/>
                <w:bCs/>
                <w:sz w:val="20"/>
                <w:szCs w:val="20"/>
              </w:rPr>
              <w:t>Anticoagulation stewardship programme</w:t>
            </w:r>
            <w:r>
              <w:rPr>
                <w:rFonts w:asciiTheme="majorBidi" w:hAnsiTheme="majorBidi" w:cstheme="majorBidi"/>
                <w:sz w:val="20"/>
                <w:szCs w:val="20"/>
              </w:rPr>
              <w:t xml:space="preserve"> (</w:t>
            </w:r>
            <w:r w:rsidRPr="00971D90">
              <w:rPr>
                <w:rFonts w:asciiTheme="majorBidi" w:hAnsiTheme="majorBidi" w:cstheme="majorBidi"/>
                <w:sz w:val="20"/>
                <w:szCs w:val="20"/>
              </w:rPr>
              <w:t>consist</w:t>
            </w:r>
            <w:r>
              <w:rPr>
                <w:rFonts w:asciiTheme="majorBidi" w:hAnsiTheme="majorBidi" w:cstheme="majorBidi"/>
                <w:sz w:val="20"/>
                <w:szCs w:val="20"/>
              </w:rPr>
              <w:t>ing</w:t>
            </w:r>
            <w:r w:rsidRPr="00971D90">
              <w:rPr>
                <w:rFonts w:asciiTheme="majorBidi" w:hAnsiTheme="majorBidi" w:cstheme="majorBidi"/>
                <w:sz w:val="20"/>
                <w:szCs w:val="20"/>
              </w:rPr>
              <w:t xml:space="preserve"> of two clinical</w:t>
            </w:r>
            <w:r>
              <w:rPr>
                <w:rFonts w:asciiTheme="majorBidi" w:hAnsiTheme="majorBidi" w:cstheme="majorBidi"/>
                <w:sz w:val="20"/>
                <w:szCs w:val="20"/>
              </w:rPr>
              <w:t xml:space="preserve"> </w:t>
            </w:r>
            <w:r w:rsidRPr="00971D90">
              <w:rPr>
                <w:rFonts w:asciiTheme="majorBidi" w:hAnsiTheme="majorBidi" w:cstheme="majorBidi"/>
                <w:sz w:val="20"/>
                <w:szCs w:val="20"/>
              </w:rPr>
              <w:t>pharmacists and h</w:t>
            </w:r>
            <w:r>
              <w:rPr>
                <w:rFonts w:asciiTheme="majorBidi" w:hAnsiTheme="majorBidi" w:cstheme="majorBidi"/>
                <w:sz w:val="20"/>
                <w:szCs w:val="20"/>
              </w:rPr>
              <w:t>a</w:t>
            </w:r>
            <w:r w:rsidRPr="00971D90">
              <w:rPr>
                <w:rFonts w:asciiTheme="majorBidi" w:hAnsiTheme="majorBidi" w:cstheme="majorBidi"/>
                <w:sz w:val="20"/>
                <w:szCs w:val="20"/>
              </w:rPr>
              <w:t>ematologists to provide oversight of</w:t>
            </w:r>
            <w:r>
              <w:rPr>
                <w:rFonts w:asciiTheme="majorBidi" w:hAnsiTheme="majorBidi" w:cstheme="majorBidi"/>
                <w:sz w:val="20"/>
                <w:szCs w:val="20"/>
              </w:rPr>
              <w:t xml:space="preserve"> </w:t>
            </w:r>
            <w:r w:rsidRPr="00971D90">
              <w:rPr>
                <w:rFonts w:asciiTheme="majorBidi" w:hAnsiTheme="majorBidi" w:cstheme="majorBidi"/>
                <w:sz w:val="20"/>
                <w:szCs w:val="20"/>
              </w:rPr>
              <w:t>anticoagulants, high</w:t>
            </w:r>
            <w:r>
              <w:rPr>
                <w:rFonts w:asciiTheme="majorBidi" w:hAnsiTheme="majorBidi" w:cstheme="majorBidi"/>
                <w:sz w:val="20"/>
                <w:szCs w:val="20"/>
              </w:rPr>
              <w:t>-</w:t>
            </w:r>
            <w:r w:rsidRPr="00971D90">
              <w:rPr>
                <w:rFonts w:asciiTheme="majorBidi" w:hAnsiTheme="majorBidi" w:cstheme="majorBidi"/>
                <w:sz w:val="20"/>
                <w:szCs w:val="20"/>
              </w:rPr>
              <w:t>cost reversal agents</w:t>
            </w:r>
            <w:r>
              <w:rPr>
                <w:rFonts w:asciiTheme="majorBidi" w:hAnsiTheme="majorBidi" w:cstheme="majorBidi"/>
                <w:sz w:val="20"/>
                <w:szCs w:val="20"/>
              </w:rPr>
              <w:t>,</w:t>
            </w:r>
          </w:p>
          <w:p w14:paraId="6F2A5D65" w14:textId="77777777" w:rsidR="00B85C9C" w:rsidRDefault="00B85C9C" w:rsidP="00CA6F03">
            <w:pPr>
              <w:rPr>
                <w:rFonts w:asciiTheme="majorBidi" w:hAnsiTheme="majorBidi" w:cstheme="majorBidi"/>
                <w:sz w:val="20"/>
                <w:szCs w:val="20"/>
              </w:rPr>
            </w:pPr>
            <w:r w:rsidRPr="00971D90">
              <w:rPr>
                <w:rFonts w:asciiTheme="majorBidi" w:hAnsiTheme="majorBidi" w:cstheme="majorBidi"/>
                <w:sz w:val="20"/>
                <w:szCs w:val="20"/>
              </w:rPr>
              <w:t>and</w:t>
            </w:r>
            <w:r>
              <w:rPr>
                <w:rFonts w:asciiTheme="majorBidi" w:hAnsiTheme="majorBidi" w:cstheme="majorBidi"/>
                <w:sz w:val="20"/>
                <w:szCs w:val="20"/>
              </w:rPr>
              <w:t xml:space="preserve"> </w:t>
            </w:r>
            <w:r w:rsidRPr="00971D90">
              <w:rPr>
                <w:rFonts w:asciiTheme="majorBidi" w:hAnsiTheme="majorBidi" w:cstheme="majorBidi"/>
                <w:sz w:val="20"/>
                <w:szCs w:val="20"/>
              </w:rPr>
              <w:t>heparin-induced thrombocytopenia (HIT) management</w:t>
            </w:r>
            <w:r>
              <w:rPr>
                <w:rFonts w:asciiTheme="majorBidi" w:hAnsiTheme="majorBidi" w:cstheme="majorBidi"/>
                <w:sz w:val="20"/>
                <w:szCs w:val="20"/>
              </w:rPr>
              <w:t>)</w:t>
            </w:r>
          </w:p>
          <w:p w14:paraId="474DF050" w14:textId="77777777" w:rsidR="00B85C9C" w:rsidRPr="008D6755" w:rsidRDefault="00B85C9C" w:rsidP="00CA6F03">
            <w:pPr>
              <w:rPr>
                <w:rFonts w:asciiTheme="majorBidi" w:hAnsiTheme="majorBidi" w:cstheme="majorBidi"/>
                <w:sz w:val="20"/>
                <w:szCs w:val="20"/>
              </w:rPr>
            </w:pPr>
          </w:p>
        </w:tc>
        <w:tc>
          <w:tcPr>
            <w:tcW w:w="1472" w:type="dxa"/>
          </w:tcPr>
          <w:p w14:paraId="14091A6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 pre-intervention</w:t>
            </w:r>
          </w:p>
        </w:tc>
        <w:tc>
          <w:tcPr>
            <w:tcW w:w="3139" w:type="dxa"/>
          </w:tcPr>
          <w:p w14:paraId="3C45FBF7" w14:textId="77777777" w:rsidR="00B85C9C" w:rsidRPr="00093446" w:rsidRDefault="00B85C9C" w:rsidP="00CA6F03">
            <w:pPr>
              <w:rPr>
                <w:rFonts w:asciiTheme="majorBidi" w:hAnsiTheme="majorBidi" w:cstheme="majorBidi"/>
                <w:b/>
                <w:bCs/>
                <w:sz w:val="20"/>
                <w:szCs w:val="20"/>
              </w:rPr>
            </w:pPr>
            <w:r w:rsidRPr="00093446">
              <w:rPr>
                <w:rFonts w:asciiTheme="majorBidi" w:hAnsiTheme="majorBidi" w:cstheme="majorBidi"/>
                <w:sz w:val="20"/>
                <w:szCs w:val="20"/>
              </w:rPr>
              <w:t>19,445 patient</w:t>
            </w:r>
            <w:r>
              <w:rPr>
                <w:rFonts w:asciiTheme="majorBidi" w:hAnsiTheme="majorBidi" w:cstheme="majorBidi"/>
                <w:sz w:val="20"/>
                <w:szCs w:val="20"/>
              </w:rPr>
              <w:t xml:space="preserve"> </w:t>
            </w:r>
            <w:r w:rsidRPr="00093446">
              <w:rPr>
                <w:rFonts w:asciiTheme="majorBidi" w:hAnsiTheme="majorBidi" w:cstheme="majorBidi"/>
                <w:sz w:val="20"/>
                <w:szCs w:val="20"/>
              </w:rPr>
              <w:t xml:space="preserve">charts were reviewed, and </w:t>
            </w:r>
            <w:r w:rsidRPr="00093446">
              <w:rPr>
                <w:rFonts w:asciiTheme="majorBidi" w:hAnsiTheme="majorBidi" w:cstheme="majorBidi"/>
                <w:b/>
                <w:bCs/>
                <w:sz w:val="20"/>
                <w:szCs w:val="20"/>
              </w:rPr>
              <w:t>1930 (10%) contained stewardship</w:t>
            </w:r>
          </w:p>
          <w:p w14:paraId="63E00ED1" w14:textId="77777777" w:rsidR="00B85C9C" w:rsidRDefault="00B85C9C" w:rsidP="00CA6F03">
            <w:pPr>
              <w:rPr>
                <w:rFonts w:asciiTheme="majorBidi" w:hAnsiTheme="majorBidi" w:cstheme="majorBidi"/>
                <w:sz w:val="20"/>
                <w:szCs w:val="20"/>
              </w:rPr>
            </w:pPr>
            <w:r w:rsidRPr="00093446">
              <w:rPr>
                <w:rFonts w:asciiTheme="majorBidi" w:hAnsiTheme="majorBidi" w:cstheme="majorBidi"/>
                <w:b/>
                <w:bCs/>
                <w:sz w:val="20"/>
                <w:szCs w:val="20"/>
              </w:rPr>
              <w:t>opportunity</w:t>
            </w:r>
            <w:r w:rsidRPr="00093446">
              <w:rPr>
                <w:rFonts w:asciiTheme="majorBidi" w:hAnsiTheme="majorBidi" w:cstheme="majorBidi"/>
                <w:sz w:val="20"/>
                <w:szCs w:val="20"/>
              </w:rPr>
              <w:t xml:space="preserve">. </w:t>
            </w:r>
          </w:p>
          <w:p w14:paraId="25A54AD5" w14:textId="77777777" w:rsidR="00B85C9C" w:rsidRPr="00093446" w:rsidRDefault="00B85C9C" w:rsidP="00CA6F03">
            <w:pPr>
              <w:rPr>
                <w:rFonts w:asciiTheme="majorBidi" w:hAnsiTheme="majorBidi" w:cstheme="majorBidi"/>
                <w:sz w:val="20"/>
                <w:szCs w:val="20"/>
              </w:rPr>
            </w:pPr>
            <w:r w:rsidRPr="00093446">
              <w:rPr>
                <w:rFonts w:asciiTheme="majorBidi" w:hAnsiTheme="majorBidi" w:cstheme="majorBidi"/>
                <w:sz w:val="20"/>
                <w:szCs w:val="20"/>
              </w:rPr>
              <w:t>Of the interventions, 71% were provided</w:t>
            </w:r>
            <w:r>
              <w:rPr>
                <w:rFonts w:asciiTheme="majorBidi" w:hAnsiTheme="majorBidi" w:cstheme="majorBidi"/>
                <w:sz w:val="20"/>
                <w:szCs w:val="20"/>
              </w:rPr>
              <w:t xml:space="preserve"> </w:t>
            </w:r>
            <w:r w:rsidRPr="00093446">
              <w:rPr>
                <w:rFonts w:asciiTheme="majorBidi" w:hAnsiTheme="majorBidi" w:cstheme="majorBidi"/>
                <w:sz w:val="20"/>
                <w:szCs w:val="20"/>
              </w:rPr>
              <w:t>to the medical service and 22% to surgical services with</w:t>
            </w:r>
          </w:p>
          <w:p w14:paraId="51349E3A" w14:textId="77777777" w:rsidR="00B85C9C" w:rsidRDefault="00B85C9C" w:rsidP="00CA6F03">
            <w:pPr>
              <w:rPr>
                <w:rFonts w:asciiTheme="majorBidi" w:hAnsiTheme="majorBidi" w:cstheme="majorBidi"/>
                <w:sz w:val="20"/>
                <w:szCs w:val="20"/>
              </w:rPr>
            </w:pPr>
            <w:r w:rsidRPr="00093446">
              <w:rPr>
                <w:rFonts w:asciiTheme="majorBidi" w:hAnsiTheme="majorBidi" w:cstheme="majorBidi"/>
                <w:sz w:val="20"/>
                <w:szCs w:val="20"/>
              </w:rPr>
              <w:t xml:space="preserve">acceptance rates of 91 and 83%, respectively. </w:t>
            </w:r>
          </w:p>
          <w:p w14:paraId="6AA6F088" w14:textId="77777777" w:rsidR="00B85C9C" w:rsidRPr="00093446" w:rsidRDefault="00B85C9C" w:rsidP="00CA6F03">
            <w:pPr>
              <w:rPr>
                <w:rFonts w:asciiTheme="majorBidi" w:hAnsiTheme="majorBidi" w:cstheme="majorBidi"/>
                <w:sz w:val="20"/>
                <w:szCs w:val="20"/>
              </w:rPr>
            </w:pPr>
            <w:r w:rsidRPr="00093446">
              <w:rPr>
                <w:rFonts w:asciiTheme="majorBidi" w:hAnsiTheme="majorBidi" w:cstheme="majorBidi"/>
                <w:sz w:val="20"/>
                <w:szCs w:val="20"/>
              </w:rPr>
              <w:t>Intervention</w:t>
            </w:r>
            <w:r>
              <w:rPr>
                <w:rFonts w:asciiTheme="majorBidi" w:hAnsiTheme="majorBidi" w:cstheme="majorBidi"/>
                <w:sz w:val="20"/>
                <w:szCs w:val="20"/>
              </w:rPr>
              <w:t xml:space="preserve"> </w:t>
            </w:r>
            <w:r w:rsidRPr="00093446">
              <w:rPr>
                <w:rFonts w:asciiTheme="majorBidi" w:hAnsiTheme="majorBidi" w:cstheme="majorBidi"/>
                <w:sz w:val="20"/>
                <w:szCs w:val="20"/>
              </w:rPr>
              <w:t xml:space="preserve">cost-avoidance calculated to be $694,217. </w:t>
            </w:r>
          </w:p>
          <w:p w14:paraId="21668CF7" w14:textId="77777777" w:rsidR="00B85C9C" w:rsidRDefault="00B85C9C" w:rsidP="00CA6F03">
            <w:pPr>
              <w:rPr>
                <w:rFonts w:asciiTheme="majorBidi" w:hAnsiTheme="majorBidi" w:cstheme="majorBidi"/>
                <w:sz w:val="20"/>
                <w:szCs w:val="20"/>
              </w:rPr>
            </w:pPr>
            <w:r w:rsidRPr="00093446">
              <w:rPr>
                <w:rFonts w:asciiTheme="majorBidi" w:hAnsiTheme="majorBidi" w:cstheme="majorBidi"/>
                <w:sz w:val="20"/>
                <w:szCs w:val="20"/>
              </w:rPr>
              <w:t>55.8% of</w:t>
            </w:r>
            <w:r>
              <w:rPr>
                <w:rFonts w:asciiTheme="majorBidi" w:hAnsiTheme="majorBidi" w:cstheme="majorBidi"/>
                <w:sz w:val="20"/>
                <w:szCs w:val="20"/>
              </w:rPr>
              <w:t xml:space="preserve"> </w:t>
            </w:r>
            <w:r w:rsidRPr="00093446">
              <w:rPr>
                <w:rFonts w:asciiTheme="majorBidi" w:hAnsiTheme="majorBidi" w:cstheme="majorBidi"/>
                <w:sz w:val="20"/>
                <w:szCs w:val="20"/>
              </w:rPr>
              <w:t>PCC orders were considered inappropriate in the pre-invention</w:t>
            </w:r>
            <w:r>
              <w:rPr>
                <w:rFonts w:asciiTheme="majorBidi" w:hAnsiTheme="majorBidi" w:cstheme="majorBidi"/>
                <w:sz w:val="20"/>
                <w:szCs w:val="20"/>
              </w:rPr>
              <w:t xml:space="preserve"> </w:t>
            </w:r>
            <w:r w:rsidRPr="00093446">
              <w:rPr>
                <w:rFonts w:asciiTheme="majorBidi" w:hAnsiTheme="majorBidi" w:cstheme="majorBidi"/>
                <w:sz w:val="20"/>
                <w:szCs w:val="20"/>
              </w:rPr>
              <w:t>period versus 2.6% post-intervention.</w:t>
            </w:r>
          </w:p>
          <w:p w14:paraId="763AA75C" w14:textId="77777777" w:rsidR="00B85C9C" w:rsidRPr="00093446" w:rsidRDefault="00B85C9C" w:rsidP="00CA6F03">
            <w:pPr>
              <w:rPr>
                <w:rFonts w:asciiTheme="majorBidi" w:hAnsiTheme="majorBidi" w:cstheme="majorBidi"/>
                <w:sz w:val="20"/>
                <w:szCs w:val="20"/>
              </w:rPr>
            </w:pPr>
            <w:r>
              <w:rPr>
                <w:rFonts w:asciiTheme="majorBidi" w:hAnsiTheme="majorBidi" w:cstheme="majorBidi"/>
                <w:sz w:val="20"/>
                <w:szCs w:val="20"/>
              </w:rPr>
              <w:t xml:space="preserve">Appropriate </w:t>
            </w:r>
            <w:r w:rsidRPr="00093446">
              <w:rPr>
                <w:rFonts w:asciiTheme="majorBidi" w:hAnsiTheme="majorBidi" w:cstheme="majorBidi"/>
                <w:sz w:val="20"/>
                <w:szCs w:val="20"/>
              </w:rPr>
              <w:t>PCC doses per month post-intervention were consistent</w:t>
            </w:r>
          </w:p>
          <w:p w14:paraId="43336723" w14:textId="77777777" w:rsidR="00B85C9C" w:rsidRPr="00093446" w:rsidRDefault="00B85C9C" w:rsidP="00CA6F03">
            <w:pPr>
              <w:rPr>
                <w:rFonts w:asciiTheme="majorBidi" w:hAnsiTheme="majorBidi" w:cstheme="majorBidi"/>
                <w:sz w:val="20"/>
                <w:szCs w:val="20"/>
              </w:rPr>
            </w:pPr>
            <w:r w:rsidRPr="00093446">
              <w:rPr>
                <w:rFonts w:asciiTheme="majorBidi" w:hAnsiTheme="majorBidi" w:cstheme="majorBidi"/>
                <w:sz w:val="20"/>
                <w:szCs w:val="20"/>
              </w:rPr>
              <w:t>with pre-intervention doses (7.67 vs. 6.73, respectively).</w:t>
            </w:r>
          </w:p>
          <w:p w14:paraId="26088727" w14:textId="77777777" w:rsidR="00B85C9C" w:rsidRPr="00093446" w:rsidRDefault="00B85C9C" w:rsidP="00CA6F03">
            <w:pPr>
              <w:rPr>
                <w:rFonts w:asciiTheme="majorBidi" w:hAnsiTheme="majorBidi" w:cstheme="majorBidi"/>
                <w:sz w:val="20"/>
                <w:szCs w:val="20"/>
              </w:rPr>
            </w:pPr>
            <w:r>
              <w:rPr>
                <w:rFonts w:asciiTheme="majorBidi" w:hAnsiTheme="majorBidi" w:cstheme="majorBidi"/>
                <w:sz w:val="20"/>
                <w:szCs w:val="20"/>
              </w:rPr>
              <w:t>O</w:t>
            </w:r>
            <w:r w:rsidRPr="00093446">
              <w:rPr>
                <w:rFonts w:asciiTheme="majorBidi" w:hAnsiTheme="majorBidi" w:cstheme="majorBidi"/>
                <w:sz w:val="20"/>
                <w:szCs w:val="20"/>
              </w:rPr>
              <w:t xml:space="preserve">verall </w:t>
            </w:r>
            <w:r w:rsidRPr="00093446">
              <w:rPr>
                <w:rFonts w:asciiTheme="majorBidi" w:hAnsiTheme="majorBidi" w:cstheme="majorBidi"/>
                <w:b/>
                <w:bCs/>
                <w:sz w:val="20"/>
                <w:szCs w:val="20"/>
              </w:rPr>
              <w:t>estimated financial impact is $799,690 saved</w:t>
            </w:r>
            <w:r w:rsidRPr="00093446">
              <w:rPr>
                <w:rFonts w:asciiTheme="majorBidi" w:hAnsiTheme="majorBidi" w:cstheme="majorBidi"/>
                <w:sz w:val="20"/>
                <w:szCs w:val="20"/>
              </w:rPr>
              <w:t>. Implementation of an anticoagulation stewardship</w:t>
            </w:r>
          </w:p>
          <w:p w14:paraId="3035AA0D" w14:textId="77777777" w:rsidR="00B85C9C" w:rsidRPr="008D6755" w:rsidRDefault="00B85C9C" w:rsidP="00CA6F03">
            <w:pPr>
              <w:rPr>
                <w:rFonts w:asciiTheme="majorBidi" w:hAnsiTheme="majorBidi" w:cstheme="majorBidi"/>
                <w:sz w:val="20"/>
                <w:szCs w:val="20"/>
              </w:rPr>
            </w:pPr>
            <w:r w:rsidRPr="00093446">
              <w:rPr>
                <w:rFonts w:asciiTheme="majorBidi" w:hAnsiTheme="majorBidi" w:cstheme="majorBidi"/>
                <w:sz w:val="20"/>
                <w:szCs w:val="20"/>
              </w:rPr>
              <w:t>program reduced costs and improved clinical outcomes.</w:t>
            </w:r>
          </w:p>
        </w:tc>
        <w:tc>
          <w:tcPr>
            <w:tcW w:w="1541" w:type="dxa"/>
          </w:tcPr>
          <w:p w14:paraId="15C9881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Moderate quality, large study with associated budget impact calculation </w:t>
            </w:r>
          </w:p>
        </w:tc>
      </w:tr>
      <w:tr w:rsidR="00B85C9C" w:rsidRPr="008D6755" w14:paraId="6AAE93A5" w14:textId="77777777" w:rsidTr="00CA6F03">
        <w:tc>
          <w:tcPr>
            <w:tcW w:w="1783" w:type="dxa"/>
          </w:tcPr>
          <w:p w14:paraId="611E3956" w14:textId="4A2C23B6" w:rsidR="00B85C9C" w:rsidRDefault="00B85C9C" w:rsidP="00CA6F03">
            <w:pPr>
              <w:rPr>
                <w:rFonts w:asciiTheme="majorBidi" w:hAnsiTheme="majorBidi" w:cstheme="majorBidi"/>
                <w:sz w:val="20"/>
                <w:szCs w:val="20"/>
              </w:rPr>
            </w:pPr>
            <w:r w:rsidRPr="00AF3C40">
              <w:rPr>
                <w:rFonts w:asciiTheme="majorBidi" w:hAnsiTheme="majorBidi" w:cstheme="majorBidi"/>
                <w:sz w:val="20"/>
                <w:szCs w:val="20"/>
              </w:rPr>
              <w:t>Reardon et al 2015</w:t>
            </w:r>
            <w:r>
              <w:rPr>
                <w:rFonts w:asciiTheme="majorBidi" w:hAnsiTheme="majorBidi" w:cstheme="majorBidi"/>
                <w:sz w:val="20"/>
                <w:szCs w:val="20"/>
              </w:rPr>
              <w:t xml:space="preserve"> </w:t>
            </w:r>
          </w:p>
        </w:tc>
        <w:tc>
          <w:tcPr>
            <w:tcW w:w="1638" w:type="dxa"/>
          </w:tcPr>
          <w:p w14:paraId="5F8A930C"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Single institution case study</w:t>
            </w:r>
          </w:p>
          <w:p w14:paraId="62382865" w14:textId="77777777" w:rsidR="00B85C9C" w:rsidRPr="008D6755" w:rsidRDefault="00B85C9C" w:rsidP="00CA6F03">
            <w:pPr>
              <w:rPr>
                <w:rFonts w:asciiTheme="majorBidi" w:hAnsiTheme="majorBidi" w:cstheme="majorBidi"/>
                <w:sz w:val="20"/>
                <w:szCs w:val="20"/>
              </w:rPr>
            </w:pPr>
          </w:p>
        </w:tc>
        <w:tc>
          <w:tcPr>
            <w:tcW w:w="1678" w:type="dxa"/>
          </w:tcPr>
          <w:p w14:paraId="1F72A04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Hospital inpatients with </w:t>
            </w:r>
            <w:r w:rsidRPr="00D800DD">
              <w:rPr>
                <w:rFonts w:asciiTheme="majorBidi" w:hAnsiTheme="majorBidi" w:cstheme="majorBidi"/>
                <w:sz w:val="20"/>
                <w:szCs w:val="20"/>
              </w:rPr>
              <w:t>focus</w:t>
            </w:r>
            <w:r>
              <w:rPr>
                <w:rFonts w:asciiTheme="majorBidi" w:hAnsiTheme="majorBidi" w:cstheme="majorBidi"/>
                <w:sz w:val="20"/>
                <w:szCs w:val="20"/>
              </w:rPr>
              <w:t xml:space="preserve"> on</w:t>
            </w:r>
            <w:r w:rsidRPr="00D800DD">
              <w:rPr>
                <w:rFonts w:asciiTheme="majorBidi" w:hAnsiTheme="majorBidi" w:cstheme="majorBidi"/>
                <w:sz w:val="20"/>
                <w:szCs w:val="20"/>
              </w:rPr>
              <w:t xml:space="preserve"> </w:t>
            </w:r>
          </w:p>
          <w:p w14:paraId="0B7AB73B" w14:textId="77777777" w:rsidR="00B85C9C" w:rsidRDefault="00B85C9C" w:rsidP="00CA6F03">
            <w:pPr>
              <w:rPr>
                <w:rFonts w:asciiTheme="majorBidi" w:hAnsiTheme="majorBidi" w:cstheme="majorBidi"/>
                <w:sz w:val="20"/>
                <w:szCs w:val="20"/>
              </w:rPr>
            </w:pPr>
            <w:r w:rsidRPr="00D800DD">
              <w:rPr>
                <w:rFonts w:asciiTheme="majorBidi" w:hAnsiTheme="majorBidi" w:cstheme="majorBidi"/>
                <w:sz w:val="20"/>
                <w:szCs w:val="20"/>
              </w:rPr>
              <w:t>(1) management</w:t>
            </w:r>
            <w:r>
              <w:rPr>
                <w:rFonts w:asciiTheme="majorBidi" w:hAnsiTheme="majorBidi" w:cstheme="majorBidi"/>
                <w:sz w:val="20"/>
                <w:szCs w:val="20"/>
              </w:rPr>
              <w:t xml:space="preserve"> </w:t>
            </w:r>
            <w:r w:rsidRPr="00D800DD">
              <w:rPr>
                <w:rFonts w:asciiTheme="majorBidi" w:hAnsiTheme="majorBidi" w:cstheme="majorBidi"/>
                <w:sz w:val="20"/>
                <w:szCs w:val="20"/>
              </w:rPr>
              <w:t>of heparin-induced thrombocytopenia (HIT)</w:t>
            </w:r>
          </w:p>
          <w:p w14:paraId="7DD40F32" w14:textId="77777777" w:rsidR="00B85C9C" w:rsidRDefault="00B85C9C" w:rsidP="00CA6F03">
            <w:pPr>
              <w:rPr>
                <w:rFonts w:asciiTheme="majorBidi" w:hAnsiTheme="majorBidi" w:cstheme="majorBidi"/>
                <w:sz w:val="20"/>
                <w:szCs w:val="20"/>
              </w:rPr>
            </w:pPr>
            <w:r w:rsidRPr="00D800DD">
              <w:rPr>
                <w:rFonts w:asciiTheme="majorBidi" w:hAnsiTheme="majorBidi" w:cstheme="majorBidi"/>
                <w:sz w:val="20"/>
                <w:szCs w:val="20"/>
              </w:rPr>
              <w:t>(2)</w:t>
            </w:r>
            <w:r>
              <w:rPr>
                <w:rFonts w:asciiTheme="majorBidi" w:hAnsiTheme="majorBidi" w:cstheme="majorBidi"/>
                <w:sz w:val="20"/>
                <w:szCs w:val="20"/>
              </w:rPr>
              <w:t xml:space="preserve"> </w:t>
            </w:r>
            <w:r w:rsidRPr="00D800DD">
              <w:rPr>
                <w:rFonts w:asciiTheme="majorBidi" w:hAnsiTheme="majorBidi" w:cstheme="majorBidi"/>
                <w:sz w:val="20"/>
                <w:szCs w:val="20"/>
              </w:rPr>
              <w:t xml:space="preserve">management of patients with </w:t>
            </w:r>
            <w:proofErr w:type="spellStart"/>
            <w:r w:rsidRPr="00D800DD">
              <w:rPr>
                <w:rFonts w:asciiTheme="majorBidi" w:hAnsiTheme="majorBidi" w:cstheme="majorBidi"/>
                <w:sz w:val="20"/>
                <w:szCs w:val="20"/>
              </w:rPr>
              <w:t>Hemophilia</w:t>
            </w:r>
            <w:proofErr w:type="spellEnd"/>
            <w:r w:rsidRPr="00D800DD">
              <w:rPr>
                <w:rFonts w:asciiTheme="majorBidi" w:hAnsiTheme="majorBidi" w:cstheme="majorBidi"/>
                <w:sz w:val="20"/>
                <w:szCs w:val="20"/>
              </w:rPr>
              <w:t xml:space="preserve"> A/B with inhibitors</w:t>
            </w:r>
            <w:r>
              <w:rPr>
                <w:rFonts w:asciiTheme="majorBidi" w:hAnsiTheme="majorBidi" w:cstheme="majorBidi"/>
                <w:sz w:val="20"/>
                <w:szCs w:val="20"/>
              </w:rPr>
              <w:t xml:space="preserve"> </w:t>
            </w:r>
            <w:r w:rsidRPr="00D800DD">
              <w:rPr>
                <w:rFonts w:asciiTheme="majorBidi" w:hAnsiTheme="majorBidi" w:cstheme="majorBidi"/>
                <w:sz w:val="20"/>
                <w:szCs w:val="20"/>
              </w:rPr>
              <w:t>and acquired Factor VIII deficiency due to inhibitors</w:t>
            </w:r>
          </w:p>
          <w:p w14:paraId="4B57FD48" w14:textId="77777777" w:rsidR="00B85C9C" w:rsidRPr="00D800DD" w:rsidRDefault="00B85C9C" w:rsidP="00CA6F03">
            <w:pPr>
              <w:rPr>
                <w:rFonts w:asciiTheme="majorBidi" w:hAnsiTheme="majorBidi" w:cstheme="majorBidi"/>
                <w:sz w:val="20"/>
                <w:szCs w:val="20"/>
              </w:rPr>
            </w:pPr>
            <w:r w:rsidRPr="00D800DD">
              <w:rPr>
                <w:rFonts w:asciiTheme="majorBidi" w:hAnsiTheme="majorBidi" w:cstheme="majorBidi"/>
                <w:sz w:val="20"/>
                <w:szCs w:val="20"/>
              </w:rPr>
              <w:t>(3) oversight of</w:t>
            </w:r>
            <w:r>
              <w:rPr>
                <w:rFonts w:asciiTheme="majorBidi" w:hAnsiTheme="majorBidi" w:cstheme="majorBidi"/>
                <w:sz w:val="20"/>
                <w:szCs w:val="20"/>
              </w:rPr>
              <w:t xml:space="preserve"> </w:t>
            </w:r>
            <w:r w:rsidRPr="00D800DD">
              <w:rPr>
                <w:rFonts w:asciiTheme="majorBidi" w:hAnsiTheme="majorBidi" w:cstheme="majorBidi"/>
                <w:sz w:val="20"/>
                <w:szCs w:val="20"/>
              </w:rPr>
              <w:t>anticoagulation in patients on</w:t>
            </w:r>
          </w:p>
          <w:p w14:paraId="099C8069" w14:textId="77777777" w:rsidR="00B85C9C" w:rsidRDefault="00B85C9C" w:rsidP="00CA6F03">
            <w:pPr>
              <w:rPr>
                <w:rFonts w:asciiTheme="majorBidi" w:hAnsiTheme="majorBidi" w:cstheme="majorBidi"/>
                <w:sz w:val="20"/>
                <w:szCs w:val="20"/>
              </w:rPr>
            </w:pPr>
            <w:r w:rsidRPr="00D800DD">
              <w:rPr>
                <w:rFonts w:asciiTheme="majorBidi" w:hAnsiTheme="majorBidi" w:cstheme="majorBidi"/>
                <w:sz w:val="20"/>
                <w:szCs w:val="20"/>
              </w:rPr>
              <w:t xml:space="preserve">extracorporeal membrane oxygenation </w:t>
            </w:r>
          </w:p>
          <w:p w14:paraId="53F6FA09" w14:textId="77777777" w:rsidR="00B85C9C" w:rsidRDefault="00B85C9C" w:rsidP="00CA6F03">
            <w:pPr>
              <w:rPr>
                <w:rFonts w:asciiTheme="majorBidi" w:hAnsiTheme="majorBidi" w:cstheme="majorBidi"/>
                <w:sz w:val="20"/>
                <w:szCs w:val="20"/>
              </w:rPr>
            </w:pPr>
            <w:r w:rsidRPr="00D800DD">
              <w:rPr>
                <w:rFonts w:asciiTheme="majorBidi" w:hAnsiTheme="majorBidi" w:cstheme="majorBidi"/>
                <w:sz w:val="20"/>
                <w:szCs w:val="20"/>
              </w:rPr>
              <w:t>(4) assistance</w:t>
            </w:r>
            <w:r>
              <w:rPr>
                <w:rFonts w:asciiTheme="majorBidi" w:hAnsiTheme="majorBidi" w:cstheme="majorBidi"/>
                <w:sz w:val="20"/>
                <w:szCs w:val="20"/>
              </w:rPr>
              <w:t xml:space="preserve"> </w:t>
            </w:r>
            <w:r w:rsidRPr="00D800DD">
              <w:rPr>
                <w:rFonts w:asciiTheme="majorBidi" w:hAnsiTheme="majorBidi" w:cstheme="majorBidi"/>
                <w:sz w:val="20"/>
                <w:szCs w:val="20"/>
              </w:rPr>
              <w:t>with anticoagulation management for patients with mechanical</w:t>
            </w:r>
            <w:r>
              <w:rPr>
                <w:rFonts w:asciiTheme="majorBidi" w:hAnsiTheme="majorBidi" w:cstheme="majorBidi"/>
                <w:sz w:val="20"/>
                <w:szCs w:val="20"/>
              </w:rPr>
              <w:t xml:space="preserve"> </w:t>
            </w:r>
            <w:r w:rsidRPr="00D800DD">
              <w:rPr>
                <w:rFonts w:asciiTheme="majorBidi" w:hAnsiTheme="majorBidi" w:cstheme="majorBidi"/>
                <w:sz w:val="20"/>
                <w:szCs w:val="20"/>
              </w:rPr>
              <w:t>cardiac assist devices.</w:t>
            </w:r>
          </w:p>
          <w:p w14:paraId="44E30675" w14:textId="77777777" w:rsidR="00B85C9C" w:rsidRPr="00C0274B" w:rsidRDefault="00B85C9C" w:rsidP="00CA6F03">
            <w:pPr>
              <w:rPr>
                <w:rFonts w:asciiTheme="majorBidi" w:hAnsiTheme="majorBidi" w:cstheme="majorBidi"/>
                <w:sz w:val="20"/>
                <w:szCs w:val="20"/>
                <w:highlight w:val="yellow"/>
              </w:rPr>
            </w:pPr>
          </w:p>
        </w:tc>
        <w:tc>
          <w:tcPr>
            <w:tcW w:w="2699" w:type="dxa"/>
          </w:tcPr>
          <w:p w14:paraId="547B928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 </w:t>
            </w:r>
            <w:r w:rsidRPr="002C4817">
              <w:rPr>
                <w:rFonts w:asciiTheme="majorBidi" w:hAnsiTheme="majorBidi" w:cstheme="majorBidi"/>
                <w:b/>
                <w:bCs/>
                <w:sz w:val="20"/>
                <w:szCs w:val="20"/>
              </w:rPr>
              <w:t>haemostatic and antithrombotic stewardship programme</w:t>
            </w:r>
            <w:r>
              <w:rPr>
                <w:rFonts w:asciiTheme="majorBidi" w:hAnsiTheme="majorBidi" w:cstheme="majorBidi"/>
                <w:sz w:val="20"/>
                <w:szCs w:val="20"/>
              </w:rPr>
              <w:t xml:space="preserve"> to provide real time clinical surveillance and management</w:t>
            </w:r>
          </w:p>
          <w:p w14:paraId="23B0ADE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Programme s</w:t>
            </w:r>
            <w:r w:rsidRPr="00D800DD">
              <w:rPr>
                <w:rFonts w:asciiTheme="majorBidi" w:hAnsiTheme="majorBidi" w:cstheme="majorBidi"/>
                <w:sz w:val="20"/>
                <w:szCs w:val="20"/>
              </w:rPr>
              <w:t>taffed daily by an interdisciplinary team</w:t>
            </w:r>
            <w:r>
              <w:rPr>
                <w:rFonts w:asciiTheme="majorBidi" w:hAnsiTheme="majorBidi" w:cstheme="majorBidi"/>
                <w:sz w:val="20"/>
                <w:szCs w:val="20"/>
              </w:rPr>
              <w:t>.</w:t>
            </w:r>
          </w:p>
        </w:tc>
        <w:tc>
          <w:tcPr>
            <w:tcW w:w="1472" w:type="dxa"/>
          </w:tcPr>
          <w:p w14:paraId="4C0BD8CC"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Previous financial year</w:t>
            </w:r>
          </w:p>
        </w:tc>
        <w:tc>
          <w:tcPr>
            <w:tcW w:w="3139" w:type="dxa"/>
          </w:tcPr>
          <w:p w14:paraId="7D88E33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C</w:t>
            </w:r>
            <w:r w:rsidRPr="002C4817">
              <w:rPr>
                <w:rFonts w:asciiTheme="majorBidi" w:hAnsiTheme="majorBidi" w:cstheme="majorBidi"/>
                <w:sz w:val="20"/>
                <w:szCs w:val="20"/>
              </w:rPr>
              <w:t>ost per patient</w:t>
            </w:r>
            <w:r>
              <w:rPr>
                <w:rFonts w:asciiTheme="majorBidi" w:hAnsiTheme="majorBidi" w:cstheme="majorBidi"/>
                <w:sz w:val="20"/>
                <w:szCs w:val="20"/>
              </w:rPr>
              <w:t xml:space="preserve"> </w:t>
            </w:r>
            <w:r w:rsidRPr="002C4817">
              <w:rPr>
                <w:rFonts w:asciiTheme="majorBidi" w:hAnsiTheme="majorBidi" w:cstheme="majorBidi"/>
                <w:sz w:val="20"/>
                <w:szCs w:val="20"/>
              </w:rPr>
              <w:t>savings of $1141 or an estimated $228,200 for fiscal</w:t>
            </w:r>
            <w:r>
              <w:rPr>
                <w:rFonts w:asciiTheme="majorBidi" w:hAnsiTheme="majorBidi" w:cstheme="majorBidi"/>
                <w:sz w:val="20"/>
                <w:szCs w:val="20"/>
              </w:rPr>
              <w:t xml:space="preserve"> </w:t>
            </w:r>
            <w:r w:rsidRPr="002C4817">
              <w:rPr>
                <w:rFonts w:asciiTheme="majorBidi" w:hAnsiTheme="majorBidi" w:cstheme="majorBidi"/>
                <w:sz w:val="20"/>
                <w:szCs w:val="20"/>
              </w:rPr>
              <w:t>year 2014 (FY14) in patients treated for HIT</w:t>
            </w:r>
          </w:p>
          <w:p w14:paraId="0780F43F" w14:textId="77777777" w:rsidR="00B85C9C" w:rsidRDefault="00B85C9C" w:rsidP="00CA6F03">
            <w:pPr>
              <w:rPr>
                <w:rFonts w:asciiTheme="majorBidi" w:hAnsiTheme="majorBidi" w:cstheme="majorBidi"/>
                <w:sz w:val="20"/>
                <w:szCs w:val="20"/>
              </w:rPr>
            </w:pPr>
          </w:p>
          <w:p w14:paraId="7926CAC2" w14:textId="77777777" w:rsidR="00B85C9C" w:rsidRPr="002C4817" w:rsidRDefault="00B85C9C" w:rsidP="00CA6F03">
            <w:pPr>
              <w:rPr>
                <w:rFonts w:asciiTheme="majorBidi" w:hAnsiTheme="majorBidi" w:cstheme="majorBidi"/>
                <w:sz w:val="20"/>
                <w:szCs w:val="20"/>
              </w:rPr>
            </w:pPr>
            <w:r>
              <w:rPr>
                <w:rFonts w:asciiTheme="majorBidi" w:hAnsiTheme="majorBidi" w:cstheme="majorBidi"/>
                <w:sz w:val="20"/>
                <w:szCs w:val="20"/>
              </w:rPr>
              <w:t>A</w:t>
            </w:r>
            <w:r w:rsidRPr="002C4817">
              <w:rPr>
                <w:rFonts w:asciiTheme="majorBidi" w:hAnsiTheme="majorBidi" w:cstheme="majorBidi"/>
                <w:sz w:val="20"/>
                <w:szCs w:val="20"/>
              </w:rPr>
              <w:t>nnual cost of stewardship</w:t>
            </w:r>
            <w:r>
              <w:rPr>
                <w:rFonts w:asciiTheme="majorBidi" w:hAnsiTheme="majorBidi" w:cstheme="majorBidi"/>
                <w:sz w:val="20"/>
                <w:szCs w:val="20"/>
              </w:rPr>
              <w:t xml:space="preserve"> </w:t>
            </w:r>
            <w:r w:rsidRPr="002C4817">
              <w:rPr>
                <w:rFonts w:asciiTheme="majorBidi" w:hAnsiTheme="majorBidi" w:cstheme="majorBidi"/>
                <w:sz w:val="20"/>
                <w:szCs w:val="20"/>
              </w:rPr>
              <w:t>$175,000, which accounts for the pharmacist salary and a</w:t>
            </w:r>
            <w:r>
              <w:rPr>
                <w:rFonts w:asciiTheme="majorBidi" w:hAnsiTheme="majorBidi" w:cstheme="majorBidi"/>
                <w:sz w:val="20"/>
                <w:szCs w:val="20"/>
              </w:rPr>
              <w:t xml:space="preserve"> </w:t>
            </w:r>
            <w:r w:rsidRPr="002C4817">
              <w:rPr>
                <w:rFonts w:asciiTheme="majorBidi" w:hAnsiTheme="majorBidi" w:cstheme="majorBidi"/>
                <w:sz w:val="20"/>
                <w:szCs w:val="20"/>
              </w:rPr>
              <w:t xml:space="preserve">portion of the attending </w:t>
            </w:r>
            <w:proofErr w:type="spellStart"/>
            <w:r w:rsidRPr="002C4817">
              <w:rPr>
                <w:rFonts w:asciiTheme="majorBidi" w:hAnsiTheme="majorBidi" w:cstheme="majorBidi"/>
                <w:sz w:val="20"/>
                <w:szCs w:val="20"/>
              </w:rPr>
              <w:t>Hematologist</w:t>
            </w:r>
            <w:proofErr w:type="spellEnd"/>
            <w:r w:rsidRPr="002C4817">
              <w:rPr>
                <w:rFonts w:asciiTheme="majorBidi" w:hAnsiTheme="majorBidi" w:cstheme="majorBidi"/>
                <w:sz w:val="20"/>
                <w:szCs w:val="20"/>
              </w:rPr>
              <w:t xml:space="preserve"> and Medical Director’s</w:t>
            </w:r>
          </w:p>
          <w:p w14:paraId="603D6551" w14:textId="77777777" w:rsidR="00B85C9C" w:rsidRPr="008D6755" w:rsidRDefault="00B85C9C" w:rsidP="00CA6F03">
            <w:pPr>
              <w:rPr>
                <w:rFonts w:asciiTheme="majorBidi" w:hAnsiTheme="majorBidi" w:cstheme="majorBidi"/>
                <w:sz w:val="20"/>
                <w:szCs w:val="20"/>
              </w:rPr>
            </w:pPr>
            <w:r w:rsidRPr="002C4817">
              <w:rPr>
                <w:rFonts w:asciiTheme="majorBidi" w:hAnsiTheme="majorBidi" w:cstheme="majorBidi"/>
                <w:sz w:val="20"/>
                <w:szCs w:val="20"/>
              </w:rPr>
              <w:t xml:space="preserve">salary. </w:t>
            </w:r>
            <w:r w:rsidRPr="002C4817">
              <w:rPr>
                <w:rFonts w:asciiTheme="majorBidi" w:hAnsiTheme="majorBidi" w:cstheme="majorBidi"/>
                <w:b/>
                <w:bCs/>
                <w:sz w:val="20"/>
                <w:szCs w:val="20"/>
              </w:rPr>
              <w:t>Economic impact of the stewardship for FY14 is estimated $1,449,417, based on cost avoidance</w:t>
            </w:r>
            <w:r w:rsidRPr="002C4817">
              <w:rPr>
                <w:rFonts w:asciiTheme="majorBidi" w:hAnsiTheme="majorBidi" w:cstheme="majorBidi"/>
                <w:sz w:val="20"/>
                <w:szCs w:val="20"/>
              </w:rPr>
              <w:t xml:space="preserve"> and an overall decrease in expenditure for DTIs</w:t>
            </w:r>
            <w:r>
              <w:rPr>
                <w:rFonts w:asciiTheme="majorBidi" w:hAnsiTheme="majorBidi" w:cstheme="majorBidi"/>
                <w:sz w:val="20"/>
                <w:szCs w:val="20"/>
              </w:rPr>
              <w:t xml:space="preserve"> </w:t>
            </w:r>
            <w:r w:rsidRPr="002C4817">
              <w:rPr>
                <w:rFonts w:asciiTheme="majorBidi" w:hAnsiTheme="majorBidi" w:cstheme="majorBidi"/>
                <w:sz w:val="20"/>
                <w:szCs w:val="20"/>
              </w:rPr>
              <w:t>for the treatment of HIT.</w:t>
            </w:r>
          </w:p>
        </w:tc>
        <w:tc>
          <w:tcPr>
            <w:tcW w:w="1541" w:type="dxa"/>
          </w:tcPr>
          <w:p w14:paraId="2E64C38C"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retrospective, non-randomized, pre-post design</w:t>
            </w:r>
          </w:p>
        </w:tc>
      </w:tr>
      <w:tr w:rsidR="00B85C9C" w:rsidRPr="008D6755" w14:paraId="60942D8F" w14:textId="77777777" w:rsidTr="00CA6F03">
        <w:tc>
          <w:tcPr>
            <w:tcW w:w="1783" w:type="dxa"/>
          </w:tcPr>
          <w:p w14:paraId="46630D3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Perlman et al 2019</w:t>
            </w:r>
          </w:p>
          <w:p w14:paraId="60FEBC83" w14:textId="1A62E2DF" w:rsidR="00B85C9C" w:rsidRPr="008D6755" w:rsidRDefault="00B85C9C" w:rsidP="00CA6F03">
            <w:pPr>
              <w:rPr>
                <w:rFonts w:asciiTheme="majorBidi" w:hAnsiTheme="majorBidi" w:cstheme="majorBidi"/>
                <w:sz w:val="20"/>
                <w:szCs w:val="20"/>
              </w:rPr>
            </w:pPr>
          </w:p>
        </w:tc>
        <w:tc>
          <w:tcPr>
            <w:tcW w:w="1638" w:type="dxa"/>
          </w:tcPr>
          <w:p w14:paraId="2792DD0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Single institution (2 hospitals), retrospective, n = 585</w:t>
            </w:r>
          </w:p>
        </w:tc>
        <w:tc>
          <w:tcPr>
            <w:tcW w:w="1678" w:type="dxa"/>
          </w:tcPr>
          <w:p w14:paraId="48357363"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All hospital </w:t>
            </w:r>
            <w:proofErr w:type="spellStart"/>
            <w:r>
              <w:rPr>
                <w:rFonts w:asciiTheme="majorBidi" w:hAnsiTheme="majorBidi" w:cstheme="majorBidi"/>
                <w:sz w:val="20"/>
                <w:szCs w:val="20"/>
              </w:rPr>
              <w:t>inpatients</w:t>
            </w:r>
            <w:proofErr w:type="spellEnd"/>
            <w:r>
              <w:rPr>
                <w:rFonts w:asciiTheme="majorBidi" w:hAnsiTheme="majorBidi" w:cstheme="majorBidi"/>
                <w:sz w:val="20"/>
                <w:szCs w:val="20"/>
              </w:rPr>
              <w:t xml:space="preserve"> with DOAC orders, mean age 78 years. </w:t>
            </w:r>
          </w:p>
          <w:p w14:paraId="459878C1" w14:textId="77777777" w:rsidR="00B85C9C" w:rsidRPr="008D6755" w:rsidRDefault="00B85C9C" w:rsidP="00CA6F03">
            <w:pPr>
              <w:rPr>
                <w:rFonts w:asciiTheme="majorBidi" w:hAnsiTheme="majorBidi" w:cstheme="majorBidi"/>
                <w:sz w:val="20"/>
                <w:szCs w:val="20"/>
              </w:rPr>
            </w:pPr>
          </w:p>
        </w:tc>
        <w:tc>
          <w:tcPr>
            <w:tcW w:w="2699" w:type="dxa"/>
          </w:tcPr>
          <w:p w14:paraId="055D4B26" w14:textId="77777777" w:rsidR="00B85C9C" w:rsidRPr="004714E2" w:rsidRDefault="00B85C9C" w:rsidP="00CA6F03">
            <w:pPr>
              <w:rPr>
                <w:rFonts w:asciiTheme="majorBidi" w:hAnsiTheme="majorBidi" w:cstheme="majorBidi"/>
                <w:sz w:val="20"/>
                <w:szCs w:val="20"/>
              </w:rPr>
            </w:pPr>
            <w:r w:rsidRPr="004714E2">
              <w:rPr>
                <w:rFonts w:asciiTheme="majorBidi" w:hAnsiTheme="majorBidi" w:cstheme="majorBidi"/>
                <w:b/>
                <w:bCs/>
                <w:sz w:val="20"/>
                <w:szCs w:val="20"/>
              </w:rPr>
              <w:t>Anticoagulant stewardship</w:t>
            </w:r>
            <w:r>
              <w:rPr>
                <w:rFonts w:asciiTheme="majorBidi" w:hAnsiTheme="majorBidi" w:cstheme="majorBidi"/>
                <w:sz w:val="20"/>
                <w:szCs w:val="20"/>
              </w:rPr>
              <w:t xml:space="preserve">, </w:t>
            </w:r>
            <w:r w:rsidRPr="004714E2">
              <w:rPr>
                <w:rFonts w:asciiTheme="majorBidi" w:hAnsiTheme="majorBidi" w:cstheme="majorBidi"/>
                <w:sz w:val="20"/>
                <w:szCs w:val="20"/>
              </w:rPr>
              <w:t>a hospital-wide program, for monitoring and promoting</w:t>
            </w:r>
          </w:p>
          <w:p w14:paraId="6718ABC5" w14:textId="77777777" w:rsidR="00B85C9C" w:rsidRPr="004714E2" w:rsidRDefault="00B85C9C" w:rsidP="00CA6F03">
            <w:pPr>
              <w:rPr>
                <w:rFonts w:asciiTheme="majorBidi" w:hAnsiTheme="majorBidi" w:cstheme="majorBidi"/>
                <w:sz w:val="20"/>
                <w:szCs w:val="20"/>
              </w:rPr>
            </w:pPr>
            <w:r w:rsidRPr="004714E2">
              <w:rPr>
                <w:rFonts w:asciiTheme="majorBidi" w:hAnsiTheme="majorBidi" w:cstheme="majorBidi"/>
                <w:sz w:val="20"/>
                <w:szCs w:val="20"/>
              </w:rPr>
              <w:t>safe and effective prescription of DOAC during hospitalization</w:t>
            </w:r>
            <w:r>
              <w:rPr>
                <w:rFonts w:asciiTheme="majorBidi" w:hAnsiTheme="majorBidi" w:cstheme="majorBidi"/>
                <w:sz w:val="20"/>
                <w:szCs w:val="20"/>
              </w:rPr>
              <w:t xml:space="preserve">. </w:t>
            </w:r>
            <w:r w:rsidRPr="004714E2">
              <w:rPr>
                <w:rFonts w:asciiTheme="majorBidi" w:hAnsiTheme="majorBidi" w:cstheme="majorBidi"/>
                <w:sz w:val="20"/>
                <w:szCs w:val="20"/>
              </w:rPr>
              <w:t>Electronic medical records throughout the hospital were screened for DOAC orders. All DOAC orders</w:t>
            </w:r>
            <w:r>
              <w:rPr>
                <w:rFonts w:asciiTheme="majorBidi" w:hAnsiTheme="majorBidi" w:cstheme="majorBidi"/>
                <w:sz w:val="20"/>
                <w:szCs w:val="20"/>
              </w:rPr>
              <w:t xml:space="preserve"> </w:t>
            </w:r>
            <w:r w:rsidRPr="004714E2">
              <w:rPr>
                <w:rFonts w:asciiTheme="majorBidi" w:hAnsiTheme="majorBidi" w:cstheme="majorBidi"/>
                <w:sz w:val="20"/>
                <w:szCs w:val="20"/>
              </w:rPr>
              <w:t>were assessed by a clinical pharmacist for potentially-inappropriate prescribing. When potentially-inappropriate</w:t>
            </w:r>
            <w:r>
              <w:rPr>
                <w:rFonts w:asciiTheme="majorBidi" w:hAnsiTheme="majorBidi" w:cstheme="majorBidi"/>
                <w:sz w:val="20"/>
                <w:szCs w:val="20"/>
              </w:rPr>
              <w:t xml:space="preserve"> </w:t>
            </w:r>
            <w:r w:rsidRPr="004714E2">
              <w:rPr>
                <w:rFonts w:asciiTheme="majorBidi" w:hAnsiTheme="majorBidi" w:cstheme="majorBidi"/>
                <w:sz w:val="20"/>
                <w:szCs w:val="20"/>
              </w:rPr>
              <w:t>prescribing or a drug-related problem was identified, the clinical pharmacist provided consultation on management</w:t>
            </w:r>
          </w:p>
          <w:p w14:paraId="3882A2E5" w14:textId="77777777" w:rsidR="00B85C9C" w:rsidRDefault="00B85C9C" w:rsidP="00CA6F03">
            <w:pPr>
              <w:rPr>
                <w:rFonts w:asciiTheme="majorBidi" w:hAnsiTheme="majorBidi" w:cstheme="majorBidi"/>
                <w:sz w:val="20"/>
                <w:szCs w:val="20"/>
              </w:rPr>
            </w:pPr>
            <w:r w:rsidRPr="004714E2">
              <w:rPr>
                <w:rFonts w:asciiTheme="majorBidi" w:hAnsiTheme="majorBidi" w:cstheme="majorBidi"/>
                <w:sz w:val="20"/>
                <w:szCs w:val="20"/>
              </w:rPr>
              <w:t>options</w:t>
            </w:r>
          </w:p>
          <w:p w14:paraId="06B00E7A" w14:textId="77777777" w:rsidR="00B85C9C" w:rsidRPr="008D6755" w:rsidRDefault="00B85C9C" w:rsidP="00CA6F03">
            <w:pPr>
              <w:rPr>
                <w:rFonts w:asciiTheme="majorBidi" w:hAnsiTheme="majorBidi" w:cstheme="majorBidi"/>
                <w:sz w:val="20"/>
                <w:szCs w:val="20"/>
              </w:rPr>
            </w:pPr>
          </w:p>
        </w:tc>
        <w:tc>
          <w:tcPr>
            <w:tcW w:w="1472" w:type="dxa"/>
          </w:tcPr>
          <w:p w14:paraId="2B28054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395F8661" w14:textId="77777777" w:rsidR="00B85C9C" w:rsidRPr="004714E2" w:rsidRDefault="00B85C9C" w:rsidP="00CA6F03">
            <w:pPr>
              <w:rPr>
                <w:rFonts w:asciiTheme="majorBidi" w:hAnsiTheme="majorBidi" w:cstheme="majorBidi"/>
                <w:sz w:val="20"/>
                <w:szCs w:val="20"/>
              </w:rPr>
            </w:pPr>
            <w:r w:rsidRPr="004714E2">
              <w:rPr>
                <w:rFonts w:asciiTheme="majorBidi" w:hAnsiTheme="majorBidi" w:cstheme="majorBidi"/>
                <w:sz w:val="20"/>
                <w:szCs w:val="20"/>
              </w:rPr>
              <w:t xml:space="preserve">Most patients (63%) received “reduced dose” </w:t>
            </w:r>
            <w:r>
              <w:rPr>
                <w:rFonts w:asciiTheme="majorBidi" w:hAnsiTheme="majorBidi" w:cstheme="majorBidi"/>
                <w:sz w:val="20"/>
                <w:szCs w:val="20"/>
              </w:rPr>
              <w:t xml:space="preserve">DOAC </w:t>
            </w:r>
            <w:r w:rsidRPr="004714E2">
              <w:rPr>
                <w:rFonts w:asciiTheme="majorBidi" w:hAnsiTheme="majorBidi" w:cstheme="majorBidi"/>
                <w:sz w:val="20"/>
                <w:szCs w:val="20"/>
              </w:rPr>
              <w:t>regimens. Clinical pharmacists provided 258</w:t>
            </w:r>
          </w:p>
          <w:p w14:paraId="20B30E4F" w14:textId="77777777" w:rsidR="00B85C9C" w:rsidRPr="004714E2" w:rsidRDefault="00B85C9C" w:rsidP="00CA6F03">
            <w:pPr>
              <w:rPr>
                <w:rFonts w:asciiTheme="majorBidi" w:hAnsiTheme="majorBidi" w:cstheme="majorBidi"/>
                <w:sz w:val="20"/>
                <w:szCs w:val="20"/>
              </w:rPr>
            </w:pPr>
            <w:r w:rsidRPr="004714E2">
              <w:rPr>
                <w:rFonts w:asciiTheme="majorBidi" w:hAnsiTheme="majorBidi" w:cstheme="majorBidi"/>
                <w:sz w:val="20"/>
                <w:szCs w:val="20"/>
              </w:rPr>
              <w:t xml:space="preserve">consultations for 210 patients, regarding anticoagulation management, </w:t>
            </w:r>
            <w:r w:rsidRPr="004714E2">
              <w:rPr>
                <w:rFonts w:asciiTheme="majorBidi" w:hAnsiTheme="majorBidi" w:cstheme="majorBidi"/>
                <w:b/>
                <w:bCs/>
                <w:sz w:val="20"/>
                <w:szCs w:val="20"/>
              </w:rPr>
              <w:t>more than one in three patients</w:t>
            </w:r>
            <w:r w:rsidRPr="003E35D3">
              <w:rPr>
                <w:rFonts w:asciiTheme="majorBidi" w:hAnsiTheme="majorBidi" w:cstheme="majorBidi"/>
                <w:b/>
                <w:bCs/>
                <w:sz w:val="20"/>
                <w:szCs w:val="20"/>
              </w:rPr>
              <w:t xml:space="preserve"> </w:t>
            </w:r>
            <w:r w:rsidRPr="004714E2">
              <w:rPr>
                <w:rFonts w:asciiTheme="majorBidi" w:hAnsiTheme="majorBidi" w:cstheme="majorBidi"/>
                <w:b/>
                <w:bCs/>
                <w:sz w:val="20"/>
                <w:szCs w:val="20"/>
              </w:rPr>
              <w:t>on DOAC had potentially inappropriate prescribing or drug related problems</w:t>
            </w:r>
            <w:r w:rsidRPr="004714E2">
              <w:rPr>
                <w:rFonts w:asciiTheme="majorBidi" w:hAnsiTheme="majorBidi" w:cstheme="majorBidi"/>
                <w:sz w:val="20"/>
                <w:szCs w:val="20"/>
              </w:rPr>
              <w:t>. Consultations included alerts</w:t>
            </w:r>
            <w:r>
              <w:rPr>
                <w:rFonts w:asciiTheme="majorBidi" w:hAnsiTheme="majorBidi" w:cstheme="majorBidi"/>
                <w:sz w:val="20"/>
                <w:szCs w:val="20"/>
              </w:rPr>
              <w:t xml:space="preserve"> </w:t>
            </w:r>
            <w:r w:rsidRPr="004714E2">
              <w:rPr>
                <w:rFonts w:asciiTheme="majorBidi" w:hAnsiTheme="majorBidi" w:cstheme="majorBidi"/>
                <w:sz w:val="20"/>
                <w:szCs w:val="20"/>
              </w:rPr>
              <w:t>regarding potentially inappropriate DOAC doses and recommendations to increase (29%) or decrease (5%) the</w:t>
            </w:r>
          </w:p>
          <w:p w14:paraId="1038A2BA" w14:textId="77777777" w:rsidR="00B85C9C" w:rsidRPr="004714E2" w:rsidRDefault="00B85C9C" w:rsidP="00CA6F03">
            <w:pPr>
              <w:rPr>
                <w:rFonts w:asciiTheme="majorBidi" w:hAnsiTheme="majorBidi" w:cstheme="majorBidi"/>
                <w:sz w:val="20"/>
                <w:szCs w:val="20"/>
              </w:rPr>
            </w:pPr>
            <w:r w:rsidRPr="004714E2">
              <w:rPr>
                <w:rFonts w:asciiTheme="majorBidi" w:hAnsiTheme="majorBidi" w:cstheme="majorBidi"/>
                <w:sz w:val="20"/>
                <w:szCs w:val="20"/>
              </w:rPr>
              <w:t>dose, potentially inappropriate concomitant antiplatelet agents (20%), need for DOAC level monitoring (23%), and</w:t>
            </w:r>
          </w:p>
          <w:p w14:paraId="67C76B9F" w14:textId="77777777" w:rsidR="00B85C9C" w:rsidRDefault="00B85C9C" w:rsidP="00CA6F03">
            <w:pPr>
              <w:rPr>
                <w:rFonts w:asciiTheme="majorBidi" w:hAnsiTheme="majorBidi" w:cstheme="majorBidi"/>
                <w:sz w:val="20"/>
                <w:szCs w:val="20"/>
              </w:rPr>
            </w:pPr>
            <w:r w:rsidRPr="004714E2">
              <w:rPr>
                <w:rFonts w:asciiTheme="majorBidi" w:hAnsiTheme="majorBidi" w:cstheme="majorBidi"/>
                <w:sz w:val="20"/>
                <w:szCs w:val="20"/>
              </w:rPr>
              <w:t xml:space="preserve">alerts regarding other drug related problems (23%). </w:t>
            </w:r>
          </w:p>
          <w:p w14:paraId="75A52B5F" w14:textId="03BD2871" w:rsidR="00B85C9C" w:rsidRPr="008D6755" w:rsidRDefault="00B85C9C">
            <w:pPr>
              <w:rPr>
                <w:rFonts w:asciiTheme="majorBidi" w:hAnsiTheme="majorBidi" w:cstheme="majorBidi"/>
                <w:sz w:val="20"/>
                <w:szCs w:val="20"/>
              </w:rPr>
            </w:pPr>
            <w:r w:rsidRPr="004714E2">
              <w:rPr>
                <w:rFonts w:asciiTheme="majorBidi" w:hAnsiTheme="majorBidi" w:cstheme="majorBidi"/>
                <w:b/>
                <w:bCs/>
                <w:sz w:val="20"/>
                <w:szCs w:val="20"/>
              </w:rPr>
              <w:t>More than 70% of</w:t>
            </w:r>
            <w:r w:rsidRPr="003E35D3">
              <w:rPr>
                <w:rFonts w:asciiTheme="majorBidi" w:hAnsiTheme="majorBidi" w:cstheme="majorBidi"/>
                <w:b/>
                <w:bCs/>
                <w:sz w:val="20"/>
                <w:szCs w:val="20"/>
              </w:rPr>
              <w:t xml:space="preserve"> </w:t>
            </w:r>
            <w:r w:rsidRPr="004714E2">
              <w:rPr>
                <w:rFonts w:asciiTheme="majorBidi" w:hAnsiTheme="majorBidi" w:cstheme="majorBidi"/>
                <w:b/>
                <w:bCs/>
                <w:sz w:val="20"/>
                <w:szCs w:val="20"/>
              </w:rPr>
              <w:t>recommendations were accepted by the</w:t>
            </w:r>
            <w:r w:rsidRPr="003E35D3">
              <w:rPr>
                <w:rFonts w:asciiTheme="majorBidi" w:hAnsiTheme="majorBidi" w:cstheme="majorBidi"/>
                <w:b/>
                <w:bCs/>
                <w:sz w:val="20"/>
                <w:szCs w:val="20"/>
              </w:rPr>
              <w:t xml:space="preserve"> attending physician</w:t>
            </w:r>
            <w:r w:rsidRPr="004714E2">
              <w:rPr>
                <w:rFonts w:asciiTheme="majorBidi" w:hAnsiTheme="majorBidi" w:cstheme="majorBidi"/>
                <w:sz w:val="20"/>
                <w:szCs w:val="20"/>
              </w:rPr>
              <w:t>.</w:t>
            </w:r>
          </w:p>
        </w:tc>
        <w:tc>
          <w:tcPr>
            <w:tcW w:w="1541" w:type="dxa"/>
          </w:tcPr>
          <w:p w14:paraId="5C7DC8F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non-randomized, no comparator, no outcomes measured. </w:t>
            </w:r>
          </w:p>
        </w:tc>
      </w:tr>
      <w:tr w:rsidR="00B85C9C" w:rsidRPr="008D6755" w14:paraId="6CC57176" w14:textId="77777777" w:rsidTr="00CA6F03">
        <w:tc>
          <w:tcPr>
            <w:tcW w:w="1783" w:type="dxa"/>
          </w:tcPr>
          <w:p w14:paraId="2FA4A1C3" w14:textId="77777777" w:rsidR="00B85C9C" w:rsidRPr="00AF3C40" w:rsidRDefault="00B85C9C" w:rsidP="00CA6F03">
            <w:pPr>
              <w:rPr>
                <w:rFonts w:asciiTheme="majorBidi" w:hAnsiTheme="majorBidi" w:cstheme="majorBidi"/>
                <w:sz w:val="20"/>
                <w:szCs w:val="20"/>
              </w:rPr>
            </w:pPr>
            <w:r w:rsidRPr="00AF3C40">
              <w:rPr>
                <w:rFonts w:asciiTheme="majorBidi" w:hAnsiTheme="majorBidi" w:cstheme="majorBidi"/>
                <w:sz w:val="20"/>
                <w:szCs w:val="20"/>
              </w:rPr>
              <w:t>Bui et al 2021</w:t>
            </w:r>
          </w:p>
          <w:p w14:paraId="59DE955F" w14:textId="5EA6521D" w:rsidR="00B85C9C" w:rsidRDefault="00B85C9C" w:rsidP="00CA6F03">
            <w:pPr>
              <w:rPr>
                <w:rFonts w:asciiTheme="majorBidi" w:hAnsiTheme="majorBidi" w:cstheme="majorBidi"/>
                <w:sz w:val="20"/>
                <w:szCs w:val="20"/>
              </w:rPr>
            </w:pPr>
          </w:p>
        </w:tc>
        <w:tc>
          <w:tcPr>
            <w:tcW w:w="1638" w:type="dxa"/>
          </w:tcPr>
          <w:p w14:paraId="4B154E0E"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Single institution case study of development of AAA (including anticoagulation) stewardship programme</w:t>
            </w:r>
          </w:p>
          <w:p w14:paraId="0B60422F" w14:textId="77777777" w:rsidR="00B85C9C" w:rsidRPr="008D6755" w:rsidRDefault="00B85C9C" w:rsidP="00CA6F03">
            <w:pPr>
              <w:rPr>
                <w:rFonts w:asciiTheme="majorBidi" w:hAnsiTheme="majorBidi" w:cstheme="majorBidi"/>
                <w:sz w:val="20"/>
                <w:szCs w:val="20"/>
              </w:rPr>
            </w:pPr>
          </w:p>
        </w:tc>
        <w:tc>
          <w:tcPr>
            <w:tcW w:w="1678" w:type="dxa"/>
          </w:tcPr>
          <w:p w14:paraId="06D7C96A" w14:textId="77777777" w:rsidR="00B85C9C" w:rsidRPr="008821E2" w:rsidRDefault="00B85C9C" w:rsidP="00CA6F03">
            <w:pPr>
              <w:rPr>
                <w:rFonts w:asciiTheme="majorBidi" w:hAnsiTheme="majorBidi" w:cstheme="majorBidi"/>
                <w:sz w:val="20"/>
                <w:szCs w:val="20"/>
              </w:rPr>
            </w:pPr>
            <w:r w:rsidRPr="008821E2">
              <w:rPr>
                <w:rFonts w:asciiTheme="majorBidi" w:hAnsiTheme="majorBidi" w:cstheme="majorBidi"/>
                <w:sz w:val="20"/>
                <w:szCs w:val="20"/>
              </w:rPr>
              <w:t>Australian public metropolitan tertiary referral hospital</w:t>
            </w:r>
          </w:p>
          <w:p w14:paraId="1F568DCC" w14:textId="77777777" w:rsidR="00B85C9C" w:rsidRPr="008821E2" w:rsidRDefault="00B85C9C" w:rsidP="00CA6F03">
            <w:pPr>
              <w:rPr>
                <w:rFonts w:asciiTheme="majorBidi" w:hAnsiTheme="majorBidi" w:cstheme="majorBidi"/>
                <w:sz w:val="20"/>
                <w:szCs w:val="20"/>
              </w:rPr>
            </w:pPr>
            <w:r w:rsidRPr="008821E2">
              <w:rPr>
                <w:rFonts w:asciiTheme="majorBidi" w:hAnsiTheme="majorBidi" w:cstheme="majorBidi"/>
                <w:sz w:val="20"/>
                <w:szCs w:val="20"/>
              </w:rPr>
              <w:t>network with over 600 overnight beds across three</w:t>
            </w:r>
          </w:p>
          <w:p w14:paraId="568A9DFB" w14:textId="77777777" w:rsidR="00B85C9C" w:rsidRPr="008D6755" w:rsidRDefault="00B85C9C" w:rsidP="00CA6F03">
            <w:pPr>
              <w:rPr>
                <w:rFonts w:asciiTheme="majorBidi" w:hAnsiTheme="majorBidi" w:cstheme="majorBidi"/>
                <w:sz w:val="20"/>
                <w:szCs w:val="20"/>
              </w:rPr>
            </w:pPr>
            <w:r w:rsidRPr="008821E2">
              <w:rPr>
                <w:rFonts w:asciiTheme="majorBidi" w:hAnsiTheme="majorBidi" w:cstheme="majorBidi"/>
                <w:sz w:val="20"/>
                <w:szCs w:val="20"/>
              </w:rPr>
              <w:t>campuses</w:t>
            </w:r>
          </w:p>
        </w:tc>
        <w:tc>
          <w:tcPr>
            <w:tcW w:w="2699" w:type="dxa"/>
          </w:tcPr>
          <w:p w14:paraId="1EDB7BFB" w14:textId="77777777" w:rsidR="00B85C9C" w:rsidRPr="002C41C4" w:rsidRDefault="00B85C9C" w:rsidP="00CA6F03">
            <w:pPr>
              <w:rPr>
                <w:rFonts w:asciiTheme="majorBidi" w:hAnsiTheme="majorBidi" w:cstheme="majorBidi"/>
                <w:sz w:val="20"/>
                <w:szCs w:val="20"/>
              </w:rPr>
            </w:pPr>
            <w:r>
              <w:rPr>
                <w:rFonts w:asciiTheme="majorBidi" w:hAnsiTheme="majorBidi" w:cstheme="majorBidi"/>
                <w:sz w:val="20"/>
                <w:szCs w:val="20"/>
              </w:rPr>
              <w:t>I</w:t>
            </w:r>
            <w:r w:rsidRPr="002C41C4">
              <w:rPr>
                <w:rFonts w:asciiTheme="majorBidi" w:hAnsiTheme="majorBidi" w:cstheme="majorBidi"/>
                <w:sz w:val="20"/>
                <w:szCs w:val="20"/>
              </w:rPr>
              <w:t>mplementation</w:t>
            </w:r>
          </w:p>
          <w:p w14:paraId="652FFED5" w14:textId="77777777" w:rsidR="00B85C9C" w:rsidRPr="00E72F7E" w:rsidRDefault="00B85C9C" w:rsidP="00CA6F03">
            <w:pPr>
              <w:rPr>
                <w:rFonts w:asciiTheme="majorBidi" w:hAnsiTheme="majorBidi" w:cstheme="majorBidi"/>
                <w:sz w:val="20"/>
                <w:szCs w:val="20"/>
              </w:rPr>
            </w:pPr>
            <w:r w:rsidRPr="002C41C4">
              <w:rPr>
                <w:rFonts w:asciiTheme="majorBidi" w:hAnsiTheme="majorBidi" w:cstheme="majorBidi"/>
                <w:sz w:val="20"/>
                <w:szCs w:val="20"/>
              </w:rPr>
              <w:t xml:space="preserve">of </w:t>
            </w:r>
            <w:r w:rsidRPr="001041D4">
              <w:rPr>
                <w:rFonts w:asciiTheme="majorBidi" w:hAnsiTheme="majorBidi" w:cstheme="majorBidi"/>
                <w:b/>
                <w:bCs/>
                <w:sz w:val="20"/>
                <w:szCs w:val="20"/>
              </w:rPr>
              <w:t>anticoagulation and analgesic stewardship programs</w:t>
            </w:r>
            <w:r w:rsidRPr="002C41C4">
              <w:rPr>
                <w:rFonts w:asciiTheme="majorBidi" w:hAnsiTheme="majorBidi" w:cstheme="majorBidi"/>
                <w:sz w:val="20"/>
                <w:szCs w:val="20"/>
              </w:rPr>
              <w:t>, based on local AMS program principles</w:t>
            </w:r>
            <w:r>
              <w:rPr>
                <w:rFonts w:asciiTheme="majorBidi" w:hAnsiTheme="majorBidi" w:cstheme="majorBidi"/>
                <w:sz w:val="20"/>
                <w:szCs w:val="20"/>
              </w:rPr>
              <w:t xml:space="preserve"> (</w:t>
            </w:r>
            <w:r w:rsidRPr="002C41C4">
              <w:rPr>
                <w:rFonts w:asciiTheme="majorBidi" w:hAnsiTheme="majorBidi" w:cstheme="majorBidi"/>
                <w:sz w:val="20"/>
                <w:szCs w:val="20"/>
              </w:rPr>
              <w:t>Antimicrobial, Anticoagulation, Analgesic (AAA) program</w:t>
            </w:r>
            <w:r>
              <w:rPr>
                <w:rFonts w:asciiTheme="majorBidi" w:hAnsiTheme="majorBidi" w:cstheme="majorBidi"/>
                <w:sz w:val="20"/>
                <w:szCs w:val="20"/>
              </w:rPr>
              <w:t xml:space="preserve">) </w:t>
            </w:r>
            <w:r w:rsidRPr="00E72F7E">
              <w:rPr>
                <w:rFonts w:asciiTheme="majorBidi" w:hAnsiTheme="majorBidi" w:cstheme="majorBidi"/>
                <w:sz w:val="20"/>
                <w:szCs w:val="20"/>
              </w:rPr>
              <w:t>led by a full-time Senior</w:t>
            </w:r>
          </w:p>
          <w:p w14:paraId="7D50297C" w14:textId="77777777" w:rsidR="00B85C9C" w:rsidRDefault="00B85C9C" w:rsidP="00CA6F03">
            <w:pPr>
              <w:rPr>
                <w:rFonts w:asciiTheme="majorBidi" w:hAnsiTheme="majorBidi" w:cstheme="majorBidi"/>
                <w:sz w:val="20"/>
                <w:szCs w:val="20"/>
              </w:rPr>
            </w:pPr>
            <w:r w:rsidRPr="00E72F7E">
              <w:rPr>
                <w:rFonts w:asciiTheme="majorBidi" w:hAnsiTheme="majorBidi" w:cstheme="majorBidi"/>
                <w:sz w:val="20"/>
                <w:szCs w:val="20"/>
              </w:rPr>
              <w:t>Clinical</w:t>
            </w:r>
            <w:r>
              <w:rPr>
                <w:rFonts w:asciiTheme="majorBidi" w:hAnsiTheme="majorBidi" w:cstheme="majorBidi"/>
                <w:sz w:val="20"/>
                <w:szCs w:val="20"/>
              </w:rPr>
              <w:t xml:space="preserve"> </w:t>
            </w:r>
            <w:r w:rsidRPr="00E72F7E">
              <w:rPr>
                <w:rFonts w:asciiTheme="majorBidi" w:hAnsiTheme="majorBidi" w:cstheme="majorBidi"/>
                <w:sz w:val="20"/>
                <w:szCs w:val="20"/>
              </w:rPr>
              <w:t>Pharmacist and a Clinical Haematologist</w:t>
            </w:r>
          </w:p>
          <w:p w14:paraId="075480C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Core elements (see Table 1, p.343 for more details):</w:t>
            </w:r>
          </w:p>
          <w:p w14:paraId="4FDCCFD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1. </w:t>
            </w:r>
            <w:r w:rsidRPr="007C78E6">
              <w:rPr>
                <w:rFonts w:asciiTheme="majorBidi" w:hAnsiTheme="majorBidi" w:cstheme="majorBidi"/>
                <w:sz w:val="20"/>
                <w:szCs w:val="20"/>
              </w:rPr>
              <w:t>Structure and governance, with multidisciplinary,</w:t>
            </w:r>
            <w:r>
              <w:rPr>
                <w:rFonts w:asciiTheme="majorBidi" w:hAnsiTheme="majorBidi" w:cstheme="majorBidi"/>
                <w:sz w:val="20"/>
                <w:szCs w:val="20"/>
              </w:rPr>
              <w:t xml:space="preserve"> </w:t>
            </w:r>
            <w:r w:rsidRPr="007C78E6">
              <w:rPr>
                <w:rFonts w:asciiTheme="majorBidi" w:hAnsiTheme="majorBidi" w:cstheme="majorBidi"/>
                <w:sz w:val="20"/>
                <w:szCs w:val="20"/>
              </w:rPr>
              <w:t>hospital-wide stakeholder engagement</w:t>
            </w:r>
          </w:p>
          <w:p w14:paraId="651D855A" w14:textId="77777777" w:rsidR="00B85C9C" w:rsidRPr="007C78E6" w:rsidRDefault="00B85C9C" w:rsidP="00CA6F03">
            <w:pPr>
              <w:rPr>
                <w:rFonts w:asciiTheme="majorBidi" w:hAnsiTheme="majorBidi" w:cstheme="majorBidi"/>
                <w:sz w:val="20"/>
                <w:szCs w:val="20"/>
              </w:rPr>
            </w:pPr>
            <w:r w:rsidRPr="007C78E6">
              <w:rPr>
                <w:rFonts w:asciiTheme="majorBidi" w:hAnsiTheme="majorBidi" w:cstheme="majorBidi"/>
                <w:sz w:val="20"/>
                <w:szCs w:val="20"/>
              </w:rPr>
              <w:t>2. Clinician education</w:t>
            </w:r>
          </w:p>
          <w:p w14:paraId="3891B446" w14:textId="77777777" w:rsidR="00B85C9C" w:rsidRPr="007C78E6" w:rsidRDefault="00B85C9C" w:rsidP="00CA6F03">
            <w:pPr>
              <w:rPr>
                <w:rFonts w:asciiTheme="majorBidi" w:hAnsiTheme="majorBidi" w:cstheme="majorBidi"/>
                <w:sz w:val="20"/>
                <w:szCs w:val="20"/>
              </w:rPr>
            </w:pPr>
            <w:r w:rsidRPr="007C78E6">
              <w:rPr>
                <w:rFonts w:asciiTheme="majorBidi" w:hAnsiTheme="majorBidi" w:cstheme="majorBidi"/>
                <w:sz w:val="20"/>
                <w:szCs w:val="20"/>
              </w:rPr>
              <w:t>3. Monitoring of stewardship program outcomes,</w:t>
            </w:r>
            <w:r>
              <w:rPr>
                <w:rFonts w:asciiTheme="majorBidi" w:hAnsiTheme="majorBidi" w:cstheme="majorBidi"/>
                <w:sz w:val="20"/>
                <w:szCs w:val="20"/>
              </w:rPr>
              <w:t xml:space="preserve"> </w:t>
            </w:r>
            <w:r w:rsidRPr="007C78E6">
              <w:rPr>
                <w:rFonts w:asciiTheme="majorBidi" w:hAnsiTheme="majorBidi" w:cstheme="majorBidi"/>
                <w:sz w:val="20"/>
                <w:szCs w:val="20"/>
              </w:rPr>
              <w:t>supported by access to data</w:t>
            </w:r>
          </w:p>
          <w:p w14:paraId="48BDAE75" w14:textId="77777777" w:rsidR="00B85C9C" w:rsidRPr="007C78E6" w:rsidRDefault="00B85C9C" w:rsidP="00CA6F03">
            <w:pPr>
              <w:rPr>
                <w:rFonts w:asciiTheme="majorBidi" w:hAnsiTheme="majorBidi" w:cstheme="majorBidi"/>
                <w:sz w:val="20"/>
                <w:szCs w:val="20"/>
              </w:rPr>
            </w:pPr>
            <w:r w:rsidRPr="007C78E6">
              <w:rPr>
                <w:rFonts w:asciiTheme="majorBidi" w:hAnsiTheme="majorBidi" w:cstheme="majorBidi"/>
                <w:sz w:val="20"/>
                <w:szCs w:val="20"/>
              </w:rPr>
              <w:t>4. Implementation of quality improvement activities</w:t>
            </w:r>
            <w:r>
              <w:rPr>
                <w:rFonts w:asciiTheme="majorBidi" w:hAnsiTheme="majorBidi" w:cstheme="majorBidi"/>
                <w:sz w:val="20"/>
                <w:szCs w:val="20"/>
              </w:rPr>
              <w:t xml:space="preserve"> </w:t>
            </w:r>
            <w:r w:rsidRPr="007C78E6">
              <w:rPr>
                <w:rFonts w:asciiTheme="majorBidi" w:hAnsiTheme="majorBidi" w:cstheme="majorBidi"/>
                <w:sz w:val="20"/>
                <w:szCs w:val="20"/>
              </w:rPr>
              <w:t>and initiatives</w:t>
            </w:r>
          </w:p>
          <w:p w14:paraId="2FDA8DDB" w14:textId="77777777" w:rsidR="00B85C9C" w:rsidRDefault="00B85C9C" w:rsidP="00CA6F03">
            <w:pPr>
              <w:rPr>
                <w:rFonts w:asciiTheme="majorBidi" w:hAnsiTheme="majorBidi" w:cstheme="majorBidi"/>
                <w:sz w:val="20"/>
                <w:szCs w:val="20"/>
              </w:rPr>
            </w:pPr>
            <w:r w:rsidRPr="007C78E6">
              <w:rPr>
                <w:rFonts w:asciiTheme="majorBidi" w:hAnsiTheme="majorBidi" w:cstheme="majorBidi"/>
                <w:sz w:val="20"/>
                <w:szCs w:val="20"/>
              </w:rPr>
              <w:t>5. Involvement of the lead pharmacist in</w:t>
            </w:r>
            <w:r>
              <w:rPr>
                <w:rFonts w:asciiTheme="majorBidi" w:hAnsiTheme="majorBidi" w:cstheme="majorBidi"/>
                <w:sz w:val="20"/>
                <w:szCs w:val="20"/>
              </w:rPr>
              <w:t xml:space="preserve"> </w:t>
            </w:r>
            <w:r w:rsidRPr="007C78E6">
              <w:rPr>
                <w:rFonts w:asciiTheme="majorBidi" w:hAnsiTheme="majorBidi" w:cstheme="majorBidi"/>
                <w:sz w:val="20"/>
                <w:szCs w:val="20"/>
              </w:rPr>
              <w:t>patient</w:t>
            </w:r>
            <w:r>
              <w:rPr>
                <w:rFonts w:asciiTheme="majorBidi" w:hAnsiTheme="majorBidi" w:cstheme="majorBidi"/>
                <w:sz w:val="20"/>
                <w:szCs w:val="20"/>
              </w:rPr>
              <w:t>-</w:t>
            </w:r>
            <w:r w:rsidRPr="007C78E6">
              <w:rPr>
                <w:rFonts w:asciiTheme="majorBidi" w:hAnsiTheme="majorBidi" w:cstheme="majorBidi"/>
                <w:sz w:val="20"/>
                <w:szCs w:val="20"/>
              </w:rPr>
              <w:t>centred</w:t>
            </w:r>
            <w:r>
              <w:rPr>
                <w:rFonts w:asciiTheme="majorBidi" w:hAnsiTheme="majorBidi" w:cstheme="majorBidi"/>
                <w:sz w:val="20"/>
                <w:szCs w:val="20"/>
              </w:rPr>
              <w:t xml:space="preserve"> </w:t>
            </w:r>
            <w:r w:rsidRPr="007C78E6">
              <w:rPr>
                <w:rFonts w:asciiTheme="majorBidi" w:hAnsiTheme="majorBidi" w:cstheme="majorBidi"/>
                <w:sz w:val="20"/>
                <w:szCs w:val="20"/>
              </w:rPr>
              <w:t>clinical care</w:t>
            </w:r>
          </w:p>
          <w:p w14:paraId="6E80CBBE" w14:textId="77777777" w:rsidR="00B85C9C" w:rsidRDefault="00B85C9C" w:rsidP="00CA6F03">
            <w:pPr>
              <w:rPr>
                <w:rFonts w:asciiTheme="majorBidi" w:hAnsiTheme="majorBidi" w:cstheme="majorBidi"/>
                <w:sz w:val="20"/>
                <w:szCs w:val="20"/>
              </w:rPr>
            </w:pPr>
          </w:p>
        </w:tc>
        <w:tc>
          <w:tcPr>
            <w:tcW w:w="1472" w:type="dxa"/>
          </w:tcPr>
          <w:p w14:paraId="5E15394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Pre-post design Data gathered from year following implementation </w:t>
            </w:r>
          </w:p>
        </w:tc>
        <w:tc>
          <w:tcPr>
            <w:tcW w:w="3139" w:type="dxa"/>
          </w:tcPr>
          <w:p w14:paraId="6F43190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Coded </w:t>
            </w:r>
            <w:r w:rsidRPr="00E72F7E">
              <w:rPr>
                <w:rFonts w:asciiTheme="majorBidi" w:hAnsiTheme="majorBidi" w:cstheme="majorBidi"/>
                <w:sz w:val="20"/>
                <w:szCs w:val="20"/>
              </w:rPr>
              <w:t>data for hospital</w:t>
            </w:r>
            <w:r>
              <w:rPr>
                <w:rFonts w:asciiTheme="majorBidi" w:hAnsiTheme="majorBidi" w:cstheme="majorBidi"/>
                <w:sz w:val="20"/>
                <w:szCs w:val="20"/>
              </w:rPr>
              <w:t xml:space="preserve"> </w:t>
            </w:r>
            <w:r w:rsidRPr="00E72F7E">
              <w:rPr>
                <w:rFonts w:asciiTheme="majorBidi" w:hAnsiTheme="majorBidi" w:cstheme="majorBidi"/>
                <w:sz w:val="20"/>
                <w:szCs w:val="20"/>
              </w:rPr>
              <w:t xml:space="preserve">acquired </w:t>
            </w:r>
            <w:r w:rsidRPr="001041D4">
              <w:rPr>
                <w:rFonts w:asciiTheme="majorBidi" w:hAnsiTheme="majorBidi" w:cstheme="majorBidi"/>
                <w:b/>
                <w:bCs/>
                <w:sz w:val="20"/>
                <w:szCs w:val="20"/>
              </w:rPr>
              <w:t>VTE in the subsequent year demonstrated a 33% reduction in events. Follow-up data for hospital-wide anticoagulant-related bleeds 12 months after ACS program implementation showed a 20% reduction</w:t>
            </w:r>
            <w:r w:rsidRPr="00E72F7E">
              <w:rPr>
                <w:rFonts w:asciiTheme="majorBidi" w:hAnsiTheme="majorBidi" w:cstheme="majorBidi"/>
                <w:sz w:val="20"/>
                <w:szCs w:val="20"/>
              </w:rPr>
              <w:t xml:space="preserve"> in events.</w:t>
            </w:r>
          </w:p>
        </w:tc>
        <w:tc>
          <w:tcPr>
            <w:tcW w:w="1541" w:type="dxa"/>
          </w:tcPr>
          <w:p w14:paraId="7C232EC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Very low quality, single institution before and after study, </w:t>
            </w:r>
            <w:r w:rsidRPr="001041D4">
              <w:rPr>
                <w:rFonts w:asciiTheme="majorBidi" w:hAnsiTheme="majorBidi" w:cstheme="majorBidi"/>
                <w:b/>
                <w:bCs/>
                <w:sz w:val="20"/>
                <w:szCs w:val="20"/>
              </w:rPr>
              <w:t>no statistical analysis provided</w:t>
            </w:r>
            <w:r>
              <w:rPr>
                <w:rFonts w:asciiTheme="majorBidi" w:hAnsiTheme="majorBidi" w:cstheme="majorBidi"/>
                <w:sz w:val="20"/>
                <w:szCs w:val="20"/>
              </w:rPr>
              <w:t xml:space="preserve">. </w:t>
            </w:r>
          </w:p>
        </w:tc>
      </w:tr>
      <w:tr w:rsidR="00B85C9C" w:rsidRPr="008D6755" w14:paraId="58C89F49" w14:textId="77777777" w:rsidTr="00CA6F03">
        <w:tc>
          <w:tcPr>
            <w:tcW w:w="1783" w:type="dxa"/>
            <w:tcBorders>
              <w:bottom w:val="single" w:sz="4" w:space="0" w:color="auto"/>
            </w:tcBorders>
          </w:tcPr>
          <w:p w14:paraId="6D9EA37E"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Attia et al 2022</w:t>
            </w:r>
          </w:p>
          <w:p w14:paraId="79F2FAB4" w14:textId="2DA8F8DB" w:rsidR="00B85C9C" w:rsidRDefault="00B85C9C" w:rsidP="00CA6F03">
            <w:pPr>
              <w:rPr>
                <w:rFonts w:asciiTheme="majorBidi" w:hAnsiTheme="majorBidi" w:cstheme="majorBidi"/>
                <w:sz w:val="20"/>
                <w:szCs w:val="20"/>
              </w:rPr>
            </w:pPr>
          </w:p>
        </w:tc>
        <w:tc>
          <w:tcPr>
            <w:tcW w:w="1638" w:type="dxa"/>
            <w:tcBorders>
              <w:bottom w:val="single" w:sz="4" w:space="0" w:color="auto"/>
            </w:tcBorders>
          </w:tcPr>
          <w:p w14:paraId="7988B4D0" w14:textId="77777777" w:rsidR="00B85C9C" w:rsidRPr="00C4638E" w:rsidRDefault="00B85C9C" w:rsidP="00CA6F03">
            <w:pPr>
              <w:rPr>
                <w:rFonts w:asciiTheme="majorBidi" w:hAnsiTheme="majorBidi" w:cstheme="majorBidi"/>
                <w:sz w:val="20"/>
                <w:szCs w:val="20"/>
              </w:rPr>
            </w:pPr>
            <w:r>
              <w:rPr>
                <w:rFonts w:asciiTheme="majorBidi" w:hAnsiTheme="majorBidi" w:cstheme="majorBidi"/>
                <w:sz w:val="20"/>
                <w:szCs w:val="20"/>
              </w:rPr>
              <w:t>Description of development of an intervention. Multi-site (</w:t>
            </w:r>
            <w:r w:rsidRPr="00C4638E">
              <w:rPr>
                <w:rFonts w:asciiTheme="majorBidi" w:hAnsiTheme="majorBidi" w:cstheme="majorBidi"/>
                <w:sz w:val="20"/>
                <w:szCs w:val="20"/>
              </w:rPr>
              <w:t>hospital system, which includes 1 academic</w:t>
            </w:r>
          </w:p>
          <w:p w14:paraId="0C8D7F49" w14:textId="77777777" w:rsidR="00B85C9C" w:rsidRDefault="00B85C9C" w:rsidP="00CA6F03">
            <w:pPr>
              <w:rPr>
                <w:rFonts w:asciiTheme="majorBidi" w:hAnsiTheme="majorBidi" w:cstheme="majorBidi"/>
                <w:sz w:val="20"/>
                <w:szCs w:val="20"/>
              </w:rPr>
            </w:pPr>
            <w:r w:rsidRPr="00C4638E">
              <w:rPr>
                <w:rFonts w:asciiTheme="majorBidi" w:hAnsiTheme="majorBidi" w:cstheme="majorBidi"/>
                <w:sz w:val="20"/>
                <w:szCs w:val="20"/>
              </w:rPr>
              <w:t>medical cent</w:t>
            </w:r>
            <w:r>
              <w:rPr>
                <w:rFonts w:asciiTheme="majorBidi" w:hAnsiTheme="majorBidi" w:cstheme="majorBidi"/>
                <w:sz w:val="20"/>
                <w:szCs w:val="20"/>
              </w:rPr>
              <w:t>re</w:t>
            </w:r>
            <w:r w:rsidRPr="00C4638E">
              <w:rPr>
                <w:rFonts w:asciiTheme="majorBidi" w:hAnsiTheme="majorBidi" w:cstheme="majorBidi"/>
                <w:sz w:val="20"/>
                <w:szCs w:val="20"/>
              </w:rPr>
              <w:t>, 6 community hospitals, and 1 long-term care facility</w:t>
            </w:r>
            <w:r>
              <w:rPr>
                <w:rFonts w:asciiTheme="majorBidi" w:hAnsiTheme="majorBidi" w:cstheme="majorBidi"/>
                <w:sz w:val="20"/>
                <w:szCs w:val="20"/>
              </w:rPr>
              <w:t>)</w:t>
            </w:r>
          </w:p>
          <w:p w14:paraId="2B58C067" w14:textId="77777777" w:rsidR="00B85C9C" w:rsidRPr="008D6755" w:rsidRDefault="00B85C9C" w:rsidP="00CA6F03">
            <w:pPr>
              <w:rPr>
                <w:rFonts w:asciiTheme="majorBidi" w:hAnsiTheme="majorBidi" w:cstheme="majorBidi"/>
                <w:sz w:val="20"/>
                <w:szCs w:val="20"/>
              </w:rPr>
            </w:pPr>
          </w:p>
        </w:tc>
        <w:tc>
          <w:tcPr>
            <w:tcW w:w="1678" w:type="dxa"/>
            <w:tcBorders>
              <w:bottom w:val="single" w:sz="4" w:space="0" w:color="auto"/>
            </w:tcBorders>
          </w:tcPr>
          <w:p w14:paraId="06DA01B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Hospital system processes targeted</w:t>
            </w:r>
          </w:p>
        </w:tc>
        <w:tc>
          <w:tcPr>
            <w:tcW w:w="2699" w:type="dxa"/>
            <w:tcBorders>
              <w:bottom w:val="single" w:sz="4" w:space="0" w:color="auto"/>
            </w:tcBorders>
          </w:tcPr>
          <w:p w14:paraId="747FA7B5" w14:textId="77777777" w:rsidR="00B85C9C" w:rsidRPr="00C4638E" w:rsidRDefault="00B85C9C" w:rsidP="00CA6F03">
            <w:pPr>
              <w:rPr>
                <w:rFonts w:asciiTheme="majorBidi" w:hAnsiTheme="majorBidi" w:cstheme="majorBidi"/>
                <w:sz w:val="20"/>
                <w:szCs w:val="20"/>
              </w:rPr>
            </w:pPr>
            <w:r w:rsidRPr="00C4638E">
              <w:rPr>
                <w:rFonts w:asciiTheme="majorBidi" w:hAnsiTheme="majorBidi" w:cstheme="majorBidi"/>
                <w:b/>
                <w:bCs/>
                <w:sz w:val="20"/>
                <w:szCs w:val="20"/>
              </w:rPr>
              <w:t>Multidisciplinary anticoagulant safety taskforce</w:t>
            </w:r>
            <w:r w:rsidRPr="00C4638E">
              <w:rPr>
                <w:rFonts w:asciiTheme="majorBidi" w:hAnsiTheme="majorBidi" w:cstheme="majorBidi"/>
                <w:sz w:val="20"/>
                <w:szCs w:val="20"/>
              </w:rPr>
              <w:t xml:space="preserve"> (ASTF) to address</w:t>
            </w:r>
            <w:r>
              <w:rPr>
                <w:rFonts w:asciiTheme="majorBidi" w:hAnsiTheme="majorBidi" w:cstheme="majorBidi"/>
                <w:sz w:val="20"/>
                <w:szCs w:val="20"/>
              </w:rPr>
              <w:t xml:space="preserve"> </w:t>
            </w:r>
            <w:r w:rsidRPr="00C4638E">
              <w:rPr>
                <w:rFonts w:asciiTheme="majorBidi" w:hAnsiTheme="majorBidi" w:cstheme="majorBidi"/>
                <w:sz w:val="20"/>
                <w:szCs w:val="20"/>
              </w:rPr>
              <w:t>anticoagulation-related issues</w:t>
            </w:r>
          </w:p>
          <w:p w14:paraId="6051C4BC" w14:textId="77777777" w:rsidR="00B85C9C" w:rsidRPr="00C4638E" w:rsidRDefault="00B85C9C" w:rsidP="00CA6F03">
            <w:pPr>
              <w:rPr>
                <w:rFonts w:asciiTheme="majorBidi" w:hAnsiTheme="majorBidi" w:cstheme="majorBidi"/>
                <w:sz w:val="20"/>
                <w:szCs w:val="20"/>
              </w:rPr>
            </w:pPr>
            <w:r w:rsidRPr="00C4638E">
              <w:rPr>
                <w:rFonts w:asciiTheme="majorBidi" w:hAnsiTheme="majorBidi" w:cstheme="majorBidi"/>
                <w:sz w:val="20"/>
                <w:szCs w:val="20"/>
              </w:rPr>
              <w:t>across the medication-use</w:t>
            </w:r>
            <w:r>
              <w:rPr>
                <w:rFonts w:asciiTheme="majorBidi" w:hAnsiTheme="majorBidi" w:cstheme="majorBidi"/>
                <w:sz w:val="20"/>
                <w:szCs w:val="20"/>
              </w:rPr>
              <w:t xml:space="preserve"> </w:t>
            </w:r>
            <w:r w:rsidRPr="00C4638E">
              <w:rPr>
                <w:rFonts w:asciiTheme="majorBidi" w:hAnsiTheme="majorBidi" w:cstheme="majorBidi"/>
                <w:sz w:val="20"/>
                <w:szCs w:val="20"/>
              </w:rPr>
              <w:t>system</w:t>
            </w:r>
            <w:r>
              <w:rPr>
                <w:rFonts w:asciiTheme="majorBidi" w:hAnsiTheme="majorBidi" w:cstheme="majorBidi"/>
                <w:sz w:val="20"/>
                <w:szCs w:val="20"/>
              </w:rPr>
              <w:t xml:space="preserve">, </w:t>
            </w:r>
            <w:r w:rsidRPr="00C4638E">
              <w:rPr>
                <w:rFonts w:asciiTheme="majorBidi" w:hAnsiTheme="majorBidi" w:cstheme="majorBidi"/>
                <w:b/>
                <w:bCs/>
                <w:sz w:val="20"/>
                <w:szCs w:val="20"/>
              </w:rPr>
              <w:t>used the 2017 Institute for Safe Medication Practices (ISMP) Medication Safety Self-Assessment for Antithrombotic Therapy</w:t>
            </w:r>
            <w:r w:rsidRPr="00C4638E">
              <w:rPr>
                <w:rFonts w:asciiTheme="majorBidi" w:hAnsiTheme="majorBidi" w:cstheme="majorBidi"/>
                <w:sz w:val="20"/>
                <w:szCs w:val="20"/>
              </w:rPr>
              <w:t xml:space="preserve"> </w:t>
            </w:r>
            <w:r>
              <w:rPr>
                <w:rFonts w:asciiTheme="majorBidi" w:hAnsiTheme="majorBidi" w:cstheme="majorBidi"/>
                <w:sz w:val="20"/>
                <w:szCs w:val="20"/>
              </w:rPr>
              <w:t>to review</w:t>
            </w:r>
            <w:r w:rsidRPr="00C4638E">
              <w:rPr>
                <w:rFonts w:asciiTheme="majorBidi" w:hAnsiTheme="majorBidi" w:cstheme="majorBidi"/>
                <w:sz w:val="20"/>
                <w:szCs w:val="20"/>
              </w:rPr>
              <w:t xml:space="preserve"> current practice, performing gap analys</w:t>
            </w:r>
            <w:r>
              <w:rPr>
                <w:rFonts w:asciiTheme="majorBidi" w:hAnsiTheme="majorBidi" w:cstheme="majorBidi"/>
                <w:sz w:val="20"/>
                <w:szCs w:val="20"/>
              </w:rPr>
              <w:t>is</w:t>
            </w:r>
            <w:r w:rsidRPr="00C4638E">
              <w:rPr>
                <w:rFonts w:asciiTheme="majorBidi" w:hAnsiTheme="majorBidi" w:cstheme="majorBidi"/>
                <w:sz w:val="20"/>
                <w:szCs w:val="20"/>
              </w:rPr>
              <w:t>,</w:t>
            </w:r>
          </w:p>
          <w:p w14:paraId="3BF55569" w14:textId="77777777" w:rsidR="00B85C9C" w:rsidRPr="00C4638E" w:rsidRDefault="00B85C9C" w:rsidP="00CA6F03">
            <w:pPr>
              <w:rPr>
                <w:rFonts w:asciiTheme="majorBidi" w:hAnsiTheme="majorBidi" w:cstheme="majorBidi"/>
                <w:sz w:val="20"/>
                <w:szCs w:val="20"/>
              </w:rPr>
            </w:pPr>
            <w:r w:rsidRPr="00C4638E">
              <w:rPr>
                <w:rFonts w:asciiTheme="majorBidi" w:hAnsiTheme="majorBidi" w:cstheme="majorBidi"/>
                <w:sz w:val="20"/>
                <w:szCs w:val="20"/>
              </w:rPr>
              <w:t>and identify</w:t>
            </w:r>
            <w:r>
              <w:rPr>
                <w:rFonts w:asciiTheme="majorBidi" w:hAnsiTheme="majorBidi" w:cstheme="majorBidi"/>
                <w:sz w:val="20"/>
                <w:szCs w:val="20"/>
              </w:rPr>
              <w:t xml:space="preserve"> </w:t>
            </w:r>
            <w:r w:rsidRPr="00C4638E">
              <w:rPr>
                <w:rFonts w:asciiTheme="majorBidi" w:hAnsiTheme="majorBidi" w:cstheme="majorBidi"/>
                <w:sz w:val="20"/>
                <w:szCs w:val="20"/>
              </w:rPr>
              <w:t>opportunity.</w:t>
            </w:r>
            <w:r>
              <w:rPr>
                <w:rFonts w:asciiTheme="majorBidi" w:hAnsiTheme="majorBidi" w:cstheme="majorBidi"/>
                <w:sz w:val="20"/>
                <w:szCs w:val="20"/>
              </w:rPr>
              <w:t xml:space="preserve"> </w:t>
            </w:r>
            <w:r w:rsidRPr="00C4638E">
              <w:rPr>
                <w:rFonts w:asciiTheme="majorBidi" w:hAnsiTheme="majorBidi" w:cstheme="majorBidi"/>
                <w:sz w:val="20"/>
                <w:szCs w:val="20"/>
              </w:rPr>
              <w:t>8 best practice</w:t>
            </w:r>
            <w:r>
              <w:rPr>
                <w:rFonts w:asciiTheme="majorBidi" w:hAnsiTheme="majorBidi" w:cstheme="majorBidi"/>
                <w:sz w:val="20"/>
                <w:szCs w:val="20"/>
              </w:rPr>
              <w:t xml:space="preserve"> </w:t>
            </w:r>
            <w:r w:rsidRPr="00C4638E">
              <w:rPr>
                <w:rFonts w:asciiTheme="majorBidi" w:hAnsiTheme="majorBidi" w:cstheme="majorBidi"/>
                <w:sz w:val="20"/>
                <w:szCs w:val="20"/>
              </w:rPr>
              <w:t>elements were identified for initial efforts of</w:t>
            </w:r>
          </w:p>
          <w:p w14:paraId="4DDA7350" w14:textId="77777777" w:rsidR="00B85C9C" w:rsidRDefault="00B85C9C" w:rsidP="00CA6F03">
            <w:pPr>
              <w:rPr>
                <w:rFonts w:asciiTheme="majorBidi" w:hAnsiTheme="majorBidi" w:cstheme="majorBidi"/>
                <w:sz w:val="20"/>
                <w:szCs w:val="20"/>
              </w:rPr>
            </w:pPr>
            <w:r w:rsidRPr="00C4638E">
              <w:rPr>
                <w:rFonts w:asciiTheme="majorBidi" w:hAnsiTheme="majorBidi" w:cstheme="majorBidi"/>
                <w:sz w:val="20"/>
                <w:szCs w:val="20"/>
              </w:rPr>
              <w:t>ASTF activity</w:t>
            </w:r>
            <w:r>
              <w:rPr>
                <w:rFonts w:asciiTheme="majorBidi" w:hAnsiTheme="majorBidi" w:cstheme="majorBidi"/>
                <w:sz w:val="20"/>
                <w:szCs w:val="20"/>
              </w:rPr>
              <w:t>.</w:t>
            </w:r>
          </w:p>
          <w:p w14:paraId="56BDC017" w14:textId="173553B8" w:rsidR="00B85C9C" w:rsidRPr="008D6755" w:rsidRDefault="00B85C9C">
            <w:pPr>
              <w:rPr>
                <w:rFonts w:asciiTheme="majorBidi" w:hAnsiTheme="majorBidi" w:cstheme="majorBidi"/>
                <w:sz w:val="20"/>
                <w:szCs w:val="20"/>
              </w:rPr>
            </w:pPr>
            <w:r w:rsidRPr="00B4467D">
              <w:rPr>
                <w:rFonts w:asciiTheme="majorBidi" w:hAnsiTheme="majorBidi" w:cstheme="majorBidi"/>
                <w:sz w:val="20"/>
                <w:szCs w:val="20"/>
              </w:rPr>
              <w:t>Error mitigation occurred through policy revisions, order set</w:t>
            </w:r>
            <w:r>
              <w:rPr>
                <w:rFonts w:asciiTheme="majorBidi" w:hAnsiTheme="majorBidi" w:cstheme="majorBidi"/>
                <w:sz w:val="20"/>
                <w:szCs w:val="20"/>
              </w:rPr>
              <w:t xml:space="preserve"> </w:t>
            </w:r>
            <w:r w:rsidRPr="00B4467D">
              <w:rPr>
                <w:rFonts w:asciiTheme="majorBidi" w:hAnsiTheme="majorBidi" w:cstheme="majorBidi"/>
                <w:sz w:val="20"/>
                <w:szCs w:val="20"/>
              </w:rPr>
              <w:t>development and</w:t>
            </w:r>
            <w:r>
              <w:rPr>
                <w:rFonts w:asciiTheme="majorBidi" w:hAnsiTheme="majorBidi" w:cstheme="majorBidi"/>
                <w:sz w:val="20"/>
                <w:szCs w:val="20"/>
              </w:rPr>
              <w:t xml:space="preserve"> </w:t>
            </w:r>
            <w:r w:rsidRPr="00B4467D">
              <w:rPr>
                <w:rFonts w:asciiTheme="majorBidi" w:hAnsiTheme="majorBidi" w:cstheme="majorBidi"/>
                <w:sz w:val="20"/>
                <w:szCs w:val="20"/>
              </w:rPr>
              <w:t>modification, and</w:t>
            </w:r>
            <w:r>
              <w:rPr>
                <w:rFonts w:asciiTheme="majorBidi" w:hAnsiTheme="majorBidi" w:cstheme="majorBidi"/>
                <w:sz w:val="20"/>
                <w:szCs w:val="20"/>
              </w:rPr>
              <w:t xml:space="preserve"> </w:t>
            </w:r>
            <w:r w:rsidRPr="00B4467D">
              <w:rPr>
                <w:rFonts w:asciiTheme="majorBidi" w:hAnsiTheme="majorBidi" w:cstheme="majorBidi"/>
                <w:sz w:val="20"/>
                <w:szCs w:val="20"/>
              </w:rPr>
              <w:t>implementation of practice</w:t>
            </w:r>
            <w:r>
              <w:rPr>
                <w:rFonts w:asciiTheme="majorBidi" w:hAnsiTheme="majorBidi" w:cstheme="majorBidi"/>
                <w:sz w:val="20"/>
                <w:szCs w:val="20"/>
              </w:rPr>
              <w:t xml:space="preserve"> </w:t>
            </w:r>
            <w:r w:rsidRPr="00B4467D">
              <w:rPr>
                <w:rFonts w:asciiTheme="majorBidi" w:hAnsiTheme="majorBidi" w:cstheme="majorBidi"/>
                <w:sz w:val="20"/>
                <w:szCs w:val="20"/>
              </w:rPr>
              <w:t>changes to</w:t>
            </w:r>
            <w:r>
              <w:rPr>
                <w:rFonts w:asciiTheme="majorBidi" w:hAnsiTheme="majorBidi" w:cstheme="majorBidi"/>
                <w:sz w:val="20"/>
                <w:szCs w:val="20"/>
              </w:rPr>
              <w:t xml:space="preserve"> </w:t>
            </w:r>
            <w:r w:rsidRPr="00B4467D">
              <w:rPr>
                <w:rFonts w:asciiTheme="majorBidi" w:hAnsiTheme="majorBidi" w:cstheme="majorBidi"/>
                <w:sz w:val="20"/>
                <w:szCs w:val="20"/>
              </w:rPr>
              <w:t>comply with each best practice</w:t>
            </w:r>
          </w:p>
        </w:tc>
        <w:tc>
          <w:tcPr>
            <w:tcW w:w="1472" w:type="dxa"/>
            <w:tcBorders>
              <w:bottom w:val="single" w:sz="4" w:space="0" w:color="auto"/>
            </w:tcBorders>
          </w:tcPr>
          <w:p w14:paraId="487F149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Baseline score on the ISMP antithrombotic self-assessment score. </w:t>
            </w:r>
          </w:p>
        </w:tc>
        <w:tc>
          <w:tcPr>
            <w:tcW w:w="3139" w:type="dxa"/>
            <w:tcBorders>
              <w:bottom w:val="single" w:sz="4" w:space="0" w:color="auto"/>
            </w:tcBorders>
          </w:tcPr>
          <w:p w14:paraId="4E459D5A" w14:textId="77777777" w:rsidR="00B85C9C" w:rsidRPr="008D6755" w:rsidRDefault="00B85C9C" w:rsidP="00CA6F03">
            <w:pPr>
              <w:rPr>
                <w:rFonts w:asciiTheme="majorBidi" w:hAnsiTheme="majorBidi" w:cstheme="majorBidi"/>
                <w:sz w:val="20"/>
                <w:szCs w:val="20"/>
              </w:rPr>
            </w:pPr>
            <w:r w:rsidRPr="00B4467D">
              <w:rPr>
                <w:rFonts w:asciiTheme="majorBidi" w:hAnsiTheme="majorBidi" w:cstheme="majorBidi"/>
                <w:sz w:val="20"/>
                <w:szCs w:val="20"/>
              </w:rPr>
              <w:t xml:space="preserve">The </w:t>
            </w:r>
            <w:r w:rsidRPr="00B4467D">
              <w:rPr>
                <w:rFonts w:asciiTheme="majorBidi" w:hAnsiTheme="majorBidi" w:cstheme="majorBidi"/>
                <w:b/>
                <w:bCs/>
                <w:sz w:val="20"/>
                <w:szCs w:val="20"/>
              </w:rPr>
              <w:t>ISMP antithrombotic self-assessment score improved from 67% to 87%,</w:t>
            </w:r>
            <w:r w:rsidRPr="00B4467D">
              <w:rPr>
                <w:rFonts w:asciiTheme="majorBidi" w:hAnsiTheme="majorBidi" w:cstheme="majorBidi"/>
                <w:sz w:val="20"/>
                <w:szCs w:val="20"/>
              </w:rPr>
              <w:t xml:space="preserve"> surpassing the initially targeted score</w:t>
            </w:r>
            <w:r>
              <w:rPr>
                <w:rFonts w:asciiTheme="majorBidi" w:hAnsiTheme="majorBidi" w:cstheme="majorBidi"/>
                <w:sz w:val="20"/>
                <w:szCs w:val="20"/>
              </w:rPr>
              <w:t xml:space="preserve"> </w:t>
            </w:r>
            <w:r w:rsidRPr="00B4467D">
              <w:rPr>
                <w:rFonts w:asciiTheme="majorBidi" w:hAnsiTheme="majorBidi" w:cstheme="majorBidi"/>
                <w:sz w:val="20"/>
                <w:szCs w:val="20"/>
              </w:rPr>
              <w:t>of 75%.</w:t>
            </w:r>
          </w:p>
        </w:tc>
        <w:tc>
          <w:tcPr>
            <w:tcW w:w="1541" w:type="dxa"/>
            <w:tcBorders>
              <w:bottom w:val="single" w:sz="4" w:space="0" w:color="auto"/>
            </w:tcBorders>
          </w:tcPr>
          <w:p w14:paraId="5FB25DE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Very low quality, descriptive case study, with self-reporting, no outcome data measured</w:t>
            </w:r>
          </w:p>
        </w:tc>
      </w:tr>
      <w:tr w:rsidR="00B85C9C" w:rsidRPr="00351156" w14:paraId="5BAC4AA4" w14:textId="77777777" w:rsidTr="00CA6F03">
        <w:tc>
          <w:tcPr>
            <w:tcW w:w="1783" w:type="dxa"/>
            <w:shd w:val="clear" w:color="auto" w:fill="F2F2F2" w:themeFill="background1" w:themeFillShade="F2"/>
          </w:tcPr>
          <w:p w14:paraId="23939AD9" w14:textId="77777777" w:rsidR="00B85C9C" w:rsidRPr="00351156" w:rsidRDefault="00B85C9C" w:rsidP="00CA6F03">
            <w:pPr>
              <w:rPr>
                <w:rFonts w:asciiTheme="majorBidi" w:hAnsiTheme="majorBidi" w:cstheme="majorBidi"/>
                <w:b/>
                <w:bCs/>
                <w:sz w:val="20"/>
                <w:szCs w:val="20"/>
              </w:rPr>
            </w:pPr>
            <w:r w:rsidRPr="00351156">
              <w:rPr>
                <w:rFonts w:asciiTheme="majorBidi" w:hAnsiTheme="majorBidi" w:cstheme="majorBidi"/>
                <w:b/>
                <w:bCs/>
                <w:sz w:val="20"/>
                <w:szCs w:val="20"/>
              </w:rPr>
              <w:t>Discharge Protocols or Follow-up</w:t>
            </w:r>
          </w:p>
        </w:tc>
        <w:tc>
          <w:tcPr>
            <w:tcW w:w="1638" w:type="dxa"/>
            <w:shd w:val="clear" w:color="auto" w:fill="F2F2F2" w:themeFill="background1" w:themeFillShade="F2"/>
          </w:tcPr>
          <w:p w14:paraId="70A83CD0" w14:textId="77777777" w:rsidR="00B85C9C" w:rsidRPr="001A1529" w:rsidRDefault="00B85C9C" w:rsidP="00CA6F03">
            <w:pPr>
              <w:rPr>
                <w:rFonts w:asciiTheme="majorBidi" w:hAnsiTheme="majorBidi" w:cstheme="majorBidi"/>
                <w:b/>
                <w:bCs/>
                <w:sz w:val="20"/>
                <w:szCs w:val="20"/>
              </w:rPr>
            </w:pPr>
          </w:p>
        </w:tc>
        <w:tc>
          <w:tcPr>
            <w:tcW w:w="1678" w:type="dxa"/>
            <w:shd w:val="clear" w:color="auto" w:fill="F2F2F2" w:themeFill="background1" w:themeFillShade="F2"/>
          </w:tcPr>
          <w:p w14:paraId="0131EA6F" w14:textId="77777777" w:rsidR="00B85C9C" w:rsidRPr="001A1529" w:rsidRDefault="00B85C9C" w:rsidP="00CA6F03">
            <w:pPr>
              <w:rPr>
                <w:rFonts w:asciiTheme="majorBidi" w:hAnsiTheme="majorBidi" w:cstheme="majorBidi"/>
                <w:b/>
                <w:bCs/>
                <w:sz w:val="20"/>
                <w:szCs w:val="20"/>
              </w:rPr>
            </w:pPr>
          </w:p>
        </w:tc>
        <w:tc>
          <w:tcPr>
            <w:tcW w:w="2699" w:type="dxa"/>
            <w:shd w:val="clear" w:color="auto" w:fill="F2F2F2" w:themeFill="background1" w:themeFillShade="F2"/>
          </w:tcPr>
          <w:p w14:paraId="72FB42F8" w14:textId="77777777" w:rsidR="00B85C9C" w:rsidRPr="001A1529" w:rsidRDefault="00B85C9C" w:rsidP="00CA6F03">
            <w:pPr>
              <w:rPr>
                <w:rFonts w:asciiTheme="majorBidi" w:hAnsiTheme="majorBidi" w:cstheme="majorBidi"/>
                <w:b/>
                <w:bCs/>
                <w:sz w:val="20"/>
                <w:szCs w:val="20"/>
              </w:rPr>
            </w:pPr>
          </w:p>
        </w:tc>
        <w:tc>
          <w:tcPr>
            <w:tcW w:w="1472" w:type="dxa"/>
            <w:shd w:val="clear" w:color="auto" w:fill="F2F2F2" w:themeFill="background1" w:themeFillShade="F2"/>
          </w:tcPr>
          <w:p w14:paraId="2C45091A" w14:textId="77777777" w:rsidR="00B85C9C" w:rsidRPr="001A1529" w:rsidRDefault="00B85C9C" w:rsidP="00CA6F03">
            <w:pPr>
              <w:rPr>
                <w:rFonts w:asciiTheme="majorBidi" w:hAnsiTheme="majorBidi" w:cstheme="majorBidi"/>
                <w:b/>
                <w:bCs/>
                <w:sz w:val="20"/>
                <w:szCs w:val="20"/>
              </w:rPr>
            </w:pPr>
          </w:p>
        </w:tc>
        <w:tc>
          <w:tcPr>
            <w:tcW w:w="3139" w:type="dxa"/>
            <w:shd w:val="clear" w:color="auto" w:fill="F2F2F2" w:themeFill="background1" w:themeFillShade="F2"/>
          </w:tcPr>
          <w:p w14:paraId="6F7AE3C3" w14:textId="77777777" w:rsidR="00B85C9C" w:rsidRPr="001A1529" w:rsidRDefault="00B85C9C" w:rsidP="00CA6F03">
            <w:pPr>
              <w:rPr>
                <w:rFonts w:asciiTheme="majorBidi" w:hAnsiTheme="majorBidi" w:cstheme="majorBidi"/>
                <w:b/>
                <w:bCs/>
                <w:sz w:val="20"/>
                <w:szCs w:val="20"/>
              </w:rPr>
            </w:pPr>
          </w:p>
        </w:tc>
        <w:tc>
          <w:tcPr>
            <w:tcW w:w="1541" w:type="dxa"/>
            <w:shd w:val="clear" w:color="auto" w:fill="F2F2F2" w:themeFill="background1" w:themeFillShade="F2"/>
          </w:tcPr>
          <w:p w14:paraId="5880AE51" w14:textId="77777777" w:rsidR="00B85C9C" w:rsidRPr="001A1529" w:rsidRDefault="00B85C9C" w:rsidP="00CA6F03">
            <w:pPr>
              <w:rPr>
                <w:rFonts w:asciiTheme="majorBidi" w:hAnsiTheme="majorBidi" w:cstheme="majorBidi"/>
                <w:b/>
                <w:bCs/>
                <w:sz w:val="20"/>
                <w:szCs w:val="20"/>
              </w:rPr>
            </w:pPr>
          </w:p>
        </w:tc>
      </w:tr>
      <w:tr w:rsidR="00B85C9C" w:rsidRPr="001A1529" w14:paraId="324D28A4" w14:textId="77777777" w:rsidTr="00CA6F03">
        <w:tc>
          <w:tcPr>
            <w:tcW w:w="1783" w:type="dxa"/>
          </w:tcPr>
          <w:p w14:paraId="7BB8610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Gurwitz et al 2021 (RCT)</w:t>
            </w:r>
          </w:p>
          <w:p w14:paraId="6B6F0F26" w14:textId="465FA6A0" w:rsidR="00B85C9C" w:rsidRPr="001A1529" w:rsidRDefault="00B85C9C" w:rsidP="00CA6F03">
            <w:pPr>
              <w:rPr>
                <w:rFonts w:asciiTheme="majorBidi" w:hAnsiTheme="majorBidi" w:cstheme="majorBidi"/>
                <w:sz w:val="20"/>
                <w:szCs w:val="20"/>
              </w:rPr>
            </w:pPr>
          </w:p>
        </w:tc>
        <w:tc>
          <w:tcPr>
            <w:tcW w:w="1638" w:type="dxa"/>
          </w:tcPr>
          <w:p w14:paraId="1EA51B45"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RCT (n = 361)</w:t>
            </w:r>
          </w:p>
        </w:tc>
        <w:tc>
          <w:tcPr>
            <w:tcW w:w="1678" w:type="dxa"/>
          </w:tcPr>
          <w:p w14:paraId="3F13E049" w14:textId="77777777" w:rsidR="00B85C9C" w:rsidRPr="0033427C" w:rsidRDefault="00B85C9C" w:rsidP="00CA6F03">
            <w:pPr>
              <w:rPr>
                <w:rFonts w:asciiTheme="majorBidi" w:hAnsiTheme="majorBidi" w:cstheme="majorBidi"/>
                <w:sz w:val="20"/>
                <w:szCs w:val="20"/>
              </w:rPr>
            </w:pPr>
            <w:r>
              <w:rPr>
                <w:rFonts w:asciiTheme="majorBidi" w:hAnsiTheme="majorBidi" w:cstheme="majorBidi"/>
                <w:sz w:val="20"/>
                <w:szCs w:val="20"/>
              </w:rPr>
              <w:t>USA, l</w:t>
            </w:r>
            <w:r w:rsidRPr="0033427C">
              <w:rPr>
                <w:rFonts w:asciiTheme="majorBidi" w:hAnsiTheme="majorBidi" w:cstheme="majorBidi"/>
                <w:sz w:val="20"/>
                <w:szCs w:val="20"/>
              </w:rPr>
              <w:t>arge</w:t>
            </w:r>
          </w:p>
          <w:p w14:paraId="78902F87" w14:textId="77777777" w:rsidR="00B85C9C" w:rsidRPr="0033427C" w:rsidRDefault="00B85C9C" w:rsidP="00CA6F03">
            <w:pPr>
              <w:rPr>
                <w:rFonts w:asciiTheme="majorBidi" w:hAnsiTheme="majorBidi" w:cstheme="majorBidi"/>
                <w:sz w:val="20"/>
                <w:szCs w:val="20"/>
              </w:rPr>
            </w:pPr>
            <w:r w:rsidRPr="0033427C">
              <w:rPr>
                <w:rFonts w:asciiTheme="majorBidi" w:hAnsiTheme="majorBidi" w:cstheme="majorBidi"/>
                <w:sz w:val="20"/>
                <w:szCs w:val="20"/>
              </w:rPr>
              <w:t>multidisciplinary group practice</w:t>
            </w:r>
            <w:r>
              <w:rPr>
                <w:rFonts w:asciiTheme="majorBidi" w:hAnsiTheme="majorBidi" w:cstheme="majorBidi"/>
                <w:sz w:val="20"/>
                <w:szCs w:val="20"/>
              </w:rPr>
              <w:t xml:space="preserve">, </w:t>
            </w:r>
            <w:r w:rsidRPr="0033427C">
              <w:rPr>
                <w:rFonts w:asciiTheme="majorBidi" w:hAnsiTheme="majorBidi" w:cstheme="majorBidi"/>
                <w:sz w:val="20"/>
                <w:szCs w:val="20"/>
              </w:rPr>
              <w:t xml:space="preserve">patients </w:t>
            </w:r>
            <w:r>
              <w:rPr>
                <w:rFonts w:asciiTheme="majorBidi" w:hAnsiTheme="majorBidi" w:cstheme="majorBidi"/>
                <w:sz w:val="20"/>
                <w:szCs w:val="20"/>
              </w:rPr>
              <w:t>&gt;</w:t>
            </w:r>
            <w:r w:rsidRPr="0033427C">
              <w:rPr>
                <w:rFonts w:asciiTheme="majorBidi" w:hAnsiTheme="majorBidi" w:cstheme="majorBidi"/>
                <w:sz w:val="20"/>
                <w:szCs w:val="20"/>
              </w:rPr>
              <w:t>50 years</w:t>
            </w:r>
            <w:r>
              <w:rPr>
                <w:rFonts w:asciiTheme="majorBidi" w:hAnsiTheme="majorBidi" w:cstheme="majorBidi"/>
                <w:sz w:val="20"/>
                <w:szCs w:val="20"/>
              </w:rPr>
              <w:t xml:space="preserve"> (mean 69 years)</w:t>
            </w:r>
            <w:r w:rsidRPr="0033427C">
              <w:rPr>
                <w:rFonts w:asciiTheme="majorBidi" w:hAnsiTheme="majorBidi" w:cstheme="majorBidi"/>
                <w:sz w:val="20"/>
                <w:szCs w:val="20"/>
              </w:rPr>
              <w:t xml:space="preserve"> </w:t>
            </w:r>
          </w:p>
          <w:p w14:paraId="4E7C342B" w14:textId="77777777" w:rsidR="00B85C9C" w:rsidRPr="001A1529" w:rsidRDefault="00B85C9C" w:rsidP="00CA6F03">
            <w:pPr>
              <w:rPr>
                <w:rFonts w:asciiTheme="majorBidi" w:hAnsiTheme="majorBidi" w:cstheme="majorBidi"/>
                <w:b/>
                <w:bCs/>
                <w:sz w:val="20"/>
                <w:szCs w:val="20"/>
              </w:rPr>
            </w:pPr>
            <w:r w:rsidRPr="0033427C">
              <w:rPr>
                <w:rFonts w:asciiTheme="majorBidi" w:hAnsiTheme="majorBidi" w:cstheme="majorBidi"/>
                <w:sz w:val="20"/>
                <w:szCs w:val="20"/>
              </w:rPr>
              <w:t>discharged from hospital and prescribed at least 1 high-risk medication</w:t>
            </w:r>
          </w:p>
        </w:tc>
        <w:tc>
          <w:tcPr>
            <w:tcW w:w="2699" w:type="dxa"/>
          </w:tcPr>
          <w:p w14:paraId="0DEA45A4" w14:textId="77777777" w:rsidR="00B85C9C" w:rsidRPr="0033427C" w:rsidRDefault="00B85C9C" w:rsidP="00CA6F03">
            <w:pPr>
              <w:rPr>
                <w:rFonts w:asciiTheme="majorBidi" w:hAnsiTheme="majorBidi" w:cstheme="majorBidi"/>
                <w:sz w:val="20"/>
                <w:szCs w:val="20"/>
              </w:rPr>
            </w:pPr>
            <w:proofErr w:type="spellStart"/>
            <w:r w:rsidRPr="001A28F6">
              <w:rPr>
                <w:rFonts w:asciiTheme="majorBidi" w:hAnsiTheme="majorBidi" w:cstheme="majorBidi"/>
                <w:b/>
                <w:bCs/>
                <w:sz w:val="20"/>
                <w:szCs w:val="20"/>
              </w:rPr>
              <w:t>Multifacted</w:t>
            </w:r>
            <w:proofErr w:type="spellEnd"/>
            <w:r w:rsidRPr="001A28F6">
              <w:rPr>
                <w:rFonts w:asciiTheme="majorBidi" w:hAnsiTheme="majorBidi" w:cstheme="majorBidi"/>
                <w:b/>
                <w:bCs/>
                <w:sz w:val="20"/>
                <w:szCs w:val="20"/>
              </w:rPr>
              <w:t xml:space="preserve"> pharmacist-directed follow-up</w:t>
            </w:r>
            <w:r>
              <w:rPr>
                <w:rFonts w:asciiTheme="majorBidi" w:hAnsiTheme="majorBidi" w:cstheme="majorBidi"/>
                <w:sz w:val="20"/>
                <w:szCs w:val="20"/>
              </w:rPr>
              <w:t xml:space="preserve"> on discharge from hospital, </w:t>
            </w:r>
            <w:r w:rsidRPr="0033427C">
              <w:rPr>
                <w:rFonts w:asciiTheme="majorBidi" w:hAnsiTheme="majorBidi" w:cstheme="majorBidi"/>
                <w:sz w:val="20"/>
                <w:szCs w:val="20"/>
              </w:rPr>
              <w:t>included in-home clinical pharmacist</w:t>
            </w:r>
            <w:r>
              <w:rPr>
                <w:rFonts w:asciiTheme="majorBidi" w:hAnsiTheme="majorBidi" w:cstheme="majorBidi"/>
                <w:sz w:val="20"/>
                <w:szCs w:val="20"/>
              </w:rPr>
              <w:t xml:space="preserve"> assessment (&lt;4 days)</w:t>
            </w:r>
            <w:r w:rsidRPr="0033427C">
              <w:rPr>
                <w:rFonts w:asciiTheme="majorBidi" w:hAnsiTheme="majorBidi" w:cstheme="majorBidi"/>
                <w:sz w:val="20"/>
                <w:szCs w:val="20"/>
              </w:rPr>
              <w:t>, evidence-based educational resources, communication with the primary</w:t>
            </w:r>
          </w:p>
          <w:p w14:paraId="6F7E6D42" w14:textId="77777777" w:rsidR="00B85C9C" w:rsidRDefault="00B85C9C" w:rsidP="00CA6F03">
            <w:pPr>
              <w:rPr>
                <w:rFonts w:asciiTheme="majorBidi" w:hAnsiTheme="majorBidi" w:cstheme="majorBidi"/>
                <w:sz w:val="20"/>
                <w:szCs w:val="20"/>
              </w:rPr>
            </w:pPr>
            <w:r w:rsidRPr="0033427C">
              <w:rPr>
                <w:rFonts w:asciiTheme="majorBidi" w:hAnsiTheme="majorBidi" w:cstheme="majorBidi"/>
                <w:sz w:val="20"/>
                <w:szCs w:val="20"/>
              </w:rPr>
              <w:t>care team, and telephone follow-up.</w:t>
            </w:r>
          </w:p>
          <w:p w14:paraId="60325E28" w14:textId="77777777" w:rsidR="00B85C9C" w:rsidRPr="001A1529" w:rsidRDefault="00B85C9C" w:rsidP="00CA6F03">
            <w:pPr>
              <w:rPr>
                <w:rFonts w:asciiTheme="majorBidi" w:hAnsiTheme="majorBidi" w:cstheme="majorBidi"/>
                <w:b/>
                <w:bCs/>
                <w:sz w:val="20"/>
                <w:szCs w:val="20"/>
              </w:rPr>
            </w:pPr>
          </w:p>
        </w:tc>
        <w:tc>
          <w:tcPr>
            <w:tcW w:w="1472" w:type="dxa"/>
          </w:tcPr>
          <w:p w14:paraId="07531501" w14:textId="77777777" w:rsidR="00B85C9C" w:rsidRPr="0033427C" w:rsidRDefault="00B85C9C" w:rsidP="00CA6F03">
            <w:pPr>
              <w:rPr>
                <w:rFonts w:asciiTheme="majorBidi" w:hAnsiTheme="majorBidi" w:cstheme="majorBidi"/>
                <w:sz w:val="20"/>
                <w:szCs w:val="20"/>
              </w:rPr>
            </w:pPr>
            <w:r w:rsidRPr="0033427C">
              <w:rPr>
                <w:rFonts w:asciiTheme="majorBidi" w:hAnsiTheme="majorBidi" w:cstheme="majorBidi"/>
                <w:sz w:val="20"/>
                <w:szCs w:val="20"/>
              </w:rPr>
              <w:t>Participants in the control group were provided</w:t>
            </w:r>
          </w:p>
          <w:p w14:paraId="19596D21" w14:textId="77777777" w:rsidR="00B85C9C" w:rsidRPr="001A1529" w:rsidRDefault="00B85C9C" w:rsidP="00CA6F03">
            <w:pPr>
              <w:rPr>
                <w:rFonts w:asciiTheme="majorBidi" w:hAnsiTheme="majorBidi" w:cstheme="majorBidi"/>
                <w:b/>
                <w:bCs/>
                <w:sz w:val="20"/>
                <w:szCs w:val="20"/>
              </w:rPr>
            </w:pPr>
            <w:r w:rsidRPr="0033427C">
              <w:rPr>
                <w:rFonts w:asciiTheme="majorBidi" w:hAnsiTheme="majorBidi" w:cstheme="majorBidi"/>
                <w:sz w:val="20"/>
                <w:szCs w:val="20"/>
              </w:rPr>
              <w:t>educational materials via mail.</w:t>
            </w:r>
          </w:p>
        </w:tc>
        <w:tc>
          <w:tcPr>
            <w:tcW w:w="3139" w:type="dxa"/>
          </w:tcPr>
          <w:p w14:paraId="16BC537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Assessed across 45 days post-discharge. </w:t>
            </w:r>
          </w:p>
          <w:p w14:paraId="51DA08B1" w14:textId="77777777" w:rsidR="00B85C9C" w:rsidRPr="00E4509D" w:rsidRDefault="00B85C9C" w:rsidP="00CA6F03">
            <w:pPr>
              <w:rPr>
                <w:rFonts w:asciiTheme="majorBidi" w:hAnsiTheme="majorBidi" w:cstheme="majorBidi"/>
                <w:sz w:val="20"/>
                <w:szCs w:val="20"/>
              </w:rPr>
            </w:pPr>
            <w:r w:rsidRPr="00E4509D">
              <w:rPr>
                <w:rFonts w:asciiTheme="majorBidi" w:hAnsiTheme="majorBidi" w:cstheme="majorBidi"/>
                <w:sz w:val="20"/>
                <w:szCs w:val="20"/>
              </w:rPr>
              <w:t xml:space="preserve">81 </w:t>
            </w:r>
            <w:r>
              <w:rPr>
                <w:rFonts w:asciiTheme="majorBidi" w:hAnsiTheme="majorBidi" w:cstheme="majorBidi"/>
                <w:sz w:val="20"/>
                <w:szCs w:val="20"/>
              </w:rPr>
              <w:t xml:space="preserve">ADEs </w:t>
            </w:r>
            <w:r w:rsidRPr="00E4509D">
              <w:rPr>
                <w:rFonts w:asciiTheme="majorBidi" w:hAnsiTheme="majorBidi" w:cstheme="majorBidi"/>
                <w:sz w:val="20"/>
                <w:szCs w:val="20"/>
              </w:rPr>
              <w:t>in the intervention group and 72 in the control group.</w:t>
            </w:r>
          </w:p>
          <w:p w14:paraId="348C44B2" w14:textId="77777777" w:rsidR="00B85C9C" w:rsidRDefault="00B85C9C" w:rsidP="00CA6F03">
            <w:pPr>
              <w:rPr>
                <w:rFonts w:asciiTheme="majorBidi" w:hAnsiTheme="majorBidi" w:cstheme="majorBidi"/>
                <w:sz w:val="20"/>
                <w:szCs w:val="20"/>
              </w:rPr>
            </w:pPr>
            <w:r w:rsidRPr="00E4509D">
              <w:rPr>
                <w:rFonts w:asciiTheme="majorBidi" w:hAnsiTheme="majorBidi" w:cstheme="majorBidi"/>
                <w:sz w:val="20"/>
                <w:szCs w:val="20"/>
              </w:rPr>
              <w:t>44 clinically important medication errors in the intervention group and 45 in the</w:t>
            </w:r>
            <w:r>
              <w:rPr>
                <w:rFonts w:asciiTheme="majorBidi" w:hAnsiTheme="majorBidi" w:cstheme="majorBidi"/>
                <w:sz w:val="20"/>
                <w:szCs w:val="20"/>
              </w:rPr>
              <w:t xml:space="preserve"> </w:t>
            </w:r>
            <w:r w:rsidRPr="00E4509D">
              <w:rPr>
                <w:rFonts w:asciiTheme="majorBidi" w:hAnsiTheme="majorBidi" w:cstheme="majorBidi"/>
                <w:sz w:val="20"/>
                <w:szCs w:val="20"/>
              </w:rPr>
              <w:t xml:space="preserve">control group. </w:t>
            </w:r>
          </w:p>
          <w:p w14:paraId="043424B4" w14:textId="77777777" w:rsidR="00B85C9C" w:rsidRPr="0001443F" w:rsidRDefault="00B85C9C" w:rsidP="00CA6F03">
            <w:pPr>
              <w:rPr>
                <w:rFonts w:asciiTheme="majorBidi" w:hAnsiTheme="majorBidi" w:cstheme="majorBidi"/>
                <w:sz w:val="20"/>
                <w:szCs w:val="20"/>
              </w:rPr>
            </w:pPr>
            <w:r w:rsidRPr="00E4509D">
              <w:rPr>
                <w:rFonts w:asciiTheme="majorBidi" w:hAnsiTheme="majorBidi" w:cstheme="majorBidi"/>
                <w:b/>
                <w:bCs/>
                <w:sz w:val="20"/>
                <w:szCs w:val="20"/>
              </w:rPr>
              <w:t>The intervention did not significantly alter the per-patient rate of adverse</w:t>
            </w:r>
            <w:r w:rsidRPr="00E24840">
              <w:rPr>
                <w:rFonts w:asciiTheme="majorBidi" w:hAnsiTheme="majorBidi" w:cstheme="majorBidi"/>
                <w:b/>
                <w:bCs/>
                <w:sz w:val="20"/>
                <w:szCs w:val="20"/>
              </w:rPr>
              <w:t xml:space="preserve"> </w:t>
            </w:r>
            <w:r w:rsidRPr="00E4509D">
              <w:rPr>
                <w:rFonts w:asciiTheme="majorBidi" w:hAnsiTheme="majorBidi" w:cstheme="majorBidi"/>
                <w:b/>
                <w:bCs/>
                <w:sz w:val="20"/>
                <w:szCs w:val="20"/>
              </w:rPr>
              <w:t>drug-related incidents</w:t>
            </w:r>
            <w:r w:rsidRPr="00E4509D">
              <w:rPr>
                <w:rFonts w:asciiTheme="majorBidi" w:hAnsiTheme="majorBidi" w:cstheme="majorBidi"/>
                <w:sz w:val="20"/>
                <w:szCs w:val="20"/>
              </w:rPr>
              <w:t xml:space="preserve"> (unadjusted incidence rate ratio, 1.13; 95%CI, 0.83-1.56) or clinically</w:t>
            </w:r>
            <w:r>
              <w:rPr>
                <w:rFonts w:asciiTheme="majorBidi" w:hAnsiTheme="majorBidi" w:cstheme="majorBidi"/>
                <w:sz w:val="20"/>
                <w:szCs w:val="20"/>
              </w:rPr>
              <w:t xml:space="preserve"> </w:t>
            </w:r>
            <w:r w:rsidRPr="00E4509D">
              <w:rPr>
                <w:rFonts w:asciiTheme="majorBidi" w:hAnsiTheme="majorBidi" w:cstheme="majorBidi"/>
                <w:sz w:val="20"/>
                <w:szCs w:val="20"/>
              </w:rPr>
              <w:t>important medication errors (unadjusted incidence rate ratio, 0.99; 95%CI, 0.65-1.49)</w:t>
            </w:r>
            <w:r>
              <w:rPr>
                <w:rFonts w:asciiTheme="majorBidi" w:hAnsiTheme="majorBidi" w:cstheme="majorBidi"/>
                <w:sz w:val="20"/>
                <w:szCs w:val="20"/>
              </w:rPr>
              <w:t>.</w:t>
            </w:r>
          </w:p>
        </w:tc>
        <w:tc>
          <w:tcPr>
            <w:tcW w:w="1541" w:type="dxa"/>
          </w:tcPr>
          <w:p w14:paraId="5F70BE2B" w14:textId="77777777" w:rsidR="00B85C9C" w:rsidRPr="00486D01" w:rsidRDefault="00B85C9C" w:rsidP="00CA6F03">
            <w:pPr>
              <w:rPr>
                <w:rFonts w:asciiTheme="majorBidi" w:hAnsiTheme="majorBidi" w:cstheme="majorBidi"/>
                <w:sz w:val="20"/>
                <w:szCs w:val="20"/>
              </w:rPr>
            </w:pPr>
            <w:r>
              <w:rPr>
                <w:rFonts w:asciiTheme="majorBidi" w:hAnsiTheme="majorBidi" w:cstheme="majorBidi"/>
                <w:sz w:val="20"/>
                <w:szCs w:val="20"/>
              </w:rPr>
              <w:t xml:space="preserve">Moderate quality, randomized, but possibly underpowered, </w:t>
            </w:r>
            <w:r w:rsidRPr="00486D01">
              <w:rPr>
                <w:rFonts w:asciiTheme="majorBidi" w:hAnsiTheme="majorBidi" w:cstheme="majorBidi"/>
                <w:sz w:val="20"/>
                <w:szCs w:val="20"/>
              </w:rPr>
              <w:t>there were study recruitment challenges and lower than expected numbers of</w:t>
            </w:r>
          </w:p>
          <w:p w14:paraId="3D7AFD1D" w14:textId="0F0F6682" w:rsidR="00B85C9C" w:rsidRPr="001A1529" w:rsidRDefault="00B85C9C" w:rsidP="00CA6F03">
            <w:pPr>
              <w:rPr>
                <w:rFonts w:asciiTheme="majorBidi" w:hAnsiTheme="majorBidi" w:cstheme="majorBidi"/>
                <w:b/>
                <w:bCs/>
                <w:sz w:val="20"/>
                <w:szCs w:val="20"/>
              </w:rPr>
            </w:pPr>
            <w:r w:rsidRPr="00486D01">
              <w:rPr>
                <w:rFonts w:asciiTheme="majorBidi" w:hAnsiTheme="majorBidi" w:cstheme="majorBidi"/>
                <w:sz w:val="20"/>
                <w:szCs w:val="20"/>
              </w:rPr>
              <w:t>events among the study population.</w:t>
            </w:r>
            <w:r>
              <w:rPr>
                <w:rFonts w:asciiTheme="majorBidi" w:hAnsiTheme="majorBidi" w:cstheme="majorBidi"/>
                <w:sz w:val="20"/>
                <w:szCs w:val="20"/>
              </w:rPr>
              <w:t xml:space="preserve"> Some possibility of bias towards an effect.</w:t>
            </w:r>
          </w:p>
        </w:tc>
      </w:tr>
      <w:tr w:rsidR="00B85C9C" w:rsidRPr="008D6755" w14:paraId="70D1049F" w14:textId="77777777" w:rsidTr="00CA6F03">
        <w:tc>
          <w:tcPr>
            <w:tcW w:w="1783" w:type="dxa"/>
          </w:tcPr>
          <w:p w14:paraId="551CE3A8"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Kapoor et al 2020</w:t>
            </w:r>
          </w:p>
          <w:p w14:paraId="50569A31" w14:textId="5E882363" w:rsidR="00B85C9C" w:rsidRPr="008D6755" w:rsidRDefault="00B85C9C" w:rsidP="00CA6F03">
            <w:pPr>
              <w:rPr>
                <w:rFonts w:asciiTheme="majorBidi" w:hAnsiTheme="majorBidi" w:cstheme="majorBidi"/>
                <w:sz w:val="20"/>
                <w:szCs w:val="20"/>
              </w:rPr>
            </w:pPr>
          </w:p>
        </w:tc>
        <w:tc>
          <w:tcPr>
            <w:tcW w:w="1638" w:type="dxa"/>
          </w:tcPr>
          <w:p w14:paraId="256634CD"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Randomized, controlled study, n = 163</w:t>
            </w:r>
          </w:p>
        </w:tc>
        <w:tc>
          <w:tcPr>
            <w:tcW w:w="1678" w:type="dxa"/>
          </w:tcPr>
          <w:p w14:paraId="5D045EA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w:t>
            </w:r>
            <w:r w:rsidRPr="00492B3F">
              <w:rPr>
                <w:rFonts w:asciiTheme="majorBidi" w:hAnsiTheme="majorBidi" w:cstheme="majorBidi"/>
                <w:sz w:val="20"/>
                <w:szCs w:val="20"/>
              </w:rPr>
              <w:t>dults 18 years and older diagnosed with a new</w:t>
            </w:r>
            <w:r>
              <w:rPr>
                <w:rFonts w:asciiTheme="majorBidi" w:hAnsiTheme="majorBidi" w:cstheme="majorBidi"/>
                <w:sz w:val="20"/>
                <w:szCs w:val="20"/>
              </w:rPr>
              <w:t xml:space="preserve"> </w:t>
            </w:r>
            <w:r w:rsidRPr="00492B3F">
              <w:rPr>
                <w:rFonts w:asciiTheme="majorBidi" w:hAnsiTheme="majorBidi" w:cstheme="majorBidi"/>
                <w:sz w:val="20"/>
                <w:szCs w:val="20"/>
              </w:rPr>
              <w:t>episode of VTE and prescribed anticoagulation</w:t>
            </w:r>
          </w:p>
        </w:tc>
        <w:tc>
          <w:tcPr>
            <w:tcW w:w="2699" w:type="dxa"/>
          </w:tcPr>
          <w:p w14:paraId="0BAF559B" w14:textId="77777777" w:rsidR="00B85C9C" w:rsidRPr="005C514F" w:rsidRDefault="00B85C9C" w:rsidP="00CA6F03">
            <w:pPr>
              <w:rPr>
                <w:rFonts w:asciiTheme="majorBidi" w:hAnsiTheme="majorBidi" w:cstheme="majorBidi"/>
                <w:sz w:val="20"/>
                <w:szCs w:val="20"/>
              </w:rPr>
            </w:pPr>
            <w:r>
              <w:rPr>
                <w:rFonts w:asciiTheme="majorBidi" w:hAnsiTheme="majorBidi" w:cstheme="majorBidi"/>
                <w:sz w:val="20"/>
                <w:szCs w:val="20"/>
              </w:rPr>
              <w:t>A</w:t>
            </w:r>
            <w:r w:rsidRPr="00C7158F">
              <w:rPr>
                <w:rFonts w:asciiTheme="majorBidi" w:hAnsiTheme="majorBidi" w:cstheme="majorBidi"/>
                <w:sz w:val="20"/>
                <w:szCs w:val="20"/>
              </w:rPr>
              <w:t xml:space="preserve"> care transition intervention</w:t>
            </w:r>
            <w:r>
              <w:rPr>
                <w:rFonts w:asciiTheme="majorBidi" w:hAnsiTheme="majorBidi" w:cstheme="majorBidi"/>
                <w:sz w:val="20"/>
                <w:szCs w:val="20"/>
              </w:rPr>
              <w:t xml:space="preserve"> </w:t>
            </w:r>
            <w:r w:rsidRPr="00C7158F">
              <w:rPr>
                <w:rFonts w:asciiTheme="majorBidi" w:hAnsiTheme="majorBidi" w:cstheme="majorBidi"/>
                <w:sz w:val="20"/>
                <w:szCs w:val="20"/>
              </w:rPr>
              <w:t xml:space="preserve">with </w:t>
            </w:r>
            <w:r w:rsidRPr="007A2DB3">
              <w:rPr>
                <w:rFonts w:asciiTheme="majorBidi" w:hAnsiTheme="majorBidi" w:cstheme="majorBidi"/>
                <w:b/>
                <w:bCs/>
                <w:sz w:val="20"/>
                <w:szCs w:val="20"/>
              </w:rPr>
              <w:t>pharmacist home visit and subsequent anticoagulation expert consultation</w:t>
            </w:r>
            <w:r w:rsidRPr="00C7158F">
              <w:rPr>
                <w:rFonts w:asciiTheme="majorBidi" w:hAnsiTheme="majorBidi" w:cstheme="majorBidi"/>
                <w:sz w:val="20"/>
                <w:szCs w:val="20"/>
              </w:rPr>
              <w:t xml:space="preserve"> for patients with</w:t>
            </w:r>
            <w:r>
              <w:rPr>
                <w:rFonts w:asciiTheme="majorBidi" w:hAnsiTheme="majorBidi" w:cstheme="majorBidi"/>
                <w:sz w:val="20"/>
                <w:szCs w:val="20"/>
              </w:rPr>
              <w:t xml:space="preserve"> </w:t>
            </w:r>
            <w:r w:rsidRPr="00C7158F">
              <w:rPr>
                <w:rFonts w:asciiTheme="majorBidi" w:hAnsiTheme="majorBidi" w:cstheme="majorBidi"/>
                <w:sz w:val="20"/>
                <w:szCs w:val="20"/>
              </w:rPr>
              <w:t>new episode of venous thromboembolism</w:t>
            </w:r>
            <w:r>
              <w:rPr>
                <w:rFonts w:asciiTheme="majorBidi" w:hAnsiTheme="majorBidi" w:cstheme="majorBidi"/>
                <w:sz w:val="20"/>
                <w:szCs w:val="20"/>
              </w:rPr>
              <w:t xml:space="preserve">. At home visit: </w:t>
            </w:r>
            <w:r w:rsidRPr="005C514F">
              <w:rPr>
                <w:rFonts w:asciiTheme="majorBidi" w:hAnsiTheme="majorBidi" w:cstheme="majorBidi"/>
                <w:sz w:val="20"/>
                <w:szCs w:val="20"/>
              </w:rPr>
              <w:t>assessed medication management</w:t>
            </w:r>
            <w:r>
              <w:rPr>
                <w:rFonts w:asciiTheme="majorBidi" w:hAnsiTheme="majorBidi" w:cstheme="majorBidi"/>
                <w:sz w:val="20"/>
                <w:szCs w:val="20"/>
              </w:rPr>
              <w:t xml:space="preserve"> </w:t>
            </w:r>
            <w:r w:rsidRPr="005C514F">
              <w:rPr>
                <w:rFonts w:asciiTheme="majorBidi" w:hAnsiTheme="majorBidi" w:cstheme="majorBidi"/>
                <w:sz w:val="20"/>
                <w:szCs w:val="20"/>
              </w:rPr>
              <w:t>proficiency, asked open-ended questions to</w:t>
            </w:r>
            <w:r>
              <w:rPr>
                <w:rFonts w:asciiTheme="majorBidi" w:hAnsiTheme="majorBidi" w:cstheme="majorBidi"/>
                <w:sz w:val="20"/>
                <w:szCs w:val="20"/>
              </w:rPr>
              <w:t xml:space="preserve"> </w:t>
            </w:r>
            <w:r w:rsidRPr="005C514F">
              <w:rPr>
                <w:rFonts w:asciiTheme="majorBidi" w:hAnsiTheme="majorBidi" w:cstheme="majorBidi"/>
                <w:sz w:val="20"/>
                <w:szCs w:val="20"/>
              </w:rPr>
              <w:t>discuss knowledge gaps, and</w:t>
            </w:r>
            <w:r>
              <w:rPr>
                <w:rFonts w:asciiTheme="majorBidi" w:hAnsiTheme="majorBidi" w:cstheme="majorBidi"/>
                <w:sz w:val="20"/>
                <w:szCs w:val="20"/>
              </w:rPr>
              <w:t xml:space="preserve"> </w:t>
            </w:r>
            <w:r w:rsidRPr="005C514F">
              <w:rPr>
                <w:rFonts w:asciiTheme="majorBidi" w:hAnsiTheme="majorBidi" w:cstheme="majorBidi"/>
                <w:sz w:val="20"/>
                <w:szCs w:val="20"/>
              </w:rPr>
              <w:t>distributed illustrated</w:t>
            </w:r>
            <w:r>
              <w:rPr>
                <w:rFonts w:asciiTheme="majorBidi" w:hAnsiTheme="majorBidi" w:cstheme="majorBidi"/>
                <w:sz w:val="20"/>
                <w:szCs w:val="20"/>
              </w:rPr>
              <w:t xml:space="preserve"> </w:t>
            </w:r>
            <w:r w:rsidRPr="005C514F">
              <w:rPr>
                <w:rFonts w:asciiTheme="majorBidi" w:hAnsiTheme="majorBidi" w:cstheme="majorBidi"/>
                <w:sz w:val="20"/>
                <w:szCs w:val="20"/>
              </w:rPr>
              <w:t>medication instructions. Subsequent consultation</w:t>
            </w:r>
          </w:p>
          <w:p w14:paraId="556F0B16" w14:textId="413841BD" w:rsidR="00B85C9C" w:rsidRPr="008D6755" w:rsidRDefault="00B85C9C">
            <w:pPr>
              <w:rPr>
                <w:rFonts w:asciiTheme="majorBidi" w:hAnsiTheme="majorBidi" w:cstheme="majorBidi"/>
                <w:sz w:val="20"/>
                <w:szCs w:val="20"/>
              </w:rPr>
            </w:pPr>
            <w:r w:rsidRPr="005C514F">
              <w:rPr>
                <w:rFonts w:asciiTheme="majorBidi" w:hAnsiTheme="majorBidi" w:cstheme="majorBidi"/>
                <w:sz w:val="20"/>
                <w:szCs w:val="20"/>
              </w:rPr>
              <w:t>with anticoagulation expert further filled knowledge gaps</w:t>
            </w:r>
            <w:r>
              <w:rPr>
                <w:rFonts w:asciiTheme="majorBidi" w:hAnsiTheme="majorBidi" w:cstheme="majorBidi"/>
                <w:sz w:val="20"/>
                <w:szCs w:val="20"/>
              </w:rPr>
              <w:t>.</w:t>
            </w:r>
          </w:p>
        </w:tc>
        <w:tc>
          <w:tcPr>
            <w:tcW w:w="1472" w:type="dxa"/>
          </w:tcPr>
          <w:p w14:paraId="20093D6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w:t>
            </w:r>
          </w:p>
        </w:tc>
        <w:tc>
          <w:tcPr>
            <w:tcW w:w="3139" w:type="dxa"/>
          </w:tcPr>
          <w:p w14:paraId="1D85A6A2" w14:textId="77777777" w:rsidR="00B85C9C" w:rsidRPr="005C514F" w:rsidRDefault="00B85C9C" w:rsidP="00CA6F03">
            <w:pPr>
              <w:rPr>
                <w:rFonts w:asciiTheme="majorBidi" w:hAnsiTheme="majorBidi" w:cstheme="majorBidi"/>
                <w:sz w:val="20"/>
                <w:szCs w:val="20"/>
              </w:rPr>
            </w:pPr>
            <w:r w:rsidRPr="005C514F">
              <w:rPr>
                <w:rFonts w:asciiTheme="majorBidi" w:hAnsiTheme="majorBidi" w:cstheme="majorBidi"/>
                <w:sz w:val="20"/>
                <w:szCs w:val="20"/>
              </w:rPr>
              <w:t>The mean ± SD time required to conduct home visits was</w:t>
            </w:r>
            <w:r>
              <w:rPr>
                <w:rFonts w:asciiTheme="majorBidi" w:hAnsiTheme="majorBidi" w:cstheme="majorBidi"/>
                <w:sz w:val="20"/>
                <w:szCs w:val="20"/>
              </w:rPr>
              <w:t xml:space="preserve"> </w:t>
            </w:r>
            <w:r w:rsidRPr="005C514F">
              <w:rPr>
                <w:rFonts w:asciiTheme="majorBidi" w:hAnsiTheme="majorBidi" w:cstheme="majorBidi"/>
                <w:sz w:val="20"/>
                <w:szCs w:val="20"/>
              </w:rPr>
              <w:t>52</w:t>
            </w:r>
            <w:r>
              <w:rPr>
                <w:rFonts w:asciiTheme="majorBidi" w:hAnsiTheme="majorBidi" w:cstheme="majorBidi"/>
                <w:sz w:val="20"/>
                <w:szCs w:val="20"/>
              </w:rPr>
              <w:t xml:space="preserve"> min.</w:t>
            </w:r>
            <w:r w:rsidRPr="005C514F">
              <w:rPr>
                <w:rFonts w:asciiTheme="majorBidi" w:hAnsiTheme="majorBidi" w:cstheme="majorBidi"/>
                <w:sz w:val="20"/>
                <w:szCs w:val="20"/>
              </w:rPr>
              <w:t xml:space="preserve"> </w:t>
            </w:r>
            <w:r>
              <w:rPr>
                <w:rFonts w:asciiTheme="majorBidi" w:hAnsiTheme="majorBidi" w:cstheme="majorBidi"/>
                <w:sz w:val="20"/>
                <w:szCs w:val="20"/>
              </w:rPr>
              <w:t>M</w:t>
            </w:r>
            <w:r w:rsidRPr="005C514F">
              <w:rPr>
                <w:rFonts w:asciiTheme="majorBidi" w:hAnsiTheme="majorBidi" w:cstheme="majorBidi"/>
                <w:sz w:val="20"/>
                <w:szCs w:val="20"/>
              </w:rPr>
              <w:t>ost patients agreed that the intervention was</w:t>
            </w:r>
            <w:r>
              <w:rPr>
                <w:rFonts w:asciiTheme="majorBidi" w:hAnsiTheme="majorBidi" w:cstheme="majorBidi"/>
                <w:sz w:val="20"/>
                <w:szCs w:val="20"/>
              </w:rPr>
              <w:t xml:space="preserve"> </w:t>
            </w:r>
            <w:r w:rsidRPr="005C514F">
              <w:rPr>
                <w:rFonts w:asciiTheme="majorBidi" w:hAnsiTheme="majorBidi" w:cstheme="majorBidi"/>
                <w:sz w:val="20"/>
                <w:szCs w:val="20"/>
              </w:rPr>
              <w:t xml:space="preserve">helpful. In general, </w:t>
            </w:r>
            <w:r w:rsidRPr="007A2DB3">
              <w:rPr>
                <w:rFonts w:asciiTheme="majorBidi" w:hAnsiTheme="majorBidi" w:cstheme="majorBidi"/>
                <w:b/>
                <w:bCs/>
                <w:sz w:val="20"/>
                <w:szCs w:val="20"/>
              </w:rPr>
              <w:t>patients reported a high-quality care transition</w:t>
            </w:r>
            <w:r w:rsidRPr="005C514F">
              <w:rPr>
                <w:rFonts w:asciiTheme="majorBidi" w:hAnsiTheme="majorBidi" w:cstheme="majorBidi"/>
                <w:sz w:val="20"/>
                <w:szCs w:val="20"/>
              </w:rPr>
              <w:t>. Despite</w:t>
            </w:r>
            <w:r>
              <w:rPr>
                <w:rFonts w:asciiTheme="majorBidi" w:hAnsiTheme="majorBidi" w:cstheme="majorBidi"/>
                <w:sz w:val="20"/>
                <w:szCs w:val="20"/>
              </w:rPr>
              <w:t xml:space="preserve"> </w:t>
            </w:r>
            <w:r w:rsidRPr="005C514F">
              <w:rPr>
                <w:rFonts w:asciiTheme="majorBidi" w:hAnsiTheme="majorBidi" w:cstheme="majorBidi"/>
                <w:sz w:val="20"/>
                <w:szCs w:val="20"/>
              </w:rPr>
              <w:t>that, mean percentage of knowledge items answered correctly among</w:t>
            </w:r>
          </w:p>
          <w:p w14:paraId="2B566540" w14:textId="77777777" w:rsidR="00B85C9C" w:rsidRPr="008D6755" w:rsidRDefault="00B85C9C" w:rsidP="00CA6F03">
            <w:pPr>
              <w:rPr>
                <w:rFonts w:asciiTheme="majorBidi" w:hAnsiTheme="majorBidi" w:cstheme="majorBidi"/>
                <w:sz w:val="20"/>
                <w:szCs w:val="20"/>
              </w:rPr>
            </w:pPr>
            <w:r w:rsidRPr="005C514F">
              <w:rPr>
                <w:rFonts w:asciiTheme="majorBidi" w:hAnsiTheme="majorBidi" w:cstheme="majorBidi"/>
                <w:sz w:val="20"/>
                <w:szCs w:val="20"/>
              </w:rPr>
              <w:t>patients was low (51.5 versus 50.7 for intervention and controls, respectively).</w:t>
            </w:r>
          </w:p>
        </w:tc>
        <w:tc>
          <w:tcPr>
            <w:tcW w:w="1541" w:type="dxa"/>
          </w:tcPr>
          <w:p w14:paraId="2C771E4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Moderate quality, randomized, controlled, but no outcomes measured, focus on knowledge &amp; beliefs. </w:t>
            </w:r>
          </w:p>
        </w:tc>
      </w:tr>
      <w:tr w:rsidR="00B85C9C" w:rsidRPr="008D6755" w14:paraId="37BAC2BC" w14:textId="77777777" w:rsidTr="00CA6F03">
        <w:tc>
          <w:tcPr>
            <w:tcW w:w="1783" w:type="dxa"/>
          </w:tcPr>
          <w:p w14:paraId="4BE3E3DC" w14:textId="3A42E514" w:rsidR="00B85C9C" w:rsidRPr="008D6755" w:rsidRDefault="00B85C9C" w:rsidP="00CA6F03">
            <w:pPr>
              <w:rPr>
                <w:rFonts w:asciiTheme="majorBidi" w:hAnsiTheme="majorBidi" w:cstheme="majorBidi"/>
                <w:sz w:val="20"/>
                <w:szCs w:val="20"/>
              </w:rPr>
            </w:pPr>
            <w:r>
              <w:rPr>
                <w:rFonts w:asciiTheme="majorBidi" w:hAnsiTheme="majorBidi" w:cstheme="majorBidi"/>
                <w:noProof/>
                <w:sz w:val="20"/>
                <w:szCs w:val="20"/>
              </w:rPr>
              <w:t xml:space="preserve">Kallal, Griffen, </w:t>
            </w:r>
            <w:r w:rsidR="008B50C6">
              <w:rPr>
                <w:rFonts w:asciiTheme="majorBidi" w:hAnsiTheme="majorBidi" w:cstheme="majorBidi"/>
                <w:noProof/>
                <w:sz w:val="20"/>
                <w:szCs w:val="20"/>
              </w:rPr>
              <w:t>and</w:t>
            </w:r>
            <w:r>
              <w:rPr>
                <w:rFonts w:asciiTheme="majorBidi" w:hAnsiTheme="majorBidi" w:cstheme="majorBidi"/>
                <w:noProof/>
                <w:sz w:val="20"/>
                <w:szCs w:val="20"/>
              </w:rPr>
              <w:t xml:space="preserve"> Jaeger 2020</w:t>
            </w:r>
          </w:p>
        </w:tc>
        <w:tc>
          <w:tcPr>
            <w:tcW w:w="1638" w:type="dxa"/>
          </w:tcPr>
          <w:p w14:paraId="00A93C6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Single institution, pre-post study of a Lean Six Sigma intervention to reduce warfarin omission at discharge</w:t>
            </w:r>
          </w:p>
        </w:tc>
        <w:tc>
          <w:tcPr>
            <w:tcW w:w="1678" w:type="dxa"/>
          </w:tcPr>
          <w:p w14:paraId="777EE7D9" w14:textId="77777777" w:rsidR="00B85C9C" w:rsidRPr="0079749C" w:rsidRDefault="00B85C9C" w:rsidP="00CA6F03">
            <w:pPr>
              <w:rPr>
                <w:rFonts w:asciiTheme="majorBidi" w:hAnsiTheme="majorBidi" w:cstheme="majorBidi"/>
                <w:sz w:val="20"/>
                <w:szCs w:val="20"/>
              </w:rPr>
            </w:pPr>
            <w:r w:rsidRPr="0079749C">
              <w:rPr>
                <w:rFonts w:asciiTheme="majorBidi" w:hAnsiTheme="majorBidi" w:cstheme="majorBidi"/>
                <w:sz w:val="20"/>
                <w:szCs w:val="20"/>
              </w:rPr>
              <w:t>Inpatients started on warfarin therapy, managed with one-time</w:t>
            </w:r>
          </w:p>
          <w:p w14:paraId="5A916505" w14:textId="77777777" w:rsidR="00B85C9C" w:rsidRPr="008D6755" w:rsidRDefault="00B85C9C" w:rsidP="00CA6F03">
            <w:pPr>
              <w:rPr>
                <w:rFonts w:asciiTheme="majorBidi" w:hAnsiTheme="majorBidi" w:cstheme="majorBidi"/>
                <w:sz w:val="20"/>
                <w:szCs w:val="20"/>
              </w:rPr>
            </w:pPr>
            <w:r w:rsidRPr="0079749C">
              <w:rPr>
                <w:rFonts w:asciiTheme="majorBidi" w:hAnsiTheme="majorBidi" w:cstheme="majorBidi"/>
                <w:sz w:val="20"/>
                <w:szCs w:val="20"/>
              </w:rPr>
              <w:t>warfarin orders and warfarin indicated at discharge</w:t>
            </w:r>
          </w:p>
        </w:tc>
        <w:tc>
          <w:tcPr>
            <w:tcW w:w="2699" w:type="dxa"/>
          </w:tcPr>
          <w:p w14:paraId="16DD597E" w14:textId="77777777" w:rsidR="00B85C9C" w:rsidRPr="00142AC4" w:rsidRDefault="00B85C9C" w:rsidP="00CA6F03">
            <w:pPr>
              <w:rPr>
                <w:rFonts w:asciiTheme="majorBidi" w:hAnsiTheme="majorBidi" w:cstheme="majorBidi"/>
                <w:b/>
                <w:bCs/>
                <w:sz w:val="20"/>
                <w:szCs w:val="20"/>
              </w:rPr>
            </w:pPr>
            <w:r w:rsidRPr="00142AC4">
              <w:rPr>
                <w:rFonts w:asciiTheme="majorBidi" w:hAnsiTheme="majorBidi" w:cstheme="majorBidi"/>
                <w:sz w:val="20"/>
                <w:szCs w:val="20"/>
              </w:rPr>
              <w:t>A system alert that fires to</w:t>
            </w:r>
            <w:r>
              <w:rPr>
                <w:rFonts w:asciiTheme="majorBidi" w:hAnsiTheme="majorBidi" w:cstheme="majorBidi"/>
                <w:sz w:val="20"/>
                <w:szCs w:val="20"/>
              </w:rPr>
              <w:t xml:space="preserve"> </w:t>
            </w:r>
            <w:r w:rsidRPr="00142AC4">
              <w:rPr>
                <w:rFonts w:asciiTheme="majorBidi" w:hAnsiTheme="majorBidi" w:cstheme="majorBidi"/>
                <w:sz w:val="20"/>
                <w:szCs w:val="20"/>
              </w:rPr>
              <w:t>providers</w:t>
            </w:r>
            <w:r>
              <w:rPr>
                <w:rFonts w:asciiTheme="majorBidi" w:hAnsiTheme="majorBidi" w:cstheme="majorBidi"/>
                <w:sz w:val="20"/>
                <w:szCs w:val="20"/>
              </w:rPr>
              <w:t xml:space="preserve"> </w:t>
            </w:r>
            <w:r w:rsidRPr="00142AC4">
              <w:rPr>
                <w:rFonts w:asciiTheme="majorBidi" w:hAnsiTheme="majorBidi" w:cstheme="majorBidi"/>
                <w:sz w:val="20"/>
                <w:szCs w:val="20"/>
              </w:rPr>
              <w:t xml:space="preserve">at chart closing </w:t>
            </w:r>
            <w:r>
              <w:rPr>
                <w:rFonts w:asciiTheme="majorBidi" w:hAnsiTheme="majorBidi" w:cstheme="majorBidi"/>
                <w:sz w:val="20"/>
                <w:szCs w:val="20"/>
              </w:rPr>
              <w:t>after</w:t>
            </w:r>
            <w:r w:rsidRPr="00142AC4">
              <w:rPr>
                <w:rFonts w:asciiTheme="majorBidi" w:hAnsiTheme="majorBidi" w:cstheme="majorBidi"/>
                <w:sz w:val="20"/>
                <w:szCs w:val="20"/>
              </w:rPr>
              <w:t xml:space="preserve"> discharge medication reconciliation</w:t>
            </w:r>
            <w:r>
              <w:rPr>
                <w:rFonts w:asciiTheme="majorBidi" w:hAnsiTheme="majorBidi" w:cstheme="majorBidi"/>
                <w:sz w:val="20"/>
                <w:szCs w:val="20"/>
              </w:rPr>
              <w:t xml:space="preserve"> is</w:t>
            </w:r>
            <w:r w:rsidRPr="00142AC4">
              <w:rPr>
                <w:rFonts w:asciiTheme="majorBidi" w:hAnsiTheme="majorBidi" w:cstheme="majorBidi"/>
                <w:sz w:val="20"/>
                <w:szCs w:val="20"/>
              </w:rPr>
              <w:t xml:space="preserve"> completed. The </w:t>
            </w:r>
            <w:r w:rsidRPr="00142AC4">
              <w:rPr>
                <w:rFonts w:asciiTheme="majorBidi" w:hAnsiTheme="majorBidi" w:cstheme="majorBidi"/>
                <w:b/>
                <w:bCs/>
                <w:sz w:val="20"/>
                <w:szCs w:val="20"/>
              </w:rPr>
              <w:t>alert identifies patients</w:t>
            </w:r>
          </w:p>
          <w:p w14:paraId="44BF0719" w14:textId="77777777" w:rsidR="00B85C9C" w:rsidRPr="003A573B" w:rsidRDefault="00B85C9C" w:rsidP="00CA6F03">
            <w:pPr>
              <w:rPr>
                <w:rFonts w:asciiTheme="majorBidi" w:hAnsiTheme="majorBidi" w:cstheme="majorBidi"/>
                <w:b/>
                <w:bCs/>
                <w:sz w:val="20"/>
                <w:szCs w:val="20"/>
              </w:rPr>
            </w:pPr>
            <w:r w:rsidRPr="00142AC4">
              <w:rPr>
                <w:rFonts w:asciiTheme="majorBidi" w:hAnsiTheme="majorBidi" w:cstheme="majorBidi"/>
                <w:b/>
                <w:bCs/>
                <w:sz w:val="20"/>
                <w:szCs w:val="20"/>
              </w:rPr>
              <w:t xml:space="preserve">that received warfarin during admission but </w:t>
            </w:r>
            <w:r w:rsidRPr="003A573B">
              <w:rPr>
                <w:rFonts w:asciiTheme="majorBidi" w:hAnsiTheme="majorBidi" w:cstheme="majorBidi"/>
                <w:b/>
                <w:bCs/>
                <w:sz w:val="20"/>
                <w:szCs w:val="20"/>
              </w:rPr>
              <w:t>without</w:t>
            </w:r>
            <w:r>
              <w:rPr>
                <w:rFonts w:asciiTheme="majorBidi" w:hAnsiTheme="majorBidi" w:cstheme="majorBidi"/>
                <w:b/>
                <w:bCs/>
                <w:sz w:val="20"/>
                <w:szCs w:val="20"/>
              </w:rPr>
              <w:t xml:space="preserve"> </w:t>
            </w:r>
            <w:r w:rsidRPr="003A573B">
              <w:rPr>
                <w:rFonts w:asciiTheme="majorBidi" w:hAnsiTheme="majorBidi" w:cstheme="majorBidi"/>
                <w:b/>
                <w:bCs/>
                <w:sz w:val="20"/>
                <w:szCs w:val="20"/>
              </w:rPr>
              <w:t>warfarin prescription</w:t>
            </w:r>
            <w:r w:rsidRPr="00142AC4">
              <w:rPr>
                <w:rFonts w:asciiTheme="majorBidi" w:hAnsiTheme="majorBidi" w:cstheme="majorBidi"/>
                <w:sz w:val="20"/>
                <w:szCs w:val="20"/>
              </w:rPr>
              <w:t xml:space="preserve"> at discharge.</w:t>
            </w:r>
          </w:p>
        </w:tc>
        <w:tc>
          <w:tcPr>
            <w:tcW w:w="1472" w:type="dxa"/>
          </w:tcPr>
          <w:p w14:paraId="6F80192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Incidence of warfarin omission pre-intervention</w:t>
            </w:r>
          </w:p>
        </w:tc>
        <w:tc>
          <w:tcPr>
            <w:tcW w:w="3139" w:type="dxa"/>
          </w:tcPr>
          <w:p w14:paraId="2050F908" w14:textId="77777777" w:rsidR="00B85C9C" w:rsidRPr="00142AC4" w:rsidRDefault="00B85C9C" w:rsidP="00CA6F03">
            <w:pPr>
              <w:rPr>
                <w:rFonts w:asciiTheme="majorBidi" w:hAnsiTheme="majorBidi" w:cstheme="majorBidi"/>
                <w:sz w:val="20"/>
                <w:szCs w:val="20"/>
              </w:rPr>
            </w:pPr>
            <w:r w:rsidRPr="00142AC4">
              <w:rPr>
                <w:rFonts w:asciiTheme="majorBidi" w:hAnsiTheme="majorBidi" w:cstheme="majorBidi"/>
                <w:sz w:val="20"/>
                <w:szCs w:val="20"/>
              </w:rPr>
              <w:t>Three months post-implementation,</w:t>
            </w:r>
          </w:p>
          <w:p w14:paraId="5D6E6D10" w14:textId="77777777" w:rsidR="00B85C9C" w:rsidRPr="00142AC4" w:rsidRDefault="00B85C9C" w:rsidP="00CA6F03">
            <w:pPr>
              <w:rPr>
                <w:rFonts w:asciiTheme="majorBidi" w:hAnsiTheme="majorBidi" w:cstheme="majorBidi"/>
                <w:sz w:val="20"/>
                <w:szCs w:val="20"/>
              </w:rPr>
            </w:pPr>
            <w:r w:rsidRPr="00142AC4">
              <w:rPr>
                <w:rFonts w:asciiTheme="majorBidi" w:hAnsiTheme="majorBidi" w:cstheme="majorBidi"/>
                <w:sz w:val="20"/>
                <w:szCs w:val="20"/>
              </w:rPr>
              <w:t>96 alerts fired to 42 providers on 40</w:t>
            </w:r>
          </w:p>
          <w:p w14:paraId="705AF1C0" w14:textId="77777777" w:rsidR="00B85C9C" w:rsidRPr="00142AC4" w:rsidRDefault="00B85C9C" w:rsidP="00CA6F03">
            <w:pPr>
              <w:rPr>
                <w:rFonts w:asciiTheme="majorBidi" w:hAnsiTheme="majorBidi" w:cstheme="majorBidi"/>
                <w:sz w:val="20"/>
                <w:szCs w:val="20"/>
              </w:rPr>
            </w:pPr>
            <w:r w:rsidRPr="00142AC4">
              <w:rPr>
                <w:rFonts w:asciiTheme="majorBidi" w:hAnsiTheme="majorBidi" w:cstheme="majorBidi"/>
                <w:sz w:val="20"/>
                <w:szCs w:val="20"/>
              </w:rPr>
              <w:t xml:space="preserve">patients. The </w:t>
            </w:r>
            <w:r w:rsidRPr="00142AC4">
              <w:rPr>
                <w:rFonts w:asciiTheme="majorBidi" w:hAnsiTheme="majorBidi" w:cstheme="majorBidi"/>
                <w:b/>
                <w:bCs/>
                <w:sz w:val="20"/>
                <w:szCs w:val="20"/>
              </w:rPr>
              <w:t>rate of intended warfarin prescriptions at</w:t>
            </w:r>
            <w:r w:rsidRPr="003A573B">
              <w:rPr>
                <w:rFonts w:asciiTheme="majorBidi" w:hAnsiTheme="majorBidi" w:cstheme="majorBidi"/>
                <w:b/>
                <w:bCs/>
                <w:sz w:val="20"/>
                <w:szCs w:val="20"/>
              </w:rPr>
              <w:t xml:space="preserve"> </w:t>
            </w:r>
            <w:r w:rsidRPr="00142AC4">
              <w:rPr>
                <w:rFonts w:asciiTheme="majorBidi" w:hAnsiTheme="majorBidi" w:cstheme="majorBidi"/>
                <w:b/>
                <w:bCs/>
                <w:sz w:val="20"/>
                <w:szCs w:val="20"/>
              </w:rPr>
              <w:t>discharge that were omitted decreased</w:t>
            </w:r>
            <w:r w:rsidRPr="00142AC4">
              <w:rPr>
                <w:rFonts w:asciiTheme="majorBidi" w:hAnsiTheme="majorBidi" w:cstheme="majorBidi"/>
                <w:sz w:val="20"/>
                <w:szCs w:val="20"/>
              </w:rPr>
              <w:t xml:space="preserve"> from 1 omission</w:t>
            </w:r>
            <w:r>
              <w:rPr>
                <w:rFonts w:asciiTheme="majorBidi" w:hAnsiTheme="majorBidi" w:cstheme="majorBidi"/>
                <w:sz w:val="20"/>
                <w:szCs w:val="20"/>
              </w:rPr>
              <w:t xml:space="preserve"> per</w:t>
            </w:r>
          </w:p>
          <w:p w14:paraId="6BF94503" w14:textId="77777777" w:rsidR="00B85C9C" w:rsidRPr="008D6755" w:rsidRDefault="00B85C9C" w:rsidP="00CA6F03">
            <w:pPr>
              <w:rPr>
                <w:rFonts w:asciiTheme="majorBidi" w:hAnsiTheme="majorBidi" w:cstheme="majorBidi"/>
                <w:sz w:val="20"/>
                <w:szCs w:val="20"/>
              </w:rPr>
            </w:pPr>
            <w:r w:rsidRPr="00142AC4">
              <w:rPr>
                <w:rFonts w:asciiTheme="majorBidi" w:hAnsiTheme="majorBidi" w:cstheme="majorBidi"/>
                <w:sz w:val="20"/>
                <w:szCs w:val="20"/>
              </w:rPr>
              <w:t>month to 0 omissions</w:t>
            </w:r>
            <w:r>
              <w:rPr>
                <w:rFonts w:asciiTheme="majorBidi" w:hAnsiTheme="majorBidi" w:cstheme="majorBidi"/>
                <w:sz w:val="20"/>
                <w:szCs w:val="20"/>
              </w:rPr>
              <w:t xml:space="preserve"> per </w:t>
            </w:r>
            <w:r w:rsidRPr="00142AC4">
              <w:rPr>
                <w:rFonts w:asciiTheme="majorBidi" w:hAnsiTheme="majorBidi" w:cstheme="majorBidi"/>
                <w:sz w:val="20"/>
                <w:szCs w:val="20"/>
              </w:rPr>
              <w:t>month or 10.5% (4/38) to 0%</w:t>
            </w:r>
            <w:r>
              <w:rPr>
                <w:rFonts w:asciiTheme="majorBidi" w:hAnsiTheme="majorBidi" w:cstheme="majorBidi"/>
                <w:sz w:val="20"/>
                <w:szCs w:val="20"/>
              </w:rPr>
              <w:t xml:space="preserve"> </w:t>
            </w:r>
            <w:r w:rsidRPr="00142AC4">
              <w:rPr>
                <w:rFonts w:asciiTheme="majorBidi" w:hAnsiTheme="majorBidi" w:cstheme="majorBidi"/>
                <w:sz w:val="20"/>
                <w:szCs w:val="20"/>
              </w:rPr>
              <w:t>(0/40) (two proportion test, p=0.03)</w:t>
            </w:r>
            <w:r>
              <w:rPr>
                <w:rFonts w:asciiTheme="majorBidi" w:hAnsiTheme="majorBidi" w:cstheme="majorBidi"/>
                <w:sz w:val="20"/>
                <w:szCs w:val="20"/>
              </w:rPr>
              <w:t>.</w:t>
            </w:r>
          </w:p>
        </w:tc>
        <w:tc>
          <w:tcPr>
            <w:tcW w:w="1541" w:type="dxa"/>
          </w:tcPr>
          <w:p w14:paraId="54D9847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small single centre study, no control group. </w:t>
            </w:r>
          </w:p>
        </w:tc>
      </w:tr>
      <w:tr w:rsidR="00B85C9C" w:rsidRPr="008D6755" w14:paraId="2C3E090D" w14:textId="77777777" w:rsidTr="00CA6F03">
        <w:tc>
          <w:tcPr>
            <w:tcW w:w="1783" w:type="dxa"/>
            <w:tcBorders>
              <w:bottom w:val="single" w:sz="4" w:space="0" w:color="auto"/>
            </w:tcBorders>
          </w:tcPr>
          <w:p w14:paraId="12CD7E6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Dunn et al 2015</w:t>
            </w:r>
          </w:p>
          <w:p w14:paraId="31917BD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w:t>
            </w:r>
            <w:r w:rsidRPr="00B65B02">
              <w:rPr>
                <w:rFonts w:asciiTheme="majorBidi" w:hAnsiTheme="majorBidi" w:cstheme="majorBidi"/>
                <w:i/>
                <w:iCs/>
                <w:sz w:val="20"/>
                <w:szCs w:val="20"/>
              </w:rPr>
              <w:t>see also Day 2016: no statistical analysis</w:t>
            </w:r>
            <w:r>
              <w:rPr>
                <w:rFonts w:asciiTheme="majorBidi" w:hAnsiTheme="majorBidi" w:cstheme="majorBidi"/>
                <w:sz w:val="20"/>
                <w:szCs w:val="20"/>
              </w:rPr>
              <w:t>]</w:t>
            </w:r>
          </w:p>
        </w:tc>
        <w:tc>
          <w:tcPr>
            <w:tcW w:w="1638" w:type="dxa"/>
            <w:tcBorders>
              <w:bottom w:val="single" w:sz="4" w:space="0" w:color="auto"/>
            </w:tcBorders>
          </w:tcPr>
          <w:p w14:paraId="3549DFC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Pre/post- r</w:t>
            </w:r>
            <w:r w:rsidRPr="00E04A7C">
              <w:rPr>
                <w:rFonts w:asciiTheme="majorBidi" w:hAnsiTheme="majorBidi" w:cstheme="majorBidi"/>
                <w:sz w:val="20"/>
                <w:szCs w:val="20"/>
              </w:rPr>
              <w:t>etrospective administrative database</w:t>
            </w:r>
            <w:r>
              <w:rPr>
                <w:rFonts w:asciiTheme="majorBidi" w:hAnsiTheme="majorBidi" w:cstheme="majorBidi"/>
                <w:sz w:val="20"/>
                <w:szCs w:val="20"/>
              </w:rPr>
              <w:t xml:space="preserve"> </w:t>
            </w:r>
            <w:r w:rsidRPr="00E04A7C">
              <w:rPr>
                <w:rFonts w:asciiTheme="majorBidi" w:hAnsiTheme="majorBidi" w:cstheme="majorBidi"/>
                <w:sz w:val="20"/>
                <w:szCs w:val="20"/>
              </w:rPr>
              <w:t xml:space="preserve">review </w:t>
            </w:r>
            <w:r>
              <w:rPr>
                <w:rFonts w:asciiTheme="majorBidi" w:hAnsiTheme="majorBidi" w:cstheme="majorBidi"/>
                <w:sz w:val="20"/>
                <w:szCs w:val="20"/>
              </w:rPr>
              <w:t>(n =</w:t>
            </w:r>
            <w:r w:rsidRPr="00E04A7C">
              <w:rPr>
                <w:rFonts w:asciiTheme="majorBidi" w:hAnsiTheme="majorBidi" w:cstheme="majorBidi"/>
                <w:sz w:val="20"/>
                <w:szCs w:val="20"/>
              </w:rPr>
              <w:t xml:space="preserve"> </w:t>
            </w:r>
            <w:r>
              <w:rPr>
                <w:rFonts w:asciiTheme="majorBidi" w:hAnsiTheme="majorBidi" w:cstheme="majorBidi"/>
                <w:sz w:val="20"/>
                <w:szCs w:val="20"/>
              </w:rPr>
              <w:t>797)</w:t>
            </w:r>
            <w:r w:rsidRPr="00E04A7C">
              <w:rPr>
                <w:rFonts w:asciiTheme="majorBidi" w:hAnsiTheme="majorBidi" w:cstheme="majorBidi"/>
                <w:sz w:val="20"/>
                <w:szCs w:val="20"/>
              </w:rPr>
              <w:t xml:space="preserve"> </w:t>
            </w:r>
          </w:p>
          <w:p w14:paraId="6E1A6686" w14:textId="77777777" w:rsidR="00B85C9C" w:rsidRPr="008D6755" w:rsidRDefault="00B85C9C" w:rsidP="00CA6F03">
            <w:pPr>
              <w:rPr>
                <w:rFonts w:asciiTheme="majorBidi" w:hAnsiTheme="majorBidi" w:cstheme="majorBidi"/>
                <w:sz w:val="20"/>
                <w:szCs w:val="20"/>
              </w:rPr>
            </w:pPr>
          </w:p>
        </w:tc>
        <w:tc>
          <w:tcPr>
            <w:tcW w:w="1678" w:type="dxa"/>
            <w:tcBorders>
              <w:bottom w:val="single" w:sz="4" w:space="0" w:color="auto"/>
            </w:tcBorders>
          </w:tcPr>
          <w:p w14:paraId="05DC1A58"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Hospital inpatients </w:t>
            </w:r>
            <w:r w:rsidRPr="00E04A7C">
              <w:rPr>
                <w:rFonts w:asciiTheme="majorBidi" w:hAnsiTheme="majorBidi" w:cstheme="majorBidi"/>
                <w:sz w:val="20"/>
                <w:szCs w:val="20"/>
              </w:rPr>
              <w:t>who were discharged on</w:t>
            </w:r>
            <w:r>
              <w:rPr>
                <w:rFonts w:asciiTheme="majorBidi" w:hAnsiTheme="majorBidi" w:cstheme="majorBidi"/>
                <w:sz w:val="20"/>
                <w:szCs w:val="20"/>
              </w:rPr>
              <w:t xml:space="preserve"> </w:t>
            </w:r>
            <w:r w:rsidRPr="00E04A7C">
              <w:rPr>
                <w:rFonts w:asciiTheme="majorBidi" w:hAnsiTheme="majorBidi" w:cstheme="majorBidi"/>
                <w:sz w:val="20"/>
                <w:szCs w:val="20"/>
              </w:rPr>
              <w:t>warfarin and were established patients at an affiliated</w:t>
            </w:r>
            <w:r>
              <w:rPr>
                <w:rFonts w:asciiTheme="majorBidi" w:hAnsiTheme="majorBidi" w:cstheme="majorBidi"/>
                <w:sz w:val="20"/>
                <w:szCs w:val="20"/>
              </w:rPr>
              <w:t xml:space="preserve"> a</w:t>
            </w:r>
            <w:r w:rsidRPr="00E04A7C">
              <w:rPr>
                <w:rFonts w:asciiTheme="majorBidi" w:hAnsiTheme="majorBidi" w:cstheme="majorBidi"/>
                <w:sz w:val="20"/>
                <w:szCs w:val="20"/>
              </w:rPr>
              <w:t>mbulatory</w:t>
            </w:r>
            <w:r>
              <w:rPr>
                <w:rFonts w:asciiTheme="majorBidi" w:hAnsiTheme="majorBidi" w:cstheme="majorBidi"/>
                <w:sz w:val="20"/>
                <w:szCs w:val="20"/>
              </w:rPr>
              <w:t xml:space="preserve"> </w:t>
            </w:r>
            <w:r w:rsidRPr="00E04A7C">
              <w:rPr>
                <w:rFonts w:asciiTheme="majorBidi" w:hAnsiTheme="majorBidi" w:cstheme="majorBidi"/>
                <w:sz w:val="20"/>
                <w:szCs w:val="20"/>
              </w:rPr>
              <w:t>practice.</w:t>
            </w:r>
          </w:p>
        </w:tc>
        <w:tc>
          <w:tcPr>
            <w:tcW w:w="2699" w:type="dxa"/>
            <w:tcBorders>
              <w:bottom w:val="single" w:sz="4" w:space="0" w:color="auto"/>
            </w:tcBorders>
          </w:tcPr>
          <w:p w14:paraId="67EB5897" w14:textId="77777777" w:rsidR="00B85C9C" w:rsidRPr="00E04A7C" w:rsidRDefault="00B85C9C" w:rsidP="00CA6F03">
            <w:pPr>
              <w:rPr>
                <w:rFonts w:asciiTheme="majorBidi" w:hAnsiTheme="majorBidi" w:cstheme="majorBidi"/>
                <w:sz w:val="20"/>
                <w:szCs w:val="20"/>
              </w:rPr>
            </w:pPr>
            <w:r>
              <w:rPr>
                <w:rFonts w:asciiTheme="majorBidi" w:hAnsiTheme="majorBidi" w:cstheme="majorBidi"/>
                <w:sz w:val="20"/>
                <w:szCs w:val="20"/>
              </w:rPr>
              <w:t xml:space="preserve">‘Safe transitions’ discharge form, </w:t>
            </w:r>
            <w:r w:rsidRPr="00673C1C">
              <w:rPr>
                <w:rFonts w:asciiTheme="majorBidi" w:hAnsiTheme="majorBidi" w:cstheme="majorBidi"/>
                <w:b/>
                <w:bCs/>
                <w:sz w:val="20"/>
                <w:szCs w:val="20"/>
              </w:rPr>
              <w:t>a concise discharge report</w:t>
            </w:r>
            <w:r w:rsidRPr="00E04A7C">
              <w:rPr>
                <w:rFonts w:asciiTheme="majorBidi" w:hAnsiTheme="majorBidi" w:cstheme="majorBidi"/>
                <w:sz w:val="20"/>
                <w:szCs w:val="20"/>
              </w:rPr>
              <w:t xml:space="preserve"> to improve the timeliness</w:t>
            </w:r>
          </w:p>
          <w:p w14:paraId="4AB282A7" w14:textId="77777777" w:rsidR="00B85C9C" w:rsidRPr="00E04A7C" w:rsidRDefault="00B85C9C" w:rsidP="00CA6F03">
            <w:pPr>
              <w:rPr>
                <w:rFonts w:asciiTheme="majorBidi" w:hAnsiTheme="majorBidi" w:cstheme="majorBidi"/>
                <w:sz w:val="20"/>
                <w:szCs w:val="20"/>
              </w:rPr>
            </w:pPr>
            <w:r w:rsidRPr="00E04A7C">
              <w:rPr>
                <w:rFonts w:asciiTheme="majorBidi" w:hAnsiTheme="majorBidi" w:cstheme="majorBidi"/>
                <w:sz w:val="20"/>
                <w:szCs w:val="20"/>
              </w:rPr>
              <w:t>of international normalized ratio (INR) testing and quality</w:t>
            </w:r>
          </w:p>
          <w:p w14:paraId="3D4B2CCA" w14:textId="77777777" w:rsidR="00B85C9C" w:rsidRDefault="00B85C9C" w:rsidP="00CA6F03">
            <w:pPr>
              <w:rPr>
                <w:rFonts w:asciiTheme="majorBidi" w:hAnsiTheme="majorBidi" w:cstheme="majorBidi"/>
                <w:sz w:val="20"/>
                <w:szCs w:val="20"/>
              </w:rPr>
            </w:pPr>
            <w:r w:rsidRPr="00E04A7C">
              <w:rPr>
                <w:rFonts w:asciiTheme="majorBidi" w:hAnsiTheme="majorBidi" w:cstheme="majorBidi"/>
                <w:sz w:val="20"/>
                <w:szCs w:val="20"/>
              </w:rPr>
              <w:t>of warfarin management post</w:t>
            </w:r>
            <w:r>
              <w:rPr>
                <w:rFonts w:asciiTheme="majorBidi" w:hAnsiTheme="majorBidi" w:cstheme="majorBidi"/>
                <w:sz w:val="20"/>
                <w:szCs w:val="20"/>
              </w:rPr>
              <w:t>-</w:t>
            </w:r>
            <w:r w:rsidRPr="00E04A7C">
              <w:rPr>
                <w:rFonts w:asciiTheme="majorBidi" w:hAnsiTheme="majorBidi" w:cstheme="majorBidi"/>
                <w:sz w:val="20"/>
                <w:szCs w:val="20"/>
              </w:rPr>
              <w:t>hospitalization</w:t>
            </w:r>
            <w:r>
              <w:rPr>
                <w:rFonts w:asciiTheme="majorBidi" w:hAnsiTheme="majorBidi" w:cstheme="majorBidi"/>
                <w:sz w:val="20"/>
                <w:szCs w:val="20"/>
              </w:rPr>
              <w:t>.</w:t>
            </w:r>
          </w:p>
          <w:p w14:paraId="08021F59" w14:textId="77777777" w:rsidR="00B85C9C" w:rsidRPr="008D6755" w:rsidRDefault="00B85C9C" w:rsidP="00CA6F03">
            <w:pPr>
              <w:rPr>
                <w:rFonts w:asciiTheme="majorBidi" w:hAnsiTheme="majorBidi" w:cstheme="majorBidi"/>
                <w:sz w:val="20"/>
                <w:szCs w:val="20"/>
              </w:rPr>
            </w:pPr>
          </w:p>
        </w:tc>
        <w:tc>
          <w:tcPr>
            <w:tcW w:w="1472" w:type="dxa"/>
            <w:tcBorders>
              <w:bottom w:val="single" w:sz="4" w:space="0" w:color="auto"/>
            </w:tcBorders>
          </w:tcPr>
          <w:p w14:paraId="5479444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 pre-intervention</w:t>
            </w:r>
          </w:p>
        </w:tc>
        <w:tc>
          <w:tcPr>
            <w:tcW w:w="3139" w:type="dxa"/>
            <w:tcBorders>
              <w:bottom w:val="single" w:sz="4" w:space="0" w:color="auto"/>
            </w:tcBorders>
          </w:tcPr>
          <w:p w14:paraId="4B3CC19D" w14:textId="77777777" w:rsidR="00B85C9C" w:rsidRDefault="00B85C9C" w:rsidP="00CA6F03">
            <w:pPr>
              <w:rPr>
                <w:rFonts w:asciiTheme="majorBidi" w:hAnsiTheme="majorBidi" w:cstheme="majorBidi"/>
                <w:sz w:val="20"/>
                <w:szCs w:val="20"/>
              </w:rPr>
            </w:pPr>
            <w:r w:rsidRPr="00673C1C">
              <w:rPr>
                <w:rFonts w:asciiTheme="majorBidi" w:hAnsiTheme="majorBidi" w:cstheme="majorBidi"/>
                <w:sz w:val="20"/>
                <w:szCs w:val="20"/>
              </w:rPr>
              <w:t>There was no change in the frequency of obtaining an INR</w:t>
            </w:r>
            <w:r>
              <w:rPr>
                <w:rFonts w:asciiTheme="majorBidi" w:hAnsiTheme="majorBidi" w:cstheme="majorBidi"/>
                <w:sz w:val="20"/>
                <w:szCs w:val="20"/>
              </w:rPr>
              <w:t xml:space="preserve"> </w:t>
            </w:r>
            <w:r w:rsidRPr="00673C1C">
              <w:rPr>
                <w:rFonts w:asciiTheme="majorBidi" w:hAnsiTheme="majorBidi" w:cstheme="majorBidi"/>
                <w:sz w:val="20"/>
                <w:szCs w:val="20"/>
              </w:rPr>
              <w:t>value within 10 days of discharge (41.4% and 47.6%,</w:t>
            </w:r>
            <w:r>
              <w:rPr>
                <w:rFonts w:asciiTheme="majorBidi" w:hAnsiTheme="majorBidi" w:cstheme="majorBidi"/>
                <w:sz w:val="20"/>
                <w:szCs w:val="20"/>
              </w:rPr>
              <w:t xml:space="preserve"> </w:t>
            </w:r>
            <w:r w:rsidRPr="00673C1C">
              <w:rPr>
                <w:rFonts w:asciiTheme="majorBidi" w:hAnsiTheme="majorBidi" w:cstheme="majorBidi"/>
                <w:sz w:val="20"/>
                <w:szCs w:val="20"/>
              </w:rPr>
              <w:t>respectively, P</w:t>
            </w:r>
            <w:r>
              <w:rPr>
                <w:rFonts w:asciiTheme="majorBidi" w:hAnsiTheme="majorBidi" w:cstheme="majorBidi"/>
                <w:sz w:val="20"/>
                <w:szCs w:val="20"/>
              </w:rPr>
              <w:t xml:space="preserve"> = </w:t>
            </w:r>
            <w:r w:rsidRPr="00673C1C">
              <w:rPr>
                <w:rFonts w:asciiTheme="majorBidi" w:hAnsiTheme="majorBidi" w:cstheme="majorBidi"/>
                <w:sz w:val="20"/>
                <w:szCs w:val="20"/>
              </w:rPr>
              <w:t>0.09), and no increase in attaining a therapeutic</w:t>
            </w:r>
            <w:r>
              <w:rPr>
                <w:rFonts w:asciiTheme="majorBidi" w:hAnsiTheme="majorBidi" w:cstheme="majorBidi"/>
                <w:sz w:val="20"/>
                <w:szCs w:val="20"/>
              </w:rPr>
              <w:t xml:space="preserve"> </w:t>
            </w:r>
            <w:r w:rsidRPr="00673C1C">
              <w:rPr>
                <w:rFonts w:asciiTheme="majorBidi" w:hAnsiTheme="majorBidi" w:cstheme="majorBidi"/>
                <w:sz w:val="20"/>
                <w:szCs w:val="20"/>
              </w:rPr>
              <w:t>INR level within 10 days of discharge (17.0% and</w:t>
            </w:r>
            <w:r>
              <w:rPr>
                <w:rFonts w:asciiTheme="majorBidi" w:hAnsiTheme="majorBidi" w:cstheme="majorBidi"/>
                <w:sz w:val="20"/>
                <w:szCs w:val="20"/>
              </w:rPr>
              <w:t xml:space="preserve"> </w:t>
            </w:r>
            <w:r w:rsidRPr="00673C1C">
              <w:rPr>
                <w:rFonts w:asciiTheme="majorBidi" w:hAnsiTheme="majorBidi" w:cstheme="majorBidi"/>
                <w:sz w:val="20"/>
                <w:szCs w:val="20"/>
              </w:rPr>
              <w:t>21.2%, respectively, P</w:t>
            </w:r>
            <w:r>
              <w:rPr>
                <w:rFonts w:asciiTheme="majorBidi" w:hAnsiTheme="majorBidi" w:cstheme="majorBidi"/>
                <w:sz w:val="20"/>
                <w:szCs w:val="20"/>
              </w:rPr>
              <w:t xml:space="preserve"> = </w:t>
            </w:r>
            <w:r w:rsidRPr="00673C1C">
              <w:rPr>
                <w:rFonts w:asciiTheme="majorBidi" w:hAnsiTheme="majorBidi" w:cstheme="majorBidi"/>
                <w:sz w:val="20"/>
                <w:szCs w:val="20"/>
              </w:rPr>
              <w:t>0.14). Ambulatory clinicians</w:t>
            </w:r>
            <w:r>
              <w:rPr>
                <w:rFonts w:asciiTheme="majorBidi" w:hAnsiTheme="majorBidi" w:cstheme="majorBidi"/>
                <w:sz w:val="20"/>
                <w:szCs w:val="20"/>
              </w:rPr>
              <w:t xml:space="preserve"> </w:t>
            </w:r>
            <w:r w:rsidRPr="00673C1C">
              <w:rPr>
                <w:rFonts w:asciiTheme="majorBidi" w:hAnsiTheme="majorBidi" w:cstheme="majorBidi"/>
                <w:sz w:val="20"/>
                <w:szCs w:val="20"/>
              </w:rPr>
              <w:t>reported that the STAR improved “workflow and efficiency”</w:t>
            </w:r>
            <w:r>
              <w:rPr>
                <w:rFonts w:asciiTheme="majorBidi" w:hAnsiTheme="majorBidi" w:cstheme="majorBidi"/>
                <w:sz w:val="20"/>
                <w:szCs w:val="20"/>
              </w:rPr>
              <w:t xml:space="preserve"> (</w:t>
            </w:r>
            <w:r w:rsidRPr="00673C1C">
              <w:rPr>
                <w:rFonts w:asciiTheme="majorBidi" w:hAnsiTheme="majorBidi" w:cstheme="majorBidi"/>
                <w:sz w:val="20"/>
                <w:szCs w:val="20"/>
              </w:rPr>
              <w:t>58%) and “patient safety” (77%), and led to an altered</w:t>
            </w:r>
            <w:r>
              <w:rPr>
                <w:rFonts w:asciiTheme="majorBidi" w:hAnsiTheme="majorBidi" w:cstheme="majorBidi"/>
                <w:sz w:val="20"/>
                <w:szCs w:val="20"/>
              </w:rPr>
              <w:t xml:space="preserve"> </w:t>
            </w:r>
            <w:r w:rsidRPr="00673C1C">
              <w:rPr>
                <w:rFonts w:asciiTheme="majorBidi" w:hAnsiTheme="majorBidi" w:cstheme="majorBidi"/>
                <w:sz w:val="20"/>
                <w:szCs w:val="20"/>
              </w:rPr>
              <w:t>warfarin dose for 34% of survey respondents</w:t>
            </w:r>
            <w:r>
              <w:rPr>
                <w:rFonts w:asciiTheme="majorBidi" w:hAnsiTheme="majorBidi" w:cstheme="majorBidi"/>
                <w:sz w:val="20"/>
                <w:szCs w:val="20"/>
              </w:rPr>
              <w:t xml:space="preserve">. </w:t>
            </w:r>
          </w:p>
          <w:p w14:paraId="4B2EBC87" w14:textId="45B622FB" w:rsidR="00B85C9C" w:rsidRPr="008D6755" w:rsidRDefault="00B85C9C">
            <w:pPr>
              <w:rPr>
                <w:rFonts w:asciiTheme="majorBidi" w:hAnsiTheme="majorBidi" w:cstheme="majorBidi"/>
                <w:sz w:val="20"/>
                <w:szCs w:val="20"/>
              </w:rPr>
            </w:pPr>
            <w:r>
              <w:rPr>
                <w:rFonts w:asciiTheme="majorBidi" w:hAnsiTheme="majorBidi" w:cstheme="majorBidi"/>
                <w:sz w:val="20"/>
                <w:szCs w:val="20"/>
              </w:rPr>
              <w:t>A</w:t>
            </w:r>
            <w:r w:rsidRPr="00673C1C">
              <w:rPr>
                <w:rFonts w:asciiTheme="majorBidi" w:hAnsiTheme="majorBidi" w:cstheme="majorBidi"/>
                <w:sz w:val="20"/>
                <w:szCs w:val="20"/>
              </w:rPr>
              <w:t xml:space="preserve"> concise anticoagulation repor</w:t>
            </w:r>
            <w:r>
              <w:rPr>
                <w:rFonts w:asciiTheme="majorBidi" w:hAnsiTheme="majorBidi" w:cstheme="majorBidi"/>
                <w:sz w:val="20"/>
                <w:szCs w:val="20"/>
              </w:rPr>
              <w:t xml:space="preserve">t </w:t>
            </w:r>
            <w:r w:rsidRPr="00673C1C">
              <w:rPr>
                <w:rFonts w:asciiTheme="majorBidi" w:hAnsiTheme="majorBidi" w:cstheme="majorBidi"/>
                <w:sz w:val="20"/>
                <w:szCs w:val="20"/>
              </w:rPr>
              <w:t>embedded in the discharge summary was perceived by</w:t>
            </w:r>
            <w:r>
              <w:rPr>
                <w:rFonts w:asciiTheme="majorBidi" w:hAnsiTheme="majorBidi" w:cstheme="majorBidi"/>
                <w:sz w:val="20"/>
                <w:szCs w:val="20"/>
              </w:rPr>
              <w:t xml:space="preserve"> </w:t>
            </w:r>
            <w:r w:rsidRPr="00673C1C">
              <w:rPr>
                <w:rFonts w:asciiTheme="majorBidi" w:hAnsiTheme="majorBidi" w:cstheme="majorBidi"/>
                <w:sz w:val="20"/>
                <w:szCs w:val="20"/>
              </w:rPr>
              <w:t>ambulatory physicians as improving patient safety, but had</w:t>
            </w:r>
            <w:r>
              <w:rPr>
                <w:rFonts w:asciiTheme="majorBidi" w:hAnsiTheme="majorBidi" w:cstheme="majorBidi"/>
                <w:sz w:val="20"/>
                <w:szCs w:val="20"/>
              </w:rPr>
              <w:t xml:space="preserve"> </w:t>
            </w:r>
            <w:r w:rsidRPr="00673C1C">
              <w:rPr>
                <w:rFonts w:asciiTheme="majorBidi" w:hAnsiTheme="majorBidi" w:cstheme="majorBidi"/>
                <w:b/>
                <w:bCs/>
                <w:sz w:val="20"/>
                <w:szCs w:val="20"/>
              </w:rPr>
              <w:t>no impact on clinical outcomes</w:t>
            </w:r>
            <w:r>
              <w:rPr>
                <w:rFonts w:asciiTheme="majorBidi" w:hAnsiTheme="majorBidi" w:cstheme="majorBidi"/>
                <w:sz w:val="20"/>
                <w:szCs w:val="20"/>
              </w:rPr>
              <w:t xml:space="preserve">. </w:t>
            </w:r>
          </w:p>
        </w:tc>
        <w:tc>
          <w:tcPr>
            <w:tcW w:w="1541" w:type="dxa"/>
            <w:tcBorders>
              <w:bottom w:val="single" w:sz="4" w:space="0" w:color="auto"/>
            </w:tcBorders>
          </w:tcPr>
          <w:p w14:paraId="5B0364C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single centre, retrospective, non-randomized</w:t>
            </w:r>
          </w:p>
        </w:tc>
      </w:tr>
      <w:tr w:rsidR="00B85C9C" w:rsidRPr="001A1529" w14:paraId="0E265BC1" w14:textId="77777777" w:rsidTr="00CA6F03">
        <w:tc>
          <w:tcPr>
            <w:tcW w:w="1783" w:type="dxa"/>
            <w:shd w:val="clear" w:color="auto" w:fill="F2F2F2" w:themeFill="background1" w:themeFillShade="F2"/>
          </w:tcPr>
          <w:p w14:paraId="62EDFAA2" w14:textId="77777777" w:rsidR="00B85C9C" w:rsidRPr="00E434CF" w:rsidRDefault="00B85C9C" w:rsidP="00CA6F03">
            <w:pPr>
              <w:rPr>
                <w:rFonts w:asciiTheme="majorBidi" w:hAnsiTheme="majorBidi" w:cstheme="majorBidi"/>
                <w:b/>
                <w:bCs/>
                <w:sz w:val="20"/>
                <w:szCs w:val="20"/>
              </w:rPr>
            </w:pPr>
            <w:r w:rsidRPr="00E434CF">
              <w:rPr>
                <w:rFonts w:asciiTheme="majorBidi" w:hAnsiTheme="majorBidi" w:cstheme="majorBidi"/>
                <w:b/>
                <w:bCs/>
                <w:sz w:val="20"/>
                <w:szCs w:val="20"/>
              </w:rPr>
              <w:t>Pharmacist Interventions</w:t>
            </w:r>
          </w:p>
        </w:tc>
        <w:tc>
          <w:tcPr>
            <w:tcW w:w="1638" w:type="dxa"/>
            <w:shd w:val="clear" w:color="auto" w:fill="F2F2F2" w:themeFill="background1" w:themeFillShade="F2"/>
          </w:tcPr>
          <w:p w14:paraId="5EB4FA8E" w14:textId="77777777" w:rsidR="00B85C9C" w:rsidRPr="001A1529" w:rsidRDefault="00B85C9C" w:rsidP="00CA6F03">
            <w:pPr>
              <w:rPr>
                <w:rFonts w:asciiTheme="majorBidi" w:hAnsiTheme="majorBidi" w:cstheme="majorBidi"/>
                <w:b/>
                <w:bCs/>
                <w:sz w:val="20"/>
                <w:szCs w:val="20"/>
              </w:rPr>
            </w:pPr>
          </w:p>
        </w:tc>
        <w:tc>
          <w:tcPr>
            <w:tcW w:w="1678" w:type="dxa"/>
            <w:shd w:val="clear" w:color="auto" w:fill="F2F2F2" w:themeFill="background1" w:themeFillShade="F2"/>
          </w:tcPr>
          <w:p w14:paraId="5FFD1464" w14:textId="77777777" w:rsidR="00B85C9C" w:rsidRPr="001A1529" w:rsidRDefault="00B85C9C" w:rsidP="00CA6F03">
            <w:pPr>
              <w:rPr>
                <w:rFonts w:asciiTheme="majorBidi" w:hAnsiTheme="majorBidi" w:cstheme="majorBidi"/>
                <w:b/>
                <w:bCs/>
                <w:sz w:val="20"/>
                <w:szCs w:val="20"/>
              </w:rPr>
            </w:pPr>
          </w:p>
        </w:tc>
        <w:tc>
          <w:tcPr>
            <w:tcW w:w="2699" w:type="dxa"/>
            <w:shd w:val="clear" w:color="auto" w:fill="F2F2F2" w:themeFill="background1" w:themeFillShade="F2"/>
          </w:tcPr>
          <w:p w14:paraId="0B04355F" w14:textId="77777777" w:rsidR="00B85C9C" w:rsidRPr="001A1529" w:rsidRDefault="00B85C9C" w:rsidP="00CA6F03">
            <w:pPr>
              <w:rPr>
                <w:rFonts w:asciiTheme="majorBidi" w:hAnsiTheme="majorBidi" w:cstheme="majorBidi"/>
                <w:b/>
                <w:bCs/>
                <w:sz w:val="20"/>
                <w:szCs w:val="20"/>
              </w:rPr>
            </w:pPr>
          </w:p>
        </w:tc>
        <w:tc>
          <w:tcPr>
            <w:tcW w:w="1472" w:type="dxa"/>
            <w:shd w:val="clear" w:color="auto" w:fill="F2F2F2" w:themeFill="background1" w:themeFillShade="F2"/>
          </w:tcPr>
          <w:p w14:paraId="3B802659" w14:textId="77777777" w:rsidR="00B85C9C" w:rsidRPr="001A1529" w:rsidRDefault="00B85C9C" w:rsidP="00CA6F03">
            <w:pPr>
              <w:rPr>
                <w:rFonts w:asciiTheme="majorBidi" w:hAnsiTheme="majorBidi" w:cstheme="majorBidi"/>
                <w:b/>
                <w:bCs/>
                <w:sz w:val="20"/>
                <w:szCs w:val="20"/>
              </w:rPr>
            </w:pPr>
          </w:p>
        </w:tc>
        <w:tc>
          <w:tcPr>
            <w:tcW w:w="3139" w:type="dxa"/>
            <w:shd w:val="clear" w:color="auto" w:fill="F2F2F2" w:themeFill="background1" w:themeFillShade="F2"/>
          </w:tcPr>
          <w:p w14:paraId="3E4BFDF2" w14:textId="77777777" w:rsidR="00B85C9C" w:rsidRPr="001A1529" w:rsidRDefault="00B85C9C" w:rsidP="00CA6F03">
            <w:pPr>
              <w:rPr>
                <w:rFonts w:asciiTheme="majorBidi" w:hAnsiTheme="majorBidi" w:cstheme="majorBidi"/>
                <w:b/>
                <w:bCs/>
                <w:sz w:val="20"/>
                <w:szCs w:val="20"/>
              </w:rPr>
            </w:pPr>
          </w:p>
        </w:tc>
        <w:tc>
          <w:tcPr>
            <w:tcW w:w="1541" w:type="dxa"/>
            <w:shd w:val="clear" w:color="auto" w:fill="F2F2F2" w:themeFill="background1" w:themeFillShade="F2"/>
          </w:tcPr>
          <w:p w14:paraId="045A100C" w14:textId="77777777" w:rsidR="00B85C9C" w:rsidRPr="001A1529" w:rsidRDefault="00B85C9C" w:rsidP="00CA6F03">
            <w:pPr>
              <w:rPr>
                <w:rFonts w:asciiTheme="majorBidi" w:hAnsiTheme="majorBidi" w:cstheme="majorBidi"/>
                <w:b/>
                <w:bCs/>
                <w:sz w:val="20"/>
                <w:szCs w:val="20"/>
              </w:rPr>
            </w:pPr>
          </w:p>
        </w:tc>
      </w:tr>
      <w:tr w:rsidR="00B85C9C" w:rsidRPr="001A1529" w14:paraId="75320B77" w14:textId="77777777" w:rsidTr="00CA6F03">
        <w:tc>
          <w:tcPr>
            <w:tcW w:w="1783" w:type="dxa"/>
          </w:tcPr>
          <w:p w14:paraId="709AA1D9"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Karaoui</w:t>
            </w:r>
            <w:proofErr w:type="spellEnd"/>
            <w:r>
              <w:rPr>
                <w:rFonts w:asciiTheme="majorBidi" w:hAnsiTheme="majorBidi" w:cstheme="majorBidi"/>
                <w:sz w:val="20"/>
                <w:szCs w:val="20"/>
              </w:rPr>
              <w:t xml:space="preserve"> et al 2021</w:t>
            </w:r>
          </w:p>
          <w:p w14:paraId="773FFE82" w14:textId="335B00D1" w:rsidR="00B85C9C" w:rsidRPr="001A1529" w:rsidRDefault="00B85C9C" w:rsidP="00CA6F03">
            <w:pPr>
              <w:rPr>
                <w:rFonts w:asciiTheme="majorBidi" w:hAnsiTheme="majorBidi" w:cstheme="majorBidi"/>
                <w:sz w:val="20"/>
                <w:szCs w:val="20"/>
              </w:rPr>
            </w:pPr>
          </w:p>
        </w:tc>
        <w:tc>
          <w:tcPr>
            <w:tcW w:w="1638" w:type="dxa"/>
          </w:tcPr>
          <w:p w14:paraId="6D13CB04"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R</w:t>
            </w:r>
            <w:r w:rsidRPr="0094330B">
              <w:rPr>
                <w:rFonts w:asciiTheme="majorBidi" w:hAnsiTheme="majorBidi" w:cstheme="majorBidi"/>
                <w:sz w:val="20"/>
                <w:szCs w:val="20"/>
              </w:rPr>
              <w:t>andomized, non-blinded interventional study</w:t>
            </w:r>
            <w:r>
              <w:rPr>
                <w:rFonts w:asciiTheme="majorBidi" w:hAnsiTheme="majorBidi" w:cstheme="majorBidi"/>
                <w:sz w:val="20"/>
                <w:szCs w:val="20"/>
              </w:rPr>
              <w:t xml:space="preserve"> (RCT) (n = 200)</w:t>
            </w:r>
          </w:p>
        </w:tc>
        <w:tc>
          <w:tcPr>
            <w:tcW w:w="1678" w:type="dxa"/>
          </w:tcPr>
          <w:p w14:paraId="2B605A28" w14:textId="77777777" w:rsidR="00B85C9C" w:rsidRPr="0094330B" w:rsidRDefault="00B85C9C" w:rsidP="00CA6F03">
            <w:pPr>
              <w:rPr>
                <w:rFonts w:asciiTheme="majorBidi" w:hAnsiTheme="majorBidi" w:cstheme="majorBidi"/>
                <w:sz w:val="20"/>
                <w:szCs w:val="20"/>
              </w:rPr>
            </w:pPr>
            <w:r>
              <w:rPr>
                <w:rFonts w:asciiTheme="majorBidi" w:hAnsiTheme="majorBidi" w:cstheme="majorBidi"/>
                <w:sz w:val="20"/>
                <w:szCs w:val="20"/>
              </w:rPr>
              <w:t>Lebanon, i</w:t>
            </w:r>
            <w:r w:rsidRPr="0094330B">
              <w:rPr>
                <w:rFonts w:asciiTheme="majorBidi" w:hAnsiTheme="majorBidi" w:cstheme="majorBidi"/>
                <w:sz w:val="20"/>
                <w:szCs w:val="20"/>
              </w:rPr>
              <w:t>npatients ≥18 years discharged on an oral</w:t>
            </w:r>
          </w:p>
          <w:p w14:paraId="2A6F7431" w14:textId="77777777" w:rsidR="00B85C9C" w:rsidRDefault="00B85C9C" w:rsidP="00CA6F03">
            <w:pPr>
              <w:rPr>
                <w:rFonts w:asciiTheme="majorBidi" w:hAnsiTheme="majorBidi" w:cstheme="majorBidi"/>
                <w:sz w:val="20"/>
                <w:szCs w:val="20"/>
              </w:rPr>
            </w:pPr>
            <w:r w:rsidRPr="0094330B">
              <w:rPr>
                <w:rFonts w:asciiTheme="majorBidi" w:hAnsiTheme="majorBidi" w:cstheme="majorBidi"/>
                <w:sz w:val="20"/>
                <w:szCs w:val="20"/>
              </w:rPr>
              <w:t>anticoagulant for treatment.</w:t>
            </w:r>
          </w:p>
          <w:p w14:paraId="10C95678" w14:textId="77777777" w:rsidR="00B85C9C" w:rsidRPr="001A1529" w:rsidRDefault="00B85C9C" w:rsidP="00CA6F03">
            <w:pPr>
              <w:rPr>
                <w:rFonts w:asciiTheme="majorBidi" w:hAnsiTheme="majorBidi" w:cstheme="majorBidi"/>
                <w:b/>
                <w:bCs/>
                <w:sz w:val="20"/>
                <w:szCs w:val="20"/>
              </w:rPr>
            </w:pPr>
          </w:p>
        </w:tc>
        <w:tc>
          <w:tcPr>
            <w:tcW w:w="2699" w:type="dxa"/>
          </w:tcPr>
          <w:p w14:paraId="1706E4D5"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 xml:space="preserve">Standard nursing counselling plus </w:t>
            </w:r>
            <w:r w:rsidRPr="009E4288">
              <w:rPr>
                <w:rFonts w:asciiTheme="majorBidi" w:hAnsiTheme="majorBidi" w:cstheme="majorBidi"/>
                <w:b/>
                <w:bCs/>
                <w:sz w:val="20"/>
                <w:szCs w:val="20"/>
              </w:rPr>
              <w:t>pharmacy counselling</w:t>
            </w:r>
            <w:r>
              <w:rPr>
                <w:rFonts w:asciiTheme="majorBidi" w:hAnsiTheme="majorBidi" w:cstheme="majorBidi"/>
                <w:sz w:val="20"/>
                <w:szCs w:val="20"/>
              </w:rPr>
              <w:t xml:space="preserve">: </w:t>
            </w:r>
            <w:r w:rsidRPr="00072122">
              <w:rPr>
                <w:rFonts w:asciiTheme="majorBidi" w:hAnsiTheme="majorBidi" w:cstheme="majorBidi"/>
                <w:sz w:val="20"/>
                <w:szCs w:val="20"/>
              </w:rPr>
              <w:t>Phone call follow-ups</w:t>
            </w:r>
            <w:r>
              <w:rPr>
                <w:rFonts w:asciiTheme="majorBidi" w:hAnsiTheme="majorBidi" w:cstheme="majorBidi"/>
                <w:sz w:val="20"/>
                <w:szCs w:val="20"/>
              </w:rPr>
              <w:t xml:space="preserve"> </w:t>
            </w:r>
            <w:r w:rsidRPr="00072122">
              <w:rPr>
                <w:rFonts w:asciiTheme="majorBidi" w:hAnsiTheme="majorBidi" w:cstheme="majorBidi"/>
                <w:sz w:val="20"/>
                <w:szCs w:val="20"/>
              </w:rPr>
              <w:t>on day 3 and 30 post-discharge</w:t>
            </w:r>
          </w:p>
        </w:tc>
        <w:tc>
          <w:tcPr>
            <w:tcW w:w="1472" w:type="dxa"/>
          </w:tcPr>
          <w:p w14:paraId="7E856B6F"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Standard nursing counselling</w:t>
            </w:r>
          </w:p>
        </w:tc>
        <w:tc>
          <w:tcPr>
            <w:tcW w:w="3139" w:type="dxa"/>
          </w:tcPr>
          <w:p w14:paraId="5F777A08"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w:t>
            </w:r>
            <w:r w:rsidRPr="00135047">
              <w:rPr>
                <w:rFonts w:asciiTheme="majorBidi" w:hAnsiTheme="majorBidi" w:cstheme="majorBidi"/>
                <w:sz w:val="20"/>
                <w:szCs w:val="20"/>
              </w:rPr>
              <w:t xml:space="preserve">harmacist education </w:t>
            </w:r>
            <w:r w:rsidRPr="00135047">
              <w:rPr>
                <w:rFonts w:asciiTheme="majorBidi" w:hAnsiTheme="majorBidi" w:cstheme="majorBidi"/>
                <w:b/>
                <w:bCs/>
                <w:sz w:val="20"/>
                <w:szCs w:val="20"/>
              </w:rPr>
              <w:t>significantly increased patient communication with their providers</w:t>
            </w:r>
            <w:r w:rsidRPr="00135047">
              <w:rPr>
                <w:rFonts w:asciiTheme="majorBidi" w:hAnsiTheme="majorBidi" w:cstheme="majorBidi"/>
                <w:sz w:val="20"/>
                <w:szCs w:val="20"/>
              </w:rPr>
              <w:t xml:space="preserve"> in</w:t>
            </w:r>
            <w:r>
              <w:rPr>
                <w:rFonts w:asciiTheme="majorBidi" w:hAnsiTheme="majorBidi" w:cstheme="majorBidi"/>
                <w:sz w:val="20"/>
                <w:szCs w:val="20"/>
              </w:rPr>
              <w:t xml:space="preserve"> </w:t>
            </w:r>
            <w:r w:rsidRPr="00135047">
              <w:rPr>
                <w:rFonts w:asciiTheme="majorBidi" w:hAnsiTheme="majorBidi" w:cstheme="majorBidi"/>
                <w:sz w:val="20"/>
                <w:szCs w:val="20"/>
              </w:rPr>
              <w:t>the early days post-discharge.</w:t>
            </w:r>
          </w:p>
          <w:p w14:paraId="059176BA" w14:textId="77777777" w:rsidR="00B85C9C" w:rsidRPr="00135047" w:rsidRDefault="00B85C9C" w:rsidP="00CA6F03">
            <w:pPr>
              <w:rPr>
                <w:rFonts w:asciiTheme="majorBidi" w:hAnsiTheme="majorBidi" w:cstheme="majorBidi"/>
                <w:sz w:val="20"/>
                <w:szCs w:val="20"/>
              </w:rPr>
            </w:pPr>
            <w:r w:rsidRPr="00135047">
              <w:rPr>
                <w:rFonts w:asciiTheme="majorBidi" w:hAnsiTheme="majorBidi" w:cstheme="majorBidi"/>
                <w:sz w:val="20"/>
                <w:szCs w:val="20"/>
              </w:rPr>
              <w:t>In the pharmacist-counse</w:t>
            </w:r>
            <w:r>
              <w:rPr>
                <w:rFonts w:asciiTheme="majorBidi" w:hAnsiTheme="majorBidi" w:cstheme="majorBidi"/>
                <w:sz w:val="20"/>
                <w:szCs w:val="20"/>
              </w:rPr>
              <w:t>l</w:t>
            </w:r>
            <w:r w:rsidRPr="00135047">
              <w:rPr>
                <w:rFonts w:asciiTheme="majorBidi" w:hAnsiTheme="majorBidi" w:cstheme="majorBidi"/>
                <w:sz w:val="20"/>
                <w:szCs w:val="20"/>
              </w:rPr>
              <w:t>led group,</w:t>
            </w:r>
            <w:r>
              <w:rPr>
                <w:rFonts w:asciiTheme="majorBidi" w:hAnsiTheme="majorBidi" w:cstheme="majorBidi"/>
                <w:sz w:val="20"/>
                <w:szCs w:val="20"/>
              </w:rPr>
              <w:t xml:space="preserve"> </w:t>
            </w:r>
            <w:r w:rsidRPr="00135047">
              <w:rPr>
                <w:rFonts w:asciiTheme="majorBidi" w:hAnsiTheme="majorBidi" w:cstheme="majorBidi"/>
                <w:sz w:val="20"/>
                <w:szCs w:val="20"/>
              </w:rPr>
              <w:t>more patients contacted their physician within 3 days (14% versus</w:t>
            </w:r>
          </w:p>
          <w:p w14:paraId="38846DAD" w14:textId="77777777" w:rsidR="00B85C9C" w:rsidRDefault="00B85C9C" w:rsidP="00CA6F03">
            <w:pPr>
              <w:rPr>
                <w:rFonts w:asciiTheme="majorBidi" w:hAnsiTheme="majorBidi" w:cstheme="majorBidi"/>
                <w:sz w:val="20"/>
                <w:szCs w:val="20"/>
              </w:rPr>
            </w:pPr>
            <w:r w:rsidRPr="00135047">
              <w:rPr>
                <w:rFonts w:asciiTheme="majorBidi" w:hAnsiTheme="majorBidi" w:cstheme="majorBidi"/>
                <w:sz w:val="20"/>
                <w:szCs w:val="20"/>
              </w:rPr>
              <w:t>4%; p = 0.010), received explicit elements of education (p &lt; 0.001) and documentation in the chart was better (p &lt; 0.05).</w:t>
            </w:r>
          </w:p>
          <w:p w14:paraId="4B7050DA" w14:textId="77777777" w:rsidR="00B85C9C" w:rsidRDefault="00B85C9C" w:rsidP="00CA6F03">
            <w:pPr>
              <w:rPr>
                <w:rFonts w:asciiTheme="majorBidi" w:hAnsiTheme="majorBidi" w:cstheme="majorBidi"/>
                <w:sz w:val="20"/>
                <w:szCs w:val="20"/>
              </w:rPr>
            </w:pPr>
            <w:r w:rsidRPr="00135047">
              <w:rPr>
                <w:rFonts w:asciiTheme="majorBidi" w:hAnsiTheme="majorBidi" w:cstheme="majorBidi"/>
                <w:sz w:val="20"/>
                <w:szCs w:val="20"/>
              </w:rPr>
              <w:t>In the standard of care group, patients were more aware of their next physician appointment date (52% versus 31%,</w:t>
            </w:r>
            <w:r>
              <w:rPr>
                <w:rFonts w:asciiTheme="majorBidi" w:hAnsiTheme="majorBidi" w:cstheme="majorBidi"/>
                <w:sz w:val="20"/>
                <w:szCs w:val="20"/>
              </w:rPr>
              <w:t xml:space="preserve"> </w:t>
            </w:r>
            <w:r w:rsidRPr="00135047">
              <w:rPr>
                <w:rFonts w:asciiTheme="majorBidi" w:hAnsiTheme="majorBidi" w:cstheme="majorBidi"/>
                <w:sz w:val="20"/>
                <w:szCs w:val="20"/>
              </w:rPr>
              <w:t xml:space="preserve">p &lt; 0.001). </w:t>
            </w:r>
          </w:p>
          <w:p w14:paraId="2EDA8E38" w14:textId="77777777" w:rsidR="00B85C9C" w:rsidRPr="001A1529" w:rsidRDefault="00B85C9C" w:rsidP="00CA6F03">
            <w:pPr>
              <w:rPr>
                <w:rFonts w:asciiTheme="majorBidi" w:hAnsiTheme="majorBidi" w:cstheme="majorBidi"/>
                <w:b/>
                <w:bCs/>
                <w:sz w:val="20"/>
                <w:szCs w:val="20"/>
              </w:rPr>
            </w:pPr>
            <w:r w:rsidRPr="00135047">
              <w:rPr>
                <w:rFonts w:asciiTheme="majorBidi" w:hAnsiTheme="majorBidi" w:cstheme="majorBidi"/>
                <w:b/>
                <w:bCs/>
                <w:sz w:val="20"/>
                <w:szCs w:val="20"/>
              </w:rPr>
              <w:t>No difference in bleeding rates</w:t>
            </w:r>
            <w:r w:rsidRPr="00135047">
              <w:rPr>
                <w:rFonts w:asciiTheme="majorBidi" w:hAnsiTheme="majorBidi" w:cstheme="majorBidi"/>
                <w:sz w:val="20"/>
                <w:szCs w:val="20"/>
              </w:rPr>
              <w:t xml:space="preserve"> at day 3 and 30 post-discharge was observed between the groups.</w:t>
            </w:r>
          </w:p>
        </w:tc>
        <w:tc>
          <w:tcPr>
            <w:tcW w:w="1541" w:type="dxa"/>
          </w:tcPr>
          <w:p w14:paraId="118EB7B7" w14:textId="77777777" w:rsidR="00B85C9C" w:rsidRPr="00793F9C" w:rsidRDefault="00B85C9C" w:rsidP="00CA6F03">
            <w:pPr>
              <w:rPr>
                <w:rFonts w:asciiTheme="majorBidi" w:hAnsiTheme="majorBidi" w:cstheme="majorBidi"/>
                <w:sz w:val="20"/>
                <w:szCs w:val="20"/>
              </w:rPr>
            </w:pPr>
            <w:r>
              <w:rPr>
                <w:rFonts w:asciiTheme="majorBidi" w:hAnsiTheme="majorBidi" w:cstheme="majorBidi"/>
                <w:sz w:val="20"/>
                <w:szCs w:val="20"/>
              </w:rPr>
              <w:t>Moderate quality, randomized, but s</w:t>
            </w:r>
            <w:r w:rsidRPr="00793F9C">
              <w:rPr>
                <w:rFonts w:asciiTheme="majorBidi" w:hAnsiTheme="majorBidi" w:cstheme="majorBidi"/>
                <w:sz w:val="20"/>
                <w:szCs w:val="20"/>
              </w:rPr>
              <w:t>ingle-cent</w:t>
            </w:r>
            <w:r>
              <w:rPr>
                <w:rFonts w:asciiTheme="majorBidi" w:hAnsiTheme="majorBidi" w:cstheme="majorBidi"/>
                <w:sz w:val="20"/>
                <w:szCs w:val="20"/>
              </w:rPr>
              <w:t>re</w:t>
            </w:r>
            <w:r w:rsidRPr="00793F9C">
              <w:rPr>
                <w:rFonts w:asciiTheme="majorBidi" w:hAnsiTheme="majorBidi" w:cstheme="majorBidi"/>
                <w:sz w:val="20"/>
                <w:szCs w:val="20"/>
              </w:rPr>
              <w:t xml:space="preserve"> design, lack of power</w:t>
            </w:r>
            <w:r>
              <w:rPr>
                <w:rFonts w:asciiTheme="majorBidi" w:hAnsiTheme="majorBidi" w:cstheme="majorBidi"/>
                <w:sz w:val="20"/>
                <w:szCs w:val="20"/>
              </w:rPr>
              <w:t xml:space="preserve"> </w:t>
            </w:r>
            <w:r w:rsidRPr="00793F9C">
              <w:rPr>
                <w:rFonts w:asciiTheme="majorBidi" w:hAnsiTheme="majorBidi" w:cstheme="majorBidi"/>
                <w:sz w:val="20"/>
                <w:szCs w:val="20"/>
              </w:rPr>
              <w:t>calculation and small sample size may have decreased</w:t>
            </w:r>
          </w:p>
          <w:p w14:paraId="2B2A91E4" w14:textId="77777777" w:rsidR="00B85C9C" w:rsidRPr="00793F9C" w:rsidRDefault="00B85C9C" w:rsidP="00CA6F03">
            <w:pPr>
              <w:rPr>
                <w:rFonts w:asciiTheme="majorBidi" w:hAnsiTheme="majorBidi" w:cstheme="majorBidi"/>
                <w:sz w:val="20"/>
                <w:szCs w:val="20"/>
              </w:rPr>
            </w:pPr>
            <w:r w:rsidRPr="00793F9C">
              <w:rPr>
                <w:rFonts w:asciiTheme="majorBidi" w:hAnsiTheme="majorBidi" w:cstheme="majorBidi"/>
                <w:sz w:val="20"/>
                <w:szCs w:val="20"/>
              </w:rPr>
              <w:t>the possibility of detecting statistically significant difference</w:t>
            </w:r>
          </w:p>
          <w:p w14:paraId="1B2BAA54" w14:textId="77777777" w:rsidR="00B85C9C" w:rsidRPr="001A1529" w:rsidRDefault="00B85C9C" w:rsidP="00CA6F03">
            <w:pPr>
              <w:rPr>
                <w:rFonts w:asciiTheme="majorBidi" w:hAnsiTheme="majorBidi" w:cstheme="majorBidi"/>
                <w:b/>
                <w:bCs/>
                <w:sz w:val="20"/>
                <w:szCs w:val="20"/>
              </w:rPr>
            </w:pPr>
            <w:r w:rsidRPr="00793F9C">
              <w:rPr>
                <w:rFonts w:asciiTheme="majorBidi" w:hAnsiTheme="majorBidi" w:cstheme="majorBidi"/>
                <w:sz w:val="20"/>
                <w:szCs w:val="20"/>
              </w:rPr>
              <w:t>in bleeding rates between groups</w:t>
            </w:r>
            <w:r>
              <w:rPr>
                <w:rFonts w:asciiTheme="majorBidi" w:hAnsiTheme="majorBidi" w:cstheme="majorBidi"/>
                <w:sz w:val="20"/>
                <w:szCs w:val="20"/>
              </w:rPr>
              <w:t>.</w:t>
            </w:r>
          </w:p>
        </w:tc>
      </w:tr>
      <w:tr w:rsidR="00B85C9C" w:rsidRPr="001A1529" w14:paraId="79B1FD41" w14:textId="77777777" w:rsidTr="00CA6F03">
        <w:tc>
          <w:tcPr>
            <w:tcW w:w="1783" w:type="dxa"/>
          </w:tcPr>
          <w:p w14:paraId="1BEEC1D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Liang et al 2020</w:t>
            </w:r>
          </w:p>
          <w:p w14:paraId="318F9825" w14:textId="453B0F84" w:rsidR="00B85C9C" w:rsidRPr="001A1529" w:rsidRDefault="00B85C9C" w:rsidP="00CA6F03">
            <w:pPr>
              <w:rPr>
                <w:rFonts w:asciiTheme="majorBidi" w:hAnsiTheme="majorBidi" w:cstheme="majorBidi"/>
                <w:sz w:val="20"/>
                <w:szCs w:val="20"/>
              </w:rPr>
            </w:pPr>
          </w:p>
        </w:tc>
        <w:tc>
          <w:tcPr>
            <w:tcW w:w="1638" w:type="dxa"/>
          </w:tcPr>
          <w:p w14:paraId="6CCC9603"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RCT, n = 152</w:t>
            </w:r>
          </w:p>
        </w:tc>
        <w:tc>
          <w:tcPr>
            <w:tcW w:w="1678" w:type="dxa"/>
          </w:tcPr>
          <w:p w14:paraId="7FA3D15F" w14:textId="77777777" w:rsidR="00B85C9C" w:rsidRPr="000223A7" w:rsidRDefault="00B85C9C" w:rsidP="00CA6F03">
            <w:pPr>
              <w:rPr>
                <w:rFonts w:asciiTheme="majorBidi" w:hAnsiTheme="majorBidi" w:cstheme="majorBidi"/>
                <w:sz w:val="20"/>
                <w:szCs w:val="20"/>
              </w:rPr>
            </w:pPr>
            <w:r>
              <w:rPr>
                <w:rFonts w:asciiTheme="majorBidi" w:hAnsiTheme="majorBidi" w:cstheme="majorBidi"/>
                <w:sz w:val="20"/>
                <w:szCs w:val="20"/>
              </w:rPr>
              <w:t xml:space="preserve">China, </w:t>
            </w:r>
            <w:r w:rsidRPr="000223A7">
              <w:rPr>
                <w:rFonts w:asciiTheme="majorBidi" w:hAnsiTheme="majorBidi" w:cstheme="majorBidi"/>
                <w:sz w:val="20"/>
                <w:szCs w:val="20"/>
              </w:rPr>
              <w:t xml:space="preserve">adult </w:t>
            </w:r>
            <w:r>
              <w:rPr>
                <w:rFonts w:asciiTheme="majorBidi" w:hAnsiTheme="majorBidi" w:cstheme="majorBidi"/>
                <w:sz w:val="20"/>
                <w:szCs w:val="20"/>
              </w:rPr>
              <w:t>in</w:t>
            </w:r>
            <w:r w:rsidRPr="000223A7">
              <w:rPr>
                <w:rFonts w:asciiTheme="majorBidi" w:hAnsiTheme="majorBidi" w:cstheme="majorBidi"/>
                <w:sz w:val="20"/>
                <w:szCs w:val="20"/>
              </w:rPr>
              <w:t>patients newly</w:t>
            </w:r>
          </w:p>
          <w:p w14:paraId="4AA41316" w14:textId="77777777" w:rsidR="00B85C9C" w:rsidRPr="001A1529" w:rsidRDefault="00B85C9C" w:rsidP="00CA6F03">
            <w:pPr>
              <w:rPr>
                <w:rFonts w:asciiTheme="majorBidi" w:hAnsiTheme="majorBidi" w:cstheme="majorBidi"/>
                <w:b/>
                <w:bCs/>
                <w:sz w:val="20"/>
                <w:szCs w:val="20"/>
              </w:rPr>
            </w:pPr>
            <w:r w:rsidRPr="000223A7">
              <w:rPr>
                <w:rFonts w:asciiTheme="majorBidi" w:hAnsiTheme="majorBidi" w:cstheme="majorBidi"/>
                <w:sz w:val="20"/>
                <w:szCs w:val="20"/>
              </w:rPr>
              <w:t>initiated on warfarin with intended treatment 3 months</w:t>
            </w:r>
            <w:r>
              <w:rPr>
                <w:rFonts w:asciiTheme="majorBidi" w:hAnsiTheme="majorBidi" w:cstheme="majorBidi"/>
                <w:sz w:val="20"/>
                <w:szCs w:val="20"/>
              </w:rPr>
              <w:t xml:space="preserve"> or more</w:t>
            </w:r>
          </w:p>
        </w:tc>
        <w:tc>
          <w:tcPr>
            <w:tcW w:w="2699" w:type="dxa"/>
          </w:tcPr>
          <w:p w14:paraId="137D0A49" w14:textId="77777777" w:rsidR="00B85C9C" w:rsidRPr="00ED0B03" w:rsidRDefault="00B85C9C" w:rsidP="00CA6F03">
            <w:pPr>
              <w:rPr>
                <w:rFonts w:asciiTheme="majorBidi" w:hAnsiTheme="majorBidi" w:cstheme="majorBidi"/>
                <w:sz w:val="20"/>
                <w:szCs w:val="20"/>
              </w:rPr>
            </w:pPr>
            <w:r w:rsidRPr="00C72745">
              <w:rPr>
                <w:rFonts w:asciiTheme="majorBidi" w:hAnsiTheme="majorBidi" w:cstheme="majorBidi"/>
                <w:b/>
                <w:bCs/>
                <w:sz w:val="20"/>
                <w:szCs w:val="20"/>
              </w:rPr>
              <w:t>Pharmacist-led education and follow-up service</w:t>
            </w:r>
            <w:r>
              <w:rPr>
                <w:rFonts w:asciiTheme="majorBidi" w:hAnsiTheme="majorBidi" w:cstheme="majorBidi"/>
                <w:sz w:val="20"/>
                <w:szCs w:val="20"/>
              </w:rPr>
              <w:t xml:space="preserve">, </w:t>
            </w:r>
            <w:r w:rsidRPr="00ED0B03">
              <w:rPr>
                <w:rFonts w:asciiTheme="majorBidi" w:hAnsiTheme="majorBidi" w:cstheme="majorBidi"/>
                <w:sz w:val="20"/>
                <w:szCs w:val="20"/>
              </w:rPr>
              <w:t>Prior to discharge, each participant</w:t>
            </w:r>
          </w:p>
          <w:p w14:paraId="3F005D73" w14:textId="77777777" w:rsidR="00B85C9C" w:rsidRPr="001A1529" w:rsidRDefault="00B85C9C" w:rsidP="00CA6F03">
            <w:pPr>
              <w:rPr>
                <w:rFonts w:asciiTheme="majorBidi" w:hAnsiTheme="majorBidi" w:cstheme="majorBidi"/>
                <w:b/>
                <w:bCs/>
                <w:sz w:val="20"/>
                <w:szCs w:val="20"/>
              </w:rPr>
            </w:pPr>
            <w:r w:rsidRPr="00ED0B03">
              <w:rPr>
                <w:rFonts w:asciiTheme="majorBidi" w:hAnsiTheme="majorBidi" w:cstheme="majorBidi"/>
                <w:sz w:val="20"/>
                <w:szCs w:val="20"/>
              </w:rPr>
              <w:t>in the PEFS group was provided with a standardised,</w:t>
            </w:r>
            <w:r>
              <w:rPr>
                <w:rFonts w:asciiTheme="majorBidi" w:hAnsiTheme="majorBidi" w:cstheme="majorBidi"/>
                <w:sz w:val="20"/>
                <w:szCs w:val="20"/>
              </w:rPr>
              <w:t xml:space="preserve"> </w:t>
            </w:r>
            <w:r w:rsidRPr="00ED0B03">
              <w:rPr>
                <w:rFonts w:asciiTheme="majorBidi" w:hAnsiTheme="majorBidi" w:cstheme="majorBidi"/>
                <w:sz w:val="20"/>
                <w:szCs w:val="20"/>
              </w:rPr>
              <w:t>one-on-one</w:t>
            </w:r>
            <w:r>
              <w:rPr>
                <w:rFonts w:asciiTheme="majorBidi" w:hAnsiTheme="majorBidi" w:cstheme="majorBidi"/>
                <w:sz w:val="20"/>
                <w:szCs w:val="20"/>
              </w:rPr>
              <w:t xml:space="preserve"> </w:t>
            </w:r>
            <w:r w:rsidRPr="00ED0B03">
              <w:rPr>
                <w:rFonts w:asciiTheme="majorBidi" w:hAnsiTheme="majorBidi" w:cstheme="majorBidi"/>
                <w:sz w:val="20"/>
                <w:szCs w:val="20"/>
              </w:rPr>
              <w:t>warfarin education session, which lasted for</w:t>
            </w:r>
            <w:r>
              <w:rPr>
                <w:rFonts w:asciiTheme="majorBidi" w:hAnsiTheme="majorBidi" w:cstheme="majorBidi"/>
                <w:sz w:val="20"/>
                <w:szCs w:val="20"/>
              </w:rPr>
              <w:t xml:space="preserve"> </w:t>
            </w:r>
            <w:r w:rsidRPr="00ED0B03">
              <w:rPr>
                <w:rFonts w:asciiTheme="majorBidi" w:hAnsiTheme="majorBidi" w:cstheme="majorBidi"/>
                <w:sz w:val="20"/>
                <w:szCs w:val="20"/>
              </w:rPr>
              <w:t>15 min on average</w:t>
            </w:r>
            <w:r>
              <w:rPr>
                <w:rFonts w:asciiTheme="majorBidi" w:hAnsiTheme="majorBidi" w:cstheme="majorBidi"/>
                <w:sz w:val="20"/>
                <w:szCs w:val="20"/>
              </w:rPr>
              <w:t>, patient education booklet and two phone follow-up sessions (day 30, 90), pharmacists did not adjust dosing.</w:t>
            </w:r>
          </w:p>
        </w:tc>
        <w:tc>
          <w:tcPr>
            <w:tcW w:w="1472" w:type="dxa"/>
          </w:tcPr>
          <w:p w14:paraId="0C0DD0D5"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Usual care</w:t>
            </w:r>
          </w:p>
        </w:tc>
        <w:tc>
          <w:tcPr>
            <w:tcW w:w="3139" w:type="dxa"/>
          </w:tcPr>
          <w:p w14:paraId="09113CDF" w14:textId="77777777" w:rsidR="00B85C9C" w:rsidRPr="000223A7" w:rsidRDefault="00B85C9C" w:rsidP="00CA6F03">
            <w:pPr>
              <w:rPr>
                <w:rFonts w:asciiTheme="majorBidi" w:hAnsiTheme="majorBidi" w:cstheme="majorBidi"/>
                <w:sz w:val="20"/>
                <w:szCs w:val="20"/>
              </w:rPr>
            </w:pPr>
            <w:r w:rsidRPr="000223A7">
              <w:rPr>
                <w:rFonts w:asciiTheme="majorBidi" w:hAnsiTheme="majorBidi" w:cstheme="majorBidi"/>
                <w:sz w:val="20"/>
                <w:szCs w:val="20"/>
              </w:rPr>
              <w:t xml:space="preserve">Within 180 days after hospital discharge, </w:t>
            </w:r>
            <w:r w:rsidRPr="000223A7">
              <w:rPr>
                <w:rFonts w:asciiTheme="majorBidi" w:hAnsiTheme="majorBidi" w:cstheme="majorBidi"/>
                <w:b/>
                <w:bCs/>
                <w:sz w:val="20"/>
                <w:szCs w:val="20"/>
              </w:rPr>
              <w:t xml:space="preserve">the PEFS group spent more </w:t>
            </w:r>
            <w:r>
              <w:rPr>
                <w:rFonts w:asciiTheme="majorBidi" w:hAnsiTheme="majorBidi" w:cstheme="majorBidi"/>
                <w:b/>
                <w:bCs/>
                <w:sz w:val="20"/>
                <w:szCs w:val="20"/>
              </w:rPr>
              <w:t>time in extended target range</w:t>
            </w:r>
            <w:r w:rsidRPr="000223A7">
              <w:rPr>
                <w:rFonts w:asciiTheme="majorBidi" w:hAnsiTheme="majorBidi" w:cstheme="majorBidi"/>
                <w:b/>
                <w:bCs/>
                <w:sz w:val="20"/>
                <w:szCs w:val="20"/>
              </w:rPr>
              <w:t xml:space="preserve"> than the UC group</w:t>
            </w:r>
            <w:r w:rsidRPr="000223A7">
              <w:rPr>
                <w:rFonts w:asciiTheme="majorBidi" w:hAnsiTheme="majorBidi" w:cstheme="majorBidi"/>
                <w:sz w:val="20"/>
                <w:szCs w:val="20"/>
              </w:rPr>
              <w:t xml:space="preserve"> (54.4% versus 42.0%; P = 0.024),</w:t>
            </w:r>
          </w:p>
          <w:p w14:paraId="7558E10B" w14:textId="77777777" w:rsidR="00B85C9C" w:rsidRDefault="00B85C9C" w:rsidP="00CA6F03">
            <w:pPr>
              <w:rPr>
                <w:rFonts w:asciiTheme="majorBidi" w:hAnsiTheme="majorBidi" w:cstheme="majorBidi"/>
                <w:sz w:val="20"/>
                <w:szCs w:val="20"/>
              </w:rPr>
            </w:pPr>
            <w:r w:rsidRPr="000223A7">
              <w:rPr>
                <w:rFonts w:asciiTheme="majorBidi" w:hAnsiTheme="majorBidi" w:cstheme="majorBidi"/>
                <w:sz w:val="20"/>
                <w:szCs w:val="20"/>
              </w:rPr>
              <w:t>whereas the difference in TTR did not reach statistical significance (35.9% versus</w:t>
            </w:r>
            <w:r>
              <w:rPr>
                <w:rFonts w:asciiTheme="majorBidi" w:hAnsiTheme="majorBidi" w:cstheme="majorBidi"/>
                <w:sz w:val="20"/>
                <w:szCs w:val="20"/>
              </w:rPr>
              <w:t xml:space="preserve"> </w:t>
            </w:r>
            <w:r w:rsidRPr="000223A7">
              <w:rPr>
                <w:rFonts w:asciiTheme="majorBidi" w:hAnsiTheme="majorBidi" w:cstheme="majorBidi"/>
                <w:sz w:val="20"/>
                <w:szCs w:val="20"/>
              </w:rPr>
              <w:t xml:space="preserve">29.5%; P = 0.203). </w:t>
            </w:r>
          </w:p>
          <w:p w14:paraId="6DBE5F60" w14:textId="77777777" w:rsidR="00B85C9C" w:rsidRPr="000223A7" w:rsidRDefault="00B85C9C" w:rsidP="00CA6F03">
            <w:pPr>
              <w:rPr>
                <w:rFonts w:asciiTheme="majorBidi" w:hAnsiTheme="majorBidi" w:cstheme="majorBidi"/>
                <w:sz w:val="20"/>
                <w:szCs w:val="20"/>
              </w:rPr>
            </w:pPr>
            <w:r w:rsidRPr="000223A7">
              <w:rPr>
                <w:rFonts w:asciiTheme="majorBidi" w:hAnsiTheme="majorBidi" w:cstheme="majorBidi"/>
                <w:sz w:val="20"/>
                <w:szCs w:val="20"/>
              </w:rPr>
              <w:t>No major bleeding events were observed, and the cumulative</w:t>
            </w:r>
          </w:p>
          <w:p w14:paraId="3B5DD3CC" w14:textId="77777777" w:rsidR="00B85C9C" w:rsidRPr="000223A7" w:rsidRDefault="00B85C9C" w:rsidP="00CA6F03">
            <w:pPr>
              <w:rPr>
                <w:rFonts w:asciiTheme="majorBidi" w:hAnsiTheme="majorBidi" w:cstheme="majorBidi"/>
                <w:sz w:val="20"/>
                <w:szCs w:val="20"/>
              </w:rPr>
            </w:pPr>
            <w:r w:rsidRPr="000223A7">
              <w:rPr>
                <w:rFonts w:asciiTheme="majorBidi" w:hAnsiTheme="majorBidi" w:cstheme="majorBidi"/>
                <w:sz w:val="20"/>
                <w:szCs w:val="20"/>
              </w:rPr>
              <w:t>incidences of major thromboembolic events (6.5% versus 9.3%) and</w:t>
            </w:r>
          </w:p>
          <w:p w14:paraId="1992FE92" w14:textId="77777777" w:rsidR="00B85C9C" w:rsidRPr="000223A7" w:rsidRDefault="00B85C9C" w:rsidP="00CA6F03">
            <w:pPr>
              <w:rPr>
                <w:rFonts w:asciiTheme="majorBidi" w:hAnsiTheme="majorBidi" w:cstheme="majorBidi"/>
                <w:sz w:val="20"/>
                <w:szCs w:val="20"/>
              </w:rPr>
            </w:pPr>
            <w:r w:rsidRPr="000223A7">
              <w:rPr>
                <w:rFonts w:asciiTheme="majorBidi" w:hAnsiTheme="majorBidi" w:cstheme="majorBidi"/>
                <w:sz w:val="20"/>
                <w:szCs w:val="20"/>
              </w:rPr>
              <w:t>mortality (1.3% versus 1.3%) were similar between the two groups (P&gt; 0.05).</w:t>
            </w:r>
          </w:p>
          <w:p w14:paraId="36C85268" w14:textId="67B726BA" w:rsidR="00B85C9C" w:rsidRPr="001A1529" w:rsidRDefault="00B85C9C">
            <w:pPr>
              <w:rPr>
                <w:rFonts w:asciiTheme="majorBidi" w:hAnsiTheme="majorBidi" w:cstheme="majorBidi"/>
                <w:b/>
                <w:bCs/>
                <w:sz w:val="20"/>
                <w:szCs w:val="20"/>
              </w:rPr>
            </w:pPr>
            <w:r w:rsidRPr="000223A7">
              <w:rPr>
                <w:rFonts w:asciiTheme="majorBidi" w:hAnsiTheme="majorBidi" w:cstheme="majorBidi"/>
                <w:sz w:val="20"/>
                <w:szCs w:val="20"/>
              </w:rPr>
              <w:t>At 30 days post</w:t>
            </w:r>
            <w:r>
              <w:rPr>
                <w:rFonts w:asciiTheme="majorBidi" w:hAnsiTheme="majorBidi" w:cstheme="majorBidi"/>
                <w:sz w:val="20"/>
                <w:szCs w:val="20"/>
              </w:rPr>
              <w:t>-</w:t>
            </w:r>
            <w:r w:rsidRPr="000223A7">
              <w:rPr>
                <w:rFonts w:asciiTheme="majorBidi" w:hAnsiTheme="majorBidi" w:cstheme="majorBidi"/>
                <w:sz w:val="20"/>
                <w:szCs w:val="20"/>
              </w:rPr>
              <w:t xml:space="preserve">discharge, the PEFS group had </w:t>
            </w:r>
            <w:r w:rsidRPr="000223A7">
              <w:rPr>
                <w:rFonts w:asciiTheme="majorBidi" w:hAnsiTheme="majorBidi" w:cstheme="majorBidi"/>
                <w:b/>
                <w:bCs/>
                <w:sz w:val="20"/>
                <w:szCs w:val="20"/>
              </w:rPr>
              <w:t>better warfarin knowledge</w:t>
            </w:r>
            <w:r w:rsidRPr="000223A7">
              <w:rPr>
                <w:rFonts w:asciiTheme="majorBidi" w:hAnsiTheme="majorBidi" w:cstheme="majorBidi"/>
                <w:sz w:val="20"/>
                <w:szCs w:val="20"/>
              </w:rPr>
              <w:t xml:space="preserve"> answering 57.5% of questions</w:t>
            </w:r>
            <w:r>
              <w:rPr>
                <w:rFonts w:asciiTheme="majorBidi" w:hAnsiTheme="majorBidi" w:cstheme="majorBidi"/>
                <w:sz w:val="20"/>
                <w:szCs w:val="20"/>
              </w:rPr>
              <w:t xml:space="preserve"> </w:t>
            </w:r>
            <w:r w:rsidRPr="000223A7">
              <w:rPr>
                <w:rFonts w:asciiTheme="majorBidi" w:hAnsiTheme="majorBidi" w:cstheme="majorBidi"/>
                <w:sz w:val="20"/>
                <w:szCs w:val="20"/>
              </w:rPr>
              <w:t>correctly, compared with the UC group (43.0%)</w:t>
            </w:r>
            <w:r>
              <w:rPr>
                <w:rFonts w:asciiTheme="majorBidi" w:hAnsiTheme="majorBidi" w:cstheme="majorBidi"/>
                <w:sz w:val="20"/>
                <w:szCs w:val="20"/>
              </w:rPr>
              <w:t xml:space="preserve"> </w:t>
            </w:r>
            <w:r w:rsidRPr="000223A7">
              <w:rPr>
                <w:rFonts w:asciiTheme="majorBidi" w:hAnsiTheme="majorBidi" w:cstheme="majorBidi"/>
                <w:sz w:val="20"/>
                <w:szCs w:val="20"/>
              </w:rPr>
              <w:t>(P = 0.003).</w:t>
            </w:r>
          </w:p>
        </w:tc>
        <w:tc>
          <w:tcPr>
            <w:tcW w:w="1541" w:type="dxa"/>
          </w:tcPr>
          <w:p w14:paraId="3E0E3B32" w14:textId="77777777" w:rsidR="00B85C9C" w:rsidRPr="00FC54C8" w:rsidRDefault="00B85C9C" w:rsidP="00CA6F03">
            <w:pPr>
              <w:rPr>
                <w:rFonts w:asciiTheme="majorBidi" w:hAnsiTheme="majorBidi" w:cstheme="majorBidi"/>
                <w:sz w:val="20"/>
                <w:szCs w:val="20"/>
              </w:rPr>
            </w:pPr>
            <w:r>
              <w:rPr>
                <w:rFonts w:asciiTheme="majorBidi" w:hAnsiTheme="majorBidi" w:cstheme="majorBidi"/>
                <w:sz w:val="20"/>
                <w:szCs w:val="20"/>
              </w:rPr>
              <w:t>Moderate quality, randomised, but physicians might have dosed too conservatively. M</w:t>
            </w:r>
            <w:r w:rsidRPr="00FC54C8">
              <w:rPr>
                <w:rFonts w:asciiTheme="majorBidi" w:hAnsiTheme="majorBidi" w:cstheme="majorBidi"/>
                <w:sz w:val="20"/>
                <w:szCs w:val="20"/>
              </w:rPr>
              <w:t>ean TER was</w:t>
            </w:r>
          </w:p>
          <w:p w14:paraId="4301B7B8" w14:textId="77777777" w:rsidR="00B85C9C" w:rsidRPr="00FC54C8" w:rsidRDefault="00B85C9C" w:rsidP="00CA6F03">
            <w:pPr>
              <w:rPr>
                <w:rFonts w:asciiTheme="majorBidi" w:hAnsiTheme="majorBidi" w:cstheme="majorBidi"/>
                <w:sz w:val="20"/>
                <w:szCs w:val="20"/>
              </w:rPr>
            </w:pPr>
            <w:r w:rsidRPr="00FC54C8">
              <w:rPr>
                <w:rFonts w:asciiTheme="majorBidi" w:hAnsiTheme="majorBidi" w:cstheme="majorBidi"/>
                <w:sz w:val="20"/>
                <w:szCs w:val="20"/>
              </w:rPr>
              <w:t>only 54.4% in the PEFS group, which was considerably</w:t>
            </w:r>
          </w:p>
          <w:p w14:paraId="33F1DD6B" w14:textId="77777777" w:rsidR="00B85C9C" w:rsidRPr="00FC54C8" w:rsidRDefault="00B85C9C" w:rsidP="00CA6F03">
            <w:pPr>
              <w:rPr>
                <w:rFonts w:asciiTheme="majorBidi" w:hAnsiTheme="majorBidi" w:cstheme="majorBidi"/>
                <w:sz w:val="20"/>
                <w:szCs w:val="20"/>
              </w:rPr>
            </w:pPr>
            <w:r w:rsidRPr="00FC54C8">
              <w:rPr>
                <w:rFonts w:asciiTheme="majorBidi" w:hAnsiTheme="majorBidi" w:cstheme="majorBidi"/>
                <w:sz w:val="20"/>
                <w:szCs w:val="20"/>
              </w:rPr>
              <w:t>lower than that reported in the previous studies (78–82%</w:t>
            </w:r>
          </w:p>
          <w:p w14:paraId="60C827F6" w14:textId="77777777" w:rsidR="00B85C9C" w:rsidRPr="001A1529" w:rsidRDefault="00B85C9C" w:rsidP="00CA6F03">
            <w:pPr>
              <w:rPr>
                <w:rFonts w:asciiTheme="majorBidi" w:hAnsiTheme="majorBidi" w:cstheme="majorBidi"/>
                <w:b/>
                <w:bCs/>
                <w:sz w:val="20"/>
                <w:szCs w:val="20"/>
              </w:rPr>
            </w:pPr>
            <w:r w:rsidRPr="00FC54C8">
              <w:rPr>
                <w:rFonts w:asciiTheme="majorBidi" w:hAnsiTheme="majorBidi" w:cstheme="majorBidi"/>
                <w:sz w:val="20"/>
                <w:szCs w:val="20"/>
              </w:rPr>
              <w:t>of TER)</w:t>
            </w:r>
            <w:r>
              <w:rPr>
                <w:rFonts w:asciiTheme="majorBidi" w:hAnsiTheme="majorBidi" w:cstheme="majorBidi"/>
                <w:sz w:val="20"/>
                <w:szCs w:val="20"/>
              </w:rPr>
              <w:t>.</w:t>
            </w:r>
          </w:p>
        </w:tc>
      </w:tr>
      <w:tr w:rsidR="00B85C9C" w:rsidRPr="008D6755" w14:paraId="509BB03F" w14:textId="77777777" w:rsidTr="00CA6F03">
        <w:tc>
          <w:tcPr>
            <w:tcW w:w="1783" w:type="dxa"/>
          </w:tcPr>
          <w:p w14:paraId="3C4D8E3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Hale et al 2018</w:t>
            </w:r>
          </w:p>
          <w:p w14:paraId="06569C18" w14:textId="05CF20A2" w:rsidR="00B85C9C" w:rsidRPr="00D52BD9" w:rsidRDefault="00B85C9C" w:rsidP="00CA6F03">
            <w:pPr>
              <w:rPr>
                <w:rFonts w:asciiTheme="majorBidi" w:hAnsiTheme="majorBidi" w:cstheme="majorBidi"/>
                <w:sz w:val="20"/>
                <w:szCs w:val="20"/>
              </w:rPr>
            </w:pPr>
          </w:p>
        </w:tc>
        <w:tc>
          <w:tcPr>
            <w:tcW w:w="1638" w:type="dxa"/>
          </w:tcPr>
          <w:p w14:paraId="43AF07B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Cost-effectiveness decision tree modelling study informed by the RCT of Hale et al 2013  </w:t>
            </w:r>
          </w:p>
          <w:p w14:paraId="2CC76D11" w14:textId="77777777" w:rsidR="00B85C9C" w:rsidRDefault="00B85C9C" w:rsidP="00CA6F03">
            <w:pPr>
              <w:rPr>
                <w:rFonts w:asciiTheme="majorBidi" w:hAnsiTheme="majorBidi" w:cstheme="majorBidi"/>
                <w:sz w:val="20"/>
                <w:szCs w:val="20"/>
              </w:rPr>
            </w:pPr>
          </w:p>
        </w:tc>
        <w:tc>
          <w:tcPr>
            <w:tcW w:w="1678" w:type="dxa"/>
          </w:tcPr>
          <w:p w14:paraId="79AFF57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High risk surgical patients at pre-admission clinic</w:t>
            </w:r>
          </w:p>
        </w:tc>
        <w:tc>
          <w:tcPr>
            <w:tcW w:w="2699" w:type="dxa"/>
          </w:tcPr>
          <w:p w14:paraId="6E69FE8C" w14:textId="77777777" w:rsidR="00B85C9C" w:rsidRPr="008D6755" w:rsidRDefault="00B85C9C" w:rsidP="00CA6F03">
            <w:pPr>
              <w:rPr>
                <w:rFonts w:asciiTheme="majorBidi" w:hAnsiTheme="majorBidi" w:cstheme="majorBidi"/>
                <w:sz w:val="20"/>
                <w:szCs w:val="20"/>
              </w:rPr>
            </w:pPr>
            <w:r w:rsidRPr="00643324">
              <w:rPr>
                <w:rFonts w:asciiTheme="majorBidi" w:hAnsiTheme="majorBidi" w:cstheme="majorBidi"/>
                <w:b/>
                <w:bCs/>
                <w:sz w:val="20"/>
                <w:szCs w:val="20"/>
              </w:rPr>
              <w:t>Pharmacist pre-admission prescribing</w:t>
            </w:r>
            <w:r>
              <w:rPr>
                <w:rFonts w:asciiTheme="majorBidi" w:hAnsiTheme="majorBidi" w:cstheme="majorBidi"/>
                <w:sz w:val="20"/>
                <w:szCs w:val="20"/>
              </w:rPr>
              <w:t xml:space="preserve">: prescribes usual medications, assesses VTE risk and prescribes VTE prophylaxis </w:t>
            </w:r>
          </w:p>
        </w:tc>
        <w:tc>
          <w:tcPr>
            <w:tcW w:w="1472" w:type="dxa"/>
          </w:tcPr>
          <w:p w14:paraId="735732F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RMO assessment and prescribing </w:t>
            </w:r>
          </w:p>
        </w:tc>
        <w:tc>
          <w:tcPr>
            <w:tcW w:w="3139" w:type="dxa"/>
          </w:tcPr>
          <w:p w14:paraId="734B6CD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w:t>
            </w:r>
            <w:r w:rsidRPr="00F42BF9">
              <w:rPr>
                <w:rFonts w:asciiTheme="majorBidi" w:hAnsiTheme="majorBidi" w:cstheme="majorBidi"/>
                <w:sz w:val="20"/>
                <w:szCs w:val="20"/>
              </w:rPr>
              <w:t>harmacist prescribing increase</w:t>
            </w:r>
            <w:r>
              <w:rPr>
                <w:rFonts w:asciiTheme="majorBidi" w:hAnsiTheme="majorBidi" w:cstheme="majorBidi"/>
                <w:sz w:val="20"/>
                <w:szCs w:val="20"/>
              </w:rPr>
              <w:t xml:space="preserve">d </w:t>
            </w:r>
            <w:r w:rsidRPr="00F42BF9">
              <w:rPr>
                <w:rFonts w:asciiTheme="majorBidi" w:hAnsiTheme="majorBidi" w:cstheme="majorBidi"/>
                <w:sz w:val="20"/>
                <w:szCs w:val="20"/>
              </w:rPr>
              <w:t>the proportion of patients adequately treated and decrease</w:t>
            </w:r>
            <w:r>
              <w:rPr>
                <w:rFonts w:asciiTheme="majorBidi" w:hAnsiTheme="majorBidi" w:cstheme="majorBidi"/>
                <w:sz w:val="20"/>
                <w:szCs w:val="20"/>
              </w:rPr>
              <w:t>d</w:t>
            </w:r>
            <w:r w:rsidRPr="00F42BF9">
              <w:rPr>
                <w:rFonts w:asciiTheme="majorBidi" w:hAnsiTheme="majorBidi" w:cstheme="majorBidi"/>
                <w:sz w:val="20"/>
                <w:szCs w:val="20"/>
              </w:rPr>
              <w:t xml:space="preserve"> incidence of VTE resulting in cost savings and</w:t>
            </w:r>
            <w:r>
              <w:rPr>
                <w:rFonts w:asciiTheme="majorBidi" w:hAnsiTheme="majorBidi" w:cstheme="majorBidi"/>
                <w:sz w:val="20"/>
                <w:szCs w:val="20"/>
              </w:rPr>
              <w:t xml:space="preserve"> </w:t>
            </w:r>
            <w:r w:rsidRPr="00F42BF9">
              <w:rPr>
                <w:rFonts w:asciiTheme="majorBidi" w:hAnsiTheme="majorBidi" w:cstheme="majorBidi"/>
                <w:sz w:val="20"/>
                <w:szCs w:val="20"/>
              </w:rPr>
              <w:t>improv</w:t>
            </w:r>
            <w:r>
              <w:rPr>
                <w:rFonts w:asciiTheme="majorBidi" w:hAnsiTheme="majorBidi" w:cstheme="majorBidi"/>
                <w:sz w:val="20"/>
                <w:szCs w:val="20"/>
              </w:rPr>
              <w:t>ed</w:t>
            </w:r>
            <w:r w:rsidRPr="00F42BF9">
              <w:rPr>
                <w:rFonts w:asciiTheme="majorBidi" w:hAnsiTheme="majorBidi" w:cstheme="majorBidi"/>
                <w:sz w:val="20"/>
                <w:szCs w:val="20"/>
              </w:rPr>
              <w:t xml:space="preserve"> quality of life.</w:t>
            </w:r>
          </w:p>
          <w:p w14:paraId="2F9C8EF0" w14:textId="77777777" w:rsidR="00B85C9C" w:rsidRDefault="00B85C9C" w:rsidP="00CA6F03">
            <w:pPr>
              <w:rPr>
                <w:rFonts w:asciiTheme="majorBidi" w:hAnsiTheme="majorBidi" w:cstheme="majorBidi"/>
                <w:sz w:val="20"/>
                <w:szCs w:val="20"/>
              </w:rPr>
            </w:pPr>
            <w:r w:rsidRPr="00643324">
              <w:rPr>
                <w:rFonts w:asciiTheme="majorBidi" w:hAnsiTheme="majorBidi" w:cstheme="majorBidi"/>
                <w:b/>
                <w:bCs/>
                <w:sz w:val="20"/>
                <w:szCs w:val="20"/>
              </w:rPr>
              <w:t>C</w:t>
            </w:r>
            <w:r w:rsidRPr="00F42BF9">
              <w:rPr>
                <w:rFonts w:asciiTheme="majorBidi" w:hAnsiTheme="majorBidi" w:cstheme="majorBidi"/>
                <w:b/>
                <w:bCs/>
                <w:sz w:val="20"/>
                <w:szCs w:val="20"/>
              </w:rPr>
              <w:t>ost savings</w:t>
            </w:r>
            <w:r w:rsidRPr="00F42BF9">
              <w:rPr>
                <w:rFonts w:asciiTheme="majorBidi" w:hAnsiTheme="majorBidi" w:cstheme="majorBidi"/>
                <w:sz w:val="20"/>
                <w:szCs w:val="20"/>
              </w:rPr>
              <w:t xml:space="preserve"> were $31 (95% CI: -$97, $160) per patient in the base scenario and $12</w:t>
            </w:r>
            <w:r>
              <w:rPr>
                <w:rFonts w:asciiTheme="majorBidi" w:hAnsiTheme="majorBidi" w:cstheme="majorBidi"/>
                <w:sz w:val="20"/>
                <w:szCs w:val="20"/>
              </w:rPr>
              <w:t xml:space="preserve"> </w:t>
            </w:r>
            <w:r w:rsidRPr="00F42BF9">
              <w:rPr>
                <w:rFonts w:asciiTheme="majorBidi" w:hAnsiTheme="majorBidi" w:cstheme="majorBidi"/>
                <w:sz w:val="20"/>
                <w:szCs w:val="20"/>
              </w:rPr>
              <w:t xml:space="preserve">(95% CI: -$131, $155) per patient in the alternative scenario. </w:t>
            </w:r>
          </w:p>
          <w:p w14:paraId="23354D5B" w14:textId="4E710C04" w:rsidR="00B85C9C" w:rsidRPr="008D6755" w:rsidRDefault="00B85C9C">
            <w:pPr>
              <w:rPr>
                <w:rFonts w:asciiTheme="majorBidi" w:hAnsiTheme="majorBidi" w:cstheme="majorBidi"/>
                <w:sz w:val="20"/>
                <w:szCs w:val="20"/>
              </w:rPr>
            </w:pPr>
            <w:r w:rsidRPr="00F42BF9">
              <w:rPr>
                <w:rFonts w:asciiTheme="majorBidi" w:hAnsiTheme="majorBidi" w:cstheme="majorBidi"/>
                <w:sz w:val="20"/>
                <w:szCs w:val="20"/>
              </w:rPr>
              <w:t>In both scenarios the pharmacist-doctor prescribing</w:t>
            </w:r>
            <w:r>
              <w:rPr>
                <w:rFonts w:asciiTheme="majorBidi" w:hAnsiTheme="majorBidi" w:cstheme="majorBidi"/>
                <w:sz w:val="20"/>
                <w:szCs w:val="20"/>
              </w:rPr>
              <w:t xml:space="preserve"> </w:t>
            </w:r>
            <w:r w:rsidRPr="00F42BF9">
              <w:rPr>
                <w:rFonts w:asciiTheme="majorBidi" w:hAnsiTheme="majorBidi" w:cstheme="majorBidi"/>
                <w:sz w:val="20"/>
                <w:szCs w:val="20"/>
              </w:rPr>
              <w:t xml:space="preserve">resulted in an </w:t>
            </w:r>
            <w:r w:rsidRPr="00643324">
              <w:rPr>
                <w:rFonts w:asciiTheme="majorBidi" w:hAnsiTheme="majorBidi" w:cstheme="majorBidi"/>
                <w:b/>
                <w:bCs/>
                <w:sz w:val="20"/>
                <w:szCs w:val="20"/>
              </w:rPr>
              <w:t>increase in QALYs</w:t>
            </w:r>
            <w:r w:rsidRPr="00F42BF9">
              <w:rPr>
                <w:rFonts w:asciiTheme="majorBidi" w:hAnsiTheme="majorBidi" w:cstheme="majorBidi"/>
                <w:sz w:val="20"/>
                <w:szCs w:val="20"/>
              </w:rPr>
              <w:t xml:space="preserve"> of 0.02 (95% CI: -0.01, 0.005) per patient</w:t>
            </w:r>
            <w:r w:rsidR="00161396">
              <w:rPr>
                <w:rFonts w:asciiTheme="majorBidi" w:hAnsiTheme="majorBidi" w:cstheme="majorBidi"/>
                <w:sz w:val="20"/>
                <w:szCs w:val="20"/>
              </w:rPr>
              <w:t>.</w:t>
            </w:r>
          </w:p>
        </w:tc>
        <w:tc>
          <w:tcPr>
            <w:tcW w:w="1541" w:type="dxa"/>
          </w:tcPr>
          <w:p w14:paraId="4EE55FD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Moderate quality, cost analysis applied to findings of an RCT. However, null finding is possible, as </w:t>
            </w:r>
            <w:r w:rsidRPr="00643324">
              <w:rPr>
                <w:rFonts w:asciiTheme="majorBidi" w:hAnsiTheme="majorBidi" w:cstheme="majorBidi"/>
                <w:b/>
                <w:bCs/>
                <w:sz w:val="20"/>
                <w:szCs w:val="20"/>
              </w:rPr>
              <w:t>CIs include zero for both costs and QALYs</w:t>
            </w:r>
            <w:r>
              <w:rPr>
                <w:rFonts w:asciiTheme="majorBidi" w:hAnsiTheme="majorBidi" w:cstheme="majorBidi"/>
                <w:sz w:val="20"/>
                <w:szCs w:val="20"/>
              </w:rPr>
              <w:t xml:space="preserve">. </w:t>
            </w:r>
          </w:p>
        </w:tc>
      </w:tr>
      <w:tr w:rsidR="00B85C9C" w:rsidRPr="008D6755" w14:paraId="0021EA2A" w14:textId="77777777" w:rsidTr="00CA6F03">
        <w:tc>
          <w:tcPr>
            <w:tcW w:w="1783" w:type="dxa"/>
          </w:tcPr>
          <w:p w14:paraId="7FC5509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Willeford et al 2021</w:t>
            </w:r>
          </w:p>
          <w:p w14:paraId="4FB21D7A" w14:textId="7623ACFB" w:rsidR="00B85C9C" w:rsidRPr="008D6755" w:rsidRDefault="00B85C9C" w:rsidP="00CA6F03">
            <w:pPr>
              <w:rPr>
                <w:rFonts w:asciiTheme="majorBidi" w:hAnsiTheme="majorBidi" w:cstheme="majorBidi"/>
                <w:sz w:val="20"/>
                <w:szCs w:val="20"/>
              </w:rPr>
            </w:pPr>
          </w:p>
        </w:tc>
        <w:tc>
          <w:tcPr>
            <w:tcW w:w="1638" w:type="dxa"/>
          </w:tcPr>
          <w:p w14:paraId="7F21C32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R</w:t>
            </w:r>
            <w:r w:rsidRPr="00E8603B">
              <w:rPr>
                <w:rFonts w:asciiTheme="majorBidi" w:hAnsiTheme="majorBidi" w:cstheme="majorBidi"/>
                <w:sz w:val="20"/>
                <w:szCs w:val="20"/>
              </w:rPr>
              <w:t>etrospective, single-cent</w:t>
            </w:r>
            <w:r>
              <w:rPr>
                <w:rFonts w:asciiTheme="majorBidi" w:hAnsiTheme="majorBidi" w:cstheme="majorBidi"/>
                <w:sz w:val="20"/>
                <w:szCs w:val="20"/>
              </w:rPr>
              <w:t>re</w:t>
            </w:r>
            <w:r w:rsidRPr="00E8603B">
              <w:rPr>
                <w:rFonts w:asciiTheme="majorBidi" w:hAnsiTheme="majorBidi" w:cstheme="majorBidi"/>
                <w:sz w:val="20"/>
                <w:szCs w:val="20"/>
              </w:rPr>
              <w:t xml:space="preserve"> cohort study</w:t>
            </w:r>
            <w:r>
              <w:rPr>
                <w:rFonts w:asciiTheme="majorBidi" w:hAnsiTheme="majorBidi" w:cstheme="majorBidi"/>
                <w:sz w:val="20"/>
                <w:szCs w:val="20"/>
              </w:rPr>
              <w:t>,</w:t>
            </w:r>
            <w:r w:rsidRPr="00E8603B">
              <w:rPr>
                <w:rFonts w:asciiTheme="majorBidi" w:hAnsiTheme="majorBidi" w:cstheme="majorBidi"/>
                <w:sz w:val="20"/>
                <w:szCs w:val="20"/>
              </w:rPr>
              <w:t xml:space="preserve"> pre-post</w:t>
            </w:r>
            <w:r>
              <w:rPr>
                <w:rFonts w:asciiTheme="majorBidi" w:hAnsiTheme="majorBidi" w:cstheme="majorBidi"/>
                <w:sz w:val="20"/>
                <w:szCs w:val="20"/>
              </w:rPr>
              <w:t xml:space="preserve"> d</w:t>
            </w:r>
            <w:r w:rsidRPr="00E8603B">
              <w:rPr>
                <w:rFonts w:asciiTheme="majorBidi" w:hAnsiTheme="majorBidi" w:cstheme="majorBidi"/>
                <w:sz w:val="20"/>
                <w:szCs w:val="20"/>
              </w:rPr>
              <w:t>esign</w:t>
            </w:r>
            <w:r>
              <w:rPr>
                <w:rFonts w:asciiTheme="majorBidi" w:hAnsiTheme="majorBidi" w:cstheme="majorBidi"/>
                <w:sz w:val="20"/>
                <w:szCs w:val="20"/>
              </w:rPr>
              <w:t>, n = 502</w:t>
            </w:r>
          </w:p>
          <w:p w14:paraId="4D47EC2E" w14:textId="77777777" w:rsidR="00B85C9C" w:rsidRPr="008D6755" w:rsidRDefault="00B85C9C" w:rsidP="00CA6F03">
            <w:pPr>
              <w:rPr>
                <w:rFonts w:asciiTheme="majorBidi" w:hAnsiTheme="majorBidi" w:cstheme="majorBidi"/>
                <w:sz w:val="20"/>
                <w:szCs w:val="20"/>
              </w:rPr>
            </w:pPr>
          </w:p>
        </w:tc>
        <w:tc>
          <w:tcPr>
            <w:tcW w:w="1678" w:type="dxa"/>
          </w:tcPr>
          <w:p w14:paraId="5B3C923A" w14:textId="77777777" w:rsidR="00B85C9C" w:rsidRPr="00E8603B" w:rsidRDefault="00B85C9C" w:rsidP="00CA6F03">
            <w:pPr>
              <w:rPr>
                <w:rFonts w:asciiTheme="majorBidi" w:hAnsiTheme="majorBidi" w:cstheme="majorBidi"/>
                <w:sz w:val="20"/>
                <w:szCs w:val="20"/>
              </w:rPr>
            </w:pPr>
            <w:r>
              <w:rPr>
                <w:rFonts w:asciiTheme="majorBidi" w:hAnsiTheme="majorBidi" w:cstheme="majorBidi"/>
                <w:sz w:val="20"/>
                <w:szCs w:val="20"/>
              </w:rPr>
              <w:t xml:space="preserve">Hospital inpatients, but </w:t>
            </w:r>
            <w:r w:rsidRPr="00E8603B">
              <w:rPr>
                <w:rFonts w:asciiTheme="majorBidi" w:hAnsiTheme="majorBidi" w:cstheme="majorBidi"/>
                <w:sz w:val="20"/>
                <w:szCs w:val="20"/>
              </w:rPr>
              <w:t>excluded if</w:t>
            </w:r>
            <w:r>
              <w:rPr>
                <w:rFonts w:asciiTheme="majorBidi" w:hAnsiTheme="majorBidi" w:cstheme="majorBidi"/>
                <w:sz w:val="20"/>
                <w:szCs w:val="20"/>
              </w:rPr>
              <w:t xml:space="preserve"> </w:t>
            </w:r>
          </w:p>
          <w:p w14:paraId="3DC29C07" w14:textId="77777777" w:rsidR="00B85C9C" w:rsidRPr="008D6755" w:rsidRDefault="00B85C9C" w:rsidP="00CA6F03">
            <w:pPr>
              <w:rPr>
                <w:rFonts w:asciiTheme="majorBidi" w:hAnsiTheme="majorBidi" w:cstheme="majorBidi"/>
                <w:sz w:val="20"/>
                <w:szCs w:val="20"/>
              </w:rPr>
            </w:pPr>
            <w:r w:rsidRPr="00E8603B">
              <w:rPr>
                <w:rFonts w:asciiTheme="majorBidi" w:hAnsiTheme="majorBidi" w:cstheme="majorBidi"/>
                <w:sz w:val="20"/>
                <w:szCs w:val="20"/>
              </w:rPr>
              <w:t>DOAC</w:t>
            </w:r>
            <w:r>
              <w:rPr>
                <w:rFonts w:asciiTheme="majorBidi" w:hAnsiTheme="majorBidi" w:cstheme="majorBidi"/>
                <w:sz w:val="20"/>
                <w:szCs w:val="20"/>
              </w:rPr>
              <w:t xml:space="preserve"> was</w:t>
            </w:r>
            <w:r w:rsidRPr="00E8603B">
              <w:rPr>
                <w:rFonts w:asciiTheme="majorBidi" w:hAnsiTheme="majorBidi" w:cstheme="majorBidi"/>
                <w:sz w:val="20"/>
                <w:szCs w:val="20"/>
              </w:rPr>
              <w:t xml:space="preserve"> for an indication other than </w:t>
            </w:r>
            <w:r>
              <w:rPr>
                <w:rFonts w:asciiTheme="majorBidi" w:hAnsiTheme="majorBidi" w:cstheme="majorBidi"/>
                <w:sz w:val="20"/>
                <w:szCs w:val="20"/>
              </w:rPr>
              <w:t xml:space="preserve">VTE or AF. </w:t>
            </w:r>
          </w:p>
          <w:p w14:paraId="6DE89407" w14:textId="77777777" w:rsidR="00B85C9C" w:rsidRPr="008D6755" w:rsidRDefault="00B85C9C" w:rsidP="00CA6F03">
            <w:pPr>
              <w:rPr>
                <w:rFonts w:asciiTheme="majorBidi" w:hAnsiTheme="majorBidi" w:cstheme="majorBidi"/>
                <w:sz w:val="20"/>
                <w:szCs w:val="20"/>
              </w:rPr>
            </w:pPr>
          </w:p>
        </w:tc>
        <w:tc>
          <w:tcPr>
            <w:tcW w:w="2699" w:type="dxa"/>
          </w:tcPr>
          <w:p w14:paraId="0E83C86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w:t>
            </w:r>
            <w:r w:rsidRPr="00E8603B">
              <w:rPr>
                <w:rFonts w:asciiTheme="majorBidi" w:hAnsiTheme="majorBidi" w:cstheme="majorBidi"/>
                <w:sz w:val="20"/>
                <w:szCs w:val="20"/>
              </w:rPr>
              <w:t xml:space="preserve"> </w:t>
            </w:r>
            <w:r w:rsidRPr="00E8603B">
              <w:rPr>
                <w:rFonts w:asciiTheme="majorBidi" w:hAnsiTheme="majorBidi" w:cstheme="majorBidi"/>
                <w:b/>
                <w:bCs/>
                <w:sz w:val="20"/>
                <w:szCs w:val="20"/>
              </w:rPr>
              <w:t>pharmacist-driven</w:t>
            </w:r>
            <w:r w:rsidRPr="009E7AE4">
              <w:rPr>
                <w:rFonts w:asciiTheme="majorBidi" w:hAnsiTheme="majorBidi" w:cstheme="majorBidi"/>
                <w:b/>
                <w:bCs/>
                <w:sz w:val="20"/>
                <w:szCs w:val="20"/>
              </w:rPr>
              <w:t xml:space="preserve"> </w:t>
            </w:r>
            <w:r w:rsidRPr="00E8603B">
              <w:rPr>
                <w:rFonts w:asciiTheme="majorBidi" w:hAnsiTheme="majorBidi" w:cstheme="majorBidi"/>
                <w:b/>
                <w:bCs/>
                <w:sz w:val="20"/>
                <w:szCs w:val="20"/>
              </w:rPr>
              <w:t>DOAC protocol</w:t>
            </w:r>
            <w:r w:rsidRPr="00E8603B">
              <w:rPr>
                <w:rFonts w:asciiTheme="majorBidi" w:hAnsiTheme="majorBidi" w:cstheme="majorBidi"/>
                <w:sz w:val="20"/>
                <w:szCs w:val="20"/>
              </w:rPr>
              <w:t xml:space="preserve"> that permitted pharmacists to independently order and monitor</w:t>
            </w:r>
            <w:r>
              <w:rPr>
                <w:rFonts w:asciiTheme="majorBidi" w:hAnsiTheme="majorBidi" w:cstheme="majorBidi"/>
                <w:sz w:val="20"/>
                <w:szCs w:val="20"/>
              </w:rPr>
              <w:t xml:space="preserve"> </w:t>
            </w:r>
            <w:r w:rsidRPr="00E8603B">
              <w:rPr>
                <w:rFonts w:asciiTheme="majorBidi" w:hAnsiTheme="majorBidi" w:cstheme="majorBidi"/>
                <w:sz w:val="20"/>
                <w:szCs w:val="20"/>
              </w:rPr>
              <w:t>DOACs pursuant to a consult order.</w:t>
            </w:r>
          </w:p>
        </w:tc>
        <w:tc>
          <w:tcPr>
            <w:tcW w:w="1472" w:type="dxa"/>
          </w:tcPr>
          <w:p w14:paraId="70ACEF6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Business as usual pre-intervention</w:t>
            </w:r>
          </w:p>
        </w:tc>
        <w:tc>
          <w:tcPr>
            <w:tcW w:w="3139" w:type="dxa"/>
          </w:tcPr>
          <w:p w14:paraId="35698BFA" w14:textId="77777777" w:rsidR="00B85C9C" w:rsidRDefault="00B85C9C" w:rsidP="00CA6F03">
            <w:pPr>
              <w:rPr>
                <w:rFonts w:asciiTheme="majorBidi" w:hAnsiTheme="majorBidi" w:cstheme="majorBidi"/>
                <w:sz w:val="20"/>
                <w:szCs w:val="20"/>
              </w:rPr>
            </w:pPr>
            <w:r w:rsidRPr="009E7AE4">
              <w:rPr>
                <w:rFonts w:asciiTheme="majorBidi" w:hAnsiTheme="majorBidi" w:cstheme="majorBidi"/>
                <w:sz w:val="20"/>
                <w:szCs w:val="20"/>
              </w:rPr>
              <w:t>41 patients</w:t>
            </w:r>
            <w:r>
              <w:rPr>
                <w:rFonts w:asciiTheme="majorBidi" w:hAnsiTheme="majorBidi" w:cstheme="majorBidi"/>
                <w:sz w:val="20"/>
                <w:szCs w:val="20"/>
              </w:rPr>
              <w:t xml:space="preserve"> </w:t>
            </w:r>
            <w:r w:rsidRPr="009E7AE4">
              <w:rPr>
                <w:rFonts w:asciiTheme="majorBidi" w:hAnsiTheme="majorBidi" w:cstheme="majorBidi"/>
                <w:sz w:val="20"/>
                <w:szCs w:val="20"/>
              </w:rPr>
              <w:t>in the pre-phase received a medication error involving a DOAC compared with</w:t>
            </w:r>
            <w:r>
              <w:rPr>
                <w:rFonts w:asciiTheme="majorBidi" w:hAnsiTheme="majorBidi" w:cstheme="majorBidi"/>
                <w:sz w:val="20"/>
                <w:szCs w:val="20"/>
              </w:rPr>
              <w:t xml:space="preserve"> </w:t>
            </w:r>
            <w:r w:rsidRPr="009E7AE4">
              <w:rPr>
                <w:rFonts w:asciiTheme="majorBidi" w:hAnsiTheme="majorBidi" w:cstheme="majorBidi"/>
                <w:sz w:val="20"/>
                <w:szCs w:val="20"/>
              </w:rPr>
              <w:t xml:space="preserve">22 patients in the post-phase (16% vs 8.9%; </w:t>
            </w:r>
            <w:r w:rsidRPr="009E7AE4">
              <w:rPr>
                <w:rFonts w:asciiTheme="majorBidi" w:hAnsiTheme="majorBidi" w:cstheme="majorBidi"/>
                <w:b/>
                <w:bCs/>
                <w:sz w:val="20"/>
                <w:szCs w:val="20"/>
              </w:rPr>
              <w:t xml:space="preserve">relative risk reduction 44%; P = </w:t>
            </w:r>
            <w:r>
              <w:rPr>
                <w:rFonts w:asciiTheme="majorBidi" w:hAnsiTheme="majorBidi" w:cstheme="majorBidi"/>
                <w:b/>
                <w:bCs/>
                <w:sz w:val="20"/>
                <w:szCs w:val="20"/>
              </w:rPr>
              <w:t>0</w:t>
            </w:r>
            <w:r w:rsidRPr="009E7AE4">
              <w:rPr>
                <w:rFonts w:asciiTheme="majorBidi" w:hAnsiTheme="majorBidi" w:cstheme="majorBidi"/>
                <w:b/>
                <w:bCs/>
                <w:sz w:val="20"/>
                <w:szCs w:val="20"/>
              </w:rPr>
              <w:t>.017).</w:t>
            </w:r>
            <w:r>
              <w:rPr>
                <w:rFonts w:asciiTheme="majorBidi" w:hAnsiTheme="majorBidi" w:cstheme="majorBidi"/>
                <w:sz w:val="20"/>
                <w:szCs w:val="20"/>
              </w:rPr>
              <w:t xml:space="preserve"> </w:t>
            </w:r>
            <w:r w:rsidRPr="009E7AE4">
              <w:rPr>
                <w:rFonts w:asciiTheme="majorBidi" w:hAnsiTheme="majorBidi" w:cstheme="majorBidi"/>
                <w:sz w:val="20"/>
                <w:szCs w:val="20"/>
              </w:rPr>
              <w:t>Rates of near misses were numerically higher in the post-phase group (7.4% vs</w:t>
            </w:r>
            <w:r>
              <w:rPr>
                <w:rFonts w:asciiTheme="majorBidi" w:hAnsiTheme="majorBidi" w:cstheme="majorBidi"/>
                <w:sz w:val="20"/>
                <w:szCs w:val="20"/>
              </w:rPr>
              <w:t xml:space="preserve"> </w:t>
            </w:r>
            <w:r w:rsidRPr="009E7AE4">
              <w:rPr>
                <w:rFonts w:asciiTheme="majorBidi" w:hAnsiTheme="majorBidi" w:cstheme="majorBidi"/>
                <w:sz w:val="20"/>
                <w:szCs w:val="20"/>
              </w:rPr>
              <w:t>11.8%; P = .1), and rates of discharge DOAC errors were numerically lower (8.5% vs</w:t>
            </w:r>
            <w:r>
              <w:rPr>
                <w:rFonts w:asciiTheme="majorBidi" w:hAnsiTheme="majorBidi" w:cstheme="majorBidi"/>
                <w:sz w:val="20"/>
                <w:szCs w:val="20"/>
              </w:rPr>
              <w:t xml:space="preserve"> </w:t>
            </w:r>
            <w:r w:rsidRPr="009E7AE4">
              <w:rPr>
                <w:rFonts w:asciiTheme="majorBidi" w:hAnsiTheme="majorBidi" w:cstheme="majorBidi"/>
                <w:sz w:val="20"/>
                <w:szCs w:val="20"/>
              </w:rPr>
              <w:t>4.9%; P = .1). The most common error was underdosing (N = 31).</w:t>
            </w:r>
          </w:p>
          <w:p w14:paraId="0296F16B" w14:textId="276C3397" w:rsidR="00B85C9C" w:rsidRPr="008D6755" w:rsidRDefault="00B85C9C">
            <w:pPr>
              <w:rPr>
                <w:rFonts w:asciiTheme="majorBidi" w:hAnsiTheme="majorBidi" w:cstheme="majorBidi"/>
                <w:sz w:val="20"/>
                <w:szCs w:val="20"/>
              </w:rPr>
            </w:pPr>
            <w:r>
              <w:rPr>
                <w:rFonts w:asciiTheme="majorBidi" w:hAnsiTheme="majorBidi" w:cstheme="majorBidi"/>
                <w:sz w:val="20"/>
                <w:szCs w:val="20"/>
              </w:rPr>
              <w:t>Authors state: “</w:t>
            </w:r>
            <w:r w:rsidRPr="009E7AE4">
              <w:rPr>
                <w:rFonts w:asciiTheme="majorBidi" w:hAnsiTheme="majorBidi" w:cstheme="majorBidi"/>
                <w:sz w:val="20"/>
                <w:szCs w:val="20"/>
              </w:rPr>
              <w:t>These</w:t>
            </w:r>
            <w:r>
              <w:rPr>
                <w:rFonts w:asciiTheme="majorBidi" w:hAnsiTheme="majorBidi" w:cstheme="majorBidi"/>
                <w:sz w:val="20"/>
                <w:szCs w:val="20"/>
              </w:rPr>
              <w:t xml:space="preserve"> </w:t>
            </w:r>
            <w:r w:rsidRPr="009E7AE4">
              <w:rPr>
                <w:rFonts w:asciiTheme="majorBidi" w:hAnsiTheme="majorBidi" w:cstheme="majorBidi"/>
                <w:sz w:val="20"/>
                <w:szCs w:val="20"/>
              </w:rPr>
              <w:t>findings underscore the impact of a protocolized approach to DOAC management, as</w:t>
            </w:r>
            <w:r>
              <w:rPr>
                <w:rFonts w:asciiTheme="majorBidi" w:hAnsiTheme="majorBidi" w:cstheme="majorBidi"/>
                <w:sz w:val="20"/>
                <w:szCs w:val="20"/>
              </w:rPr>
              <w:t xml:space="preserve"> </w:t>
            </w:r>
            <w:r w:rsidRPr="009E7AE4">
              <w:rPr>
                <w:rFonts w:asciiTheme="majorBidi" w:hAnsiTheme="majorBidi" w:cstheme="majorBidi"/>
                <w:sz w:val="20"/>
                <w:szCs w:val="20"/>
              </w:rPr>
              <w:t>well as the role of pharmacists in overseeing inpatient DOAC use</w:t>
            </w:r>
            <w:r>
              <w:rPr>
                <w:rFonts w:asciiTheme="majorBidi" w:hAnsiTheme="majorBidi" w:cstheme="majorBidi"/>
                <w:sz w:val="20"/>
                <w:szCs w:val="20"/>
              </w:rPr>
              <w:t>.”</w:t>
            </w:r>
          </w:p>
        </w:tc>
        <w:tc>
          <w:tcPr>
            <w:tcW w:w="1541" w:type="dxa"/>
          </w:tcPr>
          <w:p w14:paraId="73B84AF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retrospective, single centre, no outcomes measured. </w:t>
            </w:r>
          </w:p>
        </w:tc>
      </w:tr>
      <w:tr w:rsidR="00B85C9C" w:rsidRPr="008D6755" w14:paraId="2E9C0A7B" w14:textId="77777777" w:rsidTr="00CA6F03">
        <w:tc>
          <w:tcPr>
            <w:tcW w:w="1783" w:type="dxa"/>
            <w:tcBorders>
              <w:bottom w:val="single" w:sz="4" w:space="0" w:color="auto"/>
            </w:tcBorders>
          </w:tcPr>
          <w:p w14:paraId="3021096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Zdyb et al 2017</w:t>
            </w:r>
          </w:p>
          <w:p w14:paraId="7E736EF7" w14:textId="51B019FC" w:rsidR="00B85C9C" w:rsidRPr="008D6755" w:rsidRDefault="00B85C9C" w:rsidP="00CA6F03">
            <w:pPr>
              <w:rPr>
                <w:rFonts w:asciiTheme="majorBidi" w:hAnsiTheme="majorBidi" w:cstheme="majorBidi"/>
                <w:sz w:val="20"/>
                <w:szCs w:val="20"/>
              </w:rPr>
            </w:pPr>
          </w:p>
        </w:tc>
        <w:tc>
          <w:tcPr>
            <w:tcW w:w="1638" w:type="dxa"/>
            <w:tcBorders>
              <w:bottom w:val="single" w:sz="4" w:space="0" w:color="auto"/>
            </w:tcBorders>
          </w:tcPr>
          <w:p w14:paraId="2D74F630" w14:textId="77777777" w:rsidR="00B85C9C" w:rsidRPr="00457D55" w:rsidRDefault="00B85C9C" w:rsidP="00CA6F03">
            <w:pPr>
              <w:rPr>
                <w:rFonts w:asciiTheme="majorBidi" w:hAnsiTheme="majorBidi" w:cstheme="majorBidi"/>
                <w:sz w:val="20"/>
                <w:szCs w:val="20"/>
              </w:rPr>
            </w:pPr>
            <w:r>
              <w:rPr>
                <w:rFonts w:asciiTheme="majorBidi" w:hAnsiTheme="majorBidi" w:cstheme="majorBidi"/>
                <w:sz w:val="20"/>
                <w:szCs w:val="20"/>
              </w:rPr>
              <w:t>S</w:t>
            </w:r>
            <w:r w:rsidRPr="00457D55">
              <w:rPr>
                <w:rFonts w:asciiTheme="majorBidi" w:hAnsiTheme="majorBidi" w:cstheme="majorBidi"/>
                <w:sz w:val="20"/>
                <w:szCs w:val="20"/>
              </w:rPr>
              <w:t>ingle</w:t>
            </w:r>
            <w:r>
              <w:rPr>
                <w:rFonts w:asciiTheme="majorBidi" w:hAnsiTheme="majorBidi" w:cstheme="majorBidi"/>
                <w:sz w:val="20"/>
                <w:szCs w:val="20"/>
              </w:rPr>
              <w:t xml:space="preserve"> </w:t>
            </w:r>
            <w:r w:rsidRPr="00457D55">
              <w:rPr>
                <w:rFonts w:asciiTheme="majorBidi" w:hAnsiTheme="majorBidi" w:cstheme="majorBidi"/>
                <w:sz w:val="20"/>
                <w:szCs w:val="20"/>
              </w:rPr>
              <w:t>cent</w:t>
            </w:r>
            <w:r>
              <w:rPr>
                <w:rFonts w:asciiTheme="majorBidi" w:hAnsiTheme="majorBidi" w:cstheme="majorBidi"/>
                <w:sz w:val="20"/>
                <w:szCs w:val="20"/>
              </w:rPr>
              <w:t xml:space="preserve">re (tertiary 900 beds), </w:t>
            </w:r>
          </w:p>
          <w:p w14:paraId="7B155E09" w14:textId="77777777" w:rsidR="00B85C9C" w:rsidRPr="008D6755" w:rsidRDefault="00B85C9C" w:rsidP="00CA6F03">
            <w:pPr>
              <w:rPr>
                <w:rFonts w:asciiTheme="majorBidi" w:hAnsiTheme="majorBidi" w:cstheme="majorBidi"/>
                <w:sz w:val="20"/>
                <w:szCs w:val="20"/>
              </w:rPr>
            </w:pPr>
            <w:r w:rsidRPr="00457D55">
              <w:rPr>
                <w:rFonts w:asciiTheme="majorBidi" w:hAnsiTheme="majorBidi" w:cstheme="majorBidi"/>
                <w:sz w:val="20"/>
                <w:szCs w:val="20"/>
              </w:rPr>
              <w:t>retrospective analysis</w:t>
            </w:r>
            <w:r>
              <w:rPr>
                <w:rFonts w:asciiTheme="majorBidi" w:hAnsiTheme="majorBidi" w:cstheme="majorBidi"/>
                <w:sz w:val="20"/>
                <w:szCs w:val="20"/>
              </w:rPr>
              <w:t>, n = 174</w:t>
            </w:r>
          </w:p>
        </w:tc>
        <w:tc>
          <w:tcPr>
            <w:tcW w:w="1678" w:type="dxa"/>
            <w:tcBorders>
              <w:bottom w:val="single" w:sz="4" w:space="0" w:color="auto"/>
            </w:tcBorders>
          </w:tcPr>
          <w:p w14:paraId="7DC56DDC" w14:textId="77777777" w:rsidR="00B85C9C" w:rsidRPr="00457D55" w:rsidRDefault="00B85C9C" w:rsidP="00CA6F03">
            <w:pPr>
              <w:rPr>
                <w:rFonts w:asciiTheme="majorBidi" w:hAnsiTheme="majorBidi" w:cstheme="majorBidi"/>
                <w:sz w:val="20"/>
                <w:szCs w:val="20"/>
              </w:rPr>
            </w:pPr>
            <w:r>
              <w:rPr>
                <w:rFonts w:asciiTheme="majorBidi" w:hAnsiTheme="majorBidi" w:cstheme="majorBidi"/>
                <w:sz w:val="20"/>
                <w:szCs w:val="20"/>
              </w:rPr>
              <w:t>P</w:t>
            </w:r>
            <w:r w:rsidRPr="00457D55">
              <w:rPr>
                <w:rFonts w:asciiTheme="majorBidi" w:hAnsiTheme="majorBidi" w:cstheme="majorBidi"/>
                <w:sz w:val="20"/>
                <w:szCs w:val="20"/>
              </w:rPr>
              <w:t>atients discharged</w:t>
            </w:r>
            <w:r>
              <w:rPr>
                <w:rFonts w:asciiTheme="majorBidi" w:hAnsiTheme="majorBidi" w:cstheme="majorBidi"/>
                <w:sz w:val="20"/>
                <w:szCs w:val="20"/>
              </w:rPr>
              <w:t xml:space="preserve"> f</w:t>
            </w:r>
            <w:r w:rsidRPr="00457D55">
              <w:rPr>
                <w:rFonts w:asciiTheme="majorBidi" w:hAnsiTheme="majorBidi" w:cstheme="majorBidi"/>
                <w:sz w:val="20"/>
                <w:szCs w:val="20"/>
              </w:rPr>
              <w:t>rom</w:t>
            </w:r>
            <w:r>
              <w:rPr>
                <w:rFonts w:asciiTheme="majorBidi" w:hAnsiTheme="majorBidi" w:cstheme="majorBidi"/>
                <w:sz w:val="20"/>
                <w:szCs w:val="20"/>
              </w:rPr>
              <w:t xml:space="preserve"> </w:t>
            </w:r>
            <w:r w:rsidRPr="00457D55">
              <w:rPr>
                <w:rFonts w:asciiTheme="majorBidi" w:hAnsiTheme="majorBidi" w:cstheme="majorBidi"/>
                <w:sz w:val="20"/>
                <w:szCs w:val="20"/>
              </w:rPr>
              <w:t>the</w:t>
            </w:r>
            <w:r>
              <w:rPr>
                <w:rFonts w:asciiTheme="majorBidi" w:hAnsiTheme="majorBidi" w:cstheme="majorBidi"/>
                <w:sz w:val="20"/>
                <w:szCs w:val="20"/>
              </w:rPr>
              <w:t xml:space="preserve"> </w:t>
            </w:r>
            <w:r w:rsidRPr="00457D55">
              <w:rPr>
                <w:rFonts w:asciiTheme="majorBidi" w:hAnsiTheme="majorBidi" w:cstheme="majorBidi"/>
                <w:sz w:val="20"/>
                <w:szCs w:val="20"/>
              </w:rPr>
              <w:t>ED</w:t>
            </w:r>
            <w:r>
              <w:rPr>
                <w:rFonts w:asciiTheme="majorBidi" w:hAnsiTheme="majorBidi" w:cstheme="majorBidi"/>
                <w:sz w:val="20"/>
                <w:szCs w:val="20"/>
              </w:rPr>
              <w:t xml:space="preserve"> </w:t>
            </w:r>
            <w:r w:rsidRPr="00457D55">
              <w:rPr>
                <w:rFonts w:asciiTheme="majorBidi" w:hAnsiTheme="majorBidi" w:cstheme="majorBidi"/>
                <w:sz w:val="20"/>
                <w:szCs w:val="20"/>
              </w:rPr>
              <w:t>between</w:t>
            </w:r>
            <w:r>
              <w:rPr>
                <w:rFonts w:asciiTheme="majorBidi" w:hAnsiTheme="majorBidi" w:cstheme="majorBidi"/>
                <w:sz w:val="20"/>
                <w:szCs w:val="20"/>
              </w:rPr>
              <w:t xml:space="preserve"> </w:t>
            </w:r>
            <w:r w:rsidRPr="00457D55">
              <w:rPr>
                <w:rFonts w:asciiTheme="majorBidi" w:hAnsiTheme="majorBidi" w:cstheme="majorBidi"/>
                <w:sz w:val="20"/>
                <w:szCs w:val="20"/>
              </w:rPr>
              <w:t>May 2013 and</w:t>
            </w:r>
            <w:r>
              <w:rPr>
                <w:rFonts w:asciiTheme="majorBidi" w:hAnsiTheme="majorBidi" w:cstheme="majorBidi"/>
                <w:sz w:val="20"/>
                <w:szCs w:val="20"/>
              </w:rPr>
              <w:t xml:space="preserve"> </w:t>
            </w:r>
            <w:r w:rsidRPr="00457D55">
              <w:rPr>
                <w:rFonts w:asciiTheme="majorBidi" w:hAnsiTheme="majorBidi" w:cstheme="majorBidi"/>
                <w:sz w:val="20"/>
                <w:szCs w:val="20"/>
              </w:rPr>
              <w:t>May 2016</w:t>
            </w:r>
            <w:r>
              <w:rPr>
                <w:rFonts w:asciiTheme="majorBidi" w:hAnsiTheme="majorBidi" w:cstheme="majorBidi"/>
                <w:sz w:val="20"/>
                <w:szCs w:val="20"/>
              </w:rPr>
              <w:t xml:space="preserve"> </w:t>
            </w:r>
            <w:r w:rsidRPr="00457D55">
              <w:rPr>
                <w:rFonts w:asciiTheme="majorBidi" w:hAnsiTheme="majorBidi" w:cstheme="majorBidi"/>
                <w:sz w:val="20"/>
                <w:szCs w:val="20"/>
              </w:rPr>
              <w:t>with a new</w:t>
            </w:r>
            <w:r>
              <w:rPr>
                <w:rFonts w:asciiTheme="majorBidi" w:hAnsiTheme="majorBidi" w:cstheme="majorBidi"/>
                <w:sz w:val="20"/>
                <w:szCs w:val="20"/>
              </w:rPr>
              <w:t xml:space="preserve"> </w:t>
            </w:r>
            <w:r w:rsidRPr="00457D55">
              <w:rPr>
                <w:rFonts w:asciiTheme="majorBidi" w:hAnsiTheme="majorBidi" w:cstheme="majorBidi"/>
                <w:sz w:val="20"/>
                <w:szCs w:val="20"/>
              </w:rPr>
              <w:t>anticoagulant</w:t>
            </w:r>
          </w:p>
          <w:p w14:paraId="1A149506" w14:textId="77777777" w:rsidR="00B85C9C" w:rsidRPr="008D6755" w:rsidRDefault="00B85C9C" w:rsidP="00CA6F03">
            <w:pPr>
              <w:rPr>
                <w:rFonts w:asciiTheme="majorBidi" w:hAnsiTheme="majorBidi" w:cstheme="majorBidi"/>
                <w:sz w:val="20"/>
                <w:szCs w:val="20"/>
              </w:rPr>
            </w:pPr>
            <w:r w:rsidRPr="00457D55">
              <w:rPr>
                <w:rFonts w:asciiTheme="majorBidi" w:hAnsiTheme="majorBidi" w:cstheme="majorBidi"/>
                <w:sz w:val="20"/>
                <w:szCs w:val="20"/>
              </w:rPr>
              <w:t>prescription.</w:t>
            </w:r>
          </w:p>
        </w:tc>
        <w:tc>
          <w:tcPr>
            <w:tcW w:w="2699" w:type="dxa"/>
            <w:tcBorders>
              <w:bottom w:val="single" w:sz="4" w:space="0" w:color="auto"/>
            </w:tcBorders>
          </w:tcPr>
          <w:p w14:paraId="22A5C3A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w:t>
            </w:r>
            <w:r w:rsidRPr="00457D55">
              <w:rPr>
                <w:rFonts w:asciiTheme="majorBidi" w:hAnsiTheme="majorBidi" w:cstheme="majorBidi"/>
                <w:sz w:val="20"/>
                <w:szCs w:val="20"/>
              </w:rPr>
              <w:t>atients discharged</w:t>
            </w:r>
            <w:r>
              <w:rPr>
                <w:rFonts w:asciiTheme="majorBidi" w:hAnsiTheme="majorBidi" w:cstheme="majorBidi"/>
                <w:sz w:val="20"/>
                <w:szCs w:val="20"/>
              </w:rPr>
              <w:t xml:space="preserve"> </w:t>
            </w:r>
            <w:r w:rsidRPr="00457D55">
              <w:rPr>
                <w:rFonts w:asciiTheme="majorBidi" w:hAnsiTheme="majorBidi" w:cstheme="majorBidi"/>
                <w:sz w:val="20"/>
                <w:szCs w:val="20"/>
              </w:rPr>
              <w:t xml:space="preserve">with a new prescription for any anticoagulant receive </w:t>
            </w:r>
            <w:r w:rsidRPr="00457D55">
              <w:rPr>
                <w:rFonts w:asciiTheme="majorBidi" w:hAnsiTheme="majorBidi" w:cstheme="majorBidi"/>
                <w:b/>
                <w:bCs/>
                <w:sz w:val="20"/>
                <w:szCs w:val="20"/>
              </w:rPr>
              <w:t>education from an ED pharmacist</w:t>
            </w:r>
            <w:r w:rsidRPr="00457D55">
              <w:rPr>
                <w:rFonts w:asciiTheme="majorBidi" w:hAnsiTheme="majorBidi" w:cstheme="majorBidi"/>
                <w:sz w:val="20"/>
                <w:szCs w:val="20"/>
              </w:rPr>
              <w:t xml:space="preserve"> when on-site</w:t>
            </w:r>
            <w:r>
              <w:rPr>
                <w:rFonts w:asciiTheme="majorBidi" w:hAnsiTheme="majorBidi" w:cstheme="majorBidi"/>
                <w:sz w:val="20"/>
                <w:szCs w:val="20"/>
              </w:rPr>
              <w:t>, plus</w:t>
            </w:r>
            <w:r w:rsidRPr="00457D55">
              <w:rPr>
                <w:rFonts w:asciiTheme="majorBidi" w:hAnsiTheme="majorBidi" w:cstheme="majorBidi"/>
                <w:sz w:val="20"/>
                <w:szCs w:val="20"/>
              </w:rPr>
              <w:t>, they</w:t>
            </w:r>
            <w:r>
              <w:rPr>
                <w:rFonts w:asciiTheme="majorBidi" w:hAnsiTheme="majorBidi" w:cstheme="majorBidi"/>
                <w:sz w:val="20"/>
                <w:szCs w:val="20"/>
              </w:rPr>
              <w:t xml:space="preserve"> </w:t>
            </w:r>
            <w:r w:rsidRPr="00457D55">
              <w:rPr>
                <w:rFonts w:asciiTheme="majorBidi" w:hAnsiTheme="majorBidi" w:cstheme="majorBidi"/>
                <w:sz w:val="20"/>
                <w:szCs w:val="20"/>
              </w:rPr>
              <w:t>received follow-up phone calls from an</w:t>
            </w:r>
            <w:r>
              <w:rPr>
                <w:rFonts w:asciiTheme="majorBidi" w:hAnsiTheme="majorBidi" w:cstheme="majorBidi"/>
                <w:sz w:val="20"/>
                <w:szCs w:val="20"/>
              </w:rPr>
              <w:t xml:space="preserve"> </w:t>
            </w:r>
            <w:r w:rsidRPr="00457D55">
              <w:rPr>
                <w:rFonts w:asciiTheme="majorBidi" w:hAnsiTheme="majorBidi" w:cstheme="majorBidi"/>
                <w:sz w:val="20"/>
                <w:szCs w:val="20"/>
              </w:rPr>
              <w:t>ED</w:t>
            </w:r>
            <w:r>
              <w:rPr>
                <w:rFonts w:asciiTheme="majorBidi" w:hAnsiTheme="majorBidi" w:cstheme="majorBidi"/>
                <w:sz w:val="20"/>
                <w:szCs w:val="20"/>
              </w:rPr>
              <w:t xml:space="preserve"> </w:t>
            </w:r>
            <w:r w:rsidRPr="00457D55">
              <w:rPr>
                <w:rFonts w:asciiTheme="majorBidi" w:hAnsiTheme="majorBidi" w:cstheme="majorBidi"/>
                <w:sz w:val="20"/>
                <w:szCs w:val="20"/>
              </w:rPr>
              <w:t>pharmacist within</w:t>
            </w:r>
            <w:r>
              <w:rPr>
                <w:rFonts w:asciiTheme="majorBidi" w:hAnsiTheme="majorBidi" w:cstheme="majorBidi"/>
                <w:sz w:val="20"/>
                <w:szCs w:val="20"/>
              </w:rPr>
              <w:t xml:space="preserve"> </w:t>
            </w:r>
            <w:r w:rsidRPr="00457D55">
              <w:rPr>
                <w:rFonts w:asciiTheme="majorBidi" w:hAnsiTheme="majorBidi" w:cstheme="majorBidi"/>
                <w:sz w:val="20"/>
                <w:szCs w:val="20"/>
              </w:rPr>
              <w:t>72 hours of discharge</w:t>
            </w:r>
            <w:r>
              <w:rPr>
                <w:rFonts w:asciiTheme="majorBidi" w:hAnsiTheme="majorBidi" w:cstheme="majorBidi"/>
                <w:sz w:val="20"/>
                <w:szCs w:val="20"/>
              </w:rPr>
              <w:t xml:space="preserve">. Counselling was supported by a written e-form, and auto triggering of pharmacy consult upon prescription of an anticoagulant. </w:t>
            </w:r>
          </w:p>
          <w:p w14:paraId="4C4F812F" w14:textId="77777777" w:rsidR="00B85C9C" w:rsidRPr="008D6755" w:rsidRDefault="00B85C9C" w:rsidP="00CA6F03">
            <w:pPr>
              <w:rPr>
                <w:rFonts w:asciiTheme="majorBidi" w:hAnsiTheme="majorBidi" w:cstheme="majorBidi"/>
                <w:sz w:val="20"/>
                <w:szCs w:val="20"/>
              </w:rPr>
            </w:pPr>
          </w:p>
        </w:tc>
        <w:tc>
          <w:tcPr>
            <w:tcW w:w="1472" w:type="dxa"/>
            <w:tcBorders>
              <w:bottom w:val="single" w:sz="4" w:space="0" w:color="auto"/>
            </w:tcBorders>
          </w:tcPr>
          <w:p w14:paraId="211BC5A9" w14:textId="77777777" w:rsidR="00B85C9C" w:rsidRPr="00457D55" w:rsidRDefault="00B85C9C" w:rsidP="00CA6F03">
            <w:pPr>
              <w:rPr>
                <w:rFonts w:asciiTheme="majorBidi" w:hAnsiTheme="majorBidi" w:cstheme="majorBidi"/>
                <w:sz w:val="20"/>
                <w:szCs w:val="20"/>
              </w:rPr>
            </w:pPr>
            <w:r>
              <w:rPr>
                <w:rFonts w:asciiTheme="majorBidi" w:hAnsiTheme="majorBidi" w:cstheme="majorBidi"/>
                <w:sz w:val="20"/>
                <w:szCs w:val="20"/>
              </w:rPr>
              <w:t>P</w:t>
            </w:r>
            <w:r w:rsidRPr="00457D55">
              <w:rPr>
                <w:rFonts w:asciiTheme="majorBidi" w:hAnsiTheme="majorBidi" w:cstheme="majorBidi"/>
                <w:sz w:val="20"/>
                <w:szCs w:val="20"/>
              </w:rPr>
              <w:t>hysician and nursing-driven</w:t>
            </w:r>
          </w:p>
          <w:p w14:paraId="417AB937" w14:textId="77777777" w:rsidR="00B85C9C" w:rsidRPr="008D6755" w:rsidRDefault="00B85C9C" w:rsidP="00CA6F03">
            <w:pPr>
              <w:rPr>
                <w:rFonts w:asciiTheme="majorBidi" w:hAnsiTheme="majorBidi" w:cstheme="majorBidi"/>
                <w:sz w:val="20"/>
                <w:szCs w:val="20"/>
              </w:rPr>
            </w:pPr>
            <w:r w:rsidRPr="00457D55">
              <w:rPr>
                <w:rFonts w:asciiTheme="majorBidi" w:hAnsiTheme="majorBidi" w:cstheme="majorBidi"/>
                <w:sz w:val="20"/>
                <w:szCs w:val="20"/>
              </w:rPr>
              <w:t>discharge measures</w:t>
            </w:r>
            <w:r>
              <w:rPr>
                <w:rFonts w:asciiTheme="majorBidi" w:hAnsiTheme="majorBidi" w:cstheme="majorBidi"/>
                <w:sz w:val="20"/>
                <w:szCs w:val="20"/>
              </w:rPr>
              <w:t xml:space="preserve"> (usually provided out of pharmacist hours)</w:t>
            </w:r>
          </w:p>
        </w:tc>
        <w:tc>
          <w:tcPr>
            <w:tcW w:w="3139" w:type="dxa"/>
            <w:tcBorders>
              <w:bottom w:val="single" w:sz="4" w:space="0" w:color="auto"/>
            </w:tcBorders>
          </w:tcPr>
          <w:p w14:paraId="1C203E23" w14:textId="77777777" w:rsidR="00B85C9C" w:rsidRPr="00457D55" w:rsidRDefault="00B85C9C" w:rsidP="00CA6F03">
            <w:pPr>
              <w:rPr>
                <w:rFonts w:asciiTheme="majorBidi" w:hAnsiTheme="majorBidi" w:cstheme="majorBidi"/>
                <w:sz w:val="20"/>
                <w:szCs w:val="20"/>
              </w:rPr>
            </w:pPr>
            <w:r w:rsidRPr="00457D55">
              <w:rPr>
                <w:rFonts w:asciiTheme="majorBidi" w:hAnsiTheme="majorBidi" w:cstheme="majorBidi"/>
                <w:sz w:val="20"/>
                <w:szCs w:val="20"/>
              </w:rPr>
              <w:t>Patients</w:t>
            </w:r>
            <w:r>
              <w:rPr>
                <w:rFonts w:asciiTheme="majorBidi" w:hAnsiTheme="majorBidi" w:cstheme="majorBidi"/>
                <w:sz w:val="20"/>
                <w:szCs w:val="20"/>
              </w:rPr>
              <w:t xml:space="preserve"> </w:t>
            </w:r>
            <w:r w:rsidRPr="00457D55">
              <w:rPr>
                <w:rFonts w:asciiTheme="majorBidi" w:hAnsiTheme="majorBidi" w:cstheme="majorBidi"/>
                <w:sz w:val="20"/>
                <w:szCs w:val="20"/>
              </w:rPr>
              <w:t>who did not receive pharmacist education</w:t>
            </w:r>
            <w:r>
              <w:rPr>
                <w:rFonts w:asciiTheme="majorBidi" w:hAnsiTheme="majorBidi" w:cstheme="majorBidi"/>
                <w:sz w:val="20"/>
                <w:szCs w:val="20"/>
              </w:rPr>
              <w:t xml:space="preserve"> </w:t>
            </w:r>
            <w:r w:rsidRPr="00457D55">
              <w:rPr>
                <w:rFonts w:asciiTheme="majorBidi" w:hAnsiTheme="majorBidi" w:cstheme="majorBidi"/>
                <w:sz w:val="20"/>
                <w:szCs w:val="20"/>
              </w:rPr>
              <w:t xml:space="preserve">required </w:t>
            </w:r>
            <w:r>
              <w:rPr>
                <w:rFonts w:asciiTheme="majorBidi" w:hAnsiTheme="majorBidi" w:cstheme="majorBidi"/>
                <w:sz w:val="20"/>
                <w:szCs w:val="20"/>
              </w:rPr>
              <w:t xml:space="preserve">more </w:t>
            </w:r>
          </w:p>
          <w:p w14:paraId="1BFC7F50" w14:textId="77777777" w:rsidR="00B85C9C" w:rsidRDefault="00B85C9C" w:rsidP="00CA6F03">
            <w:pPr>
              <w:rPr>
                <w:rFonts w:asciiTheme="majorBidi" w:hAnsiTheme="majorBidi" w:cstheme="majorBidi"/>
                <w:sz w:val="20"/>
                <w:szCs w:val="20"/>
              </w:rPr>
            </w:pPr>
            <w:r w:rsidRPr="00457D55">
              <w:rPr>
                <w:rFonts w:asciiTheme="majorBidi" w:hAnsiTheme="majorBidi" w:cstheme="majorBidi"/>
                <w:sz w:val="20"/>
                <w:szCs w:val="20"/>
              </w:rPr>
              <w:t>intervention during call</w:t>
            </w:r>
            <w:r>
              <w:rPr>
                <w:rFonts w:asciiTheme="majorBidi" w:hAnsiTheme="majorBidi" w:cstheme="majorBidi"/>
                <w:sz w:val="20"/>
                <w:szCs w:val="20"/>
              </w:rPr>
              <w:t>-</w:t>
            </w:r>
            <w:r w:rsidRPr="00457D55">
              <w:rPr>
                <w:rFonts w:asciiTheme="majorBidi" w:hAnsiTheme="majorBidi" w:cstheme="majorBidi"/>
                <w:sz w:val="20"/>
                <w:szCs w:val="20"/>
              </w:rPr>
              <w:t>back versus those who did</w:t>
            </w:r>
            <w:r>
              <w:rPr>
                <w:rFonts w:asciiTheme="majorBidi" w:hAnsiTheme="majorBidi" w:cstheme="majorBidi"/>
                <w:sz w:val="20"/>
                <w:szCs w:val="20"/>
              </w:rPr>
              <w:t xml:space="preserve"> </w:t>
            </w:r>
            <w:r w:rsidRPr="00457D55">
              <w:rPr>
                <w:rFonts w:asciiTheme="majorBidi" w:hAnsiTheme="majorBidi" w:cstheme="majorBidi"/>
                <w:sz w:val="20"/>
                <w:szCs w:val="20"/>
              </w:rPr>
              <w:t>(36.4%</w:t>
            </w:r>
            <w:r>
              <w:rPr>
                <w:rFonts w:asciiTheme="majorBidi" w:hAnsiTheme="majorBidi" w:cstheme="majorBidi"/>
                <w:sz w:val="20"/>
                <w:szCs w:val="20"/>
              </w:rPr>
              <w:t xml:space="preserve"> </w:t>
            </w:r>
            <w:r w:rsidRPr="00457D55">
              <w:rPr>
                <w:rFonts w:asciiTheme="majorBidi" w:hAnsiTheme="majorBidi" w:cstheme="majorBidi"/>
                <w:sz w:val="20"/>
                <w:szCs w:val="20"/>
              </w:rPr>
              <w:t>vs. 12.9%, p = 0.0005) related to adherence, inappropriate</w:t>
            </w:r>
            <w:r>
              <w:rPr>
                <w:rFonts w:asciiTheme="majorBidi" w:hAnsiTheme="majorBidi" w:cstheme="majorBidi"/>
                <w:sz w:val="20"/>
                <w:szCs w:val="20"/>
              </w:rPr>
              <w:t xml:space="preserve"> </w:t>
            </w:r>
            <w:r w:rsidRPr="00457D55">
              <w:rPr>
                <w:rFonts w:asciiTheme="majorBidi" w:hAnsiTheme="majorBidi" w:cstheme="majorBidi"/>
                <w:sz w:val="20"/>
                <w:szCs w:val="20"/>
              </w:rPr>
              <w:t>administration, and continued use of interacting</w:t>
            </w:r>
            <w:r>
              <w:rPr>
                <w:rFonts w:asciiTheme="majorBidi" w:hAnsiTheme="majorBidi" w:cstheme="majorBidi"/>
                <w:sz w:val="20"/>
                <w:szCs w:val="20"/>
              </w:rPr>
              <w:t xml:space="preserve"> </w:t>
            </w:r>
            <w:r w:rsidRPr="00457D55">
              <w:rPr>
                <w:rFonts w:asciiTheme="majorBidi" w:hAnsiTheme="majorBidi" w:cstheme="majorBidi"/>
                <w:sz w:val="20"/>
                <w:szCs w:val="20"/>
              </w:rPr>
              <w:t xml:space="preserve">medications or supplements. </w:t>
            </w:r>
          </w:p>
          <w:p w14:paraId="40ACD530" w14:textId="77777777" w:rsidR="00B85C9C" w:rsidRPr="00457D55" w:rsidRDefault="00B85C9C" w:rsidP="00CA6F03">
            <w:pPr>
              <w:rPr>
                <w:rFonts w:asciiTheme="majorBidi" w:hAnsiTheme="majorBidi" w:cstheme="majorBidi"/>
                <w:b/>
                <w:bCs/>
                <w:sz w:val="20"/>
                <w:szCs w:val="20"/>
              </w:rPr>
            </w:pPr>
            <w:r w:rsidRPr="00457D55">
              <w:rPr>
                <w:rFonts w:asciiTheme="majorBidi" w:hAnsiTheme="majorBidi" w:cstheme="majorBidi"/>
                <w:sz w:val="20"/>
                <w:szCs w:val="20"/>
              </w:rPr>
              <w:t>In addition,</w:t>
            </w:r>
            <w:r>
              <w:rPr>
                <w:rFonts w:asciiTheme="majorBidi" w:hAnsiTheme="majorBidi" w:cstheme="majorBidi"/>
                <w:sz w:val="20"/>
                <w:szCs w:val="20"/>
              </w:rPr>
              <w:t xml:space="preserve"> </w:t>
            </w:r>
            <w:r w:rsidRPr="00457D55">
              <w:rPr>
                <w:rFonts w:asciiTheme="majorBidi" w:hAnsiTheme="majorBidi" w:cstheme="majorBidi"/>
                <w:b/>
                <w:bCs/>
                <w:sz w:val="20"/>
                <w:szCs w:val="20"/>
              </w:rPr>
              <w:t>patients who had not received pharmacist counselling</w:t>
            </w:r>
          </w:p>
          <w:p w14:paraId="35B69FD2" w14:textId="66D09FA4" w:rsidR="00B85C9C" w:rsidRPr="008D6755" w:rsidRDefault="00B85C9C">
            <w:pPr>
              <w:rPr>
                <w:rFonts w:asciiTheme="majorBidi" w:hAnsiTheme="majorBidi" w:cstheme="majorBidi"/>
                <w:sz w:val="20"/>
                <w:szCs w:val="20"/>
              </w:rPr>
            </w:pPr>
            <w:r w:rsidRPr="00457D55">
              <w:rPr>
                <w:rFonts w:asciiTheme="majorBidi" w:hAnsiTheme="majorBidi" w:cstheme="majorBidi"/>
                <w:b/>
                <w:bCs/>
                <w:sz w:val="20"/>
                <w:szCs w:val="20"/>
              </w:rPr>
              <w:t>were more likely to be readmitted to a hospital or return to the ED</w:t>
            </w:r>
            <w:r w:rsidRPr="00457D55">
              <w:rPr>
                <w:rFonts w:asciiTheme="majorBidi" w:hAnsiTheme="majorBidi" w:cstheme="majorBidi"/>
                <w:sz w:val="20"/>
                <w:szCs w:val="20"/>
              </w:rPr>
              <w:t xml:space="preserve"> within 90 days for</w:t>
            </w:r>
            <w:r>
              <w:rPr>
                <w:rFonts w:asciiTheme="majorBidi" w:hAnsiTheme="majorBidi" w:cstheme="majorBidi"/>
                <w:sz w:val="20"/>
                <w:szCs w:val="20"/>
              </w:rPr>
              <w:t xml:space="preserve"> </w:t>
            </w:r>
            <w:r w:rsidRPr="00457D55">
              <w:rPr>
                <w:rFonts w:asciiTheme="majorBidi" w:hAnsiTheme="majorBidi" w:cstheme="majorBidi"/>
                <w:sz w:val="20"/>
                <w:szCs w:val="20"/>
              </w:rPr>
              <w:t>an anticoagulation-related problem</w:t>
            </w:r>
            <w:r>
              <w:rPr>
                <w:rFonts w:asciiTheme="majorBidi" w:hAnsiTheme="majorBidi" w:cstheme="majorBidi"/>
                <w:sz w:val="20"/>
                <w:szCs w:val="20"/>
              </w:rPr>
              <w:t xml:space="preserve"> </w:t>
            </w:r>
            <w:r w:rsidRPr="00457D55">
              <w:rPr>
                <w:rFonts w:asciiTheme="majorBidi" w:hAnsiTheme="majorBidi" w:cstheme="majorBidi"/>
                <w:sz w:val="20"/>
                <w:szCs w:val="20"/>
              </w:rPr>
              <w:t>(12.12% vs. 1.85%, p = 0.0069).</w:t>
            </w:r>
          </w:p>
        </w:tc>
        <w:tc>
          <w:tcPr>
            <w:tcW w:w="1541" w:type="dxa"/>
            <w:tcBorders>
              <w:bottom w:val="single" w:sz="4" w:space="0" w:color="auto"/>
            </w:tcBorders>
          </w:tcPr>
          <w:p w14:paraId="3A1E11C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retrospective, potential differences between cases and controls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out-of-hours)</w:t>
            </w:r>
          </w:p>
        </w:tc>
      </w:tr>
      <w:tr w:rsidR="00B85C9C" w:rsidRPr="008D6755" w14:paraId="4764C8CA" w14:textId="77777777" w:rsidTr="00CA6F03">
        <w:tc>
          <w:tcPr>
            <w:tcW w:w="1783" w:type="dxa"/>
          </w:tcPr>
          <w:p w14:paraId="5B0E541E" w14:textId="528BA5CE" w:rsidR="00B85C9C" w:rsidRPr="008D6755" w:rsidRDefault="00B85C9C" w:rsidP="00CA6F03">
            <w:pPr>
              <w:rPr>
                <w:rFonts w:asciiTheme="majorBidi" w:hAnsiTheme="majorBidi" w:cstheme="majorBidi"/>
                <w:sz w:val="20"/>
                <w:szCs w:val="20"/>
              </w:rPr>
            </w:pPr>
            <w:r>
              <w:rPr>
                <w:rFonts w:asciiTheme="majorBidi" w:hAnsiTheme="majorBidi" w:cstheme="majorBidi"/>
                <w:noProof/>
                <w:sz w:val="20"/>
                <w:szCs w:val="20"/>
              </w:rPr>
              <w:t xml:space="preserve">Bakey </w:t>
            </w:r>
            <w:r w:rsidR="008B50C6">
              <w:rPr>
                <w:rFonts w:asciiTheme="majorBidi" w:hAnsiTheme="majorBidi" w:cstheme="majorBidi"/>
                <w:noProof/>
                <w:sz w:val="20"/>
                <w:szCs w:val="20"/>
              </w:rPr>
              <w:t>and</w:t>
            </w:r>
            <w:r>
              <w:rPr>
                <w:rFonts w:asciiTheme="majorBidi" w:hAnsiTheme="majorBidi" w:cstheme="majorBidi"/>
                <w:noProof/>
                <w:sz w:val="20"/>
                <w:szCs w:val="20"/>
              </w:rPr>
              <w:t xml:space="preserve"> Nguyen 2021</w:t>
            </w:r>
          </w:p>
        </w:tc>
        <w:tc>
          <w:tcPr>
            <w:tcW w:w="1638" w:type="dxa"/>
          </w:tcPr>
          <w:p w14:paraId="4FBDFA0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Single centre, retrospective cohort study, n = 58</w:t>
            </w:r>
          </w:p>
        </w:tc>
        <w:tc>
          <w:tcPr>
            <w:tcW w:w="1678" w:type="dxa"/>
          </w:tcPr>
          <w:p w14:paraId="462DFDC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Low-risk VTE patients discharged from the ED</w:t>
            </w:r>
          </w:p>
        </w:tc>
        <w:tc>
          <w:tcPr>
            <w:tcW w:w="2699" w:type="dxa"/>
          </w:tcPr>
          <w:p w14:paraId="6D6D2184" w14:textId="77777777" w:rsidR="00B85C9C" w:rsidRPr="004367D0"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P</w:t>
            </w:r>
            <w:r w:rsidRPr="004367D0">
              <w:rPr>
                <w:rFonts w:asciiTheme="majorBidi" w:hAnsiTheme="majorBidi" w:cstheme="majorBidi"/>
                <w:sz w:val="20"/>
                <w:szCs w:val="20"/>
                <w:lang w:val="en-NZ"/>
              </w:rPr>
              <w:t xml:space="preserve">rotocol for </w:t>
            </w:r>
            <w:r w:rsidRPr="0047681A">
              <w:rPr>
                <w:rFonts w:asciiTheme="majorBidi" w:hAnsiTheme="majorBidi" w:cstheme="majorBidi"/>
                <w:b/>
                <w:bCs/>
                <w:sz w:val="20"/>
                <w:szCs w:val="20"/>
                <w:lang w:val="en-NZ"/>
              </w:rPr>
              <w:t>pharmacist involvement at the time of VTE diagnosis</w:t>
            </w:r>
            <w:r>
              <w:rPr>
                <w:rFonts w:asciiTheme="majorBidi" w:hAnsiTheme="majorBidi" w:cstheme="majorBidi"/>
                <w:sz w:val="20"/>
                <w:szCs w:val="20"/>
                <w:lang w:val="en-NZ"/>
              </w:rPr>
              <w:t xml:space="preserve"> (</w:t>
            </w:r>
            <w:r>
              <w:rPr>
                <w:rFonts w:asciiTheme="majorBidi" w:hAnsiTheme="majorBidi" w:cstheme="majorBidi"/>
                <w:sz w:val="20"/>
                <w:szCs w:val="20"/>
              </w:rPr>
              <w:t>cohort with pharmacist involvement)</w:t>
            </w:r>
          </w:p>
        </w:tc>
        <w:tc>
          <w:tcPr>
            <w:tcW w:w="1472" w:type="dxa"/>
          </w:tcPr>
          <w:p w14:paraId="0EABB29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Cohort without pharmacist involvement</w:t>
            </w:r>
          </w:p>
        </w:tc>
        <w:tc>
          <w:tcPr>
            <w:tcW w:w="3139" w:type="dxa"/>
          </w:tcPr>
          <w:p w14:paraId="37E52C44" w14:textId="27DF25F7" w:rsidR="00B85C9C" w:rsidRPr="008D6755" w:rsidRDefault="00B85C9C">
            <w:pPr>
              <w:rPr>
                <w:rFonts w:asciiTheme="majorBidi" w:hAnsiTheme="majorBidi" w:cstheme="majorBidi"/>
                <w:sz w:val="20"/>
                <w:szCs w:val="20"/>
              </w:rPr>
            </w:pPr>
            <w:r w:rsidRPr="004367D0">
              <w:rPr>
                <w:rFonts w:asciiTheme="majorBidi" w:hAnsiTheme="majorBidi" w:cstheme="majorBidi"/>
                <w:sz w:val="20"/>
                <w:szCs w:val="20"/>
                <w:lang w:val="en-NZ"/>
              </w:rPr>
              <w:t xml:space="preserve">14 </w:t>
            </w:r>
            <w:r>
              <w:rPr>
                <w:rFonts w:asciiTheme="majorBidi" w:hAnsiTheme="majorBidi" w:cstheme="majorBidi"/>
                <w:sz w:val="20"/>
                <w:szCs w:val="20"/>
                <w:lang w:val="en-NZ"/>
              </w:rPr>
              <w:t xml:space="preserve">patients </w:t>
            </w:r>
            <w:r w:rsidRPr="004367D0">
              <w:rPr>
                <w:rFonts w:asciiTheme="majorBidi" w:hAnsiTheme="majorBidi" w:cstheme="majorBidi"/>
                <w:sz w:val="20"/>
                <w:szCs w:val="20"/>
                <w:lang w:val="en-NZ"/>
              </w:rPr>
              <w:t xml:space="preserve">had a pharmacist directly involved with their care in the ED while 44 patients did not. </w:t>
            </w:r>
            <w:r w:rsidRPr="0047681A">
              <w:rPr>
                <w:rFonts w:asciiTheme="majorBidi" w:hAnsiTheme="majorBidi" w:cstheme="majorBidi"/>
                <w:b/>
                <w:bCs/>
                <w:sz w:val="20"/>
                <w:szCs w:val="20"/>
                <w:lang w:val="en-NZ"/>
              </w:rPr>
              <w:t>The rate of medication errors was lower when a pharmacist was involved</w:t>
            </w:r>
            <w:r w:rsidRPr="004367D0">
              <w:rPr>
                <w:rFonts w:asciiTheme="majorBidi" w:hAnsiTheme="majorBidi" w:cstheme="majorBidi"/>
                <w:sz w:val="20"/>
                <w:szCs w:val="20"/>
                <w:lang w:val="en-NZ"/>
              </w:rPr>
              <w:t>, 7.1% (n = 1), compared to when a pharmacist was not involved, 36.4% (n = 16), (p = 0.046). All patients in the pharmacist involvement group received anticoagulation counse</w:t>
            </w:r>
            <w:r>
              <w:rPr>
                <w:rFonts w:asciiTheme="majorBidi" w:hAnsiTheme="majorBidi" w:cstheme="majorBidi"/>
                <w:sz w:val="20"/>
                <w:szCs w:val="20"/>
                <w:lang w:val="en-NZ"/>
              </w:rPr>
              <w:t>l</w:t>
            </w:r>
            <w:r w:rsidRPr="004367D0">
              <w:rPr>
                <w:rFonts w:asciiTheme="majorBidi" w:hAnsiTheme="majorBidi" w:cstheme="majorBidi"/>
                <w:sz w:val="20"/>
                <w:szCs w:val="20"/>
                <w:lang w:val="en-NZ"/>
              </w:rPr>
              <w:t>ling prior to discharge compared to only 56.8% of patients in the non-pharmacist involvement group (p = 0.002).</w:t>
            </w:r>
          </w:p>
        </w:tc>
        <w:tc>
          <w:tcPr>
            <w:tcW w:w="1541" w:type="dxa"/>
          </w:tcPr>
          <w:p w14:paraId="6DE00D2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single centre, non-randomized, small study </w:t>
            </w:r>
          </w:p>
        </w:tc>
      </w:tr>
      <w:tr w:rsidR="00B85C9C" w:rsidRPr="008D6755" w14:paraId="33D02E0D" w14:textId="77777777" w:rsidTr="00CA6F03">
        <w:tc>
          <w:tcPr>
            <w:tcW w:w="1783" w:type="dxa"/>
          </w:tcPr>
          <w:p w14:paraId="0077B58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Miele et al 2017</w:t>
            </w:r>
          </w:p>
          <w:p w14:paraId="0B7C45E7" w14:textId="5264A4E1" w:rsidR="00B85C9C" w:rsidRPr="00D52BD9" w:rsidRDefault="00B85C9C" w:rsidP="00CA6F03">
            <w:pPr>
              <w:rPr>
                <w:rFonts w:asciiTheme="majorBidi" w:hAnsiTheme="majorBidi" w:cstheme="majorBidi"/>
                <w:sz w:val="20"/>
                <w:szCs w:val="20"/>
              </w:rPr>
            </w:pPr>
          </w:p>
        </w:tc>
        <w:tc>
          <w:tcPr>
            <w:tcW w:w="1638" w:type="dxa"/>
          </w:tcPr>
          <w:p w14:paraId="39926F6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Single centre (504 bed teaching hospital), pre-/post- study, n = 50 pre- and 85 post-</w:t>
            </w:r>
          </w:p>
        </w:tc>
        <w:tc>
          <w:tcPr>
            <w:tcW w:w="1678" w:type="dxa"/>
          </w:tcPr>
          <w:p w14:paraId="41C9C35D" w14:textId="77777777" w:rsidR="00B85C9C" w:rsidRPr="00395A3A" w:rsidRDefault="00B85C9C" w:rsidP="00CA6F03">
            <w:pPr>
              <w:rPr>
                <w:rFonts w:asciiTheme="majorBidi" w:hAnsiTheme="majorBidi" w:cstheme="majorBidi"/>
                <w:sz w:val="20"/>
                <w:szCs w:val="20"/>
              </w:rPr>
            </w:pPr>
            <w:r>
              <w:rPr>
                <w:rFonts w:asciiTheme="majorBidi" w:hAnsiTheme="majorBidi" w:cstheme="majorBidi"/>
                <w:sz w:val="20"/>
                <w:szCs w:val="20"/>
              </w:rPr>
              <w:t>USA, A</w:t>
            </w:r>
            <w:r w:rsidRPr="00395A3A">
              <w:rPr>
                <w:rFonts w:asciiTheme="majorBidi" w:hAnsiTheme="majorBidi" w:cstheme="majorBidi"/>
                <w:sz w:val="20"/>
                <w:szCs w:val="20"/>
              </w:rPr>
              <w:t>dult patients admitted to a community teaching hospital who</w:t>
            </w:r>
            <w:r>
              <w:rPr>
                <w:rFonts w:asciiTheme="majorBidi" w:hAnsiTheme="majorBidi" w:cstheme="majorBidi"/>
                <w:sz w:val="20"/>
                <w:szCs w:val="20"/>
              </w:rPr>
              <w:t xml:space="preserve"> </w:t>
            </w:r>
            <w:r w:rsidRPr="00395A3A">
              <w:rPr>
                <w:rFonts w:asciiTheme="majorBidi" w:hAnsiTheme="majorBidi" w:cstheme="majorBidi"/>
                <w:sz w:val="20"/>
                <w:szCs w:val="20"/>
              </w:rPr>
              <w:t xml:space="preserve">received </w:t>
            </w:r>
            <w:r>
              <w:rPr>
                <w:rFonts w:asciiTheme="majorBidi" w:hAnsiTheme="majorBidi" w:cstheme="majorBidi"/>
                <w:sz w:val="20"/>
                <w:szCs w:val="20"/>
              </w:rPr>
              <w:t xml:space="preserve">&gt;= 2 days </w:t>
            </w:r>
            <w:r w:rsidRPr="00395A3A">
              <w:rPr>
                <w:rFonts w:asciiTheme="majorBidi" w:hAnsiTheme="majorBidi" w:cstheme="majorBidi"/>
                <w:sz w:val="20"/>
                <w:szCs w:val="20"/>
              </w:rPr>
              <w:t xml:space="preserve">DOAC therapy January </w:t>
            </w:r>
            <w:r>
              <w:rPr>
                <w:rFonts w:asciiTheme="majorBidi" w:hAnsiTheme="majorBidi" w:cstheme="majorBidi"/>
                <w:sz w:val="20"/>
                <w:szCs w:val="20"/>
              </w:rPr>
              <w:t>to</w:t>
            </w:r>
            <w:r w:rsidRPr="00395A3A">
              <w:rPr>
                <w:rFonts w:asciiTheme="majorBidi" w:hAnsiTheme="majorBidi" w:cstheme="majorBidi"/>
                <w:sz w:val="20"/>
                <w:szCs w:val="20"/>
              </w:rPr>
              <w:t xml:space="preserve"> March 2015 (pre-intervention</w:t>
            </w:r>
          </w:p>
          <w:p w14:paraId="74589442" w14:textId="77777777" w:rsidR="00B85C9C" w:rsidRPr="008D6755" w:rsidRDefault="00B85C9C" w:rsidP="00CA6F03">
            <w:pPr>
              <w:rPr>
                <w:rFonts w:asciiTheme="majorBidi" w:hAnsiTheme="majorBidi" w:cstheme="majorBidi"/>
                <w:sz w:val="20"/>
                <w:szCs w:val="20"/>
              </w:rPr>
            </w:pPr>
            <w:r w:rsidRPr="00395A3A">
              <w:rPr>
                <w:rFonts w:asciiTheme="majorBidi" w:hAnsiTheme="majorBidi" w:cstheme="majorBidi"/>
                <w:sz w:val="20"/>
                <w:szCs w:val="20"/>
              </w:rPr>
              <w:t xml:space="preserve">group) and January </w:t>
            </w:r>
            <w:r>
              <w:rPr>
                <w:rFonts w:asciiTheme="majorBidi" w:hAnsiTheme="majorBidi" w:cstheme="majorBidi"/>
                <w:sz w:val="20"/>
                <w:szCs w:val="20"/>
              </w:rPr>
              <w:t>to</w:t>
            </w:r>
            <w:r w:rsidRPr="00395A3A">
              <w:rPr>
                <w:rFonts w:asciiTheme="majorBidi" w:hAnsiTheme="majorBidi" w:cstheme="majorBidi"/>
                <w:sz w:val="20"/>
                <w:szCs w:val="20"/>
              </w:rPr>
              <w:t xml:space="preserve"> March 2016 (post-intervention group).</w:t>
            </w:r>
          </w:p>
        </w:tc>
        <w:tc>
          <w:tcPr>
            <w:tcW w:w="2699" w:type="dxa"/>
          </w:tcPr>
          <w:p w14:paraId="053CA124" w14:textId="77777777" w:rsidR="00B85C9C" w:rsidRPr="008D6755" w:rsidRDefault="00B85C9C" w:rsidP="00CA6F03">
            <w:pPr>
              <w:rPr>
                <w:rFonts w:asciiTheme="majorBidi" w:hAnsiTheme="majorBidi" w:cstheme="majorBidi"/>
                <w:sz w:val="20"/>
                <w:szCs w:val="20"/>
              </w:rPr>
            </w:pPr>
            <w:r w:rsidRPr="00EE3817">
              <w:rPr>
                <w:rFonts w:asciiTheme="majorBidi" w:hAnsiTheme="majorBidi" w:cstheme="majorBidi"/>
                <w:b/>
                <w:bCs/>
                <w:sz w:val="20"/>
                <w:szCs w:val="20"/>
              </w:rPr>
              <w:t>Pharmacist-driven DOAC service</w:t>
            </w:r>
            <w:r>
              <w:rPr>
                <w:rFonts w:asciiTheme="majorBidi" w:hAnsiTheme="majorBidi" w:cstheme="majorBidi"/>
                <w:sz w:val="20"/>
                <w:szCs w:val="20"/>
              </w:rPr>
              <w:t xml:space="preserve"> including</w:t>
            </w:r>
            <w:r w:rsidRPr="0098073B">
              <w:rPr>
                <w:rFonts w:asciiTheme="majorBidi" w:hAnsiTheme="majorBidi" w:cstheme="majorBidi"/>
                <w:sz w:val="20"/>
                <w:szCs w:val="20"/>
              </w:rPr>
              <w:t xml:space="preserve"> an evidence-based prescribing table to</w:t>
            </w:r>
            <w:r>
              <w:rPr>
                <w:rFonts w:asciiTheme="majorBidi" w:hAnsiTheme="majorBidi" w:cstheme="majorBidi"/>
                <w:sz w:val="20"/>
                <w:szCs w:val="20"/>
              </w:rPr>
              <w:t xml:space="preserve"> </w:t>
            </w:r>
            <w:r w:rsidRPr="0098073B">
              <w:rPr>
                <w:rFonts w:asciiTheme="majorBidi" w:hAnsiTheme="majorBidi" w:cstheme="majorBidi"/>
                <w:sz w:val="20"/>
                <w:szCs w:val="20"/>
              </w:rPr>
              <w:t>guide appropriate</w:t>
            </w:r>
            <w:r>
              <w:rPr>
                <w:rFonts w:asciiTheme="majorBidi" w:hAnsiTheme="majorBidi" w:cstheme="majorBidi"/>
                <w:sz w:val="20"/>
                <w:szCs w:val="20"/>
              </w:rPr>
              <w:t xml:space="preserve"> </w:t>
            </w:r>
            <w:r w:rsidRPr="0098073B">
              <w:rPr>
                <w:rFonts w:asciiTheme="majorBidi" w:hAnsiTheme="majorBidi" w:cstheme="majorBidi"/>
                <w:sz w:val="20"/>
                <w:szCs w:val="20"/>
              </w:rPr>
              <w:t>DOAC therapy</w:t>
            </w:r>
            <w:r>
              <w:rPr>
                <w:rFonts w:asciiTheme="majorBidi" w:hAnsiTheme="majorBidi" w:cstheme="majorBidi"/>
                <w:sz w:val="20"/>
                <w:szCs w:val="20"/>
              </w:rPr>
              <w:t xml:space="preserve">, daily reports and review of all patients on DOACs. </w:t>
            </w:r>
          </w:p>
        </w:tc>
        <w:tc>
          <w:tcPr>
            <w:tcW w:w="1472" w:type="dxa"/>
          </w:tcPr>
          <w:p w14:paraId="01FE8A9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 pre-intervention</w:t>
            </w:r>
          </w:p>
        </w:tc>
        <w:tc>
          <w:tcPr>
            <w:tcW w:w="3139" w:type="dxa"/>
          </w:tcPr>
          <w:p w14:paraId="1D188D24" w14:textId="77777777" w:rsidR="00B85C9C" w:rsidRPr="0098073B" w:rsidRDefault="00B85C9C" w:rsidP="00CA6F03">
            <w:pPr>
              <w:rPr>
                <w:rFonts w:asciiTheme="majorBidi" w:hAnsiTheme="majorBidi" w:cstheme="majorBidi"/>
                <w:sz w:val="20"/>
                <w:szCs w:val="20"/>
              </w:rPr>
            </w:pPr>
            <w:r>
              <w:rPr>
                <w:rFonts w:asciiTheme="majorBidi" w:hAnsiTheme="majorBidi" w:cstheme="majorBidi"/>
                <w:sz w:val="20"/>
                <w:szCs w:val="20"/>
              </w:rPr>
              <w:t>A</w:t>
            </w:r>
            <w:r w:rsidRPr="0098073B">
              <w:rPr>
                <w:rFonts w:asciiTheme="majorBidi" w:hAnsiTheme="majorBidi" w:cstheme="majorBidi"/>
                <w:sz w:val="20"/>
                <w:szCs w:val="20"/>
              </w:rPr>
              <w:t xml:space="preserve"> total of 333</w:t>
            </w:r>
            <w:r>
              <w:rPr>
                <w:rFonts w:asciiTheme="majorBidi" w:hAnsiTheme="majorBidi" w:cstheme="majorBidi"/>
                <w:sz w:val="20"/>
                <w:szCs w:val="20"/>
              </w:rPr>
              <w:t xml:space="preserve"> (pre-)</w:t>
            </w:r>
            <w:r w:rsidRPr="0098073B">
              <w:rPr>
                <w:rFonts w:asciiTheme="majorBidi" w:hAnsiTheme="majorBidi" w:cstheme="majorBidi"/>
                <w:sz w:val="20"/>
                <w:szCs w:val="20"/>
              </w:rPr>
              <w:t xml:space="preserve"> and 816</w:t>
            </w:r>
            <w:r>
              <w:rPr>
                <w:rFonts w:asciiTheme="majorBidi" w:hAnsiTheme="majorBidi" w:cstheme="majorBidi"/>
                <w:sz w:val="20"/>
                <w:szCs w:val="20"/>
              </w:rPr>
              <w:t xml:space="preserve"> (post-)</w:t>
            </w:r>
            <w:r w:rsidRPr="0098073B">
              <w:rPr>
                <w:rFonts w:asciiTheme="majorBidi" w:hAnsiTheme="majorBidi" w:cstheme="majorBidi"/>
                <w:sz w:val="20"/>
                <w:szCs w:val="20"/>
              </w:rPr>
              <w:t xml:space="preserve"> doses </w:t>
            </w:r>
            <w:r>
              <w:rPr>
                <w:rFonts w:asciiTheme="majorBidi" w:hAnsiTheme="majorBidi" w:cstheme="majorBidi"/>
                <w:sz w:val="20"/>
                <w:szCs w:val="20"/>
              </w:rPr>
              <w:t xml:space="preserve">were </w:t>
            </w:r>
            <w:r w:rsidRPr="0098073B">
              <w:rPr>
                <w:rFonts w:asciiTheme="majorBidi" w:hAnsiTheme="majorBidi" w:cstheme="majorBidi"/>
                <w:sz w:val="20"/>
                <w:szCs w:val="20"/>
              </w:rPr>
              <w:t>administered. Of</w:t>
            </w:r>
            <w:r>
              <w:rPr>
                <w:rFonts w:asciiTheme="majorBidi" w:hAnsiTheme="majorBidi" w:cstheme="majorBidi"/>
                <w:sz w:val="20"/>
                <w:szCs w:val="20"/>
              </w:rPr>
              <w:t xml:space="preserve"> </w:t>
            </w:r>
            <w:r w:rsidRPr="0098073B">
              <w:rPr>
                <w:rFonts w:asciiTheme="majorBidi" w:hAnsiTheme="majorBidi" w:cstheme="majorBidi"/>
                <w:sz w:val="20"/>
                <w:szCs w:val="20"/>
              </w:rPr>
              <w:t xml:space="preserve">the total doses, </w:t>
            </w:r>
            <w:r w:rsidRPr="0098073B">
              <w:rPr>
                <w:rFonts w:asciiTheme="majorBidi" w:hAnsiTheme="majorBidi" w:cstheme="majorBidi"/>
                <w:b/>
                <w:bCs/>
                <w:sz w:val="20"/>
                <w:szCs w:val="20"/>
              </w:rPr>
              <w:t>32.4% were considered inappropriate in the pre-intervention group</w:t>
            </w:r>
            <w:r w:rsidRPr="00EE3817">
              <w:rPr>
                <w:rFonts w:asciiTheme="majorBidi" w:hAnsiTheme="majorBidi" w:cstheme="majorBidi"/>
                <w:b/>
                <w:bCs/>
                <w:sz w:val="20"/>
                <w:szCs w:val="20"/>
              </w:rPr>
              <w:t xml:space="preserve"> </w:t>
            </w:r>
            <w:r w:rsidRPr="0098073B">
              <w:rPr>
                <w:rFonts w:asciiTheme="majorBidi" w:hAnsiTheme="majorBidi" w:cstheme="majorBidi"/>
                <w:b/>
                <w:bCs/>
                <w:sz w:val="20"/>
                <w:szCs w:val="20"/>
              </w:rPr>
              <w:t>compared with 13.8% in the post-intervention group</w:t>
            </w:r>
            <w:r w:rsidRPr="0098073B">
              <w:rPr>
                <w:rFonts w:asciiTheme="majorBidi" w:hAnsiTheme="majorBidi" w:cstheme="majorBidi"/>
                <w:sz w:val="20"/>
                <w:szCs w:val="20"/>
              </w:rPr>
              <w:t xml:space="preserve"> (adjusted odds ratio [OR], 0.42, 95% CI,</w:t>
            </w:r>
          </w:p>
          <w:p w14:paraId="51EB6B55" w14:textId="77777777" w:rsidR="00B85C9C" w:rsidRPr="008D6755" w:rsidRDefault="00B85C9C" w:rsidP="00CA6F03">
            <w:pPr>
              <w:rPr>
                <w:rFonts w:asciiTheme="majorBidi" w:hAnsiTheme="majorBidi" w:cstheme="majorBidi"/>
                <w:sz w:val="20"/>
                <w:szCs w:val="20"/>
              </w:rPr>
            </w:pPr>
            <w:r w:rsidRPr="0098073B">
              <w:rPr>
                <w:rFonts w:asciiTheme="majorBidi" w:hAnsiTheme="majorBidi" w:cstheme="majorBidi"/>
                <w:sz w:val="20"/>
                <w:szCs w:val="20"/>
              </w:rPr>
              <w:t>0.19-0.96; p = 0.039).</w:t>
            </w:r>
          </w:p>
        </w:tc>
        <w:tc>
          <w:tcPr>
            <w:tcW w:w="1541" w:type="dxa"/>
          </w:tcPr>
          <w:p w14:paraId="4F8170C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small study, single-centre, non-randomized</w:t>
            </w:r>
          </w:p>
        </w:tc>
      </w:tr>
      <w:tr w:rsidR="00B85C9C" w:rsidRPr="008D6755" w14:paraId="2D7D48E7" w14:textId="77777777" w:rsidTr="00CA6F03">
        <w:tc>
          <w:tcPr>
            <w:tcW w:w="1783" w:type="dxa"/>
          </w:tcPr>
          <w:p w14:paraId="5483858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Lineberry et al 2021</w:t>
            </w:r>
          </w:p>
          <w:p w14:paraId="54A79ACF" w14:textId="7A162BCB" w:rsidR="00B85C9C" w:rsidRPr="00D52BD9" w:rsidRDefault="00B85C9C" w:rsidP="00CA6F03">
            <w:pPr>
              <w:rPr>
                <w:rFonts w:asciiTheme="majorBidi" w:hAnsiTheme="majorBidi" w:cstheme="majorBidi"/>
                <w:sz w:val="20"/>
                <w:szCs w:val="20"/>
              </w:rPr>
            </w:pPr>
          </w:p>
        </w:tc>
        <w:tc>
          <w:tcPr>
            <w:tcW w:w="1638" w:type="dxa"/>
          </w:tcPr>
          <w:p w14:paraId="3CEAEB90"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w:t>
            </w:r>
            <w:r w:rsidRPr="00A64617">
              <w:rPr>
                <w:rFonts w:asciiTheme="majorBidi" w:hAnsiTheme="majorBidi" w:cstheme="majorBidi"/>
                <w:sz w:val="20"/>
                <w:szCs w:val="20"/>
              </w:rPr>
              <w:t>ingle</w:t>
            </w:r>
            <w:r>
              <w:rPr>
                <w:rFonts w:asciiTheme="majorBidi" w:hAnsiTheme="majorBidi" w:cstheme="majorBidi"/>
                <w:sz w:val="20"/>
                <w:szCs w:val="20"/>
              </w:rPr>
              <w:t xml:space="preserve"> </w:t>
            </w:r>
            <w:r w:rsidRPr="00A64617">
              <w:rPr>
                <w:rFonts w:asciiTheme="majorBidi" w:hAnsiTheme="majorBidi" w:cstheme="majorBidi"/>
                <w:sz w:val="20"/>
                <w:szCs w:val="20"/>
              </w:rPr>
              <w:t>cent</w:t>
            </w:r>
            <w:r>
              <w:rPr>
                <w:rFonts w:asciiTheme="majorBidi" w:hAnsiTheme="majorBidi" w:cstheme="majorBidi"/>
                <w:sz w:val="20"/>
                <w:szCs w:val="20"/>
              </w:rPr>
              <w:t>re</w:t>
            </w:r>
            <w:r w:rsidRPr="00A64617">
              <w:rPr>
                <w:rFonts w:asciiTheme="majorBidi" w:hAnsiTheme="majorBidi" w:cstheme="majorBidi"/>
                <w:sz w:val="20"/>
                <w:szCs w:val="20"/>
              </w:rPr>
              <w:t>, retrospective review</w:t>
            </w:r>
            <w:r>
              <w:rPr>
                <w:rFonts w:asciiTheme="majorBidi" w:hAnsiTheme="majorBidi" w:cstheme="majorBidi"/>
                <w:sz w:val="20"/>
                <w:szCs w:val="20"/>
              </w:rPr>
              <w:t>, n = 378 prescriptions</w:t>
            </w:r>
          </w:p>
        </w:tc>
        <w:tc>
          <w:tcPr>
            <w:tcW w:w="1678" w:type="dxa"/>
          </w:tcPr>
          <w:p w14:paraId="1B5BD08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ED discharge prescriptions containing pre-specified high-alert medications, </w:t>
            </w:r>
            <w:r w:rsidRPr="00A64617">
              <w:rPr>
                <w:rFonts w:asciiTheme="majorBidi" w:hAnsiTheme="majorBidi" w:cstheme="majorBidi"/>
                <w:sz w:val="20"/>
                <w:szCs w:val="20"/>
              </w:rPr>
              <w:t>over a 12</w:t>
            </w:r>
            <w:r>
              <w:rPr>
                <w:rFonts w:asciiTheme="majorBidi" w:hAnsiTheme="majorBidi" w:cstheme="majorBidi"/>
                <w:sz w:val="20"/>
                <w:szCs w:val="20"/>
              </w:rPr>
              <w:t>-</w:t>
            </w:r>
            <w:r w:rsidRPr="00A64617">
              <w:rPr>
                <w:rFonts w:asciiTheme="majorBidi" w:hAnsiTheme="majorBidi" w:cstheme="majorBidi"/>
                <w:sz w:val="20"/>
                <w:szCs w:val="20"/>
              </w:rPr>
              <w:t>week period from February 19th, 2018 to May 14th, 2018</w:t>
            </w:r>
          </w:p>
        </w:tc>
        <w:tc>
          <w:tcPr>
            <w:tcW w:w="2699" w:type="dxa"/>
          </w:tcPr>
          <w:p w14:paraId="2C5B7D06" w14:textId="77777777" w:rsidR="00B85C9C" w:rsidRPr="008D6755" w:rsidRDefault="00B85C9C" w:rsidP="00CA6F03">
            <w:pPr>
              <w:rPr>
                <w:rFonts w:asciiTheme="majorBidi" w:hAnsiTheme="majorBidi" w:cstheme="majorBidi"/>
                <w:sz w:val="20"/>
                <w:szCs w:val="20"/>
              </w:rPr>
            </w:pPr>
            <w:r w:rsidRPr="00551731">
              <w:rPr>
                <w:rFonts w:asciiTheme="majorBidi" w:hAnsiTheme="majorBidi" w:cstheme="majorBidi"/>
                <w:b/>
                <w:bCs/>
                <w:sz w:val="20"/>
                <w:szCs w:val="20"/>
              </w:rPr>
              <w:t>Pharmacist review of ED discharge prescriptions</w:t>
            </w:r>
            <w:r>
              <w:rPr>
                <w:rFonts w:asciiTheme="majorBidi" w:hAnsiTheme="majorBidi" w:cstheme="majorBidi"/>
                <w:sz w:val="20"/>
                <w:szCs w:val="20"/>
              </w:rPr>
              <w:t xml:space="preserve"> triggered by real-time notification system in EHR</w:t>
            </w:r>
          </w:p>
        </w:tc>
        <w:tc>
          <w:tcPr>
            <w:tcW w:w="1472" w:type="dxa"/>
          </w:tcPr>
          <w:p w14:paraId="4CD8089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16CDCE7D"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Pharmacists re</w:t>
            </w:r>
            <w:r w:rsidRPr="007C2BF5">
              <w:rPr>
                <w:rFonts w:asciiTheme="majorBidi" w:hAnsiTheme="majorBidi" w:cstheme="majorBidi"/>
                <w:sz w:val="20"/>
                <w:szCs w:val="20"/>
              </w:rPr>
              <w:t>viewed 378 discharge prescriptions and a total of 158 prescriptions were identified as having at</w:t>
            </w:r>
            <w:r>
              <w:rPr>
                <w:rFonts w:asciiTheme="majorBidi" w:hAnsiTheme="majorBidi" w:cstheme="majorBidi"/>
                <w:sz w:val="20"/>
                <w:szCs w:val="20"/>
              </w:rPr>
              <w:t xml:space="preserve"> </w:t>
            </w:r>
            <w:r w:rsidRPr="007C2BF5">
              <w:rPr>
                <w:rFonts w:asciiTheme="majorBidi" w:hAnsiTheme="majorBidi" w:cstheme="majorBidi"/>
                <w:sz w:val="20"/>
                <w:szCs w:val="20"/>
              </w:rPr>
              <w:t xml:space="preserve">least one </w:t>
            </w:r>
            <w:r>
              <w:rPr>
                <w:rFonts w:asciiTheme="majorBidi" w:hAnsiTheme="majorBidi" w:cstheme="majorBidi"/>
                <w:sz w:val="20"/>
                <w:szCs w:val="20"/>
              </w:rPr>
              <w:t>problem</w:t>
            </w:r>
            <w:r w:rsidRPr="007C2BF5">
              <w:rPr>
                <w:rFonts w:asciiTheme="majorBidi" w:hAnsiTheme="majorBidi" w:cstheme="majorBidi"/>
                <w:sz w:val="20"/>
                <w:szCs w:val="20"/>
              </w:rPr>
              <w:t>. Of these</w:t>
            </w:r>
            <w:r>
              <w:rPr>
                <w:rFonts w:asciiTheme="majorBidi" w:hAnsiTheme="majorBidi" w:cstheme="majorBidi"/>
                <w:sz w:val="20"/>
                <w:szCs w:val="20"/>
              </w:rPr>
              <w:t xml:space="preserve"> </w:t>
            </w:r>
            <w:r w:rsidRPr="00551731">
              <w:rPr>
                <w:rFonts w:asciiTheme="majorBidi" w:hAnsiTheme="majorBidi" w:cstheme="majorBidi"/>
                <w:b/>
                <w:bCs/>
                <w:sz w:val="20"/>
                <w:szCs w:val="20"/>
              </w:rPr>
              <w:t>anticoagulation prescriptions had a 15.4% intervention rate</w:t>
            </w:r>
            <w:r>
              <w:rPr>
                <w:rFonts w:asciiTheme="majorBidi" w:hAnsiTheme="majorBidi" w:cstheme="majorBidi"/>
                <w:sz w:val="20"/>
                <w:szCs w:val="20"/>
              </w:rPr>
              <w:t xml:space="preserve">. </w:t>
            </w:r>
          </w:p>
        </w:tc>
        <w:tc>
          <w:tcPr>
            <w:tcW w:w="1541" w:type="dxa"/>
          </w:tcPr>
          <w:p w14:paraId="7077582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single-centre, non-randomized, no comparator </w:t>
            </w:r>
          </w:p>
        </w:tc>
      </w:tr>
      <w:tr w:rsidR="00B85C9C" w:rsidRPr="008D6755" w14:paraId="6F5CB5EE" w14:textId="77777777" w:rsidTr="00CA6F03">
        <w:tc>
          <w:tcPr>
            <w:tcW w:w="1783" w:type="dxa"/>
          </w:tcPr>
          <w:p w14:paraId="3A62881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An et al 2017</w:t>
            </w:r>
          </w:p>
          <w:p w14:paraId="710B5003" w14:textId="3F9B05B4" w:rsidR="00B85C9C" w:rsidRPr="008D6755" w:rsidRDefault="00B85C9C" w:rsidP="00CA6F03">
            <w:pPr>
              <w:rPr>
                <w:rFonts w:asciiTheme="majorBidi" w:hAnsiTheme="majorBidi" w:cstheme="majorBidi"/>
                <w:sz w:val="20"/>
                <w:szCs w:val="20"/>
              </w:rPr>
            </w:pPr>
          </w:p>
        </w:tc>
        <w:tc>
          <w:tcPr>
            <w:tcW w:w="1638" w:type="dxa"/>
          </w:tcPr>
          <w:p w14:paraId="5A0980B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Single centre, retrospective cohort study, n = 57 </w:t>
            </w:r>
          </w:p>
        </w:tc>
        <w:tc>
          <w:tcPr>
            <w:tcW w:w="1678" w:type="dxa"/>
          </w:tcPr>
          <w:p w14:paraId="53D8D159" w14:textId="4495D216" w:rsidR="00B85C9C" w:rsidRPr="008D6755" w:rsidRDefault="00B85C9C">
            <w:pPr>
              <w:rPr>
                <w:rFonts w:asciiTheme="majorBidi" w:hAnsiTheme="majorBidi" w:cstheme="majorBidi"/>
                <w:sz w:val="20"/>
                <w:szCs w:val="20"/>
              </w:rPr>
            </w:pPr>
            <w:r>
              <w:rPr>
                <w:rFonts w:asciiTheme="majorBidi" w:hAnsiTheme="majorBidi" w:cstheme="majorBidi"/>
                <w:sz w:val="20"/>
                <w:szCs w:val="20"/>
              </w:rPr>
              <w:t>Non-valvular AF patients with HF admitted and discharged from CV internal medicine ward March 2011 to July 2013</w:t>
            </w:r>
          </w:p>
        </w:tc>
        <w:tc>
          <w:tcPr>
            <w:tcW w:w="2699" w:type="dxa"/>
          </w:tcPr>
          <w:p w14:paraId="3FE42710" w14:textId="77777777" w:rsidR="00B85C9C" w:rsidRPr="008D6755" w:rsidRDefault="00B85C9C" w:rsidP="00CA6F03">
            <w:pPr>
              <w:rPr>
                <w:rFonts w:asciiTheme="majorBidi" w:hAnsiTheme="majorBidi" w:cstheme="majorBidi"/>
                <w:sz w:val="20"/>
                <w:szCs w:val="20"/>
              </w:rPr>
            </w:pPr>
            <w:r w:rsidRPr="00A9701A">
              <w:rPr>
                <w:rFonts w:asciiTheme="majorBidi" w:hAnsiTheme="majorBidi" w:cstheme="majorBidi"/>
                <w:b/>
                <w:bCs/>
                <w:sz w:val="20"/>
                <w:szCs w:val="20"/>
              </w:rPr>
              <w:t>Patients instructed by hospital pharmacists</w:t>
            </w:r>
            <w:r>
              <w:rPr>
                <w:rFonts w:asciiTheme="majorBidi" w:hAnsiTheme="majorBidi" w:cstheme="majorBidi"/>
                <w:sz w:val="20"/>
                <w:szCs w:val="20"/>
              </w:rPr>
              <w:t xml:space="preserve"> and physicians</w:t>
            </w:r>
          </w:p>
        </w:tc>
        <w:tc>
          <w:tcPr>
            <w:tcW w:w="1472" w:type="dxa"/>
          </w:tcPr>
          <w:p w14:paraId="2EBB619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Patients instructed by physicians only (usual care)</w:t>
            </w:r>
          </w:p>
        </w:tc>
        <w:tc>
          <w:tcPr>
            <w:tcW w:w="3139" w:type="dxa"/>
          </w:tcPr>
          <w:p w14:paraId="659B89FC" w14:textId="77777777" w:rsidR="00B85C9C" w:rsidRDefault="00B85C9C" w:rsidP="00CA6F03">
            <w:pPr>
              <w:rPr>
                <w:rFonts w:asciiTheme="majorBidi" w:hAnsiTheme="majorBidi" w:cstheme="majorBidi"/>
                <w:sz w:val="20"/>
                <w:szCs w:val="20"/>
              </w:rPr>
            </w:pPr>
            <w:r w:rsidRPr="00A9701A">
              <w:rPr>
                <w:rFonts w:asciiTheme="majorBidi" w:hAnsiTheme="majorBidi" w:cstheme="majorBidi"/>
                <w:b/>
                <w:bCs/>
                <w:sz w:val="20"/>
                <w:szCs w:val="20"/>
              </w:rPr>
              <w:t>TTR within therapeutic range was significantly higher in intervention group</w:t>
            </w:r>
            <w:r>
              <w:rPr>
                <w:rFonts w:asciiTheme="majorBidi" w:hAnsiTheme="majorBidi" w:cstheme="majorBidi"/>
                <w:sz w:val="20"/>
                <w:szCs w:val="20"/>
              </w:rPr>
              <w:t>.</w:t>
            </w:r>
          </w:p>
          <w:p w14:paraId="1B09883A" w14:textId="77777777" w:rsidR="00B85C9C" w:rsidRDefault="00B85C9C" w:rsidP="00CA6F03">
            <w:pPr>
              <w:rPr>
                <w:rFonts w:asciiTheme="majorBidi" w:hAnsiTheme="majorBidi" w:cstheme="majorBidi"/>
                <w:sz w:val="20"/>
                <w:szCs w:val="20"/>
              </w:rPr>
            </w:pPr>
          </w:p>
          <w:p w14:paraId="57BBE05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Time in sub-therapeutic range was significantly lower in intervention group.</w:t>
            </w:r>
          </w:p>
        </w:tc>
        <w:tc>
          <w:tcPr>
            <w:tcW w:w="1541" w:type="dxa"/>
          </w:tcPr>
          <w:p w14:paraId="5D99C66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small study, single centre, not randomized. </w:t>
            </w:r>
          </w:p>
        </w:tc>
      </w:tr>
      <w:tr w:rsidR="00B85C9C" w:rsidRPr="008D6755" w14:paraId="2D13C837" w14:textId="77777777" w:rsidTr="00CA6F03">
        <w:tc>
          <w:tcPr>
            <w:tcW w:w="1783" w:type="dxa"/>
          </w:tcPr>
          <w:p w14:paraId="52BC4FD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Tavakoli et al 2022</w:t>
            </w:r>
          </w:p>
          <w:p w14:paraId="1D50BA69" w14:textId="3936A714" w:rsidR="00B85C9C" w:rsidRDefault="00B85C9C" w:rsidP="00CA6F03">
            <w:pPr>
              <w:rPr>
                <w:rFonts w:asciiTheme="majorBidi" w:hAnsiTheme="majorBidi" w:cstheme="majorBidi"/>
                <w:sz w:val="20"/>
                <w:szCs w:val="20"/>
              </w:rPr>
            </w:pPr>
          </w:p>
        </w:tc>
        <w:tc>
          <w:tcPr>
            <w:tcW w:w="1638" w:type="dxa"/>
          </w:tcPr>
          <w:p w14:paraId="3D0C21EA"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Brief (2 week) observational study</w:t>
            </w:r>
          </w:p>
        </w:tc>
        <w:tc>
          <w:tcPr>
            <w:tcW w:w="1678" w:type="dxa"/>
          </w:tcPr>
          <w:p w14:paraId="157DEAB2" w14:textId="77777777" w:rsidR="00B85C9C" w:rsidRPr="00902F3D" w:rsidRDefault="00B85C9C" w:rsidP="00CA6F03">
            <w:pPr>
              <w:rPr>
                <w:rFonts w:asciiTheme="majorBidi" w:hAnsiTheme="majorBidi" w:cstheme="majorBidi"/>
                <w:sz w:val="20"/>
                <w:szCs w:val="20"/>
              </w:rPr>
            </w:pPr>
            <w:r>
              <w:rPr>
                <w:rFonts w:asciiTheme="majorBidi" w:hAnsiTheme="majorBidi" w:cstheme="majorBidi"/>
                <w:sz w:val="20"/>
                <w:szCs w:val="20"/>
              </w:rPr>
              <w:t>P</w:t>
            </w:r>
            <w:r w:rsidRPr="00902F3D">
              <w:rPr>
                <w:rFonts w:asciiTheme="majorBidi" w:hAnsiTheme="majorBidi" w:cstheme="majorBidi"/>
                <w:sz w:val="20"/>
                <w:szCs w:val="20"/>
              </w:rPr>
              <w:t>ostsurgical</w:t>
            </w:r>
          </w:p>
          <w:p w14:paraId="1AA17C98"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n</w:t>
            </w:r>
            <w:r w:rsidRPr="00902F3D">
              <w:rPr>
                <w:rFonts w:asciiTheme="majorBidi" w:hAnsiTheme="majorBidi" w:cstheme="majorBidi"/>
                <w:sz w:val="20"/>
                <w:szCs w:val="20"/>
              </w:rPr>
              <w:t>on</w:t>
            </w:r>
            <w:r>
              <w:rPr>
                <w:rFonts w:asciiTheme="majorBidi" w:hAnsiTheme="majorBidi" w:cstheme="majorBidi"/>
                <w:sz w:val="20"/>
                <w:szCs w:val="20"/>
              </w:rPr>
              <w:t>-</w:t>
            </w:r>
            <w:r w:rsidRPr="00902F3D">
              <w:rPr>
                <w:rFonts w:asciiTheme="majorBidi" w:hAnsiTheme="majorBidi" w:cstheme="majorBidi"/>
                <w:sz w:val="20"/>
                <w:szCs w:val="20"/>
              </w:rPr>
              <w:t>intensive care patient</w:t>
            </w:r>
            <w:r>
              <w:rPr>
                <w:rFonts w:asciiTheme="majorBidi" w:hAnsiTheme="majorBidi" w:cstheme="majorBidi"/>
                <w:sz w:val="20"/>
                <w:szCs w:val="20"/>
              </w:rPr>
              <w:t>s</w:t>
            </w:r>
          </w:p>
        </w:tc>
        <w:tc>
          <w:tcPr>
            <w:tcW w:w="2699" w:type="dxa"/>
          </w:tcPr>
          <w:p w14:paraId="40358319" w14:textId="77777777" w:rsidR="00B85C9C" w:rsidRPr="008D6755" w:rsidRDefault="00B85C9C" w:rsidP="00CA6F03">
            <w:pPr>
              <w:rPr>
                <w:rFonts w:asciiTheme="majorBidi" w:hAnsiTheme="majorBidi" w:cstheme="majorBidi"/>
                <w:sz w:val="20"/>
                <w:szCs w:val="20"/>
              </w:rPr>
            </w:pPr>
            <w:r w:rsidRPr="00902F3D">
              <w:rPr>
                <w:rFonts w:asciiTheme="majorBidi" w:hAnsiTheme="majorBidi" w:cstheme="majorBidi"/>
                <w:b/>
                <w:bCs/>
                <w:sz w:val="20"/>
                <w:szCs w:val="20"/>
              </w:rPr>
              <w:t>A clinical pharmacist provided care for 2 postsurgical inpatient floors</w:t>
            </w:r>
            <w:r w:rsidRPr="00902F3D">
              <w:rPr>
                <w:rFonts w:asciiTheme="majorBidi" w:hAnsiTheme="majorBidi" w:cstheme="majorBidi"/>
                <w:sz w:val="20"/>
                <w:szCs w:val="20"/>
              </w:rPr>
              <w:t xml:space="preserve"> for 2 weeks</w:t>
            </w:r>
          </w:p>
        </w:tc>
        <w:tc>
          <w:tcPr>
            <w:tcW w:w="1472" w:type="dxa"/>
          </w:tcPr>
          <w:p w14:paraId="5FF3328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0FE6DDE2" w14:textId="77777777" w:rsidR="00B85C9C" w:rsidRPr="00902F3D" w:rsidRDefault="00B85C9C" w:rsidP="00CA6F03">
            <w:pPr>
              <w:rPr>
                <w:rFonts w:asciiTheme="majorBidi" w:hAnsiTheme="majorBidi" w:cstheme="majorBidi"/>
                <w:b/>
                <w:bCs/>
                <w:sz w:val="20"/>
                <w:szCs w:val="20"/>
              </w:rPr>
            </w:pPr>
            <w:r>
              <w:rPr>
                <w:rFonts w:asciiTheme="majorBidi" w:hAnsiTheme="majorBidi" w:cstheme="majorBidi"/>
                <w:sz w:val="20"/>
                <w:szCs w:val="20"/>
              </w:rPr>
              <w:t>T</w:t>
            </w:r>
            <w:r w:rsidRPr="00902F3D">
              <w:rPr>
                <w:rFonts w:asciiTheme="majorBidi" w:hAnsiTheme="majorBidi" w:cstheme="majorBidi"/>
                <w:sz w:val="20"/>
                <w:szCs w:val="20"/>
              </w:rPr>
              <w:t xml:space="preserve">he </w:t>
            </w:r>
            <w:r w:rsidRPr="00902F3D">
              <w:rPr>
                <w:rFonts w:asciiTheme="majorBidi" w:hAnsiTheme="majorBidi" w:cstheme="majorBidi"/>
                <w:b/>
                <w:bCs/>
                <w:sz w:val="20"/>
                <w:szCs w:val="20"/>
              </w:rPr>
              <w:t>clinical pharmacist made 218 interventions, including 26 recommendations for</w:t>
            </w:r>
          </w:p>
          <w:p w14:paraId="3650824F" w14:textId="46289406" w:rsidR="00B85C9C" w:rsidRPr="008D6755" w:rsidRDefault="00B85C9C">
            <w:pPr>
              <w:rPr>
                <w:rFonts w:asciiTheme="majorBidi" w:hAnsiTheme="majorBidi" w:cstheme="majorBidi"/>
                <w:sz w:val="20"/>
                <w:szCs w:val="20"/>
              </w:rPr>
            </w:pPr>
            <w:r w:rsidRPr="00902F3D">
              <w:rPr>
                <w:rFonts w:asciiTheme="majorBidi" w:hAnsiTheme="majorBidi" w:cstheme="majorBidi"/>
                <w:b/>
                <w:bCs/>
                <w:sz w:val="20"/>
                <w:szCs w:val="20"/>
              </w:rPr>
              <w:t>anticoagulation optimization</w:t>
            </w:r>
            <w:r w:rsidRPr="00902F3D">
              <w:rPr>
                <w:rFonts w:asciiTheme="majorBidi" w:hAnsiTheme="majorBidi" w:cstheme="majorBidi"/>
                <w:sz w:val="20"/>
                <w:szCs w:val="20"/>
              </w:rPr>
              <w:t>, and provid</w:t>
            </w:r>
            <w:r>
              <w:rPr>
                <w:rFonts w:asciiTheme="majorBidi" w:hAnsiTheme="majorBidi" w:cstheme="majorBidi"/>
                <w:sz w:val="20"/>
                <w:szCs w:val="20"/>
              </w:rPr>
              <w:t>ed</w:t>
            </w:r>
            <w:r w:rsidRPr="00902F3D">
              <w:rPr>
                <w:rFonts w:asciiTheme="majorBidi" w:hAnsiTheme="majorBidi" w:cstheme="majorBidi"/>
                <w:sz w:val="20"/>
                <w:szCs w:val="20"/>
              </w:rPr>
              <w:t xml:space="preserve"> education for 20 patients planned for discharge on high-risk medications</w:t>
            </w:r>
          </w:p>
        </w:tc>
        <w:tc>
          <w:tcPr>
            <w:tcW w:w="1541" w:type="dxa"/>
          </w:tcPr>
          <w:p w14:paraId="49A3D44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Very low quality, no comparator, brief study, single site, not randomized. </w:t>
            </w:r>
          </w:p>
        </w:tc>
      </w:tr>
      <w:tr w:rsidR="00B85C9C" w:rsidRPr="008D6755" w14:paraId="1319DFF1" w14:textId="77777777" w:rsidTr="00CA6F03">
        <w:tc>
          <w:tcPr>
            <w:tcW w:w="1783" w:type="dxa"/>
          </w:tcPr>
          <w:p w14:paraId="6AF4BBB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Sharma et al 2017</w:t>
            </w:r>
          </w:p>
          <w:p w14:paraId="49D19413" w14:textId="00B47832" w:rsidR="00B85C9C" w:rsidRPr="00D52BD9" w:rsidRDefault="00B85C9C" w:rsidP="00CA6F03">
            <w:pPr>
              <w:rPr>
                <w:rFonts w:asciiTheme="majorBidi" w:hAnsiTheme="majorBidi" w:cstheme="majorBidi"/>
                <w:sz w:val="20"/>
                <w:szCs w:val="20"/>
              </w:rPr>
            </w:pPr>
          </w:p>
        </w:tc>
        <w:tc>
          <w:tcPr>
            <w:tcW w:w="1638" w:type="dxa"/>
          </w:tcPr>
          <w:p w14:paraId="082A72D9"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Retrospective review of medical records (community teaching hospital)</w:t>
            </w:r>
          </w:p>
        </w:tc>
        <w:tc>
          <w:tcPr>
            <w:tcW w:w="1678" w:type="dxa"/>
          </w:tcPr>
          <w:p w14:paraId="5F84AF6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Internal medicine ward rounds, n = 41 identified medication errors</w:t>
            </w:r>
          </w:p>
        </w:tc>
        <w:tc>
          <w:tcPr>
            <w:tcW w:w="2699" w:type="dxa"/>
          </w:tcPr>
          <w:p w14:paraId="004A8BB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Incorporation of </w:t>
            </w:r>
            <w:r w:rsidRPr="00976FA0">
              <w:rPr>
                <w:rFonts w:asciiTheme="majorBidi" w:hAnsiTheme="majorBidi" w:cstheme="majorBidi"/>
                <w:b/>
                <w:bCs/>
                <w:sz w:val="20"/>
                <w:szCs w:val="20"/>
              </w:rPr>
              <w:t>clinical pharmacist on daily rounds</w:t>
            </w:r>
          </w:p>
        </w:tc>
        <w:tc>
          <w:tcPr>
            <w:tcW w:w="1472" w:type="dxa"/>
          </w:tcPr>
          <w:p w14:paraId="46DFB2C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0ED9F2A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Of </w:t>
            </w:r>
            <w:r w:rsidRPr="00976FA0">
              <w:rPr>
                <w:rFonts w:asciiTheme="majorBidi" w:hAnsiTheme="majorBidi" w:cstheme="majorBidi"/>
                <w:b/>
                <w:bCs/>
                <w:sz w:val="20"/>
                <w:szCs w:val="20"/>
              </w:rPr>
              <w:t>41 medication errors described</w:t>
            </w:r>
            <w:r>
              <w:rPr>
                <w:rFonts w:asciiTheme="majorBidi" w:hAnsiTheme="majorBidi" w:cstheme="majorBidi"/>
                <w:sz w:val="20"/>
                <w:szCs w:val="20"/>
              </w:rPr>
              <w:t xml:space="preserve"> m</w:t>
            </w:r>
            <w:r w:rsidRPr="00976FA0">
              <w:rPr>
                <w:rFonts w:asciiTheme="majorBidi" w:hAnsiTheme="majorBidi" w:cstheme="majorBidi"/>
                <w:sz w:val="20"/>
                <w:szCs w:val="20"/>
              </w:rPr>
              <w:t>ost were related to LMWH (20 cases) followed</w:t>
            </w:r>
            <w:r>
              <w:rPr>
                <w:rFonts w:asciiTheme="majorBidi" w:hAnsiTheme="majorBidi" w:cstheme="majorBidi"/>
                <w:sz w:val="20"/>
                <w:szCs w:val="20"/>
              </w:rPr>
              <w:t xml:space="preserve"> </w:t>
            </w:r>
            <w:r w:rsidRPr="00976FA0">
              <w:rPr>
                <w:rFonts w:asciiTheme="majorBidi" w:hAnsiTheme="majorBidi" w:cstheme="majorBidi"/>
                <w:sz w:val="20"/>
                <w:szCs w:val="20"/>
              </w:rPr>
              <w:t>by 10 cases of medication errors</w:t>
            </w:r>
            <w:r>
              <w:rPr>
                <w:rFonts w:asciiTheme="majorBidi" w:hAnsiTheme="majorBidi" w:cstheme="majorBidi"/>
                <w:sz w:val="20"/>
                <w:szCs w:val="20"/>
              </w:rPr>
              <w:t xml:space="preserve"> </w:t>
            </w:r>
            <w:r w:rsidRPr="00976FA0">
              <w:rPr>
                <w:rFonts w:asciiTheme="majorBidi" w:hAnsiTheme="majorBidi" w:cstheme="majorBidi"/>
                <w:sz w:val="20"/>
                <w:szCs w:val="20"/>
              </w:rPr>
              <w:t>related to</w:t>
            </w:r>
            <w:r>
              <w:rPr>
                <w:rFonts w:asciiTheme="majorBidi" w:hAnsiTheme="majorBidi" w:cstheme="majorBidi"/>
                <w:sz w:val="20"/>
                <w:szCs w:val="20"/>
              </w:rPr>
              <w:t xml:space="preserve"> </w:t>
            </w:r>
            <w:r w:rsidRPr="00976FA0">
              <w:rPr>
                <w:rFonts w:asciiTheme="majorBidi" w:hAnsiTheme="majorBidi" w:cstheme="majorBidi"/>
                <w:sz w:val="20"/>
                <w:szCs w:val="20"/>
              </w:rPr>
              <w:t>NOACs, 9 cases where appropriate anticoagulation</w:t>
            </w:r>
            <w:r>
              <w:rPr>
                <w:rFonts w:asciiTheme="majorBidi" w:hAnsiTheme="majorBidi" w:cstheme="majorBidi"/>
                <w:sz w:val="20"/>
                <w:szCs w:val="20"/>
              </w:rPr>
              <w:t xml:space="preserve"> </w:t>
            </w:r>
            <w:r w:rsidRPr="00976FA0">
              <w:rPr>
                <w:rFonts w:asciiTheme="majorBidi" w:hAnsiTheme="majorBidi" w:cstheme="majorBidi"/>
                <w:sz w:val="20"/>
                <w:szCs w:val="20"/>
              </w:rPr>
              <w:t>was not initiated and 2 cases</w:t>
            </w:r>
            <w:r>
              <w:rPr>
                <w:rFonts w:asciiTheme="majorBidi" w:hAnsiTheme="majorBidi" w:cstheme="majorBidi"/>
                <w:sz w:val="20"/>
                <w:szCs w:val="20"/>
              </w:rPr>
              <w:t xml:space="preserve"> </w:t>
            </w:r>
            <w:r w:rsidRPr="00976FA0">
              <w:rPr>
                <w:rFonts w:asciiTheme="majorBidi" w:hAnsiTheme="majorBidi" w:cstheme="majorBidi"/>
                <w:sz w:val="20"/>
                <w:szCs w:val="20"/>
              </w:rPr>
              <w:t>involved errors with warfarin</w:t>
            </w:r>
            <w:r>
              <w:rPr>
                <w:rFonts w:asciiTheme="majorBidi" w:hAnsiTheme="majorBidi" w:cstheme="majorBidi"/>
                <w:sz w:val="20"/>
                <w:szCs w:val="20"/>
              </w:rPr>
              <w:t>. I</w:t>
            </w:r>
            <w:r w:rsidRPr="00976FA0">
              <w:rPr>
                <w:rFonts w:asciiTheme="majorBidi" w:hAnsiTheme="majorBidi" w:cstheme="majorBidi"/>
                <w:sz w:val="20"/>
                <w:szCs w:val="20"/>
              </w:rPr>
              <w:t>naccurate renal dose</w:t>
            </w:r>
            <w:r>
              <w:rPr>
                <w:rFonts w:asciiTheme="majorBidi" w:hAnsiTheme="majorBidi" w:cstheme="majorBidi"/>
                <w:sz w:val="20"/>
                <w:szCs w:val="20"/>
              </w:rPr>
              <w:t xml:space="preserve"> a</w:t>
            </w:r>
            <w:r w:rsidRPr="00976FA0">
              <w:rPr>
                <w:rFonts w:asciiTheme="majorBidi" w:hAnsiTheme="majorBidi" w:cstheme="majorBidi"/>
                <w:sz w:val="20"/>
                <w:szCs w:val="20"/>
              </w:rPr>
              <w:t>djustment</w:t>
            </w:r>
            <w:r>
              <w:rPr>
                <w:rFonts w:asciiTheme="majorBidi" w:hAnsiTheme="majorBidi" w:cstheme="majorBidi"/>
                <w:sz w:val="20"/>
                <w:szCs w:val="20"/>
              </w:rPr>
              <w:t xml:space="preserve"> was common (15). </w:t>
            </w:r>
          </w:p>
        </w:tc>
        <w:tc>
          <w:tcPr>
            <w:tcW w:w="1541" w:type="dxa"/>
          </w:tcPr>
          <w:p w14:paraId="5A3DE22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Very low quality, descriptive, only errors included, no comparator</w:t>
            </w:r>
          </w:p>
        </w:tc>
      </w:tr>
      <w:tr w:rsidR="00B85C9C" w:rsidRPr="001A1529" w14:paraId="4CD657DA" w14:textId="77777777" w:rsidTr="00CA6F03">
        <w:tc>
          <w:tcPr>
            <w:tcW w:w="1783" w:type="dxa"/>
            <w:shd w:val="clear" w:color="auto" w:fill="F2F2F2" w:themeFill="background1" w:themeFillShade="F2"/>
          </w:tcPr>
          <w:p w14:paraId="355B3B5D" w14:textId="1372F85F" w:rsidR="00B85C9C" w:rsidRPr="00E434CF" w:rsidRDefault="00B85C9C">
            <w:pPr>
              <w:rPr>
                <w:rFonts w:asciiTheme="majorBidi" w:hAnsiTheme="majorBidi" w:cstheme="majorBidi"/>
                <w:b/>
                <w:bCs/>
                <w:sz w:val="20"/>
                <w:szCs w:val="20"/>
              </w:rPr>
            </w:pPr>
            <w:r w:rsidRPr="00E434CF">
              <w:rPr>
                <w:rFonts w:asciiTheme="majorBidi" w:hAnsiTheme="majorBidi" w:cstheme="majorBidi"/>
                <w:b/>
                <w:bCs/>
                <w:sz w:val="20"/>
                <w:szCs w:val="20"/>
              </w:rPr>
              <w:t>E-prescribing, Electronic Health Record, Clinical Decision Support Systems (CDSS), and Apps</w:t>
            </w:r>
          </w:p>
        </w:tc>
        <w:tc>
          <w:tcPr>
            <w:tcW w:w="1638" w:type="dxa"/>
            <w:shd w:val="clear" w:color="auto" w:fill="F2F2F2" w:themeFill="background1" w:themeFillShade="F2"/>
          </w:tcPr>
          <w:p w14:paraId="08011D94" w14:textId="77777777" w:rsidR="00B85C9C" w:rsidRPr="001A1529" w:rsidRDefault="00B85C9C" w:rsidP="00CA6F03">
            <w:pPr>
              <w:rPr>
                <w:rFonts w:asciiTheme="majorBidi" w:hAnsiTheme="majorBidi" w:cstheme="majorBidi"/>
                <w:b/>
                <w:bCs/>
                <w:sz w:val="20"/>
                <w:szCs w:val="20"/>
              </w:rPr>
            </w:pPr>
          </w:p>
        </w:tc>
        <w:tc>
          <w:tcPr>
            <w:tcW w:w="1678" w:type="dxa"/>
            <w:shd w:val="clear" w:color="auto" w:fill="F2F2F2" w:themeFill="background1" w:themeFillShade="F2"/>
          </w:tcPr>
          <w:p w14:paraId="2DD8727C" w14:textId="77777777" w:rsidR="00B85C9C" w:rsidRPr="001A1529" w:rsidRDefault="00B85C9C" w:rsidP="00CA6F03">
            <w:pPr>
              <w:rPr>
                <w:rFonts w:asciiTheme="majorBidi" w:hAnsiTheme="majorBidi" w:cstheme="majorBidi"/>
                <w:b/>
                <w:bCs/>
                <w:sz w:val="20"/>
                <w:szCs w:val="20"/>
              </w:rPr>
            </w:pPr>
          </w:p>
        </w:tc>
        <w:tc>
          <w:tcPr>
            <w:tcW w:w="2699" w:type="dxa"/>
            <w:shd w:val="clear" w:color="auto" w:fill="F2F2F2" w:themeFill="background1" w:themeFillShade="F2"/>
          </w:tcPr>
          <w:p w14:paraId="63ACCFF8" w14:textId="77777777" w:rsidR="00B85C9C" w:rsidRPr="001A1529" w:rsidRDefault="00B85C9C" w:rsidP="00CA6F03">
            <w:pPr>
              <w:rPr>
                <w:rFonts w:asciiTheme="majorBidi" w:hAnsiTheme="majorBidi" w:cstheme="majorBidi"/>
                <w:b/>
                <w:bCs/>
                <w:sz w:val="20"/>
                <w:szCs w:val="20"/>
              </w:rPr>
            </w:pPr>
          </w:p>
        </w:tc>
        <w:tc>
          <w:tcPr>
            <w:tcW w:w="1472" w:type="dxa"/>
            <w:shd w:val="clear" w:color="auto" w:fill="F2F2F2" w:themeFill="background1" w:themeFillShade="F2"/>
          </w:tcPr>
          <w:p w14:paraId="77B33D86" w14:textId="77777777" w:rsidR="00B85C9C" w:rsidRPr="001A1529" w:rsidRDefault="00B85C9C" w:rsidP="00CA6F03">
            <w:pPr>
              <w:rPr>
                <w:rFonts w:asciiTheme="majorBidi" w:hAnsiTheme="majorBidi" w:cstheme="majorBidi"/>
                <w:b/>
                <w:bCs/>
                <w:sz w:val="20"/>
                <w:szCs w:val="20"/>
              </w:rPr>
            </w:pPr>
          </w:p>
        </w:tc>
        <w:tc>
          <w:tcPr>
            <w:tcW w:w="3139" w:type="dxa"/>
            <w:shd w:val="clear" w:color="auto" w:fill="F2F2F2" w:themeFill="background1" w:themeFillShade="F2"/>
          </w:tcPr>
          <w:p w14:paraId="324C351E" w14:textId="77777777" w:rsidR="00B85C9C" w:rsidRPr="001A1529" w:rsidRDefault="00B85C9C" w:rsidP="00CA6F03">
            <w:pPr>
              <w:rPr>
                <w:rFonts w:asciiTheme="majorBidi" w:hAnsiTheme="majorBidi" w:cstheme="majorBidi"/>
                <w:b/>
                <w:bCs/>
                <w:sz w:val="20"/>
                <w:szCs w:val="20"/>
              </w:rPr>
            </w:pPr>
          </w:p>
        </w:tc>
        <w:tc>
          <w:tcPr>
            <w:tcW w:w="1541" w:type="dxa"/>
            <w:shd w:val="clear" w:color="auto" w:fill="F2F2F2" w:themeFill="background1" w:themeFillShade="F2"/>
          </w:tcPr>
          <w:p w14:paraId="309E880E" w14:textId="77777777" w:rsidR="00B85C9C" w:rsidRPr="001A1529" w:rsidRDefault="00B85C9C" w:rsidP="00CA6F03">
            <w:pPr>
              <w:rPr>
                <w:rFonts w:asciiTheme="majorBidi" w:hAnsiTheme="majorBidi" w:cstheme="majorBidi"/>
                <w:b/>
                <w:bCs/>
                <w:sz w:val="20"/>
                <w:szCs w:val="20"/>
              </w:rPr>
            </w:pPr>
          </w:p>
        </w:tc>
      </w:tr>
      <w:tr w:rsidR="00B85C9C" w:rsidRPr="008D6755" w14:paraId="041F4BFB" w14:textId="77777777" w:rsidTr="00CA6F03">
        <w:tc>
          <w:tcPr>
            <w:tcW w:w="1783" w:type="dxa"/>
          </w:tcPr>
          <w:p w14:paraId="55F52D12"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Spyropoulos et al 2020</w:t>
            </w:r>
          </w:p>
          <w:p w14:paraId="39CEF470" w14:textId="2673C60C" w:rsidR="00B85C9C" w:rsidRPr="008D6755" w:rsidRDefault="00B85C9C" w:rsidP="00CA6F03">
            <w:pPr>
              <w:rPr>
                <w:rFonts w:asciiTheme="majorBidi" w:hAnsiTheme="majorBidi" w:cstheme="majorBidi"/>
                <w:sz w:val="20"/>
                <w:szCs w:val="20"/>
              </w:rPr>
            </w:pPr>
          </w:p>
        </w:tc>
        <w:tc>
          <w:tcPr>
            <w:tcW w:w="1638" w:type="dxa"/>
          </w:tcPr>
          <w:p w14:paraId="538451EA"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Prospective, 2 cohort comparison study, n = 642</w:t>
            </w:r>
          </w:p>
        </w:tc>
        <w:tc>
          <w:tcPr>
            <w:tcW w:w="1678" w:type="dxa"/>
          </w:tcPr>
          <w:p w14:paraId="1647670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Adults</w:t>
            </w:r>
            <w:r w:rsidRPr="008D3170">
              <w:rPr>
                <w:rFonts w:asciiTheme="majorBidi" w:hAnsiTheme="majorBidi" w:cstheme="majorBidi"/>
                <w:sz w:val="20"/>
                <w:szCs w:val="20"/>
              </w:rPr>
              <w:t xml:space="preserve">, creatinine clearance </w:t>
            </w:r>
            <w:r>
              <w:rPr>
                <w:rFonts w:asciiTheme="majorBidi" w:hAnsiTheme="majorBidi" w:cstheme="majorBidi"/>
                <w:sz w:val="20"/>
                <w:szCs w:val="20"/>
              </w:rPr>
              <w:t>&gt;=</w:t>
            </w:r>
            <w:r w:rsidRPr="008D3170">
              <w:rPr>
                <w:rFonts w:asciiTheme="majorBidi" w:hAnsiTheme="majorBidi" w:cstheme="majorBidi"/>
                <w:sz w:val="20"/>
                <w:szCs w:val="20"/>
              </w:rPr>
              <w:t>15 mL/min, on chronic OAC</w:t>
            </w:r>
            <w:r>
              <w:rPr>
                <w:rFonts w:asciiTheme="majorBidi" w:hAnsiTheme="majorBidi" w:cstheme="majorBidi"/>
                <w:sz w:val="20"/>
                <w:szCs w:val="20"/>
              </w:rPr>
              <w:t>, undergoing elective procedures, mean age 73 years</w:t>
            </w:r>
          </w:p>
        </w:tc>
        <w:tc>
          <w:tcPr>
            <w:tcW w:w="2699" w:type="dxa"/>
          </w:tcPr>
          <w:p w14:paraId="4C497740" w14:textId="77777777" w:rsidR="00B85C9C" w:rsidRPr="00067038" w:rsidRDefault="00B85C9C" w:rsidP="00CA6F03">
            <w:pPr>
              <w:rPr>
                <w:rFonts w:asciiTheme="majorBidi" w:hAnsiTheme="majorBidi" w:cstheme="majorBidi"/>
                <w:b/>
                <w:bCs/>
                <w:sz w:val="20"/>
                <w:szCs w:val="20"/>
              </w:rPr>
            </w:pPr>
            <w:r w:rsidRPr="00067038">
              <w:rPr>
                <w:rFonts w:asciiTheme="majorBidi" w:hAnsiTheme="majorBidi" w:cstheme="majorBidi"/>
                <w:sz w:val="20"/>
                <w:szCs w:val="20"/>
              </w:rPr>
              <w:t>The</w:t>
            </w:r>
            <w:r>
              <w:rPr>
                <w:rFonts w:asciiTheme="majorBidi" w:hAnsiTheme="majorBidi" w:cstheme="majorBidi"/>
                <w:sz w:val="20"/>
                <w:szCs w:val="20"/>
              </w:rPr>
              <w:t xml:space="preserve"> </w:t>
            </w:r>
            <w:r w:rsidRPr="00067038">
              <w:rPr>
                <w:rFonts w:asciiTheme="majorBidi" w:hAnsiTheme="majorBidi" w:cstheme="majorBidi"/>
                <w:sz w:val="20"/>
                <w:szCs w:val="20"/>
              </w:rPr>
              <w:t>MAPPP</w:t>
            </w:r>
            <w:r>
              <w:rPr>
                <w:rFonts w:asciiTheme="majorBidi" w:hAnsiTheme="majorBidi" w:cstheme="majorBidi"/>
                <w:sz w:val="20"/>
                <w:szCs w:val="20"/>
              </w:rPr>
              <w:t xml:space="preserve"> (management of anticoagulation in the peri-procedural period)</w:t>
            </w:r>
            <w:r w:rsidRPr="00067038">
              <w:rPr>
                <w:rFonts w:asciiTheme="majorBidi" w:hAnsiTheme="majorBidi" w:cstheme="majorBidi"/>
                <w:sz w:val="20"/>
                <w:szCs w:val="20"/>
              </w:rPr>
              <w:t xml:space="preserve"> app was integrated into the electronic health record (EHR), and the end user was free to accept or decline</w:t>
            </w:r>
            <w:r>
              <w:rPr>
                <w:rFonts w:asciiTheme="majorBidi" w:hAnsiTheme="majorBidi" w:cstheme="majorBidi"/>
                <w:sz w:val="20"/>
                <w:szCs w:val="20"/>
              </w:rPr>
              <w:t xml:space="preserve"> </w:t>
            </w:r>
            <w:r w:rsidRPr="00067038">
              <w:rPr>
                <w:rFonts w:asciiTheme="majorBidi" w:hAnsiTheme="majorBidi" w:cstheme="majorBidi"/>
                <w:b/>
                <w:bCs/>
                <w:sz w:val="20"/>
                <w:szCs w:val="20"/>
              </w:rPr>
              <w:t>app/EHR recommended</w:t>
            </w:r>
          </w:p>
          <w:p w14:paraId="3970B30F" w14:textId="77777777" w:rsidR="00B85C9C" w:rsidRPr="008D6755" w:rsidRDefault="00B85C9C" w:rsidP="00CA6F03">
            <w:pPr>
              <w:rPr>
                <w:rFonts w:asciiTheme="majorBidi" w:hAnsiTheme="majorBidi" w:cstheme="majorBidi"/>
                <w:sz w:val="20"/>
                <w:szCs w:val="20"/>
              </w:rPr>
            </w:pPr>
            <w:r w:rsidRPr="00067038">
              <w:rPr>
                <w:rFonts w:asciiTheme="majorBidi" w:hAnsiTheme="majorBidi" w:cstheme="majorBidi"/>
                <w:b/>
                <w:bCs/>
                <w:sz w:val="20"/>
                <w:szCs w:val="20"/>
              </w:rPr>
              <w:t>evidence-based perioperative anticoagulation management guidance</w:t>
            </w:r>
            <w:r w:rsidRPr="00067038">
              <w:rPr>
                <w:rFonts w:asciiTheme="majorBidi" w:hAnsiTheme="majorBidi" w:cstheme="majorBidi"/>
                <w:sz w:val="20"/>
                <w:szCs w:val="20"/>
              </w:rPr>
              <w:t>.</w:t>
            </w:r>
          </w:p>
        </w:tc>
        <w:tc>
          <w:tcPr>
            <w:tcW w:w="1472" w:type="dxa"/>
          </w:tcPr>
          <w:p w14:paraId="3392140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Non-acceptance of MAPPP recommended guidance </w:t>
            </w:r>
          </w:p>
        </w:tc>
        <w:tc>
          <w:tcPr>
            <w:tcW w:w="3139" w:type="dxa"/>
          </w:tcPr>
          <w:p w14:paraId="06161DC5" w14:textId="77777777" w:rsidR="00B85C9C" w:rsidRPr="00067038" w:rsidRDefault="00B85C9C" w:rsidP="00CA6F03">
            <w:pPr>
              <w:rPr>
                <w:rFonts w:asciiTheme="majorBidi" w:hAnsiTheme="majorBidi" w:cstheme="majorBidi"/>
                <w:sz w:val="20"/>
                <w:szCs w:val="20"/>
              </w:rPr>
            </w:pPr>
            <w:r>
              <w:rPr>
                <w:rFonts w:asciiTheme="majorBidi" w:hAnsiTheme="majorBidi" w:cstheme="majorBidi"/>
                <w:sz w:val="20"/>
                <w:szCs w:val="20"/>
              </w:rPr>
              <w:t>A</w:t>
            </w:r>
            <w:r w:rsidRPr="00067038">
              <w:rPr>
                <w:rFonts w:asciiTheme="majorBidi" w:hAnsiTheme="majorBidi" w:cstheme="majorBidi"/>
                <w:sz w:val="20"/>
                <w:szCs w:val="20"/>
              </w:rPr>
              <w:t xml:space="preserve">cceptance </w:t>
            </w:r>
            <w:r>
              <w:rPr>
                <w:rFonts w:asciiTheme="majorBidi" w:hAnsiTheme="majorBidi" w:cstheme="majorBidi"/>
                <w:sz w:val="20"/>
                <w:szCs w:val="20"/>
              </w:rPr>
              <w:t xml:space="preserve">of recommended guidance </w:t>
            </w:r>
            <w:r w:rsidRPr="00067038">
              <w:rPr>
                <w:rFonts w:asciiTheme="majorBidi" w:hAnsiTheme="majorBidi" w:cstheme="majorBidi"/>
                <w:sz w:val="20"/>
                <w:szCs w:val="20"/>
              </w:rPr>
              <w:t>was more common in</w:t>
            </w:r>
          </w:p>
          <w:p w14:paraId="1980B2E9" w14:textId="77777777" w:rsidR="00B85C9C" w:rsidRPr="00067038" w:rsidRDefault="00B85C9C" w:rsidP="00CA6F03">
            <w:pPr>
              <w:rPr>
                <w:rFonts w:asciiTheme="majorBidi" w:hAnsiTheme="majorBidi" w:cstheme="majorBidi"/>
                <w:sz w:val="20"/>
                <w:szCs w:val="20"/>
              </w:rPr>
            </w:pPr>
            <w:r w:rsidRPr="00067038">
              <w:rPr>
                <w:rFonts w:asciiTheme="majorBidi" w:hAnsiTheme="majorBidi" w:cstheme="majorBidi"/>
                <w:sz w:val="20"/>
                <w:szCs w:val="20"/>
              </w:rPr>
              <w:t>younger patients (P</w:t>
            </w:r>
            <w:r>
              <w:rPr>
                <w:rFonts w:asciiTheme="majorBidi" w:hAnsiTheme="majorBidi" w:cstheme="majorBidi"/>
                <w:sz w:val="20"/>
                <w:szCs w:val="20"/>
              </w:rPr>
              <w:t xml:space="preserve"> =</w:t>
            </w:r>
            <w:r w:rsidRPr="00067038">
              <w:rPr>
                <w:rFonts w:asciiTheme="majorBidi" w:hAnsiTheme="majorBidi" w:cstheme="majorBidi"/>
                <w:sz w:val="20"/>
                <w:szCs w:val="20"/>
              </w:rPr>
              <w:t xml:space="preserve"> </w:t>
            </w:r>
            <w:r>
              <w:rPr>
                <w:rFonts w:asciiTheme="majorBidi" w:hAnsiTheme="majorBidi" w:cstheme="majorBidi"/>
                <w:sz w:val="20"/>
                <w:szCs w:val="20"/>
              </w:rPr>
              <w:t>0</w:t>
            </w:r>
            <w:r w:rsidRPr="00067038">
              <w:rPr>
                <w:rFonts w:asciiTheme="majorBidi" w:hAnsiTheme="majorBidi" w:cstheme="majorBidi"/>
                <w:sz w:val="20"/>
                <w:szCs w:val="20"/>
              </w:rPr>
              <w:t xml:space="preserve">.0137), patients on oral anticoagulants other than warfarin (P &lt; </w:t>
            </w:r>
            <w:r>
              <w:rPr>
                <w:rFonts w:asciiTheme="majorBidi" w:hAnsiTheme="majorBidi" w:cstheme="majorBidi"/>
                <w:sz w:val="20"/>
                <w:szCs w:val="20"/>
              </w:rPr>
              <w:t>0</w:t>
            </w:r>
            <w:r w:rsidRPr="00067038">
              <w:rPr>
                <w:rFonts w:asciiTheme="majorBidi" w:hAnsiTheme="majorBidi" w:cstheme="majorBidi"/>
                <w:sz w:val="20"/>
                <w:szCs w:val="20"/>
              </w:rPr>
              <w:t>.0001), and patients undergoing increased</w:t>
            </w:r>
          </w:p>
          <w:p w14:paraId="795C4BCA" w14:textId="77777777" w:rsidR="00B85C9C" w:rsidRPr="00067038" w:rsidRDefault="00B85C9C" w:rsidP="00CA6F03">
            <w:pPr>
              <w:rPr>
                <w:rFonts w:asciiTheme="majorBidi" w:hAnsiTheme="majorBidi" w:cstheme="majorBidi"/>
                <w:b/>
                <w:bCs/>
                <w:sz w:val="20"/>
                <w:szCs w:val="20"/>
              </w:rPr>
            </w:pPr>
            <w:r w:rsidRPr="00067038">
              <w:rPr>
                <w:rFonts w:asciiTheme="majorBidi" w:hAnsiTheme="majorBidi" w:cstheme="majorBidi"/>
                <w:sz w:val="20"/>
                <w:szCs w:val="20"/>
              </w:rPr>
              <w:t xml:space="preserve">bleeding risk procedures (P </w:t>
            </w:r>
            <w:r>
              <w:rPr>
                <w:rFonts w:asciiTheme="majorBidi" w:hAnsiTheme="majorBidi" w:cstheme="majorBidi"/>
                <w:sz w:val="20"/>
                <w:szCs w:val="20"/>
              </w:rPr>
              <w:t>=</w:t>
            </w:r>
            <w:r w:rsidRPr="00067038">
              <w:rPr>
                <w:rFonts w:asciiTheme="majorBidi" w:hAnsiTheme="majorBidi" w:cstheme="majorBidi"/>
                <w:sz w:val="20"/>
                <w:szCs w:val="20"/>
              </w:rPr>
              <w:t xml:space="preserve"> </w:t>
            </w:r>
            <w:r>
              <w:rPr>
                <w:rFonts w:asciiTheme="majorBidi" w:hAnsiTheme="majorBidi" w:cstheme="majorBidi"/>
                <w:sz w:val="20"/>
                <w:szCs w:val="20"/>
              </w:rPr>
              <w:t>0</w:t>
            </w:r>
            <w:r w:rsidRPr="00067038">
              <w:rPr>
                <w:rFonts w:asciiTheme="majorBidi" w:hAnsiTheme="majorBidi" w:cstheme="majorBidi"/>
                <w:sz w:val="20"/>
                <w:szCs w:val="20"/>
              </w:rPr>
              <w:t>.0068). Acceptance of the MAPPP app recommendation was significantly associated with fewer ED</w:t>
            </w:r>
            <w:r>
              <w:rPr>
                <w:rFonts w:asciiTheme="majorBidi" w:hAnsiTheme="majorBidi" w:cstheme="majorBidi"/>
                <w:sz w:val="20"/>
                <w:szCs w:val="20"/>
              </w:rPr>
              <w:t xml:space="preserve"> </w:t>
            </w:r>
            <w:r w:rsidRPr="00067038">
              <w:rPr>
                <w:rFonts w:asciiTheme="majorBidi" w:hAnsiTheme="majorBidi" w:cstheme="majorBidi"/>
                <w:sz w:val="20"/>
                <w:szCs w:val="20"/>
              </w:rPr>
              <w:t xml:space="preserve">visits (acceptance group: 4.0% vs rejection group: 8.3%, P </w:t>
            </w:r>
            <w:r>
              <w:rPr>
                <w:rFonts w:asciiTheme="majorBidi" w:hAnsiTheme="majorBidi" w:cstheme="majorBidi"/>
                <w:sz w:val="20"/>
                <w:szCs w:val="20"/>
              </w:rPr>
              <w:t>=</w:t>
            </w:r>
            <w:r w:rsidRPr="00067038">
              <w:rPr>
                <w:rFonts w:asciiTheme="majorBidi" w:hAnsiTheme="majorBidi" w:cstheme="majorBidi"/>
                <w:sz w:val="20"/>
                <w:szCs w:val="20"/>
              </w:rPr>
              <w:t xml:space="preserve"> </w:t>
            </w:r>
            <w:r>
              <w:rPr>
                <w:rFonts w:asciiTheme="majorBidi" w:hAnsiTheme="majorBidi" w:cstheme="majorBidi"/>
                <w:sz w:val="20"/>
                <w:szCs w:val="20"/>
              </w:rPr>
              <w:t>0</w:t>
            </w:r>
            <w:r w:rsidRPr="00067038">
              <w:rPr>
                <w:rFonts w:asciiTheme="majorBidi" w:hAnsiTheme="majorBidi" w:cstheme="majorBidi"/>
                <w:sz w:val="20"/>
                <w:szCs w:val="20"/>
              </w:rPr>
              <w:t xml:space="preserve">.0205). Logistic regression showed that </w:t>
            </w:r>
            <w:r w:rsidRPr="00067038">
              <w:rPr>
                <w:rFonts w:asciiTheme="majorBidi" w:hAnsiTheme="majorBidi" w:cstheme="majorBidi"/>
                <w:b/>
                <w:bCs/>
                <w:sz w:val="20"/>
                <w:szCs w:val="20"/>
              </w:rPr>
              <w:t>intervention acceptance and</w:t>
            </w:r>
          </w:p>
          <w:p w14:paraId="462354EE" w14:textId="5D487D2F" w:rsidR="00B85C9C" w:rsidRPr="008D6755" w:rsidRDefault="00B85C9C">
            <w:pPr>
              <w:rPr>
                <w:rFonts w:asciiTheme="majorBidi" w:hAnsiTheme="majorBidi" w:cstheme="majorBidi"/>
                <w:sz w:val="20"/>
                <w:szCs w:val="20"/>
              </w:rPr>
            </w:pPr>
            <w:r w:rsidRPr="00067038">
              <w:rPr>
                <w:rFonts w:asciiTheme="majorBidi" w:hAnsiTheme="majorBidi" w:cstheme="majorBidi"/>
                <w:b/>
                <w:bCs/>
                <w:sz w:val="20"/>
                <w:szCs w:val="20"/>
              </w:rPr>
              <w:t>female gender were significantly associated with fewer</w:t>
            </w:r>
            <w:r>
              <w:rPr>
                <w:rFonts w:asciiTheme="majorBidi" w:hAnsiTheme="majorBidi" w:cstheme="majorBidi"/>
                <w:b/>
                <w:bCs/>
                <w:sz w:val="20"/>
                <w:szCs w:val="20"/>
              </w:rPr>
              <w:t xml:space="preserve"> 30-day ED visits. </w:t>
            </w:r>
          </w:p>
        </w:tc>
        <w:tc>
          <w:tcPr>
            <w:tcW w:w="1541" w:type="dxa"/>
          </w:tcPr>
          <w:p w14:paraId="547E160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to moderate quality, single institution, prospective study with comparator, not randomized. </w:t>
            </w:r>
          </w:p>
        </w:tc>
      </w:tr>
      <w:tr w:rsidR="00B85C9C" w:rsidRPr="008D6755" w14:paraId="17F76D00" w14:textId="77777777" w:rsidTr="00CA6F03">
        <w:tc>
          <w:tcPr>
            <w:tcW w:w="1783" w:type="dxa"/>
          </w:tcPr>
          <w:p w14:paraId="3FB29C53"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Quintens</w:t>
            </w:r>
            <w:proofErr w:type="spellEnd"/>
            <w:r>
              <w:rPr>
                <w:rFonts w:asciiTheme="majorBidi" w:hAnsiTheme="majorBidi" w:cstheme="majorBidi"/>
                <w:sz w:val="20"/>
                <w:szCs w:val="20"/>
              </w:rPr>
              <w:t xml:space="preserve"> et al 2019</w:t>
            </w:r>
          </w:p>
          <w:p w14:paraId="4223E236" w14:textId="42817075" w:rsidR="00B85C9C" w:rsidRPr="00D52BD9" w:rsidRDefault="00B85C9C" w:rsidP="00CA6F03">
            <w:pPr>
              <w:rPr>
                <w:rFonts w:asciiTheme="majorBidi" w:hAnsiTheme="majorBidi" w:cstheme="majorBidi"/>
                <w:sz w:val="20"/>
                <w:szCs w:val="20"/>
              </w:rPr>
            </w:pPr>
          </w:p>
        </w:tc>
        <w:tc>
          <w:tcPr>
            <w:tcW w:w="1638" w:type="dxa"/>
          </w:tcPr>
          <w:p w14:paraId="75AA051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Single centre (1995 bed academic tertiary hospital), 18-month retrospective, observational study</w:t>
            </w:r>
          </w:p>
          <w:p w14:paraId="1692042C" w14:textId="77777777" w:rsidR="00B85C9C" w:rsidRDefault="00B85C9C" w:rsidP="00CA6F03">
            <w:pPr>
              <w:rPr>
                <w:rFonts w:asciiTheme="majorBidi" w:hAnsiTheme="majorBidi" w:cstheme="majorBidi"/>
                <w:sz w:val="20"/>
                <w:szCs w:val="20"/>
              </w:rPr>
            </w:pPr>
          </w:p>
        </w:tc>
        <w:tc>
          <w:tcPr>
            <w:tcW w:w="1678" w:type="dxa"/>
          </w:tcPr>
          <w:p w14:paraId="7AB6C41A"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Belgium, 39,481 clinical rule alerts </w:t>
            </w:r>
          </w:p>
        </w:tc>
        <w:tc>
          <w:tcPr>
            <w:tcW w:w="2699" w:type="dxa"/>
          </w:tcPr>
          <w:p w14:paraId="508E1B85" w14:textId="77777777" w:rsidR="00B85C9C" w:rsidRPr="000F7FCC" w:rsidRDefault="00B85C9C" w:rsidP="00CA6F03">
            <w:pPr>
              <w:rPr>
                <w:rFonts w:asciiTheme="majorBidi" w:hAnsiTheme="majorBidi" w:cstheme="majorBidi"/>
                <w:sz w:val="20"/>
                <w:szCs w:val="20"/>
              </w:rPr>
            </w:pPr>
            <w:r>
              <w:rPr>
                <w:rFonts w:asciiTheme="majorBidi" w:hAnsiTheme="majorBidi" w:cstheme="majorBidi"/>
                <w:sz w:val="20"/>
                <w:szCs w:val="20"/>
              </w:rPr>
              <w:t>A</w:t>
            </w:r>
            <w:r w:rsidRPr="000F7FCC">
              <w:rPr>
                <w:rFonts w:asciiTheme="majorBidi" w:hAnsiTheme="majorBidi" w:cstheme="majorBidi"/>
                <w:sz w:val="20"/>
                <w:szCs w:val="20"/>
              </w:rPr>
              <w:t xml:space="preserve"> back-office clinical </w:t>
            </w:r>
            <w:r>
              <w:rPr>
                <w:rFonts w:asciiTheme="majorBidi" w:hAnsiTheme="majorBidi" w:cstheme="majorBidi"/>
                <w:sz w:val="20"/>
                <w:szCs w:val="20"/>
              </w:rPr>
              <w:t xml:space="preserve">pharmacy </w:t>
            </w:r>
            <w:r w:rsidRPr="000F7FCC">
              <w:rPr>
                <w:rFonts w:asciiTheme="majorBidi" w:hAnsiTheme="majorBidi" w:cstheme="majorBidi"/>
                <w:sz w:val="20"/>
                <w:szCs w:val="20"/>
              </w:rPr>
              <w:t>service, called “Check of Medication Appropriateness” (CMA),</w:t>
            </w:r>
          </w:p>
          <w:p w14:paraId="76C2A3BE" w14:textId="77777777" w:rsidR="00B85C9C" w:rsidRDefault="00B85C9C" w:rsidP="00CA6F03">
            <w:pPr>
              <w:rPr>
                <w:rFonts w:asciiTheme="majorBidi" w:hAnsiTheme="majorBidi" w:cstheme="majorBidi"/>
                <w:sz w:val="20"/>
                <w:szCs w:val="20"/>
              </w:rPr>
            </w:pPr>
            <w:r w:rsidRPr="000F7FCC">
              <w:rPr>
                <w:rFonts w:asciiTheme="majorBidi" w:hAnsiTheme="majorBidi" w:cstheme="majorBidi"/>
                <w:sz w:val="20"/>
                <w:szCs w:val="20"/>
              </w:rPr>
              <w:t xml:space="preserve">consisting of </w:t>
            </w:r>
            <w:r w:rsidRPr="000F7FCC">
              <w:rPr>
                <w:rFonts w:asciiTheme="majorBidi" w:hAnsiTheme="majorBidi" w:cstheme="majorBidi"/>
                <w:b/>
                <w:bCs/>
                <w:sz w:val="20"/>
                <w:szCs w:val="20"/>
              </w:rPr>
              <w:t xml:space="preserve">clinical rule-based screening </w:t>
            </w:r>
            <w:r>
              <w:rPr>
                <w:rFonts w:asciiTheme="majorBidi" w:hAnsiTheme="majorBidi" w:cstheme="majorBidi"/>
                <w:b/>
                <w:bCs/>
                <w:sz w:val="20"/>
                <w:szCs w:val="20"/>
              </w:rPr>
              <w:t xml:space="preserve">(daily) </w:t>
            </w:r>
            <w:r w:rsidRPr="000F7FCC">
              <w:rPr>
                <w:rFonts w:asciiTheme="majorBidi" w:hAnsiTheme="majorBidi" w:cstheme="majorBidi"/>
                <w:b/>
                <w:bCs/>
                <w:sz w:val="20"/>
                <w:szCs w:val="20"/>
              </w:rPr>
              <w:t>for medication</w:t>
            </w:r>
            <w:r>
              <w:rPr>
                <w:rFonts w:asciiTheme="majorBidi" w:hAnsiTheme="majorBidi" w:cstheme="majorBidi"/>
                <w:b/>
                <w:bCs/>
                <w:sz w:val="20"/>
                <w:szCs w:val="20"/>
              </w:rPr>
              <w:t xml:space="preserve"> </w:t>
            </w:r>
            <w:r w:rsidRPr="000F7FCC">
              <w:rPr>
                <w:rFonts w:asciiTheme="majorBidi" w:hAnsiTheme="majorBidi" w:cstheme="majorBidi"/>
                <w:b/>
                <w:bCs/>
                <w:sz w:val="20"/>
                <w:szCs w:val="20"/>
              </w:rPr>
              <w:t>inappropriateness</w:t>
            </w:r>
          </w:p>
          <w:p w14:paraId="2410957A" w14:textId="77777777" w:rsidR="00B85C9C" w:rsidRPr="008D6755" w:rsidRDefault="00B85C9C" w:rsidP="00CA6F03">
            <w:pPr>
              <w:rPr>
                <w:rFonts w:asciiTheme="majorBidi" w:hAnsiTheme="majorBidi" w:cstheme="majorBidi"/>
                <w:sz w:val="20"/>
                <w:szCs w:val="20"/>
              </w:rPr>
            </w:pPr>
          </w:p>
        </w:tc>
        <w:tc>
          <w:tcPr>
            <w:tcW w:w="1472" w:type="dxa"/>
          </w:tcPr>
          <w:p w14:paraId="2B43411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4E23D130" w14:textId="77777777" w:rsidR="00B85C9C" w:rsidRPr="000F7FCC" w:rsidRDefault="00B85C9C" w:rsidP="00CA6F03">
            <w:pPr>
              <w:rPr>
                <w:rFonts w:asciiTheme="majorBidi" w:hAnsiTheme="majorBidi" w:cstheme="majorBidi"/>
                <w:sz w:val="20"/>
                <w:szCs w:val="20"/>
              </w:rPr>
            </w:pPr>
            <w:r w:rsidRPr="000F7FCC">
              <w:rPr>
                <w:rFonts w:asciiTheme="majorBidi" w:hAnsiTheme="majorBidi" w:cstheme="majorBidi"/>
                <w:sz w:val="20"/>
                <w:szCs w:val="20"/>
              </w:rPr>
              <w:t>39,481 clinical rule alerts were checked</w:t>
            </w:r>
            <w:r>
              <w:rPr>
                <w:rFonts w:asciiTheme="majorBidi" w:hAnsiTheme="majorBidi" w:cstheme="majorBidi"/>
                <w:sz w:val="20"/>
                <w:szCs w:val="20"/>
              </w:rPr>
              <w:t xml:space="preserve">, </w:t>
            </w:r>
            <w:r w:rsidRPr="000F7FCC">
              <w:rPr>
                <w:rFonts w:asciiTheme="majorBidi" w:hAnsiTheme="majorBidi" w:cstheme="majorBidi"/>
                <w:sz w:val="20"/>
                <w:szCs w:val="20"/>
              </w:rPr>
              <w:t>2568 (7%) electronic notes were sent and 637</w:t>
            </w:r>
            <w:r>
              <w:rPr>
                <w:rFonts w:asciiTheme="majorBidi" w:hAnsiTheme="majorBidi" w:cstheme="majorBidi"/>
                <w:sz w:val="20"/>
                <w:szCs w:val="20"/>
              </w:rPr>
              <w:t xml:space="preserve"> </w:t>
            </w:r>
            <w:r w:rsidRPr="000F7FCC">
              <w:rPr>
                <w:rFonts w:asciiTheme="majorBidi" w:hAnsiTheme="majorBidi" w:cstheme="majorBidi"/>
                <w:sz w:val="20"/>
                <w:szCs w:val="20"/>
              </w:rPr>
              <w:t>(1.6%) phone calls performed. 37,782 (96%) alerts were checked within four pharmacotherapeutic categories: drug</w:t>
            </w:r>
            <w:r>
              <w:rPr>
                <w:rFonts w:asciiTheme="majorBidi" w:hAnsiTheme="majorBidi" w:cstheme="majorBidi"/>
                <w:sz w:val="20"/>
                <w:szCs w:val="20"/>
              </w:rPr>
              <w:t xml:space="preserve"> </w:t>
            </w:r>
            <w:r w:rsidRPr="000F7FCC">
              <w:rPr>
                <w:rFonts w:asciiTheme="majorBidi" w:hAnsiTheme="majorBidi" w:cstheme="majorBidi"/>
                <w:sz w:val="20"/>
                <w:szCs w:val="20"/>
              </w:rPr>
              <w:t>use in renal insufficiency (25%), QTc interval prolonging drugs (11%), drugs with a restricted indication or dosing (14%)</w:t>
            </w:r>
          </w:p>
          <w:p w14:paraId="4F1CF820" w14:textId="77777777" w:rsidR="00B85C9C" w:rsidRPr="000F7FCC" w:rsidRDefault="00B85C9C" w:rsidP="00CA6F03">
            <w:pPr>
              <w:rPr>
                <w:rFonts w:asciiTheme="majorBidi" w:hAnsiTheme="majorBidi" w:cstheme="majorBidi"/>
                <w:sz w:val="20"/>
                <w:szCs w:val="20"/>
              </w:rPr>
            </w:pPr>
            <w:r w:rsidRPr="000F7FCC">
              <w:rPr>
                <w:rFonts w:asciiTheme="majorBidi" w:hAnsiTheme="majorBidi" w:cstheme="majorBidi"/>
                <w:sz w:val="20"/>
                <w:szCs w:val="20"/>
              </w:rPr>
              <w:t>and overruled very severe drug-drug interactions (50%).</w:t>
            </w:r>
          </w:p>
          <w:p w14:paraId="2567CDBA" w14:textId="77777777" w:rsidR="00B85C9C" w:rsidRDefault="00B85C9C" w:rsidP="00CA6F03">
            <w:pPr>
              <w:rPr>
                <w:rFonts w:asciiTheme="majorBidi" w:hAnsiTheme="majorBidi" w:cstheme="majorBidi"/>
                <w:sz w:val="20"/>
                <w:szCs w:val="20"/>
              </w:rPr>
            </w:pPr>
            <w:r w:rsidRPr="000F7FCC">
              <w:rPr>
                <w:rFonts w:asciiTheme="majorBidi" w:hAnsiTheme="majorBidi" w:cstheme="majorBidi"/>
                <w:b/>
                <w:bCs/>
                <w:sz w:val="20"/>
                <w:szCs w:val="20"/>
              </w:rPr>
              <w:t>Anticoagulants were drug class for which actions are most frequently carried out</w:t>
            </w:r>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eg</w:t>
            </w:r>
            <w:proofErr w:type="spellEnd"/>
            <w:r>
              <w:rPr>
                <w:rFonts w:asciiTheme="majorBidi" w:hAnsiTheme="majorBidi" w:cstheme="majorBidi"/>
                <w:b/>
                <w:bCs/>
                <w:sz w:val="20"/>
                <w:szCs w:val="20"/>
              </w:rPr>
              <w:t xml:space="preserve"> </w:t>
            </w:r>
            <w:r w:rsidRPr="00F43166">
              <w:rPr>
                <w:rFonts w:asciiTheme="majorBidi" w:hAnsiTheme="majorBidi" w:cstheme="majorBidi"/>
                <w:sz w:val="20"/>
                <w:szCs w:val="20"/>
              </w:rPr>
              <w:t>overruled combination of DOACs</w:t>
            </w:r>
            <w:r>
              <w:rPr>
                <w:rFonts w:asciiTheme="majorBidi" w:hAnsiTheme="majorBidi" w:cstheme="majorBidi"/>
                <w:sz w:val="20"/>
                <w:szCs w:val="20"/>
              </w:rPr>
              <w:t xml:space="preserve"> </w:t>
            </w:r>
            <w:r w:rsidRPr="00F43166">
              <w:rPr>
                <w:rFonts w:asciiTheme="majorBidi" w:hAnsiTheme="majorBidi" w:cstheme="majorBidi"/>
                <w:sz w:val="20"/>
                <w:szCs w:val="20"/>
              </w:rPr>
              <w:t>with other anticoagulants (often LMWHs) was the most</w:t>
            </w:r>
            <w:r>
              <w:rPr>
                <w:rFonts w:asciiTheme="majorBidi" w:hAnsiTheme="majorBidi" w:cstheme="majorBidi"/>
                <w:sz w:val="20"/>
                <w:szCs w:val="20"/>
              </w:rPr>
              <w:t xml:space="preserve"> </w:t>
            </w:r>
            <w:r w:rsidRPr="00F43166">
              <w:rPr>
                <w:rFonts w:asciiTheme="majorBidi" w:hAnsiTheme="majorBidi" w:cstheme="majorBidi"/>
                <w:sz w:val="20"/>
                <w:szCs w:val="20"/>
              </w:rPr>
              <w:t>frequent alert for which a phone call was carried out</w:t>
            </w:r>
            <w:r>
              <w:rPr>
                <w:rFonts w:asciiTheme="majorBidi" w:hAnsiTheme="majorBidi" w:cstheme="majorBidi"/>
                <w:sz w:val="20"/>
                <w:szCs w:val="20"/>
              </w:rPr>
              <w:t xml:space="preserve"> </w:t>
            </w:r>
            <w:r w:rsidRPr="00F43166">
              <w:rPr>
                <w:rFonts w:asciiTheme="majorBidi" w:hAnsiTheme="majorBidi" w:cstheme="majorBidi"/>
                <w:sz w:val="20"/>
                <w:szCs w:val="20"/>
              </w:rPr>
              <w:t>(37%) or an electronic note was sent (15%).</w:t>
            </w:r>
            <w:r>
              <w:rPr>
                <w:rFonts w:asciiTheme="majorBidi" w:hAnsiTheme="majorBidi" w:cstheme="majorBidi"/>
                <w:sz w:val="20"/>
                <w:szCs w:val="20"/>
              </w:rPr>
              <w:t xml:space="preserve"> </w:t>
            </w:r>
            <w:r w:rsidRPr="00F43166">
              <w:rPr>
                <w:rFonts w:asciiTheme="majorBidi" w:hAnsiTheme="majorBidi" w:cstheme="majorBidi"/>
                <w:sz w:val="20"/>
                <w:szCs w:val="20"/>
              </w:rPr>
              <w:t>57% of electronic notes</w:t>
            </w:r>
            <w:r>
              <w:rPr>
                <w:rFonts w:asciiTheme="majorBidi" w:hAnsiTheme="majorBidi" w:cstheme="majorBidi"/>
                <w:sz w:val="20"/>
                <w:szCs w:val="20"/>
              </w:rPr>
              <w:t xml:space="preserve"> about renal insufficiency </w:t>
            </w:r>
            <w:r w:rsidRPr="00F43166">
              <w:rPr>
                <w:rFonts w:asciiTheme="majorBidi" w:hAnsiTheme="majorBidi" w:cstheme="majorBidi"/>
                <w:sz w:val="20"/>
                <w:szCs w:val="20"/>
              </w:rPr>
              <w:t>were sent for direct oral anticoagulants (DOACs</w:t>
            </w:r>
            <w:r>
              <w:rPr>
                <w:rFonts w:asciiTheme="majorBidi" w:hAnsiTheme="majorBidi" w:cstheme="majorBidi"/>
                <w:sz w:val="20"/>
                <w:szCs w:val="20"/>
              </w:rPr>
              <w:t>).</w:t>
            </w:r>
          </w:p>
          <w:p w14:paraId="73A1EC94" w14:textId="0DA836DA" w:rsidR="00B85C9C" w:rsidRPr="008D6755" w:rsidRDefault="00B85C9C">
            <w:pPr>
              <w:rPr>
                <w:rFonts w:asciiTheme="majorBidi" w:hAnsiTheme="majorBidi" w:cstheme="majorBidi"/>
                <w:sz w:val="20"/>
                <w:szCs w:val="20"/>
              </w:rPr>
            </w:pPr>
            <w:r w:rsidRPr="000F7FCC">
              <w:rPr>
                <w:rFonts w:asciiTheme="majorBidi" w:hAnsiTheme="majorBidi" w:cstheme="majorBidi"/>
                <w:sz w:val="20"/>
                <w:szCs w:val="20"/>
              </w:rPr>
              <w:t xml:space="preserve">69% </w:t>
            </w:r>
            <w:r>
              <w:rPr>
                <w:rFonts w:asciiTheme="majorBidi" w:hAnsiTheme="majorBidi" w:cstheme="majorBidi"/>
                <w:sz w:val="20"/>
                <w:szCs w:val="20"/>
              </w:rPr>
              <w:t xml:space="preserve">of actions </w:t>
            </w:r>
            <w:r w:rsidRPr="000F7FCC">
              <w:rPr>
                <w:rFonts w:asciiTheme="majorBidi" w:hAnsiTheme="majorBidi" w:cstheme="majorBidi"/>
                <w:sz w:val="20"/>
                <w:szCs w:val="20"/>
              </w:rPr>
              <w:t>were accepted by physicians.</w:t>
            </w:r>
          </w:p>
        </w:tc>
        <w:tc>
          <w:tcPr>
            <w:tcW w:w="1541" w:type="dxa"/>
          </w:tcPr>
          <w:p w14:paraId="25FDE2ED"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retrospective, observational, no comparator</w:t>
            </w:r>
          </w:p>
        </w:tc>
      </w:tr>
      <w:tr w:rsidR="00B85C9C" w:rsidRPr="008D6755" w14:paraId="77D6B75E" w14:textId="77777777" w:rsidTr="00CA6F03">
        <w:tc>
          <w:tcPr>
            <w:tcW w:w="1783" w:type="dxa"/>
          </w:tcPr>
          <w:p w14:paraId="0A1D56BF"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Quintens</w:t>
            </w:r>
            <w:proofErr w:type="spellEnd"/>
            <w:r>
              <w:rPr>
                <w:rFonts w:asciiTheme="majorBidi" w:hAnsiTheme="majorBidi" w:cstheme="majorBidi"/>
                <w:sz w:val="20"/>
                <w:szCs w:val="20"/>
              </w:rPr>
              <w:t xml:space="preserve"> et al 2022</w:t>
            </w:r>
          </w:p>
          <w:p w14:paraId="22958447" w14:textId="7AC42363" w:rsidR="00B85C9C" w:rsidRPr="008D6755" w:rsidRDefault="00B85C9C" w:rsidP="00CA6F03">
            <w:pPr>
              <w:rPr>
                <w:rFonts w:asciiTheme="majorBidi" w:hAnsiTheme="majorBidi" w:cstheme="majorBidi"/>
                <w:sz w:val="20"/>
                <w:szCs w:val="20"/>
              </w:rPr>
            </w:pPr>
          </w:p>
        </w:tc>
        <w:tc>
          <w:tcPr>
            <w:tcW w:w="1638" w:type="dxa"/>
          </w:tcPr>
          <w:p w14:paraId="5D0055AF" w14:textId="77777777" w:rsidR="00B85C9C" w:rsidRPr="00F728FB" w:rsidRDefault="00B85C9C" w:rsidP="00CA6F03">
            <w:pPr>
              <w:rPr>
                <w:rFonts w:asciiTheme="majorBidi" w:hAnsiTheme="majorBidi" w:cstheme="majorBidi"/>
                <w:sz w:val="20"/>
                <w:szCs w:val="20"/>
              </w:rPr>
            </w:pPr>
            <w:r>
              <w:rPr>
                <w:rFonts w:asciiTheme="majorBidi" w:hAnsiTheme="majorBidi" w:cstheme="majorBidi"/>
                <w:sz w:val="20"/>
                <w:szCs w:val="20"/>
              </w:rPr>
              <w:t>B</w:t>
            </w:r>
            <w:r w:rsidRPr="00F728FB">
              <w:rPr>
                <w:rFonts w:asciiTheme="majorBidi" w:hAnsiTheme="majorBidi" w:cstheme="majorBidi"/>
                <w:sz w:val="20"/>
                <w:szCs w:val="20"/>
              </w:rPr>
              <w:t>efore and after</w:t>
            </w:r>
          </w:p>
          <w:p w14:paraId="70E3F5C2" w14:textId="77777777" w:rsidR="00B85C9C" w:rsidRPr="008D6755" w:rsidRDefault="00B85C9C" w:rsidP="00CA6F03">
            <w:pPr>
              <w:rPr>
                <w:rFonts w:asciiTheme="majorBidi" w:hAnsiTheme="majorBidi" w:cstheme="majorBidi"/>
                <w:sz w:val="20"/>
                <w:szCs w:val="20"/>
              </w:rPr>
            </w:pPr>
            <w:r w:rsidRPr="00F728FB">
              <w:rPr>
                <w:rFonts w:asciiTheme="majorBidi" w:hAnsiTheme="majorBidi" w:cstheme="majorBidi"/>
                <w:sz w:val="20"/>
                <w:szCs w:val="20"/>
              </w:rPr>
              <w:t>implementation</w:t>
            </w:r>
            <w:r>
              <w:rPr>
                <w:rFonts w:asciiTheme="majorBidi" w:hAnsiTheme="majorBidi" w:cstheme="majorBidi"/>
                <w:sz w:val="20"/>
                <w:szCs w:val="20"/>
              </w:rPr>
              <w:t>,</w:t>
            </w:r>
            <w:r w:rsidRPr="00F728FB">
              <w:rPr>
                <w:rFonts w:asciiTheme="majorBidi" w:hAnsiTheme="majorBidi" w:cstheme="majorBidi"/>
                <w:sz w:val="20"/>
                <w:szCs w:val="20"/>
              </w:rPr>
              <w:t xml:space="preserve"> quasi</w:t>
            </w:r>
            <w:r>
              <w:rPr>
                <w:rFonts w:asciiTheme="majorBidi" w:hAnsiTheme="majorBidi" w:cstheme="majorBidi"/>
                <w:sz w:val="20"/>
                <w:szCs w:val="20"/>
              </w:rPr>
              <w:t>-</w:t>
            </w:r>
            <w:r w:rsidRPr="00F728FB">
              <w:rPr>
                <w:rFonts w:asciiTheme="majorBidi" w:hAnsiTheme="majorBidi" w:cstheme="majorBidi"/>
                <w:sz w:val="20"/>
                <w:szCs w:val="20"/>
              </w:rPr>
              <w:t>experimental interrupted time series</w:t>
            </w:r>
            <w:r>
              <w:rPr>
                <w:rFonts w:asciiTheme="majorBidi" w:hAnsiTheme="majorBidi" w:cstheme="majorBidi"/>
                <w:sz w:val="20"/>
                <w:szCs w:val="20"/>
              </w:rPr>
              <w:t xml:space="preserve"> </w:t>
            </w:r>
            <w:r w:rsidRPr="00F728FB">
              <w:rPr>
                <w:rFonts w:asciiTheme="majorBidi" w:hAnsiTheme="majorBidi" w:cstheme="majorBidi"/>
                <w:sz w:val="20"/>
                <w:szCs w:val="20"/>
              </w:rPr>
              <w:t>analysis</w:t>
            </w:r>
          </w:p>
        </w:tc>
        <w:tc>
          <w:tcPr>
            <w:tcW w:w="1678" w:type="dxa"/>
          </w:tcPr>
          <w:p w14:paraId="745815D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Belgium, non-critically ill inpatients </w:t>
            </w:r>
          </w:p>
        </w:tc>
        <w:tc>
          <w:tcPr>
            <w:tcW w:w="2699" w:type="dxa"/>
          </w:tcPr>
          <w:p w14:paraId="724B2821"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C</w:t>
            </w:r>
            <w:r w:rsidRPr="006F54DC">
              <w:rPr>
                <w:rFonts w:asciiTheme="majorBidi" w:hAnsiTheme="majorBidi" w:cstheme="majorBidi"/>
                <w:sz w:val="20"/>
                <w:szCs w:val="20"/>
              </w:rPr>
              <w:t>linical decision rules</w:t>
            </w:r>
            <w:r>
              <w:rPr>
                <w:rFonts w:asciiTheme="majorBidi" w:hAnsiTheme="majorBidi" w:cstheme="majorBidi"/>
                <w:sz w:val="20"/>
                <w:szCs w:val="20"/>
              </w:rPr>
              <w:t xml:space="preserve"> (implemented in electronic system)</w:t>
            </w:r>
            <w:r w:rsidRPr="006F54DC">
              <w:rPr>
                <w:rFonts w:asciiTheme="majorBidi" w:hAnsiTheme="majorBidi" w:cstheme="majorBidi"/>
                <w:sz w:val="20"/>
                <w:szCs w:val="20"/>
              </w:rPr>
              <w:t xml:space="preserve"> to promote judicious medication use</w:t>
            </w:r>
            <w:r>
              <w:rPr>
                <w:rFonts w:asciiTheme="majorBidi" w:hAnsiTheme="majorBidi" w:cstheme="majorBidi"/>
                <w:sz w:val="20"/>
                <w:szCs w:val="20"/>
              </w:rPr>
              <w:t>:</w:t>
            </w:r>
            <w:r w:rsidRPr="006F54DC">
              <w:rPr>
                <w:rFonts w:asciiTheme="majorBidi" w:hAnsiTheme="majorBidi" w:cstheme="majorBidi"/>
                <w:sz w:val="20"/>
                <w:szCs w:val="20"/>
              </w:rPr>
              <w:t xml:space="preserve"> ‘Check of Medication Appropriateness’ (CMA</w:t>
            </w:r>
            <w:r>
              <w:rPr>
                <w:rFonts w:asciiTheme="majorBidi" w:hAnsiTheme="majorBidi" w:cstheme="majorBidi"/>
                <w:sz w:val="20"/>
                <w:szCs w:val="20"/>
              </w:rPr>
              <w:t>),</w:t>
            </w:r>
            <w:r w:rsidRPr="006F54DC">
              <w:rPr>
                <w:rFonts w:asciiTheme="majorBidi" w:hAnsiTheme="majorBidi" w:cstheme="majorBidi"/>
                <w:sz w:val="20"/>
                <w:szCs w:val="20"/>
              </w:rPr>
              <w:t xml:space="preserve"> </w:t>
            </w:r>
            <w:r w:rsidRPr="006F54DC">
              <w:rPr>
                <w:rFonts w:asciiTheme="majorBidi" w:hAnsiTheme="majorBidi" w:cstheme="majorBidi"/>
                <w:b/>
                <w:bCs/>
                <w:sz w:val="20"/>
                <w:szCs w:val="20"/>
              </w:rPr>
              <w:t>a pharmacist</w:t>
            </w:r>
            <w:r w:rsidRPr="00D72F6C">
              <w:rPr>
                <w:rFonts w:asciiTheme="majorBidi" w:hAnsiTheme="majorBidi" w:cstheme="majorBidi"/>
                <w:b/>
                <w:bCs/>
                <w:sz w:val="20"/>
                <w:szCs w:val="20"/>
              </w:rPr>
              <w:t xml:space="preserve"> </w:t>
            </w:r>
            <w:r w:rsidRPr="006F54DC">
              <w:rPr>
                <w:rFonts w:asciiTheme="majorBidi" w:hAnsiTheme="majorBidi" w:cstheme="majorBidi"/>
                <w:b/>
                <w:bCs/>
                <w:sz w:val="20"/>
                <w:szCs w:val="20"/>
              </w:rPr>
              <w:t>led</w:t>
            </w:r>
            <w:r w:rsidRPr="00D72F6C">
              <w:rPr>
                <w:rFonts w:asciiTheme="majorBidi" w:hAnsiTheme="majorBidi" w:cstheme="majorBidi"/>
                <w:b/>
                <w:bCs/>
                <w:sz w:val="20"/>
                <w:szCs w:val="20"/>
              </w:rPr>
              <w:t xml:space="preserve"> review service, targeting potentially inappropriate prescriptions</w:t>
            </w:r>
            <w:r w:rsidRPr="006F54DC">
              <w:rPr>
                <w:rFonts w:asciiTheme="majorBidi" w:hAnsiTheme="majorBidi" w:cstheme="majorBidi"/>
                <w:sz w:val="20"/>
                <w:szCs w:val="20"/>
              </w:rPr>
              <w:t xml:space="preserve"> (PIPs)</w:t>
            </w:r>
            <w:r>
              <w:rPr>
                <w:rFonts w:asciiTheme="majorBidi" w:hAnsiTheme="majorBidi" w:cstheme="majorBidi"/>
                <w:sz w:val="20"/>
                <w:szCs w:val="20"/>
              </w:rPr>
              <w:t xml:space="preserve">, including anticoagulants, </w:t>
            </w:r>
            <w:r w:rsidRPr="00D72F6C">
              <w:rPr>
                <w:rFonts w:asciiTheme="majorBidi" w:hAnsiTheme="majorBidi" w:cstheme="majorBidi"/>
                <w:sz w:val="20"/>
                <w:szCs w:val="20"/>
              </w:rPr>
              <w:t>comprising 13 clinical rules pertaining to anticoagulation therapies</w:t>
            </w:r>
            <w:r>
              <w:rPr>
                <w:rFonts w:asciiTheme="majorBidi" w:hAnsiTheme="majorBidi" w:cstheme="majorBidi"/>
                <w:sz w:val="20"/>
                <w:szCs w:val="20"/>
              </w:rPr>
              <w:t xml:space="preserve"> (Table 3 in </w:t>
            </w:r>
            <w:proofErr w:type="spellStart"/>
            <w:r>
              <w:rPr>
                <w:rFonts w:asciiTheme="majorBidi" w:hAnsiTheme="majorBidi" w:cstheme="majorBidi"/>
                <w:sz w:val="20"/>
                <w:szCs w:val="20"/>
              </w:rPr>
              <w:t>Quintens</w:t>
            </w:r>
            <w:proofErr w:type="spellEnd"/>
            <w:r>
              <w:rPr>
                <w:rFonts w:asciiTheme="majorBidi" w:hAnsiTheme="majorBidi" w:cstheme="majorBidi"/>
                <w:sz w:val="20"/>
                <w:szCs w:val="20"/>
              </w:rPr>
              <w:t xml:space="preserve"> et al 2022 displays the rules).</w:t>
            </w:r>
          </w:p>
          <w:p w14:paraId="484F7565" w14:textId="77777777" w:rsidR="00B85C9C" w:rsidRPr="008D6755" w:rsidRDefault="00B85C9C" w:rsidP="00CA6F03">
            <w:pPr>
              <w:rPr>
                <w:rFonts w:asciiTheme="majorBidi" w:hAnsiTheme="majorBidi" w:cstheme="majorBidi"/>
                <w:sz w:val="20"/>
                <w:szCs w:val="20"/>
              </w:rPr>
            </w:pPr>
          </w:p>
        </w:tc>
        <w:tc>
          <w:tcPr>
            <w:tcW w:w="1472" w:type="dxa"/>
          </w:tcPr>
          <w:p w14:paraId="2B5783D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w:t>
            </w:r>
          </w:p>
        </w:tc>
        <w:tc>
          <w:tcPr>
            <w:tcW w:w="3139" w:type="dxa"/>
          </w:tcPr>
          <w:p w14:paraId="57691137" w14:textId="77777777" w:rsidR="00B85C9C" w:rsidRPr="00D72F6C" w:rsidRDefault="00B85C9C" w:rsidP="00CA6F03">
            <w:pPr>
              <w:rPr>
                <w:rFonts w:asciiTheme="majorBidi" w:hAnsiTheme="majorBidi" w:cstheme="majorBidi"/>
                <w:sz w:val="20"/>
                <w:szCs w:val="20"/>
              </w:rPr>
            </w:pPr>
            <w:r w:rsidRPr="00D72F6C">
              <w:rPr>
                <w:rFonts w:asciiTheme="majorBidi" w:hAnsiTheme="majorBidi" w:cstheme="majorBidi"/>
                <w:sz w:val="20"/>
                <w:szCs w:val="20"/>
              </w:rPr>
              <w:t>Pre-implementation, 501 PIPs in 466 inpatients on 36 days,</w:t>
            </w:r>
            <w:r>
              <w:rPr>
                <w:rFonts w:asciiTheme="majorBidi" w:hAnsiTheme="majorBidi" w:cstheme="majorBidi"/>
                <w:sz w:val="20"/>
                <w:szCs w:val="20"/>
              </w:rPr>
              <w:t xml:space="preserve"> </w:t>
            </w:r>
            <w:r w:rsidRPr="00D72F6C">
              <w:rPr>
                <w:rFonts w:asciiTheme="majorBidi" w:hAnsiTheme="majorBidi" w:cstheme="majorBidi"/>
                <w:sz w:val="20"/>
                <w:szCs w:val="20"/>
              </w:rPr>
              <w:t>with a median proportion of 78.5% (range: 46.2%–100%) residual PIPs per day.</w:t>
            </w:r>
            <w:r>
              <w:rPr>
                <w:rFonts w:asciiTheme="majorBidi" w:hAnsiTheme="majorBidi" w:cstheme="majorBidi"/>
                <w:sz w:val="20"/>
                <w:szCs w:val="20"/>
              </w:rPr>
              <w:t xml:space="preserve"> Most frequently in geriatrics. </w:t>
            </w:r>
            <w:r w:rsidRPr="00D72F6C">
              <w:rPr>
                <w:rFonts w:asciiTheme="majorBidi" w:hAnsiTheme="majorBidi" w:cstheme="majorBidi"/>
                <w:sz w:val="20"/>
                <w:szCs w:val="20"/>
              </w:rPr>
              <w:t>Postimplementation</w:t>
            </w:r>
            <w:r>
              <w:rPr>
                <w:rFonts w:asciiTheme="majorBidi" w:hAnsiTheme="majorBidi" w:cstheme="majorBidi"/>
                <w:sz w:val="20"/>
                <w:szCs w:val="20"/>
              </w:rPr>
              <w:t xml:space="preserve"> (36 days)</w:t>
            </w:r>
            <w:r w:rsidRPr="00D72F6C">
              <w:rPr>
                <w:rFonts w:asciiTheme="majorBidi" w:hAnsiTheme="majorBidi" w:cstheme="majorBidi"/>
                <w:sz w:val="20"/>
                <w:szCs w:val="20"/>
              </w:rPr>
              <w:t>,</w:t>
            </w:r>
          </w:p>
          <w:p w14:paraId="74C64378" w14:textId="77777777" w:rsidR="00B85C9C" w:rsidRDefault="00B85C9C" w:rsidP="00CA6F03">
            <w:pPr>
              <w:rPr>
                <w:rFonts w:asciiTheme="majorBidi" w:hAnsiTheme="majorBidi" w:cstheme="majorBidi"/>
                <w:sz w:val="20"/>
                <w:szCs w:val="20"/>
              </w:rPr>
            </w:pPr>
            <w:r w:rsidRPr="00D72F6C">
              <w:rPr>
                <w:rFonts w:asciiTheme="majorBidi" w:hAnsiTheme="majorBidi" w:cstheme="majorBidi"/>
                <w:sz w:val="20"/>
                <w:szCs w:val="20"/>
              </w:rPr>
              <w:t>538 PIPs were detected in 485 patients over the same number of</w:t>
            </w:r>
            <w:r>
              <w:rPr>
                <w:rFonts w:asciiTheme="majorBidi" w:hAnsiTheme="majorBidi" w:cstheme="majorBidi"/>
                <w:sz w:val="20"/>
                <w:szCs w:val="20"/>
              </w:rPr>
              <w:t xml:space="preserve"> </w:t>
            </w:r>
            <w:r w:rsidRPr="00D72F6C">
              <w:rPr>
                <w:rFonts w:asciiTheme="majorBidi" w:hAnsiTheme="majorBidi" w:cstheme="majorBidi"/>
                <w:sz w:val="20"/>
                <w:szCs w:val="20"/>
              </w:rPr>
              <w:t xml:space="preserve">days. </w:t>
            </w:r>
          </w:p>
          <w:p w14:paraId="75174049" w14:textId="77777777" w:rsidR="00B85C9C" w:rsidRDefault="00B85C9C" w:rsidP="00CA6F03">
            <w:pPr>
              <w:rPr>
                <w:rFonts w:asciiTheme="majorBidi" w:hAnsiTheme="majorBidi" w:cstheme="majorBidi"/>
                <w:sz w:val="20"/>
                <w:szCs w:val="20"/>
              </w:rPr>
            </w:pPr>
            <w:r w:rsidRPr="00D72F6C">
              <w:rPr>
                <w:rFonts w:asciiTheme="majorBidi" w:hAnsiTheme="majorBidi" w:cstheme="majorBidi"/>
                <w:sz w:val="20"/>
                <w:szCs w:val="20"/>
              </w:rPr>
              <w:t>The CMA intervention reduced the median proportion to 18.2% (range:</w:t>
            </w:r>
            <w:r>
              <w:rPr>
                <w:rFonts w:asciiTheme="majorBidi" w:hAnsiTheme="majorBidi" w:cstheme="majorBidi"/>
                <w:sz w:val="20"/>
                <w:szCs w:val="20"/>
              </w:rPr>
              <w:t xml:space="preserve"> </w:t>
            </w:r>
            <w:r w:rsidRPr="00D72F6C">
              <w:rPr>
                <w:rFonts w:asciiTheme="majorBidi" w:hAnsiTheme="majorBidi" w:cstheme="majorBidi"/>
                <w:sz w:val="20"/>
                <w:szCs w:val="20"/>
              </w:rPr>
              <w:t xml:space="preserve">0–100%) per day. The effect coincided with </w:t>
            </w:r>
            <w:r w:rsidRPr="00D72F6C">
              <w:rPr>
                <w:rFonts w:asciiTheme="majorBidi" w:hAnsiTheme="majorBidi" w:cstheme="majorBidi"/>
                <w:b/>
                <w:bCs/>
                <w:sz w:val="20"/>
                <w:szCs w:val="20"/>
              </w:rPr>
              <w:t>an immediate relative reduction of 70%</w:t>
            </w:r>
            <w:r w:rsidRPr="00FF18CD">
              <w:rPr>
                <w:rFonts w:asciiTheme="majorBidi" w:hAnsiTheme="majorBidi" w:cstheme="majorBidi"/>
                <w:b/>
                <w:bCs/>
                <w:sz w:val="20"/>
                <w:szCs w:val="20"/>
              </w:rPr>
              <w:t xml:space="preserve"> </w:t>
            </w:r>
            <w:r w:rsidRPr="00D72F6C">
              <w:rPr>
                <w:rFonts w:asciiTheme="majorBidi" w:hAnsiTheme="majorBidi" w:cstheme="majorBidi"/>
                <w:b/>
                <w:bCs/>
                <w:sz w:val="20"/>
                <w:szCs w:val="20"/>
              </w:rPr>
              <w:t>(95%CI 0.19–0.46) in anticoagulant-related residual PIPs</w:t>
            </w:r>
            <w:r w:rsidRPr="00D72F6C">
              <w:rPr>
                <w:rFonts w:asciiTheme="majorBidi" w:hAnsiTheme="majorBidi" w:cstheme="majorBidi"/>
                <w:sz w:val="20"/>
                <w:szCs w:val="20"/>
              </w:rPr>
              <w:t xml:space="preserve">. </w:t>
            </w:r>
          </w:p>
          <w:p w14:paraId="180A2DBA"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In observational study across 2-years </w:t>
            </w:r>
            <w:r w:rsidRPr="00A3727A">
              <w:rPr>
                <w:rFonts w:asciiTheme="majorBidi" w:hAnsiTheme="majorBidi" w:cstheme="majorBidi"/>
                <w:b/>
                <w:bCs/>
                <w:sz w:val="20"/>
                <w:szCs w:val="20"/>
              </w:rPr>
              <w:t>p</w:t>
            </w:r>
            <w:r w:rsidRPr="00D72F6C">
              <w:rPr>
                <w:rFonts w:asciiTheme="majorBidi" w:hAnsiTheme="majorBidi" w:cstheme="majorBidi"/>
                <w:b/>
                <w:bCs/>
                <w:sz w:val="20"/>
                <w:szCs w:val="20"/>
              </w:rPr>
              <w:t>ost-implementation, 2778 recommendations were provided and 75.1% were accepted</w:t>
            </w:r>
          </w:p>
        </w:tc>
        <w:tc>
          <w:tcPr>
            <w:tcW w:w="1541" w:type="dxa"/>
          </w:tcPr>
          <w:p w14:paraId="5989002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to moderate quality, pre-/post- study, with 2 years additional follow-up</w:t>
            </w:r>
          </w:p>
        </w:tc>
      </w:tr>
      <w:tr w:rsidR="00B85C9C" w:rsidRPr="008D6755" w14:paraId="7B71DFE6" w14:textId="77777777" w:rsidTr="00CA6F03">
        <w:tc>
          <w:tcPr>
            <w:tcW w:w="1783" w:type="dxa"/>
          </w:tcPr>
          <w:p w14:paraId="034598F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Ibanez-Garcia et al 2019</w:t>
            </w:r>
          </w:p>
          <w:p w14:paraId="200B2E41" w14:textId="518E7E41" w:rsidR="00B85C9C" w:rsidRPr="00D52BD9" w:rsidRDefault="00B85C9C" w:rsidP="00CA6F03">
            <w:pPr>
              <w:rPr>
                <w:rFonts w:asciiTheme="majorBidi" w:hAnsiTheme="majorBidi" w:cstheme="majorBidi"/>
                <w:sz w:val="20"/>
                <w:szCs w:val="20"/>
              </w:rPr>
            </w:pPr>
          </w:p>
        </w:tc>
        <w:tc>
          <w:tcPr>
            <w:tcW w:w="1638" w:type="dxa"/>
          </w:tcPr>
          <w:p w14:paraId="67FA2F42" w14:textId="77777777" w:rsidR="00B85C9C" w:rsidRPr="00BF4A95" w:rsidRDefault="00B85C9C" w:rsidP="00CA6F03">
            <w:pPr>
              <w:rPr>
                <w:rFonts w:asciiTheme="majorBidi" w:hAnsiTheme="majorBidi" w:cstheme="majorBidi"/>
                <w:sz w:val="20"/>
                <w:szCs w:val="20"/>
              </w:rPr>
            </w:pPr>
            <w:r w:rsidRPr="00BF4A95">
              <w:rPr>
                <w:rFonts w:asciiTheme="majorBidi" w:hAnsiTheme="majorBidi" w:cstheme="majorBidi"/>
                <w:sz w:val="20"/>
                <w:szCs w:val="20"/>
              </w:rPr>
              <w:t>6-month</w:t>
            </w:r>
            <w:r>
              <w:rPr>
                <w:rFonts w:asciiTheme="majorBidi" w:hAnsiTheme="majorBidi" w:cstheme="majorBidi"/>
                <w:sz w:val="20"/>
                <w:szCs w:val="20"/>
              </w:rPr>
              <w:t xml:space="preserve">, single centre (1,300 bed tertiary), </w:t>
            </w:r>
            <w:r w:rsidRPr="00BF4A95">
              <w:rPr>
                <w:rFonts w:asciiTheme="majorBidi" w:hAnsiTheme="majorBidi" w:cstheme="majorBidi"/>
                <w:sz w:val="20"/>
                <w:szCs w:val="20"/>
              </w:rPr>
              <w:t>observational</w:t>
            </w:r>
          </w:p>
          <w:p w14:paraId="03F3D7F0" w14:textId="77777777" w:rsidR="00B85C9C" w:rsidRDefault="00B85C9C" w:rsidP="00CA6F03">
            <w:pPr>
              <w:rPr>
                <w:rFonts w:asciiTheme="majorBidi" w:hAnsiTheme="majorBidi" w:cstheme="majorBidi"/>
                <w:sz w:val="20"/>
                <w:szCs w:val="20"/>
              </w:rPr>
            </w:pPr>
            <w:r w:rsidRPr="00BF4A95">
              <w:rPr>
                <w:rFonts w:asciiTheme="majorBidi" w:hAnsiTheme="majorBidi" w:cstheme="majorBidi"/>
                <w:sz w:val="20"/>
                <w:szCs w:val="20"/>
              </w:rPr>
              <w:t>prospective study</w:t>
            </w:r>
          </w:p>
          <w:p w14:paraId="3CAFC750" w14:textId="77777777" w:rsidR="00B85C9C" w:rsidRDefault="00B85C9C" w:rsidP="00CA6F03">
            <w:pPr>
              <w:rPr>
                <w:rFonts w:asciiTheme="majorBidi" w:hAnsiTheme="majorBidi" w:cstheme="majorBidi"/>
                <w:sz w:val="20"/>
                <w:szCs w:val="20"/>
              </w:rPr>
            </w:pPr>
          </w:p>
        </w:tc>
        <w:tc>
          <w:tcPr>
            <w:tcW w:w="1678" w:type="dxa"/>
          </w:tcPr>
          <w:p w14:paraId="3E7E199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Inpatients whose prescriptions violate one of 211 clinical rules </w:t>
            </w:r>
          </w:p>
        </w:tc>
        <w:tc>
          <w:tcPr>
            <w:tcW w:w="2699" w:type="dxa"/>
          </w:tcPr>
          <w:p w14:paraId="06A85AF3" w14:textId="77777777" w:rsidR="00B85C9C" w:rsidRPr="00BF4A95" w:rsidRDefault="00B85C9C" w:rsidP="00CA6F03">
            <w:pPr>
              <w:rPr>
                <w:rFonts w:asciiTheme="majorBidi" w:hAnsiTheme="majorBidi" w:cstheme="majorBidi"/>
                <w:sz w:val="20"/>
                <w:szCs w:val="20"/>
              </w:rPr>
            </w:pPr>
            <w:r w:rsidRPr="00087D73">
              <w:rPr>
                <w:rFonts w:asciiTheme="majorBidi" w:hAnsiTheme="majorBidi" w:cstheme="majorBidi"/>
                <w:b/>
                <w:bCs/>
                <w:sz w:val="20"/>
                <w:szCs w:val="20"/>
              </w:rPr>
              <w:t>CDSS (HIGEA), which generates alerts based on predefined clinical rules</w:t>
            </w:r>
            <w:r w:rsidRPr="00BF4A95">
              <w:rPr>
                <w:rFonts w:asciiTheme="majorBidi" w:hAnsiTheme="majorBidi" w:cstheme="majorBidi"/>
                <w:sz w:val="20"/>
                <w:szCs w:val="20"/>
              </w:rPr>
              <w:t xml:space="preserve"> to</w:t>
            </w:r>
          </w:p>
          <w:p w14:paraId="03B5CC63" w14:textId="77777777" w:rsidR="00B85C9C" w:rsidRDefault="00B85C9C" w:rsidP="00CA6F03">
            <w:pPr>
              <w:rPr>
                <w:rFonts w:asciiTheme="majorBidi" w:hAnsiTheme="majorBidi" w:cstheme="majorBidi"/>
                <w:sz w:val="20"/>
                <w:szCs w:val="20"/>
              </w:rPr>
            </w:pPr>
            <w:r w:rsidRPr="00BF4A95">
              <w:rPr>
                <w:rFonts w:asciiTheme="majorBidi" w:hAnsiTheme="majorBidi" w:cstheme="majorBidi"/>
                <w:sz w:val="20"/>
                <w:szCs w:val="20"/>
              </w:rPr>
              <w:t>identify patients at risk of an ADE.</w:t>
            </w:r>
            <w:r>
              <w:rPr>
                <w:rFonts w:asciiTheme="majorBidi" w:hAnsiTheme="majorBidi" w:cstheme="majorBidi"/>
                <w:sz w:val="20"/>
                <w:szCs w:val="20"/>
              </w:rPr>
              <w:t xml:space="preserve"> Specialist pharmacists review all alerts. </w:t>
            </w:r>
          </w:p>
          <w:p w14:paraId="706E969A" w14:textId="77777777" w:rsidR="00B85C9C" w:rsidRPr="008D6755" w:rsidRDefault="00B85C9C" w:rsidP="00CA6F03">
            <w:pPr>
              <w:rPr>
                <w:rFonts w:asciiTheme="majorBidi" w:hAnsiTheme="majorBidi" w:cstheme="majorBidi"/>
                <w:sz w:val="20"/>
                <w:szCs w:val="20"/>
              </w:rPr>
            </w:pPr>
          </w:p>
        </w:tc>
        <w:tc>
          <w:tcPr>
            <w:tcW w:w="1472" w:type="dxa"/>
          </w:tcPr>
          <w:p w14:paraId="5D948B5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26B1F93F" w14:textId="77777777" w:rsidR="00B85C9C" w:rsidRDefault="00B85C9C" w:rsidP="00CA6F03">
            <w:pPr>
              <w:rPr>
                <w:rFonts w:asciiTheme="majorBidi" w:hAnsiTheme="majorBidi" w:cstheme="majorBidi"/>
                <w:sz w:val="20"/>
                <w:szCs w:val="20"/>
              </w:rPr>
            </w:pPr>
            <w:r w:rsidRPr="00993632">
              <w:rPr>
                <w:rFonts w:asciiTheme="majorBidi" w:hAnsiTheme="majorBidi" w:cstheme="majorBidi"/>
                <w:sz w:val="20"/>
                <w:szCs w:val="20"/>
              </w:rPr>
              <w:t>HIGEA</w:t>
            </w:r>
            <w:r>
              <w:rPr>
                <w:rFonts w:asciiTheme="majorBidi" w:hAnsiTheme="majorBidi" w:cstheme="majorBidi"/>
                <w:sz w:val="20"/>
                <w:szCs w:val="20"/>
              </w:rPr>
              <w:t xml:space="preserve"> </w:t>
            </w:r>
            <w:r w:rsidRPr="00993632">
              <w:rPr>
                <w:rFonts w:asciiTheme="majorBidi" w:hAnsiTheme="majorBidi" w:cstheme="majorBidi"/>
                <w:sz w:val="20"/>
                <w:szCs w:val="20"/>
              </w:rPr>
              <w:t>generated 1,086 alerts (8.9 alerts per working day), which were reviewed by</w:t>
            </w:r>
            <w:r>
              <w:rPr>
                <w:rFonts w:asciiTheme="majorBidi" w:hAnsiTheme="majorBidi" w:cstheme="majorBidi"/>
                <w:sz w:val="20"/>
                <w:szCs w:val="20"/>
              </w:rPr>
              <w:t xml:space="preserve"> </w:t>
            </w:r>
            <w:r w:rsidRPr="00993632">
              <w:rPr>
                <w:rFonts w:asciiTheme="majorBidi" w:hAnsiTheme="majorBidi" w:cstheme="majorBidi"/>
                <w:sz w:val="20"/>
                <w:szCs w:val="20"/>
              </w:rPr>
              <w:t xml:space="preserve">pharmacists. </w:t>
            </w:r>
            <w:r w:rsidRPr="00993632">
              <w:rPr>
                <w:rFonts w:asciiTheme="majorBidi" w:hAnsiTheme="majorBidi" w:cstheme="majorBidi"/>
                <w:b/>
                <w:bCs/>
                <w:sz w:val="20"/>
                <w:szCs w:val="20"/>
              </w:rPr>
              <w:t>Fifty-one percent (554/1,086) of alerts generated an intervention to</w:t>
            </w:r>
            <w:r w:rsidRPr="00087D73">
              <w:rPr>
                <w:rFonts w:asciiTheme="majorBidi" w:hAnsiTheme="majorBidi" w:cstheme="majorBidi"/>
                <w:b/>
                <w:bCs/>
                <w:sz w:val="20"/>
                <w:szCs w:val="20"/>
              </w:rPr>
              <w:t xml:space="preserve"> </w:t>
            </w:r>
            <w:r w:rsidRPr="00993632">
              <w:rPr>
                <w:rFonts w:asciiTheme="majorBidi" w:hAnsiTheme="majorBidi" w:cstheme="majorBidi"/>
                <w:b/>
                <w:bCs/>
                <w:sz w:val="20"/>
                <w:szCs w:val="20"/>
              </w:rPr>
              <w:t>prevent a possible ADE</w:t>
            </w:r>
            <w:r w:rsidRPr="00993632">
              <w:rPr>
                <w:rFonts w:asciiTheme="majorBidi" w:hAnsiTheme="majorBidi" w:cstheme="majorBidi"/>
                <w:sz w:val="20"/>
                <w:szCs w:val="20"/>
              </w:rPr>
              <w:t>; of these, 66% (368/554) required a documented modification</w:t>
            </w:r>
            <w:r>
              <w:rPr>
                <w:rFonts w:asciiTheme="majorBidi" w:hAnsiTheme="majorBidi" w:cstheme="majorBidi"/>
                <w:sz w:val="20"/>
                <w:szCs w:val="20"/>
              </w:rPr>
              <w:t xml:space="preserve"> </w:t>
            </w:r>
            <w:r w:rsidRPr="00993632">
              <w:rPr>
                <w:rFonts w:asciiTheme="majorBidi" w:hAnsiTheme="majorBidi" w:cstheme="majorBidi"/>
                <w:sz w:val="20"/>
                <w:szCs w:val="20"/>
              </w:rPr>
              <w:t xml:space="preserve">to therapy owing to a real prescription error intercepted. </w:t>
            </w:r>
            <w:r>
              <w:rPr>
                <w:rFonts w:asciiTheme="majorBidi" w:hAnsiTheme="majorBidi" w:cstheme="majorBidi"/>
                <w:sz w:val="20"/>
                <w:szCs w:val="20"/>
              </w:rPr>
              <w:t>T</w:t>
            </w:r>
            <w:r w:rsidRPr="00993632">
              <w:rPr>
                <w:rFonts w:asciiTheme="majorBidi" w:hAnsiTheme="majorBidi" w:cstheme="majorBidi"/>
                <w:sz w:val="20"/>
                <w:szCs w:val="20"/>
              </w:rPr>
              <w:t xml:space="preserve">he highest number of modifications to therapy was </w:t>
            </w:r>
            <w:r>
              <w:rPr>
                <w:rFonts w:asciiTheme="majorBidi" w:hAnsiTheme="majorBidi" w:cstheme="majorBidi"/>
                <w:sz w:val="20"/>
                <w:szCs w:val="20"/>
              </w:rPr>
              <w:t>in</w:t>
            </w:r>
            <w:r w:rsidRPr="00993632">
              <w:rPr>
                <w:rFonts w:asciiTheme="majorBidi" w:hAnsiTheme="majorBidi" w:cstheme="majorBidi"/>
                <w:sz w:val="20"/>
                <w:szCs w:val="20"/>
              </w:rPr>
              <w:t xml:space="preserve"> dose adjustment</w:t>
            </w:r>
            <w:r>
              <w:rPr>
                <w:rFonts w:asciiTheme="majorBidi" w:hAnsiTheme="majorBidi" w:cstheme="majorBidi"/>
                <w:sz w:val="20"/>
                <w:szCs w:val="20"/>
              </w:rPr>
              <w:t xml:space="preserve"> for</w:t>
            </w:r>
            <w:r w:rsidRPr="00993632">
              <w:rPr>
                <w:rFonts w:asciiTheme="majorBidi" w:hAnsiTheme="majorBidi" w:cstheme="majorBidi"/>
                <w:sz w:val="20"/>
                <w:szCs w:val="20"/>
              </w:rPr>
              <w:t xml:space="preserve"> renal impairment program (PPV </w:t>
            </w:r>
            <w:r>
              <w:rPr>
                <w:rFonts w:asciiTheme="majorBidi" w:hAnsiTheme="majorBidi" w:cstheme="majorBidi"/>
                <w:sz w:val="20"/>
                <w:szCs w:val="20"/>
              </w:rPr>
              <w:t>=</w:t>
            </w:r>
            <w:r w:rsidRPr="00993632">
              <w:rPr>
                <w:rFonts w:asciiTheme="majorBidi" w:hAnsiTheme="majorBidi" w:cstheme="majorBidi"/>
                <w:sz w:val="20"/>
                <w:szCs w:val="20"/>
              </w:rPr>
              <w:t xml:space="preserve"> 0.51), followed by the </w:t>
            </w:r>
            <w:r w:rsidRPr="00993632">
              <w:rPr>
                <w:rFonts w:asciiTheme="majorBidi" w:hAnsiTheme="majorBidi" w:cstheme="majorBidi"/>
                <w:b/>
                <w:bCs/>
                <w:sz w:val="20"/>
                <w:szCs w:val="20"/>
              </w:rPr>
              <w:t>adjustment of anticoagulation/</w:t>
            </w:r>
            <w:r w:rsidRPr="00087D73">
              <w:rPr>
                <w:rFonts w:asciiTheme="majorBidi" w:hAnsiTheme="majorBidi" w:cstheme="majorBidi"/>
                <w:b/>
                <w:bCs/>
                <w:sz w:val="20"/>
                <w:szCs w:val="20"/>
              </w:rPr>
              <w:t>antiplatelet therapy program (PPV = 0.24).</w:t>
            </w:r>
          </w:p>
          <w:p w14:paraId="14B3B6AA" w14:textId="77777777" w:rsidR="00B85C9C" w:rsidRDefault="00B85C9C" w:rsidP="00CA6F03">
            <w:pPr>
              <w:rPr>
                <w:rFonts w:asciiTheme="majorBidi" w:hAnsiTheme="majorBidi" w:cstheme="majorBidi"/>
                <w:sz w:val="20"/>
                <w:szCs w:val="20"/>
              </w:rPr>
            </w:pPr>
            <w:r w:rsidRPr="00087D73">
              <w:rPr>
                <w:rFonts w:asciiTheme="majorBidi" w:hAnsiTheme="majorBidi" w:cstheme="majorBidi"/>
                <w:sz w:val="20"/>
                <w:szCs w:val="20"/>
              </w:rPr>
              <w:t xml:space="preserve">HIGEA </w:t>
            </w:r>
            <w:r>
              <w:rPr>
                <w:rFonts w:asciiTheme="majorBidi" w:hAnsiTheme="majorBidi" w:cstheme="majorBidi"/>
                <w:sz w:val="20"/>
                <w:szCs w:val="20"/>
              </w:rPr>
              <w:t>could be</w:t>
            </w:r>
            <w:r w:rsidRPr="00087D73">
              <w:rPr>
                <w:rFonts w:asciiTheme="majorBidi" w:hAnsiTheme="majorBidi" w:cstheme="majorBidi"/>
                <w:sz w:val="20"/>
                <w:szCs w:val="20"/>
              </w:rPr>
              <w:t xml:space="preserve"> highly effective in preventing</w:t>
            </w:r>
            <w:r>
              <w:rPr>
                <w:rFonts w:asciiTheme="majorBidi" w:hAnsiTheme="majorBidi" w:cstheme="majorBidi"/>
                <w:sz w:val="20"/>
                <w:szCs w:val="20"/>
              </w:rPr>
              <w:t xml:space="preserve"> </w:t>
            </w:r>
            <w:r w:rsidRPr="00087D73">
              <w:rPr>
                <w:rFonts w:asciiTheme="majorBidi" w:hAnsiTheme="majorBidi" w:cstheme="majorBidi"/>
                <w:sz w:val="20"/>
                <w:szCs w:val="20"/>
              </w:rPr>
              <w:t>potential ADEs at the prescription stage</w:t>
            </w:r>
            <w:r>
              <w:rPr>
                <w:rFonts w:asciiTheme="majorBidi" w:hAnsiTheme="majorBidi" w:cstheme="majorBidi"/>
                <w:sz w:val="20"/>
                <w:szCs w:val="20"/>
              </w:rPr>
              <w:t>.</w:t>
            </w:r>
          </w:p>
          <w:p w14:paraId="5A005B24" w14:textId="12C31F0F" w:rsidR="00B85C9C" w:rsidRPr="008D6755" w:rsidRDefault="00B85C9C">
            <w:pPr>
              <w:rPr>
                <w:rFonts w:asciiTheme="majorBidi" w:hAnsiTheme="majorBidi" w:cstheme="majorBidi"/>
                <w:sz w:val="20"/>
                <w:szCs w:val="20"/>
              </w:rPr>
            </w:pPr>
            <w:r w:rsidRPr="00295D1E">
              <w:rPr>
                <w:rFonts w:asciiTheme="majorBidi" w:hAnsiTheme="majorBidi" w:cstheme="majorBidi"/>
                <w:sz w:val="20"/>
                <w:szCs w:val="20"/>
              </w:rPr>
              <w:t>When specialist pharmacists examine the alerts</w:t>
            </w:r>
            <w:r>
              <w:rPr>
                <w:rFonts w:asciiTheme="majorBidi" w:hAnsiTheme="majorBidi" w:cstheme="majorBidi"/>
                <w:sz w:val="20"/>
                <w:szCs w:val="20"/>
              </w:rPr>
              <w:t xml:space="preserve"> </w:t>
            </w:r>
            <w:r w:rsidRPr="00295D1E">
              <w:rPr>
                <w:rFonts w:asciiTheme="majorBidi" w:hAnsiTheme="majorBidi" w:cstheme="majorBidi"/>
                <w:sz w:val="20"/>
                <w:szCs w:val="20"/>
              </w:rPr>
              <w:t xml:space="preserve">generated daily, </w:t>
            </w:r>
            <w:r w:rsidRPr="00295D1E">
              <w:rPr>
                <w:rFonts w:asciiTheme="majorBidi" w:hAnsiTheme="majorBidi" w:cstheme="majorBidi"/>
                <w:b/>
                <w:bCs/>
                <w:sz w:val="20"/>
                <w:szCs w:val="20"/>
              </w:rPr>
              <w:t>the system identifies a large number of potential ADEs that go unnoticed by the physician</w:t>
            </w:r>
            <w:r w:rsidRPr="00295D1E">
              <w:rPr>
                <w:rFonts w:asciiTheme="majorBidi" w:hAnsiTheme="majorBidi" w:cstheme="majorBidi"/>
                <w:sz w:val="20"/>
                <w:szCs w:val="20"/>
              </w:rPr>
              <w:t xml:space="preserve"> and led</w:t>
            </w:r>
            <w:r>
              <w:rPr>
                <w:rFonts w:asciiTheme="majorBidi" w:hAnsiTheme="majorBidi" w:cstheme="majorBidi"/>
                <w:sz w:val="20"/>
                <w:szCs w:val="20"/>
              </w:rPr>
              <w:t xml:space="preserve"> </w:t>
            </w:r>
            <w:r w:rsidRPr="00295D1E">
              <w:rPr>
                <w:rFonts w:asciiTheme="majorBidi" w:hAnsiTheme="majorBidi" w:cstheme="majorBidi"/>
                <w:sz w:val="20"/>
                <w:szCs w:val="20"/>
              </w:rPr>
              <w:t>to a change in the clinician’s decision (368/554;</w:t>
            </w:r>
            <w:r>
              <w:rPr>
                <w:rFonts w:asciiTheme="majorBidi" w:hAnsiTheme="majorBidi" w:cstheme="majorBidi"/>
                <w:sz w:val="20"/>
                <w:szCs w:val="20"/>
              </w:rPr>
              <w:t xml:space="preserve"> </w:t>
            </w:r>
            <w:r w:rsidRPr="00295D1E">
              <w:rPr>
                <w:rFonts w:asciiTheme="majorBidi" w:hAnsiTheme="majorBidi" w:cstheme="majorBidi"/>
                <w:sz w:val="20"/>
                <w:szCs w:val="20"/>
              </w:rPr>
              <w:t>66%)</w:t>
            </w:r>
          </w:p>
        </w:tc>
        <w:tc>
          <w:tcPr>
            <w:tcW w:w="1541" w:type="dxa"/>
          </w:tcPr>
          <w:p w14:paraId="5AB561B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not randomized, no comparator, no outcomes measured. </w:t>
            </w:r>
          </w:p>
        </w:tc>
      </w:tr>
      <w:tr w:rsidR="00B85C9C" w:rsidRPr="008D6755" w14:paraId="71C5561D" w14:textId="77777777" w:rsidTr="00CA6F03">
        <w:tc>
          <w:tcPr>
            <w:tcW w:w="1783" w:type="dxa"/>
          </w:tcPr>
          <w:p w14:paraId="5AA76C8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Ahuja et al 2021</w:t>
            </w:r>
          </w:p>
          <w:p w14:paraId="63FB0ECB" w14:textId="628E7607" w:rsidR="00B85C9C" w:rsidRPr="008D6755" w:rsidRDefault="00B85C9C" w:rsidP="00CA6F03">
            <w:pPr>
              <w:rPr>
                <w:rFonts w:asciiTheme="majorBidi" w:hAnsiTheme="majorBidi" w:cstheme="majorBidi"/>
                <w:sz w:val="20"/>
                <w:szCs w:val="20"/>
              </w:rPr>
            </w:pPr>
          </w:p>
        </w:tc>
        <w:tc>
          <w:tcPr>
            <w:tcW w:w="1638" w:type="dxa"/>
          </w:tcPr>
          <w:p w14:paraId="317371D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Single institution case study (725 bed tertiary academic), retrospective review, n = 121 patients</w:t>
            </w:r>
          </w:p>
        </w:tc>
        <w:tc>
          <w:tcPr>
            <w:tcW w:w="1678" w:type="dxa"/>
          </w:tcPr>
          <w:p w14:paraId="34E314C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Randomly selected adult inpatients,</w:t>
            </w:r>
            <w:r w:rsidRPr="00633611">
              <w:rPr>
                <w:rFonts w:asciiTheme="majorBidi" w:hAnsiTheme="majorBidi" w:cstheme="majorBidi"/>
                <w:sz w:val="20"/>
                <w:szCs w:val="20"/>
              </w:rPr>
              <w:t xml:space="preserve"> who received at least</w:t>
            </w:r>
            <w:r>
              <w:rPr>
                <w:rFonts w:asciiTheme="majorBidi" w:hAnsiTheme="majorBidi" w:cstheme="majorBidi"/>
                <w:sz w:val="20"/>
                <w:szCs w:val="20"/>
              </w:rPr>
              <w:t xml:space="preserve"> </w:t>
            </w:r>
            <w:r w:rsidRPr="00633611">
              <w:rPr>
                <w:rFonts w:asciiTheme="majorBidi" w:hAnsiTheme="majorBidi" w:cstheme="majorBidi"/>
                <w:sz w:val="20"/>
                <w:szCs w:val="20"/>
              </w:rPr>
              <w:t>two doses of a DOAC from January 2013 to July 2014</w:t>
            </w:r>
            <w:r>
              <w:rPr>
                <w:rFonts w:asciiTheme="majorBidi" w:hAnsiTheme="majorBidi" w:cstheme="majorBidi"/>
                <w:sz w:val="20"/>
                <w:szCs w:val="20"/>
              </w:rPr>
              <w:t>, median age 73 years</w:t>
            </w:r>
          </w:p>
        </w:tc>
        <w:tc>
          <w:tcPr>
            <w:tcW w:w="2699" w:type="dxa"/>
          </w:tcPr>
          <w:p w14:paraId="06A00D2E" w14:textId="77777777" w:rsidR="00B85C9C" w:rsidRPr="00577E28" w:rsidRDefault="00B85C9C" w:rsidP="00CA6F03">
            <w:pPr>
              <w:rPr>
                <w:rFonts w:asciiTheme="majorBidi" w:hAnsiTheme="majorBidi" w:cstheme="majorBidi"/>
                <w:sz w:val="20"/>
                <w:szCs w:val="20"/>
              </w:rPr>
            </w:pPr>
            <w:r>
              <w:rPr>
                <w:rFonts w:asciiTheme="majorBidi" w:hAnsiTheme="majorBidi" w:cstheme="majorBidi"/>
                <w:sz w:val="20"/>
                <w:szCs w:val="20"/>
              </w:rPr>
              <w:t>A</w:t>
            </w:r>
            <w:r w:rsidRPr="00577E28">
              <w:rPr>
                <w:rFonts w:asciiTheme="majorBidi" w:hAnsiTheme="majorBidi" w:cstheme="majorBidi"/>
                <w:sz w:val="20"/>
                <w:szCs w:val="20"/>
              </w:rPr>
              <w:t>ntithrombotic stewardship team developed guidelines</w:t>
            </w:r>
          </w:p>
          <w:p w14:paraId="452641C0" w14:textId="77777777" w:rsidR="00B85C9C" w:rsidRPr="00C753D5" w:rsidRDefault="00B85C9C" w:rsidP="00CA6F03">
            <w:pPr>
              <w:rPr>
                <w:rFonts w:asciiTheme="majorBidi" w:hAnsiTheme="majorBidi" w:cstheme="majorBidi"/>
                <w:b/>
                <w:bCs/>
                <w:sz w:val="20"/>
                <w:szCs w:val="20"/>
              </w:rPr>
            </w:pPr>
            <w:r w:rsidRPr="00577E28">
              <w:rPr>
                <w:rFonts w:asciiTheme="majorBidi" w:hAnsiTheme="majorBidi" w:cstheme="majorBidi"/>
                <w:sz w:val="20"/>
                <w:szCs w:val="20"/>
              </w:rPr>
              <w:t xml:space="preserve">and implemented </w:t>
            </w:r>
            <w:r w:rsidRPr="00C753D5">
              <w:rPr>
                <w:rFonts w:asciiTheme="majorBidi" w:hAnsiTheme="majorBidi" w:cstheme="majorBidi"/>
                <w:b/>
                <w:bCs/>
                <w:sz w:val="20"/>
                <w:szCs w:val="20"/>
              </w:rPr>
              <w:t>CCDS tools to enhance medication and patient safety related</w:t>
            </w:r>
          </w:p>
          <w:p w14:paraId="31018616" w14:textId="03D3996F" w:rsidR="00B85C9C" w:rsidRPr="008D6755" w:rsidRDefault="00B85C9C">
            <w:pPr>
              <w:rPr>
                <w:rFonts w:asciiTheme="majorBidi" w:hAnsiTheme="majorBidi" w:cstheme="majorBidi"/>
                <w:sz w:val="20"/>
                <w:szCs w:val="20"/>
              </w:rPr>
            </w:pPr>
            <w:r w:rsidRPr="00C753D5">
              <w:rPr>
                <w:rFonts w:asciiTheme="majorBidi" w:hAnsiTheme="majorBidi" w:cstheme="majorBidi"/>
                <w:b/>
                <w:bCs/>
                <w:sz w:val="20"/>
                <w:szCs w:val="20"/>
              </w:rPr>
              <w:t>to the DOAC</w:t>
            </w:r>
            <w:r>
              <w:rPr>
                <w:rFonts w:asciiTheme="majorBidi" w:hAnsiTheme="majorBidi" w:cstheme="majorBidi"/>
                <w:sz w:val="20"/>
                <w:szCs w:val="20"/>
              </w:rPr>
              <w:t xml:space="preserve"> (including alerts, dosage information, contraindications/interactions), a clinical pharmacotherapy specialist performs a daily review of patients prescribed a DOAC to ensure the dose is appropriate for acute phase hospitalisation. </w:t>
            </w:r>
          </w:p>
        </w:tc>
        <w:tc>
          <w:tcPr>
            <w:tcW w:w="1472" w:type="dxa"/>
          </w:tcPr>
          <w:p w14:paraId="2281C7C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 comparator</w:t>
            </w:r>
          </w:p>
        </w:tc>
        <w:tc>
          <w:tcPr>
            <w:tcW w:w="3139" w:type="dxa"/>
          </w:tcPr>
          <w:p w14:paraId="67D998DF" w14:textId="77777777" w:rsidR="00B85C9C" w:rsidRPr="008D6755" w:rsidRDefault="00B85C9C" w:rsidP="00CA6F03">
            <w:pPr>
              <w:rPr>
                <w:rFonts w:asciiTheme="majorBidi" w:hAnsiTheme="majorBidi" w:cstheme="majorBidi"/>
                <w:sz w:val="20"/>
                <w:szCs w:val="20"/>
              </w:rPr>
            </w:pPr>
            <w:r w:rsidRPr="004046AD">
              <w:rPr>
                <w:rFonts w:asciiTheme="majorBidi" w:hAnsiTheme="majorBidi" w:cstheme="majorBidi"/>
                <w:sz w:val="20"/>
                <w:szCs w:val="20"/>
              </w:rPr>
              <w:t>Adherence to CCDS was 80% (n = 24), 75% (n = 46), and 87% (n = 27) in the dabigatran,</w:t>
            </w:r>
            <w:r>
              <w:rPr>
                <w:rFonts w:asciiTheme="majorBidi" w:hAnsiTheme="majorBidi" w:cstheme="majorBidi"/>
                <w:sz w:val="20"/>
                <w:szCs w:val="20"/>
              </w:rPr>
              <w:t xml:space="preserve"> </w:t>
            </w:r>
            <w:r w:rsidRPr="004046AD">
              <w:rPr>
                <w:rFonts w:asciiTheme="majorBidi" w:hAnsiTheme="majorBidi" w:cstheme="majorBidi"/>
                <w:sz w:val="20"/>
                <w:szCs w:val="20"/>
              </w:rPr>
              <w:t xml:space="preserve">apixaban, and rivaroxaban group, respectively. </w:t>
            </w:r>
            <w:r w:rsidRPr="00C753D5">
              <w:rPr>
                <w:rFonts w:asciiTheme="majorBidi" w:hAnsiTheme="majorBidi" w:cstheme="majorBidi"/>
                <w:b/>
                <w:bCs/>
                <w:sz w:val="20"/>
                <w:szCs w:val="20"/>
              </w:rPr>
              <w:t>Bleeding events did not correlate with nonadherence to CCDS recommendations.</w:t>
            </w:r>
          </w:p>
        </w:tc>
        <w:tc>
          <w:tcPr>
            <w:tcW w:w="1541" w:type="dxa"/>
          </w:tcPr>
          <w:p w14:paraId="21CA87B8"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uncontrolled, retrospective, small sample</w:t>
            </w:r>
          </w:p>
        </w:tc>
      </w:tr>
      <w:tr w:rsidR="00B85C9C" w:rsidRPr="008D6755" w14:paraId="1F993649" w14:textId="77777777" w:rsidTr="00CA6F03">
        <w:tc>
          <w:tcPr>
            <w:tcW w:w="1783" w:type="dxa"/>
            <w:tcBorders>
              <w:bottom w:val="single" w:sz="4" w:space="0" w:color="auto"/>
            </w:tcBorders>
          </w:tcPr>
          <w:p w14:paraId="3A85802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Nazarenko et al 2015</w:t>
            </w:r>
          </w:p>
          <w:p w14:paraId="2E936969" w14:textId="0E52D266" w:rsidR="00B85C9C" w:rsidRDefault="00B85C9C" w:rsidP="00CA6F03">
            <w:pPr>
              <w:rPr>
                <w:rFonts w:asciiTheme="majorBidi" w:hAnsiTheme="majorBidi" w:cstheme="majorBidi"/>
                <w:sz w:val="20"/>
                <w:szCs w:val="20"/>
              </w:rPr>
            </w:pPr>
          </w:p>
        </w:tc>
        <w:tc>
          <w:tcPr>
            <w:tcW w:w="1638" w:type="dxa"/>
            <w:tcBorders>
              <w:bottom w:val="single" w:sz="4" w:space="0" w:color="auto"/>
            </w:tcBorders>
          </w:tcPr>
          <w:p w14:paraId="683FAEE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Single-centre, pre-/post- study. </w:t>
            </w:r>
          </w:p>
        </w:tc>
        <w:tc>
          <w:tcPr>
            <w:tcW w:w="1678" w:type="dxa"/>
            <w:tcBorders>
              <w:bottom w:val="single" w:sz="4" w:space="0" w:color="auto"/>
            </w:tcBorders>
          </w:tcPr>
          <w:p w14:paraId="6E265C0A" w14:textId="77777777" w:rsidR="00B85C9C" w:rsidRPr="00A237A7" w:rsidRDefault="00B85C9C" w:rsidP="00CA6F03">
            <w:pPr>
              <w:rPr>
                <w:rFonts w:asciiTheme="majorBidi" w:hAnsiTheme="majorBidi" w:cstheme="majorBidi"/>
                <w:sz w:val="20"/>
                <w:szCs w:val="20"/>
              </w:rPr>
            </w:pPr>
            <w:r w:rsidRPr="00A237A7">
              <w:rPr>
                <w:rFonts w:asciiTheme="majorBidi" w:hAnsiTheme="majorBidi" w:cstheme="majorBidi"/>
                <w:sz w:val="20"/>
                <w:szCs w:val="20"/>
              </w:rPr>
              <w:t>VTE cases and pulmonary embolism in 2014 before and after CDSS implementation, as well as in the first half of 2015. Patients with</w:t>
            </w:r>
            <w:r>
              <w:rPr>
                <w:rFonts w:asciiTheme="majorBidi" w:hAnsiTheme="majorBidi" w:cstheme="majorBidi"/>
                <w:sz w:val="20"/>
                <w:szCs w:val="20"/>
              </w:rPr>
              <w:t xml:space="preserve"> </w:t>
            </w:r>
            <w:r w:rsidRPr="00A237A7">
              <w:rPr>
                <w:rFonts w:asciiTheme="majorBidi" w:hAnsiTheme="majorBidi" w:cstheme="majorBidi"/>
                <w:sz w:val="20"/>
                <w:szCs w:val="20"/>
              </w:rPr>
              <w:t>VTE</w:t>
            </w:r>
            <w:r>
              <w:rPr>
                <w:rFonts w:asciiTheme="majorBidi" w:hAnsiTheme="majorBidi" w:cstheme="majorBidi"/>
                <w:sz w:val="20"/>
                <w:szCs w:val="20"/>
              </w:rPr>
              <w:t xml:space="preserve"> in</w:t>
            </w:r>
            <w:r w:rsidRPr="00A237A7">
              <w:rPr>
                <w:rFonts w:asciiTheme="majorBidi" w:hAnsiTheme="majorBidi" w:cstheme="majorBidi"/>
                <w:sz w:val="20"/>
                <w:szCs w:val="20"/>
              </w:rPr>
              <w:t xml:space="preserve"> first 48 hours of hospitalization or receiving anticoagulants in therapeutic doses</w:t>
            </w:r>
          </w:p>
          <w:p w14:paraId="50A5D056" w14:textId="77777777" w:rsidR="00B85C9C" w:rsidRPr="008D6755" w:rsidRDefault="00B85C9C" w:rsidP="00CA6F03">
            <w:pPr>
              <w:rPr>
                <w:rFonts w:asciiTheme="majorBidi" w:hAnsiTheme="majorBidi" w:cstheme="majorBidi"/>
                <w:sz w:val="20"/>
                <w:szCs w:val="20"/>
              </w:rPr>
            </w:pPr>
            <w:r w:rsidRPr="00A237A7">
              <w:rPr>
                <w:rFonts w:asciiTheme="majorBidi" w:hAnsiTheme="majorBidi" w:cstheme="majorBidi"/>
                <w:sz w:val="20"/>
                <w:szCs w:val="20"/>
              </w:rPr>
              <w:t>were excluded.</w:t>
            </w:r>
          </w:p>
        </w:tc>
        <w:tc>
          <w:tcPr>
            <w:tcW w:w="2699" w:type="dxa"/>
            <w:tcBorders>
              <w:bottom w:val="single" w:sz="4" w:space="0" w:color="auto"/>
            </w:tcBorders>
          </w:tcPr>
          <w:p w14:paraId="043651E1" w14:textId="77777777" w:rsidR="00B85C9C" w:rsidRDefault="00B85C9C" w:rsidP="00CA6F03">
            <w:pPr>
              <w:rPr>
                <w:rFonts w:asciiTheme="majorBidi" w:hAnsiTheme="majorBidi" w:cstheme="majorBidi"/>
                <w:sz w:val="20"/>
                <w:szCs w:val="20"/>
              </w:rPr>
            </w:pPr>
            <w:r w:rsidRPr="00E35B08">
              <w:rPr>
                <w:rFonts w:asciiTheme="majorBidi" w:hAnsiTheme="majorBidi" w:cstheme="majorBidi"/>
                <w:sz w:val="20"/>
                <w:szCs w:val="20"/>
              </w:rPr>
              <w:t xml:space="preserve">A multifunctional </w:t>
            </w:r>
            <w:r w:rsidRPr="00E35B08">
              <w:rPr>
                <w:rFonts w:asciiTheme="majorBidi" w:hAnsiTheme="majorBidi" w:cstheme="majorBidi"/>
                <w:b/>
                <w:bCs/>
                <w:sz w:val="20"/>
                <w:szCs w:val="20"/>
              </w:rPr>
              <w:t>CDSS based on national and international guidelines</w:t>
            </w:r>
            <w:r w:rsidRPr="00E35B08">
              <w:rPr>
                <w:rFonts w:asciiTheme="majorBidi" w:hAnsiTheme="majorBidi" w:cstheme="majorBidi"/>
                <w:sz w:val="20"/>
                <w:szCs w:val="20"/>
              </w:rPr>
              <w:t xml:space="preserve"> on VTE</w:t>
            </w:r>
            <w:r>
              <w:rPr>
                <w:rFonts w:asciiTheme="majorBidi" w:hAnsiTheme="majorBidi" w:cstheme="majorBidi"/>
                <w:sz w:val="20"/>
                <w:szCs w:val="20"/>
              </w:rPr>
              <w:t xml:space="preserve"> </w:t>
            </w:r>
            <w:r w:rsidRPr="00E35B08">
              <w:rPr>
                <w:rFonts w:asciiTheme="majorBidi" w:hAnsiTheme="majorBidi" w:cstheme="majorBidi"/>
                <w:sz w:val="20"/>
                <w:szCs w:val="20"/>
              </w:rPr>
              <w:t xml:space="preserve">prevention was developed and implemented in the Medical </w:t>
            </w:r>
            <w:proofErr w:type="spellStart"/>
            <w:r w:rsidRPr="00E35B08">
              <w:rPr>
                <w:rFonts w:asciiTheme="majorBidi" w:hAnsiTheme="majorBidi" w:cstheme="majorBidi"/>
                <w:sz w:val="20"/>
                <w:szCs w:val="20"/>
              </w:rPr>
              <w:t>Center</w:t>
            </w:r>
            <w:proofErr w:type="spellEnd"/>
            <w:r w:rsidRPr="00E35B08">
              <w:rPr>
                <w:rFonts w:asciiTheme="majorBidi" w:hAnsiTheme="majorBidi" w:cstheme="majorBidi"/>
                <w:sz w:val="20"/>
                <w:szCs w:val="20"/>
              </w:rPr>
              <w:t xml:space="preserve"> of the Bank of Russia</w:t>
            </w:r>
          </w:p>
          <w:p w14:paraId="32EFE806" w14:textId="77777777" w:rsidR="00B85C9C" w:rsidRPr="008D6755" w:rsidRDefault="00B85C9C" w:rsidP="00CA6F03">
            <w:pPr>
              <w:rPr>
                <w:rFonts w:asciiTheme="majorBidi" w:hAnsiTheme="majorBidi" w:cstheme="majorBidi"/>
                <w:sz w:val="20"/>
                <w:szCs w:val="20"/>
              </w:rPr>
            </w:pPr>
          </w:p>
        </w:tc>
        <w:tc>
          <w:tcPr>
            <w:tcW w:w="1472" w:type="dxa"/>
            <w:tcBorders>
              <w:bottom w:val="single" w:sz="4" w:space="0" w:color="auto"/>
            </w:tcBorders>
          </w:tcPr>
          <w:p w14:paraId="38A50C5E"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Business as usual for 6 months prior to intervention</w:t>
            </w:r>
          </w:p>
        </w:tc>
        <w:tc>
          <w:tcPr>
            <w:tcW w:w="3139" w:type="dxa"/>
            <w:tcBorders>
              <w:bottom w:val="single" w:sz="4" w:space="0" w:color="auto"/>
            </w:tcBorders>
          </w:tcPr>
          <w:p w14:paraId="2ED831FD" w14:textId="77777777" w:rsidR="00B85C9C" w:rsidRDefault="00B85C9C" w:rsidP="00CA6F03">
            <w:pPr>
              <w:rPr>
                <w:rFonts w:asciiTheme="majorBidi" w:hAnsiTheme="majorBidi" w:cstheme="majorBidi"/>
                <w:sz w:val="20"/>
                <w:szCs w:val="20"/>
              </w:rPr>
            </w:pPr>
            <w:r w:rsidRPr="00FA4787">
              <w:rPr>
                <w:rFonts w:asciiTheme="majorBidi" w:hAnsiTheme="majorBidi" w:cstheme="majorBidi"/>
                <w:sz w:val="20"/>
                <w:szCs w:val="20"/>
              </w:rPr>
              <w:t xml:space="preserve">The </w:t>
            </w:r>
            <w:r w:rsidRPr="00FA4787">
              <w:rPr>
                <w:rFonts w:asciiTheme="majorBidi" w:hAnsiTheme="majorBidi" w:cstheme="majorBidi"/>
                <w:b/>
                <w:bCs/>
                <w:sz w:val="20"/>
                <w:szCs w:val="20"/>
              </w:rPr>
              <w:t>rate of hospital-acquired VTE significantly decreased after CDSS implementation</w:t>
            </w:r>
            <w:r w:rsidRPr="00FA4787">
              <w:rPr>
                <w:rFonts w:asciiTheme="majorBidi" w:hAnsiTheme="majorBidi" w:cstheme="majorBidi"/>
                <w:sz w:val="20"/>
                <w:szCs w:val="20"/>
              </w:rPr>
              <w:t xml:space="preserve"> and was 11.71,</w:t>
            </w:r>
            <w:r>
              <w:rPr>
                <w:rFonts w:asciiTheme="majorBidi" w:hAnsiTheme="majorBidi" w:cstheme="majorBidi"/>
                <w:sz w:val="20"/>
                <w:szCs w:val="20"/>
              </w:rPr>
              <w:t xml:space="preserve"> </w:t>
            </w:r>
            <w:r w:rsidRPr="00FA4787">
              <w:rPr>
                <w:rFonts w:asciiTheme="majorBidi" w:hAnsiTheme="majorBidi" w:cstheme="majorBidi"/>
                <w:sz w:val="20"/>
                <w:szCs w:val="20"/>
              </w:rPr>
              <w:t>8.28 and 4.84 per 1,000 hospitalizations in the first and second half of 2014 and in the first half of 2015,</w:t>
            </w:r>
            <w:r>
              <w:rPr>
                <w:rFonts w:asciiTheme="majorBidi" w:hAnsiTheme="majorBidi" w:cstheme="majorBidi"/>
                <w:sz w:val="20"/>
                <w:szCs w:val="20"/>
              </w:rPr>
              <w:t xml:space="preserve"> </w:t>
            </w:r>
            <w:r w:rsidRPr="00FA4787">
              <w:rPr>
                <w:rFonts w:asciiTheme="majorBidi" w:hAnsiTheme="majorBidi" w:cstheme="majorBidi"/>
                <w:sz w:val="20"/>
                <w:szCs w:val="20"/>
              </w:rPr>
              <w:t xml:space="preserve">respectively (χ2 = 7.325, </w:t>
            </w:r>
            <w:proofErr w:type="spellStart"/>
            <w:r w:rsidRPr="00FA4787">
              <w:rPr>
                <w:rFonts w:asciiTheme="majorBidi" w:hAnsiTheme="majorBidi" w:cstheme="majorBidi"/>
                <w:sz w:val="20"/>
                <w:szCs w:val="20"/>
              </w:rPr>
              <w:t>df</w:t>
            </w:r>
            <w:proofErr w:type="spellEnd"/>
            <w:r w:rsidRPr="00FA4787">
              <w:rPr>
                <w:rFonts w:asciiTheme="majorBidi" w:hAnsiTheme="majorBidi" w:cstheme="majorBidi"/>
                <w:sz w:val="20"/>
                <w:szCs w:val="20"/>
              </w:rPr>
              <w:t xml:space="preserve"> = 1, p = 0.0068). The rate of postoperative VTE for the same period amounted</w:t>
            </w:r>
            <w:r>
              <w:rPr>
                <w:rFonts w:asciiTheme="majorBidi" w:hAnsiTheme="majorBidi" w:cstheme="majorBidi"/>
                <w:sz w:val="20"/>
                <w:szCs w:val="20"/>
              </w:rPr>
              <w:t xml:space="preserve"> </w:t>
            </w:r>
            <w:r w:rsidRPr="00FA4787">
              <w:rPr>
                <w:rFonts w:asciiTheme="majorBidi" w:hAnsiTheme="majorBidi" w:cstheme="majorBidi"/>
                <w:sz w:val="20"/>
                <w:szCs w:val="20"/>
              </w:rPr>
              <w:t xml:space="preserve">to 8.76, 3.39 and 4.17 per 1,000 operations, respectively (χ2 = 7.266, </w:t>
            </w:r>
            <w:proofErr w:type="spellStart"/>
            <w:r w:rsidRPr="00FA4787">
              <w:rPr>
                <w:rFonts w:asciiTheme="majorBidi" w:hAnsiTheme="majorBidi" w:cstheme="majorBidi"/>
                <w:sz w:val="20"/>
                <w:szCs w:val="20"/>
              </w:rPr>
              <w:t>df</w:t>
            </w:r>
            <w:proofErr w:type="spellEnd"/>
            <w:r w:rsidRPr="00FA4787">
              <w:rPr>
                <w:rFonts w:asciiTheme="majorBidi" w:hAnsiTheme="majorBidi" w:cstheme="majorBidi"/>
                <w:sz w:val="20"/>
                <w:szCs w:val="20"/>
              </w:rPr>
              <w:t xml:space="preserve"> = 1, p = 0.007)</w:t>
            </w:r>
            <w:r>
              <w:rPr>
                <w:rFonts w:asciiTheme="majorBidi" w:hAnsiTheme="majorBidi" w:cstheme="majorBidi"/>
                <w:sz w:val="20"/>
                <w:szCs w:val="20"/>
              </w:rPr>
              <w:t>.</w:t>
            </w:r>
          </w:p>
          <w:p w14:paraId="37028775" w14:textId="77777777" w:rsidR="00B85C9C" w:rsidRDefault="00B85C9C" w:rsidP="00CA6F03">
            <w:pPr>
              <w:rPr>
                <w:rFonts w:asciiTheme="majorBidi" w:hAnsiTheme="majorBidi" w:cstheme="majorBidi"/>
                <w:sz w:val="20"/>
                <w:szCs w:val="20"/>
              </w:rPr>
            </w:pPr>
            <w:r w:rsidRPr="00C401B4">
              <w:rPr>
                <w:rFonts w:asciiTheme="majorBidi" w:hAnsiTheme="majorBidi" w:cstheme="majorBidi"/>
                <w:sz w:val="20"/>
                <w:szCs w:val="20"/>
              </w:rPr>
              <w:t>Coverage of hospitalized patients</w:t>
            </w:r>
            <w:r>
              <w:rPr>
                <w:rFonts w:asciiTheme="majorBidi" w:hAnsiTheme="majorBidi" w:cstheme="majorBidi"/>
                <w:sz w:val="20"/>
                <w:szCs w:val="20"/>
              </w:rPr>
              <w:t xml:space="preserve"> </w:t>
            </w:r>
            <w:r w:rsidRPr="00C401B4">
              <w:rPr>
                <w:rFonts w:asciiTheme="majorBidi" w:hAnsiTheme="majorBidi" w:cstheme="majorBidi"/>
                <w:sz w:val="20"/>
                <w:szCs w:val="20"/>
              </w:rPr>
              <w:t>with documented VTE risk assessment gradually</w:t>
            </w:r>
            <w:r>
              <w:rPr>
                <w:rFonts w:asciiTheme="majorBidi" w:hAnsiTheme="majorBidi" w:cstheme="majorBidi"/>
                <w:sz w:val="20"/>
                <w:szCs w:val="20"/>
              </w:rPr>
              <w:t xml:space="preserve"> </w:t>
            </w:r>
            <w:r w:rsidRPr="00C401B4">
              <w:rPr>
                <w:rFonts w:asciiTheme="majorBidi" w:hAnsiTheme="majorBidi" w:cstheme="majorBidi"/>
                <w:sz w:val="20"/>
                <w:szCs w:val="20"/>
              </w:rPr>
              <w:t>increased after the CDSS implementation, but remained at a low level (19% of eligible patients).</w:t>
            </w:r>
          </w:p>
          <w:p w14:paraId="77137775" w14:textId="77777777" w:rsidR="00B85C9C" w:rsidRPr="008D6755" w:rsidRDefault="00B85C9C" w:rsidP="00CA6F03">
            <w:pPr>
              <w:rPr>
                <w:rFonts w:asciiTheme="majorBidi" w:hAnsiTheme="majorBidi" w:cstheme="majorBidi"/>
                <w:sz w:val="20"/>
                <w:szCs w:val="20"/>
              </w:rPr>
            </w:pPr>
            <w:r w:rsidRPr="00401DB3">
              <w:rPr>
                <w:rFonts w:asciiTheme="majorBidi" w:hAnsiTheme="majorBidi" w:cstheme="majorBidi"/>
                <w:sz w:val="20"/>
                <w:szCs w:val="20"/>
              </w:rPr>
              <w:t>Deviations from clinical</w:t>
            </w:r>
            <w:r>
              <w:rPr>
                <w:rFonts w:asciiTheme="majorBidi" w:hAnsiTheme="majorBidi" w:cstheme="majorBidi"/>
                <w:sz w:val="20"/>
                <w:szCs w:val="20"/>
              </w:rPr>
              <w:t xml:space="preserve"> </w:t>
            </w:r>
            <w:r w:rsidRPr="00401DB3">
              <w:rPr>
                <w:rFonts w:asciiTheme="majorBidi" w:hAnsiTheme="majorBidi" w:cstheme="majorBidi"/>
                <w:sz w:val="20"/>
                <w:szCs w:val="20"/>
              </w:rPr>
              <w:t>guidelines or anticoagulant package inserts were revealed in 74% of</w:t>
            </w:r>
            <w:r>
              <w:rPr>
                <w:rFonts w:asciiTheme="majorBidi" w:hAnsiTheme="majorBidi" w:cstheme="majorBidi"/>
                <w:sz w:val="20"/>
                <w:szCs w:val="20"/>
              </w:rPr>
              <w:t xml:space="preserve"> </w:t>
            </w:r>
            <w:r w:rsidRPr="00401DB3">
              <w:rPr>
                <w:rFonts w:asciiTheme="majorBidi" w:hAnsiTheme="majorBidi" w:cstheme="majorBidi"/>
                <w:sz w:val="20"/>
                <w:szCs w:val="20"/>
              </w:rPr>
              <w:t>VTE cases</w:t>
            </w:r>
            <w:r>
              <w:rPr>
                <w:rFonts w:asciiTheme="majorBidi" w:hAnsiTheme="majorBidi" w:cstheme="majorBidi"/>
                <w:sz w:val="20"/>
                <w:szCs w:val="20"/>
              </w:rPr>
              <w:t>.</w:t>
            </w:r>
          </w:p>
        </w:tc>
        <w:tc>
          <w:tcPr>
            <w:tcW w:w="1541" w:type="dxa"/>
            <w:tcBorders>
              <w:bottom w:val="single" w:sz="4" w:space="0" w:color="auto"/>
            </w:tcBorders>
          </w:tcPr>
          <w:p w14:paraId="40DAA92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single centre, non-randomized study. </w:t>
            </w:r>
          </w:p>
        </w:tc>
      </w:tr>
      <w:tr w:rsidR="00B85C9C" w:rsidRPr="008D6755" w14:paraId="63A173A1" w14:textId="77777777" w:rsidTr="00CA6F03">
        <w:tc>
          <w:tcPr>
            <w:tcW w:w="1783" w:type="dxa"/>
          </w:tcPr>
          <w:p w14:paraId="53C44990"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Khalil et al 2021</w:t>
            </w:r>
          </w:p>
          <w:p w14:paraId="2C46F840" w14:textId="1A5E3D18" w:rsidR="00B85C9C" w:rsidRPr="00D52BD9" w:rsidRDefault="00B85C9C" w:rsidP="00CA6F03">
            <w:pPr>
              <w:rPr>
                <w:rFonts w:asciiTheme="majorBidi" w:hAnsiTheme="majorBidi" w:cstheme="majorBidi"/>
                <w:sz w:val="20"/>
                <w:szCs w:val="20"/>
              </w:rPr>
            </w:pPr>
          </w:p>
        </w:tc>
        <w:tc>
          <w:tcPr>
            <w:tcW w:w="1638" w:type="dxa"/>
          </w:tcPr>
          <w:p w14:paraId="39AE680C"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Pre-/post- retrospective study at a multi-site teaching hospital (650 beds), n = 100</w:t>
            </w:r>
          </w:p>
        </w:tc>
        <w:tc>
          <w:tcPr>
            <w:tcW w:w="1678" w:type="dxa"/>
          </w:tcPr>
          <w:p w14:paraId="72DA620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Australia, inpatients, prescribed a NOAC for AF, PE, DVT, AVR. </w:t>
            </w:r>
          </w:p>
        </w:tc>
        <w:tc>
          <w:tcPr>
            <w:tcW w:w="2699" w:type="dxa"/>
          </w:tcPr>
          <w:p w14:paraId="3EF0C126" w14:textId="77777777" w:rsidR="00B85C9C" w:rsidRDefault="00B85C9C" w:rsidP="00CA6F03">
            <w:pPr>
              <w:rPr>
                <w:rFonts w:asciiTheme="majorBidi" w:hAnsiTheme="majorBidi" w:cstheme="majorBidi"/>
                <w:sz w:val="20"/>
                <w:szCs w:val="20"/>
              </w:rPr>
            </w:pPr>
            <w:r w:rsidRPr="007E5FBF">
              <w:rPr>
                <w:rFonts w:asciiTheme="majorBidi" w:hAnsiTheme="majorBidi" w:cstheme="majorBidi"/>
                <w:b/>
                <w:bCs/>
                <w:sz w:val="20"/>
                <w:szCs w:val="20"/>
              </w:rPr>
              <w:t>Tailored electronic patient specific physiological alerts</w:t>
            </w:r>
            <w:r w:rsidRPr="00083FF5">
              <w:rPr>
                <w:rFonts w:asciiTheme="majorBidi" w:hAnsiTheme="majorBidi" w:cstheme="majorBidi"/>
                <w:sz w:val="20"/>
                <w:szCs w:val="20"/>
              </w:rPr>
              <w:t xml:space="preserve"> (such as age, renal function weight and drug interactions) built in EMS to improve the appropriateness of NOAC prescribing</w:t>
            </w:r>
          </w:p>
          <w:p w14:paraId="352EB7A1" w14:textId="77777777" w:rsidR="00B85C9C" w:rsidRPr="008D6755" w:rsidRDefault="00B85C9C" w:rsidP="00CA6F03">
            <w:pPr>
              <w:rPr>
                <w:rFonts w:asciiTheme="majorBidi" w:hAnsiTheme="majorBidi" w:cstheme="majorBidi"/>
                <w:sz w:val="20"/>
                <w:szCs w:val="20"/>
              </w:rPr>
            </w:pPr>
          </w:p>
        </w:tc>
        <w:tc>
          <w:tcPr>
            <w:tcW w:w="1472" w:type="dxa"/>
          </w:tcPr>
          <w:p w14:paraId="5C4779B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 pre-implementation</w:t>
            </w:r>
          </w:p>
        </w:tc>
        <w:tc>
          <w:tcPr>
            <w:tcW w:w="3139" w:type="dxa"/>
          </w:tcPr>
          <w:p w14:paraId="3D16818F" w14:textId="77777777" w:rsidR="00B85C9C" w:rsidRDefault="00B85C9C" w:rsidP="00CA6F03">
            <w:pPr>
              <w:rPr>
                <w:rFonts w:asciiTheme="majorBidi" w:hAnsiTheme="majorBidi" w:cstheme="majorBidi"/>
                <w:sz w:val="20"/>
                <w:szCs w:val="20"/>
              </w:rPr>
            </w:pPr>
            <w:r w:rsidRPr="00530EE4">
              <w:rPr>
                <w:rFonts w:asciiTheme="majorBidi" w:hAnsiTheme="majorBidi" w:cstheme="majorBidi"/>
                <w:sz w:val="20"/>
                <w:szCs w:val="20"/>
              </w:rPr>
              <w:t xml:space="preserve">Redesign of computerised decision support in EMS </w:t>
            </w:r>
            <w:r w:rsidRPr="007E5FBF">
              <w:rPr>
                <w:rFonts w:asciiTheme="majorBidi" w:hAnsiTheme="majorBidi" w:cstheme="majorBidi"/>
                <w:b/>
                <w:bCs/>
                <w:sz w:val="20"/>
                <w:szCs w:val="20"/>
              </w:rPr>
              <w:t xml:space="preserve">improved appropriateness of NOAC prescribing from 48 % to 91 %, P </w:t>
            </w:r>
            <w:r w:rsidRPr="007E5FBF">
              <w:rPr>
                <w:rFonts w:asciiTheme="majorBidi" w:hAnsiTheme="majorBidi" w:cstheme="majorBidi"/>
                <w:b/>
                <w:bCs/>
                <w:i/>
                <w:iCs/>
                <w:sz w:val="20"/>
                <w:szCs w:val="20"/>
              </w:rPr>
              <w:t xml:space="preserve">&lt; </w:t>
            </w:r>
            <w:r w:rsidRPr="007E5FBF">
              <w:rPr>
                <w:rFonts w:asciiTheme="majorBidi" w:hAnsiTheme="majorBidi" w:cstheme="majorBidi"/>
                <w:b/>
                <w:bCs/>
                <w:sz w:val="20"/>
                <w:szCs w:val="20"/>
              </w:rPr>
              <w:t>0.05.</w:t>
            </w:r>
            <w:r w:rsidRPr="00530EE4">
              <w:rPr>
                <w:rFonts w:asciiTheme="majorBidi" w:hAnsiTheme="majorBidi" w:cstheme="majorBidi"/>
                <w:sz w:val="20"/>
                <w:szCs w:val="20"/>
              </w:rPr>
              <w:t xml:space="preserve"> </w:t>
            </w:r>
          </w:p>
          <w:p w14:paraId="23751761"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I</w:t>
            </w:r>
            <w:r w:rsidRPr="0002018A">
              <w:rPr>
                <w:rFonts w:asciiTheme="majorBidi" w:hAnsiTheme="majorBidi" w:cstheme="majorBidi"/>
                <w:sz w:val="20"/>
                <w:szCs w:val="20"/>
              </w:rPr>
              <w:t>mplementation of NOAC alerts reduced inappropriately prescribed high doses of NOACs (39 % vs 2%, P = 0.00</w:t>
            </w:r>
            <w:r>
              <w:rPr>
                <w:rFonts w:asciiTheme="majorBidi" w:hAnsiTheme="majorBidi" w:cstheme="majorBidi"/>
                <w:sz w:val="20"/>
                <w:szCs w:val="20"/>
              </w:rPr>
              <w:t>3</w:t>
            </w:r>
            <w:r w:rsidRPr="0002018A">
              <w:rPr>
                <w:rFonts w:asciiTheme="majorBidi" w:hAnsiTheme="majorBidi" w:cstheme="majorBidi"/>
                <w:sz w:val="20"/>
                <w:szCs w:val="20"/>
              </w:rPr>
              <w:t>) and inappropriately prescribed low doses of NOACs (P = 0.002), but did not prevent the incorrect type (as suited to the patient comorbidities) of NOAC being prescribed (4% vs 1%, p = 0.7</w:t>
            </w:r>
            <w:r>
              <w:rPr>
                <w:rFonts w:asciiTheme="majorBidi" w:hAnsiTheme="majorBidi" w:cstheme="majorBidi"/>
                <w:sz w:val="20"/>
                <w:szCs w:val="20"/>
              </w:rPr>
              <w:t>2</w:t>
            </w:r>
            <w:r w:rsidRPr="0002018A">
              <w:rPr>
                <w:rFonts w:asciiTheme="majorBidi" w:hAnsiTheme="majorBidi" w:cstheme="majorBidi"/>
                <w:sz w:val="20"/>
                <w:szCs w:val="20"/>
              </w:rPr>
              <w:t>).</w:t>
            </w:r>
          </w:p>
          <w:p w14:paraId="5E0EA234" w14:textId="77777777" w:rsidR="00B85C9C" w:rsidRDefault="00B85C9C" w:rsidP="00CA6F03">
            <w:pPr>
              <w:rPr>
                <w:rFonts w:asciiTheme="majorBidi" w:hAnsiTheme="majorBidi" w:cstheme="majorBidi"/>
                <w:sz w:val="20"/>
                <w:szCs w:val="20"/>
              </w:rPr>
            </w:pPr>
            <w:r w:rsidRPr="00530EE4">
              <w:rPr>
                <w:rFonts w:asciiTheme="majorBidi" w:hAnsiTheme="majorBidi" w:cstheme="majorBidi"/>
                <w:sz w:val="20"/>
                <w:szCs w:val="20"/>
              </w:rPr>
              <w:t>A total of 67 prescribers accepted the invitation to participate in the qualitative satisfaction study. Half the respondents (n = 33, 50 %) answered positively to a question assessing the usefulness of implementing NOAC alerts in the EMS in improving their practice and patient safety</w:t>
            </w:r>
          </w:p>
          <w:p w14:paraId="0856AF41" w14:textId="50A60A21" w:rsidR="00B85C9C" w:rsidRPr="008D6755" w:rsidRDefault="00B85C9C">
            <w:pPr>
              <w:rPr>
                <w:rFonts w:asciiTheme="majorBidi" w:hAnsiTheme="majorBidi" w:cstheme="majorBidi"/>
                <w:sz w:val="20"/>
                <w:szCs w:val="20"/>
              </w:rPr>
            </w:pPr>
            <w:r>
              <w:rPr>
                <w:rFonts w:asciiTheme="majorBidi" w:hAnsiTheme="majorBidi" w:cstheme="majorBidi"/>
                <w:sz w:val="20"/>
                <w:szCs w:val="20"/>
              </w:rPr>
              <w:t xml:space="preserve">The number of hospital acquired complications trended downward, and may have reduced costs, but not statistically significant. </w:t>
            </w:r>
          </w:p>
        </w:tc>
        <w:tc>
          <w:tcPr>
            <w:tcW w:w="1541" w:type="dxa"/>
          </w:tcPr>
          <w:p w14:paraId="008E06A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not randomized, possibly underpowered to demonstrate reduction in complications. </w:t>
            </w:r>
          </w:p>
        </w:tc>
      </w:tr>
      <w:tr w:rsidR="00B85C9C" w:rsidRPr="008D6755" w14:paraId="1E53DC65" w14:textId="77777777" w:rsidTr="00CA6F03">
        <w:tc>
          <w:tcPr>
            <w:tcW w:w="1783" w:type="dxa"/>
          </w:tcPr>
          <w:p w14:paraId="43DDCE3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Ishikawa et al 2021</w:t>
            </w:r>
          </w:p>
          <w:p w14:paraId="2F3CFA69" w14:textId="2C5A7160" w:rsidR="00B85C9C" w:rsidRPr="00D52BD9" w:rsidRDefault="00B85C9C" w:rsidP="00CA6F03">
            <w:pPr>
              <w:rPr>
                <w:rFonts w:asciiTheme="majorBidi" w:hAnsiTheme="majorBidi" w:cstheme="majorBidi"/>
                <w:sz w:val="20"/>
                <w:szCs w:val="20"/>
              </w:rPr>
            </w:pPr>
          </w:p>
        </w:tc>
        <w:tc>
          <w:tcPr>
            <w:tcW w:w="1638" w:type="dxa"/>
          </w:tcPr>
          <w:p w14:paraId="515F4D3C"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Pre-/post- design with evaluation survey, descriptive</w:t>
            </w:r>
          </w:p>
        </w:tc>
        <w:tc>
          <w:tcPr>
            <w:tcW w:w="1678" w:type="dxa"/>
          </w:tcPr>
          <w:p w14:paraId="5022CE63"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w:t>
            </w:r>
            <w:r w:rsidRPr="00323BD3">
              <w:rPr>
                <w:rFonts w:asciiTheme="majorBidi" w:hAnsiTheme="majorBidi" w:cstheme="majorBidi"/>
                <w:sz w:val="20"/>
                <w:szCs w:val="20"/>
              </w:rPr>
              <w:t>rescriptions containing DOACs</w:t>
            </w:r>
            <w:r>
              <w:rPr>
                <w:rFonts w:asciiTheme="majorBidi" w:hAnsiTheme="majorBidi" w:cstheme="majorBidi"/>
                <w:sz w:val="20"/>
                <w:szCs w:val="20"/>
              </w:rPr>
              <w:t xml:space="preserve"> </w:t>
            </w:r>
            <w:r w:rsidRPr="00323BD3">
              <w:rPr>
                <w:rFonts w:asciiTheme="majorBidi" w:hAnsiTheme="majorBidi" w:cstheme="majorBidi"/>
                <w:sz w:val="20"/>
                <w:szCs w:val="20"/>
              </w:rPr>
              <w:t>dispensed by hospital pharmacists</w:t>
            </w:r>
          </w:p>
          <w:p w14:paraId="625492C4" w14:textId="77777777" w:rsidR="00B85C9C" w:rsidRPr="008D6755" w:rsidRDefault="00B85C9C" w:rsidP="00CA6F03">
            <w:pPr>
              <w:rPr>
                <w:rFonts w:asciiTheme="majorBidi" w:hAnsiTheme="majorBidi" w:cstheme="majorBidi"/>
                <w:sz w:val="20"/>
                <w:szCs w:val="20"/>
              </w:rPr>
            </w:pPr>
          </w:p>
        </w:tc>
        <w:tc>
          <w:tcPr>
            <w:tcW w:w="2699" w:type="dxa"/>
          </w:tcPr>
          <w:p w14:paraId="618F4B22" w14:textId="77777777" w:rsidR="00B85C9C" w:rsidRPr="00323BD3" w:rsidRDefault="00B85C9C" w:rsidP="00CA6F03">
            <w:pPr>
              <w:rPr>
                <w:rFonts w:asciiTheme="majorBidi" w:hAnsiTheme="majorBidi" w:cstheme="majorBidi"/>
                <w:sz w:val="20"/>
                <w:szCs w:val="20"/>
              </w:rPr>
            </w:pPr>
            <w:r>
              <w:rPr>
                <w:rFonts w:asciiTheme="majorBidi" w:hAnsiTheme="majorBidi" w:cstheme="majorBidi"/>
                <w:sz w:val="20"/>
                <w:szCs w:val="20"/>
              </w:rPr>
              <w:t>A</w:t>
            </w:r>
            <w:r w:rsidRPr="00323BD3">
              <w:rPr>
                <w:rFonts w:asciiTheme="majorBidi" w:hAnsiTheme="majorBidi" w:cstheme="majorBidi"/>
                <w:sz w:val="20"/>
                <w:szCs w:val="20"/>
              </w:rPr>
              <w:t xml:space="preserve"> system for dispensing</w:t>
            </w:r>
          </w:p>
          <w:p w14:paraId="514240B3" w14:textId="77777777" w:rsidR="00B85C9C" w:rsidRDefault="00B85C9C" w:rsidP="00CA6F03">
            <w:pPr>
              <w:rPr>
                <w:rFonts w:asciiTheme="majorBidi" w:hAnsiTheme="majorBidi" w:cstheme="majorBidi"/>
                <w:sz w:val="20"/>
                <w:szCs w:val="20"/>
              </w:rPr>
            </w:pPr>
            <w:r w:rsidRPr="00323BD3">
              <w:rPr>
                <w:rFonts w:asciiTheme="majorBidi" w:hAnsiTheme="majorBidi" w:cstheme="majorBidi"/>
                <w:sz w:val="20"/>
                <w:szCs w:val="20"/>
              </w:rPr>
              <w:t xml:space="preserve">DOACs using </w:t>
            </w:r>
            <w:r w:rsidRPr="00485D4A">
              <w:rPr>
                <w:rFonts w:asciiTheme="majorBidi" w:hAnsiTheme="majorBidi" w:cstheme="majorBidi"/>
                <w:b/>
                <w:bCs/>
                <w:sz w:val="20"/>
                <w:szCs w:val="20"/>
              </w:rPr>
              <w:t>a check sheet automatically printed at the time of dispensing</w:t>
            </w:r>
          </w:p>
          <w:p w14:paraId="75B8FBB3" w14:textId="77777777" w:rsidR="00B85C9C" w:rsidRPr="008D6755" w:rsidRDefault="00B85C9C" w:rsidP="00CA6F03">
            <w:pPr>
              <w:rPr>
                <w:rFonts w:asciiTheme="majorBidi" w:hAnsiTheme="majorBidi" w:cstheme="majorBidi"/>
                <w:sz w:val="20"/>
                <w:szCs w:val="20"/>
              </w:rPr>
            </w:pPr>
          </w:p>
        </w:tc>
        <w:tc>
          <w:tcPr>
            <w:tcW w:w="1472" w:type="dxa"/>
          </w:tcPr>
          <w:p w14:paraId="549CF8B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w:t>
            </w:r>
          </w:p>
        </w:tc>
        <w:tc>
          <w:tcPr>
            <w:tcW w:w="3139" w:type="dxa"/>
          </w:tcPr>
          <w:p w14:paraId="24FE5388" w14:textId="77777777" w:rsidR="00B85C9C" w:rsidRPr="00906C4F" w:rsidRDefault="00B85C9C" w:rsidP="00CA6F03">
            <w:pPr>
              <w:rPr>
                <w:rFonts w:asciiTheme="majorBidi" w:hAnsiTheme="majorBidi" w:cstheme="majorBidi"/>
                <w:sz w:val="20"/>
                <w:szCs w:val="20"/>
              </w:rPr>
            </w:pPr>
            <w:r w:rsidRPr="00906C4F">
              <w:rPr>
                <w:rFonts w:asciiTheme="majorBidi" w:hAnsiTheme="majorBidi" w:cstheme="majorBidi"/>
                <w:sz w:val="20"/>
                <w:szCs w:val="20"/>
              </w:rPr>
              <w:t xml:space="preserve">There were </w:t>
            </w:r>
            <w:r>
              <w:rPr>
                <w:rFonts w:asciiTheme="majorBidi" w:hAnsiTheme="majorBidi" w:cstheme="majorBidi"/>
                <w:sz w:val="20"/>
                <w:szCs w:val="20"/>
              </w:rPr>
              <w:t>4/</w:t>
            </w:r>
            <w:r w:rsidRPr="00906C4F">
              <w:rPr>
                <w:rFonts w:asciiTheme="majorBidi" w:hAnsiTheme="majorBidi" w:cstheme="majorBidi"/>
                <w:sz w:val="20"/>
                <w:szCs w:val="20"/>
              </w:rPr>
              <w:t xml:space="preserve">642 (0.6%) </w:t>
            </w:r>
            <w:r>
              <w:rPr>
                <w:rFonts w:asciiTheme="majorBidi" w:hAnsiTheme="majorBidi" w:cstheme="majorBidi"/>
                <w:sz w:val="20"/>
                <w:szCs w:val="20"/>
              </w:rPr>
              <w:t>inquirie</w:t>
            </w:r>
            <w:r w:rsidRPr="00906C4F">
              <w:rPr>
                <w:rFonts w:asciiTheme="majorBidi" w:hAnsiTheme="majorBidi" w:cstheme="majorBidi"/>
                <w:sz w:val="20"/>
                <w:szCs w:val="20"/>
              </w:rPr>
              <w:t>s from pharmacists to physicians regarding DOAC prescriptions, such as the dose</w:t>
            </w:r>
          </w:p>
          <w:p w14:paraId="4BD75415" w14:textId="77777777" w:rsidR="00B85C9C" w:rsidRDefault="00B85C9C" w:rsidP="00CA6F03">
            <w:pPr>
              <w:rPr>
                <w:rFonts w:asciiTheme="majorBidi" w:hAnsiTheme="majorBidi" w:cstheme="majorBidi"/>
                <w:sz w:val="20"/>
                <w:szCs w:val="20"/>
              </w:rPr>
            </w:pPr>
            <w:r w:rsidRPr="00906C4F">
              <w:rPr>
                <w:rFonts w:asciiTheme="majorBidi" w:hAnsiTheme="majorBidi" w:cstheme="majorBidi"/>
                <w:sz w:val="20"/>
                <w:szCs w:val="20"/>
              </w:rPr>
              <w:t>introduced before DOAC check sheet utilization and</w:t>
            </w:r>
            <w:r>
              <w:rPr>
                <w:rFonts w:asciiTheme="majorBidi" w:hAnsiTheme="majorBidi" w:cstheme="majorBidi"/>
                <w:sz w:val="20"/>
                <w:szCs w:val="20"/>
              </w:rPr>
              <w:t xml:space="preserve"> </w:t>
            </w:r>
            <w:r w:rsidRPr="008D7245">
              <w:rPr>
                <w:rFonts w:asciiTheme="majorBidi" w:hAnsiTheme="majorBidi" w:cstheme="majorBidi"/>
                <w:b/>
                <w:bCs/>
                <w:sz w:val="20"/>
                <w:szCs w:val="20"/>
              </w:rPr>
              <w:t>increased to</w:t>
            </w:r>
            <w:r w:rsidRPr="00906C4F">
              <w:rPr>
                <w:rFonts w:asciiTheme="majorBidi" w:hAnsiTheme="majorBidi" w:cstheme="majorBidi"/>
                <w:sz w:val="20"/>
                <w:szCs w:val="20"/>
              </w:rPr>
              <w:t xml:space="preserve"> </w:t>
            </w:r>
            <w:r w:rsidRPr="00485D4A">
              <w:rPr>
                <w:rFonts w:asciiTheme="majorBidi" w:hAnsiTheme="majorBidi" w:cstheme="majorBidi"/>
                <w:b/>
                <w:bCs/>
                <w:sz w:val="20"/>
                <w:szCs w:val="20"/>
              </w:rPr>
              <w:t>21/</w:t>
            </w:r>
            <w:r w:rsidRPr="00906C4F">
              <w:rPr>
                <w:rFonts w:asciiTheme="majorBidi" w:hAnsiTheme="majorBidi" w:cstheme="majorBidi"/>
                <w:b/>
                <w:bCs/>
                <w:sz w:val="20"/>
                <w:szCs w:val="20"/>
              </w:rPr>
              <w:t>905</w:t>
            </w:r>
            <w:r>
              <w:rPr>
                <w:rFonts w:asciiTheme="majorBidi" w:hAnsiTheme="majorBidi" w:cstheme="majorBidi"/>
                <w:b/>
                <w:bCs/>
                <w:sz w:val="20"/>
                <w:szCs w:val="20"/>
              </w:rPr>
              <w:t xml:space="preserve"> inquiries</w:t>
            </w:r>
            <w:r w:rsidRPr="00906C4F">
              <w:rPr>
                <w:rFonts w:asciiTheme="majorBidi" w:hAnsiTheme="majorBidi" w:cstheme="majorBidi"/>
                <w:b/>
                <w:bCs/>
                <w:sz w:val="20"/>
                <w:szCs w:val="20"/>
              </w:rPr>
              <w:t xml:space="preserve"> (2.3%) when the DOAC</w:t>
            </w:r>
            <w:r w:rsidRPr="00485D4A">
              <w:rPr>
                <w:rFonts w:asciiTheme="majorBidi" w:hAnsiTheme="majorBidi" w:cstheme="majorBidi"/>
                <w:b/>
                <w:bCs/>
                <w:sz w:val="20"/>
                <w:szCs w:val="20"/>
              </w:rPr>
              <w:t xml:space="preserve"> </w:t>
            </w:r>
            <w:r w:rsidRPr="00906C4F">
              <w:rPr>
                <w:rFonts w:asciiTheme="majorBidi" w:hAnsiTheme="majorBidi" w:cstheme="majorBidi"/>
                <w:b/>
                <w:bCs/>
                <w:sz w:val="20"/>
                <w:szCs w:val="20"/>
              </w:rPr>
              <w:t>check sheet was used (p = 0.0089).</w:t>
            </w:r>
            <w:r w:rsidRPr="00906C4F">
              <w:rPr>
                <w:rFonts w:asciiTheme="majorBidi" w:hAnsiTheme="majorBidi" w:cstheme="majorBidi"/>
                <w:sz w:val="20"/>
                <w:szCs w:val="20"/>
              </w:rPr>
              <w:t xml:space="preserve"> </w:t>
            </w:r>
          </w:p>
          <w:p w14:paraId="1EC19501" w14:textId="77777777" w:rsidR="00B85C9C" w:rsidRDefault="00B85C9C" w:rsidP="00CA6F03">
            <w:pPr>
              <w:rPr>
                <w:rFonts w:asciiTheme="majorBidi" w:hAnsiTheme="majorBidi" w:cstheme="majorBidi"/>
                <w:sz w:val="20"/>
                <w:szCs w:val="20"/>
              </w:rPr>
            </w:pPr>
            <w:r w:rsidRPr="00906C4F">
              <w:rPr>
                <w:rFonts w:asciiTheme="majorBidi" w:hAnsiTheme="majorBidi" w:cstheme="majorBidi"/>
                <w:sz w:val="20"/>
                <w:szCs w:val="20"/>
              </w:rPr>
              <w:t>After introduction, overdoses</w:t>
            </w:r>
            <w:r>
              <w:rPr>
                <w:rFonts w:asciiTheme="majorBidi" w:hAnsiTheme="majorBidi" w:cstheme="majorBidi"/>
                <w:sz w:val="20"/>
                <w:szCs w:val="20"/>
              </w:rPr>
              <w:t xml:space="preserve"> </w:t>
            </w:r>
            <w:r w:rsidRPr="00906C4F">
              <w:rPr>
                <w:rFonts w:asciiTheme="majorBidi" w:hAnsiTheme="majorBidi" w:cstheme="majorBidi"/>
                <w:sz w:val="20"/>
                <w:szCs w:val="20"/>
              </w:rPr>
              <w:t xml:space="preserve">of DOACs were identified at the time of dispensing. </w:t>
            </w:r>
          </w:p>
          <w:p w14:paraId="037E060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51/</w:t>
            </w:r>
            <w:r w:rsidRPr="00906C4F">
              <w:rPr>
                <w:rFonts w:asciiTheme="majorBidi" w:hAnsiTheme="majorBidi" w:cstheme="majorBidi"/>
                <w:sz w:val="20"/>
                <w:szCs w:val="20"/>
              </w:rPr>
              <w:t>52 pharmacists who</w:t>
            </w:r>
            <w:r>
              <w:rPr>
                <w:rFonts w:asciiTheme="majorBidi" w:hAnsiTheme="majorBidi" w:cstheme="majorBidi"/>
                <w:sz w:val="20"/>
                <w:szCs w:val="20"/>
              </w:rPr>
              <w:t xml:space="preserve"> </w:t>
            </w:r>
            <w:r w:rsidRPr="00906C4F">
              <w:rPr>
                <w:rFonts w:asciiTheme="majorBidi" w:hAnsiTheme="majorBidi" w:cstheme="majorBidi"/>
                <w:sz w:val="20"/>
                <w:szCs w:val="20"/>
              </w:rPr>
              <w:t>responded to the questionnaire</w:t>
            </w:r>
            <w:r>
              <w:rPr>
                <w:rFonts w:asciiTheme="majorBidi" w:hAnsiTheme="majorBidi" w:cstheme="majorBidi"/>
                <w:sz w:val="20"/>
                <w:szCs w:val="20"/>
              </w:rPr>
              <w:t xml:space="preserve"> </w:t>
            </w:r>
            <w:r w:rsidRPr="00906C4F">
              <w:rPr>
                <w:rFonts w:asciiTheme="majorBidi" w:hAnsiTheme="majorBidi" w:cstheme="majorBidi"/>
                <w:sz w:val="20"/>
                <w:szCs w:val="20"/>
              </w:rPr>
              <w:t>stated that the check sheet was useful.</w:t>
            </w:r>
          </w:p>
        </w:tc>
        <w:tc>
          <w:tcPr>
            <w:tcW w:w="1541" w:type="dxa"/>
          </w:tcPr>
          <w:p w14:paraId="14B92883"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small number of ‘inquiries’, self-report questionnaire. </w:t>
            </w:r>
          </w:p>
        </w:tc>
      </w:tr>
      <w:tr w:rsidR="00B85C9C" w:rsidRPr="001A1529" w14:paraId="5894E74E" w14:textId="77777777" w:rsidTr="00CA6F03">
        <w:tc>
          <w:tcPr>
            <w:tcW w:w="1783" w:type="dxa"/>
            <w:shd w:val="clear" w:color="auto" w:fill="F2F2F2" w:themeFill="background1" w:themeFillShade="F2"/>
          </w:tcPr>
          <w:p w14:paraId="123AC804" w14:textId="77777777" w:rsidR="00B85C9C" w:rsidRPr="00C72745" w:rsidRDefault="00B85C9C" w:rsidP="00CA6F03">
            <w:pPr>
              <w:rPr>
                <w:rFonts w:asciiTheme="majorBidi" w:hAnsiTheme="majorBidi" w:cstheme="majorBidi"/>
                <w:b/>
                <w:bCs/>
                <w:sz w:val="20"/>
                <w:szCs w:val="20"/>
              </w:rPr>
            </w:pPr>
            <w:r w:rsidRPr="00C72745">
              <w:rPr>
                <w:rFonts w:asciiTheme="majorBidi" w:hAnsiTheme="majorBidi" w:cstheme="majorBidi"/>
                <w:b/>
                <w:bCs/>
                <w:sz w:val="20"/>
                <w:szCs w:val="20"/>
              </w:rPr>
              <w:t>Other interventions</w:t>
            </w:r>
          </w:p>
        </w:tc>
        <w:tc>
          <w:tcPr>
            <w:tcW w:w="1638" w:type="dxa"/>
            <w:shd w:val="clear" w:color="auto" w:fill="F2F2F2" w:themeFill="background1" w:themeFillShade="F2"/>
          </w:tcPr>
          <w:p w14:paraId="7417F334" w14:textId="77777777" w:rsidR="00B85C9C" w:rsidRPr="001A1529" w:rsidRDefault="00B85C9C" w:rsidP="00CA6F03">
            <w:pPr>
              <w:rPr>
                <w:rFonts w:asciiTheme="majorBidi" w:hAnsiTheme="majorBidi" w:cstheme="majorBidi"/>
                <w:b/>
                <w:bCs/>
                <w:sz w:val="20"/>
                <w:szCs w:val="20"/>
              </w:rPr>
            </w:pPr>
          </w:p>
        </w:tc>
        <w:tc>
          <w:tcPr>
            <w:tcW w:w="1678" w:type="dxa"/>
            <w:shd w:val="clear" w:color="auto" w:fill="F2F2F2" w:themeFill="background1" w:themeFillShade="F2"/>
          </w:tcPr>
          <w:p w14:paraId="55DA031B" w14:textId="77777777" w:rsidR="00B85C9C" w:rsidRPr="001A1529" w:rsidRDefault="00B85C9C" w:rsidP="00CA6F03">
            <w:pPr>
              <w:rPr>
                <w:rFonts w:asciiTheme="majorBidi" w:hAnsiTheme="majorBidi" w:cstheme="majorBidi"/>
                <w:b/>
                <w:bCs/>
                <w:sz w:val="20"/>
                <w:szCs w:val="20"/>
              </w:rPr>
            </w:pPr>
          </w:p>
        </w:tc>
        <w:tc>
          <w:tcPr>
            <w:tcW w:w="2699" w:type="dxa"/>
            <w:shd w:val="clear" w:color="auto" w:fill="F2F2F2" w:themeFill="background1" w:themeFillShade="F2"/>
          </w:tcPr>
          <w:p w14:paraId="27B60E55" w14:textId="77777777" w:rsidR="00B85C9C" w:rsidRPr="001A1529" w:rsidRDefault="00B85C9C" w:rsidP="00CA6F03">
            <w:pPr>
              <w:rPr>
                <w:rFonts w:asciiTheme="majorBidi" w:hAnsiTheme="majorBidi" w:cstheme="majorBidi"/>
                <w:b/>
                <w:bCs/>
                <w:sz w:val="20"/>
                <w:szCs w:val="20"/>
              </w:rPr>
            </w:pPr>
          </w:p>
        </w:tc>
        <w:tc>
          <w:tcPr>
            <w:tcW w:w="1472" w:type="dxa"/>
            <w:shd w:val="clear" w:color="auto" w:fill="F2F2F2" w:themeFill="background1" w:themeFillShade="F2"/>
          </w:tcPr>
          <w:p w14:paraId="0E509F75" w14:textId="77777777" w:rsidR="00B85C9C" w:rsidRPr="001A1529" w:rsidRDefault="00B85C9C" w:rsidP="00CA6F03">
            <w:pPr>
              <w:rPr>
                <w:rFonts w:asciiTheme="majorBidi" w:hAnsiTheme="majorBidi" w:cstheme="majorBidi"/>
                <w:b/>
                <w:bCs/>
                <w:sz w:val="20"/>
                <w:szCs w:val="20"/>
              </w:rPr>
            </w:pPr>
          </w:p>
        </w:tc>
        <w:tc>
          <w:tcPr>
            <w:tcW w:w="3139" w:type="dxa"/>
            <w:shd w:val="clear" w:color="auto" w:fill="F2F2F2" w:themeFill="background1" w:themeFillShade="F2"/>
          </w:tcPr>
          <w:p w14:paraId="46021768" w14:textId="77777777" w:rsidR="00B85C9C" w:rsidRPr="001A1529" w:rsidRDefault="00B85C9C" w:rsidP="00CA6F03">
            <w:pPr>
              <w:rPr>
                <w:rFonts w:asciiTheme="majorBidi" w:hAnsiTheme="majorBidi" w:cstheme="majorBidi"/>
                <w:b/>
                <w:bCs/>
                <w:sz w:val="20"/>
                <w:szCs w:val="20"/>
              </w:rPr>
            </w:pPr>
          </w:p>
        </w:tc>
        <w:tc>
          <w:tcPr>
            <w:tcW w:w="1541" w:type="dxa"/>
            <w:shd w:val="clear" w:color="auto" w:fill="F2F2F2" w:themeFill="background1" w:themeFillShade="F2"/>
          </w:tcPr>
          <w:p w14:paraId="5948CAB2" w14:textId="77777777" w:rsidR="00B85C9C" w:rsidRPr="001A1529" w:rsidRDefault="00B85C9C" w:rsidP="00CA6F03">
            <w:pPr>
              <w:rPr>
                <w:rFonts w:asciiTheme="majorBidi" w:hAnsiTheme="majorBidi" w:cstheme="majorBidi"/>
                <w:b/>
                <w:bCs/>
                <w:sz w:val="20"/>
                <w:szCs w:val="20"/>
              </w:rPr>
            </w:pPr>
          </w:p>
        </w:tc>
      </w:tr>
      <w:tr w:rsidR="00B85C9C" w:rsidRPr="001A1529" w14:paraId="53873968" w14:textId="77777777" w:rsidTr="00CA6F03">
        <w:tc>
          <w:tcPr>
            <w:tcW w:w="1783" w:type="dxa"/>
            <w:tcBorders>
              <w:bottom w:val="single" w:sz="4" w:space="0" w:color="auto"/>
            </w:tcBorders>
          </w:tcPr>
          <w:p w14:paraId="637A709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Noseworthy et al 2022</w:t>
            </w:r>
          </w:p>
          <w:p w14:paraId="6B3EB8E8" w14:textId="24BC376F" w:rsidR="00B85C9C" w:rsidRPr="001A1529" w:rsidRDefault="00B85C9C" w:rsidP="00CA6F03">
            <w:pPr>
              <w:rPr>
                <w:rFonts w:asciiTheme="majorBidi" w:hAnsiTheme="majorBidi" w:cstheme="majorBidi"/>
                <w:sz w:val="20"/>
                <w:szCs w:val="20"/>
              </w:rPr>
            </w:pPr>
          </w:p>
        </w:tc>
        <w:tc>
          <w:tcPr>
            <w:tcW w:w="1638" w:type="dxa"/>
            <w:tcBorders>
              <w:bottom w:val="single" w:sz="4" w:space="0" w:color="auto"/>
            </w:tcBorders>
          </w:tcPr>
          <w:p w14:paraId="60488AE0"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RCT, n = 922</w:t>
            </w:r>
          </w:p>
        </w:tc>
        <w:tc>
          <w:tcPr>
            <w:tcW w:w="1678" w:type="dxa"/>
            <w:tcBorders>
              <w:bottom w:val="single" w:sz="4" w:space="0" w:color="auto"/>
            </w:tcBorders>
          </w:tcPr>
          <w:p w14:paraId="5A04911C" w14:textId="77777777" w:rsidR="00B85C9C" w:rsidRPr="00220A96" w:rsidRDefault="00B85C9C" w:rsidP="00CA6F03">
            <w:pPr>
              <w:rPr>
                <w:rFonts w:asciiTheme="majorBidi" w:hAnsiTheme="majorBidi" w:cstheme="majorBidi"/>
                <w:sz w:val="20"/>
                <w:szCs w:val="20"/>
              </w:rPr>
            </w:pPr>
            <w:r>
              <w:rPr>
                <w:rFonts w:asciiTheme="majorBidi" w:hAnsiTheme="majorBidi" w:cstheme="majorBidi"/>
                <w:sz w:val="20"/>
                <w:szCs w:val="20"/>
              </w:rPr>
              <w:t>P</w:t>
            </w:r>
            <w:r w:rsidRPr="00220A96">
              <w:rPr>
                <w:rFonts w:asciiTheme="majorBidi" w:hAnsiTheme="majorBidi" w:cstheme="majorBidi"/>
                <w:sz w:val="20"/>
                <w:szCs w:val="20"/>
              </w:rPr>
              <w:t>atients cared for in</w:t>
            </w:r>
            <w:r>
              <w:rPr>
                <w:rFonts w:asciiTheme="majorBidi" w:hAnsiTheme="majorBidi" w:cstheme="majorBidi"/>
                <w:sz w:val="20"/>
                <w:szCs w:val="20"/>
              </w:rPr>
              <w:t xml:space="preserve"> ED</w:t>
            </w:r>
            <w:r w:rsidRPr="00220A96">
              <w:rPr>
                <w:rFonts w:asciiTheme="majorBidi" w:hAnsiTheme="majorBidi" w:cstheme="majorBidi"/>
                <w:sz w:val="20"/>
                <w:szCs w:val="20"/>
              </w:rPr>
              <w:t>s, outpatient safety net, primary</w:t>
            </w:r>
          </w:p>
          <w:p w14:paraId="7C3FC1ED" w14:textId="77777777" w:rsidR="00B85C9C" w:rsidRPr="00220A96" w:rsidRDefault="00B85C9C" w:rsidP="00CA6F03">
            <w:pPr>
              <w:rPr>
                <w:rFonts w:asciiTheme="majorBidi" w:hAnsiTheme="majorBidi" w:cstheme="majorBidi"/>
                <w:b/>
                <w:bCs/>
                <w:sz w:val="20"/>
                <w:szCs w:val="20"/>
              </w:rPr>
            </w:pPr>
            <w:r w:rsidRPr="00220A96">
              <w:rPr>
                <w:rFonts w:asciiTheme="majorBidi" w:hAnsiTheme="majorBidi" w:cstheme="majorBidi"/>
                <w:sz w:val="20"/>
                <w:szCs w:val="20"/>
              </w:rPr>
              <w:t>care and</w:t>
            </w:r>
            <w:r>
              <w:rPr>
                <w:rFonts w:asciiTheme="majorBidi" w:hAnsiTheme="majorBidi" w:cstheme="majorBidi"/>
                <w:sz w:val="20"/>
                <w:szCs w:val="20"/>
              </w:rPr>
              <w:t xml:space="preserve"> </w:t>
            </w:r>
            <w:r w:rsidRPr="00220A96">
              <w:rPr>
                <w:rFonts w:asciiTheme="majorBidi" w:hAnsiTheme="majorBidi" w:cstheme="majorBidi"/>
                <w:sz w:val="20"/>
                <w:szCs w:val="20"/>
              </w:rPr>
              <w:t xml:space="preserve">cardiology clinics, </w:t>
            </w:r>
            <w:r w:rsidRPr="00220A96">
              <w:rPr>
                <w:rFonts w:asciiTheme="majorBidi" w:hAnsiTheme="majorBidi" w:cstheme="majorBidi"/>
                <w:b/>
                <w:bCs/>
                <w:sz w:val="20"/>
                <w:szCs w:val="20"/>
              </w:rPr>
              <w:t>and inpatient hospital</w:t>
            </w:r>
          </w:p>
          <w:p w14:paraId="34FF8A5F" w14:textId="77777777" w:rsidR="00B85C9C" w:rsidRPr="00220A96" w:rsidRDefault="00B85C9C" w:rsidP="00CA6F03">
            <w:pPr>
              <w:rPr>
                <w:rFonts w:asciiTheme="majorBidi" w:hAnsiTheme="majorBidi" w:cstheme="majorBidi"/>
                <w:sz w:val="20"/>
                <w:szCs w:val="20"/>
              </w:rPr>
            </w:pPr>
            <w:r w:rsidRPr="00220A96">
              <w:rPr>
                <w:rFonts w:asciiTheme="majorBidi" w:hAnsiTheme="majorBidi" w:cstheme="majorBidi"/>
                <w:b/>
                <w:bCs/>
                <w:sz w:val="20"/>
                <w:szCs w:val="20"/>
              </w:rPr>
              <w:t>services</w:t>
            </w:r>
            <w:r w:rsidRPr="00220A96">
              <w:rPr>
                <w:rFonts w:asciiTheme="majorBidi" w:hAnsiTheme="majorBidi" w:cstheme="majorBidi"/>
                <w:sz w:val="20"/>
                <w:szCs w:val="20"/>
              </w:rPr>
              <w:t>, a</w:t>
            </w:r>
            <w:r>
              <w:rPr>
                <w:rFonts w:asciiTheme="majorBidi" w:hAnsiTheme="majorBidi" w:cstheme="majorBidi"/>
                <w:sz w:val="20"/>
                <w:szCs w:val="20"/>
              </w:rPr>
              <w:t xml:space="preserve"> </w:t>
            </w:r>
            <w:r w:rsidRPr="00220A96">
              <w:rPr>
                <w:rFonts w:asciiTheme="majorBidi" w:hAnsiTheme="majorBidi" w:cstheme="majorBidi"/>
                <w:sz w:val="20"/>
                <w:szCs w:val="20"/>
              </w:rPr>
              <w:t>suburban</w:t>
            </w:r>
            <w:r>
              <w:rPr>
                <w:rFonts w:asciiTheme="majorBidi" w:hAnsiTheme="majorBidi" w:cstheme="majorBidi"/>
                <w:sz w:val="20"/>
                <w:szCs w:val="20"/>
              </w:rPr>
              <w:t xml:space="preserve"> </w:t>
            </w:r>
            <w:r w:rsidRPr="00220A96">
              <w:rPr>
                <w:rFonts w:asciiTheme="majorBidi" w:hAnsiTheme="majorBidi" w:cstheme="majorBidi"/>
                <w:sz w:val="20"/>
                <w:szCs w:val="20"/>
              </w:rPr>
              <w:t>group practice, and an</w:t>
            </w:r>
            <w:r>
              <w:rPr>
                <w:rFonts w:asciiTheme="majorBidi" w:hAnsiTheme="majorBidi" w:cstheme="majorBidi"/>
                <w:sz w:val="20"/>
                <w:szCs w:val="20"/>
              </w:rPr>
              <w:t xml:space="preserve"> </w:t>
            </w:r>
            <w:r w:rsidRPr="00220A96">
              <w:rPr>
                <w:rFonts w:asciiTheme="majorBidi" w:hAnsiTheme="majorBidi" w:cstheme="majorBidi"/>
                <w:sz w:val="20"/>
                <w:szCs w:val="20"/>
              </w:rPr>
              <w:t>urban safety-net</w:t>
            </w:r>
          </w:p>
          <w:p w14:paraId="4A6C404B" w14:textId="77777777" w:rsidR="00B85C9C" w:rsidRPr="001A1529" w:rsidRDefault="00B85C9C" w:rsidP="00CA6F03">
            <w:pPr>
              <w:rPr>
                <w:rFonts w:asciiTheme="majorBidi" w:hAnsiTheme="majorBidi" w:cstheme="majorBidi"/>
                <w:b/>
                <w:bCs/>
                <w:sz w:val="20"/>
                <w:szCs w:val="20"/>
              </w:rPr>
            </w:pPr>
            <w:r w:rsidRPr="00220A96">
              <w:rPr>
                <w:rFonts w:asciiTheme="majorBidi" w:hAnsiTheme="majorBidi" w:cstheme="majorBidi"/>
                <w:sz w:val="20"/>
                <w:szCs w:val="20"/>
              </w:rPr>
              <w:t>health system</w:t>
            </w:r>
            <w:r>
              <w:rPr>
                <w:rFonts w:asciiTheme="majorBidi" w:hAnsiTheme="majorBidi" w:cstheme="majorBidi"/>
                <w:sz w:val="20"/>
                <w:szCs w:val="20"/>
              </w:rPr>
              <w:t>. Two cohorts: starting anticoagulation cohort and reviewing anticoagulation cohort.</w:t>
            </w:r>
          </w:p>
        </w:tc>
        <w:tc>
          <w:tcPr>
            <w:tcW w:w="2699" w:type="dxa"/>
            <w:tcBorders>
              <w:bottom w:val="single" w:sz="4" w:space="0" w:color="auto"/>
            </w:tcBorders>
          </w:tcPr>
          <w:p w14:paraId="35EB58A9" w14:textId="77777777" w:rsidR="00B85C9C" w:rsidRPr="00621A85" w:rsidRDefault="00B85C9C" w:rsidP="00CA6F03">
            <w:pPr>
              <w:rPr>
                <w:rFonts w:asciiTheme="majorBidi" w:hAnsiTheme="majorBidi" w:cstheme="majorBidi"/>
                <w:sz w:val="20"/>
                <w:szCs w:val="20"/>
              </w:rPr>
            </w:pPr>
            <w:r>
              <w:rPr>
                <w:rFonts w:asciiTheme="majorBidi" w:hAnsiTheme="majorBidi" w:cstheme="majorBidi"/>
                <w:sz w:val="20"/>
                <w:szCs w:val="20"/>
              </w:rPr>
              <w:t>U</w:t>
            </w:r>
            <w:r w:rsidRPr="00621A85">
              <w:rPr>
                <w:rFonts w:asciiTheme="majorBidi" w:hAnsiTheme="majorBidi" w:cstheme="majorBidi"/>
                <w:sz w:val="20"/>
                <w:szCs w:val="20"/>
              </w:rPr>
              <w:t>se of the Anticoagulation</w:t>
            </w:r>
          </w:p>
          <w:p w14:paraId="20B515F3" w14:textId="77777777" w:rsidR="00B85C9C" w:rsidRPr="001A1529" w:rsidRDefault="00B85C9C" w:rsidP="00CA6F03">
            <w:pPr>
              <w:rPr>
                <w:rFonts w:asciiTheme="majorBidi" w:hAnsiTheme="majorBidi" w:cstheme="majorBidi"/>
                <w:b/>
                <w:bCs/>
                <w:sz w:val="20"/>
                <w:szCs w:val="20"/>
              </w:rPr>
            </w:pPr>
            <w:r w:rsidRPr="00621A85">
              <w:rPr>
                <w:rFonts w:asciiTheme="majorBidi" w:hAnsiTheme="majorBidi" w:cstheme="majorBidi"/>
                <w:sz w:val="20"/>
                <w:szCs w:val="20"/>
              </w:rPr>
              <w:t>Choice tool</w:t>
            </w:r>
            <w:r>
              <w:rPr>
                <w:rFonts w:asciiTheme="majorBidi" w:hAnsiTheme="majorBidi" w:cstheme="majorBidi"/>
                <w:sz w:val="20"/>
                <w:szCs w:val="20"/>
              </w:rPr>
              <w:t xml:space="preserve"> (</w:t>
            </w:r>
            <w:r w:rsidRPr="00C72745">
              <w:rPr>
                <w:rFonts w:asciiTheme="majorBidi" w:hAnsiTheme="majorBidi" w:cstheme="majorBidi"/>
                <w:b/>
                <w:bCs/>
                <w:sz w:val="20"/>
                <w:szCs w:val="20"/>
              </w:rPr>
              <w:t>shared decision-making tool</w:t>
            </w:r>
            <w:r>
              <w:rPr>
                <w:rFonts w:asciiTheme="majorBidi" w:hAnsiTheme="majorBidi" w:cstheme="majorBidi"/>
                <w:sz w:val="20"/>
                <w:szCs w:val="20"/>
              </w:rPr>
              <w:t>)</w:t>
            </w:r>
          </w:p>
        </w:tc>
        <w:tc>
          <w:tcPr>
            <w:tcW w:w="1472" w:type="dxa"/>
            <w:tcBorders>
              <w:bottom w:val="single" w:sz="4" w:space="0" w:color="auto"/>
            </w:tcBorders>
          </w:tcPr>
          <w:p w14:paraId="5E17DADA" w14:textId="77777777" w:rsidR="00B85C9C" w:rsidRPr="00C72745" w:rsidRDefault="00B85C9C" w:rsidP="00CA6F03">
            <w:pPr>
              <w:rPr>
                <w:rFonts w:asciiTheme="majorBidi" w:hAnsiTheme="majorBidi" w:cstheme="majorBidi"/>
                <w:sz w:val="20"/>
                <w:szCs w:val="20"/>
              </w:rPr>
            </w:pPr>
            <w:r w:rsidRPr="00C72745">
              <w:rPr>
                <w:rFonts w:asciiTheme="majorBidi" w:hAnsiTheme="majorBidi" w:cstheme="majorBidi"/>
                <w:sz w:val="20"/>
                <w:szCs w:val="20"/>
              </w:rPr>
              <w:t>Usual care</w:t>
            </w:r>
          </w:p>
        </w:tc>
        <w:tc>
          <w:tcPr>
            <w:tcW w:w="3139" w:type="dxa"/>
            <w:tcBorders>
              <w:bottom w:val="single" w:sz="4" w:space="0" w:color="auto"/>
            </w:tcBorders>
          </w:tcPr>
          <w:p w14:paraId="5433B349"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w:t>
            </w:r>
            <w:r w:rsidRPr="000A52FA">
              <w:rPr>
                <w:rFonts w:asciiTheme="majorBidi" w:hAnsiTheme="majorBidi" w:cstheme="majorBidi"/>
                <w:sz w:val="20"/>
                <w:szCs w:val="20"/>
              </w:rPr>
              <w:t>In this large, randomized trial comparing UC with a tool to</w:t>
            </w:r>
            <w:r>
              <w:rPr>
                <w:rFonts w:asciiTheme="majorBidi" w:hAnsiTheme="majorBidi" w:cstheme="majorBidi"/>
                <w:sz w:val="20"/>
                <w:szCs w:val="20"/>
              </w:rPr>
              <w:t xml:space="preserve"> </w:t>
            </w:r>
            <w:r w:rsidRPr="000A52FA">
              <w:rPr>
                <w:rFonts w:asciiTheme="majorBidi" w:hAnsiTheme="majorBidi" w:cstheme="majorBidi"/>
                <w:sz w:val="20"/>
                <w:szCs w:val="20"/>
              </w:rPr>
              <w:t xml:space="preserve">promote SDM against UC alone, we found </w:t>
            </w:r>
            <w:r w:rsidRPr="000A52FA">
              <w:rPr>
                <w:rFonts w:asciiTheme="majorBidi" w:hAnsiTheme="majorBidi" w:cstheme="majorBidi"/>
                <w:b/>
                <w:bCs/>
                <w:sz w:val="20"/>
                <w:szCs w:val="20"/>
              </w:rPr>
              <w:t>no significant</w:t>
            </w:r>
            <w:r w:rsidRPr="00220A96">
              <w:rPr>
                <w:rFonts w:asciiTheme="majorBidi" w:hAnsiTheme="majorBidi" w:cstheme="majorBidi"/>
                <w:b/>
                <w:bCs/>
                <w:sz w:val="20"/>
                <w:szCs w:val="20"/>
              </w:rPr>
              <w:t xml:space="preserve"> differences</w:t>
            </w:r>
            <w:r w:rsidRPr="000A52FA">
              <w:rPr>
                <w:rFonts w:asciiTheme="majorBidi" w:hAnsiTheme="majorBidi" w:cstheme="majorBidi"/>
                <w:sz w:val="20"/>
                <w:szCs w:val="20"/>
              </w:rPr>
              <w:t xml:space="preserve"> between arms in primary or</w:t>
            </w:r>
            <w:r>
              <w:rPr>
                <w:rFonts w:asciiTheme="majorBidi" w:hAnsiTheme="majorBidi" w:cstheme="majorBidi"/>
                <w:sz w:val="20"/>
                <w:szCs w:val="20"/>
              </w:rPr>
              <w:t xml:space="preserve"> </w:t>
            </w:r>
            <w:r w:rsidRPr="000A52FA">
              <w:rPr>
                <w:rFonts w:asciiTheme="majorBidi" w:hAnsiTheme="majorBidi" w:cstheme="majorBidi"/>
                <w:sz w:val="20"/>
                <w:szCs w:val="20"/>
              </w:rPr>
              <w:t>secondary adherence to</w:t>
            </w:r>
            <w:r>
              <w:rPr>
                <w:rFonts w:asciiTheme="majorBidi" w:hAnsiTheme="majorBidi" w:cstheme="majorBidi"/>
                <w:sz w:val="20"/>
                <w:szCs w:val="20"/>
              </w:rPr>
              <w:t xml:space="preserve"> </w:t>
            </w:r>
            <w:r w:rsidRPr="000A52FA">
              <w:rPr>
                <w:rFonts w:asciiTheme="majorBidi" w:hAnsiTheme="majorBidi" w:cstheme="majorBidi"/>
                <w:sz w:val="20"/>
                <w:szCs w:val="20"/>
              </w:rPr>
              <w:t>anticoagulation or in clinical safety outcomes.</w:t>
            </w:r>
            <w:r>
              <w:rPr>
                <w:rFonts w:asciiTheme="majorBidi" w:hAnsiTheme="majorBidi" w:cstheme="majorBidi"/>
                <w:sz w:val="20"/>
                <w:szCs w:val="20"/>
              </w:rPr>
              <w:t>”</w:t>
            </w:r>
          </w:p>
        </w:tc>
        <w:tc>
          <w:tcPr>
            <w:tcW w:w="1541" w:type="dxa"/>
            <w:tcBorders>
              <w:bottom w:val="single" w:sz="4" w:space="0" w:color="auto"/>
            </w:tcBorders>
          </w:tcPr>
          <w:p w14:paraId="5E71EC68" w14:textId="77777777" w:rsidR="00B85C9C" w:rsidRPr="001A1529" w:rsidRDefault="00B85C9C" w:rsidP="00CA6F03">
            <w:pPr>
              <w:rPr>
                <w:rFonts w:asciiTheme="majorBidi" w:hAnsiTheme="majorBidi" w:cstheme="majorBidi"/>
                <w:b/>
                <w:bCs/>
                <w:sz w:val="20"/>
                <w:szCs w:val="20"/>
              </w:rPr>
            </w:pPr>
            <w:r>
              <w:rPr>
                <w:rFonts w:asciiTheme="majorBidi" w:hAnsiTheme="majorBidi" w:cstheme="majorBidi"/>
                <w:sz w:val="20"/>
                <w:szCs w:val="20"/>
              </w:rPr>
              <w:t>High quality, large and randomised, although enrolled fewer women and minorities.</w:t>
            </w:r>
          </w:p>
        </w:tc>
      </w:tr>
      <w:tr w:rsidR="00B85C9C" w:rsidRPr="008D6755" w14:paraId="578DE28D" w14:textId="77777777" w:rsidTr="00CA6F03">
        <w:tc>
          <w:tcPr>
            <w:tcW w:w="1783" w:type="dxa"/>
            <w:tcBorders>
              <w:bottom w:val="single" w:sz="4" w:space="0" w:color="auto"/>
            </w:tcBorders>
          </w:tcPr>
          <w:p w14:paraId="05B22CA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Ruell et al 2019 </w:t>
            </w:r>
          </w:p>
          <w:p w14:paraId="58CBF303" w14:textId="77777777" w:rsidR="00B85C9C" w:rsidRPr="00A87A8C" w:rsidRDefault="00B85C9C" w:rsidP="008B50C6">
            <w:pPr>
              <w:rPr>
                <w:rFonts w:asciiTheme="majorBidi" w:hAnsiTheme="majorBidi" w:cstheme="majorBidi"/>
                <w:b/>
                <w:bCs/>
                <w:sz w:val="20"/>
                <w:szCs w:val="20"/>
              </w:rPr>
            </w:pPr>
          </w:p>
        </w:tc>
        <w:tc>
          <w:tcPr>
            <w:tcW w:w="1638" w:type="dxa"/>
            <w:tcBorders>
              <w:bottom w:val="single" w:sz="4" w:space="0" w:color="auto"/>
            </w:tcBorders>
          </w:tcPr>
          <w:p w14:paraId="2336B06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Single centre (</w:t>
            </w:r>
            <w:r w:rsidRPr="00A87A8C">
              <w:rPr>
                <w:rFonts w:asciiTheme="majorBidi" w:hAnsiTheme="majorBidi" w:cstheme="majorBidi"/>
                <w:b/>
                <w:bCs/>
                <w:sz w:val="20"/>
                <w:szCs w:val="20"/>
              </w:rPr>
              <w:t>CCDHB</w:t>
            </w:r>
            <w:r>
              <w:rPr>
                <w:rFonts w:asciiTheme="majorBidi" w:hAnsiTheme="majorBidi" w:cstheme="majorBidi"/>
                <w:b/>
                <w:bCs/>
                <w:sz w:val="20"/>
                <w:szCs w:val="20"/>
              </w:rPr>
              <w:t xml:space="preserve">) </w:t>
            </w:r>
            <w:r w:rsidRPr="00BF5094">
              <w:rPr>
                <w:rFonts w:asciiTheme="majorBidi" w:hAnsiTheme="majorBidi" w:cstheme="majorBidi"/>
                <w:sz w:val="20"/>
                <w:szCs w:val="20"/>
              </w:rPr>
              <w:t>prospective</w:t>
            </w:r>
            <w:r>
              <w:rPr>
                <w:rFonts w:asciiTheme="majorBidi" w:hAnsiTheme="majorBidi" w:cstheme="majorBidi"/>
                <w:sz w:val="20"/>
                <w:szCs w:val="20"/>
              </w:rPr>
              <w:t xml:space="preserve">, </w:t>
            </w:r>
            <w:r w:rsidRPr="00BF5094">
              <w:rPr>
                <w:rFonts w:asciiTheme="majorBidi" w:hAnsiTheme="majorBidi" w:cstheme="majorBidi"/>
                <w:sz w:val="20"/>
                <w:szCs w:val="20"/>
              </w:rPr>
              <w:t xml:space="preserve"> consecutive </w:t>
            </w:r>
            <w:r>
              <w:rPr>
                <w:rFonts w:asciiTheme="majorBidi" w:hAnsiTheme="majorBidi" w:cstheme="majorBidi"/>
                <w:sz w:val="20"/>
                <w:szCs w:val="20"/>
              </w:rPr>
              <w:t>patients, n = 566 (that underwent procedure)</w:t>
            </w:r>
          </w:p>
          <w:p w14:paraId="041A31FE" w14:textId="77777777" w:rsidR="00B85C9C" w:rsidRPr="008D6755" w:rsidRDefault="00B85C9C" w:rsidP="00CA6F03">
            <w:pPr>
              <w:rPr>
                <w:rFonts w:asciiTheme="majorBidi" w:hAnsiTheme="majorBidi" w:cstheme="majorBidi"/>
                <w:sz w:val="20"/>
                <w:szCs w:val="20"/>
              </w:rPr>
            </w:pPr>
          </w:p>
        </w:tc>
        <w:tc>
          <w:tcPr>
            <w:tcW w:w="1678" w:type="dxa"/>
            <w:tcBorders>
              <w:bottom w:val="single" w:sz="4" w:space="0" w:color="auto"/>
            </w:tcBorders>
          </w:tcPr>
          <w:p w14:paraId="7BFC9731" w14:textId="77777777" w:rsidR="00B85C9C" w:rsidRPr="006F380D" w:rsidRDefault="00B85C9C" w:rsidP="00CA6F03">
            <w:pPr>
              <w:rPr>
                <w:rFonts w:asciiTheme="majorBidi" w:hAnsiTheme="majorBidi" w:cstheme="majorBidi"/>
                <w:sz w:val="20"/>
                <w:szCs w:val="20"/>
              </w:rPr>
            </w:pPr>
            <w:r>
              <w:rPr>
                <w:rFonts w:asciiTheme="majorBidi" w:hAnsiTheme="majorBidi" w:cstheme="majorBidi"/>
                <w:sz w:val="20"/>
                <w:szCs w:val="20"/>
              </w:rPr>
              <w:t xml:space="preserve">All </w:t>
            </w:r>
            <w:r w:rsidRPr="006F380D">
              <w:rPr>
                <w:rFonts w:asciiTheme="majorBidi" w:hAnsiTheme="majorBidi" w:cstheme="majorBidi"/>
                <w:sz w:val="20"/>
                <w:szCs w:val="20"/>
              </w:rPr>
              <w:t>patients who required a surgical procedure or intervention that required</w:t>
            </w:r>
          </w:p>
          <w:p w14:paraId="24411C4D" w14:textId="77777777" w:rsidR="00B85C9C" w:rsidRPr="006F380D" w:rsidRDefault="00B85C9C" w:rsidP="00CA6F03">
            <w:pPr>
              <w:rPr>
                <w:rFonts w:asciiTheme="majorBidi" w:hAnsiTheme="majorBidi" w:cstheme="majorBidi"/>
                <w:sz w:val="20"/>
                <w:szCs w:val="20"/>
              </w:rPr>
            </w:pPr>
            <w:r w:rsidRPr="006F380D">
              <w:rPr>
                <w:rFonts w:asciiTheme="majorBidi" w:hAnsiTheme="majorBidi" w:cstheme="majorBidi"/>
                <w:sz w:val="20"/>
                <w:szCs w:val="20"/>
              </w:rPr>
              <w:t xml:space="preserve">interruption of anticoagulation </w:t>
            </w:r>
          </w:p>
          <w:p w14:paraId="70E78638" w14:textId="77777777" w:rsidR="00B85C9C" w:rsidRPr="008D6755" w:rsidRDefault="00B85C9C" w:rsidP="00CA6F03">
            <w:pPr>
              <w:rPr>
                <w:rFonts w:asciiTheme="majorBidi" w:hAnsiTheme="majorBidi" w:cstheme="majorBidi"/>
                <w:sz w:val="20"/>
                <w:szCs w:val="20"/>
              </w:rPr>
            </w:pPr>
            <w:r w:rsidRPr="006F380D">
              <w:rPr>
                <w:rFonts w:asciiTheme="majorBidi" w:hAnsiTheme="majorBidi" w:cstheme="majorBidi"/>
                <w:sz w:val="20"/>
                <w:szCs w:val="20"/>
              </w:rPr>
              <w:t>between May 2015 and February 2017.</w:t>
            </w:r>
          </w:p>
        </w:tc>
        <w:tc>
          <w:tcPr>
            <w:tcW w:w="2699" w:type="dxa"/>
            <w:tcBorders>
              <w:bottom w:val="single" w:sz="4" w:space="0" w:color="auto"/>
            </w:tcBorders>
          </w:tcPr>
          <w:p w14:paraId="7D1500C9" w14:textId="77777777" w:rsidR="00B85C9C" w:rsidRPr="00DF2A7F" w:rsidRDefault="00B85C9C" w:rsidP="00CA6F03">
            <w:pPr>
              <w:rPr>
                <w:rFonts w:asciiTheme="majorBidi" w:hAnsiTheme="majorBidi" w:cstheme="majorBidi"/>
                <w:sz w:val="20"/>
                <w:szCs w:val="20"/>
              </w:rPr>
            </w:pPr>
            <w:r w:rsidRPr="00A87A8C">
              <w:rPr>
                <w:rFonts w:asciiTheme="majorBidi" w:hAnsiTheme="majorBidi" w:cstheme="majorBidi"/>
                <w:b/>
                <w:bCs/>
                <w:sz w:val="20"/>
                <w:szCs w:val="20"/>
              </w:rPr>
              <w:t>Specialist perioperative anticoagulation bridging service</w:t>
            </w:r>
            <w:r>
              <w:rPr>
                <w:rFonts w:asciiTheme="majorBidi" w:hAnsiTheme="majorBidi" w:cstheme="majorBidi"/>
                <w:sz w:val="20"/>
                <w:szCs w:val="20"/>
              </w:rPr>
              <w:t xml:space="preserve"> </w:t>
            </w:r>
            <w:r w:rsidRPr="00DF2A7F">
              <w:rPr>
                <w:rFonts w:asciiTheme="majorBidi" w:hAnsiTheme="majorBidi" w:cstheme="majorBidi"/>
                <w:sz w:val="20"/>
                <w:szCs w:val="20"/>
              </w:rPr>
              <w:t xml:space="preserve">devised </w:t>
            </w:r>
            <w:r>
              <w:rPr>
                <w:rFonts w:asciiTheme="majorBidi" w:hAnsiTheme="majorBidi" w:cstheme="majorBidi"/>
                <w:sz w:val="20"/>
                <w:szCs w:val="20"/>
              </w:rPr>
              <w:t xml:space="preserve">an individualised plan </w:t>
            </w:r>
            <w:r w:rsidRPr="00DF2A7F">
              <w:rPr>
                <w:rFonts w:asciiTheme="majorBidi" w:hAnsiTheme="majorBidi" w:cstheme="majorBidi"/>
                <w:sz w:val="20"/>
                <w:szCs w:val="20"/>
              </w:rPr>
              <w:t>based on their anticoagulation,</w:t>
            </w:r>
          </w:p>
          <w:p w14:paraId="29CC1555" w14:textId="77777777" w:rsidR="00B85C9C" w:rsidRPr="008D6755" w:rsidRDefault="00B85C9C" w:rsidP="00CA6F03">
            <w:pPr>
              <w:rPr>
                <w:rFonts w:asciiTheme="majorBidi" w:hAnsiTheme="majorBidi" w:cstheme="majorBidi"/>
                <w:sz w:val="20"/>
                <w:szCs w:val="20"/>
              </w:rPr>
            </w:pPr>
            <w:r w:rsidRPr="00DF2A7F">
              <w:rPr>
                <w:rFonts w:asciiTheme="majorBidi" w:hAnsiTheme="majorBidi" w:cstheme="majorBidi"/>
                <w:sz w:val="20"/>
                <w:szCs w:val="20"/>
              </w:rPr>
              <w:t>surgical procedure, and indication for anticoagulation</w:t>
            </w:r>
          </w:p>
        </w:tc>
        <w:tc>
          <w:tcPr>
            <w:tcW w:w="1472" w:type="dxa"/>
            <w:tcBorders>
              <w:bottom w:val="single" w:sz="4" w:space="0" w:color="auto"/>
            </w:tcBorders>
          </w:tcPr>
          <w:p w14:paraId="155B308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Bleeding and thrombosis rates in existing RCTs</w:t>
            </w:r>
          </w:p>
        </w:tc>
        <w:tc>
          <w:tcPr>
            <w:tcW w:w="3139" w:type="dxa"/>
            <w:tcBorders>
              <w:bottom w:val="single" w:sz="4" w:space="0" w:color="auto"/>
            </w:tcBorders>
          </w:tcPr>
          <w:p w14:paraId="66616BEE" w14:textId="77777777" w:rsidR="00B85C9C" w:rsidRPr="00BF5094" w:rsidRDefault="00B85C9C" w:rsidP="00CA6F03">
            <w:pPr>
              <w:rPr>
                <w:rFonts w:asciiTheme="majorBidi" w:hAnsiTheme="majorBidi" w:cstheme="majorBidi"/>
                <w:b/>
                <w:bCs/>
                <w:sz w:val="20"/>
                <w:szCs w:val="20"/>
              </w:rPr>
            </w:pPr>
            <w:r w:rsidRPr="00A87A8C">
              <w:rPr>
                <w:rFonts w:asciiTheme="majorBidi" w:hAnsiTheme="majorBidi" w:cstheme="majorBidi"/>
                <w:b/>
                <w:bCs/>
                <w:sz w:val="20"/>
                <w:szCs w:val="20"/>
              </w:rPr>
              <w:t>L</w:t>
            </w:r>
            <w:r w:rsidRPr="00BF5094">
              <w:rPr>
                <w:rFonts w:asciiTheme="majorBidi" w:hAnsiTheme="majorBidi" w:cstheme="majorBidi"/>
                <w:b/>
                <w:bCs/>
                <w:sz w:val="20"/>
                <w:szCs w:val="20"/>
              </w:rPr>
              <w:t>ow rates of major bleeding 1.9% and thrombosis 0.8% at day</w:t>
            </w:r>
          </w:p>
          <w:p w14:paraId="42766ED7" w14:textId="77777777" w:rsidR="00B85C9C" w:rsidRDefault="00B85C9C" w:rsidP="00CA6F03">
            <w:pPr>
              <w:rPr>
                <w:rFonts w:asciiTheme="majorBidi" w:hAnsiTheme="majorBidi" w:cstheme="majorBidi"/>
                <w:sz w:val="20"/>
                <w:szCs w:val="20"/>
              </w:rPr>
            </w:pPr>
            <w:r w:rsidRPr="00BF5094">
              <w:rPr>
                <w:rFonts w:asciiTheme="majorBidi" w:hAnsiTheme="majorBidi" w:cstheme="majorBidi"/>
                <w:b/>
                <w:bCs/>
                <w:sz w:val="20"/>
                <w:szCs w:val="20"/>
              </w:rPr>
              <w:t xml:space="preserve">30 </w:t>
            </w:r>
            <w:r w:rsidRPr="00A87A8C">
              <w:rPr>
                <w:rFonts w:asciiTheme="majorBidi" w:hAnsiTheme="majorBidi" w:cstheme="majorBidi"/>
                <w:b/>
                <w:bCs/>
                <w:sz w:val="20"/>
                <w:szCs w:val="20"/>
              </w:rPr>
              <w:t xml:space="preserve">were </w:t>
            </w:r>
            <w:r w:rsidRPr="00BF5094">
              <w:rPr>
                <w:rFonts w:asciiTheme="majorBidi" w:hAnsiTheme="majorBidi" w:cstheme="majorBidi"/>
                <w:b/>
                <w:bCs/>
                <w:sz w:val="20"/>
                <w:szCs w:val="20"/>
              </w:rPr>
              <w:t xml:space="preserve">comparable to </w:t>
            </w:r>
            <w:r w:rsidRPr="00A87A8C">
              <w:rPr>
                <w:rFonts w:asciiTheme="majorBidi" w:hAnsiTheme="majorBidi" w:cstheme="majorBidi"/>
                <w:b/>
                <w:bCs/>
                <w:sz w:val="20"/>
                <w:szCs w:val="20"/>
              </w:rPr>
              <w:t>RCT</w:t>
            </w:r>
            <w:r w:rsidRPr="00BF5094">
              <w:rPr>
                <w:rFonts w:asciiTheme="majorBidi" w:hAnsiTheme="majorBidi" w:cstheme="majorBidi"/>
                <w:b/>
                <w:bCs/>
                <w:sz w:val="20"/>
                <w:szCs w:val="20"/>
              </w:rPr>
              <w:t>s</w:t>
            </w:r>
            <w:r w:rsidRPr="00BF5094">
              <w:rPr>
                <w:rFonts w:asciiTheme="majorBidi" w:hAnsiTheme="majorBidi" w:cstheme="majorBidi"/>
                <w:sz w:val="20"/>
                <w:szCs w:val="20"/>
              </w:rPr>
              <w:t xml:space="preserve">. </w:t>
            </w:r>
          </w:p>
          <w:p w14:paraId="5486FEB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Zero o</w:t>
            </w:r>
            <w:r w:rsidRPr="00BF5094">
              <w:rPr>
                <w:rFonts w:asciiTheme="majorBidi" w:hAnsiTheme="majorBidi" w:cstheme="majorBidi"/>
                <w:sz w:val="20"/>
                <w:szCs w:val="20"/>
              </w:rPr>
              <w:t>f 222 patients taking dabigatran</w:t>
            </w:r>
            <w:r>
              <w:rPr>
                <w:rFonts w:asciiTheme="majorBidi" w:hAnsiTheme="majorBidi" w:cstheme="majorBidi"/>
                <w:sz w:val="20"/>
                <w:szCs w:val="20"/>
              </w:rPr>
              <w:t xml:space="preserve"> </w:t>
            </w:r>
            <w:r w:rsidRPr="00BF5094">
              <w:rPr>
                <w:rFonts w:asciiTheme="majorBidi" w:hAnsiTheme="majorBidi" w:cstheme="majorBidi"/>
                <w:sz w:val="20"/>
                <w:szCs w:val="20"/>
              </w:rPr>
              <w:t xml:space="preserve">experienced major bleeding events. </w:t>
            </w:r>
          </w:p>
          <w:p w14:paraId="59E7107E" w14:textId="77777777" w:rsidR="00B85C9C" w:rsidRPr="00BF5094" w:rsidRDefault="00B85C9C" w:rsidP="00CA6F03">
            <w:pPr>
              <w:rPr>
                <w:rFonts w:asciiTheme="majorBidi" w:hAnsiTheme="majorBidi" w:cstheme="majorBidi"/>
                <w:sz w:val="20"/>
                <w:szCs w:val="20"/>
              </w:rPr>
            </w:pPr>
            <w:r>
              <w:rPr>
                <w:rFonts w:asciiTheme="majorBidi" w:hAnsiTheme="majorBidi" w:cstheme="majorBidi"/>
                <w:sz w:val="20"/>
                <w:szCs w:val="20"/>
              </w:rPr>
              <w:t>Authors state, “</w:t>
            </w:r>
            <w:r w:rsidRPr="00BF5094">
              <w:rPr>
                <w:rFonts w:asciiTheme="majorBidi" w:hAnsiTheme="majorBidi" w:cstheme="majorBidi"/>
                <w:sz w:val="20"/>
                <w:szCs w:val="20"/>
              </w:rPr>
              <w:t>We believe using a specialist coagulation service</w:t>
            </w:r>
          </w:p>
          <w:p w14:paraId="10709355" w14:textId="77777777" w:rsidR="00B85C9C" w:rsidRDefault="00B85C9C" w:rsidP="00CA6F03">
            <w:pPr>
              <w:rPr>
                <w:rFonts w:asciiTheme="majorBidi" w:hAnsiTheme="majorBidi" w:cstheme="majorBidi"/>
                <w:sz w:val="20"/>
                <w:szCs w:val="20"/>
              </w:rPr>
            </w:pPr>
            <w:r w:rsidRPr="00BF5094">
              <w:rPr>
                <w:rFonts w:asciiTheme="majorBidi" w:hAnsiTheme="majorBidi" w:cstheme="majorBidi"/>
                <w:sz w:val="20"/>
                <w:szCs w:val="20"/>
              </w:rPr>
              <w:t>is optimal to ensure surgery can proceed safely</w:t>
            </w:r>
            <w:r>
              <w:rPr>
                <w:rFonts w:asciiTheme="majorBidi" w:hAnsiTheme="majorBidi" w:cstheme="majorBidi"/>
                <w:sz w:val="20"/>
                <w:szCs w:val="20"/>
              </w:rPr>
              <w:t>”</w:t>
            </w:r>
          </w:p>
          <w:p w14:paraId="49D0EA63" w14:textId="77777777" w:rsidR="00B85C9C" w:rsidRPr="008D6755" w:rsidRDefault="00B85C9C" w:rsidP="00CA6F03">
            <w:pPr>
              <w:rPr>
                <w:rFonts w:asciiTheme="majorBidi" w:hAnsiTheme="majorBidi" w:cstheme="majorBidi"/>
                <w:sz w:val="20"/>
                <w:szCs w:val="20"/>
              </w:rPr>
            </w:pPr>
          </w:p>
        </w:tc>
        <w:tc>
          <w:tcPr>
            <w:tcW w:w="1541" w:type="dxa"/>
            <w:tcBorders>
              <w:bottom w:val="single" w:sz="4" w:space="0" w:color="auto"/>
            </w:tcBorders>
          </w:tcPr>
          <w:p w14:paraId="6EBCAEE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no comparator, not randomized. </w:t>
            </w:r>
          </w:p>
        </w:tc>
      </w:tr>
      <w:tr w:rsidR="00B85C9C" w:rsidRPr="008D6755" w14:paraId="6E925CF6" w14:textId="77777777" w:rsidTr="00CA6F03">
        <w:tc>
          <w:tcPr>
            <w:tcW w:w="1783" w:type="dxa"/>
          </w:tcPr>
          <w:p w14:paraId="79391BF4" w14:textId="77777777" w:rsidR="00B85C9C" w:rsidRDefault="00B85C9C" w:rsidP="00CA6F03">
            <w:pPr>
              <w:rPr>
                <w:rFonts w:asciiTheme="majorBidi" w:hAnsiTheme="majorBidi" w:cstheme="majorBidi"/>
                <w:sz w:val="20"/>
                <w:szCs w:val="20"/>
              </w:rPr>
            </w:pPr>
            <w:proofErr w:type="spellStart"/>
            <w:r>
              <w:rPr>
                <w:rFonts w:asciiTheme="majorBidi" w:hAnsiTheme="majorBidi" w:cstheme="majorBidi"/>
                <w:sz w:val="20"/>
                <w:szCs w:val="20"/>
              </w:rPr>
              <w:t>Pelkofski</w:t>
            </w:r>
            <w:proofErr w:type="spellEnd"/>
            <w:r>
              <w:rPr>
                <w:rFonts w:asciiTheme="majorBidi" w:hAnsiTheme="majorBidi" w:cstheme="majorBidi"/>
                <w:sz w:val="20"/>
                <w:szCs w:val="20"/>
              </w:rPr>
              <w:t xml:space="preserve"> et al 2019</w:t>
            </w:r>
          </w:p>
          <w:p w14:paraId="1EF24C97" w14:textId="63A762B5" w:rsidR="00B85C9C" w:rsidRPr="008D6755" w:rsidRDefault="00B85C9C" w:rsidP="00CA6F03">
            <w:pPr>
              <w:rPr>
                <w:rFonts w:asciiTheme="majorBidi" w:hAnsiTheme="majorBidi" w:cstheme="majorBidi"/>
                <w:sz w:val="20"/>
                <w:szCs w:val="20"/>
              </w:rPr>
            </w:pPr>
          </w:p>
        </w:tc>
        <w:tc>
          <w:tcPr>
            <w:tcW w:w="1638" w:type="dxa"/>
          </w:tcPr>
          <w:p w14:paraId="5070F48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Pre-/post- intervention study, (n = 100 intervention, 182 historical controls)</w:t>
            </w:r>
          </w:p>
        </w:tc>
        <w:tc>
          <w:tcPr>
            <w:tcW w:w="1678" w:type="dxa"/>
          </w:tcPr>
          <w:p w14:paraId="1861B75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Women undergoing gynaecological oncology surgical procedures. </w:t>
            </w:r>
          </w:p>
        </w:tc>
        <w:tc>
          <w:tcPr>
            <w:tcW w:w="2699" w:type="dxa"/>
          </w:tcPr>
          <w:p w14:paraId="77C22A7C" w14:textId="77777777" w:rsidR="00B85C9C" w:rsidRPr="00B0585C" w:rsidRDefault="00B85C9C" w:rsidP="00CA6F03">
            <w:pPr>
              <w:rPr>
                <w:rFonts w:asciiTheme="majorBidi" w:hAnsiTheme="majorBidi" w:cstheme="majorBidi"/>
                <w:sz w:val="20"/>
                <w:szCs w:val="20"/>
              </w:rPr>
            </w:pPr>
            <w:r w:rsidRPr="005454B1">
              <w:rPr>
                <w:rFonts w:asciiTheme="majorBidi" w:hAnsiTheme="majorBidi" w:cstheme="majorBidi"/>
                <w:b/>
                <w:bCs/>
                <w:sz w:val="20"/>
                <w:szCs w:val="20"/>
              </w:rPr>
              <w:t>QI intervention bundl</w:t>
            </w:r>
            <w:r>
              <w:rPr>
                <w:rFonts w:asciiTheme="majorBidi" w:hAnsiTheme="majorBidi" w:cstheme="majorBidi"/>
                <w:b/>
                <w:bCs/>
                <w:sz w:val="20"/>
                <w:szCs w:val="20"/>
              </w:rPr>
              <w:t xml:space="preserve">e: </w:t>
            </w:r>
            <w:r>
              <w:rPr>
                <w:rFonts w:asciiTheme="majorBidi" w:hAnsiTheme="majorBidi" w:cstheme="majorBidi"/>
                <w:sz w:val="20"/>
                <w:szCs w:val="20"/>
              </w:rPr>
              <w:t xml:space="preserve">Reasons for non-compliance identified, and then bundle to address this including: education, morale, documentation, communication, visibility, momentum (see Figure 1 in </w:t>
            </w:r>
            <w:proofErr w:type="spellStart"/>
            <w:r>
              <w:rPr>
                <w:rFonts w:asciiTheme="majorBidi" w:hAnsiTheme="majorBidi" w:cstheme="majorBidi"/>
                <w:sz w:val="20"/>
                <w:szCs w:val="20"/>
              </w:rPr>
              <w:t>Pelkofski</w:t>
            </w:r>
            <w:proofErr w:type="spellEnd"/>
            <w:r>
              <w:rPr>
                <w:rFonts w:asciiTheme="majorBidi" w:hAnsiTheme="majorBidi" w:cstheme="majorBidi"/>
                <w:sz w:val="20"/>
                <w:szCs w:val="20"/>
              </w:rPr>
              <w:t xml:space="preserve"> et al 2019 for details). </w:t>
            </w:r>
          </w:p>
        </w:tc>
        <w:tc>
          <w:tcPr>
            <w:tcW w:w="1472" w:type="dxa"/>
          </w:tcPr>
          <w:p w14:paraId="6EE4E09D"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Cases in the year prior to intervention</w:t>
            </w:r>
          </w:p>
        </w:tc>
        <w:tc>
          <w:tcPr>
            <w:tcW w:w="3139" w:type="dxa"/>
          </w:tcPr>
          <w:p w14:paraId="5D89D3C1" w14:textId="77777777" w:rsidR="00B85C9C" w:rsidRDefault="00B85C9C" w:rsidP="00CA6F03">
            <w:pPr>
              <w:rPr>
                <w:rFonts w:asciiTheme="majorBidi" w:hAnsiTheme="majorBidi" w:cstheme="majorBidi"/>
                <w:sz w:val="20"/>
                <w:szCs w:val="20"/>
              </w:rPr>
            </w:pPr>
            <w:r w:rsidRPr="008F2497">
              <w:rPr>
                <w:rFonts w:asciiTheme="majorBidi" w:hAnsiTheme="majorBidi" w:cstheme="majorBidi"/>
                <w:sz w:val="20"/>
                <w:szCs w:val="20"/>
              </w:rPr>
              <w:t>Compliance was</w:t>
            </w:r>
            <w:r>
              <w:rPr>
                <w:rFonts w:asciiTheme="majorBidi" w:hAnsiTheme="majorBidi" w:cstheme="majorBidi"/>
                <w:sz w:val="20"/>
                <w:szCs w:val="20"/>
              </w:rPr>
              <w:t xml:space="preserve"> </w:t>
            </w:r>
            <w:r w:rsidRPr="008F2497">
              <w:rPr>
                <w:rFonts w:asciiTheme="majorBidi" w:hAnsiTheme="majorBidi" w:cstheme="majorBidi"/>
                <w:sz w:val="20"/>
                <w:szCs w:val="20"/>
              </w:rPr>
              <w:t>defined as the receipt of a prophylactic dose of anticoagulant within 1 hour after NA or before skin incision</w:t>
            </w:r>
            <w:r>
              <w:rPr>
                <w:rFonts w:asciiTheme="majorBidi" w:hAnsiTheme="majorBidi" w:cstheme="majorBidi"/>
                <w:sz w:val="20"/>
                <w:szCs w:val="20"/>
              </w:rPr>
              <w:t xml:space="preserve"> </w:t>
            </w:r>
            <w:r w:rsidRPr="008F2497">
              <w:rPr>
                <w:rFonts w:asciiTheme="majorBidi" w:hAnsiTheme="majorBidi" w:cstheme="majorBidi"/>
                <w:sz w:val="20"/>
                <w:szCs w:val="20"/>
              </w:rPr>
              <w:t xml:space="preserve">regardless of </w:t>
            </w:r>
            <w:proofErr w:type="spellStart"/>
            <w:r w:rsidRPr="008F2497">
              <w:rPr>
                <w:rFonts w:asciiTheme="majorBidi" w:hAnsiTheme="majorBidi" w:cstheme="majorBidi"/>
                <w:sz w:val="20"/>
                <w:szCs w:val="20"/>
              </w:rPr>
              <w:t>anesthesia</w:t>
            </w:r>
            <w:proofErr w:type="spellEnd"/>
            <w:r w:rsidRPr="008F2497">
              <w:rPr>
                <w:rFonts w:asciiTheme="majorBidi" w:hAnsiTheme="majorBidi" w:cstheme="majorBidi"/>
                <w:sz w:val="20"/>
                <w:szCs w:val="20"/>
              </w:rPr>
              <w:t xml:space="preserve"> type.</w:t>
            </w:r>
          </w:p>
          <w:p w14:paraId="0B8D8289" w14:textId="77777777" w:rsidR="00B85C9C" w:rsidRPr="008D6755" w:rsidRDefault="00B85C9C" w:rsidP="00CA6F03">
            <w:pPr>
              <w:rPr>
                <w:rFonts w:asciiTheme="majorBidi" w:hAnsiTheme="majorBidi" w:cstheme="majorBidi"/>
                <w:sz w:val="20"/>
                <w:szCs w:val="20"/>
              </w:rPr>
            </w:pPr>
            <w:r w:rsidRPr="008F2497">
              <w:rPr>
                <w:rFonts w:asciiTheme="majorBidi" w:hAnsiTheme="majorBidi" w:cstheme="majorBidi"/>
                <w:b/>
                <w:bCs/>
                <w:sz w:val="20"/>
                <w:szCs w:val="20"/>
              </w:rPr>
              <w:t xml:space="preserve">Overall compliance improved (96% QI v 73% </w:t>
            </w:r>
            <w:r w:rsidRPr="005454B1">
              <w:rPr>
                <w:rFonts w:asciiTheme="majorBidi" w:hAnsiTheme="majorBidi" w:cstheme="majorBidi"/>
                <w:b/>
                <w:bCs/>
                <w:sz w:val="20"/>
                <w:szCs w:val="20"/>
              </w:rPr>
              <w:t>Control</w:t>
            </w:r>
            <w:r w:rsidRPr="008F2497">
              <w:rPr>
                <w:rFonts w:asciiTheme="majorBidi" w:hAnsiTheme="majorBidi" w:cstheme="majorBidi"/>
                <w:b/>
                <w:bCs/>
                <w:sz w:val="20"/>
                <w:szCs w:val="20"/>
              </w:rPr>
              <w:t xml:space="preserve">; P </w:t>
            </w:r>
            <w:r w:rsidRPr="005454B1">
              <w:rPr>
                <w:rFonts w:asciiTheme="majorBidi" w:hAnsiTheme="majorBidi" w:cstheme="majorBidi"/>
                <w:b/>
                <w:bCs/>
                <w:sz w:val="20"/>
                <w:szCs w:val="20"/>
              </w:rPr>
              <w:t>&lt;</w:t>
            </w:r>
            <w:r w:rsidRPr="008F2497">
              <w:rPr>
                <w:rFonts w:asciiTheme="majorBidi" w:hAnsiTheme="majorBidi" w:cstheme="majorBidi"/>
                <w:b/>
                <w:bCs/>
                <w:sz w:val="20"/>
                <w:szCs w:val="20"/>
              </w:rPr>
              <w:t xml:space="preserve"> </w:t>
            </w:r>
            <w:r w:rsidRPr="005454B1">
              <w:rPr>
                <w:rFonts w:asciiTheme="majorBidi" w:hAnsiTheme="majorBidi" w:cstheme="majorBidi"/>
                <w:b/>
                <w:bCs/>
                <w:sz w:val="20"/>
                <w:szCs w:val="20"/>
              </w:rPr>
              <w:t>0</w:t>
            </w:r>
            <w:r w:rsidRPr="008F2497">
              <w:rPr>
                <w:rFonts w:asciiTheme="majorBidi" w:hAnsiTheme="majorBidi" w:cstheme="majorBidi"/>
                <w:b/>
                <w:bCs/>
                <w:sz w:val="20"/>
                <w:szCs w:val="20"/>
              </w:rPr>
              <w:t>.001).</w:t>
            </w:r>
            <w:r w:rsidRPr="008F2497">
              <w:rPr>
                <w:rFonts w:asciiTheme="majorBidi" w:hAnsiTheme="majorBidi" w:cstheme="majorBidi"/>
                <w:sz w:val="20"/>
                <w:szCs w:val="20"/>
              </w:rPr>
              <w:t xml:space="preserve"> This difference was marked in cases</w:t>
            </w:r>
            <w:r>
              <w:rPr>
                <w:rFonts w:asciiTheme="majorBidi" w:hAnsiTheme="majorBidi" w:cstheme="majorBidi"/>
                <w:sz w:val="20"/>
                <w:szCs w:val="20"/>
              </w:rPr>
              <w:t xml:space="preserve"> </w:t>
            </w:r>
            <w:r w:rsidRPr="008F2497">
              <w:rPr>
                <w:rFonts w:asciiTheme="majorBidi" w:hAnsiTheme="majorBidi" w:cstheme="majorBidi"/>
                <w:sz w:val="20"/>
                <w:szCs w:val="20"/>
              </w:rPr>
              <w:t xml:space="preserve">with </w:t>
            </w:r>
            <w:proofErr w:type="spellStart"/>
            <w:r>
              <w:rPr>
                <w:rFonts w:asciiTheme="majorBidi" w:hAnsiTheme="majorBidi" w:cstheme="majorBidi"/>
                <w:sz w:val="20"/>
                <w:szCs w:val="20"/>
              </w:rPr>
              <w:t>neuroaxial</w:t>
            </w:r>
            <w:proofErr w:type="spellEnd"/>
            <w:r>
              <w:rPr>
                <w:rFonts w:asciiTheme="majorBidi" w:hAnsiTheme="majorBidi" w:cstheme="majorBidi"/>
                <w:sz w:val="20"/>
                <w:szCs w:val="20"/>
              </w:rPr>
              <w:t xml:space="preserve"> anaesthesia</w:t>
            </w:r>
            <w:r w:rsidRPr="008F2497">
              <w:rPr>
                <w:rFonts w:asciiTheme="majorBidi" w:hAnsiTheme="majorBidi" w:cstheme="majorBidi"/>
                <w:sz w:val="20"/>
                <w:szCs w:val="20"/>
              </w:rPr>
              <w:t xml:space="preserve"> (95% QI v 40% </w:t>
            </w:r>
            <w:r>
              <w:rPr>
                <w:rFonts w:asciiTheme="majorBidi" w:hAnsiTheme="majorBidi" w:cstheme="majorBidi"/>
                <w:sz w:val="20"/>
                <w:szCs w:val="20"/>
              </w:rPr>
              <w:t>Control</w:t>
            </w:r>
            <w:r w:rsidRPr="008F2497">
              <w:rPr>
                <w:rFonts w:asciiTheme="majorBidi" w:hAnsiTheme="majorBidi" w:cstheme="majorBidi"/>
                <w:sz w:val="20"/>
                <w:szCs w:val="20"/>
              </w:rPr>
              <w:t xml:space="preserve">; P </w:t>
            </w:r>
            <w:r>
              <w:rPr>
                <w:rFonts w:asciiTheme="majorBidi" w:hAnsiTheme="majorBidi" w:cstheme="majorBidi"/>
                <w:sz w:val="20"/>
                <w:szCs w:val="20"/>
              </w:rPr>
              <w:t>&lt;</w:t>
            </w:r>
            <w:r w:rsidRPr="008F2497">
              <w:rPr>
                <w:rFonts w:asciiTheme="majorBidi" w:hAnsiTheme="majorBidi" w:cstheme="majorBidi"/>
                <w:sz w:val="20"/>
                <w:szCs w:val="20"/>
              </w:rPr>
              <w:t xml:space="preserve"> </w:t>
            </w:r>
            <w:r>
              <w:rPr>
                <w:rFonts w:asciiTheme="majorBidi" w:hAnsiTheme="majorBidi" w:cstheme="majorBidi"/>
                <w:sz w:val="20"/>
                <w:szCs w:val="20"/>
              </w:rPr>
              <w:t>0</w:t>
            </w:r>
            <w:r w:rsidRPr="008F2497">
              <w:rPr>
                <w:rFonts w:asciiTheme="majorBidi" w:hAnsiTheme="majorBidi" w:cstheme="majorBidi"/>
                <w:sz w:val="20"/>
                <w:szCs w:val="20"/>
              </w:rPr>
              <w:t>.001) and remained stable in non-</w:t>
            </w:r>
            <w:proofErr w:type="spellStart"/>
            <w:r>
              <w:rPr>
                <w:rFonts w:asciiTheme="majorBidi" w:hAnsiTheme="majorBidi" w:cstheme="majorBidi"/>
                <w:sz w:val="20"/>
                <w:szCs w:val="20"/>
              </w:rPr>
              <w:t>neuroaxial</w:t>
            </w:r>
            <w:proofErr w:type="spellEnd"/>
            <w:r>
              <w:rPr>
                <w:rFonts w:asciiTheme="majorBidi" w:hAnsiTheme="majorBidi" w:cstheme="majorBidi"/>
                <w:sz w:val="20"/>
                <w:szCs w:val="20"/>
              </w:rPr>
              <w:t xml:space="preserve"> anaesthesia</w:t>
            </w:r>
            <w:r w:rsidRPr="008F2497">
              <w:rPr>
                <w:rFonts w:asciiTheme="majorBidi" w:hAnsiTheme="majorBidi" w:cstheme="majorBidi"/>
                <w:sz w:val="20"/>
                <w:szCs w:val="20"/>
              </w:rPr>
              <w:t xml:space="preserve"> cases (97% QI v 91% HC; P = </w:t>
            </w:r>
            <w:r>
              <w:rPr>
                <w:rFonts w:asciiTheme="majorBidi" w:hAnsiTheme="majorBidi" w:cstheme="majorBidi"/>
                <w:sz w:val="20"/>
                <w:szCs w:val="20"/>
              </w:rPr>
              <w:t>0</w:t>
            </w:r>
            <w:r w:rsidRPr="008F2497">
              <w:rPr>
                <w:rFonts w:asciiTheme="majorBidi" w:hAnsiTheme="majorBidi" w:cstheme="majorBidi"/>
                <w:sz w:val="20"/>
                <w:szCs w:val="20"/>
              </w:rPr>
              <w:t xml:space="preserve">.29). </w:t>
            </w:r>
            <w:r>
              <w:rPr>
                <w:rFonts w:asciiTheme="majorBidi" w:hAnsiTheme="majorBidi" w:cstheme="majorBidi"/>
                <w:sz w:val="20"/>
                <w:szCs w:val="20"/>
              </w:rPr>
              <w:t>O</w:t>
            </w:r>
            <w:r w:rsidRPr="008F2497">
              <w:rPr>
                <w:rFonts w:asciiTheme="majorBidi" w:hAnsiTheme="majorBidi" w:cstheme="majorBidi"/>
                <w:sz w:val="20"/>
                <w:szCs w:val="20"/>
              </w:rPr>
              <w:t xml:space="preserve">verall rate of VTE, independent of </w:t>
            </w:r>
            <w:proofErr w:type="spellStart"/>
            <w:r w:rsidRPr="008F2497">
              <w:rPr>
                <w:rFonts w:asciiTheme="majorBidi" w:hAnsiTheme="majorBidi" w:cstheme="majorBidi"/>
                <w:sz w:val="20"/>
                <w:szCs w:val="20"/>
              </w:rPr>
              <w:t>anesthesia</w:t>
            </w:r>
            <w:proofErr w:type="spellEnd"/>
            <w:r w:rsidRPr="008F2497">
              <w:rPr>
                <w:rFonts w:asciiTheme="majorBidi" w:hAnsiTheme="majorBidi" w:cstheme="majorBidi"/>
                <w:sz w:val="20"/>
                <w:szCs w:val="20"/>
              </w:rPr>
              <w:t xml:space="preserve"> type, remained unchanged (2.1% HC v 0% QI; P = </w:t>
            </w:r>
            <w:r>
              <w:rPr>
                <w:rFonts w:asciiTheme="majorBidi" w:hAnsiTheme="majorBidi" w:cstheme="majorBidi"/>
                <w:sz w:val="20"/>
                <w:szCs w:val="20"/>
              </w:rPr>
              <w:t>0</w:t>
            </w:r>
            <w:r w:rsidRPr="008F2497">
              <w:rPr>
                <w:rFonts w:asciiTheme="majorBidi" w:hAnsiTheme="majorBidi" w:cstheme="majorBidi"/>
                <w:sz w:val="20"/>
                <w:szCs w:val="20"/>
              </w:rPr>
              <w:t>.3).</w:t>
            </w:r>
          </w:p>
        </w:tc>
        <w:tc>
          <w:tcPr>
            <w:tcW w:w="1541" w:type="dxa"/>
          </w:tcPr>
          <w:p w14:paraId="4ED57911"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Low quality, non-randomized, non-synchronous controls, outcome of VTE measured but probably underpowered. </w:t>
            </w:r>
          </w:p>
        </w:tc>
      </w:tr>
      <w:tr w:rsidR="00B85C9C" w:rsidRPr="008D6755" w14:paraId="3F4FBFF4" w14:textId="77777777" w:rsidTr="00CA6F03">
        <w:tc>
          <w:tcPr>
            <w:tcW w:w="1783" w:type="dxa"/>
            <w:tcBorders>
              <w:bottom w:val="single" w:sz="4" w:space="0" w:color="auto"/>
            </w:tcBorders>
          </w:tcPr>
          <w:p w14:paraId="000536C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Tranter-Entwistle et al 2020</w:t>
            </w:r>
          </w:p>
          <w:p w14:paraId="603047F3" w14:textId="77777777" w:rsidR="00B85C9C" w:rsidRPr="004C0759" w:rsidRDefault="00B85C9C" w:rsidP="008B50C6">
            <w:pPr>
              <w:rPr>
                <w:rFonts w:asciiTheme="majorBidi" w:hAnsiTheme="majorBidi" w:cstheme="majorBidi"/>
                <w:b/>
                <w:bCs/>
                <w:sz w:val="20"/>
                <w:szCs w:val="20"/>
              </w:rPr>
            </w:pPr>
          </w:p>
        </w:tc>
        <w:tc>
          <w:tcPr>
            <w:tcW w:w="1638" w:type="dxa"/>
            <w:tcBorders>
              <w:bottom w:val="single" w:sz="4" w:space="0" w:color="auto"/>
            </w:tcBorders>
          </w:tcPr>
          <w:p w14:paraId="3745266B" w14:textId="77777777" w:rsidR="00B85C9C" w:rsidRPr="000D386C" w:rsidRDefault="00B85C9C" w:rsidP="00CA6F03">
            <w:pPr>
              <w:rPr>
                <w:rFonts w:asciiTheme="majorBidi" w:hAnsiTheme="majorBidi" w:cstheme="majorBidi"/>
                <w:sz w:val="20"/>
                <w:szCs w:val="20"/>
              </w:rPr>
            </w:pPr>
            <w:r>
              <w:rPr>
                <w:rFonts w:asciiTheme="majorBidi" w:hAnsiTheme="majorBidi" w:cstheme="majorBidi"/>
                <w:sz w:val="20"/>
                <w:szCs w:val="20"/>
              </w:rPr>
              <w:t>Single centre (</w:t>
            </w:r>
            <w:r w:rsidRPr="00947681">
              <w:rPr>
                <w:rFonts w:asciiTheme="majorBidi" w:hAnsiTheme="majorBidi" w:cstheme="majorBidi"/>
                <w:b/>
                <w:bCs/>
                <w:sz w:val="20"/>
                <w:szCs w:val="20"/>
              </w:rPr>
              <w:t>CDHB</w:t>
            </w:r>
            <w:r>
              <w:rPr>
                <w:rFonts w:asciiTheme="majorBidi" w:hAnsiTheme="majorBidi" w:cstheme="majorBidi"/>
                <w:sz w:val="20"/>
                <w:szCs w:val="20"/>
              </w:rPr>
              <w:t xml:space="preserve">) Pre- / post- intervention study, </w:t>
            </w:r>
            <w:r w:rsidRPr="000D386C">
              <w:rPr>
                <w:rFonts w:asciiTheme="majorBidi" w:hAnsiTheme="majorBidi" w:cstheme="majorBidi"/>
                <w:sz w:val="20"/>
                <w:szCs w:val="20"/>
              </w:rPr>
              <w:t>233 patient consultations recorded</w:t>
            </w:r>
            <w:r>
              <w:rPr>
                <w:rFonts w:asciiTheme="majorBidi" w:hAnsiTheme="majorBidi" w:cstheme="majorBidi"/>
                <w:sz w:val="20"/>
                <w:szCs w:val="20"/>
              </w:rPr>
              <w:t xml:space="preserve"> (</w:t>
            </w:r>
            <w:r w:rsidRPr="000D386C">
              <w:rPr>
                <w:rFonts w:asciiTheme="majorBidi" w:hAnsiTheme="majorBidi" w:cstheme="majorBidi"/>
                <w:sz w:val="20"/>
                <w:szCs w:val="20"/>
              </w:rPr>
              <w:t>60 pre</w:t>
            </w:r>
            <w:r>
              <w:rPr>
                <w:rFonts w:asciiTheme="majorBidi" w:hAnsiTheme="majorBidi" w:cstheme="majorBidi"/>
                <w:sz w:val="20"/>
                <w:szCs w:val="20"/>
              </w:rPr>
              <w:t xml:space="preserve">- </w:t>
            </w:r>
            <w:r w:rsidRPr="000D386C">
              <w:rPr>
                <w:rFonts w:asciiTheme="majorBidi" w:hAnsiTheme="majorBidi" w:cstheme="majorBidi"/>
                <w:sz w:val="20"/>
                <w:szCs w:val="20"/>
              </w:rPr>
              <w:t>introduction</w:t>
            </w:r>
          </w:p>
          <w:p w14:paraId="72DFBB59" w14:textId="77777777" w:rsidR="00B85C9C" w:rsidRPr="008D6755" w:rsidRDefault="00B85C9C" w:rsidP="00CA6F03">
            <w:pPr>
              <w:rPr>
                <w:rFonts w:asciiTheme="majorBidi" w:hAnsiTheme="majorBidi" w:cstheme="majorBidi"/>
                <w:sz w:val="20"/>
                <w:szCs w:val="20"/>
              </w:rPr>
            </w:pPr>
            <w:r w:rsidRPr="000D386C">
              <w:rPr>
                <w:rFonts w:asciiTheme="majorBidi" w:hAnsiTheme="majorBidi" w:cstheme="majorBidi"/>
                <w:sz w:val="20"/>
                <w:szCs w:val="20"/>
              </w:rPr>
              <w:t>and 89 and 84 during each post</w:t>
            </w:r>
            <w:r>
              <w:rPr>
                <w:rFonts w:asciiTheme="majorBidi" w:hAnsiTheme="majorBidi" w:cstheme="majorBidi"/>
                <w:sz w:val="20"/>
                <w:szCs w:val="20"/>
              </w:rPr>
              <w:t>-</w:t>
            </w:r>
            <w:r w:rsidRPr="000D386C">
              <w:rPr>
                <w:rFonts w:asciiTheme="majorBidi" w:hAnsiTheme="majorBidi" w:cstheme="majorBidi"/>
                <w:sz w:val="20"/>
                <w:szCs w:val="20"/>
              </w:rPr>
              <w:t>introduction</w:t>
            </w:r>
            <w:r>
              <w:rPr>
                <w:rFonts w:asciiTheme="majorBidi" w:hAnsiTheme="majorBidi" w:cstheme="majorBidi"/>
                <w:sz w:val="20"/>
                <w:szCs w:val="20"/>
              </w:rPr>
              <w:t xml:space="preserve"> period)</w:t>
            </w:r>
          </w:p>
        </w:tc>
        <w:tc>
          <w:tcPr>
            <w:tcW w:w="1678" w:type="dxa"/>
            <w:tcBorders>
              <w:bottom w:val="single" w:sz="4" w:space="0" w:color="auto"/>
            </w:tcBorders>
          </w:tcPr>
          <w:p w14:paraId="0C23356E" w14:textId="77777777" w:rsidR="00B85C9C" w:rsidRPr="008D6755" w:rsidRDefault="00B85C9C" w:rsidP="00CA6F03">
            <w:pPr>
              <w:rPr>
                <w:rFonts w:asciiTheme="majorBidi" w:hAnsiTheme="majorBidi" w:cstheme="majorBidi"/>
                <w:sz w:val="20"/>
                <w:szCs w:val="20"/>
              </w:rPr>
            </w:pPr>
            <w:r w:rsidRPr="00912CCD">
              <w:rPr>
                <w:rFonts w:asciiTheme="majorBidi" w:hAnsiTheme="majorBidi" w:cstheme="majorBidi"/>
                <w:sz w:val="20"/>
                <w:szCs w:val="20"/>
              </w:rPr>
              <w:t>All vascular inpatients seen on ward round during the assessed</w:t>
            </w:r>
            <w:r>
              <w:rPr>
                <w:rFonts w:asciiTheme="majorBidi" w:hAnsiTheme="majorBidi" w:cstheme="majorBidi"/>
                <w:sz w:val="20"/>
                <w:szCs w:val="20"/>
              </w:rPr>
              <w:t xml:space="preserve"> </w:t>
            </w:r>
            <w:r w:rsidRPr="00912CCD">
              <w:rPr>
                <w:rFonts w:asciiTheme="majorBidi" w:hAnsiTheme="majorBidi" w:cstheme="majorBidi"/>
                <w:sz w:val="20"/>
                <w:szCs w:val="20"/>
              </w:rPr>
              <w:t>periods were included</w:t>
            </w:r>
          </w:p>
        </w:tc>
        <w:tc>
          <w:tcPr>
            <w:tcW w:w="2699" w:type="dxa"/>
            <w:tcBorders>
              <w:bottom w:val="single" w:sz="4" w:space="0" w:color="auto"/>
            </w:tcBorders>
          </w:tcPr>
          <w:p w14:paraId="3DC5663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Surgical </w:t>
            </w:r>
            <w:r w:rsidRPr="004232EF">
              <w:rPr>
                <w:rFonts w:asciiTheme="majorBidi" w:hAnsiTheme="majorBidi" w:cstheme="majorBidi"/>
                <w:b/>
                <w:bCs/>
                <w:sz w:val="20"/>
                <w:szCs w:val="20"/>
              </w:rPr>
              <w:t>ward round checklist</w:t>
            </w:r>
            <w:r>
              <w:rPr>
                <w:rFonts w:asciiTheme="majorBidi" w:hAnsiTheme="majorBidi" w:cstheme="majorBidi"/>
                <w:sz w:val="20"/>
                <w:szCs w:val="20"/>
              </w:rPr>
              <w:t xml:space="preserve"> based on WHO Surgical Safety Checklist </w:t>
            </w:r>
          </w:p>
        </w:tc>
        <w:tc>
          <w:tcPr>
            <w:tcW w:w="1472" w:type="dxa"/>
            <w:tcBorders>
              <w:bottom w:val="single" w:sz="4" w:space="0" w:color="auto"/>
            </w:tcBorders>
          </w:tcPr>
          <w:p w14:paraId="58F05BF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Usual care in the two weeks prior to intervention</w:t>
            </w:r>
          </w:p>
        </w:tc>
        <w:tc>
          <w:tcPr>
            <w:tcW w:w="3139" w:type="dxa"/>
            <w:tcBorders>
              <w:bottom w:val="single" w:sz="4" w:space="0" w:color="auto"/>
            </w:tcBorders>
          </w:tcPr>
          <w:p w14:paraId="180443AF" w14:textId="77777777" w:rsidR="00B85C9C" w:rsidRPr="008D6755" w:rsidRDefault="00B85C9C" w:rsidP="00CA6F03">
            <w:pPr>
              <w:rPr>
                <w:rFonts w:asciiTheme="majorBidi" w:hAnsiTheme="majorBidi" w:cstheme="majorBidi"/>
                <w:sz w:val="20"/>
                <w:szCs w:val="20"/>
              </w:rPr>
            </w:pPr>
            <w:r w:rsidRPr="004232EF">
              <w:rPr>
                <w:rFonts w:asciiTheme="majorBidi" w:hAnsiTheme="majorBidi" w:cstheme="majorBidi"/>
                <w:b/>
                <w:bCs/>
                <w:sz w:val="20"/>
                <w:szCs w:val="20"/>
              </w:rPr>
              <w:t>20 of 21 ward round quality indicators showed statistically significant improvement</w:t>
            </w:r>
            <w:r>
              <w:rPr>
                <w:rFonts w:asciiTheme="majorBidi" w:hAnsiTheme="majorBidi" w:cstheme="majorBidi"/>
                <w:sz w:val="20"/>
                <w:szCs w:val="20"/>
              </w:rPr>
              <w:t xml:space="preserve">, including </w:t>
            </w:r>
            <w:r w:rsidRPr="00912CCD">
              <w:rPr>
                <w:rFonts w:asciiTheme="majorBidi" w:hAnsiTheme="majorBidi" w:cstheme="majorBidi"/>
                <w:sz w:val="20"/>
                <w:szCs w:val="20"/>
              </w:rPr>
              <w:t>anticoagulation/</w:t>
            </w:r>
            <w:r>
              <w:rPr>
                <w:rFonts w:asciiTheme="majorBidi" w:hAnsiTheme="majorBidi" w:cstheme="majorBidi"/>
                <w:sz w:val="20"/>
                <w:szCs w:val="20"/>
              </w:rPr>
              <w:t xml:space="preserve"> </w:t>
            </w:r>
            <w:r w:rsidRPr="00912CCD">
              <w:rPr>
                <w:rFonts w:asciiTheme="majorBidi" w:hAnsiTheme="majorBidi" w:cstheme="majorBidi"/>
                <w:sz w:val="20"/>
                <w:szCs w:val="20"/>
              </w:rPr>
              <w:t>antiplatelet treatment (32% to 61% to 58.1%) (P &lt; 0.05).</w:t>
            </w:r>
          </w:p>
        </w:tc>
        <w:tc>
          <w:tcPr>
            <w:tcW w:w="1541" w:type="dxa"/>
            <w:tcBorders>
              <w:bottom w:val="single" w:sz="4" w:space="0" w:color="auto"/>
            </w:tcBorders>
          </w:tcPr>
          <w:p w14:paraId="76A5523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Low quality, single centre, no outcomes measured, short timeframe</w:t>
            </w:r>
          </w:p>
        </w:tc>
      </w:tr>
    </w:tbl>
    <w:p w14:paraId="7183C17D" w14:textId="77777777" w:rsidR="00B85C9C" w:rsidRPr="008D6755" w:rsidRDefault="00B85C9C" w:rsidP="009D1703">
      <w:pPr>
        <w:rPr>
          <w:rFonts w:asciiTheme="majorBidi" w:hAnsiTheme="majorBidi" w:cstheme="majorBidi"/>
        </w:rPr>
      </w:pPr>
    </w:p>
    <w:p w14:paraId="66A2CE0C" w14:textId="77777777" w:rsidR="00B85C9C" w:rsidRDefault="00B85C9C" w:rsidP="009D1703">
      <w:pPr>
        <w:rPr>
          <w:rFonts w:asciiTheme="majorBidi" w:hAnsiTheme="majorBidi" w:cstheme="majorBidi"/>
          <w:b/>
          <w:bCs/>
        </w:rPr>
      </w:pPr>
    </w:p>
    <w:p w14:paraId="0EC78318" w14:textId="77777777" w:rsidR="00B85C9C" w:rsidRDefault="00B85C9C" w:rsidP="009D1703"/>
    <w:p w14:paraId="16FCF64E" w14:textId="77777777" w:rsidR="00B85C9C" w:rsidRDefault="00B85C9C">
      <w:pPr>
        <w:rPr>
          <w:rFonts w:asciiTheme="majorBidi" w:hAnsiTheme="majorBidi" w:cstheme="majorBidi"/>
          <w:b/>
          <w:bCs/>
        </w:rPr>
      </w:pPr>
      <w:r>
        <w:rPr>
          <w:rFonts w:asciiTheme="majorBidi" w:hAnsiTheme="majorBidi" w:cstheme="majorBidi"/>
          <w:b/>
          <w:bCs/>
        </w:rPr>
        <w:br w:type="page"/>
      </w:r>
    </w:p>
    <w:p w14:paraId="0181C5DD" w14:textId="77777777" w:rsidR="00B85C9C" w:rsidRPr="008D6755" w:rsidRDefault="00B85C9C" w:rsidP="009D1703">
      <w:pPr>
        <w:spacing w:after="120"/>
        <w:rPr>
          <w:rFonts w:asciiTheme="majorBidi" w:hAnsiTheme="majorBidi" w:cstheme="majorBidi"/>
          <w:b/>
          <w:bCs/>
        </w:rPr>
      </w:pPr>
      <w:r w:rsidRPr="008D6755">
        <w:rPr>
          <w:rFonts w:asciiTheme="majorBidi" w:hAnsiTheme="majorBidi" w:cstheme="majorBidi"/>
          <w:b/>
          <w:bCs/>
        </w:rPr>
        <w:t>Tab</w:t>
      </w:r>
      <w:r>
        <w:rPr>
          <w:rFonts w:asciiTheme="majorBidi" w:hAnsiTheme="majorBidi" w:cstheme="majorBidi"/>
          <w:b/>
          <w:bCs/>
        </w:rPr>
        <w:t>le A3</w:t>
      </w:r>
      <w:r w:rsidRPr="008D6755">
        <w:rPr>
          <w:rFonts w:asciiTheme="majorBidi" w:hAnsiTheme="majorBidi" w:cstheme="majorBidi"/>
          <w:b/>
          <w:bCs/>
        </w:rPr>
        <w:t>: Anticoagulant harm QI initiatives</w:t>
      </w:r>
      <w:r>
        <w:rPr>
          <w:rFonts w:asciiTheme="majorBidi" w:hAnsiTheme="majorBidi" w:cstheme="majorBidi"/>
          <w:b/>
          <w:bCs/>
        </w:rPr>
        <w:t xml:space="preserve"> - High-level commentary and consensus </w:t>
      </w:r>
      <w:r w:rsidRPr="00A36694">
        <w:rPr>
          <w:rFonts w:asciiTheme="majorBidi" w:hAnsiTheme="majorBidi" w:cstheme="majorBidi"/>
        </w:rPr>
        <w:t>(arranged alphabetically by first author)</w:t>
      </w:r>
    </w:p>
    <w:tbl>
      <w:tblPr>
        <w:tblStyle w:val="TableGrid"/>
        <w:tblW w:w="0" w:type="auto"/>
        <w:tblLook w:val="04A0" w:firstRow="1" w:lastRow="0" w:firstColumn="1" w:lastColumn="0" w:noHBand="0" w:noVBand="1"/>
      </w:tblPr>
      <w:tblGrid>
        <w:gridCol w:w="1743"/>
        <w:gridCol w:w="1743"/>
        <w:gridCol w:w="1772"/>
        <w:gridCol w:w="5227"/>
        <w:gridCol w:w="3402"/>
      </w:tblGrid>
      <w:tr w:rsidR="00B85C9C" w:rsidRPr="008D6755" w14:paraId="1F0A2CAA" w14:textId="77777777" w:rsidTr="008A690E">
        <w:trPr>
          <w:tblHeader/>
        </w:trPr>
        <w:tc>
          <w:tcPr>
            <w:tcW w:w="1743" w:type="dxa"/>
            <w:shd w:val="clear" w:color="auto" w:fill="D9D9D9" w:themeFill="background1" w:themeFillShade="D9"/>
          </w:tcPr>
          <w:p w14:paraId="6A905340"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Authors/link</w:t>
            </w:r>
          </w:p>
        </w:tc>
        <w:tc>
          <w:tcPr>
            <w:tcW w:w="1743" w:type="dxa"/>
            <w:shd w:val="clear" w:color="auto" w:fill="D9D9D9" w:themeFill="background1" w:themeFillShade="D9"/>
          </w:tcPr>
          <w:p w14:paraId="3DD69F49" w14:textId="77777777" w:rsidR="00B85C9C" w:rsidRPr="008D6755" w:rsidRDefault="00B85C9C" w:rsidP="00CA6F03">
            <w:pPr>
              <w:rPr>
                <w:rFonts w:asciiTheme="majorBidi" w:hAnsiTheme="majorBidi" w:cstheme="majorBidi"/>
                <w:b/>
                <w:bCs/>
                <w:sz w:val="20"/>
                <w:szCs w:val="20"/>
              </w:rPr>
            </w:pPr>
            <w:r>
              <w:rPr>
                <w:rFonts w:asciiTheme="majorBidi" w:hAnsiTheme="majorBidi" w:cstheme="majorBidi"/>
                <w:b/>
                <w:bCs/>
                <w:sz w:val="20"/>
                <w:szCs w:val="20"/>
              </w:rPr>
              <w:t>Article type</w:t>
            </w:r>
          </w:p>
        </w:tc>
        <w:tc>
          <w:tcPr>
            <w:tcW w:w="1772" w:type="dxa"/>
            <w:shd w:val="clear" w:color="auto" w:fill="D9D9D9" w:themeFill="background1" w:themeFillShade="D9"/>
          </w:tcPr>
          <w:p w14:paraId="6DA97B13"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Population</w:t>
            </w:r>
            <w:r>
              <w:rPr>
                <w:rFonts w:asciiTheme="majorBidi" w:hAnsiTheme="majorBidi" w:cstheme="majorBidi"/>
                <w:b/>
                <w:bCs/>
                <w:sz w:val="20"/>
                <w:szCs w:val="20"/>
              </w:rPr>
              <w:t>/setting</w:t>
            </w:r>
          </w:p>
        </w:tc>
        <w:tc>
          <w:tcPr>
            <w:tcW w:w="5227" w:type="dxa"/>
            <w:shd w:val="clear" w:color="auto" w:fill="D9D9D9" w:themeFill="background1" w:themeFillShade="D9"/>
          </w:tcPr>
          <w:p w14:paraId="19E373A7"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Intervention</w:t>
            </w:r>
            <w:r>
              <w:rPr>
                <w:rFonts w:asciiTheme="majorBidi" w:hAnsiTheme="majorBidi" w:cstheme="majorBidi"/>
                <w:b/>
                <w:bCs/>
                <w:sz w:val="20"/>
                <w:szCs w:val="20"/>
              </w:rPr>
              <w:t>/Recommendations</w:t>
            </w:r>
          </w:p>
        </w:tc>
        <w:tc>
          <w:tcPr>
            <w:tcW w:w="3402" w:type="dxa"/>
            <w:shd w:val="clear" w:color="auto" w:fill="D9D9D9" w:themeFill="background1" w:themeFillShade="D9"/>
          </w:tcPr>
          <w:p w14:paraId="45D888F0" w14:textId="77777777" w:rsidR="00B85C9C" w:rsidRPr="008D6755" w:rsidRDefault="00B85C9C" w:rsidP="00CA6F03">
            <w:pPr>
              <w:rPr>
                <w:rFonts w:asciiTheme="majorBidi" w:hAnsiTheme="majorBidi" w:cstheme="majorBidi"/>
                <w:b/>
                <w:bCs/>
                <w:sz w:val="20"/>
                <w:szCs w:val="20"/>
              </w:rPr>
            </w:pPr>
            <w:r w:rsidRPr="008D6755">
              <w:rPr>
                <w:rFonts w:asciiTheme="majorBidi" w:hAnsiTheme="majorBidi" w:cstheme="majorBidi"/>
                <w:b/>
                <w:bCs/>
                <w:sz w:val="20"/>
                <w:szCs w:val="20"/>
              </w:rPr>
              <w:t>Quality of Evidence</w:t>
            </w:r>
          </w:p>
        </w:tc>
      </w:tr>
      <w:tr w:rsidR="00B85C9C" w:rsidRPr="008D6755" w14:paraId="6DBBFE37" w14:textId="77777777" w:rsidTr="008A690E">
        <w:tc>
          <w:tcPr>
            <w:tcW w:w="1743" w:type="dxa"/>
          </w:tcPr>
          <w:p w14:paraId="5CCC3E69" w14:textId="588A32B3" w:rsidR="00B85C9C" w:rsidRPr="008D6755" w:rsidRDefault="00B85C9C" w:rsidP="00CA6F03">
            <w:pPr>
              <w:rPr>
                <w:rFonts w:asciiTheme="majorBidi" w:hAnsiTheme="majorBidi" w:cstheme="majorBidi"/>
                <w:sz w:val="20"/>
                <w:szCs w:val="20"/>
              </w:rPr>
            </w:pPr>
            <w:r>
              <w:rPr>
                <w:rFonts w:asciiTheme="majorBidi" w:hAnsiTheme="majorBidi" w:cstheme="majorBidi"/>
                <w:noProof/>
                <w:sz w:val="20"/>
                <w:szCs w:val="20"/>
              </w:rPr>
              <w:t xml:space="preserve">Alves da Costa </w:t>
            </w:r>
            <w:r w:rsidR="00AA56F6">
              <w:rPr>
                <w:rFonts w:asciiTheme="majorBidi" w:hAnsiTheme="majorBidi" w:cstheme="majorBidi"/>
                <w:noProof/>
                <w:sz w:val="20"/>
                <w:szCs w:val="20"/>
              </w:rPr>
              <w:t xml:space="preserve">et al </w:t>
            </w:r>
            <w:r>
              <w:rPr>
                <w:rFonts w:asciiTheme="majorBidi" w:hAnsiTheme="majorBidi" w:cstheme="majorBidi"/>
                <w:noProof/>
                <w:sz w:val="20"/>
                <w:szCs w:val="20"/>
              </w:rPr>
              <w:t>2020</w:t>
            </w:r>
          </w:p>
        </w:tc>
        <w:tc>
          <w:tcPr>
            <w:tcW w:w="1743" w:type="dxa"/>
          </w:tcPr>
          <w:p w14:paraId="22831F48" w14:textId="77777777" w:rsidR="00B85C9C" w:rsidRPr="00554EDC" w:rsidRDefault="00B85C9C" w:rsidP="00CA6F03">
            <w:pPr>
              <w:rPr>
                <w:rFonts w:asciiTheme="majorBidi" w:hAnsiTheme="majorBidi" w:cstheme="majorBidi"/>
                <w:b/>
                <w:bCs/>
                <w:sz w:val="20"/>
                <w:szCs w:val="20"/>
              </w:rPr>
            </w:pPr>
            <w:r w:rsidRPr="00554EDC">
              <w:rPr>
                <w:rFonts w:asciiTheme="majorBidi" w:hAnsiTheme="majorBidi" w:cstheme="majorBidi"/>
                <w:b/>
                <w:bCs/>
                <w:sz w:val="20"/>
                <w:szCs w:val="20"/>
              </w:rPr>
              <w:t>Position statement from the International Pharmacists for Anticoagulation Care Taskforce</w:t>
            </w:r>
          </w:p>
        </w:tc>
        <w:tc>
          <w:tcPr>
            <w:tcW w:w="1772" w:type="dxa"/>
          </w:tcPr>
          <w:p w14:paraId="1B53DE88"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Identifies seven steps on the patient care pathway, literature identified pertaining to all steps, one step is hospital care. </w:t>
            </w:r>
          </w:p>
        </w:tc>
        <w:tc>
          <w:tcPr>
            <w:tcW w:w="5227" w:type="dxa"/>
          </w:tcPr>
          <w:p w14:paraId="7B8CC4EB" w14:textId="77777777" w:rsidR="00B85C9C" w:rsidRDefault="00B85C9C" w:rsidP="00CA6F03">
            <w:pPr>
              <w:rPr>
                <w:rFonts w:asciiTheme="majorBidi" w:hAnsiTheme="majorBidi" w:cstheme="majorBidi"/>
                <w:sz w:val="20"/>
                <w:szCs w:val="20"/>
              </w:rPr>
            </w:pPr>
            <w:r w:rsidRPr="00260D4D">
              <w:rPr>
                <w:rFonts w:asciiTheme="majorBidi" w:hAnsiTheme="majorBidi" w:cstheme="majorBidi"/>
                <w:b/>
                <w:bCs/>
                <w:sz w:val="20"/>
                <w:szCs w:val="20"/>
              </w:rPr>
              <w:t>Secondary care pharmacist role in anticoagulation</w:t>
            </w:r>
            <w:r>
              <w:rPr>
                <w:rFonts w:asciiTheme="majorBidi" w:hAnsiTheme="majorBidi" w:cstheme="majorBidi"/>
                <w:sz w:val="20"/>
                <w:szCs w:val="20"/>
              </w:rPr>
              <w:t>:</w:t>
            </w:r>
          </w:p>
          <w:p w14:paraId="626B7071"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Dosing and monitoring can be checked</w:t>
            </w:r>
          </w:p>
          <w:p w14:paraId="4EC58FAB"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Pharmacists can play a role in integrated medicines management</w:t>
            </w:r>
          </w:p>
          <w:p w14:paraId="0C256D30"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Pharmacokinetics monitoring</w:t>
            </w:r>
          </w:p>
          <w:p w14:paraId="12DA8AA7"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Monitor off-label prescribing (for no benefit)</w:t>
            </w:r>
          </w:p>
          <w:p w14:paraId="6505F5B1"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Ensure appropriate dosing (including renal function adjustment)</w:t>
            </w:r>
          </w:p>
          <w:p w14:paraId="30AF7D04"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Monitor for excess anticoagulant perioperatively, and insufficient at discharge</w:t>
            </w:r>
          </w:p>
          <w:p w14:paraId="575BC3A4"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Educate patients at discharge (often 3 or more changed medications)</w:t>
            </w:r>
          </w:p>
          <w:p w14:paraId="590ECCBB" w14:textId="53041DC4" w:rsidR="00B85C9C" w:rsidRPr="002C0607" w:rsidRDefault="00B85C9C" w:rsidP="00316FCF">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Improve transfer of information</w:t>
            </w:r>
            <w:r w:rsidRPr="002C0607">
              <w:rPr>
                <w:rFonts w:asciiTheme="majorBidi" w:hAnsiTheme="majorBidi" w:cstheme="majorBidi"/>
                <w:sz w:val="20"/>
                <w:szCs w:val="20"/>
              </w:rPr>
              <w:t xml:space="preserve"> </w:t>
            </w:r>
          </w:p>
        </w:tc>
        <w:tc>
          <w:tcPr>
            <w:tcW w:w="3402" w:type="dxa"/>
          </w:tcPr>
          <w:p w14:paraId="27D10E5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Non-systematic review and high-level interpretation of evidence. </w:t>
            </w:r>
          </w:p>
          <w:p w14:paraId="1A208C88"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However, focus was on where pharmacist intervention is possible, less focus on what specific interventions might look like</w:t>
            </w:r>
          </w:p>
        </w:tc>
      </w:tr>
      <w:tr w:rsidR="00B85C9C" w:rsidRPr="008D6755" w14:paraId="2B3920C7" w14:textId="77777777" w:rsidTr="008A690E">
        <w:tc>
          <w:tcPr>
            <w:tcW w:w="1743" w:type="dxa"/>
          </w:tcPr>
          <w:p w14:paraId="0ECF28DC" w14:textId="608D668B" w:rsidR="00B85C9C" w:rsidRPr="008D6755" w:rsidRDefault="00B85C9C" w:rsidP="00CA6F03">
            <w:pPr>
              <w:rPr>
                <w:rFonts w:asciiTheme="majorBidi" w:hAnsiTheme="majorBidi" w:cstheme="majorBidi"/>
                <w:sz w:val="20"/>
                <w:szCs w:val="20"/>
              </w:rPr>
            </w:pPr>
            <w:r>
              <w:rPr>
                <w:rFonts w:asciiTheme="majorBidi" w:hAnsiTheme="majorBidi" w:cstheme="majorBidi"/>
                <w:noProof/>
                <w:sz w:val="20"/>
                <w:szCs w:val="20"/>
              </w:rPr>
              <w:t xml:space="preserve">Barnes </w:t>
            </w:r>
            <w:r w:rsidR="008B50C6">
              <w:rPr>
                <w:rFonts w:asciiTheme="majorBidi" w:hAnsiTheme="majorBidi" w:cstheme="majorBidi"/>
                <w:noProof/>
                <w:sz w:val="20"/>
                <w:szCs w:val="20"/>
              </w:rPr>
              <w:t>and</w:t>
            </w:r>
            <w:r>
              <w:rPr>
                <w:rFonts w:asciiTheme="majorBidi" w:hAnsiTheme="majorBidi" w:cstheme="majorBidi"/>
                <w:noProof/>
                <w:sz w:val="20"/>
                <w:szCs w:val="20"/>
              </w:rPr>
              <w:t xml:space="preserve"> Kline-Rogers 2015</w:t>
            </w:r>
          </w:p>
        </w:tc>
        <w:tc>
          <w:tcPr>
            <w:tcW w:w="1743" w:type="dxa"/>
          </w:tcPr>
          <w:p w14:paraId="3C5F441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R</w:t>
            </w:r>
            <w:r w:rsidRPr="002362C5">
              <w:rPr>
                <w:rFonts w:asciiTheme="majorBidi" w:hAnsiTheme="majorBidi" w:cstheme="majorBidi"/>
                <w:sz w:val="20"/>
                <w:szCs w:val="20"/>
              </w:rPr>
              <w:t xml:space="preserve">eview </w:t>
            </w:r>
            <w:r w:rsidRPr="00260D4D">
              <w:rPr>
                <w:rFonts w:asciiTheme="majorBidi" w:hAnsiTheme="majorBidi" w:cstheme="majorBidi"/>
                <w:b/>
                <w:bCs/>
                <w:sz w:val="20"/>
                <w:szCs w:val="20"/>
              </w:rPr>
              <w:t>summarizing the justification for engaging in QI for anticoagulation management</w:t>
            </w:r>
            <w:r>
              <w:rPr>
                <w:rFonts w:asciiTheme="majorBidi" w:hAnsiTheme="majorBidi" w:cstheme="majorBidi"/>
                <w:sz w:val="20"/>
                <w:szCs w:val="20"/>
              </w:rPr>
              <w:t>,</w:t>
            </w:r>
            <w:r w:rsidRPr="002362C5">
              <w:rPr>
                <w:rFonts w:asciiTheme="majorBidi" w:hAnsiTheme="majorBidi" w:cstheme="majorBidi"/>
                <w:sz w:val="20"/>
                <w:szCs w:val="20"/>
              </w:rPr>
              <w:t xml:space="preserve"> describes </w:t>
            </w:r>
            <w:r>
              <w:rPr>
                <w:rFonts w:asciiTheme="majorBidi" w:hAnsiTheme="majorBidi" w:cstheme="majorBidi"/>
                <w:sz w:val="20"/>
                <w:szCs w:val="20"/>
              </w:rPr>
              <w:t xml:space="preserve">several </w:t>
            </w:r>
            <w:r w:rsidRPr="002362C5">
              <w:rPr>
                <w:rFonts w:asciiTheme="majorBidi" w:hAnsiTheme="majorBidi" w:cstheme="majorBidi"/>
                <w:sz w:val="20"/>
                <w:szCs w:val="20"/>
              </w:rPr>
              <w:t>programs</w:t>
            </w:r>
            <w:r>
              <w:rPr>
                <w:rFonts w:asciiTheme="majorBidi" w:hAnsiTheme="majorBidi" w:cstheme="majorBidi"/>
                <w:sz w:val="20"/>
                <w:szCs w:val="20"/>
              </w:rPr>
              <w:t xml:space="preserve"> (covering warfarin and DOACs),</w:t>
            </w:r>
            <w:r w:rsidRPr="002362C5">
              <w:rPr>
                <w:rFonts w:asciiTheme="majorBidi" w:hAnsiTheme="majorBidi" w:cstheme="majorBidi"/>
                <w:sz w:val="20"/>
                <w:szCs w:val="20"/>
              </w:rPr>
              <w:t xml:space="preserve"> also details potential quality measures and </w:t>
            </w:r>
            <w:r>
              <w:rPr>
                <w:rFonts w:asciiTheme="majorBidi" w:hAnsiTheme="majorBidi" w:cstheme="majorBidi"/>
                <w:sz w:val="20"/>
                <w:szCs w:val="20"/>
              </w:rPr>
              <w:t xml:space="preserve">provider </w:t>
            </w:r>
            <w:r w:rsidRPr="002362C5">
              <w:rPr>
                <w:rFonts w:asciiTheme="majorBidi" w:hAnsiTheme="majorBidi" w:cstheme="majorBidi"/>
                <w:sz w:val="20"/>
                <w:szCs w:val="20"/>
              </w:rPr>
              <w:t>resources</w:t>
            </w:r>
            <w:r>
              <w:rPr>
                <w:rFonts w:asciiTheme="majorBidi" w:hAnsiTheme="majorBidi" w:cstheme="majorBidi"/>
                <w:sz w:val="20"/>
                <w:szCs w:val="20"/>
              </w:rPr>
              <w:t xml:space="preserve"> </w:t>
            </w:r>
          </w:p>
          <w:p w14:paraId="2DC4A4E3" w14:textId="77777777" w:rsidR="00B85C9C" w:rsidRPr="000C7D3B" w:rsidRDefault="00B85C9C" w:rsidP="00CA6F03">
            <w:pPr>
              <w:rPr>
                <w:rFonts w:asciiTheme="majorBidi" w:hAnsiTheme="majorBidi" w:cstheme="majorBidi"/>
                <w:sz w:val="20"/>
                <w:szCs w:val="20"/>
              </w:rPr>
            </w:pPr>
          </w:p>
        </w:tc>
        <w:tc>
          <w:tcPr>
            <w:tcW w:w="1772" w:type="dxa"/>
          </w:tcPr>
          <w:p w14:paraId="6BF67393" w14:textId="77777777" w:rsidR="00B85C9C" w:rsidRDefault="00B85C9C" w:rsidP="00CA6F03">
            <w:pPr>
              <w:rPr>
                <w:rFonts w:asciiTheme="majorBidi" w:hAnsiTheme="majorBidi" w:cstheme="majorBidi"/>
                <w:sz w:val="20"/>
                <w:szCs w:val="20"/>
              </w:rPr>
            </w:pPr>
            <w:r w:rsidRPr="004C1508">
              <w:rPr>
                <w:rFonts w:asciiTheme="majorBidi" w:hAnsiTheme="majorBidi" w:cstheme="majorBidi"/>
                <w:sz w:val="20"/>
                <w:szCs w:val="20"/>
              </w:rPr>
              <w:t>Michigan Anticoagulation Quality Improvement Initiative</w:t>
            </w:r>
            <w:r>
              <w:rPr>
                <w:rFonts w:asciiTheme="majorBidi" w:hAnsiTheme="majorBidi" w:cstheme="majorBidi"/>
                <w:sz w:val="20"/>
                <w:szCs w:val="20"/>
              </w:rPr>
              <w:t xml:space="preserve"> (</w:t>
            </w:r>
            <w:r>
              <w:rPr>
                <w:rFonts w:asciiTheme="majorBidi" w:hAnsiTheme="majorBidi" w:cstheme="majorBidi"/>
                <w:sz w:val="20"/>
                <w:szCs w:val="20"/>
                <w:lang w:val="en-NZ"/>
              </w:rPr>
              <w:t>M</w:t>
            </w:r>
            <w:r w:rsidRPr="004C1508">
              <w:rPr>
                <w:rFonts w:asciiTheme="majorBidi" w:hAnsiTheme="majorBidi" w:cstheme="majorBidi"/>
                <w:sz w:val="20"/>
                <w:szCs w:val="20"/>
                <w:lang w:val="en-NZ"/>
              </w:rPr>
              <w:t>ulti-cent</w:t>
            </w:r>
            <w:r>
              <w:rPr>
                <w:rFonts w:asciiTheme="majorBidi" w:hAnsiTheme="majorBidi" w:cstheme="majorBidi"/>
                <w:sz w:val="20"/>
                <w:szCs w:val="20"/>
                <w:lang w:val="en-NZ"/>
              </w:rPr>
              <w:t>re</w:t>
            </w:r>
            <w:r w:rsidRPr="004C1508">
              <w:rPr>
                <w:rFonts w:asciiTheme="majorBidi" w:hAnsiTheme="majorBidi" w:cstheme="majorBidi"/>
                <w:sz w:val="20"/>
                <w:szCs w:val="20"/>
                <w:lang w:val="en-NZ"/>
              </w:rPr>
              <w:t>, collaborative quality initiative</w:t>
            </w:r>
            <w:r>
              <w:rPr>
                <w:rFonts w:asciiTheme="majorBidi" w:hAnsiTheme="majorBidi" w:cstheme="majorBidi"/>
                <w:sz w:val="20"/>
                <w:szCs w:val="20"/>
                <w:lang w:val="en-NZ"/>
              </w:rPr>
              <w:t xml:space="preserve">); </w:t>
            </w:r>
            <w:r>
              <w:rPr>
                <w:rFonts w:asciiTheme="majorBidi" w:hAnsiTheme="majorBidi" w:cstheme="majorBidi"/>
                <w:sz w:val="20"/>
                <w:szCs w:val="20"/>
              </w:rPr>
              <w:t>6 anticoagulation management services in Michigan (mostly ambulatory care)</w:t>
            </w:r>
          </w:p>
          <w:p w14:paraId="68BCC9CF" w14:textId="77777777" w:rsidR="00B85C9C" w:rsidRPr="003F6BDF" w:rsidRDefault="00B85C9C" w:rsidP="00CA6F03">
            <w:pPr>
              <w:rPr>
                <w:rFonts w:asciiTheme="majorBidi" w:hAnsiTheme="majorBidi" w:cstheme="majorBidi"/>
                <w:sz w:val="20"/>
                <w:szCs w:val="20"/>
                <w:lang w:val="en-NZ"/>
              </w:rPr>
            </w:pPr>
          </w:p>
          <w:p w14:paraId="2D96EA55" w14:textId="77777777" w:rsidR="00B85C9C" w:rsidRPr="008D6755" w:rsidRDefault="00B85C9C" w:rsidP="00CA6F03">
            <w:pPr>
              <w:rPr>
                <w:rFonts w:asciiTheme="majorBidi" w:hAnsiTheme="majorBidi" w:cstheme="majorBidi"/>
                <w:sz w:val="20"/>
                <w:szCs w:val="20"/>
              </w:rPr>
            </w:pPr>
          </w:p>
        </w:tc>
        <w:tc>
          <w:tcPr>
            <w:tcW w:w="5227" w:type="dxa"/>
          </w:tcPr>
          <w:p w14:paraId="11A89A72" w14:textId="77777777" w:rsidR="00B85C9C" w:rsidRDefault="00B85C9C" w:rsidP="00CA6F03">
            <w:pPr>
              <w:rPr>
                <w:rFonts w:asciiTheme="majorBidi" w:hAnsiTheme="majorBidi" w:cstheme="majorBidi"/>
                <w:sz w:val="20"/>
                <w:szCs w:val="20"/>
                <w:lang w:val="en-NZ"/>
              </w:rPr>
            </w:pPr>
            <w:r w:rsidRPr="003E5857">
              <w:rPr>
                <w:rFonts w:asciiTheme="majorBidi" w:hAnsiTheme="majorBidi" w:cstheme="majorBidi"/>
                <w:b/>
                <w:bCs/>
                <w:sz w:val="20"/>
                <w:szCs w:val="20"/>
                <w:lang w:val="en-NZ"/>
              </w:rPr>
              <w:t>Collaborative</w:t>
            </w:r>
            <w:r>
              <w:rPr>
                <w:rFonts w:asciiTheme="majorBidi" w:hAnsiTheme="majorBidi" w:cstheme="majorBidi"/>
                <w:b/>
                <w:bCs/>
                <w:sz w:val="20"/>
                <w:szCs w:val="20"/>
                <w:lang w:val="en-NZ"/>
              </w:rPr>
              <w:t xml:space="preserve"> QI</w:t>
            </w:r>
            <w:r w:rsidRPr="003E5857">
              <w:rPr>
                <w:rFonts w:asciiTheme="majorBidi" w:hAnsiTheme="majorBidi" w:cstheme="majorBidi"/>
                <w:b/>
                <w:bCs/>
                <w:sz w:val="20"/>
                <w:szCs w:val="20"/>
                <w:lang w:val="en-NZ"/>
              </w:rPr>
              <w:t xml:space="preserve"> initiative</w:t>
            </w:r>
            <w:r>
              <w:rPr>
                <w:rFonts w:asciiTheme="majorBidi" w:hAnsiTheme="majorBidi" w:cstheme="majorBidi"/>
                <w:sz w:val="20"/>
                <w:szCs w:val="20"/>
                <w:lang w:val="en-NZ"/>
              </w:rPr>
              <w:t>:</w:t>
            </w:r>
          </w:p>
          <w:p w14:paraId="0C39B98B"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 R</w:t>
            </w:r>
            <w:r w:rsidRPr="004C1508">
              <w:rPr>
                <w:rFonts w:asciiTheme="majorBidi" w:hAnsiTheme="majorBidi" w:cstheme="majorBidi"/>
                <w:sz w:val="20"/>
                <w:szCs w:val="20"/>
                <w:lang w:val="en-NZ"/>
              </w:rPr>
              <w:t>educ</w:t>
            </w:r>
            <w:r>
              <w:rPr>
                <w:rFonts w:asciiTheme="majorBidi" w:hAnsiTheme="majorBidi" w:cstheme="majorBidi"/>
                <w:sz w:val="20"/>
                <w:szCs w:val="20"/>
                <w:lang w:val="en-NZ"/>
              </w:rPr>
              <w:t>e</w:t>
            </w:r>
            <w:r w:rsidRPr="004C1508">
              <w:rPr>
                <w:rFonts w:asciiTheme="majorBidi" w:hAnsiTheme="majorBidi" w:cstheme="majorBidi"/>
                <w:sz w:val="20"/>
                <w:szCs w:val="20"/>
                <w:lang w:val="en-NZ"/>
              </w:rPr>
              <w:t xml:space="preserve"> inappropriate use of warfarin</w:t>
            </w:r>
          </w:p>
          <w:p w14:paraId="1D8FD0D5"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 D</w:t>
            </w:r>
            <w:r w:rsidRPr="004C1508">
              <w:rPr>
                <w:rFonts w:asciiTheme="majorBidi" w:hAnsiTheme="majorBidi" w:cstheme="majorBidi"/>
                <w:sz w:val="20"/>
                <w:szCs w:val="20"/>
                <w:lang w:val="en-NZ"/>
              </w:rPr>
              <w:t>evelo</w:t>
            </w:r>
            <w:r>
              <w:rPr>
                <w:rFonts w:asciiTheme="majorBidi" w:hAnsiTheme="majorBidi" w:cstheme="majorBidi"/>
                <w:sz w:val="20"/>
                <w:szCs w:val="20"/>
                <w:lang w:val="en-NZ"/>
              </w:rPr>
              <w:t>p</w:t>
            </w:r>
            <w:r w:rsidRPr="004C1508">
              <w:rPr>
                <w:rFonts w:asciiTheme="majorBidi" w:hAnsiTheme="majorBidi" w:cstheme="majorBidi"/>
                <w:sz w:val="20"/>
                <w:szCs w:val="20"/>
                <w:lang w:val="en-NZ"/>
              </w:rPr>
              <w:t xml:space="preserve"> more effective patient education materials</w:t>
            </w:r>
          </w:p>
          <w:p w14:paraId="314B2BDC"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 P</w:t>
            </w:r>
            <w:r w:rsidRPr="004C1508">
              <w:rPr>
                <w:rFonts w:asciiTheme="majorBidi" w:hAnsiTheme="majorBidi" w:cstheme="majorBidi"/>
                <w:sz w:val="20"/>
                <w:szCs w:val="20"/>
                <w:lang w:val="en-NZ"/>
              </w:rPr>
              <w:t xml:space="preserve">erform regular root-cause-analyses of </w:t>
            </w:r>
            <w:r>
              <w:rPr>
                <w:rFonts w:asciiTheme="majorBidi" w:hAnsiTheme="majorBidi" w:cstheme="majorBidi"/>
                <w:sz w:val="20"/>
                <w:szCs w:val="20"/>
                <w:lang w:val="en-NZ"/>
              </w:rPr>
              <w:t>AEs</w:t>
            </w:r>
          </w:p>
          <w:p w14:paraId="2BDE5E68"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 R</w:t>
            </w:r>
            <w:r w:rsidRPr="004C1508">
              <w:rPr>
                <w:rFonts w:asciiTheme="majorBidi" w:hAnsiTheme="majorBidi" w:cstheme="majorBidi"/>
                <w:sz w:val="20"/>
                <w:szCs w:val="20"/>
                <w:lang w:val="en-NZ"/>
              </w:rPr>
              <w:t>educ</w:t>
            </w:r>
            <w:r>
              <w:rPr>
                <w:rFonts w:asciiTheme="majorBidi" w:hAnsiTheme="majorBidi" w:cstheme="majorBidi"/>
                <w:sz w:val="20"/>
                <w:szCs w:val="20"/>
                <w:lang w:val="en-NZ"/>
              </w:rPr>
              <w:t>e</w:t>
            </w:r>
            <w:r w:rsidRPr="004C1508">
              <w:rPr>
                <w:rFonts w:asciiTheme="majorBidi" w:hAnsiTheme="majorBidi" w:cstheme="majorBidi"/>
                <w:sz w:val="20"/>
                <w:szCs w:val="20"/>
                <w:lang w:val="en-NZ"/>
              </w:rPr>
              <w:t xml:space="preserve"> unnecessary lab testing, inappropriate aspirin use, and off-label dosing.</w:t>
            </w:r>
          </w:p>
          <w:p w14:paraId="0CD87A33" w14:textId="77777777" w:rsidR="00B85C9C" w:rsidRDefault="00B85C9C" w:rsidP="00CA6F03">
            <w:pPr>
              <w:rPr>
                <w:rFonts w:asciiTheme="majorBidi" w:hAnsiTheme="majorBidi" w:cstheme="majorBidi"/>
                <w:sz w:val="20"/>
                <w:szCs w:val="20"/>
                <w:lang w:val="en-NZ"/>
              </w:rPr>
            </w:pPr>
          </w:p>
          <w:p w14:paraId="67D4B5C4" w14:textId="77777777" w:rsidR="00B85C9C" w:rsidRPr="004C1508"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Collect d</w:t>
            </w:r>
            <w:r w:rsidRPr="004C1508">
              <w:rPr>
                <w:rFonts w:asciiTheme="majorBidi" w:hAnsiTheme="majorBidi" w:cstheme="majorBidi"/>
                <w:sz w:val="20"/>
                <w:szCs w:val="20"/>
                <w:lang w:val="en-NZ"/>
              </w:rPr>
              <w:t>ata on patients taking oral anticoagulants from 6 participating Michigan health systems and entered into a data registry</w:t>
            </w:r>
            <w:r>
              <w:rPr>
                <w:rFonts w:asciiTheme="majorBidi" w:hAnsiTheme="majorBidi" w:cstheme="majorBidi"/>
                <w:sz w:val="20"/>
                <w:szCs w:val="20"/>
                <w:lang w:val="en-NZ"/>
              </w:rPr>
              <w:t>.</w:t>
            </w:r>
          </w:p>
          <w:p w14:paraId="664E05BB"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Collect i</w:t>
            </w:r>
            <w:r w:rsidRPr="004C1508">
              <w:rPr>
                <w:rFonts w:asciiTheme="majorBidi" w:hAnsiTheme="majorBidi" w:cstheme="majorBidi"/>
                <w:sz w:val="20"/>
                <w:szCs w:val="20"/>
                <w:lang w:val="en-NZ"/>
              </w:rPr>
              <w:t>nformation on each site’s protocols, processes, and structure to link outcomes with variations in clinic operations</w:t>
            </w:r>
          </w:p>
          <w:p w14:paraId="5A3EB57E" w14:textId="77777777" w:rsidR="00B85C9C" w:rsidRDefault="00B85C9C" w:rsidP="00CA6F03">
            <w:pPr>
              <w:rPr>
                <w:rFonts w:asciiTheme="majorBidi" w:hAnsiTheme="majorBidi" w:cstheme="majorBidi"/>
                <w:sz w:val="20"/>
                <w:szCs w:val="20"/>
                <w:lang w:val="en-NZ"/>
              </w:rPr>
            </w:pPr>
          </w:p>
          <w:p w14:paraId="32C58575" w14:textId="77777777" w:rsidR="00B85C9C" w:rsidRDefault="00B85C9C" w:rsidP="00CA6F03">
            <w:pPr>
              <w:rPr>
                <w:rFonts w:asciiTheme="majorBidi" w:hAnsiTheme="majorBidi" w:cstheme="majorBidi"/>
                <w:b/>
                <w:bCs/>
                <w:sz w:val="20"/>
                <w:szCs w:val="20"/>
              </w:rPr>
            </w:pPr>
            <w:r w:rsidRPr="00260D4D">
              <w:rPr>
                <w:rFonts w:asciiTheme="majorBidi" w:hAnsiTheme="majorBidi" w:cstheme="majorBidi"/>
                <w:b/>
                <w:bCs/>
                <w:sz w:val="20"/>
                <w:szCs w:val="20"/>
              </w:rPr>
              <w:t xml:space="preserve">Michigan Anticoagulation Quality Improvement Initiative Toolkit </w:t>
            </w:r>
          </w:p>
          <w:p w14:paraId="5E9D9572" w14:textId="77777777" w:rsidR="00B85C9C" w:rsidRDefault="009147EC" w:rsidP="00CA6F03">
            <w:pPr>
              <w:rPr>
                <w:rFonts w:asciiTheme="majorBidi" w:hAnsiTheme="majorBidi" w:cstheme="majorBidi"/>
                <w:sz w:val="20"/>
                <w:szCs w:val="20"/>
              </w:rPr>
            </w:pPr>
            <w:hyperlink r:id="rId13" w:history="1">
              <w:r w:rsidR="00B85C9C" w:rsidRPr="007C3BAD">
                <w:rPr>
                  <w:rStyle w:val="Hyperlink"/>
                  <w:rFonts w:asciiTheme="majorBidi" w:hAnsiTheme="majorBidi" w:cstheme="majorBidi"/>
                  <w:sz w:val="20"/>
                  <w:szCs w:val="20"/>
                </w:rPr>
                <w:t>https://anticoagulationtoolkit.org/</w:t>
              </w:r>
            </w:hyperlink>
            <w:r w:rsidR="00B85C9C">
              <w:rPr>
                <w:rFonts w:asciiTheme="majorBidi" w:hAnsiTheme="majorBidi" w:cstheme="majorBidi"/>
                <w:sz w:val="20"/>
                <w:szCs w:val="20"/>
              </w:rPr>
              <w:t xml:space="preserve"> </w:t>
            </w:r>
          </w:p>
          <w:p w14:paraId="5E7B1C3D" w14:textId="77777777" w:rsidR="00B85C9C" w:rsidRPr="003F6BDF" w:rsidRDefault="00B85C9C" w:rsidP="00CA6F03">
            <w:pPr>
              <w:rPr>
                <w:rFonts w:asciiTheme="majorBidi" w:hAnsiTheme="majorBidi" w:cstheme="majorBidi"/>
                <w:sz w:val="20"/>
                <w:szCs w:val="20"/>
              </w:rPr>
            </w:pPr>
            <w:r>
              <w:rPr>
                <w:rFonts w:asciiTheme="majorBidi" w:hAnsiTheme="majorBidi" w:cstheme="majorBidi"/>
                <w:sz w:val="20"/>
                <w:szCs w:val="20"/>
              </w:rPr>
              <w:t xml:space="preserve">- </w:t>
            </w:r>
            <w:r w:rsidRPr="003F6BDF">
              <w:rPr>
                <w:rFonts w:asciiTheme="majorBidi" w:hAnsiTheme="majorBidi" w:cstheme="majorBidi"/>
                <w:sz w:val="20"/>
                <w:szCs w:val="20"/>
              </w:rPr>
              <w:t>Risk evaluation guides</w:t>
            </w:r>
          </w:p>
          <w:p w14:paraId="33F74A98"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Initiation/management guides</w:t>
            </w:r>
          </w:p>
          <w:p w14:paraId="30F57B6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Patient education resources (includes email to referrer aiming to reduce duration of treatment for provoked VTE, extended INR interval)</w:t>
            </w:r>
          </w:p>
          <w:p w14:paraId="548C7550" w14:textId="77777777" w:rsidR="00B85C9C" w:rsidRPr="003A7643" w:rsidRDefault="00B85C9C" w:rsidP="00CA6F03">
            <w:pPr>
              <w:rPr>
                <w:rFonts w:asciiTheme="majorBidi" w:hAnsiTheme="majorBidi" w:cstheme="majorBidi"/>
                <w:sz w:val="20"/>
                <w:szCs w:val="20"/>
              </w:rPr>
            </w:pPr>
            <w:r>
              <w:rPr>
                <w:rFonts w:asciiTheme="majorBidi" w:hAnsiTheme="majorBidi" w:cstheme="majorBidi"/>
                <w:sz w:val="20"/>
                <w:szCs w:val="20"/>
              </w:rPr>
              <w:t>- Adverse event reviews</w:t>
            </w:r>
          </w:p>
          <w:p w14:paraId="2B7D55CE" w14:textId="77777777" w:rsidR="00B85C9C" w:rsidRDefault="00B85C9C" w:rsidP="00CA6F03">
            <w:pPr>
              <w:rPr>
                <w:rFonts w:asciiTheme="majorBidi" w:hAnsiTheme="majorBidi" w:cstheme="majorBidi"/>
                <w:sz w:val="20"/>
                <w:szCs w:val="20"/>
              </w:rPr>
            </w:pPr>
          </w:p>
          <w:p w14:paraId="02518E37" w14:textId="77777777" w:rsidR="00B85C9C" w:rsidRPr="003A7643" w:rsidRDefault="00B85C9C" w:rsidP="00CA6F03">
            <w:pPr>
              <w:rPr>
                <w:rFonts w:asciiTheme="majorBidi" w:hAnsiTheme="majorBidi" w:cstheme="majorBidi"/>
                <w:b/>
                <w:bCs/>
                <w:sz w:val="20"/>
                <w:szCs w:val="20"/>
              </w:rPr>
            </w:pPr>
            <w:r w:rsidRPr="003A7643">
              <w:rPr>
                <w:rFonts w:asciiTheme="majorBidi" w:hAnsiTheme="majorBidi" w:cstheme="majorBidi"/>
                <w:b/>
                <w:bCs/>
                <w:sz w:val="20"/>
                <w:szCs w:val="20"/>
              </w:rPr>
              <w:t xml:space="preserve">Recommended QI measures: </w:t>
            </w:r>
          </w:p>
          <w:p w14:paraId="0758A571" w14:textId="3D326A8C" w:rsidR="00B85C9C" w:rsidRPr="008D6755" w:rsidRDefault="00B85C9C">
            <w:pPr>
              <w:rPr>
                <w:rFonts w:asciiTheme="majorBidi" w:hAnsiTheme="majorBidi" w:cstheme="majorBidi"/>
                <w:sz w:val="20"/>
                <w:szCs w:val="20"/>
              </w:rPr>
            </w:pPr>
            <w:r>
              <w:rPr>
                <w:rFonts w:asciiTheme="majorBidi" w:hAnsiTheme="majorBidi" w:cstheme="majorBidi"/>
                <w:sz w:val="20"/>
                <w:szCs w:val="20"/>
              </w:rPr>
              <w:t>Clinical events (bleeding, stroke/VTE, ED visits, hospitalizations, death), surrogate measures (TTR, INR variability, percent in/out of range INRs, percent missed or late INR test, adherence), process of care (INR in first 2 weeks, time from warfarin initiation to first INR, time from out-of-range INR to patient contact), population focused (percent of patients receiving guideline-based appropriate care, percent of patients receiving appropriate education, patients with drug-drug interactions at risk for GI bleeding)</w:t>
            </w:r>
          </w:p>
        </w:tc>
        <w:tc>
          <w:tcPr>
            <w:tcW w:w="3402" w:type="dxa"/>
          </w:tcPr>
          <w:p w14:paraId="6ECF8BF5"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Non-systematic expert interpretation of pre-2015 evidence</w:t>
            </w:r>
          </w:p>
        </w:tc>
      </w:tr>
      <w:tr w:rsidR="00B85C9C" w:rsidRPr="008D6755" w14:paraId="70963F72" w14:textId="77777777" w:rsidTr="008A690E">
        <w:tc>
          <w:tcPr>
            <w:tcW w:w="1743" w:type="dxa"/>
          </w:tcPr>
          <w:p w14:paraId="49AB45F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Dager et al 2020 </w:t>
            </w:r>
          </w:p>
          <w:p w14:paraId="4AA8D0A1" w14:textId="2BA3DE34" w:rsidR="00B85C9C" w:rsidRPr="008D6755" w:rsidRDefault="00B85C9C" w:rsidP="00CA6F03">
            <w:pPr>
              <w:rPr>
                <w:rFonts w:asciiTheme="majorBidi" w:hAnsiTheme="majorBidi" w:cstheme="majorBidi"/>
                <w:sz w:val="20"/>
                <w:szCs w:val="20"/>
              </w:rPr>
            </w:pPr>
          </w:p>
        </w:tc>
        <w:tc>
          <w:tcPr>
            <w:tcW w:w="1743" w:type="dxa"/>
          </w:tcPr>
          <w:p w14:paraId="49588289" w14:textId="77777777" w:rsidR="00B85C9C" w:rsidRPr="008D6755" w:rsidRDefault="00B85C9C" w:rsidP="00CA6F03">
            <w:pPr>
              <w:rPr>
                <w:rFonts w:asciiTheme="majorBidi" w:hAnsiTheme="majorBidi" w:cstheme="majorBidi"/>
                <w:sz w:val="20"/>
                <w:szCs w:val="20"/>
              </w:rPr>
            </w:pPr>
            <w:r w:rsidRPr="00260D4D">
              <w:rPr>
                <w:rFonts w:asciiTheme="majorBidi" w:hAnsiTheme="majorBidi" w:cstheme="majorBidi"/>
                <w:b/>
                <w:bCs/>
                <w:sz w:val="20"/>
                <w:szCs w:val="20"/>
              </w:rPr>
              <w:t>Commentary from the Anticoagulation Forum on the Joint Commission’s NPSG.03.05.01</w:t>
            </w:r>
            <w:r>
              <w:rPr>
                <w:rFonts w:asciiTheme="majorBidi" w:hAnsiTheme="majorBidi" w:cstheme="majorBidi"/>
                <w:sz w:val="20"/>
                <w:szCs w:val="20"/>
              </w:rPr>
              <w:t xml:space="preserve"> (see May &amp; Moll 2019 below)</w:t>
            </w:r>
          </w:p>
        </w:tc>
        <w:tc>
          <w:tcPr>
            <w:tcW w:w="1772" w:type="dxa"/>
          </w:tcPr>
          <w:p w14:paraId="639497A3" w14:textId="77777777" w:rsidR="00B85C9C" w:rsidRPr="00260D4D" w:rsidRDefault="00B85C9C" w:rsidP="00CA6F03">
            <w:pPr>
              <w:rPr>
                <w:rFonts w:asciiTheme="majorBidi" w:hAnsiTheme="majorBidi" w:cstheme="majorBidi"/>
                <w:sz w:val="20"/>
                <w:szCs w:val="20"/>
                <w:lang w:val="en-NZ"/>
              </w:rPr>
            </w:pPr>
            <w:r w:rsidRPr="00260D4D">
              <w:rPr>
                <w:rFonts w:asciiTheme="majorBidi" w:hAnsiTheme="majorBidi" w:cstheme="majorBidi"/>
                <w:sz w:val="20"/>
                <w:szCs w:val="20"/>
                <w:lang w:val="en-NZ"/>
              </w:rPr>
              <w:t>NPSG.03.05.01</w:t>
            </w:r>
            <w:r>
              <w:rPr>
                <w:rFonts w:asciiTheme="majorBidi" w:hAnsiTheme="majorBidi" w:cstheme="majorBidi"/>
                <w:sz w:val="20"/>
                <w:szCs w:val="20"/>
                <w:lang w:val="en-NZ"/>
              </w:rPr>
              <w:t xml:space="preserve"> is the National Patient Safety Goal for anticoagulation therapy</w:t>
            </w:r>
            <w:r w:rsidRPr="00260D4D">
              <w:rPr>
                <w:rFonts w:asciiTheme="majorBidi" w:hAnsiTheme="majorBidi" w:cstheme="majorBidi"/>
                <w:sz w:val="20"/>
                <w:szCs w:val="20"/>
                <w:lang w:val="en-NZ"/>
              </w:rPr>
              <w:t>: Reduce the likelihood of patient harm associated with the use of anticoagulant therapy</w:t>
            </w:r>
          </w:p>
          <w:p w14:paraId="568A2832" w14:textId="77777777" w:rsidR="00B85C9C" w:rsidRPr="008D6755" w:rsidRDefault="00B85C9C" w:rsidP="00CA6F03">
            <w:pPr>
              <w:rPr>
                <w:rFonts w:asciiTheme="majorBidi" w:hAnsiTheme="majorBidi" w:cstheme="majorBidi"/>
                <w:sz w:val="20"/>
                <w:szCs w:val="20"/>
              </w:rPr>
            </w:pPr>
          </w:p>
        </w:tc>
        <w:tc>
          <w:tcPr>
            <w:tcW w:w="5227" w:type="dxa"/>
          </w:tcPr>
          <w:p w14:paraId="0D34FA28"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R</w:t>
            </w:r>
            <w:r w:rsidRPr="00D13035">
              <w:rPr>
                <w:rFonts w:asciiTheme="majorBidi" w:hAnsiTheme="majorBidi" w:cstheme="majorBidi"/>
                <w:sz w:val="20"/>
                <w:szCs w:val="20"/>
              </w:rPr>
              <w:t>apid evolution of medical evidence and best practices</w:t>
            </w:r>
            <w:r>
              <w:rPr>
                <w:rFonts w:asciiTheme="majorBidi" w:hAnsiTheme="majorBidi" w:cstheme="majorBidi"/>
                <w:sz w:val="20"/>
                <w:szCs w:val="20"/>
              </w:rPr>
              <w:t xml:space="preserve"> requires </w:t>
            </w:r>
            <w:r w:rsidRPr="00D13035">
              <w:rPr>
                <w:rFonts w:asciiTheme="majorBidi" w:hAnsiTheme="majorBidi" w:cstheme="majorBidi"/>
                <w:sz w:val="20"/>
                <w:szCs w:val="20"/>
              </w:rPr>
              <w:t>serial re</w:t>
            </w:r>
            <w:r>
              <w:rPr>
                <w:rFonts w:asciiTheme="majorBidi" w:hAnsiTheme="majorBidi" w:cstheme="majorBidi"/>
                <w:sz w:val="20"/>
                <w:szCs w:val="20"/>
              </w:rPr>
              <w:t>-</w:t>
            </w:r>
            <w:r w:rsidRPr="00D13035">
              <w:rPr>
                <w:rFonts w:asciiTheme="majorBidi" w:hAnsiTheme="majorBidi" w:cstheme="majorBidi"/>
                <w:sz w:val="20"/>
                <w:szCs w:val="20"/>
              </w:rPr>
              <w:t>evaluation of organizational guidance.</w:t>
            </w:r>
          </w:p>
          <w:p w14:paraId="446D8AE7" w14:textId="77777777" w:rsidR="00B85C9C" w:rsidRDefault="00B85C9C" w:rsidP="00CA6F03">
            <w:pPr>
              <w:rPr>
                <w:rFonts w:asciiTheme="majorBidi" w:hAnsiTheme="majorBidi" w:cstheme="majorBidi"/>
                <w:sz w:val="20"/>
                <w:szCs w:val="20"/>
              </w:rPr>
            </w:pPr>
          </w:p>
          <w:p w14:paraId="39768680" w14:textId="77777777" w:rsidR="00B85C9C" w:rsidRDefault="00B85C9C" w:rsidP="00CA6F03">
            <w:pPr>
              <w:rPr>
                <w:rFonts w:asciiTheme="majorBidi" w:hAnsiTheme="majorBidi" w:cstheme="majorBidi"/>
                <w:sz w:val="20"/>
                <w:szCs w:val="20"/>
              </w:rPr>
            </w:pPr>
            <w:r w:rsidRPr="00D13035">
              <w:rPr>
                <w:rFonts w:asciiTheme="majorBidi" w:hAnsiTheme="majorBidi" w:cstheme="majorBidi"/>
                <w:sz w:val="20"/>
                <w:szCs w:val="20"/>
              </w:rPr>
              <w:t>The Anticoagulation Forum</w:t>
            </w:r>
            <w:r>
              <w:rPr>
                <w:rFonts w:asciiTheme="majorBidi" w:hAnsiTheme="majorBidi" w:cstheme="majorBidi"/>
                <w:sz w:val="20"/>
                <w:szCs w:val="20"/>
              </w:rPr>
              <w:t xml:space="preserve"> </w:t>
            </w:r>
            <w:r w:rsidRPr="00D13035">
              <w:rPr>
                <w:rFonts w:asciiTheme="majorBidi" w:hAnsiTheme="majorBidi" w:cstheme="majorBidi"/>
                <w:sz w:val="20"/>
                <w:szCs w:val="20"/>
              </w:rPr>
              <w:t>provides continually updated guidance materials available at the</w:t>
            </w:r>
            <w:r>
              <w:rPr>
                <w:rFonts w:asciiTheme="majorBidi" w:hAnsiTheme="majorBidi" w:cstheme="majorBidi"/>
                <w:sz w:val="20"/>
                <w:szCs w:val="20"/>
              </w:rPr>
              <w:t xml:space="preserve">ir </w:t>
            </w:r>
            <w:proofErr w:type="spellStart"/>
            <w:r w:rsidRPr="00D13035">
              <w:rPr>
                <w:rFonts w:asciiTheme="majorBidi" w:hAnsiTheme="majorBidi" w:cstheme="majorBidi"/>
                <w:sz w:val="20"/>
                <w:szCs w:val="20"/>
              </w:rPr>
              <w:t>Centers</w:t>
            </w:r>
            <w:proofErr w:type="spellEnd"/>
            <w:r w:rsidRPr="00D13035">
              <w:rPr>
                <w:rFonts w:asciiTheme="majorBidi" w:hAnsiTheme="majorBidi" w:cstheme="majorBidi"/>
                <w:sz w:val="20"/>
                <w:szCs w:val="20"/>
              </w:rPr>
              <w:t xml:space="preserve"> of Excellence</w:t>
            </w:r>
            <w:r>
              <w:rPr>
                <w:rFonts w:asciiTheme="majorBidi" w:hAnsiTheme="majorBidi" w:cstheme="majorBidi"/>
                <w:sz w:val="20"/>
                <w:szCs w:val="20"/>
              </w:rPr>
              <w:t xml:space="preserve"> </w:t>
            </w:r>
            <w:r w:rsidRPr="00D13035">
              <w:rPr>
                <w:rFonts w:asciiTheme="majorBidi" w:hAnsiTheme="majorBidi" w:cstheme="majorBidi"/>
                <w:sz w:val="20"/>
                <w:szCs w:val="20"/>
              </w:rPr>
              <w:t>website.</w:t>
            </w:r>
          </w:p>
          <w:p w14:paraId="1312BA63" w14:textId="77777777" w:rsidR="00B85C9C" w:rsidRDefault="00B85C9C" w:rsidP="00CA6F03">
            <w:pPr>
              <w:rPr>
                <w:rFonts w:asciiTheme="majorBidi" w:hAnsiTheme="majorBidi" w:cstheme="majorBidi"/>
                <w:sz w:val="20"/>
                <w:szCs w:val="20"/>
              </w:rPr>
            </w:pPr>
          </w:p>
          <w:p w14:paraId="5085324B" w14:textId="77777777" w:rsidR="00B85C9C" w:rsidRDefault="00B85C9C" w:rsidP="00CA6F03">
            <w:pPr>
              <w:rPr>
                <w:rFonts w:asciiTheme="majorBidi" w:hAnsiTheme="majorBidi" w:cstheme="majorBidi"/>
                <w:sz w:val="20"/>
                <w:szCs w:val="20"/>
              </w:rPr>
            </w:pPr>
            <w:r w:rsidRPr="00382F9D">
              <w:rPr>
                <w:rFonts w:asciiTheme="majorBidi" w:hAnsiTheme="majorBidi" w:cstheme="majorBidi"/>
                <w:b/>
                <w:bCs/>
                <w:sz w:val="20"/>
                <w:szCs w:val="20"/>
              </w:rPr>
              <w:t>Institutions need</w:t>
            </w:r>
            <w:r>
              <w:rPr>
                <w:rFonts w:asciiTheme="majorBidi" w:hAnsiTheme="majorBidi" w:cstheme="majorBidi"/>
                <w:sz w:val="20"/>
                <w:szCs w:val="20"/>
              </w:rPr>
              <w:t>:</w:t>
            </w:r>
          </w:p>
          <w:p w14:paraId="20E74848"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High-level buy in</w:t>
            </w:r>
          </w:p>
          <w:p w14:paraId="63CCAE3F"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Financial and personal resources</w:t>
            </w:r>
          </w:p>
          <w:p w14:paraId="3E459AA7"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Clear communication</w:t>
            </w:r>
          </w:p>
          <w:p w14:paraId="0F4AC480"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Multidisciplinary engagement</w:t>
            </w:r>
          </w:p>
          <w:p w14:paraId="42610F15"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Policies and procedures must be easy to retrieve</w:t>
            </w:r>
          </w:p>
          <w:p w14:paraId="208C7564"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Pharmacy and informatics involvement</w:t>
            </w:r>
          </w:p>
          <w:p w14:paraId="47805239" w14:textId="77777777" w:rsidR="00B85C9C" w:rsidRDefault="00B85C9C" w:rsidP="009D1703">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Continuous redesign</w:t>
            </w:r>
          </w:p>
          <w:p w14:paraId="2BE16FDA" w14:textId="6419D587" w:rsidR="00B85C9C" w:rsidRPr="00382F9D" w:rsidRDefault="00B85C9C" w:rsidP="00316FCF">
            <w:pPr>
              <w:pStyle w:val="ListParagraph"/>
              <w:numPr>
                <w:ilvl w:val="0"/>
                <w:numId w:val="5"/>
              </w:numPr>
              <w:rPr>
                <w:rFonts w:asciiTheme="majorBidi" w:hAnsiTheme="majorBidi" w:cstheme="majorBidi"/>
                <w:sz w:val="20"/>
                <w:szCs w:val="20"/>
              </w:rPr>
            </w:pPr>
            <w:r>
              <w:rPr>
                <w:rFonts w:asciiTheme="majorBidi" w:hAnsiTheme="majorBidi" w:cstheme="majorBidi"/>
                <w:sz w:val="20"/>
                <w:szCs w:val="20"/>
              </w:rPr>
              <w:t>Evaluation of performance</w:t>
            </w:r>
          </w:p>
        </w:tc>
        <w:tc>
          <w:tcPr>
            <w:tcW w:w="3402" w:type="dxa"/>
          </w:tcPr>
          <w:p w14:paraId="028CDA1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Authors’ Commentary on Joint Commission and Anticoagulation Forum initiatives</w:t>
            </w:r>
          </w:p>
        </w:tc>
      </w:tr>
      <w:tr w:rsidR="00B85C9C" w:rsidRPr="008D6755" w14:paraId="15613676" w14:textId="77777777" w:rsidTr="008A690E">
        <w:tc>
          <w:tcPr>
            <w:tcW w:w="1743" w:type="dxa"/>
          </w:tcPr>
          <w:p w14:paraId="4F0CFBF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Harris et al 2015</w:t>
            </w:r>
          </w:p>
          <w:p w14:paraId="402C0854" w14:textId="61EBE0FA"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see also the actual action plan </w:t>
            </w:r>
            <w:r>
              <w:rPr>
                <w:rFonts w:asciiTheme="majorBidi" w:hAnsiTheme="majorBidi" w:cstheme="majorBidi"/>
                <w:noProof/>
                <w:sz w:val="20"/>
                <w:szCs w:val="20"/>
              </w:rPr>
              <w:t>(Dept Health and Human Services 2014)</w:t>
            </w:r>
          </w:p>
        </w:tc>
        <w:tc>
          <w:tcPr>
            <w:tcW w:w="1743" w:type="dxa"/>
          </w:tcPr>
          <w:p w14:paraId="74485C2C"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rPr>
              <w:t>Commentary on: ‘</w:t>
            </w:r>
            <w:r w:rsidRPr="00DC37AF">
              <w:rPr>
                <w:rFonts w:asciiTheme="majorBidi" w:hAnsiTheme="majorBidi" w:cstheme="majorBidi"/>
                <w:b/>
                <w:bCs/>
                <w:sz w:val="20"/>
                <w:szCs w:val="20"/>
              </w:rPr>
              <w:t>National Action Plan for Adverse Drug Prevention 2014</w:t>
            </w:r>
            <w:r>
              <w:rPr>
                <w:rFonts w:asciiTheme="majorBidi" w:hAnsiTheme="majorBidi" w:cstheme="majorBidi"/>
                <w:sz w:val="20"/>
                <w:szCs w:val="20"/>
              </w:rPr>
              <w:t xml:space="preserve">’ (HHS </w:t>
            </w:r>
            <w:r w:rsidRPr="009D5B40">
              <w:rPr>
                <w:rFonts w:asciiTheme="majorBidi" w:hAnsiTheme="majorBidi" w:cstheme="majorBidi"/>
                <w:sz w:val="20"/>
                <w:szCs w:val="20"/>
                <w:lang w:val="en-NZ"/>
              </w:rPr>
              <w:t>Office of Disease Prevention and Health Promotion</w:t>
            </w:r>
            <w:r>
              <w:rPr>
                <w:rFonts w:asciiTheme="majorBidi" w:hAnsiTheme="majorBidi" w:cstheme="majorBidi"/>
                <w:sz w:val="20"/>
                <w:szCs w:val="20"/>
                <w:lang w:val="en-NZ"/>
              </w:rPr>
              <w:t>)</w:t>
            </w:r>
          </w:p>
          <w:p w14:paraId="17050623" w14:textId="77777777" w:rsidR="00B85C9C" w:rsidRDefault="00B85C9C" w:rsidP="00CA6F03">
            <w:pPr>
              <w:rPr>
                <w:rFonts w:asciiTheme="majorBidi" w:hAnsiTheme="majorBidi" w:cstheme="majorBidi"/>
                <w:sz w:val="20"/>
                <w:szCs w:val="20"/>
              </w:rPr>
            </w:pPr>
          </w:p>
          <w:p w14:paraId="36C933D3"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Anticoagulants are one of 3 medication classes targeted. Evidence-based prevention is one of 4 key areas.</w:t>
            </w:r>
          </w:p>
          <w:p w14:paraId="5FD5E796" w14:textId="77777777" w:rsidR="00B85C9C" w:rsidRPr="008D6755" w:rsidRDefault="00B85C9C" w:rsidP="00CA6F03">
            <w:pPr>
              <w:rPr>
                <w:rFonts w:asciiTheme="majorBidi" w:hAnsiTheme="majorBidi" w:cstheme="majorBidi"/>
                <w:sz w:val="20"/>
                <w:szCs w:val="20"/>
              </w:rPr>
            </w:pPr>
          </w:p>
        </w:tc>
        <w:tc>
          <w:tcPr>
            <w:tcW w:w="1772" w:type="dxa"/>
          </w:tcPr>
          <w:p w14:paraId="2C225FB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p.58–66 of the action plan details interventions relevant to anticoagulation and hospital inpatients</w:t>
            </w:r>
          </w:p>
          <w:p w14:paraId="3DBE39AF" w14:textId="77777777" w:rsidR="00B85C9C" w:rsidRDefault="00B85C9C" w:rsidP="00CA6F03">
            <w:pPr>
              <w:rPr>
                <w:rFonts w:asciiTheme="majorBidi" w:hAnsiTheme="majorBidi" w:cstheme="majorBidi"/>
                <w:sz w:val="20"/>
                <w:szCs w:val="20"/>
              </w:rPr>
            </w:pPr>
          </w:p>
          <w:p w14:paraId="45B7B861" w14:textId="77777777" w:rsidR="00B85C9C" w:rsidRPr="008D6755" w:rsidRDefault="00B85C9C" w:rsidP="00CA6F03">
            <w:pPr>
              <w:rPr>
                <w:rFonts w:asciiTheme="majorBidi" w:hAnsiTheme="majorBidi" w:cstheme="majorBidi"/>
                <w:sz w:val="20"/>
                <w:szCs w:val="20"/>
              </w:rPr>
            </w:pPr>
          </w:p>
        </w:tc>
        <w:tc>
          <w:tcPr>
            <w:tcW w:w="5227" w:type="dxa"/>
          </w:tcPr>
          <w:p w14:paraId="342937DB" w14:textId="77777777" w:rsidR="00B85C9C" w:rsidRDefault="00B85C9C" w:rsidP="00CA6F03">
            <w:pPr>
              <w:rPr>
                <w:rFonts w:asciiTheme="majorBidi" w:hAnsiTheme="majorBidi" w:cstheme="majorBidi"/>
                <w:sz w:val="20"/>
                <w:szCs w:val="20"/>
              </w:rPr>
            </w:pPr>
            <w:r w:rsidRPr="00184A11">
              <w:rPr>
                <w:rFonts w:asciiTheme="majorBidi" w:hAnsiTheme="majorBidi" w:cstheme="majorBidi"/>
                <w:b/>
                <w:bCs/>
                <w:sz w:val="20"/>
                <w:szCs w:val="20"/>
              </w:rPr>
              <w:t>Existing ‘federal assets’</w:t>
            </w:r>
            <w:r>
              <w:rPr>
                <w:rFonts w:asciiTheme="majorBidi" w:hAnsiTheme="majorBidi" w:cstheme="majorBidi"/>
                <w:sz w:val="20"/>
                <w:szCs w:val="20"/>
              </w:rPr>
              <w:t>: Anticoagulation protocols, national anticoagulation training program, education for providers, chronic disease self-management program, patient education sheet and video, medication guides, ‘Project Red’ including medicines reconciliation, anticoagulant electronic flowsheet, medication use tracker, CDSS, shared resource centre</w:t>
            </w:r>
          </w:p>
          <w:p w14:paraId="2C50A580" w14:textId="77777777" w:rsidR="00B85C9C" w:rsidRDefault="00B85C9C" w:rsidP="00CA6F03">
            <w:pPr>
              <w:rPr>
                <w:rFonts w:asciiTheme="majorBidi" w:hAnsiTheme="majorBidi" w:cstheme="majorBidi"/>
                <w:sz w:val="20"/>
                <w:szCs w:val="20"/>
              </w:rPr>
            </w:pPr>
          </w:p>
          <w:p w14:paraId="2CE9EA48" w14:textId="77777777" w:rsidR="00B85C9C" w:rsidRDefault="00B85C9C" w:rsidP="00CA6F03">
            <w:pPr>
              <w:rPr>
                <w:rFonts w:asciiTheme="majorBidi" w:hAnsiTheme="majorBidi" w:cstheme="majorBidi"/>
                <w:sz w:val="20"/>
                <w:szCs w:val="20"/>
              </w:rPr>
            </w:pPr>
            <w:r w:rsidRPr="00184A11">
              <w:rPr>
                <w:rFonts w:asciiTheme="majorBidi" w:hAnsiTheme="majorBidi" w:cstheme="majorBidi"/>
                <w:b/>
                <w:bCs/>
                <w:sz w:val="20"/>
                <w:szCs w:val="20"/>
              </w:rPr>
              <w:t>Inpatient setting opportunities to prevent anticoagulation ADEs</w:t>
            </w:r>
            <w:r>
              <w:rPr>
                <w:rFonts w:asciiTheme="majorBidi" w:hAnsiTheme="majorBidi" w:cstheme="majorBidi"/>
                <w:sz w:val="20"/>
                <w:szCs w:val="20"/>
              </w:rPr>
              <w:t xml:space="preserve">: </w:t>
            </w:r>
          </w:p>
          <w:p w14:paraId="24CD8A46"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Safer care: improve provider knowledge, improve dissemination of evidence-based tools, develop guidelines</w:t>
            </w:r>
          </w:p>
          <w:p w14:paraId="7C3E6928" w14:textId="77777777" w:rsidR="00B85C9C" w:rsidRDefault="00B85C9C" w:rsidP="00CA6F03">
            <w:pPr>
              <w:rPr>
                <w:rFonts w:asciiTheme="majorBidi" w:hAnsiTheme="majorBidi" w:cstheme="majorBidi"/>
                <w:sz w:val="20"/>
                <w:szCs w:val="20"/>
              </w:rPr>
            </w:pPr>
          </w:p>
          <w:p w14:paraId="0155198C"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Effective communication and coordination of care: improve EHR tools to integrate pharmacy/laboratory data, electronic flowsheets, CDSS, integrate anticoagulation-specific targets into care transition models</w:t>
            </w:r>
          </w:p>
          <w:p w14:paraId="38C1C6A2" w14:textId="77777777" w:rsidR="00B85C9C" w:rsidRDefault="00B85C9C" w:rsidP="00CA6F03">
            <w:pPr>
              <w:rPr>
                <w:rFonts w:asciiTheme="majorBidi" w:hAnsiTheme="majorBidi" w:cstheme="majorBidi"/>
                <w:sz w:val="20"/>
                <w:szCs w:val="20"/>
              </w:rPr>
            </w:pPr>
          </w:p>
          <w:p w14:paraId="7CEE0639"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Science-Driven prevention and treatment: multidisciplinary, coordinated, systematic approach,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anticoagulation rounds, pharmacist/nurse services, anticoagulation stewardship, culture of safety, guidelines</w:t>
            </w:r>
          </w:p>
          <w:p w14:paraId="5271A80D" w14:textId="77777777" w:rsidR="00B85C9C" w:rsidRDefault="00B85C9C" w:rsidP="00CA6F03">
            <w:pPr>
              <w:rPr>
                <w:rFonts w:asciiTheme="majorBidi" w:hAnsiTheme="majorBidi" w:cstheme="majorBidi"/>
                <w:sz w:val="20"/>
                <w:szCs w:val="20"/>
              </w:rPr>
            </w:pPr>
          </w:p>
          <w:p w14:paraId="6D48D190"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Promotion of best practices: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anticoagulation centre of excellence, disseminate results of large-scale QI initiatives </w:t>
            </w:r>
          </w:p>
        </w:tc>
        <w:tc>
          <w:tcPr>
            <w:tcW w:w="3402" w:type="dxa"/>
          </w:tcPr>
          <w:p w14:paraId="1D9C6F29"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High-level institutional guidance based on totality of evidence to 2014</w:t>
            </w:r>
          </w:p>
        </w:tc>
      </w:tr>
      <w:tr w:rsidR="00B85C9C" w:rsidRPr="008D6755" w14:paraId="66EDC64A" w14:textId="77777777" w:rsidTr="008A690E">
        <w:tc>
          <w:tcPr>
            <w:tcW w:w="1743" w:type="dxa"/>
          </w:tcPr>
          <w:p w14:paraId="4D731A0B" w14:textId="29279276"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May </w:t>
            </w:r>
            <w:r w:rsidR="008B50C6">
              <w:rPr>
                <w:rFonts w:asciiTheme="majorBidi" w:hAnsiTheme="majorBidi" w:cstheme="majorBidi"/>
                <w:sz w:val="20"/>
                <w:szCs w:val="20"/>
              </w:rPr>
              <w:t>and</w:t>
            </w:r>
            <w:r>
              <w:rPr>
                <w:rFonts w:asciiTheme="majorBidi" w:hAnsiTheme="majorBidi" w:cstheme="majorBidi"/>
                <w:sz w:val="20"/>
                <w:szCs w:val="20"/>
              </w:rPr>
              <w:t xml:space="preserve"> Moll 2019 </w:t>
            </w:r>
          </w:p>
          <w:p w14:paraId="53BAF548" w14:textId="6E2A7BB3" w:rsidR="00B85C9C" w:rsidRPr="008D6755" w:rsidRDefault="00B85C9C" w:rsidP="00CA6F03">
            <w:pPr>
              <w:rPr>
                <w:rFonts w:asciiTheme="majorBidi" w:hAnsiTheme="majorBidi" w:cstheme="majorBidi"/>
                <w:sz w:val="20"/>
                <w:szCs w:val="20"/>
              </w:rPr>
            </w:pPr>
          </w:p>
        </w:tc>
        <w:tc>
          <w:tcPr>
            <w:tcW w:w="1743" w:type="dxa"/>
          </w:tcPr>
          <w:p w14:paraId="4660AA77" w14:textId="77777777" w:rsidR="00B85C9C" w:rsidRPr="00805083" w:rsidRDefault="00B85C9C" w:rsidP="00CA6F03">
            <w:pPr>
              <w:rPr>
                <w:rFonts w:asciiTheme="majorBidi" w:hAnsiTheme="majorBidi" w:cstheme="majorBidi"/>
                <w:b/>
                <w:bCs/>
                <w:sz w:val="20"/>
                <w:szCs w:val="20"/>
              </w:rPr>
            </w:pPr>
            <w:r w:rsidRPr="00805083">
              <w:rPr>
                <w:rFonts w:asciiTheme="majorBidi" w:hAnsiTheme="majorBidi" w:cstheme="majorBidi"/>
                <w:b/>
                <w:bCs/>
                <w:sz w:val="20"/>
                <w:szCs w:val="20"/>
              </w:rPr>
              <w:t>Commentary on Joint Commission’s ‘list of Resources’ to accompany NPSG.03.05.01</w:t>
            </w:r>
          </w:p>
        </w:tc>
        <w:tc>
          <w:tcPr>
            <w:tcW w:w="1772" w:type="dxa"/>
          </w:tcPr>
          <w:p w14:paraId="057872DF"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Health systems</w:t>
            </w:r>
          </w:p>
        </w:tc>
        <w:tc>
          <w:tcPr>
            <w:tcW w:w="5227" w:type="dxa"/>
          </w:tcPr>
          <w:p w14:paraId="78DB8E1B" w14:textId="77777777" w:rsidR="00B85C9C" w:rsidRDefault="009147EC" w:rsidP="00CA6F03">
            <w:pPr>
              <w:rPr>
                <w:rFonts w:asciiTheme="majorBidi" w:hAnsiTheme="majorBidi" w:cstheme="majorBidi"/>
                <w:sz w:val="20"/>
                <w:szCs w:val="20"/>
              </w:rPr>
            </w:pPr>
            <w:hyperlink r:id="rId14" w:history="1">
              <w:r w:rsidR="00B85C9C" w:rsidRPr="00EB72A1">
                <w:rPr>
                  <w:rStyle w:val="Hyperlink"/>
                  <w:rFonts w:asciiTheme="majorBidi" w:hAnsiTheme="majorBidi" w:cstheme="majorBidi"/>
                  <w:sz w:val="20"/>
                  <w:szCs w:val="20"/>
                </w:rPr>
                <w:t>Joint Commission list of Resources</w:t>
              </w:r>
            </w:hyperlink>
            <w:r w:rsidR="00B85C9C">
              <w:rPr>
                <w:rFonts w:asciiTheme="majorBidi" w:hAnsiTheme="majorBidi" w:cstheme="majorBidi"/>
                <w:sz w:val="20"/>
                <w:szCs w:val="20"/>
              </w:rPr>
              <w:t xml:space="preserve"> (organised by ‘element of performance’, EP1-EP6, as prescribed in NPSG.03.05.01). </w:t>
            </w:r>
          </w:p>
          <w:p w14:paraId="19E78B63" w14:textId="77777777" w:rsidR="00B85C9C" w:rsidRDefault="00B85C9C" w:rsidP="00CA6F03">
            <w:pPr>
              <w:rPr>
                <w:rFonts w:asciiTheme="majorBidi" w:hAnsiTheme="majorBidi" w:cstheme="majorBidi"/>
                <w:sz w:val="20"/>
                <w:szCs w:val="20"/>
              </w:rPr>
            </w:pPr>
            <w:r w:rsidRPr="00392DB9">
              <w:rPr>
                <w:rFonts w:asciiTheme="majorBidi" w:hAnsiTheme="majorBidi" w:cstheme="majorBidi"/>
                <w:sz w:val="20"/>
                <w:szCs w:val="20"/>
              </w:rPr>
              <w:t>EPs 1 through 3 include the use of approved</w:t>
            </w:r>
            <w:r>
              <w:rPr>
                <w:rFonts w:asciiTheme="majorBidi" w:hAnsiTheme="majorBidi" w:cstheme="majorBidi"/>
                <w:sz w:val="20"/>
                <w:szCs w:val="20"/>
              </w:rPr>
              <w:t xml:space="preserve"> </w:t>
            </w:r>
            <w:r w:rsidRPr="00392DB9">
              <w:rPr>
                <w:rFonts w:asciiTheme="majorBidi" w:hAnsiTheme="majorBidi" w:cstheme="majorBidi"/>
                <w:sz w:val="20"/>
                <w:szCs w:val="20"/>
              </w:rPr>
              <w:t>protocols and evidence-based practice guidelines for medication selection, reversal and</w:t>
            </w:r>
            <w:r>
              <w:rPr>
                <w:rFonts w:asciiTheme="majorBidi" w:hAnsiTheme="majorBidi" w:cstheme="majorBidi"/>
                <w:sz w:val="20"/>
                <w:szCs w:val="20"/>
              </w:rPr>
              <w:t xml:space="preserve"> </w:t>
            </w:r>
            <w:r w:rsidRPr="00392DB9">
              <w:rPr>
                <w:rFonts w:asciiTheme="majorBidi" w:hAnsiTheme="majorBidi" w:cstheme="majorBidi"/>
                <w:sz w:val="20"/>
                <w:szCs w:val="20"/>
              </w:rPr>
              <w:t xml:space="preserve">management of bleeding, and perioperative care. </w:t>
            </w:r>
          </w:p>
          <w:p w14:paraId="62DB05E4" w14:textId="77777777" w:rsidR="00B85C9C" w:rsidRDefault="00B85C9C" w:rsidP="00CA6F03">
            <w:pPr>
              <w:rPr>
                <w:rFonts w:asciiTheme="majorBidi" w:hAnsiTheme="majorBidi" w:cstheme="majorBidi"/>
                <w:sz w:val="20"/>
                <w:szCs w:val="20"/>
              </w:rPr>
            </w:pPr>
            <w:r w:rsidRPr="00392DB9">
              <w:rPr>
                <w:rFonts w:asciiTheme="majorBidi" w:hAnsiTheme="majorBidi" w:cstheme="majorBidi"/>
                <w:sz w:val="20"/>
                <w:szCs w:val="20"/>
              </w:rPr>
              <w:t>EP 4 requires a written policy about laboratory</w:t>
            </w:r>
            <w:r>
              <w:rPr>
                <w:rFonts w:asciiTheme="majorBidi" w:hAnsiTheme="majorBidi" w:cstheme="majorBidi"/>
                <w:sz w:val="20"/>
                <w:szCs w:val="20"/>
              </w:rPr>
              <w:t xml:space="preserve"> </w:t>
            </w:r>
            <w:r w:rsidRPr="00392DB9">
              <w:rPr>
                <w:rFonts w:asciiTheme="majorBidi" w:hAnsiTheme="majorBidi" w:cstheme="majorBidi"/>
                <w:sz w:val="20"/>
                <w:szCs w:val="20"/>
              </w:rPr>
              <w:t xml:space="preserve">testing to monitor and adjust anticoagulation. </w:t>
            </w:r>
          </w:p>
          <w:p w14:paraId="077DED20" w14:textId="77777777" w:rsidR="00B85C9C" w:rsidRDefault="00B85C9C" w:rsidP="00CA6F03">
            <w:pPr>
              <w:rPr>
                <w:rFonts w:asciiTheme="majorBidi" w:hAnsiTheme="majorBidi" w:cstheme="majorBidi"/>
                <w:sz w:val="20"/>
                <w:szCs w:val="20"/>
              </w:rPr>
            </w:pPr>
            <w:r w:rsidRPr="00392DB9">
              <w:rPr>
                <w:rFonts w:asciiTheme="majorBidi" w:hAnsiTheme="majorBidi" w:cstheme="majorBidi"/>
                <w:sz w:val="20"/>
                <w:szCs w:val="20"/>
              </w:rPr>
              <w:t>EP 5 addresses institutional safety practices,</w:t>
            </w:r>
            <w:r>
              <w:rPr>
                <w:rFonts w:asciiTheme="majorBidi" w:hAnsiTheme="majorBidi" w:cstheme="majorBidi"/>
                <w:sz w:val="20"/>
                <w:szCs w:val="20"/>
              </w:rPr>
              <w:t xml:space="preserve"> </w:t>
            </w:r>
            <w:r w:rsidRPr="00392DB9">
              <w:rPr>
                <w:rFonts w:asciiTheme="majorBidi" w:hAnsiTheme="majorBidi" w:cstheme="majorBidi"/>
                <w:sz w:val="20"/>
                <w:szCs w:val="20"/>
              </w:rPr>
              <w:t>including the development of processes for identifying and responding to adverse drug events.</w:t>
            </w:r>
            <w:r>
              <w:rPr>
                <w:rFonts w:asciiTheme="majorBidi" w:hAnsiTheme="majorBidi" w:cstheme="majorBidi"/>
                <w:sz w:val="20"/>
                <w:szCs w:val="20"/>
              </w:rPr>
              <w:t xml:space="preserve"> </w:t>
            </w:r>
          </w:p>
          <w:p w14:paraId="04FE8A51" w14:textId="77777777" w:rsidR="00B85C9C" w:rsidRDefault="00B85C9C" w:rsidP="00CA6F03">
            <w:pPr>
              <w:rPr>
                <w:rFonts w:asciiTheme="majorBidi" w:hAnsiTheme="majorBidi" w:cstheme="majorBidi"/>
                <w:sz w:val="20"/>
                <w:szCs w:val="20"/>
              </w:rPr>
            </w:pPr>
            <w:r w:rsidRPr="00392DB9">
              <w:rPr>
                <w:rFonts w:asciiTheme="majorBidi" w:hAnsiTheme="majorBidi" w:cstheme="majorBidi"/>
                <w:sz w:val="20"/>
                <w:szCs w:val="20"/>
              </w:rPr>
              <w:t>EP6 focuses on patient education, ensuring that patients are aware of medication dose and</w:t>
            </w:r>
            <w:r>
              <w:rPr>
                <w:rFonts w:asciiTheme="majorBidi" w:hAnsiTheme="majorBidi" w:cstheme="majorBidi"/>
                <w:sz w:val="20"/>
                <w:szCs w:val="20"/>
              </w:rPr>
              <w:t xml:space="preserve"> </w:t>
            </w:r>
            <w:r w:rsidRPr="00392DB9">
              <w:rPr>
                <w:rFonts w:asciiTheme="majorBidi" w:hAnsiTheme="majorBidi" w:cstheme="majorBidi"/>
                <w:sz w:val="20"/>
                <w:szCs w:val="20"/>
              </w:rPr>
              <w:t>schedule, follow-up plan, and potential drug interactions and adverse reactions</w:t>
            </w:r>
          </w:p>
          <w:p w14:paraId="340D06EA" w14:textId="77777777" w:rsidR="00B85C9C" w:rsidRDefault="00B85C9C" w:rsidP="00CA6F03">
            <w:pPr>
              <w:rPr>
                <w:rFonts w:asciiTheme="majorBidi" w:hAnsiTheme="majorBidi" w:cstheme="majorBidi"/>
                <w:sz w:val="20"/>
                <w:szCs w:val="20"/>
              </w:rPr>
            </w:pPr>
          </w:p>
          <w:p w14:paraId="0C8EDECD" w14:textId="2BC223D4" w:rsidR="00B85C9C" w:rsidRPr="008D6755" w:rsidRDefault="00B85C9C">
            <w:pPr>
              <w:rPr>
                <w:rFonts w:asciiTheme="majorBidi" w:hAnsiTheme="majorBidi" w:cstheme="majorBidi"/>
                <w:sz w:val="20"/>
                <w:szCs w:val="20"/>
              </w:rPr>
            </w:pPr>
            <w:r>
              <w:rPr>
                <w:rFonts w:asciiTheme="majorBidi" w:hAnsiTheme="majorBidi" w:cstheme="majorBidi"/>
                <w:sz w:val="20"/>
                <w:szCs w:val="20"/>
              </w:rPr>
              <w:t xml:space="preserve">May &amp; Moll note </w:t>
            </w:r>
            <w:r w:rsidRPr="00805083">
              <w:rPr>
                <w:rFonts w:asciiTheme="majorBidi" w:hAnsiTheme="majorBidi" w:cstheme="majorBidi"/>
                <w:b/>
                <w:bCs/>
                <w:sz w:val="20"/>
                <w:szCs w:val="20"/>
              </w:rPr>
              <w:t>an opportunity to implement a “systems-based haematologist,”,</w:t>
            </w:r>
            <w:r>
              <w:rPr>
                <w:rFonts w:asciiTheme="majorBidi" w:hAnsiTheme="majorBidi" w:cstheme="majorBidi"/>
                <w:sz w:val="20"/>
                <w:szCs w:val="20"/>
              </w:rPr>
              <w:t xml:space="preserve"> </w:t>
            </w:r>
            <w:r w:rsidRPr="00AE70E3">
              <w:rPr>
                <w:rFonts w:asciiTheme="majorBidi" w:hAnsiTheme="majorBidi" w:cstheme="majorBidi"/>
                <w:sz w:val="20"/>
                <w:szCs w:val="20"/>
              </w:rPr>
              <w:t>a specialty-trained physician,</w:t>
            </w:r>
            <w:r>
              <w:rPr>
                <w:rFonts w:asciiTheme="majorBidi" w:hAnsiTheme="majorBidi" w:cstheme="majorBidi"/>
                <w:sz w:val="20"/>
                <w:szCs w:val="20"/>
              </w:rPr>
              <w:t xml:space="preserve"> </w:t>
            </w:r>
            <w:r w:rsidRPr="00AE70E3">
              <w:rPr>
                <w:rFonts w:asciiTheme="majorBidi" w:hAnsiTheme="majorBidi" w:cstheme="majorBidi"/>
                <w:sz w:val="20"/>
                <w:szCs w:val="20"/>
              </w:rPr>
              <w:t xml:space="preserve">employed by a hospital, </w:t>
            </w:r>
            <w:r w:rsidRPr="00AE70E3">
              <w:rPr>
                <w:rFonts w:asciiTheme="majorBidi" w:hAnsiTheme="majorBidi" w:cstheme="majorBidi"/>
                <w:i/>
                <w:iCs/>
                <w:sz w:val="20"/>
                <w:szCs w:val="20"/>
              </w:rPr>
              <w:t>or health system</w:t>
            </w:r>
            <w:r w:rsidRPr="00AE70E3">
              <w:rPr>
                <w:rFonts w:asciiTheme="majorBidi" w:hAnsiTheme="majorBidi" w:cstheme="majorBidi"/>
                <w:sz w:val="20"/>
                <w:szCs w:val="20"/>
              </w:rPr>
              <w:t>, who optimizes individual patient care, as</w:t>
            </w:r>
            <w:r>
              <w:rPr>
                <w:rFonts w:asciiTheme="majorBidi" w:hAnsiTheme="majorBidi" w:cstheme="majorBidi"/>
                <w:sz w:val="20"/>
                <w:szCs w:val="20"/>
              </w:rPr>
              <w:t xml:space="preserve"> </w:t>
            </w:r>
            <w:r w:rsidRPr="00AE70E3">
              <w:rPr>
                <w:rFonts w:asciiTheme="majorBidi" w:hAnsiTheme="majorBidi" w:cstheme="majorBidi"/>
                <w:sz w:val="20"/>
                <w:szCs w:val="20"/>
              </w:rPr>
              <w:t>well as the overall system of hea</w:t>
            </w:r>
            <w:r>
              <w:rPr>
                <w:rFonts w:asciiTheme="majorBidi" w:hAnsiTheme="majorBidi" w:cstheme="majorBidi"/>
                <w:sz w:val="20"/>
                <w:szCs w:val="20"/>
              </w:rPr>
              <w:t>l</w:t>
            </w:r>
            <w:r w:rsidRPr="00AE70E3">
              <w:rPr>
                <w:rFonts w:asciiTheme="majorBidi" w:hAnsiTheme="majorBidi" w:cstheme="majorBidi"/>
                <w:sz w:val="20"/>
                <w:szCs w:val="20"/>
              </w:rPr>
              <w:t>th</w:t>
            </w:r>
            <w:r>
              <w:rPr>
                <w:rFonts w:asciiTheme="majorBidi" w:hAnsiTheme="majorBidi" w:cstheme="majorBidi"/>
                <w:sz w:val="20"/>
                <w:szCs w:val="20"/>
              </w:rPr>
              <w:t xml:space="preserve"> </w:t>
            </w:r>
            <w:r w:rsidRPr="00AE70E3">
              <w:rPr>
                <w:rFonts w:asciiTheme="majorBidi" w:hAnsiTheme="majorBidi" w:cstheme="majorBidi"/>
                <w:sz w:val="20"/>
                <w:szCs w:val="20"/>
              </w:rPr>
              <w:t>care delivery</w:t>
            </w:r>
            <w:r>
              <w:rPr>
                <w:rFonts w:asciiTheme="majorBidi" w:hAnsiTheme="majorBidi" w:cstheme="majorBidi"/>
                <w:sz w:val="20"/>
                <w:szCs w:val="20"/>
              </w:rPr>
              <w:t>.</w:t>
            </w:r>
          </w:p>
        </w:tc>
        <w:tc>
          <w:tcPr>
            <w:tcW w:w="3402" w:type="dxa"/>
          </w:tcPr>
          <w:p w14:paraId="6006260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Authors’ commentary on Joint Commission and Anticoagulation Forum initiatives </w:t>
            </w:r>
          </w:p>
        </w:tc>
      </w:tr>
      <w:tr w:rsidR="00B85C9C" w:rsidRPr="008D6755" w14:paraId="745FA16C" w14:textId="77777777" w:rsidTr="008A690E">
        <w:tc>
          <w:tcPr>
            <w:tcW w:w="1743" w:type="dxa"/>
          </w:tcPr>
          <w:p w14:paraId="4ADCE65D"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Spyropoulos et al 2015 </w:t>
            </w:r>
          </w:p>
          <w:p w14:paraId="177E63B1" w14:textId="6ED88320" w:rsidR="00B85C9C" w:rsidRPr="008D6755" w:rsidRDefault="00B85C9C" w:rsidP="00CA6F03">
            <w:pPr>
              <w:rPr>
                <w:rFonts w:asciiTheme="majorBidi" w:hAnsiTheme="majorBidi" w:cstheme="majorBidi"/>
                <w:sz w:val="20"/>
                <w:szCs w:val="20"/>
              </w:rPr>
            </w:pPr>
          </w:p>
        </w:tc>
        <w:tc>
          <w:tcPr>
            <w:tcW w:w="1743" w:type="dxa"/>
          </w:tcPr>
          <w:p w14:paraId="66C331F9" w14:textId="77777777" w:rsidR="00B85C9C" w:rsidRPr="00805083" w:rsidRDefault="00B85C9C" w:rsidP="00CA6F03">
            <w:pPr>
              <w:rPr>
                <w:rFonts w:asciiTheme="majorBidi" w:hAnsiTheme="majorBidi" w:cstheme="majorBidi"/>
                <w:b/>
                <w:bCs/>
                <w:sz w:val="20"/>
                <w:szCs w:val="20"/>
              </w:rPr>
            </w:pPr>
            <w:r>
              <w:rPr>
                <w:rFonts w:asciiTheme="majorBidi" w:hAnsiTheme="majorBidi" w:cstheme="majorBidi"/>
                <w:sz w:val="20"/>
                <w:szCs w:val="20"/>
              </w:rPr>
              <w:t>Consensus statement on ‘</w:t>
            </w:r>
            <w:r w:rsidRPr="00805083">
              <w:rPr>
                <w:rFonts w:asciiTheme="majorBidi" w:hAnsiTheme="majorBidi" w:cstheme="majorBidi"/>
                <w:b/>
                <w:bCs/>
                <w:sz w:val="20"/>
                <w:szCs w:val="20"/>
              </w:rPr>
              <w:t>Features of Electronic Health Records</w:t>
            </w:r>
          </w:p>
          <w:p w14:paraId="696111E5" w14:textId="77777777" w:rsidR="00B85C9C" w:rsidRPr="00805083" w:rsidRDefault="00B85C9C" w:rsidP="00CA6F03">
            <w:pPr>
              <w:rPr>
                <w:rFonts w:asciiTheme="majorBidi" w:hAnsiTheme="majorBidi" w:cstheme="majorBidi"/>
                <w:b/>
                <w:bCs/>
                <w:sz w:val="20"/>
                <w:szCs w:val="20"/>
              </w:rPr>
            </w:pPr>
            <w:r w:rsidRPr="00805083">
              <w:rPr>
                <w:rFonts w:asciiTheme="majorBidi" w:hAnsiTheme="majorBidi" w:cstheme="majorBidi"/>
                <w:b/>
                <w:bCs/>
                <w:sz w:val="20"/>
                <w:szCs w:val="20"/>
              </w:rPr>
              <w:t>Necessary for the Delivery of Optimized</w:t>
            </w:r>
          </w:p>
          <w:p w14:paraId="4BF8625F" w14:textId="77777777" w:rsidR="00B85C9C" w:rsidRPr="00154F12" w:rsidRDefault="00B85C9C" w:rsidP="00CA6F03">
            <w:pPr>
              <w:rPr>
                <w:rFonts w:asciiTheme="majorBidi" w:hAnsiTheme="majorBidi" w:cstheme="majorBidi"/>
                <w:sz w:val="20"/>
                <w:szCs w:val="20"/>
              </w:rPr>
            </w:pPr>
            <w:r w:rsidRPr="00805083">
              <w:rPr>
                <w:rFonts w:asciiTheme="majorBidi" w:hAnsiTheme="majorBidi" w:cstheme="majorBidi"/>
                <w:b/>
                <w:bCs/>
                <w:sz w:val="20"/>
                <w:szCs w:val="20"/>
              </w:rPr>
              <w:t>Anticoagulant Therapy</w:t>
            </w:r>
            <w:r>
              <w:rPr>
                <w:rFonts w:asciiTheme="majorBidi" w:hAnsiTheme="majorBidi" w:cstheme="majorBidi"/>
                <w:sz w:val="20"/>
                <w:szCs w:val="20"/>
              </w:rPr>
              <w:t>’ with o</w:t>
            </w:r>
            <w:r w:rsidRPr="00154F12">
              <w:rPr>
                <w:rFonts w:asciiTheme="majorBidi" w:hAnsiTheme="majorBidi" w:cstheme="majorBidi"/>
                <w:sz w:val="20"/>
                <w:szCs w:val="20"/>
              </w:rPr>
              <w:t>bjective</w:t>
            </w:r>
            <w:r>
              <w:rPr>
                <w:rFonts w:asciiTheme="majorBidi" w:hAnsiTheme="majorBidi" w:cstheme="majorBidi"/>
                <w:sz w:val="20"/>
                <w:szCs w:val="20"/>
              </w:rPr>
              <w:t xml:space="preserve"> t</w:t>
            </w:r>
            <w:r w:rsidRPr="00154F12">
              <w:rPr>
                <w:rFonts w:asciiTheme="majorBidi" w:hAnsiTheme="majorBidi" w:cstheme="majorBidi"/>
                <w:sz w:val="20"/>
                <w:szCs w:val="20"/>
              </w:rPr>
              <w:t>o generate a comprehensive, consensus-based list of EHR features clinically necessary to</w:t>
            </w:r>
          </w:p>
          <w:p w14:paraId="12E2AABC" w14:textId="77777777" w:rsidR="00B85C9C" w:rsidRPr="008D6755" w:rsidRDefault="00B85C9C" w:rsidP="00CA6F03">
            <w:pPr>
              <w:rPr>
                <w:rFonts w:asciiTheme="majorBidi" w:hAnsiTheme="majorBidi" w:cstheme="majorBidi"/>
                <w:sz w:val="20"/>
                <w:szCs w:val="20"/>
              </w:rPr>
            </w:pPr>
            <w:r w:rsidRPr="00154F12">
              <w:rPr>
                <w:rFonts w:asciiTheme="majorBidi" w:hAnsiTheme="majorBidi" w:cstheme="majorBidi"/>
                <w:sz w:val="20"/>
                <w:szCs w:val="20"/>
              </w:rPr>
              <w:t>deliver optimized AC management</w:t>
            </w:r>
          </w:p>
        </w:tc>
        <w:tc>
          <w:tcPr>
            <w:tcW w:w="1772" w:type="dxa"/>
          </w:tcPr>
          <w:p w14:paraId="1CBCA812"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EHRs generally </w:t>
            </w:r>
          </w:p>
        </w:tc>
        <w:tc>
          <w:tcPr>
            <w:tcW w:w="5227" w:type="dxa"/>
          </w:tcPr>
          <w:p w14:paraId="0C886FBE" w14:textId="77777777" w:rsidR="00B85C9C" w:rsidRDefault="00B85C9C" w:rsidP="00CA6F03">
            <w:pPr>
              <w:rPr>
                <w:rFonts w:asciiTheme="majorBidi" w:hAnsiTheme="majorBidi" w:cstheme="majorBidi"/>
                <w:sz w:val="20"/>
                <w:szCs w:val="20"/>
              </w:rPr>
            </w:pPr>
            <w:r w:rsidRPr="00154F12">
              <w:rPr>
                <w:rFonts w:asciiTheme="majorBidi" w:hAnsiTheme="majorBidi" w:cstheme="majorBidi"/>
                <w:sz w:val="20"/>
                <w:szCs w:val="20"/>
              </w:rPr>
              <w:t>Electronic health records</w:t>
            </w:r>
            <w:r>
              <w:rPr>
                <w:rFonts w:asciiTheme="majorBidi" w:hAnsiTheme="majorBidi" w:cstheme="majorBidi"/>
                <w:sz w:val="20"/>
                <w:szCs w:val="20"/>
              </w:rPr>
              <w:t xml:space="preserve"> </w:t>
            </w:r>
            <w:r w:rsidRPr="00154F12">
              <w:rPr>
                <w:rFonts w:asciiTheme="majorBidi" w:hAnsiTheme="majorBidi" w:cstheme="majorBidi"/>
                <w:sz w:val="20"/>
                <w:szCs w:val="20"/>
              </w:rPr>
              <w:t>(EHRs) have the potential</w:t>
            </w:r>
            <w:r>
              <w:rPr>
                <w:rFonts w:asciiTheme="majorBidi" w:hAnsiTheme="majorBidi" w:cstheme="majorBidi"/>
                <w:sz w:val="20"/>
                <w:szCs w:val="20"/>
              </w:rPr>
              <w:t xml:space="preserve"> </w:t>
            </w:r>
            <w:r w:rsidRPr="00154F12">
              <w:rPr>
                <w:rFonts w:asciiTheme="majorBidi" w:hAnsiTheme="majorBidi" w:cstheme="majorBidi"/>
                <w:sz w:val="20"/>
                <w:szCs w:val="20"/>
              </w:rPr>
              <w:t>to improve safety and quality but have not yet</w:t>
            </w:r>
            <w:r>
              <w:rPr>
                <w:rFonts w:asciiTheme="majorBidi" w:hAnsiTheme="majorBidi" w:cstheme="majorBidi"/>
                <w:sz w:val="20"/>
                <w:szCs w:val="20"/>
              </w:rPr>
              <w:t xml:space="preserve"> </w:t>
            </w:r>
            <w:r w:rsidRPr="00154F12">
              <w:rPr>
                <w:rFonts w:asciiTheme="majorBidi" w:hAnsiTheme="majorBidi" w:cstheme="majorBidi"/>
                <w:sz w:val="20"/>
                <w:szCs w:val="20"/>
              </w:rPr>
              <w:t>incorporated specialized features necessary to</w:t>
            </w:r>
            <w:r>
              <w:rPr>
                <w:rFonts w:asciiTheme="majorBidi" w:hAnsiTheme="majorBidi" w:cstheme="majorBidi"/>
                <w:sz w:val="20"/>
                <w:szCs w:val="20"/>
              </w:rPr>
              <w:t xml:space="preserve"> </w:t>
            </w:r>
            <w:r w:rsidRPr="00154F12">
              <w:rPr>
                <w:rFonts w:asciiTheme="majorBidi" w:hAnsiTheme="majorBidi" w:cstheme="majorBidi"/>
                <w:sz w:val="20"/>
                <w:szCs w:val="20"/>
              </w:rPr>
              <w:t xml:space="preserve">optimize therapy. </w:t>
            </w:r>
            <w:r w:rsidRPr="00746C18">
              <w:rPr>
                <w:rFonts w:asciiTheme="majorBidi" w:hAnsiTheme="majorBidi" w:cstheme="majorBidi"/>
                <w:sz w:val="20"/>
                <w:szCs w:val="20"/>
              </w:rPr>
              <w:t>A multidisciplinary panel of AC specialists</w:t>
            </w:r>
            <w:r>
              <w:rPr>
                <w:rFonts w:asciiTheme="majorBidi" w:hAnsiTheme="majorBidi" w:cstheme="majorBidi"/>
                <w:sz w:val="20"/>
                <w:szCs w:val="20"/>
              </w:rPr>
              <w:t xml:space="preserve"> </w:t>
            </w:r>
            <w:r w:rsidRPr="00746C18">
              <w:rPr>
                <w:rFonts w:asciiTheme="majorBidi" w:hAnsiTheme="majorBidi" w:cstheme="majorBidi"/>
                <w:sz w:val="20"/>
                <w:szCs w:val="20"/>
              </w:rPr>
              <w:t>utilized the framework of a previously published consensus statement</w:t>
            </w:r>
            <w:r>
              <w:rPr>
                <w:rFonts w:asciiTheme="majorBidi" w:hAnsiTheme="majorBidi" w:cstheme="majorBidi"/>
                <w:sz w:val="20"/>
                <w:szCs w:val="20"/>
              </w:rPr>
              <w:t xml:space="preserve"> </w:t>
            </w:r>
            <w:r w:rsidRPr="00746C18">
              <w:rPr>
                <w:rFonts w:asciiTheme="majorBidi" w:hAnsiTheme="majorBidi" w:cstheme="majorBidi"/>
                <w:sz w:val="20"/>
                <w:szCs w:val="20"/>
              </w:rPr>
              <w:t>A finalized list</w:t>
            </w:r>
            <w:r>
              <w:rPr>
                <w:rFonts w:asciiTheme="majorBidi" w:hAnsiTheme="majorBidi" w:cstheme="majorBidi"/>
                <w:sz w:val="20"/>
                <w:szCs w:val="20"/>
              </w:rPr>
              <w:t xml:space="preserve"> </w:t>
            </w:r>
            <w:r w:rsidRPr="00746C18">
              <w:rPr>
                <w:rFonts w:asciiTheme="majorBidi" w:hAnsiTheme="majorBidi" w:cstheme="majorBidi"/>
                <w:sz w:val="20"/>
                <w:szCs w:val="20"/>
              </w:rPr>
              <w:t>of proposed features was ranked according to</w:t>
            </w:r>
            <w:r>
              <w:rPr>
                <w:rFonts w:asciiTheme="majorBidi" w:hAnsiTheme="majorBidi" w:cstheme="majorBidi"/>
                <w:sz w:val="20"/>
                <w:szCs w:val="20"/>
              </w:rPr>
              <w:t xml:space="preserve"> </w:t>
            </w:r>
            <w:r w:rsidRPr="00746C18">
              <w:rPr>
                <w:rFonts w:asciiTheme="majorBidi" w:hAnsiTheme="majorBidi" w:cstheme="majorBidi"/>
                <w:sz w:val="20"/>
                <w:szCs w:val="20"/>
              </w:rPr>
              <w:t>perceived clinical necessity by physician,</w:t>
            </w:r>
            <w:r>
              <w:rPr>
                <w:rFonts w:asciiTheme="majorBidi" w:hAnsiTheme="majorBidi" w:cstheme="majorBidi"/>
                <w:sz w:val="20"/>
                <w:szCs w:val="20"/>
              </w:rPr>
              <w:t xml:space="preserve"> </w:t>
            </w:r>
            <w:r w:rsidRPr="00746C18">
              <w:rPr>
                <w:rFonts w:asciiTheme="majorBidi" w:hAnsiTheme="majorBidi" w:cstheme="majorBidi"/>
                <w:sz w:val="20"/>
                <w:szCs w:val="20"/>
              </w:rPr>
              <w:t>pharmacist, and nurse panellists</w:t>
            </w:r>
            <w:r>
              <w:rPr>
                <w:rFonts w:asciiTheme="majorBidi" w:hAnsiTheme="majorBidi" w:cstheme="majorBidi"/>
                <w:sz w:val="20"/>
                <w:szCs w:val="20"/>
              </w:rPr>
              <w:t>.</w:t>
            </w:r>
          </w:p>
          <w:p w14:paraId="69337E26" w14:textId="77777777" w:rsidR="00B85C9C" w:rsidRDefault="00B85C9C" w:rsidP="00CA6F03">
            <w:pPr>
              <w:rPr>
                <w:rFonts w:asciiTheme="majorBidi" w:hAnsiTheme="majorBidi" w:cstheme="majorBidi"/>
                <w:sz w:val="20"/>
                <w:szCs w:val="20"/>
              </w:rPr>
            </w:pPr>
          </w:p>
          <w:p w14:paraId="777B657F" w14:textId="77777777" w:rsidR="00B85C9C" w:rsidRPr="008D6755" w:rsidRDefault="00B85C9C" w:rsidP="00CA6F03">
            <w:pPr>
              <w:rPr>
                <w:rFonts w:asciiTheme="majorBidi" w:hAnsiTheme="majorBidi" w:cstheme="majorBidi"/>
                <w:sz w:val="20"/>
                <w:szCs w:val="20"/>
              </w:rPr>
            </w:pPr>
            <w:r w:rsidRPr="00AF255E">
              <w:rPr>
                <w:rFonts w:asciiTheme="majorBidi" w:hAnsiTheme="majorBidi" w:cstheme="majorBidi"/>
                <w:sz w:val="20"/>
                <w:szCs w:val="20"/>
              </w:rPr>
              <w:t xml:space="preserve">The task force generated </w:t>
            </w:r>
            <w:r w:rsidRPr="00805083">
              <w:rPr>
                <w:rFonts w:asciiTheme="majorBidi" w:hAnsiTheme="majorBidi" w:cstheme="majorBidi"/>
                <w:b/>
                <w:bCs/>
                <w:sz w:val="20"/>
                <w:szCs w:val="20"/>
              </w:rPr>
              <w:t>78 recommended EHR features across 20 key discrete areas</w:t>
            </w:r>
            <w:r w:rsidRPr="00AF255E">
              <w:rPr>
                <w:rFonts w:asciiTheme="majorBidi" w:hAnsiTheme="majorBidi" w:cstheme="majorBidi"/>
                <w:sz w:val="20"/>
                <w:szCs w:val="20"/>
              </w:rPr>
              <w:t xml:space="preserve"> and 425 individual logic steps</w:t>
            </w:r>
            <w:r>
              <w:rPr>
                <w:rFonts w:asciiTheme="majorBidi" w:hAnsiTheme="majorBidi" w:cstheme="majorBidi"/>
                <w:sz w:val="20"/>
                <w:szCs w:val="20"/>
              </w:rPr>
              <w:t xml:space="preserve"> (detailed in Table 5 of Spyropoulos, p.118-120)</w:t>
            </w:r>
          </w:p>
          <w:p w14:paraId="53F1B657" w14:textId="77777777" w:rsidR="00B85C9C" w:rsidRPr="008D6755" w:rsidRDefault="00B85C9C" w:rsidP="00CA6F03">
            <w:pPr>
              <w:rPr>
                <w:rFonts w:asciiTheme="majorBidi" w:hAnsiTheme="majorBidi" w:cstheme="majorBidi"/>
                <w:sz w:val="20"/>
                <w:szCs w:val="20"/>
              </w:rPr>
            </w:pPr>
          </w:p>
        </w:tc>
        <w:tc>
          <w:tcPr>
            <w:tcW w:w="3402" w:type="dxa"/>
          </w:tcPr>
          <w:p w14:paraId="7AED1586"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Expert Consensus of New York State Anticoagulation Taskforce, no implementation, outcomes measurement or evaluation undertaken. </w:t>
            </w:r>
          </w:p>
        </w:tc>
      </w:tr>
      <w:tr w:rsidR="00B85C9C" w:rsidRPr="008D6755" w14:paraId="5D9049E3" w14:textId="77777777" w:rsidTr="008A690E">
        <w:tc>
          <w:tcPr>
            <w:tcW w:w="1743" w:type="dxa"/>
          </w:tcPr>
          <w:p w14:paraId="13C0B43B"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Triller et al 2018 </w:t>
            </w:r>
          </w:p>
          <w:p w14:paraId="62CF08FC" w14:textId="032B61A2" w:rsidR="00B85C9C" w:rsidRDefault="00B85C9C" w:rsidP="00CA6F03">
            <w:pPr>
              <w:rPr>
                <w:rFonts w:asciiTheme="majorBidi" w:hAnsiTheme="majorBidi" w:cstheme="majorBidi"/>
                <w:sz w:val="20"/>
                <w:szCs w:val="20"/>
              </w:rPr>
            </w:pPr>
          </w:p>
        </w:tc>
        <w:tc>
          <w:tcPr>
            <w:tcW w:w="1743" w:type="dxa"/>
          </w:tcPr>
          <w:p w14:paraId="653F18C4" w14:textId="74B44A26" w:rsidR="00B85C9C" w:rsidRPr="008D6755" w:rsidRDefault="00B85C9C">
            <w:pPr>
              <w:rPr>
                <w:rFonts w:asciiTheme="majorBidi" w:hAnsiTheme="majorBidi" w:cstheme="majorBidi"/>
                <w:sz w:val="20"/>
                <w:szCs w:val="20"/>
              </w:rPr>
            </w:pPr>
            <w:r w:rsidRPr="00145E14">
              <w:rPr>
                <w:rFonts w:asciiTheme="majorBidi" w:hAnsiTheme="majorBidi" w:cstheme="majorBidi"/>
                <w:sz w:val="20"/>
                <w:szCs w:val="20"/>
              </w:rPr>
              <w:t>Anticoagulated patients are particularly vulnerable to ADEs when they experience changes in medical acuity, pharmacotherapy, or care setting</w:t>
            </w:r>
            <w:r>
              <w:rPr>
                <w:rFonts w:asciiTheme="majorBidi" w:hAnsiTheme="majorBidi" w:cstheme="majorBidi"/>
                <w:sz w:val="20"/>
                <w:szCs w:val="20"/>
              </w:rPr>
              <w:t xml:space="preserve">. </w:t>
            </w:r>
            <w:r w:rsidRPr="00145E14">
              <w:rPr>
                <w:rFonts w:asciiTheme="majorBidi" w:hAnsiTheme="majorBidi" w:cstheme="majorBidi"/>
                <w:sz w:val="20"/>
                <w:szCs w:val="20"/>
              </w:rPr>
              <w:t>New York State Anticoagulation Coalition task force develop</w:t>
            </w:r>
            <w:r>
              <w:rPr>
                <w:rFonts w:asciiTheme="majorBidi" w:hAnsiTheme="majorBidi" w:cstheme="majorBidi"/>
                <w:sz w:val="20"/>
                <w:szCs w:val="20"/>
              </w:rPr>
              <w:t>ed</w:t>
            </w:r>
            <w:r w:rsidRPr="00145E14">
              <w:rPr>
                <w:rFonts w:asciiTheme="majorBidi" w:hAnsiTheme="majorBidi" w:cstheme="majorBidi"/>
                <w:sz w:val="20"/>
                <w:szCs w:val="20"/>
              </w:rPr>
              <w:t xml:space="preserve"> a </w:t>
            </w:r>
            <w:r w:rsidRPr="00CB70D6">
              <w:rPr>
                <w:rFonts w:asciiTheme="majorBidi" w:hAnsiTheme="majorBidi" w:cstheme="majorBidi"/>
                <w:b/>
                <w:bCs/>
                <w:sz w:val="20"/>
                <w:szCs w:val="20"/>
              </w:rPr>
              <w:t>consensus list of requisite data elements (RDEs)</w:t>
            </w:r>
            <w:r w:rsidRPr="00145E14">
              <w:rPr>
                <w:rFonts w:asciiTheme="majorBidi" w:hAnsiTheme="majorBidi" w:cstheme="majorBidi"/>
                <w:sz w:val="20"/>
                <w:szCs w:val="20"/>
              </w:rPr>
              <w:t xml:space="preserve"> </w:t>
            </w:r>
          </w:p>
        </w:tc>
        <w:tc>
          <w:tcPr>
            <w:tcW w:w="1772" w:type="dxa"/>
          </w:tcPr>
          <w:p w14:paraId="40A5F4B7"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Data elements should accompany a</w:t>
            </w:r>
            <w:r w:rsidRPr="00145E14">
              <w:rPr>
                <w:rFonts w:asciiTheme="majorBidi" w:hAnsiTheme="majorBidi" w:cstheme="majorBidi"/>
                <w:sz w:val="20"/>
                <w:szCs w:val="20"/>
              </w:rPr>
              <w:t>ll anticoagulated patients undergoing care transitions</w:t>
            </w:r>
          </w:p>
        </w:tc>
        <w:tc>
          <w:tcPr>
            <w:tcW w:w="5227" w:type="dxa"/>
          </w:tcPr>
          <w:p w14:paraId="39A9DE55" w14:textId="77777777" w:rsidR="00B85C9C" w:rsidRDefault="00B85C9C" w:rsidP="00CA6F03">
            <w:pPr>
              <w:rPr>
                <w:rFonts w:asciiTheme="majorBidi" w:hAnsiTheme="majorBidi" w:cstheme="majorBidi"/>
                <w:sz w:val="20"/>
                <w:szCs w:val="20"/>
              </w:rPr>
            </w:pPr>
            <w:r w:rsidRPr="00CB70D6">
              <w:rPr>
                <w:rFonts w:asciiTheme="majorBidi" w:hAnsiTheme="majorBidi" w:cstheme="majorBidi"/>
                <w:b/>
                <w:bCs/>
                <w:sz w:val="20"/>
                <w:szCs w:val="20"/>
              </w:rPr>
              <w:t>Consensus on 15 requisite data elements</w:t>
            </w:r>
            <w:r>
              <w:rPr>
                <w:rFonts w:asciiTheme="majorBidi" w:hAnsiTheme="majorBidi" w:cstheme="majorBidi"/>
                <w:sz w:val="20"/>
                <w:szCs w:val="20"/>
              </w:rPr>
              <w:t xml:space="preserve"> (RDEs) (12 general, 3 specific to warfarin)</w:t>
            </w:r>
          </w:p>
          <w:p w14:paraId="44C33227" w14:textId="77777777" w:rsidR="00B85C9C" w:rsidRDefault="00B85C9C" w:rsidP="00CA6F03">
            <w:pPr>
              <w:rPr>
                <w:rFonts w:asciiTheme="majorBidi" w:hAnsiTheme="majorBidi" w:cstheme="majorBidi"/>
                <w:sz w:val="20"/>
                <w:szCs w:val="20"/>
              </w:rPr>
            </w:pPr>
          </w:p>
          <w:p w14:paraId="1F72BEC3" w14:textId="289A39DC" w:rsidR="00B85C9C" w:rsidRPr="008D6755" w:rsidRDefault="00B85C9C">
            <w:pPr>
              <w:rPr>
                <w:rFonts w:asciiTheme="majorBidi" w:hAnsiTheme="majorBidi" w:cstheme="majorBidi"/>
                <w:sz w:val="20"/>
                <w:szCs w:val="20"/>
              </w:rPr>
            </w:pPr>
            <w:r>
              <w:rPr>
                <w:rFonts w:asciiTheme="majorBidi" w:hAnsiTheme="majorBidi" w:cstheme="majorBidi"/>
                <w:sz w:val="20"/>
                <w:szCs w:val="20"/>
              </w:rPr>
              <w:t>See Triller et al 2018, Table 1, for a list of the 15 RDEs</w:t>
            </w:r>
          </w:p>
        </w:tc>
        <w:tc>
          <w:tcPr>
            <w:tcW w:w="3402" w:type="dxa"/>
          </w:tcPr>
          <w:p w14:paraId="100CFE9B"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Expert Consensus of New York State Anticoagulation Taskforce (15 member, multidisciplinary, Delphi process, blinded electronic polling)</w:t>
            </w:r>
          </w:p>
        </w:tc>
      </w:tr>
    </w:tbl>
    <w:p w14:paraId="036F718B" w14:textId="77777777" w:rsidR="00B85C9C" w:rsidRDefault="00B85C9C" w:rsidP="009D1703">
      <w:pPr>
        <w:rPr>
          <w:rFonts w:asciiTheme="majorBidi" w:hAnsiTheme="majorBidi" w:cstheme="majorBidi"/>
          <w:b/>
          <w:bCs/>
        </w:rPr>
      </w:pPr>
    </w:p>
    <w:p w14:paraId="6563A06F" w14:textId="77777777" w:rsidR="00B85C9C" w:rsidRDefault="00B85C9C" w:rsidP="009D1703"/>
    <w:p w14:paraId="3A0EB258" w14:textId="77777777" w:rsidR="00B85C9C" w:rsidRDefault="00B85C9C" w:rsidP="009D1703">
      <w:r>
        <w:br w:type="page"/>
      </w:r>
    </w:p>
    <w:p w14:paraId="60DCA2A6" w14:textId="77777777" w:rsidR="00B85C9C" w:rsidRPr="008D6755" w:rsidRDefault="00B85C9C" w:rsidP="009D1703">
      <w:pPr>
        <w:spacing w:after="120"/>
        <w:rPr>
          <w:rFonts w:asciiTheme="majorBidi" w:hAnsiTheme="majorBidi" w:cstheme="majorBidi"/>
          <w:b/>
          <w:bCs/>
        </w:rPr>
      </w:pPr>
      <w:r w:rsidRPr="008D6755">
        <w:rPr>
          <w:rFonts w:asciiTheme="majorBidi" w:hAnsiTheme="majorBidi" w:cstheme="majorBidi"/>
          <w:b/>
          <w:bCs/>
        </w:rPr>
        <w:t>Tab</w:t>
      </w:r>
      <w:r>
        <w:rPr>
          <w:rFonts w:asciiTheme="majorBidi" w:hAnsiTheme="majorBidi" w:cstheme="majorBidi"/>
          <w:b/>
          <w:bCs/>
        </w:rPr>
        <w:t>le A4</w:t>
      </w:r>
      <w:r w:rsidRPr="008D6755">
        <w:rPr>
          <w:rFonts w:asciiTheme="majorBidi" w:hAnsiTheme="majorBidi" w:cstheme="majorBidi"/>
          <w:b/>
          <w:bCs/>
        </w:rPr>
        <w:t xml:space="preserve">: </w:t>
      </w:r>
      <w:r w:rsidRPr="00F6263A">
        <w:rPr>
          <w:rFonts w:asciiTheme="majorBidi" w:hAnsiTheme="majorBidi" w:cstheme="majorBidi"/>
          <w:b/>
          <w:bCs/>
        </w:rPr>
        <w:t>Institutional Guidance</w:t>
      </w:r>
      <w:r>
        <w:rPr>
          <w:rFonts w:asciiTheme="majorBidi" w:hAnsiTheme="majorBidi" w:cstheme="majorBidi"/>
          <w:b/>
          <w:bCs/>
        </w:rPr>
        <w:t xml:space="preserve"> </w:t>
      </w:r>
      <w:r w:rsidRPr="00A36694">
        <w:rPr>
          <w:rFonts w:asciiTheme="majorBidi" w:hAnsiTheme="majorBidi" w:cstheme="majorBidi"/>
        </w:rPr>
        <w:t>(examples, arranged alphabetically)</w:t>
      </w:r>
    </w:p>
    <w:tbl>
      <w:tblPr>
        <w:tblStyle w:val="TableGrid"/>
        <w:tblW w:w="0" w:type="auto"/>
        <w:tblLook w:val="04A0" w:firstRow="1" w:lastRow="0" w:firstColumn="1" w:lastColumn="0" w:noHBand="0" w:noVBand="1"/>
      </w:tblPr>
      <w:tblGrid>
        <w:gridCol w:w="2194"/>
        <w:gridCol w:w="3897"/>
        <w:gridCol w:w="4916"/>
        <w:gridCol w:w="2835"/>
      </w:tblGrid>
      <w:tr w:rsidR="00B85C9C" w:rsidRPr="008D6755" w14:paraId="3873E417" w14:textId="77777777" w:rsidTr="00CA6F03">
        <w:trPr>
          <w:tblHeader/>
        </w:trPr>
        <w:tc>
          <w:tcPr>
            <w:tcW w:w="2194" w:type="dxa"/>
            <w:shd w:val="clear" w:color="auto" w:fill="D9D9D9" w:themeFill="background1" w:themeFillShade="D9"/>
          </w:tcPr>
          <w:p w14:paraId="0B589B7D" w14:textId="77777777" w:rsidR="00B85C9C" w:rsidRDefault="00B85C9C" w:rsidP="00CA6F03">
            <w:pPr>
              <w:rPr>
                <w:rFonts w:asciiTheme="majorBidi" w:hAnsiTheme="majorBidi" w:cstheme="majorBidi"/>
                <w:b/>
                <w:bCs/>
                <w:sz w:val="20"/>
                <w:szCs w:val="20"/>
              </w:rPr>
            </w:pPr>
            <w:r>
              <w:rPr>
                <w:rFonts w:asciiTheme="majorBidi" w:hAnsiTheme="majorBidi" w:cstheme="majorBidi"/>
                <w:b/>
                <w:bCs/>
                <w:sz w:val="20"/>
                <w:szCs w:val="20"/>
              </w:rPr>
              <w:t>Institution/Programme</w:t>
            </w:r>
          </w:p>
          <w:p w14:paraId="6151D470" w14:textId="77777777" w:rsidR="00B85C9C" w:rsidRPr="008D6755" w:rsidRDefault="00B85C9C" w:rsidP="00CA6F03">
            <w:pPr>
              <w:rPr>
                <w:rFonts w:asciiTheme="majorBidi" w:hAnsiTheme="majorBidi" w:cstheme="majorBidi"/>
                <w:b/>
                <w:bCs/>
                <w:sz w:val="20"/>
                <w:szCs w:val="20"/>
              </w:rPr>
            </w:pPr>
          </w:p>
        </w:tc>
        <w:tc>
          <w:tcPr>
            <w:tcW w:w="3897" w:type="dxa"/>
            <w:shd w:val="clear" w:color="auto" w:fill="D9D9D9" w:themeFill="background1" w:themeFillShade="D9"/>
          </w:tcPr>
          <w:p w14:paraId="1B4FB836" w14:textId="77777777" w:rsidR="00B85C9C" w:rsidRPr="008D6755" w:rsidRDefault="00B85C9C" w:rsidP="00CA6F03">
            <w:pPr>
              <w:rPr>
                <w:rFonts w:asciiTheme="majorBidi" w:hAnsiTheme="majorBidi" w:cstheme="majorBidi"/>
                <w:b/>
                <w:bCs/>
                <w:sz w:val="20"/>
                <w:szCs w:val="20"/>
              </w:rPr>
            </w:pPr>
            <w:r>
              <w:rPr>
                <w:rFonts w:asciiTheme="majorBidi" w:hAnsiTheme="majorBidi" w:cstheme="majorBidi"/>
                <w:b/>
                <w:bCs/>
                <w:sz w:val="20"/>
                <w:szCs w:val="20"/>
              </w:rPr>
              <w:t xml:space="preserve">Recommendations </w:t>
            </w:r>
          </w:p>
        </w:tc>
        <w:tc>
          <w:tcPr>
            <w:tcW w:w="4916" w:type="dxa"/>
            <w:shd w:val="clear" w:color="auto" w:fill="D9D9D9" w:themeFill="background1" w:themeFillShade="D9"/>
          </w:tcPr>
          <w:p w14:paraId="5C5ABC31" w14:textId="77777777" w:rsidR="00B85C9C" w:rsidRPr="008D6755" w:rsidRDefault="00B85C9C" w:rsidP="00CA6F03">
            <w:pPr>
              <w:rPr>
                <w:rFonts w:asciiTheme="majorBidi" w:hAnsiTheme="majorBidi" w:cstheme="majorBidi"/>
                <w:b/>
                <w:bCs/>
                <w:sz w:val="20"/>
                <w:szCs w:val="20"/>
              </w:rPr>
            </w:pPr>
            <w:r>
              <w:rPr>
                <w:rFonts w:asciiTheme="majorBidi" w:hAnsiTheme="majorBidi" w:cstheme="majorBidi"/>
                <w:b/>
                <w:bCs/>
                <w:sz w:val="20"/>
                <w:szCs w:val="20"/>
              </w:rPr>
              <w:t>Supporting resources</w:t>
            </w:r>
          </w:p>
        </w:tc>
        <w:tc>
          <w:tcPr>
            <w:tcW w:w="2835" w:type="dxa"/>
            <w:shd w:val="clear" w:color="auto" w:fill="D9D9D9" w:themeFill="background1" w:themeFillShade="D9"/>
          </w:tcPr>
          <w:p w14:paraId="1FF29612" w14:textId="77777777" w:rsidR="00B85C9C" w:rsidRPr="008D6755" w:rsidRDefault="00B85C9C" w:rsidP="00CA6F03">
            <w:pPr>
              <w:rPr>
                <w:rFonts w:asciiTheme="majorBidi" w:hAnsiTheme="majorBidi" w:cstheme="majorBidi"/>
                <w:b/>
                <w:bCs/>
                <w:sz w:val="20"/>
                <w:szCs w:val="20"/>
              </w:rPr>
            </w:pPr>
            <w:r>
              <w:rPr>
                <w:rFonts w:asciiTheme="majorBidi" w:hAnsiTheme="majorBidi" w:cstheme="majorBidi"/>
                <w:b/>
                <w:bCs/>
                <w:sz w:val="20"/>
                <w:szCs w:val="20"/>
              </w:rPr>
              <w:t>Evaluation</w:t>
            </w:r>
          </w:p>
        </w:tc>
      </w:tr>
      <w:tr w:rsidR="00B85C9C" w:rsidRPr="008D6755" w14:paraId="299FF1EB" w14:textId="77777777" w:rsidTr="00CA6F03">
        <w:tc>
          <w:tcPr>
            <w:tcW w:w="2194" w:type="dxa"/>
          </w:tcPr>
          <w:p w14:paraId="51021EFF"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Agency for Healthcare Research and Quality (AHRQ) </w:t>
            </w:r>
          </w:p>
          <w:p w14:paraId="596BF1E7" w14:textId="77777777" w:rsidR="00B85C9C" w:rsidRDefault="00B85C9C" w:rsidP="00CA6F03">
            <w:pPr>
              <w:rPr>
                <w:rFonts w:asciiTheme="majorBidi" w:hAnsiTheme="majorBidi" w:cstheme="majorBidi"/>
                <w:sz w:val="20"/>
                <w:szCs w:val="20"/>
              </w:rPr>
            </w:pPr>
          </w:p>
        </w:tc>
        <w:tc>
          <w:tcPr>
            <w:tcW w:w="3897" w:type="dxa"/>
          </w:tcPr>
          <w:p w14:paraId="1D2C1FE2" w14:textId="77777777" w:rsidR="00B85C9C" w:rsidRDefault="00B85C9C" w:rsidP="00CA6F03">
            <w:pPr>
              <w:rPr>
                <w:rFonts w:asciiTheme="majorBidi" w:hAnsiTheme="majorBidi" w:cstheme="majorBidi"/>
                <w:sz w:val="20"/>
                <w:szCs w:val="20"/>
              </w:rPr>
            </w:pPr>
            <w:r w:rsidRPr="0061581E">
              <w:rPr>
                <w:rFonts w:asciiTheme="majorBidi" w:hAnsiTheme="majorBidi" w:cstheme="majorBidi"/>
                <w:b/>
                <w:bCs/>
                <w:sz w:val="20"/>
                <w:szCs w:val="20"/>
              </w:rPr>
              <w:t>Pharmacist-provided anticoagulation management services</w:t>
            </w:r>
            <w:r>
              <w:rPr>
                <w:rFonts w:asciiTheme="majorBidi" w:hAnsiTheme="majorBidi" w:cstheme="majorBidi"/>
                <w:sz w:val="20"/>
                <w:szCs w:val="20"/>
              </w:rPr>
              <w:t xml:space="preserve"> (largely in ambulatory community care setting) </w:t>
            </w:r>
          </w:p>
          <w:p w14:paraId="40CFE955" w14:textId="77777777" w:rsidR="00B85C9C" w:rsidRDefault="00B85C9C" w:rsidP="00CA6F03">
            <w:pPr>
              <w:rPr>
                <w:rFonts w:asciiTheme="majorBidi" w:hAnsiTheme="majorBidi" w:cstheme="majorBidi"/>
                <w:sz w:val="20"/>
                <w:szCs w:val="20"/>
              </w:rPr>
            </w:pPr>
          </w:p>
          <w:p w14:paraId="03373F9E" w14:textId="77777777" w:rsidR="00B85C9C" w:rsidRPr="00FE2693" w:rsidRDefault="00B85C9C" w:rsidP="00CA6F03">
            <w:pPr>
              <w:rPr>
                <w:rFonts w:asciiTheme="majorBidi" w:hAnsiTheme="majorBidi" w:cstheme="majorBidi"/>
                <w:sz w:val="20"/>
                <w:szCs w:val="20"/>
              </w:rPr>
            </w:pPr>
          </w:p>
        </w:tc>
        <w:tc>
          <w:tcPr>
            <w:tcW w:w="4916" w:type="dxa"/>
          </w:tcPr>
          <w:p w14:paraId="79904CCA" w14:textId="0A32A436" w:rsidR="00B85C9C" w:rsidRDefault="00B85C9C" w:rsidP="00CA6F03">
            <w:pPr>
              <w:rPr>
                <w:rFonts w:asciiTheme="majorBidi" w:hAnsiTheme="majorBidi" w:cstheme="majorBidi"/>
                <w:sz w:val="20"/>
                <w:szCs w:val="20"/>
              </w:rPr>
            </w:pPr>
            <w:r w:rsidRPr="00570A2E">
              <w:rPr>
                <w:rFonts w:asciiTheme="majorBidi" w:hAnsiTheme="majorBidi" w:cstheme="majorBidi"/>
                <w:i/>
                <w:iCs/>
                <w:sz w:val="20"/>
                <w:szCs w:val="20"/>
              </w:rPr>
              <w:t>Making Healthcare Safer III</w:t>
            </w:r>
            <w:r>
              <w:rPr>
                <w:rFonts w:asciiTheme="majorBidi" w:hAnsiTheme="majorBidi" w:cstheme="majorBidi"/>
                <w:i/>
                <w:iCs/>
                <w:sz w:val="20"/>
                <w:szCs w:val="20"/>
              </w:rPr>
              <w:t xml:space="preserve">, </w:t>
            </w:r>
            <w:r w:rsidRPr="00570A2E">
              <w:rPr>
                <w:rFonts w:asciiTheme="majorBidi" w:hAnsiTheme="majorBidi" w:cstheme="majorBidi"/>
                <w:sz w:val="20"/>
                <w:szCs w:val="20"/>
              </w:rPr>
              <w:t>Chapter 7: Anticoagulants</w:t>
            </w:r>
            <w:r>
              <w:rPr>
                <w:rFonts w:asciiTheme="majorBidi" w:hAnsiTheme="majorBidi" w:cstheme="majorBidi"/>
                <w:sz w:val="20"/>
                <w:szCs w:val="20"/>
              </w:rPr>
              <w:t xml:space="preserve"> </w:t>
            </w:r>
            <w:r>
              <w:rPr>
                <w:rFonts w:asciiTheme="majorBidi" w:hAnsiTheme="majorBidi" w:cstheme="majorBidi"/>
                <w:noProof/>
                <w:sz w:val="20"/>
                <w:szCs w:val="20"/>
              </w:rPr>
              <w:t>(AHRQ 2020)</w:t>
            </w:r>
          </w:p>
          <w:p w14:paraId="2FDECAA9" w14:textId="77777777" w:rsidR="00B85C9C" w:rsidRPr="008D6755" w:rsidRDefault="00B85C9C" w:rsidP="00CA6F03">
            <w:pPr>
              <w:rPr>
                <w:rFonts w:asciiTheme="majorBidi" w:hAnsiTheme="majorBidi" w:cstheme="majorBidi"/>
                <w:sz w:val="20"/>
                <w:szCs w:val="20"/>
              </w:rPr>
            </w:pPr>
          </w:p>
        </w:tc>
        <w:tc>
          <w:tcPr>
            <w:tcW w:w="2835" w:type="dxa"/>
          </w:tcPr>
          <w:p w14:paraId="68914F66" w14:textId="61EFEA50" w:rsidR="00B85C9C" w:rsidRPr="008D6755" w:rsidRDefault="00B85C9C">
            <w:pPr>
              <w:rPr>
                <w:rFonts w:asciiTheme="majorBidi" w:hAnsiTheme="majorBidi" w:cstheme="majorBidi"/>
                <w:sz w:val="20"/>
                <w:szCs w:val="20"/>
              </w:rPr>
            </w:pPr>
            <w:r>
              <w:rPr>
                <w:rFonts w:asciiTheme="majorBidi" w:hAnsiTheme="majorBidi" w:cstheme="majorBidi"/>
                <w:sz w:val="20"/>
                <w:szCs w:val="20"/>
              </w:rPr>
              <w:t xml:space="preserve">Other interventions such as dosing protocols or nomograms for NOACs, and interventions to support safe transitions of care suffer a paucity of high-quality evidence. </w:t>
            </w:r>
          </w:p>
        </w:tc>
      </w:tr>
      <w:tr w:rsidR="00B85C9C" w:rsidRPr="008D6755" w14:paraId="7F80047B" w14:textId="77777777" w:rsidTr="00CA6F03">
        <w:tc>
          <w:tcPr>
            <w:tcW w:w="2194" w:type="dxa"/>
          </w:tcPr>
          <w:p w14:paraId="7810937E" w14:textId="77777777" w:rsidR="00B85C9C" w:rsidRPr="008E3596" w:rsidRDefault="00B85C9C" w:rsidP="00CA6F03">
            <w:pPr>
              <w:rPr>
                <w:rFonts w:asciiTheme="majorBidi" w:hAnsiTheme="majorBidi" w:cstheme="majorBidi"/>
                <w:sz w:val="20"/>
                <w:szCs w:val="20"/>
              </w:rPr>
            </w:pPr>
            <w:r>
              <w:rPr>
                <w:rFonts w:asciiTheme="majorBidi" w:hAnsiTheme="majorBidi" w:cstheme="majorBidi"/>
                <w:sz w:val="20"/>
                <w:szCs w:val="20"/>
              </w:rPr>
              <w:t>Anticoagulation Forum (MIDAS Programme)</w:t>
            </w:r>
          </w:p>
        </w:tc>
        <w:tc>
          <w:tcPr>
            <w:tcW w:w="3897" w:type="dxa"/>
          </w:tcPr>
          <w:p w14:paraId="2EF741C9" w14:textId="77777777" w:rsidR="00B85C9C" w:rsidRDefault="00B85C9C" w:rsidP="00CA6F03">
            <w:pPr>
              <w:rPr>
                <w:rFonts w:asciiTheme="majorBidi" w:hAnsiTheme="majorBidi" w:cstheme="majorBidi"/>
                <w:sz w:val="20"/>
                <w:szCs w:val="20"/>
                <w:lang w:val="en-NZ"/>
              </w:rPr>
            </w:pPr>
            <w:r w:rsidRPr="0061581E">
              <w:rPr>
                <w:rFonts w:asciiTheme="majorBidi" w:hAnsiTheme="majorBidi" w:cstheme="majorBidi"/>
                <w:b/>
                <w:bCs/>
                <w:sz w:val="20"/>
                <w:szCs w:val="20"/>
                <w:lang w:val="en-NZ"/>
              </w:rPr>
              <w:t>Anticoagulation Stewardship</w:t>
            </w:r>
            <w:r w:rsidRPr="00FE2693">
              <w:rPr>
                <w:rFonts w:asciiTheme="majorBidi" w:hAnsiTheme="majorBidi" w:cstheme="majorBidi"/>
                <w:sz w:val="20"/>
                <w:szCs w:val="20"/>
                <w:lang w:val="en-NZ"/>
              </w:rPr>
              <w:t xml:space="preserve"> Programmes: </w:t>
            </w:r>
          </w:p>
          <w:p w14:paraId="5EA37CFB" w14:textId="77777777" w:rsidR="00B85C9C" w:rsidRPr="00834B68" w:rsidRDefault="00B85C9C" w:rsidP="00CA6F03">
            <w:pPr>
              <w:rPr>
                <w:rFonts w:asciiTheme="majorBidi" w:hAnsiTheme="majorBidi" w:cstheme="majorBidi"/>
                <w:sz w:val="20"/>
                <w:szCs w:val="20"/>
                <w:lang w:val="en-NZ"/>
              </w:rPr>
            </w:pPr>
            <w:r w:rsidRPr="00FE2693">
              <w:rPr>
                <w:rFonts w:asciiTheme="majorBidi" w:hAnsiTheme="majorBidi" w:cstheme="majorBidi"/>
                <w:sz w:val="20"/>
                <w:szCs w:val="20"/>
                <w:lang w:val="en-NZ"/>
              </w:rPr>
              <w:t>7</w:t>
            </w:r>
            <w:r w:rsidRPr="00834B68">
              <w:rPr>
                <w:rFonts w:asciiTheme="majorBidi" w:hAnsiTheme="majorBidi" w:cstheme="majorBidi"/>
                <w:sz w:val="20"/>
                <w:szCs w:val="20"/>
                <w:lang w:val="en-NZ"/>
              </w:rPr>
              <w:t xml:space="preserve"> Core Elements</w:t>
            </w:r>
          </w:p>
          <w:p w14:paraId="40FE9588"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Secure Administrative Leadership Commitment</w:t>
            </w:r>
          </w:p>
          <w:p w14:paraId="01BB4EEA"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Establish Professional Accountability and Expertise</w:t>
            </w:r>
          </w:p>
          <w:p w14:paraId="09CF0595"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Engage Multidisciplinary Support</w:t>
            </w:r>
          </w:p>
          <w:p w14:paraId="6615DCCD"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Perform Data Collection, Tracking, and Analysis</w:t>
            </w:r>
          </w:p>
          <w:p w14:paraId="6FC493BB"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Implement Systematic Care</w:t>
            </w:r>
          </w:p>
          <w:p w14:paraId="636453BC" w14:textId="77777777" w:rsidR="00B85C9C" w:rsidRPr="00834B68" w:rsidRDefault="00B85C9C" w:rsidP="009D1703">
            <w:pPr>
              <w:numPr>
                <w:ilvl w:val="0"/>
                <w:numId w:val="7"/>
              </w:numPr>
              <w:rPr>
                <w:rFonts w:asciiTheme="majorBidi" w:hAnsiTheme="majorBidi" w:cstheme="majorBidi"/>
                <w:sz w:val="20"/>
                <w:szCs w:val="20"/>
                <w:lang w:val="en-NZ"/>
              </w:rPr>
            </w:pPr>
            <w:r w:rsidRPr="00834B68">
              <w:rPr>
                <w:rFonts w:asciiTheme="majorBidi" w:hAnsiTheme="majorBidi" w:cstheme="majorBidi"/>
                <w:sz w:val="20"/>
                <w:szCs w:val="20"/>
                <w:lang w:val="en-NZ"/>
              </w:rPr>
              <w:t>Facilitate Transitions of Care</w:t>
            </w:r>
          </w:p>
          <w:p w14:paraId="191FDB6C" w14:textId="70DE94EB" w:rsidR="00B85C9C" w:rsidRPr="008D6755" w:rsidRDefault="00B85C9C" w:rsidP="00316FCF">
            <w:pPr>
              <w:numPr>
                <w:ilvl w:val="0"/>
                <w:numId w:val="7"/>
              </w:numPr>
              <w:rPr>
                <w:rFonts w:asciiTheme="majorBidi" w:hAnsiTheme="majorBidi" w:cstheme="majorBidi"/>
                <w:sz w:val="20"/>
                <w:szCs w:val="20"/>
              </w:rPr>
            </w:pPr>
            <w:r w:rsidRPr="00834B68">
              <w:rPr>
                <w:rFonts w:asciiTheme="majorBidi" w:hAnsiTheme="majorBidi" w:cstheme="majorBidi"/>
                <w:sz w:val="20"/>
                <w:szCs w:val="20"/>
                <w:lang w:val="en-NZ"/>
              </w:rPr>
              <w:t>Advance Education, Comprehension, and Competency</w:t>
            </w:r>
          </w:p>
        </w:tc>
        <w:tc>
          <w:tcPr>
            <w:tcW w:w="4916" w:type="dxa"/>
          </w:tcPr>
          <w:p w14:paraId="7631808B" w14:textId="67DFC891" w:rsidR="00B85C9C" w:rsidRDefault="00B85C9C" w:rsidP="00CA6F03">
            <w:pPr>
              <w:rPr>
                <w:rFonts w:asciiTheme="majorBidi" w:hAnsiTheme="majorBidi" w:cstheme="majorBidi"/>
                <w:sz w:val="20"/>
                <w:szCs w:val="20"/>
              </w:rPr>
            </w:pPr>
            <w:r w:rsidRPr="00E957DF">
              <w:rPr>
                <w:rFonts w:asciiTheme="majorBidi" w:hAnsiTheme="majorBidi" w:cstheme="majorBidi"/>
                <w:i/>
                <w:iCs/>
                <w:sz w:val="20"/>
                <w:szCs w:val="20"/>
              </w:rPr>
              <w:t>Core Elements of Anticoagulation Stewardship Programmes</w:t>
            </w:r>
            <w:r>
              <w:rPr>
                <w:rFonts w:asciiTheme="majorBidi" w:hAnsiTheme="majorBidi" w:cstheme="majorBidi"/>
                <w:sz w:val="20"/>
                <w:szCs w:val="20"/>
              </w:rPr>
              <w:t xml:space="preserve"> guidebook </w:t>
            </w:r>
            <w:r>
              <w:rPr>
                <w:rFonts w:asciiTheme="majorBidi" w:hAnsiTheme="majorBidi" w:cstheme="majorBidi"/>
                <w:noProof/>
                <w:sz w:val="20"/>
                <w:szCs w:val="20"/>
              </w:rPr>
              <w:t>(Anticoagulation Forum 2019b)</w:t>
            </w:r>
          </w:p>
          <w:p w14:paraId="641D4B2E" w14:textId="77777777" w:rsidR="00B85C9C" w:rsidRDefault="00B85C9C" w:rsidP="00CA6F03">
            <w:pPr>
              <w:rPr>
                <w:rFonts w:asciiTheme="majorBidi" w:hAnsiTheme="majorBidi" w:cstheme="majorBidi"/>
                <w:sz w:val="20"/>
                <w:szCs w:val="20"/>
              </w:rPr>
            </w:pPr>
          </w:p>
          <w:p w14:paraId="52DA191F" w14:textId="03DB2BF9" w:rsidR="00B85C9C" w:rsidRDefault="00B85C9C" w:rsidP="00CA6F03">
            <w:pPr>
              <w:rPr>
                <w:rFonts w:asciiTheme="majorBidi" w:hAnsiTheme="majorBidi" w:cstheme="majorBidi"/>
                <w:iCs/>
                <w:sz w:val="20"/>
                <w:szCs w:val="20"/>
              </w:rPr>
            </w:pPr>
            <w:r w:rsidRPr="00E957DF">
              <w:rPr>
                <w:rFonts w:asciiTheme="majorBidi" w:hAnsiTheme="majorBidi" w:cstheme="majorBidi"/>
                <w:i/>
                <w:sz w:val="20"/>
                <w:szCs w:val="20"/>
              </w:rPr>
              <w:t xml:space="preserve">Administrative Oversight Gap Analysis: Hospitals and Skilled Nursing Facilities </w:t>
            </w:r>
            <w:r>
              <w:rPr>
                <w:rFonts w:asciiTheme="majorBidi" w:hAnsiTheme="majorBidi" w:cstheme="majorBidi"/>
                <w:iCs/>
                <w:noProof/>
                <w:sz w:val="20"/>
                <w:szCs w:val="20"/>
              </w:rPr>
              <w:t>(Anticoagulation Forum</w:t>
            </w:r>
            <w:r w:rsidR="008B50C6">
              <w:rPr>
                <w:rFonts w:asciiTheme="majorBidi" w:hAnsiTheme="majorBidi" w:cstheme="majorBidi"/>
                <w:iCs/>
                <w:noProof/>
                <w:sz w:val="20"/>
                <w:szCs w:val="20"/>
              </w:rPr>
              <w:t xml:space="preserve"> </w:t>
            </w:r>
            <w:r>
              <w:rPr>
                <w:rFonts w:asciiTheme="majorBidi" w:hAnsiTheme="majorBidi" w:cstheme="majorBidi"/>
                <w:iCs/>
                <w:noProof/>
                <w:sz w:val="20"/>
                <w:szCs w:val="20"/>
              </w:rPr>
              <w:t>2019a)</w:t>
            </w:r>
          </w:p>
          <w:p w14:paraId="1402AC4E" w14:textId="77777777" w:rsidR="00B85C9C" w:rsidRDefault="00B85C9C" w:rsidP="00CA6F03">
            <w:pPr>
              <w:rPr>
                <w:rFonts w:asciiTheme="majorBidi" w:hAnsiTheme="majorBidi" w:cstheme="majorBidi"/>
                <w:iCs/>
                <w:sz w:val="20"/>
                <w:szCs w:val="20"/>
              </w:rPr>
            </w:pPr>
          </w:p>
          <w:p w14:paraId="4598F158" w14:textId="77777777" w:rsidR="00B85C9C" w:rsidRPr="002208FB" w:rsidRDefault="00B85C9C" w:rsidP="00CA6F03">
            <w:pPr>
              <w:rPr>
                <w:rFonts w:asciiTheme="majorBidi" w:hAnsiTheme="majorBidi" w:cstheme="majorBidi"/>
                <w:iCs/>
                <w:sz w:val="20"/>
                <w:szCs w:val="20"/>
              </w:rPr>
            </w:pPr>
            <w:r>
              <w:rPr>
                <w:rFonts w:asciiTheme="majorBidi" w:hAnsiTheme="majorBidi" w:cstheme="majorBidi"/>
                <w:iCs/>
                <w:sz w:val="20"/>
                <w:szCs w:val="20"/>
              </w:rPr>
              <w:t xml:space="preserve">Checklist of core elements: </w:t>
            </w:r>
            <w:hyperlink r:id="rId15" w:history="1">
              <w:r w:rsidRPr="007C3BAD">
                <w:rPr>
                  <w:rStyle w:val="Hyperlink"/>
                  <w:rFonts w:asciiTheme="majorBidi" w:hAnsiTheme="majorBidi" w:cstheme="majorBidi"/>
                  <w:iCs/>
                  <w:sz w:val="20"/>
                  <w:szCs w:val="20"/>
                </w:rPr>
                <w:t>https://acforum-excellence.org/Resource-Center/resource_files/1392-2019-09-18-110525.pdf</w:t>
              </w:r>
            </w:hyperlink>
            <w:r>
              <w:rPr>
                <w:rFonts w:asciiTheme="majorBidi" w:hAnsiTheme="majorBidi" w:cstheme="majorBidi"/>
                <w:iCs/>
                <w:sz w:val="20"/>
                <w:szCs w:val="20"/>
              </w:rPr>
              <w:t xml:space="preserve"> </w:t>
            </w:r>
          </w:p>
          <w:p w14:paraId="176FA1FA" w14:textId="77777777" w:rsidR="00B85C9C" w:rsidRDefault="00B85C9C" w:rsidP="00CA6F03">
            <w:pPr>
              <w:rPr>
                <w:rFonts w:asciiTheme="majorBidi" w:hAnsiTheme="majorBidi" w:cstheme="majorBidi"/>
                <w:sz w:val="20"/>
                <w:szCs w:val="20"/>
              </w:rPr>
            </w:pPr>
          </w:p>
          <w:p w14:paraId="30A5A19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Anticoagulation Forum </w:t>
            </w:r>
            <w:proofErr w:type="spellStart"/>
            <w:r w:rsidRPr="00AE70E3">
              <w:rPr>
                <w:rFonts w:asciiTheme="majorBidi" w:hAnsiTheme="majorBidi" w:cstheme="majorBidi"/>
                <w:sz w:val="20"/>
                <w:szCs w:val="20"/>
              </w:rPr>
              <w:t>Centers</w:t>
            </w:r>
            <w:proofErr w:type="spellEnd"/>
            <w:r w:rsidRPr="00AE70E3">
              <w:rPr>
                <w:rFonts w:asciiTheme="majorBidi" w:hAnsiTheme="majorBidi" w:cstheme="majorBidi"/>
                <w:sz w:val="20"/>
                <w:szCs w:val="20"/>
              </w:rPr>
              <w:t xml:space="preserve"> of Excellence Resource </w:t>
            </w:r>
            <w:proofErr w:type="spellStart"/>
            <w:r w:rsidRPr="00AE70E3">
              <w:rPr>
                <w:rFonts w:asciiTheme="majorBidi" w:hAnsiTheme="majorBidi" w:cstheme="majorBidi"/>
                <w:sz w:val="20"/>
                <w:szCs w:val="20"/>
              </w:rPr>
              <w:t>Center</w:t>
            </w:r>
            <w:proofErr w:type="spellEnd"/>
            <w:r>
              <w:rPr>
                <w:rFonts w:asciiTheme="majorBidi" w:hAnsiTheme="majorBidi" w:cstheme="majorBidi"/>
                <w:sz w:val="20"/>
                <w:szCs w:val="20"/>
              </w:rPr>
              <w:t xml:space="preserve">: </w:t>
            </w:r>
            <w:hyperlink r:id="rId16" w:history="1">
              <w:r w:rsidRPr="007C3BAD">
                <w:rPr>
                  <w:rStyle w:val="Hyperlink"/>
                  <w:rFonts w:asciiTheme="majorBidi" w:hAnsiTheme="majorBidi" w:cstheme="majorBidi"/>
                  <w:sz w:val="20"/>
                  <w:szCs w:val="20"/>
                </w:rPr>
                <w:t>https://acforum-excellence.org/</w:t>
              </w:r>
            </w:hyperlink>
            <w:r>
              <w:rPr>
                <w:rFonts w:asciiTheme="majorBidi" w:hAnsiTheme="majorBidi" w:cstheme="majorBidi"/>
                <w:sz w:val="20"/>
                <w:szCs w:val="20"/>
              </w:rPr>
              <w:t xml:space="preserve"> </w:t>
            </w:r>
          </w:p>
          <w:p w14:paraId="5D356A1C" w14:textId="77777777" w:rsidR="00B85C9C" w:rsidRPr="008D6755" w:rsidRDefault="00B85C9C" w:rsidP="00CA6F03">
            <w:pPr>
              <w:rPr>
                <w:rFonts w:asciiTheme="majorBidi" w:hAnsiTheme="majorBidi" w:cstheme="majorBidi"/>
                <w:sz w:val="20"/>
                <w:szCs w:val="20"/>
              </w:rPr>
            </w:pPr>
          </w:p>
        </w:tc>
        <w:tc>
          <w:tcPr>
            <w:tcW w:w="2835" w:type="dxa"/>
          </w:tcPr>
          <w:p w14:paraId="653493DA"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Improved processes, outcomes, and cost-savings</w:t>
            </w:r>
          </w:p>
          <w:p w14:paraId="2D1910AD" w14:textId="77777777" w:rsidR="00B85C9C" w:rsidRDefault="00B85C9C" w:rsidP="00CA6F03">
            <w:pPr>
              <w:rPr>
                <w:rFonts w:asciiTheme="majorBidi" w:hAnsiTheme="majorBidi" w:cstheme="majorBidi"/>
                <w:sz w:val="20"/>
                <w:szCs w:val="20"/>
              </w:rPr>
            </w:pPr>
          </w:p>
          <w:p w14:paraId="35A187B4"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‘Anticoagulation Stewardship Evidence of Impact’ infographic </w:t>
            </w:r>
            <w:r>
              <w:rPr>
                <w:rFonts w:asciiTheme="majorBidi" w:hAnsiTheme="majorBidi" w:cstheme="majorBidi"/>
                <w:noProof/>
                <w:sz w:val="20"/>
                <w:szCs w:val="20"/>
              </w:rPr>
              <w:t>(Anticoagulation Forum, 2022a)</w:t>
            </w:r>
          </w:p>
          <w:p w14:paraId="10DFC97A" w14:textId="77777777" w:rsidR="00B85C9C" w:rsidRDefault="00B85C9C" w:rsidP="00CA6F03">
            <w:pPr>
              <w:rPr>
                <w:rFonts w:asciiTheme="majorBidi" w:hAnsiTheme="majorBidi" w:cstheme="majorBidi"/>
                <w:sz w:val="20"/>
                <w:szCs w:val="20"/>
              </w:rPr>
            </w:pPr>
          </w:p>
          <w:p w14:paraId="744112ED" w14:textId="77777777" w:rsidR="00B85C9C" w:rsidRPr="00E957DF" w:rsidRDefault="00B85C9C" w:rsidP="00CA6F03">
            <w:pPr>
              <w:rPr>
                <w:rFonts w:asciiTheme="majorBidi" w:hAnsiTheme="majorBidi" w:cstheme="majorBidi"/>
                <w:iCs/>
                <w:sz w:val="20"/>
                <w:szCs w:val="20"/>
              </w:rPr>
            </w:pPr>
            <w:r w:rsidRPr="00E957DF">
              <w:rPr>
                <w:rFonts w:asciiTheme="majorBidi" w:hAnsiTheme="majorBidi" w:cstheme="majorBidi"/>
                <w:iCs/>
                <w:sz w:val="20"/>
                <w:szCs w:val="20"/>
              </w:rPr>
              <w:t>‘Anticoagulation Stewardship: Profiles in Progress</w:t>
            </w:r>
            <w:r>
              <w:rPr>
                <w:rFonts w:asciiTheme="majorBidi" w:hAnsiTheme="majorBidi" w:cstheme="majorBidi"/>
                <w:iCs/>
                <w:sz w:val="20"/>
                <w:szCs w:val="20"/>
              </w:rPr>
              <w:t xml:space="preserve">’ – eight case studies of success </w:t>
            </w:r>
            <w:r>
              <w:rPr>
                <w:rFonts w:asciiTheme="majorBidi" w:hAnsiTheme="majorBidi" w:cstheme="majorBidi"/>
                <w:iCs/>
                <w:noProof/>
                <w:sz w:val="20"/>
                <w:szCs w:val="20"/>
              </w:rPr>
              <w:t>(Anticoagulation Forum, 2022b)</w:t>
            </w:r>
          </w:p>
        </w:tc>
      </w:tr>
      <w:tr w:rsidR="00B85C9C" w:rsidRPr="008D6755" w14:paraId="00CDE617" w14:textId="77777777" w:rsidTr="00CA6F03">
        <w:tc>
          <w:tcPr>
            <w:tcW w:w="2194" w:type="dxa"/>
          </w:tcPr>
          <w:p w14:paraId="6D38E29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Australian Commission for Safety and Quality in Healthcare</w:t>
            </w:r>
          </w:p>
          <w:p w14:paraId="3A5970BB" w14:textId="77777777" w:rsidR="00B85C9C" w:rsidRPr="00AE236A" w:rsidRDefault="00B85C9C" w:rsidP="00CA6F03">
            <w:pPr>
              <w:rPr>
                <w:rFonts w:asciiTheme="majorBidi" w:hAnsiTheme="majorBidi" w:cstheme="majorBidi"/>
                <w:sz w:val="20"/>
                <w:szCs w:val="20"/>
              </w:rPr>
            </w:pPr>
          </w:p>
        </w:tc>
        <w:tc>
          <w:tcPr>
            <w:tcW w:w="3897" w:type="dxa"/>
          </w:tcPr>
          <w:p w14:paraId="1446807E"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 xml:space="preserve">The National Quality Use of Medicines </w:t>
            </w:r>
            <w:r>
              <w:rPr>
                <w:rFonts w:asciiTheme="majorBidi" w:hAnsiTheme="majorBidi" w:cstheme="majorBidi"/>
                <w:sz w:val="20"/>
                <w:szCs w:val="20"/>
                <w:lang w:val="en-NZ"/>
              </w:rPr>
              <w:t>I</w:t>
            </w:r>
            <w:r w:rsidRPr="001C5D8B">
              <w:rPr>
                <w:rFonts w:asciiTheme="majorBidi" w:hAnsiTheme="majorBidi" w:cstheme="majorBidi"/>
                <w:sz w:val="20"/>
                <w:szCs w:val="20"/>
                <w:lang w:val="en-NZ"/>
              </w:rPr>
              <w:t>ndicators in Australian hospitals</w:t>
            </w:r>
            <w:r>
              <w:rPr>
                <w:rFonts w:asciiTheme="majorBidi" w:hAnsiTheme="majorBidi" w:cstheme="majorBidi"/>
                <w:sz w:val="20"/>
                <w:szCs w:val="20"/>
                <w:lang w:val="en-NZ"/>
              </w:rPr>
              <w:t>:</w:t>
            </w:r>
          </w:p>
          <w:p w14:paraId="6FBC0AFB" w14:textId="77777777" w:rsidR="00B85C9C" w:rsidRDefault="00B85C9C" w:rsidP="00CA6F03">
            <w:pPr>
              <w:rPr>
                <w:rFonts w:asciiTheme="majorBidi" w:hAnsiTheme="majorBidi" w:cstheme="majorBidi"/>
                <w:sz w:val="20"/>
                <w:szCs w:val="20"/>
                <w:lang w:val="en-NZ"/>
              </w:rPr>
            </w:pPr>
          </w:p>
          <w:p w14:paraId="1BFE3BA4"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1.1 Antithrombotic therapy – Percentage of hospitalised adult patients that are assessed for risk of venous thromboembolism</w:t>
            </w:r>
          </w:p>
          <w:p w14:paraId="0342D12F"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 xml:space="preserve">1.2 Antithrombotic therapy – Percentage of hospitalised adult patients that receive venous thromboembolism prophylaxis appropriate to their level of risk </w:t>
            </w:r>
          </w:p>
          <w:p w14:paraId="355F99F1"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 xml:space="preserve">1.3 Antithrombotic therapy – Percentage of patients prescribed enoxaparin whose dosing schedule is appropriate </w:t>
            </w:r>
          </w:p>
          <w:p w14:paraId="2FA1904A"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 xml:space="preserve">1.4 Antithrombotic therapy – Percentage of patients prescribed hospital initiated warfarin whose loading doses are consistent with a drug and therapeutics committee </w:t>
            </w:r>
          </w:p>
          <w:p w14:paraId="64293A47"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1.5 Antithrombotic therapy – </w:t>
            </w:r>
            <w:r w:rsidRPr="001C5D8B">
              <w:rPr>
                <w:rFonts w:asciiTheme="majorBidi" w:hAnsiTheme="majorBidi" w:cstheme="majorBidi"/>
                <w:b/>
                <w:bCs/>
                <w:sz w:val="20"/>
                <w:szCs w:val="20"/>
                <w:lang w:val="en-NZ"/>
              </w:rPr>
              <w:t>Percentage of patients with an INR above 4 whose dosage has been adjusted or reviewed prior to the next warfarin dose</w:t>
            </w:r>
            <w:r w:rsidRPr="001C5D8B">
              <w:rPr>
                <w:rFonts w:asciiTheme="majorBidi" w:hAnsiTheme="majorBidi" w:cstheme="majorBidi"/>
                <w:sz w:val="20"/>
                <w:szCs w:val="20"/>
                <w:lang w:val="en-NZ"/>
              </w:rPr>
              <w:t xml:space="preserve">  </w:t>
            </w:r>
          </w:p>
          <w:p w14:paraId="1CAD9601" w14:textId="77777777" w:rsidR="00B85C9C" w:rsidRDefault="00B85C9C" w:rsidP="00CA6F03">
            <w:pPr>
              <w:rPr>
                <w:rFonts w:asciiTheme="majorBidi" w:hAnsiTheme="majorBidi" w:cstheme="majorBidi"/>
                <w:sz w:val="20"/>
                <w:szCs w:val="20"/>
                <w:lang w:val="en-NZ"/>
              </w:rPr>
            </w:pPr>
            <w:r w:rsidRPr="001C5D8B">
              <w:rPr>
                <w:rFonts w:asciiTheme="majorBidi" w:hAnsiTheme="majorBidi" w:cstheme="majorBidi"/>
                <w:sz w:val="20"/>
                <w:szCs w:val="20"/>
                <w:lang w:val="en-NZ"/>
              </w:rPr>
              <w:t xml:space="preserve">1.6 Antithrombotic therapy – Percentage of patients with atrial fibrillation that are discharged on oral anticoagulants </w:t>
            </w:r>
          </w:p>
          <w:p w14:paraId="6E6415C6" w14:textId="0613837A" w:rsidR="00B85C9C" w:rsidRPr="00AE236A" w:rsidRDefault="00B85C9C">
            <w:pPr>
              <w:rPr>
                <w:rFonts w:asciiTheme="majorBidi" w:hAnsiTheme="majorBidi" w:cstheme="majorBidi"/>
                <w:sz w:val="20"/>
                <w:szCs w:val="20"/>
                <w:lang w:val="en-NZ"/>
              </w:rPr>
            </w:pPr>
            <w:r w:rsidRPr="001C5D8B">
              <w:rPr>
                <w:rFonts w:asciiTheme="majorBidi" w:hAnsiTheme="majorBidi" w:cstheme="majorBidi"/>
                <w:sz w:val="20"/>
                <w:szCs w:val="20"/>
                <w:lang w:val="en-NZ"/>
              </w:rPr>
              <w:t>5.4 Continuity of care – </w:t>
            </w:r>
            <w:r w:rsidRPr="001C5D8B">
              <w:rPr>
                <w:rFonts w:asciiTheme="majorBidi" w:hAnsiTheme="majorBidi" w:cstheme="majorBidi"/>
                <w:b/>
                <w:bCs/>
                <w:sz w:val="20"/>
                <w:szCs w:val="20"/>
                <w:lang w:val="en-NZ"/>
              </w:rPr>
              <w:t>Percentage of patients on warfarin that receive written information regarding warfarin management prior to discharge</w:t>
            </w:r>
          </w:p>
        </w:tc>
        <w:tc>
          <w:tcPr>
            <w:tcW w:w="4916" w:type="dxa"/>
          </w:tcPr>
          <w:p w14:paraId="10A43B01" w14:textId="6CB49C5F" w:rsidR="00B85C9C" w:rsidRPr="001C5D8B" w:rsidRDefault="00B85C9C" w:rsidP="00CA6F03">
            <w:pPr>
              <w:rPr>
                <w:rFonts w:asciiTheme="majorBidi" w:hAnsiTheme="majorBidi" w:cstheme="majorBidi"/>
                <w:sz w:val="20"/>
                <w:szCs w:val="20"/>
                <w:lang w:val="en-NZ"/>
              </w:rPr>
            </w:pPr>
            <w:r w:rsidRPr="001C5D8B">
              <w:rPr>
                <w:rFonts w:asciiTheme="majorBidi" w:hAnsiTheme="majorBidi" w:cstheme="majorBidi"/>
                <w:i/>
                <w:iCs/>
                <w:sz w:val="20"/>
                <w:szCs w:val="20"/>
                <w:lang w:val="en-NZ"/>
              </w:rPr>
              <w:t>Medication without harm WHO Global Patient Safety Challenge Australia’s response</w:t>
            </w:r>
            <w:r w:rsidRPr="001C5D8B">
              <w:rPr>
                <w:rFonts w:asciiTheme="majorBidi" w:hAnsiTheme="majorBidi" w:cstheme="majorBidi"/>
                <w:sz w:val="20"/>
                <w:szCs w:val="20"/>
                <w:lang w:val="en-NZ"/>
              </w:rPr>
              <w:t xml:space="preserve"> </w:t>
            </w:r>
            <w:r w:rsidRPr="001C5D8B">
              <w:rPr>
                <w:rFonts w:asciiTheme="majorBidi" w:hAnsiTheme="majorBidi" w:cstheme="majorBidi"/>
                <w:noProof/>
                <w:sz w:val="20"/>
                <w:szCs w:val="20"/>
                <w:lang w:val="en-NZ"/>
              </w:rPr>
              <w:t>(ACSQHC</w:t>
            </w:r>
            <w:r w:rsidR="008B50C6">
              <w:rPr>
                <w:rFonts w:asciiTheme="majorBidi" w:hAnsiTheme="majorBidi" w:cstheme="majorBidi"/>
                <w:noProof/>
                <w:sz w:val="20"/>
                <w:szCs w:val="20"/>
                <w:lang w:val="en-NZ"/>
              </w:rPr>
              <w:t xml:space="preserve"> </w:t>
            </w:r>
            <w:r w:rsidRPr="001C5D8B">
              <w:rPr>
                <w:rFonts w:asciiTheme="majorBidi" w:hAnsiTheme="majorBidi" w:cstheme="majorBidi"/>
                <w:noProof/>
                <w:sz w:val="20"/>
                <w:szCs w:val="20"/>
                <w:lang w:val="en-NZ"/>
              </w:rPr>
              <w:t>2020)</w:t>
            </w:r>
          </w:p>
          <w:p w14:paraId="07784266" w14:textId="77777777" w:rsidR="00B85C9C" w:rsidRPr="00AE236A" w:rsidRDefault="00B85C9C" w:rsidP="00CA6F03">
            <w:pPr>
              <w:rPr>
                <w:rFonts w:asciiTheme="majorBidi" w:hAnsiTheme="majorBidi" w:cstheme="majorBidi"/>
                <w:sz w:val="20"/>
                <w:szCs w:val="20"/>
                <w:lang w:val="en-NZ"/>
              </w:rPr>
            </w:pPr>
          </w:p>
        </w:tc>
        <w:tc>
          <w:tcPr>
            <w:tcW w:w="2835" w:type="dxa"/>
          </w:tcPr>
          <w:p w14:paraId="2B97FCE7" w14:textId="77777777" w:rsidR="00B85C9C" w:rsidRDefault="00B85C9C" w:rsidP="00CA6F03">
            <w:pPr>
              <w:rPr>
                <w:rFonts w:asciiTheme="majorBidi" w:hAnsiTheme="majorBidi" w:cstheme="majorBidi"/>
                <w:sz w:val="20"/>
                <w:szCs w:val="20"/>
              </w:rPr>
            </w:pPr>
          </w:p>
        </w:tc>
      </w:tr>
      <w:tr w:rsidR="00B85C9C" w:rsidRPr="008D6755" w14:paraId="2E2A96AE" w14:textId="77777777" w:rsidTr="00CA6F03">
        <w:tc>
          <w:tcPr>
            <w:tcW w:w="2194" w:type="dxa"/>
          </w:tcPr>
          <w:p w14:paraId="7600AE5C" w14:textId="77777777" w:rsidR="00B85C9C" w:rsidRDefault="00B85C9C" w:rsidP="00CA6F03">
            <w:pPr>
              <w:rPr>
                <w:rFonts w:asciiTheme="majorBidi" w:hAnsiTheme="majorBidi" w:cstheme="majorBidi"/>
                <w:sz w:val="20"/>
                <w:szCs w:val="20"/>
              </w:rPr>
            </w:pPr>
            <w:r w:rsidRPr="00AE236A">
              <w:rPr>
                <w:rFonts w:asciiTheme="majorBidi" w:hAnsiTheme="majorBidi" w:cstheme="majorBidi"/>
                <w:sz w:val="20"/>
                <w:szCs w:val="20"/>
              </w:rPr>
              <w:t>Institute for Safe Medical Practices (ISMP)</w:t>
            </w:r>
            <w:r>
              <w:rPr>
                <w:rFonts w:asciiTheme="majorBidi" w:hAnsiTheme="majorBidi" w:cstheme="majorBidi"/>
                <w:sz w:val="20"/>
                <w:szCs w:val="20"/>
              </w:rPr>
              <w:t xml:space="preserve"> </w:t>
            </w:r>
          </w:p>
          <w:p w14:paraId="132DED7F" w14:textId="77777777" w:rsidR="00B85C9C" w:rsidRDefault="00B85C9C" w:rsidP="00CA6F03">
            <w:pPr>
              <w:rPr>
                <w:rFonts w:asciiTheme="majorBidi" w:hAnsiTheme="majorBidi" w:cstheme="majorBidi"/>
                <w:sz w:val="20"/>
                <w:szCs w:val="20"/>
              </w:rPr>
            </w:pPr>
          </w:p>
        </w:tc>
        <w:tc>
          <w:tcPr>
            <w:tcW w:w="3897" w:type="dxa"/>
          </w:tcPr>
          <w:p w14:paraId="63FCD9B5" w14:textId="77777777" w:rsidR="00B85C9C" w:rsidRDefault="00B85C9C" w:rsidP="00CA6F03">
            <w:pPr>
              <w:rPr>
                <w:rFonts w:asciiTheme="majorBidi" w:hAnsiTheme="majorBidi" w:cstheme="majorBidi"/>
                <w:sz w:val="20"/>
                <w:szCs w:val="20"/>
                <w:lang w:val="en-NZ"/>
              </w:rPr>
            </w:pPr>
            <w:r w:rsidRPr="00AE236A">
              <w:rPr>
                <w:rFonts w:asciiTheme="majorBidi" w:hAnsiTheme="majorBidi" w:cstheme="majorBidi"/>
                <w:sz w:val="20"/>
                <w:szCs w:val="20"/>
                <w:lang w:val="en-NZ"/>
              </w:rPr>
              <w:t xml:space="preserve">Recommends </w:t>
            </w:r>
            <w:r>
              <w:rPr>
                <w:rFonts w:asciiTheme="majorBidi" w:hAnsiTheme="majorBidi" w:cstheme="majorBidi"/>
                <w:sz w:val="20"/>
                <w:szCs w:val="20"/>
                <w:lang w:val="en-NZ"/>
              </w:rPr>
              <w:t xml:space="preserve">that institutions </w:t>
            </w:r>
            <w:r w:rsidRPr="00AE236A">
              <w:rPr>
                <w:rFonts w:asciiTheme="majorBidi" w:hAnsiTheme="majorBidi" w:cstheme="majorBidi"/>
                <w:sz w:val="20"/>
                <w:szCs w:val="20"/>
                <w:lang w:val="en-NZ"/>
              </w:rPr>
              <w:t xml:space="preserve">use </w:t>
            </w:r>
            <w:r>
              <w:rPr>
                <w:rFonts w:asciiTheme="majorBidi" w:hAnsiTheme="majorBidi" w:cstheme="majorBidi"/>
                <w:sz w:val="20"/>
                <w:szCs w:val="20"/>
                <w:lang w:val="en-NZ"/>
              </w:rPr>
              <w:t>the</w:t>
            </w:r>
            <w:r w:rsidRPr="00AE236A">
              <w:rPr>
                <w:rFonts w:asciiTheme="majorBidi" w:hAnsiTheme="majorBidi" w:cstheme="majorBidi"/>
                <w:sz w:val="20"/>
                <w:szCs w:val="20"/>
                <w:lang w:val="en-NZ"/>
              </w:rPr>
              <w:t xml:space="preserve"> ISMP </w:t>
            </w:r>
            <w:r w:rsidRPr="00AE236A">
              <w:rPr>
                <w:rFonts w:asciiTheme="majorBidi" w:hAnsiTheme="majorBidi" w:cstheme="majorBidi"/>
                <w:b/>
                <w:bCs/>
                <w:sz w:val="20"/>
                <w:szCs w:val="20"/>
                <w:lang w:val="en-NZ"/>
              </w:rPr>
              <w:t>Medication Safety</w:t>
            </w:r>
            <w:r w:rsidRPr="00AE236A">
              <w:rPr>
                <w:rFonts w:asciiTheme="majorBidi" w:hAnsiTheme="majorBidi" w:cstheme="majorBidi"/>
                <w:sz w:val="20"/>
                <w:szCs w:val="20"/>
                <w:lang w:val="en-NZ"/>
              </w:rPr>
              <w:t xml:space="preserve"> </w:t>
            </w:r>
            <w:r w:rsidRPr="00AE236A">
              <w:rPr>
                <w:rFonts w:asciiTheme="majorBidi" w:hAnsiTheme="majorBidi" w:cstheme="majorBidi"/>
                <w:b/>
                <w:bCs/>
                <w:sz w:val="20"/>
                <w:szCs w:val="20"/>
                <w:lang w:val="en-NZ"/>
              </w:rPr>
              <w:t>Self</w:t>
            </w:r>
            <w:r w:rsidRPr="003E5857">
              <w:rPr>
                <w:rFonts w:asciiTheme="majorBidi" w:hAnsiTheme="majorBidi" w:cstheme="majorBidi"/>
                <w:b/>
                <w:bCs/>
                <w:sz w:val="20"/>
                <w:szCs w:val="20"/>
                <w:lang w:val="en-NZ"/>
              </w:rPr>
              <w:t>-</w:t>
            </w:r>
            <w:r w:rsidRPr="00AE236A">
              <w:rPr>
                <w:rFonts w:asciiTheme="majorBidi" w:hAnsiTheme="majorBidi" w:cstheme="majorBidi"/>
                <w:b/>
                <w:bCs/>
                <w:sz w:val="20"/>
                <w:szCs w:val="20"/>
                <w:lang w:val="en-NZ"/>
              </w:rPr>
              <w:t>Assessment</w:t>
            </w:r>
            <w:r w:rsidRPr="00AE236A">
              <w:rPr>
                <w:rFonts w:asciiTheme="majorBidi" w:hAnsiTheme="majorBidi" w:cstheme="majorBidi"/>
                <w:sz w:val="20"/>
                <w:szCs w:val="20"/>
                <w:lang w:val="en-NZ"/>
              </w:rPr>
              <w:t xml:space="preserve"> </w:t>
            </w:r>
            <w:r>
              <w:rPr>
                <w:rFonts w:asciiTheme="majorBidi" w:hAnsiTheme="majorBidi" w:cstheme="majorBidi"/>
                <w:sz w:val="20"/>
                <w:szCs w:val="20"/>
                <w:lang w:val="en-NZ"/>
              </w:rPr>
              <w:t>for antithrombotic therapy</w:t>
            </w:r>
          </w:p>
          <w:p w14:paraId="7638D3E9" w14:textId="77777777" w:rsidR="00B85C9C" w:rsidRDefault="00B85C9C" w:rsidP="00CA6F03">
            <w:pPr>
              <w:rPr>
                <w:rFonts w:asciiTheme="majorBidi" w:hAnsiTheme="majorBidi" w:cstheme="majorBidi"/>
                <w:sz w:val="20"/>
                <w:szCs w:val="20"/>
                <w:lang w:val="en-NZ"/>
              </w:rPr>
            </w:pPr>
          </w:p>
          <w:p w14:paraId="7D2685B4" w14:textId="77777777" w:rsidR="00B85C9C" w:rsidRDefault="00B85C9C" w:rsidP="00CA6F03">
            <w:pPr>
              <w:rPr>
                <w:rFonts w:asciiTheme="majorBidi" w:hAnsiTheme="majorBidi" w:cstheme="majorBidi"/>
                <w:sz w:val="20"/>
                <w:szCs w:val="20"/>
                <w:lang w:val="en-NZ"/>
              </w:rPr>
            </w:pPr>
            <w:r>
              <w:rPr>
                <w:rFonts w:asciiTheme="majorBidi" w:hAnsiTheme="majorBidi" w:cstheme="majorBidi"/>
                <w:sz w:val="20"/>
                <w:szCs w:val="20"/>
                <w:lang w:val="en-NZ"/>
              </w:rPr>
              <w:t>Self-assessment covers 11 ‘core characteristics’ across 8 domains and includes 115 items:</w:t>
            </w:r>
          </w:p>
          <w:p w14:paraId="49E45888"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Patient information</w:t>
            </w:r>
          </w:p>
          <w:p w14:paraId="582522E9"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Drug information</w:t>
            </w:r>
          </w:p>
          <w:p w14:paraId="23B925C1"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Communication</w:t>
            </w:r>
          </w:p>
          <w:p w14:paraId="10EA202D"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Drug storage</w:t>
            </w:r>
          </w:p>
          <w:p w14:paraId="00E127A2"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Medication devices</w:t>
            </w:r>
          </w:p>
          <w:p w14:paraId="58BA17B0"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Competency/Education</w:t>
            </w:r>
          </w:p>
          <w:p w14:paraId="762BB0B9" w14:textId="77777777" w:rsidR="00B85C9C" w:rsidRDefault="00B85C9C" w:rsidP="009D1703">
            <w:pPr>
              <w:pStyle w:val="ListParagraph"/>
              <w:numPr>
                <w:ilvl w:val="0"/>
                <w:numId w:val="8"/>
              </w:numPr>
              <w:rPr>
                <w:rFonts w:asciiTheme="majorBidi" w:hAnsiTheme="majorBidi" w:cstheme="majorBidi"/>
                <w:sz w:val="20"/>
                <w:szCs w:val="20"/>
                <w:lang w:val="en-NZ"/>
              </w:rPr>
            </w:pPr>
            <w:r>
              <w:rPr>
                <w:rFonts w:asciiTheme="majorBidi" w:hAnsiTheme="majorBidi" w:cstheme="majorBidi"/>
                <w:sz w:val="20"/>
                <w:szCs w:val="20"/>
                <w:lang w:val="en-NZ"/>
              </w:rPr>
              <w:t>Patient education</w:t>
            </w:r>
          </w:p>
          <w:p w14:paraId="5CAC5D8D" w14:textId="71FDA0DE" w:rsidR="00B85C9C" w:rsidRPr="0061581E" w:rsidRDefault="00B85C9C" w:rsidP="00316FCF">
            <w:pPr>
              <w:pStyle w:val="ListParagraph"/>
              <w:numPr>
                <w:ilvl w:val="0"/>
                <w:numId w:val="8"/>
              </w:numPr>
              <w:rPr>
                <w:rFonts w:asciiTheme="majorBidi" w:hAnsiTheme="majorBidi" w:cstheme="majorBidi"/>
                <w:b/>
                <w:bCs/>
                <w:sz w:val="20"/>
                <w:szCs w:val="20"/>
              </w:rPr>
            </w:pPr>
            <w:r>
              <w:rPr>
                <w:rFonts w:asciiTheme="majorBidi" w:hAnsiTheme="majorBidi" w:cstheme="majorBidi"/>
                <w:sz w:val="20"/>
                <w:szCs w:val="20"/>
                <w:lang w:val="en-NZ"/>
              </w:rPr>
              <w:t>Quality processes</w:t>
            </w:r>
          </w:p>
        </w:tc>
        <w:tc>
          <w:tcPr>
            <w:tcW w:w="4916" w:type="dxa"/>
          </w:tcPr>
          <w:p w14:paraId="5B8DC064" w14:textId="77777777" w:rsidR="00B85C9C" w:rsidRPr="00AE236A" w:rsidRDefault="00B85C9C" w:rsidP="00CA6F03">
            <w:pPr>
              <w:rPr>
                <w:rFonts w:asciiTheme="majorBidi" w:hAnsiTheme="majorBidi" w:cstheme="majorBidi"/>
                <w:sz w:val="20"/>
                <w:szCs w:val="20"/>
                <w:lang w:val="en-NZ"/>
              </w:rPr>
            </w:pPr>
            <w:r w:rsidRPr="00AE236A">
              <w:rPr>
                <w:rFonts w:asciiTheme="majorBidi" w:hAnsiTheme="majorBidi" w:cstheme="majorBidi"/>
                <w:sz w:val="20"/>
                <w:szCs w:val="20"/>
                <w:lang w:val="en-NZ"/>
              </w:rPr>
              <w:t>ISMP Medication Safety Self</w:t>
            </w:r>
            <w:r>
              <w:rPr>
                <w:rFonts w:asciiTheme="majorBidi" w:hAnsiTheme="majorBidi" w:cstheme="majorBidi"/>
                <w:sz w:val="20"/>
                <w:szCs w:val="20"/>
                <w:lang w:val="en-NZ"/>
              </w:rPr>
              <w:t>-</w:t>
            </w:r>
            <w:r w:rsidRPr="00AE236A">
              <w:rPr>
                <w:rFonts w:asciiTheme="majorBidi" w:hAnsiTheme="majorBidi" w:cstheme="majorBidi"/>
                <w:sz w:val="20"/>
                <w:szCs w:val="20"/>
                <w:lang w:val="en-NZ"/>
              </w:rPr>
              <w:t>Assessment for Antithrombotic Therapy</w:t>
            </w:r>
            <w:r>
              <w:rPr>
                <w:rFonts w:asciiTheme="majorBidi" w:hAnsiTheme="majorBidi" w:cstheme="majorBidi"/>
                <w:sz w:val="20"/>
                <w:szCs w:val="20"/>
                <w:lang w:val="en-NZ"/>
              </w:rPr>
              <w:t>:</w:t>
            </w:r>
          </w:p>
          <w:p w14:paraId="681A91D2" w14:textId="77777777" w:rsidR="00B85C9C" w:rsidRDefault="009147EC" w:rsidP="00CA6F03">
            <w:pPr>
              <w:rPr>
                <w:rFonts w:asciiTheme="majorBidi" w:hAnsiTheme="majorBidi" w:cstheme="majorBidi"/>
                <w:sz w:val="20"/>
                <w:szCs w:val="20"/>
              </w:rPr>
            </w:pPr>
            <w:hyperlink r:id="rId17" w:history="1">
              <w:r w:rsidR="00B85C9C" w:rsidRPr="007C3BAD">
                <w:rPr>
                  <w:rStyle w:val="Hyperlink"/>
                  <w:rFonts w:asciiTheme="majorBidi" w:hAnsiTheme="majorBidi" w:cstheme="majorBidi"/>
                  <w:sz w:val="20"/>
                  <w:szCs w:val="20"/>
                </w:rPr>
                <w:t>https://www.ismp.org/sites/default/files/attachments/2017-11/2017_ISMP_Antithrombotic_Self_Assessment.pdf</w:t>
              </w:r>
            </w:hyperlink>
            <w:r w:rsidR="00B85C9C">
              <w:rPr>
                <w:rFonts w:asciiTheme="majorBidi" w:hAnsiTheme="majorBidi" w:cstheme="majorBidi"/>
                <w:sz w:val="20"/>
                <w:szCs w:val="20"/>
              </w:rPr>
              <w:t xml:space="preserve"> </w:t>
            </w:r>
          </w:p>
          <w:p w14:paraId="5E5908CB" w14:textId="77777777" w:rsidR="00B85C9C" w:rsidRPr="00AE236A" w:rsidRDefault="00B85C9C" w:rsidP="00CA6F03">
            <w:pPr>
              <w:rPr>
                <w:rFonts w:asciiTheme="majorBidi" w:hAnsiTheme="majorBidi" w:cstheme="majorBidi"/>
                <w:sz w:val="20"/>
                <w:szCs w:val="20"/>
              </w:rPr>
            </w:pPr>
          </w:p>
        </w:tc>
        <w:tc>
          <w:tcPr>
            <w:tcW w:w="2835" w:type="dxa"/>
          </w:tcPr>
          <w:p w14:paraId="18B335FB" w14:textId="77777777" w:rsidR="00B85C9C" w:rsidRDefault="00B85C9C" w:rsidP="00CA6F03">
            <w:pPr>
              <w:rPr>
                <w:rFonts w:asciiTheme="majorBidi" w:hAnsiTheme="majorBidi" w:cstheme="majorBidi"/>
                <w:sz w:val="20"/>
                <w:szCs w:val="20"/>
              </w:rPr>
            </w:pPr>
          </w:p>
        </w:tc>
      </w:tr>
      <w:tr w:rsidR="00B85C9C" w:rsidRPr="008D6755" w14:paraId="7B88CBF0" w14:textId="77777777" w:rsidTr="00CA6F03">
        <w:tc>
          <w:tcPr>
            <w:tcW w:w="2194" w:type="dxa"/>
          </w:tcPr>
          <w:p w14:paraId="32E36967"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National Institute for Health and Care Excellence UK (NICE) guidance</w:t>
            </w:r>
          </w:p>
          <w:p w14:paraId="594F663D" w14:textId="77777777" w:rsidR="00B85C9C" w:rsidRPr="008E3596" w:rsidRDefault="00B85C9C" w:rsidP="00CA6F03">
            <w:pPr>
              <w:rPr>
                <w:rFonts w:asciiTheme="majorBidi" w:hAnsiTheme="majorBidi" w:cstheme="majorBidi"/>
                <w:sz w:val="20"/>
                <w:szCs w:val="20"/>
              </w:rPr>
            </w:pPr>
          </w:p>
        </w:tc>
        <w:tc>
          <w:tcPr>
            <w:tcW w:w="3897" w:type="dxa"/>
          </w:tcPr>
          <w:p w14:paraId="5612197C" w14:textId="77777777" w:rsidR="00B85C9C" w:rsidRPr="00F31ACA" w:rsidRDefault="00B85C9C" w:rsidP="00CA6F03">
            <w:pPr>
              <w:rPr>
                <w:rFonts w:asciiTheme="majorBidi" w:hAnsiTheme="majorBidi" w:cstheme="majorBidi"/>
                <w:sz w:val="20"/>
                <w:szCs w:val="20"/>
              </w:rPr>
            </w:pPr>
            <w:r>
              <w:rPr>
                <w:rFonts w:asciiTheme="majorBidi" w:hAnsiTheme="majorBidi" w:cstheme="majorBidi"/>
                <w:sz w:val="20"/>
                <w:szCs w:val="20"/>
              </w:rPr>
              <w:t xml:space="preserve">NICE provides </w:t>
            </w:r>
            <w:r w:rsidRPr="0061581E">
              <w:rPr>
                <w:rFonts w:asciiTheme="majorBidi" w:hAnsiTheme="majorBidi" w:cstheme="majorBidi"/>
                <w:b/>
                <w:bCs/>
                <w:sz w:val="20"/>
                <w:szCs w:val="20"/>
              </w:rPr>
              <w:t xml:space="preserve">quality standards </w:t>
            </w:r>
            <w:r>
              <w:rPr>
                <w:rFonts w:asciiTheme="majorBidi" w:hAnsiTheme="majorBidi" w:cstheme="majorBidi"/>
                <w:sz w:val="20"/>
                <w:szCs w:val="20"/>
              </w:rPr>
              <w:t>and guidance for a number of anticoagulation-related aspects of care including: diagnosis and management of VTE, mostly this is not specific to anticoagulation-related harm QI</w:t>
            </w:r>
          </w:p>
        </w:tc>
        <w:tc>
          <w:tcPr>
            <w:tcW w:w="4916" w:type="dxa"/>
          </w:tcPr>
          <w:p w14:paraId="0F68966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Venous thromboembolism in adults quality standard (QS-201)</w:t>
            </w:r>
          </w:p>
          <w:p w14:paraId="3A5E6D32" w14:textId="77777777" w:rsidR="00B85C9C" w:rsidRDefault="00B85C9C" w:rsidP="00CA6F03">
            <w:pPr>
              <w:rPr>
                <w:rFonts w:asciiTheme="majorBidi" w:hAnsiTheme="majorBidi" w:cstheme="majorBidi"/>
                <w:sz w:val="20"/>
                <w:szCs w:val="20"/>
              </w:rPr>
            </w:pPr>
          </w:p>
          <w:p w14:paraId="538FDC19" w14:textId="77777777" w:rsidR="00B85C9C" w:rsidRPr="00F31ACA" w:rsidRDefault="00B85C9C" w:rsidP="00CA6F03">
            <w:pPr>
              <w:rPr>
                <w:rFonts w:asciiTheme="majorBidi" w:hAnsiTheme="majorBidi" w:cstheme="majorBidi"/>
                <w:sz w:val="20"/>
                <w:szCs w:val="20"/>
                <w:lang w:val="en-NZ"/>
              </w:rPr>
            </w:pPr>
            <w:r w:rsidRPr="00F31ACA">
              <w:rPr>
                <w:rFonts w:asciiTheme="majorBidi" w:hAnsiTheme="majorBidi" w:cstheme="majorBidi"/>
                <w:sz w:val="20"/>
                <w:szCs w:val="20"/>
                <w:lang w:val="en-NZ"/>
              </w:rPr>
              <w:t>Venous thromboembolic diseases: diagnosis,</w:t>
            </w:r>
            <w:r>
              <w:rPr>
                <w:rFonts w:asciiTheme="majorBidi" w:hAnsiTheme="majorBidi" w:cstheme="majorBidi"/>
                <w:sz w:val="20"/>
                <w:szCs w:val="20"/>
                <w:lang w:val="en-NZ"/>
              </w:rPr>
              <w:t xml:space="preserve"> </w:t>
            </w:r>
            <w:r w:rsidRPr="00F31ACA">
              <w:rPr>
                <w:rFonts w:asciiTheme="majorBidi" w:hAnsiTheme="majorBidi" w:cstheme="majorBidi"/>
                <w:sz w:val="20"/>
                <w:szCs w:val="20"/>
                <w:lang w:val="en-NZ"/>
              </w:rPr>
              <w:t>management and thrombophilia testing</w:t>
            </w:r>
            <w:r>
              <w:rPr>
                <w:rFonts w:asciiTheme="majorBidi" w:hAnsiTheme="majorBidi" w:cstheme="majorBidi"/>
                <w:sz w:val="20"/>
                <w:szCs w:val="20"/>
                <w:lang w:val="en-NZ"/>
              </w:rPr>
              <w:t xml:space="preserve"> </w:t>
            </w:r>
            <w:r>
              <w:rPr>
                <w:rFonts w:asciiTheme="majorBidi" w:hAnsiTheme="majorBidi" w:cstheme="majorBidi"/>
                <w:sz w:val="20"/>
                <w:szCs w:val="20"/>
              </w:rPr>
              <w:t>(NG-158)</w:t>
            </w:r>
          </w:p>
        </w:tc>
        <w:tc>
          <w:tcPr>
            <w:tcW w:w="2835" w:type="dxa"/>
          </w:tcPr>
          <w:p w14:paraId="50FB891E"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Case studies in ‘Shared Learning Database’,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w:t>
            </w:r>
          </w:p>
          <w:p w14:paraId="5CC81C2A" w14:textId="77777777" w:rsidR="00B85C9C" w:rsidRDefault="00B85C9C" w:rsidP="00CA6F03">
            <w:pPr>
              <w:rPr>
                <w:rFonts w:asciiTheme="majorBidi" w:hAnsiTheme="majorBidi" w:cstheme="majorBidi"/>
                <w:sz w:val="20"/>
                <w:szCs w:val="20"/>
              </w:rPr>
            </w:pPr>
          </w:p>
          <w:p w14:paraId="03ED500D" w14:textId="77777777" w:rsidR="00B85C9C" w:rsidRDefault="009147EC" w:rsidP="00CA6F03">
            <w:pPr>
              <w:rPr>
                <w:rFonts w:asciiTheme="majorBidi" w:hAnsiTheme="majorBidi"/>
                <w:sz w:val="20"/>
                <w:szCs w:val="20"/>
                <w:lang w:val="en-NZ"/>
              </w:rPr>
            </w:pPr>
            <w:hyperlink r:id="rId18" w:history="1">
              <w:r w:rsidR="00B85C9C" w:rsidRPr="00361BF5">
                <w:rPr>
                  <w:rStyle w:val="Hyperlink"/>
                  <w:rFonts w:asciiTheme="majorBidi" w:hAnsiTheme="majorBidi"/>
                  <w:sz w:val="20"/>
                  <w:szCs w:val="20"/>
                  <w:lang w:val="en-NZ"/>
                </w:rPr>
                <w:t>Improving the care of patients discharged following a pulmonary embolism, in line with NICE Guidelines (NG158)</w:t>
              </w:r>
            </w:hyperlink>
            <w:r w:rsidR="00B85C9C">
              <w:rPr>
                <w:rFonts w:asciiTheme="majorBidi" w:hAnsiTheme="majorBidi"/>
                <w:sz w:val="20"/>
                <w:szCs w:val="20"/>
                <w:lang w:val="en-NZ"/>
              </w:rPr>
              <w:t xml:space="preserve"> Nottingham Universities Hospital Trust</w:t>
            </w:r>
          </w:p>
          <w:p w14:paraId="4224BF91" w14:textId="77777777" w:rsidR="00B85C9C" w:rsidRDefault="00B85C9C" w:rsidP="00CA6F03">
            <w:pPr>
              <w:rPr>
                <w:rFonts w:asciiTheme="majorBidi" w:hAnsiTheme="majorBidi"/>
                <w:sz w:val="20"/>
                <w:szCs w:val="20"/>
                <w:lang w:val="en-NZ"/>
              </w:rPr>
            </w:pPr>
          </w:p>
          <w:p w14:paraId="2699F640" w14:textId="1A012C29" w:rsidR="00B85C9C" w:rsidRPr="008D6755" w:rsidRDefault="009147EC">
            <w:pPr>
              <w:rPr>
                <w:rFonts w:asciiTheme="majorBidi" w:hAnsiTheme="majorBidi" w:cstheme="majorBidi"/>
                <w:sz w:val="20"/>
                <w:szCs w:val="20"/>
              </w:rPr>
            </w:pPr>
            <w:hyperlink r:id="rId19" w:history="1">
              <w:r w:rsidR="00B85C9C" w:rsidRPr="00F54EB4">
                <w:rPr>
                  <w:rStyle w:val="Hyperlink"/>
                  <w:rFonts w:asciiTheme="majorBidi" w:hAnsiTheme="majorBidi"/>
                  <w:sz w:val="20"/>
                  <w:szCs w:val="20"/>
                  <w:lang w:val="en-NZ"/>
                </w:rPr>
                <w:t>Utilising the skills of the clinical pharmacist within the MDT for improved medicines</w:t>
              </w:r>
              <w:r w:rsidR="00B85C9C" w:rsidRPr="00361BF5">
                <w:rPr>
                  <w:rStyle w:val="Hyperlink"/>
                  <w:rFonts w:asciiTheme="majorBidi" w:hAnsiTheme="majorBidi"/>
                  <w:sz w:val="20"/>
                  <w:szCs w:val="20"/>
                  <w:lang w:val="en-NZ"/>
                </w:rPr>
                <w:t xml:space="preserve"> </w:t>
              </w:r>
              <w:r w:rsidR="00B85C9C" w:rsidRPr="00F54EB4">
                <w:rPr>
                  <w:rStyle w:val="Hyperlink"/>
                  <w:rFonts w:asciiTheme="majorBidi" w:hAnsiTheme="majorBidi"/>
                  <w:sz w:val="20"/>
                  <w:szCs w:val="20"/>
                  <w:lang w:val="en-NZ"/>
                </w:rPr>
                <w:t>optimisation</w:t>
              </w:r>
            </w:hyperlink>
            <w:r w:rsidR="00B85C9C">
              <w:rPr>
                <w:rFonts w:asciiTheme="majorBidi" w:hAnsiTheme="majorBidi"/>
                <w:sz w:val="20"/>
                <w:szCs w:val="20"/>
                <w:lang w:val="en-NZ"/>
              </w:rPr>
              <w:t xml:space="preserve"> Western Sussex NHS Foundation Trust</w:t>
            </w:r>
          </w:p>
        </w:tc>
      </w:tr>
      <w:tr w:rsidR="00B85C9C" w:rsidRPr="008D6755" w14:paraId="16DDA593" w14:textId="77777777" w:rsidTr="00CA6F03">
        <w:tc>
          <w:tcPr>
            <w:tcW w:w="2194" w:type="dxa"/>
          </w:tcPr>
          <w:p w14:paraId="4A04BC75" w14:textId="77777777" w:rsidR="00B85C9C" w:rsidRDefault="00B85C9C" w:rsidP="00CA6F03">
            <w:pPr>
              <w:rPr>
                <w:rFonts w:asciiTheme="majorBidi" w:hAnsiTheme="majorBidi" w:cstheme="majorBidi"/>
                <w:sz w:val="20"/>
                <w:szCs w:val="20"/>
              </w:rPr>
            </w:pPr>
            <w:r>
              <w:rPr>
                <w:rFonts w:asciiTheme="majorBidi" w:hAnsiTheme="majorBidi" w:cstheme="majorBidi"/>
                <w:sz w:val="20"/>
                <w:szCs w:val="20"/>
              </w:rPr>
              <w:t xml:space="preserve">Scottish Patient Safety Programme </w:t>
            </w:r>
          </w:p>
          <w:p w14:paraId="32BEC187" w14:textId="77777777" w:rsidR="00B85C9C" w:rsidRPr="008D6755" w:rsidRDefault="00B85C9C" w:rsidP="00CA6F03">
            <w:pPr>
              <w:rPr>
                <w:rFonts w:asciiTheme="majorBidi" w:hAnsiTheme="majorBidi" w:cstheme="majorBidi"/>
                <w:sz w:val="20"/>
                <w:szCs w:val="20"/>
              </w:rPr>
            </w:pPr>
          </w:p>
        </w:tc>
        <w:tc>
          <w:tcPr>
            <w:tcW w:w="3897" w:type="dxa"/>
          </w:tcPr>
          <w:p w14:paraId="5B131688" w14:textId="77777777" w:rsidR="00B85C9C"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Warfarin bundle</w:t>
            </w:r>
            <w:r>
              <w:rPr>
                <w:rFonts w:asciiTheme="majorBidi" w:hAnsiTheme="majorBidi" w:cstheme="majorBidi"/>
                <w:sz w:val="20"/>
                <w:szCs w:val="20"/>
              </w:rPr>
              <w:t xml:space="preserve"> (largely ambulatory community care setting):</w:t>
            </w:r>
          </w:p>
          <w:p w14:paraId="06544BFB" w14:textId="77777777" w:rsidR="00B85C9C" w:rsidRPr="00821C5D"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 xml:space="preserve">Measure 1: </w:t>
            </w:r>
            <w:r w:rsidRPr="00821C5D">
              <w:rPr>
                <w:rFonts w:asciiTheme="majorBidi" w:hAnsiTheme="majorBidi" w:cstheme="majorBidi"/>
                <w:sz w:val="20"/>
                <w:szCs w:val="20"/>
              </w:rPr>
              <w:t>Warfarin dose is prescribed according to local guidance.</w:t>
            </w:r>
          </w:p>
          <w:p w14:paraId="6AF3973A" w14:textId="77777777" w:rsidR="00B85C9C" w:rsidRPr="00821C5D"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 xml:space="preserve">Measure 2: </w:t>
            </w:r>
            <w:r w:rsidRPr="00821C5D">
              <w:rPr>
                <w:rFonts w:asciiTheme="majorBidi" w:hAnsiTheme="majorBidi" w:cstheme="majorBidi"/>
                <w:sz w:val="20"/>
                <w:szCs w:val="20"/>
              </w:rPr>
              <w:t xml:space="preserve">Is the target INR and duration of treatment clearly documented in the notes? </w:t>
            </w:r>
          </w:p>
          <w:p w14:paraId="1DFD6B02" w14:textId="77777777" w:rsidR="00B85C9C" w:rsidRPr="00821C5D"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 xml:space="preserve">Measure 3: </w:t>
            </w:r>
            <w:r w:rsidRPr="00821C5D">
              <w:rPr>
                <w:rFonts w:asciiTheme="majorBidi" w:hAnsiTheme="majorBidi" w:cstheme="majorBidi"/>
                <w:sz w:val="20"/>
                <w:szCs w:val="20"/>
              </w:rPr>
              <w:t xml:space="preserve">Patient complying with dosage instructions. </w:t>
            </w:r>
          </w:p>
          <w:p w14:paraId="1DFEE499" w14:textId="77777777" w:rsidR="00B85C9C" w:rsidRPr="00821C5D"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 xml:space="preserve">Measure 4: </w:t>
            </w:r>
            <w:r w:rsidRPr="00821C5D">
              <w:rPr>
                <w:rFonts w:asciiTheme="majorBidi" w:hAnsiTheme="majorBidi" w:cstheme="majorBidi"/>
                <w:sz w:val="20"/>
                <w:szCs w:val="20"/>
              </w:rPr>
              <w:t xml:space="preserve">INR is taken according to previous recommendation. INR is taken within 7 days of planned repeat INR? </w:t>
            </w:r>
          </w:p>
          <w:p w14:paraId="56949640" w14:textId="77777777" w:rsidR="00B85C9C" w:rsidRPr="00821C5D" w:rsidRDefault="00B85C9C" w:rsidP="00CA6F03">
            <w:pPr>
              <w:rPr>
                <w:rFonts w:asciiTheme="majorBidi" w:hAnsiTheme="majorBidi" w:cstheme="majorBidi"/>
                <w:sz w:val="20"/>
                <w:szCs w:val="20"/>
              </w:rPr>
            </w:pPr>
            <w:r w:rsidRPr="00821C5D">
              <w:rPr>
                <w:rFonts w:asciiTheme="majorBidi" w:hAnsiTheme="majorBidi" w:cstheme="majorBidi"/>
                <w:b/>
                <w:bCs/>
                <w:sz w:val="20"/>
                <w:szCs w:val="20"/>
              </w:rPr>
              <w:t xml:space="preserve">Measure 5: </w:t>
            </w:r>
            <w:r w:rsidRPr="00821C5D">
              <w:rPr>
                <w:rFonts w:asciiTheme="majorBidi" w:hAnsiTheme="majorBidi" w:cstheme="majorBidi"/>
                <w:sz w:val="20"/>
                <w:szCs w:val="20"/>
              </w:rPr>
              <w:t xml:space="preserve">Patient receives regular education. Patient has received education in the last 6 months. </w:t>
            </w:r>
          </w:p>
          <w:p w14:paraId="5FDAC637" w14:textId="6544447A" w:rsidR="00B85C9C" w:rsidRPr="008D6755" w:rsidRDefault="00B85C9C">
            <w:pPr>
              <w:rPr>
                <w:rFonts w:asciiTheme="majorBidi" w:hAnsiTheme="majorBidi" w:cstheme="majorBidi"/>
                <w:sz w:val="20"/>
                <w:szCs w:val="20"/>
              </w:rPr>
            </w:pPr>
            <w:r w:rsidRPr="00821C5D">
              <w:rPr>
                <w:rFonts w:asciiTheme="majorBidi" w:hAnsiTheme="majorBidi" w:cstheme="majorBidi"/>
                <w:b/>
                <w:bCs/>
                <w:sz w:val="20"/>
                <w:szCs w:val="20"/>
              </w:rPr>
              <w:t xml:space="preserve">Measure 6: </w:t>
            </w:r>
            <w:r w:rsidRPr="00821C5D">
              <w:rPr>
                <w:rFonts w:asciiTheme="majorBidi" w:hAnsiTheme="majorBidi" w:cstheme="majorBidi"/>
                <w:sz w:val="20"/>
                <w:szCs w:val="20"/>
              </w:rPr>
              <w:t>Have all Measures been met?</w:t>
            </w:r>
          </w:p>
        </w:tc>
        <w:tc>
          <w:tcPr>
            <w:tcW w:w="4916" w:type="dxa"/>
          </w:tcPr>
          <w:p w14:paraId="66F306B7" w14:textId="324D32D5"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SPSP Warfarin Bundle Rationale </w:t>
            </w:r>
            <w:r>
              <w:rPr>
                <w:rFonts w:asciiTheme="majorBidi" w:hAnsiTheme="majorBidi" w:cstheme="majorBidi"/>
                <w:noProof/>
                <w:sz w:val="20"/>
                <w:szCs w:val="20"/>
              </w:rPr>
              <w:t>(Health Improvement Scotland 2015)</w:t>
            </w:r>
          </w:p>
        </w:tc>
        <w:tc>
          <w:tcPr>
            <w:tcW w:w="2835" w:type="dxa"/>
          </w:tcPr>
          <w:p w14:paraId="14559969" w14:textId="718E784F" w:rsidR="00B85C9C" w:rsidRDefault="00B85C9C" w:rsidP="00CA6F03">
            <w:pPr>
              <w:rPr>
                <w:rFonts w:asciiTheme="majorBidi" w:hAnsiTheme="majorBidi" w:cstheme="majorBidi"/>
                <w:sz w:val="20"/>
                <w:szCs w:val="20"/>
              </w:rPr>
            </w:pPr>
            <w:r w:rsidRPr="00821C5D">
              <w:rPr>
                <w:rFonts w:asciiTheme="majorBidi" w:hAnsiTheme="majorBidi" w:cstheme="majorBidi"/>
                <w:sz w:val="20"/>
                <w:szCs w:val="20"/>
              </w:rPr>
              <w:t xml:space="preserve">The programme was evaluated in 2015 </w:t>
            </w:r>
            <w:r>
              <w:rPr>
                <w:rFonts w:asciiTheme="majorBidi" w:hAnsiTheme="majorBidi" w:cstheme="majorBidi"/>
                <w:noProof/>
                <w:sz w:val="20"/>
                <w:szCs w:val="20"/>
              </w:rPr>
              <w:t xml:space="preserve">(McNab </w:t>
            </w:r>
            <w:r w:rsidR="00AA56F6">
              <w:rPr>
                <w:rFonts w:asciiTheme="majorBidi" w:hAnsiTheme="majorBidi" w:cstheme="majorBidi"/>
                <w:noProof/>
                <w:sz w:val="20"/>
                <w:szCs w:val="20"/>
              </w:rPr>
              <w:t xml:space="preserve">et al </w:t>
            </w:r>
            <w:r>
              <w:rPr>
                <w:rFonts w:asciiTheme="majorBidi" w:hAnsiTheme="majorBidi" w:cstheme="majorBidi"/>
                <w:noProof/>
                <w:sz w:val="20"/>
                <w:szCs w:val="20"/>
              </w:rPr>
              <w:t>2015)</w:t>
            </w:r>
            <w:r>
              <w:rPr>
                <w:rFonts w:asciiTheme="majorBidi" w:hAnsiTheme="majorBidi" w:cstheme="majorBidi"/>
                <w:sz w:val="20"/>
                <w:szCs w:val="20"/>
              </w:rPr>
              <w:t>.</w:t>
            </w:r>
          </w:p>
          <w:p w14:paraId="32EB1F72" w14:textId="77777777" w:rsidR="00B85C9C" w:rsidRDefault="00B85C9C" w:rsidP="00CA6F03">
            <w:pPr>
              <w:rPr>
                <w:rFonts w:asciiTheme="majorBidi" w:hAnsiTheme="majorBidi" w:cstheme="majorBidi"/>
                <w:sz w:val="20"/>
                <w:szCs w:val="20"/>
              </w:rPr>
            </w:pPr>
          </w:p>
          <w:p w14:paraId="01222B24" w14:textId="77777777" w:rsidR="00B85C9C" w:rsidRPr="008D6755" w:rsidRDefault="00B85C9C" w:rsidP="00CA6F03">
            <w:pPr>
              <w:rPr>
                <w:rFonts w:asciiTheme="majorBidi" w:hAnsiTheme="majorBidi" w:cstheme="majorBidi"/>
                <w:sz w:val="20"/>
                <w:szCs w:val="20"/>
              </w:rPr>
            </w:pPr>
            <w:r>
              <w:rPr>
                <w:rFonts w:asciiTheme="majorBidi" w:hAnsiTheme="majorBidi" w:cstheme="majorBidi"/>
                <w:sz w:val="20"/>
                <w:szCs w:val="20"/>
              </w:rPr>
              <w:t xml:space="preserve">Evaluation found improvements in mean time in therapeutic range, good control, and excellent control, as well as fewer very abnormal results and patient attendances. </w:t>
            </w:r>
          </w:p>
        </w:tc>
      </w:tr>
    </w:tbl>
    <w:p w14:paraId="5025B34C" w14:textId="77777777" w:rsidR="00B85C9C" w:rsidRDefault="00B85C9C" w:rsidP="009D1703"/>
    <w:p w14:paraId="515C471C" w14:textId="77777777" w:rsidR="00B85C9C" w:rsidRDefault="00B85C9C" w:rsidP="009D1703"/>
    <w:p w14:paraId="5C20CCE5" w14:textId="77777777" w:rsidR="00B85C9C" w:rsidRDefault="00B85C9C" w:rsidP="009D1703"/>
    <w:p w14:paraId="71615138" w14:textId="77777777" w:rsidR="00B85C9C" w:rsidRPr="009D1703" w:rsidRDefault="00B85C9C" w:rsidP="009D1703">
      <w:pPr>
        <w:rPr>
          <w:rFonts w:asciiTheme="majorHAnsi" w:eastAsiaTheme="majorEastAsia" w:hAnsiTheme="majorHAnsi" w:cstheme="majorBidi"/>
          <w:color w:val="2F5496" w:themeColor="accent1" w:themeShade="BF"/>
          <w:sz w:val="26"/>
          <w:szCs w:val="26"/>
        </w:rPr>
      </w:pPr>
    </w:p>
    <w:p w14:paraId="3D75BDFE" w14:textId="77777777" w:rsidR="00B85C9C" w:rsidRDefault="00B85C9C">
      <w:pPr>
        <w:rPr>
          <w:rFonts w:asciiTheme="majorBidi" w:hAnsiTheme="majorBidi" w:cstheme="majorBidi"/>
        </w:rPr>
      </w:pPr>
    </w:p>
    <w:p w14:paraId="69067B6F" w14:textId="77777777" w:rsidR="00B85C9C" w:rsidRDefault="00B85C9C">
      <w:pPr>
        <w:rPr>
          <w:rFonts w:asciiTheme="majorBidi" w:hAnsiTheme="majorBidi" w:cstheme="majorBidi"/>
        </w:rPr>
      </w:pPr>
    </w:p>
    <w:p w14:paraId="38BA3A13" w14:textId="77777777" w:rsidR="00B85C9C" w:rsidRDefault="00B85C9C">
      <w:pPr>
        <w:rPr>
          <w:rFonts w:asciiTheme="majorBidi" w:hAnsiTheme="majorBidi" w:cstheme="majorBidi"/>
        </w:rPr>
      </w:pPr>
    </w:p>
    <w:p w14:paraId="5B52C231" w14:textId="77777777" w:rsidR="00B85C9C" w:rsidRDefault="00B85C9C">
      <w:pPr>
        <w:rPr>
          <w:rFonts w:asciiTheme="majorBidi" w:hAnsiTheme="majorBidi" w:cstheme="majorBidi"/>
        </w:rPr>
        <w:sectPr w:rsidR="00B85C9C" w:rsidSect="009D1703">
          <w:pgSz w:w="16840" w:h="11900" w:orient="landscape"/>
          <w:pgMar w:top="1440" w:right="1440" w:bottom="1440" w:left="1440" w:header="708" w:footer="708" w:gutter="0"/>
          <w:cols w:space="708"/>
          <w:titlePg/>
          <w:docGrid w:linePitch="360"/>
        </w:sectPr>
      </w:pPr>
    </w:p>
    <w:p w14:paraId="10F0C318" w14:textId="77777777" w:rsidR="00B85C9C" w:rsidRPr="006F53B8" w:rsidRDefault="00B85C9C" w:rsidP="00972168">
      <w:pPr>
        <w:spacing w:after="120"/>
        <w:rPr>
          <w:rFonts w:asciiTheme="majorBidi" w:hAnsiTheme="majorBidi" w:cstheme="majorBidi"/>
          <w:b/>
          <w:bCs/>
        </w:rPr>
      </w:pPr>
      <w:bookmarkStart w:id="34" w:name="_Toc105497790"/>
      <w:r w:rsidRPr="006F53B8">
        <w:rPr>
          <w:rFonts w:asciiTheme="majorBidi" w:hAnsiTheme="majorBidi" w:cstheme="majorBidi"/>
          <w:b/>
          <w:bCs/>
        </w:rPr>
        <w:t xml:space="preserve">Table </w:t>
      </w:r>
      <w:r>
        <w:rPr>
          <w:rFonts w:asciiTheme="majorBidi" w:hAnsiTheme="majorBidi" w:cstheme="majorBidi"/>
          <w:b/>
          <w:bCs/>
        </w:rPr>
        <w:t>A5</w:t>
      </w:r>
      <w:r w:rsidRPr="006F53B8">
        <w:rPr>
          <w:rFonts w:asciiTheme="majorBidi" w:hAnsiTheme="majorBidi" w:cstheme="majorBidi"/>
          <w:b/>
          <w:bCs/>
        </w:rPr>
        <w:t xml:space="preserve">: </w:t>
      </w:r>
      <w:r w:rsidRPr="008A690E">
        <w:rPr>
          <w:rFonts w:asciiTheme="majorBidi" w:hAnsiTheme="majorBidi" w:cstheme="majorBidi"/>
          <w:b/>
          <w:bCs/>
        </w:rPr>
        <w:t>Examples of Local QI Initiatives</w:t>
      </w:r>
      <w:r w:rsidRPr="006F53B8">
        <w:rPr>
          <w:rFonts w:asciiTheme="majorBidi" w:hAnsiTheme="majorBidi" w:cstheme="majorBidi"/>
        </w:rPr>
        <w:t>: Anticoagulation, New Zealand</w:t>
      </w:r>
    </w:p>
    <w:tbl>
      <w:tblPr>
        <w:tblStyle w:val="TableGrid"/>
        <w:tblW w:w="0" w:type="auto"/>
        <w:tblLook w:val="04A0" w:firstRow="1" w:lastRow="0" w:firstColumn="1" w:lastColumn="0" w:noHBand="0" w:noVBand="1"/>
      </w:tblPr>
      <w:tblGrid>
        <w:gridCol w:w="1138"/>
        <w:gridCol w:w="2091"/>
        <w:gridCol w:w="5781"/>
      </w:tblGrid>
      <w:tr w:rsidR="00B85C9C" w:rsidRPr="00B46928" w14:paraId="7943ED54" w14:textId="77777777" w:rsidTr="00CA6F03">
        <w:tc>
          <w:tcPr>
            <w:tcW w:w="1139" w:type="dxa"/>
            <w:shd w:val="clear" w:color="auto" w:fill="D9D9D9" w:themeFill="background1" w:themeFillShade="D9"/>
          </w:tcPr>
          <w:p w14:paraId="7F793BC4" w14:textId="77777777" w:rsidR="00B85C9C" w:rsidRPr="00B46928" w:rsidRDefault="00B85C9C" w:rsidP="00CA6F03">
            <w:pPr>
              <w:rPr>
                <w:rFonts w:asciiTheme="majorBidi" w:hAnsiTheme="majorBidi" w:cstheme="majorBidi"/>
                <w:b/>
                <w:bCs/>
                <w:sz w:val="20"/>
                <w:szCs w:val="20"/>
              </w:rPr>
            </w:pPr>
            <w:r w:rsidRPr="00B46928">
              <w:rPr>
                <w:rFonts w:asciiTheme="majorBidi" w:hAnsiTheme="majorBidi" w:cstheme="majorBidi"/>
                <w:b/>
                <w:bCs/>
                <w:sz w:val="20"/>
                <w:szCs w:val="20"/>
              </w:rPr>
              <w:t>DHB</w:t>
            </w:r>
          </w:p>
        </w:tc>
        <w:tc>
          <w:tcPr>
            <w:tcW w:w="2258" w:type="dxa"/>
            <w:shd w:val="clear" w:color="auto" w:fill="D9D9D9" w:themeFill="background1" w:themeFillShade="D9"/>
          </w:tcPr>
          <w:p w14:paraId="68F6DC6A" w14:textId="77777777" w:rsidR="00B85C9C" w:rsidRDefault="00B85C9C" w:rsidP="00CA6F03">
            <w:pPr>
              <w:rPr>
                <w:rFonts w:asciiTheme="majorBidi" w:hAnsiTheme="majorBidi" w:cstheme="majorBidi"/>
                <w:b/>
                <w:bCs/>
                <w:sz w:val="20"/>
                <w:szCs w:val="20"/>
              </w:rPr>
            </w:pPr>
            <w:r w:rsidRPr="00B46928">
              <w:rPr>
                <w:rFonts w:asciiTheme="majorBidi" w:hAnsiTheme="majorBidi" w:cstheme="majorBidi"/>
                <w:b/>
                <w:bCs/>
                <w:sz w:val="20"/>
                <w:szCs w:val="20"/>
              </w:rPr>
              <w:t xml:space="preserve">Anticoagulation harm reduction initiatives identified in survey responses </w:t>
            </w:r>
          </w:p>
          <w:p w14:paraId="6172C56B" w14:textId="77777777" w:rsidR="00B85C9C" w:rsidRPr="00B46928" w:rsidRDefault="00B85C9C" w:rsidP="00CA6F03">
            <w:pPr>
              <w:rPr>
                <w:rFonts w:asciiTheme="majorBidi" w:hAnsiTheme="majorBidi" w:cstheme="majorBidi"/>
                <w:b/>
                <w:bCs/>
                <w:sz w:val="20"/>
                <w:szCs w:val="20"/>
              </w:rPr>
            </w:pPr>
          </w:p>
        </w:tc>
        <w:tc>
          <w:tcPr>
            <w:tcW w:w="6946" w:type="dxa"/>
            <w:shd w:val="clear" w:color="auto" w:fill="D9D9D9" w:themeFill="background1" w:themeFillShade="D9"/>
          </w:tcPr>
          <w:p w14:paraId="0B0C7DD4" w14:textId="77777777" w:rsidR="00B85C9C" w:rsidRPr="00B46928" w:rsidRDefault="00B85C9C" w:rsidP="00CA6F03">
            <w:pPr>
              <w:rPr>
                <w:rFonts w:asciiTheme="majorBidi" w:hAnsiTheme="majorBidi" w:cstheme="majorBidi"/>
                <w:b/>
                <w:bCs/>
                <w:sz w:val="20"/>
                <w:szCs w:val="20"/>
              </w:rPr>
            </w:pPr>
            <w:r w:rsidRPr="00B46928">
              <w:rPr>
                <w:rFonts w:asciiTheme="majorBidi" w:hAnsiTheme="majorBidi" w:cstheme="majorBidi"/>
                <w:b/>
                <w:bCs/>
                <w:sz w:val="20"/>
                <w:szCs w:val="20"/>
              </w:rPr>
              <w:t xml:space="preserve">Follow-up with individuals (what, why, who, how, where, outcomes?) – </w:t>
            </w:r>
            <w:r>
              <w:rPr>
                <w:rFonts w:asciiTheme="majorBidi" w:hAnsiTheme="majorBidi" w:cstheme="majorBidi"/>
                <w:b/>
                <w:bCs/>
                <w:sz w:val="20"/>
                <w:szCs w:val="20"/>
              </w:rPr>
              <w:t xml:space="preserve">the roles of </w:t>
            </w:r>
            <w:r w:rsidRPr="00B46928">
              <w:rPr>
                <w:rFonts w:asciiTheme="majorBidi" w:hAnsiTheme="majorBidi" w:cstheme="majorBidi"/>
                <w:b/>
                <w:bCs/>
                <w:sz w:val="20"/>
                <w:szCs w:val="20"/>
              </w:rPr>
              <w:t>specific individuals</w:t>
            </w:r>
            <w:r>
              <w:rPr>
                <w:rFonts w:asciiTheme="majorBidi" w:hAnsiTheme="majorBidi" w:cstheme="majorBidi"/>
                <w:b/>
                <w:bCs/>
                <w:sz w:val="20"/>
                <w:szCs w:val="20"/>
              </w:rPr>
              <w:t xml:space="preserve"> contacted</w:t>
            </w:r>
            <w:r w:rsidRPr="00B46928">
              <w:rPr>
                <w:rFonts w:asciiTheme="majorBidi" w:hAnsiTheme="majorBidi" w:cstheme="majorBidi"/>
                <w:b/>
                <w:bCs/>
                <w:sz w:val="20"/>
                <w:szCs w:val="20"/>
              </w:rPr>
              <w:t xml:space="preserve"> varied by DHB</w:t>
            </w:r>
          </w:p>
        </w:tc>
      </w:tr>
      <w:tr w:rsidR="00B85C9C" w:rsidRPr="00B46928" w14:paraId="02741BCD" w14:textId="77777777" w:rsidTr="00CA6F03">
        <w:tc>
          <w:tcPr>
            <w:tcW w:w="1139" w:type="dxa"/>
          </w:tcPr>
          <w:p w14:paraId="3DF49C03"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Northland DHB</w:t>
            </w:r>
          </w:p>
        </w:tc>
        <w:tc>
          <w:tcPr>
            <w:tcW w:w="2258" w:type="dxa"/>
          </w:tcPr>
          <w:p w14:paraId="6C11F987"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Adverse event bulletins to staff</w:t>
            </w:r>
          </w:p>
          <w:p w14:paraId="089E931A" w14:textId="77777777" w:rsidR="00B85C9C" w:rsidRPr="00B46928" w:rsidRDefault="00B85C9C" w:rsidP="00CA6F03">
            <w:pPr>
              <w:rPr>
                <w:rFonts w:asciiTheme="majorBidi" w:hAnsiTheme="majorBidi" w:cstheme="majorBidi"/>
                <w:sz w:val="20"/>
                <w:szCs w:val="20"/>
              </w:rPr>
            </w:pPr>
          </w:p>
          <w:p w14:paraId="467E050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Education to prescribing teams</w:t>
            </w:r>
          </w:p>
        </w:tc>
        <w:tc>
          <w:tcPr>
            <w:tcW w:w="6946" w:type="dxa"/>
          </w:tcPr>
          <w:p w14:paraId="6B93499C"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Increasing VTE rates indicated poor VTE assessment processes. Now an electronic VTE assessment is mandated, this might lead to some duplication, but ensures information is recorded</w:t>
            </w:r>
          </w:p>
          <w:p w14:paraId="0C7BD9BD" w14:textId="77777777" w:rsidR="00B85C9C" w:rsidRPr="00B46928" w:rsidRDefault="00B85C9C" w:rsidP="00CA6F03">
            <w:pPr>
              <w:rPr>
                <w:rFonts w:asciiTheme="majorBidi" w:hAnsiTheme="majorBidi" w:cstheme="majorBidi"/>
                <w:sz w:val="20"/>
                <w:szCs w:val="20"/>
              </w:rPr>
            </w:pPr>
          </w:p>
          <w:p w14:paraId="065CE91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Education module for medical staff had stopped working (e-learning), also no mechanism to see who had completed the education and the course had aged a bit. A new education package for PGY1 is about to be delivered (and possible extension to all RMOs) this will also cover the new VTE assessment form</w:t>
            </w:r>
          </w:p>
          <w:p w14:paraId="35664755" w14:textId="77777777" w:rsidR="00B85C9C" w:rsidRPr="00B46928" w:rsidRDefault="00B85C9C" w:rsidP="00CA6F03">
            <w:pPr>
              <w:rPr>
                <w:rFonts w:asciiTheme="majorBidi" w:hAnsiTheme="majorBidi" w:cstheme="majorBidi"/>
                <w:sz w:val="20"/>
                <w:szCs w:val="20"/>
              </w:rPr>
            </w:pPr>
          </w:p>
          <w:p w14:paraId="2FCB6205"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Adverse events bulletin went out March 2020</w:t>
            </w:r>
          </w:p>
          <w:p w14:paraId="287C2100" w14:textId="77777777" w:rsidR="00B85C9C" w:rsidRPr="00B46928" w:rsidRDefault="00B85C9C" w:rsidP="00CA6F03">
            <w:pPr>
              <w:rPr>
                <w:rFonts w:asciiTheme="majorBidi" w:hAnsiTheme="majorBidi" w:cstheme="majorBidi"/>
                <w:sz w:val="20"/>
                <w:szCs w:val="20"/>
              </w:rPr>
            </w:pPr>
          </w:p>
          <w:p w14:paraId="3D0AC5E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Pharmacists are supposed to see each person started on warfarin on the ward for education (‘red book’)</w:t>
            </w:r>
          </w:p>
          <w:p w14:paraId="61572501" w14:textId="77777777" w:rsidR="00B85C9C" w:rsidRPr="00B46928" w:rsidRDefault="00B85C9C" w:rsidP="00CA6F03">
            <w:pPr>
              <w:rPr>
                <w:rFonts w:asciiTheme="majorBidi" w:hAnsiTheme="majorBidi" w:cstheme="majorBidi"/>
                <w:sz w:val="20"/>
                <w:szCs w:val="20"/>
              </w:rPr>
            </w:pPr>
          </w:p>
          <w:p w14:paraId="67337B6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Heparin is now in pre-filled bags, a standard ampule is supplied to start heparin, then a standard bag</w:t>
            </w:r>
          </w:p>
          <w:p w14:paraId="3D1197FA" w14:textId="77777777" w:rsidR="00B85C9C" w:rsidRPr="00B46928" w:rsidRDefault="00B85C9C" w:rsidP="00CA6F03">
            <w:pPr>
              <w:rPr>
                <w:rFonts w:asciiTheme="majorBidi" w:hAnsiTheme="majorBidi" w:cstheme="majorBidi"/>
                <w:sz w:val="20"/>
                <w:szCs w:val="20"/>
              </w:rPr>
            </w:pPr>
          </w:p>
          <w:p w14:paraId="670013D5"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Needs identified:</w:t>
            </w:r>
          </w:p>
          <w:p w14:paraId="0905AD32"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E-prescribing would be ideal, with alerts, and CDSS</w:t>
            </w:r>
          </w:p>
          <w:p w14:paraId="39D21056"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Some way to screen outpatient procedure patients,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endoscopy, to see if they’re on anticoagulation</w:t>
            </w:r>
          </w:p>
          <w:p w14:paraId="4AC97D6C"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Electronic notes because paper notes go disappearing on the surgical ward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pharmacists can’t access when needed)</w:t>
            </w:r>
          </w:p>
          <w:p w14:paraId="2EDD6B55"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There’s not really a mechanism for picking up renal function alerts</w:t>
            </w:r>
          </w:p>
          <w:p w14:paraId="5556EAA2" w14:textId="6787B106" w:rsidR="00B85C9C" w:rsidRPr="00B46928"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With Health New Zealand coming a national VTE guideline would be useful (prophylaxis, TEDs, etc), perhaps supported by an online ‘Hub’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New South Wales has this)</w:t>
            </w:r>
          </w:p>
        </w:tc>
      </w:tr>
      <w:tr w:rsidR="00B85C9C" w:rsidRPr="00B46928" w14:paraId="537344B6" w14:textId="77777777" w:rsidTr="00CA6F03">
        <w:tc>
          <w:tcPr>
            <w:tcW w:w="1139" w:type="dxa"/>
          </w:tcPr>
          <w:p w14:paraId="3B5B3DD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Waitemata DHB</w:t>
            </w:r>
          </w:p>
        </w:tc>
        <w:tc>
          <w:tcPr>
            <w:tcW w:w="2258" w:type="dxa"/>
          </w:tcPr>
          <w:p w14:paraId="366168E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Red flag education campaign about novel oral anticoagulants</w:t>
            </w:r>
          </w:p>
          <w:p w14:paraId="52027568" w14:textId="77777777" w:rsidR="00B85C9C" w:rsidRPr="00B46928" w:rsidRDefault="00B85C9C" w:rsidP="00CA6F03">
            <w:pPr>
              <w:rPr>
                <w:rFonts w:asciiTheme="majorBidi" w:hAnsiTheme="majorBidi" w:cstheme="majorBidi"/>
                <w:sz w:val="20"/>
                <w:szCs w:val="20"/>
              </w:rPr>
            </w:pPr>
          </w:p>
          <w:p w14:paraId="435EEA8D"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Pharmacist lead education workshops for all PGY1s</w:t>
            </w:r>
          </w:p>
          <w:p w14:paraId="2B58FFE9" w14:textId="77777777" w:rsidR="00B85C9C" w:rsidRPr="00B46928" w:rsidRDefault="00B85C9C" w:rsidP="00CA6F03">
            <w:pPr>
              <w:rPr>
                <w:rFonts w:asciiTheme="majorBidi" w:hAnsiTheme="majorBidi" w:cstheme="majorBidi"/>
                <w:sz w:val="20"/>
                <w:szCs w:val="20"/>
              </w:rPr>
            </w:pPr>
          </w:p>
        </w:tc>
        <w:tc>
          <w:tcPr>
            <w:tcW w:w="6946" w:type="dxa"/>
          </w:tcPr>
          <w:p w14:paraId="105E5B93"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‘Top 10 Red Flag campaign’ including education for specific teams, grand rounds, posters, which included </w:t>
            </w:r>
            <w:r>
              <w:rPr>
                <w:rFonts w:asciiTheme="majorBidi" w:hAnsiTheme="majorBidi" w:cstheme="majorBidi"/>
                <w:sz w:val="20"/>
                <w:szCs w:val="20"/>
              </w:rPr>
              <w:t>DOAC</w:t>
            </w:r>
            <w:r w:rsidRPr="00B46928">
              <w:rPr>
                <w:rFonts w:asciiTheme="majorBidi" w:hAnsiTheme="majorBidi" w:cstheme="majorBidi"/>
                <w:sz w:val="20"/>
                <w:szCs w:val="20"/>
              </w:rPr>
              <w:t xml:space="preserve">s,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‘know your </w:t>
            </w:r>
            <w:r>
              <w:rPr>
                <w:rFonts w:asciiTheme="majorBidi" w:hAnsiTheme="majorBidi" w:cstheme="majorBidi"/>
                <w:sz w:val="20"/>
                <w:szCs w:val="20"/>
              </w:rPr>
              <w:t>DOAC</w:t>
            </w:r>
            <w:r w:rsidRPr="00B46928">
              <w:rPr>
                <w:rFonts w:asciiTheme="majorBidi" w:hAnsiTheme="majorBidi" w:cstheme="majorBidi"/>
                <w:sz w:val="20"/>
                <w:szCs w:val="20"/>
              </w:rPr>
              <w:t xml:space="preserve">’ poster.  </w:t>
            </w:r>
          </w:p>
          <w:p w14:paraId="0EEBC649" w14:textId="77777777" w:rsidR="00B85C9C" w:rsidRPr="00B46928" w:rsidRDefault="00B85C9C" w:rsidP="00CA6F03">
            <w:pPr>
              <w:rPr>
                <w:rFonts w:asciiTheme="majorBidi" w:hAnsiTheme="majorBidi" w:cstheme="majorBidi"/>
                <w:sz w:val="20"/>
                <w:szCs w:val="20"/>
              </w:rPr>
            </w:pPr>
          </w:p>
          <w:p w14:paraId="0622949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Joint pharmacy/medical approach to training of medical students and prevocational doctors (PGY1 and 2). Anticoagulant training is incorporated at each level of training (trainee intern, PGY1, PGY2), includes low-fidelity simulation. </w:t>
            </w:r>
          </w:p>
          <w:p w14:paraId="77AC50C7" w14:textId="77777777" w:rsidR="00B85C9C" w:rsidRPr="00B46928" w:rsidRDefault="00B85C9C" w:rsidP="00CA6F03">
            <w:pPr>
              <w:rPr>
                <w:rFonts w:asciiTheme="majorBidi" w:hAnsiTheme="majorBidi" w:cstheme="majorBidi"/>
                <w:sz w:val="20"/>
                <w:szCs w:val="20"/>
              </w:rPr>
            </w:pPr>
          </w:p>
          <w:p w14:paraId="28A3EB43"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All new start doctors are given the VTE risk assessment and warfarin lanyard.</w:t>
            </w:r>
          </w:p>
          <w:p w14:paraId="338544AE" w14:textId="77777777" w:rsidR="00B85C9C" w:rsidRPr="00B46928" w:rsidRDefault="00B85C9C" w:rsidP="00CA6F03">
            <w:pPr>
              <w:rPr>
                <w:rFonts w:asciiTheme="majorBidi" w:hAnsiTheme="majorBidi" w:cstheme="majorBidi"/>
                <w:sz w:val="20"/>
                <w:szCs w:val="20"/>
              </w:rPr>
            </w:pPr>
          </w:p>
          <w:p w14:paraId="1AA88ACD"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E-prescribing</w:t>
            </w:r>
            <w:r>
              <w:rPr>
                <w:rFonts w:asciiTheme="majorBidi" w:hAnsiTheme="majorBidi" w:cstheme="majorBidi"/>
                <w:sz w:val="20"/>
                <w:szCs w:val="20"/>
              </w:rPr>
              <w:t xml:space="preserve"> requires warfarin be charted daily, prompts the loading dose, and alerts any interactions. There is also </w:t>
            </w:r>
            <w:r w:rsidRPr="00B46928">
              <w:rPr>
                <w:rFonts w:asciiTheme="majorBidi" w:hAnsiTheme="majorBidi" w:cstheme="majorBidi"/>
                <w:sz w:val="20"/>
                <w:szCs w:val="20"/>
              </w:rPr>
              <w:t>information/alerts about renal function</w:t>
            </w:r>
            <w:r>
              <w:rPr>
                <w:rFonts w:asciiTheme="majorBidi" w:hAnsiTheme="majorBidi" w:cstheme="majorBidi"/>
                <w:sz w:val="20"/>
                <w:szCs w:val="20"/>
              </w:rPr>
              <w:t xml:space="preserve">, double prescribing, multiple anticoagulants, and INR already therapeutic (for enoxaparin). </w:t>
            </w:r>
            <w:r w:rsidRPr="00B46928">
              <w:rPr>
                <w:rFonts w:asciiTheme="majorBidi" w:hAnsiTheme="majorBidi" w:cstheme="majorBidi"/>
                <w:sz w:val="20"/>
                <w:szCs w:val="20"/>
              </w:rPr>
              <w:t xml:space="preserve"> </w:t>
            </w:r>
          </w:p>
          <w:p w14:paraId="4EE187CE" w14:textId="77777777" w:rsidR="00B85C9C" w:rsidRPr="00B46928" w:rsidRDefault="00B85C9C" w:rsidP="00CA6F03">
            <w:pPr>
              <w:rPr>
                <w:rFonts w:asciiTheme="majorBidi" w:hAnsiTheme="majorBidi" w:cstheme="majorBidi"/>
                <w:sz w:val="20"/>
                <w:szCs w:val="20"/>
              </w:rPr>
            </w:pPr>
          </w:p>
          <w:p w14:paraId="3D23BF8E"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Discharge summary includes a section for warfarin.</w:t>
            </w:r>
          </w:p>
          <w:p w14:paraId="1F787CA2" w14:textId="77777777" w:rsidR="00B85C9C" w:rsidRPr="00B46928" w:rsidRDefault="00B85C9C" w:rsidP="00CA6F03">
            <w:pPr>
              <w:rPr>
                <w:rFonts w:asciiTheme="majorBidi" w:hAnsiTheme="majorBidi" w:cstheme="majorBidi"/>
                <w:sz w:val="20"/>
                <w:szCs w:val="20"/>
              </w:rPr>
            </w:pPr>
          </w:p>
          <w:p w14:paraId="6C5228B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Issues identified: </w:t>
            </w:r>
          </w:p>
          <w:p w14:paraId="26F0FAD4"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Double charting of anticoagulants on admission can be a problem, the system will alert with a warning if double prescribed. </w:t>
            </w:r>
          </w:p>
          <w:p w14:paraId="05D364B8"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Heparin prescribing is still on a separate paper chart, this can cause problems of omission/lack of awareness</w:t>
            </w:r>
          </w:p>
          <w:p w14:paraId="19CBA82F"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Discharge summary for warfarin does not include forcing function</w:t>
            </w:r>
          </w:p>
          <w:p w14:paraId="55AFC707" w14:textId="69872E89" w:rsidR="00B85C9C" w:rsidRPr="00B46928"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E-prescribing alerts are not linked to patient laboratory data</w:t>
            </w:r>
          </w:p>
        </w:tc>
      </w:tr>
      <w:tr w:rsidR="00B85C9C" w:rsidRPr="00B46928" w14:paraId="7C6E2B5C" w14:textId="77777777" w:rsidTr="00CA6F03">
        <w:tc>
          <w:tcPr>
            <w:tcW w:w="1139" w:type="dxa"/>
          </w:tcPr>
          <w:p w14:paraId="081FECE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Waikato DHB</w:t>
            </w:r>
          </w:p>
        </w:tc>
        <w:tc>
          <w:tcPr>
            <w:tcW w:w="2258" w:type="dxa"/>
          </w:tcPr>
          <w:p w14:paraId="4BD0649C"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Guidelines: acute &amp; perioperative</w:t>
            </w:r>
          </w:p>
          <w:p w14:paraId="14B096D5" w14:textId="77777777" w:rsidR="00B85C9C" w:rsidRPr="00B46928" w:rsidRDefault="00B85C9C" w:rsidP="00CA6F03">
            <w:pPr>
              <w:rPr>
                <w:rFonts w:asciiTheme="majorBidi" w:hAnsiTheme="majorBidi" w:cstheme="majorBidi"/>
                <w:sz w:val="20"/>
                <w:szCs w:val="20"/>
              </w:rPr>
            </w:pPr>
          </w:p>
          <w:p w14:paraId="55971AE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Discharge document: warfarin</w:t>
            </w:r>
          </w:p>
          <w:p w14:paraId="20F01298" w14:textId="77777777" w:rsidR="00B85C9C" w:rsidRPr="00B46928" w:rsidRDefault="00B85C9C" w:rsidP="00CA6F03">
            <w:pPr>
              <w:rPr>
                <w:rFonts w:asciiTheme="majorBidi" w:hAnsiTheme="majorBidi" w:cstheme="majorBidi"/>
                <w:sz w:val="20"/>
                <w:szCs w:val="20"/>
              </w:rPr>
            </w:pPr>
          </w:p>
          <w:p w14:paraId="350622A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Project on postponement and reversal of anticoagulants is planned</w:t>
            </w:r>
          </w:p>
        </w:tc>
        <w:tc>
          <w:tcPr>
            <w:tcW w:w="6946" w:type="dxa"/>
          </w:tcPr>
          <w:p w14:paraId="476CBE9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Acute and perioperative anticoagulation guidelines (sporadic auditing) </w:t>
            </w:r>
          </w:p>
          <w:p w14:paraId="31D91AE6"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b/>
                <w:bCs/>
                <w:sz w:val="20"/>
                <w:szCs w:val="20"/>
              </w:rPr>
              <w:t>Guidelines</w:t>
            </w:r>
            <w:r w:rsidRPr="00B46928">
              <w:rPr>
                <w:rFonts w:asciiTheme="majorBidi" w:hAnsiTheme="majorBidi" w:cstheme="majorBidi"/>
                <w:sz w:val="20"/>
                <w:szCs w:val="20"/>
              </w:rPr>
              <w:t xml:space="preserve">: cover VTE prevention, anticoagulation with </w:t>
            </w:r>
            <w:r>
              <w:rPr>
                <w:rFonts w:asciiTheme="majorBidi" w:hAnsiTheme="majorBidi" w:cstheme="majorBidi"/>
                <w:sz w:val="20"/>
                <w:szCs w:val="20"/>
              </w:rPr>
              <w:t>DOAC</w:t>
            </w:r>
            <w:r w:rsidRPr="00B46928">
              <w:rPr>
                <w:rFonts w:asciiTheme="majorBidi" w:hAnsiTheme="majorBidi" w:cstheme="majorBidi"/>
                <w:sz w:val="20"/>
                <w:szCs w:val="20"/>
              </w:rPr>
              <w:t xml:space="preserve">s, Anticoagulation with warfarin (including nomogram and discharge checklist) </w:t>
            </w:r>
          </w:p>
          <w:p w14:paraId="70E9B42E"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b/>
                <w:bCs/>
                <w:sz w:val="20"/>
                <w:szCs w:val="20"/>
              </w:rPr>
              <w:t>Policy</w:t>
            </w:r>
            <w:r w:rsidRPr="00B46928">
              <w:rPr>
                <w:rFonts w:asciiTheme="majorBidi" w:hAnsiTheme="majorBidi" w:cstheme="majorBidi"/>
                <w:sz w:val="20"/>
                <w:szCs w:val="20"/>
              </w:rPr>
              <w:t>: VTE risk assessment and prophylaxis</w:t>
            </w:r>
          </w:p>
          <w:p w14:paraId="50B2459E"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b/>
                <w:bCs/>
                <w:sz w:val="20"/>
                <w:szCs w:val="20"/>
              </w:rPr>
              <w:t>Protocols</w:t>
            </w:r>
            <w:r w:rsidRPr="00B46928">
              <w:rPr>
                <w:rFonts w:asciiTheme="majorBidi" w:hAnsiTheme="majorBidi" w:cstheme="majorBidi"/>
                <w:sz w:val="20"/>
                <w:szCs w:val="20"/>
              </w:rPr>
              <w:t xml:space="preserve">: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for specific procedures under anticoagulation, for heparin infusions</w:t>
            </w:r>
          </w:p>
          <w:p w14:paraId="62259071"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b/>
                <w:bCs/>
                <w:sz w:val="20"/>
                <w:szCs w:val="20"/>
              </w:rPr>
              <w:t>Audits:</w:t>
            </w:r>
            <w:r w:rsidRPr="00B46928">
              <w:rPr>
                <w:rFonts w:asciiTheme="majorBidi" w:hAnsiTheme="majorBidi" w:cstheme="majorBidi"/>
                <w:sz w:val="20"/>
                <w:szCs w:val="20"/>
              </w:rPr>
              <w:t xml:space="preserve"> 16 over several years, 1/3 were in obstetrics </w:t>
            </w:r>
          </w:p>
          <w:p w14:paraId="56233B4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b/>
                <w:bCs/>
                <w:sz w:val="20"/>
                <w:szCs w:val="20"/>
              </w:rPr>
              <w:t>Upcoming</w:t>
            </w:r>
            <w:r w:rsidRPr="00B46928">
              <w:rPr>
                <w:rFonts w:asciiTheme="majorBidi" w:hAnsiTheme="majorBidi" w:cstheme="majorBidi"/>
                <w:sz w:val="20"/>
                <w:szCs w:val="20"/>
              </w:rPr>
              <w:t>: VTE prophylaxis in patients with neck of femur fractures</w:t>
            </w:r>
          </w:p>
          <w:p w14:paraId="20A61924" w14:textId="77777777" w:rsidR="00B85C9C" w:rsidRPr="00B46928" w:rsidRDefault="00B85C9C" w:rsidP="00CA6F03">
            <w:pPr>
              <w:rPr>
                <w:rFonts w:asciiTheme="majorBidi" w:hAnsiTheme="majorBidi" w:cstheme="majorBidi"/>
                <w:sz w:val="20"/>
                <w:szCs w:val="20"/>
              </w:rPr>
            </w:pPr>
          </w:p>
          <w:p w14:paraId="1F1F47B5"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Warfarin discharge document: indication, target INR, duration, dose, testing, education, referral, GP</w:t>
            </w:r>
          </w:p>
          <w:p w14:paraId="0E0EA520" w14:textId="77777777" w:rsidR="00B85C9C" w:rsidRPr="00B46928" w:rsidRDefault="00B85C9C" w:rsidP="00CA6F03">
            <w:pPr>
              <w:rPr>
                <w:rFonts w:asciiTheme="majorBidi" w:hAnsiTheme="majorBidi" w:cstheme="majorBidi"/>
                <w:sz w:val="20"/>
                <w:szCs w:val="20"/>
              </w:rPr>
            </w:pPr>
          </w:p>
          <w:p w14:paraId="62E18335"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Education for PGY1 on ‘approach to anticoagulation’ and on bridging (no evaluation or assessment)</w:t>
            </w:r>
          </w:p>
          <w:p w14:paraId="00736625" w14:textId="77777777" w:rsidR="00B85C9C" w:rsidRPr="00B46928" w:rsidRDefault="00B85C9C" w:rsidP="00CA6F03">
            <w:pPr>
              <w:rPr>
                <w:rFonts w:asciiTheme="majorBidi" w:hAnsiTheme="majorBidi" w:cstheme="majorBidi"/>
                <w:sz w:val="20"/>
                <w:szCs w:val="20"/>
              </w:rPr>
            </w:pPr>
          </w:p>
          <w:p w14:paraId="66223D6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Issues identified:</w:t>
            </w:r>
          </w:p>
          <w:p w14:paraId="4A9A9FD0"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There are no forcing functions</w:t>
            </w:r>
          </w:p>
          <w:p w14:paraId="28F1DC7C"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There is a lack of electronic processes or focus on local issues</w:t>
            </w:r>
          </w:p>
          <w:p w14:paraId="61A4466E"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Audits are labour intensive, not automated</w:t>
            </w:r>
          </w:p>
          <w:p w14:paraId="762ECB71"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Need audit criteria that are clear and measurable</w:t>
            </w:r>
          </w:p>
          <w:p w14:paraId="2E1BD2AE" w14:textId="4A819BEA" w:rsidR="00B85C9C" w:rsidRPr="00316FCF"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Electronic prescribing opportunity, ideally linked to the discharge summary</w:t>
            </w:r>
          </w:p>
        </w:tc>
      </w:tr>
      <w:tr w:rsidR="00B85C9C" w:rsidRPr="00B46928" w14:paraId="2FB1BD59" w14:textId="77777777" w:rsidTr="00CA6F03">
        <w:tc>
          <w:tcPr>
            <w:tcW w:w="1139" w:type="dxa"/>
          </w:tcPr>
          <w:p w14:paraId="29825392"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Lakes DHB</w:t>
            </w:r>
          </w:p>
        </w:tc>
        <w:tc>
          <w:tcPr>
            <w:tcW w:w="2258" w:type="dxa"/>
          </w:tcPr>
          <w:p w14:paraId="07CCD84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Specialist drug rounds </w:t>
            </w:r>
          </w:p>
          <w:p w14:paraId="589256F6" w14:textId="77777777" w:rsidR="00B85C9C" w:rsidRPr="00B46928" w:rsidRDefault="00B85C9C" w:rsidP="00CA6F03">
            <w:pPr>
              <w:rPr>
                <w:rFonts w:asciiTheme="majorBidi" w:hAnsiTheme="majorBidi" w:cstheme="majorBidi"/>
                <w:sz w:val="20"/>
                <w:szCs w:val="20"/>
              </w:rPr>
            </w:pPr>
          </w:p>
          <w:p w14:paraId="011F118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Separate anticoagulant prescription section added to national prescription chart</w:t>
            </w:r>
          </w:p>
          <w:p w14:paraId="1FF0530B" w14:textId="77777777" w:rsidR="00B85C9C" w:rsidRPr="00B46928" w:rsidRDefault="00B85C9C" w:rsidP="00CA6F03">
            <w:pPr>
              <w:rPr>
                <w:rFonts w:asciiTheme="majorBidi" w:hAnsiTheme="majorBidi" w:cstheme="majorBidi"/>
                <w:sz w:val="20"/>
                <w:szCs w:val="20"/>
              </w:rPr>
            </w:pPr>
          </w:p>
        </w:tc>
        <w:tc>
          <w:tcPr>
            <w:tcW w:w="6946" w:type="dxa"/>
          </w:tcPr>
          <w:p w14:paraId="61AE8F2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An additional 1 page in the medication chart after the prn 2 pages, dedicated to anticoagulants and antiplatelets so they are not overlooked (requires education, but there is an orientation package)</w:t>
            </w:r>
          </w:p>
          <w:p w14:paraId="00B6E5C9" w14:textId="77777777" w:rsidR="00B85C9C" w:rsidRPr="00B46928" w:rsidRDefault="00B85C9C" w:rsidP="00CA6F03">
            <w:pPr>
              <w:rPr>
                <w:rFonts w:asciiTheme="majorBidi" w:hAnsiTheme="majorBidi" w:cstheme="majorBidi"/>
                <w:sz w:val="20"/>
                <w:szCs w:val="20"/>
              </w:rPr>
            </w:pPr>
          </w:p>
          <w:p w14:paraId="039A0F90"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The DHB has tried pharmacy only dispensing of anticoagulants, but this was not successful (it was reported that it is possible staff sourced anticoagulants from other wards, or pharmacists did not pay enough attention to the prescriptions)</w:t>
            </w:r>
          </w:p>
          <w:p w14:paraId="4853BBFD" w14:textId="77777777" w:rsidR="00B85C9C" w:rsidRPr="00B46928" w:rsidRDefault="00B85C9C" w:rsidP="00CA6F03">
            <w:pPr>
              <w:rPr>
                <w:rFonts w:asciiTheme="majorBidi" w:hAnsiTheme="majorBidi" w:cstheme="majorBidi"/>
                <w:sz w:val="20"/>
                <w:szCs w:val="20"/>
              </w:rPr>
            </w:pPr>
          </w:p>
          <w:p w14:paraId="4F5FB27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‘Special medication safety walkarounds’ where a pharmacist, QI member, nurse, house surgeon, etc check charts and discuss whether prescribed medications meet guidance and protocols. These are moments for reinforcement. But they are not systematic.</w:t>
            </w:r>
          </w:p>
          <w:p w14:paraId="254F03E8" w14:textId="77777777" w:rsidR="00B85C9C" w:rsidRPr="00B46928" w:rsidRDefault="00B85C9C" w:rsidP="00CA6F03">
            <w:pPr>
              <w:rPr>
                <w:rFonts w:asciiTheme="majorBidi" w:hAnsiTheme="majorBidi" w:cstheme="majorBidi"/>
                <w:sz w:val="20"/>
                <w:szCs w:val="20"/>
              </w:rPr>
            </w:pPr>
          </w:p>
          <w:p w14:paraId="6355B25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Medication chart ‘change cards’ indicate when an order has been altered (by the pharmacist,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for renal impairment)</w:t>
            </w:r>
          </w:p>
          <w:p w14:paraId="69A7DCB7" w14:textId="77777777" w:rsidR="00B85C9C" w:rsidRPr="00B46928" w:rsidRDefault="00B85C9C" w:rsidP="00CA6F03">
            <w:pPr>
              <w:rPr>
                <w:rFonts w:asciiTheme="majorBidi" w:hAnsiTheme="majorBidi" w:cstheme="majorBidi"/>
                <w:sz w:val="20"/>
                <w:szCs w:val="20"/>
              </w:rPr>
            </w:pPr>
          </w:p>
          <w:p w14:paraId="67CB5742"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A discharge summary project has ensured that there are different sections on the d/c summary,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‘old meds’ that GPs may not be interested in, and ‘new meds’ that are highlighted, also sections for meds to be weaned. </w:t>
            </w:r>
          </w:p>
          <w:p w14:paraId="7EDF65B3" w14:textId="77777777" w:rsidR="00B85C9C" w:rsidRPr="00B46928" w:rsidRDefault="00B85C9C" w:rsidP="00CA6F03">
            <w:pPr>
              <w:rPr>
                <w:rFonts w:asciiTheme="majorBidi" w:hAnsiTheme="majorBidi" w:cstheme="majorBidi"/>
                <w:sz w:val="20"/>
                <w:szCs w:val="20"/>
              </w:rPr>
            </w:pPr>
          </w:p>
          <w:p w14:paraId="5B4D855A"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Needs identified: </w:t>
            </w:r>
          </w:p>
          <w:p w14:paraId="4801BB51"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More pharmacists</w:t>
            </w:r>
          </w:p>
          <w:p w14:paraId="057BE24E"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E-prescribing and CDSS systems that offer learning opportunities </w:t>
            </w:r>
          </w:p>
          <w:p w14:paraId="7CA56F92"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Education about electronic prescribing</w:t>
            </w:r>
          </w:p>
          <w:p w14:paraId="71B63ECE"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Pharmacist access to the adverse drug reaction fields so they can be recorded properly (correct wording etc)</w:t>
            </w:r>
          </w:p>
          <w:p w14:paraId="0F7FAA37" w14:textId="1DB13C5E" w:rsidR="00B85C9C" w:rsidRPr="00B46928"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Better review of Datix errors (in the UK NHS they had a template for ‘reflecting on it’,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about systems problems, </w:t>
            </w:r>
            <w:proofErr w:type="spellStart"/>
            <w:r w:rsidRPr="00B46928">
              <w:rPr>
                <w:rFonts w:asciiTheme="majorBidi" w:hAnsiTheme="majorBidi" w:cstheme="majorBidi"/>
                <w:sz w:val="20"/>
                <w:szCs w:val="20"/>
              </w:rPr>
              <w:t>eg</w:t>
            </w:r>
            <w:proofErr w:type="spellEnd"/>
            <w:r w:rsidRPr="00B46928">
              <w:rPr>
                <w:rFonts w:asciiTheme="majorBidi" w:hAnsiTheme="majorBidi" w:cstheme="majorBidi"/>
                <w:sz w:val="20"/>
                <w:szCs w:val="20"/>
              </w:rPr>
              <w:t xml:space="preserve"> rushing, not identifying patient etc)</w:t>
            </w:r>
          </w:p>
        </w:tc>
      </w:tr>
      <w:tr w:rsidR="00B85C9C" w:rsidRPr="00B46928" w14:paraId="7ACAD651" w14:textId="77777777" w:rsidTr="00CA6F03">
        <w:tc>
          <w:tcPr>
            <w:tcW w:w="1139" w:type="dxa"/>
          </w:tcPr>
          <w:p w14:paraId="50B9D01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Taranaki DHB</w:t>
            </w:r>
          </w:p>
          <w:p w14:paraId="03716E4F" w14:textId="77777777" w:rsidR="00B85C9C" w:rsidRPr="00B46928" w:rsidRDefault="00B85C9C" w:rsidP="00CA6F03">
            <w:pPr>
              <w:rPr>
                <w:rFonts w:asciiTheme="majorBidi" w:hAnsiTheme="majorBidi" w:cstheme="majorBidi"/>
                <w:sz w:val="20"/>
                <w:szCs w:val="20"/>
              </w:rPr>
            </w:pPr>
          </w:p>
        </w:tc>
        <w:tc>
          <w:tcPr>
            <w:tcW w:w="2258" w:type="dxa"/>
          </w:tcPr>
          <w:p w14:paraId="31A17FA7"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Warfarin counselling clinic, now includes newer anticoagulants</w:t>
            </w:r>
          </w:p>
        </w:tc>
        <w:tc>
          <w:tcPr>
            <w:tcW w:w="6946" w:type="dxa"/>
          </w:tcPr>
          <w:p w14:paraId="1BAAF0ED"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Ward pharmacists aim to counsel all patients newly commenced on oral anticoagulants one-on-one (and whanau if appropriate), includes video and/or health navigator information leaflet on </w:t>
            </w:r>
            <w:r>
              <w:rPr>
                <w:rFonts w:asciiTheme="majorBidi" w:hAnsiTheme="majorBidi" w:cstheme="majorBidi"/>
                <w:sz w:val="20"/>
                <w:szCs w:val="20"/>
              </w:rPr>
              <w:t>DOAC</w:t>
            </w:r>
            <w:r w:rsidRPr="00B46928">
              <w:rPr>
                <w:rFonts w:asciiTheme="majorBidi" w:hAnsiTheme="majorBidi" w:cstheme="majorBidi"/>
                <w:sz w:val="20"/>
                <w:szCs w:val="20"/>
              </w:rPr>
              <w:t>s – however coverage is not known.</w:t>
            </w:r>
            <w:r w:rsidRPr="00B46928">
              <w:rPr>
                <w:rFonts w:asciiTheme="majorBidi" w:hAnsiTheme="majorBidi" w:cstheme="majorBidi"/>
                <w:sz w:val="20"/>
                <w:szCs w:val="20"/>
              </w:rPr>
              <w:br/>
            </w:r>
          </w:p>
          <w:p w14:paraId="457A2ADA" w14:textId="1EF2CB2A"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Warfarin Counselling and Newer Anticoagulant Clinics on Monday and Thursday in the pharmacy reception (changed to the inpatient bedside during Covid-19 pandemic)</w:t>
            </w:r>
          </w:p>
        </w:tc>
      </w:tr>
      <w:tr w:rsidR="00B85C9C" w:rsidRPr="00B46928" w14:paraId="6B6087DD" w14:textId="77777777" w:rsidTr="00CA6F03">
        <w:tc>
          <w:tcPr>
            <w:tcW w:w="1139" w:type="dxa"/>
          </w:tcPr>
          <w:p w14:paraId="528CDB8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Whanganui DHB</w:t>
            </w:r>
          </w:p>
          <w:p w14:paraId="00CFD9CA" w14:textId="77777777" w:rsidR="00B85C9C" w:rsidRPr="00B46928" w:rsidRDefault="00B85C9C" w:rsidP="00CA6F03">
            <w:pPr>
              <w:rPr>
                <w:rFonts w:asciiTheme="majorBidi" w:hAnsiTheme="majorBidi" w:cstheme="majorBidi"/>
                <w:sz w:val="20"/>
                <w:szCs w:val="20"/>
              </w:rPr>
            </w:pPr>
          </w:p>
        </w:tc>
        <w:tc>
          <w:tcPr>
            <w:tcW w:w="2258" w:type="dxa"/>
          </w:tcPr>
          <w:p w14:paraId="40E2CFE2"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Post-take ward round form (includes anticoagulation considered, bloods, prophylaxis). Currently in trial.</w:t>
            </w:r>
          </w:p>
          <w:p w14:paraId="584DDF1A" w14:textId="77777777" w:rsidR="00B85C9C" w:rsidRPr="00B46928" w:rsidRDefault="00B85C9C" w:rsidP="00CA6F03">
            <w:pPr>
              <w:rPr>
                <w:rFonts w:asciiTheme="majorBidi" w:hAnsiTheme="majorBidi" w:cstheme="majorBidi"/>
                <w:sz w:val="20"/>
                <w:szCs w:val="20"/>
              </w:rPr>
            </w:pPr>
          </w:p>
          <w:p w14:paraId="3E74D11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Finalising a VTE procedure for Surgical and orthopaedic patients</w:t>
            </w:r>
          </w:p>
          <w:p w14:paraId="22876296" w14:textId="77777777" w:rsidR="00B85C9C" w:rsidRPr="00B46928" w:rsidRDefault="00B85C9C" w:rsidP="00CA6F03">
            <w:pPr>
              <w:rPr>
                <w:rFonts w:asciiTheme="majorBidi" w:hAnsiTheme="majorBidi" w:cstheme="majorBidi"/>
                <w:sz w:val="20"/>
                <w:szCs w:val="20"/>
              </w:rPr>
            </w:pPr>
          </w:p>
        </w:tc>
        <w:tc>
          <w:tcPr>
            <w:tcW w:w="6946" w:type="dxa"/>
          </w:tcPr>
          <w:p w14:paraId="3EDDE38B"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Post-take ward round form being trialled by junior doctors, which includes VTE prophylaxis.  </w:t>
            </w:r>
          </w:p>
          <w:p w14:paraId="616F172C" w14:textId="77777777" w:rsidR="00B85C9C" w:rsidRPr="00B46928" w:rsidRDefault="00B85C9C" w:rsidP="00CA6F03">
            <w:pPr>
              <w:rPr>
                <w:rFonts w:asciiTheme="majorBidi" w:hAnsiTheme="majorBidi" w:cstheme="majorBidi"/>
                <w:sz w:val="20"/>
                <w:szCs w:val="20"/>
              </w:rPr>
            </w:pPr>
          </w:p>
          <w:p w14:paraId="7DD8DE5A"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Initiatives to close the loop on things that get missed at afterhours admissions, ensuring consistent approached to VTE in surgical/orthopaedic patients. VTE prophylaxis was ad-hoc, so a registrar put together guideline for surgical/ortho patients. </w:t>
            </w:r>
          </w:p>
          <w:p w14:paraId="03D72E11" w14:textId="77777777" w:rsidR="00B85C9C" w:rsidRPr="00B46928" w:rsidRDefault="00B85C9C" w:rsidP="00CA6F03">
            <w:pPr>
              <w:rPr>
                <w:rFonts w:asciiTheme="majorBidi" w:hAnsiTheme="majorBidi" w:cstheme="majorBidi"/>
                <w:sz w:val="20"/>
                <w:szCs w:val="20"/>
              </w:rPr>
            </w:pPr>
          </w:p>
          <w:p w14:paraId="710EEFF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No initiatives are yet evaluated.</w:t>
            </w:r>
          </w:p>
          <w:p w14:paraId="6518632B" w14:textId="77777777" w:rsidR="00B85C9C" w:rsidRPr="00B46928" w:rsidRDefault="00B85C9C" w:rsidP="00CA6F03">
            <w:pPr>
              <w:rPr>
                <w:rFonts w:asciiTheme="majorBidi" w:hAnsiTheme="majorBidi" w:cstheme="majorBidi"/>
                <w:sz w:val="20"/>
                <w:szCs w:val="20"/>
              </w:rPr>
            </w:pPr>
          </w:p>
          <w:p w14:paraId="73A1487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Issues identified:</w:t>
            </w:r>
          </w:p>
          <w:p w14:paraId="078DF0EE" w14:textId="15DC7DB4" w:rsidR="00B85C9C" w:rsidRPr="00B46928"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When the VTE box was on the National medication chart it was very poorly utilised </w:t>
            </w:r>
          </w:p>
        </w:tc>
      </w:tr>
      <w:tr w:rsidR="00B85C9C" w:rsidRPr="00B46928" w14:paraId="29A68D2E" w14:textId="77777777" w:rsidTr="00CA6F03">
        <w:tc>
          <w:tcPr>
            <w:tcW w:w="1139" w:type="dxa"/>
          </w:tcPr>
          <w:p w14:paraId="71492C55"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Mid-Central DHB</w:t>
            </w:r>
          </w:p>
        </w:tc>
        <w:tc>
          <w:tcPr>
            <w:tcW w:w="2258" w:type="dxa"/>
          </w:tcPr>
          <w:p w14:paraId="1F36AD3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Monitoring use of prophylactic anticoagulants, VTE prophylaxis audits monthly</w:t>
            </w:r>
          </w:p>
          <w:p w14:paraId="0FA100D0"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          </w:t>
            </w:r>
          </w:p>
          <w:p w14:paraId="2EA8E482"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Developed smart phone apps to help medical staff use anticoagulants</w:t>
            </w:r>
          </w:p>
          <w:p w14:paraId="20532ADE" w14:textId="77777777" w:rsidR="00B85C9C" w:rsidRPr="00B46928" w:rsidRDefault="00B85C9C" w:rsidP="00CA6F03">
            <w:pPr>
              <w:rPr>
                <w:rFonts w:asciiTheme="majorBidi" w:hAnsiTheme="majorBidi" w:cstheme="majorBidi"/>
                <w:sz w:val="20"/>
                <w:szCs w:val="20"/>
              </w:rPr>
            </w:pPr>
          </w:p>
          <w:p w14:paraId="31A03FB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Possibly an app to help manage the areas of concern would be helpful. It could make guidelines more accessible. Junior staff use </w:t>
            </w:r>
            <w:proofErr w:type="spellStart"/>
            <w:r w:rsidRPr="00B46928">
              <w:rPr>
                <w:rFonts w:asciiTheme="majorBidi" w:hAnsiTheme="majorBidi" w:cstheme="majorBidi"/>
                <w:sz w:val="20"/>
                <w:szCs w:val="20"/>
              </w:rPr>
              <w:t>MedApp</w:t>
            </w:r>
            <w:proofErr w:type="spellEnd"/>
            <w:r w:rsidRPr="00B46928">
              <w:rPr>
                <w:rFonts w:asciiTheme="majorBidi" w:hAnsiTheme="majorBidi" w:cstheme="majorBidi"/>
                <w:sz w:val="20"/>
                <w:szCs w:val="20"/>
              </w:rPr>
              <w:t>, it may be useful to add additional information to this.</w:t>
            </w:r>
          </w:p>
          <w:p w14:paraId="6BBA4598" w14:textId="77777777" w:rsidR="00B85C9C" w:rsidRPr="00B46928" w:rsidRDefault="00B85C9C" w:rsidP="00CA6F03">
            <w:pPr>
              <w:rPr>
                <w:rFonts w:asciiTheme="majorBidi" w:hAnsiTheme="majorBidi" w:cstheme="majorBidi"/>
                <w:sz w:val="20"/>
                <w:szCs w:val="20"/>
              </w:rPr>
            </w:pPr>
          </w:p>
        </w:tc>
        <w:tc>
          <w:tcPr>
            <w:tcW w:w="6946" w:type="dxa"/>
          </w:tcPr>
          <w:p w14:paraId="640CD5CC"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VTE prophylaxis audits, but infrequent during Covid-19 (check inpatients for risks of bleeding, adequate prophylaxis etc</w:t>
            </w:r>
            <w:r>
              <w:rPr>
                <w:rFonts w:asciiTheme="majorBidi" w:hAnsiTheme="majorBidi" w:cstheme="majorBidi"/>
                <w:sz w:val="20"/>
                <w:szCs w:val="20"/>
              </w:rPr>
              <w:t>, however there is no consensus on what ‘appropriate’ prophylaxis is, so hard to audit</w:t>
            </w:r>
            <w:r w:rsidRPr="00B46928">
              <w:rPr>
                <w:rFonts w:asciiTheme="majorBidi" w:hAnsiTheme="majorBidi" w:cstheme="majorBidi"/>
                <w:sz w:val="20"/>
                <w:szCs w:val="20"/>
              </w:rPr>
              <w:t>)</w:t>
            </w:r>
          </w:p>
          <w:p w14:paraId="5B72DD6E" w14:textId="77777777" w:rsidR="00B85C9C" w:rsidRPr="00B46928" w:rsidRDefault="00B85C9C" w:rsidP="00CA6F03">
            <w:pPr>
              <w:rPr>
                <w:rFonts w:asciiTheme="majorBidi" w:hAnsiTheme="majorBidi" w:cstheme="majorBidi"/>
                <w:sz w:val="20"/>
                <w:szCs w:val="20"/>
              </w:rPr>
            </w:pPr>
          </w:p>
          <w:p w14:paraId="60A5BB7F"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Bespoke apps</w:t>
            </w:r>
            <w:r>
              <w:rPr>
                <w:rFonts w:asciiTheme="majorBidi" w:hAnsiTheme="majorBidi" w:cstheme="majorBidi"/>
                <w:sz w:val="20"/>
                <w:szCs w:val="20"/>
              </w:rPr>
              <w:t xml:space="preserve"> (these make guidelines accessible)</w:t>
            </w:r>
            <w:r w:rsidRPr="00B46928">
              <w:rPr>
                <w:rFonts w:asciiTheme="majorBidi" w:hAnsiTheme="majorBidi" w:cstheme="majorBidi"/>
                <w:sz w:val="20"/>
                <w:szCs w:val="20"/>
              </w:rPr>
              <w:t xml:space="preserve">: NZ Blood App, </w:t>
            </w:r>
            <w:r>
              <w:rPr>
                <w:rFonts w:asciiTheme="majorBidi" w:hAnsiTheme="majorBidi" w:cstheme="majorBidi"/>
                <w:sz w:val="20"/>
                <w:szCs w:val="20"/>
              </w:rPr>
              <w:t>Managing/</w:t>
            </w:r>
            <w:r w:rsidRPr="00B46928">
              <w:rPr>
                <w:rFonts w:asciiTheme="majorBidi" w:hAnsiTheme="majorBidi" w:cstheme="majorBidi"/>
                <w:sz w:val="20"/>
                <w:szCs w:val="20"/>
              </w:rPr>
              <w:t>Reversing Warfarin App</w:t>
            </w:r>
            <w:r>
              <w:rPr>
                <w:rFonts w:asciiTheme="majorBidi" w:hAnsiTheme="majorBidi" w:cstheme="majorBidi"/>
                <w:sz w:val="20"/>
                <w:szCs w:val="20"/>
              </w:rPr>
              <w:t>s</w:t>
            </w:r>
            <w:r w:rsidRPr="00B46928">
              <w:rPr>
                <w:rFonts w:asciiTheme="majorBidi" w:hAnsiTheme="majorBidi" w:cstheme="majorBidi"/>
                <w:sz w:val="20"/>
                <w:szCs w:val="20"/>
              </w:rPr>
              <w:t>, Rivaroxaban</w:t>
            </w:r>
            <w:r>
              <w:rPr>
                <w:rFonts w:asciiTheme="majorBidi" w:hAnsiTheme="majorBidi" w:cstheme="majorBidi"/>
                <w:sz w:val="20"/>
                <w:szCs w:val="20"/>
              </w:rPr>
              <w:t>/Dabigatran</w:t>
            </w:r>
            <w:r w:rsidRPr="00B46928">
              <w:rPr>
                <w:rFonts w:asciiTheme="majorBidi" w:hAnsiTheme="majorBidi" w:cstheme="majorBidi"/>
                <w:sz w:val="20"/>
                <w:szCs w:val="20"/>
              </w:rPr>
              <w:t xml:space="preserve"> App, etc. </w:t>
            </w:r>
          </w:p>
          <w:p w14:paraId="5116DE9D" w14:textId="77777777" w:rsidR="00B85C9C" w:rsidRPr="00B46928" w:rsidRDefault="00B85C9C" w:rsidP="00CA6F03">
            <w:pPr>
              <w:rPr>
                <w:rFonts w:asciiTheme="majorBidi" w:hAnsiTheme="majorBidi" w:cstheme="majorBidi"/>
                <w:sz w:val="20"/>
                <w:szCs w:val="20"/>
              </w:rPr>
            </w:pPr>
          </w:p>
          <w:p w14:paraId="756700F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PGY1 education includes cards that are handed out with VTE risk assessment information</w:t>
            </w:r>
          </w:p>
          <w:p w14:paraId="0B9C7B44" w14:textId="77777777" w:rsidR="00B85C9C" w:rsidRPr="00B46928" w:rsidRDefault="00B85C9C" w:rsidP="00CA6F03">
            <w:pPr>
              <w:rPr>
                <w:rFonts w:asciiTheme="majorBidi" w:hAnsiTheme="majorBidi" w:cstheme="majorBidi"/>
                <w:sz w:val="20"/>
                <w:szCs w:val="20"/>
              </w:rPr>
            </w:pPr>
          </w:p>
          <w:p w14:paraId="0D31A577"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Needs identified: </w:t>
            </w:r>
          </w:p>
          <w:p w14:paraId="44A57DD4" w14:textId="77777777" w:rsidR="00B85C9C" w:rsidRDefault="00B85C9C" w:rsidP="00CA6F03">
            <w:pPr>
              <w:pStyle w:val="ListParagraph"/>
              <w:numPr>
                <w:ilvl w:val="0"/>
                <w:numId w:val="1"/>
              </w:numPr>
              <w:rPr>
                <w:rFonts w:asciiTheme="majorBidi" w:hAnsiTheme="majorBidi" w:cstheme="majorBidi"/>
                <w:sz w:val="20"/>
                <w:szCs w:val="20"/>
              </w:rPr>
            </w:pPr>
            <w:r>
              <w:rPr>
                <w:rFonts w:asciiTheme="majorBidi" w:hAnsiTheme="majorBidi" w:cstheme="majorBidi"/>
                <w:sz w:val="20"/>
                <w:szCs w:val="20"/>
              </w:rPr>
              <w:t xml:space="preserve">A national approach would be useful, </w:t>
            </w:r>
            <w:proofErr w:type="spellStart"/>
            <w:r>
              <w:rPr>
                <w:rFonts w:asciiTheme="majorBidi" w:hAnsiTheme="majorBidi" w:cstheme="majorBidi"/>
                <w:sz w:val="20"/>
                <w:szCs w:val="20"/>
              </w:rPr>
              <w:t>eg</w:t>
            </w:r>
            <w:proofErr w:type="spellEnd"/>
            <w:r>
              <w:rPr>
                <w:rFonts w:asciiTheme="majorBidi" w:hAnsiTheme="majorBidi" w:cstheme="majorBidi"/>
                <w:sz w:val="20"/>
                <w:szCs w:val="20"/>
              </w:rPr>
              <w:t xml:space="preserve"> for Apps, audits (orthopaedics are often outliers, need a standard of care)</w:t>
            </w:r>
          </w:p>
          <w:p w14:paraId="1BD8FF51" w14:textId="77777777" w:rsidR="00B85C9C" w:rsidRDefault="00B85C9C" w:rsidP="00CA6F03">
            <w:pPr>
              <w:pStyle w:val="ListParagraph"/>
              <w:numPr>
                <w:ilvl w:val="0"/>
                <w:numId w:val="1"/>
              </w:numPr>
              <w:rPr>
                <w:rFonts w:asciiTheme="majorBidi" w:hAnsiTheme="majorBidi" w:cstheme="majorBidi"/>
                <w:sz w:val="20"/>
                <w:szCs w:val="20"/>
              </w:rPr>
            </w:pPr>
            <w:r>
              <w:rPr>
                <w:rFonts w:asciiTheme="majorBidi" w:hAnsiTheme="majorBidi" w:cstheme="majorBidi"/>
                <w:sz w:val="20"/>
                <w:szCs w:val="20"/>
              </w:rPr>
              <w:t>Basic knowledge of anticoagulation could be improved</w:t>
            </w:r>
          </w:p>
          <w:p w14:paraId="6EC77CF9"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Discharge planning is a future project</w:t>
            </w:r>
            <w:r>
              <w:rPr>
                <w:rFonts w:asciiTheme="majorBidi" w:hAnsiTheme="majorBidi" w:cstheme="majorBidi"/>
                <w:sz w:val="20"/>
                <w:szCs w:val="20"/>
              </w:rPr>
              <w:t xml:space="preserve"> (transition to community is a problem because only the GP can refer the patient to community management of anticoagulation service, but is not necessarily aware)</w:t>
            </w:r>
            <w:r w:rsidRPr="00B46928">
              <w:rPr>
                <w:rFonts w:asciiTheme="majorBidi" w:hAnsiTheme="majorBidi" w:cstheme="majorBidi"/>
                <w:sz w:val="20"/>
                <w:szCs w:val="20"/>
              </w:rPr>
              <w:t>, along with e-prescribing</w:t>
            </w:r>
          </w:p>
          <w:p w14:paraId="76123F49" w14:textId="77777777"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Approval barriers prevented getting a ‘does this patient need anticoagulation, who is responsible for follow-up’ item on the discharge summary</w:t>
            </w:r>
          </w:p>
          <w:p w14:paraId="2BEFCD5F" w14:textId="71A5263C" w:rsidR="00B85C9C" w:rsidRPr="00B46928" w:rsidRDefault="00B85C9C" w:rsidP="00316FCF">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 xml:space="preserve">Apps could perhaps be integrated into the </w:t>
            </w:r>
            <w:proofErr w:type="spellStart"/>
            <w:r w:rsidRPr="00B46928">
              <w:rPr>
                <w:rFonts w:asciiTheme="majorBidi" w:hAnsiTheme="majorBidi" w:cstheme="majorBidi"/>
                <w:sz w:val="20"/>
                <w:szCs w:val="20"/>
              </w:rPr>
              <w:t>MedApp</w:t>
            </w:r>
            <w:proofErr w:type="spellEnd"/>
            <w:r w:rsidRPr="00B46928">
              <w:rPr>
                <w:rFonts w:asciiTheme="majorBidi" w:hAnsiTheme="majorBidi" w:cstheme="majorBidi"/>
                <w:sz w:val="20"/>
                <w:szCs w:val="20"/>
              </w:rPr>
              <w:t xml:space="preserve"> that the doctors tend to use. </w:t>
            </w:r>
          </w:p>
        </w:tc>
      </w:tr>
      <w:tr w:rsidR="00B85C9C" w:rsidRPr="00B46928" w14:paraId="154646F2" w14:textId="77777777" w:rsidTr="00CA6F03">
        <w:tc>
          <w:tcPr>
            <w:tcW w:w="1139" w:type="dxa"/>
          </w:tcPr>
          <w:p w14:paraId="7582E51D"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Wairarapa DHB</w:t>
            </w:r>
          </w:p>
        </w:tc>
        <w:tc>
          <w:tcPr>
            <w:tcW w:w="2258" w:type="dxa"/>
          </w:tcPr>
          <w:p w14:paraId="399C8DB6"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Patients admitted on warfarin have an extra Blue bracelet attached (new initiative not evaluated yet) </w:t>
            </w:r>
          </w:p>
          <w:p w14:paraId="45F5427A" w14:textId="77777777" w:rsidR="00B85C9C" w:rsidRPr="00B46928" w:rsidRDefault="00B85C9C" w:rsidP="00CA6F03">
            <w:pPr>
              <w:rPr>
                <w:rFonts w:asciiTheme="majorBidi" w:hAnsiTheme="majorBidi" w:cstheme="majorBidi"/>
                <w:sz w:val="20"/>
                <w:szCs w:val="20"/>
              </w:rPr>
            </w:pPr>
          </w:p>
          <w:p w14:paraId="6D042779" w14:textId="77777777" w:rsidR="00B85C9C" w:rsidRPr="00B46928" w:rsidRDefault="00B85C9C" w:rsidP="00CA6F03">
            <w:pPr>
              <w:rPr>
                <w:rFonts w:asciiTheme="majorBidi" w:hAnsiTheme="majorBidi" w:cstheme="majorBidi"/>
                <w:sz w:val="20"/>
                <w:szCs w:val="20"/>
              </w:rPr>
            </w:pPr>
          </w:p>
        </w:tc>
        <w:tc>
          <w:tcPr>
            <w:tcW w:w="6946" w:type="dxa"/>
          </w:tcPr>
          <w:p w14:paraId="536B2F0A"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Introduced the Blue Bracelet for 'Patients admitted on warfarin’. </w:t>
            </w:r>
          </w:p>
          <w:p w14:paraId="51F863A1" w14:textId="77777777" w:rsidR="00B85C9C" w:rsidRPr="00B46928" w:rsidRDefault="00B85C9C" w:rsidP="00CA6F03">
            <w:pPr>
              <w:rPr>
                <w:rFonts w:asciiTheme="majorBidi" w:hAnsiTheme="majorBidi" w:cstheme="majorBidi"/>
                <w:sz w:val="20"/>
                <w:szCs w:val="20"/>
              </w:rPr>
            </w:pPr>
          </w:p>
          <w:p w14:paraId="4112FEE4"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Reportable events have occurred since introduction, leading to follow up review of current practice (reviewing current documentation used and the charting of medication)</w:t>
            </w:r>
            <w:r w:rsidRPr="00B46928">
              <w:rPr>
                <w:rFonts w:asciiTheme="majorBidi" w:hAnsiTheme="majorBidi" w:cstheme="majorBidi"/>
                <w:b/>
                <w:bCs/>
                <w:sz w:val="20"/>
                <w:szCs w:val="20"/>
              </w:rPr>
              <w:br/>
            </w:r>
          </w:p>
          <w:p w14:paraId="10C93DC8" w14:textId="77777777" w:rsidR="00B85C9C" w:rsidRPr="00B46928" w:rsidRDefault="00B85C9C" w:rsidP="00CA6F03">
            <w:pPr>
              <w:rPr>
                <w:rFonts w:asciiTheme="majorBidi" w:hAnsiTheme="majorBidi" w:cstheme="majorBidi"/>
                <w:b/>
                <w:bCs/>
                <w:sz w:val="20"/>
                <w:szCs w:val="20"/>
              </w:rPr>
            </w:pPr>
            <w:r w:rsidRPr="00B46928">
              <w:rPr>
                <w:rFonts w:asciiTheme="majorBidi" w:hAnsiTheme="majorBidi" w:cstheme="majorBidi"/>
                <w:sz w:val="20"/>
                <w:szCs w:val="20"/>
              </w:rPr>
              <w:t>Needs identified:</w:t>
            </w:r>
            <w:r w:rsidRPr="00B46928">
              <w:rPr>
                <w:rFonts w:asciiTheme="majorBidi" w:hAnsiTheme="majorBidi" w:cstheme="majorBidi"/>
                <w:b/>
                <w:bCs/>
                <w:sz w:val="20"/>
                <w:szCs w:val="20"/>
              </w:rPr>
              <w:t xml:space="preserve"> </w:t>
            </w:r>
          </w:p>
          <w:p w14:paraId="1353EA0A" w14:textId="67B8CF4B" w:rsidR="00B85C9C" w:rsidRPr="00B46928" w:rsidRDefault="00B85C9C" w:rsidP="00CA6F03">
            <w:pPr>
              <w:pStyle w:val="ListParagraph"/>
              <w:numPr>
                <w:ilvl w:val="0"/>
                <w:numId w:val="1"/>
              </w:numPr>
              <w:rPr>
                <w:rFonts w:asciiTheme="majorBidi" w:hAnsiTheme="majorBidi" w:cstheme="majorBidi"/>
                <w:sz w:val="20"/>
                <w:szCs w:val="20"/>
              </w:rPr>
            </w:pPr>
            <w:r w:rsidRPr="00B46928">
              <w:rPr>
                <w:rFonts w:asciiTheme="majorBidi" w:hAnsiTheme="majorBidi" w:cstheme="majorBidi"/>
                <w:sz w:val="20"/>
                <w:szCs w:val="20"/>
              </w:rPr>
              <w:t>An out-of-date document was in use that had been photocopied, this could have led to some of the issues</w:t>
            </w:r>
            <w:r w:rsidRPr="00B46928">
              <w:rPr>
                <w:rFonts w:asciiTheme="majorBidi" w:hAnsiTheme="majorBidi" w:cstheme="majorBidi"/>
                <w:b/>
                <w:bCs/>
                <w:sz w:val="20"/>
                <w:szCs w:val="20"/>
              </w:rPr>
              <w:t> </w:t>
            </w:r>
            <w:r w:rsidRPr="00B46928">
              <w:rPr>
                <w:rFonts w:asciiTheme="majorBidi" w:hAnsiTheme="majorBidi" w:cstheme="majorBidi"/>
                <w:sz w:val="20"/>
                <w:szCs w:val="20"/>
              </w:rPr>
              <w:t>seen in the reportable events.</w:t>
            </w:r>
          </w:p>
        </w:tc>
      </w:tr>
      <w:tr w:rsidR="00B85C9C" w:rsidRPr="00B46928" w14:paraId="50B4EDFB" w14:textId="77777777" w:rsidTr="00CA6F03">
        <w:tc>
          <w:tcPr>
            <w:tcW w:w="1139" w:type="dxa"/>
          </w:tcPr>
          <w:p w14:paraId="441C6610"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Capital &amp; Coast DHB</w:t>
            </w:r>
          </w:p>
          <w:p w14:paraId="10845DD7" w14:textId="77777777" w:rsidR="00B85C9C" w:rsidRPr="00B46928" w:rsidRDefault="00B85C9C" w:rsidP="00CA6F03">
            <w:pPr>
              <w:rPr>
                <w:rFonts w:asciiTheme="majorBidi" w:hAnsiTheme="majorBidi" w:cstheme="majorBidi"/>
                <w:sz w:val="20"/>
                <w:szCs w:val="20"/>
              </w:rPr>
            </w:pPr>
          </w:p>
        </w:tc>
        <w:tc>
          <w:tcPr>
            <w:tcW w:w="2258" w:type="dxa"/>
          </w:tcPr>
          <w:p w14:paraId="4110B56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[Not from survey response] </w:t>
            </w:r>
          </w:p>
          <w:p w14:paraId="390C2861"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CCDHB developed a specialist anticoagulation bridging service </w:t>
            </w:r>
          </w:p>
        </w:tc>
        <w:tc>
          <w:tcPr>
            <w:tcW w:w="6946" w:type="dxa"/>
          </w:tcPr>
          <w:p w14:paraId="2275E3A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Specialist anticoagulation bridging service described and evaluated in ‘The Role of a specialist bridging service. A New Zealand prospective study of 600 patients’ (Ruell et al 2019). The service was developed because of ad hoc approaches across various departments. </w:t>
            </w:r>
          </w:p>
          <w:p w14:paraId="1FAB9CBE" w14:textId="77777777" w:rsidR="00B85C9C" w:rsidRPr="00B46928" w:rsidRDefault="00B85C9C" w:rsidP="00CA6F03">
            <w:pPr>
              <w:rPr>
                <w:rFonts w:asciiTheme="majorBidi" w:hAnsiTheme="majorBidi" w:cstheme="majorBidi"/>
                <w:sz w:val="20"/>
                <w:szCs w:val="20"/>
              </w:rPr>
            </w:pPr>
          </w:p>
          <w:p w14:paraId="15A8F067"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Pathway in place where anyone who is anticoagulated and is being admitted for an elective procedure is referred to the thrombosis service. An assessment looking at both thrombotic and haemorrhagic risk</w:t>
            </w:r>
            <w:r>
              <w:rPr>
                <w:rFonts w:asciiTheme="majorBidi" w:hAnsiTheme="majorBidi" w:cstheme="majorBidi"/>
                <w:sz w:val="20"/>
                <w:szCs w:val="20"/>
              </w:rPr>
              <w:t xml:space="preserve"> is</w:t>
            </w:r>
            <w:r w:rsidRPr="00B46928">
              <w:rPr>
                <w:rFonts w:asciiTheme="majorBidi" w:hAnsiTheme="majorBidi" w:cstheme="majorBidi"/>
                <w:sz w:val="20"/>
                <w:szCs w:val="20"/>
              </w:rPr>
              <w:t xml:space="preserve"> completed</w:t>
            </w:r>
            <w:r>
              <w:rPr>
                <w:rFonts w:asciiTheme="majorBidi" w:hAnsiTheme="majorBidi" w:cstheme="majorBidi"/>
                <w:sz w:val="20"/>
                <w:szCs w:val="20"/>
              </w:rPr>
              <w:t>,</w:t>
            </w:r>
            <w:r w:rsidRPr="00B46928">
              <w:rPr>
                <w:rFonts w:asciiTheme="majorBidi" w:hAnsiTheme="majorBidi" w:cstheme="majorBidi"/>
                <w:sz w:val="20"/>
                <w:szCs w:val="20"/>
              </w:rPr>
              <w:t xml:space="preserve"> and a plan recommended based on international guidelines. Face-to-face meeting with the patient if required, copy of the plan on the hospital system so is available to clinicians, including GPs. The patient received reminder texts/calls or emails at each key stage, i.e.: last dose of warfarin or last dose of enoxaparin. Post procedure the patient would remain under the care of thrombosis service until INR is therapeutic and enoxaparin can be stopped, then transferred back to primary care for management.</w:t>
            </w:r>
          </w:p>
          <w:p w14:paraId="0D1B6EEC" w14:textId="77777777" w:rsidR="00B85C9C" w:rsidRPr="00B46928" w:rsidRDefault="00B85C9C" w:rsidP="00CA6F03">
            <w:pPr>
              <w:rPr>
                <w:rFonts w:asciiTheme="majorBidi" w:hAnsiTheme="majorBidi" w:cstheme="majorBidi"/>
                <w:sz w:val="20"/>
                <w:szCs w:val="20"/>
              </w:rPr>
            </w:pPr>
          </w:p>
          <w:p w14:paraId="393566C9" w14:textId="5F8D6A69" w:rsidR="00B85C9C" w:rsidRPr="00B46928" w:rsidRDefault="00B85C9C">
            <w:pPr>
              <w:rPr>
                <w:rFonts w:asciiTheme="majorBidi" w:hAnsiTheme="majorBidi" w:cstheme="majorBidi"/>
                <w:sz w:val="20"/>
                <w:szCs w:val="20"/>
              </w:rPr>
            </w:pPr>
            <w:r w:rsidRPr="00B46928">
              <w:rPr>
                <w:rFonts w:asciiTheme="majorBidi" w:hAnsiTheme="majorBidi" w:cstheme="majorBidi"/>
                <w:sz w:val="20"/>
                <w:szCs w:val="20"/>
              </w:rPr>
              <w:t>Some warfarin management is undertaken by the thrombosis service, generally the high-risk patients for example, MVR patient who has also had a CVA. The service also provides advice or management for patients whose INR’s have become erratic for whatever reason.</w:t>
            </w:r>
          </w:p>
        </w:tc>
      </w:tr>
      <w:tr w:rsidR="00B85C9C" w:rsidRPr="00B46928" w14:paraId="73DBF8E3" w14:textId="77777777" w:rsidTr="00CA6F03">
        <w:tc>
          <w:tcPr>
            <w:tcW w:w="1139" w:type="dxa"/>
          </w:tcPr>
          <w:p w14:paraId="481AA288"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South Canterbury DHB</w:t>
            </w:r>
          </w:p>
        </w:tc>
        <w:tc>
          <w:tcPr>
            <w:tcW w:w="2258" w:type="dxa"/>
          </w:tcPr>
          <w:p w14:paraId="40DA07E9"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Medical department teaching to house surgeons</w:t>
            </w:r>
          </w:p>
          <w:p w14:paraId="076E3A95" w14:textId="77777777" w:rsidR="00B85C9C" w:rsidRPr="00B46928" w:rsidRDefault="00B85C9C" w:rsidP="00CA6F03">
            <w:pPr>
              <w:rPr>
                <w:rFonts w:asciiTheme="majorBidi" w:hAnsiTheme="majorBidi" w:cstheme="majorBidi"/>
                <w:sz w:val="20"/>
                <w:szCs w:val="20"/>
              </w:rPr>
            </w:pPr>
          </w:p>
          <w:p w14:paraId="2ACA1DCD" w14:textId="77777777" w:rsidR="00B85C9C" w:rsidRPr="00B46928" w:rsidRDefault="00B85C9C" w:rsidP="00CA6F03">
            <w:pPr>
              <w:rPr>
                <w:rFonts w:asciiTheme="majorBidi" w:hAnsiTheme="majorBidi" w:cstheme="majorBidi"/>
                <w:sz w:val="20"/>
                <w:szCs w:val="20"/>
              </w:rPr>
            </w:pPr>
            <w:r w:rsidRPr="00B46928">
              <w:rPr>
                <w:rFonts w:asciiTheme="majorBidi" w:hAnsiTheme="majorBidi" w:cstheme="majorBidi"/>
                <w:sz w:val="20"/>
                <w:szCs w:val="20"/>
              </w:rPr>
              <w:t xml:space="preserve">Review by pharmacy team </w:t>
            </w:r>
          </w:p>
          <w:p w14:paraId="26E619BD" w14:textId="77777777" w:rsidR="00B85C9C" w:rsidRPr="00B46928" w:rsidRDefault="00B85C9C" w:rsidP="00CA6F03">
            <w:pPr>
              <w:rPr>
                <w:rFonts w:asciiTheme="majorBidi" w:hAnsiTheme="majorBidi" w:cstheme="majorBidi"/>
                <w:sz w:val="20"/>
                <w:szCs w:val="20"/>
              </w:rPr>
            </w:pPr>
          </w:p>
        </w:tc>
        <w:tc>
          <w:tcPr>
            <w:tcW w:w="6946" w:type="dxa"/>
          </w:tcPr>
          <w:p w14:paraId="64764073" w14:textId="77777777" w:rsidR="00B85C9C" w:rsidRDefault="00B85C9C" w:rsidP="00E338A8">
            <w:pPr>
              <w:rPr>
                <w:rFonts w:asciiTheme="majorBidi" w:hAnsiTheme="majorBidi" w:cstheme="majorBidi"/>
                <w:sz w:val="20"/>
                <w:szCs w:val="20"/>
              </w:rPr>
            </w:pPr>
            <w:r>
              <w:rPr>
                <w:rFonts w:asciiTheme="majorBidi" w:hAnsiTheme="majorBidi" w:cstheme="majorBidi"/>
                <w:sz w:val="20"/>
                <w:szCs w:val="20"/>
              </w:rPr>
              <w:t xml:space="preserve">Teaching to PGY1/2 through Grand Rounds, complex cases presented to illustrate issues around renal function, obesity, </w:t>
            </w:r>
            <w:proofErr w:type="spellStart"/>
            <w:r>
              <w:rPr>
                <w:rFonts w:asciiTheme="majorBidi" w:hAnsiTheme="majorBidi" w:cstheme="majorBidi"/>
                <w:sz w:val="20"/>
                <w:szCs w:val="20"/>
              </w:rPr>
              <w:t>clexane</w:t>
            </w:r>
            <w:proofErr w:type="spellEnd"/>
            <w:r>
              <w:rPr>
                <w:rFonts w:asciiTheme="majorBidi" w:hAnsiTheme="majorBidi" w:cstheme="majorBidi"/>
                <w:sz w:val="20"/>
                <w:szCs w:val="20"/>
              </w:rPr>
              <w:t>, indications, etc</w:t>
            </w:r>
          </w:p>
          <w:p w14:paraId="27935EFC" w14:textId="77777777" w:rsidR="00B85C9C" w:rsidRDefault="00B85C9C" w:rsidP="00E338A8">
            <w:pPr>
              <w:rPr>
                <w:rFonts w:asciiTheme="majorBidi" w:hAnsiTheme="majorBidi" w:cstheme="majorBidi"/>
                <w:sz w:val="20"/>
                <w:szCs w:val="20"/>
              </w:rPr>
            </w:pPr>
          </w:p>
          <w:p w14:paraId="5BAFAFE7" w14:textId="77777777" w:rsidR="00B85C9C" w:rsidRDefault="00B85C9C" w:rsidP="0021729F">
            <w:pPr>
              <w:rPr>
                <w:rFonts w:asciiTheme="majorBidi" w:hAnsiTheme="majorBidi" w:cstheme="majorBidi"/>
                <w:sz w:val="20"/>
                <w:szCs w:val="20"/>
              </w:rPr>
            </w:pPr>
            <w:r>
              <w:rPr>
                <w:rFonts w:asciiTheme="majorBidi" w:hAnsiTheme="majorBidi" w:cstheme="majorBidi"/>
                <w:sz w:val="20"/>
                <w:szCs w:val="20"/>
              </w:rPr>
              <w:t xml:space="preserve">Pharmacy team systematically reviews medication of all patients on anticoagulation, including those already taking at admission. Pharmacists are alerted to anticoagulation at dispensing, but also undertake non-systematic checks on surgical wards. Also one-on-one patient education. </w:t>
            </w:r>
          </w:p>
          <w:p w14:paraId="7DFC2042" w14:textId="77777777" w:rsidR="00B85C9C" w:rsidRDefault="00B85C9C" w:rsidP="0021729F">
            <w:pPr>
              <w:rPr>
                <w:rFonts w:asciiTheme="majorBidi" w:hAnsiTheme="majorBidi" w:cstheme="majorBidi"/>
                <w:sz w:val="20"/>
                <w:szCs w:val="20"/>
              </w:rPr>
            </w:pPr>
          </w:p>
          <w:p w14:paraId="4C6E8108" w14:textId="77777777" w:rsidR="00B85C9C" w:rsidRDefault="00B85C9C" w:rsidP="0021729F">
            <w:pPr>
              <w:rPr>
                <w:rFonts w:asciiTheme="majorBidi" w:hAnsiTheme="majorBidi" w:cstheme="majorBidi"/>
                <w:sz w:val="20"/>
                <w:szCs w:val="20"/>
              </w:rPr>
            </w:pPr>
            <w:r>
              <w:rPr>
                <w:rFonts w:asciiTheme="majorBidi" w:hAnsiTheme="majorBidi" w:cstheme="majorBidi"/>
                <w:sz w:val="20"/>
                <w:szCs w:val="20"/>
              </w:rPr>
              <w:t xml:space="preserve">No audits or evaluations. </w:t>
            </w:r>
          </w:p>
          <w:p w14:paraId="4658EFE4" w14:textId="77777777" w:rsidR="00B85C9C" w:rsidRDefault="00B85C9C" w:rsidP="0021729F">
            <w:pPr>
              <w:rPr>
                <w:rFonts w:asciiTheme="majorBidi" w:hAnsiTheme="majorBidi" w:cstheme="majorBidi"/>
                <w:sz w:val="20"/>
                <w:szCs w:val="20"/>
              </w:rPr>
            </w:pPr>
          </w:p>
          <w:p w14:paraId="5CF7CB74" w14:textId="77777777" w:rsidR="00B85C9C" w:rsidRDefault="00B85C9C" w:rsidP="0021729F">
            <w:pPr>
              <w:rPr>
                <w:rFonts w:asciiTheme="majorBidi" w:hAnsiTheme="majorBidi" w:cstheme="majorBidi"/>
                <w:sz w:val="20"/>
                <w:szCs w:val="20"/>
              </w:rPr>
            </w:pPr>
            <w:r>
              <w:rPr>
                <w:rFonts w:asciiTheme="majorBidi" w:hAnsiTheme="majorBidi" w:cstheme="majorBidi"/>
                <w:sz w:val="20"/>
                <w:szCs w:val="20"/>
              </w:rPr>
              <w:t>Suggestions:</w:t>
            </w:r>
          </w:p>
          <w:p w14:paraId="294501E0" w14:textId="77777777" w:rsidR="00B85C9C" w:rsidRDefault="00B85C9C" w:rsidP="0021729F">
            <w:pPr>
              <w:pStyle w:val="ListParagraph"/>
              <w:numPr>
                <w:ilvl w:val="0"/>
                <w:numId w:val="1"/>
              </w:numPr>
              <w:rPr>
                <w:rFonts w:asciiTheme="majorBidi" w:hAnsiTheme="majorBidi" w:cstheme="majorBidi"/>
                <w:sz w:val="20"/>
                <w:szCs w:val="20"/>
              </w:rPr>
            </w:pPr>
            <w:r>
              <w:rPr>
                <w:rFonts w:asciiTheme="majorBidi" w:hAnsiTheme="majorBidi" w:cstheme="majorBidi"/>
                <w:sz w:val="20"/>
                <w:szCs w:val="20"/>
              </w:rPr>
              <w:t xml:space="preserve">Alerts would be useful: more sophisticated than ‘have you considered?’ for VTE risk assessment, thromboprophylaxis, gastroprotection, requiring a comment, and re-alert after 24/48 hours is nothing charted. </w:t>
            </w:r>
          </w:p>
          <w:p w14:paraId="5765B4F5" w14:textId="77777777" w:rsidR="00B85C9C" w:rsidRPr="0021729F" w:rsidRDefault="00B85C9C" w:rsidP="0021729F">
            <w:pPr>
              <w:pStyle w:val="ListParagraph"/>
              <w:numPr>
                <w:ilvl w:val="0"/>
                <w:numId w:val="1"/>
              </w:numPr>
              <w:rPr>
                <w:rFonts w:asciiTheme="majorBidi" w:hAnsiTheme="majorBidi" w:cstheme="majorBidi"/>
                <w:sz w:val="20"/>
                <w:szCs w:val="20"/>
              </w:rPr>
            </w:pPr>
            <w:r>
              <w:rPr>
                <w:rFonts w:asciiTheme="majorBidi" w:hAnsiTheme="majorBidi" w:cstheme="majorBidi"/>
                <w:sz w:val="20"/>
                <w:szCs w:val="20"/>
              </w:rPr>
              <w:t xml:space="preserve">“We’re behind where we ought to be (internationally)” </w:t>
            </w:r>
          </w:p>
        </w:tc>
      </w:tr>
    </w:tbl>
    <w:p w14:paraId="58E80D28" w14:textId="77777777" w:rsidR="00B85C9C" w:rsidRPr="00B46928" w:rsidRDefault="00B85C9C" w:rsidP="00972168">
      <w:pPr>
        <w:rPr>
          <w:rFonts w:asciiTheme="majorBidi" w:hAnsiTheme="majorBidi" w:cstheme="majorBidi"/>
          <w:sz w:val="20"/>
          <w:szCs w:val="20"/>
        </w:rPr>
      </w:pPr>
    </w:p>
    <w:p w14:paraId="594D9890" w14:textId="77777777" w:rsidR="00B85C9C" w:rsidRDefault="00B85C9C" w:rsidP="00131C8A">
      <w:pPr>
        <w:pStyle w:val="Heading3"/>
      </w:pPr>
    </w:p>
    <w:p w14:paraId="10E2AEC5" w14:textId="77777777" w:rsidR="00B85C9C" w:rsidRPr="00972168" w:rsidRDefault="00B85C9C" w:rsidP="00972168"/>
    <w:p w14:paraId="635788F7" w14:textId="77777777" w:rsidR="00B85C9C" w:rsidRDefault="00B85C9C">
      <w:pPr>
        <w:rPr>
          <w:rFonts w:asciiTheme="majorHAnsi" w:eastAsiaTheme="majorEastAsia" w:hAnsiTheme="majorHAnsi" w:cstheme="majorBidi"/>
          <w:color w:val="1F3763" w:themeColor="accent1" w:themeShade="7F"/>
        </w:rPr>
      </w:pPr>
      <w:r>
        <w:br w:type="page"/>
      </w:r>
    </w:p>
    <w:p w14:paraId="302E5DEC" w14:textId="77777777" w:rsidR="00B85C9C" w:rsidRPr="00534EEF" w:rsidRDefault="00B85C9C" w:rsidP="00131C8A">
      <w:pPr>
        <w:pStyle w:val="Heading3"/>
      </w:pPr>
      <w:bookmarkStart w:id="35" w:name="_Toc106288224"/>
      <w:r w:rsidRPr="00534EEF">
        <w:t>Appendix B: Search Strategies</w:t>
      </w:r>
      <w:bookmarkEnd w:id="35"/>
    </w:p>
    <w:p w14:paraId="7DD5F9AD" w14:textId="77777777" w:rsidR="00B85C9C" w:rsidRDefault="00B85C9C">
      <w:pPr>
        <w:rPr>
          <w:rFonts w:asciiTheme="majorBidi" w:hAnsiTheme="majorBidi"/>
        </w:rPr>
      </w:pPr>
    </w:p>
    <w:p w14:paraId="14D864FA" w14:textId="77777777" w:rsidR="00B85C9C" w:rsidRPr="00534EEF" w:rsidRDefault="00B85C9C">
      <w:pPr>
        <w:rPr>
          <w:rFonts w:asciiTheme="majorBidi" w:hAnsiTheme="majorBidi" w:cstheme="majorBidi"/>
        </w:rPr>
      </w:pPr>
      <w:bookmarkStart w:id="36" w:name="_Toc106288225"/>
      <w:r w:rsidRPr="00534EEF">
        <w:rPr>
          <w:rStyle w:val="Heading4Char"/>
        </w:rPr>
        <w:t>Ministry of Health Search (2021)</w:t>
      </w:r>
      <w:bookmarkEnd w:id="36"/>
      <w:r w:rsidRPr="00534EEF">
        <w:rPr>
          <w:rFonts w:asciiTheme="majorBidi" w:hAnsiTheme="majorBidi" w:cstheme="majorBidi"/>
        </w:rPr>
        <w:t xml:space="preserve"> </w:t>
      </w:r>
    </w:p>
    <w:p w14:paraId="4CA67980" w14:textId="77777777" w:rsidR="00B85C9C" w:rsidRDefault="00B85C9C">
      <w:pPr>
        <w:rPr>
          <w:rFonts w:asciiTheme="majorBidi" w:hAnsiTheme="majorBidi"/>
        </w:rPr>
      </w:pPr>
    </w:p>
    <w:p w14:paraId="2990038F" w14:textId="77777777" w:rsidR="00B85C9C" w:rsidRPr="00316FCF" w:rsidRDefault="00B85C9C" w:rsidP="008B197B">
      <w:pPr>
        <w:rPr>
          <w:rFonts w:ascii="Times New Roman" w:hAnsi="Times New Roman" w:cs="Times New Roman"/>
          <w:sz w:val="22"/>
          <w:szCs w:val="22"/>
        </w:rPr>
      </w:pPr>
      <w:r w:rsidRPr="00316FCF">
        <w:rPr>
          <w:rFonts w:ascii="Times New Roman" w:eastAsia="Arial Unicode MS" w:hAnsi="Times New Roman" w:cs="Times New Roman"/>
          <w:sz w:val="22"/>
          <w:szCs w:val="22"/>
        </w:rPr>
        <w:t xml:space="preserve">Database: Ovid MEDLINE(R) and </w:t>
      </w:r>
      <w:proofErr w:type="spellStart"/>
      <w:r w:rsidRPr="00316FCF">
        <w:rPr>
          <w:rFonts w:ascii="Times New Roman" w:eastAsia="Arial Unicode MS" w:hAnsi="Times New Roman" w:cs="Times New Roman"/>
          <w:sz w:val="22"/>
          <w:szCs w:val="22"/>
        </w:rPr>
        <w:t>Epub</w:t>
      </w:r>
      <w:proofErr w:type="spellEnd"/>
      <w:r w:rsidRPr="00316FCF">
        <w:rPr>
          <w:rFonts w:ascii="Times New Roman" w:eastAsia="Arial Unicode MS" w:hAnsi="Times New Roman" w:cs="Times New Roman"/>
          <w:sz w:val="22"/>
          <w:szCs w:val="22"/>
        </w:rPr>
        <w:t xml:space="preserve"> Ahead of Print, In-Process, In-Data-Review &amp; Other Non-Indexed Citations, Daily and Versions(R) &lt;1946 to December 13, 2021&gt;, adapted for Scopus, Embase, Cochrane, OVID Nursing</w:t>
      </w:r>
    </w:p>
    <w:p w14:paraId="14E5598C"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Search Strategy:</w:t>
      </w:r>
    </w:p>
    <w:p w14:paraId="3DA9061C"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w:t>
      </w:r>
    </w:p>
    <w:p w14:paraId="185C2722"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     Anticoagulants/ or anticoagulant*.</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w:t>
      </w:r>
    </w:p>
    <w:p w14:paraId="2255F75B"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2     antiplatelet*.</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(31186)</w:t>
      </w:r>
    </w:p>
    <w:p w14:paraId="56FF13C8"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3     1 or 2 (142060)</w:t>
      </w:r>
    </w:p>
    <w:p w14:paraId="12A6C291"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4     (care adj3 transition*).</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(9904)</w:t>
      </w:r>
    </w:p>
    <w:p w14:paraId="2282DF2A"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5     (</w:t>
      </w:r>
      <w:proofErr w:type="spellStart"/>
      <w:r w:rsidRPr="00316FCF">
        <w:rPr>
          <w:rFonts w:ascii="Times New Roman" w:eastAsia="Arial Unicode MS" w:hAnsi="Times New Roman" w:cs="Times New Roman"/>
          <w:sz w:val="22"/>
          <w:szCs w:val="22"/>
        </w:rPr>
        <w:t>discharg</w:t>
      </w:r>
      <w:proofErr w:type="spellEnd"/>
      <w:r w:rsidRPr="00316FCF">
        <w:rPr>
          <w:rFonts w:ascii="Times New Roman" w:eastAsia="Arial Unicode MS" w:hAnsi="Times New Roman" w:cs="Times New Roman"/>
          <w:sz w:val="22"/>
          <w:szCs w:val="22"/>
        </w:rPr>
        <w:t xml:space="preserve">* adj3 (counsel* or </w:t>
      </w:r>
      <w:proofErr w:type="spellStart"/>
      <w:r w:rsidRPr="00316FCF">
        <w:rPr>
          <w:rFonts w:ascii="Times New Roman" w:eastAsia="Arial Unicode MS" w:hAnsi="Times New Roman" w:cs="Times New Roman"/>
          <w:sz w:val="22"/>
          <w:szCs w:val="22"/>
        </w:rPr>
        <w:t>educat</w:t>
      </w:r>
      <w:proofErr w:type="spellEnd"/>
      <w:r w:rsidRPr="00316FCF">
        <w:rPr>
          <w:rFonts w:ascii="Times New Roman" w:eastAsia="Arial Unicode MS" w:hAnsi="Times New Roman" w:cs="Times New Roman"/>
          <w:sz w:val="22"/>
          <w:szCs w:val="22"/>
        </w:rPr>
        <w:t>*)).</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(1092)</w:t>
      </w:r>
    </w:p>
    <w:p w14:paraId="11B8015D"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6     Decision Making, Shared/ (1334)</w:t>
      </w:r>
    </w:p>
    <w:p w14:paraId="5B18FB9D"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7     (shared adj3 decision*).</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(12533)</w:t>
      </w:r>
    </w:p>
    <w:p w14:paraId="6879A407"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 xml:space="preserve">8     (medic* adj3 </w:t>
      </w:r>
      <w:proofErr w:type="spellStart"/>
      <w:r w:rsidRPr="00316FCF">
        <w:rPr>
          <w:rFonts w:ascii="Times New Roman" w:eastAsia="Arial Unicode MS" w:hAnsi="Times New Roman" w:cs="Times New Roman"/>
          <w:sz w:val="22"/>
          <w:szCs w:val="22"/>
        </w:rPr>
        <w:t>manag</w:t>
      </w:r>
      <w:proofErr w:type="spellEnd"/>
      <w:r w:rsidRPr="00316FCF">
        <w:rPr>
          <w:rFonts w:ascii="Times New Roman" w:eastAsia="Arial Unicode MS" w:hAnsi="Times New Roman" w:cs="Times New Roman"/>
          <w:sz w:val="22"/>
          <w:szCs w:val="22"/>
        </w:rPr>
        <w:t>*).</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(62584)</w:t>
      </w:r>
    </w:p>
    <w:p w14:paraId="1D969343"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9     (</w:t>
      </w:r>
      <w:proofErr w:type="spellStart"/>
      <w:r w:rsidRPr="00316FCF">
        <w:rPr>
          <w:rFonts w:ascii="Times New Roman" w:eastAsia="Arial Unicode MS" w:hAnsi="Times New Roman" w:cs="Times New Roman"/>
          <w:sz w:val="22"/>
          <w:szCs w:val="22"/>
        </w:rPr>
        <w:t>reduc</w:t>
      </w:r>
      <w:proofErr w:type="spellEnd"/>
      <w:r w:rsidRPr="00316FCF">
        <w:rPr>
          <w:rFonts w:ascii="Times New Roman" w:eastAsia="Arial Unicode MS" w:hAnsi="Times New Roman" w:cs="Times New Roman"/>
          <w:sz w:val="22"/>
          <w:szCs w:val="22"/>
        </w:rPr>
        <w:t>* adj3 harm*).</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(12200)</w:t>
      </w:r>
    </w:p>
    <w:p w14:paraId="349C2857"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10     (collab* adj3 project*).</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(3872)</w:t>
      </w:r>
    </w:p>
    <w:p w14:paraId="65C45184"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11     ((home adj3 hospital*) or "team to team").</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=title, abstract, original title, name of substance word, subject heading word, floating sub-heading word, keyword heading word, organism supplementary concept word, protocol supplementary concept word, rare disease supplementary concept word, unique identifier, synonyms] (11587)</w:t>
      </w:r>
    </w:p>
    <w:p w14:paraId="377832D5"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 xml:space="preserve">12     "team to team” or </w:t>
      </w:r>
      <w:r w:rsidRPr="00316FCF">
        <w:rPr>
          <w:rFonts w:ascii="Times New Roman" w:hAnsi="Times New Roman" w:cs="Times New Roman"/>
          <w:color w:val="2D2D2D"/>
          <w:sz w:val="22"/>
          <w:szCs w:val="22"/>
          <w:shd w:val="clear" w:color="auto" w:fill="FFFFFF"/>
        </w:rPr>
        <w:t xml:space="preserve">multidisc* or shared decision* or "decision aid*" or "decision support*" or </w:t>
      </w:r>
      <w:proofErr w:type="spellStart"/>
      <w:r w:rsidRPr="00316FCF">
        <w:rPr>
          <w:rFonts w:ascii="Times New Roman" w:hAnsi="Times New Roman" w:cs="Times New Roman"/>
          <w:color w:val="2D2D2D"/>
          <w:sz w:val="22"/>
          <w:szCs w:val="22"/>
          <w:shd w:val="clear" w:color="auto" w:fill="FFFFFF"/>
        </w:rPr>
        <w:t>interdisc</w:t>
      </w:r>
      <w:proofErr w:type="spellEnd"/>
      <w:r w:rsidRPr="00316FCF">
        <w:rPr>
          <w:rFonts w:ascii="Times New Roman" w:hAnsi="Times New Roman" w:cs="Times New Roman"/>
          <w:color w:val="2D2D2D"/>
          <w:sz w:val="22"/>
          <w:szCs w:val="22"/>
          <w:shd w:val="clear" w:color="auto" w:fill="FFFFFF"/>
        </w:rPr>
        <w:t>*</w:t>
      </w:r>
    </w:p>
    <w:p w14:paraId="1942F537"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13     Patient Transfer/ or patient transfer*.</w:t>
      </w:r>
      <w:proofErr w:type="spellStart"/>
      <w:r w:rsidRPr="00316FCF">
        <w:rPr>
          <w:rFonts w:ascii="Times New Roman" w:eastAsia="Arial Unicode MS" w:hAnsi="Times New Roman" w:cs="Times New Roman"/>
          <w:sz w:val="22"/>
          <w:szCs w:val="22"/>
        </w:rPr>
        <w:t>mp</w:t>
      </w:r>
      <w:proofErr w:type="spellEnd"/>
      <w:r w:rsidRPr="00316FCF">
        <w:rPr>
          <w:rFonts w:ascii="Times New Roman" w:eastAsia="Arial Unicode MS" w:hAnsi="Times New Roman" w:cs="Times New Roman"/>
          <w:sz w:val="22"/>
          <w:szCs w:val="22"/>
        </w:rPr>
        <w:t>. (10372)</w:t>
      </w:r>
    </w:p>
    <w:p w14:paraId="38C5FEAC"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14     4 or 5 or 6 or 7 or 8 or 9 or 10 or 11 or 12 or 13 (121177)</w:t>
      </w:r>
    </w:p>
    <w:p w14:paraId="1EC7CF19"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15     3 and 14 (1569)</w:t>
      </w:r>
    </w:p>
    <w:p w14:paraId="7260B7EA"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16     15 and (</w:t>
      </w:r>
      <w:proofErr w:type="spellStart"/>
      <w:r w:rsidRPr="00316FCF">
        <w:rPr>
          <w:rFonts w:ascii="Times New Roman" w:eastAsia="Arial Unicode MS" w:hAnsi="Times New Roman" w:cs="Times New Roman"/>
          <w:sz w:val="22"/>
          <w:szCs w:val="22"/>
        </w:rPr>
        <w:t>anticoag</w:t>
      </w:r>
      <w:proofErr w:type="spellEnd"/>
      <w:r w:rsidRPr="00316FCF">
        <w:rPr>
          <w:rFonts w:ascii="Times New Roman" w:eastAsia="Arial Unicode MS" w:hAnsi="Times New Roman" w:cs="Times New Roman"/>
          <w:sz w:val="22"/>
          <w:szCs w:val="22"/>
        </w:rPr>
        <w:t>* or anti-</w:t>
      </w:r>
      <w:proofErr w:type="spellStart"/>
      <w:r w:rsidRPr="00316FCF">
        <w:rPr>
          <w:rFonts w:ascii="Times New Roman" w:eastAsia="Arial Unicode MS" w:hAnsi="Times New Roman" w:cs="Times New Roman"/>
          <w:sz w:val="22"/>
          <w:szCs w:val="22"/>
        </w:rPr>
        <w:t>coag</w:t>
      </w:r>
      <w:proofErr w:type="spellEnd"/>
      <w:r w:rsidRPr="00316FCF">
        <w:rPr>
          <w:rFonts w:ascii="Times New Roman" w:eastAsia="Arial Unicode MS" w:hAnsi="Times New Roman" w:cs="Times New Roman"/>
          <w:sz w:val="22"/>
          <w:szCs w:val="22"/>
        </w:rPr>
        <w:t>* or antiplatelet* or anti-platelet*).</w:t>
      </w:r>
      <w:proofErr w:type="spellStart"/>
      <w:r w:rsidRPr="00316FCF">
        <w:rPr>
          <w:rFonts w:ascii="Times New Roman" w:eastAsia="Arial Unicode MS" w:hAnsi="Times New Roman" w:cs="Times New Roman"/>
          <w:sz w:val="22"/>
          <w:szCs w:val="22"/>
        </w:rPr>
        <w:t>ti</w:t>
      </w:r>
      <w:proofErr w:type="spellEnd"/>
      <w:r w:rsidRPr="00316FCF">
        <w:rPr>
          <w:rFonts w:ascii="Times New Roman" w:eastAsia="Arial Unicode MS" w:hAnsi="Times New Roman" w:cs="Times New Roman"/>
          <w:sz w:val="22"/>
          <w:szCs w:val="22"/>
        </w:rPr>
        <w:t>. (334)</w:t>
      </w:r>
    </w:p>
    <w:p w14:paraId="037C70F1"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17     limit 16 to (</w:t>
      </w:r>
      <w:proofErr w:type="spellStart"/>
      <w:r w:rsidRPr="00316FCF">
        <w:rPr>
          <w:rFonts w:ascii="Times New Roman" w:eastAsia="Arial Unicode MS" w:hAnsi="Times New Roman" w:cs="Times New Roman"/>
          <w:sz w:val="22"/>
          <w:szCs w:val="22"/>
        </w:rPr>
        <w:t>english</w:t>
      </w:r>
      <w:proofErr w:type="spellEnd"/>
      <w:r w:rsidRPr="00316FCF">
        <w:rPr>
          <w:rFonts w:ascii="Times New Roman" w:eastAsia="Arial Unicode MS" w:hAnsi="Times New Roman" w:cs="Times New Roman"/>
          <w:sz w:val="22"/>
          <w:szCs w:val="22"/>
        </w:rPr>
        <w:t xml:space="preserve"> language and </w:t>
      </w:r>
      <w:proofErr w:type="spellStart"/>
      <w:r w:rsidRPr="00316FCF">
        <w:rPr>
          <w:rFonts w:ascii="Times New Roman" w:eastAsia="Arial Unicode MS" w:hAnsi="Times New Roman" w:cs="Times New Roman"/>
          <w:sz w:val="22"/>
          <w:szCs w:val="22"/>
        </w:rPr>
        <w:t>yr</w:t>
      </w:r>
      <w:proofErr w:type="spellEnd"/>
      <w:r w:rsidRPr="00316FCF">
        <w:rPr>
          <w:rFonts w:ascii="Times New Roman" w:eastAsia="Arial Unicode MS" w:hAnsi="Times New Roman" w:cs="Times New Roman"/>
          <w:sz w:val="22"/>
          <w:szCs w:val="22"/>
        </w:rPr>
        <w:t>="2016 -Current") (189)</w:t>
      </w:r>
    </w:p>
    <w:p w14:paraId="58057470" w14:textId="77777777" w:rsidR="00B85C9C" w:rsidRPr="00316FCF" w:rsidRDefault="00B85C9C" w:rsidP="008B197B">
      <w:pPr>
        <w:rPr>
          <w:rFonts w:ascii="Times New Roman" w:eastAsia="Arial Unicode MS" w:hAnsi="Times New Roman" w:cs="Times New Roman"/>
          <w:sz w:val="22"/>
          <w:szCs w:val="22"/>
        </w:rPr>
      </w:pPr>
    </w:p>
    <w:p w14:paraId="6450D0F1" w14:textId="77777777" w:rsidR="00B85C9C" w:rsidRPr="00316FCF" w:rsidRDefault="00B85C9C" w:rsidP="008B197B">
      <w:pPr>
        <w:rPr>
          <w:rFonts w:ascii="Times New Roman" w:eastAsia="Arial Unicode MS" w:hAnsi="Times New Roman" w:cs="Times New Roman"/>
          <w:sz w:val="22"/>
          <w:szCs w:val="22"/>
        </w:rPr>
      </w:pPr>
      <w:r w:rsidRPr="00316FCF">
        <w:rPr>
          <w:rFonts w:ascii="Times New Roman" w:eastAsia="Arial Unicode MS" w:hAnsi="Times New Roman" w:cs="Times New Roman"/>
          <w:sz w:val="22"/>
          <w:szCs w:val="22"/>
        </w:rPr>
        <w:t>***************************</w:t>
      </w:r>
    </w:p>
    <w:p w14:paraId="0B6C88BE" w14:textId="77777777" w:rsidR="00B85C9C" w:rsidRPr="00316FCF" w:rsidRDefault="00B85C9C">
      <w:pPr>
        <w:rPr>
          <w:rFonts w:ascii="Times New Roman" w:hAnsi="Times New Roman" w:cs="Times New Roman"/>
        </w:rPr>
      </w:pPr>
      <w:r w:rsidRPr="00316FCF">
        <w:rPr>
          <w:rFonts w:ascii="Times New Roman" w:hAnsi="Times New Roman" w:cs="Times New Roman"/>
        </w:rPr>
        <w:br w:type="page"/>
      </w:r>
    </w:p>
    <w:p w14:paraId="5DC696AC" w14:textId="77777777" w:rsidR="00B85C9C" w:rsidRPr="00534EEF" w:rsidRDefault="00B85C9C" w:rsidP="00CA1C8F">
      <w:pPr>
        <w:pStyle w:val="Heading4"/>
      </w:pPr>
      <w:bookmarkStart w:id="37" w:name="_Toc106288226"/>
      <w:r w:rsidRPr="00534EEF">
        <w:t>Supplementary PubMed Strategies</w:t>
      </w:r>
      <w:bookmarkEnd w:id="37"/>
    </w:p>
    <w:p w14:paraId="268F206C" w14:textId="77777777" w:rsidR="00B85C9C" w:rsidRDefault="00B85C9C">
      <w:pPr>
        <w:rPr>
          <w:rFonts w:asciiTheme="majorBidi" w:hAnsiTheme="majorBidi"/>
        </w:rPr>
      </w:pPr>
    </w:p>
    <w:p w14:paraId="5BDBA434" w14:textId="77777777" w:rsidR="00B85C9C" w:rsidRPr="006D2900" w:rsidRDefault="00B85C9C">
      <w:pPr>
        <w:rPr>
          <w:rFonts w:asciiTheme="majorBidi" w:hAnsiTheme="majorBidi"/>
          <w:b/>
          <w:bCs/>
        </w:rPr>
      </w:pPr>
      <w:r w:rsidRPr="006D2900">
        <w:rPr>
          <w:rFonts w:asciiTheme="majorBidi" w:hAnsiTheme="majorBidi"/>
          <w:b/>
          <w:bCs/>
        </w:rPr>
        <w:t>PubMed</w:t>
      </w:r>
    </w:p>
    <w:p w14:paraId="143737FC" w14:textId="77777777" w:rsidR="00B85C9C" w:rsidRDefault="00B85C9C">
      <w:pPr>
        <w:rPr>
          <w:rFonts w:asciiTheme="majorBidi" w:hAnsiTheme="majorBidi"/>
        </w:rPr>
      </w:pPr>
    </w:p>
    <w:p w14:paraId="256B70E7" w14:textId="77777777" w:rsidR="00B85C9C" w:rsidRPr="006D2900" w:rsidRDefault="00B85C9C" w:rsidP="006D2900">
      <w:pPr>
        <w:rPr>
          <w:rFonts w:asciiTheme="majorBidi" w:hAnsiTheme="majorBidi"/>
        </w:rPr>
      </w:pPr>
      <w:r w:rsidRPr="006D2900">
        <w:rPr>
          <w:rFonts w:asciiTheme="majorBidi" w:hAnsiTheme="majorBidi"/>
        </w:rPr>
        <w:t>Search: (((</w:t>
      </w:r>
      <w:proofErr w:type="spellStart"/>
      <w:r w:rsidRPr="006D2900">
        <w:rPr>
          <w:rFonts w:asciiTheme="majorBidi" w:hAnsiTheme="majorBidi"/>
        </w:rPr>
        <w:t>Anticoagula</w:t>
      </w:r>
      <w:proofErr w:type="spellEnd"/>
      <w:r w:rsidRPr="006D2900">
        <w:rPr>
          <w:rFonts w:asciiTheme="majorBidi" w:hAnsiTheme="majorBidi"/>
        </w:rPr>
        <w:t xml:space="preserve">*) AND ((harm OR safety OR adverse))) AND ((intervention OR initiative OR policy OR protocol OR guideline OR system OR QI OR quality OR process OR practice))) AND ((hospital OR surgery OR procedure OR transition OR handover OR handoff OR discharge OR decision)) </w:t>
      </w:r>
    </w:p>
    <w:p w14:paraId="25D703CB" w14:textId="77777777" w:rsidR="00B85C9C" w:rsidRPr="006D2900" w:rsidRDefault="00B85C9C" w:rsidP="006D2900">
      <w:pPr>
        <w:numPr>
          <w:ilvl w:val="0"/>
          <w:numId w:val="16"/>
        </w:numPr>
        <w:rPr>
          <w:rFonts w:asciiTheme="majorBidi" w:hAnsiTheme="majorBidi"/>
        </w:rPr>
      </w:pPr>
      <w:r w:rsidRPr="006D2900">
        <w:rPr>
          <w:rFonts w:asciiTheme="majorBidi" w:hAnsiTheme="majorBidi"/>
        </w:rPr>
        <w:t xml:space="preserve">2015 - 2022 </w:t>
      </w:r>
    </w:p>
    <w:p w14:paraId="44B94D3A" w14:textId="77777777" w:rsidR="00B85C9C" w:rsidRPr="006D2900" w:rsidRDefault="00B85C9C" w:rsidP="006D2900">
      <w:pPr>
        <w:numPr>
          <w:ilvl w:val="0"/>
          <w:numId w:val="16"/>
        </w:numPr>
        <w:rPr>
          <w:rFonts w:asciiTheme="majorBidi" w:hAnsiTheme="majorBidi"/>
        </w:rPr>
      </w:pPr>
      <w:r w:rsidRPr="006D2900">
        <w:rPr>
          <w:rFonts w:asciiTheme="majorBidi" w:hAnsiTheme="majorBidi"/>
        </w:rPr>
        <w:t>15,757 results</w:t>
      </w:r>
    </w:p>
    <w:p w14:paraId="13D472AE" w14:textId="77777777" w:rsidR="00B85C9C" w:rsidRPr="006D2900" w:rsidRDefault="00B85C9C" w:rsidP="006D2900">
      <w:pPr>
        <w:numPr>
          <w:ilvl w:val="0"/>
          <w:numId w:val="16"/>
        </w:numPr>
        <w:rPr>
          <w:rFonts w:asciiTheme="majorBidi" w:hAnsiTheme="majorBidi"/>
        </w:rPr>
      </w:pPr>
      <w:r w:rsidRPr="006D2900">
        <w:rPr>
          <w:rFonts w:asciiTheme="majorBidi" w:hAnsiTheme="majorBidi"/>
        </w:rPr>
        <w:t>Restricted to RCTs</w:t>
      </w:r>
    </w:p>
    <w:p w14:paraId="5840310F" w14:textId="77777777" w:rsidR="00B85C9C" w:rsidRPr="006D2900" w:rsidRDefault="00B85C9C" w:rsidP="006D2900">
      <w:pPr>
        <w:numPr>
          <w:ilvl w:val="0"/>
          <w:numId w:val="16"/>
        </w:numPr>
        <w:rPr>
          <w:rFonts w:asciiTheme="majorBidi" w:hAnsiTheme="majorBidi"/>
        </w:rPr>
      </w:pPr>
      <w:r w:rsidRPr="006D2900">
        <w:rPr>
          <w:rFonts w:asciiTheme="majorBidi" w:hAnsiTheme="majorBidi"/>
        </w:rPr>
        <w:t>1,223 RCTs screened by title</w:t>
      </w:r>
    </w:p>
    <w:p w14:paraId="31A700F7" w14:textId="77777777" w:rsidR="00B85C9C" w:rsidRDefault="00B85C9C" w:rsidP="006D2900">
      <w:pPr>
        <w:numPr>
          <w:ilvl w:val="0"/>
          <w:numId w:val="16"/>
        </w:numPr>
        <w:rPr>
          <w:rFonts w:asciiTheme="majorBidi" w:hAnsiTheme="majorBidi"/>
          <w:b/>
          <w:bCs/>
        </w:rPr>
      </w:pPr>
      <w:r w:rsidRPr="006D2900">
        <w:rPr>
          <w:rFonts w:asciiTheme="majorBidi" w:hAnsiTheme="majorBidi"/>
          <w:b/>
          <w:bCs/>
        </w:rPr>
        <w:t>10 retained</w:t>
      </w:r>
    </w:p>
    <w:p w14:paraId="6EDCC883" w14:textId="77777777" w:rsidR="00B85C9C" w:rsidRPr="006D2900" w:rsidRDefault="00B85C9C" w:rsidP="006D2900">
      <w:pPr>
        <w:rPr>
          <w:rFonts w:asciiTheme="majorBidi" w:hAnsiTheme="majorBidi"/>
          <w:b/>
          <w:bCs/>
        </w:rPr>
      </w:pPr>
    </w:p>
    <w:p w14:paraId="2705400E" w14:textId="77777777" w:rsidR="00B85C9C" w:rsidRPr="006D2900" w:rsidRDefault="00B85C9C" w:rsidP="006D2900">
      <w:pPr>
        <w:rPr>
          <w:rFonts w:asciiTheme="majorBidi" w:hAnsiTheme="majorBidi"/>
        </w:rPr>
      </w:pPr>
      <w:r>
        <w:rPr>
          <w:rFonts w:asciiTheme="majorBidi" w:hAnsiTheme="majorBidi"/>
        </w:rPr>
        <w:t xml:space="preserve">Search: </w:t>
      </w:r>
      <w:r w:rsidRPr="006D2900">
        <w:rPr>
          <w:rFonts w:asciiTheme="majorBidi" w:hAnsiTheme="majorBidi"/>
        </w:rPr>
        <w:t>((</w:t>
      </w:r>
      <w:proofErr w:type="spellStart"/>
      <w:r w:rsidRPr="006D2900">
        <w:rPr>
          <w:rFonts w:asciiTheme="majorBidi" w:hAnsiTheme="majorBidi"/>
        </w:rPr>
        <w:t>anticoagula</w:t>
      </w:r>
      <w:proofErr w:type="spellEnd"/>
      <w:r w:rsidRPr="006D2900">
        <w:rPr>
          <w:rFonts w:asciiTheme="majorBidi" w:hAnsiTheme="majorBidi"/>
        </w:rPr>
        <w:t>*[Title/Abstract]) AND (quality[Title/Abstract] OR harm[Title/Abstract])) AND ("hospital"[Title/Abstract])</w:t>
      </w:r>
    </w:p>
    <w:p w14:paraId="0F77134F" w14:textId="77777777" w:rsidR="00B85C9C" w:rsidRPr="006D2900" w:rsidRDefault="00B85C9C" w:rsidP="006D2900">
      <w:pPr>
        <w:rPr>
          <w:rFonts w:asciiTheme="majorBidi" w:hAnsiTheme="majorBidi"/>
        </w:rPr>
      </w:pPr>
      <w:r w:rsidRPr="006D2900">
        <w:rPr>
          <w:rFonts w:asciiTheme="majorBidi" w:hAnsiTheme="majorBidi"/>
        </w:rPr>
        <w:t>Results:</w:t>
      </w:r>
    </w:p>
    <w:p w14:paraId="662C7658" w14:textId="77777777" w:rsidR="00B85C9C" w:rsidRPr="00525B94" w:rsidRDefault="00B85C9C" w:rsidP="00525B94">
      <w:pPr>
        <w:numPr>
          <w:ilvl w:val="0"/>
          <w:numId w:val="17"/>
        </w:numPr>
        <w:rPr>
          <w:rFonts w:asciiTheme="majorBidi" w:hAnsiTheme="majorBidi"/>
        </w:rPr>
      </w:pPr>
      <w:r w:rsidRPr="006D2900">
        <w:rPr>
          <w:rFonts w:asciiTheme="majorBidi" w:hAnsiTheme="majorBidi"/>
        </w:rPr>
        <w:t xml:space="preserve">2015 - 2022 </w:t>
      </w:r>
    </w:p>
    <w:p w14:paraId="52C4F418" w14:textId="77777777" w:rsidR="00B85C9C" w:rsidRPr="006D2900" w:rsidRDefault="00B85C9C" w:rsidP="006D2900">
      <w:pPr>
        <w:numPr>
          <w:ilvl w:val="0"/>
          <w:numId w:val="17"/>
        </w:numPr>
        <w:rPr>
          <w:rFonts w:asciiTheme="majorBidi" w:hAnsiTheme="majorBidi"/>
        </w:rPr>
      </w:pPr>
      <w:r w:rsidRPr="006D2900">
        <w:rPr>
          <w:rFonts w:asciiTheme="majorBidi" w:hAnsiTheme="majorBidi"/>
        </w:rPr>
        <w:t xml:space="preserve">477 results </w:t>
      </w:r>
    </w:p>
    <w:p w14:paraId="68D52CA9" w14:textId="77777777" w:rsidR="00B85C9C" w:rsidRPr="006D2900" w:rsidRDefault="00B85C9C" w:rsidP="006D2900">
      <w:pPr>
        <w:numPr>
          <w:ilvl w:val="0"/>
          <w:numId w:val="17"/>
        </w:numPr>
        <w:rPr>
          <w:rFonts w:asciiTheme="majorBidi" w:hAnsiTheme="majorBidi"/>
          <w:b/>
          <w:bCs/>
        </w:rPr>
      </w:pPr>
      <w:r w:rsidRPr="006D2900">
        <w:rPr>
          <w:rFonts w:asciiTheme="majorBidi" w:hAnsiTheme="majorBidi"/>
          <w:b/>
          <w:bCs/>
        </w:rPr>
        <w:t>44 retained</w:t>
      </w:r>
    </w:p>
    <w:p w14:paraId="551F3778" w14:textId="77777777" w:rsidR="00B85C9C" w:rsidRDefault="00B85C9C">
      <w:pPr>
        <w:rPr>
          <w:rFonts w:asciiTheme="majorBidi" w:hAnsiTheme="majorBidi"/>
        </w:rPr>
      </w:pPr>
    </w:p>
    <w:p w14:paraId="299FDBE6" w14:textId="77777777" w:rsidR="00B85C9C" w:rsidRPr="00525B94" w:rsidRDefault="00B85C9C" w:rsidP="00525B94">
      <w:pPr>
        <w:rPr>
          <w:rFonts w:asciiTheme="majorBidi" w:hAnsiTheme="majorBidi"/>
        </w:rPr>
      </w:pPr>
      <w:r>
        <w:rPr>
          <w:rFonts w:asciiTheme="majorBidi" w:hAnsiTheme="majorBidi"/>
        </w:rPr>
        <w:t xml:space="preserve">Search: </w:t>
      </w:r>
      <w:r w:rsidRPr="00525B94">
        <w:rPr>
          <w:rFonts w:asciiTheme="majorBidi" w:hAnsiTheme="majorBidi"/>
        </w:rPr>
        <w:t>((("adverse event" OR "adverse outcome" OR "patient harm" OR safety OR quality)) AND ((communication OR transition OR handover OR discharge))) AND ((</w:t>
      </w:r>
      <w:proofErr w:type="spellStart"/>
      <w:r w:rsidRPr="00525B94">
        <w:rPr>
          <w:rFonts w:asciiTheme="majorBidi" w:hAnsiTheme="majorBidi"/>
        </w:rPr>
        <w:t>anticoagula</w:t>
      </w:r>
      <w:proofErr w:type="spellEnd"/>
      <w:r w:rsidRPr="00525B94">
        <w:rPr>
          <w:rFonts w:asciiTheme="majorBidi" w:hAnsiTheme="majorBidi"/>
        </w:rPr>
        <w:t xml:space="preserve">* OR enoxaparin OR </w:t>
      </w:r>
      <w:proofErr w:type="spellStart"/>
      <w:r w:rsidRPr="00525B94">
        <w:rPr>
          <w:rFonts w:asciiTheme="majorBidi" w:hAnsiTheme="majorBidi"/>
        </w:rPr>
        <w:t>dalteparin</w:t>
      </w:r>
      <w:proofErr w:type="spellEnd"/>
      <w:r w:rsidRPr="00525B94">
        <w:rPr>
          <w:rFonts w:asciiTheme="majorBidi" w:hAnsiTheme="majorBidi"/>
        </w:rPr>
        <w:t xml:space="preserve"> OR heparin OR warfarin OR phenindione OR dabigatran OR rivaroxaban OR apixaban))</w:t>
      </w:r>
    </w:p>
    <w:p w14:paraId="74C3D035" w14:textId="77777777" w:rsidR="00B85C9C" w:rsidRPr="00525B94" w:rsidRDefault="00B85C9C" w:rsidP="00525B94">
      <w:pPr>
        <w:numPr>
          <w:ilvl w:val="0"/>
          <w:numId w:val="18"/>
        </w:numPr>
        <w:rPr>
          <w:rFonts w:asciiTheme="majorBidi" w:hAnsiTheme="majorBidi"/>
        </w:rPr>
      </w:pPr>
      <w:r w:rsidRPr="006D2900">
        <w:rPr>
          <w:rFonts w:asciiTheme="majorBidi" w:hAnsiTheme="majorBidi"/>
        </w:rPr>
        <w:t xml:space="preserve">2015 - 2022 </w:t>
      </w:r>
    </w:p>
    <w:p w14:paraId="1717704D" w14:textId="77777777" w:rsidR="00B85C9C" w:rsidRPr="00525B94" w:rsidRDefault="00B85C9C" w:rsidP="00525B94">
      <w:pPr>
        <w:numPr>
          <w:ilvl w:val="0"/>
          <w:numId w:val="18"/>
        </w:numPr>
        <w:rPr>
          <w:rFonts w:asciiTheme="majorBidi" w:hAnsiTheme="majorBidi"/>
        </w:rPr>
      </w:pPr>
      <w:r w:rsidRPr="00525B94">
        <w:rPr>
          <w:rFonts w:asciiTheme="majorBidi" w:hAnsiTheme="majorBidi"/>
        </w:rPr>
        <w:t>Limit to RCTs &amp; systematic reviews</w:t>
      </w:r>
    </w:p>
    <w:p w14:paraId="793BF4F0" w14:textId="77777777" w:rsidR="00B85C9C" w:rsidRPr="00525B94" w:rsidRDefault="00B85C9C" w:rsidP="00525B94">
      <w:pPr>
        <w:numPr>
          <w:ilvl w:val="0"/>
          <w:numId w:val="18"/>
        </w:numPr>
        <w:rPr>
          <w:rFonts w:asciiTheme="majorBidi" w:hAnsiTheme="majorBidi"/>
        </w:rPr>
      </w:pPr>
      <w:r w:rsidRPr="00525B94">
        <w:rPr>
          <w:rFonts w:asciiTheme="majorBidi" w:hAnsiTheme="majorBidi"/>
        </w:rPr>
        <w:t>89 results</w:t>
      </w:r>
    </w:p>
    <w:p w14:paraId="0C309985" w14:textId="77777777" w:rsidR="00B85C9C" w:rsidRPr="00525B94" w:rsidRDefault="00B85C9C" w:rsidP="00525B94">
      <w:pPr>
        <w:numPr>
          <w:ilvl w:val="0"/>
          <w:numId w:val="18"/>
        </w:numPr>
        <w:rPr>
          <w:rFonts w:asciiTheme="majorBidi" w:hAnsiTheme="majorBidi"/>
          <w:b/>
          <w:bCs/>
        </w:rPr>
      </w:pPr>
      <w:r w:rsidRPr="00525B94">
        <w:rPr>
          <w:rFonts w:asciiTheme="majorBidi" w:hAnsiTheme="majorBidi"/>
          <w:b/>
          <w:bCs/>
        </w:rPr>
        <w:t>2 retained</w:t>
      </w:r>
    </w:p>
    <w:p w14:paraId="3F7E4062" w14:textId="77777777" w:rsidR="00B85C9C" w:rsidRDefault="00B85C9C">
      <w:pPr>
        <w:rPr>
          <w:rFonts w:asciiTheme="majorBidi" w:hAnsiTheme="majorBidi"/>
        </w:rPr>
      </w:pPr>
    </w:p>
    <w:p w14:paraId="6978CADD" w14:textId="77777777" w:rsidR="00B85C9C" w:rsidRPr="00525B94" w:rsidRDefault="00B85C9C" w:rsidP="00525B94">
      <w:pPr>
        <w:rPr>
          <w:rFonts w:asciiTheme="majorBidi" w:hAnsiTheme="majorBidi"/>
        </w:rPr>
      </w:pPr>
      <w:r>
        <w:rPr>
          <w:rFonts w:asciiTheme="majorBidi" w:hAnsiTheme="majorBidi"/>
        </w:rPr>
        <w:t xml:space="preserve">Search: </w:t>
      </w:r>
      <w:r w:rsidRPr="00525B94">
        <w:rPr>
          <w:rFonts w:asciiTheme="majorBidi" w:hAnsiTheme="majorBidi"/>
        </w:rPr>
        <w:t xml:space="preserve">(stewardship OR education OR "medication chart" OR "EMR" OR "EHR" OR "electronic medical record") AND </w:t>
      </w:r>
      <w:proofErr w:type="spellStart"/>
      <w:r w:rsidRPr="00525B94">
        <w:rPr>
          <w:rFonts w:asciiTheme="majorBidi" w:hAnsiTheme="majorBidi"/>
        </w:rPr>
        <w:t>anticoagula</w:t>
      </w:r>
      <w:proofErr w:type="spellEnd"/>
      <w:r w:rsidRPr="00525B94">
        <w:rPr>
          <w:rFonts w:asciiTheme="majorBidi" w:hAnsiTheme="majorBidi"/>
        </w:rPr>
        <w:t>* AND (harm OR safety OR quality OR adverse)</w:t>
      </w:r>
    </w:p>
    <w:p w14:paraId="5A0B6344" w14:textId="77777777" w:rsidR="00B85C9C" w:rsidRPr="00525B94" w:rsidRDefault="00B85C9C" w:rsidP="00525B94">
      <w:pPr>
        <w:numPr>
          <w:ilvl w:val="0"/>
          <w:numId w:val="19"/>
        </w:numPr>
        <w:rPr>
          <w:rFonts w:asciiTheme="majorBidi" w:hAnsiTheme="majorBidi"/>
        </w:rPr>
      </w:pPr>
      <w:r w:rsidRPr="006D2900">
        <w:rPr>
          <w:rFonts w:asciiTheme="majorBidi" w:hAnsiTheme="majorBidi"/>
        </w:rPr>
        <w:t xml:space="preserve">2015 - 2022 </w:t>
      </w:r>
    </w:p>
    <w:p w14:paraId="01EBFF86" w14:textId="77777777" w:rsidR="00B85C9C" w:rsidRPr="00525B94" w:rsidRDefault="00B85C9C" w:rsidP="00525B94">
      <w:pPr>
        <w:numPr>
          <w:ilvl w:val="0"/>
          <w:numId w:val="19"/>
        </w:numPr>
        <w:rPr>
          <w:rFonts w:asciiTheme="majorBidi" w:hAnsiTheme="majorBidi"/>
        </w:rPr>
      </w:pPr>
      <w:r w:rsidRPr="00525B94">
        <w:rPr>
          <w:rFonts w:asciiTheme="majorBidi" w:hAnsiTheme="majorBidi"/>
        </w:rPr>
        <w:t>1</w:t>
      </w:r>
      <w:r>
        <w:rPr>
          <w:rFonts w:asciiTheme="majorBidi" w:hAnsiTheme="majorBidi"/>
        </w:rPr>
        <w:t>,</w:t>
      </w:r>
      <w:r w:rsidRPr="00525B94">
        <w:rPr>
          <w:rFonts w:asciiTheme="majorBidi" w:hAnsiTheme="majorBidi"/>
        </w:rPr>
        <w:t>680 results</w:t>
      </w:r>
    </w:p>
    <w:p w14:paraId="55B666A9" w14:textId="77777777" w:rsidR="00B85C9C" w:rsidRPr="00525B94" w:rsidRDefault="00B85C9C" w:rsidP="00525B94">
      <w:pPr>
        <w:numPr>
          <w:ilvl w:val="0"/>
          <w:numId w:val="19"/>
        </w:numPr>
        <w:rPr>
          <w:rFonts w:asciiTheme="majorBidi" w:hAnsiTheme="majorBidi"/>
        </w:rPr>
      </w:pPr>
      <w:r w:rsidRPr="00525B94">
        <w:rPr>
          <w:rFonts w:asciiTheme="majorBidi" w:hAnsiTheme="majorBidi"/>
        </w:rPr>
        <w:t>Limited to RCTs &amp; systematic reviews</w:t>
      </w:r>
    </w:p>
    <w:p w14:paraId="518D36F7" w14:textId="77777777" w:rsidR="00B85C9C" w:rsidRPr="00525B94" w:rsidRDefault="00B85C9C" w:rsidP="00525B94">
      <w:pPr>
        <w:numPr>
          <w:ilvl w:val="0"/>
          <w:numId w:val="19"/>
        </w:numPr>
        <w:rPr>
          <w:rFonts w:asciiTheme="majorBidi" w:hAnsiTheme="majorBidi"/>
        </w:rPr>
      </w:pPr>
      <w:r w:rsidRPr="00525B94">
        <w:rPr>
          <w:rFonts w:asciiTheme="majorBidi" w:hAnsiTheme="majorBidi"/>
        </w:rPr>
        <w:t>229 results</w:t>
      </w:r>
    </w:p>
    <w:p w14:paraId="31827CD8" w14:textId="77777777" w:rsidR="00B85C9C" w:rsidRPr="00525B94" w:rsidRDefault="00B85C9C" w:rsidP="00525B94">
      <w:pPr>
        <w:numPr>
          <w:ilvl w:val="0"/>
          <w:numId w:val="19"/>
        </w:numPr>
        <w:rPr>
          <w:rFonts w:asciiTheme="majorBidi" w:hAnsiTheme="majorBidi"/>
          <w:b/>
          <w:bCs/>
        </w:rPr>
      </w:pPr>
      <w:r w:rsidRPr="00525B94">
        <w:rPr>
          <w:rFonts w:asciiTheme="majorBidi" w:hAnsiTheme="majorBidi"/>
          <w:b/>
          <w:bCs/>
        </w:rPr>
        <w:t xml:space="preserve">7 retained </w:t>
      </w:r>
    </w:p>
    <w:p w14:paraId="75FC3F82" w14:textId="77777777" w:rsidR="00B85C9C" w:rsidRDefault="00B85C9C">
      <w:pPr>
        <w:rPr>
          <w:rFonts w:asciiTheme="majorBidi" w:hAnsiTheme="majorBidi"/>
        </w:rPr>
      </w:pPr>
    </w:p>
    <w:p w14:paraId="691D64A5" w14:textId="77777777" w:rsidR="00B85C9C" w:rsidRPr="00525B94" w:rsidRDefault="00B85C9C" w:rsidP="00525B94">
      <w:pPr>
        <w:rPr>
          <w:rFonts w:asciiTheme="majorBidi" w:hAnsiTheme="majorBidi"/>
        </w:rPr>
      </w:pPr>
      <w:r>
        <w:rPr>
          <w:rFonts w:asciiTheme="majorBidi" w:hAnsiTheme="majorBidi"/>
        </w:rPr>
        <w:t xml:space="preserve">Search: </w:t>
      </w:r>
      <w:r w:rsidRPr="00525B94">
        <w:rPr>
          <w:rFonts w:asciiTheme="majorBidi" w:hAnsiTheme="majorBidi"/>
        </w:rPr>
        <w:t xml:space="preserve">Pharmacist AND </w:t>
      </w:r>
      <w:proofErr w:type="spellStart"/>
      <w:r w:rsidRPr="00525B94">
        <w:rPr>
          <w:rFonts w:asciiTheme="majorBidi" w:hAnsiTheme="majorBidi"/>
        </w:rPr>
        <w:t>anticoagula</w:t>
      </w:r>
      <w:proofErr w:type="spellEnd"/>
      <w:r w:rsidRPr="00525B94">
        <w:rPr>
          <w:rFonts w:asciiTheme="majorBidi" w:hAnsiTheme="majorBidi"/>
        </w:rPr>
        <w:t>* AND hospital* AND (safety OR quality)</w:t>
      </w:r>
    </w:p>
    <w:p w14:paraId="27AB090D" w14:textId="77777777" w:rsidR="00B85C9C" w:rsidRPr="00525B94" w:rsidRDefault="00B85C9C" w:rsidP="00525B94">
      <w:pPr>
        <w:numPr>
          <w:ilvl w:val="0"/>
          <w:numId w:val="20"/>
        </w:numPr>
        <w:rPr>
          <w:rFonts w:asciiTheme="majorBidi" w:hAnsiTheme="majorBidi"/>
        </w:rPr>
      </w:pPr>
      <w:r w:rsidRPr="006D2900">
        <w:rPr>
          <w:rFonts w:asciiTheme="majorBidi" w:hAnsiTheme="majorBidi"/>
        </w:rPr>
        <w:t xml:space="preserve">2015 - 2022 </w:t>
      </w:r>
    </w:p>
    <w:p w14:paraId="6786FBE8" w14:textId="77777777" w:rsidR="00B85C9C" w:rsidRPr="00525B94" w:rsidRDefault="00B85C9C" w:rsidP="00525B94">
      <w:pPr>
        <w:numPr>
          <w:ilvl w:val="0"/>
          <w:numId w:val="20"/>
        </w:numPr>
        <w:rPr>
          <w:rFonts w:asciiTheme="majorBidi" w:hAnsiTheme="majorBidi"/>
        </w:rPr>
      </w:pPr>
      <w:r w:rsidRPr="00525B94">
        <w:rPr>
          <w:rFonts w:asciiTheme="majorBidi" w:hAnsiTheme="majorBidi"/>
        </w:rPr>
        <w:t>165 Results</w:t>
      </w:r>
    </w:p>
    <w:p w14:paraId="407AD85C" w14:textId="77777777" w:rsidR="00B85C9C" w:rsidRPr="00525B94" w:rsidRDefault="00B85C9C" w:rsidP="00525B94">
      <w:pPr>
        <w:numPr>
          <w:ilvl w:val="0"/>
          <w:numId w:val="20"/>
        </w:numPr>
        <w:rPr>
          <w:rFonts w:asciiTheme="majorBidi" w:hAnsiTheme="majorBidi"/>
          <w:b/>
          <w:bCs/>
        </w:rPr>
      </w:pPr>
      <w:r w:rsidRPr="00525B94">
        <w:rPr>
          <w:rFonts w:asciiTheme="majorBidi" w:hAnsiTheme="majorBidi"/>
          <w:b/>
          <w:bCs/>
        </w:rPr>
        <w:t>31 retained</w:t>
      </w:r>
    </w:p>
    <w:p w14:paraId="43CB1C89" w14:textId="77777777" w:rsidR="00B85C9C" w:rsidRDefault="00B85C9C">
      <w:pPr>
        <w:rPr>
          <w:rFonts w:asciiTheme="majorBidi" w:hAnsiTheme="majorBidi"/>
        </w:rPr>
      </w:pPr>
    </w:p>
    <w:p w14:paraId="621288D0" w14:textId="77777777" w:rsidR="00B85C9C" w:rsidRDefault="00B85C9C">
      <w:pPr>
        <w:rPr>
          <w:rFonts w:asciiTheme="majorBidi" w:hAnsiTheme="majorBidi"/>
        </w:rPr>
      </w:pPr>
    </w:p>
    <w:p w14:paraId="7C17739E" w14:textId="77777777" w:rsidR="00B85C9C" w:rsidRDefault="00B85C9C">
      <w:pPr>
        <w:rPr>
          <w:rFonts w:asciiTheme="majorBidi" w:eastAsiaTheme="majorEastAsia" w:hAnsiTheme="majorBidi" w:cstheme="majorBidi"/>
          <w:color w:val="2F5496" w:themeColor="accent1" w:themeShade="BF"/>
          <w:sz w:val="26"/>
          <w:szCs w:val="26"/>
        </w:rPr>
      </w:pPr>
      <w:r>
        <w:rPr>
          <w:rFonts w:asciiTheme="majorBidi" w:hAnsiTheme="majorBidi"/>
        </w:rPr>
        <w:br w:type="page"/>
      </w:r>
    </w:p>
    <w:p w14:paraId="2ABB6F5B" w14:textId="77777777" w:rsidR="00B85C9C" w:rsidRDefault="00B85C9C" w:rsidP="00D33DB4">
      <w:pPr>
        <w:pStyle w:val="Heading2"/>
        <w:rPr>
          <w:rFonts w:asciiTheme="majorBidi" w:hAnsiTheme="majorBidi"/>
        </w:rPr>
      </w:pPr>
      <w:bookmarkStart w:id="38" w:name="_Toc106288227"/>
      <w:r w:rsidRPr="00B46928">
        <w:rPr>
          <w:rFonts w:asciiTheme="majorBidi" w:hAnsiTheme="majorBidi"/>
        </w:rPr>
        <w:t>References</w:t>
      </w:r>
      <w:bookmarkEnd w:id="34"/>
      <w:bookmarkEnd w:id="38"/>
    </w:p>
    <w:p w14:paraId="73ABD2BE" w14:textId="77777777" w:rsidR="00B85C9C" w:rsidRDefault="00B85C9C" w:rsidP="00C04448">
      <w:pPr>
        <w:rPr>
          <w:rFonts w:asciiTheme="majorBidi" w:hAnsiTheme="majorBidi" w:cstheme="majorBidi"/>
        </w:rPr>
      </w:pPr>
    </w:p>
    <w:p w14:paraId="21C0B750" w14:textId="2855F61C"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ACSQHC. 2020. </w:t>
      </w:r>
      <w:r w:rsidRPr="00316FCF">
        <w:rPr>
          <w:rFonts w:ascii="Times New Roman" w:hAnsi="Times New Roman" w:cs="Times New Roman"/>
          <w:i/>
          <w:noProof/>
        </w:rPr>
        <w:t>Medication Without Harm: WHO Global Patient Safety Challenge Australia’s response</w:t>
      </w:r>
      <w:r w:rsidRPr="00316FCF">
        <w:rPr>
          <w:rFonts w:ascii="Times New Roman" w:hAnsi="Times New Roman" w:cs="Times New Roman"/>
          <w:noProof/>
        </w:rPr>
        <w:t>. Retrieved from</w:t>
      </w:r>
      <w:r w:rsidR="007450B8" w:rsidRPr="00316FCF">
        <w:rPr>
          <w:rFonts w:ascii="Times New Roman" w:hAnsi="Times New Roman" w:cs="Times New Roman"/>
          <w:noProof/>
        </w:rPr>
        <w:t>:</w:t>
      </w:r>
      <w:r w:rsidRPr="00316FCF">
        <w:rPr>
          <w:rFonts w:ascii="Times New Roman" w:hAnsi="Times New Roman" w:cs="Times New Roman"/>
          <w:noProof/>
        </w:rPr>
        <w:t xml:space="preserve"> </w:t>
      </w:r>
      <w:hyperlink r:id="rId20" w:history="1">
        <w:r w:rsidR="00F35C04" w:rsidRPr="00316FCF">
          <w:rPr>
            <w:rStyle w:val="Hyperlink"/>
            <w:rFonts w:ascii="Times New Roman" w:hAnsi="Times New Roman" w:cs="Times New Roman"/>
            <w:noProof/>
          </w:rPr>
          <w:t>https://www.safetyandquality.gov.au/sites/default/files/2020-04/medication_without_harm_-_australias_response._january_2020.pdf</w:t>
        </w:r>
      </w:hyperlink>
      <w:r w:rsidR="00F35C04" w:rsidRPr="00316FCF">
        <w:rPr>
          <w:rFonts w:ascii="Times New Roman" w:hAnsi="Times New Roman" w:cs="Times New Roman"/>
          <w:noProof/>
        </w:rPr>
        <w:t xml:space="preserve"> </w:t>
      </w:r>
      <w:r w:rsidR="00336FD0" w:rsidRPr="00316FCF">
        <w:rPr>
          <w:rFonts w:ascii="Times New Roman" w:hAnsi="Times New Roman" w:cs="Times New Roman"/>
          <w:noProof/>
        </w:rPr>
        <w:t>(accessed 16 June 2022).</w:t>
      </w:r>
    </w:p>
    <w:p w14:paraId="79454E4D" w14:textId="486A690F"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AHRQ. 2020. </w:t>
      </w:r>
      <w:r w:rsidRPr="00316FCF">
        <w:rPr>
          <w:rFonts w:ascii="Times New Roman" w:hAnsi="Times New Roman" w:cs="Times New Roman"/>
          <w:i/>
          <w:noProof/>
        </w:rPr>
        <w:t>Making Healthcare Safer III</w:t>
      </w:r>
      <w:r w:rsidRPr="00316FCF">
        <w:rPr>
          <w:rFonts w:ascii="Times New Roman" w:hAnsi="Times New Roman" w:cs="Times New Roman"/>
          <w:noProof/>
        </w:rPr>
        <w:t>. Retrieved from</w:t>
      </w:r>
      <w:r w:rsidR="007450B8" w:rsidRPr="00316FCF">
        <w:rPr>
          <w:rFonts w:ascii="Times New Roman" w:hAnsi="Times New Roman" w:cs="Times New Roman"/>
          <w:noProof/>
        </w:rPr>
        <w:t>:</w:t>
      </w:r>
      <w:r w:rsidRPr="00316FCF">
        <w:rPr>
          <w:rFonts w:ascii="Times New Roman" w:hAnsi="Times New Roman" w:cs="Times New Roman"/>
          <w:noProof/>
        </w:rPr>
        <w:t xml:space="preserve"> </w:t>
      </w:r>
      <w:hyperlink r:id="rId21" w:history="1">
        <w:r w:rsidR="00F35C04" w:rsidRPr="00316FCF">
          <w:rPr>
            <w:rStyle w:val="Hyperlink"/>
            <w:rFonts w:ascii="Times New Roman" w:hAnsi="Times New Roman" w:cs="Times New Roman"/>
            <w:noProof/>
          </w:rPr>
          <w:t>https://www.ahrq.gov/research/findings/making-healthcare-safer/mhs3/index.html</w:t>
        </w:r>
      </w:hyperlink>
      <w:r w:rsidR="00F35C04" w:rsidRPr="00316FCF">
        <w:rPr>
          <w:rFonts w:ascii="Times New Roman" w:hAnsi="Times New Roman" w:cs="Times New Roman"/>
          <w:noProof/>
        </w:rPr>
        <w:t xml:space="preserve"> </w:t>
      </w:r>
      <w:r w:rsidR="00336FD0" w:rsidRPr="00316FCF">
        <w:rPr>
          <w:rFonts w:ascii="Times New Roman" w:hAnsi="Times New Roman" w:cs="Times New Roman"/>
          <w:noProof/>
        </w:rPr>
        <w:t>(accessed 16 June 2022).</w:t>
      </w:r>
    </w:p>
    <w:p w14:paraId="72D9E2CB" w14:textId="5A2A8DCF"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Ahuja T, Raco V, Papadopoulos J, </w:t>
      </w:r>
      <w:r w:rsidR="007450B8" w:rsidRPr="00316FCF">
        <w:rPr>
          <w:rFonts w:ascii="Times New Roman" w:hAnsi="Times New Roman" w:cs="Times New Roman"/>
          <w:noProof/>
        </w:rPr>
        <w:t>and</w:t>
      </w:r>
      <w:r w:rsidRPr="00316FCF">
        <w:rPr>
          <w:rFonts w:ascii="Times New Roman" w:hAnsi="Times New Roman" w:cs="Times New Roman"/>
          <w:noProof/>
        </w:rPr>
        <w:t xml:space="preserve"> Green D. 2021. Antithrombotic Stewardship: Assessing Use of Computerized Clinical Decision Support Tools to Enhance Safe Prescribing of Direct Oral Anticoagulants in Hospitalized Patients. </w:t>
      </w:r>
      <w:r w:rsidRPr="00316FCF">
        <w:rPr>
          <w:rFonts w:ascii="Times New Roman" w:hAnsi="Times New Roman" w:cs="Times New Roman"/>
          <w:i/>
          <w:noProof/>
        </w:rPr>
        <w:t>J</w:t>
      </w:r>
      <w:r w:rsidR="00F35C04" w:rsidRPr="00316FCF">
        <w:rPr>
          <w:rFonts w:ascii="Times New Roman" w:hAnsi="Times New Roman" w:cs="Times New Roman"/>
          <w:i/>
          <w:noProof/>
        </w:rPr>
        <w:t>ournal of</w:t>
      </w:r>
      <w:r w:rsidRPr="00316FCF">
        <w:rPr>
          <w:rFonts w:ascii="Times New Roman" w:hAnsi="Times New Roman" w:cs="Times New Roman"/>
          <w:i/>
          <w:noProof/>
        </w:rPr>
        <w:t xml:space="preserve"> Patient Saf</w:t>
      </w:r>
      <w:r w:rsidR="00F35C04" w:rsidRPr="00316FCF">
        <w:rPr>
          <w:rFonts w:ascii="Times New Roman" w:hAnsi="Times New Roman" w:cs="Times New Roman"/>
          <w:i/>
          <w:noProof/>
        </w:rPr>
        <w:t>et</w:t>
      </w:r>
      <w:r w:rsidR="00336FD0" w:rsidRPr="00316FCF">
        <w:rPr>
          <w:rFonts w:ascii="Times New Roman" w:hAnsi="Times New Roman" w:cs="Times New Roman"/>
          <w:i/>
          <w:noProof/>
        </w:rPr>
        <w:t>y</w:t>
      </w:r>
      <w:r w:rsidRPr="00316FCF">
        <w:rPr>
          <w:rFonts w:ascii="Times New Roman" w:hAnsi="Times New Roman" w:cs="Times New Roman"/>
          <w:i/>
          <w:noProof/>
        </w:rPr>
        <w:t xml:space="preserve"> </w:t>
      </w:r>
      <w:r w:rsidRPr="00316FCF">
        <w:rPr>
          <w:rFonts w:ascii="Times New Roman" w:hAnsi="Times New Roman" w:cs="Times New Roman"/>
          <w:iCs/>
          <w:noProof/>
        </w:rPr>
        <w:t>17</w:t>
      </w:r>
      <w:r w:rsidRPr="00316FCF">
        <w:rPr>
          <w:rFonts w:ascii="Times New Roman" w:hAnsi="Times New Roman" w:cs="Times New Roman"/>
          <w:noProof/>
        </w:rPr>
        <w:t>(8)</w:t>
      </w:r>
      <w:r w:rsidR="00F35C04" w:rsidRPr="00316FCF">
        <w:rPr>
          <w:rFonts w:ascii="Times New Roman" w:hAnsi="Times New Roman" w:cs="Times New Roman"/>
          <w:noProof/>
        </w:rPr>
        <w:t>:</w:t>
      </w:r>
      <w:r w:rsidRPr="00316FCF">
        <w:rPr>
          <w:rFonts w:ascii="Times New Roman" w:hAnsi="Times New Roman" w:cs="Times New Roman"/>
          <w:noProof/>
        </w:rPr>
        <w:t xml:space="preserve"> e1057</w:t>
      </w:r>
      <w:r w:rsidR="00F35C04" w:rsidRPr="00316FCF">
        <w:rPr>
          <w:rFonts w:ascii="Times New Roman" w:hAnsi="Times New Roman" w:cs="Times New Roman"/>
          <w:noProof/>
        </w:rPr>
        <w:t>–</w:t>
      </w:r>
      <w:r w:rsidRPr="00316FCF">
        <w:rPr>
          <w:rFonts w:ascii="Times New Roman" w:hAnsi="Times New Roman" w:cs="Times New Roman"/>
          <w:noProof/>
        </w:rPr>
        <w:t>e1061. doi:10.1097/pts.0000000000000535</w:t>
      </w:r>
    </w:p>
    <w:p w14:paraId="2BDE8BA5" w14:textId="0A787C5F"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Alves da Costa F, Rydant S, </w:t>
      </w:r>
      <w:r w:rsidR="007450B8" w:rsidRPr="00316FCF">
        <w:rPr>
          <w:rFonts w:ascii="Times New Roman" w:hAnsi="Times New Roman" w:cs="Times New Roman"/>
          <w:noProof/>
        </w:rPr>
        <w:t>and</w:t>
      </w:r>
      <w:r w:rsidRPr="00316FCF">
        <w:rPr>
          <w:rFonts w:ascii="Times New Roman" w:hAnsi="Times New Roman" w:cs="Times New Roman"/>
          <w:noProof/>
        </w:rPr>
        <w:t xml:space="preserve"> Antoniou S. 2020. The patient pathway in cardiovascular care: A position paper from the International Pharmacists for Anticoagulation Care Taskforce (iPACT). </w:t>
      </w:r>
      <w:r w:rsidRPr="00316FCF">
        <w:rPr>
          <w:rFonts w:ascii="Times New Roman" w:hAnsi="Times New Roman" w:cs="Times New Roman"/>
          <w:i/>
          <w:noProof/>
        </w:rPr>
        <w:t>J</w:t>
      </w:r>
      <w:r w:rsidR="007450B8" w:rsidRPr="00316FCF">
        <w:rPr>
          <w:rFonts w:ascii="Times New Roman" w:hAnsi="Times New Roman" w:cs="Times New Roman"/>
          <w:i/>
          <w:noProof/>
        </w:rPr>
        <w:t>ournal of</w:t>
      </w:r>
      <w:r w:rsidRPr="00316FCF">
        <w:rPr>
          <w:rFonts w:ascii="Times New Roman" w:hAnsi="Times New Roman" w:cs="Times New Roman"/>
          <w:i/>
          <w:noProof/>
        </w:rPr>
        <w:t xml:space="preserve"> Eval</w:t>
      </w:r>
      <w:r w:rsidR="007450B8" w:rsidRPr="00316FCF">
        <w:rPr>
          <w:rFonts w:ascii="Times New Roman" w:hAnsi="Times New Roman" w:cs="Times New Roman"/>
          <w:i/>
          <w:noProof/>
        </w:rPr>
        <w:t>uation in</w:t>
      </w:r>
      <w:r w:rsidRPr="00316FCF">
        <w:rPr>
          <w:rFonts w:ascii="Times New Roman" w:hAnsi="Times New Roman" w:cs="Times New Roman"/>
          <w:i/>
          <w:noProof/>
        </w:rPr>
        <w:t xml:space="preserve"> Clin</w:t>
      </w:r>
      <w:r w:rsidR="007450B8" w:rsidRPr="00316FCF">
        <w:rPr>
          <w:rFonts w:ascii="Times New Roman" w:hAnsi="Times New Roman" w:cs="Times New Roman"/>
          <w:i/>
          <w:noProof/>
        </w:rPr>
        <w:t>ical</w:t>
      </w:r>
      <w:r w:rsidRPr="00316FCF">
        <w:rPr>
          <w:rFonts w:ascii="Times New Roman" w:hAnsi="Times New Roman" w:cs="Times New Roman"/>
          <w:i/>
          <w:noProof/>
        </w:rPr>
        <w:t xml:space="preserve"> Pract</w:t>
      </w:r>
      <w:r w:rsidR="007450B8"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26</w:t>
      </w:r>
      <w:r w:rsidRPr="00316FCF">
        <w:rPr>
          <w:rFonts w:ascii="Times New Roman" w:hAnsi="Times New Roman" w:cs="Times New Roman"/>
          <w:noProof/>
        </w:rPr>
        <w:t>(2)</w:t>
      </w:r>
      <w:r w:rsidR="007450B8" w:rsidRPr="00316FCF">
        <w:rPr>
          <w:rFonts w:ascii="Times New Roman" w:hAnsi="Times New Roman" w:cs="Times New Roman"/>
          <w:noProof/>
        </w:rPr>
        <w:t>:</w:t>
      </w:r>
      <w:r w:rsidRPr="00316FCF">
        <w:rPr>
          <w:rFonts w:ascii="Times New Roman" w:hAnsi="Times New Roman" w:cs="Times New Roman"/>
          <w:noProof/>
        </w:rPr>
        <w:t xml:space="preserve"> 670</w:t>
      </w:r>
      <w:r w:rsidR="007450B8" w:rsidRPr="00316FCF">
        <w:rPr>
          <w:rFonts w:ascii="Times New Roman" w:hAnsi="Times New Roman" w:cs="Times New Roman"/>
          <w:noProof/>
        </w:rPr>
        <w:t>–</w:t>
      </w:r>
      <w:r w:rsidRPr="00316FCF">
        <w:rPr>
          <w:rFonts w:ascii="Times New Roman" w:hAnsi="Times New Roman" w:cs="Times New Roman"/>
          <w:noProof/>
        </w:rPr>
        <w:t>681. doi:10.1111/jep.13316</w:t>
      </w:r>
    </w:p>
    <w:p w14:paraId="13A00333" w14:textId="2C6A70DC"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An T, Kose E, Kikkawa A, </w:t>
      </w:r>
      <w:r w:rsidR="007450B8" w:rsidRPr="00316FCF">
        <w:rPr>
          <w:rFonts w:ascii="Times New Roman" w:hAnsi="Times New Roman" w:cs="Times New Roman"/>
          <w:noProof/>
        </w:rPr>
        <w:t>and</w:t>
      </w:r>
      <w:r w:rsidRPr="00316FCF">
        <w:rPr>
          <w:rFonts w:ascii="Times New Roman" w:hAnsi="Times New Roman" w:cs="Times New Roman"/>
          <w:noProof/>
        </w:rPr>
        <w:t xml:space="preserve"> Hayashi H. 2017. Hospital pharmacist intervention improves the quality indicator of warfarin control: A retrospective cohort study. </w:t>
      </w:r>
      <w:r w:rsidRPr="00316FCF">
        <w:rPr>
          <w:rFonts w:ascii="Times New Roman" w:hAnsi="Times New Roman" w:cs="Times New Roman"/>
          <w:i/>
          <w:noProof/>
        </w:rPr>
        <w:t>J</w:t>
      </w:r>
      <w:r w:rsidR="007450B8" w:rsidRPr="00316FCF">
        <w:rPr>
          <w:rFonts w:ascii="Times New Roman" w:hAnsi="Times New Roman" w:cs="Times New Roman"/>
          <w:i/>
          <w:noProof/>
        </w:rPr>
        <w:t>ournal of</w:t>
      </w:r>
      <w:r w:rsidRPr="00316FCF">
        <w:rPr>
          <w:rFonts w:ascii="Times New Roman" w:hAnsi="Times New Roman" w:cs="Times New Roman"/>
          <w:i/>
          <w:noProof/>
        </w:rPr>
        <w:t xml:space="preserve"> Med</w:t>
      </w:r>
      <w:r w:rsidR="007450B8" w:rsidRPr="00316FCF">
        <w:rPr>
          <w:rFonts w:ascii="Times New Roman" w:hAnsi="Times New Roman" w:cs="Times New Roman"/>
          <w:i/>
          <w:noProof/>
        </w:rPr>
        <w:t>ical</w:t>
      </w:r>
      <w:r w:rsidRPr="00316FCF">
        <w:rPr>
          <w:rFonts w:ascii="Times New Roman" w:hAnsi="Times New Roman" w:cs="Times New Roman"/>
          <w:i/>
          <w:noProof/>
        </w:rPr>
        <w:t xml:space="preserve"> Invest</w:t>
      </w:r>
      <w:r w:rsidR="007450B8" w:rsidRPr="00316FCF">
        <w:rPr>
          <w:rFonts w:ascii="Times New Roman" w:hAnsi="Times New Roman" w:cs="Times New Roman"/>
          <w:i/>
          <w:noProof/>
        </w:rPr>
        <w:t>igation</w:t>
      </w:r>
      <w:r w:rsidRPr="00316FCF">
        <w:rPr>
          <w:rFonts w:ascii="Times New Roman" w:hAnsi="Times New Roman" w:cs="Times New Roman"/>
          <w:iCs/>
          <w:noProof/>
        </w:rPr>
        <w:t xml:space="preserve"> 64</w:t>
      </w:r>
      <w:r w:rsidRPr="00316FCF">
        <w:rPr>
          <w:rFonts w:ascii="Times New Roman" w:hAnsi="Times New Roman" w:cs="Times New Roman"/>
          <w:noProof/>
        </w:rPr>
        <w:t>(3.4)</w:t>
      </w:r>
      <w:r w:rsidR="007450B8" w:rsidRPr="00316FCF">
        <w:rPr>
          <w:rFonts w:ascii="Times New Roman" w:hAnsi="Times New Roman" w:cs="Times New Roman"/>
          <w:noProof/>
        </w:rPr>
        <w:t>:</w:t>
      </w:r>
      <w:r w:rsidRPr="00316FCF">
        <w:rPr>
          <w:rFonts w:ascii="Times New Roman" w:hAnsi="Times New Roman" w:cs="Times New Roman"/>
          <w:noProof/>
        </w:rPr>
        <w:t xml:space="preserve"> 266</w:t>
      </w:r>
      <w:r w:rsidR="007450B8" w:rsidRPr="00316FCF">
        <w:rPr>
          <w:rFonts w:ascii="Times New Roman" w:hAnsi="Times New Roman" w:cs="Times New Roman"/>
          <w:noProof/>
        </w:rPr>
        <w:t>–</w:t>
      </w:r>
      <w:r w:rsidRPr="00316FCF">
        <w:rPr>
          <w:rFonts w:ascii="Times New Roman" w:hAnsi="Times New Roman" w:cs="Times New Roman"/>
          <w:noProof/>
        </w:rPr>
        <w:t>271. doi:10.2152/jmi.64.266</w:t>
      </w:r>
    </w:p>
    <w:p w14:paraId="7CA76F39" w14:textId="354D328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Anticoagulation Forum. </w:t>
      </w:r>
      <w:r w:rsidR="00F35C04" w:rsidRPr="00316FCF">
        <w:rPr>
          <w:rFonts w:ascii="Times New Roman" w:hAnsi="Times New Roman" w:cs="Times New Roman"/>
          <w:noProof/>
        </w:rPr>
        <w:t>2</w:t>
      </w:r>
      <w:r w:rsidRPr="00316FCF">
        <w:rPr>
          <w:rFonts w:ascii="Times New Roman" w:hAnsi="Times New Roman" w:cs="Times New Roman"/>
          <w:noProof/>
        </w:rPr>
        <w:t xml:space="preserve">019a. </w:t>
      </w:r>
      <w:r w:rsidRPr="00316FCF">
        <w:rPr>
          <w:rFonts w:ascii="Times New Roman" w:hAnsi="Times New Roman" w:cs="Times New Roman"/>
          <w:i/>
          <w:noProof/>
        </w:rPr>
        <w:t>Core Elements of Anticoagulation Stewardship Programme: Administrative Oversight Gap Analysis: Hospitals and Skilled Nursing Facilities</w:t>
      </w:r>
      <w:r w:rsidRPr="00316FCF">
        <w:rPr>
          <w:rFonts w:ascii="Times New Roman" w:hAnsi="Times New Roman" w:cs="Times New Roman"/>
          <w:noProof/>
        </w:rPr>
        <w:t>. Retrieved from</w:t>
      </w:r>
      <w:r w:rsidR="007450B8" w:rsidRPr="00316FCF">
        <w:rPr>
          <w:rFonts w:ascii="Times New Roman" w:hAnsi="Times New Roman" w:cs="Times New Roman"/>
          <w:noProof/>
        </w:rPr>
        <w:t>:</w:t>
      </w:r>
      <w:r w:rsidRPr="00316FCF">
        <w:rPr>
          <w:rFonts w:ascii="Times New Roman" w:hAnsi="Times New Roman" w:cs="Times New Roman"/>
          <w:noProof/>
        </w:rPr>
        <w:t xml:space="preserve"> </w:t>
      </w:r>
      <w:hyperlink r:id="rId22" w:history="1">
        <w:r w:rsidR="007450B8" w:rsidRPr="00316FCF">
          <w:rPr>
            <w:rStyle w:val="Hyperlink"/>
            <w:rFonts w:ascii="Times New Roman" w:hAnsi="Times New Roman" w:cs="Times New Roman"/>
            <w:noProof/>
          </w:rPr>
          <w:t>https://acforum.org/web/downloads/ACF%20Gap%20Analysis%20Report.pdf</w:t>
        </w:r>
      </w:hyperlink>
      <w:r w:rsidR="007450B8" w:rsidRPr="00316FCF">
        <w:rPr>
          <w:rFonts w:ascii="Times New Roman" w:hAnsi="Times New Roman" w:cs="Times New Roman"/>
          <w:noProof/>
        </w:rPr>
        <w:t xml:space="preserve"> </w:t>
      </w:r>
      <w:r w:rsidR="00336FD0" w:rsidRPr="00316FCF">
        <w:rPr>
          <w:rFonts w:ascii="Times New Roman" w:hAnsi="Times New Roman" w:cs="Times New Roman"/>
          <w:noProof/>
        </w:rPr>
        <w:t>(accessed 16 June 2022).</w:t>
      </w:r>
    </w:p>
    <w:p w14:paraId="3E62EAA6" w14:textId="6D9822D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Anticoagulation Forum. 2019b. </w:t>
      </w:r>
      <w:r w:rsidRPr="00316FCF">
        <w:rPr>
          <w:rFonts w:ascii="Times New Roman" w:hAnsi="Times New Roman" w:cs="Times New Roman"/>
          <w:i/>
          <w:noProof/>
        </w:rPr>
        <w:t>Core Elements of Anticoagulation Stewardship Programmes</w:t>
      </w:r>
      <w:r w:rsidRPr="00316FCF">
        <w:rPr>
          <w:rFonts w:ascii="Times New Roman" w:hAnsi="Times New Roman" w:cs="Times New Roman"/>
          <w:noProof/>
        </w:rPr>
        <w:t>. Retrieved from</w:t>
      </w:r>
      <w:r w:rsidR="007450B8" w:rsidRPr="00316FCF">
        <w:rPr>
          <w:rFonts w:ascii="Times New Roman" w:hAnsi="Times New Roman" w:cs="Times New Roman"/>
          <w:noProof/>
        </w:rPr>
        <w:t>:</w:t>
      </w:r>
      <w:r w:rsidRPr="00316FCF">
        <w:rPr>
          <w:rFonts w:ascii="Times New Roman" w:hAnsi="Times New Roman" w:cs="Times New Roman"/>
          <w:noProof/>
        </w:rPr>
        <w:t xml:space="preserve"> </w:t>
      </w:r>
      <w:hyperlink r:id="rId23" w:history="1">
        <w:r w:rsidR="007450B8" w:rsidRPr="00316FCF">
          <w:rPr>
            <w:rStyle w:val="Hyperlink"/>
            <w:rFonts w:ascii="Times New Roman" w:hAnsi="Times New Roman" w:cs="Times New Roman"/>
            <w:noProof/>
          </w:rPr>
          <w:t>https://acforum.org/web/education-stewardship.php</w:t>
        </w:r>
      </w:hyperlink>
      <w:r w:rsidR="007450B8" w:rsidRPr="00316FCF">
        <w:rPr>
          <w:rFonts w:ascii="Times New Roman" w:hAnsi="Times New Roman" w:cs="Times New Roman"/>
          <w:noProof/>
        </w:rPr>
        <w:t xml:space="preserve"> </w:t>
      </w:r>
      <w:r w:rsidR="00336FD0" w:rsidRPr="00316FCF">
        <w:rPr>
          <w:rFonts w:ascii="Times New Roman" w:hAnsi="Times New Roman" w:cs="Times New Roman"/>
          <w:noProof/>
        </w:rPr>
        <w:t>(accessed 16 June 2022).</w:t>
      </w:r>
    </w:p>
    <w:p w14:paraId="73D0AF67" w14:textId="1800455E"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Anticoagulation Forum. 2022a. </w:t>
      </w:r>
      <w:r w:rsidRPr="00316FCF">
        <w:rPr>
          <w:rFonts w:ascii="Times New Roman" w:hAnsi="Times New Roman" w:cs="Times New Roman"/>
          <w:i/>
          <w:noProof/>
        </w:rPr>
        <w:t>Anticoagulation Stewardship: Evidence of Impact</w:t>
      </w:r>
      <w:r w:rsidRPr="00316FCF">
        <w:rPr>
          <w:rFonts w:ascii="Times New Roman" w:hAnsi="Times New Roman" w:cs="Times New Roman"/>
          <w:noProof/>
        </w:rPr>
        <w:t xml:space="preserve">. Retrieved from </w:t>
      </w:r>
      <w:hyperlink r:id="rId24" w:history="1">
        <w:r w:rsidR="00336FD0" w:rsidRPr="00316FCF">
          <w:rPr>
            <w:rStyle w:val="Hyperlink"/>
            <w:rFonts w:ascii="Times New Roman" w:hAnsi="Times New Roman" w:cs="Times New Roman"/>
            <w:noProof/>
          </w:rPr>
          <w:t>https://acforum.org/web/downloads/ACF_Evidence.pdf</w:t>
        </w:r>
      </w:hyperlink>
      <w:r w:rsidR="00336FD0" w:rsidRPr="00316FCF">
        <w:rPr>
          <w:rFonts w:ascii="Times New Roman" w:hAnsi="Times New Roman" w:cs="Times New Roman"/>
          <w:noProof/>
        </w:rPr>
        <w:t xml:space="preserve"> (accessed 16 June 2022).</w:t>
      </w:r>
    </w:p>
    <w:p w14:paraId="27E5FF1A" w14:textId="6FDD4F2F"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Anticoagulation Forum. 2022b. </w:t>
      </w:r>
      <w:r w:rsidRPr="00316FCF">
        <w:rPr>
          <w:rFonts w:ascii="Times New Roman" w:hAnsi="Times New Roman" w:cs="Times New Roman"/>
          <w:i/>
          <w:noProof/>
        </w:rPr>
        <w:t>Anticoagulation Stewardship: Profiles in Progress</w:t>
      </w:r>
      <w:r w:rsidRPr="00316FCF">
        <w:rPr>
          <w:rFonts w:ascii="Times New Roman" w:hAnsi="Times New Roman" w:cs="Times New Roman"/>
          <w:noProof/>
        </w:rPr>
        <w:t xml:space="preserve">. Retrieved from </w:t>
      </w:r>
      <w:hyperlink r:id="rId25" w:history="1">
        <w:r w:rsidR="00336FD0" w:rsidRPr="00316FCF">
          <w:rPr>
            <w:rStyle w:val="Hyperlink"/>
            <w:rFonts w:ascii="Times New Roman" w:hAnsi="Times New Roman" w:cs="Times New Roman"/>
            <w:noProof/>
          </w:rPr>
          <w:t>https://acforum.org/web/downloads/ACF_Profiles_in_Progress_4.20.pdf</w:t>
        </w:r>
      </w:hyperlink>
      <w:r w:rsidR="00336FD0" w:rsidRPr="00316FCF">
        <w:rPr>
          <w:rFonts w:ascii="Times New Roman" w:hAnsi="Times New Roman" w:cs="Times New Roman"/>
          <w:noProof/>
        </w:rPr>
        <w:t xml:space="preserve"> (accessed 16 June 2022).</w:t>
      </w:r>
    </w:p>
    <w:p w14:paraId="3D784583" w14:textId="5965AB5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Attia E, Fuentes A, Vassallo M, </w:t>
      </w:r>
      <w:r w:rsidR="007450B8" w:rsidRPr="00316FCF">
        <w:rPr>
          <w:rFonts w:ascii="Times New Roman" w:hAnsi="Times New Roman" w:cs="Times New Roman"/>
          <w:noProof/>
        </w:rPr>
        <w:t xml:space="preserve">et al. </w:t>
      </w:r>
      <w:r w:rsidRPr="00316FCF">
        <w:rPr>
          <w:rFonts w:ascii="Times New Roman" w:hAnsi="Times New Roman" w:cs="Times New Roman"/>
          <w:noProof/>
        </w:rPr>
        <w:t xml:space="preserve">2022. Establishing a multidisciplinary taskforce to improve anticoagulation safety at a large health system. </w:t>
      </w:r>
      <w:r w:rsidRPr="00316FCF">
        <w:rPr>
          <w:rFonts w:ascii="Times New Roman" w:hAnsi="Times New Roman" w:cs="Times New Roman"/>
          <w:i/>
          <w:noProof/>
        </w:rPr>
        <w:t>Am</w:t>
      </w:r>
      <w:r w:rsidR="00336FD0" w:rsidRPr="00316FCF">
        <w:rPr>
          <w:rFonts w:ascii="Times New Roman" w:hAnsi="Times New Roman" w:cs="Times New Roman"/>
          <w:i/>
          <w:noProof/>
        </w:rPr>
        <w:t>erican</w:t>
      </w:r>
      <w:r w:rsidRPr="00316FCF">
        <w:rPr>
          <w:rFonts w:ascii="Times New Roman" w:hAnsi="Times New Roman" w:cs="Times New Roman"/>
          <w:i/>
          <w:noProof/>
        </w:rPr>
        <w:t xml:space="preserve"> J</w:t>
      </w:r>
      <w:r w:rsidR="00336FD0" w:rsidRPr="00316FCF">
        <w:rPr>
          <w:rFonts w:ascii="Times New Roman" w:hAnsi="Times New Roman" w:cs="Times New Roman"/>
          <w:i/>
          <w:noProof/>
        </w:rPr>
        <w:t>ournal of</w:t>
      </w:r>
      <w:r w:rsidRPr="00316FCF">
        <w:rPr>
          <w:rFonts w:ascii="Times New Roman" w:hAnsi="Times New Roman" w:cs="Times New Roman"/>
          <w:i/>
          <w:noProof/>
        </w:rPr>
        <w:t xml:space="preserve"> Health Syst</w:t>
      </w:r>
      <w:r w:rsidR="00336FD0" w:rsidRPr="00316FCF">
        <w:rPr>
          <w:rFonts w:ascii="Times New Roman" w:hAnsi="Times New Roman" w:cs="Times New Roman"/>
          <w:i/>
          <w:noProof/>
        </w:rPr>
        <w:t xml:space="preserve">em </w:t>
      </w:r>
      <w:r w:rsidRPr="00316FCF">
        <w:rPr>
          <w:rFonts w:ascii="Times New Roman" w:hAnsi="Times New Roman" w:cs="Times New Roman"/>
          <w:i/>
          <w:noProof/>
        </w:rPr>
        <w:t>Pharm</w:t>
      </w:r>
      <w:r w:rsidR="00336FD0" w:rsidRPr="00316FCF">
        <w:rPr>
          <w:rFonts w:ascii="Times New Roman" w:hAnsi="Times New Roman" w:cs="Times New Roman"/>
          <w:i/>
          <w:noProof/>
        </w:rPr>
        <w:t>acy</w:t>
      </w:r>
      <w:r w:rsidRPr="00316FCF">
        <w:rPr>
          <w:rFonts w:ascii="Times New Roman" w:hAnsi="Times New Roman" w:cs="Times New Roman"/>
          <w:i/>
          <w:noProof/>
        </w:rPr>
        <w:t xml:space="preserve"> </w:t>
      </w:r>
      <w:r w:rsidRPr="00316FCF">
        <w:rPr>
          <w:rFonts w:ascii="Times New Roman" w:hAnsi="Times New Roman" w:cs="Times New Roman"/>
          <w:iCs/>
          <w:noProof/>
        </w:rPr>
        <w:t>79</w:t>
      </w:r>
      <w:r w:rsidRPr="00316FCF">
        <w:rPr>
          <w:rFonts w:ascii="Times New Roman" w:hAnsi="Times New Roman" w:cs="Times New Roman"/>
          <w:noProof/>
        </w:rPr>
        <w:t>(4)</w:t>
      </w:r>
      <w:r w:rsidR="00336FD0" w:rsidRPr="00316FCF">
        <w:rPr>
          <w:rFonts w:ascii="Times New Roman" w:hAnsi="Times New Roman" w:cs="Times New Roman"/>
          <w:noProof/>
        </w:rPr>
        <w:t>:</w:t>
      </w:r>
      <w:r w:rsidRPr="00316FCF">
        <w:rPr>
          <w:rFonts w:ascii="Times New Roman" w:hAnsi="Times New Roman" w:cs="Times New Roman"/>
          <w:noProof/>
        </w:rPr>
        <w:t xml:space="preserve"> 297</w:t>
      </w:r>
      <w:r w:rsidR="00336FD0" w:rsidRPr="00316FCF">
        <w:rPr>
          <w:rFonts w:ascii="Times New Roman" w:hAnsi="Times New Roman" w:cs="Times New Roman"/>
          <w:noProof/>
        </w:rPr>
        <w:t>–</w:t>
      </w:r>
      <w:r w:rsidRPr="00316FCF">
        <w:rPr>
          <w:rFonts w:ascii="Times New Roman" w:hAnsi="Times New Roman" w:cs="Times New Roman"/>
          <w:noProof/>
        </w:rPr>
        <w:t>305. doi:10.1093/ajhp/zxab411</w:t>
      </w:r>
    </w:p>
    <w:p w14:paraId="4A0F8DDA" w14:textId="0EE3EF72"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Austin J, Barras M, </w:t>
      </w:r>
      <w:r w:rsidR="00336FD0" w:rsidRPr="00316FCF">
        <w:rPr>
          <w:rFonts w:ascii="Times New Roman" w:hAnsi="Times New Roman" w:cs="Times New Roman"/>
          <w:noProof/>
        </w:rPr>
        <w:t>and</w:t>
      </w:r>
      <w:r w:rsidRPr="00316FCF">
        <w:rPr>
          <w:rFonts w:ascii="Times New Roman" w:hAnsi="Times New Roman" w:cs="Times New Roman"/>
          <w:noProof/>
        </w:rPr>
        <w:t xml:space="preserve"> Sullivan C. 2020. Interventions designed to improve the safety and quality of therapeutic anticoagulation in an inpatient electronic medical record. </w:t>
      </w:r>
      <w:r w:rsidRPr="00316FCF">
        <w:rPr>
          <w:rFonts w:ascii="Times New Roman" w:hAnsi="Times New Roman" w:cs="Times New Roman"/>
          <w:i/>
          <w:noProof/>
        </w:rPr>
        <w:t>Int</w:t>
      </w:r>
      <w:r w:rsidR="00336FD0"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336FD0" w:rsidRPr="00316FCF">
        <w:rPr>
          <w:rFonts w:ascii="Times New Roman" w:hAnsi="Times New Roman" w:cs="Times New Roman"/>
          <w:i/>
          <w:noProof/>
        </w:rPr>
        <w:t>ournal of</w:t>
      </w:r>
      <w:r w:rsidRPr="00316FCF">
        <w:rPr>
          <w:rFonts w:ascii="Times New Roman" w:hAnsi="Times New Roman" w:cs="Times New Roman"/>
          <w:i/>
          <w:noProof/>
        </w:rPr>
        <w:t xml:space="preserve"> Med</w:t>
      </w:r>
      <w:r w:rsidR="00336FD0" w:rsidRPr="00316FCF">
        <w:rPr>
          <w:rFonts w:ascii="Times New Roman" w:hAnsi="Times New Roman" w:cs="Times New Roman"/>
          <w:i/>
          <w:noProof/>
        </w:rPr>
        <w:t>ical</w:t>
      </w:r>
      <w:r w:rsidRPr="00316FCF">
        <w:rPr>
          <w:rFonts w:ascii="Times New Roman" w:hAnsi="Times New Roman" w:cs="Times New Roman"/>
          <w:i/>
          <w:noProof/>
        </w:rPr>
        <w:t xml:space="preserve"> Inform</w:t>
      </w:r>
      <w:r w:rsidR="00336FD0" w:rsidRPr="00316FCF">
        <w:rPr>
          <w:rFonts w:ascii="Times New Roman" w:hAnsi="Times New Roman" w:cs="Times New Roman"/>
          <w:i/>
          <w:noProof/>
        </w:rPr>
        <w:t>atics</w:t>
      </w:r>
      <w:r w:rsidRPr="00316FCF">
        <w:rPr>
          <w:rFonts w:ascii="Times New Roman" w:hAnsi="Times New Roman" w:cs="Times New Roman"/>
          <w:i/>
          <w:noProof/>
        </w:rPr>
        <w:t xml:space="preserve"> </w:t>
      </w:r>
      <w:r w:rsidRPr="00316FCF">
        <w:rPr>
          <w:rFonts w:ascii="Times New Roman" w:hAnsi="Times New Roman" w:cs="Times New Roman"/>
          <w:iCs/>
          <w:noProof/>
        </w:rPr>
        <w:t>135</w:t>
      </w:r>
      <w:r w:rsidR="00336FD0" w:rsidRPr="00316FCF">
        <w:rPr>
          <w:rFonts w:ascii="Times New Roman" w:hAnsi="Times New Roman" w:cs="Times New Roman"/>
          <w:noProof/>
        </w:rPr>
        <w:t>:</w:t>
      </w:r>
      <w:r w:rsidRPr="00316FCF">
        <w:rPr>
          <w:rFonts w:ascii="Times New Roman" w:hAnsi="Times New Roman" w:cs="Times New Roman"/>
          <w:noProof/>
        </w:rPr>
        <w:t xml:space="preserve"> 104066. doi:10.1016/j.ijmedinf.2019.104066</w:t>
      </w:r>
    </w:p>
    <w:p w14:paraId="51C1C72D" w14:textId="6F0E33BE"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Bakey KH, </w:t>
      </w:r>
      <w:r w:rsidR="00336FD0" w:rsidRPr="00316FCF">
        <w:rPr>
          <w:rFonts w:ascii="Times New Roman" w:hAnsi="Times New Roman" w:cs="Times New Roman"/>
          <w:noProof/>
        </w:rPr>
        <w:t>and</w:t>
      </w:r>
      <w:r w:rsidRPr="00316FCF">
        <w:rPr>
          <w:rFonts w:ascii="Times New Roman" w:hAnsi="Times New Roman" w:cs="Times New Roman"/>
          <w:noProof/>
        </w:rPr>
        <w:t xml:space="preserve"> Nguyen CN. 2021. Impact of a Pharmacist Intervention in the Emergency Department on the Appropriateness of Direct Oral Anticoagulants Prescribed in Venous Thromboembolism Patients. </w:t>
      </w:r>
      <w:r w:rsidRPr="00316FCF">
        <w:rPr>
          <w:rFonts w:ascii="Times New Roman" w:hAnsi="Times New Roman" w:cs="Times New Roman"/>
          <w:i/>
          <w:noProof/>
        </w:rPr>
        <w:t>J</w:t>
      </w:r>
      <w:r w:rsidR="00336FD0" w:rsidRPr="00316FCF">
        <w:rPr>
          <w:rFonts w:ascii="Times New Roman" w:hAnsi="Times New Roman" w:cs="Times New Roman"/>
          <w:i/>
          <w:noProof/>
        </w:rPr>
        <w:t>ournal of</w:t>
      </w:r>
      <w:r w:rsidRPr="00316FCF">
        <w:rPr>
          <w:rFonts w:ascii="Times New Roman" w:hAnsi="Times New Roman" w:cs="Times New Roman"/>
          <w:i/>
          <w:noProof/>
        </w:rPr>
        <w:t xml:space="preserve"> Pharm</w:t>
      </w:r>
      <w:r w:rsidR="00336FD0" w:rsidRPr="00316FCF">
        <w:rPr>
          <w:rFonts w:ascii="Times New Roman" w:hAnsi="Times New Roman" w:cs="Times New Roman"/>
          <w:i/>
          <w:noProof/>
        </w:rPr>
        <w:t>acy</w:t>
      </w:r>
      <w:r w:rsidRPr="00316FCF">
        <w:rPr>
          <w:rFonts w:ascii="Times New Roman" w:hAnsi="Times New Roman" w:cs="Times New Roman"/>
          <w:i/>
          <w:noProof/>
        </w:rPr>
        <w:t xml:space="preserve"> Pract</w:t>
      </w:r>
      <w:r w:rsidR="00336FD0" w:rsidRPr="00316FCF">
        <w:rPr>
          <w:rFonts w:ascii="Times New Roman" w:hAnsi="Times New Roman" w:cs="Times New Roman"/>
          <w:i/>
          <w:noProof/>
        </w:rPr>
        <w:t>ice</w:t>
      </w:r>
      <w:r w:rsidRPr="00316FCF">
        <w:rPr>
          <w:rFonts w:ascii="Times New Roman" w:hAnsi="Times New Roman" w:cs="Times New Roman"/>
          <w:noProof/>
        </w:rPr>
        <w:t xml:space="preserve"> 8971900211000704. doi:10.1177/08971900211000704</w:t>
      </w:r>
    </w:p>
    <w:p w14:paraId="1202E12B" w14:textId="31088D55"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Barnes GD, </w:t>
      </w:r>
      <w:r w:rsidR="001C1347" w:rsidRPr="00316FCF">
        <w:rPr>
          <w:rFonts w:ascii="Times New Roman" w:hAnsi="Times New Roman" w:cs="Times New Roman"/>
          <w:noProof/>
        </w:rPr>
        <w:t>and</w:t>
      </w:r>
      <w:r w:rsidRPr="00316FCF">
        <w:rPr>
          <w:rFonts w:ascii="Times New Roman" w:hAnsi="Times New Roman" w:cs="Times New Roman"/>
          <w:noProof/>
        </w:rPr>
        <w:t xml:space="preserve"> Kline-Rogers E. 2015. Engaging with quality improvement in anticoagulation management. </w:t>
      </w:r>
      <w:r w:rsidRPr="00316FCF">
        <w:rPr>
          <w:rFonts w:ascii="Times New Roman" w:hAnsi="Times New Roman" w:cs="Times New Roman"/>
          <w:i/>
          <w:noProof/>
        </w:rPr>
        <w:t xml:space="preserve">Journal of Thrombosis and Thrombolysis </w:t>
      </w:r>
      <w:r w:rsidRPr="00316FCF">
        <w:rPr>
          <w:rFonts w:ascii="Times New Roman" w:hAnsi="Times New Roman" w:cs="Times New Roman"/>
          <w:iCs/>
          <w:noProof/>
        </w:rPr>
        <w:t>39(</w:t>
      </w:r>
      <w:r w:rsidRPr="00316FCF">
        <w:rPr>
          <w:rFonts w:ascii="Times New Roman" w:hAnsi="Times New Roman" w:cs="Times New Roman"/>
          <w:noProof/>
        </w:rPr>
        <w:t>3)</w:t>
      </w:r>
      <w:r w:rsidR="001C1347" w:rsidRPr="00316FCF">
        <w:rPr>
          <w:rFonts w:ascii="Times New Roman" w:hAnsi="Times New Roman" w:cs="Times New Roman"/>
          <w:noProof/>
        </w:rPr>
        <w:t>:</w:t>
      </w:r>
      <w:r w:rsidRPr="00316FCF">
        <w:rPr>
          <w:rFonts w:ascii="Times New Roman" w:hAnsi="Times New Roman" w:cs="Times New Roman"/>
          <w:noProof/>
        </w:rPr>
        <w:t xml:space="preserve"> 403</w:t>
      </w:r>
      <w:r w:rsidR="001C1347" w:rsidRPr="00316FCF">
        <w:rPr>
          <w:rFonts w:ascii="Times New Roman" w:hAnsi="Times New Roman" w:cs="Times New Roman"/>
          <w:noProof/>
        </w:rPr>
        <w:t>–</w:t>
      </w:r>
      <w:r w:rsidRPr="00316FCF">
        <w:rPr>
          <w:rFonts w:ascii="Times New Roman" w:hAnsi="Times New Roman" w:cs="Times New Roman"/>
          <w:noProof/>
        </w:rPr>
        <w:t>409. doi:10.1007/s11239-015-1184-8</w:t>
      </w:r>
    </w:p>
    <w:p w14:paraId="1384DD9B" w14:textId="31D4927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Bui T, Bortz H, Cairns KA, </w:t>
      </w:r>
      <w:r w:rsidR="001C1347" w:rsidRPr="00316FCF">
        <w:rPr>
          <w:rFonts w:ascii="Times New Roman" w:hAnsi="Times New Roman" w:cs="Times New Roman"/>
          <w:noProof/>
        </w:rPr>
        <w:t xml:space="preserve">et al. </w:t>
      </w:r>
      <w:r w:rsidRPr="00316FCF">
        <w:rPr>
          <w:rFonts w:ascii="Times New Roman" w:hAnsi="Times New Roman" w:cs="Times New Roman"/>
          <w:noProof/>
        </w:rPr>
        <w:t xml:space="preserve">2021. AAA stewardship: managing high-risk medications with dedicated antimicrobial, anticoagulation and analgesic stewardship programs. </w:t>
      </w:r>
      <w:r w:rsidRPr="00316FCF">
        <w:rPr>
          <w:rFonts w:ascii="Times New Roman" w:hAnsi="Times New Roman" w:cs="Times New Roman"/>
          <w:i/>
          <w:noProof/>
        </w:rPr>
        <w:t xml:space="preserve">Journal of Pharmacy Practice and Research </w:t>
      </w:r>
      <w:r w:rsidRPr="00316FCF">
        <w:rPr>
          <w:rFonts w:ascii="Times New Roman" w:hAnsi="Times New Roman" w:cs="Times New Roman"/>
          <w:iCs/>
          <w:noProof/>
        </w:rPr>
        <w:t>51</w:t>
      </w:r>
      <w:r w:rsidRPr="00316FCF">
        <w:rPr>
          <w:rFonts w:ascii="Times New Roman" w:hAnsi="Times New Roman" w:cs="Times New Roman"/>
          <w:noProof/>
        </w:rPr>
        <w:t>(4)</w:t>
      </w:r>
      <w:r w:rsidR="001C1347" w:rsidRPr="00316FCF">
        <w:rPr>
          <w:rFonts w:ascii="Times New Roman" w:hAnsi="Times New Roman" w:cs="Times New Roman"/>
          <w:noProof/>
        </w:rPr>
        <w:t>:</w:t>
      </w:r>
      <w:r w:rsidRPr="00316FCF">
        <w:rPr>
          <w:rFonts w:ascii="Times New Roman" w:hAnsi="Times New Roman" w:cs="Times New Roman"/>
          <w:noProof/>
        </w:rPr>
        <w:t xml:space="preserve"> 342</w:t>
      </w:r>
      <w:r w:rsidR="001C1347" w:rsidRPr="00316FCF">
        <w:rPr>
          <w:rFonts w:ascii="Times New Roman" w:hAnsi="Times New Roman" w:cs="Times New Roman"/>
          <w:noProof/>
        </w:rPr>
        <w:t>–</w:t>
      </w:r>
      <w:r w:rsidRPr="00316FCF">
        <w:rPr>
          <w:rFonts w:ascii="Times New Roman" w:hAnsi="Times New Roman" w:cs="Times New Roman"/>
          <w:noProof/>
        </w:rPr>
        <w:t>347. doi:10.1002/jppr.1716</w:t>
      </w:r>
    </w:p>
    <w:p w14:paraId="6B363283" w14:textId="04D892B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Clark NP. 2018. Role of the anticoagulant monitoring service in 2018: beyond warfarin. </w:t>
      </w:r>
      <w:r w:rsidRPr="00316FCF">
        <w:rPr>
          <w:rFonts w:ascii="Times New Roman" w:hAnsi="Times New Roman" w:cs="Times New Roman"/>
          <w:i/>
          <w:noProof/>
        </w:rPr>
        <w:t>Hematology A</w:t>
      </w:r>
      <w:r w:rsidR="006668F2" w:rsidRPr="00316FCF">
        <w:rPr>
          <w:rFonts w:ascii="Times New Roman" w:hAnsi="Times New Roman" w:cs="Times New Roman"/>
          <w:i/>
          <w:noProof/>
        </w:rPr>
        <w:t>SH</w:t>
      </w:r>
      <w:r w:rsidRPr="00316FCF">
        <w:rPr>
          <w:rFonts w:ascii="Times New Roman" w:hAnsi="Times New Roman" w:cs="Times New Roman"/>
          <w:i/>
          <w:noProof/>
        </w:rPr>
        <w:t xml:space="preserve"> Educ</w:t>
      </w:r>
      <w:r w:rsidR="006668F2" w:rsidRPr="00316FCF">
        <w:rPr>
          <w:rFonts w:ascii="Times New Roman" w:hAnsi="Times New Roman" w:cs="Times New Roman"/>
          <w:i/>
          <w:noProof/>
        </w:rPr>
        <w:t>ation</w:t>
      </w:r>
      <w:r w:rsidRPr="00316FCF">
        <w:rPr>
          <w:rFonts w:ascii="Times New Roman" w:hAnsi="Times New Roman" w:cs="Times New Roman"/>
          <w:i/>
          <w:noProof/>
        </w:rPr>
        <w:t xml:space="preserve"> Program </w:t>
      </w:r>
      <w:r w:rsidRPr="00316FCF">
        <w:rPr>
          <w:rFonts w:ascii="Times New Roman" w:hAnsi="Times New Roman" w:cs="Times New Roman"/>
          <w:iCs/>
          <w:noProof/>
        </w:rPr>
        <w:t>2018</w:t>
      </w:r>
      <w:r w:rsidRPr="00316FCF">
        <w:rPr>
          <w:rFonts w:ascii="Times New Roman" w:hAnsi="Times New Roman" w:cs="Times New Roman"/>
          <w:noProof/>
        </w:rPr>
        <w:t>(1)</w:t>
      </w:r>
      <w:r w:rsidR="001C1347" w:rsidRPr="00316FCF">
        <w:rPr>
          <w:rFonts w:ascii="Times New Roman" w:hAnsi="Times New Roman" w:cs="Times New Roman"/>
          <w:noProof/>
        </w:rPr>
        <w:t>:</w:t>
      </w:r>
      <w:r w:rsidRPr="00316FCF">
        <w:rPr>
          <w:rFonts w:ascii="Times New Roman" w:hAnsi="Times New Roman" w:cs="Times New Roman"/>
          <w:noProof/>
        </w:rPr>
        <w:t xml:space="preserve"> 348</w:t>
      </w:r>
      <w:r w:rsidR="001C1347" w:rsidRPr="00316FCF">
        <w:rPr>
          <w:rFonts w:ascii="Times New Roman" w:hAnsi="Times New Roman" w:cs="Times New Roman"/>
          <w:noProof/>
        </w:rPr>
        <w:t>–</w:t>
      </w:r>
      <w:r w:rsidRPr="00316FCF">
        <w:rPr>
          <w:rFonts w:ascii="Times New Roman" w:hAnsi="Times New Roman" w:cs="Times New Roman"/>
          <w:noProof/>
        </w:rPr>
        <w:t>352. doi:10.1182/asheducation-2018.1.348</w:t>
      </w:r>
    </w:p>
    <w:p w14:paraId="193CB611" w14:textId="1FA8241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Dager WE, Ansell J, Barnes GD,</w:t>
      </w:r>
      <w:r w:rsidR="006668F2" w:rsidRPr="00316FCF">
        <w:rPr>
          <w:rFonts w:ascii="Times New Roman" w:hAnsi="Times New Roman" w:cs="Times New Roman"/>
          <w:noProof/>
        </w:rPr>
        <w:t xml:space="preserve"> et al</w:t>
      </w:r>
      <w:r w:rsidRPr="00316FCF">
        <w:rPr>
          <w:rFonts w:ascii="Times New Roman" w:hAnsi="Times New Roman" w:cs="Times New Roman"/>
          <w:noProof/>
        </w:rPr>
        <w:t xml:space="preserve">. 2020. "Reduce the Likelihood of Patient Harm Associated with the Use of Anticoagulant Therapy": Commentary from the Anticoagulation Forum on the Updated Joint Commission NPSG.03.05.01 Elements of Performance. </w:t>
      </w:r>
      <w:r w:rsidRPr="00316FCF">
        <w:rPr>
          <w:rFonts w:ascii="Times New Roman" w:hAnsi="Times New Roman" w:cs="Times New Roman"/>
          <w:i/>
          <w:noProof/>
        </w:rPr>
        <w:t>J</w:t>
      </w:r>
      <w:r w:rsidR="006668F2" w:rsidRPr="00316FCF">
        <w:rPr>
          <w:rFonts w:ascii="Times New Roman" w:hAnsi="Times New Roman" w:cs="Times New Roman"/>
          <w:i/>
          <w:noProof/>
        </w:rPr>
        <w:t>oint</w:t>
      </w:r>
      <w:r w:rsidRPr="00316FCF">
        <w:rPr>
          <w:rFonts w:ascii="Times New Roman" w:hAnsi="Times New Roman" w:cs="Times New Roman"/>
          <w:i/>
          <w:noProof/>
        </w:rPr>
        <w:t xml:space="preserve"> Comm</w:t>
      </w:r>
      <w:r w:rsidR="006668F2" w:rsidRPr="00316FCF">
        <w:rPr>
          <w:rFonts w:ascii="Times New Roman" w:hAnsi="Times New Roman" w:cs="Times New Roman"/>
          <w:i/>
          <w:noProof/>
        </w:rPr>
        <w:t xml:space="preserve">ission </w:t>
      </w:r>
      <w:r w:rsidRPr="00316FCF">
        <w:rPr>
          <w:rFonts w:ascii="Times New Roman" w:hAnsi="Times New Roman" w:cs="Times New Roman"/>
          <w:i/>
          <w:noProof/>
        </w:rPr>
        <w:t>J</w:t>
      </w:r>
      <w:r w:rsidR="006668F2" w:rsidRPr="00316FCF">
        <w:rPr>
          <w:rFonts w:ascii="Times New Roman" w:hAnsi="Times New Roman" w:cs="Times New Roman"/>
          <w:i/>
          <w:noProof/>
        </w:rPr>
        <w:t>ournal for</w:t>
      </w:r>
      <w:r w:rsidRPr="00316FCF">
        <w:rPr>
          <w:rFonts w:ascii="Times New Roman" w:hAnsi="Times New Roman" w:cs="Times New Roman"/>
          <w:i/>
          <w:noProof/>
        </w:rPr>
        <w:t xml:space="preserve"> Qual</w:t>
      </w:r>
      <w:r w:rsidR="006668F2" w:rsidRPr="00316FCF">
        <w:rPr>
          <w:rFonts w:ascii="Times New Roman" w:hAnsi="Times New Roman" w:cs="Times New Roman"/>
          <w:i/>
          <w:noProof/>
        </w:rPr>
        <w:t>ity and</w:t>
      </w:r>
      <w:r w:rsidRPr="00316FCF">
        <w:rPr>
          <w:rFonts w:ascii="Times New Roman" w:hAnsi="Times New Roman" w:cs="Times New Roman"/>
          <w:i/>
          <w:noProof/>
        </w:rPr>
        <w:t xml:space="preserve"> Patient Saf</w:t>
      </w:r>
      <w:r w:rsidR="006668F2" w:rsidRPr="00316FCF">
        <w:rPr>
          <w:rFonts w:ascii="Times New Roman" w:hAnsi="Times New Roman" w:cs="Times New Roman"/>
          <w:i/>
          <w:noProof/>
        </w:rPr>
        <w:t>ety</w:t>
      </w:r>
      <w:r w:rsidRPr="00316FCF">
        <w:rPr>
          <w:rFonts w:ascii="Times New Roman" w:hAnsi="Times New Roman" w:cs="Times New Roman"/>
          <w:i/>
          <w:noProof/>
        </w:rPr>
        <w:t xml:space="preserve"> </w:t>
      </w:r>
      <w:r w:rsidRPr="00316FCF">
        <w:rPr>
          <w:rFonts w:ascii="Times New Roman" w:hAnsi="Times New Roman" w:cs="Times New Roman"/>
          <w:iCs/>
          <w:noProof/>
        </w:rPr>
        <w:t>46</w:t>
      </w:r>
      <w:r w:rsidRPr="00316FCF">
        <w:rPr>
          <w:rFonts w:ascii="Times New Roman" w:hAnsi="Times New Roman" w:cs="Times New Roman"/>
          <w:noProof/>
        </w:rPr>
        <w:t>(3)</w:t>
      </w:r>
      <w:r w:rsidR="006668F2" w:rsidRPr="00316FCF">
        <w:rPr>
          <w:rFonts w:ascii="Times New Roman" w:hAnsi="Times New Roman" w:cs="Times New Roman"/>
          <w:noProof/>
        </w:rPr>
        <w:t>:</w:t>
      </w:r>
      <w:r w:rsidRPr="00316FCF">
        <w:rPr>
          <w:rFonts w:ascii="Times New Roman" w:hAnsi="Times New Roman" w:cs="Times New Roman"/>
          <w:noProof/>
        </w:rPr>
        <w:t xml:space="preserve"> 173</w:t>
      </w:r>
      <w:r w:rsidR="006668F2" w:rsidRPr="00316FCF">
        <w:rPr>
          <w:rFonts w:ascii="Times New Roman" w:hAnsi="Times New Roman" w:cs="Times New Roman"/>
          <w:noProof/>
        </w:rPr>
        <w:t>–</w:t>
      </w:r>
      <w:r w:rsidRPr="00316FCF">
        <w:rPr>
          <w:rFonts w:ascii="Times New Roman" w:hAnsi="Times New Roman" w:cs="Times New Roman"/>
          <w:noProof/>
        </w:rPr>
        <w:t>180. doi:10.1016/j.jcjq.2019.12.004</w:t>
      </w:r>
    </w:p>
    <w:p w14:paraId="492161FF" w14:textId="72182039"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Dane KE, Naik RP, Streiff MB</w:t>
      </w:r>
      <w:r w:rsidR="006668F2" w:rsidRPr="00316FCF">
        <w:rPr>
          <w:rFonts w:ascii="Times New Roman" w:hAnsi="Times New Roman" w:cs="Times New Roman"/>
          <w:noProof/>
        </w:rPr>
        <w:t xml:space="preserve">, et al. </w:t>
      </w:r>
      <w:r w:rsidRPr="00316FCF">
        <w:rPr>
          <w:rFonts w:ascii="Times New Roman" w:hAnsi="Times New Roman" w:cs="Times New Roman"/>
          <w:noProof/>
        </w:rPr>
        <w:t xml:space="preserve">2022. Hemostatic and antithrombotic stewardship programs: A toolkit for program implementation. </w:t>
      </w:r>
      <w:r w:rsidRPr="00316FCF">
        <w:rPr>
          <w:rFonts w:ascii="Times New Roman" w:hAnsi="Times New Roman" w:cs="Times New Roman"/>
          <w:i/>
          <w:noProof/>
        </w:rPr>
        <w:t xml:space="preserve">JACCP: Journal of the American College of Clinical Pharmacy </w:t>
      </w:r>
      <w:r w:rsidR="006668F2" w:rsidRPr="00316FCF">
        <w:rPr>
          <w:rFonts w:ascii="Times New Roman" w:hAnsi="Times New Roman" w:cs="Times New Roman"/>
          <w:iCs/>
          <w:noProof/>
        </w:rPr>
        <w:t xml:space="preserve">Online first: </w:t>
      </w:r>
      <w:r w:rsidRPr="00316FCF">
        <w:rPr>
          <w:rFonts w:ascii="Times New Roman" w:hAnsi="Times New Roman" w:cs="Times New Roman"/>
          <w:noProof/>
        </w:rPr>
        <w:t>doi:10.1002/jac5.1614</w:t>
      </w:r>
    </w:p>
    <w:p w14:paraId="20B959D7" w14:textId="229922A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Dept Health and Human Services. 2014. </w:t>
      </w:r>
      <w:r w:rsidRPr="00316FCF">
        <w:rPr>
          <w:rFonts w:ascii="Times New Roman" w:hAnsi="Times New Roman" w:cs="Times New Roman"/>
          <w:i/>
          <w:noProof/>
        </w:rPr>
        <w:t>National Action Plan for Adverse Drug Event Prevention</w:t>
      </w:r>
      <w:r w:rsidRPr="00316FCF">
        <w:rPr>
          <w:rFonts w:ascii="Times New Roman" w:hAnsi="Times New Roman" w:cs="Times New Roman"/>
          <w:noProof/>
        </w:rPr>
        <w:t>. Retrieved from</w:t>
      </w:r>
      <w:r w:rsidR="006668F2" w:rsidRPr="00316FCF">
        <w:rPr>
          <w:rFonts w:ascii="Times New Roman" w:hAnsi="Times New Roman" w:cs="Times New Roman"/>
          <w:noProof/>
        </w:rPr>
        <w:t>:</w:t>
      </w:r>
      <w:r w:rsidRPr="00316FCF">
        <w:rPr>
          <w:rFonts w:ascii="Times New Roman" w:hAnsi="Times New Roman" w:cs="Times New Roman"/>
          <w:noProof/>
        </w:rPr>
        <w:t xml:space="preserve"> </w:t>
      </w:r>
      <w:hyperlink r:id="rId26" w:history="1">
        <w:r w:rsidR="00336FD0" w:rsidRPr="00316FCF">
          <w:rPr>
            <w:rStyle w:val="Hyperlink"/>
            <w:rFonts w:ascii="Times New Roman" w:hAnsi="Times New Roman" w:cs="Times New Roman"/>
            <w:noProof/>
          </w:rPr>
          <w:t>https://health.gov/sites/default/files/2019-09/ADE-Action-Plan-508c.pdf</w:t>
        </w:r>
      </w:hyperlink>
      <w:r w:rsidR="00336FD0" w:rsidRPr="00316FCF">
        <w:rPr>
          <w:rFonts w:ascii="Times New Roman" w:hAnsi="Times New Roman" w:cs="Times New Roman"/>
          <w:noProof/>
        </w:rPr>
        <w:t xml:space="preserve"> (accessed 16 June 2022).</w:t>
      </w:r>
    </w:p>
    <w:p w14:paraId="01B85DA8" w14:textId="4B6C02F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Dreijer AR, Diepstraten J, Leebeek FWG</w:t>
      </w:r>
      <w:r w:rsidR="006668F2" w:rsidRPr="00316FCF">
        <w:rPr>
          <w:rFonts w:ascii="Times New Roman" w:hAnsi="Times New Roman" w:cs="Times New Roman"/>
          <w:noProof/>
        </w:rPr>
        <w:t>, et al</w:t>
      </w:r>
      <w:r w:rsidRPr="00316FCF">
        <w:rPr>
          <w:rFonts w:ascii="Times New Roman" w:hAnsi="Times New Roman" w:cs="Times New Roman"/>
          <w:noProof/>
        </w:rPr>
        <w:t xml:space="preserve">. 2019. The effect of hospital-based antithrombotic stewardship on adherence to anticoagulant guidelines. </w:t>
      </w:r>
      <w:r w:rsidRPr="00316FCF">
        <w:rPr>
          <w:rFonts w:ascii="Times New Roman" w:hAnsi="Times New Roman" w:cs="Times New Roman"/>
          <w:i/>
          <w:noProof/>
        </w:rPr>
        <w:t>Int</w:t>
      </w:r>
      <w:r w:rsidR="006668F2"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6668F2" w:rsidRPr="00316FCF">
        <w:rPr>
          <w:rFonts w:ascii="Times New Roman" w:hAnsi="Times New Roman" w:cs="Times New Roman"/>
          <w:i/>
          <w:noProof/>
        </w:rPr>
        <w:t>ournal of</w:t>
      </w:r>
      <w:r w:rsidRPr="00316FCF">
        <w:rPr>
          <w:rFonts w:ascii="Times New Roman" w:hAnsi="Times New Roman" w:cs="Times New Roman"/>
          <w:i/>
          <w:noProof/>
        </w:rPr>
        <w:t xml:space="preserve"> Clin</w:t>
      </w:r>
      <w:r w:rsidR="006668F2" w:rsidRPr="00316FCF">
        <w:rPr>
          <w:rFonts w:ascii="Times New Roman" w:hAnsi="Times New Roman" w:cs="Times New Roman"/>
          <w:i/>
          <w:noProof/>
        </w:rPr>
        <w:t>ical</w:t>
      </w:r>
      <w:r w:rsidRPr="00316FCF">
        <w:rPr>
          <w:rFonts w:ascii="Times New Roman" w:hAnsi="Times New Roman" w:cs="Times New Roman"/>
          <w:i/>
          <w:noProof/>
        </w:rPr>
        <w:t xml:space="preserve"> Pharm</w:t>
      </w:r>
      <w:r w:rsidR="006668F2" w:rsidRPr="00316FCF">
        <w:rPr>
          <w:rFonts w:ascii="Times New Roman" w:hAnsi="Times New Roman" w:cs="Times New Roman"/>
          <w:i/>
          <w:noProof/>
        </w:rPr>
        <w:t>acy</w:t>
      </w:r>
      <w:r w:rsidRPr="00316FCF">
        <w:rPr>
          <w:rFonts w:ascii="Times New Roman" w:hAnsi="Times New Roman" w:cs="Times New Roman"/>
          <w:i/>
          <w:noProof/>
        </w:rPr>
        <w:t xml:space="preserve"> </w:t>
      </w:r>
      <w:r w:rsidRPr="00316FCF">
        <w:rPr>
          <w:rFonts w:ascii="Times New Roman" w:hAnsi="Times New Roman" w:cs="Times New Roman"/>
          <w:iCs/>
          <w:noProof/>
        </w:rPr>
        <w:t>41</w:t>
      </w:r>
      <w:r w:rsidRPr="00316FCF">
        <w:rPr>
          <w:rFonts w:ascii="Times New Roman" w:hAnsi="Times New Roman" w:cs="Times New Roman"/>
          <w:noProof/>
        </w:rPr>
        <w:t>(3)</w:t>
      </w:r>
      <w:r w:rsidR="006668F2" w:rsidRPr="00316FCF">
        <w:rPr>
          <w:rFonts w:ascii="Times New Roman" w:hAnsi="Times New Roman" w:cs="Times New Roman"/>
          <w:noProof/>
        </w:rPr>
        <w:t>:</w:t>
      </w:r>
      <w:r w:rsidRPr="00316FCF">
        <w:rPr>
          <w:rFonts w:ascii="Times New Roman" w:hAnsi="Times New Roman" w:cs="Times New Roman"/>
          <w:noProof/>
        </w:rPr>
        <w:t xml:space="preserve"> 691</w:t>
      </w:r>
      <w:r w:rsidR="006668F2" w:rsidRPr="00316FCF">
        <w:rPr>
          <w:rFonts w:ascii="Times New Roman" w:hAnsi="Times New Roman" w:cs="Times New Roman"/>
          <w:noProof/>
        </w:rPr>
        <w:t>–</w:t>
      </w:r>
      <w:r w:rsidRPr="00316FCF">
        <w:rPr>
          <w:rFonts w:ascii="Times New Roman" w:hAnsi="Times New Roman" w:cs="Times New Roman"/>
          <w:noProof/>
        </w:rPr>
        <w:t>699. doi:10.1007/s11096-019-00834-2</w:t>
      </w:r>
    </w:p>
    <w:p w14:paraId="18EDB3A0" w14:textId="41C99598"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Dreijer</w:t>
      </w:r>
      <w:r w:rsidR="006668F2" w:rsidRPr="00316FCF">
        <w:rPr>
          <w:rFonts w:ascii="Times New Roman" w:hAnsi="Times New Roman" w:cs="Times New Roman"/>
          <w:noProof/>
        </w:rPr>
        <w:t xml:space="preserve"> </w:t>
      </w:r>
      <w:r w:rsidRPr="00316FCF">
        <w:rPr>
          <w:rFonts w:ascii="Times New Roman" w:hAnsi="Times New Roman" w:cs="Times New Roman"/>
          <w:noProof/>
        </w:rPr>
        <w:t>AR, Kruip M, Diepstraten J,</w:t>
      </w:r>
      <w:r w:rsidR="006668F2" w:rsidRPr="00316FCF">
        <w:rPr>
          <w:rFonts w:ascii="Times New Roman" w:hAnsi="Times New Roman" w:cs="Times New Roman"/>
          <w:noProof/>
        </w:rPr>
        <w:t xml:space="preserve"> et al</w:t>
      </w:r>
      <w:r w:rsidRPr="00316FCF">
        <w:rPr>
          <w:rFonts w:ascii="Times New Roman" w:hAnsi="Times New Roman" w:cs="Times New Roman"/>
          <w:noProof/>
        </w:rPr>
        <w:t xml:space="preserve">. 2020. Effect of antithrombotic stewardship on the efficacy and safety of antithrombotic therapy during and after hospitalization. </w:t>
      </w:r>
      <w:r w:rsidRPr="00316FCF">
        <w:rPr>
          <w:rFonts w:ascii="Times New Roman" w:hAnsi="Times New Roman" w:cs="Times New Roman"/>
          <w:i/>
          <w:noProof/>
        </w:rPr>
        <w:t xml:space="preserve">PLoS One </w:t>
      </w:r>
      <w:r w:rsidRPr="00316FCF">
        <w:rPr>
          <w:rFonts w:ascii="Times New Roman" w:hAnsi="Times New Roman" w:cs="Times New Roman"/>
          <w:iCs/>
          <w:noProof/>
        </w:rPr>
        <w:t>15</w:t>
      </w:r>
      <w:r w:rsidRPr="00316FCF">
        <w:rPr>
          <w:rFonts w:ascii="Times New Roman" w:hAnsi="Times New Roman" w:cs="Times New Roman"/>
          <w:noProof/>
        </w:rPr>
        <w:t>(6)</w:t>
      </w:r>
      <w:r w:rsidR="006668F2" w:rsidRPr="00316FCF">
        <w:rPr>
          <w:rFonts w:ascii="Times New Roman" w:hAnsi="Times New Roman" w:cs="Times New Roman"/>
          <w:noProof/>
        </w:rPr>
        <w:t>:</w:t>
      </w:r>
      <w:r w:rsidRPr="00316FCF">
        <w:rPr>
          <w:rFonts w:ascii="Times New Roman" w:hAnsi="Times New Roman" w:cs="Times New Roman"/>
          <w:noProof/>
        </w:rPr>
        <w:t xml:space="preserve"> e0235048. doi:10.1371/journal.pone.0235048</w:t>
      </w:r>
    </w:p>
    <w:p w14:paraId="7210C070" w14:textId="5C724B0E"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Dunn AS, Shetreat-Klein A, Berman J, </w:t>
      </w:r>
      <w:r w:rsidR="00E614AB" w:rsidRPr="00316FCF">
        <w:rPr>
          <w:rFonts w:ascii="Times New Roman" w:hAnsi="Times New Roman" w:cs="Times New Roman"/>
          <w:noProof/>
        </w:rPr>
        <w:t xml:space="preserve">et al. </w:t>
      </w:r>
      <w:r w:rsidRPr="00316FCF">
        <w:rPr>
          <w:rFonts w:ascii="Times New Roman" w:hAnsi="Times New Roman" w:cs="Times New Roman"/>
          <w:noProof/>
        </w:rPr>
        <w:t xml:space="preserve">2015. Improving transitions of care for patients on warfarin: The safe transitions anticoagulation report. </w:t>
      </w:r>
      <w:r w:rsidRPr="00316FCF">
        <w:rPr>
          <w:rFonts w:ascii="Times New Roman" w:hAnsi="Times New Roman" w:cs="Times New Roman"/>
          <w:i/>
          <w:noProof/>
        </w:rPr>
        <w:t>J</w:t>
      </w:r>
      <w:r w:rsidR="00E614AB" w:rsidRPr="00316FCF">
        <w:rPr>
          <w:rFonts w:ascii="Times New Roman" w:hAnsi="Times New Roman" w:cs="Times New Roman"/>
          <w:i/>
          <w:noProof/>
        </w:rPr>
        <w:t>ournal of</w:t>
      </w:r>
      <w:r w:rsidRPr="00316FCF">
        <w:rPr>
          <w:rFonts w:ascii="Times New Roman" w:hAnsi="Times New Roman" w:cs="Times New Roman"/>
          <w:i/>
          <w:noProof/>
        </w:rPr>
        <w:t xml:space="preserve"> Hosp</w:t>
      </w:r>
      <w:r w:rsidR="00E614AB" w:rsidRPr="00316FCF">
        <w:rPr>
          <w:rFonts w:ascii="Times New Roman" w:hAnsi="Times New Roman" w:cs="Times New Roman"/>
          <w:i/>
          <w:noProof/>
        </w:rPr>
        <w:t>ital</w:t>
      </w:r>
      <w:r w:rsidRPr="00316FCF">
        <w:rPr>
          <w:rFonts w:ascii="Times New Roman" w:hAnsi="Times New Roman" w:cs="Times New Roman"/>
          <w:i/>
          <w:noProof/>
        </w:rPr>
        <w:t xml:space="preserve"> Med</w:t>
      </w:r>
      <w:r w:rsidR="00E614AB" w:rsidRPr="00316FCF">
        <w:rPr>
          <w:rFonts w:ascii="Times New Roman" w:hAnsi="Times New Roman" w:cs="Times New Roman"/>
          <w:i/>
          <w:noProof/>
        </w:rPr>
        <w:t>icine</w:t>
      </w:r>
      <w:r w:rsidRPr="00316FCF">
        <w:rPr>
          <w:rFonts w:ascii="Times New Roman" w:hAnsi="Times New Roman" w:cs="Times New Roman"/>
          <w:i/>
          <w:noProof/>
        </w:rPr>
        <w:t xml:space="preserve"> </w:t>
      </w:r>
      <w:r w:rsidRPr="00316FCF">
        <w:rPr>
          <w:rFonts w:ascii="Times New Roman" w:hAnsi="Times New Roman" w:cs="Times New Roman"/>
          <w:iCs/>
          <w:noProof/>
        </w:rPr>
        <w:t>10</w:t>
      </w:r>
      <w:r w:rsidRPr="00316FCF">
        <w:rPr>
          <w:rFonts w:ascii="Times New Roman" w:hAnsi="Times New Roman" w:cs="Times New Roman"/>
          <w:noProof/>
        </w:rPr>
        <w:t>(9)</w:t>
      </w:r>
      <w:r w:rsidR="00E614AB" w:rsidRPr="00316FCF">
        <w:rPr>
          <w:rFonts w:ascii="Times New Roman" w:hAnsi="Times New Roman" w:cs="Times New Roman"/>
          <w:noProof/>
        </w:rPr>
        <w:t>:</w:t>
      </w:r>
      <w:r w:rsidRPr="00316FCF">
        <w:rPr>
          <w:rFonts w:ascii="Times New Roman" w:hAnsi="Times New Roman" w:cs="Times New Roman"/>
          <w:noProof/>
        </w:rPr>
        <w:t xml:space="preserve"> 615</w:t>
      </w:r>
      <w:r w:rsidR="00E614AB" w:rsidRPr="00316FCF">
        <w:rPr>
          <w:rFonts w:ascii="Times New Roman" w:hAnsi="Times New Roman" w:cs="Times New Roman"/>
          <w:noProof/>
        </w:rPr>
        <w:t>–</w:t>
      </w:r>
      <w:r w:rsidRPr="00316FCF">
        <w:rPr>
          <w:rFonts w:ascii="Times New Roman" w:hAnsi="Times New Roman" w:cs="Times New Roman"/>
          <w:noProof/>
        </w:rPr>
        <w:t>618. doi:10.1002/jhm.2393</w:t>
      </w:r>
    </w:p>
    <w:p w14:paraId="07B38C31" w14:textId="1075841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Entezari-Maleki</w:t>
      </w:r>
      <w:r w:rsidR="00E614AB" w:rsidRPr="00316FCF">
        <w:rPr>
          <w:rFonts w:ascii="Times New Roman" w:hAnsi="Times New Roman" w:cs="Times New Roman"/>
          <w:noProof/>
        </w:rPr>
        <w:t xml:space="preserve"> </w:t>
      </w:r>
      <w:r w:rsidRPr="00316FCF">
        <w:rPr>
          <w:rFonts w:ascii="Times New Roman" w:hAnsi="Times New Roman" w:cs="Times New Roman"/>
          <w:noProof/>
        </w:rPr>
        <w:t xml:space="preserve">T, Dousti S, Hamishehkar H, </w:t>
      </w:r>
      <w:r w:rsidR="00E614AB" w:rsidRPr="00316FCF">
        <w:rPr>
          <w:rFonts w:ascii="Times New Roman" w:hAnsi="Times New Roman" w:cs="Times New Roman"/>
          <w:noProof/>
        </w:rPr>
        <w:t>and</w:t>
      </w:r>
      <w:r w:rsidRPr="00316FCF">
        <w:rPr>
          <w:rFonts w:ascii="Times New Roman" w:hAnsi="Times New Roman" w:cs="Times New Roman"/>
          <w:noProof/>
        </w:rPr>
        <w:t xml:space="preserve"> Gholami K. 2016. A systematic review on comparing 2 common models for management of warfarin therapy; pharmacist-led service versus usual medical care. </w:t>
      </w:r>
      <w:r w:rsidRPr="00316FCF">
        <w:rPr>
          <w:rFonts w:ascii="Times New Roman" w:hAnsi="Times New Roman" w:cs="Times New Roman"/>
          <w:i/>
          <w:noProof/>
        </w:rPr>
        <w:t>J</w:t>
      </w:r>
      <w:r w:rsidR="00E614AB" w:rsidRPr="00316FCF">
        <w:rPr>
          <w:rFonts w:ascii="Times New Roman" w:hAnsi="Times New Roman" w:cs="Times New Roman"/>
          <w:i/>
          <w:noProof/>
        </w:rPr>
        <w:t>ournal of</w:t>
      </w:r>
      <w:r w:rsidRPr="00316FCF">
        <w:rPr>
          <w:rFonts w:ascii="Times New Roman" w:hAnsi="Times New Roman" w:cs="Times New Roman"/>
          <w:i/>
          <w:noProof/>
        </w:rPr>
        <w:t xml:space="preserve"> Clin</w:t>
      </w:r>
      <w:r w:rsidR="00E614AB" w:rsidRPr="00316FCF">
        <w:rPr>
          <w:rFonts w:ascii="Times New Roman" w:hAnsi="Times New Roman" w:cs="Times New Roman"/>
          <w:i/>
          <w:noProof/>
        </w:rPr>
        <w:t>ical</w:t>
      </w:r>
      <w:r w:rsidRPr="00316FCF">
        <w:rPr>
          <w:rFonts w:ascii="Times New Roman" w:hAnsi="Times New Roman" w:cs="Times New Roman"/>
          <w:i/>
          <w:noProof/>
        </w:rPr>
        <w:t xml:space="preserve"> Pharmacol</w:t>
      </w:r>
      <w:r w:rsidR="002A4E78" w:rsidRPr="00316FCF">
        <w:rPr>
          <w:rFonts w:ascii="Times New Roman" w:hAnsi="Times New Roman" w:cs="Times New Roman"/>
          <w:i/>
          <w:noProof/>
        </w:rPr>
        <w:t>ogy</w:t>
      </w:r>
      <w:r w:rsidRPr="00316FCF">
        <w:rPr>
          <w:rFonts w:ascii="Times New Roman" w:hAnsi="Times New Roman" w:cs="Times New Roman"/>
          <w:i/>
          <w:noProof/>
        </w:rPr>
        <w:t xml:space="preserve"> </w:t>
      </w:r>
      <w:r w:rsidRPr="00316FCF">
        <w:rPr>
          <w:rFonts w:ascii="Times New Roman" w:hAnsi="Times New Roman" w:cs="Times New Roman"/>
          <w:iCs/>
          <w:noProof/>
        </w:rPr>
        <w:t>56</w:t>
      </w:r>
      <w:r w:rsidRPr="00316FCF">
        <w:rPr>
          <w:rFonts w:ascii="Times New Roman" w:hAnsi="Times New Roman" w:cs="Times New Roman"/>
          <w:noProof/>
        </w:rPr>
        <w:t>(1)</w:t>
      </w:r>
      <w:r w:rsidR="002A4E78" w:rsidRPr="00316FCF">
        <w:rPr>
          <w:rFonts w:ascii="Times New Roman" w:hAnsi="Times New Roman" w:cs="Times New Roman"/>
          <w:noProof/>
        </w:rPr>
        <w:t>:</w:t>
      </w:r>
      <w:r w:rsidRPr="00316FCF">
        <w:rPr>
          <w:rFonts w:ascii="Times New Roman" w:hAnsi="Times New Roman" w:cs="Times New Roman"/>
          <w:noProof/>
        </w:rPr>
        <w:t xml:space="preserve"> 24</w:t>
      </w:r>
      <w:r w:rsidR="002A4E78" w:rsidRPr="00316FCF">
        <w:rPr>
          <w:rFonts w:ascii="Times New Roman" w:hAnsi="Times New Roman" w:cs="Times New Roman"/>
          <w:noProof/>
        </w:rPr>
        <w:t>–</w:t>
      </w:r>
      <w:r w:rsidRPr="00316FCF">
        <w:rPr>
          <w:rFonts w:ascii="Times New Roman" w:hAnsi="Times New Roman" w:cs="Times New Roman"/>
          <w:noProof/>
        </w:rPr>
        <w:t>38. doi:10.1002/jcph.576</w:t>
      </w:r>
    </w:p>
    <w:p w14:paraId="0E15DEE3" w14:textId="14E06F00"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Frazer A, Rowland J, Mudge A</w:t>
      </w:r>
      <w:r w:rsidR="002A4E78" w:rsidRPr="00316FCF">
        <w:rPr>
          <w:rFonts w:ascii="Times New Roman" w:hAnsi="Times New Roman" w:cs="Times New Roman"/>
          <w:noProof/>
        </w:rPr>
        <w:t xml:space="preserve">, et al. </w:t>
      </w:r>
      <w:r w:rsidRPr="00316FCF">
        <w:rPr>
          <w:rFonts w:ascii="Times New Roman" w:hAnsi="Times New Roman" w:cs="Times New Roman"/>
          <w:noProof/>
        </w:rPr>
        <w:t xml:space="preserve">2019. Systematic review of interventions to improve safety and quality of anticoagulant prescribing for therapeutic indications for hospital inpatients. </w:t>
      </w:r>
      <w:r w:rsidRPr="00316FCF">
        <w:rPr>
          <w:rFonts w:ascii="Times New Roman" w:hAnsi="Times New Roman" w:cs="Times New Roman"/>
          <w:i/>
          <w:noProof/>
        </w:rPr>
        <w:t>Eur</w:t>
      </w:r>
      <w:r w:rsidR="002A4E78" w:rsidRPr="00316FCF">
        <w:rPr>
          <w:rFonts w:ascii="Times New Roman" w:hAnsi="Times New Roman" w:cs="Times New Roman"/>
          <w:i/>
          <w:noProof/>
        </w:rPr>
        <w:t>opean</w:t>
      </w:r>
      <w:r w:rsidRPr="00316FCF">
        <w:rPr>
          <w:rFonts w:ascii="Times New Roman" w:hAnsi="Times New Roman" w:cs="Times New Roman"/>
          <w:i/>
          <w:noProof/>
        </w:rPr>
        <w:t xml:space="preserve"> J</w:t>
      </w:r>
      <w:r w:rsidR="002A4E78" w:rsidRPr="00316FCF">
        <w:rPr>
          <w:rFonts w:ascii="Times New Roman" w:hAnsi="Times New Roman" w:cs="Times New Roman"/>
          <w:i/>
          <w:noProof/>
        </w:rPr>
        <w:t>ournal of</w:t>
      </w:r>
      <w:r w:rsidRPr="00316FCF">
        <w:rPr>
          <w:rFonts w:ascii="Times New Roman" w:hAnsi="Times New Roman" w:cs="Times New Roman"/>
          <w:i/>
          <w:noProof/>
        </w:rPr>
        <w:t xml:space="preserve"> Clin</w:t>
      </w:r>
      <w:r w:rsidR="002A4E78" w:rsidRPr="00316FCF">
        <w:rPr>
          <w:rFonts w:ascii="Times New Roman" w:hAnsi="Times New Roman" w:cs="Times New Roman"/>
          <w:i/>
          <w:noProof/>
        </w:rPr>
        <w:t>ical</w:t>
      </w:r>
      <w:r w:rsidRPr="00316FCF">
        <w:rPr>
          <w:rFonts w:ascii="Times New Roman" w:hAnsi="Times New Roman" w:cs="Times New Roman"/>
          <w:i/>
          <w:noProof/>
        </w:rPr>
        <w:t xml:space="preserve"> Pharmacol</w:t>
      </w:r>
      <w:r w:rsidR="002A4E78" w:rsidRPr="00316FCF">
        <w:rPr>
          <w:rFonts w:ascii="Times New Roman" w:hAnsi="Times New Roman" w:cs="Times New Roman"/>
          <w:i/>
          <w:noProof/>
        </w:rPr>
        <w:t>ogy</w:t>
      </w:r>
      <w:r w:rsidRPr="00316FCF">
        <w:rPr>
          <w:rFonts w:ascii="Times New Roman" w:hAnsi="Times New Roman" w:cs="Times New Roman"/>
          <w:i/>
          <w:noProof/>
        </w:rPr>
        <w:t xml:space="preserve"> </w:t>
      </w:r>
      <w:r w:rsidRPr="00316FCF">
        <w:rPr>
          <w:rFonts w:ascii="Times New Roman" w:hAnsi="Times New Roman" w:cs="Times New Roman"/>
          <w:iCs/>
          <w:noProof/>
        </w:rPr>
        <w:t>75</w:t>
      </w:r>
      <w:r w:rsidRPr="00316FCF">
        <w:rPr>
          <w:rFonts w:ascii="Times New Roman" w:hAnsi="Times New Roman" w:cs="Times New Roman"/>
          <w:noProof/>
        </w:rPr>
        <w:t>(12)</w:t>
      </w:r>
      <w:r w:rsidR="002A4E78" w:rsidRPr="00316FCF">
        <w:rPr>
          <w:rFonts w:ascii="Times New Roman" w:hAnsi="Times New Roman" w:cs="Times New Roman"/>
          <w:noProof/>
        </w:rPr>
        <w:t>:</w:t>
      </w:r>
      <w:r w:rsidRPr="00316FCF">
        <w:rPr>
          <w:rFonts w:ascii="Times New Roman" w:hAnsi="Times New Roman" w:cs="Times New Roman"/>
          <w:noProof/>
        </w:rPr>
        <w:t xml:space="preserve"> 1645</w:t>
      </w:r>
      <w:r w:rsidR="002A4E78" w:rsidRPr="00316FCF">
        <w:rPr>
          <w:rFonts w:ascii="Times New Roman" w:hAnsi="Times New Roman" w:cs="Times New Roman"/>
          <w:noProof/>
        </w:rPr>
        <w:t>–</w:t>
      </w:r>
      <w:r w:rsidRPr="00316FCF">
        <w:rPr>
          <w:rFonts w:ascii="Times New Roman" w:hAnsi="Times New Roman" w:cs="Times New Roman"/>
          <w:noProof/>
        </w:rPr>
        <w:t>1657. doi:10.1007/s00228-019-02752-8</w:t>
      </w:r>
    </w:p>
    <w:p w14:paraId="78146EF2" w14:textId="58BD2A6F"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Gurwitz JH, Kapoor A, Garber L,</w:t>
      </w:r>
      <w:r w:rsidR="002A4E78" w:rsidRPr="00316FCF">
        <w:rPr>
          <w:rFonts w:ascii="Times New Roman" w:hAnsi="Times New Roman" w:cs="Times New Roman"/>
          <w:noProof/>
        </w:rPr>
        <w:t xml:space="preserve"> et al.</w:t>
      </w:r>
      <w:r w:rsidRPr="00316FCF">
        <w:rPr>
          <w:rFonts w:ascii="Times New Roman" w:hAnsi="Times New Roman" w:cs="Times New Roman"/>
          <w:noProof/>
        </w:rPr>
        <w:t xml:space="preserve"> 2021. Effect of a Multifaceted Clinical Pharmacist Intervention on Medication Safety After Hospitalization in Persons Prescribed High-risk Medications: A Randomized Clinical Trial. </w:t>
      </w:r>
      <w:r w:rsidRPr="00316FCF">
        <w:rPr>
          <w:rFonts w:ascii="Times New Roman" w:hAnsi="Times New Roman" w:cs="Times New Roman"/>
          <w:i/>
          <w:noProof/>
        </w:rPr>
        <w:t>JAMA Intern</w:t>
      </w:r>
      <w:r w:rsidR="002A4E78" w:rsidRPr="00316FCF">
        <w:rPr>
          <w:rFonts w:ascii="Times New Roman" w:hAnsi="Times New Roman" w:cs="Times New Roman"/>
          <w:i/>
          <w:noProof/>
        </w:rPr>
        <w:t>al</w:t>
      </w:r>
      <w:r w:rsidRPr="00316FCF">
        <w:rPr>
          <w:rFonts w:ascii="Times New Roman" w:hAnsi="Times New Roman" w:cs="Times New Roman"/>
          <w:i/>
          <w:noProof/>
        </w:rPr>
        <w:t xml:space="preserve"> Med</w:t>
      </w:r>
      <w:r w:rsidR="002A4E78" w:rsidRPr="00316FCF">
        <w:rPr>
          <w:rFonts w:ascii="Times New Roman" w:hAnsi="Times New Roman" w:cs="Times New Roman"/>
          <w:i/>
          <w:noProof/>
        </w:rPr>
        <w:t>icine</w:t>
      </w:r>
      <w:r w:rsidRPr="00316FCF">
        <w:rPr>
          <w:rFonts w:ascii="Times New Roman" w:hAnsi="Times New Roman" w:cs="Times New Roman"/>
          <w:i/>
          <w:noProof/>
        </w:rPr>
        <w:t xml:space="preserve"> </w:t>
      </w:r>
      <w:r w:rsidRPr="00316FCF">
        <w:rPr>
          <w:rFonts w:ascii="Times New Roman" w:hAnsi="Times New Roman" w:cs="Times New Roman"/>
          <w:iCs/>
          <w:noProof/>
        </w:rPr>
        <w:t>181</w:t>
      </w:r>
      <w:r w:rsidRPr="00316FCF">
        <w:rPr>
          <w:rFonts w:ascii="Times New Roman" w:hAnsi="Times New Roman" w:cs="Times New Roman"/>
          <w:noProof/>
        </w:rPr>
        <w:t>(5)</w:t>
      </w:r>
      <w:r w:rsidR="002A4E78" w:rsidRPr="00316FCF">
        <w:rPr>
          <w:rFonts w:ascii="Times New Roman" w:hAnsi="Times New Roman" w:cs="Times New Roman"/>
          <w:noProof/>
        </w:rPr>
        <w:t>:</w:t>
      </w:r>
      <w:r w:rsidRPr="00316FCF">
        <w:rPr>
          <w:rFonts w:ascii="Times New Roman" w:hAnsi="Times New Roman" w:cs="Times New Roman"/>
          <w:noProof/>
        </w:rPr>
        <w:t xml:space="preserve"> 610</w:t>
      </w:r>
      <w:r w:rsidR="002A4E78" w:rsidRPr="00316FCF">
        <w:rPr>
          <w:rFonts w:ascii="Times New Roman" w:hAnsi="Times New Roman" w:cs="Times New Roman"/>
          <w:noProof/>
        </w:rPr>
        <w:t>–</w:t>
      </w:r>
      <w:r w:rsidRPr="00316FCF">
        <w:rPr>
          <w:rFonts w:ascii="Times New Roman" w:hAnsi="Times New Roman" w:cs="Times New Roman"/>
          <w:noProof/>
        </w:rPr>
        <w:t>618.</w:t>
      </w:r>
      <w:r w:rsidR="00336FD0" w:rsidRPr="00316FCF">
        <w:rPr>
          <w:rFonts w:ascii="Times New Roman" w:hAnsi="Times New Roman" w:cs="Times New Roman"/>
          <w:noProof/>
        </w:rPr>
        <w:t xml:space="preserve"> </w:t>
      </w:r>
      <w:r w:rsidRPr="00316FCF">
        <w:rPr>
          <w:rFonts w:ascii="Times New Roman" w:hAnsi="Times New Roman" w:cs="Times New Roman"/>
          <w:noProof/>
        </w:rPr>
        <w:t>doi:10.1001/jamainternmed.2020.9285</w:t>
      </w:r>
    </w:p>
    <w:p w14:paraId="42F13ADE" w14:textId="2AD47C0C"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Hale A, Merlo G, Nissen L, </w:t>
      </w:r>
      <w:r w:rsidR="002A4E78" w:rsidRPr="00316FCF">
        <w:rPr>
          <w:rFonts w:ascii="Times New Roman" w:hAnsi="Times New Roman" w:cs="Times New Roman"/>
          <w:noProof/>
        </w:rPr>
        <w:t xml:space="preserve">et al. </w:t>
      </w:r>
      <w:r w:rsidRPr="00316FCF">
        <w:rPr>
          <w:rFonts w:ascii="Times New Roman" w:hAnsi="Times New Roman" w:cs="Times New Roman"/>
          <w:noProof/>
        </w:rPr>
        <w:t xml:space="preserve">2018. Cost-effectiveness analysis of doctor-pharmacist collaborative prescribing for venous thromboembolism in high risk surgical patients. </w:t>
      </w:r>
      <w:r w:rsidRPr="00316FCF">
        <w:rPr>
          <w:rFonts w:ascii="Times New Roman" w:hAnsi="Times New Roman" w:cs="Times New Roman"/>
          <w:i/>
          <w:noProof/>
        </w:rPr>
        <w:t>BMC Health Serv</w:t>
      </w:r>
      <w:r w:rsidR="002A4E78" w:rsidRPr="00316FCF">
        <w:rPr>
          <w:rFonts w:ascii="Times New Roman" w:hAnsi="Times New Roman" w:cs="Times New Roman"/>
          <w:i/>
          <w:noProof/>
        </w:rPr>
        <w:t>ices</w:t>
      </w:r>
      <w:r w:rsidRPr="00316FCF">
        <w:rPr>
          <w:rFonts w:ascii="Times New Roman" w:hAnsi="Times New Roman" w:cs="Times New Roman"/>
          <w:i/>
          <w:noProof/>
        </w:rPr>
        <w:t xml:space="preserve"> Res</w:t>
      </w:r>
      <w:r w:rsidR="002A4E78" w:rsidRPr="00316FCF">
        <w:rPr>
          <w:rFonts w:ascii="Times New Roman" w:hAnsi="Times New Roman" w:cs="Times New Roman"/>
          <w:i/>
          <w:noProof/>
        </w:rPr>
        <w:t>earch</w:t>
      </w:r>
      <w:r w:rsidRPr="00316FCF">
        <w:rPr>
          <w:rFonts w:ascii="Times New Roman" w:hAnsi="Times New Roman" w:cs="Times New Roman"/>
          <w:i/>
          <w:noProof/>
        </w:rPr>
        <w:t xml:space="preserve"> </w:t>
      </w:r>
      <w:r w:rsidRPr="00316FCF">
        <w:rPr>
          <w:rFonts w:ascii="Times New Roman" w:hAnsi="Times New Roman" w:cs="Times New Roman"/>
          <w:iCs/>
          <w:noProof/>
        </w:rPr>
        <w:t>18</w:t>
      </w:r>
      <w:r w:rsidRPr="00316FCF">
        <w:rPr>
          <w:rFonts w:ascii="Times New Roman" w:hAnsi="Times New Roman" w:cs="Times New Roman"/>
          <w:noProof/>
        </w:rPr>
        <w:t>(1)</w:t>
      </w:r>
      <w:r w:rsidR="002A4E78" w:rsidRPr="00316FCF">
        <w:rPr>
          <w:rFonts w:ascii="Times New Roman" w:hAnsi="Times New Roman" w:cs="Times New Roman"/>
          <w:noProof/>
        </w:rPr>
        <w:t>:</w:t>
      </w:r>
      <w:r w:rsidRPr="00316FCF">
        <w:rPr>
          <w:rFonts w:ascii="Times New Roman" w:hAnsi="Times New Roman" w:cs="Times New Roman"/>
          <w:noProof/>
        </w:rPr>
        <w:t xml:space="preserve"> 749. doi:10.1186/s12913-018-3557-0</w:t>
      </w:r>
    </w:p>
    <w:p w14:paraId="3B6C215A" w14:textId="7E51EAA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Haque H, Alrowily A, Jalal Z, </w:t>
      </w:r>
      <w:r w:rsidR="002A4E78" w:rsidRPr="00316FCF">
        <w:rPr>
          <w:rFonts w:ascii="Times New Roman" w:hAnsi="Times New Roman" w:cs="Times New Roman"/>
          <w:noProof/>
        </w:rPr>
        <w:t xml:space="preserve">et al. </w:t>
      </w:r>
      <w:r w:rsidRPr="00316FCF">
        <w:rPr>
          <w:rFonts w:ascii="Times New Roman" w:hAnsi="Times New Roman" w:cs="Times New Roman"/>
          <w:noProof/>
        </w:rPr>
        <w:t xml:space="preserve">2021. Direct oral anticoagulant-related medication incidents and pharmacists' interventions in hospital in-patients: evaluation using reason's accident causation theory. </w:t>
      </w:r>
      <w:r w:rsidRPr="00316FCF">
        <w:rPr>
          <w:rFonts w:ascii="Times New Roman" w:hAnsi="Times New Roman" w:cs="Times New Roman"/>
          <w:i/>
          <w:noProof/>
        </w:rPr>
        <w:t>Int</w:t>
      </w:r>
      <w:r w:rsidR="002A4E78"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2A4E78" w:rsidRPr="00316FCF">
        <w:rPr>
          <w:rFonts w:ascii="Times New Roman" w:hAnsi="Times New Roman" w:cs="Times New Roman"/>
          <w:i/>
          <w:noProof/>
        </w:rPr>
        <w:t>ournal of</w:t>
      </w:r>
      <w:r w:rsidRPr="00316FCF">
        <w:rPr>
          <w:rFonts w:ascii="Times New Roman" w:hAnsi="Times New Roman" w:cs="Times New Roman"/>
          <w:i/>
          <w:noProof/>
        </w:rPr>
        <w:t xml:space="preserve"> Clin</w:t>
      </w:r>
      <w:r w:rsidR="002A4E78" w:rsidRPr="00316FCF">
        <w:rPr>
          <w:rFonts w:ascii="Times New Roman" w:hAnsi="Times New Roman" w:cs="Times New Roman"/>
          <w:i/>
          <w:noProof/>
        </w:rPr>
        <w:t>ical</w:t>
      </w:r>
      <w:r w:rsidRPr="00316FCF">
        <w:rPr>
          <w:rFonts w:ascii="Times New Roman" w:hAnsi="Times New Roman" w:cs="Times New Roman"/>
          <w:i/>
          <w:noProof/>
        </w:rPr>
        <w:t xml:space="preserve"> Pharm</w:t>
      </w:r>
      <w:r w:rsidR="002A4E78" w:rsidRPr="00316FCF">
        <w:rPr>
          <w:rFonts w:ascii="Times New Roman" w:hAnsi="Times New Roman" w:cs="Times New Roman"/>
          <w:i/>
          <w:noProof/>
        </w:rPr>
        <w:t>acy</w:t>
      </w:r>
      <w:r w:rsidRPr="00316FCF">
        <w:rPr>
          <w:rFonts w:ascii="Times New Roman" w:hAnsi="Times New Roman" w:cs="Times New Roman"/>
          <w:iCs/>
          <w:noProof/>
        </w:rPr>
        <w:t xml:space="preserve"> 43</w:t>
      </w:r>
      <w:r w:rsidRPr="00316FCF">
        <w:rPr>
          <w:rFonts w:ascii="Times New Roman" w:hAnsi="Times New Roman" w:cs="Times New Roman"/>
          <w:noProof/>
        </w:rPr>
        <w:t>(6)</w:t>
      </w:r>
      <w:r w:rsidR="002A4E78" w:rsidRPr="00316FCF">
        <w:rPr>
          <w:rFonts w:ascii="Times New Roman" w:hAnsi="Times New Roman" w:cs="Times New Roman"/>
          <w:noProof/>
        </w:rPr>
        <w:t>:</w:t>
      </w:r>
      <w:r w:rsidRPr="00316FCF">
        <w:rPr>
          <w:rFonts w:ascii="Times New Roman" w:hAnsi="Times New Roman" w:cs="Times New Roman"/>
          <w:noProof/>
        </w:rPr>
        <w:t xml:space="preserve"> 1693</w:t>
      </w:r>
      <w:r w:rsidR="002A4E78" w:rsidRPr="00316FCF">
        <w:rPr>
          <w:rFonts w:ascii="Times New Roman" w:hAnsi="Times New Roman" w:cs="Times New Roman"/>
          <w:noProof/>
        </w:rPr>
        <w:t>–</w:t>
      </w:r>
      <w:r w:rsidRPr="00316FCF">
        <w:rPr>
          <w:rFonts w:ascii="Times New Roman" w:hAnsi="Times New Roman" w:cs="Times New Roman"/>
          <w:noProof/>
        </w:rPr>
        <w:t>1704. doi:10.1007/s11096-021-01302-6</w:t>
      </w:r>
    </w:p>
    <w:p w14:paraId="3E485735" w14:textId="0F932D31"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Harris</w:t>
      </w:r>
      <w:r w:rsidR="004B7BD9" w:rsidRPr="00316FCF">
        <w:rPr>
          <w:rFonts w:ascii="Times New Roman" w:hAnsi="Times New Roman" w:cs="Times New Roman"/>
          <w:noProof/>
        </w:rPr>
        <w:t xml:space="preserve"> </w:t>
      </w:r>
      <w:r w:rsidRPr="00316FCF">
        <w:rPr>
          <w:rFonts w:ascii="Times New Roman" w:hAnsi="Times New Roman" w:cs="Times New Roman"/>
          <w:noProof/>
        </w:rPr>
        <w:t>Y, Hu DJ, Lee C,</w:t>
      </w:r>
      <w:r w:rsidR="004B7BD9" w:rsidRPr="00316FCF">
        <w:rPr>
          <w:rFonts w:ascii="Times New Roman" w:hAnsi="Times New Roman" w:cs="Times New Roman"/>
          <w:noProof/>
        </w:rPr>
        <w:t xml:space="preserve"> et al</w:t>
      </w:r>
      <w:r w:rsidRPr="00316FCF">
        <w:rPr>
          <w:rFonts w:ascii="Times New Roman" w:hAnsi="Times New Roman" w:cs="Times New Roman"/>
          <w:noProof/>
        </w:rPr>
        <w:t xml:space="preserve">. 2015. Advancing Medication Safety: Establishing a National Action Plan for Adverse Drug Event Prevention. </w:t>
      </w:r>
      <w:r w:rsidRPr="00316FCF">
        <w:rPr>
          <w:rFonts w:ascii="Times New Roman" w:hAnsi="Times New Roman" w:cs="Times New Roman"/>
          <w:i/>
          <w:noProof/>
        </w:rPr>
        <w:t xml:space="preserve">The Joint Commission Journal on Quality and Patient Safety </w:t>
      </w:r>
      <w:r w:rsidRPr="00316FCF">
        <w:rPr>
          <w:rFonts w:ascii="Times New Roman" w:hAnsi="Times New Roman" w:cs="Times New Roman"/>
          <w:iCs/>
          <w:noProof/>
        </w:rPr>
        <w:t>41</w:t>
      </w:r>
      <w:r w:rsidRPr="00316FCF">
        <w:rPr>
          <w:rFonts w:ascii="Times New Roman" w:hAnsi="Times New Roman" w:cs="Times New Roman"/>
          <w:noProof/>
        </w:rPr>
        <w:t>(8)</w:t>
      </w:r>
      <w:r w:rsidR="004B7BD9" w:rsidRPr="00316FCF">
        <w:rPr>
          <w:rFonts w:ascii="Times New Roman" w:hAnsi="Times New Roman" w:cs="Times New Roman"/>
          <w:noProof/>
        </w:rPr>
        <w:t>:</w:t>
      </w:r>
      <w:r w:rsidRPr="00316FCF">
        <w:rPr>
          <w:rFonts w:ascii="Times New Roman" w:hAnsi="Times New Roman" w:cs="Times New Roman"/>
          <w:noProof/>
        </w:rPr>
        <w:t xml:space="preserve"> 351</w:t>
      </w:r>
      <w:r w:rsidR="004B7BD9" w:rsidRPr="00316FCF">
        <w:rPr>
          <w:rFonts w:ascii="Times New Roman" w:hAnsi="Times New Roman" w:cs="Times New Roman"/>
          <w:noProof/>
        </w:rPr>
        <w:t>–</w:t>
      </w:r>
      <w:r w:rsidRPr="00316FCF">
        <w:rPr>
          <w:rFonts w:ascii="Times New Roman" w:hAnsi="Times New Roman" w:cs="Times New Roman"/>
          <w:noProof/>
        </w:rPr>
        <w:t>360. doi:10.1016/S1553-7250(15)41046-3</w:t>
      </w:r>
    </w:p>
    <w:p w14:paraId="78465A1A" w14:textId="1C397A62"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Health Improvement Scotland. 2015. </w:t>
      </w:r>
      <w:r w:rsidRPr="00316FCF">
        <w:rPr>
          <w:rFonts w:ascii="Times New Roman" w:hAnsi="Times New Roman" w:cs="Times New Roman"/>
          <w:i/>
          <w:noProof/>
        </w:rPr>
        <w:t>Warfarin Bundle Rationale</w:t>
      </w:r>
      <w:r w:rsidRPr="00316FCF">
        <w:rPr>
          <w:rFonts w:ascii="Times New Roman" w:hAnsi="Times New Roman" w:cs="Times New Roman"/>
          <w:noProof/>
        </w:rPr>
        <w:t>. Retrieved from</w:t>
      </w:r>
      <w:r w:rsidR="004B7BD9" w:rsidRPr="00316FCF">
        <w:rPr>
          <w:rFonts w:ascii="Times New Roman" w:hAnsi="Times New Roman" w:cs="Times New Roman"/>
          <w:noProof/>
        </w:rPr>
        <w:t>:</w:t>
      </w:r>
      <w:r w:rsidRPr="00316FCF">
        <w:rPr>
          <w:rFonts w:ascii="Times New Roman" w:hAnsi="Times New Roman" w:cs="Times New Roman"/>
          <w:noProof/>
        </w:rPr>
        <w:t xml:space="preserve"> </w:t>
      </w:r>
      <w:hyperlink r:id="rId27" w:history="1">
        <w:r w:rsidR="00336FD0" w:rsidRPr="00316FCF">
          <w:rPr>
            <w:rStyle w:val="Hyperlink"/>
            <w:rFonts w:ascii="Times New Roman" w:hAnsi="Times New Roman" w:cs="Times New Roman"/>
            <w:noProof/>
          </w:rPr>
          <w:t>https://ihub.scot/media/1068/2017-warfarin-bundle-rational.pdf</w:t>
        </w:r>
      </w:hyperlink>
      <w:r w:rsidR="00336FD0" w:rsidRPr="00316FCF">
        <w:rPr>
          <w:rFonts w:ascii="Times New Roman" w:hAnsi="Times New Roman" w:cs="Times New Roman"/>
          <w:noProof/>
        </w:rPr>
        <w:t xml:space="preserve"> (accessed 16 June 2022).</w:t>
      </w:r>
    </w:p>
    <w:p w14:paraId="3DFB8D15" w14:textId="49CB7895"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Ibáñez-Garcia S, Rodriguez-Gonzalez C, Escudero-Vilaplana V,</w:t>
      </w:r>
      <w:r w:rsidR="004B7BD9" w:rsidRPr="00316FCF">
        <w:rPr>
          <w:rFonts w:ascii="Times New Roman" w:hAnsi="Times New Roman" w:cs="Times New Roman"/>
          <w:noProof/>
        </w:rPr>
        <w:t xml:space="preserve"> et al. </w:t>
      </w:r>
      <w:r w:rsidRPr="00316FCF">
        <w:rPr>
          <w:rFonts w:ascii="Times New Roman" w:hAnsi="Times New Roman" w:cs="Times New Roman"/>
          <w:noProof/>
        </w:rPr>
        <w:t xml:space="preserve">2019. Development and Evaluation of a Clinical Decision Support System to Improve Medication Safety. </w:t>
      </w:r>
      <w:r w:rsidRPr="00316FCF">
        <w:rPr>
          <w:rFonts w:ascii="Times New Roman" w:hAnsi="Times New Roman" w:cs="Times New Roman"/>
          <w:i/>
          <w:noProof/>
        </w:rPr>
        <w:t>Appl</w:t>
      </w:r>
      <w:r w:rsidR="004B7BD9" w:rsidRPr="00316FCF">
        <w:rPr>
          <w:rFonts w:ascii="Times New Roman" w:hAnsi="Times New Roman" w:cs="Times New Roman"/>
          <w:i/>
          <w:noProof/>
        </w:rPr>
        <w:t>ied</w:t>
      </w:r>
      <w:r w:rsidRPr="00316FCF">
        <w:rPr>
          <w:rFonts w:ascii="Times New Roman" w:hAnsi="Times New Roman" w:cs="Times New Roman"/>
          <w:i/>
          <w:noProof/>
        </w:rPr>
        <w:t xml:space="preserve"> Clin</w:t>
      </w:r>
      <w:r w:rsidR="004B7BD9" w:rsidRPr="00316FCF">
        <w:rPr>
          <w:rFonts w:ascii="Times New Roman" w:hAnsi="Times New Roman" w:cs="Times New Roman"/>
          <w:i/>
          <w:noProof/>
        </w:rPr>
        <w:t>ical</w:t>
      </w:r>
      <w:r w:rsidRPr="00316FCF">
        <w:rPr>
          <w:rFonts w:ascii="Times New Roman" w:hAnsi="Times New Roman" w:cs="Times New Roman"/>
          <w:i/>
          <w:noProof/>
        </w:rPr>
        <w:t xml:space="preserve"> Inform</w:t>
      </w:r>
      <w:r w:rsidR="004B7BD9" w:rsidRPr="00316FCF">
        <w:rPr>
          <w:rFonts w:ascii="Times New Roman" w:hAnsi="Times New Roman" w:cs="Times New Roman"/>
          <w:i/>
          <w:noProof/>
        </w:rPr>
        <w:t>atics</w:t>
      </w:r>
      <w:r w:rsidRPr="00316FCF">
        <w:rPr>
          <w:rFonts w:ascii="Times New Roman" w:hAnsi="Times New Roman" w:cs="Times New Roman"/>
          <w:i/>
          <w:noProof/>
        </w:rPr>
        <w:t xml:space="preserve"> </w:t>
      </w:r>
      <w:r w:rsidRPr="00316FCF">
        <w:rPr>
          <w:rFonts w:ascii="Times New Roman" w:hAnsi="Times New Roman" w:cs="Times New Roman"/>
          <w:iCs/>
          <w:noProof/>
        </w:rPr>
        <w:t>10</w:t>
      </w:r>
      <w:r w:rsidRPr="00316FCF">
        <w:rPr>
          <w:rFonts w:ascii="Times New Roman" w:hAnsi="Times New Roman" w:cs="Times New Roman"/>
          <w:noProof/>
        </w:rPr>
        <w:t>(3)</w:t>
      </w:r>
      <w:r w:rsidR="004B7BD9" w:rsidRPr="00316FCF">
        <w:rPr>
          <w:rFonts w:ascii="Times New Roman" w:hAnsi="Times New Roman" w:cs="Times New Roman"/>
          <w:noProof/>
        </w:rPr>
        <w:t>:</w:t>
      </w:r>
      <w:r w:rsidRPr="00316FCF">
        <w:rPr>
          <w:rFonts w:ascii="Times New Roman" w:hAnsi="Times New Roman" w:cs="Times New Roman"/>
          <w:noProof/>
        </w:rPr>
        <w:t xml:space="preserve"> 513</w:t>
      </w:r>
      <w:r w:rsidR="004B7BD9" w:rsidRPr="00316FCF">
        <w:rPr>
          <w:rFonts w:ascii="Times New Roman" w:hAnsi="Times New Roman" w:cs="Times New Roman"/>
          <w:noProof/>
        </w:rPr>
        <w:t>–</w:t>
      </w:r>
      <w:r w:rsidRPr="00316FCF">
        <w:rPr>
          <w:rFonts w:ascii="Times New Roman" w:hAnsi="Times New Roman" w:cs="Times New Roman"/>
          <w:noProof/>
        </w:rPr>
        <w:t>520. doi:10.1055/s-0039-1693426</w:t>
      </w:r>
    </w:p>
    <w:p w14:paraId="76603F5C" w14:textId="22852C4D"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Ishikawa N, Oshikiri H, Takasaki S,</w:t>
      </w:r>
      <w:r w:rsidR="004B7BD9" w:rsidRPr="00316FCF">
        <w:rPr>
          <w:rFonts w:ascii="Times New Roman" w:hAnsi="Times New Roman" w:cs="Times New Roman"/>
          <w:noProof/>
        </w:rPr>
        <w:t xml:space="preserve"> et al</w:t>
      </w:r>
      <w:r w:rsidRPr="00316FCF">
        <w:rPr>
          <w:rFonts w:ascii="Times New Roman" w:hAnsi="Times New Roman" w:cs="Times New Roman"/>
          <w:noProof/>
        </w:rPr>
        <w:t xml:space="preserve">. 2021. Enhancement and evaluation of a prescription audit system for direct oral anticoagulants using a check sheet. </w:t>
      </w:r>
      <w:r w:rsidRPr="00316FCF">
        <w:rPr>
          <w:rFonts w:ascii="Times New Roman" w:hAnsi="Times New Roman" w:cs="Times New Roman"/>
          <w:i/>
          <w:noProof/>
        </w:rPr>
        <w:t>J</w:t>
      </w:r>
      <w:r w:rsidR="004B7BD9" w:rsidRPr="00316FCF">
        <w:rPr>
          <w:rFonts w:ascii="Times New Roman" w:hAnsi="Times New Roman" w:cs="Times New Roman"/>
          <w:i/>
          <w:noProof/>
        </w:rPr>
        <w:t>ournal of</w:t>
      </w:r>
      <w:r w:rsidRPr="00316FCF">
        <w:rPr>
          <w:rFonts w:ascii="Times New Roman" w:hAnsi="Times New Roman" w:cs="Times New Roman"/>
          <w:i/>
          <w:noProof/>
        </w:rPr>
        <w:t xml:space="preserve"> Pharm</w:t>
      </w:r>
      <w:r w:rsidR="004B7BD9" w:rsidRPr="00316FCF">
        <w:rPr>
          <w:rFonts w:ascii="Times New Roman" w:hAnsi="Times New Roman" w:cs="Times New Roman"/>
          <w:i/>
          <w:noProof/>
        </w:rPr>
        <w:t>aceutical</w:t>
      </w:r>
      <w:r w:rsidRPr="00316FCF">
        <w:rPr>
          <w:rFonts w:ascii="Times New Roman" w:hAnsi="Times New Roman" w:cs="Times New Roman"/>
          <w:i/>
          <w:noProof/>
        </w:rPr>
        <w:t xml:space="preserve"> Health Care</w:t>
      </w:r>
      <w:r w:rsidR="004B7BD9" w:rsidRPr="00316FCF">
        <w:rPr>
          <w:rFonts w:ascii="Times New Roman" w:hAnsi="Times New Roman" w:cs="Times New Roman"/>
          <w:i/>
          <w:noProof/>
        </w:rPr>
        <w:t xml:space="preserve"> and</w:t>
      </w:r>
      <w:r w:rsidRPr="00316FCF">
        <w:rPr>
          <w:rFonts w:ascii="Times New Roman" w:hAnsi="Times New Roman" w:cs="Times New Roman"/>
          <w:i/>
          <w:noProof/>
        </w:rPr>
        <w:t xml:space="preserve"> Sci</w:t>
      </w:r>
      <w:r w:rsidR="004B7BD9" w:rsidRPr="00316FCF">
        <w:rPr>
          <w:rFonts w:ascii="Times New Roman" w:hAnsi="Times New Roman" w:cs="Times New Roman"/>
          <w:i/>
          <w:noProof/>
        </w:rPr>
        <w:t>ences</w:t>
      </w:r>
      <w:r w:rsidRPr="00316FCF">
        <w:rPr>
          <w:rFonts w:ascii="Times New Roman" w:hAnsi="Times New Roman" w:cs="Times New Roman"/>
          <w:i/>
          <w:noProof/>
        </w:rPr>
        <w:t xml:space="preserve"> </w:t>
      </w:r>
      <w:r w:rsidRPr="00316FCF">
        <w:rPr>
          <w:rFonts w:ascii="Times New Roman" w:hAnsi="Times New Roman" w:cs="Times New Roman"/>
          <w:iCs/>
          <w:noProof/>
        </w:rPr>
        <w:t>7</w:t>
      </w:r>
      <w:r w:rsidRPr="00316FCF">
        <w:rPr>
          <w:rFonts w:ascii="Times New Roman" w:hAnsi="Times New Roman" w:cs="Times New Roman"/>
          <w:noProof/>
        </w:rPr>
        <w:t>(1)</w:t>
      </w:r>
      <w:r w:rsidR="004B7BD9" w:rsidRPr="00316FCF">
        <w:rPr>
          <w:rFonts w:ascii="Times New Roman" w:hAnsi="Times New Roman" w:cs="Times New Roman"/>
          <w:noProof/>
        </w:rPr>
        <w:t>:</w:t>
      </w:r>
      <w:r w:rsidRPr="00316FCF">
        <w:rPr>
          <w:rFonts w:ascii="Times New Roman" w:hAnsi="Times New Roman" w:cs="Times New Roman"/>
          <w:noProof/>
        </w:rPr>
        <w:t xml:space="preserve"> 22. doi:10.1186/s40780-021-00205-y</w:t>
      </w:r>
    </w:p>
    <w:p w14:paraId="656B995E" w14:textId="6A013BD8"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ISMP. 2017. </w:t>
      </w:r>
      <w:r w:rsidRPr="00316FCF">
        <w:rPr>
          <w:rFonts w:ascii="Times New Roman" w:hAnsi="Times New Roman" w:cs="Times New Roman"/>
          <w:i/>
          <w:noProof/>
        </w:rPr>
        <w:t>ISMP Medication Safety Self Assessment® for Antithrombotic Therapy</w:t>
      </w:r>
      <w:r w:rsidRPr="00316FCF">
        <w:rPr>
          <w:rFonts w:ascii="Times New Roman" w:hAnsi="Times New Roman" w:cs="Times New Roman"/>
          <w:noProof/>
        </w:rPr>
        <w:t>. Retrieved from</w:t>
      </w:r>
      <w:r w:rsidR="004B7BD9" w:rsidRPr="00316FCF">
        <w:rPr>
          <w:rFonts w:ascii="Times New Roman" w:hAnsi="Times New Roman" w:cs="Times New Roman"/>
          <w:noProof/>
        </w:rPr>
        <w:t>:</w:t>
      </w:r>
      <w:r w:rsidRPr="00316FCF">
        <w:rPr>
          <w:rFonts w:ascii="Times New Roman" w:hAnsi="Times New Roman" w:cs="Times New Roman"/>
          <w:noProof/>
        </w:rPr>
        <w:t xml:space="preserve"> </w:t>
      </w:r>
      <w:hyperlink r:id="rId28" w:history="1">
        <w:r w:rsidR="00336FD0" w:rsidRPr="00316FCF">
          <w:rPr>
            <w:rStyle w:val="Hyperlink"/>
            <w:rFonts w:ascii="Times New Roman" w:hAnsi="Times New Roman" w:cs="Times New Roman"/>
            <w:noProof/>
          </w:rPr>
          <w:t>https://www.ismp.org/sites/default/files/attachments/2017-11/2017_ISMP_Antithrombotic_Self_Assessment.pdf</w:t>
        </w:r>
      </w:hyperlink>
      <w:r w:rsidR="00336FD0" w:rsidRPr="00316FCF">
        <w:rPr>
          <w:rFonts w:ascii="Times New Roman" w:hAnsi="Times New Roman" w:cs="Times New Roman"/>
          <w:noProof/>
        </w:rPr>
        <w:t xml:space="preserve"> (accessed 16 June 2022).</w:t>
      </w:r>
    </w:p>
    <w:p w14:paraId="6BE7892E" w14:textId="0DF0D415"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Kahn SR, Diendéré G, Morrison DR,</w:t>
      </w:r>
      <w:r w:rsidR="004B7BD9" w:rsidRPr="00316FCF">
        <w:rPr>
          <w:rFonts w:ascii="Times New Roman" w:hAnsi="Times New Roman" w:cs="Times New Roman"/>
          <w:noProof/>
        </w:rPr>
        <w:t xml:space="preserve"> et al.</w:t>
      </w:r>
      <w:r w:rsidRPr="00316FCF">
        <w:rPr>
          <w:rFonts w:ascii="Times New Roman" w:hAnsi="Times New Roman" w:cs="Times New Roman"/>
          <w:noProof/>
        </w:rPr>
        <w:t xml:space="preserve"> 2019. Effectiveness of interventions for the implementation of thromboprophylaxis in hospitalised patients at risk of venous thromboembolism: an updated abridged Cochrane systematic review and meta-analysis of randomised controlled trials. </w:t>
      </w:r>
      <w:r w:rsidRPr="00316FCF">
        <w:rPr>
          <w:rFonts w:ascii="Times New Roman" w:hAnsi="Times New Roman" w:cs="Times New Roman"/>
          <w:i/>
          <w:noProof/>
        </w:rPr>
        <w:t>BMJ Open</w:t>
      </w:r>
      <w:r w:rsidRPr="00316FCF">
        <w:rPr>
          <w:rFonts w:ascii="Times New Roman" w:hAnsi="Times New Roman" w:cs="Times New Roman"/>
          <w:iCs/>
          <w:noProof/>
        </w:rPr>
        <w:t xml:space="preserve"> 9</w:t>
      </w:r>
      <w:r w:rsidRPr="00316FCF">
        <w:rPr>
          <w:rFonts w:ascii="Times New Roman" w:hAnsi="Times New Roman" w:cs="Times New Roman"/>
          <w:noProof/>
        </w:rPr>
        <w:t>(5)</w:t>
      </w:r>
      <w:r w:rsidR="004B7BD9" w:rsidRPr="00316FCF">
        <w:rPr>
          <w:rFonts w:ascii="Times New Roman" w:hAnsi="Times New Roman" w:cs="Times New Roman"/>
          <w:noProof/>
        </w:rPr>
        <w:t>:</w:t>
      </w:r>
      <w:r w:rsidRPr="00316FCF">
        <w:rPr>
          <w:rFonts w:ascii="Times New Roman" w:hAnsi="Times New Roman" w:cs="Times New Roman"/>
          <w:noProof/>
        </w:rPr>
        <w:t xml:space="preserve"> e024444. doi:10.1136/bmjopen-2018-024444</w:t>
      </w:r>
    </w:p>
    <w:p w14:paraId="2C86A857" w14:textId="7F42A53E"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Kahn SR, Morrison DR, Diend</w:t>
      </w:r>
      <w:r w:rsidRPr="00316FCF">
        <w:rPr>
          <w:rFonts w:ascii="Times New Roman" w:hAnsi="Times New Roman" w:cs="Times New Roman" w:hint="eastAsia"/>
          <w:noProof/>
        </w:rPr>
        <w:t>é</w:t>
      </w:r>
      <w:r w:rsidRPr="00316FCF">
        <w:rPr>
          <w:rFonts w:ascii="Times New Roman" w:hAnsi="Times New Roman" w:cs="Times New Roman"/>
          <w:noProof/>
        </w:rPr>
        <w:t>r</w:t>
      </w:r>
      <w:r w:rsidRPr="00316FCF">
        <w:rPr>
          <w:rFonts w:ascii="Times New Roman" w:hAnsi="Times New Roman" w:cs="Times New Roman" w:hint="eastAsia"/>
          <w:noProof/>
        </w:rPr>
        <w:t>é</w:t>
      </w:r>
      <w:r w:rsidRPr="00316FCF">
        <w:rPr>
          <w:rFonts w:ascii="Times New Roman" w:hAnsi="Times New Roman" w:cs="Times New Roman"/>
          <w:noProof/>
        </w:rPr>
        <w:t xml:space="preserve"> G,</w:t>
      </w:r>
      <w:r w:rsidR="004B7BD9" w:rsidRPr="00316FCF">
        <w:rPr>
          <w:rFonts w:ascii="Times New Roman" w:hAnsi="Times New Roman" w:cs="Times New Roman"/>
          <w:noProof/>
        </w:rPr>
        <w:t xml:space="preserve"> et al. </w:t>
      </w:r>
      <w:r w:rsidRPr="00316FCF">
        <w:rPr>
          <w:rFonts w:ascii="Times New Roman" w:hAnsi="Times New Roman" w:cs="Times New Roman"/>
          <w:noProof/>
        </w:rPr>
        <w:t xml:space="preserve">2018. Interventions for implementation of thromboprophylaxis in hospitalized patients at risk for venous thromboembolism. </w:t>
      </w:r>
      <w:r w:rsidRPr="00316FCF">
        <w:rPr>
          <w:rFonts w:ascii="Times New Roman" w:hAnsi="Times New Roman" w:cs="Times New Roman"/>
          <w:i/>
          <w:noProof/>
        </w:rPr>
        <w:t>Cochrane Database of Systematic Reviews</w:t>
      </w:r>
      <w:r w:rsidR="004B7BD9" w:rsidRPr="00316FCF">
        <w:rPr>
          <w:rFonts w:ascii="Times New Roman" w:hAnsi="Times New Roman" w:cs="Times New Roman"/>
          <w:noProof/>
        </w:rPr>
        <w:t>:</w:t>
      </w:r>
      <w:r w:rsidRPr="00316FCF">
        <w:rPr>
          <w:rFonts w:ascii="Times New Roman" w:hAnsi="Times New Roman" w:cs="Times New Roman"/>
          <w:noProof/>
        </w:rPr>
        <w:t xml:space="preserve"> doi:10.1002/14651858.CD008201.pub3</w:t>
      </w:r>
    </w:p>
    <w:p w14:paraId="44F4EA8C" w14:textId="3CEB541C"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Kallal A, Griffen D, </w:t>
      </w:r>
      <w:r w:rsidR="002334E8" w:rsidRPr="00316FCF">
        <w:rPr>
          <w:rFonts w:ascii="Times New Roman" w:hAnsi="Times New Roman" w:cs="Times New Roman"/>
          <w:noProof/>
        </w:rPr>
        <w:t>and</w:t>
      </w:r>
      <w:r w:rsidRPr="00316FCF">
        <w:rPr>
          <w:rFonts w:ascii="Times New Roman" w:hAnsi="Times New Roman" w:cs="Times New Roman"/>
          <w:noProof/>
        </w:rPr>
        <w:t xml:space="preserve"> Jaeger C. 2020. Using Lean Six Sigma methodologies to reduce risk of warfarin medication omission at hospital discharge. </w:t>
      </w:r>
      <w:r w:rsidRPr="00316FCF">
        <w:rPr>
          <w:rFonts w:ascii="Times New Roman" w:hAnsi="Times New Roman" w:cs="Times New Roman"/>
          <w:i/>
          <w:noProof/>
        </w:rPr>
        <w:t>BMJ Open Qual</w:t>
      </w:r>
      <w:r w:rsidR="002334E8" w:rsidRPr="00316FCF">
        <w:rPr>
          <w:rFonts w:ascii="Times New Roman" w:hAnsi="Times New Roman" w:cs="Times New Roman"/>
          <w:i/>
          <w:noProof/>
        </w:rPr>
        <w:t>ity</w:t>
      </w:r>
      <w:r w:rsidRPr="00316FCF">
        <w:rPr>
          <w:rFonts w:ascii="Times New Roman" w:hAnsi="Times New Roman" w:cs="Times New Roman"/>
          <w:i/>
          <w:noProof/>
        </w:rPr>
        <w:t xml:space="preserve"> </w:t>
      </w:r>
      <w:r w:rsidRPr="00316FCF">
        <w:rPr>
          <w:rFonts w:ascii="Times New Roman" w:hAnsi="Times New Roman" w:cs="Times New Roman"/>
          <w:iCs/>
          <w:noProof/>
        </w:rPr>
        <w:t>9</w:t>
      </w:r>
      <w:r w:rsidRPr="00316FCF">
        <w:rPr>
          <w:rFonts w:ascii="Times New Roman" w:hAnsi="Times New Roman" w:cs="Times New Roman"/>
          <w:noProof/>
        </w:rPr>
        <w:t>(2)</w:t>
      </w:r>
      <w:r w:rsidR="002334E8" w:rsidRPr="00316FCF">
        <w:rPr>
          <w:rFonts w:ascii="Times New Roman" w:hAnsi="Times New Roman" w:cs="Times New Roman"/>
          <w:noProof/>
        </w:rPr>
        <w:t>:</w:t>
      </w:r>
      <w:r w:rsidRPr="00316FCF">
        <w:rPr>
          <w:rFonts w:ascii="Times New Roman" w:hAnsi="Times New Roman" w:cs="Times New Roman"/>
          <w:noProof/>
        </w:rPr>
        <w:t xml:space="preserve"> doi:10.1136/bmjoq-2019-000715</w:t>
      </w:r>
    </w:p>
    <w:p w14:paraId="02D6C7A4" w14:textId="3976269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Kapoor A, Landyn </w:t>
      </w:r>
      <w:r w:rsidR="002334E8" w:rsidRPr="00316FCF">
        <w:rPr>
          <w:rFonts w:ascii="Times New Roman" w:hAnsi="Times New Roman" w:cs="Times New Roman"/>
          <w:noProof/>
        </w:rPr>
        <w:t>V</w:t>
      </w:r>
      <w:r w:rsidRPr="00316FCF">
        <w:rPr>
          <w:rFonts w:ascii="Times New Roman" w:hAnsi="Times New Roman" w:cs="Times New Roman"/>
          <w:noProof/>
        </w:rPr>
        <w:t>, Wagner J,</w:t>
      </w:r>
      <w:r w:rsidR="002334E8" w:rsidRPr="00316FCF">
        <w:rPr>
          <w:rFonts w:ascii="Times New Roman" w:hAnsi="Times New Roman" w:cs="Times New Roman"/>
          <w:noProof/>
        </w:rPr>
        <w:t xml:space="preserve"> et al.</w:t>
      </w:r>
      <w:r w:rsidRPr="00316FCF">
        <w:rPr>
          <w:rFonts w:ascii="Times New Roman" w:hAnsi="Times New Roman" w:cs="Times New Roman"/>
          <w:noProof/>
        </w:rPr>
        <w:t xml:space="preserve"> 2020. Supplying Pharmacist Home Visit and Anticoagulation Professional Consultation During Transition of Care for Patients With Venous Thromboembolism. </w:t>
      </w:r>
      <w:r w:rsidRPr="00316FCF">
        <w:rPr>
          <w:rFonts w:ascii="Times New Roman" w:hAnsi="Times New Roman" w:cs="Times New Roman"/>
          <w:i/>
          <w:noProof/>
        </w:rPr>
        <w:t>J</w:t>
      </w:r>
      <w:r w:rsidR="002334E8" w:rsidRPr="00316FCF">
        <w:rPr>
          <w:rFonts w:ascii="Times New Roman" w:hAnsi="Times New Roman" w:cs="Times New Roman"/>
          <w:i/>
          <w:noProof/>
        </w:rPr>
        <w:t>ournal of</w:t>
      </w:r>
      <w:r w:rsidRPr="00316FCF">
        <w:rPr>
          <w:rFonts w:ascii="Times New Roman" w:hAnsi="Times New Roman" w:cs="Times New Roman"/>
          <w:i/>
          <w:noProof/>
        </w:rPr>
        <w:t xml:space="preserve"> Patient Saf</w:t>
      </w:r>
      <w:r w:rsidR="002334E8" w:rsidRPr="00316FCF">
        <w:rPr>
          <w:rFonts w:ascii="Times New Roman" w:hAnsi="Times New Roman" w:cs="Times New Roman"/>
          <w:i/>
          <w:noProof/>
        </w:rPr>
        <w:t>ety</w:t>
      </w:r>
      <w:r w:rsidRPr="00316FCF">
        <w:rPr>
          <w:rFonts w:ascii="Times New Roman" w:hAnsi="Times New Roman" w:cs="Times New Roman"/>
          <w:i/>
          <w:noProof/>
        </w:rPr>
        <w:t xml:space="preserve"> </w:t>
      </w:r>
      <w:r w:rsidRPr="00316FCF">
        <w:rPr>
          <w:rFonts w:ascii="Times New Roman" w:hAnsi="Times New Roman" w:cs="Times New Roman"/>
          <w:iCs/>
          <w:noProof/>
        </w:rPr>
        <w:t>16</w:t>
      </w:r>
      <w:r w:rsidRPr="00316FCF">
        <w:rPr>
          <w:rFonts w:ascii="Times New Roman" w:hAnsi="Times New Roman" w:cs="Times New Roman"/>
          <w:noProof/>
        </w:rPr>
        <w:t>(4)</w:t>
      </w:r>
      <w:r w:rsidR="002334E8" w:rsidRPr="00316FCF">
        <w:rPr>
          <w:rFonts w:ascii="Times New Roman" w:hAnsi="Times New Roman" w:cs="Times New Roman"/>
          <w:noProof/>
        </w:rPr>
        <w:t>:</w:t>
      </w:r>
      <w:r w:rsidRPr="00316FCF">
        <w:rPr>
          <w:rFonts w:ascii="Times New Roman" w:hAnsi="Times New Roman" w:cs="Times New Roman"/>
          <w:noProof/>
        </w:rPr>
        <w:t xml:space="preserve"> e367</w:t>
      </w:r>
      <w:r w:rsidR="002334E8" w:rsidRPr="00316FCF">
        <w:rPr>
          <w:rFonts w:ascii="Times New Roman" w:hAnsi="Times New Roman" w:cs="Times New Roman"/>
          <w:noProof/>
        </w:rPr>
        <w:t>–</w:t>
      </w:r>
      <w:r w:rsidRPr="00316FCF">
        <w:rPr>
          <w:rFonts w:ascii="Times New Roman" w:hAnsi="Times New Roman" w:cs="Times New Roman"/>
          <w:noProof/>
        </w:rPr>
        <w:t>e375. doi:10.1097/pts.0000000000000571</w:t>
      </w:r>
    </w:p>
    <w:p w14:paraId="04B59CB3" w14:textId="64756EA6"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Karaoui LR, Ramia E, Mansour H,</w:t>
      </w:r>
      <w:r w:rsidR="002334E8" w:rsidRPr="00316FCF">
        <w:rPr>
          <w:rFonts w:ascii="Times New Roman" w:hAnsi="Times New Roman" w:cs="Times New Roman"/>
          <w:noProof/>
        </w:rPr>
        <w:t xml:space="preserve"> et al. </w:t>
      </w:r>
      <w:r w:rsidRPr="00316FCF">
        <w:rPr>
          <w:rFonts w:ascii="Times New Roman" w:hAnsi="Times New Roman" w:cs="Times New Roman"/>
          <w:noProof/>
        </w:rPr>
        <w:t xml:space="preserve">2021. Impact of pharmacist-conducted anticoagulation patient education and telephone follow-up on transitions of care: a randomized controlled trial. </w:t>
      </w:r>
      <w:r w:rsidRPr="00316FCF">
        <w:rPr>
          <w:rFonts w:ascii="Times New Roman" w:hAnsi="Times New Roman" w:cs="Times New Roman"/>
          <w:i/>
          <w:noProof/>
        </w:rPr>
        <w:t>BMC Health Serv</w:t>
      </w:r>
      <w:r w:rsidR="002334E8" w:rsidRPr="00316FCF">
        <w:rPr>
          <w:rFonts w:ascii="Times New Roman" w:hAnsi="Times New Roman" w:cs="Times New Roman"/>
          <w:i/>
          <w:noProof/>
        </w:rPr>
        <w:t>ices</w:t>
      </w:r>
      <w:r w:rsidRPr="00316FCF">
        <w:rPr>
          <w:rFonts w:ascii="Times New Roman" w:hAnsi="Times New Roman" w:cs="Times New Roman"/>
          <w:i/>
          <w:noProof/>
        </w:rPr>
        <w:t xml:space="preserve"> Res</w:t>
      </w:r>
      <w:r w:rsidR="002334E8" w:rsidRPr="00316FCF">
        <w:rPr>
          <w:rFonts w:ascii="Times New Roman" w:hAnsi="Times New Roman" w:cs="Times New Roman"/>
          <w:i/>
          <w:noProof/>
        </w:rPr>
        <w:t>earch</w:t>
      </w:r>
      <w:r w:rsidRPr="00316FCF">
        <w:rPr>
          <w:rFonts w:ascii="Times New Roman" w:hAnsi="Times New Roman" w:cs="Times New Roman"/>
          <w:i/>
          <w:noProof/>
        </w:rPr>
        <w:t xml:space="preserve"> </w:t>
      </w:r>
      <w:r w:rsidRPr="00316FCF">
        <w:rPr>
          <w:rFonts w:ascii="Times New Roman" w:hAnsi="Times New Roman" w:cs="Times New Roman"/>
          <w:iCs/>
          <w:noProof/>
        </w:rPr>
        <w:t>21</w:t>
      </w:r>
      <w:r w:rsidRPr="00316FCF">
        <w:rPr>
          <w:rFonts w:ascii="Times New Roman" w:hAnsi="Times New Roman" w:cs="Times New Roman"/>
          <w:noProof/>
        </w:rPr>
        <w:t>(1)</w:t>
      </w:r>
      <w:r w:rsidR="002334E8" w:rsidRPr="00316FCF">
        <w:rPr>
          <w:rFonts w:ascii="Times New Roman" w:hAnsi="Times New Roman" w:cs="Times New Roman"/>
          <w:noProof/>
        </w:rPr>
        <w:t>:</w:t>
      </w:r>
      <w:r w:rsidRPr="00316FCF">
        <w:rPr>
          <w:rFonts w:ascii="Times New Roman" w:hAnsi="Times New Roman" w:cs="Times New Roman"/>
          <w:noProof/>
        </w:rPr>
        <w:t xml:space="preserve"> 151. doi:10.1186/s12913-021-06156-2</w:t>
      </w:r>
    </w:p>
    <w:p w14:paraId="46492265" w14:textId="4D7CCDF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Khalil V. 2021. Redesign of computerized decision support system to improve Non Vitamin K oral anticoagulant prescribing-A pre and post qualitative and quantitative study. </w:t>
      </w:r>
      <w:r w:rsidRPr="00316FCF">
        <w:rPr>
          <w:rFonts w:ascii="Times New Roman" w:hAnsi="Times New Roman" w:cs="Times New Roman"/>
          <w:i/>
          <w:noProof/>
        </w:rPr>
        <w:t>Int</w:t>
      </w:r>
      <w:r w:rsidR="002334E8"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2334E8" w:rsidRPr="00316FCF">
        <w:rPr>
          <w:rFonts w:ascii="Times New Roman" w:hAnsi="Times New Roman" w:cs="Times New Roman"/>
          <w:i/>
          <w:noProof/>
        </w:rPr>
        <w:t>ournal of</w:t>
      </w:r>
      <w:r w:rsidRPr="00316FCF">
        <w:rPr>
          <w:rFonts w:ascii="Times New Roman" w:hAnsi="Times New Roman" w:cs="Times New Roman"/>
          <w:i/>
          <w:noProof/>
        </w:rPr>
        <w:t xml:space="preserve"> Med</w:t>
      </w:r>
      <w:r w:rsidR="002334E8" w:rsidRPr="00316FCF">
        <w:rPr>
          <w:rFonts w:ascii="Times New Roman" w:hAnsi="Times New Roman" w:cs="Times New Roman"/>
          <w:i/>
          <w:noProof/>
        </w:rPr>
        <w:t>ical</w:t>
      </w:r>
      <w:r w:rsidRPr="00316FCF">
        <w:rPr>
          <w:rFonts w:ascii="Times New Roman" w:hAnsi="Times New Roman" w:cs="Times New Roman"/>
          <w:i/>
          <w:noProof/>
        </w:rPr>
        <w:t xml:space="preserve"> Inform</w:t>
      </w:r>
      <w:r w:rsidR="002334E8" w:rsidRPr="00316FCF">
        <w:rPr>
          <w:rFonts w:ascii="Times New Roman" w:hAnsi="Times New Roman" w:cs="Times New Roman"/>
          <w:i/>
          <w:noProof/>
        </w:rPr>
        <w:t>atics</w:t>
      </w:r>
      <w:r w:rsidRPr="00316FCF">
        <w:rPr>
          <w:rFonts w:ascii="Times New Roman" w:hAnsi="Times New Roman" w:cs="Times New Roman"/>
          <w:i/>
          <w:noProof/>
        </w:rPr>
        <w:t xml:space="preserve"> </w:t>
      </w:r>
      <w:r w:rsidRPr="00316FCF">
        <w:rPr>
          <w:rFonts w:ascii="Times New Roman" w:hAnsi="Times New Roman" w:cs="Times New Roman"/>
          <w:iCs/>
          <w:noProof/>
        </w:rPr>
        <w:t>152</w:t>
      </w:r>
      <w:r w:rsidR="002334E8" w:rsidRPr="00316FCF">
        <w:rPr>
          <w:rFonts w:ascii="Times New Roman" w:hAnsi="Times New Roman" w:cs="Times New Roman"/>
          <w:iCs/>
          <w:noProof/>
        </w:rPr>
        <w:t>:</w:t>
      </w:r>
      <w:r w:rsidRPr="00316FCF">
        <w:rPr>
          <w:rFonts w:ascii="Times New Roman" w:hAnsi="Times New Roman" w:cs="Times New Roman"/>
          <w:noProof/>
        </w:rPr>
        <w:t xml:space="preserve"> 104511. doi:10.1016/j.ijmedinf.2021.104511</w:t>
      </w:r>
    </w:p>
    <w:p w14:paraId="7EB96355" w14:textId="3A9080B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Lee T, Davis E, </w:t>
      </w:r>
      <w:r w:rsidR="002334E8" w:rsidRPr="00316FCF">
        <w:rPr>
          <w:rFonts w:ascii="Times New Roman" w:hAnsi="Times New Roman" w:cs="Times New Roman"/>
          <w:noProof/>
        </w:rPr>
        <w:t>and</w:t>
      </w:r>
      <w:r w:rsidRPr="00316FCF">
        <w:rPr>
          <w:rFonts w:ascii="Times New Roman" w:hAnsi="Times New Roman" w:cs="Times New Roman"/>
          <w:noProof/>
        </w:rPr>
        <w:t xml:space="preserve"> Kielly J. 2016. Clinical impact of a pharmacist-led inpatient anticoagulation service: a review of the literature. </w:t>
      </w:r>
      <w:r w:rsidRPr="00316FCF">
        <w:rPr>
          <w:rFonts w:ascii="Times New Roman" w:hAnsi="Times New Roman" w:cs="Times New Roman"/>
          <w:i/>
          <w:noProof/>
        </w:rPr>
        <w:t>Integr</w:t>
      </w:r>
      <w:r w:rsidR="002334E8" w:rsidRPr="00316FCF">
        <w:rPr>
          <w:rFonts w:ascii="Times New Roman" w:hAnsi="Times New Roman" w:cs="Times New Roman"/>
          <w:i/>
          <w:noProof/>
        </w:rPr>
        <w:t>ated</w:t>
      </w:r>
      <w:r w:rsidRPr="00316FCF">
        <w:rPr>
          <w:rFonts w:ascii="Times New Roman" w:hAnsi="Times New Roman" w:cs="Times New Roman"/>
          <w:i/>
          <w:noProof/>
        </w:rPr>
        <w:t xml:space="preserve"> Pharm</w:t>
      </w:r>
      <w:r w:rsidR="002334E8" w:rsidRPr="00316FCF">
        <w:rPr>
          <w:rFonts w:ascii="Times New Roman" w:hAnsi="Times New Roman" w:cs="Times New Roman"/>
          <w:i/>
          <w:noProof/>
        </w:rPr>
        <w:t>acy</w:t>
      </w:r>
      <w:r w:rsidRPr="00316FCF">
        <w:rPr>
          <w:rFonts w:ascii="Times New Roman" w:hAnsi="Times New Roman" w:cs="Times New Roman"/>
          <w:i/>
          <w:noProof/>
        </w:rPr>
        <w:t xml:space="preserve"> Res</w:t>
      </w:r>
      <w:r w:rsidR="002334E8" w:rsidRPr="00316FCF">
        <w:rPr>
          <w:rFonts w:ascii="Times New Roman" w:hAnsi="Times New Roman" w:cs="Times New Roman"/>
          <w:i/>
          <w:noProof/>
        </w:rPr>
        <w:t>earch and</w:t>
      </w:r>
      <w:r w:rsidRPr="00316FCF">
        <w:rPr>
          <w:rFonts w:ascii="Times New Roman" w:hAnsi="Times New Roman" w:cs="Times New Roman"/>
          <w:i/>
          <w:noProof/>
        </w:rPr>
        <w:t xml:space="preserve"> Pract</w:t>
      </w:r>
      <w:r w:rsidR="002334E8"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5</w:t>
      </w:r>
      <w:r w:rsidR="002334E8" w:rsidRPr="00316FCF">
        <w:rPr>
          <w:rFonts w:ascii="Times New Roman" w:hAnsi="Times New Roman" w:cs="Times New Roman"/>
          <w:noProof/>
        </w:rPr>
        <w:t>:</w:t>
      </w:r>
      <w:r w:rsidRPr="00316FCF">
        <w:rPr>
          <w:rFonts w:ascii="Times New Roman" w:hAnsi="Times New Roman" w:cs="Times New Roman"/>
          <w:noProof/>
        </w:rPr>
        <w:t xml:space="preserve"> 53</w:t>
      </w:r>
      <w:r w:rsidR="002334E8" w:rsidRPr="00316FCF">
        <w:rPr>
          <w:rFonts w:ascii="Times New Roman" w:hAnsi="Times New Roman" w:cs="Times New Roman"/>
          <w:noProof/>
        </w:rPr>
        <w:t>–</w:t>
      </w:r>
      <w:r w:rsidRPr="00316FCF">
        <w:rPr>
          <w:rFonts w:ascii="Times New Roman" w:hAnsi="Times New Roman" w:cs="Times New Roman"/>
          <w:noProof/>
        </w:rPr>
        <w:t>63. doi:10.2147/iprp.S93312</w:t>
      </w:r>
    </w:p>
    <w:p w14:paraId="29249EF4" w14:textId="0D04B5C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Liang JB, Lao CK, Tian L,</w:t>
      </w:r>
      <w:r w:rsidR="002334E8" w:rsidRPr="00316FCF">
        <w:rPr>
          <w:rFonts w:ascii="Times New Roman" w:hAnsi="Times New Roman" w:cs="Times New Roman"/>
          <w:noProof/>
        </w:rPr>
        <w:t xml:space="preserve"> et al. </w:t>
      </w:r>
      <w:r w:rsidRPr="00316FCF">
        <w:rPr>
          <w:rFonts w:ascii="Times New Roman" w:hAnsi="Times New Roman" w:cs="Times New Roman"/>
          <w:noProof/>
        </w:rPr>
        <w:t xml:space="preserve">2020. Impact of a pharmacist-led education and follow-up service on anticoagulation control and safety outcomes at a tertiary hospital in China: a randomised controlled trial. </w:t>
      </w:r>
      <w:r w:rsidRPr="00316FCF">
        <w:rPr>
          <w:rFonts w:ascii="Times New Roman" w:hAnsi="Times New Roman" w:cs="Times New Roman"/>
          <w:i/>
          <w:noProof/>
        </w:rPr>
        <w:t>Int</w:t>
      </w:r>
      <w:r w:rsidR="002334E8"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2334E8" w:rsidRPr="00316FCF">
        <w:rPr>
          <w:rFonts w:ascii="Times New Roman" w:hAnsi="Times New Roman" w:cs="Times New Roman"/>
          <w:i/>
          <w:noProof/>
        </w:rPr>
        <w:t>ournal of</w:t>
      </w:r>
      <w:r w:rsidRPr="00316FCF">
        <w:rPr>
          <w:rFonts w:ascii="Times New Roman" w:hAnsi="Times New Roman" w:cs="Times New Roman"/>
          <w:i/>
          <w:noProof/>
        </w:rPr>
        <w:t xml:space="preserve"> Pharm</w:t>
      </w:r>
      <w:r w:rsidR="002334E8" w:rsidRPr="00316FCF">
        <w:rPr>
          <w:rFonts w:ascii="Times New Roman" w:hAnsi="Times New Roman" w:cs="Times New Roman"/>
          <w:i/>
          <w:noProof/>
        </w:rPr>
        <w:t>acy</w:t>
      </w:r>
      <w:r w:rsidRPr="00316FCF">
        <w:rPr>
          <w:rFonts w:ascii="Times New Roman" w:hAnsi="Times New Roman" w:cs="Times New Roman"/>
          <w:i/>
          <w:noProof/>
        </w:rPr>
        <w:t xml:space="preserve"> Pract</w:t>
      </w:r>
      <w:r w:rsidR="002334E8"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28</w:t>
      </w:r>
      <w:r w:rsidRPr="00316FCF">
        <w:rPr>
          <w:rFonts w:ascii="Times New Roman" w:hAnsi="Times New Roman" w:cs="Times New Roman"/>
          <w:noProof/>
        </w:rPr>
        <w:t>(1)</w:t>
      </w:r>
      <w:r w:rsidR="002334E8" w:rsidRPr="00316FCF">
        <w:rPr>
          <w:rFonts w:ascii="Times New Roman" w:hAnsi="Times New Roman" w:cs="Times New Roman"/>
          <w:noProof/>
        </w:rPr>
        <w:t>:</w:t>
      </w:r>
      <w:r w:rsidRPr="00316FCF">
        <w:rPr>
          <w:rFonts w:ascii="Times New Roman" w:hAnsi="Times New Roman" w:cs="Times New Roman"/>
          <w:noProof/>
        </w:rPr>
        <w:t xml:space="preserve"> 97</w:t>
      </w:r>
      <w:r w:rsidR="002334E8" w:rsidRPr="00316FCF">
        <w:rPr>
          <w:rFonts w:ascii="Times New Roman" w:hAnsi="Times New Roman" w:cs="Times New Roman"/>
          <w:noProof/>
        </w:rPr>
        <w:t>–</w:t>
      </w:r>
      <w:r w:rsidRPr="00316FCF">
        <w:rPr>
          <w:rFonts w:ascii="Times New Roman" w:hAnsi="Times New Roman" w:cs="Times New Roman"/>
          <w:noProof/>
        </w:rPr>
        <w:t>106. doi:10.1111/ijpp.12584</w:t>
      </w:r>
    </w:p>
    <w:p w14:paraId="7CF2BFD8" w14:textId="1CC484F6"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Lineberry E, Rozycki E, Jordan TA,</w:t>
      </w:r>
      <w:r w:rsidR="00F1357E" w:rsidRPr="00316FCF">
        <w:rPr>
          <w:rFonts w:ascii="Times New Roman" w:hAnsi="Times New Roman" w:cs="Times New Roman"/>
          <w:noProof/>
        </w:rPr>
        <w:t xml:space="preserve"> et al.</w:t>
      </w:r>
      <w:r w:rsidRPr="00316FCF">
        <w:rPr>
          <w:rFonts w:ascii="Times New Roman" w:hAnsi="Times New Roman" w:cs="Times New Roman"/>
          <w:noProof/>
        </w:rPr>
        <w:t xml:space="preserve"> 2021. Implementation of pharmacist targeted discharge prescription review in an emergency department. </w:t>
      </w:r>
      <w:r w:rsidRPr="00316FCF">
        <w:rPr>
          <w:rFonts w:ascii="Times New Roman" w:hAnsi="Times New Roman" w:cs="Times New Roman"/>
          <w:i/>
          <w:noProof/>
        </w:rPr>
        <w:t>Am</w:t>
      </w:r>
      <w:r w:rsidR="00F1357E" w:rsidRPr="00316FCF">
        <w:rPr>
          <w:rFonts w:ascii="Times New Roman" w:hAnsi="Times New Roman" w:cs="Times New Roman"/>
          <w:i/>
          <w:noProof/>
        </w:rPr>
        <w:t>erican</w:t>
      </w:r>
      <w:r w:rsidRPr="00316FCF">
        <w:rPr>
          <w:rFonts w:ascii="Times New Roman" w:hAnsi="Times New Roman" w:cs="Times New Roman"/>
          <w:i/>
          <w:noProof/>
        </w:rPr>
        <w:t xml:space="preserve"> J</w:t>
      </w:r>
      <w:r w:rsidR="00F1357E" w:rsidRPr="00316FCF">
        <w:rPr>
          <w:rFonts w:ascii="Times New Roman" w:hAnsi="Times New Roman" w:cs="Times New Roman"/>
          <w:i/>
          <w:noProof/>
        </w:rPr>
        <w:t>ournal of</w:t>
      </w:r>
      <w:r w:rsidRPr="00316FCF">
        <w:rPr>
          <w:rFonts w:ascii="Times New Roman" w:hAnsi="Times New Roman" w:cs="Times New Roman"/>
          <w:i/>
          <w:noProof/>
        </w:rPr>
        <w:t xml:space="preserve"> Emerg</w:t>
      </w:r>
      <w:r w:rsidR="00F1357E" w:rsidRPr="00316FCF">
        <w:rPr>
          <w:rFonts w:ascii="Times New Roman" w:hAnsi="Times New Roman" w:cs="Times New Roman"/>
          <w:i/>
          <w:noProof/>
        </w:rPr>
        <w:t>ency</w:t>
      </w:r>
      <w:r w:rsidRPr="00316FCF">
        <w:rPr>
          <w:rFonts w:ascii="Times New Roman" w:hAnsi="Times New Roman" w:cs="Times New Roman"/>
          <w:i/>
          <w:noProof/>
        </w:rPr>
        <w:t xml:space="preserve"> Med</w:t>
      </w:r>
      <w:r w:rsidR="00F1357E" w:rsidRPr="00316FCF">
        <w:rPr>
          <w:rFonts w:ascii="Times New Roman" w:hAnsi="Times New Roman" w:cs="Times New Roman"/>
          <w:i/>
          <w:noProof/>
        </w:rPr>
        <w:t>icine</w:t>
      </w:r>
      <w:r w:rsidRPr="00316FCF">
        <w:rPr>
          <w:rFonts w:ascii="Times New Roman" w:hAnsi="Times New Roman" w:cs="Times New Roman"/>
          <w:i/>
          <w:noProof/>
        </w:rPr>
        <w:t xml:space="preserve"> </w:t>
      </w:r>
      <w:r w:rsidRPr="00316FCF">
        <w:rPr>
          <w:rFonts w:ascii="Times New Roman" w:hAnsi="Times New Roman" w:cs="Times New Roman"/>
          <w:iCs/>
          <w:noProof/>
        </w:rPr>
        <w:t>48</w:t>
      </w:r>
      <w:r w:rsidR="00F1357E" w:rsidRPr="00316FCF">
        <w:rPr>
          <w:rFonts w:ascii="Times New Roman" w:hAnsi="Times New Roman" w:cs="Times New Roman"/>
          <w:noProof/>
        </w:rPr>
        <w:t>:</w:t>
      </w:r>
      <w:r w:rsidRPr="00316FCF">
        <w:rPr>
          <w:rFonts w:ascii="Times New Roman" w:hAnsi="Times New Roman" w:cs="Times New Roman"/>
          <w:noProof/>
        </w:rPr>
        <w:t xml:space="preserve"> 288</w:t>
      </w:r>
      <w:r w:rsidR="00F1357E" w:rsidRPr="00316FCF">
        <w:rPr>
          <w:rFonts w:ascii="Times New Roman" w:hAnsi="Times New Roman" w:cs="Times New Roman"/>
          <w:noProof/>
        </w:rPr>
        <w:t>–</w:t>
      </w:r>
      <w:r w:rsidRPr="00316FCF">
        <w:rPr>
          <w:rFonts w:ascii="Times New Roman" w:hAnsi="Times New Roman" w:cs="Times New Roman"/>
          <w:noProof/>
        </w:rPr>
        <w:t>294. doi:10.1016/j.ajem.2021.04.054</w:t>
      </w:r>
    </w:p>
    <w:p w14:paraId="07B6AD12" w14:textId="1D680236"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May J, </w:t>
      </w:r>
      <w:r w:rsidR="00F1357E" w:rsidRPr="00316FCF">
        <w:rPr>
          <w:rFonts w:ascii="Times New Roman" w:hAnsi="Times New Roman" w:cs="Times New Roman"/>
          <w:noProof/>
        </w:rPr>
        <w:t>and</w:t>
      </w:r>
      <w:r w:rsidRPr="00316FCF">
        <w:rPr>
          <w:rFonts w:ascii="Times New Roman" w:hAnsi="Times New Roman" w:cs="Times New Roman"/>
          <w:noProof/>
        </w:rPr>
        <w:t xml:space="preserve"> Moll S. 2019. Reducing the Likelihood of Harm Associated With Use of Anticoagulant Therapy. </w:t>
      </w:r>
      <w:r w:rsidRPr="00316FCF">
        <w:rPr>
          <w:rFonts w:ascii="Times New Roman" w:hAnsi="Times New Roman" w:cs="Times New Roman"/>
          <w:i/>
          <w:noProof/>
        </w:rPr>
        <w:t xml:space="preserve">The Hematologist </w:t>
      </w:r>
      <w:r w:rsidRPr="00316FCF">
        <w:rPr>
          <w:rFonts w:ascii="Times New Roman" w:hAnsi="Times New Roman" w:cs="Times New Roman"/>
          <w:iCs/>
          <w:noProof/>
        </w:rPr>
        <w:t>16</w:t>
      </w:r>
      <w:r w:rsidRPr="00316FCF">
        <w:rPr>
          <w:rFonts w:ascii="Times New Roman" w:hAnsi="Times New Roman" w:cs="Times New Roman"/>
          <w:noProof/>
        </w:rPr>
        <w:t>(6)</w:t>
      </w:r>
      <w:r w:rsidR="00F1357E" w:rsidRPr="00316FCF">
        <w:rPr>
          <w:rFonts w:ascii="Times New Roman" w:hAnsi="Times New Roman" w:cs="Times New Roman"/>
          <w:noProof/>
        </w:rPr>
        <w:t>:</w:t>
      </w:r>
      <w:r w:rsidRPr="00316FCF">
        <w:rPr>
          <w:rFonts w:ascii="Times New Roman" w:hAnsi="Times New Roman" w:cs="Times New Roman"/>
          <w:noProof/>
        </w:rPr>
        <w:t xml:space="preserve"> doi:10.1182/hem.V16.6.9935</w:t>
      </w:r>
    </w:p>
    <w:p w14:paraId="061A38BA" w14:textId="065BDA25"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McNab D, McKay J, </w:t>
      </w:r>
      <w:r w:rsidR="00F1357E" w:rsidRPr="00316FCF">
        <w:rPr>
          <w:rFonts w:ascii="Times New Roman" w:hAnsi="Times New Roman" w:cs="Times New Roman"/>
          <w:noProof/>
        </w:rPr>
        <w:t>and</w:t>
      </w:r>
      <w:r w:rsidRPr="00316FCF">
        <w:rPr>
          <w:rFonts w:ascii="Times New Roman" w:hAnsi="Times New Roman" w:cs="Times New Roman"/>
          <w:noProof/>
        </w:rPr>
        <w:t xml:space="preserve"> Bowie P. 2015. A before and after study of warfarin monitoring in a single region as part of the Scottish patient safety programme in primary care. </w:t>
      </w:r>
      <w:r w:rsidRPr="00316FCF">
        <w:rPr>
          <w:rFonts w:ascii="Times New Roman" w:hAnsi="Times New Roman" w:cs="Times New Roman"/>
          <w:i/>
          <w:noProof/>
        </w:rPr>
        <w:t xml:space="preserve">Scottish </w:t>
      </w:r>
      <w:r w:rsidR="00F1357E" w:rsidRPr="00316FCF">
        <w:rPr>
          <w:rFonts w:ascii="Times New Roman" w:hAnsi="Times New Roman" w:cs="Times New Roman"/>
          <w:i/>
          <w:noProof/>
        </w:rPr>
        <w:t>M</w:t>
      </w:r>
      <w:r w:rsidRPr="00316FCF">
        <w:rPr>
          <w:rFonts w:ascii="Times New Roman" w:hAnsi="Times New Roman" w:cs="Times New Roman"/>
          <w:i/>
          <w:noProof/>
        </w:rPr>
        <w:t xml:space="preserve">edical </w:t>
      </w:r>
      <w:r w:rsidR="00F1357E" w:rsidRPr="00316FCF">
        <w:rPr>
          <w:rFonts w:ascii="Times New Roman" w:hAnsi="Times New Roman" w:cs="Times New Roman"/>
          <w:i/>
          <w:noProof/>
        </w:rPr>
        <w:t>J</w:t>
      </w:r>
      <w:r w:rsidRPr="00316FCF">
        <w:rPr>
          <w:rFonts w:ascii="Times New Roman" w:hAnsi="Times New Roman" w:cs="Times New Roman"/>
          <w:i/>
          <w:noProof/>
        </w:rPr>
        <w:t xml:space="preserve">ournal </w:t>
      </w:r>
      <w:r w:rsidRPr="00316FCF">
        <w:rPr>
          <w:rFonts w:ascii="Times New Roman" w:hAnsi="Times New Roman" w:cs="Times New Roman"/>
          <w:iCs/>
          <w:noProof/>
        </w:rPr>
        <w:t>60</w:t>
      </w:r>
      <w:r w:rsidRPr="00316FCF">
        <w:rPr>
          <w:rFonts w:ascii="Times New Roman" w:hAnsi="Times New Roman" w:cs="Times New Roman"/>
          <w:noProof/>
        </w:rPr>
        <w:t>(4)</w:t>
      </w:r>
      <w:r w:rsidR="00F1357E" w:rsidRPr="00316FCF">
        <w:rPr>
          <w:rFonts w:ascii="Times New Roman" w:hAnsi="Times New Roman" w:cs="Times New Roman"/>
          <w:noProof/>
        </w:rPr>
        <w:t>:</w:t>
      </w:r>
      <w:r w:rsidRPr="00316FCF">
        <w:rPr>
          <w:rFonts w:ascii="Times New Roman" w:hAnsi="Times New Roman" w:cs="Times New Roman"/>
          <w:noProof/>
        </w:rPr>
        <w:t xml:space="preserve"> 196</w:t>
      </w:r>
      <w:r w:rsidR="00F1357E" w:rsidRPr="00316FCF">
        <w:rPr>
          <w:rFonts w:ascii="Times New Roman" w:hAnsi="Times New Roman" w:cs="Times New Roman"/>
          <w:noProof/>
        </w:rPr>
        <w:t>–</w:t>
      </w:r>
      <w:r w:rsidRPr="00316FCF">
        <w:rPr>
          <w:rFonts w:ascii="Times New Roman" w:hAnsi="Times New Roman" w:cs="Times New Roman"/>
          <w:noProof/>
        </w:rPr>
        <w:t xml:space="preserve">201. </w:t>
      </w:r>
    </w:p>
    <w:p w14:paraId="36FED8FD" w14:textId="353E372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Miele C, Taylor M, </w:t>
      </w:r>
      <w:r w:rsidR="00F1357E" w:rsidRPr="00316FCF">
        <w:rPr>
          <w:rFonts w:ascii="Times New Roman" w:hAnsi="Times New Roman" w:cs="Times New Roman"/>
          <w:noProof/>
        </w:rPr>
        <w:t>and</w:t>
      </w:r>
      <w:r w:rsidRPr="00316FCF">
        <w:rPr>
          <w:rFonts w:ascii="Times New Roman" w:hAnsi="Times New Roman" w:cs="Times New Roman"/>
          <w:noProof/>
        </w:rPr>
        <w:t xml:space="preserve"> Shah A. 2017. Assessment of Direct Oral Anticoagulant Prescribing and Monitoring Pre- and Post-Implementation of a Pharmacy Protocol at a Community Teaching Hospital. </w:t>
      </w:r>
      <w:r w:rsidRPr="00316FCF">
        <w:rPr>
          <w:rFonts w:ascii="Times New Roman" w:hAnsi="Times New Roman" w:cs="Times New Roman"/>
          <w:i/>
          <w:noProof/>
        </w:rPr>
        <w:t>Hosp</w:t>
      </w:r>
      <w:r w:rsidR="00F1357E" w:rsidRPr="00316FCF">
        <w:rPr>
          <w:rFonts w:ascii="Times New Roman" w:hAnsi="Times New Roman" w:cs="Times New Roman"/>
          <w:i/>
          <w:noProof/>
        </w:rPr>
        <w:t>ital</w:t>
      </w:r>
      <w:r w:rsidRPr="00316FCF">
        <w:rPr>
          <w:rFonts w:ascii="Times New Roman" w:hAnsi="Times New Roman" w:cs="Times New Roman"/>
          <w:i/>
          <w:noProof/>
        </w:rPr>
        <w:t xml:space="preserve"> Pharm</w:t>
      </w:r>
      <w:r w:rsidR="00F1357E" w:rsidRPr="00316FCF">
        <w:rPr>
          <w:rFonts w:ascii="Times New Roman" w:hAnsi="Times New Roman" w:cs="Times New Roman"/>
          <w:i/>
          <w:noProof/>
        </w:rPr>
        <w:t>acy</w:t>
      </w:r>
      <w:r w:rsidRPr="00316FCF">
        <w:rPr>
          <w:rFonts w:ascii="Times New Roman" w:hAnsi="Times New Roman" w:cs="Times New Roman"/>
          <w:i/>
          <w:noProof/>
        </w:rPr>
        <w:t xml:space="preserve"> </w:t>
      </w:r>
      <w:r w:rsidRPr="00316FCF">
        <w:rPr>
          <w:rFonts w:ascii="Times New Roman" w:hAnsi="Times New Roman" w:cs="Times New Roman"/>
          <w:iCs/>
          <w:noProof/>
        </w:rPr>
        <w:t>52</w:t>
      </w:r>
      <w:r w:rsidRPr="00316FCF">
        <w:rPr>
          <w:rFonts w:ascii="Times New Roman" w:hAnsi="Times New Roman" w:cs="Times New Roman"/>
          <w:noProof/>
        </w:rPr>
        <w:t>(3)</w:t>
      </w:r>
      <w:r w:rsidR="00F1357E" w:rsidRPr="00316FCF">
        <w:rPr>
          <w:rFonts w:ascii="Times New Roman" w:hAnsi="Times New Roman" w:cs="Times New Roman"/>
          <w:noProof/>
        </w:rPr>
        <w:t>:</w:t>
      </w:r>
      <w:r w:rsidRPr="00316FCF">
        <w:rPr>
          <w:rFonts w:ascii="Times New Roman" w:hAnsi="Times New Roman" w:cs="Times New Roman"/>
          <w:noProof/>
        </w:rPr>
        <w:t xml:space="preserve"> 207</w:t>
      </w:r>
      <w:r w:rsidR="00F1357E" w:rsidRPr="00316FCF">
        <w:rPr>
          <w:rFonts w:ascii="Times New Roman" w:hAnsi="Times New Roman" w:cs="Times New Roman"/>
          <w:noProof/>
        </w:rPr>
        <w:t>–</w:t>
      </w:r>
      <w:r w:rsidRPr="00316FCF">
        <w:rPr>
          <w:rFonts w:ascii="Times New Roman" w:hAnsi="Times New Roman" w:cs="Times New Roman"/>
          <w:noProof/>
        </w:rPr>
        <w:t>213. doi:10.1310/hpj5203-207</w:t>
      </w:r>
    </w:p>
    <w:p w14:paraId="69D73C32" w14:textId="4B862816"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Nazarenko GI, Kleymenova EB, Payushik SA, </w:t>
      </w:r>
      <w:r w:rsidR="00F1357E" w:rsidRPr="00316FCF">
        <w:rPr>
          <w:rFonts w:ascii="Times New Roman" w:hAnsi="Times New Roman" w:cs="Times New Roman"/>
          <w:noProof/>
        </w:rPr>
        <w:t xml:space="preserve">et al. </w:t>
      </w:r>
      <w:r w:rsidRPr="00316FCF">
        <w:rPr>
          <w:rFonts w:ascii="Times New Roman" w:hAnsi="Times New Roman" w:cs="Times New Roman"/>
          <w:noProof/>
        </w:rPr>
        <w:t xml:space="preserve">2015. Decision support systems in clinical practice: The case of venous thromboembolism prevention. </w:t>
      </w:r>
      <w:r w:rsidRPr="00316FCF">
        <w:rPr>
          <w:rFonts w:ascii="Times New Roman" w:hAnsi="Times New Roman" w:cs="Times New Roman"/>
          <w:i/>
          <w:noProof/>
        </w:rPr>
        <w:t>Int</w:t>
      </w:r>
      <w:r w:rsidR="00F1357E" w:rsidRPr="00316FCF">
        <w:rPr>
          <w:rFonts w:ascii="Times New Roman" w:hAnsi="Times New Roman" w:cs="Times New Roman"/>
          <w:i/>
          <w:noProof/>
        </w:rPr>
        <w:t>ernational</w:t>
      </w:r>
      <w:r w:rsidRPr="00316FCF">
        <w:rPr>
          <w:rFonts w:ascii="Times New Roman" w:hAnsi="Times New Roman" w:cs="Times New Roman"/>
          <w:i/>
          <w:noProof/>
        </w:rPr>
        <w:t xml:space="preserve"> J</w:t>
      </w:r>
      <w:r w:rsidR="00F1357E" w:rsidRPr="00316FCF">
        <w:rPr>
          <w:rFonts w:ascii="Times New Roman" w:hAnsi="Times New Roman" w:cs="Times New Roman"/>
          <w:i/>
          <w:noProof/>
        </w:rPr>
        <w:t>ournal of</w:t>
      </w:r>
      <w:r w:rsidRPr="00316FCF">
        <w:rPr>
          <w:rFonts w:ascii="Times New Roman" w:hAnsi="Times New Roman" w:cs="Times New Roman"/>
          <w:i/>
          <w:noProof/>
        </w:rPr>
        <w:t xml:space="preserve"> Risk </w:t>
      </w:r>
      <w:r w:rsidR="000B60E7" w:rsidRPr="00316FCF">
        <w:rPr>
          <w:rFonts w:ascii="Times New Roman" w:hAnsi="Times New Roman" w:cs="Times New Roman"/>
          <w:i/>
          <w:noProof/>
        </w:rPr>
        <w:t xml:space="preserve">and </w:t>
      </w:r>
      <w:r w:rsidRPr="00316FCF">
        <w:rPr>
          <w:rFonts w:ascii="Times New Roman" w:hAnsi="Times New Roman" w:cs="Times New Roman"/>
          <w:i/>
          <w:noProof/>
        </w:rPr>
        <w:t>Saf</w:t>
      </w:r>
      <w:r w:rsidR="00F1357E" w:rsidRPr="00316FCF">
        <w:rPr>
          <w:rFonts w:ascii="Times New Roman" w:hAnsi="Times New Roman" w:cs="Times New Roman"/>
          <w:i/>
          <w:noProof/>
        </w:rPr>
        <w:t>ety</w:t>
      </w:r>
      <w:r w:rsidRPr="00316FCF">
        <w:rPr>
          <w:rFonts w:ascii="Times New Roman" w:hAnsi="Times New Roman" w:cs="Times New Roman"/>
          <w:i/>
          <w:noProof/>
        </w:rPr>
        <w:t xml:space="preserve"> </w:t>
      </w:r>
      <w:r w:rsidR="000B60E7" w:rsidRPr="00316FCF">
        <w:rPr>
          <w:rFonts w:ascii="Times New Roman" w:hAnsi="Times New Roman" w:cs="Times New Roman"/>
          <w:i/>
          <w:noProof/>
        </w:rPr>
        <w:t xml:space="preserve">in </w:t>
      </w:r>
      <w:r w:rsidRPr="00316FCF">
        <w:rPr>
          <w:rFonts w:ascii="Times New Roman" w:hAnsi="Times New Roman" w:cs="Times New Roman"/>
          <w:i/>
          <w:noProof/>
        </w:rPr>
        <w:t>Med</w:t>
      </w:r>
      <w:r w:rsidR="00F1357E" w:rsidRPr="00316FCF">
        <w:rPr>
          <w:rFonts w:ascii="Times New Roman" w:hAnsi="Times New Roman" w:cs="Times New Roman"/>
          <w:i/>
          <w:noProof/>
        </w:rPr>
        <w:t>icine</w:t>
      </w:r>
      <w:r w:rsidRPr="00316FCF">
        <w:rPr>
          <w:rFonts w:ascii="Times New Roman" w:hAnsi="Times New Roman" w:cs="Times New Roman"/>
          <w:i/>
          <w:noProof/>
        </w:rPr>
        <w:t xml:space="preserve"> </w:t>
      </w:r>
      <w:r w:rsidRPr="00316FCF">
        <w:rPr>
          <w:rFonts w:ascii="Times New Roman" w:hAnsi="Times New Roman" w:cs="Times New Roman"/>
          <w:iCs/>
          <w:noProof/>
        </w:rPr>
        <w:t>27</w:t>
      </w:r>
      <w:r w:rsidR="000B60E7" w:rsidRPr="00316FCF">
        <w:rPr>
          <w:rFonts w:ascii="Times New Roman" w:hAnsi="Times New Roman" w:cs="Times New Roman"/>
          <w:iCs/>
          <w:noProof/>
        </w:rPr>
        <w:t>(</w:t>
      </w:r>
      <w:r w:rsidRPr="00316FCF">
        <w:rPr>
          <w:rFonts w:ascii="Times New Roman" w:hAnsi="Times New Roman" w:cs="Times New Roman"/>
          <w:iCs/>
          <w:noProof/>
        </w:rPr>
        <w:t>Suppl 1</w:t>
      </w:r>
      <w:r w:rsidR="000B60E7" w:rsidRPr="00316FCF">
        <w:rPr>
          <w:rFonts w:ascii="Times New Roman" w:hAnsi="Times New Roman" w:cs="Times New Roman"/>
          <w:iCs/>
          <w:noProof/>
        </w:rPr>
        <w:t>):</w:t>
      </w:r>
      <w:r w:rsidRPr="00316FCF">
        <w:rPr>
          <w:rFonts w:ascii="Times New Roman" w:hAnsi="Times New Roman" w:cs="Times New Roman"/>
          <w:noProof/>
        </w:rPr>
        <w:t xml:space="preserve"> S104</w:t>
      </w:r>
      <w:r w:rsidR="000B60E7" w:rsidRPr="00316FCF">
        <w:rPr>
          <w:rFonts w:ascii="Times New Roman" w:hAnsi="Times New Roman" w:cs="Times New Roman"/>
          <w:noProof/>
        </w:rPr>
        <w:t>–</w:t>
      </w:r>
      <w:r w:rsidRPr="00316FCF">
        <w:rPr>
          <w:rFonts w:ascii="Times New Roman" w:hAnsi="Times New Roman" w:cs="Times New Roman"/>
          <w:noProof/>
        </w:rPr>
        <w:t>105. doi:10.3233/jrs-150709</w:t>
      </w:r>
    </w:p>
    <w:p w14:paraId="012D45A6" w14:textId="015533ED"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Noseworthy PA, Branda ME, Kunneman M,</w:t>
      </w:r>
      <w:r w:rsidR="000B60E7" w:rsidRPr="00316FCF">
        <w:rPr>
          <w:rFonts w:ascii="Times New Roman" w:hAnsi="Times New Roman" w:cs="Times New Roman"/>
          <w:noProof/>
        </w:rPr>
        <w:t xml:space="preserve"> et al. </w:t>
      </w:r>
      <w:r w:rsidRPr="00316FCF">
        <w:rPr>
          <w:rFonts w:ascii="Times New Roman" w:hAnsi="Times New Roman" w:cs="Times New Roman"/>
          <w:noProof/>
        </w:rPr>
        <w:t xml:space="preserve">2022. Effect of Shared Decision-Making for Stroke Prevention on Treatment Adherence and Safety Outcomes in Patients With Atrial Fibrillation: A Randomized Clinical Trial. </w:t>
      </w:r>
      <w:r w:rsidRPr="00316FCF">
        <w:rPr>
          <w:rFonts w:ascii="Times New Roman" w:hAnsi="Times New Roman" w:cs="Times New Roman"/>
          <w:i/>
          <w:noProof/>
        </w:rPr>
        <w:t>J</w:t>
      </w:r>
      <w:r w:rsidR="000B60E7" w:rsidRPr="00316FCF">
        <w:rPr>
          <w:rFonts w:ascii="Times New Roman" w:hAnsi="Times New Roman" w:cs="Times New Roman"/>
          <w:i/>
          <w:noProof/>
        </w:rPr>
        <w:t>ournal of the</w:t>
      </w:r>
      <w:r w:rsidRPr="00316FCF">
        <w:rPr>
          <w:rFonts w:ascii="Times New Roman" w:hAnsi="Times New Roman" w:cs="Times New Roman"/>
          <w:i/>
          <w:noProof/>
        </w:rPr>
        <w:t xml:space="preserve"> Am</w:t>
      </w:r>
      <w:r w:rsidR="000B60E7" w:rsidRPr="00316FCF">
        <w:rPr>
          <w:rFonts w:ascii="Times New Roman" w:hAnsi="Times New Roman" w:cs="Times New Roman"/>
          <w:i/>
          <w:noProof/>
        </w:rPr>
        <w:t>erican</w:t>
      </w:r>
      <w:r w:rsidRPr="00316FCF">
        <w:rPr>
          <w:rFonts w:ascii="Times New Roman" w:hAnsi="Times New Roman" w:cs="Times New Roman"/>
          <w:i/>
          <w:noProof/>
        </w:rPr>
        <w:t xml:space="preserve"> Heart Assoc</w:t>
      </w:r>
      <w:r w:rsidR="000B60E7" w:rsidRPr="00316FCF">
        <w:rPr>
          <w:rFonts w:ascii="Times New Roman" w:hAnsi="Times New Roman" w:cs="Times New Roman"/>
          <w:i/>
          <w:noProof/>
        </w:rPr>
        <w:t>iation</w:t>
      </w:r>
      <w:r w:rsidRPr="00316FCF">
        <w:rPr>
          <w:rFonts w:ascii="Times New Roman" w:hAnsi="Times New Roman" w:cs="Times New Roman"/>
          <w:i/>
          <w:noProof/>
        </w:rPr>
        <w:t xml:space="preserve"> </w:t>
      </w:r>
      <w:r w:rsidRPr="00316FCF">
        <w:rPr>
          <w:rFonts w:ascii="Times New Roman" w:hAnsi="Times New Roman" w:cs="Times New Roman"/>
          <w:iCs/>
          <w:noProof/>
        </w:rPr>
        <w:t>11</w:t>
      </w:r>
      <w:r w:rsidRPr="00316FCF">
        <w:rPr>
          <w:rFonts w:ascii="Times New Roman" w:hAnsi="Times New Roman" w:cs="Times New Roman"/>
          <w:noProof/>
        </w:rPr>
        <w:t>(2)</w:t>
      </w:r>
      <w:r w:rsidR="000B60E7" w:rsidRPr="00316FCF">
        <w:rPr>
          <w:rFonts w:ascii="Times New Roman" w:hAnsi="Times New Roman" w:cs="Times New Roman"/>
          <w:noProof/>
        </w:rPr>
        <w:t>:</w:t>
      </w:r>
      <w:r w:rsidRPr="00316FCF">
        <w:rPr>
          <w:rFonts w:ascii="Times New Roman" w:hAnsi="Times New Roman" w:cs="Times New Roman"/>
          <w:noProof/>
        </w:rPr>
        <w:t xml:space="preserve"> e023048. doi:10.1161/jaha.121.023048</w:t>
      </w:r>
    </w:p>
    <w:p w14:paraId="40D5B1F8" w14:textId="007E2B74"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Paquette</w:t>
      </w:r>
      <w:r w:rsidR="000B60E7" w:rsidRPr="00316FCF">
        <w:rPr>
          <w:rFonts w:ascii="Times New Roman" w:hAnsi="Times New Roman" w:cs="Times New Roman"/>
          <w:noProof/>
        </w:rPr>
        <w:t xml:space="preserve"> </w:t>
      </w:r>
      <w:r w:rsidRPr="00316FCF">
        <w:rPr>
          <w:rFonts w:ascii="Times New Roman" w:hAnsi="Times New Roman" w:cs="Times New Roman"/>
          <w:noProof/>
        </w:rPr>
        <w:t>M, Witt DM, Holbrook A,</w:t>
      </w:r>
      <w:r w:rsidR="000B60E7" w:rsidRPr="00316FCF">
        <w:rPr>
          <w:rFonts w:ascii="Times New Roman" w:hAnsi="Times New Roman" w:cs="Times New Roman"/>
          <w:noProof/>
        </w:rPr>
        <w:t xml:space="preserve"> et al. </w:t>
      </w:r>
      <w:r w:rsidRPr="00316FCF">
        <w:rPr>
          <w:rFonts w:ascii="Times New Roman" w:hAnsi="Times New Roman" w:cs="Times New Roman"/>
          <w:noProof/>
        </w:rPr>
        <w:t xml:space="preserve">2019. A systematic review and meta-analysis of supplemental education in patients treated with oral anticoagulation. </w:t>
      </w:r>
      <w:r w:rsidRPr="00316FCF">
        <w:rPr>
          <w:rFonts w:ascii="Times New Roman" w:hAnsi="Times New Roman" w:cs="Times New Roman"/>
          <w:i/>
          <w:noProof/>
        </w:rPr>
        <w:t>Blood Adv</w:t>
      </w:r>
      <w:r w:rsidR="000B60E7" w:rsidRPr="00316FCF">
        <w:rPr>
          <w:rFonts w:ascii="Times New Roman" w:hAnsi="Times New Roman" w:cs="Times New Roman"/>
          <w:i/>
          <w:noProof/>
        </w:rPr>
        <w:t>ances</w:t>
      </w:r>
      <w:r w:rsidRPr="00316FCF">
        <w:rPr>
          <w:rFonts w:ascii="Times New Roman" w:hAnsi="Times New Roman" w:cs="Times New Roman"/>
          <w:i/>
          <w:noProof/>
        </w:rPr>
        <w:t xml:space="preserve"> </w:t>
      </w:r>
      <w:r w:rsidRPr="00316FCF">
        <w:rPr>
          <w:rFonts w:ascii="Times New Roman" w:hAnsi="Times New Roman" w:cs="Times New Roman"/>
          <w:iCs/>
          <w:noProof/>
        </w:rPr>
        <w:t>3</w:t>
      </w:r>
      <w:r w:rsidRPr="00316FCF">
        <w:rPr>
          <w:rFonts w:ascii="Times New Roman" w:hAnsi="Times New Roman" w:cs="Times New Roman"/>
          <w:noProof/>
        </w:rPr>
        <w:t>(10)</w:t>
      </w:r>
      <w:r w:rsidR="000B60E7" w:rsidRPr="00316FCF">
        <w:rPr>
          <w:rFonts w:ascii="Times New Roman" w:hAnsi="Times New Roman" w:cs="Times New Roman"/>
          <w:noProof/>
        </w:rPr>
        <w:t>:</w:t>
      </w:r>
      <w:r w:rsidRPr="00316FCF">
        <w:rPr>
          <w:rFonts w:ascii="Times New Roman" w:hAnsi="Times New Roman" w:cs="Times New Roman"/>
          <w:noProof/>
        </w:rPr>
        <w:t xml:space="preserve"> 1638</w:t>
      </w:r>
      <w:r w:rsidR="000B60E7" w:rsidRPr="00316FCF">
        <w:rPr>
          <w:rFonts w:ascii="Times New Roman" w:hAnsi="Times New Roman" w:cs="Times New Roman"/>
          <w:noProof/>
        </w:rPr>
        <w:t>–</w:t>
      </w:r>
      <w:r w:rsidRPr="00316FCF">
        <w:rPr>
          <w:rFonts w:ascii="Times New Roman" w:hAnsi="Times New Roman" w:cs="Times New Roman"/>
          <w:noProof/>
        </w:rPr>
        <w:t>1646. doi:10.1182/bloodadvances.2019000067</w:t>
      </w:r>
    </w:p>
    <w:p w14:paraId="61194791" w14:textId="5FB6E118"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Pelkofski</w:t>
      </w:r>
      <w:r w:rsidR="000B60E7" w:rsidRPr="00316FCF">
        <w:rPr>
          <w:rFonts w:ascii="Times New Roman" w:hAnsi="Times New Roman" w:cs="Times New Roman"/>
          <w:noProof/>
        </w:rPr>
        <w:t xml:space="preserve"> </w:t>
      </w:r>
      <w:r w:rsidRPr="00316FCF">
        <w:rPr>
          <w:rFonts w:ascii="Times New Roman" w:hAnsi="Times New Roman" w:cs="Times New Roman"/>
          <w:noProof/>
        </w:rPr>
        <w:t>EB, Baker WD, Rowlingson JC,</w:t>
      </w:r>
      <w:r w:rsidR="000B60E7" w:rsidRPr="00316FCF">
        <w:rPr>
          <w:rFonts w:ascii="Times New Roman" w:hAnsi="Times New Roman" w:cs="Times New Roman"/>
          <w:noProof/>
        </w:rPr>
        <w:t xml:space="preserve"> et al.</w:t>
      </w:r>
      <w:r w:rsidRPr="00316FCF">
        <w:rPr>
          <w:rFonts w:ascii="Times New Roman" w:hAnsi="Times New Roman" w:cs="Times New Roman"/>
          <w:noProof/>
        </w:rPr>
        <w:t xml:space="preserve"> 2019. Quality Initiative to Improve Compliance With Perioperative Anticoagulation. </w:t>
      </w:r>
      <w:r w:rsidRPr="00316FCF">
        <w:rPr>
          <w:rFonts w:ascii="Times New Roman" w:hAnsi="Times New Roman" w:cs="Times New Roman"/>
          <w:i/>
          <w:noProof/>
        </w:rPr>
        <w:t>J</w:t>
      </w:r>
      <w:r w:rsidR="000B60E7" w:rsidRPr="00316FCF">
        <w:rPr>
          <w:rFonts w:ascii="Times New Roman" w:hAnsi="Times New Roman" w:cs="Times New Roman"/>
          <w:i/>
          <w:noProof/>
        </w:rPr>
        <w:t>ournal of</w:t>
      </w:r>
      <w:r w:rsidRPr="00316FCF">
        <w:rPr>
          <w:rFonts w:ascii="Times New Roman" w:hAnsi="Times New Roman" w:cs="Times New Roman"/>
          <w:i/>
          <w:noProof/>
        </w:rPr>
        <w:t xml:space="preserve"> Oncol</w:t>
      </w:r>
      <w:r w:rsidR="000B60E7" w:rsidRPr="00316FCF">
        <w:rPr>
          <w:rFonts w:ascii="Times New Roman" w:hAnsi="Times New Roman" w:cs="Times New Roman"/>
          <w:i/>
          <w:noProof/>
        </w:rPr>
        <w:t>ogy</w:t>
      </w:r>
      <w:r w:rsidRPr="00316FCF">
        <w:rPr>
          <w:rFonts w:ascii="Times New Roman" w:hAnsi="Times New Roman" w:cs="Times New Roman"/>
          <w:i/>
          <w:noProof/>
        </w:rPr>
        <w:t xml:space="preserve"> Pract</w:t>
      </w:r>
      <w:r w:rsidR="000B60E7"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15</w:t>
      </w:r>
      <w:r w:rsidRPr="00316FCF">
        <w:rPr>
          <w:rFonts w:ascii="Times New Roman" w:hAnsi="Times New Roman" w:cs="Times New Roman"/>
          <w:noProof/>
        </w:rPr>
        <w:t>(9)</w:t>
      </w:r>
      <w:r w:rsidR="000B60E7" w:rsidRPr="00316FCF">
        <w:rPr>
          <w:rFonts w:ascii="Times New Roman" w:hAnsi="Times New Roman" w:cs="Times New Roman"/>
          <w:noProof/>
        </w:rPr>
        <w:t>:</w:t>
      </w:r>
      <w:r w:rsidRPr="00316FCF">
        <w:rPr>
          <w:rFonts w:ascii="Times New Roman" w:hAnsi="Times New Roman" w:cs="Times New Roman"/>
          <w:noProof/>
        </w:rPr>
        <w:t xml:space="preserve"> e835-e842. doi:10.1200/jop.18.00748</w:t>
      </w:r>
    </w:p>
    <w:p w14:paraId="21DB6E21" w14:textId="404C10E1"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Perlman A, Horwitz E, Hirsh-Raccah B,</w:t>
      </w:r>
      <w:r w:rsidR="000B60E7" w:rsidRPr="00316FCF">
        <w:rPr>
          <w:rFonts w:ascii="Times New Roman" w:hAnsi="Times New Roman" w:cs="Times New Roman"/>
          <w:noProof/>
        </w:rPr>
        <w:t xml:space="preserve"> et al. </w:t>
      </w:r>
      <w:r w:rsidRPr="00316FCF">
        <w:rPr>
          <w:rFonts w:ascii="Times New Roman" w:hAnsi="Times New Roman" w:cs="Times New Roman"/>
          <w:noProof/>
        </w:rPr>
        <w:t xml:space="preserve">2019. Clinical pharmacist led hospital-wide direct oral anticoagulant stewardship program. </w:t>
      </w:r>
      <w:r w:rsidRPr="00316FCF">
        <w:rPr>
          <w:rFonts w:ascii="Times New Roman" w:hAnsi="Times New Roman" w:cs="Times New Roman"/>
          <w:i/>
          <w:noProof/>
        </w:rPr>
        <w:t>Isr</w:t>
      </w:r>
      <w:r w:rsidR="000B60E7" w:rsidRPr="00316FCF">
        <w:rPr>
          <w:rFonts w:ascii="Times New Roman" w:hAnsi="Times New Roman" w:cs="Times New Roman"/>
          <w:i/>
          <w:noProof/>
        </w:rPr>
        <w:t>aeli</w:t>
      </w:r>
      <w:r w:rsidRPr="00316FCF">
        <w:rPr>
          <w:rFonts w:ascii="Times New Roman" w:hAnsi="Times New Roman" w:cs="Times New Roman"/>
          <w:i/>
          <w:noProof/>
        </w:rPr>
        <w:t xml:space="preserve"> J</w:t>
      </w:r>
      <w:r w:rsidR="000B60E7" w:rsidRPr="00316FCF">
        <w:rPr>
          <w:rFonts w:ascii="Times New Roman" w:hAnsi="Times New Roman" w:cs="Times New Roman"/>
          <w:i/>
          <w:noProof/>
        </w:rPr>
        <w:t>ournal of</w:t>
      </w:r>
      <w:r w:rsidRPr="00316FCF">
        <w:rPr>
          <w:rFonts w:ascii="Times New Roman" w:hAnsi="Times New Roman" w:cs="Times New Roman"/>
          <w:i/>
          <w:noProof/>
        </w:rPr>
        <w:t xml:space="preserve"> Health Policy Res</w:t>
      </w:r>
      <w:r w:rsidR="000B60E7" w:rsidRPr="00316FCF">
        <w:rPr>
          <w:rFonts w:ascii="Times New Roman" w:hAnsi="Times New Roman" w:cs="Times New Roman"/>
          <w:i/>
          <w:noProof/>
        </w:rPr>
        <w:t>earch</w:t>
      </w:r>
      <w:r w:rsidRPr="00316FCF">
        <w:rPr>
          <w:rFonts w:ascii="Times New Roman" w:hAnsi="Times New Roman" w:cs="Times New Roman"/>
          <w:i/>
          <w:noProof/>
        </w:rPr>
        <w:t xml:space="preserve"> </w:t>
      </w:r>
      <w:r w:rsidRPr="00316FCF">
        <w:rPr>
          <w:rFonts w:ascii="Times New Roman" w:hAnsi="Times New Roman" w:cs="Times New Roman"/>
          <w:iCs/>
          <w:noProof/>
        </w:rPr>
        <w:t>8</w:t>
      </w:r>
      <w:r w:rsidRPr="00316FCF">
        <w:rPr>
          <w:rFonts w:ascii="Times New Roman" w:hAnsi="Times New Roman" w:cs="Times New Roman"/>
          <w:noProof/>
        </w:rPr>
        <w:t>(1)</w:t>
      </w:r>
      <w:r w:rsidR="000B60E7" w:rsidRPr="00316FCF">
        <w:rPr>
          <w:rFonts w:ascii="Times New Roman" w:hAnsi="Times New Roman" w:cs="Times New Roman"/>
          <w:noProof/>
        </w:rPr>
        <w:t>:</w:t>
      </w:r>
      <w:r w:rsidRPr="00316FCF">
        <w:rPr>
          <w:rFonts w:ascii="Times New Roman" w:hAnsi="Times New Roman" w:cs="Times New Roman"/>
          <w:noProof/>
        </w:rPr>
        <w:t xml:space="preserve"> 19. doi:10.1186/s13584-019-0285-9</w:t>
      </w:r>
    </w:p>
    <w:p w14:paraId="7A1CA367" w14:textId="10F6CE6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Quintens C, De Rijdt T, Van Nieuwenhuyse T,</w:t>
      </w:r>
      <w:r w:rsidR="000B60E7" w:rsidRPr="00316FCF">
        <w:rPr>
          <w:rFonts w:ascii="Times New Roman" w:hAnsi="Times New Roman" w:cs="Times New Roman"/>
          <w:noProof/>
        </w:rPr>
        <w:t xml:space="preserve"> et al. </w:t>
      </w:r>
      <w:r w:rsidRPr="00316FCF">
        <w:rPr>
          <w:rFonts w:ascii="Times New Roman" w:hAnsi="Times New Roman" w:cs="Times New Roman"/>
          <w:noProof/>
        </w:rPr>
        <w:t xml:space="preserve">2019. Development and implementation of "Check of Medication Appropriateness" (CMA): advanced pharmacotherapy-related clinical rules to support medication surveillance. </w:t>
      </w:r>
      <w:r w:rsidRPr="00316FCF">
        <w:rPr>
          <w:rFonts w:ascii="Times New Roman" w:hAnsi="Times New Roman" w:cs="Times New Roman"/>
          <w:i/>
          <w:noProof/>
        </w:rPr>
        <w:t>BMC Med</w:t>
      </w:r>
      <w:r w:rsidR="000B60E7" w:rsidRPr="00316FCF">
        <w:rPr>
          <w:rFonts w:ascii="Times New Roman" w:hAnsi="Times New Roman" w:cs="Times New Roman"/>
          <w:i/>
          <w:noProof/>
        </w:rPr>
        <w:t>ical</w:t>
      </w:r>
      <w:r w:rsidRPr="00316FCF">
        <w:rPr>
          <w:rFonts w:ascii="Times New Roman" w:hAnsi="Times New Roman" w:cs="Times New Roman"/>
          <w:i/>
          <w:noProof/>
        </w:rPr>
        <w:t xml:space="preserve"> Inform</w:t>
      </w:r>
      <w:r w:rsidR="000B60E7" w:rsidRPr="00316FCF">
        <w:rPr>
          <w:rFonts w:ascii="Times New Roman" w:hAnsi="Times New Roman" w:cs="Times New Roman"/>
          <w:i/>
          <w:noProof/>
        </w:rPr>
        <w:t>atics and</w:t>
      </w:r>
      <w:r w:rsidRPr="00316FCF">
        <w:rPr>
          <w:rFonts w:ascii="Times New Roman" w:hAnsi="Times New Roman" w:cs="Times New Roman"/>
          <w:i/>
          <w:noProof/>
        </w:rPr>
        <w:t xml:space="preserve"> Decis</w:t>
      </w:r>
      <w:r w:rsidR="000B60E7" w:rsidRPr="00316FCF">
        <w:rPr>
          <w:rFonts w:ascii="Times New Roman" w:hAnsi="Times New Roman" w:cs="Times New Roman"/>
          <w:i/>
          <w:noProof/>
        </w:rPr>
        <w:t>ion</w:t>
      </w:r>
      <w:r w:rsidRPr="00316FCF">
        <w:rPr>
          <w:rFonts w:ascii="Times New Roman" w:hAnsi="Times New Roman" w:cs="Times New Roman"/>
          <w:i/>
          <w:noProof/>
        </w:rPr>
        <w:t xml:space="preserve"> Mak</w:t>
      </w:r>
      <w:r w:rsidR="000B60E7" w:rsidRPr="00316FCF">
        <w:rPr>
          <w:rFonts w:ascii="Times New Roman" w:hAnsi="Times New Roman" w:cs="Times New Roman"/>
          <w:i/>
          <w:noProof/>
        </w:rPr>
        <w:t>ing</w:t>
      </w:r>
      <w:r w:rsidRPr="00316FCF">
        <w:rPr>
          <w:rFonts w:ascii="Times New Roman" w:hAnsi="Times New Roman" w:cs="Times New Roman"/>
          <w:i/>
          <w:noProof/>
        </w:rPr>
        <w:t xml:space="preserve"> </w:t>
      </w:r>
      <w:r w:rsidRPr="00316FCF">
        <w:rPr>
          <w:rFonts w:ascii="Times New Roman" w:hAnsi="Times New Roman" w:cs="Times New Roman"/>
          <w:iCs/>
          <w:noProof/>
        </w:rPr>
        <w:t>19</w:t>
      </w:r>
      <w:r w:rsidRPr="00316FCF">
        <w:rPr>
          <w:rFonts w:ascii="Times New Roman" w:hAnsi="Times New Roman" w:cs="Times New Roman"/>
          <w:noProof/>
        </w:rPr>
        <w:t>(1)</w:t>
      </w:r>
      <w:r w:rsidR="000B60E7" w:rsidRPr="00316FCF">
        <w:rPr>
          <w:rFonts w:ascii="Times New Roman" w:hAnsi="Times New Roman" w:cs="Times New Roman"/>
          <w:noProof/>
        </w:rPr>
        <w:t>:</w:t>
      </w:r>
      <w:r w:rsidRPr="00316FCF">
        <w:rPr>
          <w:rFonts w:ascii="Times New Roman" w:hAnsi="Times New Roman" w:cs="Times New Roman"/>
          <w:noProof/>
        </w:rPr>
        <w:t xml:space="preserve"> 29. doi:10.1186/s12911-019-0748-5</w:t>
      </w:r>
    </w:p>
    <w:p w14:paraId="37B5A832" w14:textId="347236D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Quintens C, Verhamme P, Vanassche T,</w:t>
      </w:r>
      <w:r w:rsidR="000B60E7" w:rsidRPr="00316FCF">
        <w:rPr>
          <w:rFonts w:ascii="Times New Roman" w:hAnsi="Times New Roman" w:cs="Times New Roman"/>
          <w:noProof/>
        </w:rPr>
        <w:t xml:space="preserve"> et al. </w:t>
      </w:r>
      <w:r w:rsidRPr="00316FCF">
        <w:rPr>
          <w:rFonts w:ascii="Times New Roman" w:hAnsi="Times New Roman" w:cs="Times New Roman"/>
          <w:noProof/>
        </w:rPr>
        <w:t xml:space="preserve">2022. Improving appropriate use of anticoagulants in hospitalised patients: A pharmacist-led Check of Medication Appropriateness intervention. </w:t>
      </w:r>
      <w:r w:rsidRPr="00316FCF">
        <w:rPr>
          <w:rFonts w:ascii="Times New Roman" w:hAnsi="Times New Roman" w:cs="Times New Roman"/>
          <w:i/>
          <w:noProof/>
        </w:rPr>
        <w:t>Br</w:t>
      </w:r>
      <w:r w:rsidR="00B772B1" w:rsidRPr="00316FCF">
        <w:rPr>
          <w:rFonts w:ascii="Times New Roman" w:hAnsi="Times New Roman" w:cs="Times New Roman"/>
          <w:i/>
          <w:noProof/>
        </w:rPr>
        <w:t>itish</w:t>
      </w:r>
      <w:r w:rsidRPr="00316FCF">
        <w:rPr>
          <w:rFonts w:ascii="Times New Roman" w:hAnsi="Times New Roman" w:cs="Times New Roman"/>
          <w:i/>
          <w:noProof/>
        </w:rPr>
        <w:t xml:space="preserve"> J</w:t>
      </w:r>
      <w:r w:rsidR="00B772B1" w:rsidRPr="00316FCF">
        <w:rPr>
          <w:rFonts w:ascii="Times New Roman" w:hAnsi="Times New Roman" w:cs="Times New Roman"/>
          <w:i/>
          <w:noProof/>
        </w:rPr>
        <w:t>ournal of</w:t>
      </w:r>
      <w:r w:rsidRPr="00316FCF">
        <w:rPr>
          <w:rFonts w:ascii="Times New Roman" w:hAnsi="Times New Roman" w:cs="Times New Roman"/>
          <w:i/>
          <w:noProof/>
        </w:rPr>
        <w:t xml:space="preserve"> Cli</w:t>
      </w:r>
      <w:r w:rsidR="00B772B1" w:rsidRPr="00316FCF">
        <w:rPr>
          <w:rFonts w:ascii="Times New Roman" w:hAnsi="Times New Roman" w:cs="Times New Roman"/>
          <w:i/>
          <w:noProof/>
        </w:rPr>
        <w:t>nical</w:t>
      </w:r>
      <w:r w:rsidRPr="00316FCF">
        <w:rPr>
          <w:rFonts w:ascii="Times New Roman" w:hAnsi="Times New Roman" w:cs="Times New Roman"/>
          <w:i/>
          <w:noProof/>
        </w:rPr>
        <w:t xml:space="preserve"> Pharmacol</w:t>
      </w:r>
      <w:r w:rsidR="00B772B1" w:rsidRPr="00316FCF">
        <w:rPr>
          <w:rFonts w:ascii="Times New Roman" w:hAnsi="Times New Roman" w:cs="Times New Roman"/>
          <w:i/>
          <w:noProof/>
        </w:rPr>
        <w:t>ogy</w:t>
      </w:r>
      <w:r w:rsidRPr="00316FCF">
        <w:rPr>
          <w:rFonts w:ascii="Times New Roman" w:hAnsi="Times New Roman" w:cs="Times New Roman"/>
          <w:i/>
          <w:noProof/>
        </w:rPr>
        <w:t xml:space="preserve"> </w:t>
      </w:r>
      <w:r w:rsidRPr="00316FCF">
        <w:rPr>
          <w:rFonts w:ascii="Times New Roman" w:hAnsi="Times New Roman" w:cs="Times New Roman"/>
          <w:iCs/>
          <w:noProof/>
        </w:rPr>
        <w:t>88</w:t>
      </w:r>
      <w:r w:rsidRPr="00316FCF">
        <w:rPr>
          <w:rFonts w:ascii="Times New Roman" w:hAnsi="Times New Roman" w:cs="Times New Roman"/>
          <w:noProof/>
        </w:rPr>
        <w:t>(6)</w:t>
      </w:r>
      <w:r w:rsidR="00B772B1" w:rsidRPr="00316FCF">
        <w:rPr>
          <w:rFonts w:ascii="Times New Roman" w:hAnsi="Times New Roman" w:cs="Times New Roman"/>
          <w:noProof/>
        </w:rPr>
        <w:t>:</w:t>
      </w:r>
      <w:r w:rsidRPr="00316FCF">
        <w:rPr>
          <w:rFonts w:ascii="Times New Roman" w:hAnsi="Times New Roman" w:cs="Times New Roman"/>
          <w:noProof/>
        </w:rPr>
        <w:t xml:space="preserve"> 2959</w:t>
      </w:r>
      <w:r w:rsidR="00B772B1" w:rsidRPr="00316FCF">
        <w:rPr>
          <w:rFonts w:ascii="Times New Roman" w:hAnsi="Times New Roman" w:cs="Times New Roman"/>
          <w:noProof/>
        </w:rPr>
        <w:t>–</w:t>
      </w:r>
      <w:r w:rsidRPr="00316FCF">
        <w:rPr>
          <w:rFonts w:ascii="Times New Roman" w:hAnsi="Times New Roman" w:cs="Times New Roman"/>
          <w:noProof/>
        </w:rPr>
        <w:t>2968. doi:10.1111/bcp.15184</w:t>
      </w:r>
    </w:p>
    <w:p w14:paraId="4F0250B8" w14:textId="71ADE834"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Reardon DP, Atay JK, Ashley SW,</w:t>
      </w:r>
      <w:r w:rsidR="00B772B1" w:rsidRPr="00316FCF">
        <w:rPr>
          <w:rFonts w:ascii="Times New Roman" w:hAnsi="Times New Roman" w:cs="Times New Roman"/>
          <w:noProof/>
        </w:rPr>
        <w:t xml:space="preserve"> et al. </w:t>
      </w:r>
      <w:r w:rsidRPr="00316FCF">
        <w:rPr>
          <w:rFonts w:ascii="Times New Roman" w:hAnsi="Times New Roman" w:cs="Times New Roman"/>
          <w:noProof/>
        </w:rPr>
        <w:t xml:space="preserve">2015. Implementation of a Hemostatic and Antithrombotic Stewardship program. </w:t>
      </w:r>
      <w:r w:rsidRPr="00316FCF">
        <w:rPr>
          <w:rFonts w:ascii="Times New Roman" w:hAnsi="Times New Roman" w:cs="Times New Roman"/>
          <w:i/>
          <w:noProof/>
        </w:rPr>
        <w:t>J</w:t>
      </w:r>
      <w:r w:rsidR="00B772B1" w:rsidRPr="00316FCF">
        <w:rPr>
          <w:rFonts w:ascii="Times New Roman" w:hAnsi="Times New Roman" w:cs="Times New Roman"/>
          <w:i/>
          <w:noProof/>
        </w:rPr>
        <w:t>ournal of</w:t>
      </w:r>
      <w:r w:rsidRPr="00316FCF">
        <w:rPr>
          <w:rFonts w:ascii="Times New Roman" w:hAnsi="Times New Roman" w:cs="Times New Roman"/>
          <w:i/>
          <w:noProof/>
        </w:rPr>
        <w:t xml:space="preserve"> Thromb</w:t>
      </w:r>
      <w:r w:rsidR="00B772B1" w:rsidRPr="00316FCF">
        <w:rPr>
          <w:rFonts w:ascii="Times New Roman" w:hAnsi="Times New Roman" w:cs="Times New Roman"/>
          <w:i/>
          <w:noProof/>
        </w:rPr>
        <w:t>osis and</w:t>
      </w:r>
      <w:r w:rsidRPr="00316FCF">
        <w:rPr>
          <w:rFonts w:ascii="Times New Roman" w:hAnsi="Times New Roman" w:cs="Times New Roman"/>
          <w:i/>
          <w:noProof/>
        </w:rPr>
        <w:t xml:space="preserve"> Thrombolysis </w:t>
      </w:r>
      <w:r w:rsidRPr="00316FCF">
        <w:rPr>
          <w:rFonts w:ascii="Times New Roman" w:hAnsi="Times New Roman" w:cs="Times New Roman"/>
          <w:iCs/>
          <w:noProof/>
        </w:rPr>
        <w:t>40</w:t>
      </w:r>
      <w:r w:rsidRPr="00316FCF">
        <w:rPr>
          <w:rFonts w:ascii="Times New Roman" w:hAnsi="Times New Roman" w:cs="Times New Roman"/>
          <w:noProof/>
        </w:rPr>
        <w:t>(3)</w:t>
      </w:r>
      <w:r w:rsidR="00B772B1" w:rsidRPr="00316FCF">
        <w:rPr>
          <w:rFonts w:ascii="Times New Roman" w:hAnsi="Times New Roman" w:cs="Times New Roman"/>
          <w:noProof/>
        </w:rPr>
        <w:t>:</w:t>
      </w:r>
      <w:r w:rsidRPr="00316FCF">
        <w:rPr>
          <w:rFonts w:ascii="Times New Roman" w:hAnsi="Times New Roman" w:cs="Times New Roman"/>
          <w:noProof/>
        </w:rPr>
        <w:t xml:space="preserve"> 379</w:t>
      </w:r>
      <w:r w:rsidR="00B772B1" w:rsidRPr="00316FCF">
        <w:rPr>
          <w:rFonts w:ascii="Times New Roman" w:hAnsi="Times New Roman" w:cs="Times New Roman"/>
          <w:noProof/>
        </w:rPr>
        <w:t>–</w:t>
      </w:r>
      <w:r w:rsidRPr="00316FCF">
        <w:rPr>
          <w:rFonts w:ascii="Times New Roman" w:hAnsi="Times New Roman" w:cs="Times New Roman"/>
          <w:noProof/>
        </w:rPr>
        <w:t>382. doi:10.1007/s11239-015-1189-3</w:t>
      </w:r>
    </w:p>
    <w:p w14:paraId="26DF726B" w14:textId="58CF75D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Ruell J, Smith A, Perera T, </w:t>
      </w:r>
      <w:r w:rsidR="00B772B1" w:rsidRPr="00316FCF">
        <w:rPr>
          <w:rFonts w:ascii="Times New Roman" w:hAnsi="Times New Roman" w:cs="Times New Roman"/>
          <w:noProof/>
        </w:rPr>
        <w:t>and</w:t>
      </w:r>
      <w:r w:rsidRPr="00316FCF">
        <w:rPr>
          <w:rFonts w:ascii="Times New Roman" w:hAnsi="Times New Roman" w:cs="Times New Roman"/>
          <w:noProof/>
        </w:rPr>
        <w:t xml:space="preserve"> Carter J. 2019. The role of a specialist bridging service. A New Zealand prospective study of 600 patients. </w:t>
      </w:r>
      <w:r w:rsidRPr="00316FCF">
        <w:rPr>
          <w:rFonts w:ascii="Times New Roman" w:hAnsi="Times New Roman" w:cs="Times New Roman"/>
          <w:i/>
          <w:noProof/>
        </w:rPr>
        <w:t xml:space="preserve">Journal of Thrombosis and Haemostasis </w:t>
      </w:r>
      <w:r w:rsidRPr="00316FCF">
        <w:rPr>
          <w:rFonts w:ascii="Times New Roman" w:hAnsi="Times New Roman" w:cs="Times New Roman"/>
          <w:iCs/>
          <w:noProof/>
        </w:rPr>
        <w:t>17</w:t>
      </w:r>
      <w:r w:rsidRPr="00316FCF">
        <w:rPr>
          <w:rFonts w:ascii="Times New Roman" w:hAnsi="Times New Roman" w:cs="Times New Roman"/>
          <w:noProof/>
        </w:rPr>
        <w:t>(10)</w:t>
      </w:r>
      <w:r w:rsidR="00B772B1" w:rsidRPr="00316FCF">
        <w:rPr>
          <w:rFonts w:ascii="Times New Roman" w:hAnsi="Times New Roman" w:cs="Times New Roman"/>
          <w:noProof/>
        </w:rPr>
        <w:t>:</w:t>
      </w:r>
      <w:r w:rsidRPr="00316FCF">
        <w:rPr>
          <w:rFonts w:ascii="Times New Roman" w:hAnsi="Times New Roman" w:cs="Times New Roman"/>
          <w:noProof/>
        </w:rPr>
        <w:t xml:space="preserve"> 1756</w:t>
      </w:r>
      <w:r w:rsidR="00B772B1" w:rsidRPr="00316FCF">
        <w:rPr>
          <w:rFonts w:ascii="Times New Roman" w:hAnsi="Times New Roman" w:cs="Times New Roman"/>
          <w:noProof/>
        </w:rPr>
        <w:t>–</w:t>
      </w:r>
      <w:r w:rsidRPr="00316FCF">
        <w:rPr>
          <w:rFonts w:ascii="Times New Roman" w:hAnsi="Times New Roman" w:cs="Times New Roman"/>
          <w:noProof/>
        </w:rPr>
        <w:t>1761. doi:10.1111/jth.14542</w:t>
      </w:r>
    </w:p>
    <w:p w14:paraId="653548F6" w14:textId="2B728A3E"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Savage R, </w:t>
      </w:r>
      <w:r w:rsidR="00B772B1" w:rsidRPr="00316FCF">
        <w:rPr>
          <w:rFonts w:ascii="Times New Roman" w:hAnsi="Times New Roman" w:cs="Times New Roman"/>
          <w:noProof/>
        </w:rPr>
        <w:t>and</w:t>
      </w:r>
      <w:r w:rsidRPr="00316FCF">
        <w:rPr>
          <w:rFonts w:ascii="Times New Roman" w:hAnsi="Times New Roman" w:cs="Times New Roman"/>
          <w:noProof/>
        </w:rPr>
        <w:t xml:space="preserve"> Kunac D. 2016. </w:t>
      </w:r>
      <w:r w:rsidRPr="00316FCF">
        <w:rPr>
          <w:rFonts w:ascii="Times New Roman" w:hAnsi="Times New Roman" w:cs="Times New Roman"/>
          <w:i/>
          <w:noProof/>
        </w:rPr>
        <w:t>Safer use of oral anticoagulants</w:t>
      </w:r>
      <w:r w:rsidRPr="00316FCF">
        <w:rPr>
          <w:rFonts w:ascii="Times New Roman" w:hAnsi="Times New Roman" w:cs="Times New Roman"/>
          <w:noProof/>
        </w:rPr>
        <w:t xml:space="preserve">. </w:t>
      </w:r>
      <w:r w:rsidR="00F35C04" w:rsidRPr="00316FCF">
        <w:rPr>
          <w:rFonts w:ascii="Times New Roman" w:hAnsi="Times New Roman" w:cs="Times New Roman"/>
          <w:noProof/>
        </w:rPr>
        <w:t>(</w:t>
      </w:r>
      <w:r w:rsidRPr="00316FCF">
        <w:rPr>
          <w:rFonts w:ascii="Times New Roman" w:hAnsi="Times New Roman" w:cs="Times New Roman"/>
          <w:noProof/>
        </w:rPr>
        <w:t>Unpublished</w:t>
      </w:r>
      <w:r w:rsidR="00F35C04" w:rsidRPr="00316FCF">
        <w:rPr>
          <w:rFonts w:ascii="Times New Roman" w:hAnsi="Times New Roman" w:cs="Times New Roman"/>
          <w:noProof/>
        </w:rPr>
        <w:t>).</w:t>
      </w:r>
    </w:p>
    <w:p w14:paraId="483CFA41" w14:textId="30D275AD"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Sennesael AL, Krug B, Sneyers B, </w:t>
      </w:r>
      <w:r w:rsidR="00B772B1" w:rsidRPr="00316FCF">
        <w:rPr>
          <w:rFonts w:ascii="Times New Roman" w:hAnsi="Times New Roman" w:cs="Times New Roman"/>
          <w:noProof/>
        </w:rPr>
        <w:t>and</w:t>
      </w:r>
      <w:r w:rsidRPr="00316FCF">
        <w:rPr>
          <w:rFonts w:ascii="Times New Roman" w:hAnsi="Times New Roman" w:cs="Times New Roman"/>
          <w:noProof/>
        </w:rPr>
        <w:t xml:space="preserve"> Spinewine A. 2020. Do computerized clinical decision support systems improve the prescribing of oral anticoagulants? A systematic review. </w:t>
      </w:r>
      <w:r w:rsidRPr="00316FCF">
        <w:rPr>
          <w:rFonts w:ascii="Times New Roman" w:hAnsi="Times New Roman" w:cs="Times New Roman"/>
          <w:i/>
          <w:noProof/>
        </w:rPr>
        <w:t>Thromb</w:t>
      </w:r>
      <w:r w:rsidR="00B772B1" w:rsidRPr="00316FCF">
        <w:rPr>
          <w:rFonts w:ascii="Times New Roman" w:hAnsi="Times New Roman" w:cs="Times New Roman"/>
          <w:i/>
          <w:noProof/>
        </w:rPr>
        <w:t>osis</w:t>
      </w:r>
      <w:r w:rsidRPr="00316FCF">
        <w:rPr>
          <w:rFonts w:ascii="Times New Roman" w:hAnsi="Times New Roman" w:cs="Times New Roman"/>
          <w:i/>
          <w:noProof/>
        </w:rPr>
        <w:t xml:space="preserve"> Res</w:t>
      </w:r>
      <w:r w:rsidR="00B772B1" w:rsidRPr="00316FCF">
        <w:rPr>
          <w:rFonts w:ascii="Times New Roman" w:hAnsi="Times New Roman" w:cs="Times New Roman"/>
          <w:i/>
          <w:noProof/>
        </w:rPr>
        <w:t>earch</w:t>
      </w:r>
      <w:r w:rsidRPr="00316FCF">
        <w:rPr>
          <w:rFonts w:ascii="Times New Roman" w:hAnsi="Times New Roman" w:cs="Times New Roman"/>
          <w:i/>
          <w:noProof/>
        </w:rPr>
        <w:t xml:space="preserve"> </w:t>
      </w:r>
      <w:r w:rsidRPr="00316FCF">
        <w:rPr>
          <w:rFonts w:ascii="Times New Roman" w:hAnsi="Times New Roman" w:cs="Times New Roman"/>
          <w:iCs/>
          <w:noProof/>
        </w:rPr>
        <w:t>187</w:t>
      </w:r>
      <w:r w:rsidR="00B772B1" w:rsidRPr="00316FCF">
        <w:rPr>
          <w:rFonts w:ascii="Times New Roman" w:hAnsi="Times New Roman" w:cs="Times New Roman"/>
          <w:noProof/>
        </w:rPr>
        <w:t>:</w:t>
      </w:r>
      <w:r w:rsidRPr="00316FCF">
        <w:rPr>
          <w:rFonts w:ascii="Times New Roman" w:hAnsi="Times New Roman" w:cs="Times New Roman"/>
          <w:noProof/>
        </w:rPr>
        <w:t xml:space="preserve"> 79</w:t>
      </w:r>
      <w:r w:rsidR="00B772B1" w:rsidRPr="00316FCF">
        <w:rPr>
          <w:rFonts w:ascii="Times New Roman" w:hAnsi="Times New Roman" w:cs="Times New Roman"/>
          <w:noProof/>
        </w:rPr>
        <w:t>–</w:t>
      </w:r>
      <w:r w:rsidRPr="00316FCF">
        <w:rPr>
          <w:rFonts w:ascii="Times New Roman" w:hAnsi="Times New Roman" w:cs="Times New Roman"/>
          <w:noProof/>
        </w:rPr>
        <w:t>87. doi:10.1016/j.thromres.2019.12.023</w:t>
      </w:r>
    </w:p>
    <w:p w14:paraId="6659773D" w14:textId="2D740D60"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Sharma M, Krishnamurthy M, Snyder R, </w:t>
      </w:r>
      <w:r w:rsidR="00B772B1" w:rsidRPr="00316FCF">
        <w:rPr>
          <w:rFonts w:ascii="Times New Roman" w:hAnsi="Times New Roman" w:cs="Times New Roman"/>
          <w:noProof/>
        </w:rPr>
        <w:t>and</w:t>
      </w:r>
      <w:r w:rsidRPr="00316FCF">
        <w:rPr>
          <w:rFonts w:ascii="Times New Roman" w:hAnsi="Times New Roman" w:cs="Times New Roman"/>
          <w:noProof/>
        </w:rPr>
        <w:t xml:space="preserve"> Mauro J. </w:t>
      </w:r>
      <w:r w:rsidR="00F35C04" w:rsidRPr="00316FCF">
        <w:rPr>
          <w:rFonts w:ascii="Times New Roman" w:hAnsi="Times New Roman" w:cs="Times New Roman"/>
          <w:noProof/>
        </w:rPr>
        <w:t>2</w:t>
      </w:r>
      <w:r w:rsidRPr="00316FCF">
        <w:rPr>
          <w:rFonts w:ascii="Times New Roman" w:hAnsi="Times New Roman" w:cs="Times New Roman"/>
          <w:noProof/>
        </w:rPr>
        <w:t xml:space="preserve">017. Reducing Error in Anticoagulant Dosing via Multidisciplinary Team Rounding at Point of Care. </w:t>
      </w:r>
      <w:r w:rsidRPr="00316FCF">
        <w:rPr>
          <w:rFonts w:ascii="Times New Roman" w:hAnsi="Times New Roman" w:cs="Times New Roman"/>
          <w:i/>
          <w:noProof/>
        </w:rPr>
        <w:t>Clin</w:t>
      </w:r>
      <w:r w:rsidR="00B772B1" w:rsidRPr="00316FCF">
        <w:rPr>
          <w:rFonts w:ascii="Times New Roman" w:hAnsi="Times New Roman" w:cs="Times New Roman"/>
          <w:i/>
          <w:noProof/>
        </w:rPr>
        <w:t>ical</w:t>
      </w:r>
      <w:r w:rsidRPr="00316FCF">
        <w:rPr>
          <w:rFonts w:ascii="Times New Roman" w:hAnsi="Times New Roman" w:cs="Times New Roman"/>
          <w:i/>
          <w:noProof/>
        </w:rPr>
        <w:t xml:space="preserve"> Pract</w:t>
      </w:r>
      <w:r w:rsidR="00B772B1"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7</w:t>
      </w:r>
      <w:r w:rsidRPr="00316FCF">
        <w:rPr>
          <w:rFonts w:ascii="Times New Roman" w:hAnsi="Times New Roman" w:cs="Times New Roman"/>
          <w:noProof/>
        </w:rPr>
        <w:t>(2)</w:t>
      </w:r>
      <w:r w:rsidR="00B772B1" w:rsidRPr="00316FCF">
        <w:rPr>
          <w:rFonts w:ascii="Times New Roman" w:hAnsi="Times New Roman" w:cs="Times New Roman"/>
          <w:noProof/>
        </w:rPr>
        <w:t>:</w:t>
      </w:r>
      <w:r w:rsidRPr="00316FCF">
        <w:rPr>
          <w:rFonts w:ascii="Times New Roman" w:hAnsi="Times New Roman" w:cs="Times New Roman"/>
          <w:noProof/>
        </w:rPr>
        <w:t xml:space="preserve"> 953. doi:10.4081/cp.2017.953</w:t>
      </w:r>
    </w:p>
    <w:p w14:paraId="11404105" w14:textId="59BDD3D5"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Spyropoulos AC, Giannis D, Cohen </w:t>
      </w:r>
      <w:r w:rsidR="00B772B1" w:rsidRPr="00316FCF">
        <w:rPr>
          <w:rFonts w:ascii="Times New Roman" w:hAnsi="Times New Roman" w:cs="Times New Roman"/>
          <w:noProof/>
        </w:rPr>
        <w:t>J</w:t>
      </w:r>
      <w:r w:rsidRPr="00316FCF">
        <w:rPr>
          <w:rFonts w:ascii="Times New Roman" w:hAnsi="Times New Roman" w:cs="Times New Roman"/>
          <w:noProof/>
        </w:rPr>
        <w:t>,</w:t>
      </w:r>
      <w:r w:rsidR="00B772B1" w:rsidRPr="00316FCF">
        <w:rPr>
          <w:rFonts w:ascii="Times New Roman" w:hAnsi="Times New Roman" w:cs="Times New Roman"/>
          <w:noProof/>
        </w:rPr>
        <w:t xml:space="preserve"> et al. </w:t>
      </w:r>
      <w:r w:rsidRPr="00316FCF">
        <w:rPr>
          <w:rFonts w:ascii="Times New Roman" w:hAnsi="Times New Roman" w:cs="Times New Roman"/>
          <w:noProof/>
        </w:rPr>
        <w:t xml:space="preserve">2020. Implementation of the Management of Anticoagulation in the Periprocedural Period App Into an Electronic Health Record: A Prospective Cohort Study. </w:t>
      </w:r>
      <w:r w:rsidRPr="00316FCF">
        <w:rPr>
          <w:rFonts w:ascii="Times New Roman" w:hAnsi="Times New Roman" w:cs="Times New Roman"/>
          <w:i/>
          <w:noProof/>
        </w:rPr>
        <w:t>Clin</w:t>
      </w:r>
      <w:r w:rsidR="00B772B1" w:rsidRPr="00316FCF">
        <w:rPr>
          <w:rFonts w:ascii="Times New Roman" w:hAnsi="Times New Roman" w:cs="Times New Roman"/>
          <w:i/>
          <w:noProof/>
        </w:rPr>
        <w:t>ical and</w:t>
      </w:r>
      <w:r w:rsidRPr="00316FCF">
        <w:rPr>
          <w:rFonts w:ascii="Times New Roman" w:hAnsi="Times New Roman" w:cs="Times New Roman"/>
          <w:i/>
          <w:noProof/>
        </w:rPr>
        <w:t xml:space="preserve"> Appl</w:t>
      </w:r>
      <w:r w:rsidR="00B772B1" w:rsidRPr="00316FCF">
        <w:rPr>
          <w:rFonts w:ascii="Times New Roman" w:hAnsi="Times New Roman" w:cs="Times New Roman"/>
          <w:i/>
          <w:noProof/>
        </w:rPr>
        <w:t>ied</w:t>
      </w:r>
      <w:r w:rsidRPr="00316FCF">
        <w:rPr>
          <w:rFonts w:ascii="Times New Roman" w:hAnsi="Times New Roman" w:cs="Times New Roman"/>
          <w:i/>
          <w:noProof/>
        </w:rPr>
        <w:t xml:space="preserve"> Thromb</w:t>
      </w:r>
      <w:r w:rsidR="00B772B1" w:rsidRPr="00316FCF">
        <w:rPr>
          <w:rFonts w:ascii="Times New Roman" w:hAnsi="Times New Roman" w:cs="Times New Roman"/>
          <w:i/>
          <w:noProof/>
        </w:rPr>
        <w:t>osis and</w:t>
      </w:r>
      <w:r w:rsidRPr="00316FCF">
        <w:rPr>
          <w:rFonts w:ascii="Times New Roman" w:hAnsi="Times New Roman" w:cs="Times New Roman"/>
          <w:i/>
          <w:noProof/>
        </w:rPr>
        <w:t xml:space="preserve"> Hemost</w:t>
      </w:r>
      <w:r w:rsidR="00B772B1" w:rsidRPr="00316FCF">
        <w:rPr>
          <w:rFonts w:ascii="Times New Roman" w:hAnsi="Times New Roman" w:cs="Times New Roman"/>
          <w:i/>
          <w:noProof/>
        </w:rPr>
        <w:t>asis</w:t>
      </w:r>
      <w:r w:rsidRPr="00316FCF">
        <w:rPr>
          <w:rFonts w:ascii="Times New Roman" w:hAnsi="Times New Roman" w:cs="Times New Roman"/>
          <w:i/>
          <w:noProof/>
        </w:rPr>
        <w:t xml:space="preserve"> </w:t>
      </w:r>
      <w:r w:rsidRPr="00316FCF">
        <w:rPr>
          <w:rFonts w:ascii="Times New Roman" w:hAnsi="Times New Roman" w:cs="Times New Roman"/>
          <w:iCs/>
          <w:noProof/>
        </w:rPr>
        <w:t>26</w:t>
      </w:r>
      <w:r w:rsidR="00B772B1" w:rsidRPr="00316FCF">
        <w:rPr>
          <w:rFonts w:ascii="Times New Roman" w:hAnsi="Times New Roman" w:cs="Times New Roman"/>
          <w:noProof/>
        </w:rPr>
        <w:t>:</w:t>
      </w:r>
      <w:r w:rsidRPr="00316FCF">
        <w:rPr>
          <w:rFonts w:ascii="Times New Roman" w:hAnsi="Times New Roman" w:cs="Times New Roman"/>
          <w:noProof/>
        </w:rPr>
        <w:t xml:space="preserve"> 1076029620925910. doi:10.1177/1076029620925910</w:t>
      </w:r>
    </w:p>
    <w:p w14:paraId="690B18D5" w14:textId="5EFDD12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Spyropoulos AC, Viscusi A, Singhal N,</w:t>
      </w:r>
      <w:r w:rsidR="00B772B1" w:rsidRPr="00316FCF">
        <w:rPr>
          <w:rFonts w:ascii="Times New Roman" w:hAnsi="Times New Roman" w:cs="Times New Roman"/>
          <w:noProof/>
        </w:rPr>
        <w:t xml:space="preserve"> et al. </w:t>
      </w:r>
      <w:r w:rsidRPr="00316FCF">
        <w:rPr>
          <w:rFonts w:ascii="Times New Roman" w:hAnsi="Times New Roman" w:cs="Times New Roman"/>
          <w:noProof/>
        </w:rPr>
        <w:t xml:space="preserve">2015. Features of electronic health records necessary for the delivery of optimized anticoagulant therapy: consensus of the EHR Task Force of the New York State Anticoagulation Coalition. </w:t>
      </w:r>
      <w:r w:rsidRPr="00316FCF">
        <w:rPr>
          <w:rFonts w:ascii="Times New Roman" w:hAnsi="Times New Roman" w:cs="Times New Roman"/>
          <w:i/>
          <w:noProof/>
        </w:rPr>
        <w:t>Ann</w:t>
      </w:r>
      <w:r w:rsidR="00B772B1" w:rsidRPr="00316FCF">
        <w:rPr>
          <w:rFonts w:ascii="Times New Roman" w:hAnsi="Times New Roman" w:cs="Times New Roman"/>
          <w:i/>
          <w:noProof/>
        </w:rPr>
        <w:t>als of</w:t>
      </w:r>
      <w:r w:rsidRPr="00316FCF">
        <w:rPr>
          <w:rFonts w:ascii="Times New Roman" w:hAnsi="Times New Roman" w:cs="Times New Roman"/>
          <w:i/>
          <w:noProof/>
        </w:rPr>
        <w:t xml:space="preserve"> Pharmacother</w:t>
      </w:r>
      <w:r w:rsidR="00B772B1" w:rsidRPr="00316FCF">
        <w:rPr>
          <w:rFonts w:ascii="Times New Roman" w:hAnsi="Times New Roman" w:cs="Times New Roman"/>
          <w:i/>
          <w:noProof/>
        </w:rPr>
        <w:t>apy</w:t>
      </w:r>
      <w:r w:rsidRPr="00316FCF">
        <w:rPr>
          <w:rFonts w:ascii="Times New Roman" w:hAnsi="Times New Roman" w:cs="Times New Roman"/>
          <w:i/>
          <w:noProof/>
        </w:rPr>
        <w:t xml:space="preserve"> </w:t>
      </w:r>
      <w:r w:rsidRPr="00316FCF">
        <w:rPr>
          <w:rFonts w:ascii="Times New Roman" w:hAnsi="Times New Roman" w:cs="Times New Roman"/>
          <w:iCs/>
          <w:noProof/>
        </w:rPr>
        <w:t>49</w:t>
      </w:r>
      <w:r w:rsidRPr="00316FCF">
        <w:rPr>
          <w:rFonts w:ascii="Times New Roman" w:hAnsi="Times New Roman" w:cs="Times New Roman"/>
          <w:noProof/>
        </w:rPr>
        <w:t>(1)</w:t>
      </w:r>
      <w:r w:rsidR="00B772B1" w:rsidRPr="00316FCF">
        <w:rPr>
          <w:rFonts w:ascii="Times New Roman" w:hAnsi="Times New Roman" w:cs="Times New Roman"/>
          <w:noProof/>
        </w:rPr>
        <w:t>:</w:t>
      </w:r>
      <w:r w:rsidRPr="00316FCF">
        <w:rPr>
          <w:rFonts w:ascii="Times New Roman" w:hAnsi="Times New Roman" w:cs="Times New Roman"/>
          <w:noProof/>
        </w:rPr>
        <w:t xml:space="preserve"> 113</w:t>
      </w:r>
      <w:r w:rsidR="00B772B1" w:rsidRPr="00316FCF">
        <w:rPr>
          <w:rFonts w:ascii="Times New Roman" w:hAnsi="Times New Roman" w:cs="Times New Roman"/>
          <w:noProof/>
        </w:rPr>
        <w:t>–</w:t>
      </w:r>
      <w:r w:rsidRPr="00316FCF">
        <w:rPr>
          <w:rFonts w:ascii="Times New Roman" w:hAnsi="Times New Roman" w:cs="Times New Roman"/>
          <w:noProof/>
        </w:rPr>
        <w:t>124. doi:10.1177/1060028014555176</w:t>
      </w:r>
    </w:p>
    <w:p w14:paraId="69C4902C" w14:textId="67E9304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Sylvester KW, Ting C, Lewin A,</w:t>
      </w:r>
      <w:r w:rsidR="00B772B1" w:rsidRPr="00316FCF">
        <w:rPr>
          <w:rFonts w:ascii="Times New Roman" w:hAnsi="Times New Roman" w:cs="Times New Roman"/>
          <w:noProof/>
        </w:rPr>
        <w:t xml:space="preserve"> et al.</w:t>
      </w:r>
      <w:r w:rsidRPr="00316FCF">
        <w:rPr>
          <w:rFonts w:ascii="Times New Roman" w:hAnsi="Times New Roman" w:cs="Times New Roman"/>
          <w:noProof/>
        </w:rPr>
        <w:t xml:space="preserve"> 2018. Expanding anticoagulation management services to include direct oral anticoagulants. </w:t>
      </w:r>
      <w:r w:rsidRPr="00316FCF">
        <w:rPr>
          <w:rFonts w:ascii="Times New Roman" w:hAnsi="Times New Roman" w:cs="Times New Roman"/>
          <w:i/>
          <w:noProof/>
        </w:rPr>
        <w:t xml:space="preserve">Journal of Thrombosis and Thrombolysis </w:t>
      </w:r>
      <w:r w:rsidRPr="00316FCF">
        <w:rPr>
          <w:rFonts w:ascii="Times New Roman" w:hAnsi="Times New Roman" w:cs="Times New Roman"/>
          <w:iCs/>
          <w:noProof/>
        </w:rPr>
        <w:t>45</w:t>
      </w:r>
      <w:r w:rsidRPr="00316FCF">
        <w:rPr>
          <w:rFonts w:ascii="Times New Roman" w:hAnsi="Times New Roman" w:cs="Times New Roman"/>
          <w:noProof/>
        </w:rPr>
        <w:t>(2)</w:t>
      </w:r>
      <w:r w:rsidR="00B772B1" w:rsidRPr="00316FCF">
        <w:rPr>
          <w:rFonts w:ascii="Times New Roman" w:hAnsi="Times New Roman" w:cs="Times New Roman"/>
          <w:noProof/>
        </w:rPr>
        <w:t>:</w:t>
      </w:r>
      <w:r w:rsidRPr="00316FCF">
        <w:rPr>
          <w:rFonts w:ascii="Times New Roman" w:hAnsi="Times New Roman" w:cs="Times New Roman"/>
          <w:noProof/>
        </w:rPr>
        <w:t xml:space="preserve"> 274</w:t>
      </w:r>
      <w:r w:rsidR="00B772B1" w:rsidRPr="00316FCF">
        <w:rPr>
          <w:rFonts w:ascii="Times New Roman" w:hAnsi="Times New Roman" w:cs="Times New Roman"/>
          <w:noProof/>
        </w:rPr>
        <w:t>–</w:t>
      </w:r>
      <w:r w:rsidRPr="00316FCF">
        <w:rPr>
          <w:rFonts w:ascii="Times New Roman" w:hAnsi="Times New Roman" w:cs="Times New Roman"/>
          <w:noProof/>
        </w:rPr>
        <w:t>280. doi:10.1007/s11239-017-1602-1</w:t>
      </w:r>
    </w:p>
    <w:p w14:paraId="34DBDE4C" w14:textId="64B8821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Tavakoli</w:t>
      </w:r>
      <w:r w:rsidR="00B772B1" w:rsidRPr="00316FCF">
        <w:rPr>
          <w:rFonts w:ascii="Times New Roman" w:hAnsi="Times New Roman" w:cs="Times New Roman"/>
          <w:noProof/>
        </w:rPr>
        <w:t xml:space="preserve"> </w:t>
      </w:r>
      <w:r w:rsidRPr="00316FCF">
        <w:rPr>
          <w:rFonts w:ascii="Times New Roman" w:hAnsi="Times New Roman" w:cs="Times New Roman"/>
          <w:noProof/>
        </w:rPr>
        <w:t>FC, Adams-Sommer VL, Frendak LS,</w:t>
      </w:r>
      <w:r w:rsidR="00B772B1" w:rsidRPr="00316FCF">
        <w:rPr>
          <w:rFonts w:ascii="Times New Roman" w:hAnsi="Times New Roman" w:cs="Times New Roman"/>
          <w:noProof/>
        </w:rPr>
        <w:t xml:space="preserve"> et al. </w:t>
      </w:r>
      <w:r w:rsidRPr="00316FCF">
        <w:rPr>
          <w:rFonts w:ascii="Times New Roman" w:hAnsi="Times New Roman" w:cs="Times New Roman"/>
          <w:noProof/>
        </w:rPr>
        <w:t xml:space="preserve">2022. Assessing the Impact of a Clinical Pharmacist in a Postsurgical Inpatient Population. </w:t>
      </w:r>
      <w:r w:rsidRPr="00316FCF">
        <w:rPr>
          <w:rFonts w:ascii="Times New Roman" w:hAnsi="Times New Roman" w:cs="Times New Roman"/>
          <w:i/>
          <w:noProof/>
        </w:rPr>
        <w:t>J</w:t>
      </w:r>
      <w:r w:rsidR="00B772B1" w:rsidRPr="00316FCF">
        <w:rPr>
          <w:rFonts w:ascii="Times New Roman" w:hAnsi="Times New Roman" w:cs="Times New Roman"/>
          <w:i/>
          <w:noProof/>
        </w:rPr>
        <w:t>ournal of</w:t>
      </w:r>
      <w:r w:rsidRPr="00316FCF">
        <w:rPr>
          <w:rFonts w:ascii="Times New Roman" w:hAnsi="Times New Roman" w:cs="Times New Roman"/>
          <w:i/>
          <w:noProof/>
        </w:rPr>
        <w:t xml:space="preserve"> Pharm</w:t>
      </w:r>
      <w:r w:rsidR="00B772B1" w:rsidRPr="00316FCF">
        <w:rPr>
          <w:rFonts w:ascii="Times New Roman" w:hAnsi="Times New Roman" w:cs="Times New Roman"/>
          <w:i/>
          <w:noProof/>
        </w:rPr>
        <w:t>acy</w:t>
      </w:r>
      <w:r w:rsidRPr="00316FCF">
        <w:rPr>
          <w:rFonts w:ascii="Times New Roman" w:hAnsi="Times New Roman" w:cs="Times New Roman"/>
          <w:i/>
          <w:noProof/>
        </w:rPr>
        <w:t xml:space="preserve"> Pract</w:t>
      </w:r>
      <w:r w:rsidR="00B772B1" w:rsidRPr="00316FCF">
        <w:rPr>
          <w:rFonts w:ascii="Times New Roman" w:hAnsi="Times New Roman" w:cs="Times New Roman"/>
          <w:i/>
          <w:noProof/>
        </w:rPr>
        <w:t>ice</w:t>
      </w:r>
      <w:r w:rsidRPr="00316FCF">
        <w:rPr>
          <w:rFonts w:ascii="Times New Roman" w:hAnsi="Times New Roman" w:cs="Times New Roman"/>
          <w:i/>
          <w:noProof/>
        </w:rPr>
        <w:t xml:space="preserve"> </w:t>
      </w:r>
      <w:r w:rsidRPr="00316FCF">
        <w:rPr>
          <w:rFonts w:ascii="Times New Roman" w:hAnsi="Times New Roman" w:cs="Times New Roman"/>
          <w:iCs/>
          <w:noProof/>
        </w:rPr>
        <w:t>35</w:t>
      </w:r>
      <w:r w:rsidRPr="00316FCF">
        <w:rPr>
          <w:rFonts w:ascii="Times New Roman" w:hAnsi="Times New Roman" w:cs="Times New Roman"/>
          <w:noProof/>
        </w:rPr>
        <w:t>(1)</w:t>
      </w:r>
      <w:r w:rsidR="00B772B1" w:rsidRPr="00316FCF">
        <w:rPr>
          <w:rFonts w:ascii="Times New Roman" w:hAnsi="Times New Roman" w:cs="Times New Roman"/>
          <w:noProof/>
        </w:rPr>
        <w:t>:</w:t>
      </w:r>
      <w:r w:rsidRPr="00316FCF">
        <w:rPr>
          <w:rFonts w:ascii="Times New Roman" w:hAnsi="Times New Roman" w:cs="Times New Roman"/>
          <w:noProof/>
        </w:rPr>
        <w:t xml:space="preserve"> 32</w:t>
      </w:r>
      <w:r w:rsidR="00B772B1" w:rsidRPr="00316FCF">
        <w:rPr>
          <w:rFonts w:ascii="Times New Roman" w:hAnsi="Times New Roman" w:cs="Times New Roman"/>
          <w:noProof/>
        </w:rPr>
        <w:t>–</w:t>
      </w:r>
      <w:r w:rsidRPr="00316FCF">
        <w:rPr>
          <w:rFonts w:ascii="Times New Roman" w:hAnsi="Times New Roman" w:cs="Times New Roman"/>
          <w:noProof/>
        </w:rPr>
        <w:t>37. doi:10.1177/0897190020938196</w:t>
      </w:r>
    </w:p>
    <w:p w14:paraId="71EBDC2D" w14:textId="3333B1E7"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Tranter-Entwistle I, Best K, Ianev R, </w:t>
      </w:r>
      <w:r w:rsidR="00E60AFF" w:rsidRPr="00316FCF">
        <w:rPr>
          <w:rFonts w:ascii="Times New Roman" w:hAnsi="Times New Roman" w:cs="Times New Roman"/>
          <w:noProof/>
        </w:rPr>
        <w:t xml:space="preserve">et al. </w:t>
      </w:r>
      <w:r w:rsidRPr="00316FCF">
        <w:rPr>
          <w:rFonts w:ascii="Times New Roman" w:hAnsi="Times New Roman" w:cs="Times New Roman"/>
          <w:noProof/>
        </w:rPr>
        <w:t xml:space="preserve">2020. Introduction and validation of a surgical ward round checklist to improve surgical ward round performance in a tertiary vascular service. </w:t>
      </w:r>
      <w:r w:rsidRPr="00316FCF">
        <w:rPr>
          <w:rFonts w:ascii="Times New Roman" w:hAnsi="Times New Roman" w:cs="Times New Roman"/>
          <w:i/>
          <w:noProof/>
        </w:rPr>
        <w:t>A</w:t>
      </w:r>
      <w:r w:rsidR="00E60AFF" w:rsidRPr="00316FCF">
        <w:rPr>
          <w:rFonts w:ascii="Times New Roman" w:hAnsi="Times New Roman" w:cs="Times New Roman"/>
          <w:i/>
          <w:noProof/>
        </w:rPr>
        <w:t xml:space="preserve">ustralian and </w:t>
      </w:r>
      <w:r w:rsidRPr="00316FCF">
        <w:rPr>
          <w:rFonts w:ascii="Times New Roman" w:hAnsi="Times New Roman" w:cs="Times New Roman"/>
          <w:i/>
          <w:noProof/>
        </w:rPr>
        <w:t>N</w:t>
      </w:r>
      <w:r w:rsidR="00E60AFF" w:rsidRPr="00316FCF">
        <w:rPr>
          <w:rFonts w:ascii="Times New Roman" w:hAnsi="Times New Roman" w:cs="Times New Roman"/>
          <w:i/>
          <w:noProof/>
        </w:rPr>
        <w:t xml:space="preserve">ew </w:t>
      </w:r>
      <w:r w:rsidRPr="00316FCF">
        <w:rPr>
          <w:rFonts w:ascii="Times New Roman" w:hAnsi="Times New Roman" w:cs="Times New Roman"/>
          <w:i/>
          <w:noProof/>
        </w:rPr>
        <w:t>Z</w:t>
      </w:r>
      <w:r w:rsidR="00E60AFF" w:rsidRPr="00316FCF">
        <w:rPr>
          <w:rFonts w:ascii="Times New Roman" w:hAnsi="Times New Roman" w:cs="Times New Roman"/>
          <w:i/>
          <w:noProof/>
        </w:rPr>
        <w:t>ealand</w:t>
      </w:r>
      <w:r w:rsidRPr="00316FCF">
        <w:rPr>
          <w:rFonts w:ascii="Times New Roman" w:hAnsi="Times New Roman" w:cs="Times New Roman"/>
          <w:i/>
          <w:noProof/>
        </w:rPr>
        <w:t xml:space="preserve"> J</w:t>
      </w:r>
      <w:r w:rsidR="00E60AFF" w:rsidRPr="00316FCF">
        <w:rPr>
          <w:rFonts w:ascii="Times New Roman" w:hAnsi="Times New Roman" w:cs="Times New Roman"/>
          <w:i/>
          <w:noProof/>
        </w:rPr>
        <w:t>ournal of</w:t>
      </w:r>
      <w:r w:rsidRPr="00316FCF">
        <w:rPr>
          <w:rFonts w:ascii="Times New Roman" w:hAnsi="Times New Roman" w:cs="Times New Roman"/>
          <w:i/>
          <w:noProof/>
        </w:rPr>
        <w:t xml:space="preserve"> Surg</w:t>
      </w:r>
      <w:r w:rsidR="00E60AFF" w:rsidRPr="00316FCF">
        <w:rPr>
          <w:rFonts w:ascii="Times New Roman" w:hAnsi="Times New Roman" w:cs="Times New Roman"/>
          <w:i/>
          <w:noProof/>
        </w:rPr>
        <w:t>ery</w:t>
      </w:r>
      <w:r w:rsidRPr="00316FCF">
        <w:rPr>
          <w:rFonts w:ascii="Times New Roman" w:hAnsi="Times New Roman" w:cs="Times New Roman"/>
          <w:i/>
          <w:noProof/>
        </w:rPr>
        <w:t xml:space="preserve"> </w:t>
      </w:r>
      <w:r w:rsidRPr="00316FCF">
        <w:rPr>
          <w:rFonts w:ascii="Times New Roman" w:hAnsi="Times New Roman" w:cs="Times New Roman"/>
          <w:iCs/>
          <w:noProof/>
        </w:rPr>
        <w:t>90</w:t>
      </w:r>
      <w:r w:rsidRPr="00316FCF">
        <w:rPr>
          <w:rFonts w:ascii="Times New Roman" w:hAnsi="Times New Roman" w:cs="Times New Roman"/>
          <w:noProof/>
        </w:rPr>
        <w:t>(7</w:t>
      </w:r>
      <w:r w:rsidR="00E60AFF" w:rsidRPr="00316FCF">
        <w:rPr>
          <w:rFonts w:ascii="Times New Roman" w:hAnsi="Times New Roman" w:cs="Times New Roman"/>
          <w:noProof/>
        </w:rPr>
        <w:t>–</w:t>
      </w:r>
      <w:r w:rsidRPr="00316FCF">
        <w:rPr>
          <w:rFonts w:ascii="Times New Roman" w:hAnsi="Times New Roman" w:cs="Times New Roman"/>
          <w:noProof/>
        </w:rPr>
        <w:t>8)</w:t>
      </w:r>
      <w:r w:rsidR="005673B0" w:rsidRPr="00316FCF">
        <w:rPr>
          <w:rFonts w:ascii="Times New Roman" w:hAnsi="Times New Roman" w:cs="Times New Roman"/>
          <w:noProof/>
        </w:rPr>
        <w:t>:</w:t>
      </w:r>
      <w:r w:rsidRPr="00316FCF">
        <w:rPr>
          <w:rFonts w:ascii="Times New Roman" w:hAnsi="Times New Roman" w:cs="Times New Roman"/>
          <w:noProof/>
        </w:rPr>
        <w:t xml:space="preserve"> 1358</w:t>
      </w:r>
      <w:r w:rsidR="005673B0" w:rsidRPr="00316FCF">
        <w:rPr>
          <w:rFonts w:ascii="Times New Roman" w:hAnsi="Times New Roman" w:cs="Times New Roman"/>
          <w:noProof/>
        </w:rPr>
        <w:t>–</w:t>
      </w:r>
      <w:r w:rsidRPr="00316FCF">
        <w:rPr>
          <w:rFonts w:ascii="Times New Roman" w:hAnsi="Times New Roman" w:cs="Times New Roman"/>
          <w:noProof/>
        </w:rPr>
        <w:t>1363. doi:10.1111/ans.15899</w:t>
      </w:r>
    </w:p>
    <w:p w14:paraId="006AB0FF" w14:textId="6B648C8A"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Triller D, Myrka A, Gassler J,</w:t>
      </w:r>
      <w:r w:rsidR="005673B0" w:rsidRPr="00316FCF">
        <w:rPr>
          <w:rFonts w:ascii="Times New Roman" w:hAnsi="Times New Roman" w:cs="Times New Roman"/>
          <w:noProof/>
        </w:rPr>
        <w:t xml:space="preserve"> et al. </w:t>
      </w:r>
      <w:r w:rsidRPr="00316FCF">
        <w:rPr>
          <w:rFonts w:ascii="Times New Roman" w:hAnsi="Times New Roman" w:cs="Times New Roman"/>
          <w:noProof/>
        </w:rPr>
        <w:t xml:space="preserve">2018. Defining Minimum Necessary Anticoagulation-Related Communication at Discharge: Consensus of the Care Transitions Task Force of the New York State Anticoagulation Coalition. </w:t>
      </w:r>
      <w:r w:rsidRPr="00316FCF">
        <w:rPr>
          <w:rFonts w:ascii="Times New Roman" w:hAnsi="Times New Roman" w:cs="Times New Roman"/>
          <w:i/>
          <w:noProof/>
        </w:rPr>
        <w:t>J</w:t>
      </w:r>
      <w:r w:rsidR="005673B0" w:rsidRPr="00316FCF">
        <w:rPr>
          <w:rFonts w:ascii="Times New Roman" w:hAnsi="Times New Roman" w:cs="Times New Roman"/>
          <w:i/>
          <w:noProof/>
        </w:rPr>
        <w:t>oint</w:t>
      </w:r>
      <w:r w:rsidRPr="00316FCF">
        <w:rPr>
          <w:rFonts w:ascii="Times New Roman" w:hAnsi="Times New Roman" w:cs="Times New Roman"/>
          <w:i/>
          <w:noProof/>
        </w:rPr>
        <w:t xml:space="preserve"> Comm</w:t>
      </w:r>
      <w:r w:rsidR="005673B0" w:rsidRPr="00316FCF">
        <w:rPr>
          <w:rFonts w:ascii="Times New Roman" w:hAnsi="Times New Roman" w:cs="Times New Roman"/>
          <w:i/>
          <w:noProof/>
        </w:rPr>
        <w:t>ission</w:t>
      </w:r>
      <w:r w:rsidRPr="00316FCF">
        <w:rPr>
          <w:rFonts w:ascii="Times New Roman" w:hAnsi="Times New Roman" w:cs="Times New Roman"/>
          <w:i/>
          <w:noProof/>
        </w:rPr>
        <w:t xml:space="preserve"> J</w:t>
      </w:r>
      <w:r w:rsidR="005673B0" w:rsidRPr="00316FCF">
        <w:rPr>
          <w:rFonts w:ascii="Times New Roman" w:hAnsi="Times New Roman" w:cs="Times New Roman"/>
          <w:i/>
          <w:noProof/>
        </w:rPr>
        <w:t>ournal for</w:t>
      </w:r>
      <w:r w:rsidRPr="00316FCF">
        <w:rPr>
          <w:rFonts w:ascii="Times New Roman" w:hAnsi="Times New Roman" w:cs="Times New Roman"/>
          <w:i/>
          <w:noProof/>
        </w:rPr>
        <w:t xml:space="preserve"> Qual</w:t>
      </w:r>
      <w:r w:rsidR="005673B0" w:rsidRPr="00316FCF">
        <w:rPr>
          <w:rFonts w:ascii="Times New Roman" w:hAnsi="Times New Roman" w:cs="Times New Roman"/>
          <w:i/>
          <w:noProof/>
        </w:rPr>
        <w:t>ity</w:t>
      </w:r>
      <w:r w:rsidRPr="00316FCF">
        <w:rPr>
          <w:rFonts w:ascii="Times New Roman" w:hAnsi="Times New Roman" w:cs="Times New Roman"/>
          <w:i/>
          <w:noProof/>
        </w:rPr>
        <w:t xml:space="preserve"> </w:t>
      </w:r>
      <w:r w:rsidR="005673B0" w:rsidRPr="00316FCF">
        <w:rPr>
          <w:rFonts w:ascii="Times New Roman" w:hAnsi="Times New Roman" w:cs="Times New Roman"/>
          <w:i/>
          <w:noProof/>
        </w:rPr>
        <w:t xml:space="preserve">and </w:t>
      </w:r>
      <w:r w:rsidRPr="00316FCF">
        <w:rPr>
          <w:rFonts w:ascii="Times New Roman" w:hAnsi="Times New Roman" w:cs="Times New Roman"/>
          <w:i/>
          <w:noProof/>
        </w:rPr>
        <w:t>Patient Saf</w:t>
      </w:r>
      <w:r w:rsidR="005673B0" w:rsidRPr="00316FCF">
        <w:rPr>
          <w:rFonts w:ascii="Times New Roman" w:hAnsi="Times New Roman" w:cs="Times New Roman"/>
          <w:i/>
          <w:noProof/>
        </w:rPr>
        <w:t>ety</w:t>
      </w:r>
      <w:r w:rsidRPr="00316FCF">
        <w:rPr>
          <w:rFonts w:ascii="Times New Roman" w:hAnsi="Times New Roman" w:cs="Times New Roman"/>
          <w:i/>
          <w:noProof/>
        </w:rPr>
        <w:t xml:space="preserve"> </w:t>
      </w:r>
      <w:r w:rsidRPr="00316FCF">
        <w:rPr>
          <w:rFonts w:ascii="Times New Roman" w:hAnsi="Times New Roman" w:cs="Times New Roman"/>
          <w:iCs/>
          <w:noProof/>
        </w:rPr>
        <w:t>44</w:t>
      </w:r>
      <w:r w:rsidRPr="00316FCF">
        <w:rPr>
          <w:rFonts w:ascii="Times New Roman" w:hAnsi="Times New Roman" w:cs="Times New Roman"/>
          <w:noProof/>
        </w:rPr>
        <w:t>(11)</w:t>
      </w:r>
      <w:r w:rsidR="005673B0" w:rsidRPr="00316FCF">
        <w:rPr>
          <w:rFonts w:ascii="Times New Roman" w:hAnsi="Times New Roman" w:cs="Times New Roman"/>
          <w:noProof/>
        </w:rPr>
        <w:t>:</w:t>
      </w:r>
      <w:r w:rsidRPr="00316FCF">
        <w:rPr>
          <w:rFonts w:ascii="Times New Roman" w:hAnsi="Times New Roman" w:cs="Times New Roman"/>
          <w:noProof/>
        </w:rPr>
        <w:t xml:space="preserve"> 630</w:t>
      </w:r>
      <w:r w:rsidR="005673B0" w:rsidRPr="00316FCF">
        <w:rPr>
          <w:rFonts w:ascii="Times New Roman" w:hAnsi="Times New Roman" w:cs="Times New Roman"/>
          <w:noProof/>
        </w:rPr>
        <w:t>–</w:t>
      </w:r>
      <w:r w:rsidRPr="00316FCF">
        <w:rPr>
          <w:rFonts w:ascii="Times New Roman" w:hAnsi="Times New Roman" w:cs="Times New Roman"/>
          <w:noProof/>
        </w:rPr>
        <w:t>640. doi:10.1016/j.jcjq.2018.04.015</w:t>
      </w:r>
    </w:p>
    <w:p w14:paraId="1814E9DA" w14:textId="1139A152"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Vazquez SR, </w:t>
      </w:r>
      <w:r w:rsidR="00557E96" w:rsidRPr="00316FCF">
        <w:rPr>
          <w:rFonts w:ascii="Times New Roman" w:hAnsi="Times New Roman" w:cs="Times New Roman"/>
          <w:noProof/>
        </w:rPr>
        <w:t>and</w:t>
      </w:r>
      <w:r w:rsidRPr="00316FCF">
        <w:rPr>
          <w:rFonts w:ascii="Times New Roman" w:hAnsi="Times New Roman" w:cs="Times New Roman"/>
          <w:noProof/>
        </w:rPr>
        <w:t xml:space="preserve"> Barnes GD. 2022. Anticoagulant drug-drug interactions: Highlighting the need for antithrombotic stewardship and shared decision making. </w:t>
      </w:r>
      <w:r w:rsidRPr="00316FCF">
        <w:rPr>
          <w:rFonts w:ascii="Times New Roman" w:hAnsi="Times New Roman" w:cs="Times New Roman"/>
          <w:i/>
          <w:noProof/>
        </w:rPr>
        <w:t>Res</w:t>
      </w:r>
      <w:r w:rsidR="00557E96" w:rsidRPr="00316FCF">
        <w:rPr>
          <w:rFonts w:ascii="Times New Roman" w:hAnsi="Times New Roman" w:cs="Times New Roman"/>
          <w:i/>
          <w:noProof/>
        </w:rPr>
        <w:t>earch and</w:t>
      </w:r>
      <w:r w:rsidRPr="00316FCF">
        <w:rPr>
          <w:rFonts w:ascii="Times New Roman" w:hAnsi="Times New Roman" w:cs="Times New Roman"/>
          <w:i/>
          <w:noProof/>
        </w:rPr>
        <w:t xml:space="preserve"> Pract</w:t>
      </w:r>
      <w:r w:rsidR="00557E96" w:rsidRPr="00316FCF">
        <w:rPr>
          <w:rFonts w:ascii="Times New Roman" w:hAnsi="Times New Roman" w:cs="Times New Roman"/>
          <w:i/>
          <w:noProof/>
        </w:rPr>
        <w:t>ice in</w:t>
      </w:r>
      <w:r w:rsidRPr="00316FCF">
        <w:rPr>
          <w:rFonts w:ascii="Times New Roman" w:hAnsi="Times New Roman" w:cs="Times New Roman"/>
          <w:i/>
          <w:noProof/>
        </w:rPr>
        <w:t xml:space="preserve"> Thromb</w:t>
      </w:r>
      <w:r w:rsidR="00557E96" w:rsidRPr="00316FCF">
        <w:rPr>
          <w:rFonts w:ascii="Times New Roman" w:hAnsi="Times New Roman" w:cs="Times New Roman"/>
          <w:i/>
          <w:noProof/>
        </w:rPr>
        <w:t>osis and</w:t>
      </w:r>
      <w:r w:rsidRPr="00316FCF">
        <w:rPr>
          <w:rFonts w:ascii="Times New Roman" w:hAnsi="Times New Roman" w:cs="Times New Roman"/>
          <w:i/>
          <w:noProof/>
        </w:rPr>
        <w:t xml:space="preserve"> Haemost</w:t>
      </w:r>
      <w:r w:rsidR="00557E96" w:rsidRPr="00316FCF">
        <w:rPr>
          <w:rFonts w:ascii="Times New Roman" w:hAnsi="Times New Roman" w:cs="Times New Roman"/>
          <w:i/>
          <w:noProof/>
        </w:rPr>
        <w:t>asis</w:t>
      </w:r>
      <w:r w:rsidRPr="00316FCF">
        <w:rPr>
          <w:rFonts w:ascii="Times New Roman" w:hAnsi="Times New Roman" w:cs="Times New Roman"/>
          <w:i/>
          <w:noProof/>
        </w:rPr>
        <w:t xml:space="preserve"> </w:t>
      </w:r>
      <w:r w:rsidRPr="00316FCF">
        <w:rPr>
          <w:rFonts w:ascii="Times New Roman" w:hAnsi="Times New Roman" w:cs="Times New Roman"/>
          <w:iCs/>
          <w:noProof/>
        </w:rPr>
        <w:t>6</w:t>
      </w:r>
      <w:r w:rsidRPr="00316FCF">
        <w:rPr>
          <w:rFonts w:ascii="Times New Roman" w:hAnsi="Times New Roman" w:cs="Times New Roman"/>
          <w:noProof/>
        </w:rPr>
        <w:t>(1)</w:t>
      </w:r>
      <w:r w:rsidR="00557E96" w:rsidRPr="00316FCF">
        <w:rPr>
          <w:rFonts w:ascii="Times New Roman" w:hAnsi="Times New Roman" w:cs="Times New Roman"/>
          <w:noProof/>
        </w:rPr>
        <w:t>:</w:t>
      </w:r>
      <w:r w:rsidRPr="00316FCF">
        <w:rPr>
          <w:rFonts w:ascii="Times New Roman" w:hAnsi="Times New Roman" w:cs="Times New Roman"/>
          <w:noProof/>
        </w:rPr>
        <w:t xml:space="preserve"> e12662. doi:10.1002/rth2.12662</w:t>
      </w:r>
    </w:p>
    <w:p w14:paraId="755C010C" w14:textId="2863AADB"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Willeford A, Leiman V, </w:t>
      </w:r>
      <w:r w:rsidR="00557E96" w:rsidRPr="00316FCF">
        <w:rPr>
          <w:rFonts w:ascii="Times New Roman" w:hAnsi="Times New Roman" w:cs="Times New Roman"/>
          <w:noProof/>
        </w:rPr>
        <w:t>and</w:t>
      </w:r>
      <w:r w:rsidRPr="00316FCF">
        <w:rPr>
          <w:rFonts w:ascii="Times New Roman" w:hAnsi="Times New Roman" w:cs="Times New Roman"/>
          <w:noProof/>
        </w:rPr>
        <w:t xml:space="preserve"> Noel ZR. 2021. Impact of a pharmacist-to-dose direct oral anticoagulant protocol on medication errors at an academic medical center. </w:t>
      </w:r>
      <w:r w:rsidRPr="00316FCF">
        <w:rPr>
          <w:rFonts w:ascii="Times New Roman" w:hAnsi="Times New Roman" w:cs="Times New Roman"/>
          <w:i/>
          <w:noProof/>
        </w:rPr>
        <w:t xml:space="preserve">JACCP: </w:t>
      </w:r>
      <w:r w:rsidR="00557E96" w:rsidRPr="00316FCF">
        <w:rPr>
          <w:rFonts w:ascii="Times New Roman" w:hAnsi="Times New Roman" w:cs="Times New Roman"/>
          <w:i/>
          <w:noProof/>
        </w:rPr>
        <w:t xml:space="preserve">Journal of the American College of Clinical Pharmacy </w:t>
      </w:r>
      <w:r w:rsidRPr="00316FCF">
        <w:rPr>
          <w:rFonts w:ascii="Times New Roman" w:hAnsi="Times New Roman" w:cs="Times New Roman"/>
          <w:iCs/>
          <w:noProof/>
        </w:rPr>
        <w:t>4</w:t>
      </w:r>
      <w:r w:rsidRPr="00316FCF">
        <w:rPr>
          <w:rFonts w:ascii="Times New Roman" w:hAnsi="Times New Roman" w:cs="Times New Roman"/>
          <w:noProof/>
        </w:rPr>
        <w:t>(11)</w:t>
      </w:r>
      <w:r w:rsidR="00557E96" w:rsidRPr="00316FCF">
        <w:rPr>
          <w:rFonts w:ascii="Times New Roman" w:hAnsi="Times New Roman" w:cs="Times New Roman"/>
          <w:noProof/>
        </w:rPr>
        <w:t>:</w:t>
      </w:r>
      <w:r w:rsidRPr="00316FCF">
        <w:rPr>
          <w:rFonts w:ascii="Times New Roman" w:hAnsi="Times New Roman" w:cs="Times New Roman"/>
          <w:noProof/>
        </w:rPr>
        <w:t xml:space="preserve"> 1392</w:t>
      </w:r>
      <w:r w:rsidR="00557E96" w:rsidRPr="00316FCF">
        <w:rPr>
          <w:rFonts w:ascii="Times New Roman" w:hAnsi="Times New Roman" w:cs="Times New Roman"/>
          <w:noProof/>
        </w:rPr>
        <w:t>–</w:t>
      </w:r>
      <w:r w:rsidRPr="00316FCF">
        <w:rPr>
          <w:rFonts w:ascii="Times New Roman" w:hAnsi="Times New Roman" w:cs="Times New Roman"/>
          <w:noProof/>
        </w:rPr>
        <w:t>1400. doi:10.1002/jac5.1503</w:t>
      </w:r>
    </w:p>
    <w:p w14:paraId="65A11F2F" w14:textId="3531972A"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 xml:space="preserve">Wychowski MK, Ruscio CI, Kouides PA, </w:t>
      </w:r>
      <w:r w:rsidR="00557E96" w:rsidRPr="00316FCF">
        <w:rPr>
          <w:rFonts w:ascii="Times New Roman" w:hAnsi="Times New Roman" w:cs="Times New Roman"/>
          <w:noProof/>
        </w:rPr>
        <w:t>and</w:t>
      </w:r>
      <w:r w:rsidRPr="00316FCF">
        <w:rPr>
          <w:rFonts w:ascii="Times New Roman" w:hAnsi="Times New Roman" w:cs="Times New Roman"/>
          <w:noProof/>
        </w:rPr>
        <w:t xml:space="preserve"> Sham RL. 2017. The scope and value of an anticoagulation stewardship program at a community teaching hospital. </w:t>
      </w:r>
      <w:r w:rsidRPr="00316FCF">
        <w:rPr>
          <w:rFonts w:ascii="Times New Roman" w:hAnsi="Times New Roman" w:cs="Times New Roman"/>
          <w:i/>
          <w:noProof/>
        </w:rPr>
        <w:t>J</w:t>
      </w:r>
      <w:r w:rsidR="00557E96" w:rsidRPr="00316FCF">
        <w:rPr>
          <w:rFonts w:ascii="Times New Roman" w:hAnsi="Times New Roman" w:cs="Times New Roman"/>
          <w:i/>
          <w:noProof/>
        </w:rPr>
        <w:t>ournal of</w:t>
      </w:r>
      <w:r w:rsidRPr="00316FCF">
        <w:rPr>
          <w:rFonts w:ascii="Times New Roman" w:hAnsi="Times New Roman" w:cs="Times New Roman"/>
          <w:i/>
          <w:noProof/>
        </w:rPr>
        <w:t xml:space="preserve"> Thromb</w:t>
      </w:r>
      <w:r w:rsidR="00557E96" w:rsidRPr="00316FCF">
        <w:rPr>
          <w:rFonts w:ascii="Times New Roman" w:hAnsi="Times New Roman" w:cs="Times New Roman"/>
          <w:i/>
          <w:noProof/>
        </w:rPr>
        <w:t>osis and</w:t>
      </w:r>
      <w:r w:rsidRPr="00316FCF">
        <w:rPr>
          <w:rFonts w:ascii="Times New Roman" w:hAnsi="Times New Roman" w:cs="Times New Roman"/>
          <w:i/>
          <w:noProof/>
        </w:rPr>
        <w:t xml:space="preserve"> Thrombolysis </w:t>
      </w:r>
      <w:r w:rsidRPr="00316FCF">
        <w:rPr>
          <w:rFonts w:ascii="Times New Roman" w:hAnsi="Times New Roman" w:cs="Times New Roman"/>
          <w:iCs/>
          <w:noProof/>
        </w:rPr>
        <w:t>43</w:t>
      </w:r>
      <w:r w:rsidRPr="00316FCF">
        <w:rPr>
          <w:rFonts w:ascii="Times New Roman" w:hAnsi="Times New Roman" w:cs="Times New Roman"/>
          <w:noProof/>
        </w:rPr>
        <w:t>(3)</w:t>
      </w:r>
      <w:r w:rsidR="00557E96" w:rsidRPr="00316FCF">
        <w:rPr>
          <w:rFonts w:ascii="Times New Roman" w:hAnsi="Times New Roman" w:cs="Times New Roman"/>
          <w:noProof/>
        </w:rPr>
        <w:t>:</w:t>
      </w:r>
      <w:r w:rsidRPr="00316FCF">
        <w:rPr>
          <w:rFonts w:ascii="Times New Roman" w:hAnsi="Times New Roman" w:cs="Times New Roman"/>
          <w:noProof/>
        </w:rPr>
        <w:t xml:space="preserve"> 380</w:t>
      </w:r>
      <w:r w:rsidR="00557E96" w:rsidRPr="00316FCF">
        <w:rPr>
          <w:rFonts w:ascii="Times New Roman" w:hAnsi="Times New Roman" w:cs="Times New Roman"/>
          <w:noProof/>
        </w:rPr>
        <w:t>–</w:t>
      </w:r>
      <w:r w:rsidRPr="00316FCF">
        <w:rPr>
          <w:rFonts w:ascii="Times New Roman" w:hAnsi="Times New Roman" w:cs="Times New Roman"/>
          <w:noProof/>
        </w:rPr>
        <w:t>386. doi:10.1007/s11239-016-1455-z</w:t>
      </w:r>
    </w:p>
    <w:p w14:paraId="71362D01" w14:textId="2C75A400"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Yiu</w:t>
      </w:r>
      <w:r w:rsidR="00557E96" w:rsidRPr="00316FCF">
        <w:rPr>
          <w:rFonts w:ascii="Times New Roman" w:hAnsi="Times New Roman" w:cs="Times New Roman"/>
          <w:noProof/>
        </w:rPr>
        <w:t xml:space="preserve"> </w:t>
      </w:r>
      <w:r w:rsidRPr="00316FCF">
        <w:rPr>
          <w:rFonts w:ascii="Times New Roman" w:hAnsi="Times New Roman" w:cs="Times New Roman"/>
          <w:noProof/>
        </w:rPr>
        <w:t xml:space="preserve">A, </w:t>
      </w:r>
      <w:r w:rsidR="00557E96" w:rsidRPr="00316FCF">
        <w:rPr>
          <w:rFonts w:ascii="Times New Roman" w:hAnsi="Times New Roman" w:cs="Times New Roman"/>
          <w:noProof/>
        </w:rPr>
        <w:t>and</w:t>
      </w:r>
      <w:r w:rsidRPr="00316FCF">
        <w:rPr>
          <w:rFonts w:ascii="Times New Roman" w:hAnsi="Times New Roman" w:cs="Times New Roman"/>
          <w:noProof/>
        </w:rPr>
        <w:t xml:space="preserve"> Bajorek B. 2019. Patient-focused interventions to support vulnerable people using oral anticoagulants: a narrative review. </w:t>
      </w:r>
      <w:r w:rsidRPr="00316FCF">
        <w:rPr>
          <w:rFonts w:ascii="Times New Roman" w:hAnsi="Times New Roman" w:cs="Times New Roman"/>
          <w:i/>
          <w:noProof/>
        </w:rPr>
        <w:t xml:space="preserve">Therapeutic </w:t>
      </w:r>
      <w:r w:rsidR="00557E96" w:rsidRPr="00316FCF">
        <w:rPr>
          <w:rFonts w:ascii="Times New Roman" w:hAnsi="Times New Roman" w:cs="Times New Roman"/>
          <w:i/>
          <w:noProof/>
        </w:rPr>
        <w:t>A</w:t>
      </w:r>
      <w:r w:rsidRPr="00316FCF">
        <w:rPr>
          <w:rFonts w:ascii="Times New Roman" w:hAnsi="Times New Roman" w:cs="Times New Roman"/>
          <w:i/>
          <w:noProof/>
        </w:rPr>
        <w:t xml:space="preserve">dvances in </w:t>
      </w:r>
      <w:r w:rsidR="00557E96" w:rsidRPr="00316FCF">
        <w:rPr>
          <w:rFonts w:ascii="Times New Roman" w:hAnsi="Times New Roman" w:cs="Times New Roman"/>
          <w:i/>
          <w:noProof/>
        </w:rPr>
        <w:t>D</w:t>
      </w:r>
      <w:r w:rsidRPr="00316FCF">
        <w:rPr>
          <w:rFonts w:ascii="Times New Roman" w:hAnsi="Times New Roman" w:cs="Times New Roman"/>
          <w:i/>
          <w:noProof/>
        </w:rPr>
        <w:t xml:space="preserve">rug </w:t>
      </w:r>
      <w:r w:rsidR="00557E96" w:rsidRPr="00316FCF">
        <w:rPr>
          <w:rFonts w:ascii="Times New Roman" w:hAnsi="Times New Roman" w:cs="Times New Roman"/>
          <w:i/>
          <w:noProof/>
        </w:rPr>
        <w:t>S</w:t>
      </w:r>
      <w:r w:rsidRPr="00316FCF">
        <w:rPr>
          <w:rFonts w:ascii="Times New Roman" w:hAnsi="Times New Roman" w:cs="Times New Roman"/>
          <w:i/>
          <w:noProof/>
        </w:rPr>
        <w:t xml:space="preserve">afety </w:t>
      </w:r>
      <w:r w:rsidRPr="00316FCF">
        <w:rPr>
          <w:rFonts w:ascii="Times New Roman" w:hAnsi="Times New Roman" w:cs="Times New Roman"/>
          <w:iCs/>
          <w:noProof/>
        </w:rPr>
        <w:t>10</w:t>
      </w:r>
      <w:r w:rsidR="00557E96" w:rsidRPr="00316FCF">
        <w:rPr>
          <w:rFonts w:ascii="Times New Roman" w:hAnsi="Times New Roman" w:cs="Times New Roman"/>
          <w:noProof/>
        </w:rPr>
        <w:t>:</w:t>
      </w:r>
      <w:r w:rsidRPr="00316FCF">
        <w:rPr>
          <w:rFonts w:ascii="Times New Roman" w:hAnsi="Times New Roman" w:cs="Times New Roman"/>
          <w:noProof/>
        </w:rPr>
        <w:t xml:space="preserve"> 2042098619847423. doi:10.1177/2042098619847423</w:t>
      </w:r>
    </w:p>
    <w:p w14:paraId="466984E3" w14:textId="21E58B43" w:rsidR="00B85C9C" w:rsidRPr="00316FCF" w:rsidRDefault="00B85C9C" w:rsidP="00316FCF">
      <w:pPr>
        <w:pStyle w:val="EndNoteBibliography"/>
        <w:spacing w:after="60"/>
        <w:ind w:left="720" w:hanging="720"/>
        <w:rPr>
          <w:rFonts w:ascii="Times New Roman" w:hAnsi="Times New Roman" w:cs="Times New Roman"/>
          <w:noProof/>
        </w:rPr>
      </w:pPr>
      <w:r w:rsidRPr="00316FCF">
        <w:rPr>
          <w:rFonts w:ascii="Times New Roman" w:hAnsi="Times New Roman" w:cs="Times New Roman"/>
          <w:noProof/>
        </w:rPr>
        <w:t>Zdyb EG, Courtney DM, Malik</w:t>
      </w:r>
      <w:r w:rsidR="00557E96" w:rsidRPr="00316FCF">
        <w:rPr>
          <w:rFonts w:ascii="Times New Roman" w:hAnsi="Times New Roman" w:cs="Times New Roman"/>
          <w:noProof/>
        </w:rPr>
        <w:t xml:space="preserve"> </w:t>
      </w:r>
      <w:r w:rsidRPr="00316FCF">
        <w:rPr>
          <w:rFonts w:ascii="Times New Roman" w:hAnsi="Times New Roman" w:cs="Times New Roman"/>
          <w:noProof/>
        </w:rPr>
        <w:t>S,</w:t>
      </w:r>
      <w:r w:rsidR="00557E96" w:rsidRPr="00316FCF">
        <w:rPr>
          <w:rFonts w:ascii="Times New Roman" w:hAnsi="Times New Roman" w:cs="Times New Roman"/>
          <w:noProof/>
        </w:rPr>
        <w:t xml:space="preserve"> et al. </w:t>
      </w:r>
      <w:r w:rsidRPr="00316FCF">
        <w:rPr>
          <w:rFonts w:ascii="Times New Roman" w:hAnsi="Times New Roman" w:cs="Times New Roman"/>
          <w:noProof/>
        </w:rPr>
        <w:t xml:space="preserve">2017. Impact of Discharge Anticoagulation Education by Emergency Department Pharmacists at a Tertiary Academic Medical Center. </w:t>
      </w:r>
      <w:r w:rsidRPr="00316FCF">
        <w:rPr>
          <w:rFonts w:ascii="Times New Roman" w:hAnsi="Times New Roman" w:cs="Times New Roman"/>
          <w:i/>
          <w:noProof/>
        </w:rPr>
        <w:t>J</w:t>
      </w:r>
      <w:r w:rsidR="00557E96" w:rsidRPr="00316FCF">
        <w:rPr>
          <w:rFonts w:ascii="Times New Roman" w:hAnsi="Times New Roman" w:cs="Times New Roman"/>
          <w:i/>
          <w:noProof/>
        </w:rPr>
        <w:t>ournal of</w:t>
      </w:r>
      <w:r w:rsidRPr="00316FCF">
        <w:rPr>
          <w:rFonts w:ascii="Times New Roman" w:hAnsi="Times New Roman" w:cs="Times New Roman"/>
          <w:i/>
          <w:noProof/>
        </w:rPr>
        <w:t xml:space="preserve"> Emerg</w:t>
      </w:r>
      <w:r w:rsidR="00557E96" w:rsidRPr="00316FCF">
        <w:rPr>
          <w:rFonts w:ascii="Times New Roman" w:hAnsi="Times New Roman" w:cs="Times New Roman"/>
          <w:i/>
          <w:noProof/>
        </w:rPr>
        <w:t>ency</w:t>
      </w:r>
      <w:r w:rsidRPr="00316FCF">
        <w:rPr>
          <w:rFonts w:ascii="Times New Roman" w:hAnsi="Times New Roman" w:cs="Times New Roman"/>
          <w:i/>
          <w:noProof/>
        </w:rPr>
        <w:t xml:space="preserve"> Med</w:t>
      </w:r>
      <w:r w:rsidR="00557E96" w:rsidRPr="00316FCF">
        <w:rPr>
          <w:rFonts w:ascii="Times New Roman" w:hAnsi="Times New Roman" w:cs="Times New Roman"/>
          <w:i/>
          <w:noProof/>
        </w:rPr>
        <w:t>icine</w:t>
      </w:r>
      <w:r w:rsidRPr="00316FCF">
        <w:rPr>
          <w:rFonts w:ascii="Times New Roman" w:hAnsi="Times New Roman" w:cs="Times New Roman"/>
          <w:i/>
          <w:noProof/>
        </w:rPr>
        <w:t xml:space="preserve"> </w:t>
      </w:r>
      <w:r w:rsidRPr="00316FCF">
        <w:rPr>
          <w:rFonts w:ascii="Times New Roman" w:hAnsi="Times New Roman" w:cs="Times New Roman"/>
          <w:iCs/>
          <w:noProof/>
        </w:rPr>
        <w:t>53</w:t>
      </w:r>
      <w:r w:rsidRPr="00316FCF">
        <w:rPr>
          <w:rFonts w:ascii="Times New Roman" w:hAnsi="Times New Roman" w:cs="Times New Roman"/>
          <w:noProof/>
        </w:rPr>
        <w:t>(6)</w:t>
      </w:r>
      <w:r w:rsidR="00557E96" w:rsidRPr="00316FCF">
        <w:rPr>
          <w:rFonts w:ascii="Times New Roman" w:hAnsi="Times New Roman" w:cs="Times New Roman"/>
          <w:noProof/>
        </w:rPr>
        <w:t>:</w:t>
      </w:r>
      <w:r w:rsidRPr="00316FCF">
        <w:rPr>
          <w:rFonts w:ascii="Times New Roman" w:hAnsi="Times New Roman" w:cs="Times New Roman"/>
          <w:noProof/>
        </w:rPr>
        <w:t xml:space="preserve"> 896</w:t>
      </w:r>
      <w:r w:rsidR="00557E96" w:rsidRPr="00316FCF">
        <w:rPr>
          <w:rFonts w:ascii="Times New Roman" w:hAnsi="Times New Roman" w:cs="Times New Roman"/>
          <w:noProof/>
        </w:rPr>
        <w:t>–</w:t>
      </w:r>
      <w:r w:rsidRPr="00316FCF">
        <w:rPr>
          <w:rFonts w:ascii="Times New Roman" w:hAnsi="Times New Roman" w:cs="Times New Roman"/>
          <w:noProof/>
        </w:rPr>
        <w:t>903. doi:10.1016/j.jemermed.2017.06.008</w:t>
      </w:r>
    </w:p>
    <w:p w14:paraId="5920139C" w14:textId="598814F1" w:rsidR="005350FA" w:rsidRPr="00316FCF" w:rsidRDefault="00B85C9C" w:rsidP="00316FCF">
      <w:pPr>
        <w:pStyle w:val="EndNoteBibliography"/>
        <w:spacing w:after="60"/>
        <w:ind w:left="720" w:hanging="720"/>
        <w:rPr>
          <w:rFonts w:ascii="Times New Roman" w:hAnsi="Times New Roman" w:cs="Times New Roman"/>
        </w:rPr>
      </w:pPr>
      <w:r w:rsidRPr="00316FCF">
        <w:rPr>
          <w:rFonts w:ascii="Times New Roman" w:hAnsi="Times New Roman" w:cs="Times New Roman"/>
          <w:noProof/>
        </w:rPr>
        <w:t>Zheng</w:t>
      </w:r>
      <w:r w:rsidR="00557E96" w:rsidRPr="00316FCF">
        <w:rPr>
          <w:rFonts w:ascii="Times New Roman" w:hAnsi="Times New Roman" w:cs="Times New Roman"/>
          <w:noProof/>
        </w:rPr>
        <w:t xml:space="preserve"> </w:t>
      </w:r>
      <w:r w:rsidRPr="00316FCF">
        <w:rPr>
          <w:rFonts w:ascii="Times New Roman" w:hAnsi="Times New Roman" w:cs="Times New Roman"/>
          <w:noProof/>
        </w:rPr>
        <w:t>C, Dai H, Lin C,</w:t>
      </w:r>
      <w:r w:rsidR="00557E96" w:rsidRPr="00316FCF">
        <w:rPr>
          <w:rFonts w:ascii="Times New Roman" w:hAnsi="Times New Roman" w:cs="Times New Roman"/>
          <w:noProof/>
        </w:rPr>
        <w:t xml:space="preserve"> et al</w:t>
      </w:r>
      <w:r w:rsidRPr="00316FCF">
        <w:rPr>
          <w:rFonts w:ascii="Times New Roman" w:hAnsi="Times New Roman" w:cs="Times New Roman"/>
          <w:noProof/>
        </w:rPr>
        <w:t xml:space="preserve">. </w:t>
      </w:r>
      <w:r w:rsidR="007450B8" w:rsidRPr="00316FCF">
        <w:rPr>
          <w:rFonts w:ascii="Times New Roman" w:hAnsi="Times New Roman" w:cs="Times New Roman"/>
          <w:noProof/>
        </w:rPr>
        <w:t>2</w:t>
      </w:r>
      <w:r w:rsidRPr="00316FCF">
        <w:rPr>
          <w:rFonts w:ascii="Times New Roman" w:hAnsi="Times New Roman" w:cs="Times New Roman"/>
          <w:noProof/>
        </w:rPr>
        <w:t xml:space="preserve">020. Technology-Based Interventions in Oral Anticoagulation Management: Meta-Analysis of Randomized Controlled Trials. </w:t>
      </w:r>
      <w:r w:rsidRPr="00316FCF">
        <w:rPr>
          <w:rFonts w:ascii="Times New Roman" w:hAnsi="Times New Roman" w:cs="Times New Roman"/>
          <w:i/>
          <w:noProof/>
        </w:rPr>
        <w:t xml:space="preserve">Journal of </w:t>
      </w:r>
      <w:r w:rsidR="00557E96" w:rsidRPr="00316FCF">
        <w:rPr>
          <w:rFonts w:ascii="Times New Roman" w:hAnsi="Times New Roman" w:cs="Times New Roman"/>
          <w:i/>
          <w:noProof/>
        </w:rPr>
        <w:t>M</w:t>
      </w:r>
      <w:r w:rsidRPr="00316FCF">
        <w:rPr>
          <w:rFonts w:ascii="Times New Roman" w:hAnsi="Times New Roman" w:cs="Times New Roman"/>
          <w:i/>
          <w:noProof/>
        </w:rPr>
        <w:t xml:space="preserve">edical Internet </w:t>
      </w:r>
      <w:r w:rsidR="00557E96" w:rsidRPr="00316FCF">
        <w:rPr>
          <w:rFonts w:ascii="Times New Roman" w:hAnsi="Times New Roman" w:cs="Times New Roman"/>
          <w:i/>
          <w:noProof/>
        </w:rPr>
        <w:t>R</w:t>
      </w:r>
      <w:r w:rsidRPr="00316FCF">
        <w:rPr>
          <w:rFonts w:ascii="Times New Roman" w:hAnsi="Times New Roman" w:cs="Times New Roman"/>
          <w:i/>
          <w:noProof/>
        </w:rPr>
        <w:t xml:space="preserve">esearch </w:t>
      </w:r>
      <w:r w:rsidRPr="00316FCF">
        <w:rPr>
          <w:rFonts w:ascii="Times New Roman" w:hAnsi="Times New Roman" w:cs="Times New Roman"/>
          <w:iCs/>
          <w:noProof/>
        </w:rPr>
        <w:t>22</w:t>
      </w:r>
      <w:r w:rsidRPr="00316FCF">
        <w:rPr>
          <w:rFonts w:ascii="Times New Roman" w:hAnsi="Times New Roman" w:cs="Times New Roman"/>
          <w:noProof/>
        </w:rPr>
        <w:t>(7)</w:t>
      </w:r>
      <w:r w:rsidR="00557E96" w:rsidRPr="00316FCF">
        <w:rPr>
          <w:rFonts w:ascii="Times New Roman" w:hAnsi="Times New Roman" w:cs="Times New Roman"/>
          <w:noProof/>
        </w:rPr>
        <w:t>:</w:t>
      </w:r>
      <w:r w:rsidRPr="00316FCF">
        <w:rPr>
          <w:rFonts w:ascii="Times New Roman" w:hAnsi="Times New Roman" w:cs="Times New Roman"/>
          <w:noProof/>
        </w:rPr>
        <w:t xml:space="preserve"> e18386</w:t>
      </w:r>
      <w:r w:rsidR="00557E96" w:rsidRPr="00316FCF">
        <w:rPr>
          <w:rFonts w:ascii="Times New Roman" w:hAnsi="Times New Roman" w:cs="Times New Roman"/>
          <w:noProof/>
        </w:rPr>
        <w:t>.</w:t>
      </w:r>
      <w:r w:rsidRPr="00316FCF">
        <w:rPr>
          <w:rFonts w:ascii="Times New Roman" w:hAnsi="Times New Roman" w:cs="Times New Roman"/>
          <w:noProof/>
        </w:rPr>
        <w:t xml:space="preserve"> doi:10.2196/18386</w:t>
      </w:r>
    </w:p>
    <w:sectPr w:rsidR="005350FA" w:rsidRPr="00316FCF" w:rsidSect="00C1476C">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52F9" w14:textId="77777777" w:rsidR="00693243" w:rsidRDefault="00693243" w:rsidP="00B85C9C">
      <w:r>
        <w:separator/>
      </w:r>
    </w:p>
  </w:endnote>
  <w:endnote w:type="continuationSeparator" w:id="0">
    <w:p w14:paraId="223743F6" w14:textId="77777777" w:rsidR="00693243" w:rsidRDefault="00693243" w:rsidP="00B8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1603516"/>
      <w:docPartObj>
        <w:docPartGallery w:val="Page Numbers (Bottom of Page)"/>
        <w:docPartUnique/>
      </w:docPartObj>
    </w:sdtPr>
    <w:sdtEndPr>
      <w:rPr>
        <w:rStyle w:val="PageNumber"/>
      </w:rPr>
    </w:sdtEndPr>
    <w:sdtContent>
      <w:p w14:paraId="5663F496" w14:textId="179ADD00" w:rsidR="00B85C9C" w:rsidRDefault="00B85C9C" w:rsidP="00C127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56F6">
          <w:rPr>
            <w:rStyle w:val="PageNumber"/>
            <w:noProof/>
          </w:rPr>
          <w:t>9</w:t>
        </w:r>
        <w:r>
          <w:rPr>
            <w:rStyle w:val="PageNumber"/>
          </w:rPr>
          <w:fldChar w:fldCharType="end"/>
        </w:r>
      </w:p>
    </w:sdtContent>
  </w:sdt>
  <w:p w14:paraId="53AAF868" w14:textId="77777777" w:rsidR="00B85C9C" w:rsidRDefault="00B85C9C" w:rsidP="00C147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715777573"/>
      <w:docPartObj>
        <w:docPartGallery w:val="Page Numbers (Bottom of Page)"/>
        <w:docPartUnique/>
      </w:docPartObj>
    </w:sdtPr>
    <w:sdtEndPr>
      <w:rPr>
        <w:rStyle w:val="PageNumber"/>
      </w:rPr>
    </w:sdtEndPr>
    <w:sdtContent>
      <w:p w14:paraId="1F19B281" w14:textId="77777777" w:rsidR="00B85C9C" w:rsidRPr="00316FCF" w:rsidRDefault="00B85C9C" w:rsidP="00C12749">
        <w:pPr>
          <w:pStyle w:val="Footer"/>
          <w:framePr w:wrap="none" w:vAnchor="text" w:hAnchor="margin" w:xAlign="right" w:y="1"/>
          <w:rPr>
            <w:rStyle w:val="PageNumber"/>
            <w:rFonts w:ascii="Times New Roman" w:hAnsi="Times New Roman" w:cs="Times New Roman"/>
            <w:sz w:val="20"/>
            <w:szCs w:val="20"/>
          </w:rPr>
        </w:pPr>
        <w:r w:rsidRPr="00316FCF">
          <w:rPr>
            <w:rStyle w:val="PageNumber"/>
            <w:rFonts w:ascii="Times New Roman" w:hAnsi="Times New Roman" w:cs="Times New Roman"/>
            <w:sz w:val="20"/>
            <w:szCs w:val="20"/>
          </w:rPr>
          <w:fldChar w:fldCharType="begin"/>
        </w:r>
        <w:r w:rsidRPr="00316FCF">
          <w:rPr>
            <w:rStyle w:val="PageNumber"/>
            <w:rFonts w:ascii="Times New Roman" w:hAnsi="Times New Roman" w:cs="Times New Roman"/>
            <w:sz w:val="20"/>
            <w:szCs w:val="20"/>
          </w:rPr>
          <w:instrText xml:space="preserve"> PAGE </w:instrText>
        </w:r>
        <w:r w:rsidRPr="00316FCF">
          <w:rPr>
            <w:rStyle w:val="PageNumber"/>
            <w:rFonts w:ascii="Times New Roman" w:hAnsi="Times New Roman" w:cs="Times New Roman"/>
            <w:sz w:val="20"/>
            <w:szCs w:val="20"/>
          </w:rPr>
          <w:fldChar w:fldCharType="separate"/>
        </w:r>
        <w:r w:rsidRPr="00316FCF">
          <w:rPr>
            <w:rStyle w:val="PageNumber"/>
            <w:rFonts w:ascii="Times New Roman" w:hAnsi="Times New Roman" w:cs="Times New Roman"/>
            <w:noProof/>
            <w:sz w:val="20"/>
            <w:szCs w:val="20"/>
          </w:rPr>
          <w:t>2</w:t>
        </w:r>
        <w:r w:rsidRPr="00316FCF">
          <w:rPr>
            <w:rStyle w:val="PageNumber"/>
            <w:rFonts w:ascii="Times New Roman" w:hAnsi="Times New Roman" w:cs="Times New Roman"/>
            <w:sz w:val="20"/>
            <w:szCs w:val="20"/>
          </w:rPr>
          <w:fldChar w:fldCharType="end"/>
        </w:r>
      </w:p>
    </w:sdtContent>
  </w:sdt>
  <w:p w14:paraId="37E1CD77" w14:textId="3F17DF3F" w:rsidR="00B85C9C" w:rsidRPr="00316FCF" w:rsidRDefault="00202317" w:rsidP="00202317">
    <w:pPr>
      <w:pStyle w:val="Footer"/>
      <w:ind w:right="360"/>
      <w:rPr>
        <w:rFonts w:ascii="Times New Roman" w:hAnsi="Times New Roman" w:cs="Times New Roman"/>
        <w:sz w:val="18"/>
        <w:szCs w:val="18"/>
      </w:rPr>
    </w:pPr>
    <w:r w:rsidRPr="00316FCF">
      <w:rPr>
        <w:rFonts w:ascii="Times New Roman" w:hAnsi="Times New Roman" w:cs="Times New Roman"/>
        <w:sz w:val="18"/>
        <w:szCs w:val="18"/>
      </w:rPr>
      <w:t>Quality Improvement Initiatives to Reduce Anticoagulation-related Harm: A review of literature and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053E" w14:textId="77777777" w:rsidR="00693243" w:rsidRDefault="00693243" w:rsidP="00B85C9C">
      <w:r>
        <w:separator/>
      </w:r>
    </w:p>
  </w:footnote>
  <w:footnote w:type="continuationSeparator" w:id="0">
    <w:p w14:paraId="0EBC6C88" w14:textId="77777777" w:rsidR="00693243" w:rsidRDefault="00693243" w:rsidP="00B85C9C">
      <w:r>
        <w:continuationSeparator/>
      </w:r>
    </w:p>
  </w:footnote>
  <w:footnote w:id="1">
    <w:p w14:paraId="7C8818C6"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1" w:history="1">
        <w:r w:rsidRPr="00316FCF">
          <w:rPr>
            <w:rStyle w:val="Hyperlink"/>
            <w:rFonts w:ascii="Times New Roman" w:hAnsi="Times New Roman" w:cs="Times New Roman"/>
          </w:rPr>
          <w:t>https://elicit.org/search</w:t>
        </w:r>
      </w:hyperlink>
      <w:r w:rsidRPr="00316FCF">
        <w:rPr>
          <w:rFonts w:ascii="Times New Roman" w:hAnsi="Times New Roman" w:cs="Times New Roman"/>
        </w:rPr>
        <w:t xml:space="preserve"> </w:t>
      </w:r>
    </w:p>
  </w:footnote>
  <w:footnote w:id="2">
    <w:p w14:paraId="0C2B542D" w14:textId="11D018C6" w:rsidR="00B85C9C" w:rsidRPr="00316FCF" w:rsidRDefault="00B85C9C" w:rsidP="003A58F9">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2" w:history="1">
        <w:r w:rsidR="00336FD0" w:rsidRPr="00316FCF">
          <w:rPr>
            <w:rStyle w:val="Hyperlink"/>
            <w:rFonts w:ascii="Times New Roman" w:hAnsi="Times New Roman" w:cs="Times New Roman"/>
          </w:rPr>
          <w:t>https://www.jointcommission.org/-/media/tjc/documents/standards/national-patient-safety-goals/historical/npsg_030501_resources.pdf?db=web&amp;hash=F6DCAA29747C1586309C3557E72959FF&amp;hash=F6DCAA29747C1586309C3557E72959FF</w:t>
        </w:r>
      </w:hyperlink>
      <w:r w:rsidR="00336FD0" w:rsidRPr="00316FCF">
        <w:rPr>
          <w:rFonts w:ascii="Times New Roman" w:hAnsi="Times New Roman" w:cs="Times New Roman"/>
        </w:rPr>
        <w:t xml:space="preserve"> </w:t>
      </w:r>
    </w:p>
  </w:footnote>
  <w:footnote w:id="3">
    <w:p w14:paraId="7548F9B7"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3" w:history="1">
        <w:r w:rsidRPr="00316FCF">
          <w:rPr>
            <w:rStyle w:val="Hyperlink"/>
            <w:rFonts w:ascii="Times New Roman" w:hAnsi="Times New Roman" w:cs="Times New Roman"/>
          </w:rPr>
          <w:t>https://acforum.org/web/webinars/10-30-19_slides.pdf</w:t>
        </w:r>
      </w:hyperlink>
    </w:p>
  </w:footnote>
  <w:footnote w:id="4">
    <w:p w14:paraId="0BA0EA9A"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4" w:history="1">
        <w:r w:rsidRPr="00316FCF">
          <w:rPr>
            <w:rStyle w:val="Hyperlink"/>
            <w:rFonts w:ascii="Times New Roman" w:hAnsi="Times New Roman" w:cs="Times New Roman"/>
            <w:iCs/>
          </w:rPr>
          <w:t>https://acforum-excellence.org/Resource-Center/resource_files/1392-2019-09-18-110525.pdf</w:t>
        </w:r>
      </w:hyperlink>
    </w:p>
  </w:footnote>
  <w:footnote w:id="5">
    <w:p w14:paraId="3754D902"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5" w:history="1">
        <w:r w:rsidRPr="00316FCF">
          <w:rPr>
            <w:rStyle w:val="Hyperlink"/>
            <w:rFonts w:ascii="Times New Roman" w:hAnsi="Times New Roman" w:cs="Times New Roman"/>
          </w:rPr>
          <w:t>https://acforum-excellence.org/</w:t>
        </w:r>
      </w:hyperlink>
    </w:p>
  </w:footnote>
  <w:footnote w:id="6">
    <w:p w14:paraId="4D15EB02"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6" w:history="1">
        <w:r w:rsidRPr="00316FCF">
          <w:rPr>
            <w:rStyle w:val="Hyperlink"/>
            <w:rFonts w:ascii="Times New Roman" w:hAnsi="Times New Roman" w:cs="Times New Roman"/>
          </w:rPr>
          <w:t>https://acforum.org/web/downloads/AFC_Bibliographys_Evidence.pdf</w:t>
        </w:r>
      </w:hyperlink>
      <w:r w:rsidRPr="00316FCF">
        <w:rPr>
          <w:rFonts w:ascii="Times New Roman" w:hAnsi="Times New Roman" w:cs="Times New Roman"/>
        </w:rPr>
        <w:t xml:space="preserve"> </w:t>
      </w:r>
    </w:p>
  </w:footnote>
  <w:footnote w:id="7">
    <w:p w14:paraId="5CE577ED" w14:textId="77777777" w:rsidR="00B85C9C" w:rsidRPr="00316FCF" w:rsidRDefault="00B85C9C" w:rsidP="00926ECE">
      <w:pPr>
        <w:rPr>
          <w:rFonts w:ascii="Times New Roman" w:hAnsi="Times New Roman" w:cs="Times New Roman"/>
          <w:sz w:val="20"/>
          <w:szCs w:val="20"/>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7" w:history="1">
        <w:r w:rsidRPr="00316FCF">
          <w:rPr>
            <w:rStyle w:val="Hyperlink"/>
            <w:rFonts w:ascii="Times New Roman" w:hAnsi="Times New Roman" w:cs="Times New Roman"/>
            <w:sz w:val="20"/>
            <w:szCs w:val="20"/>
          </w:rPr>
          <w:t>https://www.ismp.org/sites/default/files/attachments/2017-11/2017_ISMP_Antithrombotic_Self_Assessment.pdf</w:t>
        </w:r>
      </w:hyperlink>
      <w:r w:rsidRPr="00316FCF">
        <w:rPr>
          <w:rFonts w:ascii="Times New Roman" w:hAnsi="Times New Roman" w:cs="Times New Roman"/>
          <w:sz w:val="20"/>
          <w:szCs w:val="20"/>
        </w:rPr>
        <w:t xml:space="preserve"> </w:t>
      </w:r>
    </w:p>
    <w:p w14:paraId="6A36B4E2" w14:textId="77777777" w:rsidR="00B85C9C" w:rsidRPr="00316FCF" w:rsidRDefault="00B85C9C">
      <w:pPr>
        <w:pStyle w:val="FootnoteText"/>
        <w:rPr>
          <w:rFonts w:ascii="Times New Roman" w:hAnsi="Times New Roman" w:cs="Times New Roman"/>
          <w:lang w:val="en-US"/>
        </w:rPr>
      </w:pPr>
    </w:p>
  </w:footnote>
  <w:footnote w:id="8">
    <w:p w14:paraId="4FC6309F" w14:textId="77777777" w:rsidR="00B85C9C" w:rsidRPr="00316FCF" w:rsidRDefault="00B85C9C">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8" w:history="1">
        <w:r w:rsidRPr="00316FCF">
          <w:rPr>
            <w:rStyle w:val="Hyperlink"/>
            <w:rFonts w:ascii="Times New Roman" w:hAnsi="Times New Roman" w:cs="Times New Roman"/>
          </w:rPr>
          <w:t>https://www.nice.org.uk/sharedlearning/utilising-the-skills-of-the-clinical-pharmacist-within-the-mdt-for-improved-medicines-optimisation</w:t>
        </w:r>
      </w:hyperlink>
      <w:r w:rsidRPr="00316FCF">
        <w:rPr>
          <w:rFonts w:ascii="Times New Roman" w:hAnsi="Times New Roman" w:cs="Times New Roman"/>
        </w:rPr>
        <w:t xml:space="preserve"> </w:t>
      </w:r>
    </w:p>
  </w:footnote>
  <w:footnote w:id="9">
    <w:p w14:paraId="01441A88" w14:textId="77777777" w:rsidR="00B85C9C" w:rsidRPr="00316FCF" w:rsidRDefault="00B85C9C" w:rsidP="00ED36F7">
      <w:pPr>
        <w:pStyle w:val="FootnoteText"/>
        <w:rPr>
          <w:rFonts w:ascii="Times New Roman" w:hAnsi="Times New Roman" w:cs="Times New Roman"/>
          <w:lang w:val="en-US"/>
        </w:rPr>
      </w:pPr>
      <w:r w:rsidRPr="00316FCF">
        <w:rPr>
          <w:rStyle w:val="FootnoteReference"/>
          <w:rFonts w:ascii="Times New Roman" w:hAnsi="Times New Roman" w:cs="Times New Roman"/>
        </w:rPr>
        <w:footnoteRef/>
      </w:r>
      <w:r w:rsidRPr="00316FCF">
        <w:rPr>
          <w:rFonts w:ascii="Times New Roman" w:hAnsi="Times New Roman" w:cs="Times New Roman"/>
        </w:rPr>
        <w:t xml:space="preserve"> </w:t>
      </w:r>
      <w:hyperlink r:id="rId9" w:history="1">
        <w:r w:rsidRPr="00316FCF">
          <w:rPr>
            <w:rStyle w:val="Hyperlink"/>
            <w:rFonts w:ascii="Times New Roman" w:hAnsi="Times New Roman" w:cs="Times New Roman"/>
          </w:rPr>
          <w:t>https://www.nice.org.uk/sharedlearning/improving-the-care-of-patients-discharged-following-a-pulmonary-embolism-in-line-with-nice-guidelines-ng158</w:t>
        </w:r>
      </w:hyperlink>
      <w:r w:rsidRPr="00316FC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D11"/>
    <w:multiLevelType w:val="hybridMultilevel"/>
    <w:tmpl w:val="ECE6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D58DA"/>
    <w:multiLevelType w:val="hybridMultilevel"/>
    <w:tmpl w:val="ABC63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B49FB"/>
    <w:multiLevelType w:val="hybridMultilevel"/>
    <w:tmpl w:val="E4D44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5666D"/>
    <w:multiLevelType w:val="hybridMultilevel"/>
    <w:tmpl w:val="5774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A56B0"/>
    <w:multiLevelType w:val="hybridMultilevel"/>
    <w:tmpl w:val="DD60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C0155"/>
    <w:multiLevelType w:val="hybridMultilevel"/>
    <w:tmpl w:val="B76057E2"/>
    <w:lvl w:ilvl="0" w:tplc="20C48A94">
      <w:start w:val="9"/>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7E62D3"/>
    <w:multiLevelType w:val="hybridMultilevel"/>
    <w:tmpl w:val="33640026"/>
    <w:lvl w:ilvl="0" w:tplc="D16489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C117D"/>
    <w:multiLevelType w:val="hybridMultilevel"/>
    <w:tmpl w:val="04EE8274"/>
    <w:lvl w:ilvl="0" w:tplc="4F5A83B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3553B"/>
    <w:multiLevelType w:val="hybridMultilevel"/>
    <w:tmpl w:val="53009B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3489F"/>
    <w:multiLevelType w:val="hybridMultilevel"/>
    <w:tmpl w:val="923A57FC"/>
    <w:lvl w:ilvl="0" w:tplc="979CC81C">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42EA0"/>
    <w:multiLevelType w:val="hybridMultilevel"/>
    <w:tmpl w:val="6DAE49F4"/>
    <w:lvl w:ilvl="0" w:tplc="28B03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D5919"/>
    <w:multiLevelType w:val="hybridMultilevel"/>
    <w:tmpl w:val="2AA6AC42"/>
    <w:lvl w:ilvl="0" w:tplc="6F2EAB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D3BBC"/>
    <w:multiLevelType w:val="hybridMultilevel"/>
    <w:tmpl w:val="A1F24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40A1C"/>
    <w:multiLevelType w:val="hybridMultilevel"/>
    <w:tmpl w:val="E4B0BB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1245A"/>
    <w:multiLevelType w:val="hybridMultilevel"/>
    <w:tmpl w:val="A5C616B0"/>
    <w:lvl w:ilvl="0" w:tplc="438EEA5E">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03BAF"/>
    <w:multiLevelType w:val="hybridMultilevel"/>
    <w:tmpl w:val="FBA6CA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C1A58"/>
    <w:multiLevelType w:val="hybridMultilevel"/>
    <w:tmpl w:val="C35044E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4489101E"/>
    <w:multiLevelType w:val="hybridMultilevel"/>
    <w:tmpl w:val="ABC63B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7818E4"/>
    <w:multiLevelType w:val="hybridMultilevel"/>
    <w:tmpl w:val="B1B01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E0C4B"/>
    <w:multiLevelType w:val="hybridMultilevel"/>
    <w:tmpl w:val="ABC63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B1E0C"/>
    <w:multiLevelType w:val="hybridMultilevel"/>
    <w:tmpl w:val="749A9D70"/>
    <w:lvl w:ilvl="0" w:tplc="F8624D3C">
      <w:start w:val="4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B5F0B"/>
    <w:multiLevelType w:val="hybridMultilevel"/>
    <w:tmpl w:val="CBE6BB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72130"/>
    <w:multiLevelType w:val="hybridMultilevel"/>
    <w:tmpl w:val="1CA2C1AC"/>
    <w:lvl w:ilvl="0" w:tplc="67964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3A232E"/>
    <w:multiLevelType w:val="hybridMultilevel"/>
    <w:tmpl w:val="A86220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9055A"/>
    <w:multiLevelType w:val="hybridMultilevel"/>
    <w:tmpl w:val="DDFA3F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6F03A7"/>
    <w:multiLevelType w:val="hybridMultilevel"/>
    <w:tmpl w:val="99D8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8271D"/>
    <w:multiLevelType w:val="hybridMultilevel"/>
    <w:tmpl w:val="E6D6291A"/>
    <w:lvl w:ilvl="0" w:tplc="C7C8EA4C">
      <w:start w:val="16"/>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501079"/>
    <w:multiLevelType w:val="hybridMultilevel"/>
    <w:tmpl w:val="54604D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7C2F96"/>
    <w:multiLevelType w:val="hybridMultilevel"/>
    <w:tmpl w:val="7C2401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A0776"/>
    <w:multiLevelType w:val="hybridMultilevel"/>
    <w:tmpl w:val="8A2414DE"/>
    <w:lvl w:ilvl="0" w:tplc="0D98C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481BB9"/>
    <w:multiLevelType w:val="hybridMultilevel"/>
    <w:tmpl w:val="2FEA77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403A1"/>
    <w:multiLevelType w:val="hybridMultilevel"/>
    <w:tmpl w:val="B34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687173">
    <w:abstractNumId w:val="5"/>
  </w:num>
  <w:num w:numId="2" w16cid:durableId="2128418">
    <w:abstractNumId w:val="4"/>
  </w:num>
  <w:num w:numId="3" w16cid:durableId="1206286338">
    <w:abstractNumId w:val="25"/>
  </w:num>
  <w:num w:numId="4" w16cid:durableId="1114666288">
    <w:abstractNumId w:val="3"/>
  </w:num>
  <w:num w:numId="5" w16cid:durableId="1990742191">
    <w:abstractNumId w:val="26"/>
  </w:num>
  <w:num w:numId="6" w16cid:durableId="542720057">
    <w:abstractNumId w:val="31"/>
  </w:num>
  <w:num w:numId="7" w16cid:durableId="372510717">
    <w:abstractNumId w:val="11"/>
  </w:num>
  <w:num w:numId="8" w16cid:durableId="564796639">
    <w:abstractNumId w:val="10"/>
  </w:num>
  <w:num w:numId="9" w16cid:durableId="1090345462">
    <w:abstractNumId w:val="14"/>
  </w:num>
  <w:num w:numId="10" w16cid:durableId="45839224">
    <w:abstractNumId w:val="7"/>
  </w:num>
  <w:num w:numId="11" w16cid:durableId="470750593">
    <w:abstractNumId w:val="29"/>
  </w:num>
  <w:num w:numId="12" w16cid:durableId="492573700">
    <w:abstractNumId w:val="22"/>
  </w:num>
  <w:num w:numId="13" w16cid:durableId="506600652">
    <w:abstractNumId w:val="20"/>
  </w:num>
  <w:num w:numId="14" w16cid:durableId="9962464">
    <w:abstractNumId w:val="18"/>
  </w:num>
  <w:num w:numId="15" w16cid:durableId="1648049156">
    <w:abstractNumId w:val="9"/>
  </w:num>
  <w:num w:numId="16" w16cid:durableId="455804726">
    <w:abstractNumId w:val="15"/>
  </w:num>
  <w:num w:numId="17" w16cid:durableId="1282305211">
    <w:abstractNumId w:val="12"/>
  </w:num>
  <w:num w:numId="18" w16cid:durableId="445199104">
    <w:abstractNumId w:val="28"/>
  </w:num>
  <w:num w:numId="19" w16cid:durableId="971440421">
    <w:abstractNumId w:val="27"/>
  </w:num>
  <w:num w:numId="20" w16cid:durableId="346714844">
    <w:abstractNumId w:val="21"/>
  </w:num>
  <w:num w:numId="21" w16cid:durableId="811755517">
    <w:abstractNumId w:val="0"/>
  </w:num>
  <w:num w:numId="22" w16cid:durableId="494415748">
    <w:abstractNumId w:val="30"/>
  </w:num>
  <w:num w:numId="23" w16cid:durableId="107938941">
    <w:abstractNumId w:val="24"/>
  </w:num>
  <w:num w:numId="24" w16cid:durableId="1295333314">
    <w:abstractNumId w:val="13"/>
  </w:num>
  <w:num w:numId="25" w16cid:durableId="1222522321">
    <w:abstractNumId w:val="16"/>
  </w:num>
  <w:num w:numId="26" w16cid:durableId="1188179260">
    <w:abstractNumId w:val="6"/>
  </w:num>
  <w:num w:numId="27" w16cid:durableId="201946063">
    <w:abstractNumId w:val="8"/>
  </w:num>
  <w:num w:numId="28" w16cid:durableId="272440495">
    <w:abstractNumId w:val="23"/>
  </w:num>
  <w:num w:numId="29" w16cid:durableId="662244046">
    <w:abstractNumId w:val="19"/>
  </w:num>
  <w:num w:numId="30" w16cid:durableId="885412937">
    <w:abstractNumId w:val="17"/>
  </w:num>
  <w:num w:numId="31" w16cid:durableId="784619506">
    <w:abstractNumId w:val="1"/>
  </w:num>
  <w:num w:numId="32" w16cid:durableId="641008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85C9C"/>
    <w:rsid w:val="00000DC7"/>
    <w:rsid w:val="00000DDF"/>
    <w:rsid w:val="000016DF"/>
    <w:rsid w:val="00003885"/>
    <w:rsid w:val="00003E3E"/>
    <w:rsid w:val="00003FB7"/>
    <w:rsid w:val="00004296"/>
    <w:rsid w:val="0000576A"/>
    <w:rsid w:val="00007DD7"/>
    <w:rsid w:val="00007EB0"/>
    <w:rsid w:val="00013212"/>
    <w:rsid w:val="00013241"/>
    <w:rsid w:val="000144EF"/>
    <w:rsid w:val="00014FA6"/>
    <w:rsid w:val="0001691B"/>
    <w:rsid w:val="0002732A"/>
    <w:rsid w:val="00031AC9"/>
    <w:rsid w:val="000330B9"/>
    <w:rsid w:val="00033706"/>
    <w:rsid w:val="0003796A"/>
    <w:rsid w:val="00037BFD"/>
    <w:rsid w:val="0004283E"/>
    <w:rsid w:val="00043CD2"/>
    <w:rsid w:val="00047E97"/>
    <w:rsid w:val="00050474"/>
    <w:rsid w:val="00051C9F"/>
    <w:rsid w:val="00053353"/>
    <w:rsid w:val="00054608"/>
    <w:rsid w:val="0006017A"/>
    <w:rsid w:val="00060B29"/>
    <w:rsid w:val="00061E3A"/>
    <w:rsid w:val="00063E32"/>
    <w:rsid w:val="00070CE8"/>
    <w:rsid w:val="000713F9"/>
    <w:rsid w:val="0007145C"/>
    <w:rsid w:val="000729EB"/>
    <w:rsid w:val="00073291"/>
    <w:rsid w:val="0007675C"/>
    <w:rsid w:val="00076CEA"/>
    <w:rsid w:val="00080021"/>
    <w:rsid w:val="000818A7"/>
    <w:rsid w:val="00081BBF"/>
    <w:rsid w:val="00091028"/>
    <w:rsid w:val="00092D94"/>
    <w:rsid w:val="0009738D"/>
    <w:rsid w:val="000978BF"/>
    <w:rsid w:val="000A1AE0"/>
    <w:rsid w:val="000A5670"/>
    <w:rsid w:val="000A5E60"/>
    <w:rsid w:val="000A696A"/>
    <w:rsid w:val="000B1BA3"/>
    <w:rsid w:val="000B346D"/>
    <w:rsid w:val="000B46A9"/>
    <w:rsid w:val="000B60E7"/>
    <w:rsid w:val="000C07C1"/>
    <w:rsid w:val="000C17EB"/>
    <w:rsid w:val="000C2E5D"/>
    <w:rsid w:val="000D6413"/>
    <w:rsid w:val="000D7C4B"/>
    <w:rsid w:val="000D7D37"/>
    <w:rsid w:val="000E0B7D"/>
    <w:rsid w:val="000E69B0"/>
    <w:rsid w:val="000F2818"/>
    <w:rsid w:val="000F3AF2"/>
    <w:rsid w:val="000F421A"/>
    <w:rsid w:val="000F6563"/>
    <w:rsid w:val="00100F8A"/>
    <w:rsid w:val="00101414"/>
    <w:rsid w:val="001015A2"/>
    <w:rsid w:val="00104593"/>
    <w:rsid w:val="00105608"/>
    <w:rsid w:val="0010595B"/>
    <w:rsid w:val="00107548"/>
    <w:rsid w:val="00111079"/>
    <w:rsid w:val="00112133"/>
    <w:rsid w:val="001140BC"/>
    <w:rsid w:val="0011541B"/>
    <w:rsid w:val="001154D6"/>
    <w:rsid w:val="00115795"/>
    <w:rsid w:val="00115DB5"/>
    <w:rsid w:val="001165CE"/>
    <w:rsid w:val="00120013"/>
    <w:rsid w:val="00122B6F"/>
    <w:rsid w:val="00123BE2"/>
    <w:rsid w:val="0012407D"/>
    <w:rsid w:val="001256CB"/>
    <w:rsid w:val="001258F0"/>
    <w:rsid w:val="00131C8A"/>
    <w:rsid w:val="00132D02"/>
    <w:rsid w:val="00133B71"/>
    <w:rsid w:val="00134AB5"/>
    <w:rsid w:val="00140C7A"/>
    <w:rsid w:val="00141D63"/>
    <w:rsid w:val="00141DD4"/>
    <w:rsid w:val="00147AE9"/>
    <w:rsid w:val="00150D36"/>
    <w:rsid w:val="001523FE"/>
    <w:rsid w:val="001532C4"/>
    <w:rsid w:val="00153F20"/>
    <w:rsid w:val="00154C48"/>
    <w:rsid w:val="001551F4"/>
    <w:rsid w:val="00155264"/>
    <w:rsid w:val="0016049E"/>
    <w:rsid w:val="00161396"/>
    <w:rsid w:val="001650A6"/>
    <w:rsid w:val="00170454"/>
    <w:rsid w:val="00172FB7"/>
    <w:rsid w:val="0017581F"/>
    <w:rsid w:val="001763B2"/>
    <w:rsid w:val="001770C0"/>
    <w:rsid w:val="00184E67"/>
    <w:rsid w:val="001913C6"/>
    <w:rsid w:val="001935D0"/>
    <w:rsid w:val="00195D3C"/>
    <w:rsid w:val="001976A7"/>
    <w:rsid w:val="001A3A47"/>
    <w:rsid w:val="001A5AE6"/>
    <w:rsid w:val="001A6DC0"/>
    <w:rsid w:val="001A7611"/>
    <w:rsid w:val="001B2E0D"/>
    <w:rsid w:val="001B304F"/>
    <w:rsid w:val="001B708D"/>
    <w:rsid w:val="001C01AE"/>
    <w:rsid w:val="001C1347"/>
    <w:rsid w:val="001C3C43"/>
    <w:rsid w:val="001C58C2"/>
    <w:rsid w:val="001C6FAD"/>
    <w:rsid w:val="001D1772"/>
    <w:rsid w:val="001E0EA3"/>
    <w:rsid w:val="001E3545"/>
    <w:rsid w:val="001E57E0"/>
    <w:rsid w:val="001F0C81"/>
    <w:rsid w:val="001F4D1E"/>
    <w:rsid w:val="001F6117"/>
    <w:rsid w:val="00200967"/>
    <w:rsid w:val="00202317"/>
    <w:rsid w:val="0020373B"/>
    <w:rsid w:val="00205D8A"/>
    <w:rsid w:val="002075CC"/>
    <w:rsid w:val="00207F5B"/>
    <w:rsid w:val="00212AF2"/>
    <w:rsid w:val="00213C73"/>
    <w:rsid w:val="0021479F"/>
    <w:rsid w:val="0021577D"/>
    <w:rsid w:val="002158D1"/>
    <w:rsid w:val="00215F99"/>
    <w:rsid w:val="002226A4"/>
    <w:rsid w:val="00230C1F"/>
    <w:rsid w:val="002334E8"/>
    <w:rsid w:val="00236F48"/>
    <w:rsid w:val="00236FF2"/>
    <w:rsid w:val="0024102E"/>
    <w:rsid w:val="00242703"/>
    <w:rsid w:val="00244709"/>
    <w:rsid w:val="00247917"/>
    <w:rsid w:val="00250080"/>
    <w:rsid w:val="00252B73"/>
    <w:rsid w:val="00254AC1"/>
    <w:rsid w:val="00255A8E"/>
    <w:rsid w:val="00260034"/>
    <w:rsid w:val="002641DD"/>
    <w:rsid w:val="00273966"/>
    <w:rsid w:val="00274815"/>
    <w:rsid w:val="00275A9A"/>
    <w:rsid w:val="002768C3"/>
    <w:rsid w:val="002775CD"/>
    <w:rsid w:val="002802C2"/>
    <w:rsid w:val="0028177F"/>
    <w:rsid w:val="00282205"/>
    <w:rsid w:val="00284B0B"/>
    <w:rsid w:val="00286F4C"/>
    <w:rsid w:val="002911EC"/>
    <w:rsid w:val="00292B60"/>
    <w:rsid w:val="002975D6"/>
    <w:rsid w:val="002A0FAE"/>
    <w:rsid w:val="002A1544"/>
    <w:rsid w:val="002A4D13"/>
    <w:rsid w:val="002A4E78"/>
    <w:rsid w:val="002A4FD2"/>
    <w:rsid w:val="002A71A6"/>
    <w:rsid w:val="002B0FB6"/>
    <w:rsid w:val="002B2708"/>
    <w:rsid w:val="002B3361"/>
    <w:rsid w:val="002B5934"/>
    <w:rsid w:val="002B6A37"/>
    <w:rsid w:val="002C046C"/>
    <w:rsid w:val="002C6212"/>
    <w:rsid w:val="002D0823"/>
    <w:rsid w:val="002D098F"/>
    <w:rsid w:val="002D1C61"/>
    <w:rsid w:val="002D3F63"/>
    <w:rsid w:val="002D4200"/>
    <w:rsid w:val="002D526B"/>
    <w:rsid w:val="002D58D2"/>
    <w:rsid w:val="002D651C"/>
    <w:rsid w:val="002E0D28"/>
    <w:rsid w:val="002E616B"/>
    <w:rsid w:val="002F2BA8"/>
    <w:rsid w:val="002F3107"/>
    <w:rsid w:val="002F3444"/>
    <w:rsid w:val="002F40FB"/>
    <w:rsid w:val="002F45BA"/>
    <w:rsid w:val="002F6D2E"/>
    <w:rsid w:val="002F744C"/>
    <w:rsid w:val="00302949"/>
    <w:rsid w:val="00302E51"/>
    <w:rsid w:val="00303543"/>
    <w:rsid w:val="00304A33"/>
    <w:rsid w:val="00306BE2"/>
    <w:rsid w:val="003079B7"/>
    <w:rsid w:val="00314EB8"/>
    <w:rsid w:val="0031580F"/>
    <w:rsid w:val="00315CF9"/>
    <w:rsid w:val="00316048"/>
    <w:rsid w:val="00316FCF"/>
    <w:rsid w:val="003255A1"/>
    <w:rsid w:val="003304AE"/>
    <w:rsid w:val="003306EC"/>
    <w:rsid w:val="00331F6E"/>
    <w:rsid w:val="00333088"/>
    <w:rsid w:val="00335447"/>
    <w:rsid w:val="00335C8D"/>
    <w:rsid w:val="003367BF"/>
    <w:rsid w:val="00336FD0"/>
    <w:rsid w:val="00341263"/>
    <w:rsid w:val="00343F2D"/>
    <w:rsid w:val="003446D7"/>
    <w:rsid w:val="00345BC2"/>
    <w:rsid w:val="00346511"/>
    <w:rsid w:val="003505A1"/>
    <w:rsid w:val="00352D84"/>
    <w:rsid w:val="00354506"/>
    <w:rsid w:val="003547AE"/>
    <w:rsid w:val="00356333"/>
    <w:rsid w:val="00356FAC"/>
    <w:rsid w:val="00360071"/>
    <w:rsid w:val="0036227C"/>
    <w:rsid w:val="00362C85"/>
    <w:rsid w:val="00370922"/>
    <w:rsid w:val="00373C39"/>
    <w:rsid w:val="00373DD5"/>
    <w:rsid w:val="0038158E"/>
    <w:rsid w:val="0038561B"/>
    <w:rsid w:val="00387923"/>
    <w:rsid w:val="00392741"/>
    <w:rsid w:val="00392901"/>
    <w:rsid w:val="003978FD"/>
    <w:rsid w:val="003A1D85"/>
    <w:rsid w:val="003A2DFE"/>
    <w:rsid w:val="003A39DF"/>
    <w:rsid w:val="003A650A"/>
    <w:rsid w:val="003B1334"/>
    <w:rsid w:val="003B1833"/>
    <w:rsid w:val="003B279A"/>
    <w:rsid w:val="003B3F79"/>
    <w:rsid w:val="003C24B5"/>
    <w:rsid w:val="003C3DC1"/>
    <w:rsid w:val="003C3E13"/>
    <w:rsid w:val="003C681B"/>
    <w:rsid w:val="003D14DC"/>
    <w:rsid w:val="003D3920"/>
    <w:rsid w:val="003D5889"/>
    <w:rsid w:val="003D5F1B"/>
    <w:rsid w:val="003E4A9C"/>
    <w:rsid w:val="003E7631"/>
    <w:rsid w:val="003F0FF1"/>
    <w:rsid w:val="003F14AB"/>
    <w:rsid w:val="003F181A"/>
    <w:rsid w:val="003F34AF"/>
    <w:rsid w:val="00407D4C"/>
    <w:rsid w:val="00412244"/>
    <w:rsid w:val="00412A05"/>
    <w:rsid w:val="004160B2"/>
    <w:rsid w:val="00422AC3"/>
    <w:rsid w:val="00424227"/>
    <w:rsid w:val="004314C6"/>
    <w:rsid w:val="00431B8E"/>
    <w:rsid w:val="00431B9A"/>
    <w:rsid w:val="00435ACB"/>
    <w:rsid w:val="00442556"/>
    <w:rsid w:val="00446A59"/>
    <w:rsid w:val="0045158E"/>
    <w:rsid w:val="004518FF"/>
    <w:rsid w:val="00453468"/>
    <w:rsid w:val="004606EC"/>
    <w:rsid w:val="00460A61"/>
    <w:rsid w:val="00461E3C"/>
    <w:rsid w:val="0046261C"/>
    <w:rsid w:val="004657C1"/>
    <w:rsid w:val="0046705A"/>
    <w:rsid w:val="0046721B"/>
    <w:rsid w:val="00471977"/>
    <w:rsid w:val="00471DAF"/>
    <w:rsid w:val="00471EDE"/>
    <w:rsid w:val="004754BC"/>
    <w:rsid w:val="00475A29"/>
    <w:rsid w:val="004779B9"/>
    <w:rsid w:val="004807A1"/>
    <w:rsid w:val="004836EE"/>
    <w:rsid w:val="00493AA8"/>
    <w:rsid w:val="00497880"/>
    <w:rsid w:val="004A10A2"/>
    <w:rsid w:val="004A4604"/>
    <w:rsid w:val="004B0711"/>
    <w:rsid w:val="004B1D39"/>
    <w:rsid w:val="004B2924"/>
    <w:rsid w:val="004B4CAF"/>
    <w:rsid w:val="004B5F33"/>
    <w:rsid w:val="004B64C4"/>
    <w:rsid w:val="004B7BD9"/>
    <w:rsid w:val="004C10BA"/>
    <w:rsid w:val="004C29B9"/>
    <w:rsid w:val="004C2A97"/>
    <w:rsid w:val="004C7BDC"/>
    <w:rsid w:val="004D3A40"/>
    <w:rsid w:val="004D3A9D"/>
    <w:rsid w:val="004D40AA"/>
    <w:rsid w:val="004F13BB"/>
    <w:rsid w:val="004F4D58"/>
    <w:rsid w:val="004F4F67"/>
    <w:rsid w:val="005032B5"/>
    <w:rsid w:val="005036A8"/>
    <w:rsid w:val="00513D02"/>
    <w:rsid w:val="005159F3"/>
    <w:rsid w:val="00516221"/>
    <w:rsid w:val="00516D98"/>
    <w:rsid w:val="00523765"/>
    <w:rsid w:val="0052432E"/>
    <w:rsid w:val="0052767A"/>
    <w:rsid w:val="00532382"/>
    <w:rsid w:val="00532DBD"/>
    <w:rsid w:val="005342E4"/>
    <w:rsid w:val="005350FA"/>
    <w:rsid w:val="00536831"/>
    <w:rsid w:val="00541968"/>
    <w:rsid w:val="005425C5"/>
    <w:rsid w:val="00542B46"/>
    <w:rsid w:val="0054539E"/>
    <w:rsid w:val="00547081"/>
    <w:rsid w:val="00547CEF"/>
    <w:rsid w:val="00551762"/>
    <w:rsid w:val="00554DCF"/>
    <w:rsid w:val="00557D85"/>
    <w:rsid w:val="00557E96"/>
    <w:rsid w:val="005639C8"/>
    <w:rsid w:val="00565945"/>
    <w:rsid w:val="005673B0"/>
    <w:rsid w:val="00567559"/>
    <w:rsid w:val="0057050A"/>
    <w:rsid w:val="00571379"/>
    <w:rsid w:val="005768C3"/>
    <w:rsid w:val="00577395"/>
    <w:rsid w:val="005775FC"/>
    <w:rsid w:val="0057777A"/>
    <w:rsid w:val="005811F9"/>
    <w:rsid w:val="0058475F"/>
    <w:rsid w:val="00584E02"/>
    <w:rsid w:val="00585FD0"/>
    <w:rsid w:val="00592BEF"/>
    <w:rsid w:val="00593CC1"/>
    <w:rsid w:val="005941C2"/>
    <w:rsid w:val="00594C4D"/>
    <w:rsid w:val="00595F5B"/>
    <w:rsid w:val="005A07DD"/>
    <w:rsid w:val="005A1D6A"/>
    <w:rsid w:val="005A211D"/>
    <w:rsid w:val="005B0F79"/>
    <w:rsid w:val="005B1924"/>
    <w:rsid w:val="005B2072"/>
    <w:rsid w:val="005B3AC2"/>
    <w:rsid w:val="005B3E67"/>
    <w:rsid w:val="005B447F"/>
    <w:rsid w:val="005B541F"/>
    <w:rsid w:val="005B554B"/>
    <w:rsid w:val="005B6F75"/>
    <w:rsid w:val="005C048C"/>
    <w:rsid w:val="005C1216"/>
    <w:rsid w:val="005C54C3"/>
    <w:rsid w:val="005C5788"/>
    <w:rsid w:val="005C6450"/>
    <w:rsid w:val="005D12E9"/>
    <w:rsid w:val="005D1737"/>
    <w:rsid w:val="005D33F2"/>
    <w:rsid w:val="005D439D"/>
    <w:rsid w:val="005D4C00"/>
    <w:rsid w:val="005E06B9"/>
    <w:rsid w:val="005E3C86"/>
    <w:rsid w:val="005E60AD"/>
    <w:rsid w:val="005F1BA0"/>
    <w:rsid w:val="005F20ED"/>
    <w:rsid w:val="005F7F3F"/>
    <w:rsid w:val="006010A4"/>
    <w:rsid w:val="0060159C"/>
    <w:rsid w:val="00602D13"/>
    <w:rsid w:val="0060566A"/>
    <w:rsid w:val="00611E5D"/>
    <w:rsid w:val="0061319C"/>
    <w:rsid w:val="0061359A"/>
    <w:rsid w:val="00613CAB"/>
    <w:rsid w:val="00615DAE"/>
    <w:rsid w:val="0061779C"/>
    <w:rsid w:val="00620F89"/>
    <w:rsid w:val="00620FBD"/>
    <w:rsid w:val="006216DC"/>
    <w:rsid w:val="00621757"/>
    <w:rsid w:val="00631DED"/>
    <w:rsid w:val="006324BA"/>
    <w:rsid w:val="00633514"/>
    <w:rsid w:val="00633DBD"/>
    <w:rsid w:val="00634314"/>
    <w:rsid w:val="00634A98"/>
    <w:rsid w:val="00635B53"/>
    <w:rsid w:val="0063776C"/>
    <w:rsid w:val="006377C5"/>
    <w:rsid w:val="00640565"/>
    <w:rsid w:val="0064585C"/>
    <w:rsid w:val="006509D7"/>
    <w:rsid w:val="00650A5F"/>
    <w:rsid w:val="00655727"/>
    <w:rsid w:val="00656EDC"/>
    <w:rsid w:val="00657107"/>
    <w:rsid w:val="00661AFE"/>
    <w:rsid w:val="0066497E"/>
    <w:rsid w:val="00665705"/>
    <w:rsid w:val="006668F2"/>
    <w:rsid w:val="006678CF"/>
    <w:rsid w:val="006725BA"/>
    <w:rsid w:val="00673891"/>
    <w:rsid w:val="00673E1E"/>
    <w:rsid w:val="006742D3"/>
    <w:rsid w:val="0067619F"/>
    <w:rsid w:val="00676A06"/>
    <w:rsid w:val="00676A0F"/>
    <w:rsid w:val="00682129"/>
    <w:rsid w:val="00684914"/>
    <w:rsid w:val="0068528F"/>
    <w:rsid w:val="00686033"/>
    <w:rsid w:val="00686FDA"/>
    <w:rsid w:val="00693243"/>
    <w:rsid w:val="00693B1D"/>
    <w:rsid w:val="0069671A"/>
    <w:rsid w:val="006967F4"/>
    <w:rsid w:val="00696BE2"/>
    <w:rsid w:val="006A1A80"/>
    <w:rsid w:val="006A4E8C"/>
    <w:rsid w:val="006B266D"/>
    <w:rsid w:val="006B3F15"/>
    <w:rsid w:val="006B46AB"/>
    <w:rsid w:val="006B5642"/>
    <w:rsid w:val="006B6C6C"/>
    <w:rsid w:val="006B7172"/>
    <w:rsid w:val="006C0C5D"/>
    <w:rsid w:val="006C3D92"/>
    <w:rsid w:val="006C54F8"/>
    <w:rsid w:val="006C7D82"/>
    <w:rsid w:val="006D01AC"/>
    <w:rsid w:val="006D03EC"/>
    <w:rsid w:val="006D0591"/>
    <w:rsid w:val="006D0A3B"/>
    <w:rsid w:val="006D11FB"/>
    <w:rsid w:val="006D31C0"/>
    <w:rsid w:val="006D3C50"/>
    <w:rsid w:val="006D4361"/>
    <w:rsid w:val="006D5D49"/>
    <w:rsid w:val="006D7506"/>
    <w:rsid w:val="006E03A4"/>
    <w:rsid w:val="006E3DB0"/>
    <w:rsid w:val="006E6E4F"/>
    <w:rsid w:val="006F147C"/>
    <w:rsid w:val="006F2699"/>
    <w:rsid w:val="006F50F3"/>
    <w:rsid w:val="00700D1F"/>
    <w:rsid w:val="0070490C"/>
    <w:rsid w:val="007102C2"/>
    <w:rsid w:val="00711E4E"/>
    <w:rsid w:val="00717C79"/>
    <w:rsid w:val="00724BFE"/>
    <w:rsid w:val="007271E4"/>
    <w:rsid w:val="007300A2"/>
    <w:rsid w:val="00730C71"/>
    <w:rsid w:val="007321DB"/>
    <w:rsid w:val="00735D83"/>
    <w:rsid w:val="0073680A"/>
    <w:rsid w:val="00737B27"/>
    <w:rsid w:val="00740CEF"/>
    <w:rsid w:val="00741D6C"/>
    <w:rsid w:val="00741F86"/>
    <w:rsid w:val="00742F28"/>
    <w:rsid w:val="00743FA6"/>
    <w:rsid w:val="007450B8"/>
    <w:rsid w:val="007518D8"/>
    <w:rsid w:val="0075368D"/>
    <w:rsid w:val="00754006"/>
    <w:rsid w:val="00756F29"/>
    <w:rsid w:val="00761D46"/>
    <w:rsid w:val="007669A2"/>
    <w:rsid w:val="0077438D"/>
    <w:rsid w:val="007744A2"/>
    <w:rsid w:val="007756B8"/>
    <w:rsid w:val="00775BCE"/>
    <w:rsid w:val="00776504"/>
    <w:rsid w:val="0078027F"/>
    <w:rsid w:val="00781A61"/>
    <w:rsid w:val="007832E7"/>
    <w:rsid w:val="0079079E"/>
    <w:rsid w:val="007907F1"/>
    <w:rsid w:val="007915ED"/>
    <w:rsid w:val="00791E84"/>
    <w:rsid w:val="0079406B"/>
    <w:rsid w:val="00795C38"/>
    <w:rsid w:val="00797131"/>
    <w:rsid w:val="007A3688"/>
    <w:rsid w:val="007B5601"/>
    <w:rsid w:val="007B6092"/>
    <w:rsid w:val="007B79D1"/>
    <w:rsid w:val="007C06A9"/>
    <w:rsid w:val="007C1EF2"/>
    <w:rsid w:val="007C3A75"/>
    <w:rsid w:val="007C41DC"/>
    <w:rsid w:val="007C6E7E"/>
    <w:rsid w:val="007C737A"/>
    <w:rsid w:val="007C7F59"/>
    <w:rsid w:val="007D2C88"/>
    <w:rsid w:val="007D38A8"/>
    <w:rsid w:val="007D3D0F"/>
    <w:rsid w:val="007D4341"/>
    <w:rsid w:val="007D4378"/>
    <w:rsid w:val="007D707F"/>
    <w:rsid w:val="007E29BF"/>
    <w:rsid w:val="007F1990"/>
    <w:rsid w:val="007F1F58"/>
    <w:rsid w:val="007F540B"/>
    <w:rsid w:val="007F6166"/>
    <w:rsid w:val="00801A23"/>
    <w:rsid w:val="0080561F"/>
    <w:rsid w:val="00807995"/>
    <w:rsid w:val="008110A5"/>
    <w:rsid w:val="00814BF0"/>
    <w:rsid w:val="00814F35"/>
    <w:rsid w:val="0081679E"/>
    <w:rsid w:val="00817077"/>
    <w:rsid w:val="00817552"/>
    <w:rsid w:val="00820867"/>
    <w:rsid w:val="00825B47"/>
    <w:rsid w:val="00831778"/>
    <w:rsid w:val="008324F0"/>
    <w:rsid w:val="00832B4F"/>
    <w:rsid w:val="00833920"/>
    <w:rsid w:val="008344B5"/>
    <w:rsid w:val="008353BF"/>
    <w:rsid w:val="008353F3"/>
    <w:rsid w:val="00841D7E"/>
    <w:rsid w:val="008445D9"/>
    <w:rsid w:val="008471C2"/>
    <w:rsid w:val="00847733"/>
    <w:rsid w:val="00860C3A"/>
    <w:rsid w:val="00863E5D"/>
    <w:rsid w:val="0087223D"/>
    <w:rsid w:val="0087236B"/>
    <w:rsid w:val="008758A4"/>
    <w:rsid w:val="00876AAD"/>
    <w:rsid w:val="0087739B"/>
    <w:rsid w:val="00881E64"/>
    <w:rsid w:val="0088258B"/>
    <w:rsid w:val="00884A7D"/>
    <w:rsid w:val="008865D8"/>
    <w:rsid w:val="008901D4"/>
    <w:rsid w:val="008906D4"/>
    <w:rsid w:val="00891D4A"/>
    <w:rsid w:val="00896830"/>
    <w:rsid w:val="008A0A25"/>
    <w:rsid w:val="008A2F42"/>
    <w:rsid w:val="008A5F34"/>
    <w:rsid w:val="008A690E"/>
    <w:rsid w:val="008A6CA1"/>
    <w:rsid w:val="008A7878"/>
    <w:rsid w:val="008B1FEE"/>
    <w:rsid w:val="008B2340"/>
    <w:rsid w:val="008B3071"/>
    <w:rsid w:val="008B3A30"/>
    <w:rsid w:val="008B50C6"/>
    <w:rsid w:val="008B54E8"/>
    <w:rsid w:val="008B5FBB"/>
    <w:rsid w:val="008B72B6"/>
    <w:rsid w:val="008C2917"/>
    <w:rsid w:val="008C7B3C"/>
    <w:rsid w:val="008D06D6"/>
    <w:rsid w:val="008E0BA4"/>
    <w:rsid w:val="008E39B9"/>
    <w:rsid w:val="008E4FDC"/>
    <w:rsid w:val="008E56C6"/>
    <w:rsid w:val="008F0EFF"/>
    <w:rsid w:val="008F4414"/>
    <w:rsid w:val="008F5B55"/>
    <w:rsid w:val="008F782C"/>
    <w:rsid w:val="009007B2"/>
    <w:rsid w:val="009018BC"/>
    <w:rsid w:val="0090547E"/>
    <w:rsid w:val="00905485"/>
    <w:rsid w:val="00906493"/>
    <w:rsid w:val="00907A2F"/>
    <w:rsid w:val="009105DA"/>
    <w:rsid w:val="00910D88"/>
    <w:rsid w:val="0091368A"/>
    <w:rsid w:val="0091449F"/>
    <w:rsid w:val="009147EC"/>
    <w:rsid w:val="009152F5"/>
    <w:rsid w:val="00916EFE"/>
    <w:rsid w:val="00920E43"/>
    <w:rsid w:val="00922B5F"/>
    <w:rsid w:val="00922FA1"/>
    <w:rsid w:val="0092651B"/>
    <w:rsid w:val="00930D9B"/>
    <w:rsid w:val="0093119F"/>
    <w:rsid w:val="00932008"/>
    <w:rsid w:val="00934B17"/>
    <w:rsid w:val="00935742"/>
    <w:rsid w:val="00935A37"/>
    <w:rsid w:val="00935C58"/>
    <w:rsid w:val="00936749"/>
    <w:rsid w:val="009407CC"/>
    <w:rsid w:val="00941EB5"/>
    <w:rsid w:val="0095072E"/>
    <w:rsid w:val="00951633"/>
    <w:rsid w:val="00951BFA"/>
    <w:rsid w:val="00953533"/>
    <w:rsid w:val="00956B98"/>
    <w:rsid w:val="0096177B"/>
    <w:rsid w:val="00961928"/>
    <w:rsid w:val="00962A8D"/>
    <w:rsid w:val="00965561"/>
    <w:rsid w:val="00965562"/>
    <w:rsid w:val="009667FA"/>
    <w:rsid w:val="00970F5D"/>
    <w:rsid w:val="0097246D"/>
    <w:rsid w:val="00974393"/>
    <w:rsid w:val="00975FA6"/>
    <w:rsid w:val="0097752F"/>
    <w:rsid w:val="009800A4"/>
    <w:rsid w:val="009824F6"/>
    <w:rsid w:val="00985154"/>
    <w:rsid w:val="00992650"/>
    <w:rsid w:val="009929E5"/>
    <w:rsid w:val="0099749A"/>
    <w:rsid w:val="00997F5C"/>
    <w:rsid w:val="009A0F43"/>
    <w:rsid w:val="009A1B43"/>
    <w:rsid w:val="009A437A"/>
    <w:rsid w:val="009A5122"/>
    <w:rsid w:val="009A73DF"/>
    <w:rsid w:val="009A7C3F"/>
    <w:rsid w:val="009B0112"/>
    <w:rsid w:val="009B11F8"/>
    <w:rsid w:val="009B5BD0"/>
    <w:rsid w:val="009C230E"/>
    <w:rsid w:val="009C4475"/>
    <w:rsid w:val="009C614A"/>
    <w:rsid w:val="009C6377"/>
    <w:rsid w:val="009D383D"/>
    <w:rsid w:val="009D4146"/>
    <w:rsid w:val="009D43AE"/>
    <w:rsid w:val="009D4583"/>
    <w:rsid w:val="009D4A2C"/>
    <w:rsid w:val="009D5498"/>
    <w:rsid w:val="009E1609"/>
    <w:rsid w:val="009E2065"/>
    <w:rsid w:val="009E3264"/>
    <w:rsid w:val="009E39AA"/>
    <w:rsid w:val="009E53D3"/>
    <w:rsid w:val="009E6FD5"/>
    <w:rsid w:val="009E705E"/>
    <w:rsid w:val="009F1EF8"/>
    <w:rsid w:val="009F3657"/>
    <w:rsid w:val="009F4A48"/>
    <w:rsid w:val="009F4E0D"/>
    <w:rsid w:val="009F5F8C"/>
    <w:rsid w:val="009F6755"/>
    <w:rsid w:val="00A01FCF"/>
    <w:rsid w:val="00A13E44"/>
    <w:rsid w:val="00A14319"/>
    <w:rsid w:val="00A15367"/>
    <w:rsid w:val="00A15431"/>
    <w:rsid w:val="00A162D9"/>
    <w:rsid w:val="00A17530"/>
    <w:rsid w:val="00A248CE"/>
    <w:rsid w:val="00A26DEC"/>
    <w:rsid w:val="00A3021F"/>
    <w:rsid w:val="00A32669"/>
    <w:rsid w:val="00A332CC"/>
    <w:rsid w:val="00A41A80"/>
    <w:rsid w:val="00A42F8E"/>
    <w:rsid w:val="00A44233"/>
    <w:rsid w:val="00A44908"/>
    <w:rsid w:val="00A44AA9"/>
    <w:rsid w:val="00A466E0"/>
    <w:rsid w:val="00A46799"/>
    <w:rsid w:val="00A523A5"/>
    <w:rsid w:val="00A535C9"/>
    <w:rsid w:val="00A5399B"/>
    <w:rsid w:val="00A54486"/>
    <w:rsid w:val="00A56AB0"/>
    <w:rsid w:val="00A57835"/>
    <w:rsid w:val="00A6094E"/>
    <w:rsid w:val="00A6168F"/>
    <w:rsid w:val="00A65039"/>
    <w:rsid w:val="00A677E2"/>
    <w:rsid w:val="00A6793F"/>
    <w:rsid w:val="00A71BBE"/>
    <w:rsid w:val="00A71F6B"/>
    <w:rsid w:val="00A74196"/>
    <w:rsid w:val="00A74EAD"/>
    <w:rsid w:val="00A80552"/>
    <w:rsid w:val="00A83AFC"/>
    <w:rsid w:val="00A84A41"/>
    <w:rsid w:val="00A87464"/>
    <w:rsid w:val="00A9099B"/>
    <w:rsid w:val="00A941C2"/>
    <w:rsid w:val="00A94242"/>
    <w:rsid w:val="00A9745E"/>
    <w:rsid w:val="00AA56F6"/>
    <w:rsid w:val="00AB3076"/>
    <w:rsid w:val="00AB66E4"/>
    <w:rsid w:val="00AB7E29"/>
    <w:rsid w:val="00AC0050"/>
    <w:rsid w:val="00AC01B0"/>
    <w:rsid w:val="00AC0B19"/>
    <w:rsid w:val="00AC0BE4"/>
    <w:rsid w:val="00AC1BD1"/>
    <w:rsid w:val="00AC27D5"/>
    <w:rsid w:val="00AC2D6B"/>
    <w:rsid w:val="00AC3B74"/>
    <w:rsid w:val="00AC4CB7"/>
    <w:rsid w:val="00AC5C5D"/>
    <w:rsid w:val="00AC7E18"/>
    <w:rsid w:val="00AD2BA1"/>
    <w:rsid w:val="00AD37D4"/>
    <w:rsid w:val="00AD3942"/>
    <w:rsid w:val="00AD6BB3"/>
    <w:rsid w:val="00AE2862"/>
    <w:rsid w:val="00AE2CB5"/>
    <w:rsid w:val="00AF2B9A"/>
    <w:rsid w:val="00AF3707"/>
    <w:rsid w:val="00AF470E"/>
    <w:rsid w:val="00AF4C44"/>
    <w:rsid w:val="00B017A0"/>
    <w:rsid w:val="00B01FE9"/>
    <w:rsid w:val="00B02C79"/>
    <w:rsid w:val="00B12001"/>
    <w:rsid w:val="00B13700"/>
    <w:rsid w:val="00B1496A"/>
    <w:rsid w:val="00B15397"/>
    <w:rsid w:val="00B23240"/>
    <w:rsid w:val="00B232F7"/>
    <w:rsid w:val="00B242BE"/>
    <w:rsid w:val="00B261D4"/>
    <w:rsid w:val="00B27A0C"/>
    <w:rsid w:val="00B34E7F"/>
    <w:rsid w:val="00B36774"/>
    <w:rsid w:val="00B453A5"/>
    <w:rsid w:val="00B45598"/>
    <w:rsid w:val="00B4616C"/>
    <w:rsid w:val="00B515AF"/>
    <w:rsid w:val="00B52E71"/>
    <w:rsid w:val="00B56259"/>
    <w:rsid w:val="00B607EC"/>
    <w:rsid w:val="00B62C4F"/>
    <w:rsid w:val="00B62D49"/>
    <w:rsid w:val="00B65686"/>
    <w:rsid w:val="00B656F7"/>
    <w:rsid w:val="00B67175"/>
    <w:rsid w:val="00B71A4B"/>
    <w:rsid w:val="00B71A50"/>
    <w:rsid w:val="00B726F7"/>
    <w:rsid w:val="00B72E9D"/>
    <w:rsid w:val="00B73919"/>
    <w:rsid w:val="00B743B3"/>
    <w:rsid w:val="00B772B1"/>
    <w:rsid w:val="00B80554"/>
    <w:rsid w:val="00B85C9C"/>
    <w:rsid w:val="00B900F2"/>
    <w:rsid w:val="00B93D8E"/>
    <w:rsid w:val="00B95F02"/>
    <w:rsid w:val="00B9660A"/>
    <w:rsid w:val="00B973E7"/>
    <w:rsid w:val="00B97682"/>
    <w:rsid w:val="00BA16C2"/>
    <w:rsid w:val="00BA4D90"/>
    <w:rsid w:val="00BA5397"/>
    <w:rsid w:val="00BA6813"/>
    <w:rsid w:val="00BA6F1A"/>
    <w:rsid w:val="00BB2F8B"/>
    <w:rsid w:val="00BB5785"/>
    <w:rsid w:val="00BC0608"/>
    <w:rsid w:val="00BC12C6"/>
    <w:rsid w:val="00BC19D2"/>
    <w:rsid w:val="00BC2A2B"/>
    <w:rsid w:val="00BC4227"/>
    <w:rsid w:val="00BC4E9A"/>
    <w:rsid w:val="00BC6138"/>
    <w:rsid w:val="00BC6805"/>
    <w:rsid w:val="00BD5A81"/>
    <w:rsid w:val="00BE1E78"/>
    <w:rsid w:val="00BE4607"/>
    <w:rsid w:val="00BE5D7C"/>
    <w:rsid w:val="00BF1F96"/>
    <w:rsid w:val="00BF3F79"/>
    <w:rsid w:val="00BF4D39"/>
    <w:rsid w:val="00C01042"/>
    <w:rsid w:val="00C012C2"/>
    <w:rsid w:val="00C01443"/>
    <w:rsid w:val="00C029BB"/>
    <w:rsid w:val="00C04818"/>
    <w:rsid w:val="00C07998"/>
    <w:rsid w:val="00C12C9C"/>
    <w:rsid w:val="00C1462B"/>
    <w:rsid w:val="00C146E8"/>
    <w:rsid w:val="00C15F22"/>
    <w:rsid w:val="00C16BF9"/>
    <w:rsid w:val="00C1741D"/>
    <w:rsid w:val="00C21686"/>
    <w:rsid w:val="00C261F7"/>
    <w:rsid w:val="00C2713B"/>
    <w:rsid w:val="00C30B34"/>
    <w:rsid w:val="00C30B8B"/>
    <w:rsid w:val="00C30DBE"/>
    <w:rsid w:val="00C317A1"/>
    <w:rsid w:val="00C33FAF"/>
    <w:rsid w:val="00C34CEF"/>
    <w:rsid w:val="00C361A0"/>
    <w:rsid w:val="00C37E10"/>
    <w:rsid w:val="00C47521"/>
    <w:rsid w:val="00C5207B"/>
    <w:rsid w:val="00C536A8"/>
    <w:rsid w:val="00C550C3"/>
    <w:rsid w:val="00C562CB"/>
    <w:rsid w:val="00C5672E"/>
    <w:rsid w:val="00C56E2C"/>
    <w:rsid w:val="00C61C1A"/>
    <w:rsid w:val="00C666B5"/>
    <w:rsid w:val="00C66F05"/>
    <w:rsid w:val="00C67988"/>
    <w:rsid w:val="00C67BF5"/>
    <w:rsid w:val="00C7793D"/>
    <w:rsid w:val="00C83292"/>
    <w:rsid w:val="00C84976"/>
    <w:rsid w:val="00C8669A"/>
    <w:rsid w:val="00C92CBE"/>
    <w:rsid w:val="00C92E57"/>
    <w:rsid w:val="00CA1C8F"/>
    <w:rsid w:val="00CA20E8"/>
    <w:rsid w:val="00CA500F"/>
    <w:rsid w:val="00CB0A44"/>
    <w:rsid w:val="00CB0C33"/>
    <w:rsid w:val="00CB2E45"/>
    <w:rsid w:val="00CB3C9C"/>
    <w:rsid w:val="00CB3D26"/>
    <w:rsid w:val="00CB7C97"/>
    <w:rsid w:val="00CC15BD"/>
    <w:rsid w:val="00CC289A"/>
    <w:rsid w:val="00CC2971"/>
    <w:rsid w:val="00CC6FCD"/>
    <w:rsid w:val="00CC7480"/>
    <w:rsid w:val="00CD0758"/>
    <w:rsid w:val="00CD095E"/>
    <w:rsid w:val="00CD2B9A"/>
    <w:rsid w:val="00CD386A"/>
    <w:rsid w:val="00CD57BE"/>
    <w:rsid w:val="00CE1B31"/>
    <w:rsid w:val="00CE42A2"/>
    <w:rsid w:val="00CE440F"/>
    <w:rsid w:val="00CE5852"/>
    <w:rsid w:val="00CF095E"/>
    <w:rsid w:val="00CF11EC"/>
    <w:rsid w:val="00CF4676"/>
    <w:rsid w:val="00CF600D"/>
    <w:rsid w:val="00CF637E"/>
    <w:rsid w:val="00CF6D76"/>
    <w:rsid w:val="00D00980"/>
    <w:rsid w:val="00D00989"/>
    <w:rsid w:val="00D01CD0"/>
    <w:rsid w:val="00D050F5"/>
    <w:rsid w:val="00D05CAB"/>
    <w:rsid w:val="00D07BE3"/>
    <w:rsid w:val="00D1257B"/>
    <w:rsid w:val="00D13E7A"/>
    <w:rsid w:val="00D14FBB"/>
    <w:rsid w:val="00D175D8"/>
    <w:rsid w:val="00D254A1"/>
    <w:rsid w:val="00D25678"/>
    <w:rsid w:val="00D30D84"/>
    <w:rsid w:val="00D31A9B"/>
    <w:rsid w:val="00D32427"/>
    <w:rsid w:val="00D34675"/>
    <w:rsid w:val="00D34C74"/>
    <w:rsid w:val="00D43C2B"/>
    <w:rsid w:val="00D46D6F"/>
    <w:rsid w:val="00D46FCB"/>
    <w:rsid w:val="00D47435"/>
    <w:rsid w:val="00D51393"/>
    <w:rsid w:val="00D52FCE"/>
    <w:rsid w:val="00D55B0C"/>
    <w:rsid w:val="00D56A7E"/>
    <w:rsid w:val="00D56E2A"/>
    <w:rsid w:val="00D57CDD"/>
    <w:rsid w:val="00D57E6A"/>
    <w:rsid w:val="00D609C6"/>
    <w:rsid w:val="00D60D2B"/>
    <w:rsid w:val="00D63EE7"/>
    <w:rsid w:val="00D65B5F"/>
    <w:rsid w:val="00D65C3A"/>
    <w:rsid w:val="00D65D0F"/>
    <w:rsid w:val="00D70F79"/>
    <w:rsid w:val="00D71C11"/>
    <w:rsid w:val="00D72A50"/>
    <w:rsid w:val="00D72D27"/>
    <w:rsid w:val="00D7318D"/>
    <w:rsid w:val="00D82EE5"/>
    <w:rsid w:val="00D86556"/>
    <w:rsid w:val="00D87CFF"/>
    <w:rsid w:val="00D91520"/>
    <w:rsid w:val="00D94605"/>
    <w:rsid w:val="00DA003C"/>
    <w:rsid w:val="00DA1264"/>
    <w:rsid w:val="00DA1314"/>
    <w:rsid w:val="00DA591F"/>
    <w:rsid w:val="00DA5B63"/>
    <w:rsid w:val="00DA65DA"/>
    <w:rsid w:val="00DA6AA0"/>
    <w:rsid w:val="00DA6B05"/>
    <w:rsid w:val="00DA73D1"/>
    <w:rsid w:val="00DB0EE9"/>
    <w:rsid w:val="00DB11A0"/>
    <w:rsid w:val="00DB1A88"/>
    <w:rsid w:val="00DB434D"/>
    <w:rsid w:val="00DB6AF8"/>
    <w:rsid w:val="00DC002D"/>
    <w:rsid w:val="00DC0CE3"/>
    <w:rsid w:val="00DC2E25"/>
    <w:rsid w:val="00DC48E3"/>
    <w:rsid w:val="00DC5E13"/>
    <w:rsid w:val="00DC780F"/>
    <w:rsid w:val="00DD4345"/>
    <w:rsid w:val="00DD562D"/>
    <w:rsid w:val="00DD62FA"/>
    <w:rsid w:val="00DE40EA"/>
    <w:rsid w:val="00DE4E63"/>
    <w:rsid w:val="00DE76B9"/>
    <w:rsid w:val="00DE7919"/>
    <w:rsid w:val="00DF09AC"/>
    <w:rsid w:val="00DF1470"/>
    <w:rsid w:val="00DF3DBA"/>
    <w:rsid w:val="00DF4BBF"/>
    <w:rsid w:val="00E01FFB"/>
    <w:rsid w:val="00E02484"/>
    <w:rsid w:val="00E02736"/>
    <w:rsid w:val="00E02861"/>
    <w:rsid w:val="00E04E51"/>
    <w:rsid w:val="00E05E40"/>
    <w:rsid w:val="00E064EF"/>
    <w:rsid w:val="00E1000D"/>
    <w:rsid w:val="00E116EF"/>
    <w:rsid w:val="00E123C1"/>
    <w:rsid w:val="00E125C6"/>
    <w:rsid w:val="00E13019"/>
    <w:rsid w:val="00E14932"/>
    <w:rsid w:val="00E1559C"/>
    <w:rsid w:val="00E16578"/>
    <w:rsid w:val="00E238E8"/>
    <w:rsid w:val="00E2425F"/>
    <w:rsid w:val="00E24A1B"/>
    <w:rsid w:val="00E3726D"/>
    <w:rsid w:val="00E433C1"/>
    <w:rsid w:val="00E462EE"/>
    <w:rsid w:val="00E463C0"/>
    <w:rsid w:val="00E50C0B"/>
    <w:rsid w:val="00E50CC0"/>
    <w:rsid w:val="00E537D7"/>
    <w:rsid w:val="00E54079"/>
    <w:rsid w:val="00E541C5"/>
    <w:rsid w:val="00E54A49"/>
    <w:rsid w:val="00E54AAD"/>
    <w:rsid w:val="00E54FFF"/>
    <w:rsid w:val="00E55BB7"/>
    <w:rsid w:val="00E60AFF"/>
    <w:rsid w:val="00E614AB"/>
    <w:rsid w:val="00E62AC0"/>
    <w:rsid w:val="00E65FB6"/>
    <w:rsid w:val="00E70198"/>
    <w:rsid w:val="00E715DF"/>
    <w:rsid w:val="00E745BB"/>
    <w:rsid w:val="00E81D20"/>
    <w:rsid w:val="00E82910"/>
    <w:rsid w:val="00E83A95"/>
    <w:rsid w:val="00E87A15"/>
    <w:rsid w:val="00E93FBB"/>
    <w:rsid w:val="00E9523E"/>
    <w:rsid w:val="00E97CA3"/>
    <w:rsid w:val="00EA49A3"/>
    <w:rsid w:val="00EA74F2"/>
    <w:rsid w:val="00EB52DE"/>
    <w:rsid w:val="00EC05E5"/>
    <w:rsid w:val="00EC062B"/>
    <w:rsid w:val="00EC0E86"/>
    <w:rsid w:val="00EC2042"/>
    <w:rsid w:val="00EC31F7"/>
    <w:rsid w:val="00EC4478"/>
    <w:rsid w:val="00EC53B0"/>
    <w:rsid w:val="00EC5792"/>
    <w:rsid w:val="00EC6B02"/>
    <w:rsid w:val="00EC780F"/>
    <w:rsid w:val="00ED01BA"/>
    <w:rsid w:val="00ED057B"/>
    <w:rsid w:val="00ED18BB"/>
    <w:rsid w:val="00ED76D1"/>
    <w:rsid w:val="00ED7FA0"/>
    <w:rsid w:val="00EE4AD1"/>
    <w:rsid w:val="00EF3EF2"/>
    <w:rsid w:val="00EF5C7B"/>
    <w:rsid w:val="00EF6D6A"/>
    <w:rsid w:val="00F00842"/>
    <w:rsid w:val="00F03340"/>
    <w:rsid w:val="00F046EA"/>
    <w:rsid w:val="00F100AD"/>
    <w:rsid w:val="00F10546"/>
    <w:rsid w:val="00F109B4"/>
    <w:rsid w:val="00F11DC2"/>
    <w:rsid w:val="00F1357E"/>
    <w:rsid w:val="00F13AC8"/>
    <w:rsid w:val="00F1443C"/>
    <w:rsid w:val="00F17697"/>
    <w:rsid w:val="00F17956"/>
    <w:rsid w:val="00F2172E"/>
    <w:rsid w:val="00F21E35"/>
    <w:rsid w:val="00F2668F"/>
    <w:rsid w:val="00F30D7A"/>
    <w:rsid w:val="00F32B42"/>
    <w:rsid w:val="00F3425C"/>
    <w:rsid w:val="00F3573B"/>
    <w:rsid w:val="00F35C04"/>
    <w:rsid w:val="00F370A8"/>
    <w:rsid w:val="00F37383"/>
    <w:rsid w:val="00F40354"/>
    <w:rsid w:val="00F4295C"/>
    <w:rsid w:val="00F44F4F"/>
    <w:rsid w:val="00F45DCF"/>
    <w:rsid w:val="00F45F42"/>
    <w:rsid w:val="00F462E6"/>
    <w:rsid w:val="00F50B12"/>
    <w:rsid w:val="00F51FE0"/>
    <w:rsid w:val="00F5294B"/>
    <w:rsid w:val="00F530A4"/>
    <w:rsid w:val="00F53FDB"/>
    <w:rsid w:val="00F556C1"/>
    <w:rsid w:val="00F56330"/>
    <w:rsid w:val="00F602E1"/>
    <w:rsid w:val="00F60F81"/>
    <w:rsid w:val="00F65946"/>
    <w:rsid w:val="00F6656C"/>
    <w:rsid w:val="00F66FE2"/>
    <w:rsid w:val="00F67EFA"/>
    <w:rsid w:val="00F715FB"/>
    <w:rsid w:val="00F736A9"/>
    <w:rsid w:val="00F743EB"/>
    <w:rsid w:val="00F7609C"/>
    <w:rsid w:val="00F808F4"/>
    <w:rsid w:val="00F819C6"/>
    <w:rsid w:val="00F828CD"/>
    <w:rsid w:val="00F82D05"/>
    <w:rsid w:val="00F84CFB"/>
    <w:rsid w:val="00F86BFC"/>
    <w:rsid w:val="00F92B22"/>
    <w:rsid w:val="00F92C4E"/>
    <w:rsid w:val="00F935D9"/>
    <w:rsid w:val="00F94A7B"/>
    <w:rsid w:val="00F97766"/>
    <w:rsid w:val="00FA4109"/>
    <w:rsid w:val="00FB195E"/>
    <w:rsid w:val="00FB2464"/>
    <w:rsid w:val="00FB43AB"/>
    <w:rsid w:val="00FB4B75"/>
    <w:rsid w:val="00FC1567"/>
    <w:rsid w:val="00FC15B1"/>
    <w:rsid w:val="00FC339F"/>
    <w:rsid w:val="00FC4716"/>
    <w:rsid w:val="00FC6464"/>
    <w:rsid w:val="00FD05E4"/>
    <w:rsid w:val="00FD1338"/>
    <w:rsid w:val="00FD3ADA"/>
    <w:rsid w:val="00FD54E4"/>
    <w:rsid w:val="00FD64A0"/>
    <w:rsid w:val="00FE248D"/>
    <w:rsid w:val="00FF0062"/>
    <w:rsid w:val="00FF19E7"/>
    <w:rsid w:val="00FF2E6F"/>
    <w:rsid w:val="00FF782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75FA"/>
  <w15:chartTrackingRefBased/>
  <w15:docId w15:val="{A0E04299-3FFE-5344-B630-1D56B2B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9C"/>
    <w:rPr>
      <w:lang w:val="en-GB"/>
    </w:rPr>
  </w:style>
  <w:style w:type="paragraph" w:styleId="Heading1">
    <w:name w:val="heading 1"/>
    <w:basedOn w:val="Normal"/>
    <w:next w:val="Normal"/>
    <w:link w:val="Heading1Char"/>
    <w:uiPriority w:val="9"/>
    <w:qFormat/>
    <w:rsid w:val="00B85C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5C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1C8A"/>
    <w:pPr>
      <w:keepNext/>
      <w:keepLines/>
      <w:spacing w:before="40"/>
      <w:outlineLvl w:val="2"/>
    </w:pPr>
    <w:rPr>
      <w:rFonts w:asciiTheme="majorBidi" w:eastAsiaTheme="majorEastAsia" w:hAnsiTheme="majorBidi" w:cstheme="majorBidi"/>
      <w:color w:val="1F3763" w:themeColor="accent1" w:themeShade="7F"/>
    </w:rPr>
  </w:style>
  <w:style w:type="paragraph" w:styleId="Heading4">
    <w:name w:val="heading 4"/>
    <w:basedOn w:val="Normal"/>
    <w:next w:val="Normal"/>
    <w:link w:val="Heading4Char"/>
    <w:uiPriority w:val="9"/>
    <w:unhideWhenUsed/>
    <w:qFormat/>
    <w:rsid w:val="00CA1C8F"/>
    <w:pPr>
      <w:keepNext/>
      <w:keepLines/>
      <w:spacing w:before="40"/>
      <w:outlineLvl w:val="3"/>
    </w:pPr>
    <w:rPr>
      <w:rFonts w:asciiTheme="majorBidi" w:eastAsiaTheme="majorEastAsia" w:hAnsiTheme="majorBid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C9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B85C9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31C8A"/>
    <w:rPr>
      <w:rFonts w:asciiTheme="majorBidi" w:eastAsiaTheme="majorEastAsia" w:hAnsiTheme="majorBidi" w:cstheme="majorBidi"/>
      <w:color w:val="1F3763" w:themeColor="accent1" w:themeShade="7F"/>
      <w:lang w:val="en-GB"/>
    </w:rPr>
  </w:style>
  <w:style w:type="character" w:customStyle="1" w:styleId="Heading4Char">
    <w:name w:val="Heading 4 Char"/>
    <w:basedOn w:val="DefaultParagraphFont"/>
    <w:link w:val="Heading4"/>
    <w:uiPriority w:val="9"/>
    <w:rsid w:val="00CA1C8F"/>
    <w:rPr>
      <w:rFonts w:asciiTheme="majorBidi" w:eastAsiaTheme="majorEastAsia" w:hAnsiTheme="majorBidi" w:cstheme="majorBidi"/>
      <w:i/>
      <w:iCs/>
      <w:color w:val="2F5496" w:themeColor="accent1" w:themeShade="BF"/>
      <w:lang w:val="en-GB"/>
    </w:rPr>
  </w:style>
  <w:style w:type="paragraph" w:styleId="Date">
    <w:name w:val="Date"/>
    <w:basedOn w:val="Normal"/>
    <w:next w:val="Normal"/>
    <w:link w:val="DateChar"/>
    <w:uiPriority w:val="99"/>
    <w:semiHidden/>
    <w:unhideWhenUsed/>
    <w:rsid w:val="00B85C9C"/>
  </w:style>
  <w:style w:type="character" w:customStyle="1" w:styleId="DateChar">
    <w:name w:val="Date Char"/>
    <w:basedOn w:val="DefaultParagraphFont"/>
    <w:link w:val="Date"/>
    <w:uiPriority w:val="99"/>
    <w:semiHidden/>
    <w:rsid w:val="00B85C9C"/>
    <w:rPr>
      <w:lang w:val="en-GB"/>
    </w:rPr>
  </w:style>
  <w:style w:type="paragraph" w:styleId="TOC1">
    <w:name w:val="toc 1"/>
    <w:basedOn w:val="Normal"/>
    <w:next w:val="Normal"/>
    <w:autoRedefine/>
    <w:uiPriority w:val="39"/>
    <w:unhideWhenUsed/>
    <w:rsid w:val="00B85C9C"/>
    <w:pPr>
      <w:spacing w:after="100"/>
    </w:pPr>
  </w:style>
  <w:style w:type="paragraph" w:styleId="TOC2">
    <w:name w:val="toc 2"/>
    <w:basedOn w:val="Normal"/>
    <w:next w:val="Normal"/>
    <w:autoRedefine/>
    <w:uiPriority w:val="39"/>
    <w:unhideWhenUsed/>
    <w:rsid w:val="00F819C6"/>
    <w:pPr>
      <w:tabs>
        <w:tab w:val="right" w:leader="dot" w:pos="9010"/>
      </w:tabs>
      <w:spacing w:after="100"/>
    </w:pPr>
  </w:style>
  <w:style w:type="character" w:styleId="Hyperlink">
    <w:name w:val="Hyperlink"/>
    <w:basedOn w:val="DefaultParagraphFont"/>
    <w:uiPriority w:val="99"/>
    <w:unhideWhenUsed/>
    <w:rsid w:val="00B85C9C"/>
    <w:rPr>
      <w:color w:val="0563C1" w:themeColor="hyperlink"/>
      <w:u w:val="single"/>
    </w:rPr>
  </w:style>
  <w:style w:type="paragraph" w:styleId="Footer">
    <w:name w:val="footer"/>
    <w:basedOn w:val="Normal"/>
    <w:link w:val="FooterChar"/>
    <w:uiPriority w:val="99"/>
    <w:unhideWhenUsed/>
    <w:rsid w:val="00B85C9C"/>
    <w:pPr>
      <w:tabs>
        <w:tab w:val="center" w:pos="4680"/>
        <w:tab w:val="right" w:pos="9360"/>
      </w:tabs>
    </w:pPr>
  </w:style>
  <w:style w:type="character" w:customStyle="1" w:styleId="FooterChar">
    <w:name w:val="Footer Char"/>
    <w:basedOn w:val="DefaultParagraphFont"/>
    <w:link w:val="Footer"/>
    <w:uiPriority w:val="99"/>
    <w:rsid w:val="00B85C9C"/>
    <w:rPr>
      <w:lang w:val="en-GB"/>
    </w:rPr>
  </w:style>
  <w:style w:type="character" w:styleId="PageNumber">
    <w:name w:val="page number"/>
    <w:basedOn w:val="DefaultParagraphFont"/>
    <w:uiPriority w:val="99"/>
    <w:semiHidden/>
    <w:unhideWhenUsed/>
    <w:rsid w:val="00B85C9C"/>
  </w:style>
  <w:style w:type="paragraph" w:styleId="TOC3">
    <w:name w:val="toc 3"/>
    <w:basedOn w:val="Normal"/>
    <w:next w:val="Normal"/>
    <w:autoRedefine/>
    <w:uiPriority w:val="39"/>
    <w:unhideWhenUsed/>
    <w:rsid w:val="00F819C6"/>
    <w:pPr>
      <w:tabs>
        <w:tab w:val="right" w:leader="dot" w:pos="9010"/>
      </w:tabs>
      <w:spacing w:after="100"/>
      <w:ind w:left="240"/>
    </w:pPr>
  </w:style>
  <w:style w:type="table" w:styleId="TableGrid">
    <w:name w:val="Table Grid"/>
    <w:basedOn w:val="TableNormal"/>
    <w:uiPriority w:val="39"/>
    <w:rsid w:val="00B8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C9C"/>
    <w:pPr>
      <w:ind w:left="720"/>
      <w:contextualSpacing/>
    </w:pPr>
  </w:style>
  <w:style w:type="paragraph" w:styleId="TOC4">
    <w:name w:val="toc 4"/>
    <w:basedOn w:val="Normal"/>
    <w:next w:val="Normal"/>
    <w:autoRedefine/>
    <w:uiPriority w:val="39"/>
    <w:unhideWhenUsed/>
    <w:rsid w:val="00B85C9C"/>
    <w:pPr>
      <w:spacing w:after="100"/>
      <w:ind w:left="720"/>
    </w:pPr>
  </w:style>
  <w:style w:type="paragraph" w:customStyle="1" w:styleId="EndNoteBibliographyTitle">
    <w:name w:val="EndNote Bibliography Title"/>
    <w:basedOn w:val="Normal"/>
    <w:link w:val="EndNoteBibliographyTitleChar"/>
    <w:rsid w:val="00B85C9C"/>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B85C9C"/>
    <w:rPr>
      <w:rFonts w:ascii="Calibri" w:hAnsi="Calibri" w:cs="Calibri"/>
      <w:lang w:val="en-GB"/>
    </w:rPr>
  </w:style>
  <w:style w:type="paragraph" w:customStyle="1" w:styleId="EndNoteBibliography">
    <w:name w:val="EndNote Bibliography"/>
    <w:basedOn w:val="Normal"/>
    <w:link w:val="EndNoteBibliographyChar"/>
    <w:rsid w:val="00B85C9C"/>
    <w:rPr>
      <w:rFonts w:ascii="Calibri" w:hAnsi="Calibri" w:cs="Calibri"/>
    </w:rPr>
  </w:style>
  <w:style w:type="character" w:customStyle="1" w:styleId="EndNoteBibliographyChar">
    <w:name w:val="EndNote Bibliography Char"/>
    <w:basedOn w:val="DefaultParagraphFont"/>
    <w:link w:val="EndNoteBibliography"/>
    <w:rsid w:val="00B85C9C"/>
    <w:rPr>
      <w:rFonts w:ascii="Calibri" w:hAnsi="Calibri" w:cs="Calibri"/>
      <w:lang w:val="en-GB"/>
    </w:rPr>
  </w:style>
  <w:style w:type="character" w:styleId="UnresolvedMention">
    <w:name w:val="Unresolved Mention"/>
    <w:basedOn w:val="DefaultParagraphFont"/>
    <w:uiPriority w:val="99"/>
    <w:semiHidden/>
    <w:unhideWhenUsed/>
    <w:rsid w:val="00B85C9C"/>
    <w:rPr>
      <w:color w:val="605E5C"/>
      <w:shd w:val="clear" w:color="auto" w:fill="E1DFDD"/>
    </w:rPr>
  </w:style>
  <w:style w:type="paragraph" w:styleId="FootnoteText">
    <w:name w:val="footnote text"/>
    <w:basedOn w:val="Normal"/>
    <w:link w:val="FootnoteTextChar"/>
    <w:uiPriority w:val="99"/>
    <w:semiHidden/>
    <w:unhideWhenUsed/>
    <w:rsid w:val="00B85C9C"/>
    <w:rPr>
      <w:sz w:val="20"/>
      <w:szCs w:val="20"/>
    </w:rPr>
  </w:style>
  <w:style w:type="character" w:customStyle="1" w:styleId="FootnoteTextChar">
    <w:name w:val="Footnote Text Char"/>
    <w:basedOn w:val="DefaultParagraphFont"/>
    <w:link w:val="FootnoteText"/>
    <w:uiPriority w:val="99"/>
    <w:semiHidden/>
    <w:rsid w:val="00B85C9C"/>
    <w:rPr>
      <w:sz w:val="20"/>
      <w:szCs w:val="20"/>
      <w:lang w:val="en-GB"/>
    </w:rPr>
  </w:style>
  <w:style w:type="character" w:styleId="FootnoteReference">
    <w:name w:val="footnote reference"/>
    <w:basedOn w:val="DefaultParagraphFont"/>
    <w:uiPriority w:val="99"/>
    <w:semiHidden/>
    <w:unhideWhenUsed/>
    <w:rsid w:val="00B85C9C"/>
    <w:rPr>
      <w:vertAlign w:val="superscript"/>
    </w:rPr>
  </w:style>
  <w:style w:type="character" w:styleId="FollowedHyperlink">
    <w:name w:val="FollowedHyperlink"/>
    <w:basedOn w:val="DefaultParagraphFont"/>
    <w:uiPriority w:val="99"/>
    <w:semiHidden/>
    <w:unhideWhenUsed/>
    <w:rsid w:val="00B85C9C"/>
    <w:rPr>
      <w:color w:val="954F72" w:themeColor="followedHyperlink"/>
      <w:u w:val="single"/>
    </w:rPr>
  </w:style>
  <w:style w:type="character" w:styleId="CommentReference">
    <w:name w:val="annotation reference"/>
    <w:basedOn w:val="DefaultParagraphFont"/>
    <w:uiPriority w:val="99"/>
    <w:semiHidden/>
    <w:unhideWhenUsed/>
    <w:rsid w:val="00B85C9C"/>
    <w:rPr>
      <w:sz w:val="16"/>
      <w:szCs w:val="16"/>
    </w:rPr>
  </w:style>
  <w:style w:type="paragraph" w:styleId="Revision">
    <w:name w:val="Revision"/>
    <w:hidden/>
    <w:uiPriority w:val="99"/>
    <w:semiHidden/>
    <w:rsid w:val="00B85C9C"/>
    <w:rPr>
      <w:lang w:val="en-GB"/>
    </w:rPr>
  </w:style>
  <w:style w:type="paragraph" w:styleId="CommentText">
    <w:name w:val="annotation text"/>
    <w:basedOn w:val="Normal"/>
    <w:link w:val="CommentTextChar"/>
    <w:uiPriority w:val="99"/>
    <w:unhideWhenUsed/>
    <w:rsid w:val="00B85C9C"/>
    <w:rPr>
      <w:sz w:val="20"/>
      <w:szCs w:val="20"/>
    </w:rPr>
  </w:style>
  <w:style w:type="character" w:customStyle="1" w:styleId="CommentTextChar">
    <w:name w:val="Comment Text Char"/>
    <w:basedOn w:val="DefaultParagraphFont"/>
    <w:link w:val="CommentText"/>
    <w:uiPriority w:val="99"/>
    <w:rsid w:val="00B85C9C"/>
    <w:rPr>
      <w:sz w:val="20"/>
      <w:szCs w:val="20"/>
      <w:lang w:val="en-GB"/>
    </w:rPr>
  </w:style>
  <w:style w:type="paragraph" w:styleId="CommentSubject">
    <w:name w:val="annotation subject"/>
    <w:basedOn w:val="CommentText"/>
    <w:next w:val="CommentText"/>
    <w:link w:val="CommentSubjectChar"/>
    <w:uiPriority w:val="99"/>
    <w:semiHidden/>
    <w:unhideWhenUsed/>
    <w:rsid w:val="00B85C9C"/>
    <w:rPr>
      <w:b/>
      <w:bCs/>
    </w:rPr>
  </w:style>
  <w:style w:type="character" w:customStyle="1" w:styleId="CommentSubjectChar">
    <w:name w:val="Comment Subject Char"/>
    <w:basedOn w:val="CommentTextChar"/>
    <w:link w:val="CommentSubject"/>
    <w:uiPriority w:val="99"/>
    <w:semiHidden/>
    <w:rsid w:val="00B85C9C"/>
    <w:rPr>
      <w:b/>
      <w:bCs/>
      <w:sz w:val="20"/>
      <w:szCs w:val="20"/>
      <w:lang w:val="en-GB"/>
    </w:rPr>
  </w:style>
  <w:style w:type="paragraph" w:styleId="Header">
    <w:name w:val="header"/>
    <w:basedOn w:val="Normal"/>
    <w:link w:val="HeaderChar"/>
    <w:uiPriority w:val="99"/>
    <w:unhideWhenUsed/>
    <w:rsid w:val="00B85C9C"/>
    <w:pPr>
      <w:tabs>
        <w:tab w:val="center" w:pos="4513"/>
        <w:tab w:val="right" w:pos="9026"/>
      </w:tabs>
    </w:pPr>
  </w:style>
  <w:style w:type="character" w:customStyle="1" w:styleId="HeaderChar">
    <w:name w:val="Header Char"/>
    <w:basedOn w:val="DefaultParagraphFont"/>
    <w:link w:val="Header"/>
    <w:uiPriority w:val="99"/>
    <w:rsid w:val="00B85C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ticoagulationtoolkit.org/" TargetMode="External"/><Relationship Id="rId18" Type="http://schemas.openxmlformats.org/officeDocument/2006/relationships/hyperlink" Target="https://www.nice.org.uk/sharedlearning/improving-the-care-of-patients-discharged-following-a-pulmonary-embolism-in-line-with-nice-guidelines-ng158" TargetMode="External"/><Relationship Id="rId26" Type="http://schemas.openxmlformats.org/officeDocument/2006/relationships/hyperlink" Target="https://health.gov/sites/default/files/2019-09/ADE-Action-Plan-508c.pdf" TargetMode="External"/><Relationship Id="rId3" Type="http://schemas.openxmlformats.org/officeDocument/2006/relationships/customXml" Target="../customXml/item3.xml"/><Relationship Id="rId21" Type="http://schemas.openxmlformats.org/officeDocument/2006/relationships/hyperlink" Target="https://www.ahrq.gov/research/findings/making-healthcare-safer/mhs3/index.html"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smp.org/sites/default/files/attachments/2017-11/2017_ISMP_Antithrombotic_Self_Assessment.pdf" TargetMode="External"/><Relationship Id="rId25" Type="http://schemas.openxmlformats.org/officeDocument/2006/relationships/hyperlink" Target="https://acforum.org/web/downloads/ACF_Profiles_in_Progress_4.20.pdf" TargetMode="External"/><Relationship Id="rId2" Type="http://schemas.openxmlformats.org/officeDocument/2006/relationships/customXml" Target="../customXml/item2.xml"/><Relationship Id="rId16" Type="http://schemas.openxmlformats.org/officeDocument/2006/relationships/hyperlink" Target="https://acforum-excellence.org/" TargetMode="External"/><Relationship Id="rId20" Type="http://schemas.openxmlformats.org/officeDocument/2006/relationships/hyperlink" Target="https://www.safetyandquality.gov.au/sites/default/files/2020-04/medication_without_harm_-_australias_response._january_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acforum.org/web/downloads/ACF_Evidence.pdf" TargetMode="External"/><Relationship Id="rId5" Type="http://schemas.openxmlformats.org/officeDocument/2006/relationships/numbering" Target="numbering.xml"/><Relationship Id="rId15" Type="http://schemas.openxmlformats.org/officeDocument/2006/relationships/hyperlink" Target="https://acforum-excellence.org/Resource-Center/resource_files/1392-2019-09-18-110525.pdf" TargetMode="External"/><Relationship Id="rId23" Type="http://schemas.openxmlformats.org/officeDocument/2006/relationships/hyperlink" Target="https://acforum.org/web/education-stewardship.php" TargetMode="External"/><Relationship Id="rId28" Type="http://schemas.openxmlformats.org/officeDocument/2006/relationships/hyperlink" Target="https://www.ismp.org/sites/default/files/attachments/2017-11/2017_ISMP_Antithrombotic_Self_Assessment.pdf" TargetMode="External"/><Relationship Id="rId10" Type="http://schemas.openxmlformats.org/officeDocument/2006/relationships/endnotes" Target="endnotes.xml"/><Relationship Id="rId19" Type="http://schemas.openxmlformats.org/officeDocument/2006/relationships/hyperlink" Target="https://www.nice.org.uk/sharedlearning/utilising-the-skills-of-the-clinical-pharmacist-within-the-mdt-for-improved-medicines-optimis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intcommission.org/-/media/tjc/documents/standards/national-patient-safety-goals/historical/npsg_030501_resources.pdf?db=web&amp;hash=F6DCAA29747C1586309C3557E72959FF&amp;hash=F6DCAA29747C1586309C3557E72959FF" TargetMode="External"/><Relationship Id="rId22" Type="http://schemas.openxmlformats.org/officeDocument/2006/relationships/hyperlink" Target="https://acforum.org/web/downloads/ACF%20Gap%20Analysis%20Report.pdf" TargetMode="External"/><Relationship Id="rId27" Type="http://schemas.openxmlformats.org/officeDocument/2006/relationships/hyperlink" Target="https://ihub.scot/media/1068/2017-warfarin-bundle-rational.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ice.org.uk/sharedlearning/utilising-the-skills-of-the-clinical-pharmacist-within-the-mdt-for-improved-medicines-optimisation" TargetMode="External"/><Relationship Id="rId3" Type="http://schemas.openxmlformats.org/officeDocument/2006/relationships/hyperlink" Target="https://acforum.org/web/webinars/10-30-19_slides.pdf" TargetMode="External"/><Relationship Id="rId7" Type="http://schemas.openxmlformats.org/officeDocument/2006/relationships/hyperlink" Target="https://www.ismp.org/sites/default/files/attachments/2017-11/2017_ISMP_Antithrombotic_Self_Assessment.pdf" TargetMode="External"/><Relationship Id="rId2" Type="http://schemas.openxmlformats.org/officeDocument/2006/relationships/hyperlink" Target="https://www.jointcommission.org/-/media/tjc/documents/standards/national-patient-safety-goals/historical/npsg_030501_resources.pdf?db=web&amp;hash=F6DCAA29747C1586309C3557E72959FF&amp;hash=F6DCAA29747C1586309C3557E72959FF" TargetMode="External"/><Relationship Id="rId1" Type="http://schemas.openxmlformats.org/officeDocument/2006/relationships/hyperlink" Target="https://elicit.org/search" TargetMode="External"/><Relationship Id="rId6" Type="http://schemas.openxmlformats.org/officeDocument/2006/relationships/hyperlink" Target="https://acforum.org/web/downloads/AFC_Bibliographys_Evidence.pdf" TargetMode="External"/><Relationship Id="rId5" Type="http://schemas.openxmlformats.org/officeDocument/2006/relationships/hyperlink" Target="https://acforum-excellence.org/" TargetMode="External"/><Relationship Id="rId4" Type="http://schemas.openxmlformats.org/officeDocument/2006/relationships/hyperlink" Target="https://acforum-excellence.org/Resource-Center/resource_files/1392-2019-09-18-110525.pdf" TargetMode="External"/><Relationship Id="rId9" Type="http://schemas.openxmlformats.org/officeDocument/2006/relationships/hyperlink" Target="https://www.nice.org.uk/sharedlearning/improving-the-care-of-patients-discharged-following-a-pulmonary-embolism-in-line-with-nice-guidelines-ng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30f13bc92687d36d5ab6a61f3bb8b0ff">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97bf6b177eb481fbaf016602c9db6c34"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ef9904b-9bca-4a1b-aca3-78dad2044d15">DOCS-1129490080-85961</_dlc_DocId>
    <_dlc_DocIdUrl xmlns="bef9904b-9bca-4a1b-aca3-78dad2044d15">
      <Url>https://hqsc.sharepoint.com/sites/dms-comms/_layouts/15/DocIdRedir.aspx?ID=DOCS-1129490080-85961</Url>
      <Description>DOCS-1129490080-85961</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7A9EC7-4058-4E1B-BEFB-6387DB1413C3}">
  <ds:schemaRefs>
    <ds:schemaRef ds:uri="http://schemas.microsoft.com/sharepoint/events"/>
  </ds:schemaRefs>
</ds:datastoreItem>
</file>

<file path=customXml/itemProps2.xml><?xml version="1.0" encoding="utf-8"?>
<ds:datastoreItem xmlns:ds="http://schemas.openxmlformats.org/officeDocument/2006/customXml" ds:itemID="{024039AC-29FA-419C-A988-F51CBB3E878C}">
  <ds:schemaRefs>
    <ds:schemaRef ds:uri="http://schemas.microsoft.com/sharepoint/v3/contenttype/forms"/>
  </ds:schemaRefs>
</ds:datastoreItem>
</file>

<file path=customXml/itemProps3.xml><?xml version="1.0" encoding="utf-8"?>
<ds:datastoreItem xmlns:ds="http://schemas.openxmlformats.org/officeDocument/2006/customXml" ds:itemID="{D43F315C-9ADA-4449-ACB6-D652DCA26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D3026-335D-49B9-A9B0-A5C67A1D961E}">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bef9904b-9bca-4a1b-aca3-78dad2044d15"/>
    <ds:schemaRef ds:uri="http://purl.org/dc/terms/"/>
    <ds:schemaRef ds:uri="http://purl.org/dc/dcmitype/"/>
    <ds:schemaRef ds:uri="http://schemas.microsoft.com/office/infopath/2007/PartnerControls"/>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26115</Words>
  <Characters>148860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boyd</dc:creator>
  <cp:keywords/>
  <dc:description/>
  <cp:lastModifiedBy>Falyn Cranston</cp:lastModifiedBy>
  <cp:revision>2</cp:revision>
  <dcterms:created xsi:type="dcterms:W3CDTF">2024-02-19T22:01:00Z</dcterms:created>
  <dcterms:modified xsi:type="dcterms:W3CDTF">2024-02-19T22:01:00Z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be07915e-175f-4429-b1df-d2bd2822efbd</vt:lpwstr>
  </property>
</Properties>
</file>