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7B89" w14:textId="6CA7FEEB" w:rsidR="00D12FC1" w:rsidRPr="00A313E6" w:rsidRDefault="00A313E6" w:rsidP="00A313E6">
      <w:pPr>
        <w:jc w:val="center"/>
        <w:rPr>
          <w:rFonts w:cs="Arial"/>
        </w:rPr>
      </w:pPr>
      <w:r>
        <w:rPr>
          <w:noProof/>
          <w:color w:val="2B579A"/>
          <w:shd w:val="clear" w:color="auto" w:fill="E6E6E6"/>
        </w:rPr>
        <w:drawing>
          <wp:anchor distT="0" distB="0" distL="114300" distR="114300" simplePos="0" relativeHeight="251658240" behindDoc="1" locked="0" layoutInCell="1" allowOverlap="1" wp14:anchorId="03EB70FD" wp14:editId="4BA9B3C6">
            <wp:simplePos x="0" y="0"/>
            <wp:positionH relativeFrom="page">
              <wp:align>right</wp:align>
            </wp:positionH>
            <wp:positionV relativeFrom="paragraph">
              <wp:posOffset>-914400</wp:posOffset>
            </wp:positionV>
            <wp:extent cx="7541801" cy="10667999"/>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01" cy="10667999"/>
                    </a:xfrm>
                    <a:prstGeom prst="rect">
                      <a:avLst/>
                    </a:prstGeom>
                  </pic:spPr>
                </pic:pic>
              </a:graphicData>
            </a:graphic>
            <wp14:sizeRelH relativeFrom="page">
              <wp14:pctWidth>0</wp14:pctWidth>
            </wp14:sizeRelH>
            <wp14:sizeRelV relativeFrom="page">
              <wp14:pctHeight>0</wp14:pctHeight>
            </wp14:sizeRelV>
          </wp:anchor>
        </w:drawing>
      </w:r>
    </w:p>
    <w:p w14:paraId="40010705" w14:textId="77777777" w:rsidR="001D0822" w:rsidRPr="004846B0" w:rsidRDefault="001D0822" w:rsidP="001D0822">
      <w:pPr>
        <w:jc w:val="center"/>
        <w:rPr>
          <w:rFonts w:cs="Arial"/>
          <w:color w:val="365F91" w:themeColor="accent1" w:themeShade="BF"/>
          <w:sz w:val="56"/>
          <w:szCs w:val="56"/>
        </w:rPr>
      </w:pPr>
    </w:p>
    <w:p w14:paraId="027712E7" w14:textId="77777777" w:rsidR="00433D6F" w:rsidRDefault="00433D6F" w:rsidP="00D12FC1">
      <w:pPr>
        <w:jc w:val="center"/>
        <w:rPr>
          <w:rFonts w:cs="Arial"/>
          <w:b/>
          <w:sz w:val="36"/>
          <w:szCs w:val="36"/>
        </w:rPr>
      </w:pPr>
    </w:p>
    <w:p w14:paraId="1091DF26" w14:textId="77777777" w:rsidR="00A313E6" w:rsidRPr="00393170" w:rsidRDefault="00A313E6" w:rsidP="00D12FC1">
      <w:pPr>
        <w:jc w:val="center"/>
        <w:rPr>
          <w:rFonts w:cs="Arial"/>
          <w:b/>
          <w:color w:val="FFFFFF" w:themeColor="background1"/>
          <w:sz w:val="36"/>
          <w:szCs w:val="36"/>
        </w:rPr>
      </w:pPr>
    </w:p>
    <w:p w14:paraId="34C9ED81" w14:textId="77777777" w:rsidR="00A313E6" w:rsidRPr="00393170" w:rsidRDefault="00A313E6" w:rsidP="00D12FC1">
      <w:pPr>
        <w:jc w:val="center"/>
        <w:rPr>
          <w:rFonts w:cs="Arial"/>
          <w:b/>
          <w:color w:val="FFFFFF" w:themeColor="background1"/>
          <w:sz w:val="36"/>
          <w:szCs w:val="36"/>
        </w:rPr>
      </w:pPr>
    </w:p>
    <w:p w14:paraId="4F9C0DAE" w14:textId="77777777" w:rsidR="00653148" w:rsidRDefault="00653148" w:rsidP="00393170">
      <w:pPr>
        <w:tabs>
          <w:tab w:val="left" w:pos="142"/>
        </w:tabs>
        <w:ind w:right="95"/>
        <w:jc w:val="center"/>
        <w:rPr>
          <w:rFonts w:cs="Arial"/>
          <w:b/>
          <w:color w:val="FFFFFF" w:themeColor="background1"/>
          <w:sz w:val="44"/>
          <w:szCs w:val="44"/>
        </w:rPr>
      </w:pPr>
    </w:p>
    <w:p w14:paraId="61C23F3F" w14:textId="5F38765B" w:rsidR="00AC1097" w:rsidRDefault="00A04964" w:rsidP="00A04964">
      <w:pPr>
        <w:tabs>
          <w:tab w:val="left" w:pos="142"/>
        </w:tabs>
        <w:ind w:left="142" w:right="95" w:hanging="142"/>
        <w:jc w:val="center"/>
        <w:rPr>
          <w:rFonts w:cs="Arial"/>
          <w:b/>
          <w:color w:val="FFFFFF" w:themeColor="background1"/>
          <w:sz w:val="44"/>
          <w:szCs w:val="44"/>
        </w:rPr>
      </w:pPr>
      <w:r>
        <w:rPr>
          <w:rFonts w:cs="Arial"/>
          <w:b/>
          <w:color w:val="FFFFFF" w:themeColor="background1"/>
          <w:sz w:val="44"/>
          <w:szCs w:val="44"/>
        </w:rPr>
        <w:t xml:space="preserve">The </w:t>
      </w:r>
      <w:r w:rsidR="00425F8A">
        <w:rPr>
          <w:rFonts w:cs="Arial"/>
          <w:b/>
          <w:color w:val="FFFFFF" w:themeColor="background1"/>
          <w:sz w:val="44"/>
          <w:szCs w:val="44"/>
        </w:rPr>
        <w:t>s</w:t>
      </w:r>
      <w:r>
        <w:rPr>
          <w:rFonts w:cs="Arial"/>
          <w:b/>
          <w:color w:val="FFFFFF" w:themeColor="background1"/>
          <w:sz w:val="44"/>
          <w:szCs w:val="44"/>
        </w:rPr>
        <w:t xml:space="preserve">afer </w:t>
      </w:r>
      <w:r w:rsidR="00425F8A">
        <w:rPr>
          <w:rFonts w:cs="Arial"/>
          <w:b/>
          <w:color w:val="FFFFFF" w:themeColor="background1"/>
          <w:sz w:val="44"/>
          <w:szCs w:val="44"/>
        </w:rPr>
        <w:t>u</w:t>
      </w:r>
      <w:r>
        <w:rPr>
          <w:rFonts w:cs="Arial"/>
          <w:b/>
          <w:color w:val="FFFFFF" w:themeColor="background1"/>
          <w:sz w:val="44"/>
          <w:szCs w:val="44"/>
        </w:rPr>
        <w:t xml:space="preserve">se of </w:t>
      </w:r>
      <w:r w:rsidR="00425F8A">
        <w:rPr>
          <w:rFonts w:cs="Arial"/>
          <w:b/>
          <w:color w:val="FFFFFF" w:themeColor="background1"/>
          <w:sz w:val="44"/>
          <w:szCs w:val="44"/>
        </w:rPr>
        <w:t>a</w:t>
      </w:r>
      <w:r>
        <w:rPr>
          <w:rFonts w:cs="Arial"/>
          <w:b/>
          <w:color w:val="FFFFFF" w:themeColor="background1"/>
          <w:sz w:val="44"/>
          <w:szCs w:val="44"/>
        </w:rPr>
        <w:t>nticoagulants</w:t>
      </w:r>
      <w:r w:rsidR="00826943">
        <w:rPr>
          <w:rFonts w:cs="Arial"/>
          <w:b/>
          <w:color w:val="FFFFFF" w:themeColor="background1"/>
          <w:sz w:val="44"/>
          <w:szCs w:val="44"/>
        </w:rPr>
        <w:t xml:space="preserve"> |</w:t>
      </w:r>
      <w:r>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Te</w:t>
      </w:r>
      <w:proofErr w:type="spellEnd"/>
      <w:r w:rsidR="007D5CDB" w:rsidRPr="007D5CDB">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hōtaka</w:t>
      </w:r>
      <w:proofErr w:type="spellEnd"/>
      <w:r w:rsidR="007D5CDB" w:rsidRPr="007D5CDB">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whakahaere</w:t>
      </w:r>
      <w:proofErr w:type="spellEnd"/>
      <w:r w:rsidR="007D5CDB" w:rsidRPr="007D5CDB">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rongoā</w:t>
      </w:r>
      <w:proofErr w:type="spellEnd"/>
      <w:r w:rsidR="007D5CDB" w:rsidRPr="007D5CDB">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ārai</w:t>
      </w:r>
      <w:proofErr w:type="spellEnd"/>
      <w:r w:rsidR="007D5CDB" w:rsidRPr="007D5CDB">
        <w:rPr>
          <w:rFonts w:cs="Arial"/>
          <w:b/>
          <w:color w:val="FFFFFF" w:themeColor="background1"/>
          <w:sz w:val="44"/>
          <w:szCs w:val="44"/>
        </w:rPr>
        <w:t xml:space="preserve"> </w:t>
      </w:r>
      <w:proofErr w:type="spellStart"/>
      <w:r w:rsidR="007D5CDB" w:rsidRPr="007D5CDB">
        <w:rPr>
          <w:rFonts w:cs="Arial"/>
          <w:b/>
          <w:color w:val="FFFFFF" w:themeColor="background1"/>
          <w:sz w:val="44"/>
          <w:szCs w:val="44"/>
        </w:rPr>
        <w:t>poketoto</w:t>
      </w:r>
      <w:proofErr w:type="spellEnd"/>
    </w:p>
    <w:p w14:paraId="6F57A6CE" w14:textId="77777777" w:rsidR="00AC1097" w:rsidRDefault="00AC1097" w:rsidP="00A04964">
      <w:pPr>
        <w:tabs>
          <w:tab w:val="left" w:pos="142"/>
        </w:tabs>
        <w:ind w:left="142" w:right="95" w:hanging="142"/>
        <w:jc w:val="center"/>
        <w:rPr>
          <w:rFonts w:cs="Arial"/>
          <w:b/>
          <w:color w:val="FFFFFF" w:themeColor="background1"/>
          <w:sz w:val="44"/>
          <w:szCs w:val="44"/>
        </w:rPr>
      </w:pPr>
    </w:p>
    <w:p w14:paraId="2D1CD15B" w14:textId="7F493C26" w:rsidR="00D12FC1" w:rsidRPr="00393170" w:rsidRDefault="00C274E6" w:rsidP="00A04964">
      <w:pPr>
        <w:tabs>
          <w:tab w:val="left" w:pos="142"/>
        </w:tabs>
        <w:ind w:left="142" w:right="95" w:hanging="142"/>
        <w:jc w:val="center"/>
        <w:rPr>
          <w:rFonts w:cs="Arial"/>
          <w:b/>
          <w:color w:val="FFFFFF" w:themeColor="background1"/>
          <w:sz w:val="44"/>
          <w:szCs w:val="44"/>
        </w:rPr>
      </w:pPr>
      <w:r>
        <w:rPr>
          <w:rFonts w:cs="Arial"/>
          <w:b/>
          <w:color w:val="FFFFFF" w:themeColor="background1"/>
          <w:sz w:val="44"/>
          <w:szCs w:val="44"/>
        </w:rPr>
        <w:t>Case for change</w:t>
      </w:r>
      <w:r w:rsidR="00E23F48">
        <w:rPr>
          <w:rFonts w:cs="Arial"/>
          <w:b/>
          <w:color w:val="FFFFFF" w:themeColor="background1"/>
          <w:sz w:val="44"/>
          <w:szCs w:val="44"/>
        </w:rPr>
        <w:t xml:space="preserve"> </w:t>
      </w:r>
    </w:p>
    <w:p w14:paraId="24D7462B" w14:textId="77777777" w:rsidR="009B60E1" w:rsidRPr="00393170" w:rsidRDefault="009B60E1" w:rsidP="00393170">
      <w:pPr>
        <w:jc w:val="center"/>
        <w:rPr>
          <w:rFonts w:cs="Arial"/>
          <w:b/>
          <w:color w:val="FFFFFF" w:themeColor="background1"/>
          <w:sz w:val="36"/>
          <w:szCs w:val="36"/>
        </w:rPr>
      </w:pPr>
    </w:p>
    <w:p w14:paraId="71ABA095" w14:textId="44F909BE" w:rsidR="002E1666" w:rsidRPr="00393170" w:rsidRDefault="00963688" w:rsidP="00393170">
      <w:pPr>
        <w:jc w:val="center"/>
        <w:rPr>
          <w:rFonts w:cs="Arial"/>
          <w:bCs/>
          <w:color w:val="FFFFFF" w:themeColor="background1"/>
          <w:sz w:val="28"/>
          <w:szCs w:val="28"/>
        </w:rPr>
      </w:pPr>
      <w:r>
        <w:rPr>
          <w:rFonts w:cs="Arial"/>
          <w:bCs/>
          <w:color w:val="FFFFFF" w:themeColor="background1"/>
          <w:sz w:val="28"/>
          <w:szCs w:val="28"/>
        </w:rPr>
        <w:t>Dec</w:t>
      </w:r>
      <w:r w:rsidR="00F72899">
        <w:rPr>
          <w:rFonts w:cs="Arial"/>
          <w:bCs/>
          <w:color w:val="FFFFFF" w:themeColor="background1"/>
          <w:sz w:val="28"/>
          <w:szCs w:val="28"/>
        </w:rPr>
        <w:t xml:space="preserve">ember </w:t>
      </w:r>
      <w:r w:rsidR="00B9275E">
        <w:rPr>
          <w:rFonts w:cs="Arial"/>
          <w:bCs/>
          <w:color w:val="FFFFFF" w:themeColor="background1"/>
          <w:sz w:val="28"/>
          <w:szCs w:val="28"/>
        </w:rPr>
        <w:t>2023</w:t>
      </w:r>
    </w:p>
    <w:p w14:paraId="603C6079" w14:textId="12EC9862" w:rsidR="002E1666" w:rsidRPr="00393170" w:rsidRDefault="002E1666">
      <w:pPr>
        <w:rPr>
          <w:rFonts w:cs="Arial"/>
          <w:color w:val="FFFFFF" w:themeColor="background1"/>
          <w:sz w:val="56"/>
          <w:szCs w:val="56"/>
        </w:rPr>
      </w:pPr>
      <w:r w:rsidRPr="00393170">
        <w:rPr>
          <w:rFonts w:cs="Arial"/>
          <w:color w:val="FFFFFF" w:themeColor="background1"/>
          <w:sz w:val="56"/>
          <w:szCs w:val="56"/>
        </w:rPr>
        <w:br w:type="page"/>
      </w:r>
    </w:p>
    <w:p w14:paraId="77E18FC9" w14:textId="3B7E765A" w:rsidR="001E74AD" w:rsidRPr="001E74AD" w:rsidRDefault="001E74AD" w:rsidP="001E74AD">
      <w:pPr>
        <w:pStyle w:val="TTHnotincluded"/>
        <w:rPr>
          <w:rStyle w:val="Hyperlink"/>
          <w:color w:val="293868"/>
          <w:u w:val="none"/>
        </w:rPr>
      </w:pPr>
      <w:r w:rsidRPr="001E74AD">
        <w:rPr>
          <w:rStyle w:val="Hyperlink"/>
          <w:color w:val="293868"/>
          <w:u w:val="none"/>
        </w:rPr>
        <w:lastRenderedPageBreak/>
        <w:t>Contents</w:t>
      </w:r>
    </w:p>
    <w:p w14:paraId="13388118" w14:textId="73A1D743" w:rsidR="002B2948" w:rsidRDefault="00BA41A9">
      <w:pPr>
        <w:pStyle w:val="TOC1"/>
        <w:rPr>
          <w:rFonts w:asciiTheme="minorHAnsi" w:eastAsiaTheme="minorEastAsia" w:hAnsiTheme="minorHAnsi"/>
          <w:noProof/>
          <w:kern w:val="2"/>
          <w:lang w:eastAsia="en-NZ"/>
          <w14:ligatures w14:val="standardContextual"/>
        </w:rPr>
      </w:pPr>
      <w:r>
        <w:rPr>
          <w:rStyle w:val="Hyperlink"/>
          <w:color w:val="auto"/>
          <w:u w:val="none"/>
        </w:rPr>
        <w:fldChar w:fldCharType="begin"/>
      </w:r>
      <w:r>
        <w:rPr>
          <w:rStyle w:val="Hyperlink"/>
          <w:color w:val="auto"/>
          <w:u w:val="none"/>
        </w:rPr>
        <w:instrText xml:space="preserve"> TOC \h \z \t "Te Tāhū Hauora head 1,1,Te Tāhū Hauora head 2,2" </w:instrText>
      </w:r>
      <w:r>
        <w:rPr>
          <w:rStyle w:val="Hyperlink"/>
          <w:color w:val="auto"/>
          <w:u w:val="none"/>
        </w:rPr>
        <w:fldChar w:fldCharType="separate"/>
      </w:r>
      <w:hyperlink w:anchor="_Toc153953935" w:history="1">
        <w:r w:rsidR="002B2948" w:rsidRPr="000C5D3B">
          <w:rPr>
            <w:rStyle w:val="Hyperlink"/>
            <w:noProof/>
          </w:rPr>
          <w:t>Acknowledgements</w:t>
        </w:r>
        <w:r w:rsidR="002B2948">
          <w:rPr>
            <w:noProof/>
            <w:webHidden/>
          </w:rPr>
          <w:tab/>
        </w:r>
        <w:r w:rsidR="002B2948">
          <w:rPr>
            <w:noProof/>
            <w:webHidden/>
          </w:rPr>
          <w:fldChar w:fldCharType="begin"/>
        </w:r>
        <w:r w:rsidR="002B2948">
          <w:rPr>
            <w:noProof/>
            <w:webHidden/>
          </w:rPr>
          <w:instrText xml:space="preserve"> PAGEREF _Toc153953935 \h </w:instrText>
        </w:r>
        <w:r w:rsidR="002B2948">
          <w:rPr>
            <w:noProof/>
            <w:webHidden/>
          </w:rPr>
        </w:r>
        <w:r w:rsidR="002B2948">
          <w:rPr>
            <w:noProof/>
            <w:webHidden/>
          </w:rPr>
          <w:fldChar w:fldCharType="separate"/>
        </w:r>
        <w:r w:rsidR="00236DDC">
          <w:rPr>
            <w:noProof/>
            <w:webHidden/>
          </w:rPr>
          <w:t>2</w:t>
        </w:r>
        <w:r w:rsidR="002B2948">
          <w:rPr>
            <w:noProof/>
            <w:webHidden/>
          </w:rPr>
          <w:fldChar w:fldCharType="end"/>
        </w:r>
      </w:hyperlink>
    </w:p>
    <w:p w14:paraId="79BD3601" w14:textId="57B85636" w:rsidR="002B2948" w:rsidRDefault="00DC4C3D">
      <w:pPr>
        <w:pStyle w:val="TOC1"/>
        <w:rPr>
          <w:rFonts w:asciiTheme="minorHAnsi" w:eastAsiaTheme="minorEastAsia" w:hAnsiTheme="minorHAnsi"/>
          <w:noProof/>
          <w:kern w:val="2"/>
          <w:lang w:eastAsia="en-NZ"/>
          <w14:ligatures w14:val="standardContextual"/>
        </w:rPr>
      </w:pPr>
      <w:hyperlink w:anchor="_Toc153953936" w:history="1">
        <w:r w:rsidR="002B2948" w:rsidRPr="000C5D3B">
          <w:rPr>
            <w:rStyle w:val="Hyperlink"/>
            <w:noProof/>
          </w:rPr>
          <w:t>Purpose</w:t>
        </w:r>
        <w:r w:rsidR="002B2948">
          <w:rPr>
            <w:noProof/>
            <w:webHidden/>
          </w:rPr>
          <w:tab/>
        </w:r>
        <w:r w:rsidR="002B2948">
          <w:rPr>
            <w:noProof/>
            <w:webHidden/>
          </w:rPr>
          <w:fldChar w:fldCharType="begin"/>
        </w:r>
        <w:r w:rsidR="002B2948">
          <w:rPr>
            <w:noProof/>
            <w:webHidden/>
          </w:rPr>
          <w:instrText xml:space="preserve"> PAGEREF _Toc153953936 \h </w:instrText>
        </w:r>
        <w:r w:rsidR="002B2948">
          <w:rPr>
            <w:noProof/>
            <w:webHidden/>
          </w:rPr>
        </w:r>
        <w:r w:rsidR="002B2948">
          <w:rPr>
            <w:noProof/>
            <w:webHidden/>
          </w:rPr>
          <w:fldChar w:fldCharType="separate"/>
        </w:r>
        <w:r w:rsidR="00236DDC">
          <w:rPr>
            <w:noProof/>
            <w:webHidden/>
          </w:rPr>
          <w:t>3</w:t>
        </w:r>
        <w:r w:rsidR="002B2948">
          <w:rPr>
            <w:noProof/>
            <w:webHidden/>
          </w:rPr>
          <w:fldChar w:fldCharType="end"/>
        </w:r>
      </w:hyperlink>
    </w:p>
    <w:p w14:paraId="6ACDBEB8" w14:textId="2E017574" w:rsidR="002B2948" w:rsidRDefault="00DC4C3D">
      <w:pPr>
        <w:pStyle w:val="TOC1"/>
        <w:rPr>
          <w:rFonts w:asciiTheme="minorHAnsi" w:eastAsiaTheme="minorEastAsia" w:hAnsiTheme="minorHAnsi"/>
          <w:noProof/>
          <w:kern w:val="2"/>
          <w:lang w:eastAsia="en-NZ"/>
          <w14:ligatures w14:val="standardContextual"/>
        </w:rPr>
      </w:pPr>
      <w:hyperlink w:anchor="_Toc153953937" w:history="1">
        <w:r w:rsidR="002B2948" w:rsidRPr="000C5D3B">
          <w:rPr>
            <w:rStyle w:val="Hyperlink"/>
            <w:noProof/>
          </w:rPr>
          <w:t>Background</w:t>
        </w:r>
        <w:r w:rsidR="002B2948">
          <w:rPr>
            <w:noProof/>
            <w:webHidden/>
          </w:rPr>
          <w:tab/>
        </w:r>
        <w:r w:rsidR="002B2948">
          <w:rPr>
            <w:noProof/>
            <w:webHidden/>
          </w:rPr>
          <w:fldChar w:fldCharType="begin"/>
        </w:r>
        <w:r w:rsidR="002B2948">
          <w:rPr>
            <w:noProof/>
            <w:webHidden/>
          </w:rPr>
          <w:instrText xml:space="preserve"> PAGEREF _Toc153953937 \h </w:instrText>
        </w:r>
        <w:r w:rsidR="002B2948">
          <w:rPr>
            <w:noProof/>
            <w:webHidden/>
          </w:rPr>
        </w:r>
        <w:r w:rsidR="002B2948">
          <w:rPr>
            <w:noProof/>
            <w:webHidden/>
          </w:rPr>
          <w:fldChar w:fldCharType="separate"/>
        </w:r>
        <w:r w:rsidR="00236DDC">
          <w:rPr>
            <w:noProof/>
            <w:webHidden/>
          </w:rPr>
          <w:t>3</w:t>
        </w:r>
        <w:r w:rsidR="002B2948">
          <w:rPr>
            <w:noProof/>
            <w:webHidden/>
          </w:rPr>
          <w:fldChar w:fldCharType="end"/>
        </w:r>
      </w:hyperlink>
    </w:p>
    <w:p w14:paraId="721A8A82" w14:textId="6EAC83E8" w:rsidR="002B2948" w:rsidRDefault="00DC4C3D">
      <w:pPr>
        <w:pStyle w:val="TOC1"/>
        <w:rPr>
          <w:rFonts w:asciiTheme="minorHAnsi" w:eastAsiaTheme="minorEastAsia" w:hAnsiTheme="minorHAnsi"/>
          <w:noProof/>
          <w:kern w:val="2"/>
          <w:lang w:eastAsia="en-NZ"/>
          <w14:ligatures w14:val="standardContextual"/>
        </w:rPr>
      </w:pPr>
      <w:hyperlink w:anchor="_Toc153953938" w:history="1">
        <w:r w:rsidR="002B2948" w:rsidRPr="000C5D3B">
          <w:rPr>
            <w:rStyle w:val="Hyperlink"/>
            <w:noProof/>
          </w:rPr>
          <w:t>Problem analysis</w:t>
        </w:r>
        <w:r w:rsidR="002B2948">
          <w:rPr>
            <w:noProof/>
            <w:webHidden/>
          </w:rPr>
          <w:tab/>
        </w:r>
        <w:r w:rsidR="002B2948">
          <w:rPr>
            <w:noProof/>
            <w:webHidden/>
          </w:rPr>
          <w:fldChar w:fldCharType="begin"/>
        </w:r>
        <w:r w:rsidR="002B2948">
          <w:rPr>
            <w:noProof/>
            <w:webHidden/>
          </w:rPr>
          <w:instrText xml:space="preserve"> PAGEREF _Toc153953938 \h </w:instrText>
        </w:r>
        <w:r w:rsidR="002B2948">
          <w:rPr>
            <w:noProof/>
            <w:webHidden/>
          </w:rPr>
        </w:r>
        <w:r w:rsidR="002B2948">
          <w:rPr>
            <w:noProof/>
            <w:webHidden/>
          </w:rPr>
          <w:fldChar w:fldCharType="separate"/>
        </w:r>
        <w:r w:rsidR="00236DDC">
          <w:rPr>
            <w:noProof/>
            <w:webHidden/>
          </w:rPr>
          <w:t>3</w:t>
        </w:r>
        <w:r w:rsidR="002B2948">
          <w:rPr>
            <w:noProof/>
            <w:webHidden/>
          </w:rPr>
          <w:fldChar w:fldCharType="end"/>
        </w:r>
      </w:hyperlink>
    </w:p>
    <w:p w14:paraId="7F408C31" w14:textId="0EE71663" w:rsidR="002B2948" w:rsidRDefault="00DC4C3D">
      <w:pPr>
        <w:pStyle w:val="TOC1"/>
        <w:rPr>
          <w:rFonts w:asciiTheme="minorHAnsi" w:eastAsiaTheme="minorEastAsia" w:hAnsiTheme="minorHAnsi"/>
          <w:noProof/>
          <w:kern w:val="2"/>
          <w:lang w:eastAsia="en-NZ"/>
          <w14:ligatures w14:val="standardContextual"/>
        </w:rPr>
      </w:pPr>
      <w:hyperlink w:anchor="_Toc153953939" w:history="1">
        <w:r w:rsidR="002B2948" w:rsidRPr="000C5D3B">
          <w:rPr>
            <w:rStyle w:val="Hyperlink"/>
            <w:noProof/>
          </w:rPr>
          <w:t>Project start up</w:t>
        </w:r>
        <w:r w:rsidR="002B2948">
          <w:rPr>
            <w:noProof/>
            <w:webHidden/>
          </w:rPr>
          <w:tab/>
        </w:r>
        <w:r w:rsidR="002B2948">
          <w:rPr>
            <w:noProof/>
            <w:webHidden/>
          </w:rPr>
          <w:fldChar w:fldCharType="begin"/>
        </w:r>
        <w:r w:rsidR="002B2948">
          <w:rPr>
            <w:noProof/>
            <w:webHidden/>
          </w:rPr>
          <w:instrText xml:space="preserve"> PAGEREF _Toc153953939 \h </w:instrText>
        </w:r>
        <w:r w:rsidR="002B2948">
          <w:rPr>
            <w:noProof/>
            <w:webHidden/>
          </w:rPr>
        </w:r>
        <w:r w:rsidR="002B2948">
          <w:rPr>
            <w:noProof/>
            <w:webHidden/>
          </w:rPr>
          <w:fldChar w:fldCharType="separate"/>
        </w:r>
        <w:r w:rsidR="00236DDC">
          <w:rPr>
            <w:noProof/>
            <w:webHidden/>
          </w:rPr>
          <w:t>4</w:t>
        </w:r>
        <w:r w:rsidR="002B2948">
          <w:rPr>
            <w:noProof/>
            <w:webHidden/>
          </w:rPr>
          <w:fldChar w:fldCharType="end"/>
        </w:r>
      </w:hyperlink>
    </w:p>
    <w:p w14:paraId="6A4F3473" w14:textId="44873BB0" w:rsidR="002B2948" w:rsidRDefault="00DC4C3D">
      <w:pPr>
        <w:pStyle w:val="TOC2"/>
        <w:rPr>
          <w:rFonts w:asciiTheme="minorHAnsi" w:eastAsiaTheme="minorEastAsia" w:hAnsiTheme="minorHAnsi"/>
          <w:noProof/>
          <w:kern w:val="2"/>
          <w:lang w:eastAsia="en-NZ"/>
          <w14:ligatures w14:val="standardContextual"/>
        </w:rPr>
      </w:pPr>
      <w:hyperlink w:anchor="_Toc153953940" w:history="1">
        <w:r w:rsidR="002B2948" w:rsidRPr="000C5D3B">
          <w:rPr>
            <w:rStyle w:val="Hyperlink"/>
            <w:noProof/>
          </w:rPr>
          <w:t>Benefits</w:t>
        </w:r>
        <w:r w:rsidR="002B2948">
          <w:rPr>
            <w:noProof/>
            <w:webHidden/>
          </w:rPr>
          <w:tab/>
        </w:r>
        <w:r w:rsidR="002B2948">
          <w:rPr>
            <w:noProof/>
            <w:webHidden/>
          </w:rPr>
          <w:fldChar w:fldCharType="begin"/>
        </w:r>
        <w:r w:rsidR="002B2948">
          <w:rPr>
            <w:noProof/>
            <w:webHidden/>
          </w:rPr>
          <w:instrText xml:space="preserve"> PAGEREF _Toc153953940 \h </w:instrText>
        </w:r>
        <w:r w:rsidR="002B2948">
          <w:rPr>
            <w:noProof/>
            <w:webHidden/>
          </w:rPr>
        </w:r>
        <w:r w:rsidR="002B2948">
          <w:rPr>
            <w:noProof/>
            <w:webHidden/>
          </w:rPr>
          <w:fldChar w:fldCharType="separate"/>
        </w:r>
        <w:r w:rsidR="00236DDC">
          <w:rPr>
            <w:noProof/>
            <w:webHidden/>
          </w:rPr>
          <w:t>6</w:t>
        </w:r>
        <w:r w:rsidR="002B2948">
          <w:rPr>
            <w:noProof/>
            <w:webHidden/>
          </w:rPr>
          <w:fldChar w:fldCharType="end"/>
        </w:r>
      </w:hyperlink>
    </w:p>
    <w:p w14:paraId="7B9C1B55" w14:textId="72B401F3" w:rsidR="002B2948" w:rsidRDefault="00DC4C3D">
      <w:pPr>
        <w:pStyle w:val="TOC2"/>
        <w:rPr>
          <w:rFonts w:asciiTheme="minorHAnsi" w:eastAsiaTheme="minorEastAsia" w:hAnsiTheme="minorHAnsi"/>
          <w:noProof/>
          <w:kern w:val="2"/>
          <w:lang w:eastAsia="en-NZ"/>
          <w14:ligatures w14:val="standardContextual"/>
        </w:rPr>
      </w:pPr>
      <w:hyperlink w:anchor="_Toc153953941" w:history="1">
        <w:r w:rsidR="002B2948" w:rsidRPr="000C5D3B">
          <w:rPr>
            <w:rStyle w:val="Hyperlink"/>
            <w:noProof/>
          </w:rPr>
          <w:t>Next steps</w:t>
        </w:r>
        <w:r w:rsidR="002B2948">
          <w:rPr>
            <w:noProof/>
            <w:webHidden/>
          </w:rPr>
          <w:tab/>
        </w:r>
        <w:r w:rsidR="002B2948">
          <w:rPr>
            <w:noProof/>
            <w:webHidden/>
          </w:rPr>
          <w:fldChar w:fldCharType="begin"/>
        </w:r>
        <w:r w:rsidR="002B2948">
          <w:rPr>
            <w:noProof/>
            <w:webHidden/>
          </w:rPr>
          <w:instrText xml:space="preserve"> PAGEREF _Toc153953941 \h </w:instrText>
        </w:r>
        <w:r w:rsidR="002B2948">
          <w:rPr>
            <w:noProof/>
            <w:webHidden/>
          </w:rPr>
        </w:r>
        <w:r w:rsidR="002B2948">
          <w:rPr>
            <w:noProof/>
            <w:webHidden/>
          </w:rPr>
          <w:fldChar w:fldCharType="separate"/>
        </w:r>
        <w:r w:rsidR="00236DDC">
          <w:rPr>
            <w:noProof/>
            <w:webHidden/>
          </w:rPr>
          <w:t>7</w:t>
        </w:r>
        <w:r w:rsidR="002B2948">
          <w:rPr>
            <w:noProof/>
            <w:webHidden/>
          </w:rPr>
          <w:fldChar w:fldCharType="end"/>
        </w:r>
      </w:hyperlink>
    </w:p>
    <w:p w14:paraId="2ED179E0" w14:textId="0090BD18" w:rsidR="002B2948" w:rsidRDefault="00DC4C3D">
      <w:pPr>
        <w:pStyle w:val="TOC1"/>
        <w:rPr>
          <w:rFonts w:asciiTheme="minorHAnsi" w:eastAsiaTheme="minorEastAsia" w:hAnsiTheme="minorHAnsi"/>
          <w:noProof/>
          <w:kern w:val="2"/>
          <w:lang w:eastAsia="en-NZ"/>
          <w14:ligatures w14:val="standardContextual"/>
        </w:rPr>
      </w:pPr>
      <w:hyperlink w:anchor="_Toc153953942" w:history="1">
        <w:r w:rsidR="002B2948" w:rsidRPr="000C5D3B">
          <w:rPr>
            <w:rStyle w:val="Hyperlink"/>
            <w:noProof/>
          </w:rPr>
          <w:t>Project timeline</w:t>
        </w:r>
        <w:r w:rsidR="002B2948">
          <w:rPr>
            <w:noProof/>
            <w:webHidden/>
          </w:rPr>
          <w:tab/>
        </w:r>
        <w:r w:rsidR="002B2948">
          <w:rPr>
            <w:noProof/>
            <w:webHidden/>
          </w:rPr>
          <w:fldChar w:fldCharType="begin"/>
        </w:r>
        <w:r w:rsidR="002B2948">
          <w:rPr>
            <w:noProof/>
            <w:webHidden/>
          </w:rPr>
          <w:instrText xml:space="preserve"> PAGEREF _Toc153953942 \h </w:instrText>
        </w:r>
        <w:r w:rsidR="002B2948">
          <w:rPr>
            <w:noProof/>
            <w:webHidden/>
          </w:rPr>
        </w:r>
        <w:r w:rsidR="002B2948">
          <w:rPr>
            <w:noProof/>
            <w:webHidden/>
          </w:rPr>
          <w:fldChar w:fldCharType="separate"/>
        </w:r>
        <w:r w:rsidR="00236DDC">
          <w:rPr>
            <w:noProof/>
            <w:webHidden/>
          </w:rPr>
          <w:t>7</w:t>
        </w:r>
        <w:r w:rsidR="002B2948">
          <w:rPr>
            <w:noProof/>
            <w:webHidden/>
          </w:rPr>
          <w:fldChar w:fldCharType="end"/>
        </w:r>
      </w:hyperlink>
    </w:p>
    <w:p w14:paraId="3622FC2E" w14:textId="2DE234E7" w:rsidR="001E74AD" w:rsidRPr="009857BB" w:rsidRDefault="00DC4C3D" w:rsidP="005C2D28">
      <w:pPr>
        <w:pStyle w:val="TOC1"/>
        <w:rPr>
          <w:rStyle w:val="Hyperlink"/>
          <w:color w:val="auto"/>
          <w:u w:val="none"/>
        </w:rPr>
      </w:pPr>
      <w:hyperlink w:anchor="_Toc153953943" w:history="1">
        <w:r w:rsidR="002B2948" w:rsidRPr="000C5D3B">
          <w:rPr>
            <w:rStyle w:val="Hyperlink"/>
            <w:noProof/>
          </w:rPr>
          <w:t>References</w:t>
        </w:r>
        <w:r w:rsidR="002B2948">
          <w:rPr>
            <w:noProof/>
            <w:webHidden/>
          </w:rPr>
          <w:tab/>
        </w:r>
        <w:r w:rsidR="002B2948">
          <w:rPr>
            <w:noProof/>
            <w:webHidden/>
          </w:rPr>
          <w:fldChar w:fldCharType="begin"/>
        </w:r>
        <w:r w:rsidR="002B2948">
          <w:rPr>
            <w:noProof/>
            <w:webHidden/>
          </w:rPr>
          <w:instrText xml:space="preserve"> PAGEREF _Toc153953943 \h </w:instrText>
        </w:r>
        <w:r w:rsidR="002B2948">
          <w:rPr>
            <w:noProof/>
            <w:webHidden/>
          </w:rPr>
        </w:r>
        <w:r w:rsidR="002B2948">
          <w:rPr>
            <w:noProof/>
            <w:webHidden/>
          </w:rPr>
          <w:fldChar w:fldCharType="separate"/>
        </w:r>
        <w:r w:rsidR="00236DDC">
          <w:rPr>
            <w:noProof/>
            <w:webHidden/>
          </w:rPr>
          <w:t>8</w:t>
        </w:r>
        <w:r w:rsidR="002B2948">
          <w:rPr>
            <w:noProof/>
            <w:webHidden/>
          </w:rPr>
          <w:fldChar w:fldCharType="end"/>
        </w:r>
      </w:hyperlink>
      <w:r w:rsidR="00BA41A9">
        <w:rPr>
          <w:rStyle w:val="Hyperlink"/>
          <w:color w:val="auto"/>
          <w:u w:val="none"/>
        </w:rPr>
        <w:fldChar w:fldCharType="end"/>
      </w:r>
    </w:p>
    <w:p w14:paraId="692B6C3F" w14:textId="1806C787" w:rsidR="009E3A57" w:rsidRDefault="009E3A57" w:rsidP="00BA41A9">
      <w:pPr>
        <w:pStyle w:val="TeThHauorahead1"/>
      </w:pPr>
      <w:bookmarkStart w:id="0" w:name="_Toc143599763"/>
      <w:bookmarkStart w:id="1" w:name="_Toc153953935"/>
      <w:r>
        <w:t>Acknowledgements</w:t>
      </w:r>
      <w:bookmarkEnd w:id="0"/>
      <w:bookmarkEnd w:id="1"/>
    </w:p>
    <w:p w14:paraId="5467AC28" w14:textId="5BB13FF5" w:rsidR="00F966CF" w:rsidRDefault="00DD4F35" w:rsidP="000E78DD">
      <w:pPr>
        <w:pStyle w:val="TeThHauorabodytext"/>
        <w:rPr>
          <w:rFonts w:ascii="Helvetica" w:hAnsi="Helvetica" w:cs="Helvetica"/>
          <w:color w:val="333333"/>
          <w:shd w:val="clear" w:color="auto" w:fill="FFFFFF"/>
        </w:rPr>
      </w:pPr>
      <w:proofErr w:type="spellStart"/>
      <w:r>
        <w:t>Te</w:t>
      </w:r>
      <w:proofErr w:type="spellEnd"/>
      <w:r>
        <w:t xml:space="preserve"> </w:t>
      </w:r>
      <w:proofErr w:type="spellStart"/>
      <w:r>
        <w:t>Tāhū</w:t>
      </w:r>
      <w:proofErr w:type="spellEnd"/>
      <w:r>
        <w:t xml:space="preserve"> Hauora Health Quality &amp; Safety Commission (</w:t>
      </w:r>
      <w:bookmarkStart w:id="2" w:name="_Hlk149548934"/>
      <w:proofErr w:type="spellStart"/>
      <w:r>
        <w:t>Te</w:t>
      </w:r>
      <w:proofErr w:type="spellEnd"/>
      <w:r>
        <w:t xml:space="preserve"> </w:t>
      </w:r>
      <w:proofErr w:type="spellStart"/>
      <w:r>
        <w:t>Tāhū</w:t>
      </w:r>
      <w:proofErr w:type="spellEnd"/>
      <w:r>
        <w:t xml:space="preserve"> Hauora</w:t>
      </w:r>
      <w:bookmarkEnd w:id="2"/>
      <w:r>
        <w:t xml:space="preserve">) </w:t>
      </w:r>
      <w:r w:rsidR="0043196E">
        <w:t xml:space="preserve">thanks </w:t>
      </w:r>
      <w:r w:rsidR="004F199B">
        <w:t xml:space="preserve">the </w:t>
      </w:r>
      <w:r w:rsidR="00F966CF">
        <w:t xml:space="preserve">consumers on the project for sharing their lived experience </w:t>
      </w:r>
      <w:r w:rsidR="00826943">
        <w:t>with</w:t>
      </w:r>
      <w:r w:rsidR="00F966CF">
        <w:t xml:space="preserve"> the use of anticoagulants</w:t>
      </w:r>
      <w:r w:rsidR="00386E6D">
        <w:t>.</w:t>
      </w:r>
      <w:r w:rsidR="00F966CF">
        <w:t xml:space="preserve"> </w:t>
      </w:r>
      <w:r w:rsidR="00DF4770">
        <w:rPr>
          <w:rFonts w:ascii="Helvetica" w:hAnsi="Helvetica" w:cs="Helvetica"/>
          <w:color w:val="333333"/>
          <w:shd w:val="clear" w:color="auto" w:fill="FFFFFF"/>
        </w:rPr>
        <w:t>T</w:t>
      </w:r>
      <w:r w:rsidR="00F966CF">
        <w:rPr>
          <w:rFonts w:ascii="Helvetica" w:hAnsi="Helvetica" w:cs="Helvetica"/>
          <w:color w:val="333333"/>
          <w:shd w:val="clear" w:color="auto" w:fill="FFFFFF"/>
        </w:rPr>
        <w:t xml:space="preserve">hey brought great </w:t>
      </w:r>
      <w:r w:rsidR="00DF4770">
        <w:rPr>
          <w:rFonts w:ascii="Helvetica" w:hAnsi="Helvetica" w:cs="Helvetica"/>
          <w:color w:val="333333"/>
          <w:shd w:val="clear" w:color="auto" w:fill="FFFFFF"/>
        </w:rPr>
        <w:t xml:space="preserve">knowledge, expertise and </w:t>
      </w:r>
      <w:r w:rsidR="00F966CF">
        <w:rPr>
          <w:rFonts w:ascii="Helvetica" w:hAnsi="Helvetica" w:cs="Helvetica"/>
          <w:color w:val="333333"/>
          <w:shd w:val="clear" w:color="auto" w:fill="FFFFFF"/>
        </w:rPr>
        <w:t>insight and guided the team in key decisions on the safer use of anticoagulants.</w:t>
      </w:r>
    </w:p>
    <w:p w14:paraId="7D13CD52" w14:textId="62AE81AA" w:rsidR="000E78DD" w:rsidRDefault="00517F5E" w:rsidP="000E78DD">
      <w:pPr>
        <w:pStyle w:val="TeThHauorabodytext"/>
      </w:pPr>
      <w:r>
        <w:t xml:space="preserve">We </w:t>
      </w:r>
      <w:r w:rsidR="00F966CF">
        <w:t>acknowledge</w:t>
      </w:r>
      <w:r>
        <w:t xml:space="preserve"> the </w:t>
      </w:r>
      <w:r w:rsidR="00155873">
        <w:t>Anticoagulation</w:t>
      </w:r>
      <w:r w:rsidR="00493BA4">
        <w:t xml:space="preserve"> </w:t>
      </w:r>
      <w:r w:rsidR="003E01E3">
        <w:t>F</w:t>
      </w:r>
      <w:r w:rsidR="00493BA4">
        <w:t xml:space="preserve">orum </w:t>
      </w:r>
      <w:r w:rsidR="00155873">
        <w:t xml:space="preserve">from the </w:t>
      </w:r>
      <w:r w:rsidR="00B1332E">
        <w:t>USA</w:t>
      </w:r>
      <w:r w:rsidR="00155873">
        <w:t xml:space="preserve"> </w:t>
      </w:r>
      <w:r w:rsidR="00241871">
        <w:t>in the development of this guidance.</w:t>
      </w:r>
      <w:r w:rsidR="00780D1C">
        <w:rPr>
          <w:rStyle w:val="FootnoteReference"/>
        </w:rPr>
        <w:footnoteReference w:id="2"/>
      </w:r>
    </w:p>
    <w:p w14:paraId="7F821973" w14:textId="2F31D9BF" w:rsidR="009E3A57" w:rsidRDefault="009E3A57" w:rsidP="009E3A57">
      <w:pPr>
        <w:pStyle w:val="TeThHauorabodytext"/>
      </w:pPr>
      <w:r>
        <w:t xml:space="preserve">This document </w:t>
      </w:r>
      <w:r w:rsidR="0043196E">
        <w:t xml:space="preserve">was </w:t>
      </w:r>
      <w:r>
        <w:t xml:space="preserve">developed through a collaborative with </w:t>
      </w:r>
      <w:proofErr w:type="spellStart"/>
      <w:r>
        <w:t>Te</w:t>
      </w:r>
      <w:proofErr w:type="spellEnd"/>
      <w:r>
        <w:t xml:space="preserve"> </w:t>
      </w:r>
      <w:proofErr w:type="spellStart"/>
      <w:r>
        <w:t>Tāhū</w:t>
      </w:r>
      <w:proofErr w:type="spellEnd"/>
      <w:r>
        <w:t xml:space="preserve"> Hauora and </w:t>
      </w:r>
      <w:r w:rsidR="00FC3B7F">
        <w:t xml:space="preserve">the following </w:t>
      </w:r>
      <w:r>
        <w:t>hospitals:</w:t>
      </w:r>
    </w:p>
    <w:p w14:paraId="3D174C56" w14:textId="0A4D55F4"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Counties Manukau</w:t>
      </w:r>
    </w:p>
    <w:p w14:paraId="41D846F3" w14:textId="53E7348D"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Waikato</w:t>
      </w:r>
    </w:p>
    <w:p w14:paraId="2126AB9A" w14:textId="67D7E6ED"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Lakes</w:t>
      </w:r>
    </w:p>
    <w:p w14:paraId="6391E5D2" w14:textId="60C30CE7"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Taranaki</w:t>
      </w:r>
    </w:p>
    <w:p w14:paraId="6F2A8FF0" w14:textId="35D2EEF5"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Te Pae Hauora o </w:t>
      </w:r>
      <w:proofErr w:type="spellStart"/>
      <w:r>
        <w:t>Ruahine</w:t>
      </w:r>
      <w:proofErr w:type="spellEnd"/>
      <w:r>
        <w:t xml:space="preserve"> o </w:t>
      </w:r>
      <w:proofErr w:type="spellStart"/>
      <w:r>
        <w:t>Tararua</w:t>
      </w:r>
      <w:proofErr w:type="spellEnd"/>
      <w:r>
        <w:t xml:space="preserve"> </w:t>
      </w:r>
      <w:proofErr w:type="spellStart"/>
      <w:r>
        <w:t>MidCentral</w:t>
      </w:r>
      <w:proofErr w:type="spellEnd"/>
    </w:p>
    <w:p w14:paraId="4EE0E48B" w14:textId="7825FC33"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Whanganui</w:t>
      </w:r>
    </w:p>
    <w:p w14:paraId="24AC9A2A" w14:textId="64493081" w:rsidR="009E3A57"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w:t>
      </w:r>
      <w:proofErr w:type="spellStart"/>
      <w:r>
        <w:t>Waitaha</w:t>
      </w:r>
      <w:proofErr w:type="spellEnd"/>
      <w:r>
        <w:t xml:space="preserve"> Canterbury</w:t>
      </w:r>
    </w:p>
    <w:p w14:paraId="2F8FF2BE" w14:textId="66D6A7FE" w:rsidR="00076572" w:rsidRDefault="009E3A57" w:rsidP="009E3A57">
      <w:pPr>
        <w:pStyle w:val="TeThHauorabullets"/>
      </w:pPr>
      <w:proofErr w:type="spellStart"/>
      <w:r>
        <w:t>Te</w:t>
      </w:r>
      <w:proofErr w:type="spellEnd"/>
      <w:r>
        <w:t xml:space="preserve"> </w:t>
      </w:r>
      <w:proofErr w:type="spellStart"/>
      <w:r>
        <w:t>Whatu</w:t>
      </w:r>
      <w:proofErr w:type="spellEnd"/>
      <w:r>
        <w:t xml:space="preserve"> Ora – Health New Zealand Nelson Marlborough</w:t>
      </w:r>
    </w:p>
    <w:p w14:paraId="159C3948" w14:textId="0C96F04B" w:rsidR="00D2316A" w:rsidRDefault="00D2316A" w:rsidP="009857BB">
      <w:pPr>
        <w:pStyle w:val="TeThHauorabodytext"/>
        <w:spacing w:before="120"/>
      </w:pPr>
      <w:r>
        <w:t xml:space="preserve">We thank the hospital project teams and sponsors who contributed to localising systems and practice improvements for the safer use of anticoagulants within geographically diverse settings. Their support and feedback </w:t>
      </w:r>
      <w:r w:rsidR="000746FD">
        <w:t xml:space="preserve">before </w:t>
      </w:r>
      <w:r>
        <w:t xml:space="preserve">and during the first stage of this project </w:t>
      </w:r>
      <w:r w:rsidR="000746FD">
        <w:t xml:space="preserve">was </w:t>
      </w:r>
      <w:r>
        <w:t xml:space="preserve">invaluable. </w:t>
      </w:r>
    </w:p>
    <w:p w14:paraId="42C2D328" w14:textId="59C9D65F" w:rsidR="00902F8E" w:rsidRDefault="009E3A57" w:rsidP="009E3A57">
      <w:pPr>
        <w:pStyle w:val="TeThHauorabodytext"/>
      </w:pPr>
      <w:proofErr w:type="spellStart"/>
      <w:r>
        <w:t>Te</w:t>
      </w:r>
      <w:proofErr w:type="spellEnd"/>
      <w:r>
        <w:t xml:space="preserve"> </w:t>
      </w:r>
      <w:proofErr w:type="spellStart"/>
      <w:r>
        <w:t>Tāhū</w:t>
      </w:r>
      <w:proofErr w:type="spellEnd"/>
      <w:r>
        <w:t xml:space="preserve"> Hauora also thanks the project leadership and expert advisory group</w:t>
      </w:r>
      <w:r w:rsidR="000746FD">
        <w:t>,</w:t>
      </w:r>
      <w:r>
        <w:t xml:space="preserve"> who provided clinical oversight, guidance and feedback from the planning and implementation to the development of the project work.</w:t>
      </w:r>
    </w:p>
    <w:p w14:paraId="601064AC" w14:textId="77777777" w:rsidR="004C5C64" w:rsidRDefault="004C5C64" w:rsidP="00AB5BBC">
      <w:pPr>
        <w:pStyle w:val="TeThHauorahead1"/>
      </w:pPr>
      <w:bookmarkStart w:id="3" w:name="_Toc153953936"/>
      <w:bookmarkStart w:id="4" w:name="_Toc143599764"/>
      <w:r>
        <w:lastRenderedPageBreak/>
        <w:t>Purpose</w:t>
      </w:r>
      <w:bookmarkEnd w:id="3"/>
    </w:p>
    <w:p w14:paraId="1B1C039A" w14:textId="71D67E9B" w:rsidR="00757AF5" w:rsidRPr="00D75D48" w:rsidRDefault="00757AF5" w:rsidP="0015266B">
      <w:pPr>
        <w:pStyle w:val="TeThHauorabodytext"/>
        <w:rPr>
          <w:rFonts w:eastAsiaTheme="minorEastAsia"/>
          <w:b/>
        </w:rPr>
      </w:pPr>
      <w:r w:rsidRPr="01482530">
        <w:t xml:space="preserve">The purpose of this document is to provide </w:t>
      </w:r>
      <w:r w:rsidR="00355D68" w:rsidRPr="01482530">
        <w:rPr>
          <w:rFonts w:eastAsiaTheme="minorEastAsia"/>
        </w:rPr>
        <w:t xml:space="preserve">information on </w:t>
      </w:r>
      <w:r w:rsidR="31A8D857" w:rsidRPr="01482530">
        <w:rPr>
          <w:rFonts w:eastAsiaTheme="minorEastAsia"/>
        </w:rPr>
        <w:t xml:space="preserve">current issues with the use of </w:t>
      </w:r>
      <w:r w:rsidR="00355D68" w:rsidRPr="01482530">
        <w:rPr>
          <w:rFonts w:eastAsiaTheme="minorEastAsia"/>
        </w:rPr>
        <w:t>anticoagulan</w:t>
      </w:r>
      <w:r w:rsidR="00355D68" w:rsidRPr="003830C8">
        <w:rPr>
          <w:rFonts w:eastAsiaTheme="minorEastAsia"/>
        </w:rPr>
        <w:t>t</w:t>
      </w:r>
      <w:r w:rsidR="00174277" w:rsidRPr="003830C8">
        <w:rPr>
          <w:rFonts w:eastAsiaTheme="minorEastAsia"/>
        </w:rPr>
        <w:t>s</w:t>
      </w:r>
      <w:r w:rsidR="00355D68" w:rsidRPr="003830C8">
        <w:rPr>
          <w:rFonts w:eastAsiaTheme="minorEastAsia"/>
        </w:rPr>
        <w:t xml:space="preserve"> </w:t>
      </w:r>
      <w:r w:rsidR="152786BC" w:rsidRPr="01482530">
        <w:rPr>
          <w:rFonts w:eastAsiaTheme="minorEastAsia"/>
        </w:rPr>
        <w:t xml:space="preserve">in hospital care and a proposed intervention to address </w:t>
      </w:r>
      <w:r w:rsidR="00870518" w:rsidRPr="01482530">
        <w:rPr>
          <w:rFonts w:eastAsiaTheme="minorEastAsia"/>
        </w:rPr>
        <w:t>th</w:t>
      </w:r>
      <w:r w:rsidR="00870518">
        <w:rPr>
          <w:rFonts w:eastAsiaTheme="minorEastAsia"/>
        </w:rPr>
        <w:t>em</w:t>
      </w:r>
      <w:r w:rsidR="152786BC" w:rsidRPr="01482530">
        <w:rPr>
          <w:rFonts w:eastAsiaTheme="minorEastAsia"/>
        </w:rPr>
        <w:t xml:space="preserve">. </w:t>
      </w:r>
      <w:r w:rsidR="008A165C">
        <w:rPr>
          <w:rFonts w:eastAsiaTheme="minorEastAsia"/>
        </w:rPr>
        <w:t xml:space="preserve">It </w:t>
      </w:r>
      <w:r w:rsidR="14FFB33E" w:rsidRPr="01482530">
        <w:rPr>
          <w:rFonts w:eastAsiaTheme="minorEastAsia"/>
        </w:rPr>
        <w:t xml:space="preserve">provides background information on the problems identified within the sector, the complexities of taking </w:t>
      </w:r>
      <w:r w:rsidR="00870518" w:rsidRPr="01482530">
        <w:rPr>
          <w:rFonts w:eastAsiaTheme="minorEastAsia"/>
        </w:rPr>
        <w:t>th</w:t>
      </w:r>
      <w:r w:rsidR="00870518">
        <w:rPr>
          <w:rFonts w:eastAsiaTheme="minorEastAsia"/>
        </w:rPr>
        <w:t>ese</w:t>
      </w:r>
      <w:r w:rsidR="00870518" w:rsidRPr="01482530">
        <w:rPr>
          <w:rFonts w:eastAsiaTheme="minorEastAsia"/>
        </w:rPr>
        <w:t xml:space="preserve"> medication</w:t>
      </w:r>
      <w:r w:rsidR="00870518">
        <w:rPr>
          <w:rFonts w:eastAsiaTheme="minorEastAsia"/>
        </w:rPr>
        <w:t>s</w:t>
      </w:r>
      <w:r w:rsidR="00870518" w:rsidRPr="01482530">
        <w:rPr>
          <w:rFonts w:eastAsiaTheme="minorEastAsia"/>
        </w:rPr>
        <w:t xml:space="preserve"> </w:t>
      </w:r>
      <w:r w:rsidR="14FFB33E" w:rsidRPr="01482530">
        <w:rPr>
          <w:rFonts w:eastAsiaTheme="minorEastAsia"/>
        </w:rPr>
        <w:t>and a proposed solution to reduce</w:t>
      </w:r>
      <w:r w:rsidR="00940F6B">
        <w:rPr>
          <w:rFonts w:eastAsiaTheme="minorEastAsia"/>
        </w:rPr>
        <w:t xml:space="preserve"> the occurrence of</w:t>
      </w:r>
      <w:r w:rsidR="14FFB33E" w:rsidRPr="01482530">
        <w:rPr>
          <w:rFonts w:eastAsiaTheme="minorEastAsia"/>
        </w:rPr>
        <w:t xml:space="preserve"> adverse events and promote the safer use of anticoagulants</w:t>
      </w:r>
      <w:r w:rsidR="003F37D6" w:rsidRPr="00893B3A">
        <w:rPr>
          <w:rFonts w:eastAsiaTheme="minorEastAsia"/>
          <w:bCs/>
        </w:rPr>
        <w:t>.</w:t>
      </w:r>
    </w:p>
    <w:p w14:paraId="2CFE687F" w14:textId="4EDD40DE" w:rsidR="009E3A57" w:rsidRDefault="009E3A57" w:rsidP="00AB5BBC">
      <w:pPr>
        <w:pStyle w:val="TeThHauorahead1"/>
      </w:pPr>
      <w:bookmarkStart w:id="5" w:name="_Toc153953937"/>
      <w:r>
        <w:t>Background</w:t>
      </w:r>
      <w:bookmarkEnd w:id="4"/>
      <w:bookmarkEnd w:id="5"/>
    </w:p>
    <w:p w14:paraId="5708F7BF" w14:textId="48C529B1" w:rsidR="009E3A57" w:rsidRDefault="00940F6B" w:rsidP="009E3A57">
      <w:pPr>
        <w:pStyle w:val="TeThHauorabodytext"/>
      </w:pPr>
      <w:proofErr w:type="spellStart"/>
      <w:r>
        <w:t>Te</w:t>
      </w:r>
      <w:proofErr w:type="spellEnd"/>
      <w:r>
        <w:t xml:space="preserve"> </w:t>
      </w:r>
      <w:proofErr w:type="spellStart"/>
      <w:r>
        <w:t>Tāhū</w:t>
      </w:r>
      <w:proofErr w:type="spellEnd"/>
      <w:r>
        <w:t xml:space="preserve"> Hauora Health Quality &amp; Safety Commission (</w:t>
      </w:r>
      <w:proofErr w:type="spellStart"/>
      <w:r w:rsidR="009E3A57">
        <w:t>Te</w:t>
      </w:r>
      <w:proofErr w:type="spellEnd"/>
      <w:r w:rsidR="009E3A57">
        <w:t xml:space="preserve"> </w:t>
      </w:r>
      <w:proofErr w:type="spellStart"/>
      <w:r w:rsidR="009E3A57">
        <w:t>Tāhū</w:t>
      </w:r>
      <w:proofErr w:type="spellEnd"/>
      <w:r w:rsidR="009E3A57">
        <w:t xml:space="preserve"> Hauora</w:t>
      </w:r>
      <w:r>
        <w:t>)</w:t>
      </w:r>
      <w:r w:rsidR="009E3A57">
        <w:t xml:space="preserve"> works with others within strong partnerships and relationships (involving) to gather and share intelligence (informing), to raise awareness and encourage thought and knowledge sharing (influencing) and to support change to improve the health and disability system (improving).</w:t>
      </w:r>
    </w:p>
    <w:p w14:paraId="1DEDE42A" w14:textId="698FD4E0" w:rsidR="00BB192B" w:rsidRDefault="009E3A57" w:rsidP="009E3A57">
      <w:pPr>
        <w:pStyle w:val="TeThHauorabodytext"/>
      </w:pPr>
      <w:proofErr w:type="spellStart"/>
      <w:r>
        <w:t>Te</w:t>
      </w:r>
      <w:proofErr w:type="spellEnd"/>
      <w:r>
        <w:t xml:space="preserve"> </w:t>
      </w:r>
      <w:proofErr w:type="spellStart"/>
      <w:r>
        <w:t>Tāhū</w:t>
      </w:r>
      <w:proofErr w:type="spellEnd"/>
      <w:r>
        <w:t xml:space="preserve"> Hauora partners with the sector to develop and implement quality improvement initiatives. Strategic priorities include improving consumer</w:t>
      </w:r>
      <w:r w:rsidR="008E7D47">
        <w:rPr>
          <w:rStyle w:val="FootnoteReference"/>
        </w:rPr>
        <w:footnoteReference w:id="3"/>
      </w:r>
      <w:r>
        <w:t xml:space="preserve"> and whānau experiences of care, enabling the workforce as improvers, strengthening systems for quality services, leading health quality intelligence and guiding improvement to prevent early mortality.</w:t>
      </w:r>
    </w:p>
    <w:p w14:paraId="4A5D642A" w14:textId="5F39E563" w:rsidR="005E1217" w:rsidRPr="00F32AD9" w:rsidRDefault="005E1217" w:rsidP="0015266B">
      <w:pPr>
        <w:pStyle w:val="TeThHauorabodytext"/>
        <w:rPr>
          <w:rFonts w:eastAsiaTheme="minorEastAsia"/>
          <w:b/>
          <w:i/>
        </w:rPr>
      </w:pPr>
      <w:r w:rsidRPr="01482530">
        <w:rPr>
          <w:rFonts w:eastAsiaTheme="minorEastAsia"/>
        </w:rPr>
        <w:t xml:space="preserve">Optimising the use of medicines in the sector has been one area of focus for </w:t>
      </w:r>
      <w:proofErr w:type="spellStart"/>
      <w:r w:rsidRPr="01482530">
        <w:rPr>
          <w:rFonts w:eastAsiaTheme="minorEastAsia"/>
        </w:rPr>
        <w:t>Te</w:t>
      </w:r>
      <w:proofErr w:type="spellEnd"/>
      <w:r w:rsidRPr="01482530">
        <w:rPr>
          <w:rFonts w:eastAsiaTheme="minorEastAsia"/>
        </w:rPr>
        <w:t xml:space="preserve"> </w:t>
      </w:r>
      <w:proofErr w:type="spellStart"/>
      <w:r w:rsidRPr="01482530">
        <w:rPr>
          <w:rFonts w:eastAsiaTheme="minorEastAsia"/>
        </w:rPr>
        <w:t>Tāhū</w:t>
      </w:r>
      <w:proofErr w:type="spellEnd"/>
      <w:r w:rsidRPr="01482530">
        <w:rPr>
          <w:rFonts w:eastAsiaTheme="minorEastAsia"/>
        </w:rPr>
        <w:t xml:space="preserve"> Hauora. Medicine optimisation is a person-centred approach to improving the safe and appropriate use of medicine</w:t>
      </w:r>
      <w:r w:rsidR="00934C4D">
        <w:rPr>
          <w:rFonts w:eastAsiaTheme="minorEastAsia"/>
        </w:rPr>
        <w:t>s</w:t>
      </w:r>
      <w:r w:rsidRPr="01482530">
        <w:rPr>
          <w:rFonts w:eastAsiaTheme="minorEastAsia"/>
        </w:rPr>
        <w:t>, including minimising the risks associated with anticoagulants.</w:t>
      </w:r>
    </w:p>
    <w:p w14:paraId="4A558DF5" w14:textId="5F728E2C" w:rsidR="005E1217" w:rsidRPr="00F5304E" w:rsidRDefault="6290B8B4" w:rsidP="00F5304E">
      <w:pPr>
        <w:pStyle w:val="TeThHauorahead1"/>
      </w:pPr>
      <w:bookmarkStart w:id="6" w:name="_Toc153953938"/>
      <w:r w:rsidRPr="00F5304E">
        <w:t>Problem analysis</w:t>
      </w:r>
      <w:bookmarkEnd w:id="6"/>
    </w:p>
    <w:p w14:paraId="409AE2AE" w14:textId="5EA0F20C" w:rsidR="00F5304E" w:rsidRDefault="352E8F71" w:rsidP="005E1217">
      <w:pPr>
        <w:pStyle w:val="TeThHauorabodytext"/>
      </w:pPr>
      <w:r w:rsidRPr="01482530">
        <w:t>An anticoagulant is a medication that is used to prevent blood clots from forming or getting larger. They</w:t>
      </w:r>
      <w:r w:rsidR="00AA3E50">
        <w:t xml:space="preserve"> a</w:t>
      </w:r>
      <w:r w:rsidRPr="01482530">
        <w:t xml:space="preserve">re given to people at a high risk of getting clots to reduce their chances of developing serious conditions such as strokes and heart attacks. </w:t>
      </w:r>
      <w:r w:rsidR="00754BF2">
        <w:t>S</w:t>
      </w:r>
      <w:r w:rsidRPr="01482530">
        <w:t xml:space="preserve">everal anticoagulants </w:t>
      </w:r>
      <w:r w:rsidR="00754BF2">
        <w:t xml:space="preserve">are </w:t>
      </w:r>
      <w:r w:rsidRPr="01482530">
        <w:t>used in Aotearoa New Zealand</w:t>
      </w:r>
      <w:r w:rsidR="00754BF2">
        <w:t>;</w:t>
      </w:r>
      <w:r w:rsidRPr="01482530">
        <w:t xml:space="preserve"> </w:t>
      </w:r>
      <w:r w:rsidR="00754BF2">
        <w:t xml:space="preserve">some are </w:t>
      </w:r>
      <w:r w:rsidRPr="01482530">
        <w:t xml:space="preserve">administered </w:t>
      </w:r>
      <w:r w:rsidR="00754BF2">
        <w:t xml:space="preserve">orally, </w:t>
      </w:r>
      <w:r w:rsidRPr="01482530">
        <w:t xml:space="preserve">and </w:t>
      </w:r>
      <w:r w:rsidR="00754BF2">
        <w:t xml:space="preserve">others are </w:t>
      </w:r>
      <w:r w:rsidRPr="01482530">
        <w:t xml:space="preserve">provided </w:t>
      </w:r>
      <w:r w:rsidR="62A145E4">
        <w:t xml:space="preserve">subcutaneously and </w:t>
      </w:r>
      <w:r w:rsidRPr="01482530">
        <w:t xml:space="preserve">intravenously. The total number of people on oral anticoagulants in </w:t>
      </w:r>
      <w:r w:rsidR="00A9632C">
        <w:t>Aotearoa</w:t>
      </w:r>
      <w:r w:rsidRPr="01482530">
        <w:t xml:space="preserve"> </w:t>
      </w:r>
      <w:r w:rsidR="006D64E1">
        <w:t xml:space="preserve">New Zealand </w:t>
      </w:r>
      <w:r w:rsidRPr="01482530">
        <w:t xml:space="preserve">has more than doubled over </w:t>
      </w:r>
      <w:r w:rsidR="00754BF2">
        <w:t>10</w:t>
      </w:r>
      <w:r w:rsidR="00754BF2" w:rsidRPr="01482530">
        <w:t xml:space="preserve"> </w:t>
      </w:r>
      <w:r w:rsidRPr="01482530">
        <w:t>years</w:t>
      </w:r>
      <w:r w:rsidR="00FE3A81">
        <w:t xml:space="preserve"> </w:t>
      </w:r>
      <w:r w:rsidR="005938D9">
        <w:t>(Harper et al</w:t>
      </w:r>
      <w:r w:rsidR="00837421">
        <w:t xml:space="preserve"> 2022</w:t>
      </w:r>
      <w:r w:rsidR="000F6472">
        <w:t>)</w:t>
      </w:r>
      <w:r w:rsidR="00FE3A81">
        <w:t>.</w:t>
      </w:r>
      <w:r w:rsidRPr="01482530">
        <w:t xml:space="preserve"> Anticoagulants carry a risk of potential side effects and complications. All anticoagulants are associated with bleeding</w:t>
      </w:r>
      <w:r w:rsidR="00784F44">
        <w:t>,</w:t>
      </w:r>
      <w:r w:rsidRPr="01482530">
        <w:t xml:space="preserve"> and a proportion of events are unavoidable. They are associated with significant preventable patient harm, </w:t>
      </w:r>
      <w:r w:rsidR="006D64E1">
        <w:t>and</w:t>
      </w:r>
      <w:r w:rsidR="006D64E1" w:rsidRPr="01482530">
        <w:t xml:space="preserve"> </w:t>
      </w:r>
      <w:r w:rsidRPr="01482530">
        <w:t>10</w:t>
      </w:r>
      <w:r w:rsidR="00A95E07">
        <w:t xml:space="preserve"> percent</w:t>
      </w:r>
      <w:r w:rsidRPr="01482530">
        <w:t xml:space="preserve"> of reported adverse medication events </w:t>
      </w:r>
      <w:r w:rsidR="00870518" w:rsidRPr="01482530">
        <w:t>involv</w:t>
      </w:r>
      <w:r w:rsidR="00870518">
        <w:t>e</w:t>
      </w:r>
      <w:r w:rsidR="00870518" w:rsidRPr="01482530">
        <w:t xml:space="preserve"> </w:t>
      </w:r>
      <w:r w:rsidRPr="01482530">
        <w:t>anticoagulants</w:t>
      </w:r>
      <w:r w:rsidR="000E25EC">
        <w:t xml:space="preserve"> </w:t>
      </w:r>
      <w:r w:rsidR="000E25EC">
        <w:rPr>
          <w:rFonts w:eastAsiaTheme="minorEastAsia"/>
        </w:rPr>
        <w:t>(</w:t>
      </w:r>
      <w:r w:rsidR="000E25EC" w:rsidRPr="00673CAD">
        <w:t xml:space="preserve">Burnett </w:t>
      </w:r>
      <w:r w:rsidR="000E25EC">
        <w:t>and</w:t>
      </w:r>
      <w:r w:rsidR="000E25EC" w:rsidRPr="00673CAD">
        <w:t xml:space="preserve"> Barnes</w:t>
      </w:r>
      <w:r w:rsidR="000E25EC">
        <w:t xml:space="preserve"> 2022).</w:t>
      </w:r>
    </w:p>
    <w:p w14:paraId="4F33C905" w14:textId="21C43247" w:rsidR="005E1217" w:rsidRDefault="005E1217" w:rsidP="005E1217">
      <w:pPr>
        <w:pStyle w:val="TeThHauorabodytext"/>
      </w:pPr>
      <w:r>
        <w:t xml:space="preserve">The Institute for Healthcare Improvement classes anticoagulants as one of four groups of medicines (along with opioids, </w:t>
      </w:r>
      <w:proofErr w:type="gramStart"/>
      <w:r>
        <w:t>insulins</w:t>
      </w:r>
      <w:proofErr w:type="gramEnd"/>
      <w:r>
        <w:t xml:space="preserve"> and sedatives) that can cause harm to patients, even when used as intended.</w:t>
      </w:r>
      <w:r w:rsidR="00914C4F">
        <w:t xml:space="preserve"> </w:t>
      </w:r>
      <w:r>
        <w:t xml:space="preserve">Using a global trigger tool methodology, a New Zealand study in </w:t>
      </w:r>
      <w:r>
        <w:lastRenderedPageBreak/>
        <w:t>2017 identified that anticoagulants/antiplatelet agents accounted for 7.1</w:t>
      </w:r>
      <w:r w:rsidR="00731B46">
        <w:t xml:space="preserve"> percent</w:t>
      </w:r>
      <w:r>
        <w:t xml:space="preserve"> of medication</w:t>
      </w:r>
      <w:r w:rsidR="00FF2850">
        <w:t>-</w:t>
      </w:r>
      <w:r>
        <w:t>related harm in a</w:t>
      </w:r>
      <w:r w:rsidR="00731B46">
        <w:t>n Aotearoa</w:t>
      </w:r>
      <w:r>
        <w:t xml:space="preserve"> New Zealand hospital inpatient cohort (warfarin 1.8</w:t>
      </w:r>
      <w:r w:rsidR="00FF2850">
        <w:t xml:space="preserve"> percent</w:t>
      </w:r>
      <w:r>
        <w:t>, enoxaparin 1.6</w:t>
      </w:r>
      <w:r w:rsidR="00FF2850">
        <w:t xml:space="preserve"> percent</w:t>
      </w:r>
      <w:r>
        <w:t>, aspirin 3.7</w:t>
      </w:r>
      <w:r w:rsidR="00FF2850">
        <w:t xml:space="preserve"> percent</w:t>
      </w:r>
      <w:r>
        <w:t>) and were associated with the most common cause of serious harm</w:t>
      </w:r>
      <w:r w:rsidR="00786485">
        <w:t xml:space="preserve"> (Robb et al 2017)</w:t>
      </w:r>
      <w:r w:rsidR="00981F38">
        <w:t>.</w:t>
      </w:r>
    </w:p>
    <w:p w14:paraId="706F0A0C" w14:textId="1805A739" w:rsidR="091E91D9" w:rsidRDefault="009070C4" w:rsidP="0015266B">
      <w:pPr>
        <w:pStyle w:val="TeThHauorabodytext"/>
      </w:pPr>
      <w:r>
        <w:t>T</w:t>
      </w:r>
      <w:r w:rsidRPr="01482530">
        <w:t xml:space="preserve">wo specific studies </w:t>
      </w:r>
      <w:r>
        <w:t xml:space="preserve">have captured </w:t>
      </w:r>
      <w:r w:rsidR="091E91D9" w:rsidRPr="01482530">
        <w:t xml:space="preserve">some of the potential causes of harm. </w:t>
      </w:r>
      <w:r w:rsidR="000156D3">
        <w:t xml:space="preserve">A </w:t>
      </w:r>
      <w:r w:rsidR="377FC955" w:rsidRPr="01482530">
        <w:t>US study in 2011 reported that 48</w:t>
      </w:r>
      <w:r w:rsidR="00432E80">
        <w:t xml:space="preserve"> percent</w:t>
      </w:r>
      <w:r w:rsidR="377FC955" w:rsidRPr="01482530">
        <w:t xml:space="preserve"> of adverse events were due to prescription errors and 70</w:t>
      </w:r>
      <w:r w:rsidR="00432E80">
        <w:t xml:space="preserve"> percent</w:t>
      </w:r>
      <w:r w:rsidR="377FC955" w:rsidRPr="01482530">
        <w:t xml:space="preserve"> of all events were preventable </w:t>
      </w:r>
      <w:r w:rsidR="00786485">
        <w:t>(</w:t>
      </w:r>
      <w:r w:rsidR="00786485" w:rsidRPr="000D7E35">
        <w:t>Piazza</w:t>
      </w:r>
      <w:r w:rsidR="00786485">
        <w:t xml:space="preserve"> et al 2011)</w:t>
      </w:r>
      <w:r w:rsidR="00DF5716">
        <w:t>,</w:t>
      </w:r>
      <w:r w:rsidR="377FC955" w:rsidRPr="01482530">
        <w:t xml:space="preserve"> and </w:t>
      </w:r>
      <w:r w:rsidR="0022126B">
        <w:t>a</w:t>
      </w:r>
      <w:r w:rsidR="377FC955" w:rsidRPr="01482530">
        <w:t xml:space="preserve"> Canadian </w:t>
      </w:r>
      <w:r w:rsidR="00BF3BE6">
        <w:t xml:space="preserve">study </w:t>
      </w:r>
      <w:r w:rsidR="377FC955" w:rsidRPr="01482530">
        <w:t>highlight</w:t>
      </w:r>
      <w:r w:rsidR="000156D3">
        <w:t>ed</w:t>
      </w:r>
      <w:r w:rsidR="377FC955" w:rsidRPr="01482530">
        <w:t xml:space="preserve"> </w:t>
      </w:r>
      <w:r w:rsidR="49A182EE" w:rsidRPr="01482530">
        <w:t xml:space="preserve">poor transitions of care as a contributing factor </w:t>
      </w:r>
      <w:r w:rsidR="00786485">
        <w:t>(</w:t>
      </w:r>
      <w:r w:rsidR="00786485" w:rsidRPr="007D6E42">
        <w:t>Holbrook</w:t>
      </w:r>
      <w:r w:rsidR="00786485">
        <w:t xml:space="preserve"> et al 2021).</w:t>
      </w:r>
    </w:p>
    <w:p w14:paraId="3AE37E87" w14:textId="3881E511" w:rsidR="00767413" w:rsidRDefault="49A182EE" w:rsidP="0015266B">
      <w:pPr>
        <w:pStyle w:val="TeThHauorabodytext"/>
      </w:pPr>
      <w:r w:rsidRPr="01482530">
        <w:t>Other factors identified include poor management of high</w:t>
      </w:r>
      <w:r w:rsidR="0035607F">
        <w:t>-</w:t>
      </w:r>
      <w:r w:rsidRPr="01482530">
        <w:t>risk periods</w:t>
      </w:r>
      <w:r w:rsidR="00BF3BE6">
        <w:t xml:space="preserve"> and </w:t>
      </w:r>
      <w:r w:rsidRPr="01482530">
        <w:t>failing to</w:t>
      </w:r>
      <w:r>
        <w:t xml:space="preserve"> </w:t>
      </w:r>
      <w:r w:rsidR="00BF3BE6">
        <w:t>assess risk.</w:t>
      </w:r>
    </w:p>
    <w:p w14:paraId="66BEA189" w14:textId="6002D951" w:rsidR="00F32AD9" w:rsidRPr="00767413" w:rsidRDefault="0CDC1CCB" w:rsidP="00767413">
      <w:pPr>
        <w:pStyle w:val="TeThHauorahead1"/>
      </w:pPr>
      <w:bookmarkStart w:id="7" w:name="_Toc153953939"/>
      <w:r w:rsidRPr="00767413">
        <w:t>Project start</w:t>
      </w:r>
      <w:r w:rsidR="00F639FD" w:rsidRPr="00767413">
        <w:t xml:space="preserve"> </w:t>
      </w:r>
      <w:proofErr w:type="gramStart"/>
      <w:r w:rsidRPr="00767413">
        <w:t>up</w:t>
      </w:r>
      <w:bookmarkEnd w:id="7"/>
      <w:proofErr w:type="gramEnd"/>
    </w:p>
    <w:p w14:paraId="1B8FAF80" w14:textId="0246DD6D" w:rsidR="00006485" w:rsidRDefault="00BD4F61" w:rsidP="00006485">
      <w:pPr>
        <w:pStyle w:val="TeThHauorabodytext"/>
      </w:pPr>
      <w:r>
        <w:t>T</w:t>
      </w:r>
      <w:r w:rsidR="00451976">
        <w:t>he</w:t>
      </w:r>
      <w:r w:rsidR="009E3A57">
        <w:t xml:space="preserve"> issue of harm from anticoagulants was raised at </w:t>
      </w:r>
      <w:r w:rsidR="00417C6D">
        <w:t>the</w:t>
      </w:r>
      <w:r w:rsidR="000F3686">
        <w:t xml:space="preserve"> </w:t>
      </w:r>
      <w:r w:rsidR="004E42CC">
        <w:t>National Medication Safety Advisory Group</w:t>
      </w:r>
      <w:r w:rsidR="009E3A57">
        <w:t xml:space="preserve"> </w:t>
      </w:r>
      <w:r w:rsidR="000F3686">
        <w:t xml:space="preserve">coordinated by </w:t>
      </w:r>
      <w:proofErr w:type="spellStart"/>
      <w:r w:rsidR="000F3686" w:rsidRPr="00285CEA">
        <w:t>Te</w:t>
      </w:r>
      <w:proofErr w:type="spellEnd"/>
      <w:r w:rsidR="000F3686" w:rsidRPr="00285CEA">
        <w:t xml:space="preserve"> </w:t>
      </w:r>
      <w:proofErr w:type="spellStart"/>
      <w:r w:rsidR="000F3686" w:rsidRPr="00285CEA">
        <w:t>Tāhū</w:t>
      </w:r>
      <w:proofErr w:type="spellEnd"/>
      <w:r w:rsidR="000F3686" w:rsidRPr="00285CEA">
        <w:t xml:space="preserve"> Hauora</w:t>
      </w:r>
      <w:r w:rsidR="00451976">
        <w:t xml:space="preserve">. </w:t>
      </w:r>
      <w:r w:rsidR="009E3A57">
        <w:t>The Health and Disability Commissioner also raised concerns relating to the frequency of complaints regarding suboptimal management of anticoagulants.</w:t>
      </w:r>
    </w:p>
    <w:p w14:paraId="1F102654" w14:textId="3EA51845" w:rsidR="00006485" w:rsidRDefault="00006485" w:rsidP="00006485">
      <w:pPr>
        <w:pStyle w:val="TeThHauorabodytext"/>
      </w:pPr>
      <w:r>
        <w:t xml:space="preserve">A comprehensive literature review identified systems, </w:t>
      </w:r>
      <w:proofErr w:type="gramStart"/>
      <w:r>
        <w:t>processes</w:t>
      </w:r>
      <w:proofErr w:type="gramEnd"/>
      <w:r>
        <w:t xml:space="preserve"> or practices relevant to the safe use of anticoagulants, focusing on evidence since 2015 in a public hospital setting where there had been a change in or adjustment of anticoagulant. This included reversal of anticoagulation, treatment planning, procedure or surgery postponement and discharge.</w:t>
      </w:r>
    </w:p>
    <w:p w14:paraId="499B3643" w14:textId="73A93D64" w:rsidR="00006485" w:rsidRDefault="00006485" w:rsidP="00006485">
      <w:pPr>
        <w:pStyle w:val="TeThHauorabodytext"/>
      </w:pPr>
      <w:r w:rsidRPr="00C83268">
        <w:t>Evidence included surprisingly few high-quality studies given the long history of anticoagulation-related harm.</w:t>
      </w:r>
    </w:p>
    <w:p w14:paraId="627D88B2" w14:textId="77777777" w:rsidR="00006485" w:rsidRPr="00C83268" w:rsidRDefault="00006485" w:rsidP="00006485">
      <w:pPr>
        <w:pStyle w:val="TeThHauorabodytext"/>
      </w:pPr>
      <w:r>
        <w:t>The following t</w:t>
      </w:r>
      <w:r w:rsidRPr="00C83268">
        <w:t xml:space="preserve">hree areas </w:t>
      </w:r>
      <w:r>
        <w:t>were supported by evidence.</w:t>
      </w:r>
    </w:p>
    <w:p w14:paraId="04F20523" w14:textId="0125FEB6" w:rsidR="00006485" w:rsidRDefault="00006485" w:rsidP="00006485">
      <w:pPr>
        <w:pStyle w:val="TeThHauorabodytext"/>
      </w:pPr>
      <w:r w:rsidRPr="18AAAE0F">
        <w:rPr>
          <w:b/>
          <w:bCs/>
        </w:rPr>
        <w:t>Expanding the role of pharmacists:</w:t>
      </w:r>
      <w:r>
        <w:t xml:space="preserve"> Of the 11 studies retrieved that described pharmacist interventions to reduce anticoagulant harm, </w:t>
      </w:r>
      <w:r w:rsidR="00683DE4">
        <w:t>four</w:t>
      </w:r>
      <w:r>
        <w:t xml:space="preserve"> described patient education or counselling, </w:t>
      </w:r>
      <w:r w:rsidR="00683DE4">
        <w:t xml:space="preserve">four </w:t>
      </w:r>
      <w:r>
        <w:t xml:space="preserve">evaluated </w:t>
      </w:r>
      <w:proofErr w:type="gramStart"/>
      <w:r>
        <w:t>pharmacist</w:t>
      </w:r>
      <w:proofErr w:type="gramEnd"/>
      <w:r w:rsidR="009F47E3">
        <w:t xml:space="preserve"> </w:t>
      </w:r>
      <w:r>
        <w:t xml:space="preserve">prescribing or oversight of anticoagulation use, </w:t>
      </w:r>
      <w:r w:rsidR="00683DE4">
        <w:t xml:space="preserve">two </w:t>
      </w:r>
      <w:r>
        <w:t xml:space="preserve">assessed routine pharmacist review of </w:t>
      </w:r>
      <w:r w:rsidR="0066381F">
        <w:t>direct-acting oral anticoagulant</w:t>
      </w:r>
      <w:r>
        <w:t xml:space="preserve"> prescriptions and one described routine</w:t>
      </w:r>
      <w:r w:rsidR="0066381F">
        <w:t>ly including</w:t>
      </w:r>
      <w:r>
        <w:t xml:space="preserve"> pharmacists on ward rounds.</w:t>
      </w:r>
    </w:p>
    <w:p w14:paraId="53BBB57A" w14:textId="605FE735" w:rsidR="00006485" w:rsidRPr="00E63550" w:rsidRDefault="00006485" w:rsidP="00006485">
      <w:pPr>
        <w:pStyle w:val="TeThHauorabodytext"/>
      </w:pPr>
      <w:r>
        <w:rPr>
          <w:b/>
        </w:rPr>
        <w:t>A</w:t>
      </w:r>
      <w:r w:rsidRPr="00DE4FCB">
        <w:rPr>
          <w:b/>
        </w:rPr>
        <w:t>nticoagulation stewardship programmes</w:t>
      </w:r>
      <w:r>
        <w:rPr>
          <w:b/>
        </w:rPr>
        <w:t xml:space="preserve"> (ACSPs)</w:t>
      </w:r>
      <w:r w:rsidRPr="00DE4FCB">
        <w:rPr>
          <w:b/>
          <w:bCs/>
        </w:rPr>
        <w:t>:</w:t>
      </w:r>
      <w:r w:rsidRPr="00DE4FCB">
        <w:t xml:space="preserve"> </w:t>
      </w:r>
      <w:r w:rsidR="0066381F">
        <w:t>ACSPs</w:t>
      </w:r>
      <w:r w:rsidRPr="00E63550">
        <w:t xml:space="preserve"> have been evaluated in several locations. The</w:t>
      </w:r>
      <w:r w:rsidR="0066381F">
        <w:t>y</w:t>
      </w:r>
      <w:r w:rsidRPr="00E63550">
        <w:t xml:space="preserve"> usually consist of a multicomponent approach involving leadership, guidelines, protocols, anticoagulation services such as pharmacist screening or expert consultation, medication review/reconciliation, education, patient counselling</w:t>
      </w:r>
      <w:r w:rsidR="004A1649">
        <w:t>,</w:t>
      </w:r>
      <w:r w:rsidRPr="00E63550">
        <w:t xml:space="preserve"> </w:t>
      </w:r>
      <w:r w:rsidR="004A1649">
        <w:t xml:space="preserve">data collection </w:t>
      </w:r>
      <w:r w:rsidRPr="00E63550">
        <w:t xml:space="preserve">and </w:t>
      </w:r>
      <w:r w:rsidR="004A1649">
        <w:t xml:space="preserve">analysis and </w:t>
      </w:r>
      <w:r w:rsidRPr="00E63550">
        <w:t>are based on principles imported from antimicrobial stewardship programmes.</w:t>
      </w:r>
      <w:r w:rsidR="00963688">
        <w:rPr>
          <w:rStyle w:val="FootnoteReference"/>
        </w:rPr>
        <w:footnoteReference w:id="4"/>
      </w:r>
    </w:p>
    <w:p w14:paraId="04A600A0" w14:textId="5697E05F" w:rsidR="009E3A57" w:rsidRDefault="00006485" w:rsidP="009E3A57">
      <w:pPr>
        <w:pStyle w:val="TeThHauorabodytext"/>
      </w:pPr>
      <w:r>
        <w:rPr>
          <w:b/>
        </w:rPr>
        <w:t>I</w:t>
      </w:r>
      <w:r w:rsidRPr="00DE4FCB">
        <w:rPr>
          <w:b/>
        </w:rPr>
        <w:t>mproved use of electronic health record</w:t>
      </w:r>
      <w:r w:rsidR="0066381F">
        <w:rPr>
          <w:b/>
        </w:rPr>
        <w:t>s</w:t>
      </w:r>
      <w:r w:rsidRPr="00DE4FCB">
        <w:rPr>
          <w:b/>
        </w:rPr>
        <w:t xml:space="preserve"> and </w:t>
      </w:r>
      <w:r w:rsidRPr="00685DC5">
        <w:rPr>
          <w:b/>
        </w:rPr>
        <w:t>clinical decision support systems</w:t>
      </w:r>
      <w:r>
        <w:t>: The impact of pharmacists and multidisciplinary stewardship teams would likely be enhanced by systematic implementation of electronic systems that allow daily reports, clinical-rule</w:t>
      </w:r>
      <w:r w:rsidR="0066381F">
        <w:t>-</w:t>
      </w:r>
      <w:r>
        <w:t xml:space="preserve">based </w:t>
      </w:r>
      <w:r>
        <w:lastRenderedPageBreak/>
        <w:t>alerts to pharmacists and other health</w:t>
      </w:r>
      <w:r w:rsidR="0066381F">
        <w:t xml:space="preserve"> </w:t>
      </w:r>
      <w:r>
        <w:t>care team members and automated audit and evaluation of progress to facilitate ongoing quality improvement.</w:t>
      </w:r>
    </w:p>
    <w:p w14:paraId="7D4EC798" w14:textId="1B9E33D2" w:rsidR="004C26BE" w:rsidRDefault="009E3A57" w:rsidP="009E3A57">
      <w:pPr>
        <w:pStyle w:val="TeThHauorabodytext"/>
      </w:pPr>
      <w:proofErr w:type="spellStart"/>
      <w:r>
        <w:t>Te</w:t>
      </w:r>
      <w:proofErr w:type="spellEnd"/>
      <w:r>
        <w:t xml:space="preserve"> </w:t>
      </w:r>
      <w:proofErr w:type="spellStart"/>
      <w:r>
        <w:t>Tāhū</w:t>
      </w:r>
      <w:proofErr w:type="spellEnd"/>
      <w:r>
        <w:t xml:space="preserve"> Hauora facilitated workshops with relevant stakeholders to explore and understand the issue of harm from anticoagulants. When we combined the feedback and the data exploration, </w:t>
      </w:r>
      <w:r w:rsidR="00E902CC">
        <w:t>we</w:t>
      </w:r>
      <w:r>
        <w:t xml:space="preserve"> concurred that there was evidence to support quality improvement work in the hospital setting, provided it included discharge. The proposed area </w:t>
      </w:r>
      <w:r w:rsidR="005A2116">
        <w:t xml:space="preserve">of focus </w:t>
      </w:r>
      <w:r>
        <w:t>was when there is a change or adjustment to anticoagulants in a hospital setting</w:t>
      </w:r>
      <w:r w:rsidR="004C26BE">
        <w:t>.</w:t>
      </w:r>
    </w:p>
    <w:p w14:paraId="6583C377" w14:textId="0622CE9F" w:rsidR="779D9DE2" w:rsidRDefault="779D9DE2" w:rsidP="01482530">
      <w:pPr>
        <w:pStyle w:val="TeThHauorabodytext"/>
        <w:rPr>
          <w:b/>
          <w:bCs/>
          <w:u w:val="single"/>
        </w:rPr>
      </w:pPr>
      <w:r w:rsidRPr="00771696">
        <w:rPr>
          <w:rFonts w:eastAsiaTheme="minorEastAsia" w:cstheme="minorBidi"/>
        </w:rPr>
        <w:t xml:space="preserve">While investigating various data sets, it was clear that there is no national measure or indicator to measure the harm related to </w:t>
      </w:r>
      <w:r w:rsidR="00F6183D">
        <w:rPr>
          <w:rFonts w:eastAsiaTheme="minorEastAsia" w:cstheme="minorBidi"/>
        </w:rPr>
        <w:t xml:space="preserve">anticoagulants. </w:t>
      </w:r>
      <w:r w:rsidRPr="00771696">
        <w:rPr>
          <w:rFonts w:eastAsiaTheme="minorEastAsia" w:cstheme="minorBidi"/>
        </w:rPr>
        <w:t>So</w:t>
      </w:r>
      <w:r w:rsidR="00715846" w:rsidRPr="00771696">
        <w:rPr>
          <w:rFonts w:eastAsiaTheme="minorEastAsia" w:cstheme="minorBidi"/>
        </w:rPr>
        <w:t>,</w:t>
      </w:r>
      <w:r w:rsidRPr="00771696">
        <w:rPr>
          <w:rFonts w:eastAsiaTheme="minorEastAsia" w:cstheme="minorBidi"/>
        </w:rPr>
        <w:t xml:space="preserve"> t</w:t>
      </w:r>
      <w:r w:rsidR="685A925F" w:rsidRPr="00771696">
        <w:rPr>
          <w:rFonts w:eastAsiaTheme="minorEastAsia" w:cstheme="minorBidi"/>
        </w:rPr>
        <w:t xml:space="preserve">o support the identified issues, </w:t>
      </w:r>
      <w:r w:rsidR="00AA1941">
        <w:rPr>
          <w:rFonts w:eastAsiaTheme="minorEastAsia" w:cstheme="minorBidi"/>
        </w:rPr>
        <w:t xml:space="preserve">we explored </w:t>
      </w:r>
      <w:r w:rsidR="685A925F" w:rsidRPr="00771696">
        <w:rPr>
          <w:rFonts w:eastAsiaTheme="minorEastAsia" w:cstheme="minorBidi"/>
        </w:rPr>
        <w:t xml:space="preserve">various data sources. </w:t>
      </w:r>
      <w:r w:rsidR="2C584216" w:rsidRPr="00771696">
        <w:rPr>
          <w:rFonts w:eastAsiaTheme="minorEastAsia" w:cstheme="minorBidi"/>
        </w:rPr>
        <w:t>This include</w:t>
      </w:r>
      <w:r w:rsidR="00136827">
        <w:rPr>
          <w:rFonts w:eastAsiaTheme="minorEastAsia" w:cstheme="minorBidi"/>
        </w:rPr>
        <w:t>d</w:t>
      </w:r>
      <w:r w:rsidR="2C584216" w:rsidRPr="00771696">
        <w:rPr>
          <w:rFonts w:eastAsiaTheme="minorEastAsia" w:cstheme="minorBidi"/>
        </w:rPr>
        <w:t xml:space="preserve"> qualitative and quantitative analysis of the information available. </w:t>
      </w:r>
      <w:r w:rsidR="5B378AC3" w:rsidRPr="00771696">
        <w:rPr>
          <w:rFonts w:eastAsiaTheme="minorEastAsia" w:cstheme="minorBidi"/>
        </w:rPr>
        <w:t>Findings from v</w:t>
      </w:r>
      <w:r w:rsidR="2C584216" w:rsidRPr="00771696">
        <w:rPr>
          <w:rFonts w:eastAsiaTheme="minorEastAsia" w:cstheme="minorBidi"/>
        </w:rPr>
        <w:t xml:space="preserve">arious data sources </w:t>
      </w:r>
      <w:r w:rsidR="0008143F">
        <w:rPr>
          <w:rFonts w:eastAsiaTheme="minorEastAsia" w:cstheme="minorBidi"/>
        </w:rPr>
        <w:t>were as follows.</w:t>
      </w:r>
    </w:p>
    <w:p w14:paraId="5C163A5C" w14:textId="4A8ECE64" w:rsidR="00AA75E0" w:rsidRPr="00986AE3" w:rsidRDefault="7A209F77" w:rsidP="0015266B">
      <w:pPr>
        <w:pStyle w:val="TeThHauorabodytext"/>
      </w:pPr>
      <w:r w:rsidRPr="00AA75E0">
        <w:rPr>
          <w:b/>
        </w:rPr>
        <w:t>Adverse events:</w:t>
      </w:r>
      <w:r>
        <w:t xml:space="preserve"> </w:t>
      </w:r>
      <w:r w:rsidR="704B0E9B">
        <w:t xml:space="preserve">In </w:t>
      </w:r>
      <w:r w:rsidR="00B177A5">
        <w:t>a</w:t>
      </w:r>
      <w:r w:rsidR="704B0E9B">
        <w:t xml:space="preserve"> 6</w:t>
      </w:r>
      <w:r w:rsidR="00B177A5">
        <w:t>-</w:t>
      </w:r>
      <w:r w:rsidR="704B0E9B">
        <w:t>year</w:t>
      </w:r>
      <w:r w:rsidR="00B4254D">
        <w:t xml:space="preserve"> period</w:t>
      </w:r>
      <w:r w:rsidR="704B0E9B">
        <w:t xml:space="preserve"> (</w:t>
      </w:r>
      <w:r w:rsidR="00837F27">
        <w:t>2016</w:t>
      </w:r>
      <w:r w:rsidR="0008143F">
        <w:t>–</w:t>
      </w:r>
      <w:r w:rsidR="704B0E9B">
        <w:t>202</w:t>
      </w:r>
      <w:r w:rsidR="00837F27">
        <w:t>1</w:t>
      </w:r>
      <w:r w:rsidR="704B0E9B">
        <w:t xml:space="preserve">), </w:t>
      </w:r>
      <w:r>
        <w:t xml:space="preserve">26 adverse events </w:t>
      </w:r>
      <w:r w:rsidR="00ED30DB">
        <w:t xml:space="preserve">with a severity assessment code of one or two </w:t>
      </w:r>
      <w:r w:rsidR="4F82B021">
        <w:t>were</w:t>
      </w:r>
      <w:r>
        <w:t xml:space="preserve"> reported from</w:t>
      </w:r>
      <w:r w:rsidR="209C3716">
        <w:t xml:space="preserve"> </w:t>
      </w:r>
      <w:r>
        <w:t>hospital</w:t>
      </w:r>
      <w:r w:rsidR="0C267891">
        <w:t>s</w:t>
      </w:r>
      <w:r w:rsidR="774758FC" w:rsidRPr="01482530">
        <w:rPr>
          <w:lang w:val="en-AU"/>
        </w:rPr>
        <w:t xml:space="preserve">. Severity includes death </w:t>
      </w:r>
      <w:r w:rsidR="0051042E">
        <w:rPr>
          <w:lang w:val="en-AU"/>
        </w:rPr>
        <w:t xml:space="preserve">or </w:t>
      </w:r>
      <w:r w:rsidR="001477A9">
        <w:rPr>
          <w:lang w:val="en-AU"/>
        </w:rPr>
        <w:t xml:space="preserve">permanent major or temporary </w:t>
      </w:r>
      <w:r w:rsidR="001477A9" w:rsidRPr="153E96F8">
        <w:rPr>
          <w:lang w:val="en-AU"/>
        </w:rPr>
        <w:t>sever</w:t>
      </w:r>
      <w:r w:rsidR="48EFF2A9" w:rsidRPr="153E96F8">
        <w:rPr>
          <w:lang w:val="en-AU"/>
        </w:rPr>
        <w:t>e</w:t>
      </w:r>
      <w:r w:rsidR="001477A9">
        <w:rPr>
          <w:lang w:val="en-AU"/>
        </w:rPr>
        <w:t xml:space="preserve"> loss of function</w:t>
      </w:r>
      <w:r w:rsidR="0008143F">
        <w:rPr>
          <w:lang w:val="en-AU"/>
        </w:rPr>
        <w:t>,</w:t>
      </w:r>
      <w:r w:rsidR="001477A9">
        <w:rPr>
          <w:lang w:val="en-AU"/>
        </w:rPr>
        <w:t xml:space="preserve"> </w:t>
      </w:r>
      <w:proofErr w:type="spellStart"/>
      <w:r w:rsidR="00715846">
        <w:rPr>
          <w:lang w:val="en-AU"/>
        </w:rPr>
        <w:t>eg</w:t>
      </w:r>
      <w:proofErr w:type="spellEnd"/>
      <w:r w:rsidR="00776630">
        <w:rPr>
          <w:lang w:val="en-AU"/>
        </w:rPr>
        <w:t>,</w:t>
      </w:r>
      <w:r w:rsidR="0095080E">
        <w:rPr>
          <w:lang w:val="en-AU"/>
        </w:rPr>
        <w:t xml:space="preserve"> </w:t>
      </w:r>
      <w:r w:rsidR="00953BAB">
        <w:t>medication or treatment plan error resulting in major harm</w:t>
      </w:r>
      <w:r w:rsidR="00715846">
        <w:t>.</w:t>
      </w:r>
    </w:p>
    <w:p w14:paraId="5BEC3AC2" w14:textId="49281E7C" w:rsidR="00986AE3" w:rsidRPr="00986AE3" w:rsidRDefault="30D7A500" w:rsidP="0015266B">
      <w:pPr>
        <w:pStyle w:val="TeThHauorabodytext"/>
        <w:rPr>
          <w:lang w:val="en-AU"/>
        </w:rPr>
      </w:pPr>
      <w:r w:rsidRPr="0066381F">
        <w:rPr>
          <w:b/>
          <w:lang w:val="en-AU"/>
        </w:rPr>
        <w:t xml:space="preserve">Health and Disability Commissioner: </w:t>
      </w:r>
      <w:r w:rsidRPr="01482530">
        <w:rPr>
          <w:lang w:val="en-AU"/>
        </w:rPr>
        <w:t xml:space="preserve">From 2014 to 2022, </w:t>
      </w:r>
      <w:r w:rsidR="0088183B">
        <w:rPr>
          <w:lang w:val="en-AU"/>
        </w:rPr>
        <w:t xml:space="preserve">the </w:t>
      </w:r>
      <w:r w:rsidR="00545374">
        <w:rPr>
          <w:lang w:val="en-AU"/>
        </w:rPr>
        <w:t>c</w:t>
      </w:r>
      <w:r w:rsidR="0088183B">
        <w:rPr>
          <w:lang w:val="en-AU"/>
        </w:rPr>
        <w:t xml:space="preserve">ommissioner investigated </w:t>
      </w:r>
      <w:r w:rsidRPr="01482530">
        <w:rPr>
          <w:lang w:val="en-AU"/>
        </w:rPr>
        <w:t>1</w:t>
      </w:r>
      <w:r w:rsidR="006C12FF">
        <w:rPr>
          <w:lang w:val="en-AU"/>
        </w:rPr>
        <w:t>2</w:t>
      </w:r>
      <w:r w:rsidRPr="01482530">
        <w:rPr>
          <w:lang w:val="en-AU"/>
        </w:rPr>
        <w:t xml:space="preserve"> complaints </w:t>
      </w:r>
      <w:r w:rsidR="003D405D">
        <w:rPr>
          <w:lang w:val="en-AU"/>
        </w:rPr>
        <w:t>related to anticoagulants</w:t>
      </w:r>
      <w:r w:rsidR="0088183B">
        <w:rPr>
          <w:lang w:val="en-AU"/>
        </w:rPr>
        <w:t>;</w:t>
      </w:r>
      <w:r w:rsidR="003D405D">
        <w:rPr>
          <w:lang w:val="en-AU"/>
        </w:rPr>
        <w:t xml:space="preserve"> </w:t>
      </w:r>
      <w:r w:rsidR="471157AC" w:rsidRPr="01482530">
        <w:rPr>
          <w:lang w:val="en-AU"/>
        </w:rPr>
        <w:t>reports</w:t>
      </w:r>
      <w:r w:rsidR="0088183B">
        <w:rPr>
          <w:lang w:val="en-AU"/>
        </w:rPr>
        <w:t>, including</w:t>
      </w:r>
      <w:r w:rsidR="471157AC" w:rsidRPr="01482530">
        <w:rPr>
          <w:lang w:val="en-AU"/>
        </w:rPr>
        <w:t xml:space="preserve"> findings and recommendations</w:t>
      </w:r>
      <w:r w:rsidR="0088183B">
        <w:rPr>
          <w:lang w:val="en-AU"/>
        </w:rPr>
        <w:t xml:space="preserve"> are available from</w:t>
      </w:r>
      <w:r w:rsidR="00545374">
        <w:rPr>
          <w:lang w:val="en-AU"/>
        </w:rPr>
        <w:t xml:space="preserve"> the Health and Disability Commissioner website</w:t>
      </w:r>
      <w:r w:rsidR="0088183B">
        <w:rPr>
          <w:lang w:val="en-AU"/>
        </w:rPr>
        <w:t>:</w:t>
      </w:r>
      <w:r w:rsidR="005F3582" w:rsidRPr="005F3582">
        <w:t xml:space="preserve"> </w:t>
      </w:r>
      <w:r w:rsidR="005F3582" w:rsidRPr="005F3582">
        <w:rPr>
          <w:lang w:val="en-AU"/>
        </w:rPr>
        <w:t>www.hdc.org.nz</w:t>
      </w:r>
      <w:r w:rsidR="00545374">
        <w:rPr>
          <w:lang w:val="en-AU"/>
        </w:rPr>
        <w:t>.</w:t>
      </w:r>
    </w:p>
    <w:p w14:paraId="240E2FD8" w14:textId="04D28E92" w:rsidR="004719E3" w:rsidRDefault="001A00D2" w:rsidP="0015266B">
      <w:pPr>
        <w:pStyle w:val="TeThHauorabodytext"/>
      </w:pPr>
      <w:r w:rsidRPr="0066381F">
        <w:rPr>
          <w:b/>
          <w:bCs/>
          <w:lang w:val="en-AU"/>
        </w:rPr>
        <w:t xml:space="preserve">The </w:t>
      </w:r>
      <w:r w:rsidR="471157AC" w:rsidRPr="0066381F">
        <w:rPr>
          <w:b/>
          <w:bCs/>
          <w:lang w:val="en-AU"/>
        </w:rPr>
        <w:t xml:space="preserve">National </w:t>
      </w:r>
      <w:r w:rsidR="00963DD1" w:rsidRPr="0066381F">
        <w:rPr>
          <w:b/>
          <w:bCs/>
          <w:lang w:val="en-AU"/>
        </w:rPr>
        <w:t>M</w:t>
      </w:r>
      <w:r w:rsidR="471157AC" w:rsidRPr="0066381F">
        <w:rPr>
          <w:b/>
          <w:bCs/>
          <w:lang w:val="en-AU"/>
        </w:rPr>
        <w:t xml:space="preserve">inimum </w:t>
      </w:r>
      <w:r w:rsidR="00963DD1" w:rsidRPr="0066381F">
        <w:rPr>
          <w:b/>
          <w:bCs/>
          <w:lang w:val="en-AU"/>
        </w:rPr>
        <w:t>D</w:t>
      </w:r>
      <w:r w:rsidR="471157AC" w:rsidRPr="0066381F">
        <w:rPr>
          <w:b/>
          <w:bCs/>
          <w:lang w:val="en-AU"/>
        </w:rPr>
        <w:t>ata</w:t>
      </w:r>
      <w:r w:rsidR="009857BB" w:rsidRPr="0066381F">
        <w:rPr>
          <w:b/>
          <w:bCs/>
          <w:lang w:val="en-AU"/>
        </w:rPr>
        <w:t>s</w:t>
      </w:r>
      <w:r w:rsidR="471157AC" w:rsidRPr="0066381F">
        <w:rPr>
          <w:b/>
          <w:bCs/>
          <w:lang w:val="en-AU"/>
        </w:rPr>
        <w:t>et</w:t>
      </w:r>
      <w:r w:rsidR="00093C6E" w:rsidRPr="00D87809">
        <w:rPr>
          <w:lang w:val="en-AU"/>
        </w:rPr>
        <w:t xml:space="preserve"> </w:t>
      </w:r>
      <w:r w:rsidR="00093C6E" w:rsidRPr="00A75805">
        <w:rPr>
          <w:lang w:val="en-AU"/>
        </w:rPr>
        <w:t>(</w:t>
      </w:r>
      <w:r w:rsidR="00EE2961" w:rsidRPr="00A75805">
        <w:rPr>
          <w:lang w:val="en-AU"/>
        </w:rPr>
        <w:t>h</w:t>
      </w:r>
      <w:r w:rsidR="00093C6E" w:rsidRPr="00A75805">
        <w:rPr>
          <w:lang w:val="en-AU"/>
        </w:rPr>
        <w:t>o</w:t>
      </w:r>
      <w:r w:rsidR="00093C6E" w:rsidRPr="77B14858">
        <w:rPr>
          <w:lang w:val="en-AU"/>
        </w:rPr>
        <w:t>spital events</w:t>
      </w:r>
      <w:r w:rsidR="00680AE1" w:rsidRPr="77B14858">
        <w:rPr>
          <w:lang w:val="en-AU"/>
        </w:rPr>
        <w:t>)</w:t>
      </w:r>
      <w:r w:rsidR="00093C6E" w:rsidRPr="77B14858">
        <w:rPr>
          <w:lang w:val="en-AU"/>
        </w:rPr>
        <w:t xml:space="preserve"> </w:t>
      </w:r>
      <w:hyperlink r:id="rId13" w:history="1">
        <w:r w:rsidR="00093C6E" w:rsidRPr="00495190">
          <w:t>data dictionary</w:t>
        </w:r>
      </w:hyperlink>
      <w:r w:rsidR="001134A1">
        <w:rPr>
          <w:rStyle w:val="FootnoteReference"/>
          <w:lang w:val="en-AU"/>
        </w:rPr>
        <w:footnoteReference w:id="5"/>
      </w:r>
      <w:r w:rsidR="001F3CA1">
        <w:t xml:space="preserve"> </w:t>
      </w:r>
      <w:r w:rsidR="002A5F16">
        <w:t>is a national collection of discharge information, including clinical information, for inpatients and day patients</w:t>
      </w:r>
      <w:r w:rsidR="00845B37">
        <w:t xml:space="preserve"> from public and private hospitals</w:t>
      </w:r>
      <w:r w:rsidR="002A5F16">
        <w:t xml:space="preserve">. Unit record data is collected and stored. All records must have a valid </w:t>
      </w:r>
      <w:r w:rsidR="00EB0E1E">
        <w:t xml:space="preserve">national health index </w:t>
      </w:r>
      <w:r w:rsidR="002A5F16">
        <w:t>number.</w:t>
      </w:r>
      <w:r w:rsidR="00680AE1" w:rsidRPr="77B14858">
        <w:rPr>
          <w:lang w:val="en-AU"/>
        </w:rPr>
        <w:t xml:space="preserve"> </w:t>
      </w:r>
      <w:r w:rsidR="0066381F">
        <w:rPr>
          <w:lang w:val="en-AU"/>
        </w:rPr>
        <w:t xml:space="preserve">Public hospitals have submitted data </w:t>
      </w:r>
      <w:r w:rsidR="002A5F16">
        <w:t>electronically in an agreed format since 1993.</w:t>
      </w:r>
      <w:r w:rsidR="00CE554A">
        <w:t xml:space="preserve"> </w:t>
      </w:r>
      <w:r w:rsidR="00680AE1">
        <w:t xml:space="preserve">It </w:t>
      </w:r>
      <w:r w:rsidR="00CE554A">
        <w:t xml:space="preserve">is used for policy formation, performance monitoring, research, </w:t>
      </w:r>
      <w:proofErr w:type="gramStart"/>
      <w:r w:rsidR="00CE554A">
        <w:t>review</w:t>
      </w:r>
      <w:proofErr w:type="gramEnd"/>
      <w:r w:rsidR="003C20D0">
        <w:t xml:space="preserve"> and funding</w:t>
      </w:r>
      <w:r w:rsidR="00CE554A">
        <w:t xml:space="preserve">. It provides statistical information, </w:t>
      </w:r>
      <w:proofErr w:type="gramStart"/>
      <w:r w:rsidR="00CE554A">
        <w:t>reports</w:t>
      </w:r>
      <w:proofErr w:type="gramEnd"/>
      <w:r w:rsidR="00CE554A">
        <w:t xml:space="preserve"> and analyses about trends in the delivery of hospital inpatient and day patient health services</w:t>
      </w:r>
      <w:r w:rsidR="00F14400">
        <w:t>,</w:t>
      </w:r>
      <w:r w:rsidR="00CE554A">
        <w:t xml:space="preserve"> both nationally and </w:t>
      </w:r>
      <w:r w:rsidR="00BF1CC7">
        <w:t>by provider.</w:t>
      </w:r>
    </w:p>
    <w:p w14:paraId="0AC9B873" w14:textId="6B2ACF9F" w:rsidR="00986AE3" w:rsidRPr="00986AE3" w:rsidRDefault="1F76C86B" w:rsidP="0015266B">
      <w:pPr>
        <w:pStyle w:val="TeThHauorabodytext"/>
        <w:rPr>
          <w:lang w:val="en-AU"/>
        </w:rPr>
      </w:pPr>
      <w:r w:rsidRPr="01482530">
        <w:rPr>
          <w:lang w:val="en-AU"/>
        </w:rPr>
        <w:t>Adverse e</w:t>
      </w:r>
      <w:r w:rsidR="00CF5F2A">
        <w:rPr>
          <w:lang w:val="en-AU"/>
        </w:rPr>
        <w:t xml:space="preserve">ffects </w:t>
      </w:r>
      <w:r w:rsidRPr="01482530">
        <w:rPr>
          <w:lang w:val="en-AU"/>
        </w:rPr>
        <w:t xml:space="preserve">related to anticoagulants are captured in hospital using </w:t>
      </w:r>
      <w:r w:rsidR="00887A6D" w:rsidRPr="002C6820">
        <w:rPr>
          <w:i/>
          <w:iCs/>
          <w:lang w:val="en-AU"/>
        </w:rPr>
        <w:t>International Classification of Diseases</w:t>
      </w:r>
      <w:r w:rsidR="002C6820" w:rsidRPr="002C6820">
        <w:rPr>
          <w:i/>
          <w:iCs/>
          <w:lang w:val="en-AU"/>
        </w:rPr>
        <w:t xml:space="preserve"> and Related Health Problems 10th Revision </w:t>
      </w:r>
      <w:r w:rsidR="002C6820">
        <w:rPr>
          <w:lang w:val="en-AU"/>
        </w:rPr>
        <w:t>codes</w:t>
      </w:r>
      <w:r w:rsidRPr="01482530">
        <w:rPr>
          <w:lang w:val="en-AU"/>
        </w:rPr>
        <w:t xml:space="preserve"> Y44</w:t>
      </w:r>
      <w:r w:rsidR="004719E3">
        <w:rPr>
          <w:lang w:val="en-AU"/>
        </w:rPr>
        <w:t>.</w:t>
      </w:r>
      <w:r w:rsidRPr="01482530">
        <w:rPr>
          <w:lang w:val="en-AU"/>
        </w:rPr>
        <w:t>2 and Y44</w:t>
      </w:r>
      <w:r w:rsidR="004719E3">
        <w:rPr>
          <w:lang w:val="en-AU"/>
        </w:rPr>
        <w:t>.</w:t>
      </w:r>
      <w:r w:rsidRPr="01482530">
        <w:rPr>
          <w:lang w:val="en-AU"/>
        </w:rPr>
        <w:t>3</w:t>
      </w:r>
      <w:r w:rsidR="3073E729" w:rsidRPr="01482530">
        <w:rPr>
          <w:lang w:val="en-AU"/>
        </w:rPr>
        <w:t xml:space="preserve">. </w:t>
      </w:r>
      <w:r w:rsidR="0066381F">
        <w:rPr>
          <w:lang w:val="en-AU"/>
        </w:rPr>
        <w:t xml:space="preserve">Exploring </w:t>
      </w:r>
      <w:r w:rsidR="3073E729" w:rsidRPr="01482530">
        <w:rPr>
          <w:lang w:val="en-AU"/>
        </w:rPr>
        <w:t>these codes in conjunction with specific bleeding and clotting codes gives a clear picture of true adverse events.</w:t>
      </w:r>
    </w:p>
    <w:p w14:paraId="7992CBD5" w14:textId="4A93D940" w:rsidR="00B902D7" w:rsidRPr="00615847" w:rsidRDefault="4AAA9A33" w:rsidP="00615847">
      <w:pPr>
        <w:spacing w:after="200"/>
        <w:rPr>
          <w:rFonts w:eastAsiaTheme="majorEastAsia" w:cs="Arial"/>
          <w:b/>
          <w:color w:val="293868"/>
          <w:sz w:val="36"/>
          <w:szCs w:val="32"/>
        </w:rPr>
      </w:pPr>
      <w:r w:rsidRPr="000D4732">
        <w:rPr>
          <w:rFonts w:eastAsiaTheme="majorEastAsia" w:cs="Arial"/>
          <w:b/>
          <w:color w:val="293868"/>
          <w:sz w:val="36"/>
          <w:szCs w:val="32"/>
        </w:rPr>
        <w:t xml:space="preserve">Anticoagulation </w:t>
      </w:r>
      <w:r w:rsidR="00B72642">
        <w:rPr>
          <w:rFonts w:eastAsiaTheme="majorEastAsia" w:cs="Arial"/>
          <w:b/>
          <w:color w:val="293868"/>
          <w:sz w:val="36"/>
          <w:szCs w:val="32"/>
        </w:rPr>
        <w:t>q</w:t>
      </w:r>
      <w:r w:rsidR="00602EA4" w:rsidRPr="00615847">
        <w:rPr>
          <w:rFonts w:eastAsiaTheme="majorEastAsia" w:cs="Arial"/>
          <w:b/>
          <w:color w:val="293868"/>
          <w:sz w:val="36"/>
          <w:szCs w:val="32"/>
        </w:rPr>
        <w:t xml:space="preserve">uality </w:t>
      </w:r>
      <w:r w:rsidR="00B72642">
        <w:rPr>
          <w:rFonts w:eastAsiaTheme="majorEastAsia" w:cs="Arial"/>
          <w:b/>
          <w:color w:val="293868"/>
          <w:sz w:val="36"/>
          <w:szCs w:val="32"/>
        </w:rPr>
        <w:t>i</w:t>
      </w:r>
      <w:r w:rsidR="00602EA4" w:rsidRPr="00615847">
        <w:rPr>
          <w:rFonts w:eastAsiaTheme="majorEastAsia" w:cs="Arial"/>
          <w:b/>
          <w:color w:val="293868"/>
          <w:sz w:val="36"/>
          <w:szCs w:val="32"/>
        </w:rPr>
        <w:t xml:space="preserve">mprovement </w:t>
      </w:r>
      <w:r w:rsidRPr="000D4732">
        <w:rPr>
          <w:rFonts w:eastAsiaTheme="majorEastAsia" w:cs="Arial"/>
          <w:b/>
          <w:color w:val="293868"/>
          <w:sz w:val="36"/>
          <w:szCs w:val="32"/>
        </w:rPr>
        <w:t>pro</w:t>
      </w:r>
      <w:r w:rsidR="008321F7" w:rsidRPr="00615847">
        <w:rPr>
          <w:rFonts w:eastAsiaTheme="majorEastAsia" w:cs="Arial"/>
          <w:b/>
          <w:color w:val="293868"/>
          <w:sz w:val="36"/>
          <w:szCs w:val="32"/>
        </w:rPr>
        <w:t>ject</w:t>
      </w:r>
      <w:r w:rsidR="008321F7">
        <w:t xml:space="preserve"> </w:t>
      </w:r>
    </w:p>
    <w:p w14:paraId="2BD8720E" w14:textId="7C033F28" w:rsidR="00A66A5E" w:rsidRDefault="009E3A57" w:rsidP="00887AFE">
      <w:pPr>
        <w:pStyle w:val="TeThHauorabodytext"/>
      </w:pPr>
      <w:proofErr w:type="spellStart"/>
      <w:r>
        <w:t>Te</w:t>
      </w:r>
      <w:proofErr w:type="spellEnd"/>
      <w:r>
        <w:t xml:space="preserve"> </w:t>
      </w:r>
      <w:proofErr w:type="spellStart"/>
      <w:r>
        <w:t>Tāhū</w:t>
      </w:r>
      <w:proofErr w:type="spellEnd"/>
      <w:r>
        <w:t xml:space="preserve"> Hauora initiated a collaborative </w:t>
      </w:r>
      <w:r w:rsidR="006C5204">
        <w:t>(</w:t>
      </w:r>
      <w:r w:rsidR="0015274C">
        <w:t>Institute for Healthcare Improvement 2004</w:t>
      </w:r>
      <w:r w:rsidR="006C5204">
        <w:t xml:space="preserve">) </w:t>
      </w:r>
      <w:r>
        <w:t xml:space="preserve">to improve the safer use of anticoagulants in September 2022. The aim of the project was to develop a national package of interventions to implement across Aotearoa New Zealand </w:t>
      </w:r>
      <w:r w:rsidR="00435F96">
        <w:t xml:space="preserve">to </w:t>
      </w:r>
      <w:r w:rsidR="006F35EB">
        <w:t>encourage</w:t>
      </w:r>
      <w:r>
        <w:t xml:space="preserve"> the safer use of anticoagulants. Seven district hospital teams participated in the collaborative.</w:t>
      </w:r>
    </w:p>
    <w:p w14:paraId="09A10B65" w14:textId="4325FDBD" w:rsidR="002B11F1" w:rsidRDefault="002B11F1" w:rsidP="01482530">
      <w:pPr>
        <w:pStyle w:val="TeThHauorabodytext"/>
      </w:pPr>
      <w:r>
        <w:t>As the project progressed</w:t>
      </w:r>
      <w:r w:rsidR="00DE1FF7">
        <w:t>,</w:t>
      </w:r>
      <w:r>
        <w:t xml:space="preserve"> </w:t>
      </w:r>
      <w:r w:rsidR="008C28A0" w:rsidRPr="1B6BA143">
        <w:t>the project team started to critically review the goal and ask questions to ensure that the planned project was beneficial at a system level</w:t>
      </w:r>
      <w:r w:rsidR="00113064">
        <w:t xml:space="preserve">. </w:t>
      </w:r>
      <w:r w:rsidR="00A5577A">
        <w:t>The literature review identified ACSPs as a</w:t>
      </w:r>
      <w:r w:rsidR="00A5577A" w:rsidRPr="1B6BA143">
        <w:t xml:space="preserve"> key intervention </w:t>
      </w:r>
      <w:r w:rsidR="00A5577A">
        <w:t xml:space="preserve">that </w:t>
      </w:r>
      <w:r w:rsidR="00A5577A" w:rsidRPr="1B6BA143">
        <w:t xml:space="preserve">has </w:t>
      </w:r>
      <w:r w:rsidR="00A5577A">
        <w:t xml:space="preserve">been </w:t>
      </w:r>
      <w:r w:rsidR="00113064" w:rsidRPr="1B6BA143">
        <w:t>shown to make a difference</w:t>
      </w:r>
      <w:r w:rsidR="0034500C">
        <w:t xml:space="preserve">. </w:t>
      </w:r>
      <w:r w:rsidR="0052668F">
        <w:rPr>
          <w:rFonts w:eastAsiaTheme="minorEastAsia"/>
        </w:rPr>
        <w:t>They</w:t>
      </w:r>
      <w:r w:rsidR="0052668F" w:rsidRPr="1B6BA143">
        <w:rPr>
          <w:rFonts w:eastAsiaTheme="minorEastAsia"/>
        </w:rPr>
        <w:t xml:space="preserve"> ha</w:t>
      </w:r>
      <w:r w:rsidR="0052668F">
        <w:rPr>
          <w:rFonts w:eastAsiaTheme="minorEastAsia"/>
        </w:rPr>
        <w:t>ve</w:t>
      </w:r>
      <w:r w:rsidR="0052668F" w:rsidRPr="1B6BA143">
        <w:rPr>
          <w:rFonts w:eastAsiaTheme="minorEastAsia"/>
        </w:rPr>
        <w:t xml:space="preserve"> been developed and tested overseas</w:t>
      </w:r>
      <w:r w:rsidR="0052668F">
        <w:rPr>
          <w:rFonts w:eastAsiaTheme="minorEastAsia"/>
        </w:rPr>
        <w:t>,</w:t>
      </w:r>
      <w:r w:rsidR="0052668F" w:rsidRPr="1B6BA143">
        <w:rPr>
          <w:rFonts w:eastAsiaTheme="minorEastAsia"/>
        </w:rPr>
        <w:t xml:space="preserve"> and results are promising</w:t>
      </w:r>
      <w:r w:rsidR="0052668F">
        <w:rPr>
          <w:rFonts w:eastAsiaTheme="minorEastAsia"/>
        </w:rPr>
        <w:t xml:space="preserve"> (</w:t>
      </w:r>
      <w:r w:rsidR="0052668F" w:rsidRPr="00673CAD">
        <w:t xml:space="preserve">Burnett </w:t>
      </w:r>
      <w:r w:rsidR="0052668F">
        <w:t>and</w:t>
      </w:r>
      <w:r w:rsidR="0052668F" w:rsidRPr="00673CAD">
        <w:t xml:space="preserve"> </w:t>
      </w:r>
      <w:r w:rsidR="0052668F" w:rsidRPr="00673CAD">
        <w:lastRenderedPageBreak/>
        <w:t>Barnes</w:t>
      </w:r>
      <w:r w:rsidR="0052668F">
        <w:t xml:space="preserve"> 2022). </w:t>
      </w:r>
      <w:r w:rsidR="00E94336">
        <w:t xml:space="preserve">On reviewing the </w:t>
      </w:r>
      <w:r w:rsidR="005F7290" w:rsidRPr="1B6BA143">
        <w:t>information gathered as part of the collaborative</w:t>
      </w:r>
      <w:r w:rsidR="005F7290">
        <w:t xml:space="preserve"> and </w:t>
      </w:r>
      <w:r w:rsidR="00A5577A">
        <w:t xml:space="preserve">consulting </w:t>
      </w:r>
      <w:r>
        <w:t>with stakeholders</w:t>
      </w:r>
      <w:r w:rsidR="00226E91">
        <w:t>,</w:t>
      </w:r>
      <w:r w:rsidR="0034500C">
        <w:t xml:space="preserve"> </w:t>
      </w:r>
      <w:proofErr w:type="spellStart"/>
      <w:r>
        <w:t>Te</w:t>
      </w:r>
      <w:proofErr w:type="spellEnd"/>
      <w:r>
        <w:t xml:space="preserve"> </w:t>
      </w:r>
      <w:proofErr w:type="spellStart"/>
      <w:r>
        <w:t>Tāhū</w:t>
      </w:r>
      <w:proofErr w:type="spellEnd"/>
      <w:r>
        <w:t xml:space="preserve"> Hauora pivoted from developing a specific intervention package towards a stewardship approach.</w:t>
      </w:r>
      <w:r w:rsidRPr="005279FA">
        <w:t xml:space="preserve"> </w:t>
      </w:r>
    </w:p>
    <w:p w14:paraId="5173F382" w14:textId="26625903" w:rsidR="009E3A57" w:rsidRPr="002910D4" w:rsidRDefault="08442877" w:rsidP="01482530">
      <w:pPr>
        <w:pStyle w:val="TeThHauorabodytext"/>
      </w:pPr>
      <w:r>
        <w:t>S</w:t>
      </w:r>
      <w:r w:rsidR="008C28A0">
        <w:t xml:space="preserve">tewardship </w:t>
      </w:r>
      <w:r w:rsidR="4774CA19">
        <w:t>is</w:t>
      </w:r>
      <w:r w:rsidR="008C28A0">
        <w:t xml:space="preserve"> a</w:t>
      </w:r>
      <w:r w:rsidR="005A5494">
        <w:t>n approach centred around</w:t>
      </w:r>
      <w:r w:rsidR="008C28A0">
        <w:t xml:space="preserve"> continuous improvement and </w:t>
      </w:r>
      <w:r w:rsidR="008C28A0" w:rsidRPr="000622A1">
        <w:t xml:space="preserve">promotes a </w:t>
      </w:r>
      <w:r w:rsidR="00A5577A" w:rsidRPr="000622A1">
        <w:t>whole</w:t>
      </w:r>
      <w:r w:rsidR="00A5577A">
        <w:t>-</w:t>
      </w:r>
      <w:r w:rsidR="00A5577A" w:rsidRPr="000622A1">
        <w:t>of</w:t>
      </w:r>
      <w:r w:rsidR="00A5577A">
        <w:t>-</w:t>
      </w:r>
      <w:r w:rsidR="00A5577A" w:rsidRPr="000622A1">
        <w:t xml:space="preserve">system </w:t>
      </w:r>
      <w:r w:rsidR="008C28A0" w:rsidRPr="000622A1">
        <w:t>change.</w:t>
      </w:r>
      <w:r w:rsidR="008C28A0">
        <w:t xml:space="preserve"> Th</w:t>
      </w:r>
      <w:r w:rsidR="0584A3A2">
        <w:t xml:space="preserve">is approach was </w:t>
      </w:r>
      <w:r w:rsidR="003F429E">
        <w:t xml:space="preserve">based </w:t>
      </w:r>
      <w:r w:rsidR="0584A3A2">
        <w:t xml:space="preserve">on </w:t>
      </w:r>
      <w:r w:rsidR="0584A3A2" w:rsidRPr="01482530">
        <w:rPr>
          <w:rFonts w:eastAsiaTheme="minorEastAsia"/>
        </w:rPr>
        <w:t xml:space="preserve">antimicrobial stewardship </w:t>
      </w:r>
      <w:r w:rsidR="0584A3A2">
        <w:rPr>
          <w:rFonts w:eastAsiaTheme="minorEastAsia"/>
        </w:rPr>
        <w:t>(</w:t>
      </w:r>
      <w:r w:rsidR="00786485">
        <w:t>Mendelson et al 2020)</w:t>
      </w:r>
      <w:r w:rsidR="0584A3A2">
        <w:t xml:space="preserve"> and</w:t>
      </w:r>
      <w:r w:rsidR="008C28A0">
        <w:t xml:space="preserve"> aims to promote safe, high-quality patient care by improving the systematic management of anticoagulants within and across health care </w:t>
      </w:r>
      <w:r w:rsidR="0034500C">
        <w:t>settings.</w:t>
      </w:r>
      <w:r w:rsidR="00B5654F">
        <w:rPr>
          <w:rFonts w:eastAsiaTheme="minorEastAsia"/>
        </w:rPr>
        <w:t xml:space="preserve"> </w:t>
      </w:r>
      <w:r w:rsidR="00BB7E27" w:rsidRPr="1B6BA143">
        <w:rPr>
          <w:rFonts w:eastAsiaTheme="minorEastAsia"/>
        </w:rPr>
        <w:t xml:space="preserve"> </w:t>
      </w:r>
    </w:p>
    <w:p w14:paraId="79D6DEA7" w14:textId="0A56789E" w:rsidR="009E3A57" w:rsidRPr="002910D4" w:rsidRDefault="64D69881" w:rsidP="01482530">
      <w:pPr>
        <w:pStyle w:val="TeThHauorabodytext"/>
      </w:pPr>
      <w:r>
        <w:t xml:space="preserve">Building on the local projects </w:t>
      </w:r>
      <w:r w:rsidR="0052668F">
        <w:t xml:space="preserve">undertaken during </w:t>
      </w:r>
      <w:r>
        <w:t xml:space="preserve">the initial collaborative, </w:t>
      </w:r>
      <w:proofErr w:type="spellStart"/>
      <w:r>
        <w:t>Te</w:t>
      </w:r>
      <w:proofErr w:type="spellEnd"/>
      <w:r>
        <w:t xml:space="preserve"> </w:t>
      </w:r>
      <w:proofErr w:type="spellStart"/>
      <w:r>
        <w:t>Tāhū</w:t>
      </w:r>
      <w:proofErr w:type="spellEnd"/>
      <w:r>
        <w:t xml:space="preserve"> Hauora is committed to developing an ACSP </w:t>
      </w:r>
      <w:r w:rsidR="00FA5C67">
        <w:t xml:space="preserve">for Aotearoa </w:t>
      </w:r>
      <w:r w:rsidR="00732DAC">
        <w:t xml:space="preserve">New Zealand </w:t>
      </w:r>
      <w:r>
        <w:t>based on the model developed in the USA</w:t>
      </w:r>
      <w:r w:rsidR="000E25EC">
        <w:t xml:space="preserve"> </w:t>
      </w:r>
      <w:r w:rsidR="000E25EC">
        <w:rPr>
          <w:rFonts w:eastAsiaTheme="minorEastAsia"/>
        </w:rPr>
        <w:t>(</w:t>
      </w:r>
      <w:r w:rsidR="000E25EC" w:rsidRPr="00673CAD">
        <w:t xml:space="preserve">Burnett </w:t>
      </w:r>
      <w:r w:rsidR="000E25EC">
        <w:t>and</w:t>
      </w:r>
      <w:r w:rsidR="000E25EC" w:rsidRPr="00673CAD">
        <w:t xml:space="preserve"> Barnes</w:t>
      </w:r>
      <w:r w:rsidR="000E25EC">
        <w:t xml:space="preserve"> 2022).</w:t>
      </w:r>
      <w:r>
        <w:t xml:space="preserve"> </w:t>
      </w:r>
      <w:r w:rsidRPr="01482530">
        <w:rPr>
          <w:rFonts w:eastAsiaTheme="minorEastAsia"/>
        </w:rPr>
        <w:t xml:space="preserve">The project team identified that all elements of the programme need to be applicable to the Aotearoa </w:t>
      </w:r>
      <w:r w:rsidR="00D879BB">
        <w:rPr>
          <w:rFonts w:eastAsiaTheme="minorEastAsia"/>
        </w:rPr>
        <w:t xml:space="preserve">New Zealand </w:t>
      </w:r>
      <w:r w:rsidRPr="01482530">
        <w:rPr>
          <w:rFonts w:eastAsiaTheme="minorEastAsia"/>
        </w:rPr>
        <w:t>context and local setting</w:t>
      </w:r>
      <w:r w:rsidR="00DF72F0">
        <w:rPr>
          <w:rFonts w:eastAsiaTheme="minorEastAsia"/>
        </w:rPr>
        <w:t>s</w:t>
      </w:r>
      <w:r w:rsidR="009D1B4D">
        <w:rPr>
          <w:rFonts w:eastAsiaTheme="minorEastAsia"/>
        </w:rPr>
        <w:t xml:space="preserve">. </w:t>
      </w:r>
      <w:r w:rsidR="00DF72F0">
        <w:rPr>
          <w:rFonts w:eastAsiaTheme="minorEastAsia"/>
        </w:rPr>
        <w:t>Ensuring</w:t>
      </w:r>
      <w:r w:rsidRPr="01482530">
        <w:rPr>
          <w:rFonts w:eastAsiaTheme="minorEastAsia"/>
        </w:rPr>
        <w:t xml:space="preserve"> that </w:t>
      </w:r>
      <w:r w:rsidR="00C54305">
        <w:rPr>
          <w:rFonts w:eastAsiaTheme="minorEastAsia"/>
        </w:rPr>
        <w:t xml:space="preserve">the ACSP </w:t>
      </w:r>
      <w:r>
        <w:t xml:space="preserve">places a strong emphasis on integrating Te Tiriti </w:t>
      </w:r>
      <w:r w:rsidR="008623DF">
        <w:t xml:space="preserve">o Waitangi </w:t>
      </w:r>
      <w:r>
        <w:t xml:space="preserve">principles, addressing </w:t>
      </w:r>
      <w:proofErr w:type="gramStart"/>
      <w:r>
        <w:t>inequities</w:t>
      </w:r>
      <w:proofErr w:type="gramEnd"/>
      <w:r>
        <w:t xml:space="preserve"> and incorporating consumer lived-experience perspectives</w:t>
      </w:r>
      <w:r w:rsidR="00DF72F0">
        <w:t xml:space="preserve"> is a priority</w:t>
      </w:r>
      <w:r>
        <w:t>.</w:t>
      </w:r>
    </w:p>
    <w:p w14:paraId="25296EAE" w14:textId="065B464E" w:rsidR="009E3A57" w:rsidRPr="009E5132" w:rsidRDefault="00DE43EE" w:rsidP="001C14D3">
      <w:pPr>
        <w:pStyle w:val="TeThHauorabullets"/>
        <w:numPr>
          <w:ilvl w:val="0"/>
          <w:numId w:val="0"/>
        </w:numPr>
      </w:pPr>
      <w:r>
        <w:t>F</w:t>
      </w:r>
      <w:r w:rsidRPr="00BC393B">
        <w:t>our core elements</w:t>
      </w:r>
      <w:r w:rsidRPr="01482530">
        <w:t xml:space="preserve"> </w:t>
      </w:r>
      <w:r>
        <w:t xml:space="preserve">are proposed to </w:t>
      </w:r>
      <w:r w:rsidR="73A31948" w:rsidRPr="01482530">
        <w:t>guide the approach to stewardship</w:t>
      </w:r>
      <w:r w:rsidR="00D879BB">
        <w:t>.</w:t>
      </w:r>
    </w:p>
    <w:p w14:paraId="5838EE39" w14:textId="218C86D5" w:rsidR="009E3A57" w:rsidRPr="009E5132" w:rsidRDefault="29306216" w:rsidP="002910D4">
      <w:pPr>
        <w:pStyle w:val="TeThHauorabullets"/>
      </w:pPr>
      <w:r w:rsidRPr="00A05064">
        <w:rPr>
          <w:b/>
          <w:bCs/>
        </w:rPr>
        <w:t>Improve knowledge and skills for consumers, whānau and clinicians:</w:t>
      </w:r>
      <w:r>
        <w:t xml:space="preserve"> Implement a person-centred education approach for consumers</w:t>
      </w:r>
      <w:r w:rsidR="00E241CE">
        <w:t>,</w:t>
      </w:r>
      <w:r>
        <w:t xml:space="preserve"> whānau</w:t>
      </w:r>
      <w:r w:rsidR="16772BBD">
        <w:t xml:space="preserve"> and staff</w:t>
      </w:r>
      <w:r w:rsidR="00D879BB">
        <w:t>.</w:t>
      </w:r>
    </w:p>
    <w:p w14:paraId="548E1385" w14:textId="259D37F5" w:rsidR="009E3A57" w:rsidRPr="009E5132" w:rsidRDefault="16772BBD" w:rsidP="002910D4">
      <w:pPr>
        <w:pStyle w:val="TeThHauorabullets"/>
      </w:pPr>
      <w:r w:rsidRPr="00A05064">
        <w:rPr>
          <w:b/>
          <w:bCs/>
        </w:rPr>
        <w:t>Monitor and report on measures:</w:t>
      </w:r>
      <w:r>
        <w:t xml:space="preserve"> Collect, </w:t>
      </w:r>
      <w:proofErr w:type="gramStart"/>
      <w:r>
        <w:t>analyse</w:t>
      </w:r>
      <w:proofErr w:type="gramEnd"/>
      <w:r>
        <w:t xml:space="preserve"> and share data routinely to support continuous quality improvement</w:t>
      </w:r>
      <w:r w:rsidR="00D879BB">
        <w:t>.</w:t>
      </w:r>
    </w:p>
    <w:p w14:paraId="39BC848E" w14:textId="2C27A1D8" w:rsidR="009E3A57" w:rsidRPr="009E5132" w:rsidRDefault="5A6C4591" w:rsidP="002910D4">
      <w:pPr>
        <w:pStyle w:val="TeThHauorabullets"/>
      </w:pPr>
      <w:r w:rsidRPr="00A05064">
        <w:rPr>
          <w:b/>
          <w:bCs/>
        </w:rPr>
        <w:t>Commit to local and national governance and leadership</w:t>
      </w:r>
      <w:r>
        <w:t xml:space="preserve">: Secure leadership commitment and align </w:t>
      </w:r>
      <w:r w:rsidR="00D12EFF">
        <w:t xml:space="preserve">with </w:t>
      </w:r>
      <w:r>
        <w:t>existing clinical governance structure</w:t>
      </w:r>
      <w:r w:rsidR="00D879BB">
        <w:t>.</w:t>
      </w:r>
    </w:p>
    <w:p w14:paraId="585AE04A" w14:textId="66A8274A" w:rsidR="009E3A57" w:rsidRPr="002910D4" w:rsidRDefault="5A6C4591" w:rsidP="002910D4">
      <w:pPr>
        <w:pStyle w:val="TeThHauorabullets"/>
        <w:rPr>
          <w:rFonts w:cstheme="minorBidi"/>
        </w:rPr>
      </w:pPr>
      <w:r w:rsidRPr="00A05064">
        <w:rPr>
          <w:b/>
          <w:bCs/>
        </w:rPr>
        <w:t>Improve clinical processes and practices:</w:t>
      </w:r>
      <w:r>
        <w:t xml:space="preserve"> Use clinical risk assessment and decision-making tools and standardise clinical tools, </w:t>
      </w:r>
      <w:proofErr w:type="gramStart"/>
      <w:r>
        <w:t>pathways</w:t>
      </w:r>
      <w:proofErr w:type="gramEnd"/>
      <w:r>
        <w:t xml:space="preserve"> and practice</w:t>
      </w:r>
      <w:r w:rsidR="002910D4">
        <w:t>.</w:t>
      </w:r>
    </w:p>
    <w:p w14:paraId="7E9F1D75" w14:textId="72CD8922" w:rsidR="00824617" w:rsidRDefault="00C94F2C" w:rsidP="00824617">
      <w:pPr>
        <w:pStyle w:val="TeThHauorabodytext"/>
      </w:pPr>
      <w:r>
        <w:t>When implemented with all the core elements, ACSPs have the potential to improve the whole system</w:t>
      </w:r>
      <w:r w:rsidR="002D4BDD">
        <w:t xml:space="preserve"> (</w:t>
      </w:r>
      <w:proofErr w:type="spellStart"/>
      <w:r w:rsidR="002D4BDD" w:rsidRPr="00390F39">
        <w:t>Koolian</w:t>
      </w:r>
      <w:proofErr w:type="spellEnd"/>
      <w:r w:rsidR="002D4BDD">
        <w:t xml:space="preserve"> et al 2022)</w:t>
      </w:r>
      <w:r w:rsidR="00191FBF">
        <w:t>.</w:t>
      </w:r>
    </w:p>
    <w:p w14:paraId="4825A5D7" w14:textId="3E2CE8F2" w:rsidR="009E3A57" w:rsidRPr="00631DB3" w:rsidRDefault="0D18C0DA" w:rsidP="00B10F3B">
      <w:pPr>
        <w:pStyle w:val="TeThHauorahead2"/>
        <w:rPr>
          <w:i w:val="0"/>
          <w:sz w:val="36"/>
          <w:szCs w:val="32"/>
        </w:rPr>
      </w:pPr>
      <w:bookmarkStart w:id="8" w:name="_Toc153953940"/>
      <w:r w:rsidRPr="00631DB3">
        <w:rPr>
          <w:i w:val="0"/>
          <w:sz w:val="36"/>
          <w:szCs w:val="32"/>
        </w:rPr>
        <w:t>Benefits</w:t>
      </w:r>
      <w:bookmarkEnd w:id="8"/>
    </w:p>
    <w:p w14:paraId="5F6220B9" w14:textId="31FA55E7" w:rsidR="009E3A57" w:rsidRDefault="009E3A57" w:rsidP="009E3A57">
      <w:pPr>
        <w:pStyle w:val="TeThHauorabodytext"/>
      </w:pPr>
      <w:r>
        <w:t xml:space="preserve">Some of the benefits of this approach include: </w:t>
      </w:r>
    </w:p>
    <w:p w14:paraId="528E3B83" w14:textId="5AF5D6F0" w:rsidR="009E3A57" w:rsidRDefault="009E3A57" w:rsidP="009E3A57">
      <w:pPr>
        <w:pStyle w:val="TeThHauorabullets"/>
      </w:pPr>
      <w:r>
        <w:t xml:space="preserve">reduced </w:t>
      </w:r>
      <w:r w:rsidR="00D12EFF">
        <w:t xml:space="preserve">occurrence of </w:t>
      </w:r>
      <w:r>
        <w:t xml:space="preserve">adverse </w:t>
      </w:r>
      <w:r w:rsidR="009A30EB">
        <w:t>events</w:t>
      </w:r>
    </w:p>
    <w:p w14:paraId="358DF66B" w14:textId="503D00EB" w:rsidR="009E3A57" w:rsidRDefault="009E3A57" w:rsidP="009E3A57">
      <w:pPr>
        <w:pStyle w:val="TeThHauorabullets"/>
      </w:pPr>
      <w:r>
        <w:t xml:space="preserve">improved data collection, measurement, </w:t>
      </w:r>
      <w:proofErr w:type="gramStart"/>
      <w:r>
        <w:t>analysis</w:t>
      </w:r>
      <w:proofErr w:type="gramEnd"/>
      <w:r>
        <w:t xml:space="preserve"> and reporting</w:t>
      </w:r>
    </w:p>
    <w:p w14:paraId="1D31E206" w14:textId="4F592298" w:rsidR="00605A85" w:rsidRDefault="009E3A57" w:rsidP="009E3A57">
      <w:pPr>
        <w:pStyle w:val="TeThHauorabullets"/>
      </w:pPr>
      <w:r>
        <w:t>an overarching programme for Aotearoa New Zealand</w:t>
      </w:r>
    </w:p>
    <w:p w14:paraId="22333AF1" w14:textId="2990F84A" w:rsidR="009E3A57" w:rsidRDefault="009E3A57" w:rsidP="009E3A57">
      <w:pPr>
        <w:pStyle w:val="TeThHauorabullets"/>
      </w:pPr>
      <w:r>
        <w:t>potential for standardisation</w:t>
      </w:r>
      <w:r w:rsidR="002E599D" w:rsidRPr="002E599D">
        <w:t xml:space="preserve"> </w:t>
      </w:r>
      <w:r w:rsidR="002E599D">
        <w:t>of pathways and tools</w:t>
      </w:r>
    </w:p>
    <w:p w14:paraId="226901C0" w14:textId="2D0770B3" w:rsidR="009E3A57" w:rsidRDefault="009E3A57" w:rsidP="009E3A57">
      <w:pPr>
        <w:pStyle w:val="TeThHauorabullets"/>
      </w:pPr>
      <w:r>
        <w:t>clinical and economic benefits</w:t>
      </w:r>
    </w:p>
    <w:p w14:paraId="3174E031" w14:textId="117B4365" w:rsidR="009E3A57" w:rsidRDefault="009E3A57" w:rsidP="009E3A57">
      <w:pPr>
        <w:pStyle w:val="TeThHauorabullets"/>
      </w:pPr>
      <w:r>
        <w:t>readily available materials and resources</w:t>
      </w:r>
    </w:p>
    <w:p w14:paraId="227FFCFA" w14:textId="4D5DBA5A" w:rsidR="0087542F" w:rsidRDefault="00A200D2" w:rsidP="009E3A57">
      <w:pPr>
        <w:pStyle w:val="TeThHauorabullets"/>
      </w:pPr>
      <w:r>
        <w:t>e</w:t>
      </w:r>
      <w:r w:rsidR="00FF0948">
        <w:t xml:space="preserve">ffective </w:t>
      </w:r>
      <w:r w:rsidR="00B405FD">
        <w:t>anticoagulation</w:t>
      </w:r>
      <w:r w:rsidR="00605A85">
        <w:t>-</w:t>
      </w:r>
      <w:r w:rsidR="00017AB6">
        <w:t>related care transitions</w:t>
      </w:r>
    </w:p>
    <w:p w14:paraId="6BC98F8A" w14:textId="1FC2F6FF" w:rsidR="009E3A57" w:rsidRDefault="009E3A57" w:rsidP="009E3A57">
      <w:pPr>
        <w:pStyle w:val="TeThHauorabullets"/>
      </w:pPr>
      <w:r>
        <w:t>a sustainable approach</w:t>
      </w:r>
    </w:p>
    <w:p w14:paraId="2E9495DF" w14:textId="158A687C" w:rsidR="009E3A57" w:rsidRDefault="009E3A57" w:rsidP="009E3A57">
      <w:pPr>
        <w:pStyle w:val="TeThHauorabullets"/>
      </w:pPr>
      <w:r>
        <w:t>align</w:t>
      </w:r>
      <w:r w:rsidR="00BB3B7C">
        <w:t>ment</w:t>
      </w:r>
      <w:r>
        <w:t xml:space="preserve"> with international best practice</w:t>
      </w:r>
    </w:p>
    <w:p w14:paraId="56651E84" w14:textId="26E5A3D7" w:rsidR="00626713" w:rsidRDefault="00995F92" w:rsidP="009E3A57">
      <w:pPr>
        <w:pStyle w:val="TeThHauorabullets"/>
      </w:pPr>
      <w:r>
        <w:t>i</w:t>
      </w:r>
      <w:r w:rsidR="004D022B">
        <w:t>mproved c</w:t>
      </w:r>
      <w:r w:rsidR="00626713">
        <w:t xml:space="preserve">onsumer </w:t>
      </w:r>
      <w:r w:rsidR="00F067AB">
        <w:t>involvement</w:t>
      </w:r>
      <w:r w:rsidR="00605A85">
        <w:t>,</w:t>
      </w:r>
      <w:r w:rsidR="00F067AB">
        <w:t xml:space="preserve"> including </w:t>
      </w:r>
      <w:r w:rsidR="00954C95">
        <w:t>decision</w:t>
      </w:r>
      <w:r w:rsidR="00311D32">
        <w:t>-</w:t>
      </w:r>
      <w:r w:rsidR="00954C95">
        <w:t xml:space="preserve">making and </w:t>
      </w:r>
      <w:r w:rsidR="00E146B2">
        <w:t>care</w:t>
      </w:r>
      <w:r w:rsidR="008F3EB9">
        <w:t xml:space="preserve"> </w:t>
      </w:r>
      <w:proofErr w:type="gramStart"/>
      <w:r w:rsidR="009A30EB">
        <w:t>interventions</w:t>
      </w:r>
      <w:proofErr w:type="gramEnd"/>
    </w:p>
    <w:p w14:paraId="4DF72AB9" w14:textId="56E35553" w:rsidR="002E599D" w:rsidRDefault="00995F92" w:rsidP="002910D4">
      <w:pPr>
        <w:pStyle w:val="TeThHauorabullets"/>
      </w:pPr>
      <w:r>
        <w:t>improved health literacy at all levels</w:t>
      </w:r>
    </w:p>
    <w:p w14:paraId="00DB5E42" w14:textId="77777777" w:rsidR="00F43D0C" w:rsidRPr="000C6ACA" w:rsidRDefault="4CF313F8" w:rsidP="000C6ACA">
      <w:pPr>
        <w:pStyle w:val="ListBullet"/>
      </w:pPr>
      <w:r w:rsidRPr="000C6ACA">
        <w:t>education for clinical staff</w:t>
      </w:r>
      <w:r w:rsidR="006375B0" w:rsidRPr="000C6ACA">
        <w:t>.</w:t>
      </w:r>
      <w:r w:rsidR="00F43D0C" w:rsidRPr="000C6ACA">
        <w:t xml:space="preserve"> </w:t>
      </w:r>
    </w:p>
    <w:p w14:paraId="54698416" w14:textId="6E322257" w:rsidR="00F43D0C" w:rsidRDefault="00F43D0C" w:rsidP="00F43D0C">
      <w:pPr>
        <w:pStyle w:val="TeThHauorabodytext"/>
      </w:pPr>
      <w:r w:rsidRPr="006A5DEE">
        <w:lastRenderedPageBreak/>
        <w:t>Given that only limited data is available to support the development of an ACSP, the collaborative agreed to use the National Minimum Dataset to create measures/indicators. As no national indicator exists, significant effort and collaboration was undertaken with clinicians and health quality intelligence to define anticoagulation-related harm and develop an appropriate indicator.</w:t>
      </w:r>
    </w:p>
    <w:p w14:paraId="5EF3E8CA" w14:textId="1B878770" w:rsidR="00CD0E84" w:rsidRDefault="51D52EBA" w:rsidP="00CD0E84">
      <w:pPr>
        <w:pStyle w:val="ListParagraph"/>
        <w:ind w:left="0"/>
      </w:pPr>
      <w:r>
        <w:t>Implementation of this programme will contribute towards achieving the criteria set out in section 3 of the</w:t>
      </w:r>
      <w:r w:rsidR="008F13F8">
        <w:t xml:space="preserve"> </w:t>
      </w:r>
      <w:proofErr w:type="spellStart"/>
      <w:r w:rsidR="0055038D">
        <w:t>Ngā</w:t>
      </w:r>
      <w:proofErr w:type="spellEnd"/>
      <w:r w:rsidR="0055038D">
        <w:t xml:space="preserve"> </w:t>
      </w:r>
      <w:proofErr w:type="spellStart"/>
      <w:r w:rsidR="0055038D">
        <w:t>paerewa</w:t>
      </w:r>
      <w:proofErr w:type="spellEnd"/>
      <w:r w:rsidR="0055038D">
        <w:t xml:space="preserve"> Health and disability services standard</w:t>
      </w:r>
      <w:r w:rsidR="00BF79BF">
        <w:t>.</w:t>
      </w:r>
      <w:r w:rsidR="0055038D">
        <w:rPr>
          <w:rStyle w:val="FootnoteReference"/>
        </w:rPr>
        <w:footnoteReference w:id="6"/>
      </w:r>
      <w:r w:rsidR="0079053A">
        <w:t xml:space="preserve"> </w:t>
      </w:r>
      <w:r w:rsidR="00EC3787" w:rsidRPr="00EC3787">
        <w:t>Specifically, th</w:t>
      </w:r>
      <w:r w:rsidR="00A6305B">
        <w:t>e</w:t>
      </w:r>
      <w:r w:rsidR="00361D62">
        <w:t xml:space="preserve"> planned</w:t>
      </w:r>
      <w:r w:rsidR="00A6305B">
        <w:t xml:space="preserve"> how</w:t>
      </w:r>
      <w:r w:rsidR="00007C59">
        <w:t>-</w:t>
      </w:r>
      <w:r w:rsidR="00A6305B">
        <w:t xml:space="preserve">to </w:t>
      </w:r>
      <w:r w:rsidR="00EC3787" w:rsidRPr="00EC3787">
        <w:t>guide will help organisation</w:t>
      </w:r>
      <w:r w:rsidR="00B73469">
        <w:t>s</w:t>
      </w:r>
      <w:r w:rsidR="00EC3787" w:rsidRPr="00EC3787">
        <w:t xml:space="preserve"> meet t</w:t>
      </w:r>
      <w:r>
        <w:t>he requirements of section 3.4 of the standard.</w:t>
      </w:r>
    </w:p>
    <w:p w14:paraId="53B7629D" w14:textId="346070A0" w:rsidR="00CD0E84" w:rsidRPr="00796900" w:rsidRDefault="00CD0E84" w:rsidP="00CD0E84">
      <w:pPr>
        <w:pStyle w:val="TeThHauorahead2"/>
        <w:rPr>
          <w:i w:val="0"/>
          <w:sz w:val="36"/>
          <w:szCs w:val="32"/>
        </w:rPr>
      </w:pPr>
      <w:bookmarkStart w:id="9" w:name="_Toc153953941"/>
      <w:r w:rsidRPr="00796900">
        <w:rPr>
          <w:i w:val="0"/>
          <w:sz w:val="36"/>
          <w:szCs w:val="32"/>
        </w:rPr>
        <w:t>Next steps</w:t>
      </w:r>
      <w:bookmarkEnd w:id="9"/>
    </w:p>
    <w:p w14:paraId="0098FC5C" w14:textId="77B0BF7E" w:rsidR="006D7810" w:rsidRPr="006A5DEE" w:rsidRDefault="006D7810" w:rsidP="006D7810">
      <w:proofErr w:type="spellStart"/>
      <w:r w:rsidRPr="006A5DEE">
        <w:t>Te</w:t>
      </w:r>
      <w:proofErr w:type="spellEnd"/>
      <w:r w:rsidRPr="006A5DEE">
        <w:t xml:space="preserve"> </w:t>
      </w:r>
      <w:proofErr w:type="spellStart"/>
      <w:r w:rsidRPr="006A5DEE">
        <w:t>Tāhū</w:t>
      </w:r>
      <w:proofErr w:type="spellEnd"/>
      <w:r w:rsidRPr="006A5DEE">
        <w:t xml:space="preserve"> Hauora will continue to provide the leadership in terms of project management, quality improvement and stakeholder engagement</w:t>
      </w:r>
      <w:r w:rsidR="00762C7F" w:rsidRPr="006A5DEE">
        <w:t>.</w:t>
      </w:r>
      <w:r w:rsidRPr="006A5DEE">
        <w:t xml:space="preserve"> </w:t>
      </w:r>
      <w:r w:rsidR="00FE70D2">
        <w:t xml:space="preserve">Two interim groups have been set up to </w:t>
      </w:r>
      <w:r w:rsidRPr="006A5DEE">
        <w:t xml:space="preserve">support the development </w:t>
      </w:r>
      <w:r w:rsidR="00FE70D2">
        <w:t xml:space="preserve">of </w:t>
      </w:r>
      <w:r w:rsidRPr="006A5DEE">
        <w:t xml:space="preserve">and </w:t>
      </w:r>
      <w:r w:rsidR="00FE70D2">
        <w:t xml:space="preserve">provide direction on </w:t>
      </w:r>
      <w:r w:rsidRPr="006A5DEE">
        <w:t>the ACSP</w:t>
      </w:r>
      <w:r w:rsidR="00FE70D2">
        <w:t>.</w:t>
      </w:r>
    </w:p>
    <w:p w14:paraId="78D16FA6" w14:textId="0AB79B6B" w:rsidR="00A23A92" w:rsidRPr="00796900" w:rsidRDefault="006D7810" w:rsidP="009857BB">
      <w:pPr>
        <w:pStyle w:val="ListBullet"/>
        <w:tabs>
          <w:tab w:val="clear" w:pos="360"/>
          <w:tab w:val="num" w:pos="720"/>
        </w:tabs>
        <w:ind w:left="357" w:hanging="357"/>
        <w:rPr>
          <w:rFonts w:cs="Arial"/>
        </w:rPr>
      </w:pPr>
      <w:r w:rsidRPr="00796900">
        <w:t xml:space="preserve">A special interest group </w:t>
      </w:r>
      <w:r w:rsidR="00B73469">
        <w:t>that includes haematologists and a consumer</w:t>
      </w:r>
      <w:r w:rsidR="003F10E8" w:rsidRPr="00796900">
        <w:rPr>
          <w:rFonts w:cs="Arial"/>
        </w:rPr>
        <w:t>.</w:t>
      </w:r>
    </w:p>
    <w:p w14:paraId="0C7E312B" w14:textId="69A96D74" w:rsidR="0098249A" w:rsidRPr="006A5DEE" w:rsidRDefault="006D7810" w:rsidP="009857BB">
      <w:pPr>
        <w:pStyle w:val="ListBullet"/>
        <w:tabs>
          <w:tab w:val="clear" w:pos="360"/>
          <w:tab w:val="num" w:pos="720"/>
        </w:tabs>
        <w:ind w:left="357" w:hanging="357"/>
      </w:pPr>
      <w:r w:rsidRPr="00796900">
        <w:t xml:space="preserve">An anticoagulation advisory group </w:t>
      </w:r>
      <w:r w:rsidR="00B73469">
        <w:t xml:space="preserve">that includes </w:t>
      </w:r>
      <w:r w:rsidR="00FE70D2">
        <w:t xml:space="preserve">different </w:t>
      </w:r>
      <w:r w:rsidRPr="00796900">
        <w:t>clinic</w:t>
      </w:r>
      <w:r w:rsidR="00FE70D2">
        <w:t>al professions</w:t>
      </w:r>
      <w:r w:rsidRPr="00796900">
        <w:t xml:space="preserve"> and </w:t>
      </w:r>
      <w:r w:rsidR="00FE70D2">
        <w:t xml:space="preserve">a </w:t>
      </w:r>
      <w:r w:rsidRPr="00796900">
        <w:t>consumer</w:t>
      </w:r>
      <w:r w:rsidRPr="006A5DEE">
        <w:t>.</w:t>
      </w:r>
    </w:p>
    <w:p w14:paraId="7B872569" w14:textId="6F200918" w:rsidR="00941D45" w:rsidRDefault="0098249A" w:rsidP="00774C32">
      <w:pPr>
        <w:pStyle w:val="TeThHauorabodytext"/>
      </w:pPr>
      <w:r>
        <w:t>The ACSP will be implemented in two phases. In phase one, the draft ACSP package will be tested with a few hospitals to ensure it meets the needs of local hospitals. Lessons learned from phase one will be used to refine the final package. In phase two, the final A</w:t>
      </w:r>
      <w:r w:rsidR="00823C0E">
        <w:t>CS</w:t>
      </w:r>
      <w:r>
        <w:t>P will be developed and made available to the sector to implement.</w:t>
      </w:r>
    </w:p>
    <w:p w14:paraId="52F901B9" w14:textId="77777777" w:rsidR="00E825C7" w:rsidRDefault="00E825C7" w:rsidP="00E825C7">
      <w:pPr>
        <w:pStyle w:val="TeThHauorahead1"/>
      </w:pPr>
      <w:bookmarkStart w:id="10" w:name="_Toc153953942"/>
      <w:r>
        <w:t>Project timeline</w:t>
      </w:r>
      <w:bookmarkEnd w:id="10"/>
    </w:p>
    <w:p w14:paraId="35C3E9C1" w14:textId="29999744" w:rsidR="00E825C7" w:rsidRDefault="00E825C7" w:rsidP="00882716">
      <w:pPr>
        <w:pStyle w:val="TeThHauorahead3"/>
      </w:pPr>
      <w:r w:rsidRPr="00551F83">
        <w:t>Phase 1, July–September 2023</w:t>
      </w:r>
      <w:r>
        <w:t xml:space="preserve"> (complete)</w:t>
      </w:r>
    </w:p>
    <w:p w14:paraId="37EB58E5" w14:textId="77777777" w:rsidR="00E825C7" w:rsidRDefault="00E825C7" w:rsidP="00E825C7">
      <w:pPr>
        <w:pStyle w:val="TeThHauorabullets"/>
      </w:pPr>
      <w:r>
        <w:t xml:space="preserve">Transition to stewardship approach for the </w:t>
      </w:r>
      <w:proofErr w:type="gramStart"/>
      <w:r>
        <w:t>programme</w:t>
      </w:r>
      <w:proofErr w:type="gramEnd"/>
    </w:p>
    <w:p w14:paraId="5ABE237B" w14:textId="77777777" w:rsidR="00E825C7" w:rsidRDefault="00E825C7" w:rsidP="00E825C7">
      <w:pPr>
        <w:pStyle w:val="TeThHauorabullets"/>
      </w:pPr>
      <w:r>
        <w:t xml:space="preserve">Consider testing </w:t>
      </w:r>
      <w:proofErr w:type="gramStart"/>
      <w:r>
        <w:t>approach</w:t>
      </w:r>
      <w:proofErr w:type="gramEnd"/>
      <w:r>
        <w:t xml:space="preserve"> </w:t>
      </w:r>
    </w:p>
    <w:p w14:paraId="4B63FACD" w14:textId="77777777" w:rsidR="00E825C7" w:rsidRPr="003E3598" w:rsidRDefault="00E825C7" w:rsidP="00E825C7">
      <w:pPr>
        <w:pStyle w:val="TeThHauorabullets"/>
      </w:pPr>
      <w:r>
        <w:t xml:space="preserve">Confirm clinical </w:t>
      </w:r>
      <w:proofErr w:type="gramStart"/>
      <w:r>
        <w:t>leadership</w:t>
      </w:r>
      <w:proofErr w:type="gramEnd"/>
      <w:r>
        <w:t xml:space="preserve"> </w:t>
      </w:r>
    </w:p>
    <w:p w14:paraId="55997180" w14:textId="102F61BD" w:rsidR="00E825C7" w:rsidRDefault="00E825C7" w:rsidP="00882716">
      <w:pPr>
        <w:pStyle w:val="TeThHauorahead3"/>
      </w:pPr>
      <w:r w:rsidRPr="00551F83">
        <w:t xml:space="preserve">Phase </w:t>
      </w:r>
      <w:r>
        <w:t>2</w:t>
      </w:r>
      <w:r w:rsidRPr="00551F83">
        <w:t xml:space="preserve">, </w:t>
      </w:r>
      <w:r>
        <w:t>October</w:t>
      </w:r>
      <w:r w:rsidRPr="00551F83">
        <w:t>–</w:t>
      </w:r>
      <w:r>
        <w:t>December</w:t>
      </w:r>
      <w:r w:rsidRPr="00551F83">
        <w:t xml:space="preserve"> 2023</w:t>
      </w:r>
      <w:r>
        <w:t xml:space="preserve"> (nearly complete)</w:t>
      </w:r>
    </w:p>
    <w:p w14:paraId="7AA40BF8" w14:textId="77777777" w:rsidR="00E825C7" w:rsidRDefault="00E825C7" w:rsidP="00E825C7">
      <w:pPr>
        <w:pStyle w:val="TeThHauorabullets"/>
      </w:pPr>
      <w:r>
        <w:t xml:space="preserve">Continue to develop ACPS </w:t>
      </w:r>
      <w:proofErr w:type="gramStart"/>
      <w:r>
        <w:t>package</w:t>
      </w:r>
      <w:proofErr w:type="gramEnd"/>
    </w:p>
    <w:p w14:paraId="026C2C72" w14:textId="77777777" w:rsidR="00E825C7" w:rsidRDefault="00E825C7" w:rsidP="00E825C7">
      <w:pPr>
        <w:pStyle w:val="TeThHauorabullets"/>
      </w:pPr>
      <w:r>
        <w:t xml:space="preserve">Develop testing </w:t>
      </w:r>
      <w:proofErr w:type="gramStart"/>
      <w:r>
        <w:t>approach</w:t>
      </w:r>
      <w:proofErr w:type="gramEnd"/>
    </w:p>
    <w:p w14:paraId="0AF1D4EE" w14:textId="7DC75CBF" w:rsidR="00E825C7" w:rsidRPr="006B673D" w:rsidRDefault="00E825C7" w:rsidP="00E825C7">
      <w:pPr>
        <w:pStyle w:val="TeThHauorabullets"/>
      </w:pPr>
      <w:r>
        <w:t>Establish groups (special interest group, anticoagulation advisory group)</w:t>
      </w:r>
    </w:p>
    <w:p w14:paraId="74FD137B" w14:textId="77777777" w:rsidR="00E825C7" w:rsidRDefault="00E825C7" w:rsidP="00882716">
      <w:pPr>
        <w:pStyle w:val="TeThHauorahead3"/>
      </w:pPr>
      <w:r w:rsidRPr="00551F83">
        <w:t xml:space="preserve">Phase </w:t>
      </w:r>
      <w:r>
        <w:t>3</w:t>
      </w:r>
      <w:r w:rsidRPr="00551F83">
        <w:t>, J</w:t>
      </w:r>
      <w:r>
        <w:t>anuary</w:t>
      </w:r>
      <w:r w:rsidRPr="00551F83">
        <w:t>–</w:t>
      </w:r>
      <w:r>
        <w:t>April</w:t>
      </w:r>
      <w:r w:rsidRPr="00551F83">
        <w:t xml:space="preserve"> 202</w:t>
      </w:r>
      <w:r>
        <w:t>4</w:t>
      </w:r>
    </w:p>
    <w:p w14:paraId="2BE15BE2" w14:textId="77777777" w:rsidR="00E825C7" w:rsidRDefault="00E825C7" w:rsidP="00E825C7">
      <w:pPr>
        <w:pStyle w:val="TeThHauorabullets"/>
      </w:pPr>
      <w:r>
        <w:t xml:space="preserve">Finalise ACPS </w:t>
      </w:r>
      <w:proofErr w:type="gramStart"/>
      <w:r>
        <w:t>package</w:t>
      </w:r>
      <w:proofErr w:type="gramEnd"/>
    </w:p>
    <w:p w14:paraId="7F8EACDD" w14:textId="77777777" w:rsidR="00E825C7" w:rsidRDefault="00E825C7" w:rsidP="00E825C7">
      <w:pPr>
        <w:pStyle w:val="TeThHauorabullets"/>
      </w:pPr>
      <w:r>
        <w:t xml:space="preserve">Establish test </w:t>
      </w:r>
      <w:proofErr w:type="gramStart"/>
      <w:r>
        <w:t>sites</w:t>
      </w:r>
      <w:proofErr w:type="gramEnd"/>
    </w:p>
    <w:p w14:paraId="1F8A8A3B" w14:textId="5A88AB41" w:rsidR="00E825C7" w:rsidRDefault="00E825C7" w:rsidP="00E825C7">
      <w:pPr>
        <w:pStyle w:val="TeThHauorabullets"/>
      </w:pPr>
      <w:r>
        <w:t xml:space="preserve">Begin testing phase </w:t>
      </w:r>
      <w:proofErr w:type="gramStart"/>
      <w:r>
        <w:t>February</w:t>
      </w:r>
      <w:proofErr w:type="gramEnd"/>
    </w:p>
    <w:p w14:paraId="20E5BB4C" w14:textId="77777777" w:rsidR="00E825C7" w:rsidRPr="00CF428A" w:rsidRDefault="00E825C7" w:rsidP="00E825C7">
      <w:pPr>
        <w:pStyle w:val="TeThHauorabullets"/>
      </w:pPr>
      <w:r>
        <w:lastRenderedPageBreak/>
        <w:t xml:space="preserve">Launch website content with consumer </w:t>
      </w:r>
      <w:proofErr w:type="gramStart"/>
      <w:r>
        <w:t>videos</w:t>
      </w:r>
      <w:proofErr w:type="gramEnd"/>
    </w:p>
    <w:p w14:paraId="284F1F7D" w14:textId="77777777" w:rsidR="00E825C7" w:rsidRDefault="00E825C7" w:rsidP="00882716">
      <w:pPr>
        <w:pStyle w:val="TeThHauorahead3"/>
      </w:pPr>
      <w:r w:rsidRPr="00551F83">
        <w:t xml:space="preserve">Phase </w:t>
      </w:r>
      <w:r>
        <w:t>4</w:t>
      </w:r>
      <w:r w:rsidRPr="00551F83">
        <w:t xml:space="preserve">, </w:t>
      </w:r>
      <w:r>
        <w:t>May</w:t>
      </w:r>
      <w:r w:rsidRPr="00551F83">
        <w:t>–</w:t>
      </w:r>
      <w:r>
        <w:t>June</w:t>
      </w:r>
      <w:r w:rsidRPr="00551F83">
        <w:t xml:space="preserve"> 202</w:t>
      </w:r>
      <w:r>
        <w:t>4</w:t>
      </w:r>
    </w:p>
    <w:p w14:paraId="7E77BFD2" w14:textId="77777777" w:rsidR="00E825C7" w:rsidRDefault="00E825C7" w:rsidP="00E825C7">
      <w:pPr>
        <w:pStyle w:val="TeThHauorabullets"/>
      </w:pPr>
      <w:r>
        <w:t>Complete testing phase</w:t>
      </w:r>
    </w:p>
    <w:p w14:paraId="5306CB15" w14:textId="77777777" w:rsidR="00E825C7" w:rsidRDefault="00E825C7" w:rsidP="00E825C7">
      <w:pPr>
        <w:pStyle w:val="TeThHauorabullets"/>
      </w:pPr>
      <w:r>
        <w:t xml:space="preserve">Receive and review documents and feedback from test </w:t>
      </w:r>
      <w:proofErr w:type="gramStart"/>
      <w:r>
        <w:t>sites</w:t>
      </w:r>
      <w:proofErr w:type="gramEnd"/>
    </w:p>
    <w:p w14:paraId="46A9BEC4" w14:textId="77777777" w:rsidR="00E825C7" w:rsidRPr="0009469E" w:rsidRDefault="00E825C7" w:rsidP="00E825C7">
      <w:pPr>
        <w:pStyle w:val="TeThHauorabullets"/>
      </w:pPr>
      <w:r>
        <w:t xml:space="preserve">Revise ACPS </w:t>
      </w:r>
      <w:proofErr w:type="gramStart"/>
      <w:r>
        <w:t>package</w:t>
      </w:r>
      <w:proofErr w:type="gramEnd"/>
    </w:p>
    <w:p w14:paraId="790852BF" w14:textId="77777777" w:rsidR="00E825C7" w:rsidRDefault="00E825C7" w:rsidP="00882716">
      <w:pPr>
        <w:pStyle w:val="TeThHauorahead3"/>
      </w:pPr>
      <w:r w:rsidRPr="00551F83">
        <w:t xml:space="preserve">Phase </w:t>
      </w:r>
      <w:r>
        <w:t>5</w:t>
      </w:r>
      <w:r w:rsidRPr="00551F83">
        <w:t>, July–</w:t>
      </w:r>
      <w:r>
        <w:t>Dece</w:t>
      </w:r>
      <w:r w:rsidRPr="00551F83">
        <w:t>mber 202</w:t>
      </w:r>
      <w:r>
        <w:t>4</w:t>
      </w:r>
    </w:p>
    <w:p w14:paraId="2938840F" w14:textId="4F5B58A8" w:rsidR="00E825C7" w:rsidRDefault="00E825C7" w:rsidP="00D02A83">
      <w:pPr>
        <w:pStyle w:val="TeThHauorabullets"/>
        <w:numPr>
          <w:ilvl w:val="0"/>
          <w:numId w:val="43"/>
        </w:numPr>
      </w:pPr>
      <w:r>
        <w:t xml:space="preserve">Publish and launch ACPS </w:t>
      </w:r>
      <w:proofErr w:type="gramStart"/>
      <w:r>
        <w:t>package</w:t>
      </w:r>
      <w:proofErr w:type="gramEnd"/>
    </w:p>
    <w:p w14:paraId="52D220E7" w14:textId="13FEDBED" w:rsidR="00A61607" w:rsidRDefault="00A61607" w:rsidP="00774C32">
      <w:pPr>
        <w:pStyle w:val="TeThHauorabodytext"/>
      </w:pPr>
    </w:p>
    <w:p w14:paraId="2D2A983C" w14:textId="4DA36F14" w:rsidR="00774C32" w:rsidRDefault="0022741B" w:rsidP="009857BB">
      <w:pPr>
        <w:pStyle w:val="TeThHauorabodytext"/>
        <w:spacing w:before="120"/>
      </w:pPr>
      <w:r>
        <w:t>L</w:t>
      </w:r>
      <w:r w:rsidR="00806030">
        <w:t xml:space="preserve">ocal and national governance and leadership will be essential </w:t>
      </w:r>
      <w:r w:rsidR="00A13989">
        <w:t xml:space="preserve">for the success </w:t>
      </w:r>
      <w:r>
        <w:t xml:space="preserve">and sustainability </w:t>
      </w:r>
      <w:r w:rsidR="00A13989">
        <w:t xml:space="preserve">of the programme. </w:t>
      </w:r>
      <w:r w:rsidR="00774C32">
        <w:t xml:space="preserve">Once the programme is developed and ready for implementation, </w:t>
      </w:r>
      <w:r w:rsidR="00D40681">
        <w:t xml:space="preserve">the ACSP will require </w:t>
      </w:r>
      <w:r w:rsidR="00774C32">
        <w:t>a framework to support the sustainability.</w:t>
      </w:r>
      <w:r w:rsidR="00CB05FA">
        <w:t xml:space="preserve"> </w:t>
      </w:r>
      <w:r w:rsidR="008A2695">
        <w:t>W</w:t>
      </w:r>
      <w:r w:rsidR="00CB05FA">
        <w:t xml:space="preserve">e will be seeking collaboration with other agencies on how this </w:t>
      </w:r>
      <w:r w:rsidR="000277AF">
        <w:t>will</w:t>
      </w:r>
      <w:r w:rsidR="00CB05FA">
        <w:t xml:space="preserve"> look in the future.</w:t>
      </w:r>
    </w:p>
    <w:p w14:paraId="7842205B" w14:textId="781456FE" w:rsidR="00C10A63" w:rsidRDefault="5D38AE58" w:rsidP="008321D6">
      <w:pPr>
        <w:pStyle w:val="TeThHauorabodytext"/>
      </w:pPr>
      <w:r>
        <w:t xml:space="preserve">For further information </w:t>
      </w:r>
      <w:r w:rsidR="00A45543">
        <w:t xml:space="preserve">and details </w:t>
      </w:r>
      <w:r>
        <w:t>related to this programme</w:t>
      </w:r>
      <w:r w:rsidR="004F5B74">
        <w:t>,</w:t>
      </w:r>
      <w:r w:rsidR="134F4B28">
        <w:t xml:space="preserve"> please email us on:</w:t>
      </w:r>
      <w:r w:rsidR="00B32467">
        <w:t xml:space="preserve"> </w:t>
      </w:r>
      <w:hyperlink r:id="rId14" w:history="1">
        <w:r w:rsidR="009B444F" w:rsidRPr="00B32467">
          <w:rPr>
            <w:rStyle w:val="Hyperlink"/>
          </w:rPr>
          <w:t>anticoagproject@hqsc.govt.nz</w:t>
        </w:r>
      </w:hyperlink>
    </w:p>
    <w:p w14:paraId="07251814" w14:textId="62F175E8" w:rsidR="00FB754A" w:rsidRDefault="00FB754A" w:rsidP="00FB754A">
      <w:pPr>
        <w:pStyle w:val="TeThHauorahead1"/>
      </w:pPr>
      <w:bookmarkStart w:id="11" w:name="_Toc143599773"/>
      <w:bookmarkStart w:id="12" w:name="_Toc153953943"/>
      <w:r>
        <w:t>References</w:t>
      </w:r>
      <w:bookmarkEnd w:id="11"/>
      <w:bookmarkEnd w:id="12"/>
    </w:p>
    <w:p w14:paraId="6554AF7D" w14:textId="273A6ACD" w:rsidR="00F535DA" w:rsidRPr="007F73C1" w:rsidRDefault="007313B5" w:rsidP="008D1652">
      <w:pPr>
        <w:pStyle w:val="TeThHauorabodytext"/>
      </w:pPr>
      <w:r w:rsidRPr="007F73C1">
        <w:t>Burnett A</w:t>
      </w:r>
      <w:r w:rsidR="00A01655" w:rsidRPr="007F73C1">
        <w:t>E,</w:t>
      </w:r>
      <w:r w:rsidRPr="007F73C1">
        <w:t xml:space="preserve"> Barnes</w:t>
      </w:r>
      <w:r w:rsidR="00F83DCE" w:rsidRPr="007F73C1">
        <w:t xml:space="preserve"> GD.</w:t>
      </w:r>
      <w:r w:rsidR="00A966CD" w:rsidRPr="007F73C1">
        <w:t xml:space="preserve"> 2022.</w:t>
      </w:r>
      <w:r w:rsidRPr="007F73C1">
        <w:t xml:space="preserve"> A call to action for anticoagulation stewardship. </w:t>
      </w:r>
      <w:r w:rsidRPr="007F73C1">
        <w:rPr>
          <w:i/>
        </w:rPr>
        <w:t>Research and Practice in Thrombosis and Haemostasis</w:t>
      </w:r>
      <w:r w:rsidRPr="007F73C1">
        <w:t xml:space="preserve"> </w:t>
      </w:r>
      <w:r w:rsidRPr="007F73C1">
        <w:rPr>
          <w:bCs/>
        </w:rPr>
        <w:t>6</w:t>
      </w:r>
      <w:r w:rsidRPr="007F73C1">
        <w:t>(5)</w:t>
      </w:r>
      <w:r w:rsidR="006B318E" w:rsidRPr="007F73C1">
        <w:t>:</w:t>
      </w:r>
      <w:r w:rsidR="00321C46">
        <w:t xml:space="preserve"> </w:t>
      </w:r>
      <w:r w:rsidR="006B318E" w:rsidRPr="007F73C1">
        <w:t>e12757</w:t>
      </w:r>
      <w:r w:rsidRPr="007F73C1">
        <w:t>.</w:t>
      </w:r>
    </w:p>
    <w:p w14:paraId="09C76A97" w14:textId="20CE0494" w:rsidR="00C86014" w:rsidRPr="007F73C1" w:rsidRDefault="00C86014" w:rsidP="008D1652">
      <w:pPr>
        <w:pStyle w:val="TeThHauorabodytext"/>
      </w:pPr>
      <w:r w:rsidRPr="007F73C1">
        <w:t>Harper PA</w:t>
      </w:r>
      <w:r w:rsidR="00321C46">
        <w:t>,</w:t>
      </w:r>
      <w:r w:rsidRPr="007F73C1">
        <w:t xml:space="preserve"> Chang A, Stephens M. 2022. </w:t>
      </w:r>
      <w:r w:rsidRPr="007F73C1">
        <w:rPr>
          <w:iCs/>
        </w:rPr>
        <w:t xml:space="preserve">The changing use of anticoagulants in New Zealand. </w:t>
      </w:r>
      <w:r w:rsidRPr="007F73C1">
        <w:rPr>
          <w:i/>
        </w:rPr>
        <w:t>The New Zealand Medical Journal</w:t>
      </w:r>
      <w:r w:rsidRPr="007F73C1">
        <w:t xml:space="preserve"> </w:t>
      </w:r>
      <w:r w:rsidRPr="007F73C1">
        <w:rPr>
          <w:bCs/>
        </w:rPr>
        <w:t>135</w:t>
      </w:r>
      <w:r w:rsidRPr="007F73C1">
        <w:t>(1554):</w:t>
      </w:r>
      <w:r w:rsidR="00321C46">
        <w:t xml:space="preserve"> </w:t>
      </w:r>
      <w:r w:rsidRPr="007F73C1">
        <w:t>35</w:t>
      </w:r>
      <w:r w:rsidR="00D1056E">
        <w:t>–</w:t>
      </w:r>
      <w:r w:rsidRPr="007F73C1">
        <w:t>5.</w:t>
      </w:r>
    </w:p>
    <w:p w14:paraId="34D3ED8B" w14:textId="699E0F66" w:rsidR="00CA35DB" w:rsidRPr="007F73C1" w:rsidRDefault="00F63C72" w:rsidP="008D1652">
      <w:pPr>
        <w:pStyle w:val="TeThHauorabodytext"/>
      </w:pPr>
      <w:r w:rsidRPr="007F73C1">
        <w:t xml:space="preserve">Holbrook A, </w:t>
      </w:r>
      <w:r w:rsidR="00AD7F0B" w:rsidRPr="007F73C1">
        <w:t xml:space="preserve">Benipal H, Paterson JM, </w:t>
      </w:r>
      <w:r w:rsidRPr="007F73C1">
        <w:t>et al.</w:t>
      </w:r>
      <w:r w:rsidR="001336AA" w:rsidRPr="007F73C1">
        <w:t xml:space="preserve"> </w:t>
      </w:r>
      <w:r w:rsidR="001A18F3" w:rsidRPr="007F73C1">
        <w:t>2021.</w:t>
      </w:r>
      <w:r w:rsidRPr="007F73C1">
        <w:t xml:space="preserve"> Adverse event rates associated with oral anticoagulant treatment early versus later after hospital discharge in older adults: a retrospective population-based cohort study. </w:t>
      </w:r>
      <w:r w:rsidRPr="007F73C1">
        <w:rPr>
          <w:i/>
        </w:rPr>
        <w:t>Canadian Medical Association Open Access Journal</w:t>
      </w:r>
      <w:r w:rsidRPr="007F73C1">
        <w:t xml:space="preserve"> 9(2):</w:t>
      </w:r>
      <w:r w:rsidR="00B160F7">
        <w:t xml:space="preserve"> </w:t>
      </w:r>
      <w:r w:rsidRPr="007F73C1">
        <w:t>E364</w:t>
      </w:r>
      <w:r w:rsidR="00162A91">
        <w:t>–</w:t>
      </w:r>
      <w:r w:rsidRPr="007F73C1">
        <w:t>75.</w:t>
      </w:r>
    </w:p>
    <w:p w14:paraId="7EAB2296" w14:textId="442D0C3B" w:rsidR="00750FF8" w:rsidRPr="007F73C1" w:rsidRDefault="00F64362" w:rsidP="008D1652">
      <w:pPr>
        <w:pStyle w:val="TeThHauorabodytext"/>
      </w:pPr>
      <w:r w:rsidRPr="007F73C1">
        <w:t>I</w:t>
      </w:r>
      <w:r w:rsidR="0015274C" w:rsidRPr="007F73C1">
        <w:t xml:space="preserve">nstitute for Healthcare </w:t>
      </w:r>
      <w:r w:rsidR="00CA35DB" w:rsidRPr="007F73C1">
        <w:t>Improvement.</w:t>
      </w:r>
      <w:r w:rsidR="00631DB2" w:rsidRPr="007F73C1">
        <w:t xml:space="preserve"> 2004.</w:t>
      </w:r>
      <w:r w:rsidR="00CA35DB" w:rsidRPr="007F73C1">
        <w:t xml:space="preserve"> </w:t>
      </w:r>
      <w:r w:rsidR="00CA35DB" w:rsidRPr="00B160F7">
        <w:rPr>
          <w:iCs/>
        </w:rPr>
        <w:t>The breakthrough series: IHI’s collaborative model for achieving breakthrough improvement.</w:t>
      </w:r>
      <w:r w:rsidR="00CA35DB" w:rsidRPr="007F73C1">
        <w:t xml:space="preserve"> </w:t>
      </w:r>
      <w:r w:rsidR="00CA35DB" w:rsidRPr="00B160F7">
        <w:rPr>
          <w:i/>
          <w:iCs/>
        </w:rPr>
        <w:t>Diabetes Spectrum</w:t>
      </w:r>
      <w:r w:rsidR="00CA35DB" w:rsidRPr="007F73C1">
        <w:t xml:space="preserve"> </w:t>
      </w:r>
      <w:r w:rsidR="00CA35DB" w:rsidRPr="007F73C1">
        <w:rPr>
          <w:bCs/>
        </w:rPr>
        <w:t>17</w:t>
      </w:r>
      <w:r w:rsidR="00CA35DB" w:rsidRPr="007F73C1">
        <w:t>(2):</w:t>
      </w:r>
      <w:r w:rsidR="00B160F7">
        <w:t xml:space="preserve"> </w:t>
      </w:r>
      <w:r w:rsidR="00CA35DB" w:rsidRPr="007F73C1">
        <w:t>97</w:t>
      </w:r>
      <w:r w:rsidR="00162A91">
        <w:t>–</w:t>
      </w:r>
      <w:r w:rsidR="00CA35DB" w:rsidRPr="007F73C1">
        <w:t>101.</w:t>
      </w:r>
    </w:p>
    <w:p w14:paraId="60A54D67" w14:textId="7C2945D1" w:rsidR="00C86014" w:rsidRPr="007F73C1" w:rsidRDefault="00C86014" w:rsidP="008D1652">
      <w:pPr>
        <w:pStyle w:val="TeThHauorabodytext"/>
      </w:pPr>
      <w:proofErr w:type="spellStart"/>
      <w:r w:rsidRPr="007F73C1">
        <w:t>Koolian</w:t>
      </w:r>
      <w:proofErr w:type="spellEnd"/>
      <w:r w:rsidRPr="007F73C1">
        <w:t xml:space="preserve"> M, Wiseman D, </w:t>
      </w:r>
      <w:proofErr w:type="spellStart"/>
      <w:r w:rsidRPr="007F73C1">
        <w:t>Mantzanis</w:t>
      </w:r>
      <w:proofErr w:type="spellEnd"/>
      <w:r w:rsidRPr="007F73C1">
        <w:t xml:space="preserve"> H, et al. 2022. </w:t>
      </w:r>
      <w:r w:rsidRPr="007F73C1">
        <w:rPr>
          <w:iCs/>
        </w:rPr>
        <w:t>Anticoagulation stewardship: Descriptive analysis of a novel approach to appropriate anticoagulant prescription.</w:t>
      </w:r>
      <w:r w:rsidRPr="007F73C1">
        <w:t xml:space="preserve"> </w:t>
      </w:r>
      <w:r w:rsidRPr="007F73C1">
        <w:rPr>
          <w:i/>
          <w:iCs/>
        </w:rPr>
        <w:t>Research and Practice in Thrombosis and Haemostasis</w:t>
      </w:r>
      <w:r w:rsidRPr="007F73C1">
        <w:t xml:space="preserve"> </w:t>
      </w:r>
      <w:r w:rsidRPr="007F73C1">
        <w:rPr>
          <w:bCs/>
        </w:rPr>
        <w:t>6</w:t>
      </w:r>
      <w:r w:rsidRPr="007F73C1">
        <w:t>(6):</w:t>
      </w:r>
      <w:r w:rsidR="00266748">
        <w:t xml:space="preserve"> </w:t>
      </w:r>
      <w:r w:rsidRPr="007F73C1">
        <w:t>e12758.</w:t>
      </w:r>
    </w:p>
    <w:p w14:paraId="33ADD1B7" w14:textId="69E24985" w:rsidR="00390F39" w:rsidRPr="007F73C1" w:rsidRDefault="00DF2AE7" w:rsidP="008D1652">
      <w:pPr>
        <w:pStyle w:val="TeThHauorabodytext"/>
      </w:pPr>
      <w:r w:rsidRPr="007F73C1">
        <w:t>Mendelson M,</w:t>
      </w:r>
      <w:r w:rsidR="00B073DE" w:rsidRPr="007F73C1">
        <w:t xml:space="preserve"> Morris AM, </w:t>
      </w:r>
      <w:proofErr w:type="spellStart"/>
      <w:r w:rsidR="00B073DE" w:rsidRPr="007F73C1">
        <w:t>Thursky</w:t>
      </w:r>
      <w:proofErr w:type="spellEnd"/>
      <w:r w:rsidR="00B073DE" w:rsidRPr="007F73C1">
        <w:t xml:space="preserve"> K,</w:t>
      </w:r>
      <w:r w:rsidRPr="007F73C1">
        <w:t xml:space="preserve"> et al.</w:t>
      </w:r>
      <w:r w:rsidR="00631DB2" w:rsidRPr="007F73C1">
        <w:t xml:space="preserve"> 2020.</w:t>
      </w:r>
      <w:r w:rsidRPr="007F73C1">
        <w:t xml:space="preserve"> How to start an antimicrobial stewardship programme in a hospital. </w:t>
      </w:r>
      <w:r w:rsidRPr="007F73C1">
        <w:rPr>
          <w:i/>
        </w:rPr>
        <w:t>Clinical Microbiology and Infection</w:t>
      </w:r>
      <w:r w:rsidRPr="007F73C1">
        <w:t xml:space="preserve"> 26(4):</w:t>
      </w:r>
      <w:r w:rsidR="007C4F2E">
        <w:t xml:space="preserve"> </w:t>
      </w:r>
      <w:r w:rsidRPr="007F73C1">
        <w:t>447</w:t>
      </w:r>
      <w:r w:rsidR="00162A91">
        <w:t>–</w:t>
      </w:r>
      <w:r w:rsidRPr="007F73C1">
        <w:t>53.</w:t>
      </w:r>
    </w:p>
    <w:p w14:paraId="614A8A24" w14:textId="0DCABEA9" w:rsidR="00C86014" w:rsidRPr="007F73C1" w:rsidRDefault="00C86014" w:rsidP="008D1652">
      <w:pPr>
        <w:pStyle w:val="TeThHauorabodytext"/>
      </w:pPr>
      <w:r w:rsidRPr="007F73C1">
        <w:t xml:space="preserve">Piazza G, Nguyen TN, </w:t>
      </w:r>
      <w:proofErr w:type="spellStart"/>
      <w:r w:rsidRPr="007F73C1">
        <w:t>Cios</w:t>
      </w:r>
      <w:proofErr w:type="spellEnd"/>
      <w:r w:rsidRPr="007F73C1">
        <w:t xml:space="preserve"> D, et al. 2011. </w:t>
      </w:r>
      <w:r w:rsidRPr="007F73C1">
        <w:rPr>
          <w:iCs/>
        </w:rPr>
        <w:t>Anticoagulation-associated adverse drug events.</w:t>
      </w:r>
      <w:r w:rsidRPr="007F73C1">
        <w:t xml:space="preserve"> </w:t>
      </w:r>
      <w:r w:rsidRPr="007F73C1">
        <w:rPr>
          <w:i/>
          <w:iCs/>
        </w:rPr>
        <w:t xml:space="preserve">The American </w:t>
      </w:r>
      <w:r w:rsidR="00266748" w:rsidRPr="007F73C1">
        <w:rPr>
          <w:i/>
          <w:iCs/>
        </w:rPr>
        <w:t xml:space="preserve">Journal </w:t>
      </w:r>
      <w:r w:rsidRPr="007F73C1">
        <w:rPr>
          <w:i/>
          <w:iCs/>
        </w:rPr>
        <w:t xml:space="preserve">of </w:t>
      </w:r>
      <w:r w:rsidR="00266748" w:rsidRPr="007F73C1">
        <w:rPr>
          <w:i/>
          <w:iCs/>
        </w:rPr>
        <w:t>Medicine</w:t>
      </w:r>
      <w:r w:rsidRPr="007F73C1">
        <w:t xml:space="preserve"> </w:t>
      </w:r>
      <w:r w:rsidRPr="007F73C1">
        <w:rPr>
          <w:bCs/>
        </w:rPr>
        <w:t>124</w:t>
      </w:r>
      <w:r w:rsidRPr="007F73C1">
        <w:t>(12):</w:t>
      </w:r>
      <w:r w:rsidR="00266748">
        <w:t xml:space="preserve"> </w:t>
      </w:r>
      <w:r w:rsidRPr="007F73C1">
        <w:t>1136</w:t>
      </w:r>
      <w:r w:rsidR="00162A91">
        <w:t>–</w:t>
      </w:r>
      <w:r w:rsidRPr="007F73C1">
        <w:t>42.</w:t>
      </w:r>
    </w:p>
    <w:p w14:paraId="148C1A54" w14:textId="0BAB8C4F" w:rsidR="00AD0E47" w:rsidRPr="00266748" w:rsidRDefault="00A73474" w:rsidP="00266748">
      <w:pPr>
        <w:autoSpaceDE w:val="0"/>
        <w:autoSpaceDN w:val="0"/>
        <w:adjustRightInd w:val="0"/>
        <w:spacing w:after="0" w:line="240" w:lineRule="auto"/>
        <w:rPr>
          <w:rFonts w:cs="Arial"/>
        </w:rPr>
      </w:pPr>
      <w:r w:rsidRPr="007F73C1">
        <w:rPr>
          <w:rFonts w:cs="Arial"/>
        </w:rPr>
        <w:t xml:space="preserve">Robb G, </w:t>
      </w:r>
      <w:proofErr w:type="spellStart"/>
      <w:r w:rsidRPr="007F73C1">
        <w:rPr>
          <w:rFonts w:cs="Arial"/>
        </w:rPr>
        <w:t>Loe</w:t>
      </w:r>
      <w:proofErr w:type="spellEnd"/>
      <w:r w:rsidRPr="007F73C1">
        <w:rPr>
          <w:rFonts w:cs="Arial"/>
        </w:rPr>
        <w:t xml:space="preserve"> E, Maharaj A, et al. 2017</w:t>
      </w:r>
      <w:r w:rsidR="00D63383">
        <w:rPr>
          <w:rFonts w:cs="Arial"/>
        </w:rPr>
        <w:t>.</w:t>
      </w:r>
      <w:r w:rsidRPr="007F73C1">
        <w:rPr>
          <w:rFonts w:cs="Arial"/>
        </w:rPr>
        <w:t xml:space="preserve"> Medication-related patient harm in New Zealand hospitals. </w:t>
      </w:r>
      <w:r w:rsidRPr="007F73C1">
        <w:rPr>
          <w:rFonts w:cs="Arial"/>
          <w:i/>
          <w:iCs/>
        </w:rPr>
        <w:t>The New Zealand Medical Journal</w:t>
      </w:r>
      <w:r w:rsidRPr="007F73C1">
        <w:rPr>
          <w:rFonts w:cs="Arial"/>
        </w:rPr>
        <w:t xml:space="preserve"> 130(1460):</w:t>
      </w:r>
      <w:r w:rsidR="00266748">
        <w:rPr>
          <w:rFonts w:cs="Arial"/>
        </w:rPr>
        <w:t xml:space="preserve"> </w:t>
      </w:r>
      <w:r w:rsidRPr="007F73C1">
        <w:rPr>
          <w:rFonts w:cs="Arial"/>
        </w:rPr>
        <w:t>21</w:t>
      </w:r>
      <w:r w:rsidR="00162A91">
        <w:rPr>
          <w:rFonts w:cs="Arial"/>
        </w:rPr>
        <w:t>–</w:t>
      </w:r>
      <w:r w:rsidRPr="007F73C1">
        <w:rPr>
          <w:rFonts w:cs="Arial"/>
        </w:rPr>
        <w:t>32.</w:t>
      </w:r>
    </w:p>
    <w:sectPr w:rsidR="00AD0E47" w:rsidRPr="0026674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A07D" w14:textId="77777777" w:rsidR="00FD440D" w:rsidRDefault="00FD440D" w:rsidP="003C45E1">
      <w:pPr>
        <w:spacing w:after="0" w:line="240" w:lineRule="auto"/>
      </w:pPr>
      <w:r>
        <w:separator/>
      </w:r>
    </w:p>
  </w:endnote>
  <w:endnote w:type="continuationSeparator" w:id="0">
    <w:p w14:paraId="03220271" w14:textId="77777777" w:rsidR="00FD440D" w:rsidRDefault="00FD440D" w:rsidP="003C45E1">
      <w:pPr>
        <w:spacing w:after="0" w:line="240" w:lineRule="auto"/>
      </w:pPr>
      <w:r>
        <w:continuationSeparator/>
      </w:r>
    </w:p>
  </w:endnote>
  <w:endnote w:type="continuationNotice" w:id="1">
    <w:p w14:paraId="69B9DD3E" w14:textId="77777777" w:rsidR="00FD440D" w:rsidRDefault="00FD4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hitney Semibold">
    <w:altName w:val="Calibri"/>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8"/>
        <w:szCs w:val="18"/>
      </w:rPr>
      <w:id w:val="-1054087240"/>
      <w:docPartObj>
        <w:docPartGallery w:val="Page Numbers (Bottom of Page)"/>
        <w:docPartUnique/>
      </w:docPartObj>
    </w:sdtPr>
    <w:sdtEndPr>
      <w:rPr>
        <w:noProof/>
      </w:rPr>
    </w:sdtEndPr>
    <w:sdtContent>
      <w:p w14:paraId="66B279E9" w14:textId="12CDCA7E" w:rsidR="004907D7" w:rsidRPr="00CC73D1" w:rsidRDefault="00A04964" w:rsidP="006A5DEE">
        <w:pPr>
          <w:tabs>
            <w:tab w:val="right" w:pos="9026"/>
          </w:tabs>
          <w:rPr>
            <w:color w:val="000000" w:themeColor="text1"/>
            <w:sz w:val="18"/>
            <w:szCs w:val="18"/>
          </w:rPr>
        </w:pPr>
        <w:r w:rsidRPr="00CC73D1">
          <w:rPr>
            <w:color w:val="000000" w:themeColor="text1"/>
            <w:sz w:val="18"/>
            <w:szCs w:val="18"/>
          </w:rPr>
          <w:t xml:space="preserve">The </w:t>
        </w:r>
        <w:r w:rsidR="00CC73D1">
          <w:rPr>
            <w:color w:val="000000" w:themeColor="text1"/>
            <w:sz w:val="18"/>
            <w:szCs w:val="18"/>
          </w:rPr>
          <w:t>s</w:t>
        </w:r>
        <w:r w:rsidRPr="00CC73D1">
          <w:rPr>
            <w:color w:val="000000" w:themeColor="text1"/>
            <w:sz w:val="18"/>
            <w:szCs w:val="18"/>
          </w:rPr>
          <w:t xml:space="preserve">afer </w:t>
        </w:r>
        <w:r w:rsidR="00CC73D1">
          <w:rPr>
            <w:color w:val="000000" w:themeColor="text1"/>
            <w:sz w:val="18"/>
            <w:szCs w:val="18"/>
          </w:rPr>
          <w:t>u</w:t>
        </w:r>
        <w:r w:rsidRPr="00CC73D1">
          <w:rPr>
            <w:color w:val="000000" w:themeColor="text1"/>
            <w:sz w:val="18"/>
            <w:szCs w:val="18"/>
          </w:rPr>
          <w:t xml:space="preserve">se of </w:t>
        </w:r>
        <w:r w:rsidR="00CC73D1">
          <w:rPr>
            <w:color w:val="000000" w:themeColor="text1"/>
            <w:sz w:val="18"/>
            <w:szCs w:val="18"/>
          </w:rPr>
          <w:t>a</w:t>
        </w:r>
        <w:r w:rsidRPr="00CC73D1">
          <w:rPr>
            <w:color w:val="000000" w:themeColor="text1"/>
            <w:sz w:val="18"/>
            <w:szCs w:val="18"/>
          </w:rPr>
          <w:t xml:space="preserve">nticoagulants: </w:t>
        </w:r>
        <w:r w:rsidR="00CC73D1">
          <w:rPr>
            <w:color w:val="000000" w:themeColor="text1"/>
            <w:sz w:val="18"/>
            <w:szCs w:val="18"/>
          </w:rPr>
          <w:t>c</w:t>
        </w:r>
        <w:r w:rsidR="00F017A7" w:rsidRPr="00CC73D1">
          <w:rPr>
            <w:color w:val="000000" w:themeColor="text1"/>
            <w:sz w:val="18"/>
            <w:szCs w:val="18"/>
          </w:rPr>
          <w:t>ase for change</w:t>
        </w:r>
        <w:r w:rsidR="006A5DEE">
          <w:rPr>
            <w:color w:val="000000" w:themeColor="text1"/>
            <w:sz w:val="18"/>
            <w:szCs w:val="18"/>
          </w:rPr>
          <w:tab/>
        </w:r>
        <w:r w:rsidR="004907D7" w:rsidRPr="00CC73D1">
          <w:rPr>
            <w:color w:val="000000" w:themeColor="text1"/>
            <w:sz w:val="18"/>
            <w:szCs w:val="18"/>
            <w:shd w:val="clear" w:color="auto" w:fill="E6E6E6"/>
          </w:rPr>
          <w:fldChar w:fldCharType="begin"/>
        </w:r>
        <w:r w:rsidR="004907D7" w:rsidRPr="00CC73D1">
          <w:rPr>
            <w:color w:val="000000" w:themeColor="text1"/>
            <w:sz w:val="18"/>
            <w:szCs w:val="18"/>
          </w:rPr>
          <w:instrText xml:space="preserve"> PAGE   \* MERGEFORMAT </w:instrText>
        </w:r>
        <w:r w:rsidR="004907D7" w:rsidRPr="00CC73D1">
          <w:rPr>
            <w:color w:val="000000" w:themeColor="text1"/>
            <w:sz w:val="18"/>
            <w:szCs w:val="18"/>
            <w:shd w:val="clear" w:color="auto" w:fill="E6E6E6"/>
          </w:rPr>
          <w:fldChar w:fldCharType="separate"/>
        </w:r>
        <w:r w:rsidR="00E0234F" w:rsidRPr="00CC73D1">
          <w:rPr>
            <w:noProof/>
            <w:color w:val="000000" w:themeColor="text1"/>
            <w:sz w:val="18"/>
            <w:szCs w:val="18"/>
          </w:rPr>
          <w:t>2</w:t>
        </w:r>
        <w:r w:rsidR="004907D7" w:rsidRPr="00CC73D1">
          <w:rPr>
            <w:color w:val="000000" w:themeColor="text1"/>
            <w:sz w:val="18"/>
            <w:szCs w:val="18"/>
            <w:shd w:val="clear" w:color="auto" w:fill="E6E6E6"/>
          </w:rPr>
          <w:fldChar w:fldCharType="end"/>
        </w:r>
        <w:r w:rsidR="004907D7" w:rsidRPr="00CC73D1">
          <w:rPr>
            <w:noProof/>
            <w:color w:val="000000" w:themeColor="text1"/>
            <w:sz w:val="18"/>
            <w:szCs w:val="18"/>
          </w:rPr>
          <w:t xml:space="preserve"> of </w:t>
        </w:r>
        <w:r w:rsidR="00921017" w:rsidRPr="00CC73D1">
          <w:rPr>
            <w:noProof/>
            <w:color w:val="000000" w:themeColor="text1"/>
            <w:sz w:val="18"/>
            <w:szCs w:val="18"/>
          </w:rPr>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48D9" w14:textId="77777777" w:rsidR="00FD440D" w:rsidRDefault="00FD440D" w:rsidP="003C45E1">
      <w:pPr>
        <w:spacing w:after="0" w:line="240" w:lineRule="auto"/>
      </w:pPr>
      <w:r>
        <w:separator/>
      </w:r>
    </w:p>
  </w:footnote>
  <w:footnote w:type="continuationSeparator" w:id="0">
    <w:p w14:paraId="7927FEC4" w14:textId="77777777" w:rsidR="00FD440D" w:rsidRDefault="00FD440D" w:rsidP="003C45E1">
      <w:pPr>
        <w:spacing w:after="0" w:line="240" w:lineRule="auto"/>
      </w:pPr>
      <w:r>
        <w:continuationSeparator/>
      </w:r>
    </w:p>
  </w:footnote>
  <w:footnote w:type="continuationNotice" w:id="1">
    <w:p w14:paraId="6AC12CF6" w14:textId="77777777" w:rsidR="00FD440D" w:rsidRDefault="00FD440D">
      <w:pPr>
        <w:spacing w:after="0" w:line="240" w:lineRule="auto"/>
      </w:pPr>
    </w:p>
  </w:footnote>
  <w:footnote w:id="2">
    <w:p w14:paraId="0B74D62A" w14:textId="3883926B" w:rsidR="00780D1C" w:rsidRPr="008157BF" w:rsidRDefault="00780D1C" w:rsidP="008157BF">
      <w:pPr>
        <w:pStyle w:val="FootnoteText"/>
        <w:spacing w:after="60"/>
        <w:rPr>
          <w:sz w:val="18"/>
          <w:szCs w:val="18"/>
        </w:rPr>
      </w:pPr>
      <w:r w:rsidRPr="008157BF">
        <w:rPr>
          <w:rStyle w:val="FootnoteReference"/>
          <w:sz w:val="18"/>
          <w:szCs w:val="18"/>
        </w:rPr>
        <w:footnoteRef/>
      </w:r>
      <w:r w:rsidRPr="008157BF">
        <w:rPr>
          <w:sz w:val="18"/>
          <w:szCs w:val="18"/>
        </w:rPr>
        <w:t xml:space="preserve"> </w:t>
      </w:r>
      <w:r w:rsidR="00871422" w:rsidRPr="008157BF">
        <w:rPr>
          <w:sz w:val="18"/>
          <w:szCs w:val="18"/>
        </w:rPr>
        <w:t xml:space="preserve">National Quality Forum. 2022. </w:t>
      </w:r>
      <w:r w:rsidR="00871422" w:rsidRPr="008157BF">
        <w:rPr>
          <w:i/>
          <w:iCs/>
          <w:sz w:val="18"/>
          <w:szCs w:val="18"/>
        </w:rPr>
        <w:t>Advancing Anticoagulation Stewardship: A Playbook</w:t>
      </w:r>
      <w:r w:rsidR="00871422" w:rsidRPr="008157BF">
        <w:rPr>
          <w:sz w:val="18"/>
          <w:szCs w:val="18"/>
        </w:rPr>
        <w:t>. Washington, DC: National Quality Forum</w:t>
      </w:r>
      <w:r w:rsidR="00684A7F" w:rsidRPr="008157BF">
        <w:rPr>
          <w:sz w:val="18"/>
          <w:szCs w:val="18"/>
        </w:rPr>
        <w:t>. URL:</w:t>
      </w:r>
      <w:r w:rsidRPr="008157BF">
        <w:rPr>
          <w:sz w:val="18"/>
          <w:szCs w:val="18"/>
        </w:rPr>
        <w:t xml:space="preserve"> </w:t>
      </w:r>
      <w:hyperlink r:id="rId1" w:history="1">
        <w:r w:rsidRPr="008157BF">
          <w:rPr>
            <w:rStyle w:val="Hyperlink"/>
            <w:color w:val="auto"/>
            <w:sz w:val="18"/>
            <w:szCs w:val="18"/>
            <w:u w:val="none"/>
          </w:rPr>
          <w:t>acforum-excellence.org/Resource-Center/resource_files/1977-2022-08-24-063128.pdf</w:t>
        </w:r>
      </w:hyperlink>
    </w:p>
  </w:footnote>
  <w:footnote w:id="3">
    <w:p w14:paraId="4DE6823F" w14:textId="2B40B9C1" w:rsidR="008E7D47" w:rsidRPr="008157BF" w:rsidRDefault="008E7D47" w:rsidP="008157BF">
      <w:pPr>
        <w:pStyle w:val="TeThHauoratablecontent"/>
        <w:tabs>
          <w:tab w:val="left" w:pos="2578"/>
        </w:tabs>
        <w:spacing w:before="0"/>
        <w:ind w:left="108"/>
        <w:rPr>
          <w:sz w:val="18"/>
          <w:szCs w:val="18"/>
        </w:rPr>
      </w:pPr>
      <w:r w:rsidRPr="008157BF">
        <w:rPr>
          <w:rStyle w:val="FootnoteReference"/>
          <w:sz w:val="18"/>
          <w:szCs w:val="18"/>
        </w:rPr>
        <w:footnoteRef/>
      </w:r>
      <w:r w:rsidRPr="008157BF">
        <w:rPr>
          <w:sz w:val="18"/>
          <w:szCs w:val="18"/>
        </w:rPr>
        <w:t xml:space="preserve"> A </w:t>
      </w:r>
      <w:r w:rsidRPr="008157BF">
        <w:rPr>
          <w:i/>
          <w:iCs/>
          <w:sz w:val="18"/>
          <w:szCs w:val="18"/>
        </w:rPr>
        <w:t>c</w:t>
      </w:r>
      <w:r w:rsidRPr="008157BF">
        <w:rPr>
          <w:i/>
          <w:iCs/>
          <w:color w:val="333333"/>
          <w:sz w:val="18"/>
          <w:szCs w:val="18"/>
        </w:rPr>
        <w:t>onsumer</w:t>
      </w:r>
      <w:r w:rsidRPr="008157BF">
        <w:rPr>
          <w:color w:val="333333"/>
          <w:sz w:val="18"/>
          <w:szCs w:val="18"/>
        </w:rPr>
        <w:t xml:space="preserve"> is a</w:t>
      </w:r>
      <w:r w:rsidRPr="008157BF">
        <w:rPr>
          <w:noProof/>
          <w:sz w:val="18"/>
          <w:szCs w:val="18"/>
        </w:rPr>
        <w:t xml:space="preserve"> </w:t>
      </w:r>
      <w:r w:rsidRPr="008157BF">
        <w:rPr>
          <w:sz w:val="18"/>
          <w:szCs w:val="18"/>
        </w:rPr>
        <w:t xml:space="preserve">person who has accessed or is currently using a health or disability service or is likely to do so in the future. For the purposes of this document, a consumer can also be a client, </w:t>
      </w:r>
      <w:proofErr w:type="gramStart"/>
      <w:r w:rsidRPr="008157BF">
        <w:rPr>
          <w:sz w:val="18"/>
          <w:szCs w:val="18"/>
        </w:rPr>
        <w:t>patient</w:t>
      </w:r>
      <w:proofErr w:type="gramEnd"/>
      <w:r w:rsidRPr="008157BF">
        <w:rPr>
          <w:sz w:val="18"/>
          <w:szCs w:val="18"/>
        </w:rPr>
        <w:t xml:space="preserve"> or resident. It is the person who uses/receives health and disability services, or their representative.</w:t>
      </w:r>
      <w:r w:rsidR="008157BF" w:rsidRPr="008157BF">
        <w:rPr>
          <w:sz w:val="18"/>
          <w:szCs w:val="18"/>
        </w:rPr>
        <w:t xml:space="preserve"> </w:t>
      </w:r>
      <w:r w:rsidRPr="008157BF">
        <w:rPr>
          <w:i/>
          <w:iCs/>
          <w:noProof/>
          <w:sz w:val="18"/>
          <w:szCs w:val="18"/>
        </w:rPr>
        <w:t>Consumer engagement</w:t>
      </w:r>
      <w:r w:rsidR="008157BF" w:rsidRPr="008157BF">
        <w:rPr>
          <w:sz w:val="18"/>
          <w:szCs w:val="18"/>
        </w:rPr>
        <w:t xml:space="preserve"> is when c</w:t>
      </w:r>
      <w:r w:rsidRPr="008157BF">
        <w:rPr>
          <w:noProof/>
          <w:sz w:val="18"/>
          <w:szCs w:val="18"/>
        </w:rPr>
        <w:t xml:space="preserve">onsumers/patients, families/whānau, their representatives and health professionals work in active partnership at various levels across the health care system – direct care, organisational design and governance and policy-making – to improve health and health care. </w:t>
      </w:r>
      <w:r w:rsidR="008157BF" w:rsidRPr="008157BF">
        <w:rPr>
          <w:noProof/>
          <w:sz w:val="18"/>
          <w:szCs w:val="18"/>
        </w:rPr>
        <w:t>It is a</w:t>
      </w:r>
      <w:r w:rsidRPr="008157BF">
        <w:rPr>
          <w:noProof/>
          <w:sz w:val="18"/>
          <w:szCs w:val="18"/>
        </w:rPr>
        <w:t xml:space="preserve"> process whereby consumers of health and disability services are encouraged and empowered to actively participate in decisions about the treatment, services and care they need and receive. It is most successful when consumers and clinicians demonstrate mutual respect and active listening and have confidence to participate in full and frank conversation. Systems that support consumer engagement actively seek input from consumers and staff at all levels of an organisation.</w:t>
      </w:r>
    </w:p>
  </w:footnote>
  <w:footnote w:id="4">
    <w:p w14:paraId="1C4CD9BC" w14:textId="0DD4F02D" w:rsidR="00963688" w:rsidRPr="008157BF" w:rsidRDefault="00963688" w:rsidP="008157BF">
      <w:pPr>
        <w:pStyle w:val="TeThHauoratablecontent"/>
        <w:tabs>
          <w:tab w:val="left" w:pos="2578"/>
        </w:tabs>
        <w:spacing w:before="0"/>
        <w:ind w:left="108"/>
        <w:rPr>
          <w:sz w:val="18"/>
          <w:szCs w:val="18"/>
        </w:rPr>
      </w:pPr>
      <w:r w:rsidRPr="008157BF">
        <w:rPr>
          <w:rStyle w:val="FootnoteReference"/>
          <w:sz w:val="18"/>
          <w:szCs w:val="18"/>
        </w:rPr>
        <w:footnoteRef/>
      </w:r>
      <w:r w:rsidRPr="008157BF">
        <w:rPr>
          <w:sz w:val="18"/>
          <w:szCs w:val="18"/>
        </w:rPr>
        <w:t xml:space="preserve"> An </w:t>
      </w:r>
      <w:r w:rsidRPr="008157BF">
        <w:rPr>
          <w:i/>
          <w:iCs/>
          <w:sz w:val="18"/>
          <w:szCs w:val="18"/>
        </w:rPr>
        <w:t>antimicrobial</w:t>
      </w:r>
      <w:r w:rsidRPr="008157BF">
        <w:rPr>
          <w:sz w:val="18"/>
          <w:szCs w:val="18"/>
        </w:rPr>
        <w:t xml:space="preserve"> is an agent that destroys or slows the growth of microorganisms, including parasites, fungi, </w:t>
      </w:r>
      <w:proofErr w:type="gramStart"/>
      <w:r w:rsidRPr="008157BF">
        <w:rPr>
          <w:sz w:val="18"/>
          <w:szCs w:val="18"/>
        </w:rPr>
        <w:t>viruses</w:t>
      </w:r>
      <w:proofErr w:type="gramEnd"/>
      <w:r w:rsidRPr="008157BF">
        <w:rPr>
          <w:sz w:val="18"/>
          <w:szCs w:val="18"/>
        </w:rPr>
        <w:t xml:space="preserve"> and bacteria. All antibiotics are antimicrobials, but not all antimicrobials are antibiotics. </w:t>
      </w:r>
      <w:r w:rsidRPr="008157BF">
        <w:rPr>
          <w:i/>
          <w:iCs/>
          <w:color w:val="333333"/>
          <w:sz w:val="18"/>
          <w:szCs w:val="18"/>
        </w:rPr>
        <w:t>Antimicrobial stewardship</w:t>
      </w:r>
      <w:r w:rsidRPr="008157BF">
        <w:rPr>
          <w:b/>
          <w:bCs/>
          <w:color w:val="333333"/>
          <w:sz w:val="18"/>
          <w:szCs w:val="18"/>
        </w:rPr>
        <w:t xml:space="preserve"> </w:t>
      </w:r>
      <w:r w:rsidRPr="008157BF">
        <w:rPr>
          <w:color w:val="333333"/>
          <w:sz w:val="18"/>
          <w:szCs w:val="18"/>
        </w:rPr>
        <w:t>involves</w:t>
      </w:r>
      <w:r w:rsidRPr="008157BF">
        <w:rPr>
          <w:b/>
          <w:bCs/>
          <w:color w:val="333333"/>
          <w:sz w:val="18"/>
          <w:szCs w:val="18"/>
        </w:rPr>
        <w:t xml:space="preserve"> </w:t>
      </w:r>
      <w:r w:rsidRPr="008157BF">
        <w:rPr>
          <w:color w:val="333333"/>
          <w:sz w:val="18"/>
          <w:szCs w:val="18"/>
        </w:rPr>
        <w:t>a</w:t>
      </w:r>
      <w:r w:rsidRPr="008157BF">
        <w:rPr>
          <w:sz w:val="18"/>
          <w:szCs w:val="18"/>
        </w:rPr>
        <w:t>ctions that promote the responsible use of antimicrobials (including antibiotics) to improve patient/resident outcomes, which in turn reduce antimicrobial resistance and the spread of infections caused by multidrug-resistant organisms.</w:t>
      </w:r>
    </w:p>
  </w:footnote>
  <w:footnote w:id="5">
    <w:p w14:paraId="3437924A" w14:textId="6C049BD6" w:rsidR="001134A1" w:rsidRPr="008157BF" w:rsidRDefault="001134A1" w:rsidP="008157BF">
      <w:pPr>
        <w:pStyle w:val="FootnoteText"/>
        <w:spacing w:after="60"/>
        <w:rPr>
          <w:sz w:val="18"/>
          <w:szCs w:val="18"/>
        </w:rPr>
      </w:pPr>
      <w:r w:rsidRPr="008157BF">
        <w:rPr>
          <w:rStyle w:val="FootnoteReference"/>
          <w:sz w:val="18"/>
          <w:szCs w:val="18"/>
        </w:rPr>
        <w:footnoteRef/>
      </w:r>
      <w:r w:rsidRPr="008157BF">
        <w:rPr>
          <w:sz w:val="18"/>
          <w:szCs w:val="18"/>
        </w:rPr>
        <w:t xml:space="preserve"> </w:t>
      </w:r>
      <w:proofErr w:type="spellStart"/>
      <w:r w:rsidRPr="008157BF">
        <w:rPr>
          <w:sz w:val="18"/>
          <w:szCs w:val="18"/>
        </w:rPr>
        <w:t>Manatū</w:t>
      </w:r>
      <w:proofErr w:type="spellEnd"/>
      <w:r w:rsidRPr="008157BF">
        <w:rPr>
          <w:sz w:val="18"/>
          <w:szCs w:val="18"/>
        </w:rPr>
        <w:t xml:space="preserve"> Hauora Ministry of Health. 2021. National Minimum Dataset (Hospital Events) data dictionary. URL: </w:t>
      </w:r>
      <w:r w:rsidR="001A00D2" w:rsidRPr="008157BF">
        <w:rPr>
          <w:sz w:val="18"/>
          <w:szCs w:val="18"/>
        </w:rPr>
        <w:t>www.health.govt.nz/publication/national-minimum-dataset-hospital-events-data-dictionary.</w:t>
      </w:r>
    </w:p>
  </w:footnote>
  <w:footnote w:id="6">
    <w:p w14:paraId="7F909FDC" w14:textId="000C2BAE" w:rsidR="0055038D" w:rsidRPr="008157BF" w:rsidRDefault="0055038D" w:rsidP="008157BF">
      <w:pPr>
        <w:pStyle w:val="FootnoteText"/>
        <w:spacing w:after="60"/>
        <w:rPr>
          <w:sz w:val="18"/>
          <w:szCs w:val="18"/>
        </w:rPr>
      </w:pPr>
      <w:r w:rsidRPr="008157BF">
        <w:rPr>
          <w:rStyle w:val="FootnoteReference"/>
          <w:sz w:val="18"/>
          <w:szCs w:val="18"/>
        </w:rPr>
        <w:footnoteRef/>
      </w:r>
      <w:r w:rsidRPr="008157BF">
        <w:rPr>
          <w:sz w:val="18"/>
          <w:szCs w:val="18"/>
        </w:rPr>
        <w:t xml:space="preserve"> Standards New Zealand</w:t>
      </w:r>
      <w:r w:rsidR="0047427C" w:rsidRPr="008157BF">
        <w:rPr>
          <w:sz w:val="18"/>
          <w:szCs w:val="18"/>
        </w:rPr>
        <w:t xml:space="preserve"> </w:t>
      </w:r>
      <w:proofErr w:type="spellStart"/>
      <w:r w:rsidR="0047427C" w:rsidRPr="008157BF">
        <w:rPr>
          <w:sz w:val="18"/>
          <w:szCs w:val="18"/>
        </w:rPr>
        <w:t>Te</w:t>
      </w:r>
      <w:proofErr w:type="spellEnd"/>
      <w:r w:rsidR="0047427C" w:rsidRPr="008157BF">
        <w:rPr>
          <w:sz w:val="18"/>
          <w:szCs w:val="18"/>
        </w:rPr>
        <w:t xml:space="preserve"> Mana </w:t>
      </w:r>
      <w:proofErr w:type="spellStart"/>
      <w:r w:rsidR="0047427C" w:rsidRPr="008157BF">
        <w:rPr>
          <w:sz w:val="18"/>
          <w:szCs w:val="18"/>
        </w:rPr>
        <w:t>Tautikanga</w:t>
      </w:r>
      <w:proofErr w:type="spellEnd"/>
      <w:r w:rsidR="0047427C" w:rsidRPr="008157BF">
        <w:rPr>
          <w:sz w:val="18"/>
          <w:szCs w:val="18"/>
        </w:rPr>
        <w:t xml:space="preserve"> o Aotearoa. </w:t>
      </w:r>
      <w:r w:rsidR="006173C1" w:rsidRPr="008157BF">
        <w:rPr>
          <w:sz w:val="18"/>
          <w:szCs w:val="18"/>
        </w:rPr>
        <w:t xml:space="preserve">2021. </w:t>
      </w:r>
      <w:r w:rsidR="0047427C" w:rsidRPr="008157BF">
        <w:rPr>
          <w:sz w:val="18"/>
          <w:szCs w:val="18"/>
        </w:rPr>
        <w:t>NZS 8134:2021</w:t>
      </w:r>
      <w:r w:rsidR="006173C1" w:rsidRPr="008157BF">
        <w:rPr>
          <w:sz w:val="18"/>
          <w:szCs w:val="18"/>
        </w:rPr>
        <w:t xml:space="preserve">: </w:t>
      </w:r>
      <w:proofErr w:type="spellStart"/>
      <w:r w:rsidR="006173C1" w:rsidRPr="008157BF">
        <w:rPr>
          <w:sz w:val="18"/>
          <w:szCs w:val="18"/>
        </w:rPr>
        <w:t>Ngā</w:t>
      </w:r>
      <w:proofErr w:type="spellEnd"/>
      <w:r w:rsidR="006173C1" w:rsidRPr="008157BF">
        <w:rPr>
          <w:sz w:val="18"/>
          <w:szCs w:val="18"/>
        </w:rPr>
        <w:t xml:space="preserve"> </w:t>
      </w:r>
      <w:proofErr w:type="spellStart"/>
      <w:r w:rsidR="006173C1" w:rsidRPr="008157BF">
        <w:rPr>
          <w:sz w:val="18"/>
          <w:szCs w:val="18"/>
        </w:rPr>
        <w:t>paerewa</w:t>
      </w:r>
      <w:proofErr w:type="spellEnd"/>
      <w:r w:rsidR="006173C1" w:rsidRPr="008157BF">
        <w:rPr>
          <w:sz w:val="18"/>
          <w:szCs w:val="18"/>
        </w:rPr>
        <w:t xml:space="preserve"> Health and disability services standard. URL: </w:t>
      </w:r>
      <w:r w:rsidR="00007C59" w:rsidRPr="008157BF">
        <w:rPr>
          <w:sz w:val="18"/>
          <w:szCs w:val="18"/>
        </w:rPr>
        <w:t>www.standards.govt.nz/shop/nzs-81342021.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4112" w14:textId="3D566480" w:rsidR="00F017A7" w:rsidRDefault="00F01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101BCC"/>
    <w:multiLevelType w:val="hybridMultilevel"/>
    <w:tmpl w:val="4A8E97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C246A72"/>
    <w:multiLevelType w:val="hybridMultilevel"/>
    <w:tmpl w:val="73DADA5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hint="default"/>
      </w:rPr>
    </w:lvl>
    <w:lvl w:ilvl="2" w:tplc="15826E8A">
      <w:start w:val="2"/>
      <w:numFmt w:val="bullet"/>
      <w:lvlText w:val="-"/>
      <w:lvlJc w:val="left"/>
      <w:pPr>
        <w:ind w:left="1210" w:hanging="360"/>
      </w:pPr>
      <w:rPr>
        <w:rFonts w:ascii="Arial" w:eastAsiaTheme="minorHAnsi" w:hAnsi="Arial" w:cs="Arial" w:hint="default"/>
      </w:rPr>
    </w:lvl>
    <w:lvl w:ilvl="3" w:tplc="15826E8A">
      <w:start w:val="2"/>
      <w:numFmt w:val="bullet"/>
      <w:lvlText w:val="-"/>
      <w:lvlJc w:val="left"/>
      <w:pPr>
        <w:ind w:left="2880" w:hanging="360"/>
      </w:pPr>
      <w:rPr>
        <w:rFonts w:ascii="Arial" w:eastAsiaTheme="minorHAnsi" w:hAnsi="Arial" w:cs="Aria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D28719C"/>
    <w:multiLevelType w:val="hybridMultilevel"/>
    <w:tmpl w:val="610CA846"/>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FD0FA52"/>
    <w:multiLevelType w:val="hybridMultilevel"/>
    <w:tmpl w:val="FFFFFFFF"/>
    <w:lvl w:ilvl="0" w:tplc="0FD0239A">
      <w:start w:val="1"/>
      <w:numFmt w:val="bullet"/>
      <w:lvlText w:val=""/>
      <w:lvlJc w:val="left"/>
      <w:pPr>
        <w:ind w:left="720" w:hanging="360"/>
      </w:pPr>
      <w:rPr>
        <w:rFonts w:ascii="Symbol" w:hAnsi="Symbol" w:hint="default"/>
      </w:rPr>
    </w:lvl>
    <w:lvl w:ilvl="1" w:tplc="30826B3E">
      <w:start w:val="1"/>
      <w:numFmt w:val="bullet"/>
      <w:lvlText w:val="o"/>
      <w:lvlJc w:val="left"/>
      <w:pPr>
        <w:ind w:left="1440" w:hanging="360"/>
      </w:pPr>
      <w:rPr>
        <w:rFonts w:ascii="Courier New" w:hAnsi="Courier New" w:hint="default"/>
      </w:rPr>
    </w:lvl>
    <w:lvl w:ilvl="2" w:tplc="882C6A8E">
      <w:start w:val="1"/>
      <w:numFmt w:val="bullet"/>
      <w:lvlText w:val=""/>
      <w:lvlJc w:val="left"/>
      <w:pPr>
        <w:ind w:left="2160" w:hanging="360"/>
      </w:pPr>
      <w:rPr>
        <w:rFonts w:ascii="Wingdings" w:hAnsi="Wingdings" w:hint="default"/>
      </w:rPr>
    </w:lvl>
    <w:lvl w:ilvl="3" w:tplc="60DEA8C8">
      <w:start w:val="1"/>
      <w:numFmt w:val="bullet"/>
      <w:lvlText w:val=""/>
      <w:lvlJc w:val="left"/>
      <w:pPr>
        <w:ind w:left="2880" w:hanging="360"/>
      </w:pPr>
      <w:rPr>
        <w:rFonts w:ascii="Symbol" w:hAnsi="Symbol" w:hint="default"/>
      </w:rPr>
    </w:lvl>
    <w:lvl w:ilvl="4" w:tplc="6C964F3A">
      <w:start w:val="1"/>
      <w:numFmt w:val="bullet"/>
      <w:lvlText w:val="o"/>
      <w:lvlJc w:val="left"/>
      <w:pPr>
        <w:ind w:left="3600" w:hanging="360"/>
      </w:pPr>
      <w:rPr>
        <w:rFonts w:ascii="Courier New" w:hAnsi="Courier New" w:hint="default"/>
      </w:rPr>
    </w:lvl>
    <w:lvl w:ilvl="5" w:tplc="C3504D04">
      <w:start w:val="1"/>
      <w:numFmt w:val="bullet"/>
      <w:lvlText w:val=""/>
      <w:lvlJc w:val="left"/>
      <w:pPr>
        <w:ind w:left="4320" w:hanging="360"/>
      </w:pPr>
      <w:rPr>
        <w:rFonts w:ascii="Wingdings" w:hAnsi="Wingdings" w:hint="default"/>
      </w:rPr>
    </w:lvl>
    <w:lvl w:ilvl="6" w:tplc="16A038F2">
      <w:start w:val="1"/>
      <w:numFmt w:val="bullet"/>
      <w:lvlText w:val=""/>
      <w:lvlJc w:val="left"/>
      <w:pPr>
        <w:ind w:left="5040" w:hanging="360"/>
      </w:pPr>
      <w:rPr>
        <w:rFonts w:ascii="Symbol" w:hAnsi="Symbol" w:hint="default"/>
      </w:rPr>
    </w:lvl>
    <w:lvl w:ilvl="7" w:tplc="E53A8A7A">
      <w:start w:val="1"/>
      <w:numFmt w:val="bullet"/>
      <w:lvlText w:val="o"/>
      <w:lvlJc w:val="left"/>
      <w:pPr>
        <w:ind w:left="5760" w:hanging="360"/>
      </w:pPr>
      <w:rPr>
        <w:rFonts w:ascii="Courier New" w:hAnsi="Courier New" w:hint="default"/>
      </w:rPr>
    </w:lvl>
    <w:lvl w:ilvl="8" w:tplc="059C885A">
      <w:start w:val="1"/>
      <w:numFmt w:val="bullet"/>
      <w:lvlText w:val=""/>
      <w:lvlJc w:val="left"/>
      <w:pPr>
        <w:ind w:left="6480" w:hanging="360"/>
      </w:pPr>
      <w:rPr>
        <w:rFonts w:ascii="Wingdings" w:hAnsi="Wingdings" w:hint="default"/>
      </w:rPr>
    </w:lvl>
  </w:abstractNum>
  <w:abstractNum w:abstractNumId="8"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A20647"/>
    <w:multiLevelType w:val="hybridMultilevel"/>
    <w:tmpl w:val="0CE86C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E612F0"/>
    <w:multiLevelType w:val="hybridMultilevel"/>
    <w:tmpl w:val="5A5609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0F3B44"/>
    <w:multiLevelType w:val="hybridMultilevel"/>
    <w:tmpl w:val="4E267E66"/>
    <w:lvl w:ilvl="0" w:tplc="F4BA22D4">
      <w:start w:val="1"/>
      <w:numFmt w:val="bullet"/>
      <w:lvlText w:val="•"/>
      <w:lvlJc w:val="left"/>
      <w:pPr>
        <w:tabs>
          <w:tab w:val="num" w:pos="720"/>
        </w:tabs>
        <w:ind w:left="720" w:hanging="360"/>
      </w:pPr>
      <w:rPr>
        <w:rFonts w:ascii="Arial" w:hAnsi="Arial" w:hint="default"/>
      </w:rPr>
    </w:lvl>
    <w:lvl w:ilvl="1" w:tplc="7C5E84FC">
      <w:numFmt w:val="bullet"/>
      <w:lvlText w:val="o"/>
      <w:lvlJc w:val="left"/>
      <w:pPr>
        <w:tabs>
          <w:tab w:val="num" w:pos="1440"/>
        </w:tabs>
        <w:ind w:left="1440" w:hanging="360"/>
      </w:pPr>
      <w:rPr>
        <w:rFonts w:ascii="Courier New" w:hAnsi="Courier New" w:hint="default"/>
      </w:rPr>
    </w:lvl>
    <w:lvl w:ilvl="2" w:tplc="5D58761A" w:tentative="1">
      <w:start w:val="1"/>
      <w:numFmt w:val="bullet"/>
      <w:lvlText w:val="•"/>
      <w:lvlJc w:val="left"/>
      <w:pPr>
        <w:tabs>
          <w:tab w:val="num" w:pos="2160"/>
        </w:tabs>
        <w:ind w:left="2160" w:hanging="360"/>
      </w:pPr>
      <w:rPr>
        <w:rFonts w:ascii="Arial" w:hAnsi="Arial" w:hint="default"/>
      </w:rPr>
    </w:lvl>
    <w:lvl w:ilvl="3" w:tplc="698A5394" w:tentative="1">
      <w:start w:val="1"/>
      <w:numFmt w:val="bullet"/>
      <w:lvlText w:val="•"/>
      <w:lvlJc w:val="left"/>
      <w:pPr>
        <w:tabs>
          <w:tab w:val="num" w:pos="2880"/>
        </w:tabs>
        <w:ind w:left="2880" w:hanging="360"/>
      </w:pPr>
      <w:rPr>
        <w:rFonts w:ascii="Arial" w:hAnsi="Arial" w:hint="default"/>
      </w:rPr>
    </w:lvl>
    <w:lvl w:ilvl="4" w:tplc="B4DE4FA4" w:tentative="1">
      <w:start w:val="1"/>
      <w:numFmt w:val="bullet"/>
      <w:lvlText w:val="•"/>
      <w:lvlJc w:val="left"/>
      <w:pPr>
        <w:tabs>
          <w:tab w:val="num" w:pos="3600"/>
        </w:tabs>
        <w:ind w:left="3600" w:hanging="360"/>
      </w:pPr>
      <w:rPr>
        <w:rFonts w:ascii="Arial" w:hAnsi="Arial" w:hint="default"/>
      </w:rPr>
    </w:lvl>
    <w:lvl w:ilvl="5" w:tplc="AC6E7D2E" w:tentative="1">
      <w:start w:val="1"/>
      <w:numFmt w:val="bullet"/>
      <w:lvlText w:val="•"/>
      <w:lvlJc w:val="left"/>
      <w:pPr>
        <w:tabs>
          <w:tab w:val="num" w:pos="4320"/>
        </w:tabs>
        <w:ind w:left="4320" w:hanging="360"/>
      </w:pPr>
      <w:rPr>
        <w:rFonts w:ascii="Arial" w:hAnsi="Arial" w:hint="default"/>
      </w:rPr>
    </w:lvl>
    <w:lvl w:ilvl="6" w:tplc="C1289AC2" w:tentative="1">
      <w:start w:val="1"/>
      <w:numFmt w:val="bullet"/>
      <w:lvlText w:val="•"/>
      <w:lvlJc w:val="left"/>
      <w:pPr>
        <w:tabs>
          <w:tab w:val="num" w:pos="5040"/>
        </w:tabs>
        <w:ind w:left="5040" w:hanging="360"/>
      </w:pPr>
      <w:rPr>
        <w:rFonts w:ascii="Arial" w:hAnsi="Arial" w:hint="default"/>
      </w:rPr>
    </w:lvl>
    <w:lvl w:ilvl="7" w:tplc="AA02B160" w:tentative="1">
      <w:start w:val="1"/>
      <w:numFmt w:val="bullet"/>
      <w:lvlText w:val="•"/>
      <w:lvlJc w:val="left"/>
      <w:pPr>
        <w:tabs>
          <w:tab w:val="num" w:pos="5760"/>
        </w:tabs>
        <w:ind w:left="5760" w:hanging="360"/>
      </w:pPr>
      <w:rPr>
        <w:rFonts w:ascii="Arial" w:hAnsi="Arial" w:hint="default"/>
      </w:rPr>
    </w:lvl>
    <w:lvl w:ilvl="8" w:tplc="3682AB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481DFA"/>
    <w:multiLevelType w:val="hybridMultilevel"/>
    <w:tmpl w:val="7F2666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C45DAAF"/>
    <w:multiLevelType w:val="hybridMultilevel"/>
    <w:tmpl w:val="FFFFFFFF"/>
    <w:lvl w:ilvl="0" w:tplc="E776509C">
      <w:start w:val="1"/>
      <w:numFmt w:val="bullet"/>
      <w:lvlText w:val=""/>
      <w:lvlJc w:val="left"/>
      <w:pPr>
        <w:ind w:left="720" w:hanging="360"/>
      </w:pPr>
      <w:rPr>
        <w:rFonts w:ascii="Symbol" w:hAnsi="Symbol" w:hint="default"/>
      </w:rPr>
    </w:lvl>
    <w:lvl w:ilvl="1" w:tplc="E73EEC0A">
      <w:start w:val="1"/>
      <w:numFmt w:val="bullet"/>
      <w:lvlText w:val="o"/>
      <w:lvlJc w:val="left"/>
      <w:pPr>
        <w:ind w:left="1440" w:hanging="360"/>
      </w:pPr>
      <w:rPr>
        <w:rFonts w:ascii="Courier New" w:hAnsi="Courier New" w:hint="default"/>
      </w:rPr>
    </w:lvl>
    <w:lvl w:ilvl="2" w:tplc="C31A6380">
      <w:start w:val="1"/>
      <w:numFmt w:val="bullet"/>
      <w:lvlText w:val=""/>
      <w:lvlJc w:val="left"/>
      <w:pPr>
        <w:ind w:left="2160" w:hanging="360"/>
      </w:pPr>
      <w:rPr>
        <w:rFonts w:ascii="Wingdings" w:hAnsi="Wingdings" w:hint="default"/>
      </w:rPr>
    </w:lvl>
    <w:lvl w:ilvl="3" w:tplc="9B581418">
      <w:start w:val="1"/>
      <w:numFmt w:val="bullet"/>
      <w:lvlText w:val=""/>
      <w:lvlJc w:val="left"/>
      <w:pPr>
        <w:ind w:left="2880" w:hanging="360"/>
      </w:pPr>
      <w:rPr>
        <w:rFonts w:ascii="Symbol" w:hAnsi="Symbol" w:hint="default"/>
      </w:rPr>
    </w:lvl>
    <w:lvl w:ilvl="4" w:tplc="22821CE4">
      <w:start w:val="1"/>
      <w:numFmt w:val="bullet"/>
      <w:lvlText w:val="o"/>
      <w:lvlJc w:val="left"/>
      <w:pPr>
        <w:ind w:left="3600" w:hanging="360"/>
      </w:pPr>
      <w:rPr>
        <w:rFonts w:ascii="Courier New" w:hAnsi="Courier New" w:hint="default"/>
      </w:rPr>
    </w:lvl>
    <w:lvl w:ilvl="5" w:tplc="A37EA0CA">
      <w:start w:val="1"/>
      <w:numFmt w:val="bullet"/>
      <w:lvlText w:val=""/>
      <w:lvlJc w:val="left"/>
      <w:pPr>
        <w:ind w:left="4320" w:hanging="360"/>
      </w:pPr>
      <w:rPr>
        <w:rFonts w:ascii="Wingdings" w:hAnsi="Wingdings" w:hint="default"/>
      </w:rPr>
    </w:lvl>
    <w:lvl w:ilvl="6" w:tplc="D2C4307E">
      <w:start w:val="1"/>
      <w:numFmt w:val="bullet"/>
      <w:lvlText w:val=""/>
      <w:lvlJc w:val="left"/>
      <w:pPr>
        <w:ind w:left="5040" w:hanging="360"/>
      </w:pPr>
      <w:rPr>
        <w:rFonts w:ascii="Symbol" w:hAnsi="Symbol" w:hint="default"/>
      </w:rPr>
    </w:lvl>
    <w:lvl w:ilvl="7" w:tplc="D602CBD2">
      <w:start w:val="1"/>
      <w:numFmt w:val="bullet"/>
      <w:lvlText w:val="o"/>
      <w:lvlJc w:val="left"/>
      <w:pPr>
        <w:ind w:left="5760" w:hanging="360"/>
      </w:pPr>
      <w:rPr>
        <w:rFonts w:ascii="Courier New" w:hAnsi="Courier New" w:hint="default"/>
      </w:rPr>
    </w:lvl>
    <w:lvl w:ilvl="8" w:tplc="B4E2CA74">
      <w:start w:val="1"/>
      <w:numFmt w:val="bullet"/>
      <w:lvlText w:val=""/>
      <w:lvlJc w:val="left"/>
      <w:pPr>
        <w:ind w:left="6480" w:hanging="360"/>
      </w:pPr>
      <w:rPr>
        <w:rFonts w:ascii="Wingdings" w:hAnsi="Wingdings" w:hint="default"/>
      </w:rPr>
    </w:lvl>
  </w:abstractNum>
  <w:abstractNum w:abstractNumId="17" w15:restartNumberingAfterBreak="0">
    <w:nsid w:val="2CC41F8F"/>
    <w:multiLevelType w:val="hybridMultilevel"/>
    <w:tmpl w:val="CA4EBF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ED27DB3"/>
    <w:multiLevelType w:val="hybridMultilevel"/>
    <w:tmpl w:val="45CC02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5B5F71"/>
    <w:multiLevelType w:val="hybridMultilevel"/>
    <w:tmpl w:val="B00EAFD2"/>
    <w:lvl w:ilvl="0" w:tplc="1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9D7D2B"/>
    <w:multiLevelType w:val="hybridMultilevel"/>
    <w:tmpl w:val="BFD27D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BAD1625"/>
    <w:multiLevelType w:val="hybridMultilevel"/>
    <w:tmpl w:val="A13878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A206E9"/>
    <w:multiLevelType w:val="hybridMultilevel"/>
    <w:tmpl w:val="B98E1B2A"/>
    <w:lvl w:ilvl="0" w:tplc="14090019">
      <w:start w:val="1"/>
      <w:numFmt w:val="lowerLetter"/>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DBE3001"/>
    <w:multiLevelType w:val="hybridMultilevel"/>
    <w:tmpl w:val="C1542D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1144425"/>
    <w:multiLevelType w:val="hybridMultilevel"/>
    <w:tmpl w:val="E3E8FFEE"/>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8DD5B7E"/>
    <w:multiLevelType w:val="hybridMultilevel"/>
    <w:tmpl w:val="E188E2A4"/>
    <w:lvl w:ilvl="0" w:tplc="66B820A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1222A5B"/>
    <w:multiLevelType w:val="hybridMultilevel"/>
    <w:tmpl w:val="825460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E65F4C"/>
    <w:multiLevelType w:val="hybridMultilevel"/>
    <w:tmpl w:val="23FAA9F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6834D54"/>
    <w:multiLevelType w:val="hybridMultilevel"/>
    <w:tmpl w:val="AF7C932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766651E"/>
    <w:multiLevelType w:val="hybridMultilevel"/>
    <w:tmpl w:val="1F08D3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E2CB5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541F82"/>
    <w:multiLevelType w:val="hybridMultilevel"/>
    <w:tmpl w:val="C788579C"/>
    <w:lvl w:ilvl="0" w:tplc="66068018">
      <w:start w:val="1"/>
      <w:numFmt w:val="bullet"/>
      <w:lvlText w:val="•"/>
      <w:lvlJc w:val="left"/>
      <w:pPr>
        <w:tabs>
          <w:tab w:val="num" w:pos="720"/>
        </w:tabs>
        <w:ind w:left="720" w:hanging="360"/>
      </w:pPr>
      <w:rPr>
        <w:rFonts w:ascii="Arial" w:hAnsi="Arial" w:hint="default"/>
      </w:rPr>
    </w:lvl>
    <w:lvl w:ilvl="1" w:tplc="99ACDC1A">
      <w:numFmt w:val="bullet"/>
      <w:lvlText w:val="o"/>
      <w:lvlJc w:val="left"/>
      <w:pPr>
        <w:tabs>
          <w:tab w:val="num" w:pos="1440"/>
        </w:tabs>
        <w:ind w:left="1440" w:hanging="360"/>
      </w:pPr>
      <w:rPr>
        <w:rFonts w:ascii="Courier New" w:hAnsi="Courier New" w:hint="default"/>
      </w:rPr>
    </w:lvl>
    <w:lvl w:ilvl="2" w:tplc="8812B49E" w:tentative="1">
      <w:start w:val="1"/>
      <w:numFmt w:val="bullet"/>
      <w:lvlText w:val="•"/>
      <w:lvlJc w:val="left"/>
      <w:pPr>
        <w:tabs>
          <w:tab w:val="num" w:pos="2160"/>
        </w:tabs>
        <w:ind w:left="2160" w:hanging="360"/>
      </w:pPr>
      <w:rPr>
        <w:rFonts w:ascii="Arial" w:hAnsi="Arial" w:hint="default"/>
      </w:rPr>
    </w:lvl>
    <w:lvl w:ilvl="3" w:tplc="A88CB50E" w:tentative="1">
      <w:start w:val="1"/>
      <w:numFmt w:val="bullet"/>
      <w:lvlText w:val="•"/>
      <w:lvlJc w:val="left"/>
      <w:pPr>
        <w:tabs>
          <w:tab w:val="num" w:pos="2880"/>
        </w:tabs>
        <w:ind w:left="2880" w:hanging="360"/>
      </w:pPr>
      <w:rPr>
        <w:rFonts w:ascii="Arial" w:hAnsi="Arial" w:hint="default"/>
      </w:rPr>
    </w:lvl>
    <w:lvl w:ilvl="4" w:tplc="53E27EBC" w:tentative="1">
      <w:start w:val="1"/>
      <w:numFmt w:val="bullet"/>
      <w:lvlText w:val="•"/>
      <w:lvlJc w:val="left"/>
      <w:pPr>
        <w:tabs>
          <w:tab w:val="num" w:pos="3600"/>
        </w:tabs>
        <w:ind w:left="3600" w:hanging="360"/>
      </w:pPr>
      <w:rPr>
        <w:rFonts w:ascii="Arial" w:hAnsi="Arial" w:hint="default"/>
      </w:rPr>
    </w:lvl>
    <w:lvl w:ilvl="5" w:tplc="991C3C78" w:tentative="1">
      <w:start w:val="1"/>
      <w:numFmt w:val="bullet"/>
      <w:lvlText w:val="•"/>
      <w:lvlJc w:val="left"/>
      <w:pPr>
        <w:tabs>
          <w:tab w:val="num" w:pos="4320"/>
        </w:tabs>
        <w:ind w:left="4320" w:hanging="360"/>
      </w:pPr>
      <w:rPr>
        <w:rFonts w:ascii="Arial" w:hAnsi="Arial" w:hint="default"/>
      </w:rPr>
    </w:lvl>
    <w:lvl w:ilvl="6" w:tplc="5484D52E" w:tentative="1">
      <w:start w:val="1"/>
      <w:numFmt w:val="bullet"/>
      <w:lvlText w:val="•"/>
      <w:lvlJc w:val="left"/>
      <w:pPr>
        <w:tabs>
          <w:tab w:val="num" w:pos="5040"/>
        </w:tabs>
        <w:ind w:left="5040" w:hanging="360"/>
      </w:pPr>
      <w:rPr>
        <w:rFonts w:ascii="Arial" w:hAnsi="Arial" w:hint="default"/>
      </w:rPr>
    </w:lvl>
    <w:lvl w:ilvl="7" w:tplc="E5D249DE" w:tentative="1">
      <w:start w:val="1"/>
      <w:numFmt w:val="bullet"/>
      <w:lvlText w:val="•"/>
      <w:lvlJc w:val="left"/>
      <w:pPr>
        <w:tabs>
          <w:tab w:val="num" w:pos="5760"/>
        </w:tabs>
        <w:ind w:left="5760" w:hanging="360"/>
      </w:pPr>
      <w:rPr>
        <w:rFonts w:ascii="Arial" w:hAnsi="Arial" w:hint="default"/>
      </w:rPr>
    </w:lvl>
    <w:lvl w:ilvl="8" w:tplc="2AE033E2" w:tentative="1">
      <w:start w:val="1"/>
      <w:numFmt w:val="bullet"/>
      <w:lvlText w:val="•"/>
      <w:lvlJc w:val="left"/>
      <w:pPr>
        <w:tabs>
          <w:tab w:val="num" w:pos="6480"/>
        </w:tabs>
        <w:ind w:left="6480" w:hanging="360"/>
      </w:pPr>
      <w:rPr>
        <w:rFonts w:ascii="Arial" w:hAnsi="Arial" w:hint="default"/>
      </w:rPr>
    </w:lvl>
  </w:abstractNum>
  <w:num w:numId="1" w16cid:durableId="340813112">
    <w:abstractNumId w:val="12"/>
  </w:num>
  <w:num w:numId="2" w16cid:durableId="1664695360">
    <w:abstractNumId w:val="23"/>
  </w:num>
  <w:num w:numId="3" w16cid:durableId="86075489">
    <w:abstractNumId w:val="30"/>
  </w:num>
  <w:num w:numId="4" w16cid:durableId="961226629">
    <w:abstractNumId w:val="25"/>
  </w:num>
  <w:num w:numId="5" w16cid:durableId="810247892">
    <w:abstractNumId w:val="32"/>
  </w:num>
  <w:num w:numId="6" w16cid:durableId="199098544">
    <w:abstractNumId w:val="22"/>
  </w:num>
  <w:num w:numId="7" w16cid:durableId="1829781319">
    <w:abstractNumId w:val="38"/>
  </w:num>
  <w:num w:numId="8" w16cid:durableId="534579980">
    <w:abstractNumId w:val="27"/>
  </w:num>
  <w:num w:numId="9" w16cid:durableId="1863742993">
    <w:abstractNumId w:val="11"/>
  </w:num>
  <w:num w:numId="10" w16cid:durableId="50538599">
    <w:abstractNumId w:val="10"/>
  </w:num>
  <w:num w:numId="11" w16cid:durableId="1131828693">
    <w:abstractNumId w:val="6"/>
  </w:num>
  <w:num w:numId="12" w16cid:durableId="1093433892">
    <w:abstractNumId w:val="35"/>
  </w:num>
  <w:num w:numId="13" w16cid:durableId="272787516">
    <w:abstractNumId w:val="33"/>
  </w:num>
  <w:num w:numId="14" w16cid:durableId="1390617373">
    <w:abstractNumId w:val="8"/>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911231376">
    <w:abstractNumId w:val="28"/>
  </w:num>
  <w:num w:numId="20" w16cid:durableId="902452670">
    <w:abstractNumId w:val="24"/>
  </w:num>
  <w:num w:numId="21" w16cid:durableId="381104754">
    <w:abstractNumId w:val="5"/>
  </w:num>
  <w:num w:numId="22" w16cid:durableId="798232678">
    <w:abstractNumId w:val="14"/>
  </w:num>
  <w:num w:numId="23" w16cid:durableId="2051417341">
    <w:abstractNumId w:val="40"/>
  </w:num>
  <w:num w:numId="24" w16cid:durableId="1329400896">
    <w:abstractNumId w:val="29"/>
  </w:num>
  <w:num w:numId="25" w16cid:durableId="1052583404">
    <w:abstractNumId w:val="4"/>
  </w:num>
  <w:num w:numId="26" w16cid:durableId="1248274592">
    <w:abstractNumId w:val="13"/>
  </w:num>
  <w:num w:numId="27" w16cid:durableId="938488472">
    <w:abstractNumId w:val="18"/>
  </w:num>
  <w:num w:numId="28" w16cid:durableId="222495725">
    <w:abstractNumId w:val="20"/>
  </w:num>
  <w:num w:numId="29" w16cid:durableId="766312717">
    <w:abstractNumId w:val="3"/>
  </w:num>
  <w:num w:numId="30" w16cid:durableId="1284583108">
    <w:abstractNumId w:val="31"/>
  </w:num>
  <w:num w:numId="31" w16cid:durableId="1086078661">
    <w:abstractNumId w:val="19"/>
  </w:num>
  <w:num w:numId="32" w16cid:durableId="738677594">
    <w:abstractNumId w:val="34"/>
  </w:num>
  <w:num w:numId="33" w16cid:durableId="1813908668">
    <w:abstractNumId w:val="15"/>
  </w:num>
  <w:num w:numId="34" w16cid:durableId="96365449">
    <w:abstractNumId w:val="7"/>
  </w:num>
  <w:num w:numId="35" w16cid:durableId="1386177162">
    <w:abstractNumId w:val="16"/>
  </w:num>
  <w:num w:numId="36" w16cid:durableId="2078891884">
    <w:abstractNumId w:val="36"/>
  </w:num>
  <w:num w:numId="37" w16cid:durableId="1314064129">
    <w:abstractNumId w:val="39"/>
  </w:num>
  <w:num w:numId="38" w16cid:durableId="1979064481">
    <w:abstractNumId w:val="1"/>
  </w:num>
  <w:num w:numId="39" w16cid:durableId="1185246300">
    <w:abstractNumId w:val="26"/>
  </w:num>
  <w:num w:numId="40" w16cid:durableId="17397338">
    <w:abstractNumId w:val="17"/>
  </w:num>
  <w:num w:numId="41" w16cid:durableId="2004813521">
    <w:abstractNumId w:val="21"/>
  </w:num>
  <w:num w:numId="42" w16cid:durableId="405953512">
    <w:abstractNumId w:val="9"/>
  </w:num>
  <w:num w:numId="43" w16cid:durableId="623930237">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351A"/>
    <w:rsid w:val="00003978"/>
    <w:rsid w:val="00005986"/>
    <w:rsid w:val="000063DF"/>
    <w:rsid w:val="00006485"/>
    <w:rsid w:val="000072B5"/>
    <w:rsid w:val="00007C59"/>
    <w:rsid w:val="0001030B"/>
    <w:rsid w:val="00012CD3"/>
    <w:rsid w:val="00013AE9"/>
    <w:rsid w:val="00013B55"/>
    <w:rsid w:val="00014BDF"/>
    <w:rsid w:val="000154D5"/>
    <w:rsid w:val="000156D3"/>
    <w:rsid w:val="00015F44"/>
    <w:rsid w:val="00017216"/>
    <w:rsid w:val="00017AB6"/>
    <w:rsid w:val="00021051"/>
    <w:rsid w:val="00021838"/>
    <w:rsid w:val="00021A1A"/>
    <w:rsid w:val="000235D4"/>
    <w:rsid w:val="000257D7"/>
    <w:rsid w:val="000263F6"/>
    <w:rsid w:val="00026401"/>
    <w:rsid w:val="000277AF"/>
    <w:rsid w:val="00031D78"/>
    <w:rsid w:val="00035132"/>
    <w:rsid w:val="000355B8"/>
    <w:rsid w:val="00042601"/>
    <w:rsid w:val="00043083"/>
    <w:rsid w:val="000430CC"/>
    <w:rsid w:val="00043C74"/>
    <w:rsid w:val="00050DEC"/>
    <w:rsid w:val="00051CC0"/>
    <w:rsid w:val="0005287A"/>
    <w:rsid w:val="00052B4C"/>
    <w:rsid w:val="0005504C"/>
    <w:rsid w:val="0005510F"/>
    <w:rsid w:val="00056448"/>
    <w:rsid w:val="00057F11"/>
    <w:rsid w:val="00060275"/>
    <w:rsid w:val="0006132C"/>
    <w:rsid w:val="000622A1"/>
    <w:rsid w:val="0006232B"/>
    <w:rsid w:val="00062B82"/>
    <w:rsid w:val="00064C0F"/>
    <w:rsid w:val="00065AC4"/>
    <w:rsid w:val="00067C71"/>
    <w:rsid w:val="00067E8E"/>
    <w:rsid w:val="00071CE6"/>
    <w:rsid w:val="00072B90"/>
    <w:rsid w:val="000746FD"/>
    <w:rsid w:val="000757D9"/>
    <w:rsid w:val="00076572"/>
    <w:rsid w:val="00077069"/>
    <w:rsid w:val="0008009E"/>
    <w:rsid w:val="00080C25"/>
    <w:rsid w:val="0008143F"/>
    <w:rsid w:val="00081524"/>
    <w:rsid w:val="00081E3B"/>
    <w:rsid w:val="0008726B"/>
    <w:rsid w:val="000914BA"/>
    <w:rsid w:val="000916FF"/>
    <w:rsid w:val="00092A37"/>
    <w:rsid w:val="00093C6E"/>
    <w:rsid w:val="00096C19"/>
    <w:rsid w:val="000A038E"/>
    <w:rsid w:val="000A18E7"/>
    <w:rsid w:val="000A5622"/>
    <w:rsid w:val="000B111C"/>
    <w:rsid w:val="000B6102"/>
    <w:rsid w:val="000B6932"/>
    <w:rsid w:val="000C1227"/>
    <w:rsid w:val="000C2D3C"/>
    <w:rsid w:val="000C32A5"/>
    <w:rsid w:val="000C52E0"/>
    <w:rsid w:val="000C6ACA"/>
    <w:rsid w:val="000C71F5"/>
    <w:rsid w:val="000D0534"/>
    <w:rsid w:val="000D4732"/>
    <w:rsid w:val="000D4F5F"/>
    <w:rsid w:val="000D6F0E"/>
    <w:rsid w:val="000D7903"/>
    <w:rsid w:val="000D7BEF"/>
    <w:rsid w:val="000D7E35"/>
    <w:rsid w:val="000D7E4B"/>
    <w:rsid w:val="000D7F4B"/>
    <w:rsid w:val="000E14B3"/>
    <w:rsid w:val="000E25EC"/>
    <w:rsid w:val="000E5497"/>
    <w:rsid w:val="000E5B30"/>
    <w:rsid w:val="000E7087"/>
    <w:rsid w:val="000E78DD"/>
    <w:rsid w:val="000F0906"/>
    <w:rsid w:val="000F32D0"/>
    <w:rsid w:val="000F3686"/>
    <w:rsid w:val="000F6254"/>
    <w:rsid w:val="000F6472"/>
    <w:rsid w:val="000F7471"/>
    <w:rsid w:val="00101302"/>
    <w:rsid w:val="00104BBC"/>
    <w:rsid w:val="00105E23"/>
    <w:rsid w:val="00106ECE"/>
    <w:rsid w:val="00107A9F"/>
    <w:rsid w:val="001101CE"/>
    <w:rsid w:val="00110514"/>
    <w:rsid w:val="001111D6"/>
    <w:rsid w:val="001123E1"/>
    <w:rsid w:val="00113064"/>
    <w:rsid w:val="001134A1"/>
    <w:rsid w:val="00115489"/>
    <w:rsid w:val="00115AEB"/>
    <w:rsid w:val="00121707"/>
    <w:rsid w:val="00121BED"/>
    <w:rsid w:val="00123B84"/>
    <w:rsid w:val="001249E2"/>
    <w:rsid w:val="00124E04"/>
    <w:rsid w:val="00125BD8"/>
    <w:rsid w:val="0013118C"/>
    <w:rsid w:val="00131E3D"/>
    <w:rsid w:val="001336AA"/>
    <w:rsid w:val="00133F6A"/>
    <w:rsid w:val="00134F5C"/>
    <w:rsid w:val="00136682"/>
    <w:rsid w:val="00136827"/>
    <w:rsid w:val="001378CA"/>
    <w:rsid w:val="00140AAC"/>
    <w:rsid w:val="00144E76"/>
    <w:rsid w:val="00147145"/>
    <w:rsid w:val="00147556"/>
    <w:rsid w:val="001477A9"/>
    <w:rsid w:val="001506CF"/>
    <w:rsid w:val="00150EC1"/>
    <w:rsid w:val="00150EE7"/>
    <w:rsid w:val="00150F2F"/>
    <w:rsid w:val="0015266B"/>
    <w:rsid w:val="0015274C"/>
    <w:rsid w:val="00153C73"/>
    <w:rsid w:val="00155873"/>
    <w:rsid w:val="0015739D"/>
    <w:rsid w:val="00162A91"/>
    <w:rsid w:val="00162BF3"/>
    <w:rsid w:val="001639FA"/>
    <w:rsid w:val="00164036"/>
    <w:rsid w:val="0016443C"/>
    <w:rsid w:val="001646F0"/>
    <w:rsid w:val="00165B6D"/>
    <w:rsid w:val="00173B88"/>
    <w:rsid w:val="00174277"/>
    <w:rsid w:val="0017595A"/>
    <w:rsid w:val="001762F5"/>
    <w:rsid w:val="00183219"/>
    <w:rsid w:val="00183275"/>
    <w:rsid w:val="00183F98"/>
    <w:rsid w:val="001855EA"/>
    <w:rsid w:val="00185F52"/>
    <w:rsid w:val="00190BBD"/>
    <w:rsid w:val="00191FBF"/>
    <w:rsid w:val="00193951"/>
    <w:rsid w:val="00193C63"/>
    <w:rsid w:val="00193CE7"/>
    <w:rsid w:val="00193FDA"/>
    <w:rsid w:val="0019407B"/>
    <w:rsid w:val="001959B4"/>
    <w:rsid w:val="001965D3"/>
    <w:rsid w:val="00196D2C"/>
    <w:rsid w:val="001A00D2"/>
    <w:rsid w:val="001A02AD"/>
    <w:rsid w:val="001A11F6"/>
    <w:rsid w:val="001A132C"/>
    <w:rsid w:val="001A18F3"/>
    <w:rsid w:val="001A1FC5"/>
    <w:rsid w:val="001A420E"/>
    <w:rsid w:val="001A44E7"/>
    <w:rsid w:val="001A45D6"/>
    <w:rsid w:val="001A4FD1"/>
    <w:rsid w:val="001A50BD"/>
    <w:rsid w:val="001A5FAC"/>
    <w:rsid w:val="001A6553"/>
    <w:rsid w:val="001A7670"/>
    <w:rsid w:val="001A7AF8"/>
    <w:rsid w:val="001B161C"/>
    <w:rsid w:val="001B53FA"/>
    <w:rsid w:val="001B6AEC"/>
    <w:rsid w:val="001C03A6"/>
    <w:rsid w:val="001C14D3"/>
    <w:rsid w:val="001C1C7E"/>
    <w:rsid w:val="001C2409"/>
    <w:rsid w:val="001C64FE"/>
    <w:rsid w:val="001C675A"/>
    <w:rsid w:val="001D0822"/>
    <w:rsid w:val="001D22AF"/>
    <w:rsid w:val="001D488F"/>
    <w:rsid w:val="001D5465"/>
    <w:rsid w:val="001D62FD"/>
    <w:rsid w:val="001D63FE"/>
    <w:rsid w:val="001D6A7A"/>
    <w:rsid w:val="001D6AAD"/>
    <w:rsid w:val="001D6FC6"/>
    <w:rsid w:val="001E06DF"/>
    <w:rsid w:val="001E0B57"/>
    <w:rsid w:val="001E1A64"/>
    <w:rsid w:val="001E2550"/>
    <w:rsid w:val="001E293D"/>
    <w:rsid w:val="001E5C60"/>
    <w:rsid w:val="001E6A9F"/>
    <w:rsid w:val="001E74AD"/>
    <w:rsid w:val="001F1896"/>
    <w:rsid w:val="001F3461"/>
    <w:rsid w:val="001F35FE"/>
    <w:rsid w:val="001F3CA1"/>
    <w:rsid w:val="001F69C4"/>
    <w:rsid w:val="002001F0"/>
    <w:rsid w:val="00200774"/>
    <w:rsid w:val="0020107E"/>
    <w:rsid w:val="00203C96"/>
    <w:rsid w:val="00203E05"/>
    <w:rsid w:val="00203EA2"/>
    <w:rsid w:val="00204B82"/>
    <w:rsid w:val="00205657"/>
    <w:rsid w:val="00205AD6"/>
    <w:rsid w:val="002073A0"/>
    <w:rsid w:val="002121B9"/>
    <w:rsid w:val="0021261B"/>
    <w:rsid w:val="00214246"/>
    <w:rsid w:val="002201B7"/>
    <w:rsid w:val="0022038C"/>
    <w:rsid w:val="00220624"/>
    <w:rsid w:val="00220E24"/>
    <w:rsid w:val="0022126B"/>
    <w:rsid w:val="00221347"/>
    <w:rsid w:val="0022175D"/>
    <w:rsid w:val="0022179C"/>
    <w:rsid w:val="0022540E"/>
    <w:rsid w:val="00225BC0"/>
    <w:rsid w:val="00226E91"/>
    <w:rsid w:val="0022741B"/>
    <w:rsid w:val="0023054B"/>
    <w:rsid w:val="00230608"/>
    <w:rsid w:val="00231005"/>
    <w:rsid w:val="002339EA"/>
    <w:rsid w:val="00236DDC"/>
    <w:rsid w:val="002371B4"/>
    <w:rsid w:val="00237533"/>
    <w:rsid w:val="00241871"/>
    <w:rsid w:val="00244839"/>
    <w:rsid w:val="00244D9D"/>
    <w:rsid w:val="00245178"/>
    <w:rsid w:val="002514A1"/>
    <w:rsid w:val="00251AC2"/>
    <w:rsid w:val="00252B7B"/>
    <w:rsid w:val="00257752"/>
    <w:rsid w:val="00261751"/>
    <w:rsid w:val="002659E2"/>
    <w:rsid w:val="002665C5"/>
    <w:rsid w:val="00266748"/>
    <w:rsid w:val="0027152B"/>
    <w:rsid w:val="00271DF1"/>
    <w:rsid w:val="0027261C"/>
    <w:rsid w:val="00272AA4"/>
    <w:rsid w:val="00277ABE"/>
    <w:rsid w:val="0028267D"/>
    <w:rsid w:val="002833F3"/>
    <w:rsid w:val="00285CEA"/>
    <w:rsid w:val="00285E15"/>
    <w:rsid w:val="00286D1E"/>
    <w:rsid w:val="00287D53"/>
    <w:rsid w:val="00290110"/>
    <w:rsid w:val="0029029C"/>
    <w:rsid w:val="002910D4"/>
    <w:rsid w:val="002914DE"/>
    <w:rsid w:val="00291E66"/>
    <w:rsid w:val="00293C3C"/>
    <w:rsid w:val="00294811"/>
    <w:rsid w:val="0029676C"/>
    <w:rsid w:val="002969D8"/>
    <w:rsid w:val="00297582"/>
    <w:rsid w:val="002975DE"/>
    <w:rsid w:val="00297676"/>
    <w:rsid w:val="00297B4B"/>
    <w:rsid w:val="002A0718"/>
    <w:rsid w:val="002A1FDA"/>
    <w:rsid w:val="002A3AC0"/>
    <w:rsid w:val="002A5F16"/>
    <w:rsid w:val="002B11F1"/>
    <w:rsid w:val="002B1862"/>
    <w:rsid w:val="002B1B64"/>
    <w:rsid w:val="002B2948"/>
    <w:rsid w:val="002B37C7"/>
    <w:rsid w:val="002B4FF6"/>
    <w:rsid w:val="002C19E5"/>
    <w:rsid w:val="002C1D71"/>
    <w:rsid w:val="002C3ECB"/>
    <w:rsid w:val="002C4A22"/>
    <w:rsid w:val="002C67BD"/>
    <w:rsid w:val="002C6820"/>
    <w:rsid w:val="002D0409"/>
    <w:rsid w:val="002D1AD5"/>
    <w:rsid w:val="002D1F2F"/>
    <w:rsid w:val="002D22C7"/>
    <w:rsid w:val="002D4BDD"/>
    <w:rsid w:val="002D689B"/>
    <w:rsid w:val="002D78E9"/>
    <w:rsid w:val="002E1666"/>
    <w:rsid w:val="002E2CCF"/>
    <w:rsid w:val="002E547C"/>
    <w:rsid w:val="002E599D"/>
    <w:rsid w:val="002E7831"/>
    <w:rsid w:val="002F13EA"/>
    <w:rsid w:val="002F36D1"/>
    <w:rsid w:val="002F6704"/>
    <w:rsid w:val="002F7442"/>
    <w:rsid w:val="0030109F"/>
    <w:rsid w:val="00301AB6"/>
    <w:rsid w:val="00303EF1"/>
    <w:rsid w:val="00304AF1"/>
    <w:rsid w:val="00310A90"/>
    <w:rsid w:val="0031195A"/>
    <w:rsid w:val="00311D32"/>
    <w:rsid w:val="00312210"/>
    <w:rsid w:val="003147F7"/>
    <w:rsid w:val="00321701"/>
    <w:rsid w:val="00321C46"/>
    <w:rsid w:val="003223AC"/>
    <w:rsid w:val="003228DF"/>
    <w:rsid w:val="00325E31"/>
    <w:rsid w:val="0032769C"/>
    <w:rsid w:val="00331CCB"/>
    <w:rsid w:val="00331D2C"/>
    <w:rsid w:val="00335308"/>
    <w:rsid w:val="003362F8"/>
    <w:rsid w:val="0033692F"/>
    <w:rsid w:val="003372D1"/>
    <w:rsid w:val="00340841"/>
    <w:rsid w:val="003415F2"/>
    <w:rsid w:val="0034255E"/>
    <w:rsid w:val="0034500C"/>
    <w:rsid w:val="003451B3"/>
    <w:rsid w:val="00345201"/>
    <w:rsid w:val="00345ACC"/>
    <w:rsid w:val="003470AA"/>
    <w:rsid w:val="00350934"/>
    <w:rsid w:val="00353E03"/>
    <w:rsid w:val="00353F3A"/>
    <w:rsid w:val="00354116"/>
    <w:rsid w:val="00355229"/>
    <w:rsid w:val="003557A9"/>
    <w:rsid w:val="0035584E"/>
    <w:rsid w:val="003558C2"/>
    <w:rsid w:val="00355D68"/>
    <w:rsid w:val="0035607F"/>
    <w:rsid w:val="00356454"/>
    <w:rsid w:val="0035680A"/>
    <w:rsid w:val="00357CD9"/>
    <w:rsid w:val="00361D62"/>
    <w:rsid w:val="0036225A"/>
    <w:rsid w:val="00363DE0"/>
    <w:rsid w:val="00364262"/>
    <w:rsid w:val="00370C0F"/>
    <w:rsid w:val="003720D9"/>
    <w:rsid w:val="00372520"/>
    <w:rsid w:val="00372989"/>
    <w:rsid w:val="00372CD7"/>
    <w:rsid w:val="00374EB2"/>
    <w:rsid w:val="003751B1"/>
    <w:rsid w:val="00375776"/>
    <w:rsid w:val="00377AF4"/>
    <w:rsid w:val="00380044"/>
    <w:rsid w:val="003801AF"/>
    <w:rsid w:val="0038042C"/>
    <w:rsid w:val="0038068D"/>
    <w:rsid w:val="0038160B"/>
    <w:rsid w:val="003825AF"/>
    <w:rsid w:val="00382927"/>
    <w:rsid w:val="003830C8"/>
    <w:rsid w:val="00386712"/>
    <w:rsid w:val="00386E6D"/>
    <w:rsid w:val="00387178"/>
    <w:rsid w:val="00390A08"/>
    <w:rsid w:val="00390F39"/>
    <w:rsid w:val="00392C96"/>
    <w:rsid w:val="00393170"/>
    <w:rsid w:val="003A1838"/>
    <w:rsid w:val="003A3D1C"/>
    <w:rsid w:val="003A630F"/>
    <w:rsid w:val="003B13D7"/>
    <w:rsid w:val="003B1612"/>
    <w:rsid w:val="003B2535"/>
    <w:rsid w:val="003B3C4A"/>
    <w:rsid w:val="003B3EAE"/>
    <w:rsid w:val="003B5839"/>
    <w:rsid w:val="003B630F"/>
    <w:rsid w:val="003B6497"/>
    <w:rsid w:val="003B6C8D"/>
    <w:rsid w:val="003B784D"/>
    <w:rsid w:val="003C018C"/>
    <w:rsid w:val="003C039E"/>
    <w:rsid w:val="003C20D0"/>
    <w:rsid w:val="003C45E1"/>
    <w:rsid w:val="003C555C"/>
    <w:rsid w:val="003C59F1"/>
    <w:rsid w:val="003D19E6"/>
    <w:rsid w:val="003D275A"/>
    <w:rsid w:val="003D2AE6"/>
    <w:rsid w:val="003D405D"/>
    <w:rsid w:val="003D77F7"/>
    <w:rsid w:val="003E01E3"/>
    <w:rsid w:val="003E1003"/>
    <w:rsid w:val="003E123C"/>
    <w:rsid w:val="003E1978"/>
    <w:rsid w:val="003E1A3E"/>
    <w:rsid w:val="003E2238"/>
    <w:rsid w:val="003E38E3"/>
    <w:rsid w:val="003E3B5E"/>
    <w:rsid w:val="003E411E"/>
    <w:rsid w:val="003E52D6"/>
    <w:rsid w:val="003F0791"/>
    <w:rsid w:val="003F10E8"/>
    <w:rsid w:val="003F37D6"/>
    <w:rsid w:val="003F429E"/>
    <w:rsid w:val="003F5A26"/>
    <w:rsid w:val="003F5A5D"/>
    <w:rsid w:val="00402A50"/>
    <w:rsid w:val="0040345B"/>
    <w:rsid w:val="00404778"/>
    <w:rsid w:val="00405E78"/>
    <w:rsid w:val="0040657D"/>
    <w:rsid w:val="0040755E"/>
    <w:rsid w:val="00407CA8"/>
    <w:rsid w:val="00410D2D"/>
    <w:rsid w:val="00410F95"/>
    <w:rsid w:val="004114BA"/>
    <w:rsid w:val="00411BBC"/>
    <w:rsid w:val="004145DC"/>
    <w:rsid w:val="004148D5"/>
    <w:rsid w:val="0041622F"/>
    <w:rsid w:val="00416629"/>
    <w:rsid w:val="00417C6D"/>
    <w:rsid w:val="004201E0"/>
    <w:rsid w:val="004206BA"/>
    <w:rsid w:val="00420A49"/>
    <w:rsid w:val="004241B9"/>
    <w:rsid w:val="00425825"/>
    <w:rsid w:val="004258F9"/>
    <w:rsid w:val="00425AA0"/>
    <w:rsid w:val="00425F8A"/>
    <w:rsid w:val="0043196E"/>
    <w:rsid w:val="00432DE0"/>
    <w:rsid w:val="00432E80"/>
    <w:rsid w:val="00433D6F"/>
    <w:rsid w:val="00435F96"/>
    <w:rsid w:val="004363F2"/>
    <w:rsid w:val="0043743D"/>
    <w:rsid w:val="00440BC6"/>
    <w:rsid w:val="0044235F"/>
    <w:rsid w:val="00442889"/>
    <w:rsid w:val="004436C2"/>
    <w:rsid w:val="004458DE"/>
    <w:rsid w:val="004466EF"/>
    <w:rsid w:val="00447327"/>
    <w:rsid w:val="0045000E"/>
    <w:rsid w:val="00451976"/>
    <w:rsid w:val="00454AA5"/>
    <w:rsid w:val="00455C70"/>
    <w:rsid w:val="0045730F"/>
    <w:rsid w:val="00461A9A"/>
    <w:rsid w:val="00461AE6"/>
    <w:rsid w:val="00462D7A"/>
    <w:rsid w:val="00462ED2"/>
    <w:rsid w:val="004639D3"/>
    <w:rsid w:val="00470861"/>
    <w:rsid w:val="004719E3"/>
    <w:rsid w:val="0047427C"/>
    <w:rsid w:val="0047638D"/>
    <w:rsid w:val="0047654C"/>
    <w:rsid w:val="00477C87"/>
    <w:rsid w:val="004814FF"/>
    <w:rsid w:val="0048247F"/>
    <w:rsid w:val="004846B0"/>
    <w:rsid w:val="004857E1"/>
    <w:rsid w:val="00486209"/>
    <w:rsid w:val="00486853"/>
    <w:rsid w:val="0048728F"/>
    <w:rsid w:val="00490300"/>
    <w:rsid w:val="004907D7"/>
    <w:rsid w:val="00493BA4"/>
    <w:rsid w:val="004947A0"/>
    <w:rsid w:val="00495190"/>
    <w:rsid w:val="0049681B"/>
    <w:rsid w:val="004968AD"/>
    <w:rsid w:val="0049698A"/>
    <w:rsid w:val="004A0D26"/>
    <w:rsid w:val="004A0DE8"/>
    <w:rsid w:val="004A1649"/>
    <w:rsid w:val="004A182F"/>
    <w:rsid w:val="004A1ACA"/>
    <w:rsid w:val="004A1E32"/>
    <w:rsid w:val="004A2BBE"/>
    <w:rsid w:val="004A2D77"/>
    <w:rsid w:val="004A547E"/>
    <w:rsid w:val="004A54CE"/>
    <w:rsid w:val="004A571F"/>
    <w:rsid w:val="004A6075"/>
    <w:rsid w:val="004A6B7F"/>
    <w:rsid w:val="004B0E7D"/>
    <w:rsid w:val="004B387A"/>
    <w:rsid w:val="004B7369"/>
    <w:rsid w:val="004B7CE3"/>
    <w:rsid w:val="004C1013"/>
    <w:rsid w:val="004C24CF"/>
    <w:rsid w:val="004C26BE"/>
    <w:rsid w:val="004C5C64"/>
    <w:rsid w:val="004C6CC9"/>
    <w:rsid w:val="004C7EA2"/>
    <w:rsid w:val="004D022B"/>
    <w:rsid w:val="004D0AD0"/>
    <w:rsid w:val="004D1CEE"/>
    <w:rsid w:val="004D441C"/>
    <w:rsid w:val="004D4904"/>
    <w:rsid w:val="004D6696"/>
    <w:rsid w:val="004E0317"/>
    <w:rsid w:val="004E04D9"/>
    <w:rsid w:val="004E0ED3"/>
    <w:rsid w:val="004E1DD4"/>
    <w:rsid w:val="004E2627"/>
    <w:rsid w:val="004E2DDC"/>
    <w:rsid w:val="004E42CC"/>
    <w:rsid w:val="004E4BE9"/>
    <w:rsid w:val="004E6CE7"/>
    <w:rsid w:val="004F0C63"/>
    <w:rsid w:val="004F0CFB"/>
    <w:rsid w:val="004F1813"/>
    <w:rsid w:val="004F199B"/>
    <w:rsid w:val="004F2C9F"/>
    <w:rsid w:val="004F5B74"/>
    <w:rsid w:val="004F6871"/>
    <w:rsid w:val="005025A1"/>
    <w:rsid w:val="00505999"/>
    <w:rsid w:val="0051042E"/>
    <w:rsid w:val="0051109A"/>
    <w:rsid w:val="00512A49"/>
    <w:rsid w:val="005130DB"/>
    <w:rsid w:val="005166FD"/>
    <w:rsid w:val="00517F5E"/>
    <w:rsid w:val="00523307"/>
    <w:rsid w:val="005240E9"/>
    <w:rsid w:val="0052668F"/>
    <w:rsid w:val="005267A2"/>
    <w:rsid w:val="00526FA3"/>
    <w:rsid w:val="00530F66"/>
    <w:rsid w:val="00531094"/>
    <w:rsid w:val="00532431"/>
    <w:rsid w:val="00533C23"/>
    <w:rsid w:val="00533F38"/>
    <w:rsid w:val="005351ED"/>
    <w:rsid w:val="005369FF"/>
    <w:rsid w:val="00536BF1"/>
    <w:rsid w:val="00537EB2"/>
    <w:rsid w:val="00540003"/>
    <w:rsid w:val="00540FF8"/>
    <w:rsid w:val="00545374"/>
    <w:rsid w:val="0055038D"/>
    <w:rsid w:val="005507E4"/>
    <w:rsid w:val="00551DD8"/>
    <w:rsid w:val="005548B9"/>
    <w:rsid w:val="005557C1"/>
    <w:rsid w:val="00555C13"/>
    <w:rsid w:val="00556650"/>
    <w:rsid w:val="005568D8"/>
    <w:rsid w:val="005572C0"/>
    <w:rsid w:val="00560DE8"/>
    <w:rsid w:val="00561028"/>
    <w:rsid w:val="00565CD1"/>
    <w:rsid w:val="00566A3D"/>
    <w:rsid w:val="00570466"/>
    <w:rsid w:val="00570DA5"/>
    <w:rsid w:val="00572BCF"/>
    <w:rsid w:val="00572C53"/>
    <w:rsid w:val="005730A4"/>
    <w:rsid w:val="00574F90"/>
    <w:rsid w:val="005768F8"/>
    <w:rsid w:val="00576F8E"/>
    <w:rsid w:val="00580F29"/>
    <w:rsid w:val="00581B76"/>
    <w:rsid w:val="00582015"/>
    <w:rsid w:val="005820DB"/>
    <w:rsid w:val="005825AC"/>
    <w:rsid w:val="0058260A"/>
    <w:rsid w:val="00582EA9"/>
    <w:rsid w:val="00583C18"/>
    <w:rsid w:val="0058455D"/>
    <w:rsid w:val="00584623"/>
    <w:rsid w:val="005879FE"/>
    <w:rsid w:val="0059262F"/>
    <w:rsid w:val="005937A5"/>
    <w:rsid w:val="005938D9"/>
    <w:rsid w:val="00594523"/>
    <w:rsid w:val="005979A4"/>
    <w:rsid w:val="005A2116"/>
    <w:rsid w:val="005A2B42"/>
    <w:rsid w:val="005A5494"/>
    <w:rsid w:val="005A5B29"/>
    <w:rsid w:val="005A6A2E"/>
    <w:rsid w:val="005A6D47"/>
    <w:rsid w:val="005B033F"/>
    <w:rsid w:val="005B070A"/>
    <w:rsid w:val="005B2440"/>
    <w:rsid w:val="005B4409"/>
    <w:rsid w:val="005B59BC"/>
    <w:rsid w:val="005B68AE"/>
    <w:rsid w:val="005B7990"/>
    <w:rsid w:val="005C17FD"/>
    <w:rsid w:val="005C2D28"/>
    <w:rsid w:val="005C2E2C"/>
    <w:rsid w:val="005C48F2"/>
    <w:rsid w:val="005C4F41"/>
    <w:rsid w:val="005C5D7A"/>
    <w:rsid w:val="005D14E0"/>
    <w:rsid w:val="005D1C6E"/>
    <w:rsid w:val="005D1D10"/>
    <w:rsid w:val="005E110B"/>
    <w:rsid w:val="005E1217"/>
    <w:rsid w:val="005E1C29"/>
    <w:rsid w:val="005E3A56"/>
    <w:rsid w:val="005E5E87"/>
    <w:rsid w:val="005E77DA"/>
    <w:rsid w:val="005F0BE5"/>
    <w:rsid w:val="005F1734"/>
    <w:rsid w:val="005F2B44"/>
    <w:rsid w:val="005F3582"/>
    <w:rsid w:val="005F4F38"/>
    <w:rsid w:val="005F7290"/>
    <w:rsid w:val="00601E3D"/>
    <w:rsid w:val="0060235B"/>
    <w:rsid w:val="00602EA4"/>
    <w:rsid w:val="0060423C"/>
    <w:rsid w:val="006054BC"/>
    <w:rsid w:val="00605A85"/>
    <w:rsid w:val="00606E99"/>
    <w:rsid w:val="006107EF"/>
    <w:rsid w:val="00615847"/>
    <w:rsid w:val="006173C1"/>
    <w:rsid w:val="006229D8"/>
    <w:rsid w:val="0062308A"/>
    <w:rsid w:val="00626713"/>
    <w:rsid w:val="00626B1B"/>
    <w:rsid w:val="00630927"/>
    <w:rsid w:val="00630A1A"/>
    <w:rsid w:val="00631DB2"/>
    <w:rsid w:val="00631DB3"/>
    <w:rsid w:val="00632295"/>
    <w:rsid w:val="00632461"/>
    <w:rsid w:val="00635F6B"/>
    <w:rsid w:val="00636D5B"/>
    <w:rsid w:val="006375B0"/>
    <w:rsid w:val="00640803"/>
    <w:rsid w:val="00640F2D"/>
    <w:rsid w:val="00641AC2"/>
    <w:rsid w:val="006434B7"/>
    <w:rsid w:val="0064619F"/>
    <w:rsid w:val="006469DF"/>
    <w:rsid w:val="00646AB1"/>
    <w:rsid w:val="006501CA"/>
    <w:rsid w:val="006505C1"/>
    <w:rsid w:val="00651EE8"/>
    <w:rsid w:val="00653148"/>
    <w:rsid w:val="0065374E"/>
    <w:rsid w:val="0065535B"/>
    <w:rsid w:val="00662F45"/>
    <w:rsid w:val="006630F3"/>
    <w:rsid w:val="0066381F"/>
    <w:rsid w:val="0066501B"/>
    <w:rsid w:val="006657D7"/>
    <w:rsid w:val="00665D22"/>
    <w:rsid w:val="00666616"/>
    <w:rsid w:val="00671770"/>
    <w:rsid w:val="00672126"/>
    <w:rsid w:val="0067215D"/>
    <w:rsid w:val="00672F39"/>
    <w:rsid w:val="00673064"/>
    <w:rsid w:val="0067432D"/>
    <w:rsid w:val="00674C10"/>
    <w:rsid w:val="00675B7E"/>
    <w:rsid w:val="00675EC0"/>
    <w:rsid w:val="0067709B"/>
    <w:rsid w:val="00677DF6"/>
    <w:rsid w:val="00680240"/>
    <w:rsid w:val="00680AE1"/>
    <w:rsid w:val="00681FD6"/>
    <w:rsid w:val="006820D5"/>
    <w:rsid w:val="006821D2"/>
    <w:rsid w:val="00683DE4"/>
    <w:rsid w:val="0068435B"/>
    <w:rsid w:val="00684A7F"/>
    <w:rsid w:val="00685DC5"/>
    <w:rsid w:val="0068796F"/>
    <w:rsid w:val="0069060A"/>
    <w:rsid w:val="006907DA"/>
    <w:rsid w:val="00690A6E"/>
    <w:rsid w:val="00691F5B"/>
    <w:rsid w:val="0069543D"/>
    <w:rsid w:val="00695C2D"/>
    <w:rsid w:val="00696DEB"/>
    <w:rsid w:val="00697B2B"/>
    <w:rsid w:val="00697C79"/>
    <w:rsid w:val="006A3910"/>
    <w:rsid w:val="006A473A"/>
    <w:rsid w:val="006A4E3B"/>
    <w:rsid w:val="006A501C"/>
    <w:rsid w:val="006A5DEE"/>
    <w:rsid w:val="006A6F8D"/>
    <w:rsid w:val="006A7E69"/>
    <w:rsid w:val="006B0AD7"/>
    <w:rsid w:val="006B19C6"/>
    <w:rsid w:val="006B2F4A"/>
    <w:rsid w:val="006B318E"/>
    <w:rsid w:val="006B4B65"/>
    <w:rsid w:val="006B4E4A"/>
    <w:rsid w:val="006B5B29"/>
    <w:rsid w:val="006B7508"/>
    <w:rsid w:val="006B7F7F"/>
    <w:rsid w:val="006C12FF"/>
    <w:rsid w:val="006C3FE9"/>
    <w:rsid w:val="006C409D"/>
    <w:rsid w:val="006C5204"/>
    <w:rsid w:val="006C6809"/>
    <w:rsid w:val="006D2995"/>
    <w:rsid w:val="006D341B"/>
    <w:rsid w:val="006D3D27"/>
    <w:rsid w:val="006D4188"/>
    <w:rsid w:val="006D4467"/>
    <w:rsid w:val="006D4BD1"/>
    <w:rsid w:val="006D64E1"/>
    <w:rsid w:val="006D666D"/>
    <w:rsid w:val="006D75F7"/>
    <w:rsid w:val="006D7810"/>
    <w:rsid w:val="006E00EE"/>
    <w:rsid w:val="006E02B6"/>
    <w:rsid w:val="006E0CBC"/>
    <w:rsid w:val="006E1EC2"/>
    <w:rsid w:val="006E3D7B"/>
    <w:rsid w:val="006E4525"/>
    <w:rsid w:val="006E484C"/>
    <w:rsid w:val="006E5039"/>
    <w:rsid w:val="006E5140"/>
    <w:rsid w:val="006E706A"/>
    <w:rsid w:val="006E7429"/>
    <w:rsid w:val="006F21ED"/>
    <w:rsid w:val="006F35EB"/>
    <w:rsid w:val="006F4F4B"/>
    <w:rsid w:val="006F52B6"/>
    <w:rsid w:val="00702438"/>
    <w:rsid w:val="0070244E"/>
    <w:rsid w:val="00703375"/>
    <w:rsid w:val="007048AE"/>
    <w:rsid w:val="00707141"/>
    <w:rsid w:val="00707E7B"/>
    <w:rsid w:val="00710A1B"/>
    <w:rsid w:val="00711D25"/>
    <w:rsid w:val="00713AB7"/>
    <w:rsid w:val="00715846"/>
    <w:rsid w:val="00716634"/>
    <w:rsid w:val="00721AEA"/>
    <w:rsid w:val="00722C09"/>
    <w:rsid w:val="007248A2"/>
    <w:rsid w:val="007313B5"/>
    <w:rsid w:val="00731B46"/>
    <w:rsid w:val="007324A8"/>
    <w:rsid w:val="00732DAC"/>
    <w:rsid w:val="00732FBC"/>
    <w:rsid w:val="007346C6"/>
    <w:rsid w:val="007347F0"/>
    <w:rsid w:val="007351D5"/>
    <w:rsid w:val="00735A13"/>
    <w:rsid w:val="00740B80"/>
    <w:rsid w:val="007415A2"/>
    <w:rsid w:val="00741F54"/>
    <w:rsid w:val="00746447"/>
    <w:rsid w:val="007504D0"/>
    <w:rsid w:val="00750FF8"/>
    <w:rsid w:val="00752144"/>
    <w:rsid w:val="00752DCB"/>
    <w:rsid w:val="00754BF2"/>
    <w:rsid w:val="00756ADC"/>
    <w:rsid w:val="00757AF5"/>
    <w:rsid w:val="00757FD8"/>
    <w:rsid w:val="00760894"/>
    <w:rsid w:val="0076167A"/>
    <w:rsid w:val="00762438"/>
    <w:rsid w:val="00762C7F"/>
    <w:rsid w:val="00763347"/>
    <w:rsid w:val="00763715"/>
    <w:rsid w:val="00764327"/>
    <w:rsid w:val="00764BB5"/>
    <w:rsid w:val="00764E9F"/>
    <w:rsid w:val="00767413"/>
    <w:rsid w:val="0077058E"/>
    <w:rsid w:val="00770D2E"/>
    <w:rsid w:val="00771696"/>
    <w:rsid w:val="00771E61"/>
    <w:rsid w:val="00773E43"/>
    <w:rsid w:val="00774200"/>
    <w:rsid w:val="00774C32"/>
    <w:rsid w:val="00776630"/>
    <w:rsid w:val="00776699"/>
    <w:rsid w:val="00780D1C"/>
    <w:rsid w:val="00784F44"/>
    <w:rsid w:val="007852F8"/>
    <w:rsid w:val="00786485"/>
    <w:rsid w:val="00786552"/>
    <w:rsid w:val="0079053A"/>
    <w:rsid w:val="0079067C"/>
    <w:rsid w:val="00790B45"/>
    <w:rsid w:val="007922E7"/>
    <w:rsid w:val="00792A47"/>
    <w:rsid w:val="00792E41"/>
    <w:rsid w:val="00792E4C"/>
    <w:rsid w:val="00796900"/>
    <w:rsid w:val="00797213"/>
    <w:rsid w:val="007A0445"/>
    <w:rsid w:val="007A13D0"/>
    <w:rsid w:val="007A2370"/>
    <w:rsid w:val="007A570B"/>
    <w:rsid w:val="007B0567"/>
    <w:rsid w:val="007B151D"/>
    <w:rsid w:val="007B288A"/>
    <w:rsid w:val="007B2E6E"/>
    <w:rsid w:val="007B44F4"/>
    <w:rsid w:val="007B6136"/>
    <w:rsid w:val="007B661F"/>
    <w:rsid w:val="007C0CF9"/>
    <w:rsid w:val="007C13AC"/>
    <w:rsid w:val="007C2787"/>
    <w:rsid w:val="007C2E58"/>
    <w:rsid w:val="007C3522"/>
    <w:rsid w:val="007C454E"/>
    <w:rsid w:val="007C4F2E"/>
    <w:rsid w:val="007C56BD"/>
    <w:rsid w:val="007C5709"/>
    <w:rsid w:val="007C7ED1"/>
    <w:rsid w:val="007D219A"/>
    <w:rsid w:val="007D319E"/>
    <w:rsid w:val="007D34AD"/>
    <w:rsid w:val="007D5CDB"/>
    <w:rsid w:val="007D6E42"/>
    <w:rsid w:val="007D712A"/>
    <w:rsid w:val="007E00A2"/>
    <w:rsid w:val="007E0634"/>
    <w:rsid w:val="007E3C7A"/>
    <w:rsid w:val="007E5241"/>
    <w:rsid w:val="007E6C55"/>
    <w:rsid w:val="007F020C"/>
    <w:rsid w:val="007F2D3B"/>
    <w:rsid w:val="007F4772"/>
    <w:rsid w:val="007F694F"/>
    <w:rsid w:val="007F73C1"/>
    <w:rsid w:val="007F7612"/>
    <w:rsid w:val="007F79FC"/>
    <w:rsid w:val="00801A1F"/>
    <w:rsid w:val="0080238B"/>
    <w:rsid w:val="00802A41"/>
    <w:rsid w:val="00803339"/>
    <w:rsid w:val="008036BA"/>
    <w:rsid w:val="0080549C"/>
    <w:rsid w:val="00806030"/>
    <w:rsid w:val="00806A50"/>
    <w:rsid w:val="00811357"/>
    <w:rsid w:val="008115CF"/>
    <w:rsid w:val="008131B0"/>
    <w:rsid w:val="0081533B"/>
    <w:rsid w:val="008157BF"/>
    <w:rsid w:val="00815D6C"/>
    <w:rsid w:val="00816A83"/>
    <w:rsid w:val="00816B65"/>
    <w:rsid w:val="008225AA"/>
    <w:rsid w:val="00823C0E"/>
    <w:rsid w:val="00823FC4"/>
    <w:rsid w:val="00824617"/>
    <w:rsid w:val="008256F9"/>
    <w:rsid w:val="00826943"/>
    <w:rsid w:val="00831A03"/>
    <w:rsid w:val="008321D6"/>
    <w:rsid w:val="008321F7"/>
    <w:rsid w:val="008322D1"/>
    <w:rsid w:val="008332F5"/>
    <w:rsid w:val="00833405"/>
    <w:rsid w:val="008336A3"/>
    <w:rsid w:val="00834A22"/>
    <w:rsid w:val="008355ED"/>
    <w:rsid w:val="00836C24"/>
    <w:rsid w:val="00837421"/>
    <w:rsid w:val="00837F27"/>
    <w:rsid w:val="00841260"/>
    <w:rsid w:val="00845529"/>
    <w:rsid w:val="00845B37"/>
    <w:rsid w:val="00845F20"/>
    <w:rsid w:val="0084633E"/>
    <w:rsid w:val="00846C16"/>
    <w:rsid w:val="00847C44"/>
    <w:rsid w:val="0085071D"/>
    <w:rsid w:val="00851905"/>
    <w:rsid w:val="00852B4E"/>
    <w:rsid w:val="0085375F"/>
    <w:rsid w:val="0085597F"/>
    <w:rsid w:val="008601B0"/>
    <w:rsid w:val="00861C08"/>
    <w:rsid w:val="008623DF"/>
    <w:rsid w:val="0086282B"/>
    <w:rsid w:val="00865172"/>
    <w:rsid w:val="00867C4D"/>
    <w:rsid w:val="0087040B"/>
    <w:rsid w:val="00870518"/>
    <w:rsid w:val="00871422"/>
    <w:rsid w:val="00872819"/>
    <w:rsid w:val="008739C8"/>
    <w:rsid w:val="0087542F"/>
    <w:rsid w:val="00875747"/>
    <w:rsid w:val="0088021C"/>
    <w:rsid w:val="0088183B"/>
    <w:rsid w:val="00881869"/>
    <w:rsid w:val="00882175"/>
    <w:rsid w:val="00882716"/>
    <w:rsid w:val="00882D5D"/>
    <w:rsid w:val="008842D0"/>
    <w:rsid w:val="00887A6D"/>
    <w:rsid w:val="00887AFE"/>
    <w:rsid w:val="00890A2A"/>
    <w:rsid w:val="008917AD"/>
    <w:rsid w:val="00893B3A"/>
    <w:rsid w:val="008946E7"/>
    <w:rsid w:val="00895EA9"/>
    <w:rsid w:val="008960B0"/>
    <w:rsid w:val="00897EDB"/>
    <w:rsid w:val="008A0B2D"/>
    <w:rsid w:val="008A165C"/>
    <w:rsid w:val="008A1E91"/>
    <w:rsid w:val="008A2695"/>
    <w:rsid w:val="008A29DF"/>
    <w:rsid w:val="008A2CE5"/>
    <w:rsid w:val="008A406B"/>
    <w:rsid w:val="008A4F2A"/>
    <w:rsid w:val="008A5DCF"/>
    <w:rsid w:val="008A60AE"/>
    <w:rsid w:val="008A69BA"/>
    <w:rsid w:val="008A6FEC"/>
    <w:rsid w:val="008A7790"/>
    <w:rsid w:val="008B0E06"/>
    <w:rsid w:val="008B4D28"/>
    <w:rsid w:val="008B4E25"/>
    <w:rsid w:val="008C28A0"/>
    <w:rsid w:val="008C329A"/>
    <w:rsid w:val="008C3916"/>
    <w:rsid w:val="008C4218"/>
    <w:rsid w:val="008C50ED"/>
    <w:rsid w:val="008C5E97"/>
    <w:rsid w:val="008C6B45"/>
    <w:rsid w:val="008C7BF8"/>
    <w:rsid w:val="008D1652"/>
    <w:rsid w:val="008D1895"/>
    <w:rsid w:val="008D1E5A"/>
    <w:rsid w:val="008D1E6C"/>
    <w:rsid w:val="008D2E28"/>
    <w:rsid w:val="008D30F0"/>
    <w:rsid w:val="008D3D86"/>
    <w:rsid w:val="008D63E6"/>
    <w:rsid w:val="008D7ACA"/>
    <w:rsid w:val="008D7B48"/>
    <w:rsid w:val="008E1024"/>
    <w:rsid w:val="008E129F"/>
    <w:rsid w:val="008E5335"/>
    <w:rsid w:val="008E7D47"/>
    <w:rsid w:val="008F0563"/>
    <w:rsid w:val="008F12DC"/>
    <w:rsid w:val="008F13F8"/>
    <w:rsid w:val="008F2B35"/>
    <w:rsid w:val="008F3EB9"/>
    <w:rsid w:val="008F4049"/>
    <w:rsid w:val="008F4284"/>
    <w:rsid w:val="008F6B3D"/>
    <w:rsid w:val="008F6ECF"/>
    <w:rsid w:val="008F749A"/>
    <w:rsid w:val="008F7E81"/>
    <w:rsid w:val="00900AFF"/>
    <w:rsid w:val="00900BCE"/>
    <w:rsid w:val="00902F8E"/>
    <w:rsid w:val="00903A25"/>
    <w:rsid w:val="009040D9"/>
    <w:rsid w:val="00905630"/>
    <w:rsid w:val="00906793"/>
    <w:rsid w:val="009070C4"/>
    <w:rsid w:val="00911920"/>
    <w:rsid w:val="00911E3D"/>
    <w:rsid w:val="00914500"/>
    <w:rsid w:val="00914C4F"/>
    <w:rsid w:val="00915D2C"/>
    <w:rsid w:val="009200C0"/>
    <w:rsid w:val="00921017"/>
    <w:rsid w:val="0092294D"/>
    <w:rsid w:val="00923481"/>
    <w:rsid w:val="00930656"/>
    <w:rsid w:val="00930B7A"/>
    <w:rsid w:val="00930BF3"/>
    <w:rsid w:val="009330A5"/>
    <w:rsid w:val="009337B4"/>
    <w:rsid w:val="00934C4D"/>
    <w:rsid w:val="009350E4"/>
    <w:rsid w:val="00940F6B"/>
    <w:rsid w:val="0094131A"/>
    <w:rsid w:val="00941D45"/>
    <w:rsid w:val="00944659"/>
    <w:rsid w:val="00946515"/>
    <w:rsid w:val="00946C5D"/>
    <w:rsid w:val="0095080E"/>
    <w:rsid w:val="00950EF8"/>
    <w:rsid w:val="00951121"/>
    <w:rsid w:val="00951EB3"/>
    <w:rsid w:val="009522ED"/>
    <w:rsid w:val="00952CF5"/>
    <w:rsid w:val="00952FE6"/>
    <w:rsid w:val="00953010"/>
    <w:rsid w:val="009538DA"/>
    <w:rsid w:val="00953BAB"/>
    <w:rsid w:val="00954640"/>
    <w:rsid w:val="00954C95"/>
    <w:rsid w:val="00957079"/>
    <w:rsid w:val="00960486"/>
    <w:rsid w:val="0096081E"/>
    <w:rsid w:val="00961027"/>
    <w:rsid w:val="00962138"/>
    <w:rsid w:val="00962F7C"/>
    <w:rsid w:val="0096351A"/>
    <w:rsid w:val="00963688"/>
    <w:rsid w:val="00963DD1"/>
    <w:rsid w:val="0096459A"/>
    <w:rsid w:val="0096786C"/>
    <w:rsid w:val="0097067B"/>
    <w:rsid w:val="009727E5"/>
    <w:rsid w:val="00973121"/>
    <w:rsid w:val="00973BD2"/>
    <w:rsid w:val="009740A1"/>
    <w:rsid w:val="0097594E"/>
    <w:rsid w:val="0097679C"/>
    <w:rsid w:val="00980E85"/>
    <w:rsid w:val="00981641"/>
    <w:rsid w:val="00981F38"/>
    <w:rsid w:val="00982471"/>
    <w:rsid w:val="0098249A"/>
    <w:rsid w:val="009857BB"/>
    <w:rsid w:val="009860B1"/>
    <w:rsid w:val="00986AE3"/>
    <w:rsid w:val="00987573"/>
    <w:rsid w:val="009875B4"/>
    <w:rsid w:val="009915A9"/>
    <w:rsid w:val="00991FC7"/>
    <w:rsid w:val="00992584"/>
    <w:rsid w:val="00994889"/>
    <w:rsid w:val="00995950"/>
    <w:rsid w:val="00995BAE"/>
    <w:rsid w:val="00995F92"/>
    <w:rsid w:val="0099776A"/>
    <w:rsid w:val="009A0136"/>
    <w:rsid w:val="009A0EF7"/>
    <w:rsid w:val="009A0EFC"/>
    <w:rsid w:val="009A15FC"/>
    <w:rsid w:val="009A270D"/>
    <w:rsid w:val="009A30EB"/>
    <w:rsid w:val="009A318A"/>
    <w:rsid w:val="009A4F53"/>
    <w:rsid w:val="009A5930"/>
    <w:rsid w:val="009A65BA"/>
    <w:rsid w:val="009A7126"/>
    <w:rsid w:val="009B0A87"/>
    <w:rsid w:val="009B1229"/>
    <w:rsid w:val="009B16B5"/>
    <w:rsid w:val="009B25F5"/>
    <w:rsid w:val="009B4270"/>
    <w:rsid w:val="009B444F"/>
    <w:rsid w:val="009B4668"/>
    <w:rsid w:val="009B4E57"/>
    <w:rsid w:val="009B5C34"/>
    <w:rsid w:val="009B5C4F"/>
    <w:rsid w:val="009B5D8A"/>
    <w:rsid w:val="009B60E1"/>
    <w:rsid w:val="009B6390"/>
    <w:rsid w:val="009B6DBE"/>
    <w:rsid w:val="009C107F"/>
    <w:rsid w:val="009C22A0"/>
    <w:rsid w:val="009C4465"/>
    <w:rsid w:val="009C5588"/>
    <w:rsid w:val="009C6AD6"/>
    <w:rsid w:val="009D1AF9"/>
    <w:rsid w:val="009D1B4D"/>
    <w:rsid w:val="009D2DCF"/>
    <w:rsid w:val="009D3813"/>
    <w:rsid w:val="009D4AF8"/>
    <w:rsid w:val="009D4F1F"/>
    <w:rsid w:val="009D56D9"/>
    <w:rsid w:val="009D622E"/>
    <w:rsid w:val="009D79CD"/>
    <w:rsid w:val="009E1ED9"/>
    <w:rsid w:val="009E2620"/>
    <w:rsid w:val="009E3567"/>
    <w:rsid w:val="009E3A57"/>
    <w:rsid w:val="009E4290"/>
    <w:rsid w:val="009E5132"/>
    <w:rsid w:val="009E52B6"/>
    <w:rsid w:val="009E5410"/>
    <w:rsid w:val="009E5660"/>
    <w:rsid w:val="009F156B"/>
    <w:rsid w:val="009F47E3"/>
    <w:rsid w:val="009F55EF"/>
    <w:rsid w:val="009F713A"/>
    <w:rsid w:val="00A00662"/>
    <w:rsid w:val="00A01655"/>
    <w:rsid w:val="00A016B2"/>
    <w:rsid w:val="00A03AF2"/>
    <w:rsid w:val="00A04964"/>
    <w:rsid w:val="00A05064"/>
    <w:rsid w:val="00A0512B"/>
    <w:rsid w:val="00A052F6"/>
    <w:rsid w:val="00A10CD2"/>
    <w:rsid w:val="00A11C13"/>
    <w:rsid w:val="00A12EF6"/>
    <w:rsid w:val="00A13989"/>
    <w:rsid w:val="00A13A94"/>
    <w:rsid w:val="00A14939"/>
    <w:rsid w:val="00A14B07"/>
    <w:rsid w:val="00A15876"/>
    <w:rsid w:val="00A200D2"/>
    <w:rsid w:val="00A203DB"/>
    <w:rsid w:val="00A207EC"/>
    <w:rsid w:val="00A20911"/>
    <w:rsid w:val="00A225AF"/>
    <w:rsid w:val="00A2381C"/>
    <w:rsid w:val="00A23A92"/>
    <w:rsid w:val="00A23F96"/>
    <w:rsid w:val="00A24302"/>
    <w:rsid w:val="00A2637E"/>
    <w:rsid w:val="00A278C8"/>
    <w:rsid w:val="00A30E0A"/>
    <w:rsid w:val="00A313E6"/>
    <w:rsid w:val="00A322BB"/>
    <w:rsid w:val="00A32B11"/>
    <w:rsid w:val="00A40A6E"/>
    <w:rsid w:val="00A41608"/>
    <w:rsid w:val="00A42871"/>
    <w:rsid w:val="00A42BA0"/>
    <w:rsid w:val="00A45543"/>
    <w:rsid w:val="00A46DB2"/>
    <w:rsid w:val="00A517F7"/>
    <w:rsid w:val="00A53296"/>
    <w:rsid w:val="00A533FF"/>
    <w:rsid w:val="00A53872"/>
    <w:rsid w:val="00A54C80"/>
    <w:rsid w:val="00A54CFC"/>
    <w:rsid w:val="00A554C3"/>
    <w:rsid w:val="00A5577A"/>
    <w:rsid w:val="00A56998"/>
    <w:rsid w:val="00A56EF4"/>
    <w:rsid w:val="00A57261"/>
    <w:rsid w:val="00A6040B"/>
    <w:rsid w:val="00A61607"/>
    <w:rsid w:val="00A627C3"/>
    <w:rsid w:val="00A6305B"/>
    <w:rsid w:val="00A63FD9"/>
    <w:rsid w:val="00A647B7"/>
    <w:rsid w:val="00A64FAA"/>
    <w:rsid w:val="00A66A5E"/>
    <w:rsid w:val="00A66C36"/>
    <w:rsid w:val="00A67C26"/>
    <w:rsid w:val="00A70B1C"/>
    <w:rsid w:val="00A7257A"/>
    <w:rsid w:val="00A7328E"/>
    <w:rsid w:val="00A73474"/>
    <w:rsid w:val="00A75805"/>
    <w:rsid w:val="00A75C6B"/>
    <w:rsid w:val="00A7698C"/>
    <w:rsid w:val="00A80094"/>
    <w:rsid w:val="00A81FAA"/>
    <w:rsid w:val="00A855E3"/>
    <w:rsid w:val="00A87AEA"/>
    <w:rsid w:val="00A910D5"/>
    <w:rsid w:val="00A9188E"/>
    <w:rsid w:val="00A9198C"/>
    <w:rsid w:val="00A92C02"/>
    <w:rsid w:val="00A93AD6"/>
    <w:rsid w:val="00A94A67"/>
    <w:rsid w:val="00A959BB"/>
    <w:rsid w:val="00A95C29"/>
    <w:rsid w:val="00A95E07"/>
    <w:rsid w:val="00A95FB1"/>
    <w:rsid w:val="00A9632C"/>
    <w:rsid w:val="00A966CD"/>
    <w:rsid w:val="00A97B76"/>
    <w:rsid w:val="00AA1941"/>
    <w:rsid w:val="00AA3E50"/>
    <w:rsid w:val="00AA6F80"/>
    <w:rsid w:val="00AA75E0"/>
    <w:rsid w:val="00AA77AF"/>
    <w:rsid w:val="00AA7B43"/>
    <w:rsid w:val="00AB1F5B"/>
    <w:rsid w:val="00AB37FF"/>
    <w:rsid w:val="00AB5BBC"/>
    <w:rsid w:val="00AC0387"/>
    <w:rsid w:val="00AC1097"/>
    <w:rsid w:val="00AC1F59"/>
    <w:rsid w:val="00AC3D8C"/>
    <w:rsid w:val="00AC4D70"/>
    <w:rsid w:val="00AC61D6"/>
    <w:rsid w:val="00AC637F"/>
    <w:rsid w:val="00AC63C1"/>
    <w:rsid w:val="00AD0E47"/>
    <w:rsid w:val="00AD220C"/>
    <w:rsid w:val="00AD52B8"/>
    <w:rsid w:val="00AD7F0B"/>
    <w:rsid w:val="00AE0F22"/>
    <w:rsid w:val="00AE117F"/>
    <w:rsid w:val="00AE2638"/>
    <w:rsid w:val="00AE3D70"/>
    <w:rsid w:val="00AE7F4C"/>
    <w:rsid w:val="00AF1C3F"/>
    <w:rsid w:val="00AF229C"/>
    <w:rsid w:val="00AF29E6"/>
    <w:rsid w:val="00AF30F1"/>
    <w:rsid w:val="00AF34DA"/>
    <w:rsid w:val="00B005B4"/>
    <w:rsid w:val="00B03B5F"/>
    <w:rsid w:val="00B064A2"/>
    <w:rsid w:val="00B073DE"/>
    <w:rsid w:val="00B0744F"/>
    <w:rsid w:val="00B10CC1"/>
    <w:rsid w:val="00B10F3B"/>
    <w:rsid w:val="00B1332E"/>
    <w:rsid w:val="00B15A5F"/>
    <w:rsid w:val="00B160F7"/>
    <w:rsid w:val="00B17185"/>
    <w:rsid w:val="00B177A5"/>
    <w:rsid w:val="00B20AA6"/>
    <w:rsid w:val="00B20E20"/>
    <w:rsid w:val="00B23E77"/>
    <w:rsid w:val="00B23EF3"/>
    <w:rsid w:val="00B322A2"/>
    <w:rsid w:val="00B32467"/>
    <w:rsid w:val="00B33B6D"/>
    <w:rsid w:val="00B346EB"/>
    <w:rsid w:val="00B347E2"/>
    <w:rsid w:val="00B36433"/>
    <w:rsid w:val="00B405FD"/>
    <w:rsid w:val="00B409C0"/>
    <w:rsid w:val="00B4254D"/>
    <w:rsid w:val="00B42FDE"/>
    <w:rsid w:val="00B43090"/>
    <w:rsid w:val="00B4731B"/>
    <w:rsid w:val="00B501F8"/>
    <w:rsid w:val="00B5094C"/>
    <w:rsid w:val="00B51A14"/>
    <w:rsid w:val="00B52C21"/>
    <w:rsid w:val="00B5654F"/>
    <w:rsid w:val="00B56726"/>
    <w:rsid w:val="00B57F3B"/>
    <w:rsid w:val="00B60724"/>
    <w:rsid w:val="00B61DF2"/>
    <w:rsid w:val="00B635E6"/>
    <w:rsid w:val="00B649E2"/>
    <w:rsid w:val="00B660B9"/>
    <w:rsid w:val="00B6620D"/>
    <w:rsid w:val="00B673CF"/>
    <w:rsid w:val="00B67A57"/>
    <w:rsid w:val="00B72642"/>
    <w:rsid w:val="00B72F96"/>
    <w:rsid w:val="00B73469"/>
    <w:rsid w:val="00B74276"/>
    <w:rsid w:val="00B7606A"/>
    <w:rsid w:val="00B763CB"/>
    <w:rsid w:val="00B76AFB"/>
    <w:rsid w:val="00B80611"/>
    <w:rsid w:val="00B807CB"/>
    <w:rsid w:val="00B8083E"/>
    <w:rsid w:val="00B80E2D"/>
    <w:rsid w:val="00B8297F"/>
    <w:rsid w:val="00B86B40"/>
    <w:rsid w:val="00B87535"/>
    <w:rsid w:val="00B902D7"/>
    <w:rsid w:val="00B9275E"/>
    <w:rsid w:val="00B93850"/>
    <w:rsid w:val="00B94E9E"/>
    <w:rsid w:val="00B96A41"/>
    <w:rsid w:val="00B97AD4"/>
    <w:rsid w:val="00BA0B09"/>
    <w:rsid w:val="00BA1ECC"/>
    <w:rsid w:val="00BA2442"/>
    <w:rsid w:val="00BA37BF"/>
    <w:rsid w:val="00BA3F77"/>
    <w:rsid w:val="00BA41A9"/>
    <w:rsid w:val="00BA44E4"/>
    <w:rsid w:val="00BA532D"/>
    <w:rsid w:val="00BA7FA4"/>
    <w:rsid w:val="00BB0E09"/>
    <w:rsid w:val="00BB145B"/>
    <w:rsid w:val="00BB18D0"/>
    <w:rsid w:val="00BB192B"/>
    <w:rsid w:val="00BB3B7C"/>
    <w:rsid w:val="00BB51D5"/>
    <w:rsid w:val="00BB6A09"/>
    <w:rsid w:val="00BB7084"/>
    <w:rsid w:val="00BB7E27"/>
    <w:rsid w:val="00BB7FC7"/>
    <w:rsid w:val="00BC0177"/>
    <w:rsid w:val="00BC1BC4"/>
    <w:rsid w:val="00BC1F1C"/>
    <w:rsid w:val="00BC2E5D"/>
    <w:rsid w:val="00BC393B"/>
    <w:rsid w:val="00BC7E5B"/>
    <w:rsid w:val="00BD145A"/>
    <w:rsid w:val="00BD1AA4"/>
    <w:rsid w:val="00BD305F"/>
    <w:rsid w:val="00BD3899"/>
    <w:rsid w:val="00BD4F61"/>
    <w:rsid w:val="00BD59E7"/>
    <w:rsid w:val="00BD76C5"/>
    <w:rsid w:val="00BD7F74"/>
    <w:rsid w:val="00BE13DC"/>
    <w:rsid w:val="00BE162D"/>
    <w:rsid w:val="00BE2A2D"/>
    <w:rsid w:val="00BE3307"/>
    <w:rsid w:val="00BE49B6"/>
    <w:rsid w:val="00BE4C0A"/>
    <w:rsid w:val="00BE4D66"/>
    <w:rsid w:val="00BE52A6"/>
    <w:rsid w:val="00BE62B0"/>
    <w:rsid w:val="00BE68E4"/>
    <w:rsid w:val="00BF08F7"/>
    <w:rsid w:val="00BF17DC"/>
    <w:rsid w:val="00BF1CC7"/>
    <w:rsid w:val="00BF2224"/>
    <w:rsid w:val="00BF3BE6"/>
    <w:rsid w:val="00BF6E52"/>
    <w:rsid w:val="00BF7482"/>
    <w:rsid w:val="00BF79BF"/>
    <w:rsid w:val="00C00B9B"/>
    <w:rsid w:val="00C026B1"/>
    <w:rsid w:val="00C04030"/>
    <w:rsid w:val="00C07473"/>
    <w:rsid w:val="00C07928"/>
    <w:rsid w:val="00C109D3"/>
    <w:rsid w:val="00C10A63"/>
    <w:rsid w:val="00C11053"/>
    <w:rsid w:val="00C11745"/>
    <w:rsid w:val="00C1215B"/>
    <w:rsid w:val="00C1235E"/>
    <w:rsid w:val="00C14157"/>
    <w:rsid w:val="00C1691A"/>
    <w:rsid w:val="00C1717A"/>
    <w:rsid w:val="00C1781F"/>
    <w:rsid w:val="00C21BCF"/>
    <w:rsid w:val="00C22946"/>
    <w:rsid w:val="00C22A4D"/>
    <w:rsid w:val="00C23346"/>
    <w:rsid w:val="00C23655"/>
    <w:rsid w:val="00C23C6E"/>
    <w:rsid w:val="00C25993"/>
    <w:rsid w:val="00C274E6"/>
    <w:rsid w:val="00C27859"/>
    <w:rsid w:val="00C27C15"/>
    <w:rsid w:val="00C31730"/>
    <w:rsid w:val="00C32DBA"/>
    <w:rsid w:val="00C33ACC"/>
    <w:rsid w:val="00C360B9"/>
    <w:rsid w:val="00C372E0"/>
    <w:rsid w:val="00C436A7"/>
    <w:rsid w:val="00C50CAB"/>
    <w:rsid w:val="00C51579"/>
    <w:rsid w:val="00C516AF"/>
    <w:rsid w:val="00C54305"/>
    <w:rsid w:val="00C55057"/>
    <w:rsid w:val="00C575ED"/>
    <w:rsid w:val="00C57CE9"/>
    <w:rsid w:val="00C61DB7"/>
    <w:rsid w:val="00C6752C"/>
    <w:rsid w:val="00C678D4"/>
    <w:rsid w:val="00C7112F"/>
    <w:rsid w:val="00C73020"/>
    <w:rsid w:val="00C73069"/>
    <w:rsid w:val="00C75C0E"/>
    <w:rsid w:val="00C761F8"/>
    <w:rsid w:val="00C764B2"/>
    <w:rsid w:val="00C828F8"/>
    <w:rsid w:val="00C83077"/>
    <w:rsid w:val="00C8315E"/>
    <w:rsid w:val="00C83268"/>
    <w:rsid w:val="00C86014"/>
    <w:rsid w:val="00C865CE"/>
    <w:rsid w:val="00C86712"/>
    <w:rsid w:val="00C9095C"/>
    <w:rsid w:val="00C92BEA"/>
    <w:rsid w:val="00C93AA6"/>
    <w:rsid w:val="00C94091"/>
    <w:rsid w:val="00C94F2C"/>
    <w:rsid w:val="00C954AC"/>
    <w:rsid w:val="00C96F71"/>
    <w:rsid w:val="00CA013E"/>
    <w:rsid w:val="00CA1B09"/>
    <w:rsid w:val="00CA34D7"/>
    <w:rsid w:val="00CA35DB"/>
    <w:rsid w:val="00CA4AD9"/>
    <w:rsid w:val="00CA79C7"/>
    <w:rsid w:val="00CA7F3D"/>
    <w:rsid w:val="00CB02E0"/>
    <w:rsid w:val="00CB05FA"/>
    <w:rsid w:val="00CB187D"/>
    <w:rsid w:val="00CB3EE0"/>
    <w:rsid w:val="00CB5DEE"/>
    <w:rsid w:val="00CB7E49"/>
    <w:rsid w:val="00CB7F04"/>
    <w:rsid w:val="00CC32F3"/>
    <w:rsid w:val="00CC6501"/>
    <w:rsid w:val="00CC73D1"/>
    <w:rsid w:val="00CC7C8E"/>
    <w:rsid w:val="00CD0D04"/>
    <w:rsid w:val="00CD0E84"/>
    <w:rsid w:val="00CD1784"/>
    <w:rsid w:val="00CD1AAF"/>
    <w:rsid w:val="00CD22F7"/>
    <w:rsid w:val="00CD46EC"/>
    <w:rsid w:val="00CD6240"/>
    <w:rsid w:val="00CD6333"/>
    <w:rsid w:val="00CD67A5"/>
    <w:rsid w:val="00CE063F"/>
    <w:rsid w:val="00CE0FC3"/>
    <w:rsid w:val="00CE13F7"/>
    <w:rsid w:val="00CE1F92"/>
    <w:rsid w:val="00CE24F8"/>
    <w:rsid w:val="00CE4648"/>
    <w:rsid w:val="00CE468C"/>
    <w:rsid w:val="00CE554A"/>
    <w:rsid w:val="00CE679A"/>
    <w:rsid w:val="00CF452B"/>
    <w:rsid w:val="00CF5F2A"/>
    <w:rsid w:val="00D02530"/>
    <w:rsid w:val="00D028C6"/>
    <w:rsid w:val="00D02A83"/>
    <w:rsid w:val="00D02CC6"/>
    <w:rsid w:val="00D040C4"/>
    <w:rsid w:val="00D1056E"/>
    <w:rsid w:val="00D105CA"/>
    <w:rsid w:val="00D10D67"/>
    <w:rsid w:val="00D116BA"/>
    <w:rsid w:val="00D12EFF"/>
    <w:rsid w:val="00D12FC1"/>
    <w:rsid w:val="00D132F2"/>
    <w:rsid w:val="00D155DB"/>
    <w:rsid w:val="00D15B35"/>
    <w:rsid w:val="00D1780F"/>
    <w:rsid w:val="00D2014A"/>
    <w:rsid w:val="00D20568"/>
    <w:rsid w:val="00D20FCE"/>
    <w:rsid w:val="00D229A8"/>
    <w:rsid w:val="00D230FD"/>
    <w:rsid w:val="00D2314B"/>
    <w:rsid w:val="00D2316A"/>
    <w:rsid w:val="00D23534"/>
    <w:rsid w:val="00D23541"/>
    <w:rsid w:val="00D23DEF"/>
    <w:rsid w:val="00D241F5"/>
    <w:rsid w:val="00D25A5D"/>
    <w:rsid w:val="00D271E6"/>
    <w:rsid w:val="00D30E90"/>
    <w:rsid w:val="00D32833"/>
    <w:rsid w:val="00D33E16"/>
    <w:rsid w:val="00D35714"/>
    <w:rsid w:val="00D37168"/>
    <w:rsid w:val="00D40681"/>
    <w:rsid w:val="00D41B94"/>
    <w:rsid w:val="00D44EB1"/>
    <w:rsid w:val="00D45A40"/>
    <w:rsid w:val="00D501FC"/>
    <w:rsid w:val="00D50662"/>
    <w:rsid w:val="00D533BA"/>
    <w:rsid w:val="00D5422E"/>
    <w:rsid w:val="00D604EC"/>
    <w:rsid w:val="00D60EC2"/>
    <w:rsid w:val="00D627A5"/>
    <w:rsid w:val="00D627A8"/>
    <w:rsid w:val="00D63383"/>
    <w:rsid w:val="00D64D6E"/>
    <w:rsid w:val="00D6540B"/>
    <w:rsid w:val="00D65E7C"/>
    <w:rsid w:val="00D67977"/>
    <w:rsid w:val="00D728F1"/>
    <w:rsid w:val="00D73D88"/>
    <w:rsid w:val="00D74DFB"/>
    <w:rsid w:val="00D754F0"/>
    <w:rsid w:val="00D75D48"/>
    <w:rsid w:val="00D76A0E"/>
    <w:rsid w:val="00D76C8D"/>
    <w:rsid w:val="00D76D56"/>
    <w:rsid w:val="00D810E4"/>
    <w:rsid w:val="00D81314"/>
    <w:rsid w:val="00D81D1A"/>
    <w:rsid w:val="00D82520"/>
    <w:rsid w:val="00D83ACB"/>
    <w:rsid w:val="00D83DCB"/>
    <w:rsid w:val="00D83F43"/>
    <w:rsid w:val="00D86B58"/>
    <w:rsid w:val="00D87809"/>
    <w:rsid w:val="00D879BB"/>
    <w:rsid w:val="00D927B8"/>
    <w:rsid w:val="00D933BC"/>
    <w:rsid w:val="00D936F8"/>
    <w:rsid w:val="00D93B29"/>
    <w:rsid w:val="00D969D2"/>
    <w:rsid w:val="00DA1104"/>
    <w:rsid w:val="00DA1882"/>
    <w:rsid w:val="00DA23A4"/>
    <w:rsid w:val="00DA4B43"/>
    <w:rsid w:val="00DA586F"/>
    <w:rsid w:val="00DA5A98"/>
    <w:rsid w:val="00DA60DF"/>
    <w:rsid w:val="00DB10A5"/>
    <w:rsid w:val="00DB1CFC"/>
    <w:rsid w:val="00DB1EEE"/>
    <w:rsid w:val="00DB3901"/>
    <w:rsid w:val="00DB4066"/>
    <w:rsid w:val="00DB53EB"/>
    <w:rsid w:val="00DB5A9E"/>
    <w:rsid w:val="00DB690D"/>
    <w:rsid w:val="00DB6DD8"/>
    <w:rsid w:val="00DB7060"/>
    <w:rsid w:val="00DB7D05"/>
    <w:rsid w:val="00DB7F7B"/>
    <w:rsid w:val="00DC06AE"/>
    <w:rsid w:val="00DC0A50"/>
    <w:rsid w:val="00DC1D67"/>
    <w:rsid w:val="00DC29EB"/>
    <w:rsid w:val="00DC3FA4"/>
    <w:rsid w:val="00DC47C0"/>
    <w:rsid w:val="00DC4C3D"/>
    <w:rsid w:val="00DC59B7"/>
    <w:rsid w:val="00DD032B"/>
    <w:rsid w:val="00DD2E85"/>
    <w:rsid w:val="00DD3245"/>
    <w:rsid w:val="00DD3430"/>
    <w:rsid w:val="00DD3D3C"/>
    <w:rsid w:val="00DD3F10"/>
    <w:rsid w:val="00DD48E0"/>
    <w:rsid w:val="00DD4E5E"/>
    <w:rsid w:val="00DD4F35"/>
    <w:rsid w:val="00DD5553"/>
    <w:rsid w:val="00DD559C"/>
    <w:rsid w:val="00DD5A07"/>
    <w:rsid w:val="00DD708A"/>
    <w:rsid w:val="00DD793F"/>
    <w:rsid w:val="00DE0550"/>
    <w:rsid w:val="00DE07F1"/>
    <w:rsid w:val="00DE0E3A"/>
    <w:rsid w:val="00DE102A"/>
    <w:rsid w:val="00DE19FB"/>
    <w:rsid w:val="00DE1FF7"/>
    <w:rsid w:val="00DE2012"/>
    <w:rsid w:val="00DE26FF"/>
    <w:rsid w:val="00DE3261"/>
    <w:rsid w:val="00DE34D1"/>
    <w:rsid w:val="00DE3C40"/>
    <w:rsid w:val="00DE43EE"/>
    <w:rsid w:val="00DE4FCB"/>
    <w:rsid w:val="00DF0684"/>
    <w:rsid w:val="00DF07BC"/>
    <w:rsid w:val="00DF271A"/>
    <w:rsid w:val="00DF2AE7"/>
    <w:rsid w:val="00DF4770"/>
    <w:rsid w:val="00DF539A"/>
    <w:rsid w:val="00DF5716"/>
    <w:rsid w:val="00DF669C"/>
    <w:rsid w:val="00DF72F0"/>
    <w:rsid w:val="00DF7671"/>
    <w:rsid w:val="00E008AE"/>
    <w:rsid w:val="00E01058"/>
    <w:rsid w:val="00E010AB"/>
    <w:rsid w:val="00E0234F"/>
    <w:rsid w:val="00E03981"/>
    <w:rsid w:val="00E04A8C"/>
    <w:rsid w:val="00E04D7E"/>
    <w:rsid w:val="00E07049"/>
    <w:rsid w:val="00E10EF0"/>
    <w:rsid w:val="00E11A1F"/>
    <w:rsid w:val="00E1323D"/>
    <w:rsid w:val="00E13315"/>
    <w:rsid w:val="00E146B2"/>
    <w:rsid w:val="00E15971"/>
    <w:rsid w:val="00E16359"/>
    <w:rsid w:val="00E224AC"/>
    <w:rsid w:val="00E23C81"/>
    <w:rsid w:val="00E23D31"/>
    <w:rsid w:val="00E23F48"/>
    <w:rsid w:val="00E241CE"/>
    <w:rsid w:val="00E2451F"/>
    <w:rsid w:val="00E26FF9"/>
    <w:rsid w:val="00E34D4A"/>
    <w:rsid w:val="00E355BB"/>
    <w:rsid w:val="00E35BB5"/>
    <w:rsid w:val="00E36E61"/>
    <w:rsid w:val="00E36FF7"/>
    <w:rsid w:val="00E37068"/>
    <w:rsid w:val="00E426BD"/>
    <w:rsid w:val="00E4339E"/>
    <w:rsid w:val="00E462D4"/>
    <w:rsid w:val="00E531C8"/>
    <w:rsid w:val="00E5420C"/>
    <w:rsid w:val="00E56485"/>
    <w:rsid w:val="00E60914"/>
    <w:rsid w:val="00E6214E"/>
    <w:rsid w:val="00E65439"/>
    <w:rsid w:val="00E6626F"/>
    <w:rsid w:val="00E66736"/>
    <w:rsid w:val="00E67EF2"/>
    <w:rsid w:val="00E752EF"/>
    <w:rsid w:val="00E825C7"/>
    <w:rsid w:val="00E83591"/>
    <w:rsid w:val="00E86249"/>
    <w:rsid w:val="00E870DA"/>
    <w:rsid w:val="00E87E45"/>
    <w:rsid w:val="00E902CC"/>
    <w:rsid w:val="00E919A9"/>
    <w:rsid w:val="00E91BE6"/>
    <w:rsid w:val="00E91D5D"/>
    <w:rsid w:val="00E94336"/>
    <w:rsid w:val="00E9519A"/>
    <w:rsid w:val="00E95A46"/>
    <w:rsid w:val="00EA071D"/>
    <w:rsid w:val="00EA1FEE"/>
    <w:rsid w:val="00EA3D4F"/>
    <w:rsid w:val="00EA5F51"/>
    <w:rsid w:val="00EA6641"/>
    <w:rsid w:val="00EA6F68"/>
    <w:rsid w:val="00EB026B"/>
    <w:rsid w:val="00EB0E1E"/>
    <w:rsid w:val="00EB21BE"/>
    <w:rsid w:val="00EB21E0"/>
    <w:rsid w:val="00EB25CD"/>
    <w:rsid w:val="00EB2B83"/>
    <w:rsid w:val="00EB3F0C"/>
    <w:rsid w:val="00EB5095"/>
    <w:rsid w:val="00EB5FDA"/>
    <w:rsid w:val="00EB6194"/>
    <w:rsid w:val="00EB6D9B"/>
    <w:rsid w:val="00EB7777"/>
    <w:rsid w:val="00EC12F2"/>
    <w:rsid w:val="00EC2147"/>
    <w:rsid w:val="00EC3787"/>
    <w:rsid w:val="00EC4023"/>
    <w:rsid w:val="00EC4242"/>
    <w:rsid w:val="00EC6DCD"/>
    <w:rsid w:val="00EC7600"/>
    <w:rsid w:val="00EC7C11"/>
    <w:rsid w:val="00ED033D"/>
    <w:rsid w:val="00ED30DB"/>
    <w:rsid w:val="00ED72F9"/>
    <w:rsid w:val="00EE2961"/>
    <w:rsid w:val="00EE69F8"/>
    <w:rsid w:val="00EE6BB8"/>
    <w:rsid w:val="00EF0A40"/>
    <w:rsid w:val="00EF1C66"/>
    <w:rsid w:val="00EF2057"/>
    <w:rsid w:val="00EF2B11"/>
    <w:rsid w:val="00EF3EA3"/>
    <w:rsid w:val="00EF548E"/>
    <w:rsid w:val="00EF581A"/>
    <w:rsid w:val="00EF60B5"/>
    <w:rsid w:val="00EF6E77"/>
    <w:rsid w:val="00EF7332"/>
    <w:rsid w:val="00F009A5"/>
    <w:rsid w:val="00F00A1E"/>
    <w:rsid w:val="00F00CB3"/>
    <w:rsid w:val="00F017A7"/>
    <w:rsid w:val="00F0456A"/>
    <w:rsid w:val="00F067AB"/>
    <w:rsid w:val="00F06F49"/>
    <w:rsid w:val="00F078EB"/>
    <w:rsid w:val="00F1161A"/>
    <w:rsid w:val="00F13190"/>
    <w:rsid w:val="00F14400"/>
    <w:rsid w:val="00F17E04"/>
    <w:rsid w:val="00F20B5F"/>
    <w:rsid w:val="00F23E5D"/>
    <w:rsid w:val="00F24831"/>
    <w:rsid w:val="00F248BD"/>
    <w:rsid w:val="00F25BA5"/>
    <w:rsid w:val="00F26C28"/>
    <w:rsid w:val="00F31C95"/>
    <w:rsid w:val="00F320C2"/>
    <w:rsid w:val="00F32AD9"/>
    <w:rsid w:val="00F34739"/>
    <w:rsid w:val="00F353AD"/>
    <w:rsid w:val="00F3595E"/>
    <w:rsid w:val="00F408BF"/>
    <w:rsid w:val="00F40D3C"/>
    <w:rsid w:val="00F41047"/>
    <w:rsid w:val="00F43049"/>
    <w:rsid w:val="00F4325E"/>
    <w:rsid w:val="00F43D0C"/>
    <w:rsid w:val="00F45D90"/>
    <w:rsid w:val="00F47187"/>
    <w:rsid w:val="00F47A01"/>
    <w:rsid w:val="00F5304E"/>
    <w:rsid w:val="00F535DA"/>
    <w:rsid w:val="00F5417A"/>
    <w:rsid w:val="00F54E8F"/>
    <w:rsid w:val="00F56E9F"/>
    <w:rsid w:val="00F570F5"/>
    <w:rsid w:val="00F576A6"/>
    <w:rsid w:val="00F6183D"/>
    <w:rsid w:val="00F61D1E"/>
    <w:rsid w:val="00F61DE8"/>
    <w:rsid w:val="00F63759"/>
    <w:rsid w:val="00F63852"/>
    <w:rsid w:val="00F639FD"/>
    <w:rsid w:val="00F63A38"/>
    <w:rsid w:val="00F63C72"/>
    <w:rsid w:val="00F64324"/>
    <w:rsid w:val="00F64362"/>
    <w:rsid w:val="00F64518"/>
    <w:rsid w:val="00F64542"/>
    <w:rsid w:val="00F65321"/>
    <w:rsid w:val="00F65426"/>
    <w:rsid w:val="00F65643"/>
    <w:rsid w:val="00F65B38"/>
    <w:rsid w:val="00F70ABE"/>
    <w:rsid w:val="00F7226A"/>
    <w:rsid w:val="00F72899"/>
    <w:rsid w:val="00F73289"/>
    <w:rsid w:val="00F734D4"/>
    <w:rsid w:val="00F748D4"/>
    <w:rsid w:val="00F77A3D"/>
    <w:rsid w:val="00F81958"/>
    <w:rsid w:val="00F81E97"/>
    <w:rsid w:val="00F83DB3"/>
    <w:rsid w:val="00F83DCE"/>
    <w:rsid w:val="00F84FE7"/>
    <w:rsid w:val="00F85B42"/>
    <w:rsid w:val="00F85C21"/>
    <w:rsid w:val="00F87366"/>
    <w:rsid w:val="00F877C8"/>
    <w:rsid w:val="00F919EB"/>
    <w:rsid w:val="00F94DE8"/>
    <w:rsid w:val="00F966CF"/>
    <w:rsid w:val="00F97061"/>
    <w:rsid w:val="00F97891"/>
    <w:rsid w:val="00FA13A6"/>
    <w:rsid w:val="00FA159A"/>
    <w:rsid w:val="00FA37F8"/>
    <w:rsid w:val="00FA4180"/>
    <w:rsid w:val="00FA50C7"/>
    <w:rsid w:val="00FA5A33"/>
    <w:rsid w:val="00FA5C67"/>
    <w:rsid w:val="00FA7350"/>
    <w:rsid w:val="00FB0F4B"/>
    <w:rsid w:val="00FB5751"/>
    <w:rsid w:val="00FB5B33"/>
    <w:rsid w:val="00FB754A"/>
    <w:rsid w:val="00FC1858"/>
    <w:rsid w:val="00FC3B7F"/>
    <w:rsid w:val="00FC7D0D"/>
    <w:rsid w:val="00FD4119"/>
    <w:rsid w:val="00FD440D"/>
    <w:rsid w:val="00FD4A3F"/>
    <w:rsid w:val="00FD5821"/>
    <w:rsid w:val="00FD5DB7"/>
    <w:rsid w:val="00FD5E12"/>
    <w:rsid w:val="00FD7B39"/>
    <w:rsid w:val="00FE0228"/>
    <w:rsid w:val="00FE24DE"/>
    <w:rsid w:val="00FE3A81"/>
    <w:rsid w:val="00FE4E6A"/>
    <w:rsid w:val="00FE70D2"/>
    <w:rsid w:val="00FF0948"/>
    <w:rsid w:val="00FF109D"/>
    <w:rsid w:val="00FF142C"/>
    <w:rsid w:val="00FF2463"/>
    <w:rsid w:val="00FF2850"/>
    <w:rsid w:val="00FF3547"/>
    <w:rsid w:val="00FF3BE0"/>
    <w:rsid w:val="00FF3CAD"/>
    <w:rsid w:val="00FF4B70"/>
    <w:rsid w:val="00FF7E62"/>
    <w:rsid w:val="01482530"/>
    <w:rsid w:val="01DC2473"/>
    <w:rsid w:val="04ABAFC2"/>
    <w:rsid w:val="04E85B19"/>
    <w:rsid w:val="05433EE3"/>
    <w:rsid w:val="0584A3A2"/>
    <w:rsid w:val="08442877"/>
    <w:rsid w:val="091E91D9"/>
    <w:rsid w:val="09EF10CF"/>
    <w:rsid w:val="0AAA3C28"/>
    <w:rsid w:val="0BA835FC"/>
    <w:rsid w:val="0C267891"/>
    <w:rsid w:val="0CDC1CCB"/>
    <w:rsid w:val="0D18C0DA"/>
    <w:rsid w:val="0E6AE5B2"/>
    <w:rsid w:val="0F85672E"/>
    <w:rsid w:val="1163C929"/>
    <w:rsid w:val="11E4431F"/>
    <w:rsid w:val="11E9AFB5"/>
    <w:rsid w:val="134F4B28"/>
    <w:rsid w:val="135ECEE3"/>
    <w:rsid w:val="14FFB33E"/>
    <w:rsid w:val="152786BC"/>
    <w:rsid w:val="153E96F8"/>
    <w:rsid w:val="16772BBD"/>
    <w:rsid w:val="16AFD778"/>
    <w:rsid w:val="17607049"/>
    <w:rsid w:val="18874B4B"/>
    <w:rsid w:val="18AAAE0F"/>
    <w:rsid w:val="192F5DEA"/>
    <w:rsid w:val="1AC9FF5B"/>
    <w:rsid w:val="1B6BA143"/>
    <w:rsid w:val="1D61519E"/>
    <w:rsid w:val="1E19EED7"/>
    <w:rsid w:val="1E72B0AE"/>
    <w:rsid w:val="1F578945"/>
    <w:rsid w:val="1F76C86B"/>
    <w:rsid w:val="20831815"/>
    <w:rsid w:val="209C3716"/>
    <w:rsid w:val="23262A41"/>
    <w:rsid w:val="23703D98"/>
    <w:rsid w:val="2403AE46"/>
    <w:rsid w:val="24756A90"/>
    <w:rsid w:val="24F95B2C"/>
    <w:rsid w:val="2516B6F1"/>
    <w:rsid w:val="28260E51"/>
    <w:rsid w:val="285C3056"/>
    <w:rsid w:val="29306216"/>
    <w:rsid w:val="2B0DD228"/>
    <w:rsid w:val="2BB9525D"/>
    <w:rsid w:val="2C458691"/>
    <w:rsid w:val="2C584216"/>
    <w:rsid w:val="2CEDD836"/>
    <w:rsid w:val="302AD2C3"/>
    <w:rsid w:val="3073E729"/>
    <w:rsid w:val="30D7A500"/>
    <w:rsid w:val="31A8D857"/>
    <w:rsid w:val="31B11A62"/>
    <w:rsid w:val="320C1280"/>
    <w:rsid w:val="34968E25"/>
    <w:rsid w:val="352068B3"/>
    <w:rsid w:val="352E8F71"/>
    <w:rsid w:val="377FC955"/>
    <w:rsid w:val="3905D41A"/>
    <w:rsid w:val="3EBC3645"/>
    <w:rsid w:val="409E2C85"/>
    <w:rsid w:val="421BAA85"/>
    <w:rsid w:val="44D04DD5"/>
    <w:rsid w:val="4614873C"/>
    <w:rsid w:val="471157AC"/>
    <w:rsid w:val="4774CA19"/>
    <w:rsid w:val="48401EEF"/>
    <w:rsid w:val="487E8A19"/>
    <w:rsid w:val="48EFF2A9"/>
    <w:rsid w:val="499D752B"/>
    <w:rsid w:val="49A182EE"/>
    <w:rsid w:val="4AAA9A33"/>
    <w:rsid w:val="4CF313F8"/>
    <w:rsid w:val="4F0A5710"/>
    <w:rsid w:val="4F82B021"/>
    <w:rsid w:val="514E3B39"/>
    <w:rsid w:val="51D52EBA"/>
    <w:rsid w:val="52912250"/>
    <w:rsid w:val="52AC13F2"/>
    <w:rsid w:val="5362B8CD"/>
    <w:rsid w:val="55081A22"/>
    <w:rsid w:val="552FAAF8"/>
    <w:rsid w:val="57CC9935"/>
    <w:rsid w:val="5A6C4591"/>
    <w:rsid w:val="5AC2C62F"/>
    <w:rsid w:val="5B378AC3"/>
    <w:rsid w:val="5C7FDFC3"/>
    <w:rsid w:val="5D38AE58"/>
    <w:rsid w:val="5D8EB723"/>
    <w:rsid w:val="5DB8FE8F"/>
    <w:rsid w:val="5ECEFDB4"/>
    <w:rsid w:val="5EE02CA7"/>
    <w:rsid w:val="6022112A"/>
    <w:rsid w:val="609C421C"/>
    <w:rsid w:val="61E2D70A"/>
    <w:rsid w:val="6290B8B4"/>
    <w:rsid w:val="62A145E4"/>
    <w:rsid w:val="63518EE5"/>
    <w:rsid w:val="636EE565"/>
    <w:rsid w:val="64A9DBC4"/>
    <w:rsid w:val="64D69881"/>
    <w:rsid w:val="656DC08C"/>
    <w:rsid w:val="6570D976"/>
    <w:rsid w:val="65993152"/>
    <w:rsid w:val="65C01C73"/>
    <w:rsid w:val="66C7EF03"/>
    <w:rsid w:val="66DD2AE3"/>
    <w:rsid w:val="671C826C"/>
    <w:rsid w:val="685A925F"/>
    <w:rsid w:val="6ABE9957"/>
    <w:rsid w:val="6B8992D1"/>
    <w:rsid w:val="6BEDF61F"/>
    <w:rsid w:val="6BEFC529"/>
    <w:rsid w:val="6C5A69B8"/>
    <w:rsid w:val="6DF63A19"/>
    <w:rsid w:val="6E953CDD"/>
    <w:rsid w:val="700447F8"/>
    <w:rsid w:val="704B0E9B"/>
    <w:rsid w:val="73A31948"/>
    <w:rsid w:val="74008E8C"/>
    <w:rsid w:val="75633415"/>
    <w:rsid w:val="759850F3"/>
    <w:rsid w:val="759F5086"/>
    <w:rsid w:val="76D914DE"/>
    <w:rsid w:val="774758FC"/>
    <w:rsid w:val="779D9DE2"/>
    <w:rsid w:val="77B14858"/>
    <w:rsid w:val="7A209F77"/>
    <w:rsid w:val="7DEC4B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BF1D78E2-194C-4573-96CB-82E190FC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uiPriority w:val="9"/>
    <w:qFormat/>
    <w:rsid w:val="004846B0"/>
    <w:pPr>
      <w:keepNext/>
      <w:keepLines/>
      <w:spacing w:before="360" w:after="240" w:line="240" w:lineRule="auto"/>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000000"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BA41A9"/>
    <w:pPr>
      <w:tabs>
        <w:tab w:val="right" w:leader="dot" w:pos="9072"/>
      </w:tabs>
      <w:spacing w:after="60"/>
      <w:ind w:left="714" w:hanging="357"/>
    </w:pPr>
  </w:style>
  <w:style w:type="character" w:styleId="Hyperlink">
    <w:name w:val="Hyperlink"/>
    <w:basedOn w:val="DefaultParagraphFont"/>
    <w:uiPriority w:val="99"/>
    <w:unhideWhenUsed/>
    <w:rsid w:val="00BB7FC7"/>
    <w:rPr>
      <w:color w:val="0000FF"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qFormat/>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BA41A9"/>
    <w:pPr>
      <w:tabs>
        <w:tab w:val="right" w:leader="dot" w:pos="9072"/>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CC6501"/>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character" w:styleId="FootnoteReference">
    <w:name w:val="footnote reference"/>
    <w:basedOn w:val="DefaultParagraphFont"/>
    <w:uiPriority w:val="99"/>
    <w:semiHidden/>
    <w:unhideWhenUsed/>
    <w:rsid w:val="00A04964"/>
    <w:rPr>
      <w:vertAlign w:val="superscript"/>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rsid w:val="00D60EC2"/>
    <w:rPr>
      <w:rFonts w:ascii="Arial" w:hAnsi="Arial"/>
    </w:rPr>
  </w:style>
  <w:style w:type="paragraph" w:styleId="NormalWeb">
    <w:name w:val="Normal (Web)"/>
    <w:basedOn w:val="Normal"/>
    <w:uiPriority w:val="99"/>
    <w:unhideWhenUsed/>
    <w:rsid w:val="004E262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9F156B"/>
    <w:rPr>
      <w:color w:val="800080" w:themeColor="followedHyperlink"/>
      <w:u w:val="single"/>
    </w:rPr>
  </w:style>
  <w:style w:type="paragraph" w:customStyle="1" w:styleId="Workbookheading1">
    <w:name w:val="Workbook heading 1"/>
    <w:basedOn w:val="Normal"/>
    <w:link w:val="Workbookheading1Char"/>
    <w:qFormat/>
    <w:rsid w:val="0096351A"/>
    <w:pPr>
      <w:spacing w:line="259" w:lineRule="auto"/>
    </w:pPr>
    <w:rPr>
      <w:rFonts w:eastAsia="Whitney Semibold" w:cs="Whitney Semibold"/>
      <w:b/>
      <w:color w:val="7AC143"/>
      <w:sz w:val="40"/>
      <w:szCs w:val="44"/>
      <w:lang w:val="en-US"/>
    </w:rPr>
  </w:style>
  <w:style w:type="character" w:customStyle="1" w:styleId="Workbookheading1Char">
    <w:name w:val="Workbook heading 1 Char"/>
    <w:basedOn w:val="DefaultParagraphFont"/>
    <w:link w:val="Workbookheading1"/>
    <w:rsid w:val="0096351A"/>
    <w:rPr>
      <w:rFonts w:ascii="Arial" w:eastAsia="Whitney Semibold" w:hAnsi="Arial" w:cs="Whitney Semibold"/>
      <w:b/>
      <w:color w:val="7AC143"/>
      <w:sz w:val="40"/>
      <w:szCs w:val="44"/>
      <w:lang w:val="en-US"/>
    </w:rPr>
  </w:style>
  <w:style w:type="character" w:styleId="Mention">
    <w:name w:val="Mention"/>
    <w:basedOn w:val="DefaultParagraphFont"/>
    <w:uiPriority w:val="99"/>
    <w:unhideWhenUsed/>
    <w:rsid w:val="00982471"/>
    <w:rPr>
      <w:color w:val="2B579A"/>
      <w:shd w:val="clear" w:color="auto" w:fill="E6E6E6"/>
    </w:rPr>
  </w:style>
  <w:style w:type="table" w:styleId="GridTable1Light-Accent6">
    <w:name w:val="Grid Table 1 Light Accent 6"/>
    <w:basedOn w:val="TableNormal"/>
    <w:uiPriority w:val="46"/>
    <w:rsid w:val="00125BD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780D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D1C"/>
    <w:rPr>
      <w:rFonts w:ascii="Arial" w:hAnsi="Arial"/>
      <w:sz w:val="20"/>
      <w:szCs w:val="20"/>
    </w:rPr>
  </w:style>
  <w:style w:type="paragraph" w:customStyle="1" w:styleId="TTHnotincluded">
    <w:name w:val="TTH not included"/>
    <w:basedOn w:val="TeThHauorahead1"/>
    <w:qFormat/>
    <w:rsid w:val="001E74AD"/>
  </w:style>
  <w:style w:type="character" w:customStyle="1" w:styleId="cf01">
    <w:name w:val="cf01"/>
    <w:basedOn w:val="DefaultParagraphFont"/>
    <w:rsid w:val="008D1895"/>
    <w:rPr>
      <w:rFonts w:ascii="Segoe UI" w:hAnsi="Segoe UI" w:cs="Segoe UI" w:hint="default"/>
      <w:sz w:val="18"/>
      <w:szCs w:val="18"/>
    </w:rPr>
  </w:style>
  <w:style w:type="paragraph" w:customStyle="1" w:styleId="Default">
    <w:name w:val="Default"/>
    <w:rsid w:val="006F52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4684">
      <w:bodyDiv w:val="1"/>
      <w:marLeft w:val="0"/>
      <w:marRight w:val="0"/>
      <w:marTop w:val="0"/>
      <w:marBottom w:val="0"/>
      <w:divBdr>
        <w:top w:val="none" w:sz="0" w:space="0" w:color="auto"/>
        <w:left w:val="none" w:sz="0" w:space="0" w:color="auto"/>
        <w:bottom w:val="none" w:sz="0" w:space="0" w:color="auto"/>
        <w:right w:val="none" w:sz="0" w:space="0" w:color="auto"/>
      </w:divBdr>
    </w:div>
    <w:div w:id="270088305">
      <w:bodyDiv w:val="1"/>
      <w:marLeft w:val="0"/>
      <w:marRight w:val="0"/>
      <w:marTop w:val="0"/>
      <w:marBottom w:val="0"/>
      <w:divBdr>
        <w:top w:val="none" w:sz="0" w:space="0" w:color="auto"/>
        <w:left w:val="none" w:sz="0" w:space="0" w:color="auto"/>
        <w:bottom w:val="none" w:sz="0" w:space="0" w:color="auto"/>
        <w:right w:val="none" w:sz="0" w:space="0" w:color="auto"/>
      </w:divBdr>
      <w:divsChild>
        <w:div w:id="546451216">
          <w:marLeft w:val="0"/>
          <w:marRight w:val="0"/>
          <w:marTop w:val="0"/>
          <w:marBottom w:val="0"/>
          <w:divBdr>
            <w:top w:val="none" w:sz="0" w:space="0" w:color="auto"/>
            <w:left w:val="none" w:sz="0" w:space="0" w:color="auto"/>
            <w:bottom w:val="none" w:sz="0" w:space="0" w:color="auto"/>
            <w:right w:val="none" w:sz="0" w:space="0" w:color="auto"/>
          </w:divBdr>
        </w:div>
        <w:div w:id="1325356829">
          <w:marLeft w:val="0"/>
          <w:marRight w:val="0"/>
          <w:marTop w:val="0"/>
          <w:marBottom w:val="0"/>
          <w:divBdr>
            <w:top w:val="none" w:sz="0" w:space="0" w:color="auto"/>
            <w:left w:val="none" w:sz="0" w:space="0" w:color="auto"/>
            <w:bottom w:val="none" w:sz="0" w:space="0" w:color="auto"/>
            <w:right w:val="none" w:sz="0" w:space="0" w:color="auto"/>
          </w:divBdr>
        </w:div>
      </w:divsChild>
    </w:div>
    <w:div w:id="385765435">
      <w:bodyDiv w:val="1"/>
      <w:marLeft w:val="0"/>
      <w:marRight w:val="0"/>
      <w:marTop w:val="0"/>
      <w:marBottom w:val="0"/>
      <w:divBdr>
        <w:top w:val="none" w:sz="0" w:space="0" w:color="auto"/>
        <w:left w:val="none" w:sz="0" w:space="0" w:color="auto"/>
        <w:bottom w:val="none" w:sz="0" w:space="0" w:color="auto"/>
        <w:right w:val="none" w:sz="0" w:space="0" w:color="auto"/>
      </w:divBdr>
    </w:div>
    <w:div w:id="672683020">
      <w:bodyDiv w:val="1"/>
      <w:marLeft w:val="0"/>
      <w:marRight w:val="0"/>
      <w:marTop w:val="0"/>
      <w:marBottom w:val="0"/>
      <w:divBdr>
        <w:top w:val="none" w:sz="0" w:space="0" w:color="auto"/>
        <w:left w:val="none" w:sz="0" w:space="0" w:color="auto"/>
        <w:bottom w:val="none" w:sz="0" w:space="0" w:color="auto"/>
        <w:right w:val="none" w:sz="0" w:space="0" w:color="auto"/>
      </w:divBdr>
    </w:div>
    <w:div w:id="985016464">
      <w:bodyDiv w:val="1"/>
      <w:marLeft w:val="0"/>
      <w:marRight w:val="0"/>
      <w:marTop w:val="0"/>
      <w:marBottom w:val="0"/>
      <w:divBdr>
        <w:top w:val="none" w:sz="0" w:space="0" w:color="auto"/>
        <w:left w:val="none" w:sz="0" w:space="0" w:color="auto"/>
        <w:bottom w:val="none" w:sz="0" w:space="0" w:color="auto"/>
        <w:right w:val="none" w:sz="0" w:space="0" w:color="auto"/>
      </w:divBdr>
      <w:divsChild>
        <w:div w:id="159272537">
          <w:marLeft w:val="1080"/>
          <w:marRight w:val="0"/>
          <w:marTop w:val="100"/>
          <w:marBottom w:val="0"/>
          <w:divBdr>
            <w:top w:val="none" w:sz="0" w:space="0" w:color="auto"/>
            <w:left w:val="none" w:sz="0" w:space="0" w:color="auto"/>
            <w:bottom w:val="none" w:sz="0" w:space="0" w:color="auto"/>
            <w:right w:val="none" w:sz="0" w:space="0" w:color="auto"/>
          </w:divBdr>
        </w:div>
        <w:div w:id="852304570">
          <w:marLeft w:val="1080"/>
          <w:marRight w:val="0"/>
          <w:marTop w:val="100"/>
          <w:marBottom w:val="0"/>
          <w:divBdr>
            <w:top w:val="none" w:sz="0" w:space="0" w:color="auto"/>
            <w:left w:val="none" w:sz="0" w:space="0" w:color="auto"/>
            <w:bottom w:val="none" w:sz="0" w:space="0" w:color="auto"/>
            <w:right w:val="none" w:sz="0" w:space="0" w:color="auto"/>
          </w:divBdr>
        </w:div>
        <w:div w:id="1777823358">
          <w:marLeft w:val="360"/>
          <w:marRight w:val="0"/>
          <w:marTop w:val="200"/>
          <w:marBottom w:val="0"/>
          <w:divBdr>
            <w:top w:val="none" w:sz="0" w:space="0" w:color="auto"/>
            <w:left w:val="none" w:sz="0" w:space="0" w:color="auto"/>
            <w:bottom w:val="none" w:sz="0" w:space="0" w:color="auto"/>
            <w:right w:val="none" w:sz="0" w:space="0" w:color="auto"/>
          </w:divBdr>
        </w:div>
        <w:div w:id="2068602329">
          <w:marLeft w:val="1080"/>
          <w:marRight w:val="0"/>
          <w:marTop w:val="100"/>
          <w:marBottom w:val="0"/>
          <w:divBdr>
            <w:top w:val="none" w:sz="0" w:space="0" w:color="auto"/>
            <w:left w:val="none" w:sz="0" w:space="0" w:color="auto"/>
            <w:bottom w:val="none" w:sz="0" w:space="0" w:color="auto"/>
            <w:right w:val="none" w:sz="0" w:space="0" w:color="auto"/>
          </w:divBdr>
        </w:div>
      </w:divsChild>
    </w:div>
    <w:div w:id="1065223416">
      <w:bodyDiv w:val="1"/>
      <w:marLeft w:val="0"/>
      <w:marRight w:val="0"/>
      <w:marTop w:val="0"/>
      <w:marBottom w:val="0"/>
      <w:divBdr>
        <w:top w:val="none" w:sz="0" w:space="0" w:color="auto"/>
        <w:left w:val="none" w:sz="0" w:space="0" w:color="auto"/>
        <w:bottom w:val="none" w:sz="0" w:space="0" w:color="auto"/>
        <w:right w:val="none" w:sz="0" w:space="0" w:color="auto"/>
      </w:divBdr>
      <w:divsChild>
        <w:div w:id="128204190">
          <w:marLeft w:val="360"/>
          <w:marRight w:val="0"/>
          <w:marTop w:val="200"/>
          <w:marBottom w:val="0"/>
          <w:divBdr>
            <w:top w:val="none" w:sz="0" w:space="0" w:color="auto"/>
            <w:left w:val="none" w:sz="0" w:space="0" w:color="auto"/>
            <w:bottom w:val="none" w:sz="0" w:space="0" w:color="auto"/>
            <w:right w:val="none" w:sz="0" w:space="0" w:color="auto"/>
          </w:divBdr>
        </w:div>
        <w:div w:id="532966394">
          <w:marLeft w:val="1080"/>
          <w:marRight w:val="0"/>
          <w:marTop w:val="100"/>
          <w:marBottom w:val="0"/>
          <w:divBdr>
            <w:top w:val="none" w:sz="0" w:space="0" w:color="auto"/>
            <w:left w:val="none" w:sz="0" w:space="0" w:color="auto"/>
            <w:bottom w:val="none" w:sz="0" w:space="0" w:color="auto"/>
            <w:right w:val="none" w:sz="0" w:space="0" w:color="auto"/>
          </w:divBdr>
        </w:div>
        <w:div w:id="638342282">
          <w:marLeft w:val="1080"/>
          <w:marRight w:val="0"/>
          <w:marTop w:val="100"/>
          <w:marBottom w:val="0"/>
          <w:divBdr>
            <w:top w:val="none" w:sz="0" w:space="0" w:color="auto"/>
            <w:left w:val="none" w:sz="0" w:space="0" w:color="auto"/>
            <w:bottom w:val="none" w:sz="0" w:space="0" w:color="auto"/>
            <w:right w:val="none" w:sz="0" w:space="0" w:color="auto"/>
          </w:divBdr>
        </w:div>
        <w:div w:id="1263487812">
          <w:marLeft w:val="360"/>
          <w:marRight w:val="0"/>
          <w:marTop w:val="200"/>
          <w:marBottom w:val="0"/>
          <w:divBdr>
            <w:top w:val="none" w:sz="0" w:space="0" w:color="auto"/>
            <w:left w:val="none" w:sz="0" w:space="0" w:color="auto"/>
            <w:bottom w:val="none" w:sz="0" w:space="0" w:color="auto"/>
            <w:right w:val="none" w:sz="0" w:space="0" w:color="auto"/>
          </w:divBdr>
        </w:div>
        <w:div w:id="2022775743">
          <w:marLeft w:val="360"/>
          <w:marRight w:val="0"/>
          <w:marTop w:val="200"/>
          <w:marBottom w:val="0"/>
          <w:divBdr>
            <w:top w:val="none" w:sz="0" w:space="0" w:color="auto"/>
            <w:left w:val="none" w:sz="0" w:space="0" w:color="auto"/>
            <w:bottom w:val="none" w:sz="0" w:space="0" w:color="auto"/>
            <w:right w:val="none" w:sz="0" w:space="0" w:color="auto"/>
          </w:divBdr>
        </w:div>
        <w:div w:id="2062749171">
          <w:marLeft w:val="1080"/>
          <w:marRight w:val="0"/>
          <w:marTop w:val="100"/>
          <w:marBottom w:val="0"/>
          <w:divBdr>
            <w:top w:val="none" w:sz="0" w:space="0" w:color="auto"/>
            <w:left w:val="none" w:sz="0" w:space="0" w:color="auto"/>
            <w:bottom w:val="none" w:sz="0" w:space="0" w:color="auto"/>
            <w:right w:val="none" w:sz="0" w:space="0" w:color="auto"/>
          </w:divBdr>
        </w:div>
      </w:divsChild>
    </w:div>
    <w:div w:id="1112550423">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5713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publication/national-minimum-dataset-hospital-events-data-dictiona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nticoagproject@hqsc.govt.n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forum-excellence.org/Resource-Center/resource_files/1977-2022-08-24-0631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D26CA698B3FC04A8677386CDAE57E29" ma:contentTypeVersion="19" ma:contentTypeDescription="Create a new document." ma:contentTypeScope="" ma:versionID="ac3e7bce462373b229e83ff308a3540c">
  <xsd:schema xmlns:xsd="http://www.w3.org/2001/XMLSchema" xmlns:xs="http://www.w3.org/2001/XMLSchema" xmlns:p="http://schemas.microsoft.com/office/2006/metadata/properties" xmlns:ns2="6115505d-417d-4ecf-9a00-27adfb90561b" xmlns:ns3="bef9904b-9bca-4a1b-aca3-78dad2044d15" targetNamespace="http://schemas.microsoft.com/office/2006/metadata/properties" ma:root="true" ma:fieldsID="6786fe1b5e78de415053a6118a690378" ns2:_="" ns3:_="">
    <xsd:import namespace="6115505d-417d-4ecf-9a00-27adfb90561b"/>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3:_dlc_DocId" minOccurs="0"/>
                <xsd:element ref="ns3:_dlc_DocIdUrl" minOccurs="0"/>
                <xsd:element ref="ns3:_dlc_DocIdPersistId" minOccurs="0"/>
                <xsd:element ref="ns2:MediaServiceObjectDetectorVersions"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5505d-417d-4ecf-9a00-27adfb905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Te Raina Gunn</DisplayName>
        <AccountId>74</AccountId>
        <AccountType/>
      </UserInfo>
    </SharedWithUsers>
    <TaxCatchAll xmlns="bef9904b-9bca-4a1b-aca3-78dad2044d15" xsi:nil="true"/>
    <_dlc_DocId xmlns="bef9904b-9bca-4a1b-aca3-78dad2044d15">DOCS-19005406-2937</_dlc_DocId>
    <_dlc_DocIdUrl xmlns="bef9904b-9bca-4a1b-aca3-78dad2044d15">
      <Url>https://hqsc.sharepoint.com/sites/dms-programmes/_layouts/15/DocIdRedir.aspx?ID=DOCS-19005406-2937</Url>
      <Description>DOCS-19005406-2937</Description>
    </_dlc_DocIdUrl>
    <lcf76f155ced4ddcb4097134ff3c332f xmlns="6115505d-417d-4ecf-9a00-27adfb9056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HQS</b:Tag>
    <b:SourceType>DocumentFromInternetSite</b:SourceType>
    <b:Guid>{CF67BE93-9FD9-4956-913C-B05863E40643}</b:Guid>
    <b:Author>
      <b:Author>
        <b:NameList>
          <b:Person>
            <b:Last>HQSC</b:Last>
          </b:Person>
        </b:NameList>
      </b:Author>
    </b:Author>
    <b:URL>https://www.hqsc.govt.nz/consumer-hub/engaging-consumers-and-whanau/code-of-expectations-for-health-entities-engagement-with-consumers-and-whanau/</b:URL>
    <b:Title>Code of expectations for health entities’ engagement with consumers and whānau</b:Title>
    <b:InternetSiteTitle>Health, Quality &amp; Safety Commission, New Zealand</b:InternetSiteTitle>
    <b:Year>2022</b:Year>
    <b:Month>August</b:Month>
    <b:RefOrder>2</b:RefOrder>
  </b:Source>
</b:Sources>
</file>

<file path=customXml/itemProps1.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2.xml><?xml version="1.0" encoding="utf-8"?>
<ds:datastoreItem xmlns:ds="http://schemas.openxmlformats.org/officeDocument/2006/customXml" ds:itemID="{D17ACAB9-1257-4A8C-B88A-710FE79C8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5505d-417d-4ecf-9a00-27adfb90561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217C-7EC6-4166-B6FA-B188E2D0B934}">
  <ds:schemaRefs>
    <ds:schemaRef ds:uri="http://schemas.openxmlformats.org/package/2006/metadata/core-properties"/>
    <ds:schemaRef ds:uri="http://schemas.microsoft.com/office/infopath/2007/PartnerControls"/>
    <ds:schemaRef ds:uri="http://www.w3.org/XML/1998/namespace"/>
    <ds:schemaRef ds:uri="http://purl.org/dc/terms/"/>
    <ds:schemaRef ds:uri="6115505d-417d-4ecf-9a00-27adfb90561b"/>
    <ds:schemaRef ds:uri="http://schemas.microsoft.com/office/2006/metadata/properties"/>
    <ds:schemaRef ds:uri="bef9904b-9bca-4a1b-aca3-78dad2044d15"/>
    <ds:schemaRef ds:uri="http://schemas.microsoft.com/office/2006/documentManagement/types"/>
    <ds:schemaRef ds:uri="http://purl.org/dc/elements/1.1/"/>
    <ds:schemaRef ds:uri="http://purl.org/dc/dcmitype/"/>
  </ds:schemaRefs>
</ds:datastoreItem>
</file>

<file path=customXml/itemProps4.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5.xml><?xml version="1.0" encoding="utf-8"?>
<ds:datastoreItem xmlns:ds="http://schemas.openxmlformats.org/officeDocument/2006/customXml" ds:itemID="{4B3F4427-1363-4D5F-AAE5-BFA148BE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new tohu on cover.dotx</Template>
  <TotalTime>1</TotalTime>
  <Pages>8</Pages>
  <Words>2578</Words>
  <Characters>14697</Characters>
  <Application>Microsoft Office Word</Application>
  <DocSecurity>0</DocSecurity>
  <Lines>122</Lines>
  <Paragraphs>34</Paragraphs>
  <ScaleCrop>false</ScaleCrop>
  <Company>Health Quality &amp; Safety Commission</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Corry Joseph</cp:lastModifiedBy>
  <cp:revision>2</cp:revision>
  <cp:lastPrinted>2024-02-14T03:07:00Z</cp:lastPrinted>
  <dcterms:created xsi:type="dcterms:W3CDTF">2024-02-15T02:29:00Z</dcterms:created>
  <dcterms:modified xsi:type="dcterms:W3CDTF">2024-02-15T02:29:00Z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5cff9cc7-bb4c-4031-9d5b-62696f26e069</vt:lpwstr>
  </property>
  <property fmtid="{D5CDD505-2E9C-101B-9397-08002B2CF9AE}" pid="3" name="ContentTypeId">
    <vt:lpwstr>0x010100BD26CA698B3FC04A8677386CDAE57E29</vt:lpwstr>
  </property>
  <property fmtid="{D5CDD505-2E9C-101B-9397-08002B2CF9AE}" pid="4" name="AuthorIds_UIVersion_1024">
    <vt:lpwstr>17</vt:lpwstr>
  </property>
  <property fmtid="{D5CDD505-2E9C-101B-9397-08002B2CF9AE}" pid="5" name="MediaServiceImageTags">
    <vt:lpwstr/>
  </property>
</Properties>
</file>