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8767" w14:textId="351BA6D1" w:rsidR="00190C5F" w:rsidRDefault="00190C5F" w:rsidP="00BC3DC2">
      <w:pPr>
        <w:pStyle w:val="Heading1"/>
      </w:pPr>
      <w:r>
        <w:rPr>
          <w:noProof/>
        </w:rPr>
        <w:drawing>
          <wp:inline distT="0" distB="0" distL="0" distR="0" wp14:anchorId="75E88FD2" wp14:editId="75E25323">
            <wp:extent cx="2524760" cy="746760"/>
            <wp:effectExtent l="0" t="0" r="889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61F1" w14:textId="77777777" w:rsidR="00190C5F" w:rsidRPr="00190C5F" w:rsidRDefault="00190C5F" w:rsidP="00BC3DC2"/>
    <w:p w14:paraId="24D8FA49" w14:textId="1DB873C5" w:rsidR="00C55F12" w:rsidRPr="008179E6" w:rsidRDefault="00383A29" w:rsidP="00BC3DC2">
      <w:pPr>
        <w:pStyle w:val="Heading1"/>
        <w:rPr>
          <w:color w:val="auto"/>
          <w:sz w:val="28"/>
          <w:szCs w:val="28"/>
        </w:rPr>
      </w:pPr>
      <w:r w:rsidRPr="008179E6">
        <w:rPr>
          <w:color w:val="auto"/>
          <w:sz w:val="28"/>
          <w:szCs w:val="28"/>
        </w:rPr>
        <w:t xml:space="preserve">Paediatric early warning system </w:t>
      </w:r>
      <w:r w:rsidR="00190C5F" w:rsidRPr="008179E6">
        <w:rPr>
          <w:color w:val="auto"/>
          <w:sz w:val="28"/>
          <w:szCs w:val="28"/>
        </w:rPr>
        <w:t>–</w:t>
      </w:r>
      <w:r w:rsidR="00C55F12" w:rsidRPr="008179E6">
        <w:rPr>
          <w:color w:val="auto"/>
          <w:sz w:val="28"/>
          <w:szCs w:val="28"/>
        </w:rPr>
        <w:t xml:space="preserve"> </w:t>
      </w:r>
      <w:r w:rsidR="00190C5F" w:rsidRPr="008179E6">
        <w:rPr>
          <w:color w:val="auto"/>
          <w:sz w:val="28"/>
          <w:szCs w:val="28"/>
        </w:rPr>
        <w:br/>
      </w:r>
      <w:r w:rsidR="00C55F12" w:rsidRPr="008179E6">
        <w:rPr>
          <w:color w:val="auto"/>
          <w:sz w:val="28"/>
          <w:szCs w:val="28"/>
        </w:rPr>
        <w:t>clinical governance recommendations</w:t>
      </w:r>
    </w:p>
    <w:p w14:paraId="0EB7D214" w14:textId="77777777" w:rsidR="00CD1259" w:rsidRDefault="00CD1259" w:rsidP="00BC3DC2">
      <w:pPr>
        <w:pStyle w:val="H2evidencesummary"/>
      </w:pPr>
      <w:r>
        <w:t xml:space="preserve">Purpose  </w:t>
      </w:r>
    </w:p>
    <w:p w14:paraId="3D0305F5" w14:textId="1D146746" w:rsidR="00CD1259" w:rsidRDefault="00CD1259" w:rsidP="004535F8">
      <w:r>
        <w:t>These recommendations are for project teams responsible for implementing and improving paediatric early warning systems within Aotearoa New Zealand hospitals. They explain the importance of aligning systems for paediatrics with</w:t>
      </w:r>
      <w:r w:rsidR="00893624">
        <w:t xml:space="preserve"> other </w:t>
      </w:r>
      <w:r>
        <w:t xml:space="preserve">recognition and response clinical governance structures. </w:t>
      </w:r>
    </w:p>
    <w:p w14:paraId="040F1251" w14:textId="77777777" w:rsidR="00AA4765" w:rsidRDefault="00AA4765" w:rsidP="00BC3DC2">
      <w:pPr>
        <w:pStyle w:val="H2evidencesummary"/>
      </w:pPr>
      <w:r>
        <w:t>Background</w:t>
      </w:r>
    </w:p>
    <w:p w14:paraId="0141F176" w14:textId="2CA0E1F9" w:rsidR="00190C5F" w:rsidRDefault="00570F81" w:rsidP="007E5333">
      <w:pPr>
        <w:pStyle w:val="Bodyevidencesummary"/>
      </w:pPr>
      <w:r>
        <w:t xml:space="preserve">Serious adverse events, including death, affect </w:t>
      </w:r>
      <w:r w:rsidR="00983BC1">
        <w:t xml:space="preserve">tamariki </w:t>
      </w:r>
      <w:r>
        <w:t xml:space="preserve">in hospital. Some of these events, or their outcomes, are preventable. </w:t>
      </w:r>
    </w:p>
    <w:p w14:paraId="4C34304D" w14:textId="4D26262E" w:rsidR="00DC24DF" w:rsidRDefault="005F4FA1" w:rsidP="00256E3E">
      <w:pPr>
        <w:rPr>
          <w:vertAlign w:val="superscript"/>
        </w:rPr>
      </w:pPr>
      <w:r>
        <w:t>While there is</w:t>
      </w:r>
      <w:r w:rsidR="00570F81">
        <w:t xml:space="preserve"> </w:t>
      </w:r>
      <w:r w:rsidR="00651B0F" w:rsidRPr="00651B0F">
        <w:t>l</w:t>
      </w:r>
      <w:r w:rsidR="00570F81">
        <w:t xml:space="preserve">imited </w:t>
      </w:r>
      <w:r w:rsidR="00651B0F" w:rsidRPr="00651B0F">
        <w:t xml:space="preserve">published evidence </w:t>
      </w:r>
      <w:r w:rsidR="00190C5F" w:rsidRPr="006D06C6">
        <w:t>of</w:t>
      </w:r>
      <w:r w:rsidR="00570F81">
        <w:t xml:space="preserve"> the exact frequency</w:t>
      </w:r>
      <w:r w:rsidR="00651B0F" w:rsidRPr="00651B0F">
        <w:t xml:space="preserve"> or </w:t>
      </w:r>
      <w:r w:rsidR="00570F81">
        <w:t>consequence</w:t>
      </w:r>
      <w:r w:rsidR="00570F81" w:rsidRPr="00651B0F">
        <w:t xml:space="preserve"> </w:t>
      </w:r>
      <w:r w:rsidR="00651B0F" w:rsidRPr="00651B0F">
        <w:t>of failure to recognise or respond to acute deteriorati</w:t>
      </w:r>
      <w:r w:rsidR="00397009">
        <w:t>on in</w:t>
      </w:r>
      <w:r w:rsidR="00651B0F" w:rsidRPr="00651B0F">
        <w:t xml:space="preserve"> </w:t>
      </w:r>
      <w:r w:rsidR="00570F81">
        <w:t>tamariki</w:t>
      </w:r>
      <w:r w:rsidR="00570F81" w:rsidRPr="00651B0F">
        <w:t xml:space="preserve"> </w:t>
      </w:r>
      <w:r w:rsidR="00651B0F" w:rsidRPr="00651B0F">
        <w:t xml:space="preserve">in </w:t>
      </w:r>
      <w:r w:rsidR="00190C5F" w:rsidRPr="00F566C0">
        <w:rPr>
          <w:bCs/>
        </w:rPr>
        <w:t>Aotearoa</w:t>
      </w:r>
      <w:r w:rsidR="00190C5F">
        <w:rPr>
          <w:b/>
        </w:rPr>
        <w:t xml:space="preserve"> </w:t>
      </w:r>
      <w:r w:rsidR="00651B0F" w:rsidRPr="00651B0F">
        <w:t>New Zealand hospitals</w:t>
      </w:r>
      <w:r>
        <w:t>, the</w:t>
      </w:r>
      <w:r w:rsidR="00651B0F">
        <w:t xml:space="preserve"> </w:t>
      </w:r>
      <w:r w:rsidR="00651B0F" w:rsidRPr="00651B0F">
        <w:t xml:space="preserve">use of paediatric early warning tools and a systematic approach to escalation and response to </w:t>
      </w:r>
      <w:r w:rsidR="00462787">
        <w:t>tamariki</w:t>
      </w:r>
      <w:r w:rsidR="00651B0F" w:rsidRPr="00651B0F">
        <w:t xml:space="preserve"> at risk of deterioration </w:t>
      </w:r>
      <w:r w:rsidR="00190C5F">
        <w:t>are</w:t>
      </w:r>
      <w:r w:rsidR="00651B0F" w:rsidRPr="00651B0F">
        <w:t xml:space="preserve"> widely recommended</w:t>
      </w:r>
      <w:r w:rsidR="00190C5F">
        <w:t>.</w:t>
      </w:r>
      <w:r w:rsidR="00651B0F">
        <w:rPr>
          <w:rStyle w:val="FootnoteReference"/>
        </w:rPr>
        <w:footnoteReference w:id="2"/>
      </w:r>
      <w:r w:rsidR="00190C5F" w:rsidRPr="006D06C6">
        <w:rPr>
          <w:vertAlign w:val="superscript"/>
        </w:rPr>
        <w:t>,</w:t>
      </w:r>
      <w:r w:rsidR="00651B0F">
        <w:rPr>
          <w:rStyle w:val="FootnoteReference"/>
        </w:rPr>
        <w:footnoteReference w:id="3"/>
      </w:r>
      <w:r w:rsidR="00190C5F">
        <w:rPr>
          <w:vertAlign w:val="superscript"/>
        </w:rPr>
        <w:t>,</w:t>
      </w:r>
      <w:r w:rsidR="00651B0F">
        <w:rPr>
          <w:rStyle w:val="FootnoteReference"/>
        </w:rPr>
        <w:footnoteReference w:id="4"/>
      </w:r>
      <w:r w:rsidR="00055252">
        <w:rPr>
          <w:vertAlign w:val="superscript"/>
        </w:rPr>
        <w:t xml:space="preserve"> </w:t>
      </w:r>
      <w:r w:rsidR="00BD6927">
        <w:rPr>
          <w:rStyle w:val="FootnoteReference"/>
        </w:rPr>
        <w:footnoteReference w:id="5"/>
      </w:r>
      <w:r w:rsidR="00AC27AA">
        <w:t xml:space="preserve"> </w:t>
      </w:r>
      <w:r w:rsidR="00190C5F">
        <w:t xml:space="preserve">Available </w:t>
      </w:r>
      <w:r w:rsidR="00651B0F" w:rsidRPr="00651B0F">
        <w:t xml:space="preserve">evidence </w:t>
      </w:r>
      <w:r w:rsidR="00190C5F">
        <w:t>suggests</w:t>
      </w:r>
      <w:r w:rsidR="00651B0F" w:rsidRPr="00651B0F">
        <w:t xml:space="preserve"> opportunities for improvement in care processes </w:t>
      </w:r>
      <w:r w:rsidR="00190C5F">
        <w:t>include</w:t>
      </w:r>
      <w:r w:rsidR="00651B0F" w:rsidRPr="00651B0F">
        <w:t xml:space="preserve"> vital sign recording, escalation to experienced clinicians, timel</w:t>
      </w:r>
      <w:r>
        <w:t>y</w:t>
      </w:r>
      <w:r w:rsidR="00651B0F" w:rsidRPr="00651B0F">
        <w:t xml:space="preserve"> senior review, and documentation and communication around episodes of acute paediatric deterioration</w:t>
      </w:r>
      <w:r w:rsidR="00190C5F">
        <w:t>.</w:t>
      </w:r>
      <w:r w:rsidR="00AC27AA" w:rsidRPr="00F566C0">
        <w:rPr>
          <w:rStyle w:val="FootnoteReference"/>
        </w:rPr>
        <w:footnoteReference w:id="6"/>
      </w:r>
      <w:r w:rsidR="00190C5F" w:rsidRPr="006D06C6">
        <w:rPr>
          <w:vertAlign w:val="superscript"/>
        </w:rPr>
        <w:t>,</w:t>
      </w:r>
      <w:r w:rsidR="00AC27AA" w:rsidRPr="00F566C0">
        <w:rPr>
          <w:rStyle w:val="FootnoteReference"/>
        </w:rPr>
        <w:footnoteReference w:id="7"/>
      </w:r>
      <w:r w:rsidR="00190C5F" w:rsidRPr="006D06C6">
        <w:rPr>
          <w:vertAlign w:val="superscript"/>
        </w:rPr>
        <w:t>,</w:t>
      </w:r>
      <w:r w:rsidR="00AC27AA" w:rsidRPr="00F566C0">
        <w:rPr>
          <w:rStyle w:val="FootnoteReference"/>
        </w:rPr>
        <w:footnoteReference w:id="8"/>
      </w:r>
      <w:r w:rsidR="00055252">
        <w:rPr>
          <w:vertAlign w:val="superscript"/>
        </w:rPr>
        <w:t xml:space="preserve"> </w:t>
      </w:r>
      <w:r w:rsidR="00055252">
        <w:rPr>
          <w:rStyle w:val="FootnoteReference"/>
        </w:rPr>
        <w:footnoteReference w:id="9"/>
      </w:r>
      <w:r w:rsidR="00935341">
        <w:rPr>
          <w:vertAlign w:val="superscript"/>
        </w:rPr>
        <w:t xml:space="preserve"> </w:t>
      </w:r>
    </w:p>
    <w:p w14:paraId="3F7C94B7" w14:textId="77777777" w:rsidR="00DC24DF" w:rsidRDefault="00DC24DF">
      <w:pPr>
        <w:spacing w:after="160" w:line="259" w:lineRule="auto"/>
        <w:rPr>
          <w:vertAlign w:val="superscript"/>
        </w:rPr>
      </w:pPr>
      <w:r>
        <w:rPr>
          <w:vertAlign w:val="superscript"/>
        </w:rPr>
        <w:br w:type="page"/>
      </w:r>
    </w:p>
    <w:p w14:paraId="33067BD7" w14:textId="092DDCCF" w:rsidR="00C55F12" w:rsidRDefault="00C55F12" w:rsidP="004535F8">
      <w:pPr>
        <w:pStyle w:val="H2evidencesummary"/>
      </w:pPr>
      <w:r>
        <w:lastRenderedPageBreak/>
        <w:t>Introduction</w:t>
      </w:r>
    </w:p>
    <w:p w14:paraId="5E8E1E34" w14:textId="181BCA0A" w:rsidR="00190C5F" w:rsidRDefault="00190C5F" w:rsidP="004535F8">
      <w:r>
        <w:t>The national paediatric early warning system requires a</w:t>
      </w:r>
      <w:r w:rsidR="00C55F12">
        <w:t xml:space="preserve"> clinical governance committee to </w:t>
      </w:r>
      <w:r>
        <w:t>oversee</w:t>
      </w:r>
      <w:r w:rsidR="00C55F12">
        <w:t xml:space="preserve"> and </w:t>
      </w:r>
      <w:r>
        <w:t xml:space="preserve">give </w:t>
      </w:r>
      <w:r w:rsidR="00C55F12">
        <w:t xml:space="preserve">expert advice about </w:t>
      </w:r>
      <w:r>
        <w:t xml:space="preserve">its </w:t>
      </w:r>
      <w:r w:rsidR="00C55F12">
        <w:t xml:space="preserve">safety, </w:t>
      </w:r>
      <w:proofErr w:type="gramStart"/>
      <w:r w:rsidR="00C55F12">
        <w:t>effectiveness</w:t>
      </w:r>
      <w:proofErr w:type="gramEnd"/>
      <w:r w:rsidR="00C55F12">
        <w:t xml:space="preserve"> and ongoing improvement. </w:t>
      </w:r>
    </w:p>
    <w:p w14:paraId="1AC9BF39" w14:textId="49ED02B4" w:rsidR="00C55F12" w:rsidRDefault="006508AD" w:rsidP="004535F8">
      <w:r>
        <w:t xml:space="preserve">Hospitals with well-established </w:t>
      </w:r>
      <w:r w:rsidR="00AC27AA">
        <w:t xml:space="preserve">paediatric </w:t>
      </w:r>
      <w:r w:rsidR="000B38EB">
        <w:t>early warning systems</w:t>
      </w:r>
      <w:r>
        <w:t xml:space="preserve"> may already have </w:t>
      </w:r>
      <w:r w:rsidR="005F4FA1">
        <w:t xml:space="preserve">paediatric </w:t>
      </w:r>
      <w:r>
        <w:t xml:space="preserve">clinical governance processes that are working well. Others may need to establish a new clinical governance committee or </w:t>
      </w:r>
      <w:r w:rsidR="00190C5F">
        <w:t xml:space="preserve">new </w:t>
      </w:r>
      <w:r>
        <w:t xml:space="preserve">reporting arrangement within </w:t>
      </w:r>
      <w:r w:rsidR="005F4FA1">
        <w:t xml:space="preserve">an </w:t>
      </w:r>
      <w:r>
        <w:t xml:space="preserve">existing </w:t>
      </w:r>
      <w:r w:rsidR="00AC27AA">
        <w:t>paediatric</w:t>
      </w:r>
      <w:r>
        <w:t xml:space="preserve"> clinical governance </w:t>
      </w:r>
      <w:r w:rsidR="005F4FA1">
        <w:t>system</w:t>
      </w:r>
      <w:r w:rsidR="00AC27AA">
        <w:t xml:space="preserve">. </w:t>
      </w:r>
      <w:r>
        <w:t xml:space="preserve">Smaller centres may </w:t>
      </w:r>
      <w:r w:rsidR="00190C5F">
        <w:t xml:space="preserve">rely </w:t>
      </w:r>
      <w:r>
        <w:t xml:space="preserve">on existing </w:t>
      </w:r>
      <w:r w:rsidR="00190C5F">
        <w:t>groups,</w:t>
      </w:r>
      <w:r>
        <w:t xml:space="preserve"> such as organisation</w:t>
      </w:r>
      <w:r w:rsidR="00190C5F">
        <w:t>-</w:t>
      </w:r>
      <w:r w:rsidR="005F4FA1">
        <w:t>wide</w:t>
      </w:r>
      <w:r>
        <w:t xml:space="preserve"> patient safety and quality committees</w:t>
      </w:r>
      <w:r w:rsidR="00190C5F">
        <w:t>, for clinical governance</w:t>
      </w:r>
      <w:r>
        <w:t xml:space="preserve">. </w:t>
      </w:r>
    </w:p>
    <w:p w14:paraId="4E841149" w14:textId="6627D9D4" w:rsidR="00190C5F" w:rsidRDefault="00190C5F" w:rsidP="004535F8">
      <w:r>
        <w:t xml:space="preserve">For a </w:t>
      </w:r>
      <w:r w:rsidR="00AC27AA">
        <w:t xml:space="preserve">paediatric early warning system </w:t>
      </w:r>
      <w:r>
        <w:t>to work well</w:t>
      </w:r>
      <w:r w:rsidR="00AC2544">
        <w:t>, improve</w:t>
      </w:r>
      <w:r>
        <w:t xml:space="preserve"> and be sustainable, organisations must:</w:t>
      </w:r>
    </w:p>
    <w:p w14:paraId="15717EA5" w14:textId="66C58E68" w:rsidR="00190C5F" w:rsidRPr="006D06C6" w:rsidRDefault="00190C5F" w:rsidP="004535F8">
      <w:pPr>
        <w:pStyle w:val="Bodyevidencesummary"/>
        <w:numPr>
          <w:ilvl w:val="0"/>
          <w:numId w:val="4"/>
        </w:numPr>
        <w:spacing w:after="60"/>
        <w:ind w:left="357" w:hanging="357"/>
        <w:rPr>
          <w:rFonts w:asciiTheme="minorHAnsi" w:hAnsiTheme="minorHAnsi"/>
        </w:rPr>
      </w:pPr>
      <w:r>
        <w:t xml:space="preserve">have </w:t>
      </w:r>
      <w:r w:rsidR="00C55F12">
        <w:t xml:space="preserve">underpinning structures for clinical governance, teamwork, handover and communication, education, </w:t>
      </w:r>
      <w:r w:rsidR="00615609">
        <w:t>measurement,</w:t>
      </w:r>
      <w:r w:rsidR="00C55F12">
        <w:t xml:space="preserve"> and evaluation</w:t>
      </w:r>
    </w:p>
    <w:p w14:paraId="355F5C38" w14:textId="2FF6D198" w:rsidR="00190C5F" w:rsidRPr="006D06C6" w:rsidRDefault="00190C5F" w:rsidP="004535F8">
      <w:pPr>
        <w:pStyle w:val="Bodyevidencesummary"/>
        <w:numPr>
          <w:ilvl w:val="0"/>
          <w:numId w:val="4"/>
        </w:numPr>
        <w:spacing w:after="60"/>
        <w:ind w:left="357" w:hanging="357"/>
        <w:rPr>
          <w:rFonts w:asciiTheme="minorHAnsi" w:hAnsiTheme="minorHAnsi"/>
        </w:rPr>
      </w:pPr>
      <w:r>
        <w:t>have c</w:t>
      </w:r>
      <w:r w:rsidR="00C55F12">
        <w:t>linical and administrative resourc</w:t>
      </w:r>
      <w:r>
        <w:t>ing</w:t>
      </w:r>
    </w:p>
    <w:p w14:paraId="6E6D4360" w14:textId="3A00656A" w:rsidR="00AC2544" w:rsidRPr="006D06C6" w:rsidRDefault="00AC2544" w:rsidP="004535F8">
      <w:pPr>
        <w:pStyle w:val="Bodyevidencesummary"/>
        <w:numPr>
          <w:ilvl w:val="0"/>
          <w:numId w:val="4"/>
        </w:numPr>
        <w:spacing w:after="60"/>
        <w:ind w:left="357" w:hanging="357"/>
        <w:rPr>
          <w:rFonts w:asciiTheme="minorHAnsi" w:hAnsiTheme="minorHAnsi"/>
        </w:rPr>
      </w:pPr>
      <w:r>
        <w:t>have visible and ongoing executive, clinical and operational leadership</w:t>
      </w:r>
    </w:p>
    <w:p w14:paraId="3C3F60FD" w14:textId="22BB8B37" w:rsidR="00AC2544" w:rsidRDefault="00AC2544" w:rsidP="004535F8">
      <w:pPr>
        <w:pStyle w:val="Bodyevidencesummary"/>
        <w:numPr>
          <w:ilvl w:val="0"/>
          <w:numId w:val="4"/>
        </w:numPr>
        <w:spacing w:after="60"/>
        <w:ind w:left="357" w:hanging="357"/>
        <w:rPr>
          <w:rFonts w:asciiTheme="minorHAnsi" w:hAnsiTheme="minorHAnsi"/>
        </w:rPr>
      </w:pPr>
      <w:r>
        <w:t>include recognition and response systems in the strategic plan to make a hospital safer</w:t>
      </w:r>
      <w:hyperlink w:anchor="_ENREF_9" w:tooltip="DeVita, 2010 #47" w:history="1"/>
      <w:r>
        <w:rPr>
          <w:rStyle w:val="FootnoteReference"/>
        </w:rPr>
        <w:footnoteReference w:id="10"/>
      </w:r>
    </w:p>
    <w:p w14:paraId="403E1581" w14:textId="77777777" w:rsidR="00190C5F" w:rsidRPr="006D06C6" w:rsidRDefault="00190C5F" w:rsidP="004535F8">
      <w:pPr>
        <w:pStyle w:val="Bodyevidencesummary"/>
        <w:numPr>
          <w:ilvl w:val="0"/>
          <w:numId w:val="4"/>
        </w:numPr>
        <w:spacing w:after="60"/>
        <w:ind w:left="357" w:hanging="357"/>
        <w:rPr>
          <w:rFonts w:asciiTheme="minorHAnsi" w:hAnsiTheme="minorHAnsi"/>
        </w:rPr>
      </w:pPr>
      <w:r>
        <w:t>in specialised settings:</w:t>
      </w:r>
    </w:p>
    <w:p w14:paraId="56A16880" w14:textId="0384412D" w:rsidR="00190C5F" w:rsidRPr="006D06C6" w:rsidRDefault="00190C5F" w:rsidP="004535F8">
      <w:pPr>
        <w:pStyle w:val="Bodyevidencesummary"/>
        <w:numPr>
          <w:ilvl w:val="1"/>
          <w:numId w:val="4"/>
        </w:numPr>
        <w:spacing w:after="60"/>
        <w:ind w:left="1077" w:hanging="357"/>
        <w:rPr>
          <w:rFonts w:asciiTheme="minorHAnsi" w:hAnsiTheme="minorHAnsi"/>
        </w:rPr>
      </w:pPr>
      <w:r>
        <w:t xml:space="preserve">align </w:t>
      </w:r>
      <w:r w:rsidR="00E0727B">
        <w:t xml:space="preserve">the system </w:t>
      </w:r>
      <w:r>
        <w:t>with other hospital systems</w:t>
      </w:r>
    </w:p>
    <w:p w14:paraId="007B0E4A" w14:textId="79E680A8" w:rsidR="00190C5F" w:rsidRPr="006D06C6" w:rsidRDefault="00190C5F" w:rsidP="004535F8">
      <w:pPr>
        <w:pStyle w:val="Bodyevidencesummary"/>
        <w:numPr>
          <w:ilvl w:val="1"/>
          <w:numId w:val="4"/>
        </w:numPr>
        <w:spacing w:after="60"/>
        <w:ind w:left="1077" w:hanging="357"/>
        <w:rPr>
          <w:rFonts w:asciiTheme="minorHAnsi" w:hAnsiTheme="minorHAnsi"/>
        </w:rPr>
      </w:pPr>
      <w:r>
        <w:t xml:space="preserve">involve </w:t>
      </w:r>
      <w:r w:rsidR="00C55F12">
        <w:t>a whole-of-hospital approach</w:t>
      </w:r>
    </w:p>
    <w:p w14:paraId="0E75DBAB" w14:textId="0BDFCE87" w:rsidR="00C55F12" w:rsidRPr="006D06C6" w:rsidRDefault="000B38EB">
      <w:pPr>
        <w:pStyle w:val="Bodyevidencesummary"/>
        <w:numPr>
          <w:ilvl w:val="1"/>
          <w:numId w:val="4"/>
        </w:numPr>
        <w:rPr>
          <w:rFonts w:asciiTheme="minorHAnsi" w:hAnsiTheme="minorHAnsi"/>
        </w:rPr>
      </w:pPr>
      <w:r>
        <w:t xml:space="preserve">link to </w:t>
      </w:r>
      <w:r w:rsidR="005B4D30">
        <w:t>hospital</w:t>
      </w:r>
      <w:r>
        <w:t>-wide</w:t>
      </w:r>
      <w:r w:rsidR="005B4D30">
        <w:t xml:space="preserve"> clinical governance.</w:t>
      </w:r>
    </w:p>
    <w:p w14:paraId="7123AE86" w14:textId="10193638" w:rsidR="00AC2544" w:rsidRDefault="00C55F12" w:rsidP="004535F8">
      <w:r>
        <w:t xml:space="preserve">Those who are accountable for the performance of </w:t>
      </w:r>
      <w:r w:rsidR="00304529">
        <w:t>the system</w:t>
      </w:r>
      <w:r>
        <w:t xml:space="preserve"> must oversee a range of activities such as policy and process development, evaluation and quality improvement, </w:t>
      </w:r>
      <w:r w:rsidR="005B4D30">
        <w:t xml:space="preserve">adequate staff </w:t>
      </w:r>
      <w:r>
        <w:t xml:space="preserve">resourcing and equipment, education and </w:t>
      </w:r>
      <w:bookmarkStart w:id="0" w:name="_Hlk534976309"/>
      <w:r w:rsidR="005B4D30">
        <w:t xml:space="preserve">whānau </w:t>
      </w:r>
      <w:bookmarkEnd w:id="0"/>
      <w:r>
        <w:t xml:space="preserve">engagement. </w:t>
      </w:r>
    </w:p>
    <w:p w14:paraId="5A78D8C8" w14:textId="1B2E0242" w:rsidR="00C55F12" w:rsidRDefault="00C55F12" w:rsidP="004535F8">
      <w:pPr>
        <w:rPr>
          <w:rFonts w:eastAsia="Arial"/>
          <w:color w:val="000000"/>
        </w:rPr>
      </w:pPr>
      <w:r>
        <w:t xml:space="preserve">A collaborative model of executive, clinical and operational leadership is </w:t>
      </w:r>
      <w:r w:rsidR="00462787">
        <w:t>needed</w:t>
      </w:r>
      <w:r>
        <w:t xml:space="preserve">. </w:t>
      </w:r>
      <w:r w:rsidR="00AC2544">
        <w:t>For more advice, p</w:t>
      </w:r>
      <w:r>
        <w:t>lease refer to the</w:t>
      </w:r>
      <w:r w:rsidR="000B38EB">
        <w:t xml:space="preserve"> Health Quality &amp; Safety Commission</w:t>
      </w:r>
      <w:r w:rsidR="00AC2544">
        <w:t xml:space="preserve"> publications</w:t>
      </w:r>
      <w:r w:rsidR="000B38EB">
        <w:t xml:space="preserve"> </w:t>
      </w:r>
      <w:r w:rsidR="005F4FA1" w:rsidRPr="006D06C6">
        <w:rPr>
          <w:i/>
          <w:iCs/>
        </w:rPr>
        <w:t>C</w:t>
      </w:r>
      <w:r w:rsidRPr="006D06C6">
        <w:rPr>
          <w:i/>
          <w:iCs/>
        </w:rPr>
        <w:t xml:space="preserve">linical </w:t>
      </w:r>
      <w:r w:rsidR="00AC2544" w:rsidRPr="006D06C6">
        <w:rPr>
          <w:i/>
          <w:iCs/>
        </w:rPr>
        <w:t>g</w:t>
      </w:r>
      <w:r w:rsidRPr="006D06C6">
        <w:rPr>
          <w:i/>
          <w:iCs/>
        </w:rPr>
        <w:t>overnance</w:t>
      </w:r>
      <w:r w:rsidR="00EB3503">
        <w:rPr>
          <w:rStyle w:val="FootnoteReference"/>
        </w:rPr>
        <w:footnoteReference w:id="11"/>
      </w:r>
      <w:r>
        <w:t xml:space="preserve"> and </w:t>
      </w:r>
      <w:proofErr w:type="gramStart"/>
      <w:r w:rsidR="00AC2544" w:rsidRPr="006D06C6">
        <w:rPr>
          <w:i/>
          <w:iCs/>
        </w:rPr>
        <w:t>From</w:t>
      </w:r>
      <w:proofErr w:type="gramEnd"/>
      <w:r w:rsidR="00AC2544" w:rsidRPr="006D06C6">
        <w:rPr>
          <w:i/>
          <w:iCs/>
        </w:rPr>
        <w:t xml:space="preserve"> knowledge to action</w:t>
      </w:r>
      <w:r w:rsidR="00AC2544">
        <w:t>.</w:t>
      </w:r>
      <w:r w:rsidR="00EB3503">
        <w:rPr>
          <w:rStyle w:val="FootnoteReference"/>
        </w:rPr>
        <w:footnoteReference w:id="12"/>
      </w:r>
    </w:p>
    <w:p w14:paraId="1A03190E" w14:textId="77777777" w:rsidR="00462787" w:rsidRDefault="00462787" w:rsidP="004535F8">
      <w:pPr>
        <w:rPr>
          <w:rFonts w:eastAsia="Cambria"/>
          <w:sz w:val="24"/>
          <w:szCs w:val="24"/>
        </w:rPr>
      </w:pPr>
      <w:r>
        <w:br w:type="page"/>
      </w:r>
    </w:p>
    <w:p w14:paraId="69214A32" w14:textId="4F1955F3" w:rsidR="00C55F12" w:rsidRDefault="00CD1259">
      <w:pPr>
        <w:pStyle w:val="H2evidencesummary"/>
      </w:pPr>
      <w:r>
        <w:lastRenderedPageBreak/>
        <w:t xml:space="preserve">Terms of reference  </w:t>
      </w:r>
    </w:p>
    <w:p w14:paraId="0AF1348C" w14:textId="2B50406E" w:rsidR="00CD1259" w:rsidRDefault="00CD1259" w:rsidP="004535F8">
      <w:pPr>
        <w:pStyle w:val="Bodyevidencesummary"/>
      </w:pPr>
      <w:r>
        <w:t xml:space="preserve">The terms of reference for clinical governance of a paediatric early warning system </w:t>
      </w:r>
      <w:r w:rsidR="00462787">
        <w:t xml:space="preserve">should </w:t>
      </w:r>
      <w:r>
        <w:t xml:space="preserve">include: </w:t>
      </w:r>
    </w:p>
    <w:p w14:paraId="3BCED503" w14:textId="7AA88B3F" w:rsidR="00CD1259" w:rsidRDefault="00CD1259" w:rsidP="004535F8">
      <w:pPr>
        <w:pStyle w:val="Bulletsevidencesummary"/>
        <w:spacing w:after="60"/>
        <w:contextualSpacing w:val="0"/>
      </w:pPr>
      <w:r>
        <w:t>purpose</w:t>
      </w:r>
    </w:p>
    <w:p w14:paraId="051BA18C" w14:textId="7922199C" w:rsidR="00CD1259" w:rsidRDefault="00CD1259" w:rsidP="004535F8">
      <w:pPr>
        <w:pStyle w:val="Bulletsevidencesummary"/>
        <w:spacing w:after="60"/>
        <w:contextualSpacing w:val="0"/>
      </w:pPr>
      <w:r>
        <w:t>membership (including whānau who regularly access paediatric services</w:t>
      </w:r>
      <w:r w:rsidR="00EB4731">
        <w:t>,</w:t>
      </w:r>
      <w:r>
        <w:t xml:space="preserve"> and M</w:t>
      </w:r>
      <w:r>
        <w:rPr>
          <w:lang w:val="mi-NZ"/>
        </w:rPr>
        <w:t>ā</w:t>
      </w:r>
      <w:r>
        <w:rPr>
          <w:lang w:val="en-NZ"/>
        </w:rPr>
        <w:t>ori health outcomes team)</w:t>
      </w:r>
    </w:p>
    <w:p w14:paraId="006D14C0" w14:textId="77777777" w:rsidR="00CD1259" w:rsidRDefault="00CD1259" w:rsidP="004535F8">
      <w:pPr>
        <w:pStyle w:val="Bulletsevidencesummary"/>
        <w:spacing w:after="60"/>
        <w:contextualSpacing w:val="0"/>
      </w:pPr>
      <w:r>
        <w:t>responsibilities</w:t>
      </w:r>
    </w:p>
    <w:p w14:paraId="4D8AC41A" w14:textId="66C123F6" w:rsidR="00CD1259" w:rsidRDefault="00CD1259" w:rsidP="004535F8">
      <w:pPr>
        <w:pStyle w:val="Bulletsevidencesummary"/>
        <w:spacing w:after="60"/>
        <w:contextualSpacing w:val="0"/>
      </w:pPr>
      <w:r>
        <w:t>organisational reporting requirements</w:t>
      </w:r>
    </w:p>
    <w:p w14:paraId="59E4661C" w14:textId="417B99E3" w:rsidR="00CD1259" w:rsidRDefault="00CD1259" w:rsidP="004535F8">
      <w:pPr>
        <w:pStyle w:val="Bulletsevidencesummary"/>
        <w:spacing w:after="60"/>
        <w:contextualSpacing w:val="0"/>
      </w:pPr>
      <w:r>
        <w:t>meetings and decision-making</w:t>
      </w:r>
    </w:p>
    <w:p w14:paraId="456F3959" w14:textId="22359235" w:rsidR="00CD1259" w:rsidRDefault="00CD1259" w:rsidP="004535F8">
      <w:pPr>
        <w:pStyle w:val="Bulletsevidencesummary"/>
        <w:contextualSpacing w:val="0"/>
      </w:pPr>
      <w:r>
        <w:t xml:space="preserve">terms and conditions of appointment. </w:t>
      </w:r>
    </w:p>
    <w:p w14:paraId="16931ACF" w14:textId="7C36BC37" w:rsidR="00CD1259" w:rsidRDefault="00271B89">
      <w:pPr>
        <w:pStyle w:val="Bodyevidencesummary"/>
      </w:pPr>
      <w:r>
        <w:t xml:space="preserve">An </w:t>
      </w:r>
      <w:r w:rsidR="00FE00A6">
        <w:t>e</w:t>
      </w:r>
      <w:r w:rsidR="00C55F12">
        <w:t>xample terms of reference for the wider hospital</w:t>
      </w:r>
      <w:r w:rsidR="00FE00A6">
        <w:t xml:space="preserve"> adult recognition and response governance</w:t>
      </w:r>
      <w:r w:rsidR="00C55F12">
        <w:t xml:space="preserve"> committee </w:t>
      </w:r>
      <w:r>
        <w:t xml:space="preserve">is available on the </w:t>
      </w:r>
      <w:r w:rsidR="00D403F6">
        <w:t xml:space="preserve">Health Quality &amp; Safety </w:t>
      </w:r>
      <w:r w:rsidR="00ED622B">
        <w:t xml:space="preserve">Commission </w:t>
      </w:r>
      <w:r>
        <w:t>website</w:t>
      </w:r>
      <w:r w:rsidR="00F1233A">
        <w:t>.</w:t>
      </w:r>
      <w:r w:rsidR="00ED622B">
        <w:rPr>
          <w:rStyle w:val="FootnoteReference"/>
        </w:rPr>
        <w:footnoteReference w:id="13"/>
      </w:r>
      <w:r w:rsidR="00EB3503">
        <w:t xml:space="preserve"> </w:t>
      </w:r>
    </w:p>
    <w:p w14:paraId="3D283C54" w14:textId="44C42362" w:rsidR="00C55F12" w:rsidRPr="00BC3DC2" w:rsidRDefault="006508AD" w:rsidP="004535F8">
      <w:r w:rsidRPr="00BC3DC2">
        <w:t>T</w:t>
      </w:r>
      <w:r w:rsidR="00FE00A6" w:rsidRPr="00BC3DC2">
        <w:t>h</w:t>
      </w:r>
      <w:r w:rsidR="001F7FBC" w:rsidRPr="00BC3DC2">
        <w:t>e</w:t>
      </w:r>
      <w:r w:rsidR="009510D1" w:rsidRPr="00BC3DC2">
        <w:t xml:space="preserve"> adult </w:t>
      </w:r>
      <w:r w:rsidR="00FE00A6" w:rsidRPr="00BC3DC2">
        <w:t xml:space="preserve">committees </w:t>
      </w:r>
      <w:r w:rsidR="00D403F6" w:rsidRPr="00BC3DC2">
        <w:t>c</w:t>
      </w:r>
      <w:r w:rsidR="00FE00A6" w:rsidRPr="00BC3DC2">
        <w:t>hange</w:t>
      </w:r>
      <w:r w:rsidR="00D403F6" w:rsidRPr="00BC3DC2">
        <w:t>d</w:t>
      </w:r>
      <w:r w:rsidR="00FE00A6" w:rsidRPr="00BC3DC2">
        <w:t xml:space="preserve"> their terms of reference to include maternity </w:t>
      </w:r>
      <w:r w:rsidRPr="00BC3DC2">
        <w:t>representatives</w:t>
      </w:r>
      <w:r w:rsidR="00FE00A6" w:rsidRPr="00BC3DC2">
        <w:t xml:space="preserve"> </w:t>
      </w:r>
      <w:r w:rsidR="00D403F6" w:rsidRPr="00BC3DC2">
        <w:t xml:space="preserve">in </w:t>
      </w:r>
      <w:r w:rsidR="00FE00A6" w:rsidRPr="00BC3DC2">
        <w:t>early 2019</w:t>
      </w:r>
      <w:r w:rsidR="00C55F12" w:rsidRPr="00BC3DC2">
        <w:t xml:space="preserve">. </w:t>
      </w:r>
      <w:r w:rsidR="00E73AC0" w:rsidRPr="00BC3DC2">
        <w:t xml:space="preserve">Once the paediatric early warning system is implemented in hospitals, terms of reference </w:t>
      </w:r>
      <w:r w:rsidR="007835AE" w:rsidRPr="00BC3DC2">
        <w:t xml:space="preserve">should be updated again to include paediatrics. </w:t>
      </w:r>
    </w:p>
    <w:p w14:paraId="4B9F2607" w14:textId="07994289" w:rsidR="00C55F12" w:rsidRDefault="00271B89">
      <w:pPr>
        <w:pStyle w:val="Bodyevidencesummary"/>
      </w:pPr>
      <w:r>
        <w:t>The</w:t>
      </w:r>
      <w:r w:rsidR="00C55F12">
        <w:t xml:space="preserve"> </w:t>
      </w:r>
      <w:r w:rsidR="00304529">
        <w:t>paediatric early warning system</w:t>
      </w:r>
      <w:r w:rsidR="00C55F12">
        <w:t xml:space="preserve"> should be a standing item on the already-established </w:t>
      </w:r>
      <w:r w:rsidR="00304529">
        <w:t xml:space="preserve">paediatric </w:t>
      </w:r>
      <w:r w:rsidR="00C55F12">
        <w:t xml:space="preserve">service clinical governance </w:t>
      </w:r>
      <w:r>
        <w:t>structure</w:t>
      </w:r>
      <w:r w:rsidR="00C55F12">
        <w:t xml:space="preserve">. This </w:t>
      </w:r>
      <w:r>
        <w:t xml:space="preserve">structure </w:t>
      </w:r>
      <w:r w:rsidR="00C55F12">
        <w:t>will have a reporting line to the wider hospital clinical governance</w:t>
      </w:r>
      <w:r w:rsidR="006508AD">
        <w:t>, such as the clinical board</w:t>
      </w:r>
      <w:r w:rsidR="00C55F12">
        <w:t xml:space="preserve">. </w:t>
      </w:r>
    </w:p>
    <w:p w14:paraId="3382A745" w14:textId="22D46D44" w:rsidR="00C55F12" w:rsidRDefault="00D403F6">
      <w:pPr>
        <w:pStyle w:val="H2evidencesummary"/>
      </w:pPr>
      <w:r>
        <w:t xml:space="preserve">Responsibilities of </w:t>
      </w:r>
      <w:r w:rsidR="00462787">
        <w:t xml:space="preserve">the </w:t>
      </w:r>
      <w:r>
        <w:t>p</w:t>
      </w:r>
      <w:r w:rsidR="00304529">
        <w:t xml:space="preserve">aediatric </w:t>
      </w:r>
      <w:r w:rsidR="006508AD">
        <w:t>c</w:t>
      </w:r>
      <w:r w:rsidR="00C55F12">
        <w:t>linical governance committee</w:t>
      </w:r>
      <w:r w:rsidR="00B57B62">
        <w:t xml:space="preserve"> </w:t>
      </w:r>
      <w:r w:rsidR="001F7FBC">
        <w:t xml:space="preserve">and </w:t>
      </w:r>
      <w:r w:rsidR="00462787">
        <w:t xml:space="preserve">its </w:t>
      </w:r>
      <w:r w:rsidR="001F7FBC">
        <w:t xml:space="preserve">members </w:t>
      </w:r>
    </w:p>
    <w:p w14:paraId="53629EC8" w14:textId="31AA6A05" w:rsidR="00BD53BC" w:rsidRPr="006D06C6" w:rsidRDefault="00B57B62">
      <w:pPr>
        <w:pStyle w:val="H3"/>
      </w:pPr>
      <w:r w:rsidRPr="00BD53BC">
        <w:t>Policy and resourcing</w:t>
      </w:r>
    </w:p>
    <w:p w14:paraId="5F9975E1" w14:textId="59126B3F" w:rsidR="00BD53BC" w:rsidRDefault="00BD53BC">
      <w:pPr>
        <w:pStyle w:val="Bodyevidencesummary"/>
      </w:pPr>
      <w:r>
        <w:t>T</w:t>
      </w:r>
      <w:r w:rsidR="0059523D" w:rsidRPr="0059523D">
        <w:t xml:space="preserve">he </w:t>
      </w:r>
      <w:r w:rsidRPr="00BD53BC">
        <w:t>paediatric clinical</w:t>
      </w:r>
      <w:r>
        <w:t xml:space="preserve"> </w:t>
      </w:r>
      <w:r w:rsidR="0059523D" w:rsidRPr="0059523D">
        <w:t xml:space="preserve">governance committee </w:t>
      </w:r>
      <w:r>
        <w:t>is responsible</w:t>
      </w:r>
      <w:r w:rsidR="0059523D" w:rsidRPr="0059523D">
        <w:t xml:space="preserve"> for</w:t>
      </w:r>
      <w:r>
        <w:t>:</w:t>
      </w:r>
    </w:p>
    <w:p w14:paraId="564267AE" w14:textId="32A927C7" w:rsidR="00BD53BC" w:rsidRDefault="0059523D">
      <w:pPr>
        <w:pStyle w:val="Bodyevidencesummary"/>
        <w:numPr>
          <w:ilvl w:val="0"/>
          <w:numId w:val="6"/>
        </w:numPr>
        <w:spacing w:after="60"/>
        <w:ind w:left="357" w:hanging="357"/>
      </w:pPr>
      <w:r w:rsidRPr="0059523D">
        <w:t>developing and monitoring local policy and implementation</w:t>
      </w:r>
      <w:r w:rsidR="00271B89">
        <w:t xml:space="preserve"> of </w:t>
      </w:r>
      <w:r w:rsidR="00304529">
        <w:t>the paediatric early warning system</w:t>
      </w:r>
    </w:p>
    <w:p w14:paraId="1E95A171" w14:textId="3AA562A2" w:rsidR="003E3F88" w:rsidRDefault="0059523D">
      <w:pPr>
        <w:pStyle w:val="Bodyevidencesummary"/>
        <w:numPr>
          <w:ilvl w:val="0"/>
          <w:numId w:val="6"/>
        </w:numPr>
        <w:spacing w:after="60"/>
        <w:ind w:left="357" w:hanging="357"/>
      </w:pPr>
      <w:r w:rsidRPr="0059523D">
        <w:t>guidance on criteria and frequency of vital sign observations</w:t>
      </w:r>
    </w:p>
    <w:p w14:paraId="01CD3F09" w14:textId="12B5C31C" w:rsidR="00462787" w:rsidRPr="00D976FD" w:rsidRDefault="003E3F88" w:rsidP="004535F8">
      <w:pPr>
        <w:pStyle w:val="Bodyevidencesummary"/>
        <w:numPr>
          <w:ilvl w:val="0"/>
          <w:numId w:val="6"/>
        </w:numPr>
        <w:rPr>
          <w:rFonts w:eastAsia="Arial"/>
        </w:rPr>
      </w:pPr>
      <w:r w:rsidRPr="003E3F88">
        <w:t xml:space="preserve">escalating any resourcing concerns within the organisation. </w:t>
      </w:r>
    </w:p>
    <w:p w14:paraId="47361397" w14:textId="03E4F665" w:rsidR="00BD53BC" w:rsidRDefault="00B57B62">
      <w:pPr>
        <w:pStyle w:val="H3"/>
      </w:pPr>
      <w:r w:rsidRPr="00D403F6">
        <w:t>Effectiveness</w:t>
      </w:r>
    </w:p>
    <w:p w14:paraId="78427E07" w14:textId="7A07E9E8" w:rsidR="00C55F12" w:rsidRDefault="00BD53BC">
      <w:pPr>
        <w:pStyle w:val="Bodyevidencesummary"/>
      </w:pPr>
      <w:r>
        <w:t>T</w:t>
      </w:r>
      <w:r w:rsidR="00C55F12">
        <w:t xml:space="preserve">he </w:t>
      </w:r>
      <w:r>
        <w:t xml:space="preserve">paediatric </w:t>
      </w:r>
      <w:r w:rsidR="006508AD">
        <w:t xml:space="preserve">clinical governance </w:t>
      </w:r>
      <w:r w:rsidR="00C55F12">
        <w:t xml:space="preserve">committee </w:t>
      </w:r>
      <w:r w:rsidR="0059523D">
        <w:t>monitor</w:t>
      </w:r>
      <w:r>
        <w:t>s</w:t>
      </w:r>
      <w:r w:rsidR="0059523D">
        <w:t xml:space="preserve"> the effectiveness of the </w:t>
      </w:r>
      <w:r w:rsidR="00383A29">
        <w:t xml:space="preserve">paediatric early warning system </w:t>
      </w:r>
      <w:r w:rsidR="0059523D">
        <w:t xml:space="preserve">by reviewing audit reports (process measures), outcome and </w:t>
      </w:r>
      <w:r w:rsidR="00A738DB">
        <w:t xml:space="preserve">balancing </w:t>
      </w:r>
      <w:r w:rsidR="0059523D">
        <w:t>measures and addressing barriers the</w:t>
      </w:r>
      <w:r w:rsidR="00271B89">
        <w:t xml:space="preserve"> </w:t>
      </w:r>
      <w:r w:rsidR="0059523D">
        <w:t xml:space="preserve">project </w:t>
      </w:r>
      <w:r w:rsidR="002F520E">
        <w:t>team</w:t>
      </w:r>
      <w:r w:rsidR="0059523D">
        <w:t xml:space="preserve"> may encounter</w:t>
      </w:r>
      <w:r w:rsidR="00C55F12">
        <w:t xml:space="preserve">. </w:t>
      </w:r>
      <w:r>
        <w:t>It</w:t>
      </w:r>
      <w:r w:rsidR="0059523D">
        <w:t xml:space="preserve"> must </w:t>
      </w:r>
      <w:r w:rsidR="00E81951">
        <w:t xml:space="preserve">also </w:t>
      </w:r>
      <w:r w:rsidR="0059523D">
        <w:t xml:space="preserve">address </w:t>
      </w:r>
      <w:r>
        <w:t xml:space="preserve">unwarranted </w:t>
      </w:r>
      <w:r w:rsidR="0059523D">
        <w:t xml:space="preserve">variations </w:t>
      </w:r>
      <w:r w:rsidR="00271B89">
        <w:t xml:space="preserve">in escalations and response systems </w:t>
      </w:r>
      <w:r w:rsidR="0059523D">
        <w:t xml:space="preserve">and </w:t>
      </w:r>
      <w:r>
        <w:t>establish</w:t>
      </w:r>
      <w:r w:rsidR="0059523D">
        <w:t xml:space="preserve"> a culture of respect </w:t>
      </w:r>
      <w:r w:rsidR="00271B89">
        <w:t>between professional groups and speciality teams</w:t>
      </w:r>
      <w:r w:rsidR="0059523D">
        <w:t xml:space="preserve">. </w:t>
      </w:r>
    </w:p>
    <w:p w14:paraId="36B898E1" w14:textId="77777777" w:rsidR="00D976FD" w:rsidRDefault="00D976FD">
      <w:pPr>
        <w:spacing w:after="160" w:line="259" w:lineRule="auto"/>
      </w:pPr>
      <w:r>
        <w:br w:type="page"/>
      </w:r>
    </w:p>
    <w:p w14:paraId="7629B4FD" w14:textId="00040ECE" w:rsidR="00C55F12" w:rsidRDefault="00C55F12">
      <w:pPr>
        <w:pStyle w:val="Bodyevidencesummary"/>
      </w:pPr>
      <w:r>
        <w:lastRenderedPageBreak/>
        <w:t xml:space="preserve">Data that may be </w:t>
      </w:r>
      <w:r w:rsidR="00E81951">
        <w:t>collected and reviewed as part of system monitoring</w:t>
      </w:r>
      <w:r>
        <w:t xml:space="preserve"> include</w:t>
      </w:r>
      <w:r w:rsidR="00D403F6">
        <w:t>s</w:t>
      </w:r>
      <w:r>
        <w:t>:</w:t>
      </w:r>
    </w:p>
    <w:p w14:paraId="391153E2" w14:textId="6C2BC905" w:rsidR="00C55F12" w:rsidRPr="006D06C6" w:rsidRDefault="00C55F12" w:rsidP="004535F8">
      <w:pPr>
        <w:pStyle w:val="Bodyevidencesummary"/>
        <w:numPr>
          <w:ilvl w:val="0"/>
          <w:numId w:val="6"/>
        </w:numPr>
        <w:spacing w:after="60"/>
      </w:pPr>
      <w:r w:rsidRPr="006D06C6">
        <w:t>rates of unplanned</w:t>
      </w:r>
      <w:r w:rsidR="00271B89" w:rsidRPr="006D06C6">
        <w:t xml:space="preserve"> increased resource or</w:t>
      </w:r>
      <w:r w:rsidRPr="006D06C6">
        <w:t xml:space="preserve"> tra</w:t>
      </w:r>
      <w:r w:rsidR="00F1233A" w:rsidRPr="006D06C6">
        <w:t>nsfers to higher acuity care (eg,</w:t>
      </w:r>
      <w:r w:rsidRPr="006D06C6">
        <w:t xml:space="preserve"> </w:t>
      </w:r>
      <w:r w:rsidR="00CC60B7" w:rsidRPr="006D06C6">
        <w:t>intensive care unit</w:t>
      </w:r>
      <w:r w:rsidR="0072760C" w:rsidRPr="006D06C6">
        <w:t xml:space="preserve">, </w:t>
      </w:r>
      <w:r w:rsidR="00CC60B7" w:rsidRPr="006D06C6">
        <w:t xml:space="preserve">high dependency unit </w:t>
      </w:r>
      <w:r w:rsidRPr="006D06C6">
        <w:t xml:space="preserve">or tertiary hospital) </w:t>
      </w:r>
    </w:p>
    <w:p w14:paraId="68CBD63F" w14:textId="4BFCC6CC" w:rsidR="00C55F12" w:rsidRPr="006D06C6" w:rsidRDefault="00C55F12" w:rsidP="004535F8">
      <w:pPr>
        <w:pStyle w:val="Bodyevidencesummary"/>
        <w:numPr>
          <w:ilvl w:val="0"/>
          <w:numId w:val="6"/>
        </w:numPr>
        <w:spacing w:after="60"/>
      </w:pPr>
      <w:r w:rsidRPr="006D06C6">
        <w:t>audits of vital sign and early warning score documentation</w:t>
      </w:r>
    </w:p>
    <w:p w14:paraId="6EE72439" w14:textId="77777777" w:rsidR="00C55F12" w:rsidRPr="006D06C6" w:rsidRDefault="00C55F12" w:rsidP="004535F8">
      <w:pPr>
        <w:pStyle w:val="Bodyevidencesummary"/>
        <w:numPr>
          <w:ilvl w:val="0"/>
          <w:numId w:val="6"/>
        </w:numPr>
        <w:spacing w:after="60"/>
      </w:pPr>
      <w:r w:rsidRPr="006D06C6">
        <w:t>data from electronic systems to identify missed or delayed escalation</w:t>
      </w:r>
    </w:p>
    <w:p w14:paraId="346589C8" w14:textId="57005483" w:rsidR="00C55F12" w:rsidRPr="006D06C6" w:rsidRDefault="00C55F12" w:rsidP="004535F8">
      <w:pPr>
        <w:pStyle w:val="Bodyevidencesummary"/>
        <w:numPr>
          <w:ilvl w:val="0"/>
          <w:numId w:val="6"/>
        </w:numPr>
        <w:spacing w:after="60"/>
      </w:pPr>
      <w:r w:rsidRPr="006D06C6">
        <w:t xml:space="preserve">data from retrospective case note review and multidisciplinary </w:t>
      </w:r>
      <w:r w:rsidR="00383A29" w:rsidRPr="006D06C6">
        <w:t xml:space="preserve">paediatric </w:t>
      </w:r>
      <w:r w:rsidRPr="006D06C6">
        <w:t>morbidity reviews to identify missed or delayed escalation</w:t>
      </w:r>
      <w:r w:rsidR="00271B89" w:rsidRPr="006D06C6">
        <w:t xml:space="preserve"> or insufficient response</w:t>
      </w:r>
    </w:p>
    <w:p w14:paraId="366386DD" w14:textId="022E9CF4" w:rsidR="00C55F12" w:rsidRDefault="00C55F12" w:rsidP="004535F8">
      <w:pPr>
        <w:pStyle w:val="Bulletsevidencesummary"/>
        <w:spacing w:after="60"/>
        <w:contextualSpacing w:val="0"/>
      </w:pPr>
      <w:r>
        <w:t xml:space="preserve">periodic surveys of staff attitudes and whānau experiences of using </w:t>
      </w:r>
      <w:r w:rsidR="00383A29">
        <w:t>the paediatric early warning system, including whānau escalation of concern</w:t>
      </w:r>
      <w:r>
        <w:t>.</w:t>
      </w:r>
    </w:p>
    <w:p w14:paraId="324F2AE2" w14:textId="7B0121B9" w:rsidR="00E03BCA" w:rsidRDefault="004F6575" w:rsidP="004535F8">
      <w:pPr>
        <w:pStyle w:val="Bulletsevidencesummary"/>
        <w:spacing w:after="60"/>
        <w:contextualSpacing w:val="0"/>
      </w:pPr>
      <w:r>
        <w:t xml:space="preserve">The effectiveness of the system should continue to be measured </w:t>
      </w:r>
      <w:r w:rsidR="005D1B72">
        <w:t xml:space="preserve">and reviewed </w:t>
      </w:r>
      <w:r>
        <w:t>a</w:t>
      </w:r>
      <w:r w:rsidR="00F74209">
        <w:t>s part of the sustainability of the project</w:t>
      </w:r>
      <w:r w:rsidR="00E03BCA">
        <w:t xml:space="preserve">, however ongoing data collection may be less frequent than during the implementation phase. </w:t>
      </w:r>
    </w:p>
    <w:p w14:paraId="2A6EA4A2" w14:textId="62F652F6" w:rsidR="00B868C8" w:rsidRDefault="009977F8" w:rsidP="004535F8">
      <w:pPr>
        <w:pStyle w:val="Bulletsevidencesummary"/>
      </w:pPr>
      <w:r>
        <w:t xml:space="preserve">If </w:t>
      </w:r>
      <w:r w:rsidR="004F5D46">
        <w:t xml:space="preserve">the measures show a trend away from </w:t>
      </w:r>
      <w:r w:rsidR="008A0529">
        <w:t>the benchmark set during the implementation phase</w:t>
      </w:r>
      <w:r w:rsidR="00224890">
        <w:t xml:space="preserve">, the clinical governance committee has a responsibility to understand the reasons for this and </w:t>
      </w:r>
      <w:r w:rsidR="00B868C8">
        <w:t xml:space="preserve">to implement a plan to address it. </w:t>
      </w:r>
    </w:p>
    <w:p w14:paraId="7F84B070" w14:textId="07DCDAED" w:rsidR="00E81951" w:rsidRDefault="00C55F12">
      <w:pPr>
        <w:pStyle w:val="Bodyevidencesummary"/>
        <w:rPr>
          <w:rFonts w:eastAsia="Arial"/>
          <w:b/>
          <w:i/>
        </w:rPr>
      </w:pPr>
      <w:r>
        <w:t xml:space="preserve">Refer to the </w:t>
      </w:r>
      <w:r w:rsidR="00511B1B">
        <w:t xml:space="preserve">PEWS </w:t>
      </w:r>
      <w:r w:rsidRPr="006D06C6">
        <w:rPr>
          <w:iCs/>
        </w:rPr>
        <w:t>measurement guidance</w:t>
      </w:r>
      <w:r>
        <w:t xml:space="preserve"> provided </w:t>
      </w:r>
      <w:r w:rsidR="00E81951">
        <w:t xml:space="preserve">by </w:t>
      </w:r>
      <w:r w:rsidR="00F566C0">
        <w:t xml:space="preserve">the </w:t>
      </w:r>
      <w:r w:rsidR="00893624">
        <w:t xml:space="preserve">Health Quality &amp; Safety </w:t>
      </w:r>
      <w:r w:rsidR="00F566C0">
        <w:t>Commission</w:t>
      </w:r>
      <w:r w:rsidR="00E81951">
        <w:t xml:space="preserve"> </w:t>
      </w:r>
      <w:r>
        <w:t xml:space="preserve">for </w:t>
      </w:r>
      <w:r w:rsidR="00BD53BC">
        <w:t xml:space="preserve">more </w:t>
      </w:r>
      <w:r w:rsidR="00511B1B">
        <w:t>information about</w:t>
      </w:r>
      <w:r>
        <w:t xml:space="preserve"> measures</w:t>
      </w:r>
      <w:r w:rsidR="00BD53BC">
        <w:t xml:space="preserve"> and</w:t>
      </w:r>
      <w:r>
        <w:t xml:space="preserve"> definitions.</w:t>
      </w:r>
    </w:p>
    <w:p w14:paraId="4633A16B" w14:textId="507CF88D" w:rsidR="00BD53BC" w:rsidRDefault="00B57B62">
      <w:pPr>
        <w:pStyle w:val="H3"/>
      </w:pPr>
      <w:r w:rsidRPr="000B38EB">
        <w:t>Clinical leadership</w:t>
      </w:r>
    </w:p>
    <w:p w14:paraId="1ABBF44F" w14:textId="77777777" w:rsidR="00D6471D" w:rsidRDefault="00D6471D">
      <w:pPr>
        <w:pStyle w:val="Bodyevidencesummary"/>
      </w:pPr>
      <w:r>
        <w:t xml:space="preserve">Clinical leadership from medicine, nursing and allied health is required for establishing and maintaining successful early warning systems. </w:t>
      </w:r>
    </w:p>
    <w:p w14:paraId="28D121E4" w14:textId="0A9D69E0" w:rsidR="00B57B62" w:rsidRDefault="00BD53BC">
      <w:pPr>
        <w:pStyle w:val="Bodyevidencesummary"/>
        <w:rPr>
          <w:rFonts w:eastAsia="Calibri"/>
        </w:rPr>
      </w:pPr>
      <w:r>
        <w:t>T</w:t>
      </w:r>
      <w:r w:rsidR="00B57B62">
        <w:t xml:space="preserve">he members </w:t>
      </w:r>
      <w:r w:rsidR="00D6471D">
        <w:t xml:space="preserve">of the paediatric clinical governance committee </w:t>
      </w:r>
      <w:r w:rsidR="00B57B62">
        <w:t xml:space="preserve">role-model the importance of early recognition and response to </w:t>
      </w:r>
      <w:r w:rsidR="00383A29">
        <w:t>paediatric</w:t>
      </w:r>
      <w:r w:rsidR="00B57B62">
        <w:t xml:space="preserve"> deterioration through their own clinical behaviour.</w:t>
      </w:r>
    </w:p>
    <w:p w14:paraId="29F9DC11" w14:textId="0E2D6484" w:rsidR="00C55F12" w:rsidRDefault="00B57B62">
      <w:pPr>
        <w:pStyle w:val="Bodyevidencesummary"/>
      </w:pPr>
      <w:r>
        <w:t>Responsibilities</w:t>
      </w:r>
      <w:r w:rsidR="00C55F12">
        <w:t xml:space="preserve"> of clinical leaders may include: </w:t>
      </w:r>
    </w:p>
    <w:p w14:paraId="717C529D" w14:textId="11AF26DA" w:rsidR="00C55F12" w:rsidRPr="006D06C6" w:rsidRDefault="00C55F12">
      <w:pPr>
        <w:pStyle w:val="Bodyevidencesummary"/>
        <w:numPr>
          <w:ilvl w:val="0"/>
          <w:numId w:val="6"/>
        </w:numPr>
        <w:spacing w:after="60"/>
        <w:ind w:left="357" w:hanging="357"/>
      </w:pPr>
      <w:r w:rsidRPr="006D06C6">
        <w:t xml:space="preserve">advocating for use of </w:t>
      </w:r>
      <w:r w:rsidR="00383A29" w:rsidRPr="006D06C6">
        <w:t>the paediatric early warning system</w:t>
      </w:r>
      <w:r w:rsidRPr="006D06C6">
        <w:t xml:space="preserve"> with colleagues</w:t>
      </w:r>
    </w:p>
    <w:p w14:paraId="497A3417" w14:textId="7286A1A4" w:rsidR="00C55F12" w:rsidRPr="006D06C6" w:rsidRDefault="00C55F12">
      <w:pPr>
        <w:pStyle w:val="Bodyevidencesummary"/>
        <w:numPr>
          <w:ilvl w:val="0"/>
          <w:numId w:val="6"/>
        </w:numPr>
        <w:spacing w:after="60"/>
        <w:ind w:left="357" w:hanging="357"/>
      </w:pPr>
      <w:r w:rsidRPr="006D06C6">
        <w:t xml:space="preserve">working with </w:t>
      </w:r>
      <w:r w:rsidR="001F7FBC" w:rsidRPr="006D06C6">
        <w:t xml:space="preserve">the </w:t>
      </w:r>
      <w:r w:rsidR="00D6471D" w:rsidRPr="006D06C6">
        <w:t xml:space="preserve">team responsible for </w:t>
      </w:r>
      <w:r w:rsidR="005F4245" w:rsidRPr="006D06C6">
        <w:t xml:space="preserve">Māori health outcomes and </w:t>
      </w:r>
      <w:r w:rsidRPr="006D06C6">
        <w:t xml:space="preserve">consumers to </w:t>
      </w:r>
      <w:r w:rsidR="002F520E">
        <w:br/>
      </w:r>
      <w:r w:rsidRPr="006D06C6">
        <w:t xml:space="preserve">co-design </w:t>
      </w:r>
      <w:r w:rsidR="00623D4B" w:rsidRPr="006D06C6">
        <w:t xml:space="preserve">local </w:t>
      </w:r>
      <w:r w:rsidRPr="006D06C6">
        <w:t xml:space="preserve">elements of </w:t>
      </w:r>
      <w:r w:rsidR="00383A29" w:rsidRPr="006D06C6">
        <w:t>the system</w:t>
      </w:r>
      <w:r w:rsidRPr="006D06C6">
        <w:t xml:space="preserve"> (for example</w:t>
      </w:r>
      <w:r w:rsidR="00D6471D" w:rsidRPr="006D06C6">
        <w:t>,</w:t>
      </w:r>
      <w:r w:rsidR="00383A29" w:rsidRPr="006D06C6">
        <w:t xml:space="preserve"> </w:t>
      </w:r>
      <w:r w:rsidRPr="006D06C6">
        <w:t>whānau escalation pathways</w:t>
      </w:r>
      <w:r w:rsidR="00383A29" w:rsidRPr="006D06C6">
        <w:t xml:space="preserve"> and links to the hospital Kōrero mai</w:t>
      </w:r>
      <w:r w:rsidR="00D6471D" w:rsidRPr="002F520E">
        <w:rPr>
          <w:vertAlign w:val="superscript"/>
        </w:rPr>
        <w:footnoteReference w:id="14"/>
      </w:r>
      <w:r w:rsidR="00383A29" w:rsidRPr="006D06C6">
        <w:t xml:space="preserve"> process</w:t>
      </w:r>
      <w:r w:rsidRPr="006D06C6">
        <w:t>)</w:t>
      </w:r>
    </w:p>
    <w:p w14:paraId="702D3549" w14:textId="26D5647F" w:rsidR="00C55F12" w:rsidRPr="006D06C6" w:rsidRDefault="00C55F12">
      <w:pPr>
        <w:pStyle w:val="Bodyevidencesummary"/>
        <w:numPr>
          <w:ilvl w:val="0"/>
          <w:numId w:val="6"/>
        </w:numPr>
        <w:spacing w:after="60"/>
        <w:ind w:left="357" w:hanging="357"/>
      </w:pPr>
      <w:r w:rsidRPr="006D06C6">
        <w:t xml:space="preserve">collaborating with colleagues with expertise in </w:t>
      </w:r>
      <w:r w:rsidR="005F4245" w:rsidRPr="006D06C6">
        <w:t xml:space="preserve">Māori health, </w:t>
      </w:r>
      <w:r w:rsidRPr="006D06C6">
        <w:t xml:space="preserve">patient safety and quality improvement to design processes, </w:t>
      </w:r>
      <w:proofErr w:type="gramStart"/>
      <w:r w:rsidRPr="006D06C6">
        <w:t>policies</w:t>
      </w:r>
      <w:proofErr w:type="gramEnd"/>
      <w:r w:rsidRPr="006D06C6">
        <w:t xml:space="preserve"> and improvements to </w:t>
      </w:r>
      <w:r w:rsidR="00383A29" w:rsidRPr="006D06C6">
        <w:t xml:space="preserve">the </w:t>
      </w:r>
      <w:r w:rsidR="009510D1" w:rsidRPr="006D06C6">
        <w:t xml:space="preserve">local </w:t>
      </w:r>
      <w:r w:rsidR="00383A29" w:rsidRPr="006D06C6">
        <w:t>system</w:t>
      </w:r>
    </w:p>
    <w:p w14:paraId="1162370C" w14:textId="49F7ABF4" w:rsidR="00C55F12" w:rsidRPr="006D06C6" w:rsidRDefault="00C55F12">
      <w:pPr>
        <w:pStyle w:val="Bodyevidencesummary"/>
        <w:numPr>
          <w:ilvl w:val="0"/>
          <w:numId w:val="6"/>
        </w:numPr>
        <w:spacing w:after="60"/>
        <w:ind w:left="357" w:hanging="357"/>
      </w:pPr>
      <w:r w:rsidRPr="006D06C6">
        <w:t xml:space="preserve">providing or seeking expert clinical advice to inform </w:t>
      </w:r>
      <w:r w:rsidR="00B57B62" w:rsidRPr="006D06C6">
        <w:t>case</w:t>
      </w:r>
      <w:r w:rsidRPr="006D06C6">
        <w:t xml:space="preserve"> investigations involving failures to recognise or respond to deterioration</w:t>
      </w:r>
    </w:p>
    <w:p w14:paraId="02EEA63E" w14:textId="17C88854" w:rsidR="00BB041F" w:rsidRPr="00BA6C3A" w:rsidRDefault="00C55F12">
      <w:pPr>
        <w:pStyle w:val="Bulletsevidencesummary"/>
        <w:rPr>
          <w:rFonts w:eastAsia="Arial"/>
          <w:b/>
          <w:i/>
        </w:rPr>
      </w:pPr>
      <w:r>
        <w:t xml:space="preserve">advising on the content of education about topics such as vital sign and </w:t>
      </w:r>
      <w:r w:rsidR="00383A29">
        <w:t>paediatric</w:t>
      </w:r>
      <w:r>
        <w:t xml:space="preserve"> early warning score measurement and documentation, escalation of care, </w:t>
      </w:r>
      <w:proofErr w:type="gramStart"/>
      <w:r w:rsidR="00383A29">
        <w:t>assessment</w:t>
      </w:r>
      <w:proofErr w:type="gramEnd"/>
      <w:r>
        <w:t xml:space="preserve"> and care of </w:t>
      </w:r>
      <w:r w:rsidR="00383A29">
        <w:t xml:space="preserve">a </w:t>
      </w:r>
      <w:r w:rsidR="00C044CF">
        <w:t xml:space="preserve">tamariki </w:t>
      </w:r>
      <w:r>
        <w:t>wh</w:t>
      </w:r>
      <w:r w:rsidR="00383A29">
        <w:t>en</w:t>
      </w:r>
      <w:r>
        <w:t xml:space="preserve"> </w:t>
      </w:r>
      <w:r w:rsidR="009510D1">
        <w:t xml:space="preserve">their </w:t>
      </w:r>
      <w:r>
        <w:t xml:space="preserve">condition deteriorates, teamwork, </w:t>
      </w:r>
      <w:r w:rsidR="00697F02">
        <w:t>handover</w:t>
      </w:r>
      <w:r>
        <w:t xml:space="preserve"> and communication.</w:t>
      </w:r>
    </w:p>
    <w:p w14:paraId="6FD45FFB" w14:textId="77777777" w:rsidR="007F0CAE" w:rsidRDefault="007F0CAE">
      <w:pPr>
        <w:pStyle w:val="H3"/>
      </w:pPr>
    </w:p>
    <w:p w14:paraId="613489EE" w14:textId="6943F9D5" w:rsidR="00BD53BC" w:rsidRDefault="00C55F12">
      <w:pPr>
        <w:pStyle w:val="H3"/>
      </w:pPr>
      <w:r w:rsidRPr="000B38EB">
        <w:lastRenderedPageBreak/>
        <w:t>Day-to-day management</w:t>
      </w:r>
    </w:p>
    <w:p w14:paraId="5E91F0D8" w14:textId="32B5AAF3" w:rsidR="000B38EB" w:rsidRDefault="00BD53BC" w:rsidP="004535F8">
      <w:r>
        <w:t>T</w:t>
      </w:r>
      <w:r w:rsidR="00B57B62">
        <w:t xml:space="preserve">he </w:t>
      </w:r>
      <w:r w:rsidR="00D6471D">
        <w:rPr>
          <w:rFonts w:eastAsia="Arial"/>
        </w:rPr>
        <w:t xml:space="preserve">paediatric </w:t>
      </w:r>
      <w:r w:rsidR="00B57B62">
        <w:t xml:space="preserve">clinical governance committee </w:t>
      </w:r>
      <w:r w:rsidR="000F55A6">
        <w:t>is responsible for ensuring</w:t>
      </w:r>
      <w:r w:rsidR="00B57B62">
        <w:t xml:space="preserve"> </w:t>
      </w:r>
      <w:r w:rsidR="002F520E">
        <w:t>the</w:t>
      </w:r>
      <w:r w:rsidR="00B57B62">
        <w:t xml:space="preserve"> day-to-day management</w:t>
      </w:r>
      <w:r w:rsidR="00C55F12">
        <w:t xml:space="preserve"> of </w:t>
      </w:r>
      <w:r w:rsidR="00B57B62">
        <w:t xml:space="preserve">the </w:t>
      </w:r>
      <w:r w:rsidR="00383A29">
        <w:t xml:space="preserve">paediatric early warning system </w:t>
      </w:r>
      <w:r w:rsidR="00B57B62">
        <w:t>is</w:t>
      </w:r>
      <w:r w:rsidR="00C55F12">
        <w:t xml:space="preserve"> allocated to an identified person (or people) </w:t>
      </w:r>
      <w:r w:rsidR="000F55A6">
        <w:t>with</w:t>
      </w:r>
      <w:r w:rsidR="00C55F12">
        <w:t xml:space="preserve"> the relevant skills, </w:t>
      </w:r>
      <w:proofErr w:type="gramStart"/>
      <w:r w:rsidR="00697F02">
        <w:t>experience</w:t>
      </w:r>
      <w:proofErr w:type="gramEnd"/>
      <w:r w:rsidR="00C55F12">
        <w:t xml:space="preserve"> and delegations to </w:t>
      </w:r>
      <w:r w:rsidR="000F55A6">
        <w:t xml:space="preserve">manage </w:t>
      </w:r>
      <w:r w:rsidR="00C55F12">
        <w:t xml:space="preserve">operational requirements. This may be a </w:t>
      </w:r>
      <w:r w:rsidR="00697F02">
        <w:t>specifically established</w:t>
      </w:r>
      <w:r w:rsidR="00C55F12">
        <w:t xml:space="preserve"> role in large hospitals or incorporated into existing roles in smaller hospit</w:t>
      </w:r>
      <w:r w:rsidR="000B38EB">
        <w:t xml:space="preserve">als. </w:t>
      </w:r>
    </w:p>
    <w:p w14:paraId="46374A1B" w14:textId="1C83895B" w:rsidR="00C55F12" w:rsidRDefault="00C55F12" w:rsidP="004535F8">
      <w:r>
        <w:t xml:space="preserve">Responsibilities of the </w:t>
      </w:r>
      <w:r w:rsidR="00383A29">
        <w:t xml:space="preserve">paediatric </w:t>
      </w:r>
      <w:r>
        <w:t>operational leader</w:t>
      </w:r>
      <w:r w:rsidR="00B57B62">
        <w:t>(s)</w:t>
      </w:r>
      <w:r>
        <w:t xml:space="preserve"> include coordination and oversight of:</w:t>
      </w:r>
    </w:p>
    <w:p w14:paraId="5222CE8A" w14:textId="038B4573" w:rsidR="00C55F12" w:rsidRPr="006D06C6" w:rsidRDefault="00C55F12">
      <w:pPr>
        <w:pStyle w:val="Bodyevidencesummary"/>
        <w:numPr>
          <w:ilvl w:val="0"/>
          <w:numId w:val="6"/>
        </w:numPr>
        <w:spacing w:after="60"/>
        <w:ind w:left="357" w:hanging="357"/>
      </w:pPr>
      <w:r w:rsidRPr="006D06C6">
        <w:t>managing specialist responders (for example</w:t>
      </w:r>
      <w:r w:rsidR="000F55A6" w:rsidRPr="006D06C6">
        <w:t>,</w:t>
      </w:r>
      <w:r w:rsidRPr="006D06C6">
        <w:t xml:space="preserve"> intensive care outreach nurses</w:t>
      </w:r>
      <w:r w:rsidR="00623D4B" w:rsidRPr="006D06C6">
        <w:t xml:space="preserve">, </w:t>
      </w:r>
      <w:r w:rsidR="00F1233A" w:rsidRPr="006D06C6">
        <w:t>patient-at-risk (</w:t>
      </w:r>
      <w:r w:rsidR="00623D4B" w:rsidRPr="006D06C6">
        <w:t>PAR</w:t>
      </w:r>
      <w:r w:rsidR="00F1233A" w:rsidRPr="006D06C6">
        <w:t>)</w:t>
      </w:r>
      <w:r w:rsidR="00623D4B" w:rsidRPr="006D06C6">
        <w:t xml:space="preserve"> teams</w:t>
      </w:r>
      <w:r w:rsidRPr="006D06C6">
        <w:t xml:space="preserve"> or other senior medical and nursing staff) </w:t>
      </w:r>
    </w:p>
    <w:p w14:paraId="5E1DCAF5" w14:textId="7431D44B" w:rsidR="0027458C" w:rsidRPr="006D06C6" w:rsidRDefault="007F1FD8">
      <w:pPr>
        <w:pStyle w:val="Bodyevidencesummary"/>
        <w:numPr>
          <w:ilvl w:val="0"/>
          <w:numId w:val="6"/>
        </w:numPr>
        <w:spacing w:after="60"/>
        <w:ind w:left="357" w:hanging="357"/>
      </w:pPr>
      <w:r>
        <w:t xml:space="preserve">availability of staff education </w:t>
      </w:r>
      <w:r w:rsidR="00A10FC2">
        <w:t>about</w:t>
      </w:r>
      <w:r>
        <w:t xml:space="preserve"> the recognition and response </w:t>
      </w:r>
      <w:r w:rsidR="009356AE">
        <w:t>to the</w:t>
      </w:r>
      <w:r>
        <w:t xml:space="preserve"> deteriora</w:t>
      </w:r>
      <w:r w:rsidR="00A10FC2">
        <w:t>t</w:t>
      </w:r>
      <w:r w:rsidR="009356AE">
        <w:t xml:space="preserve">ing </w:t>
      </w:r>
      <w:r w:rsidR="00C044CF">
        <w:t xml:space="preserve">tamariki </w:t>
      </w:r>
    </w:p>
    <w:p w14:paraId="54B0EA26" w14:textId="030AF503" w:rsidR="00C55F12" w:rsidRPr="006D06C6" w:rsidRDefault="00C55F12">
      <w:pPr>
        <w:pStyle w:val="Bodyevidencesummary"/>
        <w:numPr>
          <w:ilvl w:val="0"/>
          <w:numId w:val="6"/>
        </w:numPr>
        <w:spacing w:after="60"/>
        <w:ind w:left="357" w:hanging="357"/>
      </w:pPr>
      <w:r w:rsidRPr="006D06C6">
        <w:t>data collection and reporting</w:t>
      </w:r>
      <w:r w:rsidR="00B57B62" w:rsidRPr="006D06C6">
        <w:t xml:space="preserve"> (or allocation of same)</w:t>
      </w:r>
    </w:p>
    <w:p w14:paraId="2213A480" w14:textId="77777777" w:rsidR="00C55F12" w:rsidRPr="006D06C6" w:rsidRDefault="00C55F12">
      <w:pPr>
        <w:pStyle w:val="Bodyevidencesummary"/>
        <w:numPr>
          <w:ilvl w:val="0"/>
          <w:numId w:val="6"/>
        </w:numPr>
        <w:spacing w:after="60"/>
        <w:ind w:left="357" w:hanging="357"/>
      </w:pPr>
      <w:r w:rsidRPr="006D06C6">
        <w:t>policy and process implementation</w:t>
      </w:r>
    </w:p>
    <w:p w14:paraId="12614965" w14:textId="6DBC4BAC" w:rsidR="00F64FD1" w:rsidRPr="006D06C6" w:rsidRDefault="00C55F12" w:rsidP="004535F8">
      <w:pPr>
        <w:pStyle w:val="Bodyevidencesummary"/>
        <w:numPr>
          <w:ilvl w:val="0"/>
          <w:numId w:val="6"/>
        </w:numPr>
      </w:pPr>
      <w:r w:rsidRPr="006D06C6">
        <w:t>managing day-to-day process issues.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4FD1" w:rsidRPr="00EB359F" w14:paraId="2EE1604B" w14:textId="77777777" w:rsidTr="004535F8">
        <w:tc>
          <w:tcPr>
            <w:tcW w:w="9016" w:type="dxa"/>
          </w:tcPr>
          <w:p w14:paraId="7F7B0E52" w14:textId="1ABD43EC" w:rsidR="00F64FD1" w:rsidRPr="00EB359F" w:rsidRDefault="00D60D7A" w:rsidP="004535F8">
            <w:pPr>
              <w:pStyle w:val="Bulletsevidencesummary"/>
              <w:numPr>
                <w:ilvl w:val="0"/>
                <w:numId w:val="0"/>
              </w:numPr>
              <w:spacing w:before="120"/>
              <w:rPr>
                <w:rFonts w:eastAsia="Cambria"/>
                <w:sz w:val="24"/>
              </w:rPr>
            </w:pPr>
            <w:bookmarkStart w:id="1" w:name="_Hlk82617174"/>
            <w:r>
              <w:t>This d</w:t>
            </w:r>
            <w:r w:rsidR="00F64FD1">
              <w:t xml:space="preserve">ocument </w:t>
            </w:r>
            <w:r>
              <w:t xml:space="preserve">was </w:t>
            </w:r>
            <w:r w:rsidR="00F64FD1">
              <w:t>p</w:t>
            </w:r>
            <w:r w:rsidR="00F64FD1" w:rsidRPr="00EB359F">
              <w:t xml:space="preserve">ublished by the Health Quality &amp; Safety Commission in </w:t>
            </w:r>
            <w:r w:rsidR="00BE5E16">
              <w:t>October 2022.</w:t>
            </w:r>
            <w:r w:rsidR="00F64FD1" w:rsidRPr="00EB359F">
              <w:t xml:space="preserve"> </w:t>
            </w:r>
          </w:p>
        </w:tc>
      </w:tr>
    </w:tbl>
    <w:p w14:paraId="517FCCA9" w14:textId="6BAFF56D" w:rsidR="00F64FD1" w:rsidRPr="006D06C6" w:rsidRDefault="001B5B54" w:rsidP="004535F8">
      <w:pPr>
        <w:pStyle w:val="Bulletsevidencesummary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6F71B1" wp14:editId="63D3C225">
            <wp:simplePos x="0" y="0"/>
            <wp:positionH relativeFrom="margin">
              <wp:posOffset>2271644</wp:posOffset>
            </wp:positionH>
            <wp:positionV relativeFrom="paragraph">
              <wp:posOffset>72142</wp:posOffset>
            </wp:positionV>
            <wp:extent cx="1183792" cy="4469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792" cy="446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sectPr w:rsidR="00F64FD1" w:rsidRPr="006D06C6" w:rsidSect="00190C5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28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7075" w14:textId="77777777" w:rsidR="000861AB" w:rsidRDefault="000861AB" w:rsidP="004535F8">
      <w:r>
        <w:separator/>
      </w:r>
    </w:p>
  </w:endnote>
  <w:endnote w:type="continuationSeparator" w:id="0">
    <w:p w14:paraId="56FD4F93" w14:textId="77777777" w:rsidR="000861AB" w:rsidRDefault="000861AB" w:rsidP="004535F8">
      <w:r>
        <w:continuationSeparator/>
      </w:r>
    </w:p>
  </w:endnote>
  <w:endnote w:type="continuationNotice" w:id="1">
    <w:p w14:paraId="69435351" w14:textId="77777777" w:rsidR="000861AB" w:rsidRDefault="000861AB" w:rsidP="00453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1082052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74D327F" w14:textId="4341EFC5" w:rsidR="00C55F12" w:rsidRPr="004535F8" w:rsidRDefault="00383A29" w:rsidP="004535F8">
            <w:pPr>
              <w:pStyle w:val="Footer"/>
              <w:jc w:val="center"/>
              <w:rPr>
                <w:sz w:val="20"/>
                <w:szCs w:val="20"/>
              </w:rPr>
            </w:pPr>
            <w:r w:rsidRPr="004535F8">
              <w:rPr>
                <w:sz w:val="20"/>
                <w:szCs w:val="20"/>
              </w:rPr>
              <w:t xml:space="preserve">Paediatric early warning system </w:t>
            </w:r>
            <w:r w:rsidR="001D159F" w:rsidRPr="004535F8">
              <w:rPr>
                <w:sz w:val="20"/>
                <w:szCs w:val="20"/>
              </w:rPr>
              <w:t>–</w:t>
            </w:r>
            <w:r w:rsidR="00C55F12" w:rsidRPr="004535F8">
              <w:rPr>
                <w:sz w:val="20"/>
                <w:szCs w:val="20"/>
              </w:rPr>
              <w:t xml:space="preserve"> clinical governance recommendations</w:t>
            </w:r>
            <w:r w:rsidR="009922F7" w:rsidRPr="004535F8">
              <w:rPr>
                <w:sz w:val="20"/>
                <w:szCs w:val="20"/>
              </w:rPr>
              <w:br/>
            </w:r>
            <w:r w:rsidR="00C55F12" w:rsidRPr="004535F8">
              <w:rPr>
                <w:sz w:val="20"/>
                <w:szCs w:val="20"/>
              </w:rPr>
              <w:t xml:space="preserve">page </w:t>
            </w:r>
            <w:r w:rsidR="00C55F12" w:rsidRPr="004535F8">
              <w:rPr>
                <w:bCs/>
                <w:sz w:val="20"/>
                <w:szCs w:val="20"/>
              </w:rPr>
              <w:fldChar w:fldCharType="begin"/>
            </w:r>
            <w:r w:rsidR="00C55F12" w:rsidRPr="004535F8">
              <w:rPr>
                <w:bCs/>
                <w:sz w:val="20"/>
                <w:szCs w:val="20"/>
              </w:rPr>
              <w:instrText xml:space="preserve"> PAGE </w:instrText>
            </w:r>
            <w:r w:rsidR="00C55F12" w:rsidRPr="004535F8">
              <w:rPr>
                <w:bCs/>
                <w:sz w:val="20"/>
                <w:szCs w:val="20"/>
              </w:rPr>
              <w:fldChar w:fldCharType="separate"/>
            </w:r>
            <w:r w:rsidR="00C55F12" w:rsidRPr="004535F8">
              <w:rPr>
                <w:bCs/>
                <w:noProof/>
                <w:sz w:val="20"/>
                <w:szCs w:val="20"/>
              </w:rPr>
              <w:t>2</w:t>
            </w:r>
            <w:r w:rsidR="00C55F12" w:rsidRPr="004535F8">
              <w:rPr>
                <w:bCs/>
                <w:sz w:val="20"/>
                <w:szCs w:val="20"/>
              </w:rPr>
              <w:fldChar w:fldCharType="end"/>
            </w:r>
            <w:r w:rsidR="00C55F12" w:rsidRPr="004535F8">
              <w:rPr>
                <w:sz w:val="20"/>
                <w:szCs w:val="20"/>
              </w:rPr>
              <w:t xml:space="preserve"> of </w:t>
            </w:r>
            <w:r w:rsidR="00C55F12" w:rsidRPr="004535F8">
              <w:rPr>
                <w:bCs/>
                <w:sz w:val="20"/>
                <w:szCs w:val="20"/>
              </w:rPr>
              <w:fldChar w:fldCharType="begin"/>
            </w:r>
            <w:r w:rsidR="00C55F12" w:rsidRPr="004535F8">
              <w:rPr>
                <w:bCs/>
                <w:sz w:val="20"/>
                <w:szCs w:val="20"/>
              </w:rPr>
              <w:instrText xml:space="preserve"> NUMPAGES  </w:instrText>
            </w:r>
            <w:r w:rsidR="00C55F12" w:rsidRPr="004535F8">
              <w:rPr>
                <w:bCs/>
                <w:sz w:val="20"/>
                <w:szCs w:val="20"/>
              </w:rPr>
              <w:fldChar w:fldCharType="separate"/>
            </w:r>
            <w:r w:rsidR="00C55F12" w:rsidRPr="004535F8">
              <w:rPr>
                <w:bCs/>
                <w:noProof/>
                <w:sz w:val="20"/>
                <w:szCs w:val="20"/>
              </w:rPr>
              <w:t>2</w:t>
            </w:r>
            <w:r w:rsidR="00C55F12" w:rsidRPr="004535F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840B" w14:textId="1F806AF7" w:rsidR="000B38EB" w:rsidRPr="004535F8" w:rsidRDefault="00383A29" w:rsidP="004535F8">
    <w:pPr>
      <w:pStyle w:val="Footer"/>
      <w:jc w:val="center"/>
      <w:rPr>
        <w:sz w:val="20"/>
        <w:szCs w:val="20"/>
      </w:rPr>
    </w:pPr>
    <w:r w:rsidRPr="004535F8">
      <w:rPr>
        <w:sz w:val="20"/>
        <w:szCs w:val="20"/>
      </w:rPr>
      <w:t xml:space="preserve">Paediatric early warning system </w:t>
    </w:r>
    <w:r w:rsidR="00190C5F" w:rsidRPr="004535F8">
      <w:rPr>
        <w:sz w:val="20"/>
        <w:szCs w:val="20"/>
      </w:rPr>
      <w:t>–</w:t>
    </w:r>
    <w:r w:rsidR="000B38EB" w:rsidRPr="004535F8">
      <w:rPr>
        <w:sz w:val="20"/>
        <w:szCs w:val="20"/>
      </w:rPr>
      <w:t xml:space="preserve"> clinical governance recommendations </w:t>
    </w:r>
    <w:sdt>
      <w:sdtPr>
        <w:rPr>
          <w:sz w:val="20"/>
          <w:szCs w:val="20"/>
        </w:rPr>
        <w:id w:val="1067614816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2096198838"/>
            <w:docPartObj>
              <w:docPartGallery w:val="Page Numbers (Top of Page)"/>
              <w:docPartUnique/>
            </w:docPartObj>
          </w:sdtPr>
          <w:sdtContent>
            <w:r w:rsidR="0019754D" w:rsidRPr="004535F8">
              <w:rPr>
                <w:sz w:val="20"/>
                <w:szCs w:val="20"/>
              </w:rPr>
              <w:br/>
            </w:r>
            <w:r w:rsidR="000B38EB" w:rsidRPr="004535F8">
              <w:rPr>
                <w:sz w:val="20"/>
                <w:szCs w:val="20"/>
              </w:rPr>
              <w:t xml:space="preserve">page </w:t>
            </w:r>
            <w:r w:rsidR="000B38EB" w:rsidRPr="004535F8">
              <w:rPr>
                <w:bCs/>
                <w:sz w:val="20"/>
                <w:szCs w:val="20"/>
              </w:rPr>
              <w:fldChar w:fldCharType="begin"/>
            </w:r>
            <w:r w:rsidR="000B38EB" w:rsidRPr="004535F8">
              <w:rPr>
                <w:bCs/>
                <w:sz w:val="20"/>
                <w:szCs w:val="20"/>
              </w:rPr>
              <w:instrText xml:space="preserve"> PAGE </w:instrText>
            </w:r>
            <w:r w:rsidR="000B38EB" w:rsidRPr="004535F8">
              <w:rPr>
                <w:bCs/>
                <w:sz w:val="20"/>
                <w:szCs w:val="20"/>
              </w:rPr>
              <w:fldChar w:fldCharType="separate"/>
            </w:r>
            <w:r w:rsidR="000B38EB" w:rsidRPr="004535F8">
              <w:rPr>
                <w:bCs/>
                <w:noProof/>
                <w:sz w:val="20"/>
                <w:szCs w:val="20"/>
              </w:rPr>
              <w:t>2</w:t>
            </w:r>
            <w:r w:rsidR="000B38EB" w:rsidRPr="004535F8">
              <w:rPr>
                <w:bCs/>
                <w:sz w:val="20"/>
                <w:szCs w:val="20"/>
              </w:rPr>
              <w:fldChar w:fldCharType="end"/>
            </w:r>
            <w:r w:rsidR="000B38EB" w:rsidRPr="004535F8">
              <w:rPr>
                <w:sz w:val="20"/>
                <w:szCs w:val="20"/>
              </w:rPr>
              <w:t xml:space="preserve"> of </w:t>
            </w:r>
            <w:r w:rsidR="000B38EB" w:rsidRPr="004535F8">
              <w:rPr>
                <w:bCs/>
                <w:sz w:val="20"/>
                <w:szCs w:val="20"/>
              </w:rPr>
              <w:fldChar w:fldCharType="begin"/>
            </w:r>
            <w:r w:rsidR="000B38EB" w:rsidRPr="004535F8">
              <w:rPr>
                <w:bCs/>
                <w:sz w:val="20"/>
                <w:szCs w:val="20"/>
              </w:rPr>
              <w:instrText xml:space="preserve"> NUMPAGES  </w:instrText>
            </w:r>
            <w:r w:rsidR="000B38EB" w:rsidRPr="004535F8">
              <w:rPr>
                <w:bCs/>
                <w:sz w:val="20"/>
                <w:szCs w:val="20"/>
              </w:rPr>
              <w:fldChar w:fldCharType="separate"/>
            </w:r>
            <w:r w:rsidR="000B38EB" w:rsidRPr="004535F8">
              <w:rPr>
                <w:bCs/>
                <w:noProof/>
                <w:sz w:val="20"/>
                <w:szCs w:val="20"/>
              </w:rPr>
              <w:t>2</w:t>
            </w:r>
            <w:r w:rsidR="000B38EB" w:rsidRPr="004535F8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C77E" w14:textId="77777777" w:rsidR="000861AB" w:rsidRDefault="000861AB" w:rsidP="004535F8">
      <w:r>
        <w:separator/>
      </w:r>
    </w:p>
  </w:footnote>
  <w:footnote w:type="continuationSeparator" w:id="0">
    <w:p w14:paraId="5AF872E1" w14:textId="77777777" w:rsidR="000861AB" w:rsidRDefault="000861AB" w:rsidP="004535F8">
      <w:r>
        <w:continuationSeparator/>
      </w:r>
    </w:p>
  </w:footnote>
  <w:footnote w:type="continuationNotice" w:id="1">
    <w:p w14:paraId="4D4D7D3D" w14:textId="77777777" w:rsidR="000861AB" w:rsidRDefault="000861AB" w:rsidP="004535F8"/>
  </w:footnote>
  <w:footnote w:id="2">
    <w:p w14:paraId="64A9B2C8" w14:textId="034AB4AD" w:rsidR="00651B0F" w:rsidRPr="004535F8" w:rsidRDefault="00651B0F" w:rsidP="004535F8">
      <w:pPr>
        <w:pStyle w:val="FootnoteText"/>
        <w:spacing w:after="40" w:line="240" w:lineRule="auto"/>
        <w:rPr>
          <w:sz w:val="18"/>
          <w:szCs w:val="18"/>
        </w:rPr>
      </w:pPr>
      <w:r w:rsidRPr="00467BEC">
        <w:rPr>
          <w:rStyle w:val="FootnoteReference"/>
          <w:sz w:val="18"/>
          <w:szCs w:val="18"/>
        </w:rPr>
        <w:footnoteRef/>
      </w:r>
      <w:r w:rsidRPr="004535F8">
        <w:rPr>
          <w:sz w:val="18"/>
          <w:szCs w:val="18"/>
        </w:rPr>
        <w:t xml:space="preserve"> </w:t>
      </w:r>
      <w:r w:rsidR="00AC27AA" w:rsidRPr="004535F8">
        <w:rPr>
          <w:sz w:val="18"/>
          <w:szCs w:val="18"/>
        </w:rPr>
        <w:t xml:space="preserve">Australian Commission on Safety and Quality in Health Care. </w:t>
      </w:r>
      <w:r w:rsidR="00190C5F" w:rsidRPr="004535F8">
        <w:rPr>
          <w:sz w:val="18"/>
          <w:szCs w:val="18"/>
        </w:rPr>
        <w:t xml:space="preserve">2012. </w:t>
      </w:r>
      <w:r w:rsidR="00AC27AA" w:rsidRPr="004535F8">
        <w:rPr>
          <w:i/>
          <w:iCs/>
          <w:sz w:val="18"/>
          <w:szCs w:val="18"/>
        </w:rPr>
        <w:t>National Safety and Quality Health Service Standards</w:t>
      </w:r>
      <w:r w:rsidR="00AC27AA" w:rsidRPr="004535F8">
        <w:rPr>
          <w:sz w:val="18"/>
          <w:szCs w:val="18"/>
        </w:rPr>
        <w:t xml:space="preserve"> (September 2012). Sydney: </w:t>
      </w:r>
      <w:r w:rsidR="00C75A44" w:rsidRPr="004535F8">
        <w:rPr>
          <w:sz w:val="18"/>
          <w:szCs w:val="18"/>
        </w:rPr>
        <w:t>Australian Commission on Safety and Quality in Health Care</w:t>
      </w:r>
      <w:r w:rsidR="00AC27AA" w:rsidRPr="004535F8">
        <w:rPr>
          <w:sz w:val="18"/>
          <w:szCs w:val="18"/>
        </w:rPr>
        <w:t>.</w:t>
      </w:r>
    </w:p>
  </w:footnote>
  <w:footnote w:id="3">
    <w:p w14:paraId="22448B3D" w14:textId="3E5B1F95" w:rsidR="00651B0F" w:rsidRPr="004535F8" w:rsidRDefault="00651B0F" w:rsidP="004535F8">
      <w:pPr>
        <w:pStyle w:val="FootnoteText"/>
        <w:spacing w:after="40" w:line="240" w:lineRule="auto"/>
        <w:rPr>
          <w:sz w:val="18"/>
          <w:szCs w:val="18"/>
        </w:rPr>
      </w:pPr>
      <w:r w:rsidRPr="00467BEC">
        <w:rPr>
          <w:rStyle w:val="FootnoteReference"/>
          <w:sz w:val="18"/>
          <w:szCs w:val="18"/>
        </w:rPr>
        <w:footnoteRef/>
      </w:r>
      <w:r w:rsidRPr="004535F8">
        <w:rPr>
          <w:sz w:val="18"/>
          <w:szCs w:val="18"/>
        </w:rPr>
        <w:t xml:space="preserve"> </w:t>
      </w:r>
      <w:r w:rsidR="00AC27AA" w:rsidRPr="004535F8">
        <w:rPr>
          <w:sz w:val="18"/>
          <w:szCs w:val="18"/>
        </w:rPr>
        <w:t>National Confidential Enquiry into Patient Outcome and Death.</w:t>
      </w:r>
      <w:r w:rsidR="00190C5F" w:rsidRPr="004535F8">
        <w:rPr>
          <w:sz w:val="18"/>
          <w:szCs w:val="18"/>
        </w:rPr>
        <w:t xml:space="preserve"> 2011.</w:t>
      </w:r>
      <w:r w:rsidR="00AC27AA" w:rsidRPr="004535F8">
        <w:rPr>
          <w:sz w:val="18"/>
          <w:szCs w:val="18"/>
        </w:rPr>
        <w:t xml:space="preserve"> </w:t>
      </w:r>
      <w:r w:rsidR="00AC27AA" w:rsidRPr="004535F8">
        <w:rPr>
          <w:i/>
          <w:iCs/>
          <w:sz w:val="18"/>
          <w:szCs w:val="18"/>
        </w:rPr>
        <w:t>Are we there yet? A review of organisational and clinical aspects of children's surgery.</w:t>
      </w:r>
      <w:r w:rsidR="00AC27AA" w:rsidRPr="004535F8">
        <w:rPr>
          <w:sz w:val="18"/>
          <w:szCs w:val="18"/>
        </w:rPr>
        <w:t xml:space="preserve"> London: </w:t>
      </w:r>
      <w:r w:rsidR="00C75A44" w:rsidRPr="004535F8">
        <w:rPr>
          <w:sz w:val="18"/>
          <w:szCs w:val="18"/>
        </w:rPr>
        <w:t>National Confidential Enquiry into Patient Outcome and Death</w:t>
      </w:r>
      <w:r w:rsidR="00AC27AA" w:rsidRPr="004535F8">
        <w:rPr>
          <w:sz w:val="18"/>
          <w:szCs w:val="18"/>
        </w:rPr>
        <w:t>.</w:t>
      </w:r>
    </w:p>
  </w:footnote>
  <w:footnote w:id="4">
    <w:p w14:paraId="11DA3D0F" w14:textId="48D7753D" w:rsidR="00651B0F" w:rsidRPr="004535F8" w:rsidRDefault="00651B0F" w:rsidP="004535F8">
      <w:pPr>
        <w:pStyle w:val="FootnoteText"/>
        <w:spacing w:after="40" w:line="240" w:lineRule="auto"/>
        <w:rPr>
          <w:sz w:val="18"/>
          <w:szCs w:val="18"/>
        </w:rPr>
      </w:pPr>
      <w:r w:rsidRPr="00467BEC">
        <w:rPr>
          <w:rStyle w:val="FootnoteReference"/>
          <w:sz w:val="18"/>
          <w:szCs w:val="18"/>
        </w:rPr>
        <w:footnoteRef/>
      </w:r>
      <w:r w:rsidRPr="004535F8">
        <w:rPr>
          <w:sz w:val="18"/>
          <w:szCs w:val="18"/>
        </w:rPr>
        <w:t xml:space="preserve"> </w:t>
      </w:r>
      <w:r w:rsidR="00AC27AA" w:rsidRPr="004535F8">
        <w:rPr>
          <w:sz w:val="18"/>
          <w:szCs w:val="18"/>
        </w:rPr>
        <w:t xml:space="preserve">Royal College of Paediatrics and Child Health. </w:t>
      </w:r>
      <w:r w:rsidR="00E0727B" w:rsidRPr="004535F8">
        <w:rPr>
          <w:sz w:val="18"/>
          <w:szCs w:val="18"/>
        </w:rPr>
        <w:t xml:space="preserve">2016. </w:t>
      </w:r>
      <w:r w:rsidR="00AC27AA" w:rsidRPr="004535F8">
        <w:rPr>
          <w:sz w:val="18"/>
          <w:szCs w:val="18"/>
        </w:rPr>
        <w:t>A safe system for recognising and responding to children at risk of deterioration. NHS Improvement.</w:t>
      </w:r>
    </w:p>
  </w:footnote>
  <w:footnote w:id="5">
    <w:p w14:paraId="2C730438" w14:textId="13AAC793" w:rsidR="00BD6927" w:rsidRPr="004535F8" w:rsidRDefault="00BD6927" w:rsidP="004535F8">
      <w:pPr>
        <w:pStyle w:val="FootnoteText"/>
        <w:spacing w:after="40" w:line="240" w:lineRule="auto"/>
        <w:rPr>
          <w:sz w:val="18"/>
          <w:szCs w:val="18"/>
        </w:rPr>
      </w:pPr>
      <w:r w:rsidRPr="00467BEC">
        <w:rPr>
          <w:rStyle w:val="FootnoteReference"/>
          <w:sz w:val="18"/>
          <w:szCs w:val="18"/>
        </w:rPr>
        <w:footnoteRef/>
      </w:r>
      <w:r w:rsidRPr="004535F8">
        <w:rPr>
          <w:sz w:val="18"/>
          <w:szCs w:val="18"/>
        </w:rPr>
        <w:t xml:space="preserve"> </w:t>
      </w:r>
      <w:r w:rsidR="00055252" w:rsidRPr="004535F8">
        <w:rPr>
          <w:sz w:val="18"/>
          <w:szCs w:val="18"/>
        </w:rPr>
        <w:t xml:space="preserve">Roland D, Tilwelee P, Fortune P, </w:t>
      </w:r>
      <w:r w:rsidR="00935341" w:rsidRPr="004535F8">
        <w:rPr>
          <w:sz w:val="18"/>
          <w:szCs w:val="18"/>
        </w:rPr>
        <w:t>et al</w:t>
      </w:r>
      <w:r w:rsidR="00055252" w:rsidRPr="004535F8">
        <w:rPr>
          <w:sz w:val="18"/>
          <w:szCs w:val="18"/>
        </w:rPr>
        <w:t>. 2021</w:t>
      </w:r>
      <w:r w:rsidR="00935341" w:rsidRPr="004535F8">
        <w:rPr>
          <w:sz w:val="18"/>
          <w:szCs w:val="18"/>
        </w:rPr>
        <w:t>.</w:t>
      </w:r>
      <w:r w:rsidR="00055252" w:rsidRPr="004535F8">
        <w:rPr>
          <w:sz w:val="18"/>
          <w:szCs w:val="18"/>
        </w:rPr>
        <w:t xml:space="preserve"> Case for change: a standardised inpatient paediatric early warning system in England. </w:t>
      </w:r>
      <w:r w:rsidR="00055252" w:rsidRPr="004535F8">
        <w:rPr>
          <w:i/>
          <w:iCs/>
          <w:sz w:val="18"/>
          <w:szCs w:val="18"/>
        </w:rPr>
        <w:t xml:space="preserve">Arch Dis Child-British Medical Journal </w:t>
      </w:r>
      <w:r w:rsidR="00055252" w:rsidRPr="004535F8">
        <w:rPr>
          <w:sz w:val="18"/>
          <w:szCs w:val="18"/>
        </w:rPr>
        <w:t>0:</w:t>
      </w:r>
      <w:r w:rsidR="00935341" w:rsidRPr="004535F8">
        <w:rPr>
          <w:sz w:val="18"/>
          <w:szCs w:val="18"/>
        </w:rPr>
        <w:t xml:space="preserve"> </w:t>
      </w:r>
      <w:r w:rsidR="00055252" w:rsidRPr="004535F8">
        <w:rPr>
          <w:sz w:val="18"/>
          <w:szCs w:val="18"/>
        </w:rPr>
        <w:t>1</w:t>
      </w:r>
      <w:r w:rsidR="00935341" w:rsidRPr="004535F8">
        <w:rPr>
          <w:sz w:val="18"/>
          <w:szCs w:val="18"/>
        </w:rPr>
        <w:t>–</w:t>
      </w:r>
      <w:r w:rsidR="00055252" w:rsidRPr="004535F8">
        <w:rPr>
          <w:sz w:val="18"/>
          <w:szCs w:val="18"/>
        </w:rPr>
        <w:t xml:space="preserve">4. </w:t>
      </w:r>
      <w:r w:rsidR="00935341" w:rsidRPr="004535F8">
        <w:rPr>
          <w:sz w:val="18"/>
          <w:szCs w:val="18"/>
        </w:rPr>
        <w:t>DOI</w:t>
      </w:r>
      <w:r w:rsidR="00055252" w:rsidRPr="004535F8">
        <w:rPr>
          <w:sz w:val="18"/>
          <w:szCs w:val="18"/>
        </w:rPr>
        <w:t>:10.1136/archdischild-2020-320466</w:t>
      </w:r>
      <w:r w:rsidR="00935341" w:rsidRPr="004535F8">
        <w:rPr>
          <w:sz w:val="18"/>
          <w:szCs w:val="18"/>
        </w:rPr>
        <w:t>.</w:t>
      </w:r>
    </w:p>
  </w:footnote>
  <w:footnote w:id="6">
    <w:p w14:paraId="0DDE495C" w14:textId="0B0A0C01" w:rsidR="00AC27AA" w:rsidRPr="004535F8" w:rsidRDefault="00AC27AA" w:rsidP="004535F8">
      <w:pPr>
        <w:pStyle w:val="FootnoteText"/>
        <w:spacing w:after="40" w:line="240" w:lineRule="auto"/>
        <w:rPr>
          <w:sz w:val="18"/>
          <w:szCs w:val="18"/>
        </w:rPr>
      </w:pPr>
      <w:r w:rsidRPr="00467BEC">
        <w:rPr>
          <w:rStyle w:val="FootnoteReference"/>
          <w:sz w:val="18"/>
          <w:szCs w:val="18"/>
        </w:rPr>
        <w:footnoteRef/>
      </w:r>
      <w:r w:rsidRPr="004535F8">
        <w:rPr>
          <w:sz w:val="18"/>
          <w:szCs w:val="18"/>
        </w:rPr>
        <w:t xml:space="preserve"> </w:t>
      </w:r>
      <w:proofErr w:type="spellStart"/>
      <w:r w:rsidRPr="004535F8">
        <w:rPr>
          <w:sz w:val="18"/>
          <w:szCs w:val="18"/>
        </w:rPr>
        <w:t>Tume</w:t>
      </w:r>
      <w:proofErr w:type="spellEnd"/>
      <w:r w:rsidRPr="004535F8">
        <w:rPr>
          <w:sz w:val="18"/>
          <w:szCs w:val="18"/>
        </w:rPr>
        <w:t xml:space="preserve"> L. </w:t>
      </w:r>
      <w:r w:rsidR="00E0727B" w:rsidRPr="004535F8">
        <w:rPr>
          <w:sz w:val="18"/>
          <w:szCs w:val="18"/>
        </w:rPr>
        <w:t xml:space="preserve">2007. </w:t>
      </w:r>
      <w:r w:rsidRPr="004535F8">
        <w:rPr>
          <w:sz w:val="18"/>
          <w:szCs w:val="18"/>
        </w:rPr>
        <w:t xml:space="preserve">The deterioration of children in ward areas in a specialist children’s hospital. </w:t>
      </w:r>
      <w:r w:rsidRPr="004535F8">
        <w:rPr>
          <w:i/>
          <w:iCs/>
          <w:sz w:val="18"/>
          <w:szCs w:val="18"/>
        </w:rPr>
        <w:t>Nursing in Critical Care</w:t>
      </w:r>
      <w:r w:rsidR="00E0727B" w:rsidRPr="004535F8">
        <w:rPr>
          <w:i/>
          <w:iCs/>
          <w:sz w:val="18"/>
          <w:szCs w:val="18"/>
        </w:rPr>
        <w:t xml:space="preserve"> </w:t>
      </w:r>
      <w:r w:rsidRPr="004535F8">
        <w:rPr>
          <w:sz w:val="18"/>
          <w:szCs w:val="18"/>
        </w:rPr>
        <w:t>12: 12</w:t>
      </w:r>
      <w:r w:rsidR="00E0727B" w:rsidRPr="004535F8">
        <w:rPr>
          <w:sz w:val="18"/>
          <w:szCs w:val="18"/>
        </w:rPr>
        <w:t>–1</w:t>
      </w:r>
      <w:r w:rsidRPr="004535F8">
        <w:rPr>
          <w:sz w:val="18"/>
          <w:szCs w:val="18"/>
        </w:rPr>
        <w:t>9.</w:t>
      </w:r>
    </w:p>
  </w:footnote>
  <w:footnote w:id="7">
    <w:p w14:paraId="3A3EB474" w14:textId="631A9044" w:rsidR="00AC27AA" w:rsidRPr="004535F8" w:rsidRDefault="00AC27AA" w:rsidP="004535F8">
      <w:pPr>
        <w:pStyle w:val="FootnoteText"/>
        <w:spacing w:after="40" w:line="240" w:lineRule="auto"/>
        <w:rPr>
          <w:sz w:val="18"/>
          <w:szCs w:val="18"/>
        </w:rPr>
      </w:pPr>
      <w:r w:rsidRPr="00467BEC">
        <w:rPr>
          <w:rStyle w:val="FootnoteReference"/>
          <w:sz w:val="18"/>
          <w:szCs w:val="18"/>
        </w:rPr>
        <w:footnoteRef/>
      </w:r>
      <w:r w:rsidRPr="004535F8">
        <w:rPr>
          <w:sz w:val="18"/>
          <w:szCs w:val="18"/>
        </w:rPr>
        <w:t xml:space="preserve"> Health and Disability Commissioner. </w:t>
      </w:r>
      <w:r w:rsidR="00E0727B" w:rsidRPr="004535F8">
        <w:rPr>
          <w:sz w:val="18"/>
          <w:szCs w:val="18"/>
        </w:rPr>
        <w:t xml:space="preserve">2009. </w:t>
      </w:r>
      <w:r w:rsidRPr="004535F8">
        <w:rPr>
          <w:sz w:val="18"/>
          <w:szCs w:val="18"/>
        </w:rPr>
        <w:t xml:space="preserve">Case 08HDC04311 Paediatric House Officer, Dr B; Bay of Plenty District Health Board. </w:t>
      </w:r>
      <w:r w:rsidR="00E0727B" w:rsidRPr="004535F8">
        <w:rPr>
          <w:sz w:val="18"/>
          <w:szCs w:val="18"/>
        </w:rPr>
        <w:t xml:space="preserve">Wellington: </w:t>
      </w:r>
      <w:r w:rsidR="005320A9" w:rsidRPr="004535F8">
        <w:rPr>
          <w:sz w:val="18"/>
          <w:szCs w:val="18"/>
        </w:rPr>
        <w:t>Health and Disability Commissioner</w:t>
      </w:r>
      <w:r w:rsidRPr="004535F8">
        <w:rPr>
          <w:sz w:val="18"/>
          <w:szCs w:val="18"/>
        </w:rPr>
        <w:t>.</w:t>
      </w:r>
    </w:p>
  </w:footnote>
  <w:footnote w:id="8">
    <w:p w14:paraId="447742B6" w14:textId="39F67A5E" w:rsidR="00AC27AA" w:rsidRPr="004535F8" w:rsidRDefault="00AC27AA" w:rsidP="004535F8">
      <w:pPr>
        <w:pStyle w:val="FootnoteText"/>
        <w:spacing w:after="40" w:line="240" w:lineRule="auto"/>
        <w:rPr>
          <w:sz w:val="18"/>
          <w:szCs w:val="18"/>
        </w:rPr>
      </w:pPr>
      <w:r w:rsidRPr="00467BEC">
        <w:rPr>
          <w:rStyle w:val="FootnoteReference"/>
          <w:sz w:val="18"/>
          <w:szCs w:val="18"/>
        </w:rPr>
        <w:footnoteRef/>
      </w:r>
      <w:r w:rsidRPr="004535F8">
        <w:rPr>
          <w:sz w:val="18"/>
          <w:szCs w:val="18"/>
        </w:rPr>
        <w:t xml:space="preserve"> Health and Disability Commissioner. </w:t>
      </w:r>
      <w:r w:rsidR="00E0727B" w:rsidRPr="004535F8">
        <w:rPr>
          <w:sz w:val="18"/>
          <w:szCs w:val="18"/>
        </w:rPr>
        <w:t xml:space="preserve">2015. </w:t>
      </w:r>
      <w:r w:rsidRPr="004535F8">
        <w:rPr>
          <w:sz w:val="18"/>
          <w:szCs w:val="18"/>
        </w:rPr>
        <w:t xml:space="preserve">Case 13HDC00482 Anaesthetist, Dr B; Registered Nurse, RN D; Registered Nurse, RN C; West Coast District Health Board. </w:t>
      </w:r>
      <w:r w:rsidR="00E0727B" w:rsidRPr="004535F8">
        <w:rPr>
          <w:sz w:val="18"/>
          <w:szCs w:val="18"/>
        </w:rPr>
        <w:t xml:space="preserve">Wellington: </w:t>
      </w:r>
      <w:r w:rsidR="005320A9" w:rsidRPr="004535F8">
        <w:rPr>
          <w:sz w:val="18"/>
          <w:szCs w:val="18"/>
        </w:rPr>
        <w:t>Health and Disability Commissioner</w:t>
      </w:r>
      <w:r w:rsidRPr="004535F8">
        <w:rPr>
          <w:sz w:val="18"/>
          <w:szCs w:val="18"/>
        </w:rPr>
        <w:t>.</w:t>
      </w:r>
    </w:p>
  </w:footnote>
  <w:footnote w:id="9">
    <w:p w14:paraId="0F61D0BE" w14:textId="72897677" w:rsidR="00055252" w:rsidRPr="004535F8" w:rsidRDefault="00055252" w:rsidP="004535F8">
      <w:pPr>
        <w:pStyle w:val="EndnoteText"/>
        <w:spacing w:after="40"/>
        <w:rPr>
          <w:sz w:val="18"/>
          <w:szCs w:val="18"/>
        </w:rPr>
      </w:pPr>
      <w:r w:rsidRPr="00467BEC">
        <w:rPr>
          <w:rStyle w:val="FootnoteReference"/>
          <w:sz w:val="18"/>
          <w:szCs w:val="18"/>
        </w:rPr>
        <w:footnoteRef/>
      </w:r>
      <w:r w:rsidR="00C47214" w:rsidRPr="004535F8">
        <w:rPr>
          <w:sz w:val="18"/>
          <w:szCs w:val="18"/>
        </w:rPr>
        <w:t xml:space="preserve"> </w:t>
      </w:r>
      <w:r w:rsidR="00A65B5B" w:rsidRPr="004535F8">
        <w:rPr>
          <w:sz w:val="18"/>
          <w:szCs w:val="18"/>
        </w:rPr>
        <w:t xml:space="preserve">Roland D, Powel C, Lloyd A, </w:t>
      </w:r>
      <w:r w:rsidR="00E21B7B" w:rsidRPr="004535F8">
        <w:rPr>
          <w:sz w:val="18"/>
          <w:szCs w:val="18"/>
        </w:rPr>
        <w:t>et al</w:t>
      </w:r>
      <w:r w:rsidR="00A65B5B" w:rsidRPr="004535F8">
        <w:rPr>
          <w:sz w:val="18"/>
          <w:szCs w:val="18"/>
        </w:rPr>
        <w:t>.</w:t>
      </w:r>
      <w:r w:rsidR="00E21B7B" w:rsidRPr="004535F8">
        <w:rPr>
          <w:sz w:val="18"/>
          <w:szCs w:val="18"/>
        </w:rPr>
        <w:t xml:space="preserve"> </w:t>
      </w:r>
      <w:r w:rsidR="00A65B5B" w:rsidRPr="004535F8">
        <w:rPr>
          <w:sz w:val="18"/>
          <w:szCs w:val="18"/>
        </w:rPr>
        <w:t>2022</w:t>
      </w:r>
      <w:r w:rsidR="00E21B7B" w:rsidRPr="004535F8">
        <w:rPr>
          <w:sz w:val="18"/>
          <w:szCs w:val="18"/>
        </w:rPr>
        <w:t>.</w:t>
      </w:r>
      <w:r w:rsidR="00A65B5B" w:rsidRPr="004535F8">
        <w:rPr>
          <w:sz w:val="18"/>
          <w:szCs w:val="18"/>
        </w:rPr>
        <w:t xml:space="preserve"> Paediatric early warning systems: not a simple answer to a complex question. </w:t>
      </w:r>
      <w:r w:rsidR="00A65B5B" w:rsidRPr="004535F8">
        <w:rPr>
          <w:i/>
          <w:iCs/>
          <w:sz w:val="18"/>
          <w:szCs w:val="18"/>
        </w:rPr>
        <w:t>Arch Dis Child-British Medical Journal</w:t>
      </w:r>
      <w:r w:rsidR="00A65B5B" w:rsidRPr="004535F8">
        <w:rPr>
          <w:sz w:val="18"/>
          <w:szCs w:val="18"/>
        </w:rPr>
        <w:t xml:space="preserve"> 0:</w:t>
      </w:r>
      <w:r w:rsidR="00E21B7B" w:rsidRPr="004535F8">
        <w:rPr>
          <w:sz w:val="18"/>
          <w:szCs w:val="18"/>
        </w:rPr>
        <w:t xml:space="preserve"> </w:t>
      </w:r>
      <w:r w:rsidR="00A65B5B" w:rsidRPr="004535F8">
        <w:rPr>
          <w:sz w:val="18"/>
          <w:szCs w:val="18"/>
        </w:rPr>
        <w:t>1</w:t>
      </w:r>
      <w:r w:rsidR="00E21B7B" w:rsidRPr="004535F8">
        <w:rPr>
          <w:sz w:val="18"/>
          <w:szCs w:val="18"/>
        </w:rPr>
        <w:t>–</w:t>
      </w:r>
      <w:r w:rsidR="00A65B5B" w:rsidRPr="004535F8">
        <w:rPr>
          <w:sz w:val="18"/>
          <w:szCs w:val="18"/>
        </w:rPr>
        <w:t xml:space="preserve">6. </w:t>
      </w:r>
      <w:r w:rsidR="00E21B7B" w:rsidRPr="004535F8">
        <w:rPr>
          <w:sz w:val="18"/>
          <w:szCs w:val="18"/>
        </w:rPr>
        <w:t>DOI</w:t>
      </w:r>
      <w:r w:rsidR="00A65B5B" w:rsidRPr="004535F8">
        <w:rPr>
          <w:sz w:val="18"/>
          <w:szCs w:val="18"/>
        </w:rPr>
        <w:t>:10.1136/archdischild-2022-323951</w:t>
      </w:r>
      <w:r w:rsidR="00E21B7B" w:rsidRPr="004535F8">
        <w:rPr>
          <w:sz w:val="18"/>
          <w:szCs w:val="18"/>
        </w:rPr>
        <w:t>.</w:t>
      </w:r>
    </w:p>
  </w:footnote>
  <w:footnote w:id="10">
    <w:p w14:paraId="43D4E6EB" w14:textId="5267061A" w:rsidR="00AC2544" w:rsidRPr="004535F8" w:rsidRDefault="00AC2544" w:rsidP="004535F8">
      <w:pPr>
        <w:pStyle w:val="FootnoteText"/>
        <w:spacing w:after="40" w:line="240" w:lineRule="auto"/>
        <w:rPr>
          <w:sz w:val="18"/>
          <w:szCs w:val="18"/>
        </w:rPr>
      </w:pPr>
      <w:r w:rsidRPr="004535F8">
        <w:rPr>
          <w:sz w:val="18"/>
          <w:szCs w:val="18"/>
          <w:vertAlign w:val="superscript"/>
        </w:rPr>
        <w:footnoteRef/>
      </w:r>
      <w:r w:rsidRPr="004535F8">
        <w:rPr>
          <w:sz w:val="18"/>
          <w:szCs w:val="18"/>
        </w:rPr>
        <w:t xml:space="preserve"> DeVita M, Hillman K, </w:t>
      </w:r>
      <w:proofErr w:type="spellStart"/>
      <w:r w:rsidRPr="004535F8">
        <w:rPr>
          <w:sz w:val="18"/>
          <w:szCs w:val="18"/>
        </w:rPr>
        <w:t>Bellomo</w:t>
      </w:r>
      <w:proofErr w:type="spellEnd"/>
      <w:r w:rsidRPr="004535F8">
        <w:rPr>
          <w:sz w:val="18"/>
          <w:szCs w:val="18"/>
        </w:rPr>
        <w:t xml:space="preserve"> R. 2010. Textbook of Rapid Response Systems: Concept and implementation. New York: Springer.</w:t>
      </w:r>
    </w:p>
  </w:footnote>
  <w:footnote w:id="11">
    <w:p w14:paraId="053AC92C" w14:textId="3796DE14" w:rsidR="00EB3503" w:rsidRPr="004535F8" w:rsidRDefault="00EB3503" w:rsidP="004535F8">
      <w:pPr>
        <w:pStyle w:val="FootnoteText"/>
        <w:spacing w:after="40" w:line="240" w:lineRule="auto"/>
        <w:rPr>
          <w:sz w:val="18"/>
          <w:szCs w:val="18"/>
        </w:rPr>
      </w:pPr>
      <w:r w:rsidRPr="00467BEC">
        <w:rPr>
          <w:rStyle w:val="FootnoteReference"/>
          <w:sz w:val="18"/>
          <w:szCs w:val="18"/>
        </w:rPr>
        <w:footnoteRef/>
      </w:r>
      <w:r w:rsidR="00A6109C" w:rsidRPr="004535F8">
        <w:rPr>
          <w:sz w:val="18"/>
          <w:szCs w:val="18"/>
        </w:rPr>
        <w:t xml:space="preserve"> Health Quality &amp; Safety Commission. 2017.</w:t>
      </w:r>
      <w:r w:rsidRPr="004535F8">
        <w:rPr>
          <w:sz w:val="18"/>
          <w:szCs w:val="18"/>
        </w:rPr>
        <w:t xml:space="preserve"> </w:t>
      </w:r>
      <w:r w:rsidRPr="004535F8">
        <w:rPr>
          <w:i/>
          <w:iCs/>
          <w:sz w:val="18"/>
          <w:szCs w:val="18"/>
        </w:rPr>
        <w:t xml:space="preserve">Clinical </w:t>
      </w:r>
      <w:r w:rsidR="00CD1259" w:rsidRPr="004535F8">
        <w:rPr>
          <w:i/>
          <w:iCs/>
          <w:sz w:val="18"/>
          <w:szCs w:val="18"/>
        </w:rPr>
        <w:t>g</w:t>
      </w:r>
      <w:r w:rsidRPr="004535F8">
        <w:rPr>
          <w:i/>
          <w:iCs/>
          <w:sz w:val="18"/>
          <w:szCs w:val="18"/>
        </w:rPr>
        <w:t xml:space="preserve">overnance </w:t>
      </w:r>
      <w:r w:rsidR="00AC2544" w:rsidRPr="004535F8">
        <w:rPr>
          <w:i/>
          <w:iCs/>
          <w:sz w:val="18"/>
          <w:szCs w:val="18"/>
        </w:rPr>
        <w:t>–</w:t>
      </w:r>
      <w:r w:rsidRPr="004535F8">
        <w:rPr>
          <w:i/>
          <w:iCs/>
          <w:sz w:val="18"/>
          <w:szCs w:val="18"/>
        </w:rPr>
        <w:t xml:space="preserve"> guidance for health and disability providers</w:t>
      </w:r>
      <w:r w:rsidRPr="004535F8">
        <w:rPr>
          <w:sz w:val="18"/>
          <w:szCs w:val="18"/>
        </w:rPr>
        <w:t xml:space="preserve">. </w:t>
      </w:r>
      <w:r w:rsidR="00CD1259" w:rsidRPr="004535F8">
        <w:rPr>
          <w:sz w:val="18"/>
          <w:szCs w:val="18"/>
        </w:rPr>
        <w:t xml:space="preserve">Wellington: Health Quality &amp; Safety Commission. URL: </w:t>
      </w:r>
      <w:hyperlink r:id="rId1" w:history="1">
        <w:r w:rsidR="009922F7" w:rsidRPr="00467BEC">
          <w:rPr>
            <w:rStyle w:val="Hyperlink"/>
            <w:sz w:val="18"/>
            <w:szCs w:val="18"/>
          </w:rPr>
          <w:t>www.hqsc.govt.nz/our-programmes/building-leadership-and-capability/publications-and-resources/publication/2851/</w:t>
        </w:r>
      </w:hyperlink>
      <w:r w:rsidR="00CD1259" w:rsidRPr="00467BEC">
        <w:rPr>
          <w:sz w:val="18"/>
          <w:szCs w:val="18"/>
        </w:rPr>
        <w:t>.</w:t>
      </w:r>
      <w:r w:rsidR="00CD1259" w:rsidRPr="004535F8">
        <w:rPr>
          <w:sz w:val="18"/>
          <w:szCs w:val="18"/>
        </w:rPr>
        <w:t xml:space="preserve"> </w:t>
      </w:r>
    </w:p>
  </w:footnote>
  <w:footnote w:id="12">
    <w:p w14:paraId="561EC7A0" w14:textId="03E3C19D" w:rsidR="00EB3503" w:rsidRPr="004535F8" w:rsidRDefault="00EB3503" w:rsidP="004535F8">
      <w:pPr>
        <w:spacing w:after="40" w:line="240" w:lineRule="auto"/>
        <w:rPr>
          <w:sz w:val="18"/>
          <w:szCs w:val="18"/>
        </w:rPr>
      </w:pPr>
      <w:r w:rsidRPr="004535F8">
        <w:rPr>
          <w:rStyle w:val="FootnoteReference"/>
          <w:sz w:val="18"/>
          <w:szCs w:val="18"/>
        </w:rPr>
        <w:footnoteRef/>
      </w:r>
      <w:r w:rsidRPr="004535F8">
        <w:rPr>
          <w:sz w:val="18"/>
          <w:szCs w:val="18"/>
        </w:rPr>
        <w:t xml:space="preserve"> </w:t>
      </w:r>
      <w:r w:rsidR="00A6109C" w:rsidRPr="004535F8">
        <w:rPr>
          <w:sz w:val="18"/>
          <w:szCs w:val="18"/>
        </w:rPr>
        <w:t xml:space="preserve">Health Quality &amp; Safety Commission. 2016. </w:t>
      </w:r>
      <w:r w:rsidRPr="004535F8">
        <w:rPr>
          <w:i/>
          <w:iCs/>
          <w:sz w:val="18"/>
          <w:szCs w:val="18"/>
        </w:rPr>
        <w:t>From knowledge to action: A framework for building quality and safety capability in the New Zealand health system.</w:t>
      </w:r>
      <w:r w:rsidRPr="004535F8">
        <w:rPr>
          <w:sz w:val="18"/>
          <w:szCs w:val="18"/>
        </w:rPr>
        <w:t xml:space="preserve"> </w:t>
      </w:r>
      <w:r w:rsidR="00D403F6" w:rsidRPr="004535F8">
        <w:rPr>
          <w:sz w:val="18"/>
          <w:szCs w:val="18"/>
        </w:rPr>
        <w:t xml:space="preserve">Wellington: Health Quality &amp; Safety Commission. URL: </w:t>
      </w:r>
      <w:hyperlink r:id="rId2" w:history="1">
        <w:r w:rsidR="009922F7" w:rsidRPr="004535F8">
          <w:rPr>
            <w:rStyle w:val="Hyperlink"/>
            <w:sz w:val="18"/>
            <w:szCs w:val="18"/>
          </w:rPr>
          <w:t>www.hqsc.govt.nz/our-programmes/building-leadership-and-capability/publications-and-resources/publication/2669/</w:t>
        </w:r>
      </w:hyperlink>
      <w:r w:rsidR="00D403F6" w:rsidRPr="004535F8">
        <w:rPr>
          <w:sz w:val="18"/>
          <w:szCs w:val="18"/>
        </w:rPr>
        <w:t xml:space="preserve">.  </w:t>
      </w:r>
    </w:p>
  </w:footnote>
  <w:footnote w:id="13">
    <w:p w14:paraId="7CEDAA34" w14:textId="1770D96A" w:rsidR="00ED622B" w:rsidRPr="004535F8" w:rsidRDefault="00ED622B" w:rsidP="004535F8">
      <w:pPr>
        <w:pStyle w:val="FootnoteText"/>
        <w:spacing w:after="40" w:line="240" w:lineRule="auto"/>
        <w:rPr>
          <w:sz w:val="18"/>
          <w:szCs w:val="18"/>
        </w:rPr>
      </w:pPr>
      <w:r w:rsidRPr="00467BEC">
        <w:rPr>
          <w:rStyle w:val="FootnoteReference"/>
          <w:sz w:val="18"/>
          <w:szCs w:val="18"/>
        </w:rPr>
        <w:footnoteRef/>
      </w:r>
      <w:r w:rsidRPr="004535F8">
        <w:rPr>
          <w:sz w:val="18"/>
          <w:szCs w:val="18"/>
        </w:rPr>
        <w:t xml:space="preserve"> Health Quality &amp; Safety Commission. </w:t>
      </w:r>
      <w:r w:rsidR="00036471" w:rsidRPr="004535F8">
        <w:rPr>
          <w:sz w:val="18"/>
          <w:szCs w:val="18"/>
        </w:rPr>
        <w:t>2021</w:t>
      </w:r>
      <w:r w:rsidRPr="004535F8">
        <w:rPr>
          <w:sz w:val="18"/>
          <w:szCs w:val="18"/>
        </w:rPr>
        <w:t xml:space="preserve">. </w:t>
      </w:r>
      <w:r w:rsidRPr="004535F8">
        <w:rPr>
          <w:i/>
          <w:iCs/>
          <w:sz w:val="18"/>
          <w:szCs w:val="18"/>
        </w:rPr>
        <w:t>Clinical governance recommendations for recognition and response systems.</w:t>
      </w:r>
      <w:r w:rsidRPr="004535F8">
        <w:rPr>
          <w:sz w:val="18"/>
          <w:szCs w:val="18"/>
        </w:rPr>
        <w:t xml:space="preserve"> </w:t>
      </w:r>
      <w:r w:rsidR="00BD53BC" w:rsidRPr="004535F8">
        <w:rPr>
          <w:sz w:val="18"/>
          <w:szCs w:val="18"/>
        </w:rPr>
        <w:t xml:space="preserve">Wellington: Health Quality &amp; Safety Commission. URL: </w:t>
      </w:r>
      <w:hyperlink r:id="rId3" w:history="1">
        <w:r w:rsidR="00BC3DC2" w:rsidRPr="00467BEC">
          <w:rPr>
            <w:rStyle w:val="Hyperlink"/>
            <w:sz w:val="18"/>
            <w:szCs w:val="18"/>
          </w:rPr>
          <w:t>www.hqsc.govt.nz/resources/resource-library/clinical-governance-recommendations-for-recognition-and-response-systems/</w:t>
        </w:r>
      </w:hyperlink>
      <w:r w:rsidR="00BC3DC2" w:rsidRPr="004535F8">
        <w:rPr>
          <w:sz w:val="18"/>
          <w:szCs w:val="18"/>
        </w:rPr>
        <w:t xml:space="preserve">. </w:t>
      </w:r>
    </w:p>
  </w:footnote>
  <w:footnote w:id="14">
    <w:p w14:paraId="5B5B4DEB" w14:textId="2365FFD0" w:rsidR="00D6471D" w:rsidRPr="00467BEC" w:rsidRDefault="00D6471D" w:rsidP="004535F8">
      <w:pPr>
        <w:pStyle w:val="FootnoteText"/>
        <w:spacing w:after="40" w:line="240" w:lineRule="auto"/>
        <w:rPr>
          <w:sz w:val="18"/>
          <w:szCs w:val="18"/>
          <w:lang w:val="mi-NZ"/>
        </w:rPr>
      </w:pPr>
      <w:r w:rsidRPr="00467BEC">
        <w:rPr>
          <w:rStyle w:val="FootnoteReference"/>
          <w:sz w:val="18"/>
          <w:szCs w:val="18"/>
        </w:rPr>
        <w:footnoteRef/>
      </w:r>
      <w:r w:rsidRPr="00467BEC">
        <w:rPr>
          <w:sz w:val="18"/>
          <w:szCs w:val="18"/>
        </w:rPr>
        <w:t xml:space="preserve"> See </w:t>
      </w:r>
      <w:hyperlink r:id="rId4" w:history="1">
        <w:r w:rsidR="00D976FD" w:rsidRPr="006B0CDF">
          <w:rPr>
            <w:rStyle w:val="Hyperlink"/>
            <w:sz w:val="18"/>
            <w:szCs w:val="18"/>
          </w:rPr>
          <w:t>www.hqsc.govt.nz/our-work/improved-service-delivery/patient-deterioration/workstreams/patient-family-and-whanau-escalation/</w:t>
        </w:r>
      </w:hyperlink>
      <w:r w:rsidR="00D976F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4348" w14:textId="796FD0B6" w:rsidR="00C55F12" w:rsidRDefault="00C55F12">
    <w:pPr>
      <w:pStyle w:val="Header"/>
    </w:pPr>
    <w:r>
      <w:rPr>
        <w:noProof/>
      </w:rPr>
      <w:t xml:space="preserve">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67C5" w14:textId="08F6AA2F" w:rsidR="000B38EB" w:rsidRDefault="000B38EB">
    <w:pPr>
      <w:pStyle w:val="Header"/>
    </w:pPr>
    <w:r>
      <w:rPr>
        <w:noProof/>
      </w:rPr>
      <w:t xml:space="preserve">                                                                     </w:t>
    </w:r>
  </w:p>
  <w:p w14:paraId="6A50805D" w14:textId="77777777" w:rsidR="000B38EB" w:rsidRPr="000B38EB" w:rsidRDefault="000B3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9AE"/>
    <w:multiLevelType w:val="hybridMultilevel"/>
    <w:tmpl w:val="68888A6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97A70"/>
    <w:multiLevelType w:val="hybridMultilevel"/>
    <w:tmpl w:val="EDA2F0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0A6B"/>
    <w:multiLevelType w:val="hybridMultilevel"/>
    <w:tmpl w:val="5E00B4D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3" w15:restartNumberingAfterBreak="0">
    <w:nsid w:val="2B690DBE"/>
    <w:multiLevelType w:val="hybridMultilevel"/>
    <w:tmpl w:val="E0607D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9752DB"/>
    <w:multiLevelType w:val="hybridMultilevel"/>
    <w:tmpl w:val="C03073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BD050B"/>
    <w:multiLevelType w:val="hybridMultilevel"/>
    <w:tmpl w:val="3E28F392"/>
    <w:lvl w:ilvl="0" w:tplc="07C09DCE">
      <w:start w:val="1"/>
      <w:numFmt w:val="bullet"/>
      <w:pStyle w:val="Bulletsevidencesumma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56A86"/>
    <w:multiLevelType w:val="hybridMultilevel"/>
    <w:tmpl w:val="E8000A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068662">
    <w:abstractNumId w:val="5"/>
  </w:num>
  <w:num w:numId="2" w16cid:durableId="1681083968">
    <w:abstractNumId w:val="0"/>
  </w:num>
  <w:num w:numId="3" w16cid:durableId="1796408384">
    <w:abstractNumId w:val="1"/>
  </w:num>
  <w:num w:numId="4" w16cid:durableId="2059087120">
    <w:abstractNumId w:val="4"/>
  </w:num>
  <w:num w:numId="5" w16cid:durableId="1885822489">
    <w:abstractNumId w:val="3"/>
  </w:num>
  <w:num w:numId="6" w16cid:durableId="805396580">
    <w:abstractNumId w:val="2"/>
  </w:num>
  <w:num w:numId="7" w16cid:durableId="1682925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age Vancouver&lt;/Style&gt;&lt;LeftDelim&gt;{&lt;/LeftDelim&gt;&lt;RightDelim&gt;}&lt;/RightDelim&gt;&lt;FontName&gt;Arial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sd9razd7ewwzbep05ix9earfxv50reatpvp&quot;&gt;journal article NZCOM&lt;record-ids&gt;&lt;item&gt;2&lt;/item&gt;&lt;item&gt;3&lt;/item&gt;&lt;item&gt;30&lt;/item&gt;&lt;item&gt;46&lt;/item&gt;&lt;item&gt;47&lt;/item&gt;&lt;item&gt;57&lt;/item&gt;&lt;item&gt;68&lt;/item&gt;&lt;item&gt;69&lt;/item&gt;&lt;/record-ids&gt;&lt;/item&gt;&lt;/Libraries&gt;"/>
  </w:docVars>
  <w:rsids>
    <w:rsidRoot w:val="00C55F12"/>
    <w:rsid w:val="0000310D"/>
    <w:rsid w:val="00012E2F"/>
    <w:rsid w:val="000172FA"/>
    <w:rsid w:val="00034BB5"/>
    <w:rsid w:val="00036471"/>
    <w:rsid w:val="00046FE2"/>
    <w:rsid w:val="000528F9"/>
    <w:rsid w:val="00052C70"/>
    <w:rsid w:val="00052FB8"/>
    <w:rsid w:val="00055252"/>
    <w:rsid w:val="0007789D"/>
    <w:rsid w:val="000861AB"/>
    <w:rsid w:val="000B38EB"/>
    <w:rsid w:val="000B614E"/>
    <w:rsid w:val="000E18D8"/>
    <w:rsid w:val="000F55A6"/>
    <w:rsid w:val="001034BE"/>
    <w:rsid w:val="0012180A"/>
    <w:rsid w:val="00154665"/>
    <w:rsid w:val="00190C5F"/>
    <w:rsid w:val="0019754D"/>
    <w:rsid w:val="001B5B54"/>
    <w:rsid w:val="001D159F"/>
    <w:rsid w:val="001F7FBC"/>
    <w:rsid w:val="0022020F"/>
    <w:rsid w:val="00224890"/>
    <w:rsid w:val="002334B8"/>
    <w:rsid w:val="00244064"/>
    <w:rsid w:val="00253B27"/>
    <w:rsid w:val="00256E3E"/>
    <w:rsid w:val="0026178D"/>
    <w:rsid w:val="0026240D"/>
    <w:rsid w:val="00271B89"/>
    <w:rsid w:val="0027458C"/>
    <w:rsid w:val="00275FA3"/>
    <w:rsid w:val="00282B36"/>
    <w:rsid w:val="002C6EDC"/>
    <w:rsid w:val="002D2ECE"/>
    <w:rsid w:val="002F520E"/>
    <w:rsid w:val="002F785B"/>
    <w:rsid w:val="00304529"/>
    <w:rsid w:val="00304B9D"/>
    <w:rsid w:val="00326E73"/>
    <w:rsid w:val="00335F39"/>
    <w:rsid w:val="00342FED"/>
    <w:rsid w:val="00360795"/>
    <w:rsid w:val="00360EE9"/>
    <w:rsid w:val="00383A29"/>
    <w:rsid w:val="00397009"/>
    <w:rsid w:val="003E3C05"/>
    <w:rsid w:val="003E3F88"/>
    <w:rsid w:val="00413A34"/>
    <w:rsid w:val="00416EA9"/>
    <w:rsid w:val="004535F8"/>
    <w:rsid w:val="00462787"/>
    <w:rsid w:val="00467BEC"/>
    <w:rsid w:val="004966B9"/>
    <w:rsid w:val="004A0DC6"/>
    <w:rsid w:val="004B23F6"/>
    <w:rsid w:val="004C3075"/>
    <w:rsid w:val="004F5D46"/>
    <w:rsid w:val="004F6575"/>
    <w:rsid w:val="00511B1B"/>
    <w:rsid w:val="005320A9"/>
    <w:rsid w:val="005321CB"/>
    <w:rsid w:val="00570F81"/>
    <w:rsid w:val="00594465"/>
    <w:rsid w:val="0059523D"/>
    <w:rsid w:val="005B4D30"/>
    <w:rsid w:val="005C1A36"/>
    <w:rsid w:val="005D1B72"/>
    <w:rsid w:val="005D4950"/>
    <w:rsid w:val="005E1932"/>
    <w:rsid w:val="005F4245"/>
    <w:rsid w:val="005F4FA1"/>
    <w:rsid w:val="00612205"/>
    <w:rsid w:val="00615609"/>
    <w:rsid w:val="00623D4B"/>
    <w:rsid w:val="0064525F"/>
    <w:rsid w:val="006508AD"/>
    <w:rsid w:val="00651B0F"/>
    <w:rsid w:val="00673DB6"/>
    <w:rsid w:val="00697F02"/>
    <w:rsid w:val="006A275E"/>
    <w:rsid w:val="006D06C6"/>
    <w:rsid w:val="006E0904"/>
    <w:rsid w:val="00704425"/>
    <w:rsid w:val="0072760C"/>
    <w:rsid w:val="007476CB"/>
    <w:rsid w:val="00762D2C"/>
    <w:rsid w:val="00766823"/>
    <w:rsid w:val="00772AAB"/>
    <w:rsid w:val="007835AE"/>
    <w:rsid w:val="00790FA9"/>
    <w:rsid w:val="007B657D"/>
    <w:rsid w:val="007E5333"/>
    <w:rsid w:val="007E571D"/>
    <w:rsid w:val="007F0CAE"/>
    <w:rsid w:val="007F1FD8"/>
    <w:rsid w:val="007F4262"/>
    <w:rsid w:val="00800D7B"/>
    <w:rsid w:val="00812F46"/>
    <w:rsid w:val="00814A11"/>
    <w:rsid w:val="008179E6"/>
    <w:rsid w:val="00850D9F"/>
    <w:rsid w:val="0089353A"/>
    <w:rsid w:val="00893624"/>
    <w:rsid w:val="008A0529"/>
    <w:rsid w:val="008C4E7B"/>
    <w:rsid w:val="008C705E"/>
    <w:rsid w:val="008D232C"/>
    <w:rsid w:val="008D6A54"/>
    <w:rsid w:val="00932A85"/>
    <w:rsid w:val="00935341"/>
    <w:rsid w:val="009356AE"/>
    <w:rsid w:val="009510D1"/>
    <w:rsid w:val="00964123"/>
    <w:rsid w:val="00983BC1"/>
    <w:rsid w:val="009922F7"/>
    <w:rsid w:val="00992425"/>
    <w:rsid w:val="009947A8"/>
    <w:rsid w:val="009977F8"/>
    <w:rsid w:val="009B056F"/>
    <w:rsid w:val="009B5687"/>
    <w:rsid w:val="009F5A87"/>
    <w:rsid w:val="009F7385"/>
    <w:rsid w:val="00A10376"/>
    <w:rsid w:val="00A10FC2"/>
    <w:rsid w:val="00A21F0A"/>
    <w:rsid w:val="00A5318C"/>
    <w:rsid w:val="00A568F1"/>
    <w:rsid w:val="00A6109C"/>
    <w:rsid w:val="00A65B5B"/>
    <w:rsid w:val="00A738DB"/>
    <w:rsid w:val="00AA4765"/>
    <w:rsid w:val="00AC2544"/>
    <w:rsid w:val="00AC27AA"/>
    <w:rsid w:val="00AC2917"/>
    <w:rsid w:val="00AD51D0"/>
    <w:rsid w:val="00AF7DC9"/>
    <w:rsid w:val="00B10803"/>
    <w:rsid w:val="00B57B62"/>
    <w:rsid w:val="00B809E7"/>
    <w:rsid w:val="00B868C8"/>
    <w:rsid w:val="00BA6C3A"/>
    <w:rsid w:val="00BB041F"/>
    <w:rsid w:val="00BC3DC2"/>
    <w:rsid w:val="00BD3350"/>
    <w:rsid w:val="00BD53BC"/>
    <w:rsid w:val="00BD6927"/>
    <w:rsid w:val="00BE5E16"/>
    <w:rsid w:val="00C016BF"/>
    <w:rsid w:val="00C044CF"/>
    <w:rsid w:val="00C35AAD"/>
    <w:rsid w:val="00C47214"/>
    <w:rsid w:val="00C52839"/>
    <w:rsid w:val="00C55F12"/>
    <w:rsid w:val="00C7062A"/>
    <w:rsid w:val="00C708AF"/>
    <w:rsid w:val="00C75A44"/>
    <w:rsid w:val="00C77C33"/>
    <w:rsid w:val="00C926E9"/>
    <w:rsid w:val="00CB6AA2"/>
    <w:rsid w:val="00CC60B7"/>
    <w:rsid w:val="00CD1259"/>
    <w:rsid w:val="00CF3690"/>
    <w:rsid w:val="00D05607"/>
    <w:rsid w:val="00D24A65"/>
    <w:rsid w:val="00D403F6"/>
    <w:rsid w:val="00D44CD6"/>
    <w:rsid w:val="00D60D7A"/>
    <w:rsid w:val="00D6471D"/>
    <w:rsid w:val="00D72075"/>
    <w:rsid w:val="00D7271D"/>
    <w:rsid w:val="00D8344C"/>
    <w:rsid w:val="00D9578D"/>
    <w:rsid w:val="00D976FD"/>
    <w:rsid w:val="00DA1457"/>
    <w:rsid w:val="00DC24DF"/>
    <w:rsid w:val="00DE0B8E"/>
    <w:rsid w:val="00E01529"/>
    <w:rsid w:val="00E03BCA"/>
    <w:rsid w:val="00E0727B"/>
    <w:rsid w:val="00E21B7B"/>
    <w:rsid w:val="00E31BD1"/>
    <w:rsid w:val="00E378BA"/>
    <w:rsid w:val="00E4769B"/>
    <w:rsid w:val="00E73AC0"/>
    <w:rsid w:val="00E81951"/>
    <w:rsid w:val="00E855FD"/>
    <w:rsid w:val="00EB0822"/>
    <w:rsid w:val="00EB3503"/>
    <w:rsid w:val="00EB4731"/>
    <w:rsid w:val="00EC5320"/>
    <w:rsid w:val="00ED1B6D"/>
    <w:rsid w:val="00ED622B"/>
    <w:rsid w:val="00ED69E1"/>
    <w:rsid w:val="00EE09A1"/>
    <w:rsid w:val="00EE260A"/>
    <w:rsid w:val="00EF31CB"/>
    <w:rsid w:val="00EF3A03"/>
    <w:rsid w:val="00F03EA5"/>
    <w:rsid w:val="00F1233A"/>
    <w:rsid w:val="00F23541"/>
    <w:rsid w:val="00F566C0"/>
    <w:rsid w:val="00F64FD1"/>
    <w:rsid w:val="00F72647"/>
    <w:rsid w:val="00F74209"/>
    <w:rsid w:val="00FA7D06"/>
    <w:rsid w:val="00FB21A0"/>
    <w:rsid w:val="00FC2F88"/>
    <w:rsid w:val="00FE00A6"/>
    <w:rsid w:val="00FE1C80"/>
    <w:rsid w:val="00FF1008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520F7"/>
  <w15:chartTrackingRefBased/>
  <w15:docId w15:val="{85838648-C46D-41E6-83FF-E1E9DE97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DC2"/>
    <w:pPr>
      <w:spacing w:after="120" w:line="276" w:lineRule="auto"/>
    </w:pPr>
    <w:rPr>
      <w:rFonts w:ascii="Arial" w:hAnsi="Arial" w:cs="Arial"/>
      <w:lang w:val="en-AU"/>
    </w:rPr>
  </w:style>
  <w:style w:type="paragraph" w:styleId="Heading1">
    <w:name w:val="heading 1"/>
    <w:basedOn w:val="Normal"/>
    <w:next w:val="Normal"/>
    <w:link w:val="Heading1Char"/>
    <w:qFormat/>
    <w:rsid w:val="00C55F12"/>
    <w:pPr>
      <w:spacing w:after="0"/>
      <w:jc w:val="center"/>
      <w:outlineLvl w:val="0"/>
    </w:pPr>
    <w:rPr>
      <w:rFonts w:eastAsia="Cambria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F12"/>
    <w:pPr>
      <w:keepNext/>
      <w:keepLines/>
      <w:spacing w:after="0"/>
      <w:outlineLvl w:val="1"/>
    </w:pPr>
    <w:rPr>
      <w:rFonts w:eastAsia="Cambria"/>
      <w:b/>
      <w:color w:val="2F5496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F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5F12"/>
    <w:rPr>
      <w:rFonts w:ascii="Arial" w:eastAsia="Cambria" w:hAnsi="Arial" w:cs="Arial"/>
      <w:b/>
      <w:color w:val="2F5496" w:themeColor="accent1" w:themeShade="BF"/>
      <w:sz w:val="32"/>
      <w:szCs w:val="32"/>
      <w:lang w:val="en-AU"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F12"/>
    <w:rPr>
      <w:rFonts w:ascii="Arial" w:eastAsia="Cambria" w:hAnsi="Arial" w:cs="Arial"/>
      <w:b/>
      <w:color w:val="2F5496" w:themeColor="accent1" w:themeShade="BF"/>
      <w:sz w:val="24"/>
      <w:lang w:val="en-AU" w:eastAsia="en-NZ"/>
    </w:rPr>
  </w:style>
  <w:style w:type="character" w:customStyle="1" w:styleId="BodyevidencesummaryChar">
    <w:name w:val="Body evidence summary Char"/>
    <w:basedOn w:val="DefaultParagraphFont"/>
    <w:link w:val="Bodyevidencesummary"/>
    <w:locked/>
    <w:rsid w:val="00190C5F"/>
    <w:rPr>
      <w:rFonts w:ascii="Arial" w:hAnsi="Arial" w:cs="Arial"/>
      <w:lang w:val="en-AU"/>
    </w:rPr>
  </w:style>
  <w:style w:type="paragraph" w:customStyle="1" w:styleId="Bodyevidencesummary">
    <w:name w:val="Body evidence summary"/>
    <w:basedOn w:val="Normal"/>
    <w:link w:val="BodyevidencesummaryChar"/>
    <w:qFormat/>
    <w:rsid w:val="00190C5F"/>
  </w:style>
  <w:style w:type="character" w:styleId="Hyperlink">
    <w:name w:val="Hyperlink"/>
    <w:basedOn w:val="DefaultParagraphFont"/>
    <w:uiPriority w:val="99"/>
    <w:unhideWhenUsed/>
    <w:rsid w:val="00C55F1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55F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5F12"/>
    <w:rPr>
      <w:rFonts w:ascii="Calibri" w:eastAsia="Calibri" w:hAnsi="Calibri" w:cs="Times New Roman"/>
      <w:color w:val="000000"/>
      <w:sz w:val="20"/>
      <w:lang w:eastAsia="en-NZ"/>
    </w:rPr>
  </w:style>
  <w:style w:type="character" w:customStyle="1" w:styleId="H1evidencesummaryChar">
    <w:name w:val="H1 evidence summary Char"/>
    <w:basedOn w:val="DefaultParagraphFont"/>
    <w:link w:val="H1evidencesummary"/>
    <w:locked/>
    <w:rsid w:val="00C55F12"/>
    <w:rPr>
      <w:rFonts w:ascii="Arial" w:eastAsia="Cambria" w:hAnsi="Arial" w:cs="Arial"/>
      <w:b/>
      <w:color w:val="00467F"/>
      <w:sz w:val="28"/>
      <w:szCs w:val="28"/>
      <w:lang w:val="en-AU"/>
    </w:rPr>
  </w:style>
  <w:style w:type="paragraph" w:customStyle="1" w:styleId="H1evidencesummary">
    <w:name w:val="H1 evidence summary"/>
    <w:basedOn w:val="Normal"/>
    <w:link w:val="H1evidencesummaryChar"/>
    <w:qFormat/>
    <w:rsid w:val="00C55F12"/>
    <w:pPr>
      <w:spacing w:before="360"/>
    </w:pPr>
    <w:rPr>
      <w:rFonts w:eastAsia="Cambria"/>
      <w:b/>
      <w:color w:val="00467F"/>
      <w:sz w:val="28"/>
      <w:szCs w:val="28"/>
    </w:rPr>
  </w:style>
  <w:style w:type="character" w:customStyle="1" w:styleId="H2evidencesummaryChar">
    <w:name w:val="H2 evidence summary Char"/>
    <w:basedOn w:val="DefaultParagraphFont"/>
    <w:link w:val="H2evidencesummary"/>
    <w:locked/>
    <w:rsid w:val="008179E6"/>
    <w:rPr>
      <w:rFonts w:ascii="Arial" w:eastAsia="Cambria" w:hAnsi="Arial" w:cs="Arial"/>
      <w:b/>
      <w:szCs w:val="24"/>
      <w:lang w:val="en-AU"/>
    </w:rPr>
  </w:style>
  <w:style w:type="paragraph" w:customStyle="1" w:styleId="H2evidencesummary">
    <w:name w:val="H2 evidence summary"/>
    <w:basedOn w:val="Heading3"/>
    <w:link w:val="H2evidencesummaryChar"/>
    <w:qFormat/>
    <w:rsid w:val="008179E6"/>
    <w:pPr>
      <w:spacing w:before="360" w:after="240"/>
    </w:pPr>
    <w:rPr>
      <w:rFonts w:ascii="Arial" w:eastAsia="Cambria" w:hAnsi="Arial" w:cs="Arial"/>
      <w:b/>
      <w:color w:val="auto"/>
      <w:sz w:val="22"/>
    </w:rPr>
  </w:style>
  <w:style w:type="character" w:customStyle="1" w:styleId="BulletsevidencesummaryChar">
    <w:name w:val="Bullets evidence summary Char"/>
    <w:basedOn w:val="DefaultParagraphFont"/>
    <w:link w:val="Bulletsevidencesummary"/>
    <w:locked/>
    <w:rsid w:val="00C55F12"/>
    <w:rPr>
      <w:rFonts w:ascii="Arial" w:hAnsi="Arial" w:cs="Arial"/>
      <w:lang w:val="en-AU"/>
    </w:rPr>
  </w:style>
  <w:style w:type="paragraph" w:customStyle="1" w:styleId="Bulletsevidencesummary">
    <w:name w:val="Bullets evidence summary"/>
    <w:basedOn w:val="Normal"/>
    <w:link w:val="BulletsevidencesummaryChar"/>
    <w:qFormat/>
    <w:rsid w:val="00C55F12"/>
    <w:pPr>
      <w:numPr>
        <w:numId w:val="1"/>
      </w:numPr>
      <w:ind w:left="357" w:hanging="357"/>
      <w:contextualSpacing/>
    </w:pPr>
  </w:style>
  <w:style w:type="character" w:styleId="FootnoteReference">
    <w:name w:val="footnote reference"/>
    <w:uiPriority w:val="99"/>
    <w:semiHidden/>
    <w:unhideWhenUsed/>
    <w:rsid w:val="00C55F1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F1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C55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F12"/>
    <w:rPr>
      <w:rFonts w:ascii="Calibri" w:eastAsia="Calibri" w:hAnsi="Calibri" w:cs="Times New Roman"/>
      <w:color w:val="00000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C55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F12"/>
    <w:rPr>
      <w:rFonts w:ascii="Calibri" w:eastAsia="Calibri" w:hAnsi="Calibri" w:cs="Times New Roman"/>
      <w:color w:val="000000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AA476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F7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FBC"/>
    <w:rPr>
      <w:rFonts w:ascii="Calibri" w:eastAsia="Calibri" w:hAnsi="Calibri" w:cs="Times New Roman"/>
      <w:color w:val="000000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FBC"/>
    <w:rPr>
      <w:rFonts w:ascii="Calibri" w:eastAsia="Calibri" w:hAnsi="Calibri" w:cs="Times New Roman"/>
      <w:b/>
      <w:bCs/>
      <w:color w:val="000000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A36"/>
    <w:rPr>
      <w:rFonts w:ascii="Segoe UI" w:eastAsia="Calibri" w:hAnsi="Segoe UI" w:cs="Segoe UI"/>
      <w:color w:val="000000"/>
      <w:sz w:val="18"/>
      <w:szCs w:val="18"/>
      <w:lang w:eastAsia="en-NZ"/>
    </w:rPr>
  </w:style>
  <w:style w:type="paragraph" w:customStyle="1" w:styleId="H3">
    <w:name w:val="H3"/>
    <w:basedOn w:val="Bodyevidencesummary"/>
    <w:link w:val="H3Char"/>
    <w:qFormat/>
    <w:rsid w:val="00BD53BC"/>
    <w:pPr>
      <w:spacing w:before="240"/>
    </w:pPr>
    <w:rPr>
      <w:rFonts w:eastAsia="Arial"/>
      <w:b/>
      <w:i/>
    </w:rPr>
  </w:style>
  <w:style w:type="table" w:styleId="TableGrid">
    <w:name w:val="Table Grid"/>
    <w:basedOn w:val="TableNormal"/>
    <w:uiPriority w:val="39"/>
    <w:rsid w:val="00F6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Char">
    <w:name w:val="H3 Char"/>
    <w:basedOn w:val="BodyevidencesummaryChar"/>
    <w:link w:val="H3"/>
    <w:rsid w:val="00BD53BC"/>
    <w:rPr>
      <w:rFonts w:ascii="Arial" w:eastAsia="Arial" w:hAnsi="Arial" w:cs="Arial"/>
      <w:b/>
      <w:i/>
      <w:lang w:val="en-AU"/>
    </w:rPr>
  </w:style>
  <w:style w:type="paragraph" w:styleId="Revision">
    <w:name w:val="Revision"/>
    <w:hidden/>
    <w:uiPriority w:val="99"/>
    <w:semiHidden/>
    <w:rsid w:val="00800D7B"/>
    <w:pPr>
      <w:spacing w:after="0" w:line="240" w:lineRule="auto"/>
    </w:pPr>
    <w:rPr>
      <w:rFonts w:ascii="Calibri" w:eastAsia="Calibri" w:hAnsi="Calibri" w:cs="Times New Roman"/>
      <w:color w:val="000000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B10803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A65B5B"/>
    <w:pPr>
      <w:spacing w:after="0" w:line="240" w:lineRule="auto"/>
    </w:pPr>
    <w:rPr>
      <w:rFonts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65B5B"/>
    <w:rPr>
      <w:rFonts w:ascii="Arial" w:eastAsia="Calibri" w:hAnsi="Arial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qsc.govt.nz/resources/resource-library/clinical-governance-recommendations-for-recognition-and-response-systems/" TargetMode="External"/><Relationship Id="rId2" Type="http://schemas.openxmlformats.org/officeDocument/2006/relationships/hyperlink" Target="http://www.hqsc.govt.nz/our-programmes/building-leadership-and-capability/publications-and-resources/publication/2669/" TargetMode="External"/><Relationship Id="rId1" Type="http://schemas.openxmlformats.org/officeDocument/2006/relationships/hyperlink" Target="http://www.hqsc.govt.nz/our-programmes/building-leadership-and-capability/publications-and-resources/publication/2851/" TargetMode="External"/><Relationship Id="rId4" Type="http://schemas.openxmlformats.org/officeDocument/2006/relationships/hyperlink" Target="http://www.hqsc.govt.nz/our-work/improved-service-delivery/patient-deterioration/workstreams/patient-family-and-whanau-escal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f9904b-9bca-4a1b-aca3-78dad2044d15">
      <UserInfo>
        <DisplayName>Anna Lee</DisplayName>
        <AccountId>43</AccountId>
        <AccountType/>
      </UserInfo>
      <UserInfo>
        <DisplayName>Emma Forbes</DisplayName>
        <AccountId>14</AccountId>
        <AccountType/>
      </UserInfo>
      <UserInfo>
        <DisplayName>Jane Craig-Pearson</DisplayName>
        <AccountId>2562</AccountId>
        <AccountType/>
      </UserInfo>
      <UserInfo>
        <DisplayName>Mahashweta Mistry</DisplayName>
        <AccountId>4341</AccountId>
        <AccountType/>
      </UserInfo>
      <UserInfo>
        <DisplayName>Matthew Coulson</DisplayName>
        <AccountId>2912</AccountId>
        <AccountType/>
      </UserInfo>
      <UserInfo>
        <DisplayName>John Garrett</DisplayName>
        <AccountId>2835</AccountId>
        <AccountType/>
      </UserInfo>
      <UserInfo>
        <DisplayName>Katrina Hutching</DisplayName>
        <AccountId>3488</AccountId>
        <AccountType/>
      </UserInfo>
    </SharedWithUsers>
    <TaxCatchAll xmlns="bef9904b-9bca-4a1b-aca3-78dad2044d15" xsi:nil="true"/>
    <lcf76f155ced4ddcb4097134ff3c332f xmlns="9648d8c0-db86-4d00-a1b3-c3ab77297c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CCF7C8B844A2DA46912A6CED514C3C0A" ma:contentTypeVersion="37" ma:contentTypeDescription="Use this content type to classify and store documents on HQSC DMS website" ma:contentTypeScope="" ma:versionID="f92534ea08a383adf96591bcb36be9d1">
  <xsd:schema xmlns:xsd="http://www.w3.org/2001/XMLSchema" xmlns:xs="http://www.w3.org/2001/XMLSchema" xmlns:p="http://schemas.microsoft.com/office/2006/metadata/properties" xmlns:ns3="9648d8c0-db86-4d00-a1b3-c3ab77297c67" xmlns:ns4="bef9904b-9bca-4a1b-aca3-78dad2044d15" targetNamespace="http://schemas.microsoft.com/office/2006/metadata/properties" ma:root="true" ma:fieldsID="462361711c2930abf8cdd83c1c24de2a" ns3:_="" ns4:_="">
    <xsd:import namespace="9648d8c0-db86-4d00-a1b3-c3ab77297c6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d8c0-db86-4d00-a1b3-c3ab77297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4DAF7-5DFD-4800-A025-687A410AC0BC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9648d8c0-db86-4d00-a1b3-c3ab77297c67"/>
  </ds:schemaRefs>
</ds:datastoreItem>
</file>

<file path=customXml/itemProps2.xml><?xml version="1.0" encoding="utf-8"?>
<ds:datastoreItem xmlns:ds="http://schemas.openxmlformats.org/officeDocument/2006/customXml" ds:itemID="{E40EF481-C3B3-4184-BD1B-73129C329F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D594D7-C0CE-4692-BB38-DBF226A5E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8d8c0-db86-4d00-a1b3-c3ab77297c6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0A619-39D6-4325-AF85-0B4019B1A70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A1C0D6F-AE7F-4E46-A9A1-69F0563BC0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Lee</dc:creator>
  <cp:keywords/>
  <dc:description/>
  <cp:lastModifiedBy>Falyn Cranston</cp:lastModifiedBy>
  <cp:revision>4</cp:revision>
  <cp:lastPrinted>2021-09-15T04:51:00Z</cp:lastPrinted>
  <dcterms:created xsi:type="dcterms:W3CDTF">2022-10-25T22:24:00Z</dcterms:created>
  <dcterms:modified xsi:type="dcterms:W3CDTF">2022-10-26T03:38:00Z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0x010100464BB556B3337A48846236E9064FB9CC0100CCF7C8B844A2DA46912A6CED514C3C0A</vt:lpwstr>
  </property>
  <property fmtid="{D5CDD505-2E9C-101B-9397-08002B2CF9AE}" pid="3" name="AuthorIds_UIVersion_3072">
    <vt:lpwstr>12</vt:lpwstr>
  </property>
  <property fmtid="{D5CDD505-2E9C-101B-9397-08002B2CF9AE}" pid="4" name="MediaServiceImageTags">
    <vt:lpwstr/>
  </property>
</Properties>
</file>