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5265" w14:textId="77777777" w:rsidR="00AF57B3" w:rsidRPr="006D1081" w:rsidRDefault="009C1104" w:rsidP="00A313E6">
      <w:pPr>
        <w:pStyle w:val="Heading1HQSC"/>
        <w:rPr>
          <w:sz w:val="32"/>
          <w:szCs w:val="28"/>
        </w:rPr>
      </w:pPr>
      <w:r w:rsidRPr="006D1081">
        <w:rPr>
          <w:noProof/>
          <w:sz w:val="32"/>
          <w:szCs w:val="28"/>
        </w:rPr>
        <w:drawing>
          <wp:anchor distT="0" distB="0" distL="114300" distR="114300" simplePos="0" relativeHeight="251659264" behindDoc="1" locked="0" layoutInCell="1" allowOverlap="1" wp14:anchorId="76658D90" wp14:editId="46B91F8E">
            <wp:simplePos x="0" y="0"/>
            <wp:positionH relativeFrom="page">
              <wp:align>right</wp:align>
            </wp:positionH>
            <wp:positionV relativeFrom="paragraph">
              <wp:posOffset>-914400</wp:posOffset>
            </wp:positionV>
            <wp:extent cx="7541254" cy="1930400"/>
            <wp:effectExtent l="0" t="0" r="3175" b="0"/>
            <wp:wrapNone/>
            <wp:docPr id="5" name="Picture 5" descr="A darj blue banner with a tohu (Māori design on the left and the Health Quality &amp; Safety Commission Te Tāhū Hauora logo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arj blue banner with a tohu (Māori design on the left and the Health Quality &amp; Safety Commission Te Tāhū Hauora logo on the right"/>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F9A675" w14:textId="77777777" w:rsidR="00AF57B3" w:rsidRPr="006D1081" w:rsidRDefault="00AF57B3" w:rsidP="00A313E6">
      <w:pPr>
        <w:pStyle w:val="Heading1HQSC"/>
        <w:rPr>
          <w:sz w:val="32"/>
          <w:szCs w:val="28"/>
        </w:rPr>
      </w:pPr>
    </w:p>
    <w:p w14:paraId="262B710B" w14:textId="5E4B2DCF" w:rsidR="00407E46" w:rsidRPr="004F4364" w:rsidRDefault="003B12FB" w:rsidP="00407E46">
      <w:pPr>
        <w:pStyle w:val="TeThHauorahead1"/>
        <w:spacing w:before="480" w:line="276" w:lineRule="auto"/>
      </w:pPr>
      <w:bookmarkStart w:id="0" w:name="_Toc494090983"/>
      <w:r>
        <w:t xml:space="preserve">Reminders for </w:t>
      </w:r>
      <w:r w:rsidR="00DB7E1A">
        <w:t xml:space="preserve">the </w:t>
      </w:r>
      <w:r w:rsidR="00407E46">
        <w:t xml:space="preserve">Paediatric Early Warning System (PEWS) </w:t>
      </w:r>
    </w:p>
    <w:p w14:paraId="6DF0D523" w14:textId="24C4EA69" w:rsidR="00407E46" w:rsidRDefault="00407E46" w:rsidP="00407E46">
      <w:pPr>
        <w:pStyle w:val="BodytextHQSC"/>
        <w:rPr>
          <w:sz w:val="24"/>
          <w:szCs w:val="24"/>
        </w:rPr>
      </w:pPr>
      <w:r>
        <w:t xml:space="preserve">Here are some reminders for clinicians and health districts when using the Paediatric Early Warning System (PEWS). </w:t>
      </w:r>
    </w:p>
    <w:bookmarkEnd w:id="0"/>
    <w:p w14:paraId="4B2DA16A" w14:textId="77777777" w:rsidR="00407E46" w:rsidRPr="00233505" w:rsidRDefault="00407E46" w:rsidP="00407E46">
      <w:pPr>
        <w:pStyle w:val="Heading2HQSC"/>
      </w:pPr>
      <w:r>
        <w:t>Paediatric vital signs c</w:t>
      </w:r>
      <w:r w:rsidRPr="00233505">
        <w:t>hart</w:t>
      </w:r>
      <w:r>
        <w:t xml:space="preserve">s </w:t>
      </w:r>
    </w:p>
    <w:p w14:paraId="30964988" w14:textId="77777777" w:rsidR="00407E46" w:rsidRPr="00233505" w:rsidRDefault="00407E46" w:rsidP="00407E46">
      <w:pPr>
        <w:pStyle w:val="Heading3HQSC"/>
      </w:pPr>
      <w:r>
        <w:t>Updating the p</w:t>
      </w:r>
      <w:r w:rsidRPr="00082AE1">
        <w:t>aediatric vital signs charts</w:t>
      </w:r>
    </w:p>
    <w:p w14:paraId="108FC113" w14:textId="08479BEC" w:rsidR="00407E46" w:rsidRPr="00233505" w:rsidRDefault="00407E46" w:rsidP="00407E46">
      <w:pPr>
        <w:pStyle w:val="BodytextHQSC"/>
      </w:pPr>
      <w:r>
        <w:t>We have updated two paediatric vital signs charts: for 5–</w:t>
      </w:r>
      <w:proofErr w:type="gramStart"/>
      <w:r>
        <w:t>11 year olds</w:t>
      </w:r>
      <w:proofErr w:type="gramEnd"/>
      <w:r>
        <w:t xml:space="preserve"> and for children 12+ years. </w:t>
      </w:r>
    </w:p>
    <w:p w14:paraId="294CD792" w14:textId="77777777" w:rsidR="00407E46" w:rsidRPr="00142CA8" w:rsidRDefault="00407E46" w:rsidP="00407E46">
      <w:pPr>
        <w:pStyle w:val="TeThHauorabullets"/>
        <w:numPr>
          <w:ilvl w:val="0"/>
          <w:numId w:val="0"/>
        </w:numPr>
        <w:rPr>
          <w:b/>
          <w:bCs/>
        </w:rPr>
      </w:pPr>
      <w:r w:rsidRPr="00142CA8">
        <w:rPr>
          <w:b/>
          <w:bCs/>
        </w:rPr>
        <w:t>5–11 years</w:t>
      </w:r>
    </w:p>
    <w:p w14:paraId="03F6D67B" w14:textId="77777777" w:rsidR="00407E46" w:rsidRPr="00233505" w:rsidRDefault="00407E46" w:rsidP="00407E46">
      <w:pPr>
        <w:pStyle w:val="TeThHauorabodytext"/>
      </w:pPr>
      <w:r>
        <w:t>Updated</w:t>
      </w:r>
      <w:r w:rsidRPr="00233505">
        <w:t xml:space="preserve"> parameters</w:t>
      </w:r>
      <w:r>
        <w:t>:</w:t>
      </w:r>
    </w:p>
    <w:p w14:paraId="2F8EE960" w14:textId="5CB22681" w:rsidR="00407E46" w:rsidRPr="00233505" w:rsidRDefault="00407E46" w:rsidP="00407E46">
      <w:pPr>
        <w:pStyle w:val="TeThHauorabullets"/>
      </w:pPr>
      <w:r w:rsidRPr="00233505">
        <w:t xml:space="preserve">Lower systolic blood pressure </w:t>
      </w:r>
      <w:r>
        <w:t>–</w:t>
      </w:r>
      <w:r w:rsidRPr="00233505">
        <w:t xml:space="preserve"> change score 4 (red zone) to 60–</w:t>
      </w:r>
      <w:r>
        <w:t>69</w:t>
      </w:r>
      <w:r>
        <w:br/>
      </w:r>
      <w:r w:rsidRPr="00233505">
        <w:t xml:space="preserve">and blue zone </w:t>
      </w:r>
      <w:r>
        <w:t>≤59 mmHg.</w:t>
      </w:r>
    </w:p>
    <w:p w14:paraId="75EEA122" w14:textId="542E786A" w:rsidR="00407E46" w:rsidRPr="00142CA8" w:rsidRDefault="00407E46" w:rsidP="00407E46">
      <w:pPr>
        <w:pStyle w:val="TeThHauorabodytext"/>
        <w:ind w:right="-330"/>
        <w:rPr>
          <w:b/>
          <w:bCs/>
          <w:sz w:val="24"/>
          <w:szCs w:val="24"/>
        </w:rPr>
      </w:pPr>
      <w:r w:rsidRPr="00142CA8">
        <w:rPr>
          <w:b/>
          <w:bCs/>
          <w:sz w:val="24"/>
          <w:szCs w:val="24"/>
        </w:rPr>
        <w:t>12</w:t>
      </w:r>
      <w:r>
        <w:rPr>
          <w:b/>
          <w:bCs/>
          <w:sz w:val="24"/>
          <w:szCs w:val="24"/>
        </w:rPr>
        <w:t>+</w:t>
      </w:r>
      <w:r w:rsidRPr="00142CA8">
        <w:rPr>
          <w:b/>
          <w:bCs/>
          <w:sz w:val="24"/>
          <w:szCs w:val="24"/>
        </w:rPr>
        <w:t xml:space="preserve"> years</w:t>
      </w:r>
    </w:p>
    <w:p w14:paraId="5EA88E22" w14:textId="77777777" w:rsidR="00407E46" w:rsidRPr="00233505" w:rsidRDefault="00407E46" w:rsidP="00407E46">
      <w:pPr>
        <w:pStyle w:val="TeThHauorabodytext"/>
      </w:pPr>
      <w:r>
        <w:t xml:space="preserve">Updated </w:t>
      </w:r>
      <w:r w:rsidRPr="00142CA8">
        <w:t>parameters</w:t>
      </w:r>
      <w:r w:rsidRPr="00233505">
        <w:t>:</w:t>
      </w:r>
    </w:p>
    <w:p w14:paraId="0361A711" w14:textId="77777777" w:rsidR="00407E46" w:rsidRPr="00233505" w:rsidRDefault="00407E46" w:rsidP="00407E46">
      <w:pPr>
        <w:pStyle w:val="TeThHauorabullets"/>
      </w:pPr>
      <w:r w:rsidRPr="00233505">
        <w:t>Upper heart rate – change score 4 (red zone) to 135–1</w:t>
      </w:r>
      <w:r>
        <w:t>39</w:t>
      </w:r>
      <w:r w:rsidRPr="00233505">
        <w:t xml:space="preserve"> and </w:t>
      </w:r>
      <w:r>
        <w:t xml:space="preserve">an </w:t>
      </w:r>
      <w:r w:rsidRPr="00233505">
        <w:t>add</w:t>
      </w:r>
      <w:r>
        <w:t>ed</w:t>
      </w:r>
      <w:r w:rsidRPr="00233505">
        <w:t xml:space="preserve"> blue zone </w:t>
      </w:r>
      <w:r>
        <w:t>≥</w:t>
      </w:r>
      <w:r w:rsidRPr="00233505">
        <w:t>140</w:t>
      </w:r>
      <w:r>
        <w:t>.</w:t>
      </w:r>
    </w:p>
    <w:p w14:paraId="258CB3E6" w14:textId="5CBB662B" w:rsidR="00407E46" w:rsidRPr="00407E46" w:rsidRDefault="00407E46" w:rsidP="00407E46">
      <w:pPr>
        <w:pStyle w:val="TeThHauorabullets"/>
      </w:pPr>
      <w:r w:rsidRPr="00233505">
        <w:t>Lower systolic blood pressure scoring: score 1 (yellow zone) = 90–</w:t>
      </w:r>
      <w:r>
        <w:t>99</w:t>
      </w:r>
      <w:r w:rsidRPr="00233505">
        <w:t xml:space="preserve"> mmHg, score 2 (orange zone) = 80–89 mmHg, score 4 (red zone) = 75–79 mmHg, and blue zone = </w:t>
      </w:r>
      <w:r>
        <w:t>≤74</w:t>
      </w:r>
      <w:r w:rsidRPr="00233505">
        <w:t xml:space="preserve"> mmHg</w:t>
      </w:r>
      <w:r>
        <w:t>.</w:t>
      </w:r>
    </w:p>
    <w:p w14:paraId="66F845A3" w14:textId="63389F72" w:rsidR="00407E46" w:rsidRPr="00407E46" w:rsidRDefault="00407E46" w:rsidP="00407E46">
      <w:pPr>
        <w:pStyle w:val="TeThHauorabodytext"/>
        <w:ind w:right="-330"/>
      </w:pPr>
      <w:hyperlink r:id="rId8" w:history="1">
        <w:r w:rsidRPr="00857FCD">
          <w:rPr>
            <w:rStyle w:val="Hyperlink"/>
            <w:sz w:val="24"/>
            <w:szCs w:val="24"/>
          </w:rPr>
          <w:t>Access the paediatric vital sign chart</w:t>
        </w:r>
        <w:r>
          <w:rPr>
            <w:rStyle w:val="Hyperlink"/>
            <w:sz w:val="24"/>
            <w:szCs w:val="24"/>
          </w:rPr>
          <w:t>s – hqsc.govt.nz</w:t>
        </w:r>
      </w:hyperlink>
    </w:p>
    <w:p w14:paraId="5D946072" w14:textId="77777777" w:rsidR="00407E46" w:rsidRPr="00233505" w:rsidRDefault="00407E46" w:rsidP="00407E46">
      <w:pPr>
        <w:pStyle w:val="Heading3HQSC"/>
      </w:pPr>
      <w:r>
        <w:t>Take blood pressure for all age groups</w:t>
      </w:r>
    </w:p>
    <w:p w14:paraId="2044D447" w14:textId="77777777" w:rsidR="00407E46" w:rsidRDefault="00407E46" w:rsidP="00407E46">
      <w:pPr>
        <w:pStyle w:val="BodytextHQSC"/>
      </w:pPr>
      <w:r w:rsidRPr="00437512">
        <w:t xml:space="preserve">It is important to know a child's blood pressure because when a child is sick, changes in the body can occur that result in either a high or low blood pressure, even if the child looks relatively well. </w:t>
      </w:r>
    </w:p>
    <w:p w14:paraId="0B9059A0" w14:textId="77777777" w:rsidR="00407E46" w:rsidRDefault="00407E46" w:rsidP="00407E46">
      <w:pPr>
        <w:pStyle w:val="BodytextHQSC"/>
      </w:pPr>
      <w:r w:rsidRPr="00437512">
        <w:t>Causes of a high blood pressure can be pain, heart and cardiovascular defects, kidney, hormonal and metabolic conditions and changes in body habitus such as obesity. Low blood pressure can indicate a medical emergency resulting from conditions such as dehydration, blood loss, sepsis and allergic reactions.</w:t>
      </w:r>
    </w:p>
    <w:p w14:paraId="3BCAFA96" w14:textId="77777777" w:rsidR="00407E46" w:rsidRPr="001C7CC7" w:rsidRDefault="00407E46" w:rsidP="00407E46">
      <w:pPr>
        <w:pStyle w:val="BodytextHQSC"/>
      </w:pPr>
      <w:r>
        <w:t>W</w:t>
      </w:r>
      <w:r w:rsidRPr="00437512">
        <w:t xml:space="preserve">hen research </w:t>
      </w:r>
      <w:r w:rsidRPr="001C7CC7">
        <w:t xml:space="preserve">was done to look at the vital signs that predict the need for a child to go to intensive care, the sensitivity and specificity of the paediatric early warning scores improved when systolic blood pressure was added. That is why it became part of the PEWS scoring </w:t>
      </w:r>
      <w:r w:rsidRPr="00DB7E1A">
        <w:lastRenderedPageBreak/>
        <w:t>system. Even if a child looks well, it is important to look at blood pressure trends and take note if the blood pressure is rising or falling.</w:t>
      </w:r>
      <w:r w:rsidRPr="001C7CC7">
        <w:t> </w:t>
      </w:r>
    </w:p>
    <w:p w14:paraId="585938F9" w14:textId="77777777" w:rsidR="00407E46" w:rsidRDefault="00407E46" w:rsidP="00407E46">
      <w:pPr>
        <w:pStyle w:val="BulletsHQSC"/>
      </w:pPr>
      <w:r>
        <w:t>This video supports staff to routinely measure blood pressure in paediatric patients.</w:t>
      </w:r>
    </w:p>
    <w:p w14:paraId="6EC20985" w14:textId="33310243" w:rsidR="00407E46" w:rsidRDefault="005C3A7D" w:rsidP="00407E46">
      <w:pPr>
        <w:pStyle w:val="BulletsHQSC"/>
        <w:tabs>
          <w:tab w:val="clear" w:pos="360"/>
          <w:tab w:val="num" w:pos="717"/>
        </w:tabs>
        <w:ind w:left="714"/>
      </w:pPr>
      <w:hyperlink r:id="rId9" w:history="1">
        <w:r w:rsidRPr="005C3A7D">
          <w:rPr>
            <w:rStyle w:val="Hyperlink"/>
          </w:rPr>
          <w:t xml:space="preserve">How to take blood pressure accurately in unwell children </w:t>
        </w:r>
        <w:r>
          <w:rPr>
            <w:rStyle w:val="Hyperlink"/>
          </w:rPr>
          <w:t xml:space="preserve">– </w:t>
        </w:r>
        <w:r w:rsidRPr="005C3A7D">
          <w:rPr>
            <w:rStyle w:val="Hyperlink"/>
          </w:rPr>
          <w:t>hqsc.govt.nz</w:t>
        </w:r>
      </w:hyperlink>
    </w:p>
    <w:p w14:paraId="03BE7635" w14:textId="77777777" w:rsidR="005C3A7D" w:rsidRDefault="00407E46" w:rsidP="00407E46">
      <w:pPr>
        <w:pStyle w:val="BulletsHQSC"/>
      </w:pPr>
      <w:r>
        <w:t>This guide is for health professionals and covers the common questions raised by paediatric teams.</w:t>
      </w:r>
    </w:p>
    <w:p w14:paraId="17351311" w14:textId="21E5335A" w:rsidR="00407E46" w:rsidRPr="005C3A7D" w:rsidRDefault="005C3A7D" w:rsidP="005C3A7D">
      <w:pPr>
        <w:pStyle w:val="BulletsHQSC"/>
        <w:tabs>
          <w:tab w:val="clear" w:pos="360"/>
          <w:tab w:val="num" w:pos="717"/>
        </w:tabs>
        <w:ind w:left="714"/>
      </w:pPr>
      <w:hyperlink r:id="rId10" w:history="1">
        <w:r w:rsidRPr="005C3A7D">
          <w:rPr>
            <w:rStyle w:val="Hyperlink"/>
          </w:rPr>
          <w:t xml:space="preserve">Guide to recording blood pressure in acutely unwell tamariki </w:t>
        </w:r>
        <w:r>
          <w:rPr>
            <w:rStyle w:val="Hyperlink"/>
          </w:rPr>
          <w:t xml:space="preserve">– </w:t>
        </w:r>
        <w:r w:rsidRPr="005C3A7D">
          <w:rPr>
            <w:rStyle w:val="Hyperlink"/>
          </w:rPr>
          <w:t>hqsc.govt.nz</w:t>
        </w:r>
      </w:hyperlink>
    </w:p>
    <w:p w14:paraId="6A291FAE" w14:textId="77777777" w:rsidR="00407E46" w:rsidRPr="00233505" w:rsidRDefault="00407E46" w:rsidP="005C3A7D">
      <w:pPr>
        <w:pStyle w:val="Heading3HQSC"/>
      </w:pPr>
      <w:r>
        <w:t>Managing</w:t>
      </w:r>
      <w:r w:rsidRPr="00233505">
        <w:t xml:space="preserve"> patients with chronic conditions (</w:t>
      </w:r>
      <w:proofErr w:type="spellStart"/>
      <w:r w:rsidRPr="00233505">
        <w:t>eg</w:t>
      </w:r>
      <w:proofErr w:type="spellEnd"/>
      <w:r w:rsidRPr="00233505">
        <w:t xml:space="preserve">, </w:t>
      </w:r>
      <w:r>
        <w:t>cardiac</w:t>
      </w:r>
      <w:r w:rsidRPr="00233505">
        <w:t xml:space="preserve"> illness) due to their altered baseline </w:t>
      </w:r>
    </w:p>
    <w:p w14:paraId="46B1525E" w14:textId="77777777" w:rsidR="00407E46" w:rsidRPr="00F639EB" w:rsidRDefault="00407E46" w:rsidP="00DB7E1A">
      <w:pPr>
        <w:pStyle w:val="BodytextHQSC"/>
      </w:pPr>
      <w:r>
        <w:t>T</w:t>
      </w:r>
      <w:r w:rsidRPr="00F639EB">
        <w:t xml:space="preserve">he </w:t>
      </w:r>
      <w:r>
        <w:t>p</w:t>
      </w:r>
      <w:r w:rsidRPr="00F639EB">
        <w:t xml:space="preserve">aediatric </w:t>
      </w:r>
      <w:r>
        <w:t>v</w:t>
      </w:r>
      <w:r w:rsidRPr="00F639EB">
        <w:t xml:space="preserve">ital </w:t>
      </w:r>
      <w:r>
        <w:t>s</w:t>
      </w:r>
      <w:r w:rsidRPr="00F639EB">
        <w:t xml:space="preserve">igns </w:t>
      </w:r>
      <w:r>
        <w:t>c</w:t>
      </w:r>
      <w:r w:rsidRPr="00F639EB">
        <w:t>hart</w:t>
      </w:r>
      <w:r>
        <w:t>s</w:t>
      </w:r>
      <w:r w:rsidRPr="00F639EB">
        <w:t xml:space="preserve"> include a modifications box where clinicians can adjust score ranges for individual vital signs to suit children with chronic conditions like </w:t>
      </w:r>
      <w:r>
        <w:t>cyanotic congenital heart disease</w:t>
      </w:r>
      <w:r w:rsidRPr="00F639EB">
        <w:t>. This section is explicitly designed so clinicians can tailor the PEWS triggers without compromising the standardised national chart. </w:t>
      </w:r>
    </w:p>
    <w:p w14:paraId="1BB1B92A" w14:textId="77777777" w:rsidR="00407E46" w:rsidRPr="00F639EB" w:rsidRDefault="00407E46" w:rsidP="00DB7E1A">
      <w:pPr>
        <w:pStyle w:val="BodytextHQSC"/>
      </w:pPr>
      <w:r w:rsidRPr="00F639EB">
        <w:t>Modifications box: This space lets you individualise single-parameter triggers (</w:t>
      </w:r>
      <w:proofErr w:type="spellStart"/>
      <w:r>
        <w:t>eg</w:t>
      </w:r>
      <w:proofErr w:type="spellEnd"/>
      <w:r>
        <w:t>,</w:t>
      </w:r>
      <w:r w:rsidRPr="00F639EB">
        <w:t xml:space="preserve"> respiratory rate, heart rate, oxygen saturation) for a child. For example, if a child with </w:t>
      </w:r>
      <w:r>
        <w:t>congenital heart disease</w:t>
      </w:r>
      <w:r w:rsidRPr="00F639EB">
        <w:t xml:space="preserve"> normally has lower oxygen saturation, you may shift that saturation range to reduce false alerts.</w:t>
      </w:r>
    </w:p>
    <w:p w14:paraId="0C195202" w14:textId="3A8D7E46" w:rsidR="00407E46" w:rsidRPr="00F639EB" w:rsidRDefault="00407E46" w:rsidP="00DB7E1A">
      <w:pPr>
        <w:pStyle w:val="BodytextHQSC"/>
      </w:pPr>
      <w:r>
        <w:t>Do not use this approach</w:t>
      </w:r>
      <w:r w:rsidRPr="00F639EB">
        <w:t xml:space="preserve"> for</w:t>
      </w:r>
      <w:r w:rsidR="005C3A7D">
        <w:t xml:space="preserve"> </w:t>
      </w:r>
      <w:r w:rsidRPr="00F639EB">
        <w:t xml:space="preserve">acutely unwell children, such as those with bronchiolitis or other short-term illnesses, where transient deviations from normal vital signs are expected. In these cases, </w:t>
      </w:r>
      <w:r>
        <w:t>use the notes to clearly document and outline the patient’s diagnosis, their treatment plan, and the criteria for requesting a review</w:t>
      </w:r>
      <w:r w:rsidRPr="00F639EB">
        <w:t>. This ensures clinical appropriateness while avoiding unnecessary escalations during periods of expected physiological stress.</w:t>
      </w:r>
    </w:p>
    <w:p w14:paraId="1A6B0030" w14:textId="75948A62" w:rsidR="005C3A7D" w:rsidRDefault="005C3A7D" w:rsidP="00DB7E1A">
      <w:pPr>
        <w:pStyle w:val="BodytextHQSC"/>
      </w:pPr>
      <w:r>
        <w:t xml:space="preserve">For more detail, read: </w:t>
      </w:r>
    </w:p>
    <w:p w14:paraId="100C1042" w14:textId="22519097" w:rsidR="00407E46" w:rsidRPr="003B12FB" w:rsidRDefault="003B12FB" w:rsidP="00DB7E1A">
      <w:pPr>
        <w:pStyle w:val="BodytextHQSC"/>
      </w:pPr>
      <w:hyperlink r:id="rId11" w:history="1">
        <w:r w:rsidRPr="003B12FB">
          <w:rPr>
            <w:rStyle w:val="Hyperlink"/>
            <w:sz w:val="24"/>
            <w:szCs w:val="24"/>
          </w:rPr>
          <w:t xml:space="preserve">Aotearoa New Zealand national paediatric early warning system and paediatric vital signs chart user guide </w:t>
        </w:r>
        <w:r>
          <w:rPr>
            <w:rStyle w:val="Hyperlink"/>
            <w:sz w:val="24"/>
            <w:szCs w:val="24"/>
          </w:rPr>
          <w:t xml:space="preserve">– </w:t>
        </w:r>
        <w:r w:rsidRPr="003B12FB">
          <w:rPr>
            <w:rStyle w:val="Hyperlink"/>
            <w:sz w:val="24"/>
            <w:szCs w:val="24"/>
          </w:rPr>
          <w:t>hqsc.govt.nz</w:t>
        </w:r>
      </w:hyperlink>
    </w:p>
    <w:p w14:paraId="39D88054" w14:textId="77777777" w:rsidR="00407E46" w:rsidRPr="00233505" w:rsidRDefault="00407E46" w:rsidP="003B12FB">
      <w:pPr>
        <w:pStyle w:val="Heading3HQSC"/>
      </w:pPr>
      <w:r>
        <w:t>Adding sepsis</w:t>
      </w:r>
      <w:r w:rsidRPr="00233505">
        <w:t xml:space="preserve"> to the </w:t>
      </w:r>
      <w:r>
        <w:t>paediatric vital sign chart</w:t>
      </w:r>
    </w:p>
    <w:p w14:paraId="41BFF3E0" w14:textId="77777777" w:rsidR="00407E46" w:rsidRPr="00035B1F" w:rsidRDefault="00407E46" w:rsidP="00DB7E1A">
      <w:pPr>
        <w:pStyle w:val="BodytextHQSC"/>
      </w:pPr>
      <w:r w:rsidRPr="00233505">
        <w:t xml:space="preserve">PEWS is designed to support the early detection of clinical deterioration, not </w:t>
      </w:r>
      <w:r>
        <w:t>to identify</w:t>
      </w:r>
      <w:r w:rsidRPr="00233505">
        <w:t xml:space="preserve"> sepsis or other diagnoses</w:t>
      </w:r>
      <w:r>
        <w:t xml:space="preserve"> or </w:t>
      </w:r>
      <w:r w:rsidRPr="00233505">
        <w:t>conditions. Sepsis requires its own dedicated clinical pathway – such as the national Raise the Flag sepsis pathway – which includes targeted triggers and time sensitive treatment bundles. Keeping PEWS focused on general deterioration ensures it remains a sensitive and effective tool across a wide range of clinical presentations, without diluting its function.</w:t>
      </w:r>
    </w:p>
    <w:p w14:paraId="7BFBBEA6" w14:textId="7872F3D6" w:rsidR="00407E46" w:rsidRPr="008A0F99" w:rsidRDefault="00407E46" w:rsidP="00DB7E1A">
      <w:pPr>
        <w:pStyle w:val="BodytextHQSC"/>
      </w:pPr>
      <w:hyperlink r:id="rId12" w:history="1">
        <w:r w:rsidRPr="00C37D2B">
          <w:rPr>
            <w:rStyle w:val="Hyperlink"/>
            <w:sz w:val="24"/>
            <w:szCs w:val="24"/>
          </w:rPr>
          <w:t>Access the national Raise the Flag sepsis pathwa</w:t>
        </w:r>
        <w:r w:rsidR="003B12FB">
          <w:rPr>
            <w:rStyle w:val="Hyperlink"/>
            <w:sz w:val="24"/>
            <w:szCs w:val="24"/>
          </w:rPr>
          <w:t>y – hqsc.govt.nz</w:t>
        </w:r>
      </w:hyperlink>
      <w:r>
        <w:t xml:space="preserve"> </w:t>
      </w:r>
    </w:p>
    <w:p w14:paraId="62C6B6B9" w14:textId="77777777" w:rsidR="00DB7E1A" w:rsidRDefault="00DB7E1A">
      <w:pPr>
        <w:spacing w:after="200"/>
        <w:rPr>
          <w:rFonts w:eastAsiaTheme="majorEastAsia" w:cs="Arial"/>
          <w:b/>
          <w:color w:val="293868"/>
          <w:sz w:val="28"/>
          <w:szCs w:val="26"/>
        </w:rPr>
      </w:pPr>
      <w:r>
        <w:br w:type="page"/>
      </w:r>
    </w:p>
    <w:p w14:paraId="03CDE430" w14:textId="2F797D3F" w:rsidR="00407E46" w:rsidRPr="00233505" w:rsidRDefault="00407E46" w:rsidP="003B12FB">
      <w:pPr>
        <w:pStyle w:val="Heading2HQSC"/>
      </w:pPr>
      <w:r>
        <w:lastRenderedPageBreak/>
        <w:t>Health d</w:t>
      </w:r>
      <w:r w:rsidRPr="00233505">
        <w:t>istrict</w:t>
      </w:r>
      <w:r>
        <w:t>s’</w:t>
      </w:r>
      <w:r w:rsidRPr="00233505">
        <w:t xml:space="preserve"> responsibility </w:t>
      </w:r>
    </w:p>
    <w:p w14:paraId="0CB7BEE9" w14:textId="77777777" w:rsidR="00407E46" w:rsidRPr="00233505" w:rsidRDefault="00407E46" w:rsidP="003B12FB">
      <w:pPr>
        <w:pStyle w:val="Heading3HQSC"/>
      </w:pPr>
      <w:r>
        <w:t>Improving</w:t>
      </w:r>
      <w:r w:rsidRPr="00233505">
        <w:t xml:space="preserve"> uptake and engagement with </w:t>
      </w:r>
      <w:r>
        <w:t xml:space="preserve">online </w:t>
      </w:r>
      <w:r w:rsidRPr="00233505">
        <w:t xml:space="preserve">learning modules </w:t>
      </w:r>
    </w:p>
    <w:p w14:paraId="0023B056" w14:textId="77777777" w:rsidR="00407E46" w:rsidRDefault="00407E46" w:rsidP="00DB7E1A">
      <w:pPr>
        <w:pStyle w:val="BodytextHQSC"/>
      </w:pPr>
      <w:r>
        <w:t xml:space="preserve">Health </w:t>
      </w:r>
      <w:r w:rsidRPr="0010374F">
        <w:t>districts are responsible for embedding</w:t>
      </w:r>
      <w:r w:rsidRPr="00233505">
        <w:t xml:space="preserve"> </w:t>
      </w:r>
      <w:r>
        <w:t>online</w:t>
      </w:r>
      <w:r w:rsidRPr="00233505">
        <w:t xml:space="preserve"> modules into local education plans, onboarding processes and ongoing staff development. </w:t>
      </w:r>
      <w:r>
        <w:t>Local c</w:t>
      </w:r>
      <w:r w:rsidRPr="00233505">
        <w:t xml:space="preserve">linical leaders and educators are expected to promote and monitor uptake to ensure consistent use across inpatient paediatric services. </w:t>
      </w:r>
    </w:p>
    <w:p w14:paraId="743095DA" w14:textId="7EBB3862" w:rsidR="00407E46" w:rsidRDefault="00407E46" w:rsidP="00DB7E1A">
      <w:pPr>
        <w:pStyle w:val="BodytextHQSC"/>
        <w:rPr>
          <w:sz w:val="24"/>
          <w:szCs w:val="24"/>
        </w:rPr>
      </w:pPr>
      <w:hyperlink r:id="rId13">
        <w:r>
          <w:rPr>
            <w:rStyle w:val="Hyperlink"/>
            <w:sz w:val="24"/>
            <w:szCs w:val="24"/>
          </w:rPr>
          <w:t xml:space="preserve">Access the PEWS e-learning </w:t>
        </w:r>
        <w:r w:rsidR="003B12FB">
          <w:rPr>
            <w:rStyle w:val="Hyperlink"/>
            <w:sz w:val="24"/>
            <w:szCs w:val="24"/>
          </w:rPr>
          <w:t>– k</w:t>
        </w:r>
        <w:r>
          <w:rPr>
            <w:rStyle w:val="Hyperlink"/>
            <w:sz w:val="24"/>
            <w:szCs w:val="24"/>
          </w:rPr>
          <w:t>o</w:t>
        </w:r>
        <w:r w:rsidR="003B12FB">
          <w:rPr>
            <w:rStyle w:val="Hyperlink"/>
            <w:sz w:val="24"/>
            <w:szCs w:val="24"/>
          </w:rPr>
          <w:t>a</w:t>
        </w:r>
        <w:r>
          <w:rPr>
            <w:rStyle w:val="Hyperlink"/>
            <w:sz w:val="24"/>
            <w:szCs w:val="24"/>
          </w:rPr>
          <w:t>watea</w:t>
        </w:r>
        <w:r w:rsidR="003B12FB">
          <w:rPr>
            <w:rStyle w:val="Hyperlink"/>
            <w:sz w:val="24"/>
            <w:szCs w:val="24"/>
          </w:rPr>
          <w:t>learn.co.nz</w:t>
        </w:r>
      </w:hyperlink>
    </w:p>
    <w:p w14:paraId="06F1B866" w14:textId="79351BF0" w:rsidR="00407E46" w:rsidRDefault="003B12FB" w:rsidP="00DB7E1A">
      <w:pPr>
        <w:pStyle w:val="BodytextHQSC"/>
      </w:pPr>
      <w:r>
        <w:t>You will need to log in.</w:t>
      </w:r>
    </w:p>
    <w:p w14:paraId="2B3122B7" w14:textId="77777777" w:rsidR="003B12FB" w:rsidRPr="00233505" w:rsidRDefault="003B12FB" w:rsidP="003B12FB">
      <w:pPr>
        <w:pStyle w:val="Heading3HQSC"/>
      </w:pPr>
      <w:r>
        <w:t>Ensure online</w:t>
      </w:r>
      <w:r w:rsidRPr="00233505">
        <w:t xml:space="preserve"> learning meets the needs of new staff, casuals and those in remote settings</w:t>
      </w:r>
    </w:p>
    <w:p w14:paraId="170D84F9" w14:textId="77777777" w:rsidR="003B12FB" w:rsidRDefault="003B12FB" w:rsidP="00DB7E1A">
      <w:pPr>
        <w:pStyle w:val="BodytextHQSC"/>
      </w:pPr>
      <w:r>
        <w:t>Health d</w:t>
      </w:r>
      <w:r w:rsidRPr="00B67B5D">
        <w:t xml:space="preserve">istricts are encouraged to tailor the national </w:t>
      </w:r>
      <w:r>
        <w:t xml:space="preserve">online </w:t>
      </w:r>
      <w:r w:rsidRPr="00B67B5D">
        <w:t>learning platform to local contexts, ensuring accessibility for all staff groups, including new starters and those in remote locations.</w:t>
      </w:r>
    </w:p>
    <w:p w14:paraId="7CB30AA9" w14:textId="77777777" w:rsidR="003B12FB" w:rsidRPr="00233505" w:rsidRDefault="003B12FB" w:rsidP="003B12FB">
      <w:pPr>
        <w:pStyle w:val="Heading3HQSC"/>
      </w:pPr>
      <w:r>
        <w:t xml:space="preserve">Adding </w:t>
      </w:r>
      <w:r w:rsidRPr="00233505">
        <w:t xml:space="preserve">a certification or record of completion for </w:t>
      </w:r>
      <w:r>
        <w:t>online</w:t>
      </w:r>
      <w:r w:rsidRPr="00233505">
        <w:t>-learning</w:t>
      </w:r>
    </w:p>
    <w:p w14:paraId="7BACFD29" w14:textId="77777777" w:rsidR="003B12FB" w:rsidRDefault="003B12FB" w:rsidP="00DB7E1A">
      <w:pPr>
        <w:pStyle w:val="BodytextHQSC"/>
      </w:pPr>
      <w:r w:rsidRPr="00233505">
        <w:t>Now that the implementation phase is complete,</w:t>
      </w:r>
      <w:r>
        <w:t xml:space="preserve"> adding a documentation of completion for hospital staff</w:t>
      </w:r>
      <w:r w:rsidRPr="00233505">
        <w:t xml:space="preserve"> would be a great initiative</w:t>
      </w:r>
      <w:r>
        <w:t xml:space="preserve"> for districts</w:t>
      </w:r>
      <w:r w:rsidRPr="00233505">
        <w:t xml:space="preserve"> to pursue. You can leverage the national e-learning platform while making local decisions moving forward</w:t>
      </w:r>
      <w:r>
        <w:t>.</w:t>
      </w:r>
    </w:p>
    <w:p w14:paraId="023BC7A6" w14:textId="77777777" w:rsidR="00407E46" w:rsidRPr="00233505" w:rsidRDefault="00407E46" w:rsidP="003B12FB">
      <w:pPr>
        <w:pStyle w:val="Heading3HQSC"/>
      </w:pPr>
      <w:r>
        <w:t>There is flexibility to adapt escalation pathways, but keep p</w:t>
      </w:r>
      <w:r w:rsidRPr="00082AE1">
        <w:t>aediatric vital signs charts</w:t>
      </w:r>
      <w:r>
        <w:t xml:space="preserve"> unchanged</w:t>
      </w:r>
    </w:p>
    <w:p w14:paraId="4A66CD52" w14:textId="77777777" w:rsidR="00407E46" w:rsidRDefault="00407E46" w:rsidP="00DB7E1A">
      <w:pPr>
        <w:pStyle w:val="BodytextHQSC"/>
      </w:pPr>
      <w:r>
        <w:t xml:space="preserve">The national paediatric vital sign charts (PVSCs) </w:t>
      </w:r>
      <w:r w:rsidRPr="00233505">
        <w:t xml:space="preserve">incorporate both national standardisation and local adaptability. </w:t>
      </w:r>
    </w:p>
    <w:p w14:paraId="64DFAE76" w14:textId="77777777" w:rsidR="00407E46" w:rsidRDefault="00407E46" w:rsidP="00DB7E1A">
      <w:pPr>
        <w:pStyle w:val="BodytextHQSC"/>
      </w:pPr>
      <w:r w:rsidRPr="00233505">
        <w:t xml:space="preserve">The national </w:t>
      </w:r>
      <w:r>
        <w:t>PVSCs</w:t>
      </w:r>
      <w:r w:rsidRPr="00233505">
        <w:t xml:space="preserve"> are designed to be consistent across all districts, ensuring uniformity in recognising and responding to early signs of clinical deterioration in tamariki. This consistency is crucial for maintaining a reliable and effective system nationwide, particularly given the integration of these charts into digital platforms accessed across various regions. </w:t>
      </w:r>
    </w:p>
    <w:p w14:paraId="7434D661" w14:textId="77777777" w:rsidR="00407E46" w:rsidRDefault="00407E46" w:rsidP="00DB7E1A">
      <w:pPr>
        <w:pStyle w:val="BodytextHQSC"/>
      </w:pPr>
      <w:r w:rsidRPr="00233505">
        <w:t>However, while the core chart</w:t>
      </w:r>
      <w:r>
        <w:t>s</w:t>
      </w:r>
      <w:r w:rsidRPr="00233505">
        <w:t xml:space="preserve"> remain standardised, </w:t>
      </w:r>
      <w:r>
        <w:t xml:space="preserve">health </w:t>
      </w:r>
      <w:r w:rsidRPr="00233505">
        <w:t xml:space="preserve">districts have the flexibility to develop and implement their own escalation pathways. These pathways allow each district to tailor their response protocols to align with local resources, staffing and clinical practices. This dual approach ensures that while the recognition of deterioration is consistent, the response can be adapted to meet local needs. </w:t>
      </w:r>
    </w:p>
    <w:p w14:paraId="2A114E8F" w14:textId="77777777" w:rsidR="00407E46" w:rsidRPr="00233505" w:rsidRDefault="00407E46" w:rsidP="00DB7E1A">
      <w:pPr>
        <w:pStyle w:val="BodytextHQSC"/>
      </w:pPr>
      <w:r>
        <w:t>A</w:t>
      </w:r>
      <w:r w:rsidRPr="00233505">
        <w:t xml:space="preserve"> standardised national </w:t>
      </w:r>
      <w:r w:rsidRPr="00DC690A">
        <w:t xml:space="preserve">paediatric vital signs </w:t>
      </w:r>
      <w:r w:rsidRPr="00233505">
        <w:t>chart is essential for consistency and reliability, especially in digital environments. At the same time, the flexibility to adapt local escalation pathways ensures that the system is responsive to the unique needs of each district.</w:t>
      </w:r>
    </w:p>
    <w:p w14:paraId="31535B61" w14:textId="77777777" w:rsidR="00407E46" w:rsidRPr="00233505" w:rsidRDefault="00407E46" w:rsidP="003B12FB">
      <w:pPr>
        <w:pStyle w:val="Heading3HQSC"/>
      </w:pPr>
      <w:r>
        <w:t xml:space="preserve">Improving </w:t>
      </w:r>
      <w:r w:rsidRPr="00233505">
        <w:t>the recognition and integration of whānau concern</w:t>
      </w:r>
      <w:r>
        <w:t>s</w:t>
      </w:r>
    </w:p>
    <w:p w14:paraId="65E564BD" w14:textId="77777777" w:rsidR="00407E46" w:rsidRDefault="00407E46" w:rsidP="00DB7E1A">
      <w:pPr>
        <w:pStyle w:val="BodytextHQSC"/>
      </w:pPr>
      <w:r>
        <w:t xml:space="preserve">Health </w:t>
      </w:r>
      <w:r w:rsidRPr="00233505">
        <w:t>district</w:t>
      </w:r>
      <w:r>
        <w:t>s</w:t>
      </w:r>
      <w:r w:rsidRPr="00233505">
        <w:t xml:space="preserve"> </w:t>
      </w:r>
      <w:r>
        <w:t xml:space="preserve">and local communities can </w:t>
      </w:r>
      <w:r w:rsidRPr="00233505">
        <w:t xml:space="preserve">strengthen the recognition and integration of whānau concerns. </w:t>
      </w:r>
      <w:r>
        <w:t xml:space="preserve">Online learning modules </w:t>
      </w:r>
      <w:r w:rsidRPr="00233505">
        <w:t>can support this work, while local approaches can be tailored to better respond to the unique needs and voices of whānau.</w:t>
      </w:r>
      <w:r>
        <w:t xml:space="preserve"> </w:t>
      </w:r>
    </w:p>
    <w:p w14:paraId="2C5691F6" w14:textId="58A7614C" w:rsidR="00407E46" w:rsidRDefault="00407E46" w:rsidP="00DB7E1A">
      <w:pPr>
        <w:pStyle w:val="BodytextHQSC"/>
      </w:pPr>
      <w:r>
        <w:lastRenderedPageBreak/>
        <w:t xml:space="preserve">A poster – </w:t>
      </w:r>
      <w:hyperlink r:id="rId14" w:history="1">
        <w:r w:rsidRPr="003B12FB">
          <w:rPr>
            <w:rStyle w:val="Hyperlink"/>
            <w:sz w:val="24"/>
            <w:szCs w:val="24"/>
            <w:u w:val="none"/>
          </w:rPr>
          <w:t>Team Tamariki</w:t>
        </w:r>
        <w:r w:rsidR="003B12FB">
          <w:rPr>
            <w:rStyle w:val="Hyperlink"/>
            <w:sz w:val="24"/>
            <w:szCs w:val="24"/>
            <w:u w:val="none"/>
          </w:rPr>
          <w:t xml:space="preserve"> </w:t>
        </w:r>
      </w:hyperlink>
      <w:r w:rsidR="003B12FB">
        <w:t>–</w:t>
      </w:r>
      <w:r>
        <w:t xml:space="preserve"> can be used to promote, communicate and initiate discussion about PEWS.</w:t>
      </w:r>
    </w:p>
    <w:p w14:paraId="1BF28B4E" w14:textId="4EAD38B3" w:rsidR="00DB7E1A" w:rsidRDefault="00DB7E1A" w:rsidP="00DB7E1A">
      <w:pPr>
        <w:pStyle w:val="BodytextHQSC"/>
      </w:pPr>
      <w:hyperlink r:id="rId15" w:history="1">
        <w:r w:rsidRPr="00DB7E1A">
          <w:rPr>
            <w:rStyle w:val="Hyperlink"/>
            <w:sz w:val="24"/>
            <w:szCs w:val="24"/>
          </w:rPr>
          <w:t>‘Team Tamariki’: Paediatric early warning system (PEWS) poster for whānau, tamariki and staff –</w:t>
        </w:r>
        <w:r>
          <w:rPr>
            <w:rStyle w:val="Hyperlink"/>
            <w:sz w:val="24"/>
            <w:szCs w:val="24"/>
          </w:rPr>
          <w:t xml:space="preserve"> </w:t>
        </w:r>
        <w:r w:rsidRPr="00DB7E1A">
          <w:rPr>
            <w:rStyle w:val="Hyperlink"/>
            <w:sz w:val="24"/>
            <w:szCs w:val="24"/>
          </w:rPr>
          <w:t>hqsc.govt.nz</w:t>
        </w:r>
      </w:hyperlink>
    </w:p>
    <w:p w14:paraId="44EE2373" w14:textId="5C80CA76" w:rsidR="00AF57B3" w:rsidRDefault="00AF57B3" w:rsidP="00DB7E1A">
      <w:pPr>
        <w:pStyle w:val="BodytextHQSC"/>
        <w:spacing w:before="10320"/>
      </w:pPr>
      <w:r w:rsidRPr="00052E86">
        <w:t xml:space="preserve">Published </w:t>
      </w:r>
      <w:r w:rsidR="004673D3">
        <w:t>Septem</w:t>
      </w:r>
      <w:r w:rsidR="003B12FB">
        <w:t>ber 2025</w:t>
      </w:r>
      <w:r>
        <w:t xml:space="preserve"> by Health Quality &amp; Safety Commission</w:t>
      </w:r>
      <w:r w:rsidR="003B12FB">
        <w:t xml:space="preserve"> Te Tāhū Hauora</w:t>
      </w:r>
      <w:r>
        <w:t xml:space="preserve">, PO Box 25496, Wellington, 6146. </w:t>
      </w:r>
      <w:r w:rsidRPr="00052E86">
        <w:t xml:space="preserve">Available online at </w:t>
      </w:r>
      <w:hyperlink r:id="rId16" w:history="1">
        <w:r w:rsidRPr="00052E86">
          <w:rPr>
            <w:rStyle w:val="Hyperlink"/>
          </w:rPr>
          <w:t>www.hqsc.govt.nz</w:t>
        </w:r>
      </w:hyperlink>
      <w:r>
        <w:t>.</w:t>
      </w:r>
      <w:r>
        <w:rPr>
          <w:rStyle w:val="Hyperlink"/>
        </w:rPr>
        <w:t xml:space="preserve"> </w:t>
      </w:r>
      <w:r w:rsidRPr="00052E86">
        <w:t xml:space="preserve">Enquiries to: </w:t>
      </w:r>
      <w:hyperlink r:id="rId17" w:history="1">
        <w:r w:rsidRPr="00A45102">
          <w:rPr>
            <w:rStyle w:val="Hyperlink"/>
          </w:rPr>
          <w:t>info@hqsc.govt.nz</w:t>
        </w:r>
      </w:hyperlink>
    </w:p>
    <w:p w14:paraId="7ED2C1E6" w14:textId="77777777" w:rsidR="00AF57B3" w:rsidRPr="004846B0" w:rsidRDefault="00685328" w:rsidP="00685328">
      <w:pPr>
        <w:pStyle w:val="BodytextHQSC"/>
        <w:jc w:val="center"/>
      </w:pPr>
      <w:r>
        <w:rPr>
          <w:noProof/>
        </w:rPr>
        <w:drawing>
          <wp:inline distT="0" distB="0" distL="0" distR="0" wp14:anchorId="36C2BDA3" wp14:editId="67F1E9AF">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6466" w14:textId="77777777" w:rsidR="001276FE" w:rsidRDefault="001276FE" w:rsidP="003C45E1">
      <w:pPr>
        <w:spacing w:after="0" w:line="240" w:lineRule="auto"/>
      </w:pPr>
      <w:r>
        <w:separator/>
      </w:r>
    </w:p>
  </w:endnote>
  <w:endnote w:type="continuationSeparator" w:id="0">
    <w:p w14:paraId="054AFEED" w14:textId="77777777" w:rsidR="001276FE" w:rsidRDefault="001276FE"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58055"/>
      <w:docPartObj>
        <w:docPartGallery w:val="Page Numbers (Bottom of Page)"/>
        <w:docPartUnique/>
      </w:docPartObj>
    </w:sdtPr>
    <w:sdtEndPr/>
    <w:sdtContent>
      <w:sdt>
        <w:sdtPr>
          <w:id w:val="-1769616900"/>
          <w:docPartObj>
            <w:docPartGallery w:val="Page Numbers (Top of Page)"/>
            <w:docPartUnique/>
          </w:docPartObj>
        </w:sdtPr>
        <w:sdtEndPr/>
        <w:sdtContent>
          <w:p w14:paraId="35ECA4B4" w14:textId="3E713EA6" w:rsidR="004907D7" w:rsidRPr="009D1177" w:rsidRDefault="003B12FB" w:rsidP="009D1177">
            <w:pPr>
              <w:pStyle w:val="Runningfooter"/>
            </w:pPr>
            <w:r>
              <w:t>Reminders for the Paediatric Early Warning System (PEWS)</w:t>
            </w:r>
            <w:r w:rsidR="009D1177">
              <w:tab/>
            </w:r>
            <w:r w:rsidR="009D1177">
              <w:tab/>
            </w:r>
            <w:r w:rsidR="004A752B" w:rsidRPr="009D1177">
              <w:tab/>
            </w:r>
            <w:r w:rsidR="004A752B" w:rsidRPr="009D1177">
              <w:fldChar w:fldCharType="begin"/>
            </w:r>
            <w:r w:rsidR="004A752B" w:rsidRPr="009D1177">
              <w:instrText xml:space="preserve"> PAGE </w:instrText>
            </w:r>
            <w:r w:rsidR="004A752B" w:rsidRPr="009D1177">
              <w:fldChar w:fldCharType="separate"/>
            </w:r>
            <w:r w:rsidR="004A752B" w:rsidRPr="009D1177">
              <w:rPr>
                <w:noProof/>
              </w:rPr>
              <w:t>2</w:t>
            </w:r>
            <w:r w:rsidR="004A752B" w:rsidRPr="009D1177">
              <w:fldChar w:fldCharType="end"/>
            </w:r>
            <w:r w:rsidR="004A752B" w:rsidRPr="009D1177">
              <w:t xml:space="preserve"> of </w:t>
            </w:r>
            <w:r w:rsidR="004A752B">
              <w:fldChar w:fldCharType="begin"/>
            </w:r>
            <w:r w:rsidR="004A752B">
              <w:instrText xml:space="preserve"> NUMPAGES  </w:instrText>
            </w:r>
            <w:r w:rsidR="004A752B">
              <w:fldChar w:fldCharType="separate"/>
            </w:r>
            <w:r w:rsidR="004A752B" w:rsidRPr="009D1177">
              <w:rPr>
                <w:noProof/>
              </w:rPr>
              <w:t>2</w:t>
            </w:r>
            <w:r w:rsidR="004A752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6D49" w14:textId="77777777" w:rsidR="001276FE" w:rsidRDefault="001276FE" w:rsidP="003C45E1">
      <w:pPr>
        <w:spacing w:after="0" w:line="240" w:lineRule="auto"/>
      </w:pPr>
      <w:r>
        <w:separator/>
      </w:r>
    </w:p>
  </w:footnote>
  <w:footnote w:type="continuationSeparator" w:id="0">
    <w:p w14:paraId="04A32B72" w14:textId="77777777" w:rsidR="001276FE" w:rsidRDefault="001276FE"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9"/>
  </w:num>
  <w:num w:numId="3" w16cid:durableId="86075489">
    <w:abstractNumId w:val="12"/>
  </w:num>
  <w:num w:numId="4" w16cid:durableId="961226629">
    <w:abstractNumId w:val="10"/>
  </w:num>
  <w:num w:numId="5" w16cid:durableId="810247892">
    <w:abstractNumId w:val="13"/>
  </w:num>
  <w:num w:numId="6" w16cid:durableId="199098544">
    <w:abstractNumId w:val="8"/>
  </w:num>
  <w:num w:numId="7" w16cid:durableId="1829781319">
    <w:abstractNumId w:val="16"/>
  </w:num>
  <w:num w:numId="8" w16cid:durableId="534579980">
    <w:abstractNumId w:val="11"/>
  </w:num>
  <w:num w:numId="9" w16cid:durableId="1863742993">
    <w:abstractNumId w:val="6"/>
  </w:num>
  <w:num w:numId="10" w16cid:durableId="50538599">
    <w:abstractNumId w:val="5"/>
  </w:num>
  <w:num w:numId="11" w16cid:durableId="1131828693">
    <w:abstractNumId w:val="3"/>
  </w:num>
  <w:num w:numId="12" w16cid:durableId="1093433892">
    <w:abstractNumId w:val="15"/>
  </w:num>
  <w:num w:numId="13" w16cid:durableId="272787516">
    <w:abstractNumId w:val="14"/>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46"/>
    <w:rsid w:val="00000224"/>
    <w:rsid w:val="00003978"/>
    <w:rsid w:val="00005986"/>
    <w:rsid w:val="000072B5"/>
    <w:rsid w:val="00012CD3"/>
    <w:rsid w:val="00014BDF"/>
    <w:rsid w:val="000154D5"/>
    <w:rsid w:val="00015F44"/>
    <w:rsid w:val="00017216"/>
    <w:rsid w:val="00021A1A"/>
    <w:rsid w:val="000235D4"/>
    <w:rsid w:val="000257D7"/>
    <w:rsid w:val="00026401"/>
    <w:rsid w:val="00043083"/>
    <w:rsid w:val="00051CC0"/>
    <w:rsid w:val="0005287A"/>
    <w:rsid w:val="00052B4C"/>
    <w:rsid w:val="0005504C"/>
    <w:rsid w:val="00057F11"/>
    <w:rsid w:val="00062B82"/>
    <w:rsid w:val="00067C71"/>
    <w:rsid w:val="00071CE6"/>
    <w:rsid w:val="00072B90"/>
    <w:rsid w:val="00081524"/>
    <w:rsid w:val="00081E3B"/>
    <w:rsid w:val="00083C26"/>
    <w:rsid w:val="0008726B"/>
    <w:rsid w:val="00092A37"/>
    <w:rsid w:val="00096C19"/>
    <w:rsid w:val="000A5622"/>
    <w:rsid w:val="000B111C"/>
    <w:rsid w:val="000C1227"/>
    <w:rsid w:val="000C71F5"/>
    <w:rsid w:val="000D7E4B"/>
    <w:rsid w:val="000E5B30"/>
    <w:rsid w:val="000F32D0"/>
    <w:rsid w:val="000F7471"/>
    <w:rsid w:val="00101302"/>
    <w:rsid w:val="00104BBC"/>
    <w:rsid w:val="00105E23"/>
    <w:rsid w:val="00106ECE"/>
    <w:rsid w:val="001111D6"/>
    <w:rsid w:val="001123E1"/>
    <w:rsid w:val="00115489"/>
    <w:rsid w:val="00115AEB"/>
    <w:rsid w:val="001249E2"/>
    <w:rsid w:val="00124E94"/>
    <w:rsid w:val="001276FE"/>
    <w:rsid w:val="0013118C"/>
    <w:rsid w:val="00131E3D"/>
    <w:rsid w:val="00133F6A"/>
    <w:rsid w:val="00134F5C"/>
    <w:rsid w:val="001378CA"/>
    <w:rsid w:val="00140AAC"/>
    <w:rsid w:val="00143651"/>
    <w:rsid w:val="00147145"/>
    <w:rsid w:val="00150EC1"/>
    <w:rsid w:val="00150EE7"/>
    <w:rsid w:val="00150F2F"/>
    <w:rsid w:val="00153C73"/>
    <w:rsid w:val="001639FA"/>
    <w:rsid w:val="00164036"/>
    <w:rsid w:val="00165B6D"/>
    <w:rsid w:val="00173B88"/>
    <w:rsid w:val="00183219"/>
    <w:rsid w:val="00183F98"/>
    <w:rsid w:val="001855EA"/>
    <w:rsid w:val="00185F52"/>
    <w:rsid w:val="00193951"/>
    <w:rsid w:val="0019407B"/>
    <w:rsid w:val="001A02AD"/>
    <w:rsid w:val="001A132C"/>
    <w:rsid w:val="001A44E7"/>
    <w:rsid w:val="001A6068"/>
    <w:rsid w:val="001A6553"/>
    <w:rsid w:val="001B161C"/>
    <w:rsid w:val="001B6AEC"/>
    <w:rsid w:val="001B7421"/>
    <w:rsid w:val="001C2409"/>
    <w:rsid w:val="001D0822"/>
    <w:rsid w:val="001D6AAD"/>
    <w:rsid w:val="001E06DF"/>
    <w:rsid w:val="001E0B57"/>
    <w:rsid w:val="001E6A9F"/>
    <w:rsid w:val="001F1896"/>
    <w:rsid w:val="001F3461"/>
    <w:rsid w:val="001F70E6"/>
    <w:rsid w:val="0020107E"/>
    <w:rsid w:val="00203EA2"/>
    <w:rsid w:val="00205657"/>
    <w:rsid w:val="00205AD6"/>
    <w:rsid w:val="002121B9"/>
    <w:rsid w:val="0021261B"/>
    <w:rsid w:val="002201B7"/>
    <w:rsid w:val="00225BC0"/>
    <w:rsid w:val="0023054B"/>
    <w:rsid w:val="002339EA"/>
    <w:rsid w:val="002371B4"/>
    <w:rsid w:val="00237533"/>
    <w:rsid w:val="00244839"/>
    <w:rsid w:val="00245178"/>
    <w:rsid w:val="002514A1"/>
    <w:rsid w:val="00252B7B"/>
    <w:rsid w:val="002665C5"/>
    <w:rsid w:val="0027152B"/>
    <w:rsid w:val="00272AA4"/>
    <w:rsid w:val="00287D53"/>
    <w:rsid w:val="0029029C"/>
    <w:rsid w:val="00291E66"/>
    <w:rsid w:val="0029676C"/>
    <w:rsid w:val="002969D8"/>
    <w:rsid w:val="00297582"/>
    <w:rsid w:val="00297676"/>
    <w:rsid w:val="00297B4B"/>
    <w:rsid w:val="00297DA1"/>
    <w:rsid w:val="002B4FF6"/>
    <w:rsid w:val="002D22C7"/>
    <w:rsid w:val="002E1666"/>
    <w:rsid w:val="002E2CCF"/>
    <w:rsid w:val="002E547C"/>
    <w:rsid w:val="002E7831"/>
    <w:rsid w:val="002F6704"/>
    <w:rsid w:val="0030109F"/>
    <w:rsid w:val="00301AB6"/>
    <w:rsid w:val="00303EF1"/>
    <w:rsid w:val="00310A90"/>
    <w:rsid w:val="00317C9F"/>
    <w:rsid w:val="00331D2C"/>
    <w:rsid w:val="0033372E"/>
    <w:rsid w:val="003362F8"/>
    <w:rsid w:val="00340841"/>
    <w:rsid w:val="0034255E"/>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2374"/>
    <w:rsid w:val="00386712"/>
    <w:rsid w:val="00390A08"/>
    <w:rsid w:val="00392C96"/>
    <w:rsid w:val="00393170"/>
    <w:rsid w:val="003A1838"/>
    <w:rsid w:val="003A3D1C"/>
    <w:rsid w:val="003B12FB"/>
    <w:rsid w:val="003B13D7"/>
    <w:rsid w:val="003B2535"/>
    <w:rsid w:val="003B6C8D"/>
    <w:rsid w:val="003B784D"/>
    <w:rsid w:val="003C45E1"/>
    <w:rsid w:val="003C597F"/>
    <w:rsid w:val="003D19E6"/>
    <w:rsid w:val="003E1978"/>
    <w:rsid w:val="003E2238"/>
    <w:rsid w:val="003E38E3"/>
    <w:rsid w:val="003E52D6"/>
    <w:rsid w:val="003F0791"/>
    <w:rsid w:val="003F5A26"/>
    <w:rsid w:val="00402A50"/>
    <w:rsid w:val="0040657D"/>
    <w:rsid w:val="00407CA8"/>
    <w:rsid w:val="00407E46"/>
    <w:rsid w:val="00410D2D"/>
    <w:rsid w:val="004114BA"/>
    <w:rsid w:val="00411BBC"/>
    <w:rsid w:val="00416629"/>
    <w:rsid w:val="004201E0"/>
    <w:rsid w:val="004241B9"/>
    <w:rsid w:val="004258F9"/>
    <w:rsid w:val="00425AA0"/>
    <w:rsid w:val="00432DE0"/>
    <w:rsid w:val="00433D6F"/>
    <w:rsid w:val="004363F2"/>
    <w:rsid w:val="0043743D"/>
    <w:rsid w:val="00442819"/>
    <w:rsid w:val="00442889"/>
    <w:rsid w:val="004458DE"/>
    <w:rsid w:val="004466EF"/>
    <w:rsid w:val="00447327"/>
    <w:rsid w:val="0045000E"/>
    <w:rsid w:val="0045730F"/>
    <w:rsid w:val="00461A9A"/>
    <w:rsid w:val="00461AE6"/>
    <w:rsid w:val="00462D7A"/>
    <w:rsid w:val="004639D3"/>
    <w:rsid w:val="004673D3"/>
    <w:rsid w:val="00470861"/>
    <w:rsid w:val="0047638D"/>
    <w:rsid w:val="0047654C"/>
    <w:rsid w:val="0048247F"/>
    <w:rsid w:val="004846B0"/>
    <w:rsid w:val="004857E1"/>
    <w:rsid w:val="004863EB"/>
    <w:rsid w:val="004907D7"/>
    <w:rsid w:val="004947A0"/>
    <w:rsid w:val="0049681B"/>
    <w:rsid w:val="004968AD"/>
    <w:rsid w:val="004A0DE8"/>
    <w:rsid w:val="004A182F"/>
    <w:rsid w:val="004A1ACA"/>
    <w:rsid w:val="004A1E32"/>
    <w:rsid w:val="004A54CE"/>
    <w:rsid w:val="004A6075"/>
    <w:rsid w:val="004A752B"/>
    <w:rsid w:val="004B0E7D"/>
    <w:rsid w:val="004B387A"/>
    <w:rsid w:val="004B7369"/>
    <w:rsid w:val="004B7CE3"/>
    <w:rsid w:val="004C24CF"/>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51DD8"/>
    <w:rsid w:val="005557C1"/>
    <w:rsid w:val="00555C13"/>
    <w:rsid w:val="00561028"/>
    <w:rsid w:val="00566A3D"/>
    <w:rsid w:val="005678BB"/>
    <w:rsid w:val="00572C53"/>
    <w:rsid w:val="00580F29"/>
    <w:rsid w:val="005820DB"/>
    <w:rsid w:val="005825AC"/>
    <w:rsid w:val="0058260A"/>
    <w:rsid w:val="0058455D"/>
    <w:rsid w:val="00584623"/>
    <w:rsid w:val="00594523"/>
    <w:rsid w:val="005A5B29"/>
    <w:rsid w:val="005A6D47"/>
    <w:rsid w:val="005B033F"/>
    <w:rsid w:val="005B59BC"/>
    <w:rsid w:val="005B68AE"/>
    <w:rsid w:val="005C3A7D"/>
    <w:rsid w:val="005C48F2"/>
    <w:rsid w:val="005E1C29"/>
    <w:rsid w:val="005E3A56"/>
    <w:rsid w:val="005F2B44"/>
    <w:rsid w:val="005F4F38"/>
    <w:rsid w:val="00606E99"/>
    <w:rsid w:val="00610563"/>
    <w:rsid w:val="006107EF"/>
    <w:rsid w:val="0062308A"/>
    <w:rsid w:val="00630927"/>
    <w:rsid w:val="00630A1A"/>
    <w:rsid w:val="00632295"/>
    <w:rsid w:val="00632461"/>
    <w:rsid w:val="00635F6B"/>
    <w:rsid w:val="00640803"/>
    <w:rsid w:val="00640F2D"/>
    <w:rsid w:val="00641AC2"/>
    <w:rsid w:val="006469DF"/>
    <w:rsid w:val="00646AB1"/>
    <w:rsid w:val="006501CA"/>
    <w:rsid w:val="00651EE8"/>
    <w:rsid w:val="0065374E"/>
    <w:rsid w:val="0065535B"/>
    <w:rsid w:val="00662F45"/>
    <w:rsid w:val="006657D7"/>
    <w:rsid w:val="00665D22"/>
    <w:rsid w:val="00666274"/>
    <w:rsid w:val="00672126"/>
    <w:rsid w:val="0067432D"/>
    <w:rsid w:val="00675B7E"/>
    <w:rsid w:val="00677DF6"/>
    <w:rsid w:val="00680240"/>
    <w:rsid w:val="006821D2"/>
    <w:rsid w:val="0068435B"/>
    <w:rsid w:val="00685328"/>
    <w:rsid w:val="006859F4"/>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7508"/>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6634"/>
    <w:rsid w:val="00722C09"/>
    <w:rsid w:val="007248A2"/>
    <w:rsid w:val="00732FBC"/>
    <w:rsid w:val="007347F0"/>
    <w:rsid w:val="007351D5"/>
    <w:rsid w:val="007415A2"/>
    <w:rsid w:val="00752144"/>
    <w:rsid w:val="00757FD8"/>
    <w:rsid w:val="00760894"/>
    <w:rsid w:val="00762438"/>
    <w:rsid w:val="00763715"/>
    <w:rsid w:val="00764327"/>
    <w:rsid w:val="00764E9F"/>
    <w:rsid w:val="00770D2E"/>
    <w:rsid w:val="00771E61"/>
    <w:rsid w:val="007852F8"/>
    <w:rsid w:val="00786552"/>
    <w:rsid w:val="00790B45"/>
    <w:rsid w:val="007922E7"/>
    <w:rsid w:val="00792E41"/>
    <w:rsid w:val="00792E4C"/>
    <w:rsid w:val="00797213"/>
    <w:rsid w:val="007A0445"/>
    <w:rsid w:val="007A13D0"/>
    <w:rsid w:val="007A570B"/>
    <w:rsid w:val="007B151D"/>
    <w:rsid w:val="007B2E6E"/>
    <w:rsid w:val="007C13AC"/>
    <w:rsid w:val="007C2E58"/>
    <w:rsid w:val="007C3522"/>
    <w:rsid w:val="007C454E"/>
    <w:rsid w:val="007C7ED1"/>
    <w:rsid w:val="007D219A"/>
    <w:rsid w:val="007D34AD"/>
    <w:rsid w:val="007E0634"/>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601B0"/>
    <w:rsid w:val="00861C08"/>
    <w:rsid w:val="00865172"/>
    <w:rsid w:val="0087040B"/>
    <w:rsid w:val="008739C8"/>
    <w:rsid w:val="00875747"/>
    <w:rsid w:val="00881869"/>
    <w:rsid w:val="008917AD"/>
    <w:rsid w:val="008946E7"/>
    <w:rsid w:val="008960B0"/>
    <w:rsid w:val="008A0C54"/>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E81"/>
    <w:rsid w:val="00900AFF"/>
    <w:rsid w:val="00902AC4"/>
    <w:rsid w:val="00905630"/>
    <w:rsid w:val="00906793"/>
    <w:rsid w:val="00911920"/>
    <w:rsid w:val="00914500"/>
    <w:rsid w:val="00915D2C"/>
    <w:rsid w:val="009200C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669C1"/>
    <w:rsid w:val="009727E5"/>
    <w:rsid w:val="009740A1"/>
    <w:rsid w:val="0097679C"/>
    <w:rsid w:val="00980E85"/>
    <w:rsid w:val="009860B1"/>
    <w:rsid w:val="00987573"/>
    <w:rsid w:val="00987D1B"/>
    <w:rsid w:val="00991FC7"/>
    <w:rsid w:val="00994889"/>
    <w:rsid w:val="00995BAE"/>
    <w:rsid w:val="009A0136"/>
    <w:rsid w:val="009A0EF7"/>
    <w:rsid w:val="009A0EFC"/>
    <w:rsid w:val="009A15FC"/>
    <w:rsid w:val="009A270D"/>
    <w:rsid w:val="009A4F53"/>
    <w:rsid w:val="009A5930"/>
    <w:rsid w:val="009A65BA"/>
    <w:rsid w:val="009A7126"/>
    <w:rsid w:val="009B0A87"/>
    <w:rsid w:val="009B1229"/>
    <w:rsid w:val="009B25F5"/>
    <w:rsid w:val="009B4E57"/>
    <w:rsid w:val="009B5C4F"/>
    <w:rsid w:val="009B60E1"/>
    <w:rsid w:val="009B6390"/>
    <w:rsid w:val="009B6DBE"/>
    <w:rsid w:val="009C107F"/>
    <w:rsid w:val="009C1104"/>
    <w:rsid w:val="009C22A0"/>
    <w:rsid w:val="009D1177"/>
    <w:rsid w:val="009D4AF8"/>
    <w:rsid w:val="009D56D9"/>
    <w:rsid w:val="009D622E"/>
    <w:rsid w:val="009D79CD"/>
    <w:rsid w:val="009E1ED9"/>
    <w:rsid w:val="009E2620"/>
    <w:rsid w:val="009E52B6"/>
    <w:rsid w:val="009E5660"/>
    <w:rsid w:val="009F4817"/>
    <w:rsid w:val="009F713A"/>
    <w:rsid w:val="00A001B1"/>
    <w:rsid w:val="00A00662"/>
    <w:rsid w:val="00A03AF2"/>
    <w:rsid w:val="00A0512B"/>
    <w:rsid w:val="00A052F6"/>
    <w:rsid w:val="00A10456"/>
    <w:rsid w:val="00A13A94"/>
    <w:rsid w:val="00A203DB"/>
    <w:rsid w:val="00A225AF"/>
    <w:rsid w:val="00A2381C"/>
    <w:rsid w:val="00A23F96"/>
    <w:rsid w:val="00A262D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77"/>
    <w:rsid w:val="00A9198C"/>
    <w:rsid w:val="00A92C02"/>
    <w:rsid w:val="00A93AD6"/>
    <w:rsid w:val="00A94A67"/>
    <w:rsid w:val="00A959BB"/>
    <w:rsid w:val="00A95C29"/>
    <w:rsid w:val="00A97B76"/>
    <w:rsid w:val="00AA7B43"/>
    <w:rsid w:val="00AC0387"/>
    <w:rsid w:val="00AC1F59"/>
    <w:rsid w:val="00AC3D8C"/>
    <w:rsid w:val="00AC637F"/>
    <w:rsid w:val="00AD52B8"/>
    <w:rsid w:val="00AE117F"/>
    <w:rsid w:val="00AE330D"/>
    <w:rsid w:val="00AE7F4C"/>
    <w:rsid w:val="00AF29E6"/>
    <w:rsid w:val="00AF57B3"/>
    <w:rsid w:val="00B0744F"/>
    <w:rsid w:val="00B10CC1"/>
    <w:rsid w:val="00B20E20"/>
    <w:rsid w:val="00B23E77"/>
    <w:rsid w:val="00B23EF3"/>
    <w:rsid w:val="00B26C04"/>
    <w:rsid w:val="00B33B6D"/>
    <w:rsid w:val="00B347E2"/>
    <w:rsid w:val="00B36433"/>
    <w:rsid w:val="00B42FDE"/>
    <w:rsid w:val="00B43090"/>
    <w:rsid w:val="00B4731B"/>
    <w:rsid w:val="00B51A14"/>
    <w:rsid w:val="00B57F3B"/>
    <w:rsid w:val="00B61DF2"/>
    <w:rsid w:val="00B65DCC"/>
    <w:rsid w:val="00B660B9"/>
    <w:rsid w:val="00B673CF"/>
    <w:rsid w:val="00B74276"/>
    <w:rsid w:val="00B7606A"/>
    <w:rsid w:val="00B86B40"/>
    <w:rsid w:val="00B92F0C"/>
    <w:rsid w:val="00B94E9E"/>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C07928"/>
    <w:rsid w:val="00C109D3"/>
    <w:rsid w:val="00C11053"/>
    <w:rsid w:val="00C1691A"/>
    <w:rsid w:val="00C1717A"/>
    <w:rsid w:val="00C1781F"/>
    <w:rsid w:val="00C23346"/>
    <w:rsid w:val="00C27859"/>
    <w:rsid w:val="00C31730"/>
    <w:rsid w:val="00C51579"/>
    <w:rsid w:val="00C56CDE"/>
    <w:rsid w:val="00C61DB7"/>
    <w:rsid w:val="00C6752C"/>
    <w:rsid w:val="00C678D4"/>
    <w:rsid w:val="00C73020"/>
    <w:rsid w:val="00C73455"/>
    <w:rsid w:val="00C761F8"/>
    <w:rsid w:val="00C764B2"/>
    <w:rsid w:val="00C83077"/>
    <w:rsid w:val="00C8315E"/>
    <w:rsid w:val="00C865CE"/>
    <w:rsid w:val="00C9095C"/>
    <w:rsid w:val="00C92BEA"/>
    <w:rsid w:val="00C954AC"/>
    <w:rsid w:val="00CA34D7"/>
    <w:rsid w:val="00CA4AD9"/>
    <w:rsid w:val="00CA7E9C"/>
    <w:rsid w:val="00CA7F3D"/>
    <w:rsid w:val="00CB02E0"/>
    <w:rsid w:val="00CB187D"/>
    <w:rsid w:val="00CC30F0"/>
    <w:rsid w:val="00CC32F3"/>
    <w:rsid w:val="00CD1784"/>
    <w:rsid w:val="00CD1AAF"/>
    <w:rsid w:val="00CD6333"/>
    <w:rsid w:val="00CD67A5"/>
    <w:rsid w:val="00CE0FC3"/>
    <w:rsid w:val="00CE13F7"/>
    <w:rsid w:val="00CE24F8"/>
    <w:rsid w:val="00CE468C"/>
    <w:rsid w:val="00CF220E"/>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627A8"/>
    <w:rsid w:val="00D64D6E"/>
    <w:rsid w:val="00D6540B"/>
    <w:rsid w:val="00D74DFB"/>
    <w:rsid w:val="00D76C8D"/>
    <w:rsid w:val="00D76D56"/>
    <w:rsid w:val="00D81314"/>
    <w:rsid w:val="00D81D1A"/>
    <w:rsid w:val="00D8248F"/>
    <w:rsid w:val="00D82520"/>
    <w:rsid w:val="00D83ACB"/>
    <w:rsid w:val="00D83DCB"/>
    <w:rsid w:val="00D83F43"/>
    <w:rsid w:val="00D86B58"/>
    <w:rsid w:val="00D927B8"/>
    <w:rsid w:val="00D933BC"/>
    <w:rsid w:val="00D9394D"/>
    <w:rsid w:val="00DA60DF"/>
    <w:rsid w:val="00DB10A5"/>
    <w:rsid w:val="00DB3901"/>
    <w:rsid w:val="00DB7060"/>
    <w:rsid w:val="00DB7E1A"/>
    <w:rsid w:val="00DB7F7B"/>
    <w:rsid w:val="00DC1D67"/>
    <w:rsid w:val="00DC47C0"/>
    <w:rsid w:val="00DC675E"/>
    <w:rsid w:val="00DD3430"/>
    <w:rsid w:val="00DD3D3C"/>
    <w:rsid w:val="00DD3F10"/>
    <w:rsid w:val="00DD708A"/>
    <w:rsid w:val="00DE0E3A"/>
    <w:rsid w:val="00DE102A"/>
    <w:rsid w:val="00DE26FF"/>
    <w:rsid w:val="00DE3C40"/>
    <w:rsid w:val="00DF539A"/>
    <w:rsid w:val="00DF7671"/>
    <w:rsid w:val="00E0234F"/>
    <w:rsid w:val="00E03981"/>
    <w:rsid w:val="00E04D7E"/>
    <w:rsid w:val="00E07049"/>
    <w:rsid w:val="00E11A1F"/>
    <w:rsid w:val="00E1323D"/>
    <w:rsid w:val="00E16359"/>
    <w:rsid w:val="00E166FE"/>
    <w:rsid w:val="00E34D4A"/>
    <w:rsid w:val="00E355BB"/>
    <w:rsid w:val="00E36E61"/>
    <w:rsid w:val="00E36FF7"/>
    <w:rsid w:val="00E426BD"/>
    <w:rsid w:val="00E4339E"/>
    <w:rsid w:val="00E462D4"/>
    <w:rsid w:val="00E46E03"/>
    <w:rsid w:val="00E473C4"/>
    <w:rsid w:val="00E5420C"/>
    <w:rsid w:val="00E56485"/>
    <w:rsid w:val="00E60914"/>
    <w:rsid w:val="00E65439"/>
    <w:rsid w:val="00E6626F"/>
    <w:rsid w:val="00E66736"/>
    <w:rsid w:val="00E81591"/>
    <w:rsid w:val="00E83591"/>
    <w:rsid w:val="00E95A46"/>
    <w:rsid w:val="00EA184C"/>
    <w:rsid w:val="00EA1FEE"/>
    <w:rsid w:val="00EA3D4F"/>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139B"/>
    <w:rsid w:val="00EE69F8"/>
    <w:rsid w:val="00EF2B11"/>
    <w:rsid w:val="00EF581A"/>
    <w:rsid w:val="00EF6E77"/>
    <w:rsid w:val="00EF7332"/>
    <w:rsid w:val="00F00CB3"/>
    <w:rsid w:val="00F0456A"/>
    <w:rsid w:val="00F078EB"/>
    <w:rsid w:val="00F13190"/>
    <w:rsid w:val="00F13CF5"/>
    <w:rsid w:val="00F20B5F"/>
    <w:rsid w:val="00F23E5D"/>
    <w:rsid w:val="00F248BD"/>
    <w:rsid w:val="00F320C2"/>
    <w:rsid w:val="00F34739"/>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3DB3"/>
    <w:rsid w:val="00F85C21"/>
    <w:rsid w:val="00F87366"/>
    <w:rsid w:val="00F877C8"/>
    <w:rsid w:val="00F94DE8"/>
    <w:rsid w:val="00F97891"/>
    <w:rsid w:val="00FA159A"/>
    <w:rsid w:val="00FA1A95"/>
    <w:rsid w:val="00FA37F8"/>
    <w:rsid w:val="00FA4B31"/>
    <w:rsid w:val="00FA50C7"/>
    <w:rsid w:val="00FA5A33"/>
    <w:rsid w:val="00FB5B33"/>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AC4"/>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paragraph" w:styleId="Heading6">
    <w:name w:val="heading 6"/>
    <w:basedOn w:val="Normal"/>
    <w:next w:val="Normal"/>
    <w:link w:val="Heading6Char"/>
    <w:uiPriority w:val="9"/>
    <w:unhideWhenUsed/>
    <w:rsid w:val="0033372E"/>
    <w:pPr>
      <w:keepNext/>
      <w:keepLines/>
      <w:spacing w:before="40" w:after="0"/>
      <w:outlineLvl w:val="5"/>
    </w:pPr>
    <w:rPr>
      <w:rFonts w:asciiTheme="majorHAnsi" w:eastAsiaTheme="majorEastAsia" w:hAnsiTheme="majorHAnsi" w:cstheme="majorBidi"/>
      <w:color w:val="151233" w:themeColor="accent1" w:themeShade="7F"/>
    </w:rPr>
  </w:style>
  <w:style w:type="paragraph" w:styleId="Heading7">
    <w:name w:val="heading 7"/>
    <w:basedOn w:val="Normal"/>
    <w:next w:val="Normal"/>
    <w:link w:val="Heading7Char"/>
    <w:uiPriority w:val="9"/>
    <w:unhideWhenUsed/>
    <w:rsid w:val="00FA1A95"/>
    <w:pPr>
      <w:keepNext/>
      <w:keepLines/>
      <w:spacing w:before="40" w:after="0"/>
      <w:outlineLvl w:val="6"/>
    </w:pPr>
    <w:rPr>
      <w:rFonts w:asciiTheme="majorHAnsi" w:eastAsiaTheme="majorEastAsia" w:hAnsiTheme="majorHAnsi" w:cstheme="majorBidi"/>
      <w:i/>
      <w:iCs/>
      <w:color w:val="15123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character" w:customStyle="1" w:styleId="Heading6Char">
    <w:name w:val="Heading 6 Char"/>
    <w:basedOn w:val="DefaultParagraphFont"/>
    <w:link w:val="Heading6"/>
    <w:uiPriority w:val="9"/>
    <w:rsid w:val="0033372E"/>
    <w:rPr>
      <w:rFonts w:asciiTheme="majorHAnsi" w:eastAsiaTheme="majorEastAsia" w:hAnsiTheme="majorHAnsi" w:cstheme="majorBidi"/>
      <w:color w:val="151233" w:themeColor="accent1" w:themeShade="7F"/>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eading1HQSC">
    <w:name w:val="Heading 1 HQSC"/>
    <w:basedOn w:val="Heading1"/>
    <w:qFormat/>
    <w:rsid w:val="00A313E6"/>
    <w:rPr>
      <w:rFonts w:cs="Arial"/>
      <w:color w:val="293868"/>
    </w:rPr>
  </w:style>
  <w:style w:type="paragraph" w:customStyle="1" w:styleId="BodytextHQSC">
    <w:name w:val="Body text HQSC"/>
    <w:basedOn w:val="Normal"/>
    <w:qFormat/>
    <w:rsid w:val="00D8248F"/>
    <w:rPr>
      <w:rFonts w:cs="Arial"/>
    </w:rPr>
  </w:style>
  <w:style w:type="paragraph" w:customStyle="1" w:styleId="BulletsHQSC">
    <w:name w:val="Bullets HQSC"/>
    <w:basedOn w:val="Bullets"/>
    <w:qFormat/>
    <w:rsid w:val="00792E41"/>
  </w:style>
  <w:style w:type="paragraph" w:customStyle="1" w:styleId="IndentedquoteHQSC">
    <w:name w:val="Indented quote HQSC"/>
    <w:basedOn w:val="Quote"/>
    <w:qFormat/>
    <w:rsid w:val="009B60E1"/>
    <w:rPr>
      <w:rFonts w:cs="Arial"/>
      <w:color w:val="auto"/>
    </w:rPr>
  </w:style>
  <w:style w:type="paragraph" w:customStyle="1" w:styleId="SourceHQSC">
    <w:name w:val="Source HQSC"/>
    <w:basedOn w:val="NormalIndent"/>
    <w:qFormat/>
    <w:rsid w:val="00792E41"/>
    <w:rPr>
      <w:rFonts w:cs="Arial"/>
    </w:rPr>
  </w:style>
  <w:style w:type="paragraph" w:customStyle="1" w:styleId="Heading2HQSC">
    <w:name w:val="Heading 2 HQSC"/>
    <w:basedOn w:val="Heading2"/>
    <w:qFormat/>
    <w:rsid w:val="003C597F"/>
    <w:rPr>
      <w:rFonts w:cs="Arial"/>
      <w:i w:val="0"/>
      <w:color w:val="293868"/>
    </w:rPr>
  </w:style>
  <w:style w:type="paragraph" w:customStyle="1" w:styleId="Heading3HQSC">
    <w:name w:val="Heading 3 HQSC"/>
    <w:basedOn w:val="Heading3"/>
    <w:qFormat/>
    <w:rsid w:val="00792E41"/>
    <w:rPr>
      <w:rFonts w:cs="Arial"/>
    </w:rPr>
  </w:style>
  <w:style w:type="paragraph" w:customStyle="1" w:styleId="TablefigurecaptionHQSC">
    <w:name w:val="Table/figure caption HQSC"/>
    <w:basedOn w:val="Figuretableheading"/>
    <w:qFormat/>
    <w:rsid w:val="00792E41"/>
  </w:style>
  <w:style w:type="paragraph" w:customStyle="1" w:styleId="TablecolumnheadHQSC">
    <w:name w:val="Table column head HQSC"/>
    <w:basedOn w:val="Normal"/>
    <w:qFormat/>
    <w:rsid w:val="00792E41"/>
    <w:pPr>
      <w:framePr w:hSpace="180" w:wrap="around" w:vAnchor="text" w:hAnchor="margin" w:y="2"/>
      <w:spacing w:before="60" w:after="60" w:line="240" w:lineRule="auto"/>
    </w:pPr>
    <w:rPr>
      <w:rFonts w:cs="Arial"/>
      <w:b/>
    </w:rPr>
  </w:style>
  <w:style w:type="paragraph" w:customStyle="1" w:styleId="TablecontentHQSC">
    <w:name w:val="Table content HQSC"/>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character" w:styleId="Strong">
    <w:name w:val="Strong"/>
    <w:basedOn w:val="DefaultParagraphFont"/>
    <w:uiPriority w:val="22"/>
    <w:rsid w:val="00FA1A95"/>
    <w:rPr>
      <w:b/>
      <w:bCs/>
    </w:rPr>
  </w:style>
  <w:style w:type="character" w:customStyle="1" w:styleId="Heading7Char">
    <w:name w:val="Heading 7 Char"/>
    <w:basedOn w:val="DefaultParagraphFont"/>
    <w:link w:val="Heading7"/>
    <w:uiPriority w:val="9"/>
    <w:rsid w:val="00FA1A95"/>
    <w:rPr>
      <w:rFonts w:asciiTheme="majorHAnsi" w:eastAsiaTheme="majorEastAsia" w:hAnsiTheme="majorHAnsi" w:cstheme="majorBidi"/>
      <w:i/>
      <w:iCs/>
      <w:color w:val="151233" w:themeColor="accent1" w:themeShade="7F"/>
    </w:rPr>
  </w:style>
  <w:style w:type="paragraph" w:customStyle="1" w:styleId="Runningfooter">
    <w:name w:val="Running footer"/>
    <w:basedOn w:val="Heading7"/>
    <w:link w:val="RunningfooterChar"/>
    <w:qFormat/>
    <w:rsid w:val="009D1177"/>
    <w:rPr>
      <w:rFonts w:ascii="Arial" w:hAnsi="Arial" w:cs="Arial"/>
      <w:i w:val="0"/>
      <w:iCs w:val="0"/>
    </w:rPr>
  </w:style>
  <w:style w:type="character" w:customStyle="1" w:styleId="RunningfooterChar">
    <w:name w:val="Running footer Char"/>
    <w:basedOn w:val="Heading7Char"/>
    <w:link w:val="Runningfooter"/>
    <w:rsid w:val="009D1177"/>
    <w:rPr>
      <w:rFonts w:ascii="Arial" w:eastAsiaTheme="majorEastAsia" w:hAnsi="Arial" w:cs="Arial"/>
      <w:i w:val="0"/>
      <w:iCs w:val="0"/>
      <w:color w:val="151233" w:themeColor="accent1" w:themeShade="7F"/>
    </w:rPr>
  </w:style>
  <w:style w:type="paragraph" w:customStyle="1" w:styleId="TeThHauorahead1">
    <w:name w:val="Te Tāhū Hauora head 1"/>
    <w:basedOn w:val="Heading1"/>
    <w:qFormat/>
    <w:rsid w:val="00407E46"/>
    <w:rPr>
      <w:rFonts w:cs="Arial"/>
      <w:color w:val="293868"/>
    </w:rPr>
  </w:style>
  <w:style w:type="paragraph" w:customStyle="1" w:styleId="TeThHauorabodytext">
    <w:name w:val="Te Tāhū Hauora body text"/>
    <w:basedOn w:val="Normal"/>
    <w:qFormat/>
    <w:rsid w:val="00407E46"/>
    <w:rPr>
      <w:rFonts w:cs="Arial"/>
    </w:rPr>
  </w:style>
  <w:style w:type="paragraph" w:customStyle="1" w:styleId="TeThHauorabullets">
    <w:name w:val="Te Tāhū Hauora bullets"/>
    <w:basedOn w:val="Bullets"/>
    <w:qFormat/>
    <w:rsid w:val="00407E46"/>
  </w:style>
  <w:style w:type="paragraph" w:customStyle="1" w:styleId="TeThHauorahead2">
    <w:name w:val="Te Tāhū Hauora head 2"/>
    <w:basedOn w:val="Heading2"/>
    <w:qFormat/>
    <w:rsid w:val="00407E46"/>
    <w:rPr>
      <w:rFonts w:cs="Arial"/>
      <w:color w:val="293868"/>
    </w:rPr>
  </w:style>
  <w:style w:type="character" w:styleId="FollowedHyperlink">
    <w:name w:val="FollowedHyperlink"/>
    <w:basedOn w:val="DefaultParagraphFont"/>
    <w:uiPriority w:val="99"/>
    <w:semiHidden/>
    <w:unhideWhenUsed/>
    <w:rsid w:val="00407E46"/>
    <w:rPr>
      <w:color w:val="2C25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sc.govt.nz/resources/resource-library/paediatric-early-warning-system-pews-preparation-and-implementation-guide/" TargetMode="External"/><Relationship Id="rId13" Type="http://schemas.openxmlformats.org/officeDocument/2006/relationships/hyperlink" Target="https://koawatealearn.co.nz/course/view.php?id=11599"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hqsc.govt.nz/our-work/improved-service-delivery/sepsis/" TargetMode="External"/><Relationship Id="rId17" Type="http://schemas.openxmlformats.org/officeDocument/2006/relationships/hyperlink" Target="mailto:info@hqsc.govt.nz" TargetMode="External"/><Relationship Id="rId2" Type="http://schemas.openxmlformats.org/officeDocument/2006/relationships/styles" Target="styles.xml"/><Relationship Id="rId16" Type="http://schemas.openxmlformats.org/officeDocument/2006/relationships/hyperlink" Target="http://www.hqsc.govt.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qsc.govt.nz/resources/resource-library/pews-tools-and-guidance/" TargetMode="External"/><Relationship Id="rId5" Type="http://schemas.openxmlformats.org/officeDocument/2006/relationships/footnotes" Target="footnotes.xml"/><Relationship Id="rId15" Type="http://schemas.openxmlformats.org/officeDocument/2006/relationships/hyperlink" Target="https://www.hqsc.govt.nz/resources/resource-library/team-tamariki-paediatric-early-warning-system-pews-poster-for-whanau-tamariki-and-staff/" TargetMode="External"/><Relationship Id="rId10" Type="http://schemas.openxmlformats.org/officeDocument/2006/relationships/hyperlink" Target="https://www.hqsc.govt.nz/resources/resource-library/guide-to-recording-blood-pressure-in-acutely-unwell-tamariki-he-aratohu-hei-tuhi-i-te-taukapa-o-te-toto-i-te-tamariki-e-mauiui-an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qsc.govt.nz/resources/resource-library/video-how-to-take-blood-pressure-accurately-in-unwell-children/" TargetMode="External"/><Relationship Id="rId14" Type="http://schemas.openxmlformats.org/officeDocument/2006/relationships/hyperlink" Target="https://www.hqsc.govt.nz/resources/resource-library/team-tamariki-paediatric-early-warning-system-pews-poster-for-whanau-tamariki-and-staff/" TargetMode="Externa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2025-09-30T01:50:00Z</dcterms:created>
  <dcterms:modified xsi:type="dcterms:W3CDTF">2025-09-30T01:52:00Z</dcterms:modified>
</cp:coreProperties>
</file>