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E5C5" w14:textId="38DF058D" w:rsidR="00457489" w:rsidRPr="00C1622C" w:rsidRDefault="00C1622C" w:rsidP="00C1622C">
      <w:pPr>
        <w:pStyle w:val="Heading1"/>
        <w:spacing w:line="276" w:lineRule="auto"/>
      </w:pPr>
      <w:r>
        <w:rPr>
          <w:noProof/>
        </w:rPr>
        <w:drawing>
          <wp:anchor distT="0" distB="0" distL="114300" distR="114300" simplePos="0" relativeHeight="251657216" behindDoc="1" locked="0" layoutInCell="1" allowOverlap="1" wp14:anchorId="39B6B4FA" wp14:editId="785EFFFF">
            <wp:simplePos x="0" y="0"/>
            <wp:positionH relativeFrom="margin">
              <wp:align>right</wp:align>
            </wp:positionH>
            <wp:positionV relativeFrom="paragraph">
              <wp:posOffset>161925</wp:posOffset>
            </wp:positionV>
            <wp:extent cx="2000250" cy="591185"/>
            <wp:effectExtent l="0" t="0" r="0" b="0"/>
            <wp:wrapTight wrapText="bothSides">
              <wp:wrapPolygon edited="0">
                <wp:start x="0" y="0"/>
                <wp:lineTo x="0" y="20881"/>
                <wp:lineTo x="21394" y="20881"/>
                <wp:lineTo x="2139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FullVersion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591185"/>
                    </a:xfrm>
                    <a:prstGeom prst="rect">
                      <a:avLst/>
                    </a:prstGeom>
                  </pic:spPr>
                </pic:pic>
              </a:graphicData>
            </a:graphic>
            <wp14:sizeRelH relativeFrom="page">
              <wp14:pctWidth>0</wp14:pctWidth>
            </wp14:sizeRelH>
            <wp14:sizeRelV relativeFrom="page">
              <wp14:pctHeight>0</wp14:pctHeight>
            </wp14:sizeRelV>
          </wp:anchor>
        </w:drawing>
      </w:r>
      <w:r w:rsidR="00EF54FD" w:rsidRPr="00C1622C">
        <w:t xml:space="preserve">Questions and </w:t>
      </w:r>
      <w:r w:rsidRPr="00C1622C">
        <w:t>a</w:t>
      </w:r>
      <w:r w:rsidR="00EF54FD" w:rsidRPr="00C1622C">
        <w:t>nswers</w:t>
      </w:r>
      <w:r w:rsidR="00A41F78">
        <w:t xml:space="preserve"> from the webinar</w:t>
      </w:r>
      <w:r w:rsidR="00EF54FD" w:rsidRPr="00C1622C">
        <w:t xml:space="preserve"> </w:t>
      </w:r>
      <w:r w:rsidR="00A41F78">
        <w:t>‘</w:t>
      </w:r>
      <w:r w:rsidR="00457489" w:rsidRPr="00C1622C">
        <w:t>Equitable approaches to gout management</w:t>
      </w:r>
      <w:r w:rsidR="00A41F78">
        <w:t>’</w:t>
      </w:r>
    </w:p>
    <w:p w14:paraId="1462835F" w14:textId="77777777" w:rsidR="00526694" w:rsidRPr="00C1622C" w:rsidRDefault="00526694" w:rsidP="00C1622C">
      <w:pPr>
        <w:spacing w:line="276" w:lineRule="auto"/>
        <w:rPr>
          <w:rFonts w:ascii="Arial" w:hAnsi="Arial" w:cs="Arial"/>
          <w:lang w:val="en-NZ"/>
        </w:rPr>
      </w:pPr>
    </w:p>
    <w:p w14:paraId="10EBBB49" w14:textId="173D9880" w:rsidR="00C1622C" w:rsidRDefault="00C1622C" w:rsidP="00C1622C">
      <w:pPr>
        <w:spacing w:line="276" w:lineRule="auto"/>
        <w:rPr>
          <w:rFonts w:ascii="Arial" w:hAnsi="Arial" w:cs="Arial"/>
          <w:lang w:val="en-NZ"/>
        </w:rPr>
      </w:pPr>
      <w:r>
        <w:rPr>
          <w:rFonts w:ascii="Arial" w:hAnsi="Arial" w:cs="Arial"/>
          <w:lang w:val="en-NZ"/>
        </w:rPr>
        <w:t>The Health Quality &amp; Safety Commission held a webinar on 1 July 2020 focused on equitable approaches to gout management.</w:t>
      </w:r>
    </w:p>
    <w:p w14:paraId="79212767" w14:textId="575F309C" w:rsidR="00C1622C" w:rsidRDefault="00C1622C" w:rsidP="00C1622C">
      <w:pPr>
        <w:spacing w:line="276" w:lineRule="auto"/>
        <w:rPr>
          <w:rFonts w:ascii="Arial" w:hAnsi="Arial" w:cs="Arial"/>
          <w:lang w:val="en-NZ"/>
        </w:rPr>
      </w:pPr>
      <w:r>
        <w:rPr>
          <w:rFonts w:ascii="Arial" w:hAnsi="Arial" w:cs="Arial"/>
          <w:lang w:val="en-NZ"/>
        </w:rPr>
        <w:t xml:space="preserve">The following questions were asked during the </w:t>
      </w:r>
      <w:r w:rsidR="00A41F78">
        <w:rPr>
          <w:rFonts w:ascii="Arial" w:hAnsi="Arial" w:cs="Arial"/>
          <w:lang w:val="en-NZ"/>
        </w:rPr>
        <w:t>event or were unable to be answered due to time constraints. All questions have been answered and endorsed by the webinar panel.</w:t>
      </w:r>
    </w:p>
    <w:p w14:paraId="5A3B8B40" w14:textId="77777777" w:rsidR="00A41F78" w:rsidRPr="00C1622C" w:rsidRDefault="00A41F78" w:rsidP="00C1622C">
      <w:pPr>
        <w:spacing w:line="276" w:lineRule="auto"/>
        <w:rPr>
          <w:rFonts w:ascii="Arial" w:hAnsi="Arial" w:cs="Arial"/>
          <w:lang w:val="en-NZ"/>
        </w:rPr>
      </w:pPr>
    </w:p>
    <w:p w14:paraId="165BD1C2" w14:textId="5BD10998" w:rsidR="00C1622C" w:rsidRDefault="00C1622C" w:rsidP="00C1622C">
      <w:pPr>
        <w:pStyle w:val="Heading2"/>
        <w:pBdr>
          <w:bottom w:val="single" w:sz="4" w:space="1" w:color="auto"/>
        </w:pBdr>
        <w:spacing w:line="276" w:lineRule="auto"/>
        <w:rPr>
          <w:bCs/>
          <w:lang w:val="en-NZ"/>
        </w:rPr>
      </w:pPr>
      <w:r w:rsidRPr="00C1622C">
        <w:rPr>
          <w:bCs/>
          <w:lang w:val="en-NZ"/>
        </w:rPr>
        <w:t>Medication dosing</w:t>
      </w:r>
    </w:p>
    <w:p w14:paraId="7D69E2AF" w14:textId="77777777" w:rsidR="00C1622C" w:rsidRPr="00C1622C" w:rsidRDefault="00C1622C" w:rsidP="00C1622C">
      <w:pPr>
        <w:spacing w:line="276" w:lineRule="auto"/>
        <w:rPr>
          <w:lang w:val="en-NZ"/>
        </w:rPr>
      </w:pPr>
    </w:p>
    <w:p w14:paraId="319B24D4" w14:textId="4B1C43A4" w:rsidR="00C1622C" w:rsidRPr="00C1622C" w:rsidRDefault="00C1622C" w:rsidP="00C1622C">
      <w:pPr>
        <w:spacing w:line="276" w:lineRule="auto"/>
        <w:rPr>
          <w:rFonts w:ascii="Arial" w:hAnsi="Arial" w:cs="Arial"/>
          <w:b/>
          <w:bCs/>
        </w:rPr>
      </w:pPr>
      <w:r w:rsidRPr="00C1622C">
        <w:rPr>
          <w:rFonts w:ascii="Arial" w:hAnsi="Arial" w:cs="Arial"/>
          <w:b/>
          <w:bCs/>
        </w:rPr>
        <w:t>How often do you repeat serum urate levels when up-titrating allopurinol?</w:t>
      </w:r>
    </w:p>
    <w:p w14:paraId="2FCE2557" w14:textId="73AF646C" w:rsidR="00C1622C" w:rsidRPr="00C1622C" w:rsidRDefault="00C1622C" w:rsidP="00C1622C">
      <w:pPr>
        <w:spacing w:before="240" w:line="276" w:lineRule="auto"/>
        <w:rPr>
          <w:rFonts w:ascii="Arial" w:hAnsi="Arial" w:cs="Arial"/>
        </w:rPr>
      </w:pPr>
      <w:r w:rsidRPr="00C1622C">
        <w:rPr>
          <w:rFonts w:ascii="Arial" w:hAnsi="Arial" w:cs="Arial"/>
        </w:rPr>
        <w:t>Normally, I test the urate level each month or so while titrating the dose up. Once the urate is &lt;0.36mmol/L, the recommendation is to check every 6</w:t>
      </w:r>
      <w:r>
        <w:rPr>
          <w:rFonts w:ascii="Arial" w:hAnsi="Arial" w:cs="Arial"/>
        </w:rPr>
        <w:t>–</w:t>
      </w:r>
      <w:r w:rsidRPr="00C1622C">
        <w:rPr>
          <w:rFonts w:ascii="Arial" w:hAnsi="Arial" w:cs="Arial"/>
        </w:rPr>
        <w:t>12 months.</w:t>
      </w:r>
    </w:p>
    <w:p w14:paraId="30C91571" w14:textId="0A373C90" w:rsidR="00C1622C" w:rsidRPr="00C1622C" w:rsidRDefault="00C1622C" w:rsidP="00C1622C">
      <w:pPr>
        <w:spacing w:before="240" w:line="276" w:lineRule="auto"/>
        <w:rPr>
          <w:rFonts w:ascii="Arial" w:hAnsi="Arial" w:cs="Arial"/>
          <w:b/>
          <w:bCs/>
        </w:rPr>
      </w:pPr>
      <w:r w:rsidRPr="00C1622C">
        <w:rPr>
          <w:rFonts w:ascii="Arial" w:hAnsi="Arial" w:cs="Arial"/>
          <w:b/>
          <w:bCs/>
        </w:rPr>
        <w:t xml:space="preserve">If a person has been on long term allopurinol and their urate levels are extremely low </w:t>
      </w:r>
      <w:proofErr w:type="spellStart"/>
      <w:r w:rsidRPr="00C1622C">
        <w:rPr>
          <w:rFonts w:ascii="Arial" w:hAnsi="Arial" w:cs="Arial"/>
          <w:b/>
          <w:bCs/>
        </w:rPr>
        <w:t>ie</w:t>
      </w:r>
      <w:proofErr w:type="spellEnd"/>
      <w:r w:rsidRPr="00C1622C">
        <w:rPr>
          <w:rFonts w:ascii="Arial" w:hAnsi="Arial" w:cs="Arial"/>
          <w:b/>
          <w:bCs/>
        </w:rPr>
        <w:t xml:space="preserve">, below 0.2mmol/l, should the dose be reduced? </w:t>
      </w:r>
    </w:p>
    <w:p w14:paraId="48C31498" w14:textId="367FD596" w:rsidR="00C1622C" w:rsidRDefault="00C1622C" w:rsidP="00C1622C">
      <w:pPr>
        <w:spacing w:line="276" w:lineRule="auto"/>
        <w:rPr>
          <w:rFonts w:ascii="Arial" w:hAnsi="Arial" w:cs="Arial"/>
          <w:b/>
          <w:bCs/>
        </w:rPr>
      </w:pPr>
      <w:r w:rsidRPr="00C1622C">
        <w:rPr>
          <w:rFonts w:ascii="Arial" w:hAnsi="Arial" w:cs="Arial"/>
          <w:b/>
          <w:bCs/>
        </w:rPr>
        <w:t>Is there any risk associated with low serum urate levels?</w:t>
      </w:r>
    </w:p>
    <w:p w14:paraId="48F6935B" w14:textId="77777777" w:rsidR="00C1622C" w:rsidRPr="00C1622C" w:rsidRDefault="00C1622C" w:rsidP="00C1622C">
      <w:pPr>
        <w:spacing w:before="240" w:line="276" w:lineRule="auto"/>
        <w:rPr>
          <w:rFonts w:ascii="Arial" w:hAnsi="Arial" w:cs="Arial"/>
        </w:rPr>
      </w:pPr>
      <w:r w:rsidRPr="00C1622C">
        <w:rPr>
          <w:rFonts w:ascii="Arial" w:hAnsi="Arial" w:cs="Arial"/>
        </w:rPr>
        <w:t xml:space="preserve">I generally try to keep the urate above 0.20mmol/L. It’s probably not a big problem to have a level &lt;0.20mmol/L, but some observational studies (Yu et al 2017) have suggested a risk of Parkinson’s disease with very low urate levels. </w:t>
      </w:r>
    </w:p>
    <w:p w14:paraId="5337293C" w14:textId="71B153E8" w:rsidR="00C1622C" w:rsidRPr="00C1622C" w:rsidRDefault="00C1622C" w:rsidP="00C1622C">
      <w:pPr>
        <w:spacing w:line="276" w:lineRule="auto"/>
        <w:rPr>
          <w:rFonts w:ascii="Arial" w:hAnsi="Arial" w:cs="Arial"/>
          <w:b/>
          <w:bCs/>
        </w:rPr>
      </w:pPr>
      <w:r w:rsidRPr="00C1622C">
        <w:rPr>
          <w:rFonts w:ascii="Arial" w:hAnsi="Arial" w:cs="Arial"/>
          <w:b/>
          <w:bCs/>
        </w:rPr>
        <w:t xml:space="preserve">Is </w:t>
      </w:r>
      <w:proofErr w:type="gramStart"/>
      <w:r w:rsidRPr="00C1622C">
        <w:rPr>
          <w:rFonts w:ascii="Arial" w:hAnsi="Arial" w:cs="Arial"/>
          <w:b/>
          <w:bCs/>
        </w:rPr>
        <w:t>it</w:t>
      </w:r>
      <w:proofErr w:type="gramEnd"/>
      <w:r w:rsidRPr="00C1622C">
        <w:rPr>
          <w:rFonts w:ascii="Arial" w:hAnsi="Arial" w:cs="Arial"/>
          <w:b/>
          <w:bCs/>
        </w:rPr>
        <w:t xml:space="preserve"> good practice to delay starting allopurinol for 14 days after initial gout flare if patient allopurinol </w:t>
      </w:r>
      <w:r w:rsidR="00A41F78">
        <w:rPr>
          <w:rFonts w:ascii="Arial" w:hAnsi="Arial" w:cs="Arial"/>
          <w:b/>
          <w:bCs/>
        </w:rPr>
        <w:t>naïve,</w:t>
      </w:r>
      <w:r w:rsidRPr="00C1622C">
        <w:rPr>
          <w:rFonts w:ascii="Arial" w:hAnsi="Arial" w:cs="Arial"/>
          <w:b/>
          <w:bCs/>
        </w:rPr>
        <w:t xml:space="preserve"> and start with solely NSAIDS/prednisone or </w:t>
      </w:r>
      <w:r w:rsidR="00A41F78">
        <w:rPr>
          <w:rFonts w:ascii="Arial" w:hAnsi="Arial" w:cs="Arial"/>
          <w:b/>
          <w:bCs/>
        </w:rPr>
        <w:t>c</w:t>
      </w:r>
      <w:r w:rsidRPr="00C1622C">
        <w:rPr>
          <w:rFonts w:ascii="Arial" w:hAnsi="Arial" w:cs="Arial"/>
          <w:b/>
          <w:bCs/>
        </w:rPr>
        <w:t>olchicine?</w:t>
      </w:r>
    </w:p>
    <w:p w14:paraId="0518B3E2" w14:textId="30FE7436" w:rsidR="00C1622C" w:rsidRDefault="00C1622C" w:rsidP="00C1622C">
      <w:pPr>
        <w:spacing w:line="276" w:lineRule="auto"/>
        <w:rPr>
          <w:rFonts w:ascii="Arial" w:hAnsi="Arial" w:cs="Arial"/>
        </w:rPr>
      </w:pPr>
      <w:r w:rsidRPr="00C1622C">
        <w:rPr>
          <w:rFonts w:ascii="Arial" w:hAnsi="Arial" w:cs="Arial"/>
        </w:rPr>
        <w:t>Quite controversial! Several small RCTs (Taylor et al 2012; Hill et al 2015) have shown that starting allopurinol during a flare does not lead to worsening of the</w:t>
      </w:r>
      <w:r w:rsidRPr="00C1622C">
        <w:rPr>
          <w:rFonts w:ascii="Arial" w:hAnsi="Arial" w:cs="Arial"/>
        </w:rPr>
        <w:t xml:space="preserve"> </w:t>
      </w:r>
      <w:r w:rsidRPr="00C1622C">
        <w:rPr>
          <w:rFonts w:ascii="Arial" w:hAnsi="Arial" w:cs="Arial"/>
        </w:rPr>
        <w:t>flare. I’m usually comfortable starting allopurinol at low dose, provided there is plenty of anti-inflammatory medication on board.</w:t>
      </w:r>
    </w:p>
    <w:p w14:paraId="2CBD130F" w14:textId="76ABB3A0" w:rsidR="00C1622C" w:rsidRPr="00C1622C" w:rsidRDefault="00C1622C" w:rsidP="00C1622C">
      <w:pPr>
        <w:spacing w:line="276" w:lineRule="auto"/>
        <w:rPr>
          <w:rFonts w:ascii="Arial" w:hAnsi="Arial" w:cs="Arial"/>
          <w:b/>
          <w:bCs/>
        </w:rPr>
      </w:pPr>
      <w:r w:rsidRPr="00C1622C">
        <w:rPr>
          <w:rFonts w:ascii="Arial" w:hAnsi="Arial" w:cs="Arial"/>
          <w:b/>
          <w:bCs/>
        </w:rPr>
        <w:t>How long after a gout flare would it be appropriate to check the urate level, as during a flare it would be lower?</w:t>
      </w:r>
    </w:p>
    <w:p w14:paraId="3416E7C7" w14:textId="30542311" w:rsidR="00C1622C" w:rsidRDefault="00C1622C" w:rsidP="00C1622C">
      <w:pPr>
        <w:spacing w:line="276" w:lineRule="auto"/>
        <w:rPr>
          <w:rFonts w:ascii="Arial" w:hAnsi="Arial" w:cs="Arial"/>
          <w:lang w:val="en-NZ"/>
        </w:rPr>
      </w:pPr>
      <w:r w:rsidRPr="00C1622C">
        <w:rPr>
          <w:rFonts w:ascii="Arial" w:hAnsi="Arial" w:cs="Arial"/>
        </w:rPr>
        <w:t xml:space="preserve">Generally, about </w:t>
      </w:r>
      <w:r>
        <w:rPr>
          <w:rFonts w:ascii="Arial" w:hAnsi="Arial" w:cs="Arial"/>
        </w:rPr>
        <w:t>two</w:t>
      </w:r>
      <w:r w:rsidRPr="00C1622C">
        <w:rPr>
          <w:rFonts w:ascii="Arial" w:hAnsi="Arial" w:cs="Arial"/>
        </w:rPr>
        <w:t xml:space="preserve"> weeks after the flare has resolved.</w:t>
      </w:r>
    </w:p>
    <w:p w14:paraId="119F8A3D" w14:textId="03E60046" w:rsidR="00C1622C" w:rsidRPr="00C1622C" w:rsidRDefault="00C1622C" w:rsidP="00C1622C">
      <w:pPr>
        <w:spacing w:line="276" w:lineRule="auto"/>
        <w:rPr>
          <w:rFonts w:ascii="Arial" w:hAnsi="Arial" w:cs="Arial"/>
          <w:b/>
          <w:bCs/>
        </w:rPr>
      </w:pPr>
      <w:r w:rsidRPr="00C1622C">
        <w:rPr>
          <w:rFonts w:ascii="Arial" w:hAnsi="Arial" w:cs="Arial"/>
          <w:b/>
          <w:bCs/>
        </w:rPr>
        <w:t>You say, ideally</w:t>
      </w:r>
      <w:r w:rsidR="00A41F78">
        <w:rPr>
          <w:rFonts w:ascii="Arial" w:hAnsi="Arial" w:cs="Arial"/>
          <w:b/>
          <w:bCs/>
        </w:rPr>
        <w:t>,</w:t>
      </w:r>
      <w:r w:rsidRPr="00C1622C">
        <w:rPr>
          <w:rFonts w:ascii="Arial" w:hAnsi="Arial" w:cs="Arial"/>
          <w:b/>
          <w:bCs/>
        </w:rPr>
        <w:t xml:space="preserve"> urate is checked monthly to help up</w:t>
      </w:r>
      <w:r w:rsidR="00A41F78">
        <w:rPr>
          <w:rFonts w:ascii="Arial" w:hAnsi="Arial" w:cs="Arial"/>
          <w:b/>
          <w:bCs/>
        </w:rPr>
        <w:t>-</w:t>
      </w:r>
      <w:r w:rsidRPr="00C1622C">
        <w:rPr>
          <w:rFonts w:ascii="Arial" w:hAnsi="Arial" w:cs="Arial"/>
          <w:b/>
          <w:bCs/>
        </w:rPr>
        <w:t xml:space="preserve">titrate allopurinol. Due to </w:t>
      </w:r>
      <w:r w:rsidR="00A41F78">
        <w:rPr>
          <w:rFonts w:ascii="Arial" w:hAnsi="Arial" w:cs="Arial"/>
          <w:b/>
          <w:bCs/>
        </w:rPr>
        <w:t xml:space="preserve">the </w:t>
      </w:r>
      <w:r w:rsidRPr="00C1622C">
        <w:rPr>
          <w:rFonts w:ascii="Arial" w:hAnsi="Arial" w:cs="Arial"/>
          <w:b/>
          <w:bCs/>
        </w:rPr>
        <w:t>cost of blood tests this may be an issue for patients. Are there any suggestions around this issue?</w:t>
      </w:r>
    </w:p>
    <w:p w14:paraId="1B7707C8" w14:textId="54974EEF" w:rsidR="00C1622C" w:rsidRDefault="00C1622C" w:rsidP="00C1622C">
      <w:pPr>
        <w:spacing w:line="276" w:lineRule="auto"/>
        <w:rPr>
          <w:rFonts w:ascii="Arial" w:hAnsi="Arial" w:cs="Arial"/>
        </w:rPr>
      </w:pPr>
      <w:r w:rsidRPr="00C1622C">
        <w:rPr>
          <w:rFonts w:ascii="Arial" w:hAnsi="Arial" w:cs="Arial"/>
        </w:rPr>
        <w:lastRenderedPageBreak/>
        <w:t>Point</w:t>
      </w:r>
      <w:r w:rsidR="00A41F78">
        <w:rPr>
          <w:rFonts w:ascii="Arial" w:hAnsi="Arial" w:cs="Arial"/>
        </w:rPr>
        <w:t>-</w:t>
      </w:r>
      <w:r w:rsidRPr="00C1622C">
        <w:rPr>
          <w:rFonts w:ascii="Arial" w:hAnsi="Arial" w:cs="Arial"/>
        </w:rPr>
        <w:t>of</w:t>
      </w:r>
      <w:r w:rsidR="00A41F78">
        <w:rPr>
          <w:rFonts w:ascii="Arial" w:hAnsi="Arial" w:cs="Arial"/>
        </w:rPr>
        <w:t>-</w:t>
      </w:r>
      <w:r w:rsidRPr="00C1622C">
        <w:rPr>
          <w:rFonts w:ascii="Arial" w:hAnsi="Arial" w:cs="Arial"/>
        </w:rPr>
        <w:t xml:space="preserve">care testing, as used in the Owning My Gout </w:t>
      </w:r>
      <w:proofErr w:type="spellStart"/>
      <w:r w:rsidRPr="00C1622C">
        <w:rPr>
          <w:rFonts w:ascii="Arial" w:hAnsi="Arial" w:cs="Arial"/>
        </w:rPr>
        <w:t>programme</w:t>
      </w:r>
      <w:proofErr w:type="spellEnd"/>
      <w:r w:rsidRPr="00C1622C">
        <w:rPr>
          <w:rFonts w:ascii="Arial" w:hAnsi="Arial" w:cs="Arial"/>
        </w:rPr>
        <w:t>, are an option if obtaining bloods is difficult. Alternatively, you can dose titrate to a likely dose, then test urate, and increase the dose further if serum urate remains elevated.</w:t>
      </w:r>
    </w:p>
    <w:p w14:paraId="1E66A29E" w14:textId="1595508F" w:rsidR="00C1622C" w:rsidRDefault="00C1622C" w:rsidP="00C1622C">
      <w:pPr>
        <w:spacing w:line="276" w:lineRule="auto"/>
        <w:rPr>
          <w:rFonts w:ascii="Arial" w:hAnsi="Arial" w:cs="Arial"/>
          <w:b/>
          <w:bCs/>
        </w:rPr>
      </w:pPr>
      <w:r w:rsidRPr="00C1622C">
        <w:rPr>
          <w:rFonts w:ascii="Arial" w:hAnsi="Arial" w:cs="Arial"/>
          <w:b/>
          <w:bCs/>
        </w:rPr>
        <w:t>If the person has had low urate levels for a few months/years after starting allopurinol, is it still necessary to continue with the allopurinol?</w:t>
      </w:r>
    </w:p>
    <w:p w14:paraId="1C403087" w14:textId="06108FD5" w:rsidR="00C1622C" w:rsidRDefault="00C1622C" w:rsidP="00C1622C">
      <w:pPr>
        <w:spacing w:line="276" w:lineRule="auto"/>
        <w:rPr>
          <w:rFonts w:ascii="Arial" w:hAnsi="Arial" w:cs="Arial"/>
        </w:rPr>
      </w:pPr>
      <w:r w:rsidRPr="00C1622C">
        <w:rPr>
          <w:rFonts w:ascii="Arial" w:hAnsi="Arial" w:cs="Arial"/>
        </w:rPr>
        <w:t>Long</w:t>
      </w:r>
      <w:r w:rsidR="00A41F78">
        <w:rPr>
          <w:rFonts w:ascii="Arial" w:hAnsi="Arial" w:cs="Arial"/>
        </w:rPr>
        <w:t>-</w:t>
      </w:r>
      <w:r w:rsidRPr="00C1622C">
        <w:rPr>
          <w:rFonts w:ascii="Arial" w:hAnsi="Arial" w:cs="Arial"/>
        </w:rPr>
        <w:t>term treatment is important. Within a few days of stopping allopurinol, the urate will be elevated again, with a risk of forming more crystals. The key benefits from allopurinol occur when the medication is used long-term to maintain the urate at a normal level, which will lead to crystals dissolving and preventing flares.</w:t>
      </w:r>
    </w:p>
    <w:p w14:paraId="3B4E984C" w14:textId="46BD6F4C" w:rsidR="00C1622C" w:rsidRPr="00C1622C" w:rsidRDefault="00C1622C" w:rsidP="00C1622C">
      <w:pPr>
        <w:spacing w:line="276" w:lineRule="auto"/>
        <w:rPr>
          <w:rFonts w:ascii="Arial" w:hAnsi="Arial" w:cs="Arial"/>
          <w:b/>
          <w:bCs/>
        </w:rPr>
      </w:pPr>
      <w:r w:rsidRPr="00C1622C">
        <w:rPr>
          <w:rFonts w:ascii="Arial" w:hAnsi="Arial" w:cs="Arial"/>
          <w:b/>
          <w:bCs/>
        </w:rPr>
        <w:t>I have noticed that both colchicine and allopurinol are sometimes prescribed together. Is this appropriate?</w:t>
      </w:r>
    </w:p>
    <w:p w14:paraId="6C63953E" w14:textId="45596807" w:rsidR="00C1622C" w:rsidRDefault="00C1622C" w:rsidP="00C1622C">
      <w:pPr>
        <w:spacing w:line="276" w:lineRule="auto"/>
        <w:rPr>
          <w:rFonts w:ascii="Arial" w:hAnsi="Arial" w:cs="Arial"/>
          <w:b/>
          <w:bCs/>
          <w:lang w:val="en-NZ"/>
        </w:rPr>
      </w:pPr>
      <w:r w:rsidRPr="00C1622C">
        <w:rPr>
          <w:rFonts w:ascii="Arial" w:hAnsi="Arial" w:cs="Arial"/>
        </w:rPr>
        <w:t>Yes completely, unless the patient experiences side effects from daily colchicine.</w:t>
      </w:r>
      <w:r>
        <w:rPr>
          <w:rFonts w:ascii="Arial" w:hAnsi="Arial" w:cs="Arial"/>
        </w:rPr>
        <w:t xml:space="preserve"> </w:t>
      </w:r>
      <w:r w:rsidRPr="00C1622C">
        <w:rPr>
          <w:rFonts w:ascii="Arial" w:hAnsi="Arial" w:cs="Arial"/>
        </w:rPr>
        <w:t>Colchicine can be prescribed to prevent gout flares for the first 3</w:t>
      </w:r>
      <w:r w:rsidR="00A41F78">
        <w:rPr>
          <w:rFonts w:ascii="Arial" w:hAnsi="Arial" w:cs="Arial"/>
        </w:rPr>
        <w:t>–</w:t>
      </w:r>
      <w:r w:rsidRPr="00C1622C">
        <w:rPr>
          <w:rFonts w:ascii="Arial" w:hAnsi="Arial" w:cs="Arial"/>
        </w:rPr>
        <w:t>6 months of establishing allopurinol. We found that patients who had urate &gt;0.5 sometimes required ongoing prednisone 5mg or ongoing PRN naproxen to manage flares while titrating.</w:t>
      </w:r>
    </w:p>
    <w:p w14:paraId="0960A00B" w14:textId="6047CB59" w:rsidR="00C1622C" w:rsidRPr="00C1622C" w:rsidRDefault="00C1622C" w:rsidP="00C1622C">
      <w:pPr>
        <w:spacing w:line="276" w:lineRule="auto"/>
        <w:rPr>
          <w:rFonts w:ascii="Arial" w:hAnsi="Arial" w:cs="Arial"/>
          <w:b/>
          <w:bCs/>
          <w:lang w:val="en-NZ"/>
        </w:rPr>
      </w:pPr>
      <w:r w:rsidRPr="00C1622C">
        <w:rPr>
          <w:rFonts w:ascii="Arial" w:hAnsi="Arial" w:cs="Arial"/>
          <w:b/>
          <w:bCs/>
        </w:rPr>
        <w:t>Our pathways say colchicine should only be started within 72hrs of attack, do you follow that?</w:t>
      </w:r>
    </w:p>
    <w:p w14:paraId="02DBB292" w14:textId="2B7BB9F8" w:rsidR="00C1622C" w:rsidRDefault="00C1622C" w:rsidP="00C1622C">
      <w:pPr>
        <w:spacing w:line="276" w:lineRule="auto"/>
        <w:rPr>
          <w:rFonts w:ascii="Arial" w:hAnsi="Arial" w:cs="Arial"/>
        </w:rPr>
      </w:pPr>
      <w:r w:rsidRPr="00C1622C">
        <w:rPr>
          <w:rFonts w:ascii="Arial" w:hAnsi="Arial" w:cs="Arial"/>
        </w:rPr>
        <w:t xml:space="preserve">Colchicine generally works best for a gout flare when started early. However, it is also used to prevent gout flares when starting allopurinol (prophylaxis), so this can be started any time for prophylaxis. In the Stop Gout </w:t>
      </w:r>
      <w:proofErr w:type="spellStart"/>
      <w:r w:rsidRPr="00C1622C">
        <w:rPr>
          <w:rFonts w:ascii="Arial" w:hAnsi="Arial" w:cs="Arial"/>
        </w:rPr>
        <w:t>programme</w:t>
      </w:r>
      <w:proofErr w:type="spellEnd"/>
      <w:r w:rsidRPr="00C1622C">
        <w:rPr>
          <w:rFonts w:ascii="Arial" w:hAnsi="Arial" w:cs="Arial"/>
        </w:rPr>
        <w:t xml:space="preserve">, colchicine is started after </w:t>
      </w:r>
      <w:r w:rsidR="00A41F78">
        <w:rPr>
          <w:rFonts w:ascii="Arial" w:hAnsi="Arial" w:cs="Arial"/>
        </w:rPr>
        <w:t>two</w:t>
      </w:r>
      <w:r w:rsidRPr="00C1622C">
        <w:rPr>
          <w:rFonts w:ascii="Arial" w:hAnsi="Arial" w:cs="Arial"/>
        </w:rPr>
        <w:t xml:space="preserve"> weeks of prednisone for the acute attack.</w:t>
      </w:r>
    </w:p>
    <w:p w14:paraId="14B9B83C" w14:textId="77777777" w:rsidR="00C1622C" w:rsidRDefault="00C1622C" w:rsidP="00C1622C">
      <w:pPr>
        <w:spacing w:line="276" w:lineRule="auto"/>
        <w:rPr>
          <w:rFonts w:ascii="Arial" w:hAnsi="Arial" w:cs="Arial"/>
        </w:rPr>
      </w:pPr>
    </w:p>
    <w:p w14:paraId="7C758433" w14:textId="1D001FD7" w:rsidR="00C1622C" w:rsidRDefault="00C1622C" w:rsidP="00C1622C">
      <w:pPr>
        <w:pStyle w:val="Heading2"/>
        <w:pBdr>
          <w:bottom w:val="single" w:sz="4" w:space="1" w:color="auto"/>
        </w:pBdr>
        <w:spacing w:line="276" w:lineRule="auto"/>
      </w:pPr>
      <w:r>
        <w:t xml:space="preserve">Stop </w:t>
      </w:r>
      <w:r w:rsidR="00A41F78">
        <w:t>G</w:t>
      </w:r>
      <w:r>
        <w:t xml:space="preserve">out/Owning </w:t>
      </w:r>
      <w:r w:rsidR="00A41F78">
        <w:t>M</w:t>
      </w:r>
      <w:r>
        <w:t xml:space="preserve">y </w:t>
      </w:r>
      <w:r w:rsidR="00A41F78">
        <w:t>G</w:t>
      </w:r>
      <w:r>
        <w:t xml:space="preserve">out </w:t>
      </w:r>
      <w:proofErr w:type="spellStart"/>
      <w:r>
        <w:t>programmes</w:t>
      </w:r>
      <w:proofErr w:type="spellEnd"/>
    </w:p>
    <w:p w14:paraId="37434551" w14:textId="77777777" w:rsidR="00C1622C" w:rsidRDefault="00C1622C" w:rsidP="00C1622C">
      <w:pPr>
        <w:spacing w:line="276" w:lineRule="auto"/>
        <w:rPr>
          <w:rFonts w:ascii="Arial" w:hAnsi="Arial" w:cs="Arial"/>
        </w:rPr>
      </w:pPr>
    </w:p>
    <w:p w14:paraId="3AACCA24" w14:textId="6170964F" w:rsidR="00C1622C" w:rsidRPr="00C1622C" w:rsidRDefault="00C1622C" w:rsidP="00C1622C">
      <w:pPr>
        <w:spacing w:line="276" w:lineRule="auto"/>
        <w:rPr>
          <w:rFonts w:ascii="Arial" w:hAnsi="Arial" w:cs="Arial"/>
          <w:b/>
          <w:bCs/>
          <w:lang w:val="en-NZ"/>
        </w:rPr>
      </w:pPr>
      <w:r w:rsidRPr="00C1622C">
        <w:rPr>
          <w:rFonts w:ascii="Arial" w:hAnsi="Arial" w:cs="Arial"/>
          <w:b/>
          <w:bCs/>
        </w:rPr>
        <w:t>What does the script fund cover?</w:t>
      </w:r>
    </w:p>
    <w:p w14:paraId="3D9CD323" w14:textId="05A0AC9B" w:rsidR="00C1622C" w:rsidRDefault="00C1622C" w:rsidP="00C1622C">
      <w:pPr>
        <w:spacing w:line="276" w:lineRule="auto"/>
        <w:rPr>
          <w:rFonts w:ascii="Arial" w:hAnsi="Arial" w:cs="Arial"/>
        </w:rPr>
      </w:pPr>
      <w:r w:rsidRPr="00C1622C">
        <w:rPr>
          <w:rFonts w:ascii="Arial" w:hAnsi="Arial" w:cs="Arial"/>
        </w:rPr>
        <w:t xml:space="preserve">The Stop Gout script fund covers the prescription co-payments of $15 (3x$5) for the three medicines given over the </w:t>
      </w:r>
      <w:r w:rsidR="00A41F78">
        <w:rPr>
          <w:rFonts w:ascii="Arial" w:hAnsi="Arial" w:cs="Arial"/>
        </w:rPr>
        <w:t>three</w:t>
      </w:r>
      <w:r w:rsidRPr="00C1622C">
        <w:rPr>
          <w:rFonts w:ascii="Arial" w:hAnsi="Arial" w:cs="Arial"/>
        </w:rPr>
        <w:t>-month p</w:t>
      </w:r>
      <w:proofErr w:type="spellStart"/>
      <w:r w:rsidRPr="00C1622C">
        <w:rPr>
          <w:rFonts w:ascii="Arial" w:hAnsi="Arial" w:cs="Arial"/>
        </w:rPr>
        <w:t>rogramme</w:t>
      </w:r>
      <w:proofErr w:type="spellEnd"/>
      <w:r w:rsidRPr="00C1622C">
        <w:rPr>
          <w:rFonts w:ascii="Arial" w:hAnsi="Arial" w:cs="Arial"/>
        </w:rPr>
        <w:t>.</w:t>
      </w:r>
    </w:p>
    <w:p w14:paraId="7588E2AD" w14:textId="1147450D" w:rsidR="00C1622C" w:rsidRPr="00C1622C" w:rsidRDefault="00C1622C" w:rsidP="00C1622C">
      <w:pPr>
        <w:spacing w:line="276" w:lineRule="auto"/>
        <w:rPr>
          <w:rFonts w:ascii="Arial" w:hAnsi="Arial" w:cs="Arial"/>
          <w:b/>
          <w:bCs/>
        </w:rPr>
      </w:pPr>
      <w:r w:rsidRPr="00C1622C">
        <w:rPr>
          <w:rFonts w:ascii="Arial" w:hAnsi="Arial" w:cs="Arial"/>
          <w:b/>
          <w:bCs/>
        </w:rPr>
        <w:t xml:space="preserve">Is this </w:t>
      </w:r>
      <w:proofErr w:type="spellStart"/>
      <w:r w:rsidRPr="00C1622C">
        <w:rPr>
          <w:rFonts w:ascii="Arial" w:hAnsi="Arial" w:cs="Arial"/>
          <w:b/>
          <w:bCs/>
        </w:rPr>
        <w:t>programme</w:t>
      </w:r>
      <w:proofErr w:type="spellEnd"/>
      <w:r w:rsidRPr="00C1622C">
        <w:rPr>
          <w:rFonts w:ascii="Arial" w:hAnsi="Arial" w:cs="Arial"/>
          <w:b/>
          <w:bCs/>
        </w:rPr>
        <w:t xml:space="preserve"> in Northland </w:t>
      </w:r>
      <w:r w:rsidR="00A41F78">
        <w:rPr>
          <w:rFonts w:ascii="Arial" w:hAnsi="Arial" w:cs="Arial"/>
          <w:b/>
          <w:bCs/>
        </w:rPr>
        <w:t>District Health Board (DHB)</w:t>
      </w:r>
      <w:r w:rsidRPr="00C1622C">
        <w:rPr>
          <w:rFonts w:ascii="Arial" w:hAnsi="Arial" w:cs="Arial"/>
          <w:b/>
          <w:bCs/>
        </w:rPr>
        <w:t xml:space="preserve"> only? Is there any chance it can be rolled out across the country?</w:t>
      </w:r>
    </w:p>
    <w:p w14:paraId="16CE80C9" w14:textId="2ACB6471" w:rsidR="00C1622C" w:rsidRDefault="00C1622C" w:rsidP="00C1622C">
      <w:pPr>
        <w:spacing w:line="276" w:lineRule="auto"/>
        <w:rPr>
          <w:rFonts w:ascii="Arial" w:hAnsi="Arial" w:cs="Arial"/>
        </w:rPr>
      </w:pPr>
      <w:r w:rsidRPr="00C1622C">
        <w:rPr>
          <w:rFonts w:ascii="Arial" w:hAnsi="Arial" w:cs="Arial"/>
        </w:rPr>
        <w:t xml:space="preserve">Gout Stop is only in Northland, Owning </w:t>
      </w:r>
      <w:r w:rsidR="00A41F78">
        <w:rPr>
          <w:rFonts w:ascii="Arial" w:hAnsi="Arial" w:cs="Arial"/>
        </w:rPr>
        <w:t>M</w:t>
      </w:r>
      <w:r w:rsidRPr="00C1622C">
        <w:rPr>
          <w:rFonts w:ascii="Arial" w:hAnsi="Arial" w:cs="Arial"/>
        </w:rPr>
        <w:t>y Gout is only in Counties Manukau. It would be great to be national.</w:t>
      </w:r>
      <w:r>
        <w:rPr>
          <w:rFonts w:ascii="Arial" w:hAnsi="Arial" w:cs="Arial"/>
        </w:rPr>
        <w:t xml:space="preserve"> </w:t>
      </w:r>
      <w:r w:rsidRPr="00C1622C">
        <w:rPr>
          <w:rFonts w:ascii="Arial" w:hAnsi="Arial" w:cs="Arial"/>
        </w:rPr>
        <w:t xml:space="preserve">With all DHBs required to address equity issues, gout should be a key condition to work on and, if not nationally, in those with </w:t>
      </w:r>
      <w:r w:rsidR="00A41F78">
        <w:rPr>
          <w:rFonts w:ascii="Arial" w:hAnsi="Arial" w:cs="Arial"/>
        </w:rPr>
        <w:t xml:space="preserve">the </w:t>
      </w:r>
      <w:r w:rsidRPr="00C1622C">
        <w:rPr>
          <w:rFonts w:ascii="Arial" w:hAnsi="Arial" w:cs="Arial"/>
        </w:rPr>
        <w:t xml:space="preserve">highest </w:t>
      </w:r>
      <w:r w:rsidR="00A41F78">
        <w:rPr>
          <w:rFonts w:ascii="Arial" w:hAnsi="Arial" w:cs="Arial"/>
        </w:rPr>
        <w:t xml:space="preserve">population of </w:t>
      </w:r>
      <w:r w:rsidRPr="00C1622C">
        <w:rPr>
          <w:rFonts w:ascii="Arial" w:hAnsi="Arial" w:cs="Arial"/>
        </w:rPr>
        <w:t>Māori/Pacific peoples as a priority.</w:t>
      </w:r>
    </w:p>
    <w:p w14:paraId="2345614D" w14:textId="0AD22CF0" w:rsidR="00C1622C" w:rsidRPr="00C1622C" w:rsidRDefault="00C1622C" w:rsidP="00C1622C">
      <w:pPr>
        <w:spacing w:line="276" w:lineRule="auto"/>
        <w:rPr>
          <w:rFonts w:ascii="Arial" w:hAnsi="Arial" w:cs="Arial"/>
          <w:b/>
          <w:bCs/>
          <w:lang w:val="en-NZ"/>
        </w:rPr>
      </w:pPr>
      <w:r w:rsidRPr="00C1622C">
        <w:rPr>
          <w:rFonts w:ascii="Arial" w:hAnsi="Arial" w:cs="Arial"/>
          <w:b/>
          <w:bCs/>
        </w:rPr>
        <w:t>Did the preset scripts need to be loaded onto each practice’s patient management system individually?</w:t>
      </w:r>
    </w:p>
    <w:p w14:paraId="5A68A1E4" w14:textId="79B3CFD7" w:rsidR="00C1622C" w:rsidRDefault="00C1622C" w:rsidP="00C1622C">
      <w:pPr>
        <w:spacing w:line="276" w:lineRule="auto"/>
        <w:rPr>
          <w:rFonts w:ascii="Arial" w:hAnsi="Arial" w:cs="Arial"/>
        </w:rPr>
      </w:pPr>
      <w:r w:rsidRPr="00C1622C">
        <w:rPr>
          <w:rFonts w:ascii="Arial" w:hAnsi="Arial" w:cs="Arial"/>
        </w:rPr>
        <w:lastRenderedPageBreak/>
        <w:t xml:space="preserve">For the Stop Gout </w:t>
      </w:r>
      <w:proofErr w:type="spellStart"/>
      <w:r w:rsidRPr="00C1622C">
        <w:rPr>
          <w:rFonts w:ascii="Arial" w:hAnsi="Arial" w:cs="Arial"/>
        </w:rPr>
        <w:t>programme</w:t>
      </w:r>
      <w:proofErr w:type="spellEnd"/>
      <w:r w:rsidRPr="00C1622C">
        <w:rPr>
          <w:rFonts w:ascii="Arial" w:hAnsi="Arial" w:cs="Arial"/>
        </w:rPr>
        <w:t xml:space="preserve"> the </w:t>
      </w:r>
      <w:r w:rsidR="00A41F78">
        <w:rPr>
          <w:rFonts w:ascii="Arial" w:hAnsi="Arial" w:cs="Arial"/>
        </w:rPr>
        <w:t xml:space="preserve">primary health </w:t>
      </w:r>
      <w:proofErr w:type="spellStart"/>
      <w:r w:rsidR="00A41F78">
        <w:rPr>
          <w:rFonts w:ascii="Arial" w:hAnsi="Arial" w:cs="Arial"/>
        </w:rPr>
        <w:t>organisation</w:t>
      </w:r>
      <w:proofErr w:type="spellEnd"/>
      <w:r w:rsidRPr="00C1622C">
        <w:rPr>
          <w:rFonts w:ascii="Arial" w:hAnsi="Arial" w:cs="Arial"/>
        </w:rPr>
        <w:t xml:space="preserve">, </w:t>
      </w:r>
      <w:proofErr w:type="spellStart"/>
      <w:r w:rsidRPr="00C1622C">
        <w:rPr>
          <w:rFonts w:ascii="Arial" w:hAnsi="Arial" w:cs="Arial"/>
        </w:rPr>
        <w:t>Mahitahi</w:t>
      </w:r>
      <w:proofErr w:type="spellEnd"/>
      <w:r w:rsidRPr="00C1622C">
        <w:rPr>
          <w:rFonts w:ascii="Arial" w:hAnsi="Arial" w:cs="Arial"/>
        </w:rPr>
        <w:t>, loaded preset prescriptions remotely</w:t>
      </w:r>
      <w:r w:rsidR="00A41F78">
        <w:rPr>
          <w:rFonts w:ascii="Arial" w:hAnsi="Arial" w:cs="Arial"/>
        </w:rPr>
        <w:t>,</w:t>
      </w:r>
      <w:r w:rsidRPr="00C1622C">
        <w:rPr>
          <w:rFonts w:ascii="Arial" w:hAnsi="Arial" w:cs="Arial"/>
        </w:rPr>
        <w:t xml:space="preserve"> so we just went into practices to show them how to find and use them.</w:t>
      </w:r>
    </w:p>
    <w:p w14:paraId="45A611FE" w14:textId="5441C8EB" w:rsidR="00C1622C" w:rsidRPr="00C1622C" w:rsidRDefault="00C1622C" w:rsidP="00C1622C">
      <w:pPr>
        <w:spacing w:line="276" w:lineRule="auto"/>
        <w:rPr>
          <w:rFonts w:ascii="Arial" w:hAnsi="Arial" w:cs="Arial"/>
          <w:b/>
          <w:bCs/>
        </w:rPr>
      </w:pPr>
      <w:r w:rsidRPr="00C1622C">
        <w:rPr>
          <w:rFonts w:ascii="Arial" w:hAnsi="Arial" w:cs="Arial"/>
          <w:b/>
          <w:bCs/>
        </w:rPr>
        <w:t>What was the cost to the patient?</w:t>
      </w:r>
    </w:p>
    <w:p w14:paraId="7AC5C2CC" w14:textId="0B0C35D2" w:rsidR="00C1622C" w:rsidRDefault="00C1622C" w:rsidP="00C1622C">
      <w:pPr>
        <w:spacing w:line="276" w:lineRule="auto"/>
        <w:rPr>
          <w:rFonts w:ascii="Arial" w:hAnsi="Arial" w:cs="Arial"/>
        </w:rPr>
      </w:pPr>
      <w:r w:rsidRPr="00C1622C">
        <w:rPr>
          <w:rFonts w:ascii="Arial" w:hAnsi="Arial" w:cs="Arial"/>
        </w:rPr>
        <w:t>For Gout Stop, the cost to the patient was the GP consultation fee and prescription co-payment of $15. The prescription co-payment could be waived under the script fund if there was financial hardship.</w:t>
      </w:r>
    </w:p>
    <w:p w14:paraId="6E796ABD" w14:textId="3235B7FE" w:rsidR="00C1622C" w:rsidRPr="00C1622C" w:rsidRDefault="00C1622C" w:rsidP="00C1622C">
      <w:pPr>
        <w:spacing w:line="276" w:lineRule="auto"/>
        <w:rPr>
          <w:rFonts w:ascii="Arial" w:hAnsi="Arial" w:cs="Arial"/>
          <w:b/>
          <w:bCs/>
          <w:lang w:val="en-NZ"/>
        </w:rPr>
      </w:pPr>
      <w:r w:rsidRPr="00C1622C">
        <w:rPr>
          <w:rFonts w:ascii="Arial" w:hAnsi="Arial" w:cs="Arial"/>
          <w:b/>
          <w:bCs/>
        </w:rPr>
        <w:t xml:space="preserve">Does this initiative cover other long-term gout medications </w:t>
      </w:r>
      <w:proofErr w:type="spellStart"/>
      <w:r w:rsidRPr="00C1622C">
        <w:rPr>
          <w:rFonts w:ascii="Arial" w:hAnsi="Arial" w:cs="Arial"/>
          <w:b/>
          <w:bCs/>
        </w:rPr>
        <w:t>eg</w:t>
      </w:r>
      <w:proofErr w:type="spellEnd"/>
      <w:r w:rsidR="00A41F78">
        <w:rPr>
          <w:rFonts w:ascii="Arial" w:hAnsi="Arial" w:cs="Arial"/>
          <w:b/>
          <w:bCs/>
        </w:rPr>
        <w:t>,</w:t>
      </w:r>
      <w:r w:rsidRPr="00C1622C">
        <w:rPr>
          <w:rFonts w:ascii="Arial" w:hAnsi="Arial" w:cs="Arial"/>
          <w:b/>
          <w:bCs/>
        </w:rPr>
        <w:t xml:space="preserve"> probenecid for those who are intolerant or allergic to allopurinol?</w:t>
      </w:r>
    </w:p>
    <w:p w14:paraId="033F9097" w14:textId="5B527A95" w:rsidR="00C1622C" w:rsidRDefault="00C1622C" w:rsidP="00C1622C">
      <w:pPr>
        <w:spacing w:line="276" w:lineRule="auto"/>
        <w:rPr>
          <w:rFonts w:ascii="Arial" w:hAnsi="Arial" w:cs="Arial"/>
        </w:rPr>
      </w:pPr>
      <w:r w:rsidRPr="00C1622C">
        <w:rPr>
          <w:rFonts w:ascii="Arial" w:hAnsi="Arial" w:cs="Arial"/>
        </w:rPr>
        <w:t xml:space="preserve">If people had severe side effects to </w:t>
      </w:r>
      <w:proofErr w:type="gramStart"/>
      <w:r w:rsidRPr="00C1622C">
        <w:rPr>
          <w:rFonts w:ascii="Arial" w:hAnsi="Arial" w:cs="Arial"/>
        </w:rPr>
        <w:t>allopurinol</w:t>
      </w:r>
      <w:proofErr w:type="gramEnd"/>
      <w:r w:rsidRPr="00C1622C">
        <w:rPr>
          <w:rFonts w:ascii="Arial" w:hAnsi="Arial" w:cs="Arial"/>
        </w:rPr>
        <w:t xml:space="preserve"> they were removed from the Owning My Gout </w:t>
      </w:r>
      <w:proofErr w:type="spellStart"/>
      <w:r w:rsidRPr="00C1622C">
        <w:rPr>
          <w:rFonts w:ascii="Arial" w:hAnsi="Arial" w:cs="Arial"/>
        </w:rPr>
        <w:t>programme</w:t>
      </w:r>
      <w:proofErr w:type="spellEnd"/>
      <w:r w:rsidRPr="00C1622C">
        <w:rPr>
          <w:rFonts w:ascii="Arial" w:hAnsi="Arial" w:cs="Arial"/>
        </w:rPr>
        <w:t xml:space="preserve"> and other therapies were trialed.</w:t>
      </w:r>
    </w:p>
    <w:p w14:paraId="06359B78" w14:textId="2D8AA02E" w:rsidR="00C1622C" w:rsidRPr="00C1622C" w:rsidRDefault="00C1622C" w:rsidP="00C1622C">
      <w:pPr>
        <w:spacing w:line="276" w:lineRule="auto"/>
        <w:rPr>
          <w:rFonts w:ascii="Arial" w:hAnsi="Arial" w:cs="Arial"/>
          <w:b/>
          <w:bCs/>
        </w:rPr>
      </w:pPr>
      <w:r w:rsidRPr="00C1622C">
        <w:rPr>
          <w:rFonts w:ascii="Arial" w:hAnsi="Arial" w:cs="Arial"/>
          <w:b/>
          <w:bCs/>
        </w:rPr>
        <w:t xml:space="preserve">Which DHBs was the Owning My Gout </w:t>
      </w:r>
      <w:proofErr w:type="spellStart"/>
      <w:r w:rsidRPr="00C1622C">
        <w:rPr>
          <w:rFonts w:ascii="Arial" w:hAnsi="Arial" w:cs="Arial"/>
          <w:b/>
          <w:bCs/>
        </w:rPr>
        <w:t>programme</w:t>
      </w:r>
      <w:proofErr w:type="spellEnd"/>
      <w:r w:rsidRPr="00C1622C">
        <w:rPr>
          <w:rFonts w:ascii="Arial" w:hAnsi="Arial" w:cs="Arial"/>
          <w:b/>
          <w:bCs/>
        </w:rPr>
        <w:t xml:space="preserve"> in?</w:t>
      </w:r>
    </w:p>
    <w:p w14:paraId="3A2FD08A" w14:textId="162AECD3" w:rsidR="00C1622C" w:rsidRDefault="00C1622C" w:rsidP="00C1622C">
      <w:pPr>
        <w:spacing w:line="276" w:lineRule="auto"/>
        <w:rPr>
          <w:rFonts w:ascii="Arial" w:hAnsi="Arial" w:cs="Arial"/>
          <w:b/>
          <w:bCs/>
          <w:lang w:val="en-NZ"/>
        </w:rPr>
      </w:pPr>
      <w:r w:rsidRPr="00C1622C">
        <w:rPr>
          <w:rFonts w:ascii="Arial" w:hAnsi="Arial" w:cs="Arial"/>
        </w:rPr>
        <w:t xml:space="preserve">The Owning My Gout </w:t>
      </w:r>
      <w:proofErr w:type="spellStart"/>
      <w:r w:rsidRPr="00C1622C">
        <w:rPr>
          <w:rFonts w:ascii="Arial" w:hAnsi="Arial" w:cs="Arial"/>
        </w:rPr>
        <w:t>programme</w:t>
      </w:r>
      <w:proofErr w:type="spellEnd"/>
      <w:r w:rsidRPr="00C1622C">
        <w:rPr>
          <w:rFonts w:ascii="Arial" w:hAnsi="Arial" w:cs="Arial"/>
        </w:rPr>
        <w:t xml:space="preserve"> ran </w:t>
      </w:r>
      <w:r w:rsidR="00A41F78">
        <w:rPr>
          <w:rFonts w:ascii="Arial" w:hAnsi="Arial" w:cs="Arial"/>
        </w:rPr>
        <w:t>at</w:t>
      </w:r>
      <w:r w:rsidRPr="00C1622C">
        <w:rPr>
          <w:rFonts w:ascii="Arial" w:hAnsi="Arial" w:cs="Arial"/>
        </w:rPr>
        <w:t xml:space="preserve"> Counties Manukau </w:t>
      </w:r>
      <w:r w:rsidR="00A41F78">
        <w:rPr>
          <w:rFonts w:ascii="Arial" w:hAnsi="Arial" w:cs="Arial"/>
        </w:rPr>
        <w:t>Health</w:t>
      </w:r>
      <w:r w:rsidRPr="00C1622C">
        <w:rPr>
          <w:rFonts w:ascii="Arial" w:hAnsi="Arial" w:cs="Arial"/>
        </w:rPr>
        <w:t>.</w:t>
      </w:r>
    </w:p>
    <w:p w14:paraId="1E49EC78" w14:textId="4199C4D9" w:rsidR="00C1622C" w:rsidRPr="00C1622C" w:rsidRDefault="00C1622C" w:rsidP="00C1622C">
      <w:pPr>
        <w:spacing w:line="276" w:lineRule="auto"/>
        <w:rPr>
          <w:rFonts w:ascii="Arial" w:hAnsi="Arial" w:cs="Arial"/>
          <w:b/>
          <w:bCs/>
        </w:rPr>
      </w:pPr>
      <w:r w:rsidRPr="00C1622C">
        <w:rPr>
          <w:rFonts w:ascii="Arial" w:hAnsi="Arial" w:cs="Arial"/>
          <w:b/>
          <w:bCs/>
        </w:rPr>
        <w:t xml:space="preserve">In the </w:t>
      </w:r>
      <w:proofErr w:type="spellStart"/>
      <w:r w:rsidRPr="00C1622C">
        <w:rPr>
          <w:rFonts w:ascii="Arial" w:hAnsi="Arial" w:cs="Arial"/>
          <w:b/>
          <w:bCs/>
        </w:rPr>
        <w:t>programme</w:t>
      </w:r>
      <w:proofErr w:type="spellEnd"/>
      <w:r w:rsidRPr="00C1622C">
        <w:rPr>
          <w:rFonts w:ascii="Arial" w:hAnsi="Arial" w:cs="Arial"/>
          <w:b/>
          <w:bCs/>
        </w:rPr>
        <w:t xml:space="preserve"> what medicines are used in addition to allopurinol?</w:t>
      </w:r>
    </w:p>
    <w:p w14:paraId="43218DE0" w14:textId="6BAEE6A6" w:rsidR="00C1622C" w:rsidRDefault="00C1622C" w:rsidP="00C1622C">
      <w:pPr>
        <w:spacing w:line="276" w:lineRule="auto"/>
        <w:rPr>
          <w:rFonts w:ascii="Arial" w:hAnsi="Arial" w:cs="Arial"/>
        </w:rPr>
      </w:pPr>
      <w:r w:rsidRPr="00C1622C">
        <w:rPr>
          <w:rFonts w:ascii="Arial" w:hAnsi="Arial" w:cs="Arial"/>
        </w:rPr>
        <w:t xml:space="preserve">In the Stop Gout </w:t>
      </w:r>
      <w:proofErr w:type="spellStart"/>
      <w:r w:rsidRPr="00C1622C">
        <w:rPr>
          <w:rFonts w:ascii="Arial" w:hAnsi="Arial" w:cs="Arial"/>
        </w:rPr>
        <w:t>programme</w:t>
      </w:r>
      <w:proofErr w:type="spellEnd"/>
      <w:r w:rsidR="00A41F78">
        <w:rPr>
          <w:rFonts w:ascii="Arial" w:hAnsi="Arial" w:cs="Arial"/>
        </w:rPr>
        <w:t>,</w:t>
      </w:r>
      <w:r w:rsidRPr="00C1622C">
        <w:rPr>
          <w:rFonts w:ascii="Arial" w:hAnsi="Arial" w:cs="Arial"/>
        </w:rPr>
        <w:t xml:space="preserve"> </w:t>
      </w:r>
      <w:r w:rsidR="00A41F78">
        <w:rPr>
          <w:rFonts w:ascii="Arial" w:hAnsi="Arial" w:cs="Arial"/>
        </w:rPr>
        <w:t>p</w:t>
      </w:r>
      <w:r w:rsidRPr="00C1622C">
        <w:rPr>
          <w:rFonts w:ascii="Arial" w:hAnsi="Arial" w:cs="Arial"/>
        </w:rPr>
        <w:t>rednisone in the acute phase and colchicine daily ongoing while titration occurs.</w:t>
      </w:r>
    </w:p>
    <w:p w14:paraId="011B6C10" w14:textId="210F4A98" w:rsidR="00C1622C" w:rsidRPr="00C1622C" w:rsidRDefault="00C1622C" w:rsidP="00C1622C">
      <w:pPr>
        <w:spacing w:line="276" w:lineRule="auto"/>
        <w:rPr>
          <w:rFonts w:ascii="Arial" w:hAnsi="Arial" w:cs="Arial"/>
          <w:b/>
          <w:bCs/>
        </w:rPr>
      </w:pPr>
      <w:r w:rsidRPr="00C1622C">
        <w:rPr>
          <w:rFonts w:ascii="Arial" w:hAnsi="Arial" w:cs="Arial"/>
          <w:b/>
          <w:bCs/>
        </w:rPr>
        <w:t>Are doses of allopurinol adjusted or modified as per renal function?</w:t>
      </w:r>
    </w:p>
    <w:p w14:paraId="62AD629D" w14:textId="622A44F0" w:rsidR="00C1622C" w:rsidRDefault="00C1622C" w:rsidP="00C1622C">
      <w:pPr>
        <w:spacing w:line="276" w:lineRule="auto"/>
        <w:rPr>
          <w:rFonts w:ascii="Arial" w:hAnsi="Arial" w:cs="Arial"/>
        </w:rPr>
      </w:pPr>
      <w:r w:rsidRPr="00C1622C">
        <w:rPr>
          <w:rFonts w:ascii="Arial" w:hAnsi="Arial" w:cs="Arial"/>
        </w:rPr>
        <w:t xml:space="preserve">Yes, the allopurinol doses were adjusted as recommended in the guidelines on </w:t>
      </w:r>
      <w:proofErr w:type="spellStart"/>
      <w:r w:rsidRPr="00C1622C">
        <w:rPr>
          <w:rFonts w:ascii="Arial" w:hAnsi="Arial" w:cs="Arial"/>
        </w:rPr>
        <w:t>HealthPathways</w:t>
      </w:r>
      <w:proofErr w:type="spellEnd"/>
      <w:r w:rsidRPr="00C1622C">
        <w:rPr>
          <w:rFonts w:ascii="Arial" w:hAnsi="Arial" w:cs="Arial"/>
        </w:rPr>
        <w:t>.</w:t>
      </w:r>
    </w:p>
    <w:p w14:paraId="0AA3A4A6" w14:textId="77777777" w:rsidR="00C1622C" w:rsidRDefault="00C1622C" w:rsidP="00C1622C">
      <w:pPr>
        <w:spacing w:line="276" w:lineRule="auto"/>
        <w:rPr>
          <w:rFonts w:ascii="Arial" w:hAnsi="Arial" w:cs="Arial"/>
        </w:rPr>
      </w:pPr>
    </w:p>
    <w:p w14:paraId="773DDB18" w14:textId="3918D30B" w:rsidR="00C1622C" w:rsidRDefault="00C1622C" w:rsidP="00C1622C">
      <w:pPr>
        <w:pStyle w:val="Heading2"/>
        <w:pBdr>
          <w:bottom w:val="single" w:sz="4" w:space="1" w:color="auto"/>
        </w:pBdr>
        <w:spacing w:line="276" w:lineRule="auto"/>
      </w:pPr>
      <w:r w:rsidRPr="00C1622C">
        <w:t>Long-term conditions or comorbidities</w:t>
      </w:r>
    </w:p>
    <w:p w14:paraId="08651F92" w14:textId="77777777" w:rsidR="00C1622C" w:rsidRPr="00C1622C" w:rsidRDefault="00C1622C" w:rsidP="00C1622C">
      <w:pPr>
        <w:spacing w:line="276" w:lineRule="auto"/>
      </w:pPr>
    </w:p>
    <w:p w14:paraId="6E4F6D90" w14:textId="67A16E3D" w:rsidR="00C1622C" w:rsidRPr="00C1622C" w:rsidRDefault="00C1622C" w:rsidP="00C1622C">
      <w:pPr>
        <w:spacing w:line="276" w:lineRule="auto"/>
        <w:rPr>
          <w:rFonts w:ascii="Arial" w:hAnsi="Arial" w:cs="Arial"/>
          <w:b/>
          <w:bCs/>
        </w:rPr>
      </w:pPr>
      <w:r w:rsidRPr="00C1622C">
        <w:rPr>
          <w:rFonts w:ascii="Arial" w:hAnsi="Arial" w:cs="Arial"/>
          <w:b/>
          <w:bCs/>
        </w:rPr>
        <w:t xml:space="preserve">Can we comment on treating urate in context of lowering </w:t>
      </w:r>
      <w:r w:rsidR="00A41F78">
        <w:rPr>
          <w:rFonts w:ascii="Arial" w:hAnsi="Arial" w:cs="Arial"/>
          <w:b/>
          <w:bCs/>
        </w:rPr>
        <w:t>cardiovascular disease (CVD)</w:t>
      </w:r>
      <w:r w:rsidRPr="00C1622C">
        <w:rPr>
          <w:rFonts w:ascii="Arial" w:hAnsi="Arial" w:cs="Arial"/>
          <w:b/>
          <w:bCs/>
        </w:rPr>
        <w:t xml:space="preserve"> risk?</w:t>
      </w:r>
    </w:p>
    <w:p w14:paraId="383D9712" w14:textId="25E13CEC" w:rsidR="00C1622C" w:rsidRDefault="00C1622C" w:rsidP="00C1622C">
      <w:pPr>
        <w:spacing w:line="276" w:lineRule="auto"/>
        <w:rPr>
          <w:rFonts w:ascii="Arial" w:hAnsi="Arial" w:cs="Arial"/>
        </w:rPr>
      </w:pPr>
      <w:r w:rsidRPr="00C1622C">
        <w:rPr>
          <w:rFonts w:ascii="Arial" w:hAnsi="Arial" w:cs="Arial"/>
        </w:rPr>
        <w:t xml:space="preserve">Data are still unclear whether urate contributes directly to CVD, and I wouldn’t start urate lowering therapy to prevent CVD for asymptomatic hyperuricemia. However, reducing exposure to NSAIDs by preventing gout flares may have some benefits in reducing CVD risk (plus </w:t>
      </w:r>
      <w:r w:rsidR="00A41F78">
        <w:rPr>
          <w:rFonts w:ascii="Arial" w:hAnsi="Arial" w:cs="Arial"/>
        </w:rPr>
        <w:t>chronic kidney disease (CKD)</w:t>
      </w:r>
      <w:r w:rsidRPr="00C1622C">
        <w:rPr>
          <w:rFonts w:ascii="Arial" w:hAnsi="Arial" w:cs="Arial"/>
        </w:rPr>
        <w:t xml:space="preserve"> risk!). The CARES trial of people with gout indicated that allopurinol may be safer than febuxostat for patients with established CVD.</w:t>
      </w:r>
    </w:p>
    <w:p w14:paraId="3E171647" w14:textId="6E350F02" w:rsidR="00C1622C" w:rsidRPr="00C1622C" w:rsidRDefault="00C1622C" w:rsidP="00C1622C">
      <w:pPr>
        <w:spacing w:line="276" w:lineRule="auto"/>
        <w:rPr>
          <w:rFonts w:ascii="Arial" w:hAnsi="Arial" w:cs="Arial"/>
          <w:b/>
          <w:bCs/>
        </w:rPr>
      </w:pPr>
      <w:r w:rsidRPr="00C1622C">
        <w:rPr>
          <w:rFonts w:ascii="Arial" w:hAnsi="Arial" w:cs="Arial"/>
          <w:b/>
          <w:bCs/>
        </w:rPr>
        <w:t xml:space="preserve">Treatment of asymptomatic hyperuricemia is not currently recommended. Are we not concerned about the long-term association of increased </w:t>
      </w:r>
      <w:r w:rsidR="00A41F78">
        <w:rPr>
          <w:rFonts w:ascii="Arial" w:hAnsi="Arial" w:cs="Arial"/>
          <w:b/>
          <w:bCs/>
        </w:rPr>
        <w:t>cardiovascular</w:t>
      </w:r>
      <w:r w:rsidRPr="00C1622C">
        <w:rPr>
          <w:rFonts w:ascii="Arial" w:hAnsi="Arial" w:cs="Arial"/>
          <w:b/>
          <w:bCs/>
        </w:rPr>
        <w:t xml:space="preserve"> risk, renal effects, diabetes </w:t>
      </w:r>
      <w:proofErr w:type="spellStart"/>
      <w:r w:rsidRPr="00C1622C">
        <w:rPr>
          <w:rFonts w:ascii="Arial" w:hAnsi="Arial" w:cs="Arial"/>
          <w:b/>
          <w:bCs/>
        </w:rPr>
        <w:t>etc</w:t>
      </w:r>
      <w:proofErr w:type="spellEnd"/>
      <w:r w:rsidRPr="00C1622C">
        <w:rPr>
          <w:rFonts w:ascii="Arial" w:hAnsi="Arial" w:cs="Arial"/>
          <w:b/>
          <w:bCs/>
        </w:rPr>
        <w:t>?</w:t>
      </w:r>
    </w:p>
    <w:p w14:paraId="7D87CB4F" w14:textId="499946C8" w:rsidR="00C1622C" w:rsidRDefault="00C1622C" w:rsidP="00C1622C">
      <w:pPr>
        <w:spacing w:line="276" w:lineRule="auto"/>
        <w:rPr>
          <w:rFonts w:ascii="Arial" w:hAnsi="Arial" w:cs="Arial"/>
        </w:rPr>
      </w:pPr>
      <w:r w:rsidRPr="00C1622C">
        <w:rPr>
          <w:rFonts w:ascii="Arial" w:hAnsi="Arial" w:cs="Arial"/>
        </w:rPr>
        <w:t xml:space="preserve">There is not enough evidence to treat asymptomatic hyperuricemia </w:t>
      </w:r>
      <w:r w:rsidR="00A41F78" w:rsidRPr="00C1622C">
        <w:rPr>
          <w:rFonts w:ascii="Arial" w:hAnsi="Arial" w:cs="Arial"/>
        </w:rPr>
        <w:t>currently,</w:t>
      </w:r>
      <w:r w:rsidRPr="00C1622C">
        <w:rPr>
          <w:rFonts w:ascii="Arial" w:hAnsi="Arial" w:cs="Arial"/>
        </w:rPr>
        <w:t xml:space="preserve"> but</w:t>
      </w:r>
      <w:r w:rsidR="00A41F78">
        <w:rPr>
          <w:rFonts w:ascii="Arial" w:hAnsi="Arial" w:cs="Arial"/>
        </w:rPr>
        <w:t xml:space="preserve"> it</w:t>
      </w:r>
      <w:r w:rsidRPr="00C1622C">
        <w:rPr>
          <w:rFonts w:ascii="Arial" w:hAnsi="Arial" w:cs="Arial"/>
        </w:rPr>
        <w:t xml:space="preserve"> will be interesting to watch this space</w:t>
      </w:r>
      <w:r w:rsidR="00A41F78">
        <w:rPr>
          <w:rFonts w:ascii="Arial" w:hAnsi="Arial" w:cs="Arial"/>
        </w:rPr>
        <w:t>,</w:t>
      </w:r>
      <w:r w:rsidRPr="00C1622C">
        <w:rPr>
          <w:rFonts w:ascii="Arial" w:hAnsi="Arial" w:cs="Arial"/>
        </w:rPr>
        <w:t xml:space="preserve"> if this prevention was to occur nationally</w:t>
      </w:r>
      <w:r w:rsidR="00A41F78">
        <w:rPr>
          <w:rFonts w:ascii="Arial" w:hAnsi="Arial" w:cs="Arial"/>
        </w:rPr>
        <w:t>,</w:t>
      </w:r>
      <w:r w:rsidRPr="00C1622C">
        <w:rPr>
          <w:rFonts w:ascii="Arial" w:hAnsi="Arial" w:cs="Arial"/>
        </w:rPr>
        <w:t xml:space="preserve"> what the impact might be on CVD rates.</w:t>
      </w:r>
    </w:p>
    <w:p w14:paraId="5ABF6B46" w14:textId="03528B8C" w:rsidR="00C1622C" w:rsidRPr="00C1622C" w:rsidRDefault="00C1622C" w:rsidP="00C1622C">
      <w:pPr>
        <w:pStyle w:val="Heading2"/>
        <w:pBdr>
          <w:bottom w:val="single" w:sz="4" w:space="1" w:color="auto"/>
        </w:pBdr>
        <w:spacing w:line="276" w:lineRule="auto"/>
        <w:rPr>
          <w:lang w:val="en-NZ"/>
        </w:rPr>
      </w:pPr>
      <w:r w:rsidRPr="00C1622C">
        <w:rPr>
          <w:lang w:val="en-NZ"/>
        </w:rPr>
        <w:lastRenderedPageBreak/>
        <w:t>Gout management</w:t>
      </w:r>
    </w:p>
    <w:p w14:paraId="337164E3" w14:textId="77777777" w:rsidR="00C1622C" w:rsidRDefault="00C1622C" w:rsidP="00C1622C">
      <w:pPr>
        <w:spacing w:line="276" w:lineRule="auto"/>
        <w:rPr>
          <w:rFonts w:ascii="Arial" w:hAnsi="Arial" w:cs="Arial"/>
        </w:rPr>
      </w:pPr>
    </w:p>
    <w:p w14:paraId="4FDFD115" w14:textId="71F73321" w:rsidR="00C1622C" w:rsidRPr="00C1622C" w:rsidRDefault="00C1622C" w:rsidP="00C1622C">
      <w:pPr>
        <w:spacing w:line="276" w:lineRule="auto"/>
        <w:rPr>
          <w:rFonts w:ascii="Arial" w:hAnsi="Arial" w:cs="Arial"/>
          <w:b/>
          <w:bCs/>
          <w:lang w:val="en-NZ"/>
        </w:rPr>
      </w:pPr>
      <w:r w:rsidRPr="00C1622C">
        <w:rPr>
          <w:rFonts w:ascii="Arial" w:hAnsi="Arial" w:cs="Arial"/>
          <w:b/>
          <w:bCs/>
        </w:rPr>
        <w:t>Role of HLA B*5801 in different ethnic group to allopurinol?</w:t>
      </w:r>
    </w:p>
    <w:p w14:paraId="3869F2D9" w14:textId="7E764FB8" w:rsidR="00C1622C" w:rsidRDefault="00C1622C" w:rsidP="00C1622C">
      <w:pPr>
        <w:spacing w:line="276" w:lineRule="auto"/>
        <w:rPr>
          <w:rFonts w:ascii="Arial" w:hAnsi="Arial" w:cs="Arial"/>
        </w:rPr>
      </w:pPr>
      <w:r w:rsidRPr="00C1622C">
        <w:rPr>
          <w:rFonts w:ascii="Arial" w:hAnsi="Arial" w:cs="Arial"/>
        </w:rPr>
        <w:t>I test this for Chinese and other Asian patients. I would avoid allopurinol if B*5801 positive.</w:t>
      </w:r>
    </w:p>
    <w:p w14:paraId="1BDD442D" w14:textId="7F563D9E" w:rsidR="00C1622C" w:rsidRPr="00C1622C" w:rsidRDefault="00C1622C" w:rsidP="00C1622C">
      <w:pPr>
        <w:spacing w:line="276" w:lineRule="auto"/>
        <w:rPr>
          <w:rFonts w:ascii="Arial" w:hAnsi="Arial" w:cs="Arial"/>
          <w:b/>
          <w:bCs/>
        </w:rPr>
      </w:pPr>
      <w:r w:rsidRPr="00C1622C">
        <w:rPr>
          <w:rFonts w:ascii="Arial" w:hAnsi="Arial" w:cs="Arial"/>
          <w:b/>
          <w:bCs/>
        </w:rPr>
        <w:t xml:space="preserve">Just wondering about high rates of gout and genetics of Māori/Pacific. Was gout an historic issue? I’m thinking </w:t>
      </w:r>
      <w:proofErr w:type="spellStart"/>
      <w:r w:rsidRPr="00C1622C">
        <w:rPr>
          <w:rFonts w:ascii="Arial" w:hAnsi="Arial" w:cs="Arial"/>
          <w:b/>
          <w:bCs/>
        </w:rPr>
        <w:t>kaimoana</w:t>
      </w:r>
      <w:proofErr w:type="spellEnd"/>
      <w:r w:rsidRPr="00C1622C">
        <w:rPr>
          <w:rFonts w:ascii="Arial" w:hAnsi="Arial" w:cs="Arial"/>
          <w:b/>
          <w:bCs/>
        </w:rPr>
        <w:t xml:space="preserve"> would’ve been a vital source of food and purines? Has the modern processed diet increased gout rates?</w:t>
      </w:r>
    </w:p>
    <w:p w14:paraId="2A86DAE0" w14:textId="69467183" w:rsidR="00C1622C" w:rsidRDefault="00C1622C" w:rsidP="00C1622C">
      <w:pPr>
        <w:spacing w:line="276" w:lineRule="auto"/>
        <w:rPr>
          <w:rFonts w:ascii="Arial" w:hAnsi="Arial" w:cs="Arial"/>
        </w:rPr>
      </w:pPr>
      <w:r w:rsidRPr="00C1622C">
        <w:rPr>
          <w:rFonts w:ascii="Arial" w:hAnsi="Arial" w:cs="Arial"/>
        </w:rPr>
        <w:t>There are genetic differences which influence excretion of uric acid from the kidneys. Dietary habits only contribute 10</w:t>
      </w:r>
      <w:r w:rsidR="00A41F78">
        <w:rPr>
          <w:rFonts w:ascii="Arial" w:hAnsi="Arial" w:cs="Arial"/>
        </w:rPr>
        <w:t>–</w:t>
      </w:r>
      <w:r w:rsidRPr="00C1622C">
        <w:rPr>
          <w:rFonts w:ascii="Arial" w:hAnsi="Arial" w:cs="Arial"/>
        </w:rPr>
        <w:t>20 percent whereas genes and other biological factors (</w:t>
      </w:r>
      <w:proofErr w:type="spellStart"/>
      <w:r w:rsidRPr="00C1622C">
        <w:rPr>
          <w:rFonts w:ascii="Arial" w:hAnsi="Arial" w:cs="Arial"/>
        </w:rPr>
        <w:t>eg</w:t>
      </w:r>
      <w:proofErr w:type="spellEnd"/>
      <w:r w:rsidR="00A41F78">
        <w:rPr>
          <w:rFonts w:ascii="Arial" w:hAnsi="Arial" w:cs="Arial"/>
        </w:rPr>
        <w:t>,</w:t>
      </w:r>
      <w:r w:rsidRPr="00C1622C">
        <w:rPr>
          <w:rFonts w:ascii="Arial" w:hAnsi="Arial" w:cs="Arial"/>
        </w:rPr>
        <w:t xml:space="preserve"> CKD, medications) 80</w:t>
      </w:r>
      <w:r w:rsidR="00A41F78">
        <w:rPr>
          <w:rFonts w:ascii="Arial" w:hAnsi="Arial" w:cs="Arial"/>
        </w:rPr>
        <w:t>–</w:t>
      </w:r>
      <w:r w:rsidRPr="00C1622C">
        <w:rPr>
          <w:rFonts w:ascii="Arial" w:hAnsi="Arial" w:cs="Arial"/>
        </w:rPr>
        <w:t>90 percent. In addition to changes of diet with ‘modern living’, there is also more CKD, CVD, diuretics, and this may also be contributing to the increasing prevalence of gout in NZ and worldwide.</w:t>
      </w:r>
    </w:p>
    <w:p w14:paraId="4D60D0C5" w14:textId="06F7023E" w:rsidR="00C1622C" w:rsidRPr="00C1622C" w:rsidRDefault="00C1622C" w:rsidP="00C1622C">
      <w:pPr>
        <w:spacing w:line="276" w:lineRule="auto"/>
        <w:rPr>
          <w:rFonts w:ascii="Arial" w:hAnsi="Arial" w:cs="Arial"/>
          <w:b/>
          <w:bCs/>
        </w:rPr>
      </w:pPr>
      <w:r w:rsidRPr="00C1622C">
        <w:rPr>
          <w:rFonts w:ascii="Arial" w:hAnsi="Arial" w:cs="Arial"/>
          <w:b/>
          <w:bCs/>
        </w:rPr>
        <w:t>I’ve heard tonight that dietary factors only contribute 20 percent to uric acid level. What advice would you give the patient with gout who enjoys 1 beer per day?</w:t>
      </w:r>
    </w:p>
    <w:p w14:paraId="4D1DB1A1" w14:textId="7DA0DC2A" w:rsidR="00C1622C" w:rsidRDefault="00C1622C" w:rsidP="00C1622C">
      <w:pPr>
        <w:spacing w:line="276" w:lineRule="auto"/>
        <w:rPr>
          <w:rFonts w:ascii="Arial" w:hAnsi="Arial" w:cs="Arial"/>
        </w:rPr>
      </w:pPr>
      <w:r w:rsidRPr="00C1622C">
        <w:rPr>
          <w:rFonts w:ascii="Arial" w:hAnsi="Arial" w:cs="Arial"/>
        </w:rPr>
        <w:t xml:space="preserve">Take urate lowering therapy and continue to enjoy your beer or </w:t>
      </w:r>
      <w:proofErr w:type="spellStart"/>
      <w:r w:rsidRPr="00C1622C">
        <w:rPr>
          <w:rFonts w:ascii="Arial" w:hAnsi="Arial" w:cs="Arial"/>
        </w:rPr>
        <w:t>kaimoana</w:t>
      </w:r>
      <w:proofErr w:type="spellEnd"/>
      <w:r w:rsidRPr="00C1622C">
        <w:rPr>
          <w:rFonts w:ascii="Arial" w:hAnsi="Arial" w:cs="Arial"/>
        </w:rPr>
        <w:t>!</w:t>
      </w:r>
    </w:p>
    <w:p w14:paraId="1F2B325E" w14:textId="36365E06" w:rsidR="00C1622C" w:rsidRPr="00C1622C" w:rsidRDefault="00C1622C" w:rsidP="00C1622C">
      <w:pPr>
        <w:spacing w:line="276" w:lineRule="auto"/>
        <w:rPr>
          <w:rFonts w:ascii="Arial" w:hAnsi="Arial" w:cs="Arial"/>
          <w:b/>
          <w:bCs/>
        </w:rPr>
      </w:pPr>
      <w:r w:rsidRPr="00C1622C">
        <w:rPr>
          <w:rFonts w:ascii="Arial" w:hAnsi="Arial" w:cs="Arial"/>
          <w:b/>
          <w:bCs/>
        </w:rPr>
        <w:t xml:space="preserve">I had a home visit today with an 18-year-old patient who lives with his </w:t>
      </w:r>
      <w:proofErr w:type="spellStart"/>
      <w:r w:rsidRPr="00C1622C">
        <w:rPr>
          <w:rFonts w:ascii="Arial" w:hAnsi="Arial" w:cs="Arial"/>
          <w:b/>
          <w:bCs/>
        </w:rPr>
        <w:t>koro</w:t>
      </w:r>
      <w:proofErr w:type="spellEnd"/>
      <w:r w:rsidR="00975057">
        <w:rPr>
          <w:rFonts w:ascii="Arial" w:hAnsi="Arial" w:cs="Arial"/>
          <w:b/>
          <w:bCs/>
        </w:rPr>
        <w:t>,</w:t>
      </w:r>
      <w:r w:rsidRPr="00C1622C">
        <w:rPr>
          <w:rFonts w:ascii="Arial" w:hAnsi="Arial" w:cs="Arial"/>
          <w:b/>
          <w:bCs/>
        </w:rPr>
        <w:t xml:space="preserve"> who also suffers long</w:t>
      </w:r>
      <w:r w:rsidR="00975057">
        <w:rPr>
          <w:rFonts w:ascii="Arial" w:hAnsi="Arial" w:cs="Arial"/>
          <w:b/>
          <w:bCs/>
        </w:rPr>
        <w:t>-</w:t>
      </w:r>
      <w:r w:rsidRPr="00C1622C">
        <w:rPr>
          <w:rFonts w:ascii="Arial" w:hAnsi="Arial" w:cs="Arial"/>
          <w:b/>
          <w:bCs/>
        </w:rPr>
        <w:t xml:space="preserve">term gout, nana was out in the kitchen listening. The </w:t>
      </w:r>
      <w:proofErr w:type="spellStart"/>
      <w:r w:rsidRPr="00C1622C">
        <w:rPr>
          <w:rFonts w:ascii="Arial" w:hAnsi="Arial" w:cs="Arial"/>
          <w:b/>
          <w:bCs/>
        </w:rPr>
        <w:t>k</w:t>
      </w:r>
      <w:r w:rsidR="00975057">
        <w:rPr>
          <w:rFonts w:ascii="Arial" w:hAnsi="Arial" w:cs="Arial"/>
          <w:b/>
          <w:bCs/>
        </w:rPr>
        <w:t>ō</w:t>
      </w:r>
      <w:r w:rsidRPr="00C1622C">
        <w:rPr>
          <w:rFonts w:ascii="Arial" w:hAnsi="Arial" w:cs="Arial"/>
          <w:b/>
          <w:bCs/>
        </w:rPr>
        <w:t>rero</w:t>
      </w:r>
      <w:proofErr w:type="spellEnd"/>
      <w:r w:rsidRPr="00C1622C">
        <w:rPr>
          <w:rFonts w:ascii="Arial" w:hAnsi="Arial" w:cs="Arial"/>
          <w:b/>
          <w:bCs/>
        </w:rPr>
        <w:t xml:space="preserve"> about including whānau to make this work is so important to instigate understanding and compliance.</w:t>
      </w:r>
    </w:p>
    <w:p w14:paraId="56F5E53A" w14:textId="502510E0" w:rsidR="00C1622C" w:rsidRDefault="00C1622C" w:rsidP="00C1622C">
      <w:pPr>
        <w:spacing w:line="276" w:lineRule="auto"/>
        <w:rPr>
          <w:rFonts w:ascii="Arial" w:hAnsi="Arial" w:cs="Arial"/>
        </w:rPr>
      </w:pPr>
      <w:r w:rsidRPr="00C1622C">
        <w:rPr>
          <w:rFonts w:ascii="Arial" w:hAnsi="Arial" w:cs="Arial"/>
        </w:rPr>
        <w:t>Working with the whānau is so important. Changing understanding about gout within one whānau has such a flow on effect in the community.</w:t>
      </w:r>
    </w:p>
    <w:p w14:paraId="1B40B066" w14:textId="19863776" w:rsidR="00C1622C" w:rsidRPr="00C1622C" w:rsidRDefault="00C1622C" w:rsidP="00C1622C">
      <w:pPr>
        <w:spacing w:line="276" w:lineRule="auto"/>
        <w:rPr>
          <w:rFonts w:ascii="Arial" w:hAnsi="Arial" w:cs="Arial"/>
          <w:b/>
          <w:bCs/>
        </w:rPr>
      </w:pPr>
      <w:r w:rsidRPr="00C1622C">
        <w:rPr>
          <w:rFonts w:ascii="Arial" w:hAnsi="Arial" w:cs="Arial"/>
          <w:b/>
          <w:bCs/>
        </w:rPr>
        <w:t>Have you thought about introducing nutritionists or dieticians into this initiative since diet is important and affects gout?</w:t>
      </w:r>
    </w:p>
    <w:p w14:paraId="23229821" w14:textId="77777777" w:rsidR="00C1622C" w:rsidRPr="00C1622C" w:rsidRDefault="00C1622C" w:rsidP="00C1622C">
      <w:pPr>
        <w:spacing w:before="240" w:line="276" w:lineRule="auto"/>
        <w:rPr>
          <w:rFonts w:ascii="Arial" w:eastAsia="Calibri" w:hAnsi="Arial" w:cs="Arial"/>
        </w:rPr>
      </w:pPr>
      <w:r w:rsidRPr="00C1622C">
        <w:rPr>
          <w:rFonts w:ascii="Arial" w:eastAsia="Calibri" w:hAnsi="Arial" w:cs="Arial"/>
        </w:rPr>
        <w:t xml:space="preserve">The </w:t>
      </w:r>
      <w:proofErr w:type="spellStart"/>
      <w:r w:rsidRPr="00C1622C">
        <w:rPr>
          <w:rFonts w:ascii="Arial" w:eastAsia="Calibri" w:hAnsi="Arial" w:cs="Arial"/>
        </w:rPr>
        <w:t>programmes</w:t>
      </w:r>
      <w:proofErr w:type="spellEnd"/>
      <w:r w:rsidRPr="00C1622C">
        <w:rPr>
          <w:rFonts w:ascii="Arial" w:eastAsia="Calibri" w:hAnsi="Arial" w:cs="Arial"/>
        </w:rPr>
        <w:t xml:space="preserve"> did not include dieticians. The evidence for effectiveness of dietary management in changing serum urate is weak (Major et al 2018). Dietary changes only lead to small reductions in serum urate and spending a lot of time focusing on diet can deflect from the key messages about effective treatments such as allopurinol. However, you are right that the most common view in the community is that food is the cause of gout. </w:t>
      </w:r>
    </w:p>
    <w:p w14:paraId="434C96C9" w14:textId="290E3306" w:rsidR="00C1622C" w:rsidRDefault="00C1622C" w:rsidP="00C1622C">
      <w:pPr>
        <w:spacing w:line="276" w:lineRule="auto"/>
        <w:rPr>
          <w:rFonts w:ascii="Arial" w:eastAsia="Calibri" w:hAnsi="Arial" w:cs="Arial"/>
        </w:rPr>
      </w:pPr>
      <w:r w:rsidRPr="00C1622C">
        <w:rPr>
          <w:rFonts w:ascii="Arial" w:eastAsia="Calibri" w:hAnsi="Arial" w:cs="Arial"/>
        </w:rPr>
        <w:t>Bearing in mind the overwhelming evidence (Tin et al 2019; Major et al 2018; Hollis-Moffatt et al 2009; Phipps-Green et al 2016; Tanner et al 2017) about genetic factors, particularly for Māori and Pacific peoples, we need to provide information about how it is not the person’s fault and instead focus on the role of the kidneys.</w:t>
      </w:r>
    </w:p>
    <w:p w14:paraId="20C82B4C" w14:textId="2378F542" w:rsidR="00C1622C" w:rsidRPr="00C1622C" w:rsidRDefault="00C1622C" w:rsidP="00C1622C">
      <w:pPr>
        <w:spacing w:line="276" w:lineRule="auto"/>
        <w:rPr>
          <w:rFonts w:ascii="Arial" w:hAnsi="Arial" w:cs="Arial"/>
          <w:b/>
          <w:bCs/>
        </w:rPr>
      </w:pPr>
      <w:r w:rsidRPr="00C1622C">
        <w:rPr>
          <w:rFonts w:ascii="Arial" w:hAnsi="Arial" w:cs="Arial"/>
          <w:b/>
          <w:bCs/>
        </w:rPr>
        <w:t>These kinds of interventions need to include lifestyle modification advice which will have wider benefits for patients than gout reduction.</w:t>
      </w:r>
    </w:p>
    <w:p w14:paraId="72659BAC" w14:textId="20B0D594" w:rsidR="00C1622C" w:rsidRDefault="00C1622C" w:rsidP="00C1622C">
      <w:pPr>
        <w:spacing w:line="276" w:lineRule="auto"/>
        <w:rPr>
          <w:rFonts w:ascii="Arial" w:hAnsi="Arial" w:cs="Arial"/>
        </w:rPr>
      </w:pPr>
      <w:r w:rsidRPr="00C1622C">
        <w:rPr>
          <w:rFonts w:ascii="Arial" w:hAnsi="Arial" w:cs="Arial"/>
        </w:rPr>
        <w:t xml:space="preserve">When I am talking to a person with gout, especially a younger person, my primary focus is to get them onto urate lowering therapy. Once urate lowering therapy is established in a sustainable </w:t>
      </w:r>
      <w:r w:rsidRPr="00C1622C">
        <w:rPr>
          <w:rFonts w:ascii="Arial" w:hAnsi="Arial" w:cs="Arial"/>
        </w:rPr>
        <w:lastRenderedPageBreak/>
        <w:t>way then I will have a conversation about lifestyle issues in a way that doesn’t blame the person.</w:t>
      </w:r>
    </w:p>
    <w:p w14:paraId="3AFE4996" w14:textId="1C58631F" w:rsidR="00C1622C" w:rsidRPr="00C1622C" w:rsidRDefault="00C1622C" w:rsidP="00C1622C">
      <w:pPr>
        <w:spacing w:line="276" w:lineRule="auto"/>
        <w:rPr>
          <w:rFonts w:ascii="Arial" w:hAnsi="Arial" w:cs="Arial"/>
          <w:b/>
          <w:bCs/>
        </w:rPr>
      </w:pPr>
      <w:r w:rsidRPr="00C1622C">
        <w:rPr>
          <w:rFonts w:ascii="Arial" w:hAnsi="Arial" w:cs="Arial"/>
          <w:b/>
          <w:bCs/>
        </w:rPr>
        <w:t>I work as a long-term condition</w:t>
      </w:r>
      <w:r w:rsidR="00975057">
        <w:rPr>
          <w:rFonts w:ascii="Arial" w:hAnsi="Arial" w:cs="Arial"/>
          <w:b/>
          <w:bCs/>
        </w:rPr>
        <w:t xml:space="preserve"> (LTC)</w:t>
      </w:r>
      <w:r w:rsidRPr="00C1622C">
        <w:rPr>
          <w:rFonts w:ascii="Arial" w:hAnsi="Arial" w:cs="Arial"/>
          <w:b/>
          <w:bCs/>
        </w:rPr>
        <w:t xml:space="preserve"> nurse and I believe the main problem with gout and other LTC s, comes down to the patient’s lack of understanding of their medications and conditions. Health literacy. Time constraints within general practice. Cost. All of what has been addressed in both </w:t>
      </w:r>
      <w:proofErr w:type="spellStart"/>
      <w:r w:rsidRPr="00C1622C">
        <w:rPr>
          <w:rFonts w:ascii="Arial" w:hAnsi="Arial" w:cs="Arial"/>
          <w:b/>
          <w:bCs/>
        </w:rPr>
        <w:t>programmes</w:t>
      </w:r>
      <w:proofErr w:type="spellEnd"/>
      <w:r w:rsidRPr="00C1622C">
        <w:rPr>
          <w:rFonts w:ascii="Arial" w:hAnsi="Arial" w:cs="Arial"/>
          <w:b/>
          <w:bCs/>
        </w:rPr>
        <w:t>. I am in a role that allows this time and I have obtained great engagement from patient and wh</w:t>
      </w:r>
      <w:r w:rsidR="00975057">
        <w:rPr>
          <w:rFonts w:ascii="Arial" w:hAnsi="Arial" w:cs="Arial"/>
          <w:b/>
          <w:bCs/>
        </w:rPr>
        <w:t>ā</w:t>
      </w:r>
      <w:r w:rsidRPr="00C1622C">
        <w:rPr>
          <w:rFonts w:ascii="Arial" w:hAnsi="Arial" w:cs="Arial"/>
          <w:b/>
          <w:bCs/>
        </w:rPr>
        <w:t>nau and improved health outcomes</w:t>
      </w:r>
      <w:r>
        <w:rPr>
          <w:rFonts w:ascii="Arial" w:hAnsi="Arial" w:cs="Arial"/>
          <w:b/>
          <w:bCs/>
        </w:rPr>
        <w:t>.</w:t>
      </w:r>
    </w:p>
    <w:p w14:paraId="02ED835C" w14:textId="53BB09CD" w:rsidR="00C1622C" w:rsidRDefault="00C1622C" w:rsidP="00C1622C">
      <w:pPr>
        <w:spacing w:before="240" w:line="276" w:lineRule="auto"/>
        <w:rPr>
          <w:rStyle w:val="Hyperlink"/>
          <w:rFonts w:ascii="Arial" w:hAnsi="Arial" w:cs="Arial"/>
        </w:rPr>
      </w:pPr>
      <w:r w:rsidRPr="00C1622C">
        <w:rPr>
          <w:rFonts w:ascii="Arial" w:hAnsi="Arial" w:cs="Arial"/>
        </w:rPr>
        <w:t>Health professionals have a big role to play in building people’s health literacy however building health literacy is the responsibility of the whole system as outlined in the Framework for Health Literacy</w:t>
      </w:r>
      <w:r w:rsidR="00975057">
        <w:rPr>
          <w:rFonts w:ascii="Arial" w:hAnsi="Arial" w:cs="Arial"/>
        </w:rPr>
        <w:t>:</w:t>
      </w:r>
      <w:r w:rsidRPr="00C1622C">
        <w:rPr>
          <w:rFonts w:ascii="Arial" w:hAnsi="Arial" w:cs="Arial"/>
        </w:rPr>
        <w:t xml:space="preserve"> </w:t>
      </w:r>
      <w:hyperlink r:id="rId11" w:history="1">
        <w:r w:rsidRPr="00C1622C">
          <w:rPr>
            <w:rStyle w:val="Hyperlink"/>
            <w:rFonts w:ascii="Arial" w:hAnsi="Arial" w:cs="Arial"/>
          </w:rPr>
          <w:t>https://www.health.govt.nz/publication/framework-health-literacy</w:t>
        </w:r>
      </w:hyperlink>
      <w:r w:rsidRPr="00975057">
        <w:rPr>
          <w:rStyle w:val="Hyperlink"/>
          <w:rFonts w:ascii="Arial" w:hAnsi="Arial" w:cs="Arial"/>
          <w:color w:val="000000" w:themeColor="text1"/>
          <w:u w:val="none"/>
        </w:rPr>
        <w:t>.</w:t>
      </w:r>
    </w:p>
    <w:p w14:paraId="16A4EE90" w14:textId="5060C714" w:rsidR="00C1622C" w:rsidRPr="00C1622C" w:rsidRDefault="00C1622C" w:rsidP="00C1622C">
      <w:pPr>
        <w:spacing w:before="240" w:line="276" w:lineRule="auto"/>
        <w:rPr>
          <w:rFonts w:ascii="Arial" w:hAnsi="Arial" w:cs="Arial"/>
        </w:rPr>
      </w:pPr>
      <w:r w:rsidRPr="00C1622C">
        <w:rPr>
          <w:rFonts w:ascii="Arial" w:hAnsi="Arial" w:cs="Arial"/>
        </w:rPr>
        <w:t xml:space="preserve">An article published in </w:t>
      </w:r>
      <w:r w:rsidRPr="00C1622C">
        <w:rPr>
          <w:rFonts w:ascii="Arial" w:hAnsi="Arial" w:cs="Arial"/>
          <w:i/>
          <w:iCs/>
        </w:rPr>
        <w:t>NZMJ Digest</w:t>
      </w:r>
      <w:r w:rsidRPr="00C1622C">
        <w:rPr>
          <w:rFonts w:ascii="Arial" w:hAnsi="Arial" w:cs="Arial"/>
        </w:rPr>
        <w:t xml:space="preserve"> (Health Literacy NZ 2020) explains what the term ‘low health literacy’ means in relation to individuals and whānau.</w:t>
      </w:r>
    </w:p>
    <w:p w14:paraId="74A16F6F" w14:textId="0F3155E0" w:rsidR="00C1622C" w:rsidRPr="00C1622C" w:rsidRDefault="00C1622C" w:rsidP="00C1622C">
      <w:pPr>
        <w:spacing w:line="276" w:lineRule="auto"/>
        <w:rPr>
          <w:rFonts w:ascii="Arial" w:hAnsi="Arial" w:cs="Arial"/>
          <w:b/>
          <w:bCs/>
        </w:rPr>
      </w:pPr>
      <w:r w:rsidRPr="00C1622C">
        <w:rPr>
          <w:rFonts w:ascii="Arial" w:hAnsi="Arial" w:cs="Arial"/>
          <w:b/>
          <w:bCs/>
        </w:rPr>
        <w:t>I wonder whether and where the weakest link of gout management is. We must identify the weakest link whether</w:t>
      </w:r>
      <w:r w:rsidR="00975057">
        <w:rPr>
          <w:rFonts w:ascii="Arial" w:hAnsi="Arial" w:cs="Arial"/>
          <w:b/>
          <w:bCs/>
        </w:rPr>
        <w:t xml:space="preserve"> it’s</w:t>
      </w:r>
      <w:r w:rsidRPr="00C1622C">
        <w:rPr>
          <w:rFonts w:ascii="Arial" w:hAnsi="Arial" w:cs="Arial"/>
          <w:b/>
          <w:bCs/>
        </w:rPr>
        <w:t xml:space="preserve"> adherence to medication, misunderstanding about medication, misinformation about side effect of NSAID vs allopurinol long term. So, I wonder whether involvement of pharmacists can be another target of improvement of equity.</w:t>
      </w:r>
    </w:p>
    <w:p w14:paraId="55522134" w14:textId="5D004318" w:rsidR="00C1622C" w:rsidRDefault="00C1622C" w:rsidP="00C1622C">
      <w:pPr>
        <w:spacing w:line="276" w:lineRule="auto"/>
        <w:rPr>
          <w:rFonts w:ascii="Arial" w:hAnsi="Arial" w:cs="Arial"/>
        </w:rPr>
      </w:pPr>
      <w:r w:rsidRPr="00C1622C">
        <w:rPr>
          <w:rFonts w:ascii="Arial" w:hAnsi="Arial" w:cs="Arial"/>
        </w:rPr>
        <w:t>As we said on the night you have identified a whole lot of issues relating to medication which supports the involvement of pharmacists.</w:t>
      </w:r>
      <w:r>
        <w:rPr>
          <w:rFonts w:ascii="Arial" w:hAnsi="Arial" w:cs="Arial"/>
        </w:rPr>
        <w:t xml:space="preserve"> </w:t>
      </w:r>
      <w:r w:rsidRPr="00C1622C">
        <w:rPr>
          <w:rFonts w:ascii="Arial" w:hAnsi="Arial" w:cs="Arial"/>
        </w:rPr>
        <w:t>Once people understand the need to take urate-lowering medicine then the involvement of pharmacists to titrate and support persistence is critical.</w:t>
      </w:r>
    </w:p>
    <w:p w14:paraId="6E1AD578" w14:textId="167C5010" w:rsidR="00C1622C" w:rsidRPr="00C1622C" w:rsidRDefault="00C1622C" w:rsidP="00C1622C">
      <w:pPr>
        <w:spacing w:line="276" w:lineRule="auto"/>
        <w:rPr>
          <w:rFonts w:ascii="Arial" w:eastAsia="Calibri" w:hAnsi="Arial" w:cs="Arial"/>
          <w:b/>
          <w:bCs/>
        </w:rPr>
      </w:pPr>
      <w:r w:rsidRPr="00C1622C">
        <w:rPr>
          <w:rFonts w:ascii="Arial" w:hAnsi="Arial" w:cs="Arial"/>
          <w:b/>
          <w:bCs/>
        </w:rPr>
        <w:t>Can we have access to the link for the study re nurse led clinics?</w:t>
      </w:r>
    </w:p>
    <w:p w14:paraId="259CC8C0" w14:textId="412F70B8" w:rsidR="00C1622C" w:rsidRPr="00C1622C" w:rsidRDefault="00C1622C" w:rsidP="00C1622C">
      <w:pPr>
        <w:spacing w:line="276" w:lineRule="auto"/>
        <w:rPr>
          <w:rFonts w:ascii="Arial" w:hAnsi="Arial" w:cs="Arial"/>
          <w:b/>
          <w:bCs/>
          <w:lang w:val="en-NZ"/>
        </w:rPr>
      </w:pPr>
      <w:r w:rsidRPr="00C1622C">
        <w:rPr>
          <w:rFonts w:ascii="Arial" w:hAnsi="Arial" w:cs="Arial"/>
        </w:rPr>
        <w:t>A UK study highlights the effectiveness of nurse-led clinics for gout management (Doherty et al 2018).</w:t>
      </w:r>
    </w:p>
    <w:p w14:paraId="2B2F90CA" w14:textId="54041723" w:rsidR="004158B3" w:rsidRPr="00C1622C" w:rsidRDefault="004158B3" w:rsidP="00C1622C">
      <w:pPr>
        <w:spacing w:line="276" w:lineRule="auto"/>
        <w:rPr>
          <w:rFonts w:ascii="Arial" w:hAnsi="Arial" w:cs="Arial"/>
          <w:lang w:val="en-NZ"/>
        </w:rPr>
      </w:pPr>
    </w:p>
    <w:p w14:paraId="376683F5" w14:textId="56C38B01" w:rsidR="004158B3" w:rsidRDefault="004158B3" w:rsidP="00C1622C">
      <w:pPr>
        <w:pStyle w:val="Heading2"/>
        <w:pBdr>
          <w:bottom w:val="single" w:sz="4" w:space="1" w:color="auto"/>
        </w:pBdr>
        <w:spacing w:line="276" w:lineRule="auto"/>
        <w:rPr>
          <w:lang w:val="en-NZ"/>
        </w:rPr>
      </w:pPr>
      <w:r w:rsidRPr="00C1622C">
        <w:rPr>
          <w:lang w:val="en-NZ"/>
        </w:rPr>
        <w:t>References</w:t>
      </w:r>
    </w:p>
    <w:p w14:paraId="26B8771D" w14:textId="77777777" w:rsidR="00C1622C" w:rsidRPr="00C1622C" w:rsidRDefault="00C1622C" w:rsidP="00C1622C">
      <w:pPr>
        <w:spacing w:line="276" w:lineRule="auto"/>
        <w:rPr>
          <w:lang w:val="en-NZ"/>
        </w:rPr>
      </w:pPr>
    </w:p>
    <w:p w14:paraId="124E62DD" w14:textId="652B02E1"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Yu Z, Zhang S, Wang D, et al. 2017. The significance of uric acid in the diagnosis and treatment of Parkinson disease: An updated systemic review. </w:t>
      </w:r>
      <w:r w:rsidRPr="00C1622C">
        <w:rPr>
          <w:rFonts w:ascii="Arial" w:hAnsi="Arial" w:cs="Arial"/>
          <w:i/>
          <w:lang w:val="en-NZ"/>
        </w:rPr>
        <w:t xml:space="preserve">Medicine (Baltimore) </w:t>
      </w:r>
      <w:r w:rsidRPr="00C1622C">
        <w:rPr>
          <w:rFonts w:ascii="Arial" w:hAnsi="Arial" w:cs="Arial"/>
          <w:lang w:val="en-NZ"/>
        </w:rPr>
        <w:t>96(45): e8502. doi:10.1097/MD.0000000000008502</w:t>
      </w:r>
    </w:p>
    <w:p w14:paraId="64336BC2" w14:textId="1794E4EA"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Taylor TH, </w:t>
      </w:r>
      <w:proofErr w:type="spellStart"/>
      <w:r w:rsidRPr="00C1622C">
        <w:rPr>
          <w:rFonts w:ascii="Arial" w:hAnsi="Arial" w:cs="Arial"/>
          <w:lang w:val="en-NZ"/>
        </w:rPr>
        <w:t>Mecchella</w:t>
      </w:r>
      <w:proofErr w:type="spellEnd"/>
      <w:r w:rsidRPr="00C1622C">
        <w:rPr>
          <w:rFonts w:ascii="Arial" w:hAnsi="Arial" w:cs="Arial"/>
          <w:lang w:val="en-NZ"/>
        </w:rPr>
        <w:t xml:space="preserve"> JN, Larson RJ, et al. 2012. Initiation of allopurinol at first medical contact for acute attacks of gout: a randomized clinical trial. </w:t>
      </w:r>
      <w:r w:rsidR="004A692B" w:rsidRPr="00C1622C">
        <w:rPr>
          <w:rFonts w:ascii="Arial" w:hAnsi="Arial" w:cs="Arial"/>
          <w:i/>
          <w:iCs/>
          <w:color w:val="212121"/>
          <w:shd w:val="clear" w:color="auto" w:fill="FFFFFF"/>
        </w:rPr>
        <w:t xml:space="preserve">The American </w:t>
      </w:r>
      <w:r w:rsidR="00975057">
        <w:rPr>
          <w:rFonts w:ascii="Arial" w:hAnsi="Arial" w:cs="Arial"/>
          <w:i/>
          <w:iCs/>
          <w:color w:val="212121"/>
          <w:shd w:val="clear" w:color="auto" w:fill="FFFFFF"/>
        </w:rPr>
        <w:t>J</w:t>
      </w:r>
      <w:r w:rsidR="004A692B" w:rsidRPr="00C1622C">
        <w:rPr>
          <w:rFonts w:ascii="Arial" w:hAnsi="Arial" w:cs="Arial"/>
          <w:i/>
          <w:iCs/>
          <w:color w:val="212121"/>
          <w:shd w:val="clear" w:color="auto" w:fill="FFFFFF"/>
        </w:rPr>
        <w:t xml:space="preserve">ournal of </w:t>
      </w:r>
      <w:r w:rsidR="00975057">
        <w:rPr>
          <w:rFonts w:ascii="Arial" w:hAnsi="Arial" w:cs="Arial"/>
          <w:i/>
          <w:iCs/>
          <w:color w:val="212121"/>
          <w:shd w:val="clear" w:color="auto" w:fill="FFFFFF"/>
        </w:rPr>
        <w:t>M</w:t>
      </w:r>
      <w:r w:rsidR="004A692B" w:rsidRPr="00C1622C">
        <w:rPr>
          <w:rFonts w:ascii="Arial" w:hAnsi="Arial" w:cs="Arial"/>
          <w:i/>
          <w:iCs/>
          <w:color w:val="212121"/>
          <w:shd w:val="clear" w:color="auto" w:fill="FFFFFF"/>
        </w:rPr>
        <w:t xml:space="preserve">edicine </w:t>
      </w:r>
      <w:r w:rsidRPr="00C1622C">
        <w:rPr>
          <w:rFonts w:ascii="Arial" w:hAnsi="Arial" w:cs="Arial"/>
          <w:lang w:val="en-NZ"/>
        </w:rPr>
        <w:t xml:space="preserve">125(11): 1126-34: e7. </w:t>
      </w:r>
      <w:proofErr w:type="gramStart"/>
      <w:r w:rsidRPr="00C1622C">
        <w:rPr>
          <w:rFonts w:ascii="Arial" w:hAnsi="Arial" w:cs="Arial"/>
          <w:lang w:val="en-NZ"/>
        </w:rPr>
        <w:t>doi:10.1016/j.amjmed</w:t>
      </w:r>
      <w:proofErr w:type="gramEnd"/>
      <w:r w:rsidRPr="00C1622C">
        <w:rPr>
          <w:rFonts w:ascii="Arial" w:hAnsi="Arial" w:cs="Arial"/>
          <w:lang w:val="en-NZ"/>
        </w:rPr>
        <w:t>.2012.05.025</w:t>
      </w:r>
    </w:p>
    <w:p w14:paraId="23B9E984" w14:textId="38E0066B"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Hill EM, Sky K, Sit M, et al. 2015. Does starting allopurinol prolong acute treated gout? A randomized clinical trial. </w:t>
      </w:r>
      <w:r w:rsidR="00066BF0" w:rsidRPr="00C1622C">
        <w:rPr>
          <w:rFonts w:ascii="Arial" w:hAnsi="Arial" w:cs="Arial"/>
          <w:i/>
          <w:iCs/>
          <w:color w:val="212121"/>
          <w:shd w:val="clear" w:color="auto" w:fill="FFFFFF"/>
        </w:rPr>
        <w:t xml:space="preserve">Journal of </w:t>
      </w:r>
      <w:r w:rsidR="00975057">
        <w:rPr>
          <w:rFonts w:ascii="Arial" w:hAnsi="Arial" w:cs="Arial"/>
          <w:i/>
          <w:iCs/>
          <w:color w:val="212121"/>
          <w:shd w:val="clear" w:color="auto" w:fill="FFFFFF"/>
        </w:rPr>
        <w:t>C</w:t>
      </w:r>
      <w:r w:rsidR="00066BF0" w:rsidRPr="00C1622C">
        <w:rPr>
          <w:rFonts w:ascii="Arial" w:hAnsi="Arial" w:cs="Arial"/>
          <w:i/>
          <w:iCs/>
          <w:color w:val="212121"/>
          <w:shd w:val="clear" w:color="auto" w:fill="FFFFFF"/>
        </w:rPr>
        <w:t xml:space="preserve">linical </w:t>
      </w:r>
      <w:r w:rsidR="00975057">
        <w:rPr>
          <w:rFonts w:ascii="Arial" w:hAnsi="Arial" w:cs="Arial"/>
          <w:i/>
          <w:iCs/>
          <w:color w:val="212121"/>
          <w:shd w:val="clear" w:color="auto" w:fill="FFFFFF"/>
        </w:rPr>
        <w:t>R</w:t>
      </w:r>
      <w:r w:rsidR="00066BF0" w:rsidRPr="00C1622C">
        <w:rPr>
          <w:rFonts w:ascii="Arial" w:hAnsi="Arial" w:cs="Arial"/>
          <w:i/>
          <w:iCs/>
          <w:color w:val="212121"/>
          <w:shd w:val="clear" w:color="auto" w:fill="FFFFFF"/>
        </w:rPr>
        <w:t>heumatology: practical reports on rheumatic &amp; musculoskeletal diseases</w:t>
      </w:r>
      <w:r w:rsidRPr="00C1622C">
        <w:rPr>
          <w:rFonts w:ascii="Arial" w:hAnsi="Arial" w:cs="Arial"/>
          <w:lang w:val="en-NZ"/>
        </w:rPr>
        <w:t xml:space="preserve"> 21(3): 120-25. doi:10.1097/RHU.0000000000000235</w:t>
      </w:r>
    </w:p>
    <w:p w14:paraId="2E401FFB" w14:textId="77777777"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lastRenderedPageBreak/>
        <w:t xml:space="preserve">Major TJ, Topless RK, </w:t>
      </w:r>
      <w:proofErr w:type="spellStart"/>
      <w:r w:rsidRPr="00C1622C">
        <w:rPr>
          <w:rFonts w:ascii="Arial" w:hAnsi="Arial" w:cs="Arial"/>
          <w:lang w:val="en-NZ"/>
        </w:rPr>
        <w:t>Dalbeth</w:t>
      </w:r>
      <w:proofErr w:type="spellEnd"/>
      <w:r w:rsidRPr="00C1622C">
        <w:rPr>
          <w:rFonts w:ascii="Arial" w:hAnsi="Arial" w:cs="Arial"/>
          <w:lang w:val="en-NZ"/>
        </w:rPr>
        <w:t xml:space="preserve"> </w:t>
      </w:r>
      <w:proofErr w:type="spellStart"/>
      <w:proofErr w:type="gramStart"/>
      <w:r w:rsidRPr="00C1622C">
        <w:rPr>
          <w:rFonts w:ascii="Arial" w:hAnsi="Arial" w:cs="Arial"/>
          <w:lang w:val="en-NZ"/>
        </w:rPr>
        <w:t>N,et</w:t>
      </w:r>
      <w:proofErr w:type="spellEnd"/>
      <w:r w:rsidRPr="00C1622C">
        <w:rPr>
          <w:rFonts w:ascii="Arial" w:hAnsi="Arial" w:cs="Arial"/>
          <w:lang w:val="en-NZ"/>
        </w:rPr>
        <w:t xml:space="preserve"> al.</w:t>
      </w:r>
      <w:proofErr w:type="gramEnd"/>
      <w:r w:rsidRPr="00C1622C">
        <w:rPr>
          <w:rFonts w:ascii="Arial" w:hAnsi="Arial" w:cs="Arial"/>
          <w:lang w:val="en-NZ"/>
        </w:rPr>
        <w:t xml:space="preserve"> 2018. Evaluation of the diet wide contribution to serum urate levels: meta-analysis of population based cohorts. </w:t>
      </w:r>
      <w:r w:rsidRPr="00C1622C">
        <w:rPr>
          <w:rFonts w:ascii="Arial" w:hAnsi="Arial" w:cs="Arial"/>
          <w:i/>
          <w:lang w:val="en-NZ"/>
        </w:rPr>
        <w:t>BMJ</w:t>
      </w:r>
      <w:r w:rsidRPr="00C1622C">
        <w:rPr>
          <w:rFonts w:ascii="Arial" w:hAnsi="Arial" w:cs="Arial"/>
          <w:lang w:val="en-NZ"/>
        </w:rPr>
        <w:t xml:space="preserve"> 363: k3951. doi:10.1136/</w:t>
      </w:r>
      <w:proofErr w:type="gramStart"/>
      <w:r w:rsidRPr="00C1622C">
        <w:rPr>
          <w:rFonts w:ascii="Arial" w:hAnsi="Arial" w:cs="Arial"/>
          <w:lang w:val="en-NZ"/>
        </w:rPr>
        <w:t>bmj.k</w:t>
      </w:r>
      <w:proofErr w:type="gramEnd"/>
      <w:r w:rsidRPr="00C1622C">
        <w:rPr>
          <w:rFonts w:ascii="Arial" w:hAnsi="Arial" w:cs="Arial"/>
          <w:lang w:val="en-NZ"/>
        </w:rPr>
        <w:t>3951</w:t>
      </w:r>
    </w:p>
    <w:p w14:paraId="6D17AE68" w14:textId="6355926F"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Tin A, Marten J, Halperin Kuhns VL, et al. 2019. Target genes, variants, tissues and transcriptional pathways influencing human serum urate levels. </w:t>
      </w:r>
      <w:r w:rsidRPr="00C1622C">
        <w:rPr>
          <w:rFonts w:ascii="Arial" w:hAnsi="Arial" w:cs="Arial"/>
          <w:i/>
          <w:lang w:val="en-NZ"/>
        </w:rPr>
        <w:t>Nat</w:t>
      </w:r>
      <w:r w:rsidR="007278B7" w:rsidRPr="00C1622C">
        <w:rPr>
          <w:rFonts w:ascii="Arial" w:hAnsi="Arial" w:cs="Arial"/>
          <w:i/>
          <w:lang w:val="en-NZ"/>
        </w:rPr>
        <w:t>ure</w:t>
      </w:r>
      <w:r w:rsidRPr="00C1622C">
        <w:rPr>
          <w:rFonts w:ascii="Arial" w:hAnsi="Arial" w:cs="Arial"/>
          <w:i/>
          <w:lang w:val="en-NZ"/>
        </w:rPr>
        <w:t xml:space="preserve"> Genet</w:t>
      </w:r>
      <w:r w:rsidR="006B2525" w:rsidRPr="00C1622C">
        <w:rPr>
          <w:rFonts w:ascii="Arial" w:hAnsi="Arial" w:cs="Arial"/>
          <w:i/>
          <w:lang w:val="en-NZ"/>
        </w:rPr>
        <w:t>ics</w:t>
      </w:r>
      <w:r w:rsidRPr="00C1622C">
        <w:rPr>
          <w:rFonts w:ascii="Arial" w:hAnsi="Arial" w:cs="Arial"/>
          <w:lang w:val="en-NZ"/>
        </w:rPr>
        <w:t xml:space="preserve"> 51(10):1459-74. doi:10.1038/s41588-019-0504-x</w:t>
      </w:r>
    </w:p>
    <w:p w14:paraId="408ABDE6" w14:textId="5D5B5CBB"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Hollis-Moffatt JE, Xu X, Dalbeth N, et al. 2009. Role of the urate transporter SLC2A9 gene in susceptibility to gout in New Zealand Māori, Pacific Island, and Caucasian case-control sample sets. </w:t>
      </w:r>
      <w:r w:rsidRPr="00C1622C">
        <w:rPr>
          <w:rFonts w:ascii="Arial" w:hAnsi="Arial" w:cs="Arial"/>
          <w:i/>
          <w:lang w:val="en-NZ"/>
        </w:rPr>
        <w:t xml:space="preserve">Arthritis </w:t>
      </w:r>
      <w:r w:rsidR="007A28F2" w:rsidRPr="00C1622C">
        <w:rPr>
          <w:rFonts w:ascii="Arial" w:hAnsi="Arial" w:cs="Arial"/>
          <w:i/>
          <w:lang w:val="en-NZ"/>
        </w:rPr>
        <w:t xml:space="preserve">&amp; </w:t>
      </w:r>
      <w:r w:rsidRPr="00C1622C">
        <w:rPr>
          <w:rFonts w:ascii="Arial" w:hAnsi="Arial" w:cs="Arial"/>
          <w:i/>
          <w:lang w:val="en-NZ"/>
        </w:rPr>
        <w:t>Rheum</w:t>
      </w:r>
      <w:r w:rsidR="007A28F2" w:rsidRPr="00C1622C">
        <w:rPr>
          <w:rFonts w:ascii="Arial" w:hAnsi="Arial" w:cs="Arial"/>
          <w:i/>
          <w:lang w:val="en-NZ"/>
        </w:rPr>
        <w:t xml:space="preserve">atology </w:t>
      </w:r>
      <w:r w:rsidRPr="00C1622C">
        <w:rPr>
          <w:rFonts w:ascii="Arial" w:hAnsi="Arial" w:cs="Arial"/>
          <w:lang w:val="en-NZ"/>
        </w:rPr>
        <w:t>60(11): 3485-92. doi:10.1002/art.24938</w:t>
      </w:r>
    </w:p>
    <w:p w14:paraId="25A3EC9C" w14:textId="5C85C180" w:rsidR="00443FD8"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Phipps-Green AJ, Merriman ME, Topless R, et al. 2016. Twenty-eight loci that influence serum urate levels: analysis of association with gout. </w:t>
      </w:r>
      <w:r w:rsidR="00A23430" w:rsidRPr="00C1622C">
        <w:rPr>
          <w:rFonts w:ascii="Arial" w:hAnsi="Arial" w:cs="Arial"/>
          <w:i/>
          <w:iCs/>
          <w:color w:val="212121"/>
          <w:shd w:val="clear" w:color="auto" w:fill="FFFFFF"/>
        </w:rPr>
        <w:t xml:space="preserve">Annals of the </w:t>
      </w:r>
      <w:r w:rsidR="00975057">
        <w:rPr>
          <w:rFonts w:ascii="Arial" w:hAnsi="Arial" w:cs="Arial"/>
          <w:i/>
          <w:iCs/>
          <w:color w:val="212121"/>
          <w:shd w:val="clear" w:color="auto" w:fill="FFFFFF"/>
        </w:rPr>
        <w:t>R</w:t>
      </w:r>
      <w:r w:rsidR="00A23430" w:rsidRPr="00C1622C">
        <w:rPr>
          <w:rFonts w:ascii="Arial" w:hAnsi="Arial" w:cs="Arial"/>
          <w:i/>
          <w:iCs/>
          <w:color w:val="212121"/>
          <w:shd w:val="clear" w:color="auto" w:fill="FFFFFF"/>
        </w:rPr>
        <w:t xml:space="preserve">heumatic </w:t>
      </w:r>
      <w:r w:rsidR="00975057">
        <w:rPr>
          <w:rFonts w:ascii="Arial" w:hAnsi="Arial" w:cs="Arial"/>
          <w:i/>
          <w:iCs/>
          <w:color w:val="212121"/>
          <w:shd w:val="clear" w:color="auto" w:fill="FFFFFF"/>
        </w:rPr>
        <w:t>D</w:t>
      </w:r>
      <w:r w:rsidR="00A23430" w:rsidRPr="00C1622C">
        <w:rPr>
          <w:rFonts w:ascii="Arial" w:hAnsi="Arial" w:cs="Arial"/>
          <w:i/>
          <w:iCs/>
          <w:color w:val="212121"/>
          <w:shd w:val="clear" w:color="auto" w:fill="FFFFFF"/>
        </w:rPr>
        <w:t>isease</w:t>
      </w:r>
      <w:r w:rsidRPr="00C1622C">
        <w:rPr>
          <w:rFonts w:ascii="Arial" w:hAnsi="Arial" w:cs="Arial"/>
          <w:lang w:val="en-NZ"/>
        </w:rPr>
        <w:t xml:space="preserve"> 75(1):124-30. doi:10.1136/annrheumdis-2014-205877</w:t>
      </w:r>
    </w:p>
    <w:p w14:paraId="22367574" w14:textId="41C1536F" w:rsidR="004158B3" w:rsidRPr="00C1622C" w:rsidRDefault="00443FD8" w:rsidP="00C1622C">
      <w:pPr>
        <w:tabs>
          <w:tab w:val="left" w:pos="6156"/>
        </w:tabs>
        <w:spacing w:line="276" w:lineRule="auto"/>
        <w:rPr>
          <w:rFonts w:ascii="Arial" w:hAnsi="Arial" w:cs="Arial"/>
          <w:lang w:val="en-NZ"/>
        </w:rPr>
      </w:pPr>
      <w:r w:rsidRPr="00C1622C">
        <w:rPr>
          <w:rFonts w:ascii="Arial" w:hAnsi="Arial" w:cs="Arial"/>
          <w:lang w:val="en-NZ"/>
        </w:rPr>
        <w:t xml:space="preserve">Tanner C, Boocock J, Stahl EA, et al. 2017. Population-Specific Resequencing Associates the ATP-Binding Cassette Subfamily C Member 4 Gene </w:t>
      </w:r>
      <w:proofErr w:type="gramStart"/>
      <w:r w:rsidRPr="00C1622C">
        <w:rPr>
          <w:rFonts w:ascii="Arial" w:hAnsi="Arial" w:cs="Arial"/>
          <w:lang w:val="en-NZ"/>
        </w:rPr>
        <w:t>With</w:t>
      </w:r>
      <w:proofErr w:type="gramEnd"/>
      <w:r w:rsidRPr="00C1622C">
        <w:rPr>
          <w:rFonts w:ascii="Arial" w:hAnsi="Arial" w:cs="Arial"/>
          <w:lang w:val="en-NZ"/>
        </w:rPr>
        <w:t xml:space="preserve"> Gout in New Zealand Māori and Pacific Men.</w:t>
      </w:r>
      <w:r w:rsidRPr="00C1622C">
        <w:rPr>
          <w:rFonts w:ascii="Arial" w:hAnsi="Arial" w:cs="Arial"/>
          <w:i/>
          <w:lang w:val="en-NZ"/>
        </w:rPr>
        <w:t xml:space="preserve"> Arthritis </w:t>
      </w:r>
      <w:proofErr w:type="spellStart"/>
      <w:r w:rsidRPr="00C1622C">
        <w:rPr>
          <w:rFonts w:ascii="Arial" w:hAnsi="Arial" w:cs="Arial"/>
          <w:i/>
          <w:lang w:val="en-NZ"/>
        </w:rPr>
        <w:t>Rheumatol</w:t>
      </w:r>
      <w:proofErr w:type="spellEnd"/>
      <w:r w:rsidRPr="00C1622C">
        <w:rPr>
          <w:rFonts w:ascii="Arial" w:hAnsi="Arial" w:cs="Arial"/>
          <w:lang w:val="en-NZ"/>
        </w:rPr>
        <w:t xml:space="preserve"> 69(7): 1461-69. doi:10.1002/art.40110</w:t>
      </w:r>
    </w:p>
    <w:p w14:paraId="30AA99B9" w14:textId="125D348D" w:rsidR="006C60C1" w:rsidRPr="00C1622C" w:rsidRDefault="005F295E" w:rsidP="00C1622C">
      <w:pPr>
        <w:tabs>
          <w:tab w:val="left" w:pos="6156"/>
        </w:tabs>
        <w:spacing w:line="276" w:lineRule="auto"/>
        <w:rPr>
          <w:rFonts w:ascii="Arial" w:hAnsi="Arial" w:cs="Arial"/>
        </w:rPr>
      </w:pPr>
      <w:r w:rsidRPr="00C1622C">
        <w:rPr>
          <w:rFonts w:ascii="Arial" w:hAnsi="Arial" w:cs="Arial"/>
          <w:lang w:val="en-NZ"/>
        </w:rPr>
        <w:t>Health Literacy NZ</w:t>
      </w:r>
      <w:r w:rsidR="002F124B" w:rsidRPr="00C1622C">
        <w:rPr>
          <w:rFonts w:ascii="Arial" w:hAnsi="Arial" w:cs="Arial"/>
          <w:lang w:val="en-NZ"/>
        </w:rPr>
        <w:t xml:space="preserve"> (Author?) New Zealand Medical Association</w:t>
      </w:r>
      <w:r w:rsidR="0096046B" w:rsidRPr="00C1622C">
        <w:rPr>
          <w:rFonts w:ascii="Arial" w:hAnsi="Arial" w:cs="Arial"/>
          <w:lang w:val="en-NZ"/>
        </w:rPr>
        <w:t xml:space="preserve"> (Publisher)</w:t>
      </w:r>
      <w:r w:rsidRPr="00C1622C">
        <w:rPr>
          <w:rFonts w:ascii="Arial" w:hAnsi="Arial" w:cs="Arial"/>
          <w:lang w:val="en-NZ"/>
        </w:rPr>
        <w:t xml:space="preserve">. </w:t>
      </w:r>
      <w:r w:rsidR="00B91960" w:rsidRPr="00C1622C">
        <w:rPr>
          <w:rFonts w:ascii="Arial" w:hAnsi="Arial" w:cs="Arial"/>
          <w:lang w:val="en-NZ"/>
        </w:rPr>
        <w:t xml:space="preserve">2020. </w:t>
      </w:r>
      <w:r w:rsidR="00331B9E" w:rsidRPr="00C1622C">
        <w:rPr>
          <w:rFonts w:ascii="Arial" w:hAnsi="Arial" w:cs="Arial"/>
          <w:lang w:val="en-NZ"/>
        </w:rPr>
        <w:t>The phrase “people with low health literacy</w:t>
      </w:r>
      <w:r w:rsidR="00086682" w:rsidRPr="00C1622C">
        <w:rPr>
          <w:rFonts w:ascii="Arial" w:hAnsi="Arial" w:cs="Arial"/>
          <w:lang w:val="en-NZ"/>
        </w:rPr>
        <w:t>”</w:t>
      </w:r>
      <w:r w:rsidR="00331B9E" w:rsidRPr="00C1622C">
        <w:rPr>
          <w:rFonts w:ascii="Arial" w:hAnsi="Arial" w:cs="Arial"/>
          <w:lang w:val="en-NZ"/>
        </w:rPr>
        <w:t xml:space="preserve"> only tells on side of the story</w:t>
      </w:r>
      <w:r w:rsidR="00E00029" w:rsidRPr="00C1622C">
        <w:rPr>
          <w:rFonts w:ascii="Arial" w:hAnsi="Arial" w:cs="Arial"/>
          <w:lang w:val="en-NZ"/>
        </w:rPr>
        <w:t xml:space="preserve">. </w:t>
      </w:r>
      <w:r w:rsidR="00E00029" w:rsidRPr="00C1622C">
        <w:rPr>
          <w:rFonts w:ascii="Arial" w:hAnsi="Arial" w:cs="Arial"/>
          <w:i/>
          <w:lang w:val="en-NZ"/>
        </w:rPr>
        <w:t>NZMJ</w:t>
      </w:r>
      <w:r w:rsidR="00975057">
        <w:rPr>
          <w:rFonts w:ascii="Arial" w:hAnsi="Arial" w:cs="Arial"/>
          <w:i/>
          <w:lang w:val="en-NZ"/>
        </w:rPr>
        <w:t xml:space="preserve"> </w:t>
      </w:r>
      <w:bookmarkStart w:id="0" w:name="_GoBack"/>
      <w:bookmarkEnd w:id="0"/>
      <w:r w:rsidR="00E00029" w:rsidRPr="00C1622C">
        <w:rPr>
          <w:rFonts w:ascii="Arial" w:hAnsi="Arial" w:cs="Arial"/>
          <w:i/>
          <w:lang w:val="en-NZ"/>
        </w:rPr>
        <w:t>Digest</w:t>
      </w:r>
      <w:r w:rsidR="003E0D83" w:rsidRPr="00C1622C">
        <w:rPr>
          <w:rFonts w:ascii="Arial" w:hAnsi="Arial" w:cs="Arial"/>
          <w:i/>
          <w:lang w:val="en-NZ"/>
        </w:rPr>
        <w:t xml:space="preserve"> </w:t>
      </w:r>
      <w:r w:rsidR="003E0D83" w:rsidRPr="00C1622C">
        <w:rPr>
          <w:rFonts w:ascii="Arial" w:hAnsi="Arial" w:cs="Arial"/>
          <w:lang w:val="en-NZ"/>
        </w:rPr>
        <w:t>92</w:t>
      </w:r>
      <w:r w:rsidR="00BF286F" w:rsidRPr="00C1622C">
        <w:rPr>
          <w:rFonts w:ascii="Arial" w:hAnsi="Arial" w:cs="Arial"/>
          <w:lang w:val="en-NZ"/>
        </w:rPr>
        <w:t>(14)</w:t>
      </w:r>
      <w:r w:rsidR="00AE2B6E" w:rsidRPr="00C1622C">
        <w:rPr>
          <w:rFonts w:ascii="Arial" w:hAnsi="Arial" w:cs="Arial"/>
          <w:lang w:val="en-NZ"/>
        </w:rPr>
        <w:t xml:space="preserve">. </w:t>
      </w:r>
      <w:hyperlink r:id="rId12" w:history="1">
        <w:r w:rsidR="00AE2B6E" w:rsidRPr="00C1622C">
          <w:rPr>
            <w:rFonts w:ascii="Arial" w:hAnsi="Arial" w:cs="Arial"/>
            <w:color w:val="0000FF"/>
            <w:u w:val="single"/>
          </w:rPr>
          <w:t>https://digest.nzma.org.nz/nzmj-digest/nzmj-digest-issue-92/features/the-phrase-people-with-low-health-literacy-only-tells-one-side-of-the-story</w:t>
        </w:r>
      </w:hyperlink>
    </w:p>
    <w:p w14:paraId="3EE7B324" w14:textId="0F364060" w:rsidR="00457489" w:rsidRPr="00C1622C" w:rsidRDefault="00BA1DFB" w:rsidP="00C1622C">
      <w:pPr>
        <w:tabs>
          <w:tab w:val="left" w:pos="6156"/>
        </w:tabs>
        <w:spacing w:line="276" w:lineRule="auto"/>
        <w:rPr>
          <w:rFonts w:ascii="Arial" w:hAnsi="Arial" w:cs="Arial"/>
          <w:lang w:val="en-NZ"/>
        </w:rPr>
      </w:pPr>
      <w:r w:rsidRPr="00C1622C">
        <w:rPr>
          <w:rFonts w:ascii="Arial" w:hAnsi="Arial" w:cs="Arial"/>
        </w:rPr>
        <w:t>Doher</w:t>
      </w:r>
      <w:r w:rsidR="00524CF1" w:rsidRPr="00C1622C">
        <w:rPr>
          <w:rFonts w:ascii="Arial" w:hAnsi="Arial" w:cs="Arial"/>
        </w:rPr>
        <w:t>t</w:t>
      </w:r>
      <w:r w:rsidRPr="00C1622C">
        <w:rPr>
          <w:rFonts w:ascii="Arial" w:hAnsi="Arial" w:cs="Arial"/>
        </w:rPr>
        <w:t xml:space="preserve">y M, Jenkins W, Richardson H, et al. 2018. Efficacy and cost-effectiveness of nurse-led care involving education and engagement of patients and a treat-to-target urate-lowering strategy versus usual care for gout: a </w:t>
      </w:r>
      <w:proofErr w:type="spellStart"/>
      <w:r w:rsidRPr="00C1622C">
        <w:rPr>
          <w:rFonts w:ascii="Arial" w:hAnsi="Arial" w:cs="Arial"/>
        </w:rPr>
        <w:t>randomised</w:t>
      </w:r>
      <w:proofErr w:type="spellEnd"/>
      <w:r w:rsidRPr="00C1622C">
        <w:rPr>
          <w:rFonts w:ascii="Arial" w:hAnsi="Arial" w:cs="Arial"/>
        </w:rPr>
        <w:t xml:space="preserve"> control trial. </w:t>
      </w:r>
      <w:r w:rsidRPr="00C1622C">
        <w:rPr>
          <w:rFonts w:ascii="Arial" w:hAnsi="Arial" w:cs="Arial"/>
          <w:i/>
          <w:iCs/>
        </w:rPr>
        <w:t>The Lancet</w:t>
      </w:r>
      <w:r w:rsidRPr="00C1622C">
        <w:rPr>
          <w:rFonts w:ascii="Arial" w:hAnsi="Arial" w:cs="Arial"/>
        </w:rPr>
        <w:t xml:space="preserve"> </w:t>
      </w:r>
      <w:r w:rsidR="006A1DDC" w:rsidRPr="00C1622C">
        <w:rPr>
          <w:rFonts w:ascii="Arial" w:hAnsi="Arial" w:cs="Arial"/>
        </w:rPr>
        <w:t xml:space="preserve">392(10156) </w:t>
      </w:r>
      <w:r w:rsidR="00850734" w:rsidRPr="00C1622C">
        <w:rPr>
          <w:rFonts w:ascii="Arial" w:hAnsi="Arial" w:cs="Arial"/>
        </w:rPr>
        <w:t xml:space="preserve">1403-12. </w:t>
      </w:r>
      <w:proofErr w:type="spellStart"/>
      <w:proofErr w:type="gramStart"/>
      <w:r w:rsidR="00850734" w:rsidRPr="00C1622C">
        <w:rPr>
          <w:rFonts w:ascii="Arial" w:hAnsi="Arial" w:cs="Arial"/>
        </w:rPr>
        <w:t>DOI:https</w:t>
      </w:r>
      <w:proofErr w:type="spellEnd"/>
      <w:r w:rsidR="00850734" w:rsidRPr="00C1622C">
        <w:rPr>
          <w:rFonts w:ascii="Arial" w:hAnsi="Arial" w:cs="Arial"/>
        </w:rPr>
        <w:t>://doi.org/10.1016/S0140-6736(18)32158-5</w:t>
      </w:r>
      <w:proofErr w:type="gramEnd"/>
    </w:p>
    <w:sectPr w:rsidR="00457489" w:rsidRPr="00C1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4068"/>
    <w:multiLevelType w:val="hybridMultilevel"/>
    <w:tmpl w:val="0494F09C"/>
    <w:lvl w:ilvl="0" w:tplc="D41CD438">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 w15:restartNumberingAfterBreak="0">
    <w:nsid w:val="7F4554B5"/>
    <w:multiLevelType w:val="hybridMultilevel"/>
    <w:tmpl w:val="CA9C6C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DA8480"/>
    <w:rsid w:val="0000006C"/>
    <w:rsid w:val="0000456D"/>
    <w:rsid w:val="000053FF"/>
    <w:rsid w:val="00016027"/>
    <w:rsid w:val="00025BD7"/>
    <w:rsid w:val="0002789E"/>
    <w:rsid w:val="00036121"/>
    <w:rsid w:val="00036244"/>
    <w:rsid w:val="000462E3"/>
    <w:rsid w:val="000464C6"/>
    <w:rsid w:val="00047347"/>
    <w:rsid w:val="0005361E"/>
    <w:rsid w:val="000557C2"/>
    <w:rsid w:val="0005665B"/>
    <w:rsid w:val="00066BF0"/>
    <w:rsid w:val="00073655"/>
    <w:rsid w:val="00077CD0"/>
    <w:rsid w:val="00084F1A"/>
    <w:rsid w:val="000851FE"/>
    <w:rsid w:val="00086682"/>
    <w:rsid w:val="00087ABF"/>
    <w:rsid w:val="000A0B60"/>
    <w:rsid w:val="000C6817"/>
    <w:rsid w:val="000D2DBA"/>
    <w:rsid w:val="000E447C"/>
    <w:rsid w:val="000E4AB1"/>
    <w:rsid w:val="000F38B0"/>
    <w:rsid w:val="000F7EBD"/>
    <w:rsid w:val="0011020D"/>
    <w:rsid w:val="00116C24"/>
    <w:rsid w:val="00116D0E"/>
    <w:rsid w:val="0012209D"/>
    <w:rsid w:val="00123F34"/>
    <w:rsid w:val="00126F43"/>
    <w:rsid w:val="0013151F"/>
    <w:rsid w:val="00151AE7"/>
    <w:rsid w:val="00153566"/>
    <w:rsid w:val="00156E62"/>
    <w:rsid w:val="00165F69"/>
    <w:rsid w:val="00182CCB"/>
    <w:rsid w:val="00186E65"/>
    <w:rsid w:val="001907E2"/>
    <w:rsid w:val="001B1D10"/>
    <w:rsid w:val="001B3306"/>
    <w:rsid w:val="001D1869"/>
    <w:rsid w:val="001E2166"/>
    <w:rsid w:val="001E5206"/>
    <w:rsid w:val="001F0F48"/>
    <w:rsid w:val="001F45B7"/>
    <w:rsid w:val="001F7306"/>
    <w:rsid w:val="00200872"/>
    <w:rsid w:val="00212993"/>
    <w:rsid w:val="00213297"/>
    <w:rsid w:val="00213B54"/>
    <w:rsid w:val="00216C25"/>
    <w:rsid w:val="00217AA8"/>
    <w:rsid w:val="00225F0C"/>
    <w:rsid w:val="00232759"/>
    <w:rsid w:val="00254C2D"/>
    <w:rsid w:val="00255F2B"/>
    <w:rsid w:val="00272290"/>
    <w:rsid w:val="0027646C"/>
    <w:rsid w:val="00284257"/>
    <w:rsid w:val="002A2F92"/>
    <w:rsid w:val="002A733A"/>
    <w:rsid w:val="002C0B19"/>
    <w:rsid w:val="002C1077"/>
    <w:rsid w:val="002C1F78"/>
    <w:rsid w:val="002C4100"/>
    <w:rsid w:val="002D532D"/>
    <w:rsid w:val="002E0031"/>
    <w:rsid w:val="002E1A3E"/>
    <w:rsid w:val="002F124B"/>
    <w:rsid w:val="002F4B44"/>
    <w:rsid w:val="003015A1"/>
    <w:rsid w:val="0031014C"/>
    <w:rsid w:val="00317EE3"/>
    <w:rsid w:val="00331B9E"/>
    <w:rsid w:val="00331E4A"/>
    <w:rsid w:val="003355E2"/>
    <w:rsid w:val="00347DBC"/>
    <w:rsid w:val="00350C30"/>
    <w:rsid w:val="0035288C"/>
    <w:rsid w:val="00361587"/>
    <w:rsid w:val="00369E22"/>
    <w:rsid w:val="00392A80"/>
    <w:rsid w:val="003A1232"/>
    <w:rsid w:val="003A288A"/>
    <w:rsid w:val="003A6576"/>
    <w:rsid w:val="003B544C"/>
    <w:rsid w:val="003B7F1C"/>
    <w:rsid w:val="003D4F9A"/>
    <w:rsid w:val="003E0D83"/>
    <w:rsid w:val="003E764C"/>
    <w:rsid w:val="003F4B5C"/>
    <w:rsid w:val="00401D4D"/>
    <w:rsid w:val="004158B3"/>
    <w:rsid w:val="0042632F"/>
    <w:rsid w:val="004279DA"/>
    <w:rsid w:val="00443FD8"/>
    <w:rsid w:val="0044506E"/>
    <w:rsid w:val="00457489"/>
    <w:rsid w:val="00461709"/>
    <w:rsid w:val="00462142"/>
    <w:rsid w:val="00465B4F"/>
    <w:rsid w:val="00472C46"/>
    <w:rsid w:val="00483124"/>
    <w:rsid w:val="004900C4"/>
    <w:rsid w:val="00495316"/>
    <w:rsid w:val="004A5902"/>
    <w:rsid w:val="004A692B"/>
    <w:rsid w:val="004B0A49"/>
    <w:rsid w:val="004B246E"/>
    <w:rsid w:val="004C13B6"/>
    <w:rsid w:val="004D0CC5"/>
    <w:rsid w:val="004D40CC"/>
    <w:rsid w:val="004F198E"/>
    <w:rsid w:val="004F3EFB"/>
    <w:rsid w:val="00500138"/>
    <w:rsid w:val="00501503"/>
    <w:rsid w:val="00512461"/>
    <w:rsid w:val="00512D83"/>
    <w:rsid w:val="00513554"/>
    <w:rsid w:val="00515FE9"/>
    <w:rsid w:val="00520018"/>
    <w:rsid w:val="00523D3E"/>
    <w:rsid w:val="00524CF1"/>
    <w:rsid w:val="00524FCE"/>
    <w:rsid w:val="00526694"/>
    <w:rsid w:val="0052757A"/>
    <w:rsid w:val="00552722"/>
    <w:rsid w:val="005650A3"/>
    <w:rsid w:val="0058149C"/>
    <w:rsid w:val="005863F7"/>
    <w:rsid w:val="005A4C84"/>
    <w:rsid w:val="005D1303"/>
    <w:rsid w:val="005D1EC0"/>
    <w:rsid w:val="005D43E6"/>
    <w:rsid w:val="005D4C2A"/>
    <w:rsid w:val="005E05C1"/>
    <w:rsid w:val="005F295E"/>
    <w:rsid w:val="005F6B9A"/>
    <w:rsid w:val="0061163F"/>
    <w:rsid w:val="0062100E"/>
    <w:rsid w:val="00627A84"/>
    <w:rsid w:val="006529E6"/>
    <w:rsid w:val="00652A25"/>
    <w:rsid w:val="006623CC"/>
    <w:rsid w:val="00664978"/>
    <w:rsid w:val="00681801"/>
    <w:rsid w:val="00682B23"/>
    <w:rsid w:val="006835D9"/>
    <w:rsid w:val="00686E81"/>
    <w:rsid w:val="006916B9"/>
    <w:rsid w:val="00695CAB"/>
    <w:rsid w:val="006A1DDC"/>
    <w:rsid w:val="006B007C"/>
    <w:rsid w:val="006B03B7"/>
    <w:rsid w:val="006B2525"/>
    <w:rsid w:val="006B2F45"/>
    <w:rsid w:val="006C1565"/>
    <w:rsid w:val="006C1C65"/>
    <w:rsid w:val="006C60C1"/>
    <w:rsid w:val="006D1896"/>
    <w:rsid w:val="006E1F74"/>
    <w:rsid w:val="006F0BF4"/>
    <w:rsid w:val="006F1D29"/>
    <w:rsid w:val="006F2F4E"/>
    <w:rsid w:val="006F558A"/>
    <w:rsid w:val="006F62F2"/>
    <w:rsid w:val="00700350"/>
    <w:rsid w:val="0070672B"/>
    <w:rsid w:val="00707740"/>
    <w:rsid w:val="00713FF6"/>
    <w:rsid w:val="00723016"/>
    <w:rsid w:val="007236D1"/>
    <w:rsid w:val="007278B7"/>
    <w:rsid w:val="0073274F"/>
    <w:rsid w:val="00744EC7"/>
    <w:rsid w:val="00752445"/>
    <w:rsid w:val="00753D6C"/>
    <w:rsid w:val="00755DDC"/>
    <w:rsid w:val="00756560"/>
    <w:rsid w:val="007674E1"/>
    <w:rsid w:val="007871C1"/>
    <w:rsid w:val="007925E2"/>
    <w:rsid w:val="00796679"/>
    <w:rsid w:val="007975B1"/>
    <w:rsid w:val="007A28F2"/>
    <w:rsid w:val="007B4908"/>
    <w:rsid w:val="007B541B"/>
    <w:rsid w:val="007D0442"/>
    <w:rsid w:val="007D591D"/>
    <w:rsid w:val="007E6088"/>
    <w:rsid w:val="00835B8F"/>
    <w:rsid w:val="0084103A"/>
    <w:rsid w:val="00844EC5"/>
    <w:rsid w:val="00850734"/>
    <w:rsid w:val="00854CE6"/>
    <w:rsid w:val="00855031"/>
    <w:rsid w:val="00856465"/>
    <w:rsid w:val="0086467B"/>
    <w:rsid w:val="00872DB4"/>
    <w:rsid w:val="00873890"/>
    <w:rsid w:val="00876E20"/>
    <w:rsid w:val="008839E1"/>
    <w:rsid w:val="0088656E"/>
    <w:rsid w:val="00886E89"/>
    <w:rsid w:val="00887522"/>
    <w:rsid w:val="0089300E"/>
    <w:rsid w:val="008A7C93"/>
    <w:rsid w:val="008D1ADD"/>
    <w:rsid w:val="008D22AA"/>
    <w:rsid w:val="008E2593"/>
    <w:rsid w:val="008E5E93"/>
    <w:rsid w:val="00900E11"/>
    <w:rsid w:val="009144CF"/>
    <w:rsid w:val="00916C4D"/>
    <w:rsid w:val="00921759"/>
    <w:rsid w:val="009253DF"/>
    <w:rsid w:val="00945F75"/>
    <w:rsid w:val="00952A7D"/>
    <w:rsid w:val="0096046B"/>
    <w:rsid w:val="00961261"/>
    <w:rsid w:val="00961E55"/>
    <w:rsid w:val="00966489"/>
    <w:rsid w:val="00975057"/>
    <w:rsid w:val="00996B36"/>
    <w:rsid w:val="009A2C31"/>
    <w:rsid w:val="009B0C89"/>
    <w:rsid w:val="009B1D1B"/>
    <w:rsid w:val="009B6025"/>
    <w:rsid w:val="009B7078"/>
    <w:rsid w:val="009B74A4"/>
    <w:rsid w:val="009C0530"/>
    <w:rsid w:val="009C161B"/>
    <w:rsid w:val="009C362A"/>
    <w:rsid w:val="009D1EA3"/>
    <w:rsid w:val="009F6323"/>
    <w:rsid w:val="00A0160F"/>
    <w:rsid w:val="00A02B47"/>
    <w:rsid w:val="00A02CEF"/>
    <w:rsid w:val="00A11971"/>
    <w:rsid w:val="00A14F13"/>
    <w:rsid w:val="00A159E8"/>
    <w:rsid w:val="00A228BF"/>
    <w:rsid w:val="00A23430"/>
    <w:rsid w:val="00A2667A"/>
    <w:rsid w:val="00A30DDD"/>
    <w:rsid w:val="00A36151"/>
    <w:rsid w:val="00A41F78"/>
    <w:rsid w:val="00A4741E"/>
    <w:rsid w:val="00A66FB5"/>
    <w:rsid w:val="00A67341"/>
    <w:rsid w:val="00A67F56"/>
    <w:rsid w:val="00A67FEF"/>
    <w:rsid w:val="00A714D2"/>
    <w:rsid w:val="00A72769"/>
    <w:rsid w:val="00A81E55"/>
    <w:rsid w:val="00A933D1"/>
    <w:rsid w:val="00AA5B2F"/>
    <w:rsid w:val="00AA5DE1"/>
    <w:rsid w:val="00AB1421"/>
    <w:rsid w:val="00AB293D"/>
    <w:rsid w:val="00AC0F4B"/>
    <w:rsid w:val="00AC2409"/>
    <w:rsid w:val="00AC75B7"/>
    <w:rsid w:val="00AD176F"/>
    <w:rsid w:val="00AD71FC"/>
    <w:rsid w:val="00AE226D"/>
    <w:rsid w:val="00AE2B6E"/>
    <w:rsid w:val="00AF4B8D"/>
    <w:rsid w:val="00AF699D"/>
    <w:rsid w:val="00B0185E"/>
    <w:rsid w:val="00B01AF4"/>
    <w:rsid w:val="00B10F08"/>
    <w:rsid w:val="00B11676"/>
    <w:rsid w:val="00B22FB0"/>
    <w:rsid w:val="00B24E7B"/>
    <w:rsid w:val="00B30C22"/>
    <w:rsid w:val="00B33637"/>
    <w:rsid w:val="00B3472B"/>
    <w:rsid w:val="00B36532"/>
    <w:rsid w:val="00B46AC5"/>
    <w:rsid w:val="00B61444"/>
    <w:rsid w:val="00B716EC"/>
    <w:rsid w:val="00B72AD8"/>
    <w:rsid w:val="00B73C48"/>
    <w:rsid w:val="00B80D2E"/>
    <w:rsid w:val="00B80EDF"/>
    <w:rsid w:val="00B81E16"/>
    <w:rsid w:val="00B8493F"/>
    <w:rsid w:val="00B91960"/>
    <w:rsid w:val="00B92318"/>
    <w:rsid w:val="00B94798"/>
    <w:rsid w:val="00B94C58"/>
    <w:rsid w:val="00B961F5"/>
    <w:rsid w:val="00BA1309"/>
    <w:rsid w:val="00BA1DFB"/>
    <w:rsid w:val="00BB158A"/>
    <w:rsid w:val="00BB388E"/>
    <w:rsid w:val="00BB3ED5"/>
    <w:rsid w:val="00BB62FF"/>
    <w:rsid w:val="00BB6E56"/>
    <w:rsid w:val="00BC4F81"/>
    <w:rsid w:val="00BD5DD1"/>
    <w:rsid w:val="00BE040D"/>
    <w:rsid w:val="00BE0784"/>
    <w:rsid w:val="00BE5356"/>
    <w:rsid w:val="00BF058A"/>
    <w:rsid w:val="00BF150A"/>
    <w:rsid w:val="00BF286F"/>
    <w:rsid w:val="00BF358E"/>
    <w:rsid w:val="00C01B5A"/>
    <w:rsid w:val="00C1622C"/>
    <w:rsid w:val="00C250CC"/>
    <w:rsid w:val="00C34B21"/>
    <w:rsid w:val="00C35B57"/>
    <w:rsid w:val="00C60DFE"/>
    <w:rsid w:val="00C63C56"/>
    <w:rsid w:val="00C6477D"/>
    <w:rsid w:val="00C815E9"/>
    <w:rsid w:val="00C855B1"/>
    <w:rsid w:val="00C938B2"/>
    <w:rsid w:val="00C93E6F"/>
    <w:rsid w:val="00C944BB"/>
    <w:rsid w:val="00CA1A93"/>
    <w:rsid w:val="00CA7303"/>
    <w:rsid w:val="00CC05EE"/>
    <w:rsid w:val="00CC3FB2"/>
    <w:rsid w:val="00CC451C"/>
    <w:rsid w:val="00CC57A4"/>
    <w:rsid w:val="00CD09AA"/>
    <w:rsid w:val="00CE0720"/>
    <w:rsid w:val="00CE09DE"/>
    <w:rsid w:val="00CF14FD"/>
    <w:rsid w:val="00D04E0A"/>
    <w:rsid w:val="00D07404"/>
    <w:rsid w:val="00D22582"/>
    <w:rsid w:val="00D22953"/>
    <w:rsid w:val="00D32734"/>
    <w:rsid w:val="00D52329"/>
    <w:rsid w:val="00D63AFE"/>
    <w:rsid w:val="00D71309"/>
    <w:rsid w:val="00D73B37"/>
    <w:rsid w:val="00D828CC"/>
    <w:rsid w:val="00D83427"/>
    <w:rsid w:val="00D865D3"/>
    <w:rsid w:val="00DA01CE"/>
    <w:rsid w:val="00DA12D3"/>
    <w:rsid w:val="00DA27DA"/>
    <w:rsid w:val="00DB380D"/>
    <w:rsid w:val="00DB3CE1"/>
    <w:rsid w:val="00DC4618"/>
    <w:rsid w:val="00DD5450"/>
    <w:rsid w:val="00DE7072"/>
    <w:rsid w:val="00DF065C"/>
    <w:rsid w:val="00DF0EA7"/>
    <w:rsid w:val="00E00029"/>
    <w:rsid w:val="00E00D1A"/>
    <w:rsid w:val="00E06B87"/>
    <w:rsid w:val="00E13279"/>
    <w:rsid w:val="00E1500E"/>
    <w:rsid w:val="00E24ED0"/>
    <w:rsid w:val="00E31419"/>
    <w:rsid w:val="00E34D7E"/>
    <w:rsid w:val="00E46651"/>
    <w:rsid w:val="00E518C9"/>
    <w:rsid w:val="00E64D64"/>
    <w:rsid w:val="00E7459F"/>
    <w:rsid w:val="00E77F50"/>
    <w:rsid w:val="00E94018"/>
    <w:rsid w:val="00E9420C"/>
    <w:rsid w:val="00EA10B8"/>
    <w:rsid w:val="00EB3697"/>
    <w:rsid w:val="00EB56A4"/>
    <w:rsid w:val="00EB6791"/>
    <w:rsid w:val="00EC09FD"/>
    <w:rsid w:val="00EC1DCF"/>
    <w:rsid w:val="00ED24EE"/>
    <w:rsid w:val="00ED253F"/>
    <w:rsid w:val="00ED539B"/>
    <w:rsid w:val="00EE7ED9"/>
    <w:rsid w:val="00EF54E8"/>
    <w:rsid w:val="00EF54FD"/>
    <w:rsid w:val="00F000F7"/>
    <w:rsid w:val="00F35B08"/>
    <w:rsid w:val="00F41829"/>
    <w:rsid w:val="00F505C1"/>
    <w:rsid w:val="00F52EF1"/>
    <w:rsid w:val="00F53715"/>
    <w:rsid w:val="00F57CB4"/>
    <w:rsid w:val="00F627A7"/>
    <w:rsid w:val="00F8195C"/>
    <w:rsid w:val="00F96612"/>
    <w:rsid w:val="00FB167F"/>
    <w:rsid w:val="00FB48D8"/>
    <w:rsid w:val="00FB5344"/>
    <w:rsid w:val="00FB5BE6"/>
    <w:rsid w:val="00FC5BE8"/>
    <w:rsid w:val="00FD37F1"/>
    <w:rsid w:val="00FD7279"/>
    <w:rsid w:val="01C3918C"/>
    <w:rsid w:val="020E1726"/>
    <w:rsid w:val="02B68A36"/>
    <w:rsid w:val="0388D88A"/>
    <w:rsid w:val="041CD817"/>
    <w:rsid w:val="04660298"/>
    <w:rsid w:val="055A0B1C"/>
    <w:rsid w:val="0629F1A8"/>
    <w:rsid w:val="075DF9F6"/>
    <w:rsid w:val="07B859A1"/>
    <w:rsid w:val="07DF4E8D"/>
    <w:rsid w:val="099C1A14"/>
    <w:rsid w:val="0A312278"/>
    <w:rsid w:val="0A99D2C5"/>
    <w:rsid w:val="0A9F63D6"/>
    <w:rsid w:val="0AD930F5"/>
    <w:rsid w:val="0B57983D"/>
    <w:rsid w:val="0D40AEF4"/>
    <w:rsid w:val="101EB72E"/>
    <w:rsid w:val="113C65AF"/>
    <w:rsid w:val="1176D0AD"/>
    <w:rsid w:val="118AA48A"/>
    <w:rsid w:val="12D4E6F5"/>
    <w:rsid w:val="135D1AB2"/>
    <w:rsid w:val="146A769F"/>
    <w:rsid w:val="16B19A2E"/>
    <w:rsid w:val="17DA8480"/>
    <w:rsid w:val="18D88DEB"/>
    <w:rsid w:val="1BA5BD53"/>
    <w:rsid w:val="1C7FB8DE"/>
    <w:rsid w:val="1C94E63B"/>
    <w:rsid w:val="1E069793"/>
    <w:rsid w:val="22E5A560"/>
    <w:rsid w:val="23216C6C"/>
    <w:rsid w:val="2472B0DE"/>
    <w:rsid w:val="260B1809"/>
    <w:rsid w:val="27998423"/>
    <w:rsid w:val="27CBB17A"/>
    <w:rsid w:val="289BE18B"/>
    <w:rsid w:val="2B1449B2"/>
    <w:rsid w:val="2EF10F3F"/>
    <w:rsid w:val="2F7BA691"/>
    <w:rsid w:val="30473F02"/>
    <w:rsid w:val="31258255"/>
    <w:rsid w:val="3177861D"/>
    <w:rsid w:val="324E12E4"/>
    <w:rsid w:val="33CB70CE"/>
    <w:rsid w:val="351C55F3"/>
    <w:rsid w:val="3654803D"/>
    <w:rsid w:val="36B7C1AD"/>
    <w:rsid w:val="372AC7C2"/>
    <w:rsid w:val="385871C7"/>
    <w:rsid w:val="3AA6B276"/>
    <w:rsid w:val="3AB98B7C"/>
    <w:rsid w:val="3D4DA7BF"/>
    <w:rsid w:val="3DA90389"/>
    <w:rsid w:val="42AE05B5"/>
    <w:rsid w:val="43E2C388"/>
    <w:rsid w:val="4568ADE1"/>
    <w:rsid w:val="48F0E12F"/>
    <w:rsid w:val="49B5346A"/>
    <w:rsid w:val="49B99EDE"/>
    <w:rsid w:val="4A2D6427"/>
    <w:rsid w:val="4BFC8AC3"/>
    <w:rsid w:val="4CF094FC"/>
    <w:rsid w:val="4DC1E46E"/>
    <w:rsid w:val="4EC286A0"/>
    <w:rsid w:val="50C96E3C"/>
    <w:rsid w:val="51839305"/>
    <w:rsid w:val="542DB3F8"/>
    <w:rsid w:val="545477A9"/>
    <w:rsid w:val="551C1FF1"/>
    <w:rsid w:val="554BE69A"/>
    <w:rsid w:val="56FA5271"/>
    <w:rsid w:val="577C6A4A"/>
    <w:rsid w:val="57AE97F0"/>
    <w:rsid w:val="5805FEF6"/>
    <w:rsid w:val="5B618A24"/>
    <w:rsid w:val="5BC1826A"/>
    <w:rsid w:val="5C61A06E"/>
    <w:rsid w:val="5CC645AC"/>
    <w:rsid w:val="5E2ABE2D"/>
    <w:rsid w:val="5EE6FBCA"/>
    <w:rsid w:val="5F026883"/>
    <w:rsid w:val="5FC8F496"/>
    <w:rsid w:val="619578F7"/>
    <w:rsid w:val="6A0FF182"/>
    <w:rsid w:val="6CA01968"/>
    <w:rsid w:val="6D8B5858"/>
    <w:rsid w:val="6E39F18B"/>
    <w:rsid w:val="6EAD823B"/>
    <w:rsid w:val="712EE773"/>
    <w:rsid w:val="717EC7C7"/>
    <w:rsid w:val="7528870B"/>
    <w:rsid w:val="760603FE"/>
    <w:rsid w:val="7724FBA1"/>
    <w:rsid w:val="7E41807E"/>
    <w:rsid w:val="7EBCEC7B"/>
    <w:rsid w:val="7FCCD8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346A"/>
  <w15:chartTrackingRefBased/>
  <w15:docId w15:val="{C07AF37A-1C77-40B6-BDC2-E891712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22C"/>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C1622C"/>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22C"/>
    <w:rPr>
      <w:rFonts w:ascii="Arial" w:eastAsiaTheme="majorEastAsia" w:hAnsi="Arial" w:cstheme="majorBidi"/>
      <w:b/>
      <w:color w:val="000000" w:themeColor="text1"/>
      <w:sz w:val="32"/>
      <w:szCs w:val="32"/>
    </w:rPr>
  </w:style>
  <w:style w:type="paragraph" w:styleId="ListParagraph">
    <w:name w:val="List Paragraph"/>
    <w:basedOn w:val="Normal"/>
    <w:uiPriority w:val="34"/>
    <w:qFormat/>
    <w:rsid w:val="00E31419"/>
    <w:pPr>
      <w:ind w:left="720"/>
      <w:contextualSpacing/>
    </w:pPr>
  </w:style>
  <w:style w:type="table" w:styleId="TableGrid">
    <w:name w:val="Table Grid"/>
    <w:basedOn w:val="TableNormal"/>
    <w:uiPriority w:val="39"/>
    <w:rsid w:val="00E3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D83"/>
    <w:rPr>
      <w:sz w:val="16"/>
      <w:szCs w:val="16"/>
    </w:rPr>
  </w:style>
  <w:style w:type="paragraph" w:styleId="CommentText">
    <w:name w:val="annotation text"/>
    <w:basedOn w:val="Normal"/>
    <w:link w:val="CommentTextChar"/>
    <w:uiPriority w:val="99"/>
    <w:unhideWhenUsed/>
    <w:rsid w:val="00512D83"/>
    <w:pPr>
      <w:spacing w:line="240" w:lineRule="auto"/>
    </w:pPr>
    <w:rPr>
      <w:sz w:val="20"/>
      <w:szCs w:val="20"/>
    </w:rPr>
  </w:style>
  <w:style w:type="character" w:customStyle="1" w:styleId="CommentTextChar">
    <w:name w:val="Comment Text Char"/>
    <w:basedOn w:val="DefaultParagraphFont"/>
    <w:link w:val="CommentText"/>
    <w:uiPriority w:val="99"/>
    <w:rsid w:val="00512D83"/>
    <w:rPr>
      <w:sz w:val="20"/>
      <w:szCs w:val="20"/>
    </w:rPr>
  </w:style>
  <w:style w:type="paragraph" w:styleId="CommentSubject">
    <w:name w:val="annotation subject"/>
    <w:basedOn w:val="CommentText"/>
    <w:next w:val="CommentText"/>
    <w:link w:val="CommentSubjectChar"/>
    <w:uiPriority w:val="99"/>
    <w:semiHidden/>
    <w:unhideWhenUsed/>
    <w:rsid w:val="00512D83"/>
    <w:rPr>
      <w:b/>
      <w:bCs/>
    </w:rPr>
  </w:style>
  <w:style w:type="character" w:customStyle="1" w:styleId="CommentSubjectChar">
    <w:name w:val="Comment Subject Char"/>
    <w:basedOn w:val="CommentTextChar"/>
    <w:link w:val="CommentSubject"/>
    <w:uiPriority w:val="99"/>
    <w:semiHidden/>
    <w:rsid w:val="00512D83"/>
    <w:rPr>
      <w:b/>
      <w:bCs/>
      <w:sz w:val="20"/>
      <w:szCs w:val="20"/>
    </w:rPr>
  </w:style>
  <w:style w:type="paragraph" w:styleId="BalloonText">
    <w:name w:val="Balloon Text"/>
    <w:basedOn w:val="Normal"/>
    <w:link w:val="BalloonTextChar"/>
    <w:uiPriority w:val="99"/>
    <w:semiHidden/>
    <w:unhideWhenUsed/>
    <w:rsid w:val="0051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83"/>
    <w:rPr>
      <w:rFonts w:ascii="Segoe UI" w:hAnsi="Segoe UI" w:cs="Segoe UI"/>
      <w:sz w:val="18"/>
      <w:szCs w:val="18"/>
    </w:rPr>
  </w:style>
  <w:style w:type="character" w:styleId="Hyperlink">
    <w:name w:val="Hyperlink"/>
    <w:basedOn w:val="DefaultParagraphFont"/>
    <w:uiPriority w:val="99"/>
    <w:unhideWhenUsed/>
    <w:rsid w:val="004D0CC5"/>
    <w:rPr>
      <w:color w:val="0563C1" w:themeColor="hyperlink"/>
      <w:u w:val="single"/>
    </w:rPr>
  </w:style>
  <w:style w:type="character" w:styleId="UnresolvedMention">
    <w:name w:val="Unresolved Mention"/>
    <w:basedOn w:val="DefaultParagraphFont"/>
    <w:uiPriority w:val="99"/>
    <w:semiHidden/>
    <w:unhideWhenUsed/>
    <w:rsid w:val="004D0CC5"/>
    <w:rPr>
      <w:color w:val="605E5C"/>
      <w:shd w:val="clear" w:color="auto" w:fill="E1DFDD"/>
    </w:rPr>
  </w:style>
  <w:style w:type="paragraph" w:styleId="Revision">
    <w:name w:val="Revision"/>
    <w:hidden/>
    <w:uiPriority w:val="99"/>
    <w:semiHidden/>
    <w:rsid w:val="00B46AC5"/>
    <w:pPr>
      <w:spacing w:after="0" w:line="240" w:lineRule="auto"/>
    </w:pPr>
  </w:style>
  <w:style w:type="character" w:styleId="FollowedHyperlink">
    <w:name w:val="FollowedHyperlink"/>
    <w:basedOn w:val="DefaultParagraphFont"/>
    <w:uiPriority w:val="99"/>
    <w:semiHidden/>
    <w:unhideWhenUsed/>
    <w:rsid w:val="00216C25"/>
    <w:rPr>
      <w:color w:val="954F72" w:themeColor="followedHyperlink"/>
      <w:u w:val="single"/>
    </w:rPr>
  </w:style>
  <w:style w:type="character" w:customStyle="1" w:styleId="id-label">
    <w:name w:val="id-label"/>
    <w:basedOn w:val="DefaultParagraphFont"/>
    <w:rsid w:val="00FB5344"/>
  </w:style>
  <w:style w:type="character" w:styleId="Strong">
    <w:name w:val="Strong"/>
    <w:basedOn w:val="DefaultParagraphFont"/>
    <w:uiPriority w:val="22"/>
    <w:qFormat/>
    <w:rsid w:val="00FB5344"/>
    <w:rPr>
      <w:b/>
      <w:bCs/>
    </w:rPr>
  </w:style>
  <w:style w:type="character" w:customStyle="1" w:styleId="citation-part">
    <w:name w:val="citation-part"/>
    <w:basedOn w:val="DefaultParagraphFont"/>
    <w:rsid w:val="00FB5344"/>
  </w:style>
  <w:style w:type="character" w:customStyle="1" w:styleId="docsum-pmid">
    <w:name w:val="docsum-pmid"/>
    <w:basedOn w:val="DefaultParagraphFont"/>
    <w:rsid w:val="00FB5344"/>
  </w:style>
  <w:style w:type="character" w:customStyle="1" w:styleId="Heading2Char">
    <w:name w:val="Heading 2 Char"/>
    <w:basedOn w:val="DefaultParagraphFont"/>
    <w:link w:val="Heading2"/>
    <w:uiPriority w:val="9"/>
    <w:rsid w:val="00C1622C"/>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3184">
      <w:bodyDiv w:val="1"/>
      <w:marLeft w:val="0"/>
      <w:marRight w:val="0"/>
      <w:marTop w:val="0"/>
      <w:marBottom w:val="0"/>
      <w:divBdr>
        <w:top w:val="none" w:sz="0" w:space="0" w:color="auto"/>
        <w:left w:val="none" w:sz="0" w:space="0" w:color="auto"/>
        <w:bottom w:val="none" w:sz="0" w:space="0" w:color="auto"/>
        <w:right w:val="none" w:sz="0" w:space="0" w:color="auto"/>
      </w:divBdr>
    </w:div>
    <w:div w:id="9505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gest.nzma.org.nz/nzmj-digest/nzmj-digest-issue-92/features/the-phrase-people-with-low-health-literacy-only-tells-one-side-of-the-s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health.govt.nz/publication/framework-health-literacy"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Gareth Frew</DisplayName>
        <AccountId>32</AccountId>
        <AccountType/>
      </UserInfo>
      <UserInfo>
        <DisplayName>Jane Lester</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A4EE-3E8D-4181-A0CD-03AB5F982DBA}">
  <ds:schemaRefs>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ffe6d714-e736-42ad-a8fb-173e0c9c1a5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18EF57-4693-47A0-8F23-FD97E98CBE28}">
  <ds:schemaRefs>
    <ds:schemaRef ds:uri="http://schemas.microsoft.com/sharepoint/v3/contenttype/forms"/>
  </ds:schemaRefs>
</ds:datastoreItem>
</file>

<file path=customXml/itemProps3.xml><?xml version="1.0" encoding="utf-8"?>
<ds:datastoreItem xmlns:ds="http://schemas.openxmlformats.org/officeDocument/2006/customXml" ds:itemID="{ECF869E5-BF68-45A8-B79B-34BF711B2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4E086-BF38-4689-9882-F5F6EB488361}">
  <ds:schemaRefs>
    <ds:schemaRef ds:uri="Microsoft.SharePoint.Taxonomy.ContentTypeSync"/>
  </ds:schemaRefs>
</ds:datastoreItem>
</file>

<file path=customXml/itemProps5.xml><?xml version="1.0" encoding="utf-8"?>
<ds:datastoreItem xmlns:ds="http://schemas.openxmlformats.org/officeDocument/2006/customXml" ds:itemID="{548FE9A0-BCD5-4C0A-99F1-EE6C372A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Joseph</dc:creator>
  <cp:keywords/>
  <dc:description/>
  <cp:lastModifiedBy>Falyn Cranston</cp:lastModifiedBy>
  <cp:revision>2</cp:revision>
  <dcterms:created xsi:type="dcterms:W3CDTF">2020-08-28T01:49:00Z</dcterms:created>
  <dcterms:modified xsi:type="dcterms:W3CDTF">2020-08-28T01:49:00Z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0x010100464BB556B3337A48846236E9064FB9CC010081A89977FE848D4D8CB9CD8A957E99EE</vt:lpwstr>
  </property>
</Properties>
</file>