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D8BE1" w14:textId="200F7B3F" w:rsidR="00FD049A" w:rsidRDefault="004A0BFD" w:rsidP="00C66B7E">
      <w:pPr>
        <w:tabs>
          <w:tab w:val="center" w:pos="4513"/>
          <w:tab w:val="left" w:pos="4920"/>
        </w:tabs>
      </w:pPr>
      <w:r>
        <w:rPr>
          <w:noProof/>
        </w:rPr>
        <w:drawing>
          <wp:anchor distT="0" distB="0" distL="114300" distR="114300" simplePos="0" relativeHeight="251658243" behindDoc="1" locked="0" layoutInCell="1" allowOverlap="1" wp14:anchorId="451BB1AC" wp14:editId="564D58C6">
            <wp:simplePos x="0" y="0"/>
            <wp:positionH relativeFrom="column">
              <wp:posOffset>4485272</wp:posOffset>
            </wp:positionH>
            <wp:positionV relativeFrom="paragraph">
              <wp:posOffset>7018</wp:posOffset>
            </wp:positionV>
            <wp:extent cx="1590040" cy="1351915"/>
            <wp:effectExtent l="0" t="0" r="0" b="635"/>
            <wp:wrapNone/>
            <wp:doc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040" cy="1351915"/>
                    </a:xfrm>
                    <a:prstGeom prst="rect">
                      <a:avLst/>
                    </a:prstGeom>
                  </pic:spPr>
                </pic:pic>
              </a:graphicData>
            </a:graphic>
            <wp14:sizeRelH relativeFrom="margin">
              <wp14:pctWidth>0</wp14:pctWidth>
            </wp14:sizeRelH>
            <wp14:sizeRelV relativeFrom="margin">
              <wp14:pctHeight>0</wp14:pctHeight>
            </wp14:sizeRelV>
          </wp:anchor>
        </w:drawing>
      </w:r>
      <w:r w:rsidR="00203B06">
        <w:rPr>
          <w:noProof/>
          <w:color w:val="000000"/>
          <w:shd w:val="clear" w:color="auto" w:fill="FFFFFF"/>
        </w:rPr>
        <w:drawing>
          <wp:anchor distT="0" distB="0" distL="114300" distR="114300" simplePos="0" relativeHeight="251658241" behindDoc="0" locked="0" layoutInCell="1" allowOverlap="1" wp14:anchorId="4618F1EF" wp14:editId="0D3F61AE">
            <wp:simplePos x="0" y="0"/>
            <wp:positionH relativeFrom="margin">
              <wp:posOffset>-276225</wp:posOffset>
            </wp:positionH>
            <wp:positionV relativeFrom="margin">
              <wp:align>top</wp:align>
            </wp:positionV>
            <wp:extent cx="1876425" cy="939165"/>
            <wp:effectExtent l="0" t="0" r="0" b="0"/>
            <wp:wrapSquare wrapText="bothSides"/>
            <wp:docPr id="1528544883" name="Picture 2" descr="Sepsis Trust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44883" name="Picture 2" descr="Sepsis Trust NZ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BE9">
        <w:rPr>
          <w:noProof/>
        </w:rPr>
        <w:drawing>
          <wp:anchor distT="0" distB="0" distL="114300" distR="114300" simplePos="0" relativeHeight="251658240" behindDoc="1" locked="0" layoutInCell="1" allowOverlap="1" wp14:anchorId="03F55B67" wp14:editId="639FB4FC">
            <wp:simplePos x="0" y="0"/>
            <wp:positionH relativeFrom="page">
              <wp:posOffset>9525</wp:posOffset>
            </wp:positionH>
            <wp:positionV relativeFrom="paragraph">
              <wp:posOffset>-895350</wp:posOffset>
            </wp:positionV>
            <wp:extent cx="7534910" cy="10658475"/>
            <wp:effectExtent l="0" t="0" r="8890" b="9525"/>
            <wp:wrapNone/>
            <wp:docPr id="1" name="Picture 1" descr="A white background to the cover page with a pattern at the bottom reaching one third of the height of the page. The red and blue tessellated pattern made up of the Health Quality &amp; Safety Commission Te Tāhū Hauora logo. The logo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to the cover page with a pattern at the bottom reaching one third of the height of the page. The red and blue tessellated pattern made up of the Health Quality &amp; Safety Commission Te Tāhū Hauora logo. The logo is a stylised version of a wharenui in a triangle shape, with the tāhū (ridgepole), heke (rafters) and niho taniwha (triangle pattern beneath)."/>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4910" cy="10658475"/>
                    </a:xfrm>
                    <a:prstGeom prst="rect">
                      <a:avLst/>
                    </a:prstGeom>
                  </pic:spPr>
                </pic:pic>
              </a:graphicData>
            </a:graphic>
            <wp14:sizeRelH relativeFrom="page">
              <wp14:pctWidth>0</wp14:pctWidth>
            </wp14:sizeRelH>
            <wp14:sizeRelV relativeFrom="page">
              <wp14:pctHeight>0</wp14:pctHeight>
            </wp14:sizeRelV>
          </wp:anchor>
        </w:drawing>
      </w:r>
    </w:p>
    <w:p w14:paraId="6D2C2F12" w14:textId="0BF85735" w:rsidR="00E50E8D" w:rsidRPr="004846B0" w:rsidRDefault="00E50E8D" w:rsidP="00FD049A"/>
    <w:p w14:paraId="5316BAF3" w14:textId="54EECE35" w:rsidR="00433D6F" w:rsidRDefault="00433D6F" w:rsidP="00D12FC1">
      <w:pPr>
        <w:jc w:val="center"/>
        <w:rPr>
          <w:rFonts w:cs="Arial"/>
          <w:b/>
          <w:sz w:val="36"/>
          <w:szCs w:val="36"/>
        </w:rPr>
      </w:pPr>
    </w:p>
    <w:p w14:paraId="2A0EEE65" w14:textId="3B2DFD5F" w:rsidR="00A313E6" w:rsidRDefault="00A313E6" w:rsidP="00D12FC1">
      <w:pPr>
        <w:jc w:val="center"/>
        <w:rPr>
          <w:rFonts w:cs="Arial"/>
          <w:b/>
          <w:sz w:val="36"/>
          <w:szCs w:val="36"/>
        </w:rPr>
      </w:pPr>
    </w:p>
    <w:p w14:paraId="19DC64AC" w14:textId="0B4EADB2" w:rsidR="00A313E6" w:rsidRDefault="00A313E6" w:rsidP="00D12FC1">
      <w:pPr>
        <w:jc w:val="center"/>
        <w:rPr>
          <w:rFonts w:cs="Arial"/>
          <w:b/>
          <w:sz w:val="36"/>
          <w:szCs w:val="36"/>
        </w:rPr>
      </w:pPr>
    </w:p>
    <w:p w14:paraId="44576FCC" w14:textId="77777777" w:rsidR="000E27F8" w:rsidRDefault="000E27F8" w:rsidP="00D12FC1">
      <w:pPr>
        <w:jc w:val="center"/>
        <w:rPr>
          <w:rFonts w:cs="Arial"/>
          <w:b/>
          <w:sz w:val="36"/>
          <w:szCs w:val="36"/>
        </w:rPr>
      </w:pPr>
    </w:p>
    <w:p w14:paraId="77DEF9FA" w14:textId="3FAD905D" w:rsidR="00FE0C4D" w:rsidRDefault="008D0030" w:rsidP="008D0030">
      <w:pPr>
        <w:pStyle w:val="Title"/>
        <w:ind w:right="1229"/>
      </w:pPr>
      <w:bookmarkStart w:id="0" w:name="_Hlk206149746"/>
      <w:r w:rsidRPr="008D0030">
        <w:t>Clinical Guide to Sepsis Management in New Zealand</w:t>
      </w:r>
      <w:bookmarkEnd w:id="0"/>
    </w:p>
    <w:p w14:paraId="4028E042" w14:textId="35111C73" w:rsidR="00FE0C4D" w:rsidRPr="00847F79" w:rsidRDefault="00FE0C4D" w:rsidP="00FE0C4D">
      <w:pPr>
        <w:pStyle w:val="Title"/>
        <w:ind w:right="1229"/>
        <w:rPr>
          <w:b w:val="0"/>
          <w:bCs/>
        </w:rPr>
      </w:pPr>
      <w:r w:rsidRPr="00847F79">
        <w:rPr>
          <w:b w:val="0"/>
          <w:bCs/>
        </w:rPr>
        <w:t xml:space="preserve">He </w:t>
      </w:r>
      <w:proofErr w:type="spellStart"/>
      <w:r w:rsidRPr="00847F79">
        <w:rPr>
          <w:b w:val="0"/>
          <w:bCs/>
        </w:rPr>
        <w:t>Aratohu</w:t>
      </w:r>
      <w:proofErr w:type="spellEnd"/>
      <w:r w:rsidRPr="00847F79">
        <w:rPr>
          <w:b w:val="0"/>
          <w:bCs/>
        </w:rPr>
        <w:t xml:space="preserve"> </w:t>
      </w:r>
      <w:proofErr w:type="spellStart"/>
      <w:r w:rsidRPr="00847F79">
        <w:rPr>
          <w:b w:val="0"/>
          <w:bCs/>
        </w:rPr>
        <w:t>Haumanu</w:t>
      </w:r>
      <w:proofErr w:type="spellEnd"/>
      <w:r w:rsidRPr="00847F79">
        <w:rPr>
          <w:b w:val="0"/>
          <w:bCs/>
        </w:rPr>
        <w:t xml:space="preserve"> </w:t>
      </w:r>
      <w:proofErr w:type="spellStart"/>
      <w:r w:rsidRPr="00847F79">
        <w:rPr>
          <w:b w:val="0"/>
          <w:bCs/>
        </w:rPr>
        <w:t>hei</w:t>
      </w:r>
      <w:proofErr w:type="spellEnd"/>
      <w:r w:rsidRPr="00847F79">
        <w:rPr>
          <w:b w:val="0"/>
          <w:bCs/>
        </w:rPr>
        <w:t xml:space="preserve"> </w:t>
      </w:r>
      <w:proofErr w:type="spellStart"/>
      <w:r w:rsidRPr="00847F79">
        <w:rPr>
          <w:b w:val="0"/>
          <w:bCs/>
        </w:rPr>
        <w:t>Whakahaere</w:t>
      </w:r>
      <w:proofErr w:type="spellEnd"/>
      <w:r w:rsidRPr="00847F79">
        <w:rPr>
          <w:b w:val="0"/>
          <w:bCs/>
        </w:rPr>
        <w:t xml:space="preserve"> Mate </w:t>
      </w:r>
      <w:proofErr w:type="spellStart"/>
      <w:r w:rsidR="00B23F87">
        <w:rPr>
          <w:b w:val="0"/>
          <w:bCs/>
        </w:rPr>
        <w:t>Whakataoke</w:t>
      </w:r>
      <w:proofErr w:type="spellEnd"/>
    </w:p>
    <w:p w14:paraId="4117835F" w14:textId="77777777" w:rsidR="009B60E1" w:rsidRPr="004846B0" w:rsidRDefault="009B60E1" w:rsidP="00D12FC1">
      <w:pPr>
        <w:jc w:val="center"/>
        <w:rPr>
          <w:rFonts w:cs="Arial"/>
          <w:b/>
          <w:sz w:val="36"/>
          <w:szCs w:val="36"/>
        </w:rPr>
      </w:pPr>
    </w:p>
    <w:p w14:paraId="3E179AC5" w14:textId="071111B4" w:rsidR="002E1666" w:rsidRPr="00A2381C" w:rsidRDefault="008F142E" w:rsidP="00A313E6">
      <w:pPr>
        <w:rPr>
          <w:rFonts w:cs="Arial"/>
          <w:bCs/>
          <w:color w:val="293868"/>
          <w:sz w:val="28"/>
          <w:szCs w:val="28"/>
        </w:rPr>
      </w:pPr>
      <w:r>
        <w:rPr>
          <w:bCs/>
          <w:noProof/>
          <w:color w:val="293868"/>
          <w:sz w:val="28"/>
          <w:szCs w:val="28"/>
        </w:rPr>
        <w:t>September 2025</w:t>
      </w:r>
      <w:r w:rsidR="005C48F2" w:rsidRPr="00A2381C">
        <w:rPr>
          <w:bCs/>
          <w:noProof/>
          <w:color w:val="293868"/>
          <w:sz w:val="28"/>
          <w:szCs w:val="28"/>
        </w:rPr>
        <w:t xml:space="preserve"> </w:t>
      </w:r>
    </w:p>
    <w:p w14:paraId="2A994771" w14:textId="77777777" w:rsidR="00FD049A" w:rsidRDefault="00FD049A">
      <w:pPr>
        <w:spacing w:after="200"/>
        <w:rPr>
          <w:rFonts w:cs="Arial"/>
        </w:rPr>
      </w:pPr>
      <w:r>
        <w:br w:type="page"/>
      </w:r>
    </w:p>
    <w:p w14:paraId="555685A7" w14:textId="77777777" w:rsidR="00FD049A" w:rsidRDefault="00FD049A" w:rsidP="00FD049A">
      <w:pPr>
        <w:pStyle w:val="BodyText"/>
      </w:pPr>
    </w:p>
    <w:p w14:paraId="73523C12" w14:textId="77777777" w:rsidR="00FD049A" w:rsidRDefault="00FD049A" w:rsidP="00FD049A">
      <w:pPr>
        <w:pStyle w:val="BodyText"/>
      </w:pPr>
    </w:p>
    <w:p w14:paraId="34D767AA" w14:textId="77777777" w:rsidR="00FD049A" w:rsidRDefault="00FD049A" w:rsidP="00FD049A">
      <w:pPr>
        <w:pStyle w:val="BodyText"/>
      </w:pPr>
    </w:p>
    <w:p w14:paraId="46B0B89A" w14:textId="77777777" w:rsidR="00FD049A" w:rsidRDefault="00FD049A" w:rsidP="00FD049A">
      <w:pPr>
        <w:pStyle w:val="BodyText"/>
      </w:pPr>
    </w:p>
    <w:p w14:paraId="04A6CF9B" w14:textId="77777777" w:rsidR="00FD049A" w:rsidRDefault="00FD049A" w:rsidP="00FD049A">
      <w:pPr>
        <w:pStyle w:val="BodyText"/>
      </w:pPr>
    </w:p>
    <w:p w14:paraId="0E7710C1" w14:textId="77777777" w:rsidR="00FD049A" w:rsidRDefault="00FD049A" w:rsidP="00FD049A">
      <w:pPr>
        <w:pStyle w:val="BodyText"/>
      </w:pPr>
    </w:p>
    <w:p w14:paraId="08CA6C5F" w14:textId="77777777" w:rsidR="00E50E8D" w:rsidRDefault="00E50E8D" w:rsidP="00FD049A">
      <w:pPr>
        <w:pStyle w:val="BodyText"/>
      </w:pPr>
    </w:p>
    <w:p w14:paraId="58AC2B16" w14:textId="77777777" w:rsidR="00E50E8D" w:rsidRDefault="00E50E8D" w:rsidP="00FD049A">
      <w:pPr>
        <w:pStyle w:val="BodyText"/>
      </w:pPr>
    </w:p>
    <w:p w14:paraId="5FFDDC22" w14:textId="77777777" w:rsidR="00E50E8D" w:rsidRDefault="00E50E8D" w:rsidP="00FD049A">
      <w:pPr>
        <w:pStyle w:val="BodyText"/>
      </w:pPr>
    </w:p>
    <w:p w14:paraId="28F2E8D5" w14:textId="77777777" w:rsidR="00E50E8D" w:rsidRDefault="00E50E8D" w:rsidP="00FD049A">
      <w:pPr>
        <w:pStyle w:val="BodyText"/>
      </w:pPr>
    </w:p>
    <w:p w14:paraId="09DAFD1D" w14:textId="77777777" w:rsidR="00E50E8D" w:rsidRDefault="00E50E8D" w:rsidP="00FD049A">
      <w:pPr>
        <w:pStyle w:val="BodyText"/>
      </w:pPr>
    </w:p>
    <w:p w14:paraId="312CEAD2" w14:textId="77777777" w:rsidR="00FD049A" w:rsidRDefault="00FD049A" w:rsidP="00FD049A">
      <w:pPr>
        <w:pStyle w:val="BodyText"/>
      </w:pPr>
    </w:p>
    <w:p w14:paraId="2339575A" w14:textId="77777777" w:rsidR="00FD049A" w:rsidRDefault="00FD049A" w:rsidP="00FD049A">
      <w:pPr>
        <w:pStyle w:val="BodyText"/>
      </w:pPr>
    </w:p>
    <w:p w14:paraId="69D8E219" w14:textId="77777777" w:rsidR="00FD049A" w:rsidRDefault="00FD049A" w:rsidP="00FD049A">
      <w:pPr>
        <w:pStyle w:val="BodyText"/>
      </w:pPr>
    </w:p>
    <w:p w14:paraId="4066C115" w14:textId="77777777" w:rsidR="00FD049A" w:rsidRDefault="00FD049A" w:rsidP="00FD049A">
      <w:pPr>
        <w:pStyle w:val="BodyText"/>
      </w:pPr>
    </w:p>
    <w:p w14:paraId="410A20F7" w14:textId="77777777" w:rsidR="00FD049A" w:rsidRDefault="00FD049A" w:rsidP="00FD049A">
      <w:pPr>
        <w:pStyle w:val="BodyText"/>
      </w:pPr>
    </w:p>
    <w:p w14:paraId="3C9F7182" w14:textId="77777777" w:rsidR="00FD049A" w:rsidRDefault="00FD049A" w:rsidP="00FD049A">
      <w:pPr>
        <w:pStyle w:val="BodyText"/>
      </w:pPr>
    </w:p>
    <w:p w14:paraId="4BD25088" w14:textId="77777777" w:rsidR="00FD049A" w:rsidRDefault="00FD049A" w:rsidP="00FD049A">
      <w:pPr>
        <w:pStyle w:val="BodyText"/>
      </w:pPr>
    </w:p>
    <w:p w14:paraId="5E68561C" w14:textId="77777777" w:rsidR="00CD59BF" w:rsidRDefault="00CD59BF" w:rsidP="00FD049A">
      <w:pPr>
        <w:pStyle w:val="BodyText"/>
      </w:pPr>
    </w:p>
    <w:p w14:paraId="63BC4ECE" w14:textId="77777777" w:rsidR="00FD049A" w:rsidRDefault="00FD049A" w:rsidP="00FD049A">
      <w:pPr>
        <w:pStyle w:val="BodyText"/>
      </w:pPr>
    </w:p>
    <w:p w14:paraId="4A281E7C" w14:textId="77777777" w:rsidR="00FD049A" w:rsidRDefault="00FD049A" w:rsidP="00FD049A">
      <w:pPr>
        <w:pStyle w:val="BodyText"/>
      </w:pPr>
    </w:p>
    <w:p w14:paraId="0026593C" w14:textId="472BC712" w:rsidR="00FD049A" w:rsidRDefault="00FD049A" w:rsidP="00FD049A">
      <w:pPr>
        <w:pStyle w:val="BodyText"/>
      </w:pPr>
      <w:r w:rsidRPr="00052E86">
        <w:t xml:space="preserve">Published </w:t>
      </w:r>
      <w:r w:rsidR="008F142E">
        <w:t>September 2025</w:t>
      </w:r>
      <w:r>
        <w:t xml:space="preserve"> by Health Quality &amp; Safety Commission</w:t>
      </w:r>
      <w:r w:rsidR="00F36484" w:rsidRPr="00F36484">
        <w:t xml:space="preserve"> </w:t>
      </w:r>
      <w:r w:rsidR="00F36484">
        <w:t>Te Tāhū Hauora</w:t>
      </w:r>
      <w:r>
        <w:t xml:space="preserve">, </w:t>
      </w:r>
      <w:r w:rsidR="00AE395A">
        <w:br/>
      </w:r>
      <w:r>
        <w:t>PO Box 25496, Wellington, 6146.</w:t>
      </w:r>
    </w:p>
    <w:p w14:paraId="5A3A12A2" w14:textId="77777777" w:rsidR="00FD049A" w:rsidRDefault="00FD049A" w:rsidP="00FD049A">
      <w:pPr>
        <w:pStyle w:val="BodyText"/>
      </w:pPr>
    </w:p>
    <w:p w14:paraId="00E9C7C5" w14:textId="5EB0B1FB" w:rsidR="00FD049A" w:rsidRPr="00052E86" w:rsidRDefault="00FD049A" w:rsidP="00FD049A">
      <w:pPr>
        <w:pStyle w:val="BodyText"/>
      </w:pPr>
      <w:r>
        <w:t xml:space="preserve">ISBN </w:t>
      </w:r>
      <w:r w:rsidR="00C75F79" w:rsidRPr="00C75F79">
        <w:t>978-1-991122-38-4</w:t>
      </w:r>
      <w:r w:rsidR="00C75F79">
        <w:t xml:space="preserve"> (online)</w:t>
      </w:r>
    </w:p>
    <w:p w14:paraId="23A1762F" w14:textId="77777777" w:rsidR="00FD049A" w:rsidRPr="00052E86" w:rsidRDefault="00FD049A" w:rsidP="00FD049A">
      <w:pPr>
        <w:pStyle w:val="BodyText"/>
      </w:pPr>
      <w:r w:rsidRPr="00052E86">
        <w:t xml:space="preserve">Available online at </w:t>
      </w:r>
      <w:hyperlink r:id="rId11" w:history="1">
        <w:r w:rsidRPr="00052E86">
          <w:rPr>
            <w:rStyle w:val="Hyperlink"/>
          </w:rPr>
          <w:t>www.hqsc.govt.nz</w:t>
        </w:r>
      </w:hyperlink>
    </w:p>
    <w:p w14:paraId="043FA399" w14:textId="77777777" w:rsidR="00FD049A" w:rsidRDefault="00FD049A" w:rsidP="00FD049A">
      <w:pPr>
        <w:pStyle w:val="BodyText"/>
      </w:pPr>
      <w:r w:rsidRPr="00052E86">
        <w:t xml:space="preserve">Enquiries to: </w:t>
      </w:r>
      <w:hyperlink r:id="rId12" w:history="1">
        <w:r w:rsidRPr="00A45102">
          <w:rPr>
            <w:rStyle w:val="Hyperlink"/>
          </w:rPr>
          <w:t>info@hqsc.govt.nz</w:t>
        </w:r>
      </w:hyperlink>
    </w:p>
    <w:p w14:paraId="1873DE3E" w14:textId="77777777" w:rsidR="00FD049A" w:rsidRDefault="00FD049A" w:rsidP="00CD59BF">
      <w:pPr>
        <w:pStyle w:val="BodyText"/>
        <w:spacing w:after="0"/>
      </w:pPr>
    </w:p>
    <w:p w14:paraId="3021AE74" w14:textId="77777777" w:rsidR="00FD049A" w:rsidRDefault="00FD049A" w:rsidP="00FD049A">
      <w:pPr>
        <w:pStyle w:val="BodyText"/>
      </w:pPr>
      <w:r>
        <w:rPr>
          <w:noProof/>
        </w:rPr>
        <w:drawing>
          <wp:anchor distT="0" distB="0" distL="114300" distR="114300" simplePos="0" relativeHeight="251658242" behindDoc="1" locked="0" layoutInCell="1" allowOverlap="1" wp14:anchorId="75E8D991" wp14:editId="1E670ED3">
            <wp:simplePos x="0" y="0"/>
            <wp:positionH relativeFrom="margin">
              <wp:align>right</wp:align>
            </wp:positionH>
            <wp:positionV relativeFrom="paragraph">
              <wp:posOffset>59055</wp:posOffset>
            </wp:positionV>
            <wp:extent cx="1401445" cy="488950"/>
            <wp:effectExtent l="0" t="0" r="8255" b="6350"/>
            <wp:wrapTight wrapText="bothSides">
              <wp:wrapPolygon edited="0">
                <wp:start x="0" y="0"/>
                <wp:lineTo x="0" y="21039"/>
                <wp:lineTo x="21434" y="21039"/>
                <wp:lineTo x="21434" y="0"/>
                <wp:lineTo x="0" y="0"/>
              </wp:wrapPolygon>
            </wp:wrapTight>
            <wp:docPr id="358988610" name="Picture 358988610"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8610" name="Picture 358988610"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1445" cy="488950"/>
                    </a:xfrm>
                    <a:prstGeom prst="rect">
                      <a:avLst/>
                    </a:prstGeom>
                  </pic:spPr>
                </pic:pic>
              </a:graphicData>
            </a:graphic>
            <wp14:sizeRelH relativeFrom="margin">
              <wp14:pctWidth>0</wp14:pctWidth>
            </wp14:sizeRelH>
            <wp14:sizeRelV relativeFrom="margin">
              <wp14:pctHeight>0</wp14:pctHeight>
            </wp14:sizeRelV>
          </wp:anchor>
        </w:drawing>
      </w:r>
      <w:r>
        <w:t xml:space="preserve">This work is licensed under the Creative Commons </w:t>
      </w:r>
      <w:proofErr w:type="spellStart"/>
      <w:r>
        <w:t>AttributionNonCommercial-ShareAlike</w:t>
      </w:r>
      <w:proofErr w:type="spellEnd"/>
      <w:r>
        <w:t xml:space="preserve"> 4.0 International </w:t>
      </w:r>
      <w:r>
        <w:br/>
        <w:t xml:space="preserve">(CC BY-NC-SA 4.0). To view a copy of this licence, visit </w:t>
      </w:r>
      <w:hyperlink r:id="rId14" w:history="1">
        <w:r w:rsidRPr="00A45102">
          <w:rPr>
            <w:rStyle w:val="Hyperlink"/>
          </w:rPr>
          <w:t>https://creativecommons.org/licenses/by-nc-sa/4.0</w:t>
        </w:r>
      </w:hyperlink>
      <w:r>
        <w:t xml:space="preserve"> </w:t>
      </w:r>
    </w:p>
    <w:p w14:paraId="172E63A2" w14:textId="77777777" w:rsidR="00FD049A" w:rsidRDefault="00FD049A" w:rsidP="00CD59BF">
      <w:pPr>
        <w:pStyle w:val="BodyText"/>
        <w:spacing w:after="0"/>
      </w:pPr>
    </w:p>
    <w:p w14:paraId="69B1049E" w14:textId="77777777" w:rsidR="009F7F5F" w:rsidRDefault="00FD049A" w:rsidP="00FD049A">
      <w:pPr>
        <w:pStyle w:val="BodyText"/>
      </w:pPr>
      <w:r>
        <w:rPr>
          <w:noProof/>
        </w:rPr>
        <w:drawing>
          <wp:inline distT="0" distB="0" distL="0" distR="0" wp14:anchorId="00C8C3FD" wp14:editId="1D907D15">
            <wp:extent cx="1743740" cy="658394"/>
            <wp:effectExtent l="0" t="0" r="0" b="8890"/>
            <wp:docPr id="1815018965" name="Picture 1815018965"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18965" name="Picture 1815018965" descr="The New Zealand Government logo is made up the words Te Kāwanatanga o Aotearoa in bold letters alongside it, with New Zealand Government written beneat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848" cy="668629"/>
                    </a:xfrm>
                    <a:prstGeom prst="rect">
                      <a:avLst/>
                    </a:prstGeom>
                  </pic:spPr>
                </pic:pic>
              </a:graphicData>
            </a:graphic>
          </wp:inline>
        </w:drawing>
      </w:r>
    </w:p>
    <w:p w14:paraId="470B23E3" w14:textId="77777777" w:rsidR="00B74EE3" w:rsidRDefault="00B74EE3" w:rsidP="006A5331">
      <w:pPr>
        <w:pStyle w:val="TeThHauorahead1"/>
        <w:spacing w:after="120"/>
        <w:sectPr w:rsidR="00B74EE3">
          <w:footerReference w:type="default" r:id="rId16"/>
          <w:pgSz w:w="11906" w:h="16838"/>
          <w:pgMar w:top="1440" w:right="1440" w:bottom="1440" w:left="1440" w:header="708" w:footer="708" w:gutter="0"/>
          <w:cols w:space="708"/>
          <w:docGrid w:linePitch="360"/>
        </w:sectPr>
      </w:pPr>
    </w:p>
    <w:p w14:paraId="116C8EA3" w14:textId="15CC465E" w:rsidR="006A5331" w:rsidRPr="009A1E79" w:rsidRDefault="009C6431" w:rsidP="00BA1654">
      <w:pPr>
        <w:pStyle w:val="TOCHeading"/>
      </w:pPr>
      <w:r w:rsidRPr="00BA1654">
        <w:lastRenderedPageBreak/>
        <w:t>Contents</w:t>
      </w:r>
      <w:r>
        <w:t xml:space="preserve"> </w:t>
      </w:r>
      <w:r w:rsidR="006A0592" w:rsidRPr="00585F2D">
        <w:t>|</w:t>
      </w:r>
      <w:r w:rsidR="006A0592">
        <w:t xml:space="preserve"> </w:t>
      </w:r>
      <w:r w:rsidR="006A0592" w:rsidRPr="00BD683A">
        <w:t>Ngā ihirangi</w:t>
      </w:r>
    </w:p>
    <w:p w14:paraId="67349717" w14:textId="5545745E" w:rsidR="00CF29F7" w:rsidRDefault="003319FC">
      <w:pPr>
        <w:pStyle w:val="TOC1"/>
        <w:rPr>
          <w:rFonts w:asciiTheme="minorHAnsi" w:eastAsiaTheme="minorEastAsia" w:hAnsiTheme="minorHAnsi"/>
          <w:noProof/>
          <w:kern w:val="2"/>
          <w:sz w:val="24"/>
          <w:szCs w:val="24"/>
          <w:lang w:eastAsia="en-NZ"/>
          <w14:ligatures w14:val="standardContextual"/>
        </w:rPr>
      </w:pPr>
      <w:r>
        <w:rPr>
          <w:bCs/>
          <w:noProof/>
        </w:rPr>
        <w:fldChar w:fldCharType="begin"/>
      </w:r>
      <w:r>
        <w:rPr>
          <w:bCs/>
          <w:noProof/>
        </w:rPr>
        <w:instrText xml:space="preserve"> TOC \h \z \u \t "Te Tāhū Hauora head 1,1,Te Tāhū Hauora head 2,2" </w:instrText>
      </w:r>
      <w:r>
        <w:rPr>
          <w:bCs/>
          <w:noProof/>
        </w:rPr>
        <w:fldChar w:fldCharType="separate"/>
      </w:r>
      <w:hyperlink w:anchor="_Toc207862871" w:history="1">
        <w:r w:rsidR="00CF29F7" w:rsidRPr="00820512">
          <w:rPr>
            <w:rStyle w:val="Hyperlink"/>
            <w:noProof/>
          </w:rPr>
          <w:t>Acknowledgements | He whakamihi</w:t>
        </w:r>
        <w:r w:rsidR="00CF29F7">
          <w:rPr>
            <w:noProof/>
            <w:webHidden/>
          </w:rPr>
          <w:tab/>
        </w:r>
        <w:r w:rsidR="00CF29F7">
          <w:rPr>
            <w:noProof/>
            <w:webHidden/>
          </w:rPr>
          <w:fldChar w:fldCharType="begin"/>
        </w:r>
        <w:r w:rsidR="00CF29F7">
          <w:rPr>
            <w:noProof/>
            <w:webHidden/>
          </w:rPr>
          <w:instrText xml:space="preserve"> PAGEREF _Toc207862871 \h </w:instrText>
        </w:r>
        <w:r w:rsidR="00CF29F7">
          <w:rPr>
            <w:noProof/>
            <w:webHidden/>
          </w:rPr>
        </w:r>
        <w:r w:rsidR="00CF29F7">
          <w:rPr>
            <w:noProof/>
            <w:webHidden/>
          </w:rPr>
          <w:fldChar w:fldCharType="separate"/>
        </w:r>
        <w:r w:rsidR="00FE6841">
          <w:rPr>
            <w:noProof/>
            <w:webHidden/>
          </w:rPr>
          <w:t>4</w:t>
        </w:r>
        <w:r w:rsidR="00CF29F7">
          <w:rPr>
            <w:noProof/>
            <w:webHidden/>
          </w:rPr>
          <w:fldChar w:fldCharType="end"/>
        </w:r>
      </w:hyperlink>
    </w:p>
    <w:p w14:paraId="67952E9C" w14:textId="752E51C6" w:rsidR="00CF29F7" w:rsidRDefault="00CF29F7">
      <w:pPr>
        <w:pStyle w:val="TOC1"/>
        <w:rPr>
          <w:rFonts w:asciiTheme="minorHAnsi" w:eastAsiaTheme="minorEastAsia" w:hAnsiTheme="minorHAnsi"/>
          <w:noProof/>
          <w:kern w:val="2"/>
          <w:sz w:val="24"/>
          <w:szCs w:val="24"/>
          <w:lang w:eastAsia="en-NZ"/>
          <w14:ligatures w14:val="standardContextual"/>
        </w:rPr>
      </w:pPr>
      <w:hyperlink w:anchor="_Toc207862872" w:history="1">
        <w:r w:rsidRPr="00820512">
          <w:rPr>
            <w:rStyle w:val="Hyperlink"/>
            <w:noProof/>
          </w:rPr>
          <w:t>Commitment to Te Tiriti o Waitangi and health equity │ Ū ki Te Tiriti me te hauora tautika</w:t>
        </w:r>
        <w:r>
          <w:rPr>
            <w:noProof/>
            <w:webHidden/>
          </w:rPr>
          <w:tab/>
        </w:r>
        <w:r>
          <w:rPr>
            <w:noProof/>
            <w:webHidden/>
          </w:rPr>
          <w:fldChar w:fldCharType="begin"/>
        </w:r>
        <w:r>
          <w:rPr>
            <w:noProof/>
            <w:webHidden/>
          </w:rPr>
          <w:instrText xml:space="preserve"> PAGEREF _Toc207862872 \h </w:instrText>
        </w:r>
        <w:r>
          <w:rPr>
            <w:noProof/>
            <w:webHidden/>
          </w:rPr>
        </w:r>
        <w:r>
          <w:rPr>
            <w:noProof/>
            <w:webHidden/>
          </w:rPr>
          <w:fldChar w:fldCharType="separate"/>
        </w:r>
        <w:r w:rsidR="00FE6841">
          <w:rPr>
            <w:noProof/>
            <w:webHidden/>
          </w:rPr>
          <w:t>5</w:t>
        </w:r>
        <w:r>
          <w:rPr>
            <w:noProof/>
            <w:webHidden/>
          </w:rPr>
          <w:fldChar w:fldCharType="end"/>
        </w:r>
      </w:hyperlink>
    </w:p>
    <w:p w14:paraId="612A0E08" w14:textId="71591E44" w:rsidR="00CF29F7" w:rsidRDefault="00CF29F7">
      <w:pPr>
        <w:pStyle w:val="TOC1"/>
        <w:rPr>
          <w:rFonts w:asciiTheme="minorHAnsi" w:eastAsiaTheme="minorEastAsia" w:hAnsiTheme="minorHAnsi"/>
          <w:noProof/>
          <w:kern w:val="2"/>
          <w:sz w:val="24"/>
          <w:szCs w:val="24"/>
          <w:lang w:eastAsia="en-NZ"/>
          <w14:ligatures w14:val="standardContextual"/>
        </w:rPr>
      </w:pPr>
      <w:hyperlink w:anchor="_Toc207862873" w:history="1">
        <w:r w:rsidRPr="00820512">
          <w:rPr>
            <w:rStyle w:val="Hyperlink"/>
            <w:noProof/>
          </w:rPr>
          <w:t>Background and context | Kōrero o mua</w:t>
        </w:r>
        <w:r>
          <w:rPr>
            <w:noProof/>
            <w:webHidden/>
          </w:rPr>
          <w:tab/>
        </w:r>
        <w:r>
          <w:rPr>
            <w:noProof/>
            <w:webHidden/>
          </w:rPr>
          <w:fldChar w:fldCharType="begin"/>
        </w:r>
        <w:r>
          <w:rPr>
            <w:noProof/>
            <w:webHidden/>
          </w:rPr>
          <w:instrText xml:space="preserve"> PAGEREF _Toc207862873 \h </w:instrText>
        </w:r>
        <w:r>
          <w:rPr>
            <w:noProof/>
            <w:webHidden/>
          </w:rPr>
        </w:r>
        <w:r>
          <w:rPr>
            <w:noProof/>
            <w:webHidden/>
          </w:rPr>
          <w:fldChar w:fldCharType="separate"/>
        </w:r>
        <w:r w:rsidR="00FE6841">
          <w:rPr>
            <w:noProof/>
            <w:webHidden/>
          </w:rPr>
          <w:t>5</w:t>
        </w:r>
        <w:r>
          <w:rPr>
            <w:noProof/>
            <w:webHidden/>
          </w:rPr>
          <w:fldChar w:fldCharType="end"/>
        </w:r>
      </w:hyperlink>
    </w:p>
    <w:p w14:paraId="2569304F" w14:textId="0D8D4E9E" w:rsidR="00CF29F7" w:rsidRDefault="00CF29F7">
      <w:pPr>
        <w:pStyle w:val="TOC2"/>
        <w:rPr>
          <w:rFonts w:asciiTheme="minorHAnsi" w:eastAsiaTheme="minorEastAsia" w:hAnsiTheme="minorHAnsi"/>
          <w:noProof/>
          <w:kern w:val="2"/>
          <w:sz w:val="24"/>
          <w:szCs w:val="24"/>
          <w:lang w:eastAsia="en-NZ"/>
          <w14:ligatures w14:val="standardContextual"/>
        </w:rPr>
      </w:pPr>
      <w:hyperlink w:anchor="_Toc207862874" w:history="1">
        <w:r w:rsidRPr="00820512">
          <w:rPr>
            <w:rStyle w:val="Hyperlink"/>
            <w:noProof/>
          </w:rPr>
          <w:t>Overview</w:t>
        </w:r>
        <w:r>
          <w:rPr>
            <w:noProof/>
            <w:webHidden/>
          </w:rPr>
          <w:tab/>
        </w:r>
        <w:r>
          <w:rPr>
            <w:noProof/>
            <w:webHidden/>
          </w:rPr>
          <w:fldChar w:fldCharType="begin"/>
        </w:r>
        <w:r>
          <w:rPr>
            <w:noProof/>
            <w:webHidden/>
          </w:rPr>
          <w:instrText xml:space="preserve"> PAGEREF _Toc207862874 \h </w:instrText>
        </w:r>
        <w:r>
          <w:rPr>
            <w:noProof/>
            <w:webHidden/>
          </w:rPr>
        </w:r>
        <w:r>
          <w:rPr>
            <w:noProof/>
            <w:webHidden/>
          </w:rPr>
          <w:fldChar w:fldCharType="separate"/>
        </w:r>
        <w:r w:rsidR="00FE6841">
          <w:rPr>
            <w:noProof/>
            <w:webHidden/>
          </w:rPr>
          <w:t>6</w:t>
        </w:r>
        <w:r>
          <w:rPr>
            <w:noProof/>
            <w:webHidden/>
          </w:rPr>
          <w:fldChar w:fldCharType="end"/>
        </w:r>
      </w:hyperlink>
    </w:p>
    <w:p w14:paraId="4F6F13A6" w14:textId="08529F5A" w:rsidR="00CF29F7" w:rsidRDefault="00CF29F7">
      <w:pPr>
        <w:pStyle w:val="TOC2"/>
        <w:rPr>
          <w:rFonts w:asciiTheme="minorHAnsi" w:eastAsiaTheme="minorEastAsia" w:hAnsiTheme="minorHAnsi"/>
          <w:noProof/>
          <w:kern w:val="2"/>
          <w:sz w:val="24"/>
          <w:szCs w:val="24"/>
          <w:lang w:eastAsia="en-NZ"/>
          <w14:ligatures w14:val="standardContextual"/>
        </w:rPr>
      </w:pPr>
      <w:hyperlink w:anchor="_Toc207862875" w:history="1">
        <w:r w:rsidRPr="00820512">
          <w:rPr>
            <w:rStyle w:val="Hyperlink"/>
            <w:noProof/>
          </w:rPr>
          <w:t>Purpose of this guideline</w:t>
        </w:r>
        <w:r>
          <w:rPr>
            <w:noProof/>
            <w:webHidden/>
          </w:rPr>
          <w:tab/>
        </w:r>
        <w:r>
          <w:rPr>
            <w:noProof/>
            <w:webHidden/>
          </w:rPr>
          <w:fldChar w:fldCharType="begin"/>
        </w:r>
        <w:r>
          <w:rPr>
            <w:noProof/>
            <w:webHidden/>
          </w:rPr>
          <w:instrText xml:space="preserve"> PAGEREF _Toc207862875 \h </w:instrText>
        </w:r>
        <w:r>
          <w:rPr>
            <w:noProof/>
            <w:webHidden/>
          </w:rPr>
        </w:r>
        <w:r>
          <w:rPr>
            <w:noProof/>
            <w:webHidden/>
          </w:rPr>
          <w:fldChar w:fldCharType="separate"/>
        </w:r>
        <w:r w:rsidR="00FE6841">
          <w:rPr>
            <w:noProof/>
            <w:webHidden/>
          </w:rPr>
          <w:t>6</w:t>
        </w:r>
        <w:r>
          <w:rPr>
            <w:noProof/>
            <w:webHidden/>
          </w:rPr>
          <w:fldChar w:fldCharType="end"/>
        </w:r>
      </w:hyperlink>
    </w:p>
    <w:p w14:paraId="7351B60C" w14:textId="0151ACA5" w:rsidR="00CF29F7" w:rsidRDefault="00CF29F7">
      <w:pPr>
        <w:pStyle w:val="TOC2"/>
        <w:rPr>
          <w:rFonts w:asciiTheme="minorHAnsi" w:eastAsiaTheme="minorEastAsia" w:hAnsiTheme="minorHAnsi"/>
          <w:noProof/>
          <w:kern w:val="2"/>
          <w:sz w:val="24"/>
          <w:szCs w:val="24"/>
          <w:lang w:eastAsia="en-NZ"/>
          <w14:ligatures w14:val="standardContextual"/>
        </w:rPr>
      </w:pPr>
      <w:hyperlink w:anchor="_Toc207862876" w:history="1">
        <w:r w:rsidRPr="00820512">
          <w:rPr>
            <w:rStyle w:val="Hyperlink"/>
            <w:noProof/>
          </w:rPr>
          <w:t>Sepsis definitions*</w:t>
        </w:r>
        <w:r>
          <w:rPr>
            <w:noProof/>
            <w:webHidden/>
          </w:rPr>
          <w:tab/>
        </w:r>
        <w:r>
          <w:rPr>
            <w:noProof/>
            <w:webHidden/>
          </w:rPr>
          <w:fldChar w:fldCharType="begin"/>
        </w:r>
        <w:r>
          <w:rPr>
            <w:noProof/>
            <w:webHidden/>
          </w:rPr>
          <w:instrText xml:space="preserve"> PAGEREF _Toc207862876 \h </w:instrText>
        </w:r>
        <w:r>
          <w:rPr>
            <w:noProof/>
            <w:webHidden/>
          </w:rPr>
        </w:r>
        <w:r>
          <w:rPr>
            <w:noProof/>
            <w:webHidden/>
          </w:rPr>
          <w:fldChar w:fldCharType="separate"/>
        </w:r>
        <w:r w:rsidR="00FE6841">
          <w:rPr>
            <w:noProof/>
            <w:webHidden/>
          </w:rPr>
          <w:t>6</w:t>
        </w:r>
        <w:r>
          <w:rPr>
            <w:noProof/>
            <w:webHidden/>
          </w:rPr>
          <w:fldChar w:fldCharType="end"/>
        </w:r>
      </w:hyperlink>
    </w:p>
    <w:p w14:paraId="20C1D609" w14:textId="2C000213" w:rsidR="00CF29F7" w:rsidRDefault="00CF29F7">
      <w:pPr>
        <w:pStyle w:val="TOC2"/>
        <w:rPr>
          <w:rFonts w:asciiTheme="minorHAnsi" w:eastAsiaTheme="minorEastAsia" w:hAnsiTheme="minorHAnsi"/>
          <w:noProof/>
          <w:kern w:val="2"/>
          <w:sz w:val="24"/>
          <w:szCs w:val="24"/>
          <w:lang w:eastAsia="en-NZ"/>
          <w14:ligatures w14:val="standardContextual"/>
        </w:rPr>
      </w:pPr>
      <w:hyperlink w:anchor="_Toc207862877" w:history="1">
        <w:r w:rsidRPr="00820512">
          <w:rPr>
            <w:rStyle w:val="Hyperlink"/>
            <w:noProof/>
          </w:rPr>
          <w:t>Explanation of sepsis in lay terms</w:t>
        </w:r>
        <w:r>
          <w:rPr>
            <w:noProof/>
            <w:webHidden/>
          </w:rPr>
          <w:tab/>
        </w:r>
        <w:r>
          <w:rPr>
            <w:noProof/>
            <w:webHidden/>
          </w:rPr>
          <w:fldChar w:fldCharType="begin"/>
        </w:r>
        <w:r>
          <w:rPr>
            <w:noProof/>
            <w:webHidden/>
          </w:rPr>
          <w:instrText xml:space="preserve"> PAGEREF _Toc207862877 \h </w:instrText>
        </w:r>
        <w:r>
          <w:rPr>
            <w:noProof/>
            <w:webHidden/>
          </w:rPr>
        </w:r>
        <w:r>
          <w:rPr>
            <w:noProof/>
            <w:webHidden/>
          </w:rPr>
          <w:fldChar w:fldCharType="separate"/>
        </w:r>
        <w:r w:rsidR="00FE6841">
          <w:rPr>
            <w:noProof/>
            <w:webHidden/>
          </w:rPr>
          <w:t>6</w:t>
        </w:r>
        <w:r>
          <w:rPr>
            <w:noProof/>
            <w:webHidden/>
          </w:rPr>
          <w:fldChar w:fldCharType="end"/>
        </w:r>
      </w:hyperlink>
    </w:p>
    <w:p w14:paraId="473CCB7F" w14:textId="4F97F8B3" w:rsidR="00CF29F7" w:rsidRDefault="00CF29F7">
      <w:pPr>
        <w:pStyle w:val="TOC2"/>
        <w:rPr>
          <w:rFonts w:asciiTheme="minorHAnsi" w:eastAsiaTheme="minorEastAsia" w:hAnsiTheme="minorHAnsi"/>
          <w:noProof/>
          <w:kern w:val="2"/>
          <w:sz w:val="24"/>
          <w:szCs w:val="24"/>
          <w:lang w:eastAsia="en-NZ"/>
          <w14:ligatures w14:val="standardContextual"/>
        </w:rPr>
      </w:pPr>
      <w:hyperlink w:anchor="_Toc207862878" w:history="1">
        <w:r w:rsidRPr="00820512">
          <w:rPr>
            <w:rStyle w:val="Hyperlink"/>
            <w:noProof/>
          </w:rPr>
          <w:t>Narrative elaboration for use in public facing material</w:t>
        </w:r>
        <w:r>
          <w:rPr>
            <w:noProof/>
            <w:webHidden/>
          </w:rPr>
          <w:tab/>
        </w:r>
        <w:r>
          <w:rPr>
            <w:noProof/>
            <w:webHidden/>
          </w:rPr>
          <w:fldChar w:fldCharType="begin"/>
        </w:r>
        <w:r>
          <w:rPr>
            <w:noProof/>
            <w:webHidden/>
          </w:rPr>
          <w:instrText xml:space="preserve"> PAGEREF _Toc207862878 \h </w:instrText>
        </w:r>
        <w:r>
          <w:rPr>
            <w:noProof/>
            <w:webHidden/>
          </w:rPr>
        </w:r>
        <w:r>
          <w:rPr>
            <w:noProof/>
            <w:webHidden/>
          </w:rPr>
          <w:fldChar w:fldCharType="separate"/>
        </w:r>
        <w:r w:rsidR="00FE6841">
          <w:rPr>
            <w:noProof/>
            <w:webHidden/>
          </w:rPr>
          <w:t>6</w:t>
        </w:r>
        <w:r>
          <w:rPr>
            <w:noProof/>
            <w:webHidden/>
          </w:rPr>
          <w:fldChar w:fldCharType="end"/>
        </w:r>
      </w:hyperlink>
    </w:p>
    <w:p w14:paraId="025791C5" w14:textId="156AF022" w:rsidR="00CF29F7" w:rsidRDefault="00CF29F7">
      <w:pPr>
        <w:pStyle w:val="TOC1"/>
        <w:rPr>
          <w:rFonts w:asciiTheme="minorHAnsi" w:eastAsiaTheme="minorEastAsia" w:hAnsiTheme="minorHAnsi"/>
          <w:noProof/>
          <w:kern w:val="2"/>
          <w:sz w:val="24"/>
          <w:szCs w:val="24"/>
          <w:lang w:eastAsia="en-NZ"/>
          <w14:ligatures w14:val="standardContextual"/>
        </w:rPr>
      </w:pPr>
      <w:hyperlink w:anchor="_Toc207862879" w:history="1">
        <w:r w:rsidRPr="00820512">
          <w:rPr>
            <w:rStyle w:val="Hyperlink"/>
            <w:noProof/>
          </w:rPr>
          <w:t>Recommendations | Ngā tūtohinga</w:t>
        </w:r>
        <w:r>
          <w:rPr>
            <w:noProof/>
            <w:webHidden/>
          </w:rPr>
          <w:tab/>
        </w:r>
        <w:r>
          <w:rPr>
            <w:noProof/>
            <w:webHidden/>
          </w:rPr>
          <w:fldChar w:fldCharType="begin"/>
        </w:r>
        <w:r>
          <w:rPr>
            <w:noProof/>
            <w:webHidden/>
          </w:rPr>
          <w:instrText xml:space="preserve"> PAGEREF _Toc207862879 \h </w:instrText>
        </w:r>
        <w:r>
          <w:rPr>
            <w:noProof/>
            <w:webHidden/>
          </w:rPr>
        </w:r>
        <w:r>
          <w:rPr>
            <w:noProof/>
            <w:webHidden/>
          </w:rPr>
          <w:fldChar w:fldCharType="separate"/>
        </w:r>
        <w:r w:rsidR="00FE6841">
          <w:rPr>
            <w:noProof/>
            <w:webHidden/>
          </w:rPr>
          <w:t>7</w:t>
        </w:r>
        <w:r>
          <w:rPr>
            <w:noProof/>
            <w:webHidden/>
          </w:rPr>
          <w:fldChar w:fldCharType="end"/>
        </w:r>
      </w:hyperlink>
    </w:p>
    <w:p w14:paraId="747FE2BE" w14:textId="6B97E6E8"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0" w:history="1">
        <w:r w:rsidRPr="00820512">
          <w:rPr>
            <w:rStyle w:val="Hyperlink"/>
            <w:noProof/>
          </w:rPr>
          <w:t>1.</w:t>
        </w:r>
        <w:r>
          <w:rPr>
            <w:rFonts w:asciiTheme="minorHAnsi" w:eastAsiaTheme="minorEastAsia" w:hAnsiTheme="minorHAnsi"/>
            <w:noProof/>
            <w:kern w:val="2"/>
            <w:sz w:val="24"/>
            <w:szCs w:val="24"/>
            <w:lang w:eastAsia="en-NZ"/>
            <w14:ligatures w14:val="standardContextual"/>
          </w:rPr>
          <w:tab/>
        </w:r>
        <w:r w:rsidRPr="00820512">
          <w:rPr>
            <w:rStyle w:val="Hyperlink"/>
            <w:noProof/>
          </w:rPr>
          <w:t>Identifying people with suspected sepsis</w:t>
        </w:r>
        <w:r>
          <w:rPr>
            <w:noProof/>
            <w:webHidden/>
          </w:rPr>
          <w:tab/>
        </w:r>
        <w:r>
          <w:rPr>
            <w:noProof/>
            <w:webHidden/>
          </w:rPr>
          <w:fldChar w:fldCharType="begin"/>
        </w:r>
        <w:r>
          <w:rPr>
            <w:noProof/>
            <w:webHidden/>
          </w:rPr>
          <w:instrText xml:space="preserve"> PAGEREF _Toc207862880 \h </w:instrText>
        </w:r>
        <w:r>
          <w:rPr>
            <w:noProof/>
            <w:webHidden/>
          </w:rPr>
        </w:r>
        <w:r>
          <w:rPr>
            <w:noProof/>
            <w:webHidden/>
          </w:rPr>
          <w:fldChar w:fldCharType="separate"/>
        </w:r>
        <w:r w:rsidR="00FE6841">
          <w:rPr>
            <w:noProof/>
            <w:webHidden/>
          </w:rPr>
          <w:t>7</w:t>
        </w:r>
        <w:r>
          <w:rPr>
            <w:noProof/>
            <w:webHidden/>
          </w:rPr>
          <w:fldChar w:fldCharType="end"/>
        </w:r>
      </w:hyperlink>
    </w:p>
    <w:p w14:paraId="692A8B5C" w14:textId="48505713"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1" w:history="1">
        <w:r w:rsidRPr="00820512">
          <w:rPr>
            <w:rStyle w:val="Hyperlink"/>
            <w:noProof/>
          </w:rPr>
          <w:t>2.</w:t>
        </w:r>
        <w:r>
          <w:rPr>
            <w:rFonts w:asciiTheme="minorHAnsi" w:eastAsiaTheme="minorEastAsia" w:hAnsiTheme="minorHAnsi"/>
            <w:noProof/>
            <w:kern w:val="2"/>
            <w:sz w:val="24"/>
            <w:szCs w:val="24"/>
            <w:lang w:eastAsia="en-NZ"/>
            <w14:ligatures w14:val="standardContextual"/>
          </w:rPr>
          <w:tab/>
        </w:r>
        <w:r w:rsidRPr="00820512">
          <w:rPr>
            <w:rStyle w:val="Hyperlink"/>
            <w:noProof/>
          </w:rPr>
          <w:t>Risk factors for sepsis</w:t>
        </w:r>
        <w:r>
          <w:rPr>
            <w:noProof/>
            <w:webHidden/>
          </w:rPr>
          <w:tab/>
        </w:r>
        <w:r>
          <w:rPr>
            <w:noProof/>
            <w:webHidden/>
          </w:rPr>
          <w:fldChar w:fldCharType="begin"/>
        </w:r>
        <w:r>
          <w:rPr>
            <w:noProof/>
            <w:webHidden/>
          </w:rPr>
          <w:instrText xml:space="preserve"> PAGEREF _Toc207862881 \h </w:instrText>
        </w:r>
        <w:r>
          <w:rPr>
            <w:noProof/>
            <w:webHidden/>
          </w:rPr>
        </w:r>
        <w:r>
          <w:rPr>
            <w:noProof/>
            <w:webHidden/>
          </w:rPr>
          <w:fldChar w:fldCharType="separate"/>
        </w:r>
        <w:r w:rsidR="00FE6841">
          <w:rPr>
            <w:noProof/>
            <w:webHidden/>
          </w:rPr>
          <w:t>8</w:t>
        </w:r>
        <w:r>
          <w:rPr>
            <w:noProof/>
            <w:webHidden/>
          </w:rPr>
          <w:fldChar w:fldCharType="end"/>
        </w:r>
      </w:hyperlink>
    </w:p>
    <w:p w14:paraId="20312E67" w14:textId="446765E5"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2" w:history="1">
        <w:r w:rsidRPr="00820512">
          <w:rPr>
            <w:rStyle w:val="Hyperlink"/>
            <w:noProof/>
          </w:rPr>
          <w:t>3.</w:t>
        </w:r>
        <w:r>
          <w:rPr>
            <w:rFonts w:asciiTheme="minorHAnsi" w:eastAsiaTheme="minorEastAsia" w:hAnsiTheme="minorHAnsi"/>
            <w:noProof/>
            <w:kern w:val="2"/>
            <w:sz w:val="24"/>
            <w:szCs w:val="24"/>
            <w:lang w:eastAsia="en-NZ"/>
            <w14:ligatures w14:val="standardContextual"/>
          </w:rPr>
          <w:tab/>
        </w:r>
        <w:r w:rsidRPr="00820512">
          <w:rPr>
            <w:rStyle w:val="Hyperlink"/>
            <w:noProof/>
          </w:rPr>
          <w:t>Face-to-face assessment of people with suspected sepsis</w:t>
        </w:r>
        <w:r>
          <w:rPr>
            <w:noProof/>
            <w:webHidden/>
          </w:rPr>
          <w:tab/>
        </w:r>
        <w:r>
          <w:rPr>
            <w:noProof/>
            <w:webHidden/>
          </w:rPr>
          <w:fldChar w:fldCharType="begin"/>
        </w:r>
        <w:r>
          <w:rPr>
            <w:noProof/>
            <w:webHidden/>
          </w:rPr>
          <w:instrText xml:space="preserve"> PAGEREF _Toc207862882 \h </w:instrText>
        </w:r>
        <w:r>
          <w:rPr>
            <w:noProof/>
            <w:webHidden/>
          </w:rPr>
        </w:r>
        <w:r>
          <w:rPr>
            <w:noProof/>
            <w:webHidden/>
          </w:rPr>
          <w:fldChar w:fldCharType="separate"/>
        </w:r>
        <w:r w:rsidR="00FE6841">
          <w:rPr>
            <w:noProof/>
            <w:webHidden/>
          </w:rPr>
          <w:t>9</w:t>
        </w:r>
        <w:r>
          <w:rPr>
            <w:noProof/>
            <w:webHidden/>
          </w:rPr>
          <w:fldChar w:fldCharType="end"/>
        </w:r>
      </w:hyperlink>
    </w:p>
    <w:p w14:paraId="19CDE110" w14:textId="6040DCDD"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3" w:history="1">
        <w:r w:rsidRPr="00820512">
          <w:rPr>
            <w:rStyle w:val="Hyperlink"/>
            <w:noProof/>
          </w:rPr>
          <w:t>4.</w:t>
        </w:r>
        <w:r>
          <w:rPr>
            <w:rFonts w:asciiTheme="minorHAnsi" w:eastAsiaTheme="minorEastAsia" w:hAnsiTheme="minorHAnsi"/>
            <w:noProof/>
            <w:kern w:val="2"/>
            <w:sz w:val="24"/>
            <w:szCs w:val="24"/>
            <w:lang w:eastAsia="en-NZ"/>
            <w14:ligatures w14:val="standardContextual"/>
          </w:rPr>
          <w:tab/>
        </w:r>
        <w:r w:rsidRPr="00820512">
          <w:rPr>
            <w:rStyle w:val="Hyperlink"/>
            <w:noProof/>
          </w:rPr>
          <w:t>Stratifying risk of severe illness or death from sepsis</w:t>
        </w:r>
        <w:r>
          <w:rPr>
            <w:noProof/>
            <w:webHidden/>
          </w:rPr>
          <w:tab/>
        </w:r>
        <w:r>
          <w:rPr>
            <w:noProof/>
            <w:webHidden/>
          </w:rPr>
          <w:fldChar w:fldCharType="begin"/>
        </w:r>
        <w:r>
          <w:rPr>
            <w:noProof/>
            <w:webHidden/>
          </w:rPr>
          <w:instrText xml:space="preserve"> PAGEREF _Toc207862883 \h </w:instrText>
        </w:r>
        <w:r>
          <w:rPr>
            <w:noProof/>
            <w:webHidden/>
          </w:rPr>
        </w:r>
        <w:r>
          <w:rPr>
            <w:noProof/>
            <w:webHidden/>
          </w:rPr>
          <w:fldChar w:fldCharType="separate"/>
        </w:r>
        <w:r w:rsidR="00FE6841">
          <w:rPr>
            <w:noProof/>
            <w:webHidden/>
          </w:rPr>
          <w:t>10</w:t>
        </w:r>
        <w:r>
          <w:rPr>
            <w:noProof/>
            <w:webHidden/>
          </w:rPr>
          <w:fldChar w:fldCharType="end"/>
        </w:r>
      </w:hyperlink>
    </w:p>
    <w:p w14:paraId="0A3FECC5" w14:textId="680A047E"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4" w:history="1">
        <w:r w:rsidRPr="00820512">
          <w:rPr>
            <w:rStyle w:val="Hyperlink"/>
            <w:noProof/>
          </w:rPr>
          <w:t>5.</w:t>
        </w:r>
        <w:r>
          <w:rPr>
            <w:rFonts w:asciiTheme="minorHAnsi" w:eastAsiaTheme="minorEastAsia" w:hAnsiTheme="minorHAnsi"/>
            <w:noProof/>
            <w:kern w:val="2"/>
            <w:sz w:val="24"/>
            <w:szCs w:val="24"/>
            <w:lang w:eastAsia="en-NZ"/>
            <w14:ligatures w14:val="standardContextual"/>
          </w:rPr>
          <w:tab/>
        </w:r>
        <w:r w:rsidRPr="00820512">
          <w:rPr>
            <w:rStyle w:val="Hyperlink"/>
            <w:noProof/>
          </w:rPr>
          <w:t>Temperature in suspected sepsis</w:t>
        </w:r>
        <w:r>
          <w:rPr>
            <w:noProof/>
            <w:webHidden/>
          </w:rPr>
          <w:tab/>
        </w:r>
        <w:r>
          <w:rPr>
            <w:noProof/>
            <w:webHidden/>
          </w:rPr>
          <w:fldChar w:fldCharType="begin"/>
        </w:r>
        <w:r>
          <w:rPr>
            <w:noProof/>
            <w:webHidden/>
          </w:rPr>
          <w:instrText xml:space="preserve"> PAGEREF _Toc207862884 \h </w:instrText>
        </w:r>
        <w:r>
          <w:rPr>
            <w:noProof/>
            <w:webHidden/>
          </w:rPr>
        </w:r>
        <w:r>
          <w:rPr>
            <w:noProof/>
            <w:webHidden/>
          </w:rPr>
          <w:fldChar w:fldCharType="separate"/>
        </w:r>
        <w:r w:rsidR="00FE6841">
          <w:rPr>
            <w:noProof/>
            <w:webHidden/>
          </w:rPr>
          <w:t>13</w:t>
        </w:r>
        <w:r>
          <w:rPr>
            <w:noProof/>
            <w:webHidden/>
          </w:rPr>
          <w:fldChar w:fldCharType="end"/>
        </w:r>
      </w:hyperlink>
    </w:p>
    <w:p w14:paraId="516AFFC2" w14:textId="3E46B44D"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5" w:history="1">
        <w:r w:rsidRPr="00820512">
          <w:rPr>
            <w:rStyle w:val="Hyperlink"/>
            <w:noProof/>
          </w:rPr>
          <w:t>6.</w:t>
        </w:r>
        <w:r>
          <w:rPr>
            <w:rFonts w:asciiTheme="minorHAnsi" w:eastAsiaTheme="minorEastAsia" w:hAnsiTheme="minorHAnsi"/>
            <w:noProof/>
            <w:kern w:val="2"/>
            <w:sz w:val="24"/>
            <w:szCs w:val="24"/>
            <w:lang w:eastAsia="en-NZ"/>
            <w14:ligatures w14:val="standardContextual"/>
          </w:rPr>
          <w:tab/>
        </w:r>
        <w:r w:rsidRPr="00820512">
          <w:rPr>
            <w:rStyle w:val="Hyperlink"/>
            <w:noProof/>
          </w:rPr>
          <w:t>Heart rate in suspected sepsis</w:t>
        </w:r>
        <w:r>
          <w:rPr>
            <w:noProof/>
            <w:webHidden/>
          </w:rPr>
          <w:tab/>
        </w:r>
        <w:r>
          <w:rPr>
            <w:noProof/>
            <w:webHidden/>
          </w:rPr>
          <w:fldChar w:fldCharType="begin"/>
        </w:r>
        <w:r>
          <w:rPr>
            <w:noProof/>
            <w:webHidden/>
          </w:rPr>
          <w:instrText xml:space="preserve"> PAGEREF _Toc207862885 \h </w:instrText>
        </w:r>
        <w:r>
          <w:rPr>
            <w:noProof/>
            <w:webHidden/>
          </w:rPr>
        </w:r>
        <w:r>
          <w:rPr>
            <w:noProof/>
            <w:webHidden/>
          </w:rPr>
          <w:fldChar w:fldCharType="separate"/>
        </w:r>
        <w:r w:rsidR="00FE6841">
          <w:rPr>
            <w:noProof/>
            <w:webHidden/>
          </w:rPr>
          <w:t>13</w:t>
        </w:r>
        <w:r>
          <w:rPr>
            <w:noProof/>
            <w:webHidden/>
          </w:rPr>
          <w:fldChar w:fldCharType="end"/>
        </w:r>
      </w:hyperlink>
    </w:p>
    <w:p w14:paraId="10E2862D" w14:textId="7383865D"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6" w:history="1">
        <w:r w:rsidRPr="00820512">
          <w:rPr>
            <w:rStyle w:val="Hyperlink"/>
            <w:noProof/>
          </w:rPr>
          <w:t>7.</w:t>
        </w:r>
        <w:r>
          <w:rPr>
            <w:rFonts w:asciiTheme="minorHAnsi" w:eastAsiaTheme="minorEastAsia" w:hAnsiTheme="minorHAnsi"/>
            <w:noProof/>
            <w:kern w:val="2"/>
            <w:sz w:val="24"/>
            <w:szCs w:val="24"/>
            <w:lang w:eastAsia="en-NZ"/>
            <w14:ligatures w14:val="standardContextual"/>
          </w:rPr>
          <w:tab/>
        </w:r>
        <w:r w:rsidRPr="00820512">
          <w:rPr>
            <w:rStyle w:val="Hyperlink"/>
            <w:noProof/>
          </w:rPr>
          <w:t>Blood pressure in suspected sepsis</w:t>
        </w:r>
        <w:r>
          <w:rPr>
            <w:noProof/>
            <w:webHidden/>
          </w:rPr>
          <w:tab/>
        </w:r>
        <w:r>
          <w:rPr>
            <w:noProof/>
            <w:webHidden/>
          </w:rPr>
          <w:fldChar w:fldCharType="begin"/>
        </w:r>
        <w:r>
          <w:rPr>
            <w:noProof/>
            <w:webHidden/>
          </w:rPr>
          <w:instrText xml:space="preserve"> PAGEREF _Toc207862886 \h </w:instrText>
        </w:r>
        <w:r>
          <w:rPr>
            <w:noProof/>
            <w:webHidden/>
          </w:rPr>
        </w:r>
        <w:r>
          <w:rPr>
            <w:noProof/>
            <w:webHidden/>
          </w:rPr>
          <w:fldChar w:fldCharType="separate"/>
        </w:r>
        <w:r w:rsidR="00FE6841">
          <w:rPr>
            <w:noProof/>
            <w:webHidden/>
          </w:rPr>
          <w:t>14</w:t>
        </w:r>
        <w:r>
          <w:rPr>
            <w:noProof/>
            <w:webHidden/>
          </w:rPr>
          <w:fldChar w:fldCharType="end"/>
        </w:r>
      </w:hyperlink>
    </w:p>
    <w:p w14:paraId="5D4237E0" w14:textId="39C1A36B"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7" w:history="1">
        <w:r w:rsidRPr="00820512">
          <w:rPr>
            <w:rStyle w:val="Hyperlink"/>
            <w:noProof/>
          </w:rPr>
          <w:t>8.</w:t>
        </w:r>
        <w:r>
          <w:rPr>
            <w:rFonts w:asciiTheme="minorHAnsi" w:eastAsiaTheme="minorEastAsia" w:hAnsiTheme="minorHAnsi"/>
            <w:noProof/>
            <w:kern w:val="2"/>
            <w:sz w:val="24"/>
            <w:szCs w:val="24"/>
            <w:lang w:eastAsia="en-NZ"/>
            <w14:ligatures w14:val="standardContextual"/>
          </w:rPr>
          <w:tab/>
        </w:r>
        <w:r w:rsidRPr="00820512">
          <w:rPr>
            <w:rStyle w:val="Hyperlink"/>
            <w:noProof/>
          </w:rPr>
          <w:t>Confusion, mental state and cognitive state in suspected sepsis</w:t>
        </w:r>
        <w:r>
          <w:rPr>
            <w:noProof/>
            <w:webHidden/>
          </w:rPr>
          <w:tab/>
        </w:r>
        <w:r>
          <w:rPr>
            <w:noProof/>
            <w:webHidden/>
          </w:rPr>
          <w:fldChar w:fldCharType="begin"/>
        </w:r>
        <w:r>
          <w:rPr>
            <w:noProof/>
            <w:webHidden/>
          </w:rPr>
          <w:instrText xml:space="preserve"> PAGEREF _Toc207862887 \h </w:instrText>
        </w:r>
        <w:r>
          <w:rPr>
            <w:noProof/>
            <w:webHidden/>
          </w:rPr>
        </w:r>
        <w:r>
          <w:rPr>
            <w:noProof/>
            <w:webHidden/>
          </w:rPr>
          <w:fldChar w:fldCharType="separate"/>
        </w:r>
        <w:r w:rsidR="00FE6841">
          <w:rPr>
            <w:noProof/>
            <w:webHidden/>
          </w:rPr>
          <w:t>14</w:t>
        </w:r>
        <w:r>
          <w:rPr>
            <w:noProof/>
            <w:webHidden/>
          </w:rPr>
          <w:fldChar w:fldCharType="end"/>
        </w:r>
      </w:hyperlink>
    </w:p>
    <w:p w14:paraId="506669CF" w14:textId="29B1CB5E"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8" w:history="1">
        <w:r w:rsidRPr="00820512">
          <w:rPr>
            <w:rStyle w:val="Hyperlink"/>
            <w:noProof/>
          </w:rPr>
          <w:t>9.</w:t>
        </w:r>
        <w:r>
          <w:rPr>
            <w:rFonts w:asciiTheme="minorHAnsi" w:eastAsiaTheme="minorEastAsia" w:hAnsiTheme="minorHAnsi"/>
            <w:noProof/>
            <w:kern w:val="2"/>
            <w:sz w:val="24"/>
            <w:szCs w:val="24"/>
            <w:lang w:eastAsia="en-NZ"/>
            <w14:ligatures w14:val="standardContextual"/>
          </w:rPr>
          <w:tab/>
        </w:r>
        <w:r w:rsidRPr="00820512">
          <w:rPr>
            <w:rStyle w:val="Hyperlink"/>
            <w:noProof/>
          </w:rPr>
          <w:t>Oxygen saturation in suspected sepsis</w:t>
        </w:r>
        <w:r>
          <w:rPr>
            <w:noProof/>
            <w:webHidden/>
          </w:rPr>
          <w:tab/>
        </w:r>
        <w:r>
          <w:rPr>
            <w:noProof/>
            <w:webHidden/>
          </w:rPr>
          <w:fldChar w:fldCharType="begin"/>
        </w:r>
        <w:r>
          <w:rPr>
            <w:noProof/>
            <w:webHidden/>
          </w:rPr>
          <w:instrText xml:space="preserve"> PAGEREF _Toc207862888 \h </w:instrText>
        </w:r>
        <w:r>
          <w:rPr>
            <w:noProof/>
            <w:webHidden/>
          </w:rPr>
        </w:r>
        <w:r>
          <w:rPr>
            <w:noProof/>
            <w:webHidden/>
          </w:rPr>
          <w:fldChar w:fldCharType="separate"/>
        </w:r>
        <w:r w:rsidR="00FE6841">
          <w:rPr>
            <w:noProof/>
            <w:webHidden/>
          </w:rPr>
          <w:t>14</w:t>
        </w:r>
        <w:r>
          <w:rPr>
            <w:noProof/>
            <w:webHidden/>
          </w:rPr>
          <w:fldChar w:fldCharType="end"/>
        </w:r>
      </w:hyperlink>
    </w:p>
    <w:p w14:paraId="03F61773" w14:textId="66D05E62"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89" w:history="1">
        <w:r w:rsidRPr="00820512">
          <w:rPr>
            <w:rStyle w:val="Hyperlink"/>
            <w:noProof/>
          </w:rPr>
          <w:t>10.</w:t>
        </w:r>
        <w:r>
          <w:rPr>
            <w:rFonts w:asciiTheme="minorHAnsi" w:eastAsiaTheme="minorEastAsia" w:hAnsiTheme="minorHAnsi"/>
            <w:noProof/>
            <w:kern w:val="2"/>
            <w:sz w:val="24"/>
            <w:szCs w:val="24"/>
            <w:lang w:eastAsia="en-NZ"/>
            <w14:ligatures w14:val="standardContextual"/>
          </w:rPr>
          <w:tab/>
        </w:r>
        <w:r w:rsidRPr="00820512">
          <w:rPr>
            <w:rStyle w:val="Hyperlink"/>
            <w:noProof/>
          </w:rPr>
          <w:t>Managing suspected sepsis outside acute hospital settings</w:t>
        </w:r>
        <w:r>
          <w:rPr>
            <w:noProof/>
            <w:webHidden/>
          </w:rPr>
          <w:tab/>
        </w:r>
        <w:r>
          <w:rPr>
            <w:noProof/>
            <w:webHidden/>
          </w:rPr>
          <w:fldChar w:fldCharType="begin"/>
        </w:r>
        <w:r>
          <w:rPr>
            <w:noProof/>
            <w:webHidden/>
          </w:rPr>
          <w:instrText xml:space="preserve"> PAGEREF _Toc207862889 \h </w:instrText>
        </w:r>
        <w:r>
          <w:rPr>
            <w:noProof/>
            <w:webHidden/>
          </w:rPr>
        </w:r>
        <w:r>
          <w:rPr>
            <w:noProof/>
            <w:webHidden/>
          </w:rPr>
          <w:fldChar w:fldCharType="separate"/>
        </w:r>
        <w:r w:rsidR="00FE6841">
          <w:rPr>
            <w:noProof/>
            <w:webHidden/>
          </w:rPr>
          <w:t>14</w:t>
        </w:r>
        <w:r>
          <w:rPr>
            <w:noProof/>
            <w:webHidden/>
          </w:rPr>
          <w:fldChar w:fldCharType="end"/>
        </w:r>
      </w:hyperlink>
    </w:p>
    <w:p w14:paraId="12EE43D0" w14:textId="3F094A78"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0" w:history="1">
        <w:r w:rsidRPr="00820512">
          <w:rPr>
            <w:rStyle w:val="Hyperlink"/>
            <w:noProof/>
          </w:rPr>
          <w:t>11.</w:t>
        </w:r>
        <w:r>
          <w:rPr>
            <w:rFonts w:asciiTheme="minorHAnsi" w:eastAsiaTheme="minorEastAsia" w:hAnsiTheme="minorHAnsi"/>
            <w:noProof/>
            <w:kern w:val="2"/>
            <w:sz w:val="24"/>
            <w:szCs w:val="24"/>
            <w:lang w:eastAsia="en-NZ"/>
            <w14:ligatures w14:val="standardContextual"/>
          </w:rPr>
          <w:tab/>
        </w:r>
        <w:r w:rsidRPr="00820512">
          <w:rPr>
            <w:rStyle w:val="Hyperlink"/>
            <w:noProof/>
          </w:rPr>
          <w:t>Managing and treating suspected sepsis in adults and young people aged 12 and over in acute hospital settings</w:t>
        </w:r>
        <w:r>
          <w:rPr>
            <w:noProof/>
            <w:webHidden/>
          </w:rPr>
          <w:tab/>
        </w:r>
        <w:r>
          <w:rPr>
            <w:noProof/>
            <w:webHidden/>
          </w:rPr>
          <w:fldChar w:fldCharType="begin"/>
        </w:r>
        <w:r>
          <w:rPr>
            <w:noProof/>
            <w:webHidden/>
          </w:rPr>
          <w:instrText xml:space="preserve"> PAGEREF _Toc207862890 \h </w:instrText>
        </w:r>
        <w:r>
          <w:rPr>
            <w:noProof/>
            <w:webHidden/>
          </w:rPr>
        </w:r>
        <w:r>
          <w:rPr>
            <w:noProof/>
            <w:webHidden/>
          </w:rPr>
          <w:fldChar w:fldCharType="separate"/>
        </w:r>
        <w:r w:rsidR="00FE6841">
          <w:rPr>
            <w:noProof/>
            <w:webHidden/>
          </w:rPr>
          <w:t>15</w:t>
        </w:r>
        <w:r>
          <w:rPr>
            <w:noProof/>
            <w:webHidden/>
          </w:rPr>
          <w:fldChar w:fldCharType="end"/>
        </w:r>
      </w:hyperlink>
    </w:p>
    <w:p w14:paraId="59AC3C68" w14:textId="1740E17E"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1" w:history="1">
        <w:r w:rsidRPr="00820512">
          <w:rPr>
            <w:rStyle w:val="Hyperlink"/>
            <w:noProof/>
          </w:rPr>
          <w:t>12.</w:t>
        </w:r>
        <w:r>
          <w:rPr>
            <w:rFonts w:asciiTheme="minorHAnsi" w:eastAsiaTheme="minorEastAsia" w:hAnsiTheme="minorHAnsi"/>
            <w:noProof/>
            <w:kern w:val="2"/>
            <w:sz w:val="24"/>
            <w:szCs w:val="24"/>
            <w:lang w:eastAsia="en-NZ"/>
            <w14:ligatures w14:val="standardContextual"/>
          </w:rPr>
          <w:tab/>
        </w:r>
        <w:r w:rsidRPr="00820512">
          <w:rPr>
            <w:rStyle w:val="Hyperlink"/>
            <w:noProof/>
          </w:rPr>
          <w:t>Adults and young people aged 12 years and over with suspected sepsis who meet only one moderate- to high-risk criterion</w:t>
        </w:r>
        <w:r>
          <w:rPr>
            <w:noProof/>
            <w:webHidden/>
          </w:rPr>
          <w:tab/>
        </w:r>
        <w:r>
          <w:rPr>
            <w:noProof/>
            <w:webHidden/>
          </w:rPr>
          <w:fldChar w:fldCharType="begin"/>
        </w:r>
        <w:r>
          <w:rPr>
            <w:noProof/>
            <w:webHidden/>
          </w:rPr>
          <w:instrText xml:space="preserve"> PAGEREF _Toc207862891 \h </w:instrText>
        </w:r>
        <w:r>
          <w:rPr>
            <w:noProof/>
            <w:webHidden/>
          </w:rPr>
        </w:r>
        <w:r>
          <w:rPr>
            <w:noProof/>
            <w:webHidden/>
          </w:rPr>
          <w:fldChar w:fldCharType="separate"/>
        </w:r>
        <w:r w:rsidR="00FE6841">
          <w:rPr>
            <w:noProof/>
            <w:webHidden/>
          </w:rPr>
          <w:t>18</w:t>
        </w:r>
        <w:r>
          <w:rPr>
            <w:noProof/>
            <w:webHidden/>
          </w:rPr>
          <w:fldChar w:fldCharType="end"/>
        </w:r>
      </w:hyperlink>
    </w:p>
    <w:p w14:paraId="3F964450" w14:textId="2EBDBBC6"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2" w:history="1">
        <w:r w:rsidRPr="00820512">
          <w:rPr>
            <w:rStyle w:val="Hyperlink"/>
            <w:noProof/>
          </w:rPr>
          <w:t>13.</w:t>
        </w:r>
        <w:r>
          <w:rPr>
            <w:rFonts w:asciiTheme="minorHAnsi" w:eastAsiaTheme="minorEastAsia" w:hAnsiTheme="minorHAnsi"/>
            <w:noProof/>
            <w:kern w:val="2"/>
            <w:sz w:val="24"/>
            <w:szCs w:val="24"/>
            <w:lang w:eastAsia="en-NZ"/>
            <w14:ligatures w14:val="standardContextual"/>
          </w:rPr>
          <w:tab/>
        </w:r>
        <w:r w:rsidRPr="00820512">
          <w:rPr>
            <w:rStyle w:val="Hyperlink"/>
            <w:noProof/>
          </w:rPr>
          <w:t>Managing and treating suspected sepsis in children aged 11 years and under in acute hospital settings</w:t>
        </w:r>
        <w:r>
          <w:rPr>
            <w:noProof/>
            <w:webHidden/>
          </w:rPr>
          <w:tab/>
        </w:r>
        <w:r>
          <w:rPr>
            <w:noProof/>
            <w:webHidden/>
          </w:rPr>
          <w:fldChar w:fldCharType="begin"/>
        </w:r>
        <w:r>
          <w:rPr>
            <w:noProof/>
            <w:webHidden/>
          </w:rPr>
          <w:instrText xml:space="preserve"> PAGEREF _Toc207862892 \h </w:instrText>
        </w:r>
        <w:r>
          <w:rPr>
            <w:noProof/>
            <w:webHidden/>
          </w:rPr>
        </w:r>
        <w:r>
          <w:rPr>
            <w:noProof/>
            <w:webHidden/>
          </w:rPr>
          <w:fldChar w:fldCharType="separate"/>
        </w:r>
        <w:r w:rsidR="00FE6841">
          <w:rPr>
            <w:noProof/>
            <w:webHidden/>
          </w:rPr>
          <w:t>18</w:t>
        </w:r>
        <w:r>
          <w:rPr>
            <w:noProof/>
            <w:webHidden/>
          </w:rPr>
          <w:fldChar w:fldCharType="end"/>
        </w:r>
      </w:hyperlink>
    </w:p>
    <w:p w14:paraId="02C78570" w14:textId="12FFEB26"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3" w:history="1">
        <w:r w:rsidRPr="00820512">
          <w:rPr>
            <w:rStyle w:val="Hyperlink"/>
            <w:noProof/>
          </w:rPr>
          <w:t>14.</w:t>
        </w:r>
        <w:r>
          <w:rPr>
            <w:rFonts w:asciiTheme="minorHAnsi" w:eastAsiaTheme="minorEastAsia" w:hAnsiTheme="minorHAnsi"/>
            <w:noProof/>
            <w:kern w:val="2"/>
            <w:sz w:val="24"/>
            <w:szCs w:val="24"/>
            <w:lang w:eastAsia="en-NZ"/>
            <w14:ligatures w14:val="standardContextual"/>
          </w:rPr>
          <w:tab/>
        </w:r>
        <w:r w:rsidRPr="00820512">
          <w:rPr>
            <w:rStyle w:val="Hyperlink"/>
            <w:noProof/>
          </w:rPr>
          <w:t>Antibiotic treatment in people with suspected sepsis</w:t>
        </w:r>
        <w:r>
          <w:rPr>
            <w:noProof/>
            <w:webHidden/>
          </w:rPr>
          <w:tab/>
        </w:r>
        <w:r>
          <w:rPr>
            <w:noProof/>
            <w:webHidden/>
          </w:rPr>
          <w:fldChar w:fldCharType="begin"/>
        </w:r>
        <w:r>
          <w:rPr>
            <w:noProof/>
            <w:webHidden/>
          </w:rPr>
          <w:instrText xml:space="preserve"> PAGEREF _Toc207862893 \h </w:instrText>
        </w:r>
        <w:r>
          <w:rPr>
            <w:noProof/>
            <w:webHidden/>
          </w:rPr>
        </w:r>
        <w:r>
          <w:rPr>
            <w:noProof/>
            <w:webHidden/>
          </w:rPr>
          <w:fldChar w:fldCharType="separate"/>
        </w:r>
        <w:r w:rsidR="00FE6841">
          <w:rPr>
            <w:noProof/>
            <w:webHidden/>
          </w:rPr>
          <w:t>19</w:t>
        </w:r>
        <w:r>
          <w:rPr>
            <w:noProof/>
            <w:webHidden/>
          </w:rPr>
          <w:fldChar w:fldCharType="end"/>
        </w:r>
      </w:hyperlink>
    </w:p>
    <w:p w14:paraId="3B56BB08" w14:textId="5D5AE282"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4" w:history="1">
        <w:r w:rsidRPr="00820512">
          <w:rPr>
            <w:rStyle w:val="Hyperlink"/>
            <w:noProof/>
          </w:rPr>
          <w:t>15.</w:t>
        </w:r>
        <w:r>
          <w:rPr>
            <w:rFonts w:asciiTheme="minorHAnsi" w:eastAsiaTheme="minorEastAsia" w:hAnsiTheme="minorHAnsi"/>
            <w:noProof/>
            <w:kern w:val="2"/>
            <w:sz w:val="24"/>
            <w:szCs w:val="24"/>
            <w:lang w:eastAsia="en-NZ"/>
            <w14:ligatures w14:val="standardContextual"/>
          </w:rPr>
          <w:tab/>
        </w:r>
        <w:r w:rsidRPr="00820512">
          <w:rPr>
            <w:rStyle w:val="Hyperlink"/>
            <w:noProof/>
          </w:rPr>
          <w:t>IV fluids in people with suspected sepsis</w:t>
        </w:r>
        <w:r>
          <w:rPr>
            <w:noProof/>
            <w:webHidden/>
          </w:rPr>
          <w:tab/>
        </w:r>
        <w:r>
          <w:rPr>
            <w:noProof/>
            <w:webHidden/>
          </w:rPr>
          <w:fldChar w:fldCharType="begin"/>
        </w:r>
        <w:r>
          <w:rPr>
            <w:noProof/>
            <w:webHidden/>
          </w:rPr>
          <w:instrText xml:space="preserve"> PAGEREF _Toc207862894 \h </w:instrText>
        </w:r>
        <w:r>
          <w:rPr>
            <w:noProof/>
            <w:webHidden/>
          </w:rPr>
        </w:r>
        <w:r>
          <w:rPr>
            <w:noProof/>
            <w:webHidden/>
          </w:rPr>
          <w:fldChar w:fldCharType="separate"/>
        </w:r>
        <w:r w:rsidR="00FE6841">
          <w:rPr>
            <w:noProof/>
            <w:webHidden/>
          </w:rPr>
          <w:t>20</w:t>
        </w:r>
        <w:r>
          <w:rPr>
            <w:noProof/>
            <w:webHidden/>
          </w:rPr>
          <w:fldChar w:fldCharType="end"/>
        </w:r>
      </w:hyperlink>
    </w:p>
    <w:p w14:paraId="0951F53C" w14:textId="453475C3"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5" w:history="1">
        <w:r w:rsidRPr="00820512">
          <w:rPr>
            <w:rStyle w:val="Hyperlink"/>
            <w:iCs/>
            <w:noProof/>
          </w:rPr>
          <w:t>16.</w:t>
        </w:r>
        <w:r>
          <w:rPr>
            <w:rFonts w:asciiTheme="minorHAnsi" w:eastAsiaTheme="minorEastAsia" w:hAnsiTheme="minorHAnsi"/>
            <w:noProof/>
            <w:kern w:val="2"/>
            <w:sz w:val="24"/>
            <w:szCs w:val="24"/>
            <w:lang w:eastAsia="en-NZ"/>
            <w14:ligatures w14:val="standardContextual"/>
          </w:rPr>
          <w:tab/>
        </w:r>
        <w:r w:rsidRPr="00820512">
          <w:rPr>
            <w:rStyle w:val="Hyperlink"/>
            <w:iCs/>
            <w:noProof/>
          </w:rPr>
          <w:t>Using oxygen in people with suspected sepsis</w:t>
        </w:r>
        <w:r>
          <w:rPr>
            <w:noProof/>
            <w:webHidden/>
          </w:rPr>
          <w:tab/>
        </w:r>
        <w:r>
          <w:rPr>
            <w:noProof/>
            <w:webHidden/>
          </w:rPr>
          <w:fldChar w:fldCharType="begin"/>
        </w:r>
        <w:r>
          <w:rPr>
            <w:noProof/>
            <w:webHidden/>
          </w:rPr>
          <w:instrText xml:space="preserve"> PAGEREF _Toc207862895 \h </w:instrText>
        </w:r>
        <w:r>
          <w:rPr>
            <w:noProof/>
            <w:webHidden/>
          </w:rPr>
        </w:r>
        <w:r>
          <w:rPr>
            <w:noProof/>
            <w:webHidden/>
          </w:rPr>
          <w:fldChar w:fldCharType="separate"/>
        </w:r>
        <w:r w:rsidR="00FE6841">
          <w:rPr>
            <w:noProof/>
            <w:webHidden/>
          </w:rPr>
          <w:t>20</w:t>
        </w:r>
        <w:r>
          <w:rPr>
            <w:noProof/>
            <w:webHidden/>
          </w:rPr>
          <w:fldChar w:fldCharType="end"/>
        </w:r>
      </w:hyperlink>
    </w:p>
    <w:p w14:paraId="2839A251" w14:textId="1413DE3C"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6" w:history="1">
        <w:r w:rsidRPr="00820512">
          <w:rPr>
            <w:rStyle w:val="Hyperlink"/>
            <w:noProof/>
          </w:rPr>
          <w:t>17.</w:t>
        </w:r>
        <w:r>
          <w:rPr>
            <w:rFonts w:asciiTheme="minorHAnsi" w:eastAsiaTheme="minorEastAsia" w:hAnsiTheme="minorHAnsi"/>
            <w:noProof/>
            <w:kern w:val="2"/>
            <w:sz w:val="24"/>
            <w:szCs w:val="24"/>
            <w:lang w:eastAsia="en-NZ"/>
            <w14:ligatures w14:val="standardContextual"/>
          </w:rPr>
          <w:tab/>
        </w:r>
        <w:r w:rsidRPr="00820512">
          <w:rPr>
            <w:rStyle w:val="Hyperlink"/>
            <w:noProof/>
          </w:rPr>
          <w:t>Finding the source of infection in people with suspected sepsis</w:t>
        </w:r>
        <w:r>
          <w:rPr>
            <w:noProof/>
            <w:webHidden/>
          </w:rPr>
          <w:tab/>
        </w:r>
        <w:r>
          <w:rPr>
            <w:noProof/>
            <w:webHidden/>
          </w:rPr>
          <w:fldChar w:fldCharType="begin"/>
        </w:r>
        <w:r>
          <w:rPr>
            <w:noProof/>
            <w:webHidden/>
          </w:rPr>
          <w:instrText xml:space="preserve"> PAGEREF _Toc207862896 \h </w:instrText>
        </w:r>
        <w:r>
          <w:rPr>
            <w:noProof/>
            <w:webHidden/>
          </w:rPr>
        </w:r>
        <w:r>
          <w:rPr>
            <w:noProof/>
            <w:webHidden/>
          </w:rPr>
          <w:fldChar w:fldCharType="separate"/>
        </w:r>
        <w:r w:rsidR="00FE6841">
          <w:rPr>
            <w:noProof/>
            <w:webHidden/>
          </w:rPr>
          <w:t>21</w:t>
        </w:r>
        <w:r>
          <w:rPr>
            <w:noProof/>
            <w:webHidden/>
          </w:rPr>
          <w:fldChar w:fldCharType="end"/>
        </w:r>
      </w:hyperlink>
    </w:p>
    <w:p w14:paraId="4614B4A6" w14:textId="3A1451BC"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7" w:history="1">
        <w:r w:rsidRPr="00820512">
          <w:rPr>
            <w:rStyle w:val="Hyperlink"/>
            <w:iCs/>
            <w:noProof/>
          </w:rPr>
          <w:t>18.</w:t>
        </w:r>
        <w:r>
          <w:rPr>
            <w:rFonts w:asciiTheme="minorHAnsi" w:eastAsiaTheme="minorEastAsia" w:hAnsiTheme="minorHAnsi"/>
            <w:noProof/>
            <w:kern w:val="2"/>
            <w:sz w:val="24"/>
            <w:szCs w:val="24"/>
            <w:lang w:eastAsia="en-NZ"/>
            <w14:ligatures w14:val="standardContextual"/>
          </w:rPr>
          <w:tab/>
        </w:r>
        <w:r w:rsidRPr="00820512">
          <w:rPr>
            <w:rStyle w:val="Hyperlink"/>
            <w:iCs/>
            <w:noProof/>
          </w:rPr>
          <w:t>Special considerations for people who are pregnant presenting with sepsis and septic shock</w:t>
        </w:r>
        <w:r>
          <w:rPr>
            <w:noProof/>
            <w:webHidden/>
          </w:rPr>
          <w:tab/>
        </w:r>
        <w:r>
          <w:rPr>
            <w:noProof/>
            <w:webHidden/>
          </w:rPr>
          <w:fldChar w:fldCharType="begin"/>
        </w:r>
        <w:r>
          <w:rPr>
            <w:noProof/>
            <w:webHidden/>
          </w:rPr>
          <w:instrText xml:space="preserve"> PAGEREF _Toc207862897 \h </w:instrText>
        </w:r>
        <w:r>
          <w:rPr>
            <w:noProof/>
            <w:webHidden/>
          </w:rPr>
        </w:r>
        <w:r>
          <w:rPr>
            <w:noProof/>
            <w:webHidden/>
          </w:rPr>
          <w:fldChar w:fldCharType="separate"/>
        </w:r>
        <w:r w:rsidR="00FE6841">
          <w:rPr>
            <w:noProof/>
            <w:webHidden/>
          </w:rPr>
          <w:t>22</w:t>
        </w:r>
        <w:r>
          <w:rPr>
            <w:noProof/>
            <w:webHidden/>
          </w:rPr>
          <w:fldChar w:fldCharType="end"/>
        </w:r>
      </w:hyperlink>
    </w:p>
    <w:p w14:paraId="23631920" w14:textId="14BE2402"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8" w:history="1">
        <w:r w:rsidRPr="00820512">
          <w:rPr>
            <w:rStyle w:val="Hyperlink"/>
            <w:iCs/>
            <w:noProof/>
          </w:rPr>
          <w:t>19.</w:t>
        </w:r>
        <w:r>
          <w:rPr>
            <w:rFonts w:asciiTheme="minorHAnsi" w:eastAsiaTheme="minorEastAsia" w:hAnsiTheme="minorHAnsi"/>
            <w:noProof/>
            <w:kern w:val="2"/>
            <w:sz w:val="24"/>
            <w:szCs w:val="24"/>
            <w:lang w:eastAsia="en-NZ"/>
            <w14:ligatures w14:val="standardContextual"/>
          </w:rPr>
          <w:tab/>
        </w:r>
        <w:r w:rsidRPr="00820512">
          <w:rPr>
            <w:rStyle w:val="Hyperlink"/>
            <w:iCs/>
            <w:noProof/>
          </w:rPr>
          <w:t>Reassessment of patients following administration of the sepsis resuscitation bundle (Sepsis Six)</w:t>
        </w:r>
        <w:r>
          <w:rPr>
            <w:noProof/>
            <w:webHidden/>
          </w:rPr>
          <w:tab/>
        </w:r>
        <w:r>
          <w:rPr>
            <w:noProof/>
            <w:webHidden/>
          </w:rPr>
          <w:fldChar w:fldCharType="begin"/>
        </w:r>
        <w:r>
          <w:rPr>
            <w:noProof/>
            <w:webHidden/>
          </w:rPr>
          <w:instrText xml:space="preserve"> PAGEREF _Toc207862898 \h </w:instrText>
        </w:r>
        <w:r>
          <w:rPr>
            <w:noProof/>
            <w:webHidden/>
          </w:rPr>
        </w:r>
        <w:r>
          <w:rPr>
            <w:noProof/>
            <w:webHidden/>
          </w:rPr>
          <w:fldChar w:fldCharType="separate"/>
        </w:r>
        <w:r w:rsidR="00FE6841">
          <w:rPr>
            <w:noProof/>
            <w:webHidden/>
          </w:rPr>
          <w:t>22</w:t>
        </w:r>
        <w:r>
          <w:rPr>
            <w:noProof/>
            <w:webHidden/>
          </w:rPr>
          <w:fldChar w:fldCharType="end"/>
        </w:r>
      </w:hyperlink>
    </w:p>
    <w:p w14:paraId="2BC7ABC8" w14:textId="62F3BD54"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899" w:history="1">
        <w:r w:rsidRPr="00820512">
          <w:rPr>
            <w:rStyle w:val="Hyperlink"/>
            <w:bCs/>
            <w:noProof/>
          </w:rPr>
          <w:t>20.</w:t>
        </w:r>
        <w:r>
          <w:rPr>
            <w:rFonts w:asciiTheme="minorHAnsi" w:eastAsiaTheme="minorEastAsia" w:hAnsiTheme="minorHAnsi"/>
            <w:noProof/>
            <w:kern w:val="2"/>
            <w:sz w:val="24"/>
            <w:szCs w:val="24"/>
            <w:lang w:eastAsia="en-NZ"/>
            <w14:ligatures w14:val="standardContextual"/>
          </w:rPr>
          <w:tab/>
        </w:r>
        <w:r w:rsidRPr="00820512">
          <w:rPr>
            <w:rStyle w:val="Hyperlink"/>
            <w:bCs/>
            <w:noProof/>
          </w:rPr>
          <w:t>Information and support for people with sepsis and their family/whānau and carers</w:t>
        </w:r>
        <w:r>
          <w:rPr>
            <w:noProof/>
            <w:webHidden/>
          </w:rPr>
          <w:tab/>
        </w:r>
        <w:r>
          <w:rPr>
            <w:noProof/>
            <w:webHidden/>
          </w:rPr>
          <w:fldChar w:fldCharType="begin"/>
        </w:r>
        <w:r>
          <w:rPr>
            <w:noProof/>
            <w:webHidden/>
          </w:rPr>
          <w:instrText xml:space="preserve"> PAGEREF _Toc207862899 \h </w:instrText>
        </w:r>
        <w:r>
          <w:rPr>
            <w:noProof/>
            <w:webHidden/>
          </w:rPr>
        </w:r>
        <w:r>
          <w:rPr>
            <w:noProof/>
            <w:webHidden/>
          </w:rPr>
          <w:fldChar w:fldCharType="separate"/>
        </w:r>
        <w:r w:rsidR="00FE6841">
          <w:rPr>
            <w:noProof/>
            <w:webHidden/>
          </w:rPr>
          <w:t>23</w:t>
        </w:r>
        <w:r>
          <w:rPr>
            <w:noProof/>
            <w:webHidden/>
          </w:rPr>
          <w:fldChar w:fldCharType="end"/>
        </w:r>
      </w:hyperlink>
    </w:p>
    <w:p w14:paraId="2615D241" w14:textId="629E15AF"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900" w:history="1">
        <w:r w:rsidRPr="00820512">
          <w:rPr>
            <w:rStyle w:val="Hyperlink"/>
            <w:noProof/>
          </w:rPr>
          <w:t>21.</w:t>
        </w:r>
        <w:r>
          <w:rPr>
            <w:rFonts w:asciiTheme="minorHAnsi" w:eastAsiaTheme="minorEastAsia" w:hAnsiTheme="minorHAnsi"/>
            <w:noProof/>
            <w:kern w:val="2"/>
            <w:sz w:val="24"/>
            <w:szCs w:val="24"/>
            <w:lang w:eastAsia="en-NZ"/>
            <w14:ligatures w14:val="standardContextual"/>
          </w:rPr>
          <w:tab/>
        </w:r>
        <w:r w:rsidRPr="00820512">
          <w:rPr>
            <w:rStyle w:val="Hyperlink"/>
            <w:noProof/>
          </w:rPr>
          <w:t>People with infection and high-risk criteria at presentation who are not diagnosed with sepsis</w:t>
        </w:r>
        <w:r>
          <w:rPr>
            <w:noProof/>
            <w:webHidden/>
          </w:rPr>
          <w:tab/>
        </w:r>
        <w:r>
          <w:rPr>
            <w:noProof/>
            <w:webHidden/>
          </w:rPr>
          <w:fldChar w:fldCharType="begin"/>
        </w:r>
        <w:r>
          <w:rPr>
            <w:noProof/>
            <w:webHidden/>
          </w:rPr>
          <w:instrText xml:space="preserve"> PAGEREF _Toc207862900 \h </w:instrText>
        </w:r>
        <w:r>
          <w:rPr>
            <w:noProof/>
            <w:webHidden/>
          </w:rPr>
        </w:r>
        <w:r>
          <w:rPr>
            <w:noProof/>
            <w:webHidden/>
          </w:rPr>
          <w:fldChar w:fldCharType="separate"/>
        </w:r>
        <w:r w:rsidR="00FE6841">
          <w:rPr>
            <w:noProof/>
            <w:webHidden/>
          </w:rPr>
          <w:t>23</w:t>
        </w:r>
        <w:r>
          <w:rPr>
            <w:noProof/>
            <w:webHidden/>
          </w:rPr>
          <w:fldChar w:fldCharType="end"/>
        </w:r>
      </w:hyperlink>
    </w:p>
    <w:p w14:paraId="2E2FBCBD" w14:textId="15B161CF" w:rsidR="00CF29F7" w:rsidRDefault="00CF29F7">
      <w:pPr>
        <w:pStyle w:val="TOC2"/>
        <w:tabs>
          <w:tab w:val="left" w:pos="964"/>
        </w:tabs>
        <w:rPr>
          <w:rFonts w:asciiTheme="minorHAnsi" w:eastAsiaTheme="minorEastAsia" w:hAnsiTheme="minorHAnsi"/>
          <w:noProof/>
          <w:kern w:val="2"/>
          <w:sz w:val="24"/>
          <w:szCs w:val="24"/>
          <w:lang w:eastAsia="en-NZ"/>
          <w14:ligatures w14:val="standardContextual"/>
        </w:rPr>
      </w:pPr>
      <w:hyperlink w:anchor="_Toc207862901" w:history="1">
        <w:r w:rsidRPr="00820512">
          <w:rPr>
            <w:rStyle w:val="Hyperlink"/>
            <w:iCs/>
            <w:noProof/>
          </w:rPr>
          <w:t>22.</w:t>
        </w:r>
        <w:r>
          <w:rPr>
            <w:rFonts w:asciiTheme="minorHAnsi" w:eastAsiaTheme="minorEastAsia" w:hAnsiTheme="minorHAnsi"/>
            <w:noProof/>
            <w:kern w:val="2"/>
            <w:sz w:val="24"/>
            <w:szCs w:val="24"/>
            <w:lang w:eastAsia="en-NZ"/>
            <w14:ligatures w14:val="standardContextual"/>
          </w:rPr>
          <w:tab/>
        </w:r>
        <w:r w:rsidRPr="00820512">
          <w:rPr>
            <w:rStyle w:val="Hyperlink"/>
            <w:iCs/>
            <w:noProof/>
          </w:rPr>
          <w:t>Training and education</w:t>
        </w:r>
        <w:r>
          <w:rPr>
            <w:noProof/>
            <w:webHidden/>
          </w:rPr>
          <w:tab/>
        </w:r>
        <w:r>
          <w:rPr>
            <w:noProof/>
            <w:webHidden/>
          </w:rPr>
          <w:fldChar w:fldCharType="begin"/>
        </w:r>
        <w:r>
          <w:rPr>
            <w:noProof/>
            <w:webHidden/>
          </w:rPr>
          <w:instrText xml:space="preserve"> PAGEREF _Toc207862901 \h </w:instrText>
        </w:r>
        <w:r>
          <w:rPr>
            <w:noProof/>
            <w:webHidden/>
          </w:rPr>
        </w:r>
        <w:r>
          <w:rPr>
            <w:noProof/>
            <w:webHidden/>
          </w:rPr>
          <w:fldChar w:fldCharType="separate"/>
        </w:r>
        <w:r w:rsidR="00FE6841">
          <w:rPr>
            <w:noProof/>
            <w:webHidden/>
          </w:rPr>
          <w:t>24</w:t>
        </w:r>
        <w:r>
          <w:rPr>
            <w:noProof/>
            <w:webHidden/>
          </w:rPr>
          <w:fldChar w:fldCharType="end"/>
        </w:r>
      </w:hyperlink>
    </w:p>
    <w:p w14:paraId="74397573" w14:textId="1100CDBC" w:rsidR="006E7F66" w:rsidRDefault="003319FC" w:rsidP="00CF29F7">
      <w:pPr>
        <w:pStyle w:val="TOC1"/>
        <w:sectPr w:rsidR="006E7F66">
          <w:footerReference w:type="default" r:id="rId17"/>
          <w:pgSz w:w="11906" w:h="16838"/>
          <w:pgMar w:top="1440" w:right="1440" w:bottom="1440" w:left="1440" w:header="708" w:footer="708" w:gutter="0"/>
          <w:cols w:space="708"/>
          <w:docGrid w:linePitch="360"/>
        </w:sectPr>
      </w:pPr>
      <w:r>
        <w:rPr>
          <w:noProof/>
        </w:rPr>
        <w:fldChar w:fldCharType="end"/>
      </w:r>
    </w:p>
    <w:p w14:paraId="5769AC0A" w14:textId="361C49BD" w:rsidR="00642B2B" w:rsidRPr="002C1AA7" w:rsidRDefault="00642B2B" w:rsidP="00EB2016">
      <w:pPr>
        <w:pStyle w:val="TeThHauorahead1"/>
      </w:pPr>
      <w:bookmarkStart w:id="1" w:name="_Toc207862871"/>
      <w:r w:rsidRPr="002C1AA7">
        <w:lastRenderedPageBreak/>
        <w:t>Acknowledge</w:t>
      </w:r>
      <w:r w:rsidR="00221077" w:rsidRPr="002C1AA7">
        <w:t>ments</w:t>
      </w:r>
      <w:r w:rsidR="00FE0C4D">
        <w:t xml:space="preserve"> </w:t>
      </w:r>
      <w:r w:rsidR="000528F1" w:rsidRPr="00585F2D">
        <w:t>|</w:t>
      </w:r>
      <w:r w:rsidR="000528F1">
        <w:t xml:space="preserve"> </w:t>
      </w:r>
      <w:r w:rsidR="00FE0C4D" w:rsidRPr="00AE5B4E">
        <w:t xml:space="preserve">He </w:t>
      </w:r>
      <w:proofErr w:type="spellStart"/>
      <w:r w:rsidR="00FE0C4D" w:rsidRPr="00AE5B4E">
        <w:t>whakamihi</w:t>
      </w:r>
      <w:bookmarkEnd w:id="1"/>
      <w:proofErr w:type="spellEnd"/>
    </w:p>
    <w:p w14:paraId="49CC9BE7" w14:textId="77777777" w:rsidR="00E53937" w:rsidRDefault="00E53937" w:rsidP="00E53937">
      <w:pPr>
        <w:rPr>
          <w:rFonts w:cs="Arial"/>
          <w:b/>
          <w:bCs/>
          <w:sz w:val="28"/>
          <w:szCs w:val="28"/>
        </w:rPr>
      </w:pPr>
      <w:r>
        <w:rPr>
          <w:rFonts w:cs="Arial"/>
          <w:b/>
          <w:bCs/>
          <w:sz w:val="28"/>
          <w:szCs w:val="28"/>
        </w:rPr>
        <w:t xml:space="preserve">Clinical editors of BPAC and NICE NG51 guidelines </w:t>
      </w:r>
    </w:p>
    <w:p w14:paraId="2639350B" w14:textId="02427A6B" w:rsidR="009A1B89" w:rsidRDefault="009A1B89" w:rsidP="009A1B89">
      <w:pPr>
        <w:rPr>
          <w:rFonts w:cs="Arial"/>
        </w:rPr>
      </w:pPr>
      <w:r w:rsidRPr="00CC0FAA">
        <w:rPr>
          <w:rFonts w:cs="Arial"/>
        </w:rPr>
        <w:t xml:space="preserve">This </w:t>
      </w:r>
      <w:r>
        <w:rPr>
          <w:rFonts w:cs="Arial"/>
        </w:rPr>
        <w:t>guide was adapted from the “Sepsis: recognition, diagnosis and early management” guideline published by Best Practice Advisory Centre New Zealand (bpac</w:t>
      </w:r>
      <w:r w:rsidRPr="00CE71E7">
        <w:rPr>
          <w:rFonts w:cs="Arial"/>
          <w:vertAlign w:val="superscript"/>
        </w:rPr>
        <w:t>nz</w:t>
      </w:r>
      <w:r>
        <w:rPr>
          <w:rFonts w:cs="Arial"/>
        </w:rPr>
        <w:t xml:space="preserve">) in 2018. </w:t>
      </w:r>
      <w:r w:rsidRPr="00A87EC9">
        <w:rPr>
          <w:rFonts w:cs="Arial"/>
        </w:rPr>
        <w:t xml:space="preserve">The </w:t>
      </w:r>
      <w:r>
        <w:rPr>
          <w:rFonts w:cs="Arial"/>
        </w:rPr>
        <w:t>bpac</w:t>
      </w:r>
      <w:r w:rsidRPr="00CE71E7">
        <w:rPr>
          <w:rFonts w:cs="Arial"/>
          <w:vertAlign w:val="superscript"/>
        </w:rPr>
        <w:t>nz</w:t>
      </w:r>
      <w:r w:rsidRPr="00A87EC9">
        <w:rPr>
          <w:rFonts w:cs="Arial"/>
        </w:rPr>
        <w:t xml:space="preserve"> guideline itself was an adaptation of </w:t>
      </w:r>
      <w:r>
        <w:rPr>
          <w:rFonts w:cs="Arial"/>
        </w:rPr>
        <w:t>Suspected s</w:t>
      </w:r>
      <w:r w:rsidRPr="00A87EC9">
        <w:rPr>
          <w:rFonts w:cs="Arial"/>
        </w:rPr>
        <w:t xml:space="preserve">epsis: </w:t>
      </w:r>
      <w:r>
        <w:rPr>
          <w:rFonts w:cs="Arial"/>
        </w:rPr>
        <w:t>r</w:t>
      </w:r>
      <w:r w:rsidRPr="00A87EC9">
        <w:rPr>
          <w:rFonts w:cs="Arial"/>
        </w:rPr>
        <w:t xml:space="preserve">ecognition, </w:t>
      </w:r>
      <w:r>
        <w:rPr>
          <w:rFonts w:cs="Arial"/>
        </w:rPr>
        <w:t>d</w:t>
      </w:r>
      <w:r w:rsidRPr="00A87EC9">
        <w:rPr>
          <w:rFonts w:cs="Arial"/>
        </w:rPr>
        <w:t xml:space="preserve">iagnosis and </w:t>
      </w:r>
      <w:r>
        <w:rPr>
          <w:rFonts w:cs="Arial"/>
        </w:rPr>
        <w:t>e</w:t>
      </w:r>
      <w:r w:rsidRPr="00A87EC9">
        <w:rPr>
          <w:rFonts w:cs="Arial"/>
        </w:rPr>
        <w:t xml:space="preserve">arly </w:t>
      </w:r>
      <w:r>
        <w:rPr>
          <w:rFonts w:cs="Arial"/>
        </w:rPr>
        <w:t>m</w:t>
      </w:r>
      <w:r w:rsidRPr="00A87EC9">
        <w:rPr>
          <w:rFonts w:cs="Arial"/>
        </w:rPr>
        <w:t>anagement (NG51)</w:t>
      </w:r>
      <w:r w:rsidR="00D96F18">
        <w:rPr>
          <w:rFonts w:cs="Arial"/>
        </w:rPr>
        <w:t xml:space="preserve"> </w:t>
      </w:r>
      <w:r w:rsidRPr="00A87EC9">
        <w:rPr>
          <w:rFonts w:cs="Arial"/>
        </w:rPr>
        <w:t xml:space="preserve">© National Institute for Health and Care Excellence (2016). That adaptation was undertaken in agreement with the UK’s National Institute for Health and Care Excellence (NICE) to contextualise the NG51 guideline for the New Zealand health care sector. </w:t>
      </w:r>
      <w:r w:rsidR="00810C73">
        <w:rPr>
          <w:rFonts w:cs="Arial"/>
        </w:rPr>
        <w:t>Health Quality &amp; Safety Commission Te Tāhū Hauora (t</w:t>
      </w:r>
      <w:r w:rsidRPr="00A87EC9">
        <w:rPr>
          <w:rFonts w:cs="Arial"/>
        </w:rPr>
        <w:t>he Commission</w:t>
      </w:r>
      <w:r w:rsidR="00810C73">
        <w:rPr>
          <w:rFonts w:cs="Arial"/>
        </w:rPr>
        <w:t>)</w:t>
      </w:r>
      <w:r w:rsidRPr="00A87EC9">
        <w:rPr>
          <w:rFonts w:cs="Arial"/>
        </w:rPr>
        <w:t xml:space="preserve"> has also obtained permission from NICE to use content from the </w:t>
      </w:r>
      <w:r>
        <w:rPr>
          <w:rFonts w:cs="Arial"/>
        </w:rPr>
        <w:t>bpac</w:t>
      </w:r>
      <w:r w:rsidRPr="00CE71E7">
        <w:rPr>
          <w:rFonts w:cs="Arial"/>
          <w:vertAlign w:val="superscript"/>
        </w:rPr>
        <w:t>nz</w:t>
      </w:r>
      <w:r w:rsidRPr="00A87EC9">
        <w:rPr>
          <w:rFonts w:cs="Arial"/>
        </w:rPr>
        <w:t xml:space="preserve"> guideline to support the </w:t>
      </w:r>
      <w:r>
        <w:rPr>
          <w:rFonts w:cs="Arial"/>
        </w:rPr>
        <w:t>content of this guide</w:t>
      </w:r>
      <w:r w:rsidRPr="00A87EC9">
        <w:rPr>
          <w:rFonts w:cs="Arial"/>
        </w:rPr>
        <w:t>.</w:t>
      </w:r>
    </w:p>
    <w:p w14:paraId="11A0C568" w14:textId="77777777" w:rsidR="00F734F7" w:rsidRPr="00CC0FAA" w:rsidRDefault="00F734F7" w:rsidP="00E53937">
      <w:pPr>
        <w:rPr>
          <w:rFonts w:cs="Arial"/>
        </w:rPr>
      </w:pPr>
    </w:p>
    <w:p w14:paraId="26E8EEBD" w14:textId="29C9C1F4" w:rsidR="00E53937" w:rsidRPr="00016474" w:rsidRDefault="00C20EAA" w:rsidP="00E53937">
      <w:pPr>
        <w:rPr>
          <w:rFonts w:cs="Arial"/>
          <w:b/>
          <w:bCs/>
          <w:sz w:val="28"/>
          <w:szCs w:val="28"/>
        </w:rPr>
      </w:pPr>
      <w:r>
        <w:rPr>
          <w:rFonts w:cs="Arial"/>
          <w:b/>
          <w:bCs/>
          <w:sz w:val="28"/>
          <w:szCs w:val="28"/>
        </w:rPr>
        <w:t>Sepsis Technical Advisory Group</w:t>
      </w:r>
    </w:p>
    <w:p w14:paraId="511B7E75" w14:textId="77777777" w:rsidR="00E53937" w:rsidRDefault="00E53937" w:rsidP="00E53937">
      <w:pPr>
        <w:rPr>
          <w:rFonts w:cs="Arial"/>
        </w:rPr>
      </w:pPr>
      <w:r>
        <w:rPr>
          <w:rFonts w:cs="Arial"/>
        </w:rPr>
        <w:t>Members of t</w:t>
      </w:r>
      <w:r w:rsidRPr="00633783">
        <w:rPr>
          <w:rFonts w:cs="Arial"/>
        </w:rPr>
        <w:t xml:space="preserve">he </w:t>
      </w:r>
      <w:r>
        <w:rPr>
          <w:rFonts w:cs="Arial"/>
        </w:rPr>
        <w:t>Commission’s</w:t>
      </w:r>
      <w:r w:rsidRPr="00633783">
        <w:rPr>
          <w:rFonts w:cs="Arial"/>
        </w:rPr>
        <w:t xml:space="preserve"> Sepsis Technical Advisory Group</w:t>
      </w:r>
      <w:r>
        <w:rPr>
          <w:rFonts w:cs="Arial"/>
        </w:rPr>
        <w:t xml:space="preserve"> (STAG)</w:t>
      </w:r>
      <w:r w:rsidRPr="00633783">
        <w:rPr>
          <w:rFonts w:cs="Arial"/>
        </w:rPr>
        <w:t xml:space="preserve"> have been major contributors to the development of this Guide.</w:t>
      </w:r>
      <w:r>
        <w:rPr>
          <w:rFonts w:cs="Arial"/>
        </w:rPr>
        <w:t xml:space="preserve"> This group was established in September 2024 and includes representatives from the following professional groups:</w:t>
      </w:r>
    </w:p>
    <w:p w14:paraId="74D84E14" w14:textId="77777777" w:rsidR="00C63DD9" w:rsidRDefault="00C63DD9" w:rsidP="00C63DD9">
      <w:pPr>
        <w:pStyle w:val="ListParagraph"/>
        <w:numPr>
          <w:ilvl w:val="0"/>
          <w:numId w:val="34"/>
        </w:numPr>
        <w:spacing w:line="240" w:lineRule="auto"/>
        <w:ind w:left="426"/>
        <w:rPr>
          <w:rFonts w:cs="Arial"/>
        </w:rPr>
      </w:pPr>
      <w:r>
        <w:rPr>
          <w:rFonts w:cs="Arial"/>
        </w:rPr>
        <w:t>Ambulance Services (Hato Hone St John and Wellington Free Ambulance)</w:t>
      </w:r>
    </w:p>
    <w:p w14:paraId="293847E8" w14:textId="77777777" w:rsidR="00C63DD9" w:rsidRDefault="00C63DD9" w:rsidP="00C63DD9">
      <w:pPr>
        <w:pStyle w:val="ListParagraph"/>
        <w:numPr>
          <w:ilvl w:val="0"/>
          <w:numId w:val="34"/>
        </w:numPr>
        <w:spacing w:line="240" w:lineRule="auto"/>
        <w:ind w:left="426"/>
        <w:rPr>
          <w:rFonts w:cs="Arial"/>
        </w:rPr>
      </w:pPr>
      <w:r>
        <w:rPr>
          <w:rFonts w:cs="Arial"/>
        </w:rPr>
        <w:t xml:space="preserve">Australasian Society for Infectious Diseases </w:t>
      </w:r>
    </w:p>
    <w:p w14:paraId="6F2B65D2" w14:textId="77777777" w:rsidR="00C63DD9" w:rsidRDefault="00C63DD9" w:rsidP="00C63DD9">
      <w:pPr>
        <w:pStyle w:val="ListParagraph"/>
        <w:numPr>
          <w:ilvl w:val="0"/>
          <w:numId w:val="34"/>
        </w:numPr>
        <w:spacing w:line="240" w:lineRule="auto"/>
        <w:ind w:left="426"/>
        <w:rPr>
          <w:rFonts w:cs="Arial"/>
        </w:rPr>
      </w:pPr>
      <w:r>
        <w:rPr>
          <w:rFonts w:cs="Arial"/>
        </w:rPr>
        <w:t xml:space="preserve">Australian and New Zealand College of Anaesthetists </w:t>
      </w:r>
    </w:p>
    <w:p w14:paraId="6EEE219F" w14:textId="77777777" w:rsidR="00C63DD9" w:rsidRPr="00220E09" w:rsidRDefault="00C63DD9" w:rsidP="001E08E6">
      <w:pPr>
        <w:pStyle w:val="ListParagraph"/>
        <w:numPr>
          <w:ilvl w:val="0"/>
          <w:numId w:val="34"/>
        </w:numPr>
        <w:spacing w:line="240" w:lineRule="auto"/>
        <w:ind w:left="425" w:hanging="357"/>
        <w:rPr>
          <w:rFonts w:cs="Arial"/>
        </w:rPr>
      </w:pPr>
      <w:r w:rsidRPr="00220E09">
        <w:rPr>
          <w:rFonts w:cs="Arial"/>
        </w:rPr>
        <w:t xml:space="preserve">Australian and New Zealand Intensive Care Society </w:t>
      </w:r>
    </w:p>
    <w:p w14:paraId="408CC62D" w14:textId="77777777" w:rsidR="00C63DD9" w:rsidRDefault="00C63DD9" w:rsidP="001E08E6">
      <w:pPr>
        <w:pStyle w:val="ListParagraph"/>
        <w:numPr>
          <w:ilvl w:val="0"/>
          <w:numId w:val="34"/>
        </w:numPr>
        <w:spacing w:line="240" w:lineRule="auto"/>
        <w:ind w:left="425" w:hanging="357"/>
        <w:rPr>
          <w:rFonts w:cs="Arial"/>
        </w:rPr>
      </w:pPr>
      <w:r>
        <w:rPr>
          <w:rFonts w:cs="Arial"/>
        </w:rPr>
        <w:t xml:space="preserve">Australian College for Emergency Medicine </w:t>
      </w:r>
    </w:p>
    <w:p w14:paraId="739B7819" w14:textId="669D14D3" w:rsidR="00C63DD9" w:rsidRPr="00695C18" w:rsidRDefault="00C63DD9" w:rsidP="001E08E6">
      <w:pPr>
        <w:pStyle w:val="ListParagraph"/>
        <w:numPr>
          <w:ilvl w:val="0"/>
          <w:numId w:val="34"/>
        </w:numPr>
        <w:spacing w:line="240" w:lineRule="auto"/>
        <w:ind w:left="425" w:hanging="357"/>
        <w:rPr>
          <w:rFonts w:cs="Arial"/>
        </w:rPr>
      </w:pPr>
      <w:r>
        <w:rPr>
          <w:rFonts w:cs="Arial"/>
        </w:rPr>
        <w:t xml:space="preserve">Health New Zealand </w:t>
      </w:r>
      <w:r w:rsidR="00C82C31">
        <w:rPr>
          <w:rFonts w:cs="Arial"/>
        </w:rPr>
        <w:t>Te Whatu Ora</w:t>
      </w:r>
    </w:p>
    <w:p w14:paraId="2E5B496D" w14:textId="77777777" w:rsidR="00C63DD9" w:rsidRDefault="00C63DD9" w:rsidP="001E08E6">
      <w:pPr>
        <w:pStyle w:val="ListParagraph"/>
        <w:numPr>
          <w:ilvl w:val="0"/>
          <w:numId w:val="34"/>
        </w:numPr>
        <w:spacing w:line="240" w:lineRule="auto"/>
        <w:ind w:left="425" w:hanging="357"/>
        <w:rPr>
          <w:rFonts w:cs="Arial"/>
        </w:rPr>
      </w:pPr>
      <w:r w:rsidRPr="00220E09">
        <w:rPr>
          <w:rFonts w:cs="Arial"/>
        </w:rPr>
        <w:t>New Zealand Antimicrobial Stewardship &amp; Infection Pha</w:t>
      </w:r>
      <w:r>
        <w:rPr>
          <w:rFonts w:cs="Arial"/>
        </w:rPr>
        <w:t>r</w:t>
      </w:r>
      <w:r w:rsidRPr="00220E09">
        <w:rPr>
          <w:rFonts w:cs="Arial"/>
        </w:rPr>
        <w:t>mac</w:t>
      </w:r>
      <w:r>
        <w:rPr>
          <w:rFonts w:cs="Arial"/>
        </w:rPr>
        <w:t>ist</w:t>
      </w:r>
      <w:r w:rsidRPr="00220E09">
        <w:rPr>
          <w:rFonts w:cs="Arial"/>
        </w:rPr>
        <w:t xml:space="preserve"> Expert Group </w:t>
      </w:r>
    </w:p>
    <w:p w14:paraId="7F1C9543" w14:textId="77777777" w:rsidR="00C63DD9" w:rsidRDefault="00C63DD9" w:rsidP="001E08E6">
      <w:pPr>
        <w:pStyle w:val="ListParagraph"/>
        <w:numPr>
          <w:ilvl w:val="0"/>
          <w:numId w:val="34"/>
        </w:numPr>
        <w:spacing w:line="240" w:lineRule="auto"/>
        <w:ind w:left="425" w:hanging="357"/>
        <w:rPr>
          <w:rFonts w:cs="Arial"/>
        </w:rPr>
      </w:pPr>
      <w:r>
        <w:rPr>
          <w:rFonts w:cs="Arial"/>
        </w:rPr>
        <w:t xml:space="preserve">New Zealand College of Critical Care Nurses </w:t>
      </w:r>
    </w:p>
    <w:p w14:paraId="0697342A" w14:textId="77777777" w:rsidR="00C63DD9" w:rsidRDefault="00C63DD9" w:rsidP="001E08E6">
      <w:pPr>
        <w:pStyle w:val="ListParagraph"/>
        <w:numPr>
          <w:ilvl w:val="0"/>
          <w:numId w:val="34"/>
        </w:numPr>
        <w:spacing w:line="240" w:lineRule="auto"/>
        <w:ind w:left="425" w:hanging="357"/>
        <w:rPr>
          <w:rFonts w:cs="Arial"/>
        </w:rPr>
      </w:pPr>
      <w:r>
        <w:rPr>
          <w:rFonts w:cs="Arial"/>
        </w:rPr>
        <w:t xml:space="preserve">New Zealand College of Medicine </w:t>
      </w:r>
    </w:p>
    <w:p w14:paraId="71B8D671" w14:textId="77777777" w:rsidR="00C63DD9" w:rsidRDefault="00C63DD9" w:rsidP="001E08E6">
      <w:pPr>
        <w:pStyle w:val="ListParagraph"/>
        <w:numPr>
          <w:ilvl w:val="0"/>
          <w:numId w:val="34"/>
        </w:numPr>
        <w:spacing w:line="240" w:lineRule="auto"/>
        <w:ind w:left="425" w:hanging="357"/>
        <w:rPr>
          <w:rFonts w:cs="Arial"/>
        </w:rPr>
      </w:pPr>
      <w:r>
        <w:rPr>
          <w:rFonts w:cs="Arial"/>
        </w:rPr>
        <w:t>New Zealand College of Midwives</w:t>
      </w:r>
    </w:p>
    <w:p w14:paraId="5B07AD2D" w14:textId="77777777" w:rsidR="00C63DD9" w:rsidRDefault="00C63DD9" w:rsidP="00C63DD9">
      <w:pPr>
        <w:pStyle w:val="ListParagraph"/>
        <w:numPr>
          <w:ilvl w:val="0"/>
          <w:numId w:val="34"/>
        </w:numPr>
        <w:spacing w:line="240" w:lineRule="auto"/>
        <w:ind w:left="426"/>
        <w:rPr>
          <w:rFonts w:cs="Arial"/>
        </w:rPr>
      </w:pPr>
      <w:r>
        <w:rPr>
          <w:rFonts w:cs="Arial"/>
        </w:rPr>
        <w:t xml:space="preserve">New Zealand Microbiology Network </w:t>
      </w:r>
    </w:p>
    <w:p w14:paraId="508B8890" w14:textId="77777777" w:rsidR="00C63DD9" w:rsidRDefault="00C63DD9" w:rsidP="00C63DD9">
      <w:pPr>
        <w:pStyle w:val="ListParagraph"/>
        <w:numPr>
          <w:ilvl w:val="0"/>
          <w:numId w:val="34"/>
        </w:numPr>
        <w:spacing w:line="240" w:lineRule="auto"/>
        <w:ind w:left="426"/>
        <w:rPr>
          <w:rFonts w:cs="Arial"/>
        </w:rPr>
      </w:pPr>
      <w:r>
        <w:rPr>
          <w:rFonts w:cs="Arial"/>
        </w:rPr>
        <w:t xml:space="preserve">New Zealand Nurses Organisation </w:t>
      </w:r>
    </w:p>
    <w:p w14:paraId="1402E7C3" w14:textId="77777777" w:rsidR="00C63DD9" w:rsidRDefault="00C63DD9" w:rsidP="00C63DD9">
      <w:pPr>
        <w:pStyle w:val="ListParagraph"/>
        <w:numPr>
          <w:ilvl w:val="0"/>
          <w:numId w:val="34"/>
        </w:numPr>
        <w:spacing w:line="240" w:lineRule="auto"/>
        <w:ind w:left="426"/>
        <w:rPr>
          <w:rFonts w:cs="Arial"/>
        </w:rPr>
      </w:pPr>
      <w:r>
        <w:rPr>
          <w:rFonts w:cs="Arial"/>
        </w:rPr>
        <w:t xml:space="preserve">Paediatric Society of New Zealand </w:t>
      </w:r>
    </w:p>
    <w:p w14:paraId="4E81E973" w14:textId="77777777" w:rsidR="00C63DD9" w:rsidRDefault="00C63DD9" w:rsidP="00C63DD9">
      <w:pPr>
        <w:pStyle w:val="ListParagraph"/>
        <w:numPr>
          <w:ilvl w:val="0"/>
          <w:numId w:val="34"/>
        </w:numPr>
        <w:spacing w:line="240" w:lineRule="auto"/>
        <w:ind w:left="426"/>
        <w:rPr>
          <w:rFonts w:cs="Arial"/>
        </w:rPr>
      </w:pPr>
      <w:r>
        <w:rPr>
          <w:rFonts w:cs="Arial"/>
        </w:rPr>
        <w:t xml:space="preserve">Royal Australasian College of Surgeons </w:t>
      </w:r>
    </w:p>
    <w:p w14:paraId="68E5B0CC" w14:textId="77777777" w:rsidR="00C63DD9" w:rsidRDefault="00C63DD9" w:rsidP="00C63DD9">
      <w:pPr>
        <w:pStyle w:val="ListParagraph"/>
        <w:numPr>
          <w:ilvl w:val="0"/>
          <w:numId w:val="34"/>
        </w:numPr>
        <w:spacing w:line="240" w:lineRule="auto"/>
        <w:ind w:left="426"/>
        <w:rPr>
          <w:rFonts w:cs="Arial"/>
        </w:rPr>
      </w:pPr>
      <w:r>
        <w:rPr>
          <w:rFonts w:cs="Arial"/>
        </w:rPr>
        <w:t xml:space="preserve">Royal Australian and New Zealand College of Obstetricians and Gynaecologists </w:t>
      </w:r>
    </w:p>
    <w:p w14:paraId="7C226815" w14:textId="77777777" w:rsidR="001E08E6" w:rsidRDefault="001E08E6" w:rsidP="001E08E6">
      <w:pPr>
        <w:pStyle w:val="ListParagraph"/>
        <w:numPr>
          <w:ilvl w:val="0"/>
          <w:numId w:val="34"/>
        </w:numPr>
        <w:spacing w:line="240" w:lineRule="auto"/>
        <w:ind w:left="425" w:hanging="357"/>
        <w:rPr>
          <w:rFonts w:cs="Arial"/>
        </w:rPr>
      </w:pPr>
      <w:r w:rsidRPr="00C52234">
        <w:rPr>
          <w:rFonts w:cs="Arial"/>
        </w:rPr>
        <w:t>Royal New Zealand College of General Practitioners</w:t>
      </w:r>
    </w:p>
    <w:p w14:paraId="4EBC8203" w14:textId="77777777" w:rsidR="00C63DD9" w:rsidRDefault="00C63DD9" w:rsidP="00C63DD9">
      <w:pPr>
        <w:pStyle w:val="ListParagraph"/>
        <w:numPr>
          <w:ilvl w:val="0"/>
          <w:numId w:val="34"/>
        </w:numPr>
        <w:spacing w:line="240" w:lineRule="auto"/>
        <w:ind w:left="426"/>
        <w:rPr>
          <w:rFonts w:cs="Arial"/>
        </w:rPr>
      </w:pPr>
      <w:r>
        <w:rPr>
          <w:rFonts w:cs="Arial"/>
        </w:rPr>
        <w:t xml:space="preserve">Royal New Zealand College of Urgent Care </w:t>
      </w:r>
    </w:p>
    <w:p w14:paraId="30D48941" w14:textId="77777777" w:rsidR="00C63DD9" w:rsidRPr="008924A6" w:rsidRDefault="00C63DD9" w:rsidP="00C63DD9">
      <w:pPr>
        <w:pStyle w:val="ListParagraph"/>
        <w:numPr>
          <w:ilvl w:val="0"/>
          <w:numId w:val="34"/>
        </w:numPr>
        <w:spacing w:line="240" w:lineRule="auto"/>
        <w:ind w:left="426"/>
        <w:rPr>
          <w:rFonts w:cs="Arial"/>
        </w:rPr>
      </w:pPr>
      <w:r>
        <w:rPr>
          <w:rFonts w:cs="Arial"/>
        </w:rPr>
        <w:t>Sepsis Trust New Zealand.</w:t>
      </w:r>
    </w:p>
    <w:p w14:paraId="4E6F44F5" w14:textId="77777777" w:rsidR="00221077" w:rsidRPr="00C633DE" w:rsidRDefault="00221077" w:rsidP="001E08E6">
      <w:pPr>
        <w:pStyle w:val="TeThHauorabodytext"/>
        <w:spacing w:line="240" w:lineRule="auto"/>
        <w:rPr>
          <w:b/>
          <w:bCs/>
          <w:i/>
          <w:iCs/>
          <w:sz w:val="26"/>
          <w:szCs w:val="26"/>
        </w:rPr>
      </w:pPr>
    </w:p>
    <w:p w14:paraId="4D4A462C" w14:textId="77777777" w:rsidR="00006CE1" w:rsidRDefault="00006CE1" w:rsidP="00622409">
      <w:pPr>
        <w:pStyle w:val="TeThHauorahead1"/>
      </w:pPr>
      <w:bookmarkStart w:id="2" w:name="_Toc206851008"/>
      <w:bookmarkStart w:id="3" w:name="_Toc206851371"/>
      <w:bookmarkStart w:id="4" w:name="_Toc207084637"/>
      <w:r>
        <w:br w:type="page"/>
      </w:r>
    </w:p>
    <w:p w14:paraId="2323AFEB" w14:textId="70321B32" w:rsidR="00622409" w:rsidRDefault="00622409" w:rsidP="00622409">
      <w:pPr>
        <w:pStyle w:val="TeThHauorahead1"/>
      </w:pPr>
      <w:bookmarkStart w:id="5" w:name="_Toc207862872"/>
      <w:r w:rsidRPr="005F6E1B">
        <w:lastRenderedPageBreak/>
        <w:t xml:space="preserve">Commitment to Te Tiriti </w:t>
      </w:r>
      <w:r>
        <w:t xml:space="preserve">o Waitangi </w:t>
      </w:r>
      <w:r w:rsidRPr="005F6E1B">
        <w:t>and health equity</w:t>
      </w:r>
      <w:bookmarkEnd w:id="2"/>
      <w:bookmarkEnd w:id="3"/>
      <w:r>
        <w:t xml:space="preserve"> │</w:t>
      </w:r>
      <w:r w:rsidRPr="00B86117">
        <w:t xml:space="preserve"> </w:t>
      </w:r>
      <w:r w:rsidRPr="005F6E1B">
        <w:t xml:space="preserve">Ū ki Te Tiriti me </w:t>
      </w:r>
      <w:proofErr w:type="spellStart"/>
      <w:r w:rsidRPr="005F6E1B">
        <w:t>te</w:t>
      </w:r>
      <w:proofErr w:type="spellEnd"/>
      <w:r w:rsidRPr="005F6E1B">
        <w:t xml:space="preserve"> </w:t>
      </w:r>
      <w:proofErr w:type="spellStart"/>
      <w:r w:rsidRPr="005F6E1B">
        <w:t>hauora</w:t>
      </w:r>
      <w:proofErr w:type="spellEnd"/>
      <w:r w:rsidRPr="005F6E1B">
        <w:t xml:space="preserve"> </w:t>
      </w:r>
      <w:proofErr w:type="spellStart"/>
      <w:r w:rsidRPr="005F6E1B">
        <w:t>tautika</w:t>
      </w:r>
      <w:bookmarkEnd w:id="4"/>
      <w:bookmarkEnd w:id="5"/>
      <w:proofErr w:type="spellEnd"/>
      <w:r w:rsidRPr="005F6E1B">
        <w:t xml:space="preserve"> </w:t>
      </w:r>
    </w:p>
    <w:p w14:paraId="2B208F62" w14:textId="77777777" w:rsidR="00622409" w:rsidRDefault="00622409" w:rsidP="00622409">
      <w:pPr>
        <w:pStyle w:val="TeThHauorabodytext"/>
        <w:spacing w:after="240"/>
      </w:pPr>
      <w:r w:rsidRPr="006344D5">
        <w:t xml:space="preserve">The </w:t>
      </w:r>
      <w:r>
        <w:t>sepsis</w:t>
      </w:r>
      <w:r w:rsidRPr="006344D5">
        <w:t xml:space="preserve"> </w:t>
      </w:r>
      <w:r>
        <w:t xml:space="preserve">project </w:t>
      </w:r>
      <w:r w:rsidRPr="006344D5">
        <w:t>team</w:t>
      </w:r>
      <w:r>
        <w:t xml:space="preserve"> is committed to developing and implementing the sepsis project in a manner that enables equitable outcomes for Māori. The team incorporated </w:t>
      </w:r>
      <w:r w:rsidRPr="006344D5">
        <w:t xml:space="preserve">Te Tiriti </w:t>
      </w:r>
      <w:r>
        <w:t xml:space="preserve">o Waitangi </w:t>
      </w:r>
      <w:r w:rsidRPr="006344D5">
        <w:t xml:space="preserve">principles </w:t>
      </w:r>
      <w:r>
        <w:t>throughout the project.</w:t>
      </w:r>
    </w:p>
    <w:p w14:paraId="1B29613F" w14:textId="77777777" w:rsidR="00622409" w:rsidRDefault="00622409" w:rsidP="00622409">
      <w:pPr>
        <w:pStyle w:val="TeThHauorabodytext"/>
        <w:spacing w:after="240"/>
      </w:pPr>
      <w:r>
        <w:t>The team applied an e</w:t>
      </w:r>
      <w:r w:rsidRPr="006344D5">
        <w:t xml:space="preserve">quity lens to various areas of the project by: </w:t>
      </w:r>
    </w:p>
    <w:p w14:paraId="1D845BAC" w14:textId="77777777" w:rsidR="00622409" w:rsidRPr="001E576C" w:rsidRDefault="00622409" w:rsidP="00622409">
      <w:pPr>
        <w:pStyle w:val="TeThHauorabodytext"/>
        <w:numPr>
          <w:ilvl w:val="0"/>
          <w:numId w:val="35"/>
        </w:numPr>
        <w:spacing w:line="240" w:lineRule="auto"/>
        <w:ind w:left="777" w:hanging="357"/>
        <w:rPr>
          <w:color w:val="000000" w:themeColor="text1"/>
        </w:rPr>
      </w:pPr>
      <w:r w:rsidRPr="006344D5">
        <w:t xml:space="preserve">having a Māori </w:t>
      </w:r>
      <w:r>
        <w:t xml:space="preserve">advisor in the project team, who consulted with other Māori elders </w:t>
      </w:r>
      <w:r w:rsidRPr="001E576C">
        <w:rPr>
          <w:color w:val="000000" w:themeColor="text1"/>
        </w:rPr>
        <w:t xml:space="preserve">when </w:t>
      </w:r>
      <w:r>
        <w:rPr>
          <w:color w:val="000000" w:themeColor="text1"/>
        </w:rPr>
        <w:t>necessary</w:t>
      </w:r>
    </w:p>
    <w:p w14:paraId="79BD8848" w14:textId="77777777" w:rsidR="00622409" w:rsidRPr="001E576C" w:rsidRDefault="00622409" w:rsidP="00622409">
      <w:pPr>
        <w:pStyle w:val="TeThHauorabodytext"/>
        <w:numPr>
          <w:ilvl w:val="0"/>
          <w:numId w:val="35"/>
        </w:numPr>
        <w:spacing w:line="240" w:lineRule="auto"/>
        <w:ind w:left="777" w:hanging="357"/>
        <w:rPr>
          <w:color w:val="000000" w:themeColor="text1"/>
        </w:rPr>
      </w:pPr>
      <w:r w:rsidRPr="001E576C">
        <w:rPr>
          <w:color w:val="000000" w:themeColor="text1"/>
        </w:rPr>
        <w:t>using an ethnicity or demographic lens for data collection and review</w:t>
      </w:r>
    </w:p>
    <w:p w14:paraId="77223833" w14:textId="77777777" w:rsidR="00622409" w:rsidRPr="001E576C" w:rsidRDefault="00622409" w:rsidP="00622409">
      <w:pPr>
        <w:pStyle w:val="TeThHauorabodytext"/>
        <w:numPr>
          <w:ilvl w:val="0"/>
          <w:numId w:val="35"/>
        </w:numPr>
        <w:spacing w:line="240" w:lineRule="auto"/>
        <w:ind w:left="777" w:hanging="357"/>
        <w:rPr>
          <w:color w:val="000000" w:themeColor="text1"/>
        </w:rPr>
      </w:pPr>
      <w:r w:rsidRPr="001E576C">
        <w:rPr>
          <w:color w:val="000000" w:themeColor="text1"/>
        </w:rPr>
        <w:t>incorporating the lived experience of sepsis consumer</w:t>
      </w:r>
      <w:r>
        <w:rPr>
          <w:color w:val="000000" w:themeColor="text1"/>
        </w:rPr>
        <w:t>s</w:t>
      </w:r>
      <w:r w:rsidRPr="001E576C">
        <w:rPr>
          <w:color w:val="000000" w:themeColor="text1"/>
        </w:rPr>
        <w:t xml:space="preserve"> and their whānau</w:t>
      </w:r>
    </w:p>
    <w:p w14:paraId="6B6A1ED6" w14:textId="111680A2" w:rsidR="002E0FEE" w:rsidRPr="00622409" w:rsidRDefault="00622409" w:rsidP="002E0FEE">
      <w:pPr>
        <w:pStyle w:val="TeThHauorabodytext"/>
        <w:numPr>
          <w:ilvl w:val="0"/>
          <w:numId w:val="35"/>
        </w:numPr>
        <w:spacing w:line="240" w:lineRule="auto"/>
        <w:ind w:left="777" w:hanging="357"/>
        <w:rPr>
          <w:color w:val="000000" w:themeColor="text1"/>
        </w:rPr>
      </w:pPr>
      <w:r>
        <w:rPr>
          <w:color w:val="000000" w:themeColor="text1"/>
        </w:rPr>
        <w:t>a</w:t>
      </w:r>
      <w:r w:rsidRPr="00110481">
        <w:rPr>
          <w:color w:val="000000" w:themeColor="text1"/>
        </w:rPr>
        <w:t>dvis</w:t>
      </w:r>
      <w:r>
        <w:rPr>
          <w:color w:val="000000" w:themeColor="text1"/>
        </w:rPr>
        <w:t>ing</w:t>
      </w:r>
      <w:r w:rsidRPr="00110481">
        <w:rPr>
          <w:color w:val="000000" w:themeColor="text1"/>
        </w:rPr>
        <w:t xml:space="preserve"> hospital project teams to collaborate with Māori and Pacific representatives, ensuring Te Tiriti principles are embedded and encouraging their involvement in relevant aspects of implementation.</w:t>
      </w:r>
    </w:p>
    <w:p w14:paraId="5B5BA048" w14:textId="6BDB4EC4" w:rsidR="00C41F1F" w:rsidRDefault="00C41F1F" w:rsidP="002E0FEE">
      <w:pPr>
        <w:pStyle w:val="TeThHauorabodytext"/>
      </w:pPr>
    </w:p>
    <w:p w14:paraId="60390167" w14:textId="5F958992" w:rsidR="000F7B39" w:rsidRPr="009D54D2" w:rsidRDefault="009C6431" w:rsidP="000F7B39">
      <w:pPr>
        <w:pStyle w:val="TeThHauorahead1"/>
      </w:pPr>
      <w:bookmarkStart w:id="6" w:name="_Toc207862873"/>
      <w:r w:rsidRPr="009D54D2">
        <w:t xml:space="preserve">Background and </w:t>
      </w:r>
      <w:r>
        <w:t>c</w:t>
      </w:r>
      <w:r w:rsidRPr="009D54D2">
        <w:t>ontext</w:t>
      </w:r>
      <w:r w:rsidR="000528F1">
        <w:t xml:space="preserve"> </w:t>
      </w:r>
      <w:r w:rsidR="00CE685C" w:rsidRPr="00A200DD">
        <w:t>|</w:t>
      </w:r>
      <w:r w:rsidR="00CE685C">
        <w:t xml:space="preserve"> </w:t>
      </w:r>
      <w:r w:rsidR="000528F1" w:rsidRPr="00741985">
        <w:t>Kōrero o mua</w:t>
      </w:r>
      <w:bookmarkEnd w:id="6"/>
    </w:p>
    <w:p w14:paraId="05F7ADD4" w14:textId="48E91EC2" w:rsidR="000F7B39" w:rsidRPr="009D54D2" w:rsidRDefault="000F7B39" w:rsidP="000F7B39">
      <w:pPr>
        <w:pStyle w:val="TeThHauorabodytext"/>
      </w:pPr>
      <w:r w:rsidRPr="009D54D2">
        <w:t>This document sets out standards of care for people with sepsis presenting to health</w:t>
      </w:r>
      <w:r>
        <w:t xml:space="preserve"> </w:t>
      </w:r>
      <w:r w:rsidRPr="009D54D2">
        <w:t>care settings in Aotearoa New Zealand. It is endorsed by Sepsis Trust</w:t>
      </w:r>
      <w:r w:rsidR="007B212E" w:rsidRPr="007B212E">
        <w:t xml:space="preserve"> </w:t>
      </w:r>
      <w:r w:rsidR="007B212E" w:rsidRPr="009D54D2">
        <w:t>New Zealand</w:t>
      </w:r>
      <w:r w:rsidRPr="009D54D2">
        <w:t xml:space="preserve">, Health Quality </w:t>
      </w:r>
      <w:r>
        <w:t>&amp;</w:t>
      </w:r>
      <w:r w:rsidRPr="009D54D2">
        <w:t xml:space="preserve"> Safety Commission</w:t>
      </w:r>
      <w:r w:rsidR="00F36484" w:rsidRPr="00F36484">
        <w:t xml:space="preserve"> </w:t>
      </w:r>
      <w:r w:rsidR="00F36484" w:rsidRPr="009D54D2">
        <w:t>Te Tāhū Hauora</w:t>
      </w:r>
      <w:r w:rsidRPr="009D54D2">
        <w:t xml:space="preserve"> </w:t>
      </w:r>
      <w:r>
        <w:t>(the Commission)</w:t>
      </w:r>
      <w:r w:rsidRPr="009D54D2">
        <w:t xml:space="preserve"> and </w:t>
      </w:r>
      <w:r>
        <w:t xml:space="preserve">the Commission’s </w:t>
      </w:r>
      <w:r w:rsidRPr="009D54D2">
        <w:t>Sepsis Technical Advisory Group. It has been developed during a multi-year revision of the ‘Raise the Flag’ sepsis quality improvement programme first launched at Waikato Hospital in 2018.</w:t>
      </w:r>
    </w:p>
    <w:p w14:paraId="09D45697" w14:textId="5DF13CB0" w:rsidR="000F7B39" w:rsidRPr="009D54D2" w:rsidRDefault="000F7B39" w:rsidP="000F7B39">
      <w:pPr>
        <w:pStyle w:val="TeThHauorabodytext"/>
      </w:pPr>
      <w:r w:rsidRPr="009D54D2">
        <w:t>The ‘Raise the Flag’ programme was developed using national guidance published by BPAC</w:t>
      </w:r>
      <w:r w:rsidRPr="009D54D2">
        <w:rPr>
          <w:vertAlign w:val="superscript"/>
        </w:rPr>
        <w:t>NZ</w:t>
      </w:r>
      <w:r w:rsidRPr="009D54D2">
        <w:t>: (</w:t>
      </w:r>
      <w:r w:rsidRPr="00A87547">
        <w:rPr>
          <w:i/>
          <w:iCs/>
        </w:rPr>
        <w:t>Sepsis: Recognition, diagnosis and early management</w:t>
      </w:r>
      <w:r w:rsidRPr="009D54D2">
        <w:t>)</w:t>
      </w:r>
      <w:r>
        <w:t xml:space="preserve"> in 2018</w:t>
      </w:r>
      <w:r>
        <w:rPr>
          <w:rStyle w:val="FootnoteReference"/>
        </w:rPr>
        <w:footnoteReference w:id="2"/>
      </w:r>
      <w:r w:rsidRPr="009D54D2">
        <w:t>. This was based on a 2016 publication from the U</w:t>
      </w:r>
      <w:r>
        <w:t xml:space="preserve">nited </w:t>
      </w:r>
      <w:r w:rsidRPr="009D54D2">
        <w:t>K</w:t>
      </w:r>
      <w:r>
        <w:t>ingdom’s</w:t>
      </w:r>
      <w:r w:rsidRPr="009D54D2">
        <w:t xml:space="preserve"> National Institute </w:t>
      </w:r>
      <w:r>
        <w:t xml:space="preserve">for Health and Care </w:t>
      </w:r>
      <w:r w:rsidRPr="009D54D2">
        <w:t>Excellence (NICE).</w:t>
      </w:r>
      <w:r>
        <w:rPr>
          <w:rStyle w:val="FootnoteReference"/>
        </w:rPr>
        <w:footnoteReference w:id="3"/>
      </w:r>
    </w:p>
    <w:p w14:paraId="320A97A7" w14:textId="2B5CC2D3" w:rsidR="000F7B39" w:rsidRPr="009D54D2" w:rsidRDefault="000F7B39" w:rsidP="000F7B39">
      <w:pPr>
        <w:pStyle w:val="TeThHauorabodytext"/>
      </w:pPr>
      <w:r w:rsidRPr="009D54D2">
        <w:t>In January 2024, NICE published new recommendations</w:t>
      </w:r>
      <w:r>
        <w:t>,</w:t>
      </w:r>
      <w:r w:rsidRPr="009D54D2">
        <w:t xml:space="preserve"> which BPAC</w:t>
      </w:r>
      <w:r w:rsidRPr="009D54D2">
        <w:rPr>
          <w:vertAlign w:val="superscript"/>
        </w:rPr>
        <w:t>NZ</w:t>
      </w:r>
      <w:r w:rsidRPr="009D54D2">
        <w:t xml:space="preserve"> </w:t>
      </w:r>
      <w:r>
        <w:t xml:space="preserve">has </w:t>
      </w:r>
      <w:r w:rsidRPr="009D54D2">
        <w:t xml:space="preserve">not </w:t>
      </w:r>
      <w:r>
        <w:t xml:space="preserve">yet </w:t>
      </w:r>
      <w:r w:rsidRPr="009D54D2">
        <w:t>reviewed or supported. The ‘Raise the Flag’ programme therefore continues to make use of</w:t>
      </w:r>
      <w:r w:rsidR="00097095">
        <w:t> </w:t>
      </w:r>
      <w:r w:rsidRPr="009D54D2">
        <w:t>the 2018 document. Both NICE and BPAC</w:t>
      </w:r>
      <w:r w:rsidRPr="009D54D2">
        <w:rPr>
          <w:vertAlign w:val="superscript"/>
        </w:rPr>
        <w:t>NZ</w:t>
      </w:r>
      <w:r w:rsidRPr="009D54D2">
        <w:t xml:space="preserve"> provided permission</w:t>
      </w:r>
      <w:r>
        <w:t xml:space="preserve"> for the Commission</w:t>
      </w:r>
      <w:r w:rsidRPr="009D54D2">
        <w:t xml:space="preserve"> to</w:t>
      </w:r>
      <w:r w:rsidR="00F77946">
        <w:t> </w:t>
      </w:r>
      <w:r w:rsidRPr="009D54D2">
        <w:t xml:space="preserve">revise the 2018 guideline </w:t>
      </w:r>
      <w:r>
        <w:t>recommendation</w:t>
      </w:r>
      <w:r w:rsidRPr="009D54D2">
        <w:t xml:space="preserve"> to support sepsis quality improvement in New</w:t>
      </w:r>
      <w:r w:rsidR="00097095">
        <w:t> </w:t>
      </w:r>
      <w:r w:rsidRPr="009D54D2">
        <w:t xml:space="preserve">Zealand. </w:t>
      </w:r>
    </w:p>
    <w:p w14:paraId="5B68AF5E" w14:textId="77777777" w:rsidR="000F7B39" w:rsidRPr="009D54D2" w:rsidRDefault="000F7B39" w:rsidP="000F7B39">
      <w:pPr>
        <w:pStyle w:val="TeThHauorabodytext"/>
      </w:pPr>
      <w:r w:rsidRPr="009D54D2">
        <w:t>The following clinical guidance supporting ‘Raise the Flag’ clinical pathways is based on the 2018 BPAC</w:t>
      </w:r>
      <w:r w:rsidRPr="009D54D2">
        <w:rPr>
          <w:vertAlign w:val="superscript"/>
        </w:rPr>
        <w:t xml:space="preserve">NZ </w:t>
      </w:r>
      <w:r w:rsidRPr="009D54D2">
        <w:t xml:space="preserve">guideline but represents the views of </w:t>
      </w:r>
      <w:r>
        <w:t>the Commission</w:t>
      </w:r>
      <w:r w:rsidRPr="009D54D2">
        <w:t xml:space="preserve"> and its Sepsis Technical Advisory Group. </w:t>
      </w:r>
    </w:p>
    <w:p w14:paraId="0B26689C" w14:textId="77777777" w:rsidR="00F15D05" w:rsidRPr="009D54D2" w:rsidRDefault="00F15D05" w:rsidP="00BE7FD0">
      <w:pPr>
        <w:pStyle w:val="TeThHauorahead2"/>
        <w:rPr>
          <w:bCs/>
        </w:rPr>
      </w:pPr>
      <w:bookmarkStart w:id="7" w:name="_Toc201826295"/>
      <w:bookmarkStart w:id="8" w:name="_Toc207862874"/>
      <w:r w:rsidRPr="009D54D2">
        <w:lastRenderedPageBreak/>
        <w:t>Overview</w:t>
      </w:r>
      <w:bookmarkEnd w:id="7"/>
      <w:bookmarkEnd w:id="8"/>
    </w:p>
    <w:p w14:paraId="5B87F09A" w14:textId="77777777" w:rsidR="00F15D05" w:rsidRPr="005D66B9" w:rsidRDefault="00F15D05" w:rsidP="00F15D05">
      <w:pPr>
        <w:pStyle w:val="TeThHauorabodytext"/>
        <w:rPr>
          <w:spacing w:val="-2"/>
        </w:rPr>
      </w:pPr>
      <w:r w:rsidRPr="005D66B9">
        <w:rPr>
          <w:spacing w:val="-2"/>
        </w:rPr>
        <w:t xml:space="preserve">This guide covers the recognition, diagnosis and early management of sepsis in New Zealand. </w:t>
      </w:r>
    </w:p>
    <w:p w14:paraId="09262C2D" w14:textId="44ED9E97" w:rsidR="00F15D05" w:rsidRPr="009D54D2" w:rsidRDefault="00F15D05" w:rsidP="00F15D05">
      <w:pPr>
        <w:pStyle w:val="TeThHauorabodytext"/>
      </w:pPr>
      <w:r w:rsidRPr="009D54D2">
        <w:t>It is for health</w:t>
      </w:r>
      <w:r w:rsidR="00275710">
        <w:t xml:space="preserve"> </w:t>
      </w:r>
      <w:r>
        <w:t>care</w:t>
      </w:r>
      <w:r w:rsidRPr="009D54D2">
        <w:t xml:space="preserve"> professionals working in primary, secondary and tertiary care. </w:t>
      </w:r>
      <w:r>
        <w:t>P</w:t>
      </w:r>
      <w:r w:rsidRPr="009D54D2">
        <w:t xml:space="preserve">eople who have experienced sepsis </w:t>
      </w:r>
      <w:r>
        <w:t xml:space="preserve">and </w:t>
      </w:r>
      <w:r w:rsidRPr="009D54D2">
        <w:t>their family</w:t>
      </w:r>
      <w:r>
        <w:t>/</w:t>
      </w:r>
      <w:r w:rsidRPr="009D54D2">
        <w:t>whānau</w:t>
      </w:r>
      <w:r>
        <w:t xml:space="preserve"> can use it as a care standard</w:t>
      </w:r>
      <w:r w:rsidRPr="009D54D2">
        <w:t>.</w:t>
      </w:r>
    </w:p>
    <w:p w14:paraId="187960DD" w14:textId="77777777" w:rsidR="00F15D05" w:rsidRPr="000F03C5" w:rsidRDefault="00F15D05" w:rsidP="00F15D05">
      <w:pPr>
        <w:pStyle w:val="TeThHauorabodytext"/>
      </w:pPr>
      <w:r>
        <w:t>We will review and update t</w:t>
      </w:r>
      <w:r w:rsidRPr="000F03C5">
        <w:t xml:space="preserve">his guide regularly to ensure </w:t>
      </w:r>
      <w:r>
        <w:t xml:space="preserve">it </w:t>
      </w:r>
      <w:r w:rsidRPr="000F03C5">
        <w:t>reflect</w:t>
      </w:r>
      <w:r>
        <w:t>s</w:t>
      </w:r>
      <w:r w:rsidRPr="000F03C5">
        <w:t xml:space="preserve"> the latest evidence and best practices, thus maintaining </w:t>
      </w:r>
      <w:r>
        <w:t xml:space="preserve">its </w:t>
      </w:r>
      <w:r w:rsidRPr="000F03C5">
        <w:t>relevance and effectiveness in guiding sepsis care.</w:t>
      </w:r>
    </w:p>
    <w:p w14:paraId="3D17FF75" w14:textId="77777777" w:rsidR="00F15D05" w:rsidRPr="009D54D2" w:rsidRDefault="00F15D05" w:rsidP="00BE7FD0">
      <w:pPr>
        <w:pStyle w:val="TeThHauorahead2"/>
      </w:pPr>
      <w:bookmarkStart w:id="9" w:name="_Toc181690645"/>
      <w:bookmarkStart w:id="10" w:name="_Toc201826296"/>
      <w:bookmarkStart w:id="11" w:name="_Toc207862875"/>
      <w:r w:rsidRPr="009D54D2">
        <w:t>Purpose of this guideline</w:t>
      </w:r>
      <w:bookmarkEnd w:id="9"/>
      <w:bookmarkEnd w:id="10"/>
      <w:bookmarkEnd w:id="11"/>
    </w:p>
    <w:p w14:paraId="5CB005A4" w14:textId="77777777" w:rsidR="00F15D05" w:rsidRPr="009D54D2" w:rsidRDefault="00F15D05" w:rsidP="00F15D05">
      <w:pPr>
        <w:pStyle w:val="TeThHauorabodytext"/>
      </w:pPr>
      <w:r w:rsidRPr="009D54D2">
        <w:t xml:space="preserve">This </w:t>
      </w:r>
      <w:r w:rsidRPr="00F15D05">
        <w:t>guide</w:t>
      </w:r>
      <w:r>
        <w:t>:</w:t>
      </w:r>
      <w:r w:rsidRPr="009D54D2">
        <w:t xml:space="preserve"> </w:t>
      </w:r>
    </w:p>
    <w:p w14:paraId="67D5521F" w14:textId="77777777" w:rsidR="00F15D05" w:rsidRPr="009D54D2" w:rsidRDefault="00F15D05" w:rsidP="00253D0D">
      <w:pPr>
        <w:pStyle w:val="TeThHauorabullets"/>
      </w:pPr>
      <w:r w:rsidRPr="009D54D2">
        <w:t>is to help professionals and patients make decisions about the most appropriate treatment and care for specific clinical circumstances</w:t>
      </w:r>
    </w:p>
    <w:p w14:paraId="7DBC5E87" w14:textId="77777777" w:rsidR="00F15D05" w:rsidRPr="009D54D2" w:rsidRDefault="00F15D05" w:rsidP="00253D0D">
      <w:pPr>
        <w:pStyle w:val="TeThHauorabullets"/>
      </w:pPr>
      <w:r w:rsidRPr="009D54D2">
        <w:t>can be used to develop standards to assess the clinical practice of individual health professionals and organi</w:t>
      </w:r>
      <w:r>
        <w:t>s</w:t>
      </w:r>
      <w:r w:rsidRPr="009D54D2">
        <w:t>ations</w:t>
      </w:r>
    </w:p>
    <w:p w14:paraId="3E835721" w14:textId="77777777" w:rsidR="00F15D05" w:rsidRPr="009D54D2" w:rsidRDefault="00F15D05" w:rsidP="00253D0D">
      <w:pPr>
        <w:pStyle w:val="TeThHauorabullets"/>
      </w:pPr>
      <w:r w:rsidRPr="009D54D2">
        <w:t>can support the education and training of health professionals and others</w:t>
      </w:r>
    </w:p>
    <w:p w14:paraId="4FB27104" w14:textId="77777777" w:rsidR="00F15D05" w:rsidRDefault="00F15D05" w:rsidP="00253D0D">
      <w:pPr>
        <w:pStyle w:val="TeThHauorabullets"/>
      </w:pPr>
      <w:r w:rsidRPr="009D54D2">
        <w:t>can improve communication between patients and health professionals</w:t>
      </w:r>
      <w:r>
        <w:t>, and</w:t>
      </w:r>
    </w:p>
    <w:p w14:paraId="0BA6931A" w14:textId="77777777" w:rsidR="00F15D05" w:rsidRPr="009D54D2" w:rsidRDefault="00F15D05" w:rsidP="00253D0D">
      <w:pPr>
        <w:pStyle w:val="TeThHauorabullets"/>
      </w:pPr>
      <w:r w:rsidRPr="009D54D2">
        <w:t>*</w:t>
      </w:r>
      <w:r>
        <w:t xml:space="preserve"> </w:t>
      </w:r>
      <w:proofErr w:type="gramStart"/>
      <w:r>
        <w:t>the</w:t>
      </w:r>
      <w:proofErr w:type="gramEnd"/>
      <w:r>
        <w:t xml:space="preserve"> </w:t>
      </w:r>
      <w:proofErr w:type="spellStart"/>
      <w:r>
        <w:t>asterix</w:t>
      </w:r>
      <w:proofErr w:type="spellEnd"/>
      <w:r>
        <w:t xml:space="preserve"> refers to the use of sepsis definitions in this document.</w:t>
      </w:r>
    </w:p>
    <w:p w14:paraId="5001004B" w14:textId="77777777" w:rsidR="00BE7FD0" w:rsidRPr="009D54D2" w:rsidRDefault="00BE7FD0" w:rsidP="00BE7FD0">
      <w:pPr>
        <w:pStyle w:val="TeThHauorahead2"/>
      </w:pPr>
      <w:bookmarkStart w:id="12" w:name="_Toc181690646"/>
      <w:bookmarkStart w:id="13" w:name="_Toc201826297"/>
      <w:bookmarkStart w:id="14" w:name="_Toc207862876"/>
      <w:r w:rsidRPr="009D54D2">
        <w:t>Sepsis definitions*</w:t>
      </w:r>
      <w:bookmarkEnd w:id="12"/>
      <w:bookmarkEnd w:id="13"/>
      <w:bookmarkEnd w:id="14"/>
    </w:p>
    <w:p w14:paraId="51750E65" w14:textId="77777777" w:rsidR="00BE7FD0" w:rsidRPr="009D54D2" w:rsidRDefault="00BE7FD0" w:rsidP="00BE7FD0">
      <w:pPr>
        <w:pStyle w:val="TeThHauorabodytext"/>
      </w:pPr>
      <w:r w:rsidRPr="009D54D2">
        <w:t>Significant confusion and harm can arise from the use of historic, inaccurate or incorrect definitions of sepsis. The following definitions of sepsis are accepted</w:t>
      </w:r>
      <w:r>
        <w:t>;</w:t>
      </w:r>
      <w:r w:rsidRPr="009D54D2">
        <w:t xml:space="preserve"> </w:t>
      </w:r>
      <w:r>
        <w:t xml:space="preserve">they </w:t>
      </w:r>
      <w:r w:rsidRPr="009D54D2">
        <w:t xml:space="preserve">are the only ones that will be used in the Raise the Flag programme and by </w:t>
      </w:r>
      <w:r>
        <w:t>the Commission</w:t>
      </w:r>
      <w:r w:rsidRPr="009D54D2">
        <w:t>:</w:t>
      </w:r>
    </w:p>
    <w:p w14:paraId="12B607AB" w14:textId="77777777" w:rsidR="00BE7FD0" w:rsidRPr="006556B0" w:rsidRDefault="00BE7FD0" w:rsidP="00BE7FD0">
      <w:pPr>
        <w:pStyle w:val="TeThHauorabodytext"/>
        <w:rPr>
          <w:spacing w:val="-2"/>
        </w:rPr>
      </w:pPr>
      <w:r w:rsidRPr="006556B0">
        <w:rPr>
          <w:b/>
          <w:bCs/>
          <w:spacing w:val="-2"/>
        </w:rPr>
        <w:t>Sepsis</w:t>
      </w:r>
      <w:r w:rsidRPr="006556B0">
        <w:rPr>
          <w:spacing w:val="-2"/>
        </w:rPr>
        <w:t xml:space="preserve"> is a life-threatening organ dysfunction due to a dysregulated host response to infection.</w:t>
      </w:r>
    </w:p>
    <w:p w14:paraId="6C50EFD4" w14:textId="77777777" w:rsidR="00BE7FD0" w:rsidRPr="009D54D2" w:rsidRDefault="00BE7FD0" w:rsidP="00BE7FD0">
      <w:pPr>
        <w:pStyle w:val="TeThHauorabodytext"/>
      </w:pPr>
      <w:r w:rsidRPr="009D54D2">
        <w:rPr>
          <w:b/>
          <w:bCs/>
        </w:rPr>
        <w:t xml:space="preserve">Septic </w:t>
      </w:r>
      <w:r>
        <w:rPr>
          <w:b/>
          <w:bCs/>
        </w:rPr>
        <w:t>s</w:t>
      </w:r>
      <w:r w:rsidRPr="00904413">
        <w:rPr>
          <w:b/>
          <w:bCs/>
        </w:rPr>
        <w:t>hock</w:t>
      </w:r>
      <w:r w:rsidRPr="009D54D2">
        <w:t xml:space="preserve"> is a subset of sepsis </w:t>
      </w:r>
      <w:r>
        <w:t xml:space="preserve">in which </w:t>
      </w:r>
      <w:r w:rsidRPr="009D54D2">
        <w:t>particularly profound circulatory, cellular and metabolic abnormalities substantially increase mortality.</w:t>
      </w:r>
    </w:p>
    <w:p w14:paraId="780D8781" w14:textId="77777777" w:rsidR="00BE7FD0" w:rsidRPr="009D54D2" w:rsidRDefault="00BE7FD0" w:rsidP="00BE7FD0">
      <w:pPr>
        <w:pStyle w:val="TeThHauorahead2"/>
      </w:pPr>
      <w:bookmarkStart w:id="15" w:name="_Toc201826298"/>
      <w:bookmarkStart w:id="16" w:name="_Toc207862877"/>
      <w:r w:rsidRPr="009D54D2">
        <w:t>Explanation of sepsis in lay terms</w:t>
      </w:r>
      <w:bookmarkEnd w:id="15"/>
      <w:bookmarkEnd w:id="16"/>
      <w:r w:rsidRPr="009D54D2">
        <w:t xml:space="preserve"> </w:t>
      </w:r>
    </w:p>
    <w:p w14:paraId="3A146ADB" w14:textId="77777777" w:rsidR="00BE7FD0" w:rsidRPr="009D54D2" w:rsidRDefault="00BE7FD0" w:rsidP="00BE7FD0">
      <w:pPr>
        <w:pStyle w:val="TeThHauorabodytext"/>
      </w:pPr>
      <w:r w:rsidRPr="009D54D2">
        <w:t>Sepsis is a life-threatening condition that arises when the body’s response to an infection injures its own tissues and organs.</w:t>
      </w:r>
    </w:p>
    <w:p w14:paraId="3C542B4D" w14:textId="12FC876D" w:rsidR="00BE7FD0" w:rsidRPr="009D54D2" w:rsidRDefault="00BE7FD0" w:rsidP="00BE7FD0">
      <w:pPr>
        <w:pStyle w:val="TeThHauorahead2"/>
      </w:pPr>
      <w:bookmarkStart w:id="17" w:name="_Toc201826299"/>
      <w:bookmarkStart w:id="18" w:name="_Toc207862878"/>
      <w:r w:rsidRPr="009D54D2">
        <w:t>Narrative elaboration for use in public facing material</w:t>
      </w:r>
      <w:bookmarkEnd w:id="17"/>
      <w:bookmarkEnd w:id="18"/>
    </w:p>
    <w:p w14:paraId="040DF75A" w14:textId="77777777" w:rsidR="00BE7FD0" w:rsidRDefault="00BE7FD0" w:rsidP="00253D0D">
      <w:pPr>
        <w:pStyle w:val="TeThHauorabullets"/>
        <w:numPr>
          <w:ilvl w:val="0"/>
          <w:numId w:val="0"/>
        </w:numPr>
      </w:pPr>
      <w:r>
        <w:t>The following statements also apply to sepsis in the context of this document.</w:t>
      </w:r>
    </w:p>
    <w:p w14:paraId="26D6EB06" w14:textId="77777777" w:rsidR="00BE7FD0" w:rsidRPr="009D54D2" w:rsidRDefault="00BE7FD0" w:rsidP="00253D0D">
      <w:pPr>
        <w:pStyle w:val="TeThHauorabullets"/>
      </w:pPr>
      <w:r w:rsidRPr="00F000FB">
        <w:t>Sepsis</w:t>
      </w:r>
      <w:r w:rsidRPr="009D54D2">
        <w:t xml:space="preserve"> arises when the body’s response to an infection injures its own tissues and organs.</w:t>
      </w:r>
    </w:p>
    <w:p w14:paraId="1E0308EB" w14:textId="77777777" w:rsidR="00BE7FD0" w:rsidRPr="009D54D2" w:rsidRDefault="00BE7FD0" w:rsidP="00253D0D">
      <w:pPr>
        <w:pStyle w:val="TeThHauorabullets"/>
      </w:pPr>
      <w:r w:rsidRPr="009D54D2">
        <w:t xml:space="preserve">Sepsis can lead to shock, multi-organ failure and death – especially if </w:t>
      </w:r>
      <w:r>
        <w:t xml:space="preserve">it is </w:t>
      </w:r>
      <w:r w:rsidRPr="009D54D2">
        <w:t>not recogni</w:t>
      </w:r>
      <w:r>
        <w:t>s</w:t>
      </w:r>
      <w:r w:rsidRPr="009D54D2">
        <w:t>ed early and treated promptly.</w:t>
      </w:r>
    </w:p>
    <w:p w14:paraId="7579DAA3" w14:textId="77777777" w:rsidR="00BE7FD0" w:rsidRPr="009D54D2" w:rsidRDefault="00BE7FD0" w:rsidP="00253D0D">
      <w:pPr>
        <w:pStyle w:val="TeThHauorabullets"/>
      </w:pPr>
      <w:r w:rsidRPr="009D54D2">
        <w:t>Sepsis is the final common pathway to death from most infectious diseases worldwide.</w:t>
      </w:r>
    </w:p>
    <w:p w14:paraId="1F60D0DA" w14:textId="77777777" w:rsidR="002E0FEE" w:rsidRDefault="002E0FEE" w:rsidP="002E0FEE">
      <w:pPr>
        <w:pStyle w:val="TeThHauorabodytext"/>
      </w:pPr>
    </w:p>
    <w:p w14:paraId="71A138CE" w14:textId="685CD47D" w:rsidR="006F4DD7" w:rsidRDefault="006F4DD7">
      <w:pPr>
        <w:spacing w:after="200"/>
        <w:rPr>
          <w:rFonts w:cs="Arial"/>
        </w:rPr>
      </w:pPr>
      <w:r>
        <w:br w:type="page"/>
      </w:r>
    </w:p>
    <w:p w14:paraId="6B01F69F" w14:textId="771C0AD8" w:rsidR="006F4DD7" w:rsidRPr="009D54D2" w:rsidRDefault="009C6431" w:rsidP="00F730F6">
      <w:pPr>
        <w:pStyle w:val="TeThHauorahead1"/>
        <w:spacing w:before="120"/>
        <w:rPr>
          <w:highlight w:val="yellow"/>
        </w:rPr>
      </w:pPr>
      <w:bookmarkStart w:id="19" w:name="_Toc207862879"/>
      <w:r w:rsidRPr="009D54D2">
        <w:lastRenderedPageBreak/>
        <w:t>Recommendations</w:t>
      </w:r>
      <w:r>
        <w:t xml:space="preserve"> </w:t>
      </w:r>
      <w:r w:rsidR="00CE685C" w:rsidRPr="00AD241E">
        <w:t>|</w:t>
      </w:r>
      <w:r w:rsidR="00CE685C">
        <w:t xml:space="preserve"> </w:t>
      </w:r>
      <w:r w:rsidR="00CE685C" w:rsidRPr="00B565F8">
        <w:t xml:space="preserve">Ngā </w:t>
      </w:r>
      <w:proofErr w:type="spellStart"/>
      <w:r w:rsidR="00CE685C" w:rsidRPr="00B565F8">
        <w:t>tūtohinga</w:t>
      </w:r>
      <w:bookmarkEnd w:id="19"/>
      <w:proofErr w:type="spellEnd"/>
    </w:p>
    <w:p w14:paraId="455F2C45" w14:textId="77777777" w:rsidR="006F4DD7" w:rsidRPr="009D54D2" w:rsidRDefault="006F4DD7" w:rsidP="006F4DD7">
      <w:pPr>
        <w:pStyle w:val="TeThHauorabodytext"/>
      </w:pPr>
      <w:r w:rsidRPr="009D54D2">
        <w:t xml:space="preserve">People with symptoms and signs of sepsis have the right to service of an appropriate standard under the </w:t>
      </w:r>
      <w:hyperlink r:id="rId18" w:history="1">
        <w:r w:rsidRPr="00C2406E">
          <w:rPr>
            <w:rStyle w:val="Hyperlink"/>
          </w:rPr>
          <w:t xml:space="preserve">Code of Health and Disability Services Consumer </w:t>
        </w:r>
        <w:r w:rsidRPr="00B019F8">
          <w:rPr>
            <w:rStyle w:val="Hyperlink"/>
          </w:rPr>
          <w:t>Rights</w:t>
        </w:r>
        <w:r w:rsidRPr="00C2406E">
          <w:t>.</w:t>
        </w:r>
      </w:hyperlink>
      <w:r w:rsidRPr="009D54D2">
        <w:t xml:space="preserve"> For the exclusion of doubt, this guide describes ‘service of an appropriate standard’. </w:t>
      </w:r>
    </w:p>
    <w:p w14:paraId="61220908" w14:textId="77777777" w:rsidR="0023026D" w:rsidRPr="009D54D2" w:rsidRDefault="0023026D" w:rsidP="00427C62">
      <w:pPr>
        <w:pStyle w:val="TeThHauorahead2"/>
        <w:numPr>
          <w:ilvl w:val="0"/>
          <w:numId w:val="5"/>
        </w:numPr>
        <w:ind w:left="567" w:hanging="567"/>
      </w:pPr>
      <w:bookmarkStart w:id="20" w:name="_Toc181690647"/>
      <w:bookmarkStart w:id="21" w:name="_Toc201826301"/>
      <w:bookmarkStart w:id="22" w:name="_Toc207862880"/>
      <w:r w:rsidRPr="009D54D2">
        <w:t>Identifying people with suspected sepsis</w:t>
      </w:r>
      <w:bookmarkEnd w:id="20"/>
      <w:bookmarkEnd w:id="21"/>
      <w:bookmarkEnd w:id="22"/>
    </w:p>
    <w:p w14:paraId="71C15976" w14:textId="77777777" w:rsidR="0023026D" w:rsidRDefault="0023026D" w:rsidP="0023026D">
      <w:pPr>
        <w:pStyle w:val="TeThHauorabodytext"/>
      </w:pPr>
      <w:r w:rsidRPr="009D54D2">
        <w:t>This guidance should be used together with ‘Raise the Flag’ clinical pathways organi</w:t>
      </w:r>
      <w:r>
        <w:t>s</w:t>
      </w:r>
      <w:r w:rsidRPr="009D54D2">
        <w:t>ed by age group and treatment location</w:t>
      </w:r>
      <w:r>
        <w:t>.</w:t>
      </w:r>
      <w:r w:rsidRPr="009D54D2">
        <w:t xml:space="preserve"> </w:t>
      </w:r>
      <w:r>
        <w:t xml:space="preserve">The pathways are </w:t>
      </w:r>
      <w:r w:rsidRPr="2DA00B25">
        <w:t>designed</w:t>
      </w:r>
      <w:r w:rsidRPr="009D54D2">
        <w:t xml:space="preserve"> for staff working in hospital</w:t>
      </w:r>
      <w:r>
        <w:t>s, general practices</w:t>
      </w:r>
      <w:r w:rsidRPr="009D54D2">
        <w:rPr>
          <w:i/>
          <w:iCs/>
        </w:rPr>
        <w:t xml:space="preserve"> </w:t>
      </w:r>
      <w:r w:rsidRPr="009D54D2">
        <w:t>or adequately equipped urgent care provider</w:t>
      </w:r>
      <w:r>
        <w:t>s.</w:t>
      </w:r>
    </w:p>
    <w:p w14:paraId="2191F0BD" w14:textId="77777777" w:rsidR="0023026D" w:rsidRPr="009D54D2" w:rsidRDefault="0023026D" w:rsidP="0023026D">
      <w:pPr>
        <w:pStyle w:val="TeThHauorabodytext"/>
      </w:pPr>
      <w:r>
        <w:t>There are three such pathways f</w:t>
      </w:r>
      <w:r w:rsidRPr="009D54D2">
        <w:t>or the following groups:</w:t>
      </w:r>
    </w:p>
    <w:p w14:paraId="76CD59A6" w14:textId="0185BDF0" w:rsidR="0023026D" w:rsidRPr="000A124F" w:rsidRDefault="00E66A5A" w:rsidP="00253D0D">
      <w:pPr>
        <w:pStyle w:val="TeThHauorabullets"/>
      </w:pPr>
      <w:r>
        <w:t>Paediatric</w:t>
      </w:r>
      <w:r w:rsidR="00234543">
        <w:t xml:space="preserve">: </w:t>
      </w:r>
      <w:r w:rsidR="0023026D" w:rsidRPr="000A124F">
        <w:t>children (aged 11 and under)</w:t>
      </w:r>
    </w:p>
    <w:p w14:paraId="3EF53116" w14:textId="6702F39B" w:rsidR="0023026D" w:rsidRPr="000A124F" w:rsidRDefault="00234543" w:rsidP="00253D0D">
      <w:pPr>
        <w:pStyle w:val="TeThHauorabullets"/>
      </w:pPr>
      <w:r>
        <w:t xml:space="preserve">Adult and Young Person: </w:t>
      </w:r>
      <w:r w:rsidR="0023026D" w:rsidRPr="000A124F">
        <w:t>adults and young people (aged 12 and over)</w:t>
      </w:r>
    </w:p>
    <w:p w14:paraId="5F68F587" w14:textId="727AF35E" w:rsidR="0023026D" w:rsidRDefault="00CC7007" w:rsidP="00253D0D">
      <w:pPr>
        <w:pStyle w:val="TeThHauorabullets"/>
      </w:pPr>
      <w:r>
        <w:t xml:space="preserve">Maternal: </w:t>
      </w:r>
      <w:r w:rsidR="0023026D" w:rsidRPr="000A124F">
        <w:t>people</w:t>
      </w:r>
      <w:r w:rsidR="0023026D" w:rsidRPr="009D54D2">
        <w:t xml:space="preserve"> who are pregnant or </w:t>
      </w:r>
      <w:r w:rsidR="0023026D">
        <w:t xml:space="preserve">less than </w:t>
      </w:r>
      <w:r w:rsidR="0023026D" w:rsidRPr="009D54D2">
        <w:t>6 weeks</w:t>
      </w:r>
      <w:r w:rsidR="0023026D">
        <w:t xml:space="preserve"> postpartum.</w:t>
      </w:r>
    </w:p>
    <w:p w14:paraId="612E79FB" w14:textId="77777777" w:rsidR="00C2406E" w:rsidRDefault="00C2406E" w:rsidP="00C2406E">
      <w:pPr>
        <w:pStyle w:val="TeThHauorabodytext"/>
        <w:spacing w:after="0"/>
      </w:pPr>
    </w:p>
    <w:p w14:paraId="12545B2E" w14:textId="77777777" w:rsidR="0023026D" w:rsidRPr="00DB5AAE" w:rsidRDefault="0023026D" w:rsidP="00FB5337">
      <w:pPr>
        <w:pStyle w:val="TeThHauorabodytext"/>
        <w:numPr>
          <w:ilvl w:val="0"/>
          <w:numId w:val="33"/>
        </w:numPr>
        <w:rPr>
          <w:b/>
          <w:bCs/>
        </w:rPr>
      </w:pPr>
      <w:r w:rsidRPr="00DB5AAE">
        <w:t>Specific guidance for providers working in primary and urgent care can be found in HealthPathways (</w:t>
      </w:r>
      <w:hyperlink r:id="rId19">
        <w:r w:rsidRPr="00DB5AAE">
          <w:t>www.communityhealthpathways.org</w:t>
        </w:r>
      </w:hyperlink>
      <w:r w:rsidRPr="00DB5AAE">
        <w:t>).</w:t>
      </w:r>
    </w:p>
    <w:p w14:paraId="493AA90F" w14:textId="77777777" w:rsidR="0023026D" w:rsidRPr="00FB5337" w:rsidRDefault="0023026D" w:rsidP="00FB5337">
      <w:pPr>
        <w:pStyle w:val="TeThHauorabodytext"/>
        <w:numPr>
          <w:ilvl w:val="0"/>
          <w:numId w:val="33"/>
        </w:numPr>
      </w:pPr>
      <w:r w:rsidRPr="00DB5AAE">
        <w:t>Providers working in ambulance services and primary or urgent care should refer to context-specific guidelines where available.</w:t>
      </w:r>
    </w:p>
    <w:p w14:paraId="6A748AE0" w14:textId="77777777" w:rsidR="0023026D" w:rsidRPr="00FB5337" w:rsidRDefault="0023026D" w:rsidP="00FB5337">
      <w:pPr>
        <w:pStyle w:val="TeThHauorabodytext"/>
        <w:numPr>
          <w:ilvl w:val="0"/>
          <w:numId w:val="33"/>
        </w:numPr>
      </w:pPr>
      <w:bookmarkStart w:id="23" w:name="_Toc201826302"/>
      <w:bookmarkStart w:id="24" w:name="_Toc181690648"/>
      <w:r w:rsidRPr="00DB5AAE">
        <w:t>In all settings, think ‘could this be sepsis?’ if a person who looks unwell with signs or symptoms of infection.</w:t>
      </w:r>
      <w:bookmarkEnd w:id="23"/>
      <w:r w:rsidRPr="00DB5AAE">
        <w:t xml:space="preserve"> </w:t>
      </w:r>
      <w:bookmarkEnd w:id="24"/>
    </w:p>
    <w:p w14:paraId="140098D5" w14:textId="77777777" w:rsidR="0023026D" w:rsidRPr="00FB5337" w:rsidRDefault="0023026D" w:rsidP="00FB5337">
      <w:pPr>
        <w:pStyle w:val="TeThHauorabodytext"/>
        <w:numPr>
          <w:ilvl w:val="0"/>
          <w:numId w:val="33"/>
        </w:numPr>
      </w:pPr>
      <w:bookmarkStart w:id="25" w:name="_Toc181690649"/>
      <w:bookmarkStart w:id="26" w:name="_Toc201826303"/>
      <w:proofErr w:type="gramStart"/>
      <w:r w:rsidRPr="00DB5AAE">
        <w:t>Take into account</w:t>
      </w:r>
      <w:proofErr w:type="gramEnd"/>
      <w:r w:rsidRPr="00DB5AAE">
        <w:t xml:space="preserve"> that people with sepsis may have non-specific, non-localised presentations and may not have a high temperature.</w:t>
      </w:r>
      <w:bookmarkEnd w:id="25"/>
      <w:bookmarkEnd w:id="26"/>
    </w:p>
    <w:p w14:paraId="75F3D49B" w14:textId="77777777" w:rsidR="0023026D" w:rsidRPr="00FB5337" w:rsidRDefault="0023026D" w:rsidP="00FB5337">
      <w:pPr>
        <w:pStyle w:val="TeThHauorabodytext"/>
        <w:numPr>
          <w:ilvl w:val="0"/>
          <w:numId w:val="33"/>
        </w:numPr>
      </w:pPr>
      <w:bookmarkStart w:id="27" w:name="_Toc181690650"/>
      <w:bookmarkStart w:id="28" w:name="_Toc201826304"/>
      <w:r w:rsidRPr="00DB5AAE">
        <w:t>Pay particular attention to concerns expressed by the person and their family/whānau and carers, for example, changes from usual behaviour.</w:t>
      </w:r>
      <w:bookmarkEnd w:id="27"/>
      <w:bookmarkEnd w:id="28"/>
      <w:r w:rsidRPr="00DB5AAE">
        <w:t xml:space="preserve"> </w:t>
      </w:r>
    </w:p>
    <w:p w14:paraId="2630251D" w14:textId="77777777" w:rsidR="0023026D" w:rsidRPr="00FB5337" w:rsidRDefault="0023026D" w:rsidP="00FB5337">
      <w:pPr>
        <w:pStyle w:val="TeThHauorabodytext"/>
        <w:numPr>
          <w:ilvl w:val="0"/>
          <w:numId w:val="33"/>
        </w:numPr>
      </w:pPr>
      <w:bookmarkStart w:id="29" w:name="_Toc181690651"/>
      <w:bookmarkStart w:id="30" w:name="_Toc201826305"/>
      <w:r w:rsidRPr="00DB5AAE">
        <w:t>Assess people who might have sepsis with extra care if the clinical history is not easily forthcoming (for example, people with English as a second language or people with communication problems).</w:t>
      </w:r>
      <w:bookmarkEnd w:id="29"/>
      <w:bookmarkEnd w:id="30"/>
    </w:p>
    <w:p w14:paraId="200C851B" w14:textId="77777777" w:rsidR="0023026D" w:rsidRPr="00FB5337" w:rsidRDefault="0023026D" w:rsidP="00FB5337">
      <w:pPr>
        <w:pStyle w:val="TeThHauorabodytext"/>
        <w:numPr>
          <w:ilvl w:val="0"/>
          <w:numId w:val="33"/>
        </w:numPr>
      </w:pPr>
      <w:bookmarkStart w:id="31" w:name="_Toc181690652"/>
      <w:bookmarkStart w:id="32" w:name="_Toc201826306"/>
      <w:r w:rsidRPr="00FB5337">
        <w:t>* Assess people with any suspected infection to identify:</w:t>
      </w:r>
      <w:bookmarkEnd w:id="31"/>
      <w:bookmarkEnd w:id="32"/>
    </w:p>
    <w:p w14:paraId="1B5B1FCC" w14:textId="77777777" w:rsidR="0023026D" w:rsidRPr="009D54D2" w:rsidRDefault="0023026D" w:rsidP="00752C65">
      <w:pPr>
        <w:pStyle w:val="TeThHauorabullets"/>
        <w:ind w:left="1077"/>
      </w:pPr>
      <w:r>
        <w:t xml:space="preserve">a </w:t>
      </w:r>
      <w:r w:rsidRPr="009D54D2">
        <w:t>possible source of infection</w:t>
      </w:r>
    </w:p>
    <w:p w14:paraId="11DF976D" w14:textId="2BD7EA13" w:rsidR="0023026D" w:rsidRPr="009D54D2" w:rsidRDefault="0023026D" w:rsidP="00752C65">
      <w:pPr>
        <w:pStyle w:val="TeThHauorabullets"/>
        <w:spacing w:after="120"/>
        <w:ind w:left="1077"/>
      </w:pPr>
      <w:r w:rsidRPr="009D54D2">
        <w:t xml:space="preserve">factors that increase risk of sepsis (see </w:t>
      </w:r>
      <w:r>
        <w:t>recommendation 2</w:t>
      </w:r>
      <w:r w:rsidRPr="009D54D2">
        <w:t>)</w:t>
      </w:r>
      <w:r w:rsidR="00D928FD">
        <w:t>.</w:t>
      </w:r>
    </w:p>
    <w:p w14:paraId="49C0DA8F" w14:textId="6CF8514D" w:rsidR="0023026D" w:rsidRPr="00FB5337" w:rsidRDefault="0023026D" w:rsidP="00FB5337">
      <w:pPr>
        <w:pStyle w:val="TeThHauorabodytext"/>
        <w:numPr>
          <w:ilvl w:val="0"/>
          <w:numId w:val="33"/>
        </w:numPr>
      </w:pPr>
      <w:bookmarkStart w:id="33" w:name="_Toc181690653"/>
      <w:bookmarkStart w:id="34" w:name="_Toc201826307"/>
      <w:proofErr w:type="gramStart"/>
      <w:r w:rsidRPr="00DB5AAE">
        <w:t>Take into account</w:t>
      </w:r>
      <w:proofErr w:type="gramEnd"/>
      <w:r w:rsidRPr="00DB5AAE">
        <w:t xml:space="preserve"> factors that increase the risk of sepsis or indications of clinical concern (such as new-onset abnormalities of behaviour, circulation or respiration) when deciding during a remote assessment whether to offer a face-to-face-assessment and, if so, the urgency of that assessment.</w:t>
      </w:r>
      <w:bookmarkEnd w:id="33"/>
      <w:bookmarkEnd w:id="34"/>
    </w:p>
    <w:p w14:paraId="068D6F01" w14:textId="0D53F8AD" w:rsidR="0023026D" w:rsidRPr="00FB5337" w:rsidRDefault="0023026D" w:rsidP="00FB5337">
      <w:pPr>
        <w:pStyle w:val="TeThHauorabodytext"/>
        <w:numPr>
          <w:ilvl w:val="0"/>
          <w:numId w:val="33"/>
        </w:numPr>
      </w:pPr>
      <w:bookmarkStart w:id="35" w:name="_Toc181690654"/>
      <w:bookmarkStart w:id="36" w:name="_Toc201826308"/>
      <w:r w:rsidRPr="00DB5AAE">
        <w:t>Use a structured set of observations to assess people in a face-to-face setting to stratify risk (see recommendation 3) if you suspect sepsis.</w:t>
      </w:r>
      <w:bookmarkEnd w:id="35"/>
      <w:bookmarkEnd w:id="36"/>
    </w:p>
    <w:p w14:paraId="7AE81EAD" w14:textId="77777777" w:rsidR="0023026D" w:rsidRPr="00FB5337" w:rsidRDefault="0023026D" w:rsidP="00FB5337">
      <w:pPr>
        <w:pStyle w:val="TeThHauorabodytext"/>
        <w:numPr>
          <w:ilvl w:val="0"/>
          <w:numId w:val="33"/>
        </w:numPr>
      </w:pPr>
      <w:bookmarkStart w:id="37" w:name="_Toc181690655"/>
      <w:bookmarkStart w:id="38" w:name="_Toc201826309"/>
      <w:r w:rsidRPr="00DB5AAE">
        <w:t>Use an early warning score (EWS), paediatric EWS (PEWS) or maternal EWS (MEWS)) to assess and monitor people with suspected sepsis in acute hospital settings</w:t>
      </w:r>
      <w:bookmarkEnd w:id="37"/>
      <w:bookmarkEnd w:id="38"/>
      <w:r w:rsidRPr="00DB5AAE">
        <w:t>.</w:t>
      </w:r>
    </w:p>
    <w:p w14:paraId="35EDBE39" w14:textId="77777777" w:rsidR="0023026D" w:rsidRPr="00FB5337" w:rsidRDefault="0023026D" w:rsidP="00FB5337">
      <w:pPr>
        <w:pStyle w:val="TeThHauorabodytext"/>
        <w:numPr>
          <w:ilvl w:val="0"/>
          <w:numId w:val="33"/>
        </w:numPr>
      </w:pPr>
      <w:bookmarkStart w:id="39" w:name="_Toc181690656"/>
      <w:bookmarkStart w:id="40" w:name="_Toc201826310"/>
      <w:r w:rsidRPr="00DB5AAE">
        <w:lastRenderedPageBreak/>
        <w:t>Suspect neutropenic sepsis in patients having anticancer treatment who become unwell.</w:t>
      </w:r>
      <w:bookmarkEnd w:id="39"/>
      <w:bookmarkEnd w:id="40"/>
      <w:r w:rsidRPr="00DB5AAE">
        <w:t xml:space="preserve"> </w:t>
      </w:r>
    </w:p>
    <w:p w14:paraId="7CA74F6B" w14:textId="77777777" w:rsidR="0023026D" w:rsidRPr="00FB5337" w:rsidRDefault="0023026D" w:rsidP="00FB5337">
      <w:pPr>
        <w:pStyle w:val="TeThHauorabodytext"/>
        <w:numPr>
          <w:ilvl w:val="0"/>
          <w:numId w:val="33"/>
        </w:numPr>
      </w:pPr>
      <w:bookmarkStart w:id="41" w:name="_Toc181690657"/>
      <w:bookmarkStart w:id="42" w:name="_Toc201826311"/>
      <w:r w:rsidRPr="00DB5AAE">
        <w:t>Refer patients with suspected neutropenic sepsis immediately for assessment in secondary or tertiary care.</w:t>
      </w:r>
      <w:bookmarkEnd w:id="41"/>
      <w:bookmarkEnd w:id="42"/>
      <w:r w:rsidRPr="00DB5AAE">
        <w:t xml:space="preserve"> </w:t>
      </w:r>
    </w:p>
    <w:p w14:paraId="380D4B76" w14:textId="77777777" w:rsidR="00BA61CB" w:rsidRPr="009D54D2" w:rsidRDefault="00BA61CB" w:rsidP="00427C62">
      <w:pPr>
        <w:pStyle w:val="TeThHauorahead2"/>
        <w:numPr>
          <w:ilvl w:val="0"/>
          <w:numId w:val="5"/>
        </w:numPr>
        <w:ind w:left="567" w:hanging="567"/>
      </w:pPr>
      <w:bookmarkStart w:id="43" w:name="_Toc181690658"/>
      <w:bookmarkStart w:id="44" w:name="_Toc201826312"/>
      <w:bookmarkStart w:id="45" w:name="_Toc207862881"/>
      <w:r w:rsidRPr="009D54D2">
        <w:t>Risk factors for sepsis</w:t>
      </w:r>
      <w:bookmarkEnd w:id="43"/>
      <w:bookmarkEnd w:id="44"/>
      <w:bookmarkEnd w:id="45"/>
    </w:p>
    <w:p w14:paraId="7114C634" w14:textId="77777777" w:rsidR="00BA61CB" w:rsidRPr="0042776A" w:rsidRDefault="00BA61CB" w:rsidP="00752C65">
      <w:pPr>
        <w:pStyle w:val="ListParagraph"/>
        <w:numPr>
          <w:ilvl w:val="1"/>
          <w:numId w:val="6"/>
        </w:numPr>
        <w:spacing w:line="240" w:lineRule="auto"/>
        <w:ind w:left="680" w:hanging="680"/>
        <w:contextualSpacing w:val="0"/>
        <w:rPr>
          <w:rFonts w:cs="Arial"/>
        </w:rPr>
      </w:pPr>
      <w:r w:rsidRPr="0042776A">
        <w:rPr>
          <w:rFonts w:cs="Arial"/>
        </w:rPr>
        <w:t xml:space="preserve">* </w:t>
      </w:r>
      <w:proofErr w:type="gramStart"/>
      <w:r w:rsidRPr="0042776A">
        <w:rPr>
          <w:rFonts w:cs="Arial"/>
        </w:rPr>
        <w:t>Take into account</w:t>
      </w:r>
      <w:proofErr w:type="gramEnd"/>
      <w:r w:rsidRPr="0042776A">
        <w:rPr>
          <w:rFonts w:cs="Arial"/>
        </w:rPr>
        <w:t xml:space="preserve"> the following groups are at higher risk of developing sepsis:</w:t>
      </w:r>
    </w:p>
    <w:p w14:paraId="4504BF03" w14:textId="77777777" w:rsidR="00BA61CB" w:rsidRPr="00F730F6" w:rsidRDefault="00BA61CB" w:rsidP="00752C65">
      <w:pPr>
        <w:pStyle w:val="TeThHauorabullets"/>
        <w:ind w:left="1077"/>
      </w:pPr>
      <w:r w:rsidRPr="00F730F6">
        <w:t>Māori and Pacific peoples</w:t>
      </w:r>
    </w:p>
    <w:p w14:paraId="6220B552" w14:textId="77777777" w:rsidR="00BA61CB" w:rsidRPr="00F730F6" w:rsidRDefault="00BA61CB" w:rsidP="00752C65">
      <w:pPr>
        <w:pStyle w:val="TeThHauorabullets"/>
        <w:ind w:left="1077"/>
      </w:pPr>
      <w:r w:rsidRPr="00F730F6">
        <w:t>very young people (under 1 year), older people (over 60 years or over 50 years if of Māori or Pacific ethnicity), very frail people and people who live with significant medical co-morbidity</w:t>
      </w:r>
    </w:p>
    <w:p w14:paraId="1BD905D3" w14:textId="77777777" w:rsidR="00BA61CB" w:rsidRPr="00F730F6" w:rsidRDefault="00BA61CB" w:rsidP="00752C65">
      <w:pPr>
        <w:pStyle w:val="TeThHauorabullets"/>
        <w:ind w:left="1077"/>
      </w:pPr>
      <w:r w:rsidRPr="00F730F6">
        <w:t xml:space="preserve">people who have impaired immune systems because of illness or drugs, including people being treated for cancer with chemotherapy </w:t>
      </w:r>
    </w:p>
    <w:p w14:paraId="6FC12CDE" w14:textId="77777777" w:rsidR="00BA61CB" w:rsidRPr="00F730F6" w:rsidRDefault="00BA61CB" w:rsidP="00752C65">
      <w:pPr>
        <w:pStyle w:val="TeThHauorabullets"/>
        <w:ind w:left="1077"/>
      </w:pPr>
      <w:r w:rsidRPr="00F730F6">
        <w:t>people who have impaired immune function (</w:t>
      </w:r>
      <w:proofErr w:type="spellStart"/>
      <w:r w:rsidRPr="00F730F6">
        <w:t>eg</w:t>
      </w:r>
      <w:proofErr w:type="spellEnd"/>
      <w:r w:rsidRPr="00F730F6">
        <w:t>, people with diabetes, people who have had a splenectomy or people with sickle cell disease)</w:t>
      </w:r>
    </w:p>
    <w:p w14:paraId="60E329D9" w14:textId="77777777" w:rsidR="00BA61CB" w:rsidRPr="00F730F6" w:rsidRDefault="00BA61CB" w:rsidP="00752C65">
      <w:pPr>
        <w:pStyle w:val="TeThHauorabullets"/>
        <w:ind w:left="1077"/>
      </w:pPr>
      <w:r w:rsidRPr="00F730F6">
        <w:t>people taking long-term steroids</w:t>
      </w:r>
    </w:p>
    <w:p w14:paraId="05C94493" w14:textId="6C74CBF9" w:rsidR="00BA61CB" w:rsidRPr="00F730F6" w:rsidRDefault="00BA61CB" w:rsidP="00752C65">
      <w:pPr>
        <w:pStyle w:val="TeThHauorabullets"/>
        <w:ind w:left="1077"/>
      </w:pPr>
      <w:r w:rsidRPr="00F730F6">
        <w:t xml:space="preserve">people taking </w:t>
      </w:r>
      <w:r w:rsidR="00E620C7">
        <w:t>i</w:t>
      </w:r>
      <w:r w:rsidRPr="00F730F6">
        <w:t>mmunomodulatory therapy to treat non-malignant disorders such as rheumatoid arthritis</w:t>
      </w:r>
    </w:p>
    <w:p w14:paraId="15586D9B" w14:textId="77777777" w:rsidR="00BA61CB" w:rsidRPr="00F730F6" w:rsidRDefault="00BA61CB" w:rsidP="00752C65">
      <w:pPr>
        <w:pStyle w:val="TeThHauorabullets"/>
        <w:ind w:left="1077"/>
      </w:pPr>
      <w:r w:rsidRPr="00F730F6">
        <w:t>people who have been subject to major trauma, surgery or other invasive procedures in the past six weeks</w:t>
      </w:r>
    </w:p>
    <w:p w14:paraId="7C71A19B" w14:textId="68EA9408" w:rsidR="00BA61CB" w:rsidRPr="00F730F6" w:rsidRDefault="00BA61CB" w:rsidP="00752C65">
      <w:pPr>
        <w:pStyle w:val="TeThHauorabullets"/>
        <w:ind w:left="1077"/>
      </w:pPr>
      <w:r w:rsidRPr="00F730F6">
        <w:t>people who have been subject to health care exposure (including hospital admission, antimicrobial drugs, chemotherapy, wound care or dialysis) in the past</w:t>
      </w:r>
      <w:r w:rsidR="00BE0610">
        <w:t> </w:t>
      </w:r>
      <w:r w:rsidRPr="00F730F6">
        <w:t>six weeks</w:t>
      </w:r>
    </w:p>
    <w:p w14:paraId="2E51B065" w14:textId="77777777" w:rsidR="00BA61CB" w:rsidRPr="00F730F6" w:rsidRDefault="00BA61CB" w:rsidP="00752C65">
      <w:pPr>
        <w:pStyle w:val="TeThHauorabullets"/>
        <w:ind w:left="1077"/>
      </w:pPr>
      <w:r w:rsidRPr="00F730F6">
        <w:t>people with any breach of skin integrity (e.g., cuts, burns, blisters or skin infections)</w:t>
      </w:r>
    </w:p>
    <w:p w14:paraId="0EE8DA8D" w14:textId="77777777" w:rsidR="00BA61CB" w:rsidRPr="00F730F6" w:rsidRDefault="00BA61CB" w:rsidP="00752C65">
      <w:pPr>
        <w:pStyle w:val="TeThHauorabullets"/>
        <w:ind w:left="1077"/>
      </w:pPr>
      <w:r w:rsidRPr="00F730F6">
        <w:t>people who misuse drugs intravenously</w:t>
      </w:r>
    </w:p>
    <w:p w14:paraId="16150E1F" w14:textId="77777777" w:rsidR="00BA61CB" w:rsidRPr="00F730F6" w:rsidRDefault="00BA61CB" w:rsidP="00752C65">
      <w:pPr>
        <w:pStyle w:val="TeThHauorabullets"/>
        <w:spacing w:after="120"/>
        <w:ind w:left="1077"/>
      </w:pPr>
      <w:r w:rsidRPr="00F730F6">
        <w:t>people with indwelling lines or vascular access catheters.</w:t>
      </w:r>
    </w:p>
    <w:p w14:paraId="5610E997" w14:textId="77777777" w:rsidR="00BA61CB" w:rsidRPr="009D54D2" w:rsidRDefault="00BA61CB" w:rsidP="00752C65">
      <w:pPr>
        <w:pStyle w:val="ListParagraph"/>
        <w:numPr>
          <w:ilvl w:val="1"/>
          <w:numId w:val="6"/>
        </w:numPr>
        <w:ind w:left="680" w:hanging="680"/>
        <w:contextualSpacing w:val="0"/>
        <w:rPr>
          <w:rFonts w:cs="Arial"/>
        </w:rPr>
      </w:pPr>
      <w:proofErr w:type="gramStart"/>
      <w:r w:rsidRPr="009D54D2">
        <w:rPr>
          <w:rFonts w:cs="Arial"/>
        </w:rPr>
        <w:t>Take into account</w:t>
      </w:r>
      <w:proofErr w:type="gramEnd"/>
      <w:r w:rsidRPr="009D54D2">
        <w:rPr>
          <w:rFonts w:cs="Arial"/>
        </w:rPr>
        <w:t xml:space="preserve"> that people who are pregnant, have given birth or </w:t>
      </w:r>
      <w:r>
        <w:rPr>
          <w:rFonts w:cs="Arial"/>
        </w:rPr>
        <w:t xml:space="preserve">have </w:t>
      </w:r>
      <w:r w:rsidRPr="009D54D2">
        <w:rPr>
          <w:rFonts w:cs="Arial"/>
        </w:rPr>
        <w:t xml:space="preserve">had a termination of pregnancy or miscarriage in the past </w:t>
      </w:r>
      <w:r>
        <w:rPr>
          <w:rFonts w:cs="Arial"/>
        </w:rPr>
        <w:t xml:space="preserve">six </w:t>
      </w:r>
      <w:r w:rsidRPr="009D54D2">
        <w:rPr>
          <w:rFonts w:cs="Arial"/>
        </w:rPr>
        <w:t xml:space="preserve">weeks are at high risk of sepsis. </w:t>
      </w:r>
      <w:proofErr w:type="gramStart"/>
      <w:r w:rsidRPr="009D54D2">
        <w:rPr>
          <w:rFonts w:cs="Arial"/>
        </w:rPr>
        <w:t xml:space="preserve">In particular, </w:t>
      </w:r>
      <w:r>
        <w:rPr>
          <w:rFonts w:cs="Arial"/>
        </w:rPr>
        <w:t>this</w:t>
      </w:r>
      <w:proofErr w:type="gramEnd"/>
      <w:r>
        <w:rPr>
          <w:rFonts w:cs="Arial"/>
        </w:rPr>
        <w:t xml:space="preserve"> includes </w:t>
      </w:r>
      <w:r w:rsidRPr="009D54D2">
        <w:rPr>
          <w:rFonts w:cs="Arial"/>
        </w:rPr>
        <w:t xml:space="preserve">people </w:t>
      </w:r>
      <w:r>
        <w:rPr>
          <w:rFonts w:cs="Arial"/>
        </w:rPr>
        <w:t xml:space="preserve">within that group </w:t>
      </w:r>
      <w:r w:rsidRPr="009D54D2">
        <w:rPr>
          <w:rFonts w:cs="Arial"/>
        </w:rPr>
        <w:t>who:</w:t>
      </w:r>
    </w:p>
    <w:p w14:paraId="61DE392B" w14:textId="77777777" w:rsidR="00BA61CB" w:rsidRPr="009D54D2" w:rsidRDefault="00BA61CB" w:rsidP="00752C65">
      <w:pPr>
        <w:pStyle w:val="TeThHauorabullets"/>
        <w:ind w:left="1077"/>
      </w:pPr>
      <w:r w:rsidRPr="009D54D2">
        <w:t xml:space="preserve">have impaired immune systems because of illness or drugs (see </w:t>
      </w:r>
      <w:r>
        <w:t>recommendation</w:t>
      </w:r>
      <w:r w:rsidRPr="009D54D2">
        <w:t xml:space="preserve"> 1.1.5)</w:t>
      </w:r>
    </w:p>
    <w:p w14:paraId="2544155E" w14:textId="77777777" w:rsidR="00BA61CB" w:rsidRPr="009D54D2" w:rsidRDefault="00BA61CB" w:rsidP="00752C65">
      <w:pPr>
        <w:pStyle w:val="TeThHauorabullets"/>
        <w:ind w:left="1077"/>
      </w:pPr>
      <w:r>
        <w:t>h</w:t>
      </w:r>
      <w:r w:rsidRPr="009D54D2">
        <w:t>ave gestational diabetes or diabetes or other comorbidities</w:t>
      </w:r>
    </w:p>
    <w:p w14:paraId="3FF47C75" w14:textId="77777777" w:rsidR="00BA61CB" w:rsidRPr="009D54D2" w:rsidRDefault="00BA61CB" w:rsidP="00752C65">
      <w:pPr>
        <w:pStyle w:val="TeThHauorabullets"/>
        <w:ind w:left="1077"/>
      </w:pPr>
      <w:r>
        <w:t>n</w:t>
      </w:r>
      <w:r w:rsidRPr="009D54D2">
        <w:t xml:space="preserve">eeded invasive procedures </w:t>
      </w:r>
      <w:r>
        <w:t xml:space="preserve">during labour </w:t>
      </w:r>
      <w:r w:rsidRPr="009D54D2">
        <w:t>(</w:t>
      </w:r>
      <w:r>
        <w:t>e.g.</w:t>
      </w:r>
      <w:r w:rsidRPr="009D54D2">
        <w:t>, caesarean recommendation, forceps delivery, removal of retained products of conception)</w:t>
      </w:r>
    </w:p>
    <w:p w14:paraId="21576F05" w14:textId="77777777" w:rsidR="00BA61CB" w:rsidRPr="009D54D2" w:rsidRDefault="00BA61CB" w:rsidP="00752C65">
      <w:pPr>
        <w:pStyle w:val="TeThHauorabullets"/>
        <w:ind w:left="1077"/>
      </w:pPr>
      <w:r>
        <w:t>h</w:t>
      </w:r>
      <w:r w:rsidRPr="009D54D2">
        <w:t>ad prolonged rupture of membranes</w:t>
      </w:r>
    </w:p>
    <w:p w14:paraId="324AD67A" w14:textId="77777777" w:rsidR="00BA61CB" w:rsidRPr="009D54D2" w:rsidRDefault="00BA61CB" w:rsidP="00752C65">
      <w:pPr>
        <w:pStyle w:val="TeThHauorabullets"/>
        <w:ind w:left="1077"/>
      </w:pPr>
      <w:r>
        <w:t>h</w:t>
      </w:r>
      <w:r w:rsidRPr="009D54D2">
        <w:t xml:space="preserve">ave or have been in close contact with people with group A streptococcal infection </w:t>
      </w:r>
      <w:r>
        <w:t>(</w:t>
      </w:r>
      <w:proofErr w:type="spellStart"/>
      <w:r>
        <w:t>eg</w:t>
      </w:r>
      <w:proofErr w:type="spellEnd"/>
      <w:r w:rsidRPr="009D54D2">
        <w:t xml:space="preserve"> scarlet fever</w:t>
      </w:r>
      <w:r>
        <w:t>)</w:t>
      </w:r>
    </w:p>
    <w:p w14:paraId="7C12E0FB" w14:textId="77777777" w:rsidR="00BA61CB" w:rsidRPr="009D54D2" w:rsidRDefault="00BA61CB" w:rsidP="00752C65">
      <w:pPr>
        <w:pStyle w:val="TeThHauorabullets"/>
        <w:spacing w:after="120"/>
        <w:ind w:left="1077"/>
      </w:pPr>
      <w:r>
        <w:t>h</w:t>
      </w:r>
      <w:r w:rsidRPr="009D54D2">
        <w:t>ave continued vaginal bleeding or an offensive vaginal discharge.</w:t>
      </w:r>
    </w:p>
    <w:p w14:paraId="78C25EEF" w14:textId="77777777" w:rsidR="00BA61CB" w:rsidRPr="009D54D2" w:rsidRDefault="00BA61CB" w:rsidP="00752C65">
      <w:pPr>
        <w:pStyle w:val="ListParagraph"/>
        <w:keepNext/>
        <w:numPr>
          <w:ilvl w:val="1"/>
          <w:numId w:val="6"/>
        </w:numPr>
        <w:ind w:left="680" w:hanging="680"/>
        <w:contextualSpacing w:val="0"/>
        <w:rPr>
          <w:rFonts w:cs="Arial"/>
        </w:rPr>
      </w:pPr>
      <w:r w:rsidRPr="009D54D2">
        <w:rPr>
          <w:rFonts w:cs="Arial"/>
        </w:rPr>
        <w:lastRenderedPageBreak/>
        <w:t xml:space="preserve">* </w:t>
      </w:r>
      <w:proofErr w:type="gramStart"/>
      <w:r w:rsidRPr="009D54D2">
        <w:rPr>
          <w:rFonts w:cs="Arial"/>
        </w:rPr>
        <w:t>Take into account</w:t>
      </w:r>
      <w:proofErr w:type="gramEnd"/>
      <w:r w:rsidRPr="009D54D2">
        <w:rPr>
          <w:rFonts w:cs="Arial"/>
        </w:rPr>
        <w:t xml:space="preserve"> the following risk factors for early-onset neonatal infection:</w:t>
      </w:r>
    </w:p>
    <w:p w14:paraId="53C0F693" w14:textId="77777777" w:rsidR="00BA61CB" w:rsidRPr="009D54D2" w:rsidRDefault="00BA61CB" w:rsidP="00752C65">
      <w:pPr>
        <w:pStyle w:val="TeThHauorabullets"/>
        <w:keepNext/>
        <w:ind w:left="1077"/>
      </w:pPr>
      <w:r w:rsidRPr="009D54D2">
        <w:t>invasive group B streptococcal infection in a previous baby</w:t>
      </w:r>
    </w:p>
    <w:p w14:paraId="2CC05A11" w14:textId="77777777" w:rsidR="00BA61CB" w:rsidRPr="009D54D2" w:rsidRDefault="00BA61CB" w:rsidP="00752C65">
      <w:pPr>
        <w:pStyle w:val="TeThHauorabullets"/>
        <w:ind w:left="1077"/>
      </w:pPr>
      <w:r>
        <w:t>m</w:t>
      </w:r>
      <w:r w:rsidRPr="009D54D2">
        <w:t>aternal group B streptococcal colonisation, bacteriuria or infection in the current pregnancy</w:t>
      </w:r>
    </w:p>
    <w:p w14:paraId="6A4C10E5" w14:textId="77777777" w:rsidR="00BA61CB" w:rsidRPr="009D54D2" w:rsidRDefault="00BA61CB" w:rsidP="00752C65">
      <w:pPr>
        <w:pStyle w:val="TeThHauorabullets"/>
        <w:ind w:left="1077"/>
      </w:pPr>
      <w:r>
        <w:t>p</w:t>
      </w:r>
      <w:r w:rsidRPr="009D54D2">
        <w:t>re</w:t>
      </w:r>
      <w:r>
        <w:t>-</w:t>
      </w:r>
      <w:r w:rsidRPr="009D54D2">
        <w:t>labour rupture of membranes</w:t>
      </w:r>
    </w:p>
    <w:p w14:paraId="03310F6A" w14:textId="77777777" w:rsidR="00BA61CB" w:rsidRPr="009D54D2" w:rsidRDefault="00BA61CB" w:rsidP="00752C65">
      <w:pPr>
        <w:pStyle w:val="TeThHauorabullets"/>
        <w:ind w:left="1077"/>
      </w:pPr>
      <w:r>
        <w:t>p</w:t>
      </w:r>
      <w:r w:rsidRPr="009D54D2">
        <w:t>reterm birth following spontaneous labour (before 37 weeks’ gestation)</w:t>
      </w:r>
    </w:p>
    <w:p w14:paraId="0C291068" w14:textId="77777777" w:rsidR="00BA61CB" w:rsidRPr="009D54D2" w:rsidRDefault="00BA61CB" w:rsidP="00752C65">
      <w:pPr>
        <w:pStyle w:val="TeThHauorabullets"/>
        <w:ind w:left="1077"/>
      </w:pPr>
      <w:r>
        <w:t>s</w:t>
      </w:r>
      <w:r w:rsidRPr="009D54D2">
        <w:t>uspected or confirmed rupture of membranes for more than 18 hours in a preterm birth</w:t>
      </w:r>
    </w:p>
    <w:p w14:paraId="1E67106C" w14:textId="77777777" w:rsidR="00BA61CB" w:rsidRPr="009D54D2" w:rsidRDefault="00BA61CB" w:rsidP="00752C65">
      <w:pPr>
        <w:pStyle w:val="TeThHauorabullets"/>
        <w:ind w:left="1077"/>
      </w:pPr>
      <w:r>
        <w:t>i</w:t>
      </w:r>
      <w:r w:rsidRPr="009D54D2">
        <w:t>ntrapartum fever higher than 38°C</w:t>
      </w:r>
      <w:r>
        <w:t>,</w:t>
      </w:r>
      <w:r w:rsidRPr="009D54D2">
        <w:t xml:space="preserve"> or confirmed or suspected chorioamnionitis</w:t>
      </w:r>
    </w:p>
    <w:p w14:paraId="72EDB0E6" w14:textId="77777777" w:rsidR="00BA61CB" w:rsidRPr="009D54D2" w:rsidRDefault="00BA61CB" w:rsidP="00752C65">
      <w:pPr>
        <w:pStyle w:val="TeThHauorabullets"/>
        <w:ind w:left="1077"/>
      </w:pPr>
      <w:r>
        <w:t>p</w:t>
      </w:r>
      <w:r w:rsidRPr="009D54D2">
        <w:t>arenteral antibiotic treatment given to the woman for confirmed or suspected invasive bacterial infection at any time during labour, or in the 24-hour periods before and after the birth (this does not refer to intrapartum antibiotic prophylaxis)</w:t>
      </w:r>
    </w:p>
    <w:p w14:paraId="23A868EC" w14:textId="77777777" w:rsidR="00BA61CB" w:rsidRPr="009D54D2" w:rsidRDefault="00BA61CB" w:rsidP="00752C65">
      <w:pPr>
        <w:pStyle w:val="TeThHauorabullets"/>
        <w:ind w:left="1077"/>
      </w:pPr>
      <w:r>
        <w:t>s</w:t>
      </w:r>
      <w:r w:rsidRPr="009D54D2">
        <w:t>uspected or confirmed infection in another baby</w:t>
      </w:r>
      <w:r>
        <w:t>,</w:t>
      </w:r>
      <w:r w:rsidRPr="009D54D2">
        <w:t xml:space="preserve"> in the case of a multiple pregnancy.</w:t>
      </w:r>
    </w:p>
    <w:p w14:paraId="0AADF74F" w14:textId="77777777" w:rsidR="00BA61CB" w:rsidRPr="009D54D2" w:rsidRDefault="00BA61CB" w:rsidP="00427C62">
      <w:pPr>
        <w:pStyle w:val="TeThHauorahead2"/>
        <w:numPr>
          <w:ilvl w:val="0"/>
          <w:numId w:val="5"/>
        </w:numPr>
        <w:ind w:left="567" w:hanging="567"/>
      </w:pPr>
      <w:bookmarkStart w:id="46" w:name="_Toc181690659"/>
      <w:bookmarkStart w:id="47" w:name="_Toc201826313"/>
      <w:bookmarkStart w:id="48" w:name="_Toc207862882"/>
      <w:r w:rsidRPr="009D54D2">
        <w:t>Face-to-face assessment of people with suspected sepsis</w:t>
      </w:r>
      <w:bookmarkEnd w:id="46"/>
      <w:bookmarkEnd w:id="47"/>
      <w:bookmarkEnd w:id="48"/>
    </w:p>
    <w:p w14:paraId="4EF54C5E" w14:textId="77777777" w:rsidR="00BA61CB" w:rsidRPr="000776A1" w:rsidRDefault="00BA61CB" w:rsidP="00752C65">
      <w:pPr>
        <w:pStyle w:val="ListParagraph"/>
        <w:numPr>
          <w:ilvl w:val="1"/>
          <w:numId w:val="7"/>
        </w:numPr>
        <w:ind w:left="680" w:hanging="680"/>
        <w:contextualSpacing w:val="0"/>
        <w:rPr>
          <w:rFonts w:cs="Arial"/>
        </w:rPr>
      </w:pPr>
      <w:r w:rsidRPr="000776A1">
        <w:rPr>
          <w:rFonts w:cs="Arial"/>
        </w:rPr>
        <w:t>*Assess temperature, heart rate, respiratory rate and level of consciousness in all people with suspected sepsis. Consider capillary refill time and the appropriate measurement of blood pressure in children. Measure oxygen saturation if equipment is available and taking a measurement does not cause a delay in assessment or treatment (see recommendation</w:t>
      </w:r>
      <w:r>
        <w:rPr>
          <w:rFonts w:cs="Arial"/>
        </w:rPr>
        <w:t xml:space="preserve"> </w:t>
      </w:r>
      <w:r w:rsidRPr="000776A1">
        <w:rPr>
          <w:rFonts w:cs="Arial"/>
        </w:rPr>
        <w:t>3.6 below).</w:t>
      </w:r>
    </w:p>
    <w:p w14:paraId="337F949B" w14:textId="77777777" w:rsidR="00BA61CB" w:rsidRPr="009D54D2" w:rsidRDefault="00BA61CB" w:rsidP="00752C65">
      <w:pPr>
        <w:pStyle w:val="ListParagraph"/>
        <w:numPr>
          <w:ilvl w:val="1"/>
          <w:numId w:val="7"/>
        </w:numPr>
        <w:ind w:left="680" w:hanging="680"/>
        <w:contextualSpacing w:val="0"/>
        <w:rPr>
          <w:rFonts w:cs="Arial"/>
        </w:rPr>
      </w:pPr>
      <w:r w:rsidRPr="009D54D2">
        <w:rPr>
          <w:rFonts w:cs="Arial"/>
        </w:rPr>
        <w:t xml:space="preserve">* Check capillary refill time in children aged 11 years and under with suspected sepsis. </w:t>
      </w:r>
    </w:p>
    <w:p w14:paraId="4074CBB6" w14:textId="4820BA01" w:rsidR="00BA61CB" w:rsidRPr="009D54D2" w:rsidRDefault="00BA61CB" w:rsidP="00752C65">
      <w:pPr>
        <w:pStyle w:val="ListParagraph"/>
        <w:numPr>
          <w:ilvl w:val="1"/>
          <w:numId w:val="7"/>
        </w:numPr>
        <w:ind w:left="680" w:hanging="680"/>
        <w:contextualSpacing w:val="0"/>
        <w:rPr>
          <w:rFonts w:cs="Arial"/>
        </w:rPr>
      </w:pPr>
      <w:r w:rsidRPr="009D54D2">
        <w:rPr>
          <w:rFonts w:cs="Arial"/>
        </w:rPr>
        <w:t xml:space="preserve">* Measure </w:t>
      </w:r>
      <w:r>
        <w:rPr>
          <w:rFonts w:cs="Arial"/>
        </w:rPr>
        <w:t xml:space="preserve">the </w:t>
      </w:r>
      <w:r w:rsidRPr="009D54D2">
        <w:rPr>
          <w:rFonts w:cs="Arial"/>
        </w:rPr>
        <w:t xml:space="preserve">blood pressure of children under </w:t>
      </w:r>
      <w:r>
        <w:rPr>
          <w:rFonts w:cs="Arial"/>
        </w:rPr>
        <w:t xml:space="preserve">five </w:t>
      </w:r>
      <w:r w:rsidRPr="009D54D2">
        <w:rPr>
          <w:rFonts w:cs="Arial"/>
        </w:rPr>
        <w:t>years if heart rate or capillary refill time is abnormal and facilities to measure blood pressure, including a correctly sized blood pressure cuff, are available.</w:t>
      </w:r>
      <w:r w:rsidR="00F77946">
        <w:rPr>
          <w:rFonts w:cs="Arial"/>
        </w:rPr>
        <w:t xml:space="preserve"> </w:t>
      </w:r>
    </w:p>
    <w:p w14:paraId="5BB7D0F1" w14:textId="77777777" w:rsidR="00BA61CB" w:rsidRPr="009D54D2" w:rsidRDefault="00BA61CB" w:rsidP="00752C65">
      <w:pPr>
        <w:pStyle w:val="ListParagraph"/>
        <w:numPr>
          <w:ilvl w:val="1"/>
          <w:numId w:val="7"/>
        </w:numPr>
        <w:ind w:left="680" w:hanging="680"/>
        <w:contextualSpacing w:val="0"/>
        <w:rPr>
          <w:rFonts w:cs="Arial"/>
        </w:rPr>
      </w:pPr>
      <w:r w:rsidRPr="009D54D2">
        <w:rPr>
          <w:rFonts w:cs="Arial"/>
        </w:rPr>
        <w:t xml:space="preserve">Measure </w:t>
      </w:r>
      <w:r>
        <w:rPr>
          <w:rFonts w:cs="Arial"/>
        </w:rPr>
        <w:t xml:space="preserve">the </w:t>
      </w:r>
      <w:r w:rsidRPr="009D54D2">
        <w:rPr>
          <w:rFonts w:cs="Arial"/>
        </w:rPr>
        <w:t>blood pressure of children aged 5</w:t>
      </w:r>
      <w:r>
        <w:rPr>
          <w:rFonts w:cs="Arial"/>
        </w:rPr>
        <w:t>–</w:t>
      </w:r>
      <w:r w:rsidRPr="009D54D2">
        <w:rPr>
          <w:rFonts w:cs="Arial"/>
        </w:rPr>
        <w:t>11 years who might have sepsis if facilities to measure blood pressure, including a correctly sized cuff, are available.</w:t>
      </w:r>
    </w:p>
    <w:p w14:paraId="35D7A6DC" w14:textId="77777777" w:rsidR="00BA61CB" w:rsidRPr="009D54D2" w:rsidRDefault="00BA61CB" w:rsidP="00752C65">
      <w:pPr>
        <w:pStyle w:val="ListParagraph"/>
        <w:numPr>
          <w:ilvl w:val="1"/>
          <w:numId w:val="7"/>
        </w:numPr>
        <w:ind w:left="680" w:hanging="680"/>
        <w:contextualSpacing w:val="0"/>
        <w:rPr>
          <w:rFonts w:cs="Arial"/>
        </w:rPr>
      </w:pPr>
      <w:r>
        <w:rPr>
          <w:rFonts w:cs="Arial"/>
        </w:rPr>
        <w:t>In community settings, o</w:t>
      </w:r>
      <w:r w:rsidRPr="009D54D2">
        <w:rPr>
          <w:rFonts w:cs="Arial"/>
        </w:rPr>
        <w:t xml:space="preserve">nly measure blood pressure in children </w:t>
      </w:r>
      <w:r>
        <w:rPr>
          <w:rFonts w:cs="Arial"/>
        </w:rPr>
        <w:t xml:space="preserve">aged </w:t>
      </w:r>
      <w:r w:rsidRPr="009D54D2">
        <w:rPr>
          <w:rFonts w:cs="Arial"/>
        </w:rPr>
        <w:t>11</w:t>
      </w:r>
      <w:r>
        <w:rPr>
          <w:rFonts w:cs="Arial"/>
        </w:rPr>
        <w:t xml:space="preserve"> </w:t>
      </w:r>
      <w:r w:rsidRPr="009D54D2">
        <w:rPr>
          <w:rFonts w:cs="Arial"/>
        </w:rPr>
        <w:t>years and under if facilities to measure blood pressure, including a correctly sized cuff, are available and taking a measurement does not cause a delay in assessment or treatment.</w:t>
      </w:r>
    </w:p>
    <w:p w14:paraId="2D2922AF" w14:textId="77777777" w:rsidR="00BA61CB" w:rsidRPr="009D54D2" w:rsidRDefault="00BA61CB" w:rsidP="00752C65">
      <w:pPr>
        <w:pStyle w:val="ListParagraph"/>
        <w:numPr>
          <w:ilvl w:val="1"/>
          <w:numId w:val="7"/>
        </w:numPr>
        <w:ind w:left="680" w:hanging="680"/>
        <w:contextualSpacing w:val="0"/>
        <w:rPr>
          <w:rFonts w:cs="Arial"/>
        </w:rPr>
      </w:pPr>
      <w:r w:rsidRPr="009D54D2">
        <w:rPr>
          <w:rFonts w:cs="Arial"/>
        </w:rPr>
        <w:t>Measure oxygen saturation in community settings if equipment is available and taking a measurement does not cause a delay in assessment or treatment. Note that pulse oximeters may report falsely elevated oxygen saturations in people with darker skin.</w:t>
      </w:r>
    </w:p>
    <w:p w14:paraId="1E246878" w14:textId="6BFDB153" w:rsidR="00BA61CB" w:rsidRPr="009D54D2" w:rsidRDefault="00BA61CB" w:rsidP="00752C65">
      <w:pPr>
        <w:pStyle w:val="ListParagraph"/>
        <w:numPr>
          <w:ilvl w:val="1"/>
          <w:numId w:val="7"/>
        </w:numPr>
        <w:ind w:left="680" w:hanging="680"/>
        <w:contextualSpacing w:val="0"/>
        <w:rPr>
          <w:rFonts w:cs="Arial"/>
        </w:rPr>
      </w:pPr>
      <w:r w:rsidRPr="009D54D2">
        <w:rPr>
          <w:rFonts w:cs="Arial"/>
        </w:rPr>
        <w:t>Examine people with suspected sepsis for mottled or ashen appearance</w:t>
      </w:r>
      <w:r>
        <w:rPr>
          <w:rFonts w:cs="Arial"/>
        </w:rPr>
        <w:t>;</w:t>
      </w:r>
      <w:r w:rsidRPr="009D54D2">
        <w:rPr>
          <w:rFonts w:cs="Arial"/>
        </w:rPr>
        <w:t xml:space="preserve"> cyanosis of the skin, lips or tongue</w:t>
      </w:r>
      <w:r>
        <w:rPr>
          <w:rFonts w:cs="Arial"/>
        </w:rPr>
        <w:t>;</w:t>
      </w:r>
      <w:r w:rsidRPr="009D54D2">
        <w:rPr>
          <w:rFonts w:cs="Arial"/>
        </w:rPr>
        <w:t xml:space="preserve"> non-blanching rash of the skin</w:t>
      </w:r>
      <w:r>
        <w:rPr>
          <w:rFonts w:cs="Arial"/>
        </w:rPr>
        <w:t>;</w:t>
      </w:r>
      <w:r w:rsidRPr="009D54D2">
        <w:rPr>
          <w:rFonts w:cs="Arial"/>
        </w:rPr>
        <w:t xml:space="preserve"> any breach of skin integrity (</w:t>
      </w:r>
      <w:proofErr w:type="spellStart"/>
      <w:r>
        <w:rPr>
          <w:rFonts w:cs="Arial"/>
        </w:rPr>
        <w:t>eg</w:t>
      </w:r>
      <w:proofErr w:type="spellEnd"/>
      <w:r w:rsidR="008A3529">
        <w:rPr>
          <w:rFonts w:cs="Arial"/>
        </w:rPr>
        <w:t> </w:t>
      </w:r>
      <w:r w:rsidRPr="009D54D2">
        <w:rPr>
          <w:rFonts w:cs="Arial"/>
        </w:rPr>
        <w:t>cuts, burns or skin infections)</w:t>
      </w:r>
      <w:r>
        <w:rPr>
          <w:rFonts w:cs="Arial"/>
        </w:rPr>
        <w:t>;</w:t>
      </w:r>
      <w:r w:rsidRPr="009D54D2">
        <w:rPr>
          <w:rFonts w:cs="Arial"/>
        </w:rPr>
        <w:t xml:space="preserve"> or </w:t>
      </w:r>
      <w:r>
        <w:rPr>
          <w:rFonts w:cs="Arial"/>
        </w:rPr>
        <w:t xml:space="preserve">any </w:t>
      </w:r>
      <w:r w:rsidRPr="009D54D2">
        <w:rPr>
          <w:rFonts w:cs="Arial"/>
        </w:rPr>
        <w:t>other rash indicating potential infection.</w:t>
      </w:r>
    </w:p>
    <w:p w14:paraId="2B246A51" w14:textId="77777777" w:rsidR="00BA61CB" w:rsidRPr="009D54D2" w:rsidRDefault="00BA61CB" w:rsidP="00427C62">
      <w:pPr>
        <w:pStyle w:val="TeThHauorahead2"/>
        <w:numPr>
          <w:ilvl w:val="0"/>
          <w:numId w:val="5"/>
        </w:numPr>
        <w:ind w:left="567" w:hanging="567"/>
      </w:pPr>
      <w:bookmarkStart w:id="49" w:name="_Toc201826314"/>
      <w:bookmarkStart w:id="50" w:name="_Toc181690660"/>
      <w:bookmarkStart w:id="51" w:name="_Toc207862883"/>
      <w:r w:rsidRPr="009D54D2">
        <w:lastRenderedPageBreak/>
        <w:t>Stratifying risk of severe illness or death from sepsis</w:t>
      </w:r>
      <w:bookmarkEnd w:id="49"/>
      <w:bookmarkEnd w:id="50"/>
      <w:bookmarkEnd w:id="51"/>
    </w:p>
    <w:p w14:paraId="2F0F815D" w14:textId="77777777" w:rsidR="00BA61CB" w:rsidRPr="00E22068" w:rsidRDefault="00BA61CB" w:rsidP="00427C62">
      <w:pPr>
        <w:pStyle w:val="ListParagraph"/>
        <w:keepLines/>
        <w:numPr>
          <w:ilvl w:val="1"/>
          <w:numId w:val="8"/>
        </w:numPr>
        <w:ind w:left="567" w:hanging="567"/>
        <w:contextualSpacing w:val="0"/>
        <w:rPr>
          <w:rFonts w:cs="Arial"/>
        </w:rPr>
      </w:pPr>
      <w:r w:rsidRPr="00E22068">
        <w:rPr>
          <w:rFonts w:cs="Arial"/>
        </w:rPr>
        <w:t xml:space="preserve">Use the person’s history and physical examination results to grade risk of severe illness or death from sepsis using criteria based on age (see Tables 1, 2 and 3). Findings predicting a high risk of severe illness or death are described as RED FLAGS in clinical pathways. </w:t>
      </w:r>
    </w:p>
    <w:p w14:paraId="00E2A1C2" w14:textId="77777777" w:rsidR="00BA61CB" w:rsidRPr="009D54D2" w:rsidRDefault="00BA61CB" w:rsidP="00427C62">
      <w:pPr>
        <w:pStyle w:val="ListParagraph"/>
        <w:numPr>
          <w:ilvl w:val="1"/>
          <w:numId w:val="8"/>
        </w:numPr>
        <w:spacing w:after="240"/>
        <w:ind w:left="567" w:hanging="567"/>
        <w:contextualSpacing w:val="0"/>
        <w:rPr>
          <w:rFonts w:cs="Arial"/>
        </w:rPr>
      </w:pPr>
      <w:r>
        <w:rPr>
          <w:rFonts w:cs="Arial"/>
        </w:rPr>
        <w:t>Findings predicting a m</w:t>
      </w:r>
      <w:r w:rsidRPr="009D54D2">
        <w:rPr>
          <w:rFonts w:cs="Arial"/>
        </w:rPr>
        <w:t>oderate</w:t>
      </w:r>
      <w:r>
        <w:rPr>
          <w:rFonts w:cs="Arial"/>
        </w:rPr>
        <w:t>-</w:t>
      </w:r>
      <w:r w:rsidRPr="009D54D2">
        <w:rPr>
          <w:rFonts w:cs="Arial"/>
        </w:rPr>
        <w:t xml:space="preserve"> to high</w:t>
      </w:r>
      <w:r>
        <w:rPr>
          <w:rFonts w:cs="Arial"/>
        </w:rPr>
        <w:t xml:space="preserve"> </w:t>
      </w:r>
      <w:r w:rsidRPr="009D54D2">
        <w:rPr>
          <w:rFonts w:cs="Arial"/>
        </w:rPr>
        <w:t xml:space="preserve">risk are described as AMBER FLAGS. Patients suspected of infection or sepsis who </w:t>
      </w:r>
      <w:r>
        <w:rPr>
          <w:rFonts w:cs="Arial"/>
        </w:rPr>
        <w:t xml:space="preserve">show </w:t>
      </w:r>
      <w:r w:rsidRPr="009D54D2">
        <w:rPr>
          <w:rFonts w:cs="Arial"/>
        </w:rPr>
        <w:t>high-risk findings can be referred to as having RED FLAG SEPSIS.</w:t>
      </w:r>
    </w:p>
    <w:p w14:paraId="50DFA193" w14:textId="6BAD19A8" w:rsidR="00BA61CB" w:rsidRDefault="005D330D" w:rsidP="005D330D">
      <w:pPr>
        <w:pStyle w:val="TeThHauoratablefigurecaption"/>
      </w:pPr>
      <w:r w:rsidRPr="005D330D">
        <w:t>Table 1: Risk stratification tool for adults aged 12 and over with infection and</w:t>
      </w:r>
      <w:r w:rsidR="00021734">
        <w:t> </w:t>
      </w:r>
      <w:r w:rsidRPr="005D330D">
        <w:t>clinical</w:t>
      </w:r>
      <w:r w:rsidR="00021734">
        <w:t> </w:t>
      </w:r>
      <w:r w:rsidRPr="005D330D">
        <w:t>suspicion of sepsis</w:t>
      </w:r>
    </w:p>
    <w:tbl>
      <w:tblPr>
        <w:tblW w:w="9072" w:type="dxa"/>
        <w:tblBorders>
          <w:top w:val="single" w:sz="6" w:space="0" w:color="auto"/>
          <w:bottom w:val="single" w:sz="6" w:space="0" w:color="auto"/>
          <w:insideH w:val="single" w:sz="6" w:space="0" w:color="auto"/>
          <w:insideV w:val="single" w:sz="6" w:space="0" w:color="auto"/>
        </w:tblBorders>
        <w:tblLayout w:type="fixed"/>
        <w:tblCellMar>
          <w:left w:w="85" w:type="dxa"/>
          <w:right w:w="85" w:type="dxa"/>
        </w:tblCellMar>
        <w:tblLook w:val="06A0" w:firstRow="1" w:lastRow="0" w:firstColumn="1" w:lastColumn="0" w:noHBand="1" w:noVBand="1"/>
      </w:tblPr>
      <w:tblGrid>
        <w:gridCol w:w="2127"/>
        <w:gridCol w:w="2409"/>
        <w:gridCol w:w="2410"/>
        <w:gridCol w:w="2126"/>
      </w:tblGrid>
      <w:tr w:rsidR="00193445" w:rsidRPr="00B72319" w14:paraId="1A0A4503" w14:textId="77777777" w:rsidTr="000F2B71">
        <w:trPr>
          <w:tblHeader/>
        </w:trPr>
        <w:tc>
          <w:tcPr>
            <w:tcW w:w="2127" w:type="dxa"/>
            <w:shd w:val="clear" w:color="auto" w:fill="F2F2F2" w:themeFill="background1" w:themeFillShade="F2"/>
            <w:tcMar>
              <w:top w:w="0" w:type="dxa"/>
              <w:left w:w="85" w:type="dxa"/>
              <w:bottom w:w="0" w:type="dxa"/>
              <w:right w:w="85" w:type="dxa"/>
            </w:tcMar>
            <w:vAlign w:val="bottom"/>
          </w:tcPr>
          <w:p w14:paraId="6EB71CF4" w14:textId="405093E3" w:rsidR="00193445" w:rsidRPr="00B72319" w:rsidRDefault="00193445" w:rsidP="003E52E0">
            <w:pPr>
              <w:pStyle w:val="TeThHauoratablecolumnhead"/>
            </w:pPr>
            <w:r w:rsidRPr="00B72319">
              <w:t>Category</w:t>
            </w:r>
          </w:p>
        </w:tc>
        <w:tc>
          <w:tcPr>
            <w:tcW w:w="2409" w:type="dxa"/>
            <w:shd w:val="clear" w:color="auto" w:fill="F2F2F2" w:themeFill="background1" w:themeFillShade="F2"/>
            <w:tcMar>
              <w:top w:w="0" w:type="dxa"/>
              <w:left w:w="85" w:type="dxa"/>
              <w:bottom w:w="0" w:type="dxa"/>
              <w:right w:w="85" w:type="dxa"/>
            </w:tcMar>
            <w:vAlign w:val="bottom"/>
          </w:tcPr>
          <w:p w14:paraId="01DEBA00" w14:textId="0EE15243" w:rsidR="00193445" w:rsidRPr="00B72319" w:rsidRDefault="00193445" w:rsidP="006778E3">
            <w:pPr>
              <w:pStyle w:val="TeThHauorabodytext"/>
              <w:spacing w:before="60" w:after="60"/>
              <w:rPr>
                <w:b/>
                <w:bCs/>
              </w:rPr>
            </w:pPr>
            <w:r w:rsidRPr="00B72319">
              <w:rPr>
                <w:b/>
                <w:bCs/>
              </w:rPr>
              <w:t>High-risk criteria</w:t>
            </w:r>
          </w:p>
        </w:tc>
        <w:tc>
          <w:tcPr>
            <w:tcW w:w="2410" w:type="dxa"/>
            <w:shd w:val="clear" w:color="auto" w:fill="F2F2F2" w:themeFill="background1" w:themeFillShade="F2"/>
            <w:tcMar>
              <w:top w:w="0" w:type="dxa"/>
              <w:left w:w="85" w:type="dxa"/>
              <w:bottom w:w="0" w:type="dxa"/>
              <w:right w:w="85" w:type="dxa"/>
            </w:tcMar>
            <w:vAlign w:val="bottom"/>
          </w:tcPr>
          <w:p w14:paraId="58924121" w14:textId="27BF8711" w:rsidR="00193445" w:rsidRPr="00B72319" w:rsidRDefault="00193445" w:rsidP="006778E3">
            <w:pPr>
              <w:pStyle w:val="TeThHauorabodytext"/>
              <w:spacing w:before="60" w:after="60"/>
              <w:rPr>
                <w:b/>
                <w:bCs/>
                <w:sz w:val="21"/>
                <w:szCs w:val="21"/>
              </w:rPr>
            </w:pPr>
            <w:r w:rsidRPr="00B72319">
              <w:rPr>
                <w:b/>
                <w:bCs/>
              </w:rPr>
              <w:t>Moderate- to high-risk criteria</w:t>
            </w:r>
          </w:p>
        </w:tc>
        <w:tc>
          <w:tcPr>
            <w:tcW w:w="2126" w:type="dxa"/>
            <w:shd w:val="clear" w:color="auto" w:fill="F2F2F2" w:themeFill="background1" w:themeFillShade="F2"/>
            <w:tcMar>
              <w:top w:w="0" w:type="dxa"/>
              <w:left w:w="85" w:type="dxa"/>
              <w:bottom w:w="0" w:type="dxa"/>
              <w:right w:w="85" w:type="dxa"/>
            </w:tcMar>
            <w:vAlign w:val="bottom"/>
          </w:tcPr>
          <w:p w14:paraId="7DD9727E" w14:textId="68FFE8F3" w:rsidR="00193445" w:rsidRPr="00B72319" w:rsidRDefault="00193445" w:rsidP="006778E3">
            <w:pPr>
              <w:pStyle w:val="TeThHauorabodytext"/>
              <w:spacing w:before="60" w:after="60"/>
              <w:rPr>
                <w:b/>
                <w:bCs/>
                <w:sz w:val="21"/>
                <w:szCs w:val="21"/>
              </w:rPr>
            </w:pPr>
            <w:r w:rsidRPr="00B72319">
              <w:rPr>
                <w:b/>
                <w:bCs/>
              </w:rPr>
              <w:t>Low-risk criteria</w:t>
            </w:r>
          </w:p>
        </w:tc>
      </w:tr>
      <w:tr w:rsidR="00193445" w:rsidRPr="009D54D2" w14:paraId="13B954BF" w14:textId="77777777" w:rsidTr="000F2B71">
        <w:tc>
          <w:tcPr>
            <w:tcW w:w="2127" w:type="dxa"/>
            <w:tcMar>
              <w:top w:w="0" w:type="dxa"/>
              <w:left w:w="85" w:type="dxa"/>
              <w:bottom w:w="0" w:type="dxa"/>
              <w:right w:w="85" w:type="dxa"/>
            </w:tcMar>
          </w:tcPr>
          <w:p w14:paraId="7F2B55B0" w14:textId="77777777" w:rsidR="00193445" w:rsidRPr="00236CEE" w:rsidRDefault="00193445" w:rsidP="005871AC">
            <w:pPr>
              <w:pStyle w:val="TeThHauoratablecontent"/>
              <w:rPr>
                <w:b/>
                <w:bCs/>
              </w:rPr>
            </w:pPr>
            <w:r w:rsidRPr="00236CEE">
              <w:rPr>
                <w:b/>
                <w:bCs/>
              </w:rPr>
              <w:t>History or Central Nervous System (CNS) examination</w:t>
            </w:r>
          </w:p>
        </w:tc>
        <w:tc>
          <w:tcPr>
            <w:tcW w:w="2409" w:type="dxa"/>
            <w:tcMar>
              <w:top w:w="0" w:type="dxa"/>
              <w:left w:w="85" w:type="dxa"/>
              <w:bottom w:w="0" w:type="dxa"/>
              <w:right w:w="85" w:type="dxa"/>
            </w:tcMar>
          </w:tcPr>
          <w:p w14:paraId="3C833D2B" w14:textId="77777777" w:rsidR="00193445" w:rsidRPr="009D54D2" w:rsidRDefault="00193445" w:rsidP="005871AC">
            <w:pPr>
              <w:pStyle w:val="TeThHauoratablecontent"/>
            </w:pPr>
            <w:r w:rsidRPr="009D54D2">
              <w:t>Respons</w:t>
            </w:r>
            <w:r>
              <w:t>e</w:t>
            </w:r>
            <w:r w:rsidRPr="009D54D2">
              <w:t xml:space="preserve"> to voice/pain only </w:t>
            </w:r>
            <w:r>
              <w:t xml:space="preserve">or </w:t>
            </w:r>
            <w:r w:rsidRPr="009D54D2">
              <w:t>unresponsive</w:t>
            </w:r>
          </w:p>
          <w:p w14:paraId="394819AD" w14:textId="77777777" w:rsidR="00193445" w:rsidRPr="009D54D2" w:rsidRDefault="00193445" w:rsidP="005871AC">
            <w:pPr>
              <w:pStyle w:val="TeThHauoratablecontent"/>
            </w:pPr>
            <w:r w:rsidRPr="009D54D2">
              <w:t>Risk of neutropenia (recent chemotherapy)</w:t>
            </w:r>
          </w:p>
        </w:tc>
        <w:tc>
          <w:tcPr>
            <w:tcW w:w="2410" w:type="dxa"/>
            <w:tcMar>
              <w:top w:w="0" w:type="dxa"/>
              <w:left w:w="85" w:type="dxa"/>
              <w:bottom w:w="0" w:type="dxa"/>
              <w:right w:w="85" w:type="dxa"/>
            </w:tcMar>
          </w:tcPr>
          <w:p w14:paraId="147E02F1" w14:textId="764A82F6" w:rsidR="00193445" w:rsidRPr="009D54D2" w:rsidRDefault="00193445" w:rsidP="005871AC">
            <w:pPr>
              <w:pStyle w:val="TeThHauoratablecontent"/>
            </w:pPr>
            <w:r w:rsidRPr="009D54D2">
              <w:t>History from patient, friend or relative of new onset of altered behaviour or mental state</w:t>
            </w:r>
          </w:p>
          <w:p w14:paraId="41438808" w14:textId="6C38D007" w:rsidR="00193445" w:rsidRPr="009D54D2" w:rsidRDefault="00193445" w:rsidP="005871AC">
            <w:pPr>
              <w:pStyle w:val="TeThHauoratablecontent"/>
            </w:pPr>
            <w:r w:rsidRPr="009D54D2">
              <w:t xml:space="preserve">Persistent </w:t>
            </w:r>
            <w:r>
              <w:t>family/</w:t>
            </w:r>
            <w:r w:rsidR="000A727A">
              <w:t xml:space="preserve"> </w:t>
            </w:r>
            <w:r w:rsidRPr="009D54D2">
              <w:t>whānau concern</w:t>
            </w:r>
          </w:p>
        </w:tc>
        <w:tc>
          <w:tcPr>
            <w:tcW w:w="2126" w:type="dxa"/>
            <w:tcMar>
              <w:top w:w="0" w:type="dxa"/>
              <w:left w:w="85" w:type="dxa"/>
              <w:bottom w:w="0" w:type="dxa"/>
              <w:right w:w="85" w:type="dxa"/>
            </w:tcMar>
          </w:tcPr>
          <w:p w14:paraId="56C66263" w14:textId="77777777" w:rsidR="00193445" w:rsidRPr="009D54D2" w:rsidRDefault="00193445" w:rsidP="005871AC">
            <w:pPr>
              <w:pStyle w:val="TeThHauoratablecontent"/>
            </w:pPr>
            <w:r w:rsidRPr="009D54D2">
              <w:t>Normal behaviour</w:t>
            </w:r>
          </w:p>
        </w:tc>
      </w:tr>
      <w:tr w:rsidR="00193445" w:rsidRPr="009D54D2" w14:paraId="56BE33EA" w14:textId="77777777" w:rsidTr="000F2B71">
        <w:tc>
          <w:tcPr>
            <w:tcW w:w="2127" w:type="dxa"/>
            <w:tcMar>
              <w:top w:w="0" w:type="dxa"/>
              <w:left w:w="85" w:type="dxa"/>
              <w:bottom w:w="0" w:type="dxa"/>
              <w:right w:w="85" w:type="dxa"/>
            </w:tcMar>
          </w:tcPr>
          <w:p w14:paraId="47F4E2A0" w14:textId="77777777" w:rsidR="00193445" w:rsidRPr="00236CEE" w:rsidRDefault="00193445" w:rsidP="005871AC">
            <w:pPr>
              <w:pStyle w:val="TeThHauoratablecontent"/>
              <w:rPr>
                <w:b/>
                <w:bCs/>
              </w:rPr>
            </w:pPr>
            <w:r w:rsidRPr="00236CEE">
              <w:rPr>
                <w:b/>
                <w:bCs/>
              </w:rPr>
              <w:t>Respiratory</w:t>
            </w:r>
          </w:p>
        </w:tc>
        <w:tc>
          <w:tcPr>
            <w:tcW w:w="2409" w:type="dxa"/>
            <w:tcMar>
              <w:top w:w="0" w:type="dxa"/>
              <w:left w:w="85" w:type="dxa"/>
              <w:bottom w:w="0" w:type="dxa"/>
              <w:right w:w="85" w:type="dxa"/>
            </w:tcMar>
          </w:tcPr>
          <w:p w14:paraId="18A6F9A8" w14:textId="77777777" w:rsidR="00193445" w:rsidRPr="009D54D2" w:rsidRDefault="00193445" w:rsidP="005871AC">
            <w:pPr>
              <w:pStyle w:val="TeThHauoratablecontent"/>
            </w:pPr>
            <w:r w:rsidRPr="009D54D2">
              <w:t>Raised respiratory rate: 25 breaths per minute or more</w:t>
            </w:r>
          </w:p>
          <w:p w14:paraId="58C45A3A" w14:textId="77777777" w:rsidR="00193445" w:rsidRPr="009D54D2" w:rsidRDefault="00193445" w:rsidP="005871AC">
            <w:pPr>
              <w:pStyle w:val="TeThHauoratablecontent"/>
            </w:pPr>
            <w:r w:rsidRPr="009D54D2">
              <w:t>New need for oxygen to maintain saturation more than 92% (or more than 88% in known chronic obstructive pulmonary disease)</w:t>
            </w:r>
          </w:p>
        </w:tc>
        <w:tc>
          <w:tcPr>
            <w:tcW w:w="2410" w:type="dxa"/>
            <w:tcMar>
              <w:top w:w="0" w:type="dxa"/>
              <w:left w:w="85" w:type="dxa"/>
              <w:bottom w:w="0" w:type="dxa"/>
              <w:right w:w="85" w:type="dxa"/>
            </w:tcMar>
          </w:tcPr>
          <w:p w14:paraId="7FC645BF" w14:textId="77777777" w:rsidR="00193445" w:rsidRPr="009D54D2" w:rsidRDefault="00193445" w:rsidP="005871AC">
            <w:pPr>
              <w:pStyle w:val="TeThHauoratablecontent"/>
            </w:pPr>
            <w:r w:rsidRPr="009D54D2">
              <w:t>Raised respiratory rate: 21–24 breaths per minute</w:t>
            </w:r>
          </w:p>
        </w:tc>
        <w:tc>
          <w:tcPr>
            <w:tcW w:w="2126" w:type="dxa"/>
            <w:tcMar>
              <w:top w:w="0" w:type="dxa"/>
              <w:left w:w="85" w:type="dxa"/>
              <w:bottom w:w="0" w:type="dxa"/>
              <w:right w:w="85" w:type="dxa"/>
            </w:tcMar>
          </w:tcPr>
          <w:p w14:paraId="746EB90E" w14:textId="77777777" w:rsidR="00193445" w:rsidRPr="009D54D2" w:rsidRDefault="00193445" w:rsidP="005871AC">
            <w:pPr>
              <w:pStyle w:val="TeThHauoratablecontent"/>
            </w:pPr>
            <w:r w:rsidRPr="009D54D2">
              <w:t>No high risk or moderate</w:t>
            </w:r>
            <w:r>
              <w:t>-</w:t>
            </w:r>
            <w:r w:rsidRPr="009D54D2">
              <w:t xml:space="preserve"> to high-risk criteria met</w:t>
            </w:r>
          </w:p>
        </w:tc>
      </w:tr>
      <w:tr w:rsidR="00193445" w:rsidRPr="009D54D2" w14:paraId="67599FD0" w14:textId="77777777" w:rsidTr="000F2B71">
        <w:tc>
          <w:tcPr>
            <w:tcW w:w="2127" w:type="dxa"/>
            <w:tcMar>
              <w:top w:w="0" w:type="dxa"/>
              <w:left w:w="85" w:type="dxa"/>
              <w:bottom w:w="0" w:type="dxa"/>
              <w:right w:w="85" w:type="dxa"/>
            </w:tcMar>
          </w:tcPr>
          <w:p w14:paraId="59DA6C27" w14:textId="77777777" w:rsidR="00193445" w:rsidRPr="00236CEE" w:rsidRDefault="00193445" w:rsidP="005871AC">
            <w:pPr>
              <w:pStyle w:val="TeThHauoratablecontent"/>
              <w:rPr>
                <w:b/>
                <w:bCs/>
              </w:rPr>
            </w:pPr>
            <w:r w:rsidRPr="00236CEE">
              <w:rPr>
                <w:b/>
                <w:bCs/>
              </w:rPr>
              <w:t>Blood pressure</w:t>
            </w:r>
          </w:p>
        </w:tc>
        <w:tc>
          <w:tcPr>
            <w:tcW w:w="2409" w:type="dxa"/>
            <w:tcMar>
              <w:top w:w="0" w:type="dxa"/>
              <w:left w:w="85" w:type="dxa"/>
              <w:bottom w:w="0" w:type="dxa"/>
              <w:right w:w="85" w:type="dxa"/>
            </w:tcMar>
          </w:tcPr>
          <w:p w14:paraId="2B73ED56" w14:textId="029ADBAB" w:rsidR="00193445" w:rsidRPr="009D54D2" w:rsidRDefault="00193445" w:rsidP="005871AC">
            <w:pPr>
              <w:pStyle w:val="TeThHauoratablecontent"/>
            </w:pPr>
            <w:r w:rsidRPr="009D54D2">
              <w:t>Systolic blood pressure 90 mmHg or less or systolic blood pressure more than 40</w:t>
            </w:r>
            <w:r w:rsidR="000A727A">
              <w:t> </w:t>
            </w:r>
            <w:r w:rsidRPr="009D54D2">
              <w:t>mmHg below normal</w:t>
            </w:r>
          </w:p>
        </w:tc>
        <w:tc>
          <w:tcPr>
            <w:tcW w:w="2410" w:type="dxa"/>
            <w:tcMar>
              <w:top w:w="0" w:type="dxa"/>
              <w:left w:w="85" w:type="dxa"/>
              <w:bottom w:w="0" w:type="dxa"/>
              <w:right w:w="85" w:type="dxa"/>
            </w:tcMar>
          </w:tcPr>
          <w:p w14:paraId="1964B591" w14:textId="77777777" w:rsidR="00193445" w:rsidRPr="009D54D2" w:rsidRDefault="00193445" w:rsidP="005871AC">
            <w:pPr>
              <w:pStyle w:val="TeThHauoratablecontent"/>
            </w:pPr>
            <w:r w:rsidRPr="009D54D2">
              <w:t>Systolic blood pressure 91–100 mmHg</w:t>
            </w:r>
          </w:p>
        </w:tc>
        <w:tc>
          <w:tcPr>
            <w:tcW w:w="2126" w:type="dxa"/>
            <w:tcMar>
              <w:top w:w="0" w:type="dxa"/>
              <w:left w:w="85" w:type="dxa"/>
              <w:bottom w:w="0" w:type="dxa"/>
              <w:right w:w="85" w:type="dxa"/>
            </w:tcMar>
          </w:tcPr>
          <w:p w14:paraId="47962D6E" w14:textId="77777777" w:rsidR="00193445" w:rsidRPr="009D54D2" w:rsidRDefault="00193445" w:rsidP="005871AC">
            <w:pPr>
              <w:pStyle w:val="TeThHauoratablecontent"/>
            </w:pPr>
            <w:r w:rsidRPr="009D54D2">
              <w:t>No high risk or moderate</w:t>
            </w:r>
            <w:r>
              <w:t>-</w:t>
            </w:r>
            <w:r w:rsidRPr="009D54D2">
              <w:t xml:space="preserve"> to high-risk criteria met</w:t>
            </w:r>
          </w:p>
        </w:tc>
      </w:tr>
      <w:tr w:rsidR="00193445" w:rsidRPr="009D54D2" w14:paraId="17794578" w14:textId="77777777" w:rsidTr="000F2B71">
        <w:tc>
          <w:tcPr>
            <w:tcW w:w="2127" w:type="dxa"/>
            <w:tcMar>
              <w:top w:w="0" w:type="dxa"/>
              <w:left w:w="85" w:type="dxa"/>
              <w:bottom w:w="0" w:type="dxa"/>
              <w:right w:w="85" w:type="dxa"/>
            </w:tcMar>
          </w:tcPr>
          <w:p w14:paraId="7454DA02" w14:textId="77777777" w:rsidR="00193445" w:rsidRPr="00236CEE" w:rsidRDefault="00193445" w:rsidP="005871AC">
            <w:pPr>
              <w:pStyle w:val="TeThHauoratablecontent"/>
              <w:rPr>
                <w:b/>
                <w:bCs/>
              </w:rPr>
            </w:pPr>
            <w:r w:rsidRPr="00236CEE">
              <w:rPr>
                <w:b/>
                <w:bCs/>
              </w:rPr>
              <w:t>Circulation and hydration</w:t>
            </w:r>
          </w:p>
        </w:tc>
        <w:tc>
          <w:tcPr>
            <w:tcW w:w="2409" w:type="dxa"/>
            <w:tcMar>
              <w:top w:w="0" w:type="dxa"/>
              <w:left w:w="85" w:type="dxa"/>
              <w:bottom w:w="0" w:type="dxa"/>
              <w:right w:w="85" w:type="dxa"/>
            </w:tcMar>
          </w:tcPr>
          <w:p w14:paraId="06D62521" w14:textId="26EDA291" w:rsidR="00193445" w:rsidRPr="009D54D2" w:rsidRDefault="00193445" w:rsidP="005871AC">
            <w:pPr>
              <w:pStyle w:val="TeThHauoratablecontent"/>
            </w:pPr>
            <w:r w:rsidRPr="009D54D2">
              <w:t>Raised heart rate: 130 beats per minute or higher</w:t>
            </w:r>
          </w:p>
        </w:tc>
        <w:tc>
          <w:tcPr>
            <w:tcW w:w="2410" w:type="dxa"/>
            <w:tcMar>
              <w:top w:w="0" w:type="dxa"/>
              <w:left w:w="85" w:type="dxa"/>
              <w:bottom w:w="0" w:type="dxa"/>
              <w:right w:w="85" w:type="dxa"/>
            </w:tcMar>
          </w:tcPr>
          <w:p w14:paraId="605B1D35" w14:textId="6C51D492" w:rsidR="00193445" w:rsidRPr="000A06D9" w:rsidRDefault="00193445" w:rsidP="005871AC">
            <w:pPr>
              <w:pStyle w:val="TeThHauoratablecontent"/>
              <w:rPr>
                <w:highlight w:val="yellow"/>
              </w:rPr>
            </w:pPr>
            <w:r w:rsidRPr="009D54D2">
              <w:t xml:space="preserve">Raised heart rate: </w:t>
            </w:r>
            <w:r w:rsidR="00A9286C">
              <w:br/>
            </w:r>
            <w:r w:rsidRPr="009D54D2">
              <w:t>91–129 beats per minute (for pregnant women 100–129 beats per minute) or new onset arrhythmia</w:t>
            </w:r>
          </w:p>
        </w:tc>
        <w:tc>
          <w:tcPr>
            <w:tcW w:w="2126" w:type="dxa"/>
            <w:tcMar>
              <w:top w:w="0" w:type="dxa"/>
              <w:left w:w="85" w:type="dxa"/>
              <w:bottom w:w="0" w:type="dxa"/>
              <w:right w:w="85" w:type="dxa"/>
            </w:tcMar>
          </w:tcPr>
          <w:p w14:paraId="227C5944" w14:textId="77777777" w:rsidR="00193445" w:rsidRPr="009D54D2" w:rsidRDefault="00193445" w:rsidP="005871AC">
            <w:pPr>
              <w:pStyle w:val="TeThHauoratablecontent"/>
            </w:pPr>
            <w:r w:rsidRPr="009D54D2">
              <w:t>No high risk or moderate</w:t>
            </w:r>
            <w:r>
              <w:t>-</w:t>
            </w:r>
            <w:r w:rsidRPr="009D54D2">
              <w:t xml:space="preserve"> to high-risk criteria met</w:t>
            </w:r>
          </w:p>
        </w:tc>
      </w:tr>
      <w:tr w:rsidR="00193445" w:rsidRPr="009D54D2" w14:paraId="0B5A8940" w14:textId="77777777" w:rsidTr="000F2B71">
        <w:tc>
          <w:tcPr>
            <w:tcW w:w="2127" w:type="dxa"/>
            <w:tcMar>
              <w:top w:w="0" w:type="dxa"/>
              <w:left w:w="85" w:type="dxa"/>
              <w:bottom w:w="0" w:type="dxa"/>
              <w:right w:w="85" w:type="dxa"/>
            </w:tcMar>
          </w:tcPr>
          <w:p w14:paraId="226AD62D" w14:textId="77777777" w:rsidR="00193445" w:rsidRPr="00236CEE" w:rsidRDefault="00193445" w:rsidP="005871AC">
            <w:pPr>
              <w:pStyle w:val="TeThHauoratablecontent"/>
              <w:rPr>
                <w:b/>
                <w:bCs/>
              </w:rPr>
            </w:pPr>
            <w:r w:rsidRPr="00236CEE">
              <w:rPr>
                <w:b/>
                <w:bCs/>
              </w:rPr>
              <w:lastRenderedPageBreak/>
              <w:t>Temperature</w:t>
            </w:r>
          </w:p>
        </w:tc>
        <w:tc>
          <w:tcPr>
            <w:tcW w:w="2409" w:type="dxa"/>
            <w:tcMar>
              <w:top w:w="0" w:type="dxa"/>
              <w:left w:w="85" w:type="dxa"/>
              <w:bottom w:w="0" w:type="dxa"/>
              <w:right w:w="85" w:type="dxa"/>
            </w:tcMar>
          </w:tcPr>
          <w:p w14:paraId="77A73E0F" w14:textId="77777777" w:rsidR="00193445" w:rsidRPr="009D54D2" w:rsidRDefault="00193445" w:rsidP="005871AC">
            <w:pPr>
              <w:pStyle w:val="TeThHauoratablecontent"/>
            </w:pPr>
          </w:p>
        </w:tc>
        <w:tc>
          <w:tcPr>
            <w:tcW w:w="2410" w:type="dxa"/>
            <w:tcMar>
              <w:top w:w="0" w:type="dxa"/>
              <w:left w:w="85" w:type="dxa"/>
              <w:bottom w:w="0" w:type="dxa"/>
              <w:right w:w="85" w:type="dxa"/>
            </w:tcMar>
          </w:tcPr>
          <w:p w14:paraId="6604AAC0" w14:textId="77777777" w:rsidR="00193445" w:rsidRPr="009D54D2" w:rsidRDefault="00193445" w:rsidP="005871AC">
            <w:pPr>
              <w:pStyle w:val="TeThHauoratablecontent"/>
            </w:pPr>
            <w:r w:rsidRPr="009D54D2">
              <w:t>Tympanic temperature less than 36°C</w:t>
            </w:r>
          </w:p>
        </w:tc>
        <w:tc>
          <w:tcPr>
            <w:tcW w:w="2126" w:type="dxa"/>
            <w:tcMar>
              <w:top w:w="0" w:type="dxa"/>
              <w:left w:w="85" w:type="dxa"/>
              <w:bottom w:w="0" w:type="dxa"/>
              <w:right w:w="85" w:type="dxa"/>
            </w:tcMar>
          </w:tcPr>
          <w:p w14:paraId="5C1777C4" w14:textId="77777777" w:rsidR="00193445" w:rsidRPr="009D54D2" w:rsidRDefault="00193445" w:rsidP="005871AC">
            <w:pPr>
              <w:pStyle w:val="TeThHauoratablecontent"/>
            </w:pPr>
          </w:p>
        </w:tc>
      </w:tr>
      <w:tr w:rsidR="00193445" w:rsidRPr="009D54D2" w14:paraId="00D76DB7" w14:textId="77777777" w:rsidTr="000F2B71">
        <w:tc>
          <w:tcPr>
            <w:tcW w:w="2127" w:type="dxa"/>
            <w:shd w:val="clear" w:color="auto" w:fill="FFFFFF" w:themeFill="background1"/>
            <w:tcMar>
              <w:top w:w="0" w:type="dxa"/>
              <w:left w:w="85" w:type="dxa"/>
              <w:bottom w:w="0" w:type="dxa"/>
              <w:right w:w="85" w:type="dxa"/>
            </w:tcMar>
          </w:tcPr>
          <w:p w14:paraId="2B501712" w14:textId="77777777" w:rsidR="00193445" w:rsidRPr="00236CEE" w:rsidRDefault="00193445" w:rsidP="005871AC">
            <w:pPr>
              <w:pStyle w:val="TeThHauoratablecontent"/>
              <w:rPr>
                <w:b/>
                <w:bCs/>
              </w:rPr>
            </w:pPr>
            <w:r w:rsidRPr="00236CEE">
              <w:rPr>
                <w:b/>
                <w:bCs/>
              </w:rPr>
              <w:t>Skin</w:t>
            </w:r>
          </w:p>
        </w:tc>
        <w:tc>
          <w:tcPr>
            <w:tcW w:w="2409" w:type="dxa"/>
            <w:shd w:val="clear" w:color="auto" w:fill="FFFFFF" w:themeFill="background1"/>
            <w:tcMar>
              <w:top w:w="0" w:type="dxa"/>
              <w:left w:w="85" w:type="dxa"/>
              <w:bottom w:w="0" w:type="dxa"/>
              <w:right w:w="85" w:type="dxa"/>
            </w:tcMar>
          </w:tcPr>
          <w:p w14:paraId="3A91D792" w14:textId="6F38F665" w:rsidR="00193445" w:rsidRPr="009D54D2" w:rsidRDefault="00193445" w:rsidP="005871AC">
            <w:pPr>
              <w:pStyle w:val="TeThHauoratablecontent"/>
            </w:pPr>
            <w:r w:rsidRPr="009D54D2">
              <w:t xml:space="preserve">Skin ashen/mottled </w:t>
            </w:r>
            <w:r>
              <w:t xml:space="preserve">or </w:t>
            </w:r>
            <w:r w:rsidRPr="009D54D2">
              <w:t>non-blanching rash</w:t>
            </w:r>
            <w:r w:rsidR="00F77946">
              <w:t xml:space="preserve"> </w:t>
            </w:r>
          </w:p>
        </w:tc>
        <w:tc>
          <w:tcPr>
            <w:tcW w:w="2410" w:type="dxa"/>
            <w:shd w:val="clear" w:color="auto" w:fill="FFFFFF" w:themeFill="background1"/>
            <w:tcMar>
              <w:top w:w="0" w:type="dxa"/>
              <w:left w:w="85" w:type="dxa"/>
              <w:bottom w:w="0" w:type="dxa"/>
              <w:right w:w="85" w:type="dxa"/>
            </w:tcMar>
          </w:tcPr>
          <w:p w14:paraId="0807C134" w14:textId="77777777" w:rsidR="00193445" w:rsidRPr="009D54D2" w:rsidRDefault="00193445" w:rsidP="005871AC">
            <w:pPr>
              <w:pStyle w:val="TeThHauoratablecontent"/>
            </w:pPr>
          </w:p>
        </w:tc>
        <w:tc>
          <w:tcPr>
            <w:tcW w:w="2126" w:type="dxa"/>
            <w:shd w:val="clear" w:color="auto" w:fill="FFFFFF" w:themeFill="background1"/>
            <w:tcMar>
              <w:top w:w="0" w:type="dxa"/>
              <w:left w:w="85" w:type="dxa"/>
              <w:bottom w:w="0" w:type="dxa"/>
              <w:right w:w="85" w:type="dxa"/>
            </w:tcMar>
          </w:tcPr>
          <w:p w14:paraId="2C8B8E1B" w14:textId="77777777" w:rsidR="00193445" w:rsidRPr="009D54D2" w:rsidRDefault="00193445" w:rsidP="005871AC">
            <w:pPr>
              <w:pStyle w:val="TeThHauoratablecontent"/>
            </w:pPr>
          </w:p>
        </w:tc>
      </w:tr>
    </w:tbl>
    <w:p w14:paraId="22EB98C3" w14:textId="77777777" w:rsidR="005D330D" w:rsidRDefault="005D330D" w:rsidP="005D330D">
      <w:pPr>
        <w:pStyle w:val="TeThHauorabodytext"/>
      </w:pPr>
    </w:p>
    <w:p w14:paraId="4524C48E" w14:textId="18C446CE" w:rsidR="00236CEE" w:rsidRDefault="00F61691" w:rsidP="00F61691">
      <w:pPr>
        <w:pStyle w:val="TeThHauoratablefigurecaption"/>
      </w:pPr>
      <w:r w:rsidRPr="00F61691">
        <w:t>Table 2: Risk stratification tool for children aged 11 and under with infection and clinical suspicion of sepsis</w:t>
      </w:r>
    </w:p>
    <w:tbl>
      <w:tblPr>
        <w:tblW w:w="9072" w:type="dxa"/>
        <w:tblBorders>
          <w:top w:val="single" w:sz="6" w:space="0" w:color="auto"/>
          <w:bottom w:val="single" w:sz="6" w:space="0" w:color="auto"/>
          <w:insideH w:val="single" w:sz="6" w:space="0" w:color="auto"/>
          <w:insideV w:val="single" w:sz="6" w:space="0" w:color="auto"/>
        </w:tblBorders>
        <w:tblLayout w:type="fixed"/>
        <w:tblLook w:val="06A0" w:firstRow="1" w:lastRow="0" w:firstColumn="1" w:lastColumn="0" w:noHBand="1" w:noVBand="1"/>
      </w:tblPr>
      <w:tblGrid>
        <w:gridCol w:w="2127"/>
        <w:gridCol w:w="2409"/>
        <w:gridCol w:w="2410"/>
        <w:gridCol w:w="2126"/>
      </w:tblGrid>
      <w:tr w:rsidR="000A727A" w:rsidRPr="009D54D2" w14:paraId="5B6BFF6F" w14:textId="77777777" w:rsidTr="00752C65">
        <w:tc>
          <w:tcPr>
            <w:tcW w:w="2127" w:type="dxa"/>
            <w:shd w:val="clear" w:color="auto" w:fill="F2F2F2" w:themeFill="background1" w:themeFillShade="F2"/>
            <w:tcMar>
              <w:top w:w="0" w:type="dxa"/>
              <w:left w:w="85" w:type="dxa"/>
              <w:bottom w:w="0" w:type="dxa"/>
              <w:right w:w="85" w:type="dxa"/>
            </w:tcMar>
            <w:vAlign w:val="bottom"/>
          </w:tcPr>
          <w:p w14:paraId="4E434B82" w14:textId="77777777" w:rsidR="0057334D" w:rsidRPr="009D54D2" w:rsidRDefault="0057334D" w:rsidP="003E52E0">
            <w:pPr>
              <w:pStyle w:val="TeThHauoratablecolumnhead"/>
            </w:pPr>
            <w:r w:rsidRPr="009D54D2">
              <w:t>Category</w:t>
            </w:r>
          </w:p>
        </w:tc>
        <w:tc>
          <w:tcPr>
            <w:tcW w:w="2409" w:type="dxa"/>
            <w:shd w:val="clear" w:color="auto" w:fill="F2F2F2" w:themeFill="background1" w:themeFillShade="F2"/>
            <w:tcMar>
              <w:top w:w="0" w:type="dxa"/>
              <w:left w:w="85" w:type="dxa"/>
              <w:bottom w:w="0" w:type="dxa"/>
              <w:right w:w="85" w:type="dxa"/>
            </w:tcMar>
            <w:vAlign w:val="bottom"/>
          </w:tcPr>
          <w:p w14:paraId="06B496D7" w14:textId="77777777" w:rsidR="0057334D" w:rsidRPr="009D54D2" w:rsidRDefault="0057334D" w:rsidP="003E52E0">
            <w:pPr>
              <w:pStyle w:val="TeThHauoratablecolumnhead"/>
            </w:pPr>
            <w:r w:rsidRPr="009D54D2">
              <w:t>High</w:t>
            </w:r>
            <w:r>
              <w:t>-</w:t>
            </w:r>
            <w:r w:rsidRPr="009D54D2">
              <w:t>risk criteria</w:t>
            </w:r>
          </w:p>
        </w:tc>
        <w:tc>
          <w:tcPr>
            <w:tcW w:w="2410" w:type="dxa"/>
            <w:shd w:val="clear" w:color="auto" w:fill="F2F2F2" w:themeFill="background1" w:themeFillShade="F2"/>
            <w:tcMar>
              <w:top w:w="0" w:type="dxa"/>
              <w:left w:w="85" w:type="dxa"/>
              <w:bottom w:w="0" w:type="dxa"/>
              <w:right w:w="85" w:type="dxa"/>
            </w:tcMar>
            <w:vAlign w:val="bottom"/>
          </w:tcPr>
          <w:p w14:paraId="590B7D10" w14:textId="77777777" w:rsidR="0057334D" w:rsidRPr="009D54D2" w:rsidRDefault="0057334D" w:rsidP="003E52E0">
            <w:pPr>
              <w:pStyle w:val="TeThHauoratablecolumnhead"/>
            </w:pPr>
            <w:r w:rsidRPr="009D54D2">
              <w:t>Moderate</w:t>
            </w:r>
            <w:r>
              <w:t>-</w:t>
            </w:r>
            <w:r w:rsidRPr="009D54D2">
              <w:t xml:space="preserve"> to high</w:t>
            </w:r>
            <w:r>
              <w:t>-</w:t>
            </w:r>
            <w:r w:rsidRPr="009D54D2">
              <w:t>risk criteria</w:t>
            </w:r>
          </w:p>
        </w:tc>
        <w:tc>
          <w:tcPr>
            <w:tcW w:w="2126" w:type="dxa"/>
            <w:shd w:val="clear" w:color="auto" w:fill="F2F2F2" w:themeFill="background1" w:themeFillShade="F2"/>
            <w:tcMar>
              <w:top w:w="0" w:type="dxa"/>
              <w:left w:w="85" w:type="dxa"/>
              <w:bottom w:w="0" w:type="dxa"/>
              <w:right w:w="85" w:type="dxa"/>
            </w:tcMar>
            <w:vAlign w:val="bottom"/>
          </w:tcPr>
          <w:p w14:paraId="28C9A92E" w14:textId="77777777" w:rsidR="0057334D" w:rsidRPr="009D54D2" w:rsidRDefault="0057334D" w:rsidP="003E52E0">
            <w:pPr>
              <w:pStyle w:val="TeThHauoratablecolumnhead"/>
            </w:pPr>
            <w:r w:rsidRPr="009D54D2">
              <w:t>Low</w:t>
            </w:r>
            <w:r>
              <w:t>-</w:t>
            </w:r>
            <w:r w:rsidRPr="009D54D2">
              <w:t>risk criteria</w:t>
            </w:r>
          </w:p>
        </w:tc>
      </w:tr>
      <w:tr w:rsidR="000A727A" w:rsidRPr="009D54D2" w14:paraId="19C721B6" w14:textId="77777777" w:rsidTr="00A9286C">
        <w:tc>
          <w:tcPr>
            <w:tcW w:w="2127" w:type="dxa"/>
            <w:tcMar>
              <w:top w:w="0" w:type="dxa"/>
              <w:left w:w="85" w:type="dxa"/>
              <w:bottom w:w="0" w:type="dxa"/>
              <w:right w:w="85" w:type="dxa"/>
            </w:tcMar>
          </w:tcPr>
          <w:p w14:paraId="5933283A" w14:textId="77777777" w:rsidR="0057334D" w:rsidRPr="009D54D2" w:rsidRDefault="0057334D" w:rsidP="003E52E0">
            <w:pPr>
              <w:pStyle w:val="TeThHauoratablecolumnhead"/>
            </w:pPr>
            <w:r w:rsidRPr="009D54D2">
              <w:t>History or CNS examination</w:t>
            </w:r>
          </w:p>
        </w:tc>
        <w:tc>
          <w:tcPr>
            <w:tcW w:w="2409" w:type="dxa"/>
            <w:tcMar>
              <w:top w:w="0" w:type="dxa"/>
              <w:left w:w="85" w:type="dxa"/>
              <w:bottom w:w="0" w:type="dxa"/>
              <w:right w:w="85" w:type="dxa"/>
            </w:tcMar>
          </w:tcPr>
          <w:p w14:paraId="1A9B3049" w14:textId="77777777" w:rsidR="0057334D" w:rsidRPr="009D54D2" w:rsidRDefault="0057334D" w:rsidP="0057334D">
            <w:pPr>
              <w:pStyle w:val="TeThHauoratablecontent"/>
            </w:pPr>
            <w:r w:rsidRPr="009D54D2">
              <w:t xml:space="preserve">Reduced Glasgow Coma Scale </w:t>
            </w:r>
            <w:r>
              <w:t xml:space="preserve">score </w:t>
            </w:r>
            <w:r w:rsidRPr="009D54D2">
              <w:t>/ change in mental status</w:t>
            </w:r>
          </w:p>
          <w:p w14:paraId="3B358FF5" w14:textId="77777777" w:rsidR="0057334D" w:rsidRPr="009D54D2" w:rsidRDefault="0057334D" w:rsidP="0057334D">
            <w:pPr>
              <w:pStyle w:val="TeThHauoratablecontent"/>
            </w:pPr>
            <w:r w:rsidRPr="009D54D2">
              <w:t>Confused, difficult to rouse, irritable</w:t>
            </w:r>
          </w:p>
        </w:tc>
        <w:tc>
          <w:tcPr>
            <w:tcW w:w="2410" w:type="dxa"/>
            <w:tcMar>
              <w:top w:w="0" w:type="dxa"/>
              <w:left w:w="85" w:type="dxa"/>
              <w:bottom w:w="0" w:type="dxa"/>
              <w:right w:w="85" w:type="dxa"/>
            </w:tcMar>
          </w:tcPr>
          <w:p w14:paraId="10E071A3" w14:textId="2D6EF966" w:rsidR="0057334D" w:rsidRPr="009D54D2" w:rsidRDefault="0057334D" w:rsidP="0057334D">
            <w:pPr>
              <w:pStyle w:val="TeThHauoratablecontent"/>
            </w:pPr>
            <w:r w:rsidRPr="009D54D2">
              <w:t xml:space="preserve">Persistent </w:t>
            </w:r>
            <w:r>
              <w:t>family/</w:t>
            </w:r>
            <w:r w:rsidRPr="009D54D2">
              <w:t>whānau/</w:t>
            </w:r>
            <w:r w:rsidR="000A727A">
              <w:t xml:space="preserve"> </w:t>
            </w:r>
            <w:r w:rsidRPr="009D54D2">
              <w:t>caregiver concern</w:t>
            </w:r>
          </w:p>
          <w:p w14:paraId="0D744692" w14:textId="77777777" w:rsidR="0057334D" w:rsidRPr="009D54D2" w:rsidRDefault="0057334D" w:rsidP="0057334D">
            <w:pPr>
              <w:pStyle w:val="TeThHauoratablecontent"/>
            </w:pPr>
            <w:r w:rsidRPr="009D54D2">
              <w:t>Acute</w:t>
            </w:r>
            <w:r>
              <w:t xml:space="preserve"> unilateral or bilateral</w:t>
            </w:r>
            <w:r w:rsidRPr="009D54D2">
              <w:t xml:space="preserve"> leg pain</w:t>
            </w:r>
          </w:p>
          <w:p w14:paraId="3B286D8C" w14:textId="77777777" w:rsidR="0057334D" w:rsidRPr="009D54D2" w:rsidRDefault="0057334D" w:rsidP="0057334D">
            <w:pPr>
              <w:pStyle w:val="TeThHauoratablecontent"/>
            </w:pPr>
            <w:r w:rsidRPr="009D54D2">
              <w:t>Significant cardiac, respiratory or neuro-disability</w:t>
            </w:r>
          </w:p>
        </w:tc>
        <w:tc>
          <w:tcPr>
            <w:tcW w:w="2126" w:type="dxa"/>
            <w:tcMar>
              <w:top w:w="0" w:type="dxa"/>
              <w:left w:w="85" w:type="dxa"/>
              <w:bottom w:w="0" w:type="dxa"/>
              <w:right w:w="85" w:type="dxa"/>
            </w:tcMar>
          </w:tcPr>
          <w:p w14:paraId="18FF6B61" w14:textId="77777777" w:rsidR="0057334D" w:rsidRPr="009D54D2" w:rsidRDefault="0057334D" w:rsidP="0057334D">
            <w:pPr>
              <w:pStyle w:val="TeThHauoratablecontent"/>
            </w:pPr>
            <w:r w:rsidRPr="009D54D2">
              <w:t>Normal behaviour and appearance</w:t>
            </w:r>
          </w:p>
        </w:tc>
      </w:tr>
      <w:tr w:rsidR="000A727A" w:rsidRPr="009D54D2" w14:paraId="0C4C6A58" w14:textId="77777777" w:rsidTr="00A9286C">
        <w:tc>
          <w:tcPr>
            <w:tcW w:w="2127" w:type="dxa"/>
            <w:tcMar>
              <w:top w:w="0" w:type="dxa"/>
              <w:left w:w="85" w:type="dxa"/>
              <w:bottom w:w="0" w:type="dxa"/>
              <w:right w:w="85" w:type="dxa"/>
            </w:tcMar>
          </w:tcPr>
          <w:p w14:paraId="076502CF" w14:textId="77777777" w:rsidR="0057334D" w:rsidRPr="009D54D2" w:rsidRDefault="0057334D" w:rsidP="003E52E0">
            <w:pPr>
              <w:pStyle w:val="TeThHauoratablecolumnhead"/>
            </w:pPr>
            <w:r w:rsidRPr="009D54D2">
              <w:t>Respiratory</w:t>
            </w:r>
          </w:p>
        </w:tc>
        <w:tc>
          <w:tcPr>
            <w:tcW w:w="2409" w:type="dxa"/>
            <w:tcMar>
              <w:top w:w="0" w:type="dxa"/>
              <w:left w:w="85" w:type="dxa"/>
              <w:bottom w:w="0" w:type="dxa"/>
              <w:right w:w="85" w:type="dxa"/>
            </w:tcMar>
          </w:tcPr>
          <w:p w14:paraId="5865CE65" w14:textId="0E7EE72E" w:rsidR="0057334D" w:rsidRPr="009D54D2" w:rsidRDefault="0057334D" w:rsidP="000A727A">
            <w:pPr>
              <w:pStyle w:val="TeThHauoratablecontent"/>
              <w:rPr>
                <w:sz w:val="21"/>
                <w:szCs w:val="21"/>
              </w:rPr>
            </w:pPr>
            <w:r w:rsidRPr="009D54D2">
              <w:t>Persistent, severe or unexplained tachypnoea</w:t>
            </w:r>
          </w:p>
        </w:tc>
        <w:tc>
          <w:tcPr>
            <w:tcW w:w="2410" w:type="dxa"/>
            <w:tcMar>
              <w:top w:w="0" w:type="dxa"/>
              <w:left w:w="85" w:type="dxa"/>
              <w:bottom w:w="0" w:type="dxa"/>
              <w:right w:w="85" w:type="dxa"/>
            </w:tcMar>
          </w:tcPr>
          <w:p w14:paraId="54ABDD9E" w14:textId="77777777" w:rsidR="0057334D" w:rsidRPr="009D54D2" w:rsidRDefault="0057334D" w:rsidP="0057334D">
            <w:pPr>
              <w:pStyle w:val="TeThHauoratablecontent"/>
            </w:pPr>
            <w:r w:rsidRPr="009D54D2">
              <w:rPr>
                <w:sz w:val="21"/>
                <w:szCs w:val="21"/>
              </w:rPr>
              <w:t>Moderate tachypnoea</w:t>
            </w:r>
          </w:p>
          <w:p w14:paraId="2758797A" w14:textId="77777777" w:rsidR="0057334D" w:rsidRPr="009D54D2" w:rsidRDefault="0057334D" w:rsidP="0057334D">
            <w:pPr>
              <w:pStyle w:val="TeThHauoratablecontent"/>
              <w:rPr>
                <w:sz w:val="21"/>
                <w:szCs w:val="21"/>
              </w:rPr>
            </w:pPr>
            <w:r w:rsidRPr="009D54D2">
              <w:rPr>
                <w:sz w:val="21"/>
                <w:szCs w:val="21"/>
              </w:rPr>
              <w:t>Oxygen saturation &lt;92% on air</w:t>
            </w:r>
          </w:p>
        </w:tc>
        <w:tc>
          <w:tcPr>
            <w:tcW w:w="2126" w:type="dxa"/>
            <w:tcMar>
              <w:top w:w="0" w:type="dxa"/>
              <w:left w:w="85" w:type="dxa"/>
              <w:bottom w:w="0" w:type="dxa"/>
              <w:right w:w="85" w:type="dxa"/>
            </w:tcMar>
          </w:tcPr>
          <w:p w14:paraId="0838F645" w14:textId="77777777" w:rsidR="0057334D" w:rsidRPr="009D54D2" w:rsidRDefault="0057334D" w:rsidP="0057334D">
            <w:pPr>
              <w:pStyle w:val="TeThHauoratablecontent"/>
            </w:pPr>
            <w:r w:rsidRPr="009D54D2">
              <w:rPr>
                <w:sz w:val="21"/>
                <w:szCs w:val="21"/>
              </w:rPr>
              <w:t>Normal respiratory rate and oxygen saturation in room air</w:t>
            </w:r>
          </w:p>
        </w:tc>
      </w:tr>
      <w:tr w:rsidR="000A727A" w:rsidRPr="009D54D2" w14:paraId="12633188" w14:textId="77777777" w:rsidTr="00A9286C">
        <w:tc>
          <w:tcPr>
            <w:tcW w:w="2127" w:type="dxa"/>
            <w:tcMar>
              <w:top w:w="0" w:type="dxa"/>
              <w:left w:w="85" w:type="dxa"/>
              <w:bottom w:w="0" w:type="dxa"/>
              <w:right w:w="85" w:type="dxa"/>
            </w:tcMar>
          </w:tcPr>
          <w:p w14:paraId="6A986B10" w14:textId="77777777" w:rsidR="0057334D" w:rsidRPr="009D54D2" w:rsidRDefault="0057334D" w:rsidP="003E52E0">
            <w:pPr>
              <w:pStyle w:val="TeThHauoratablecolumnhead"/>
            </w:pPr>
            <w:r w:rsidRPr="009D54D2">
              <w:t>Circulation and hydration</w:t>
            </w:r>
          </w:p>
        </w:tc>
        <w:tc>
          <w:tcPr>
            <w:tcW w:w="2409" w:type="dxa"/>
            <w:tcMar>
              <w:top w:w="0" w:type="dxa"/>
              <w:left w:w="85" w:type="dxa"/>
              <w:bottom w:w="0" w:type="dxa"/>
              <w:right w:w="85" w:type="dxa"/>
            </w:tcMar>
          </w:tcPr>
          <w:p w14:paraId="74502E62" w14:textId="77777777" w:rsidR="0057334D" w:rsidRPr="009D54D2" w:rsidRDefault="0057334D" w:rsidP="0057334D">
            <w:pPr>
              <w:pStyle w:val="TeThHauoratablecontent"/>
            </w:pPr>
            <w:r w:rsidRPr="009D54D2">
              <w:t xml:space="preserve">Severe tachycardia (age-appropriate </w:t>
            </w:r>
            <w:r>
              <w:t>PEWS r</w:t>
            </w:r>
            <w:r w:rsidRPr="009D54D2">
              <w:t xml:space="preserve">ed </w:t>
            </w:r>
            <w:r>
              <w:t>z</w:t>
            </w:r>
            <w:r w:rsidRPr="009D54D2">
              <w:t>one)</w:t>
            </w:r>
          </w:p>
          <w:p w14:paraId="4310632E" w14:textId="77777777" w:rsidR="0057334D" w:rsidRPr="009D54D2" w:rsidRDefault="0057334D" w:rsidP="0057334D">
            <w:pPr>
              <w:pStyle w:val="TeThHauoratablecontent"/>
            </w:pPr>
            <w:r w:rsidRPr="009D54D2">
              <w:t>Persistent or unexplained tachycardia despite structured assessment and treatment</w:t>
            </w:r>
          </w:p>
        </w:tc>
        <w:tc>
          <w:tcPr>
            <w:tcW w:w="2410" w:type="dxa"/>
            <w:tcMar>
              <w:top w:w="0" w:type="dxa"/>
              <w:left w:w="85" w:type="dxa"/>
              <w:bottom w:w="0" w:type="dxa"/>
              <w:right w:w="85" w:type="dxa"/>
            </w:tcMar>
          </w:tcPr>
          <w:p w14:paraId="66B9C608" w14:textId="77777777" w:rsidR="0057334D" w:rsidRPr="009D54D2" w:rsidRDefault="0057334D" w:rsidP="0057334D">
            <w:pPr>
              <w:pStyle w:val="TeThHauoratablecontent"/>
            </w:pPr>
            <w:r w:rsidRPr="009D54D2">
              <w:t>Moderate tachycardia</w:t>
            </w:r>
          </w:p>
        </w:tc>
        <w:tc>
          <w:tcPr>
            <w:tcW w:w="2126" w:type="dxa"/>
            <w:tcMar>
              <w:top w:w="0" w:type="dxa"/>
              <w:left w:w="85" w:type="dxa"/>
              <w:bottom w:w="0" w:type="dxa"/>
              <w:right w:w="85" w:type="dxa"/>
            </w:tcMar>
          </w:tcPr>
          <w:p w14:paraId="7FEF1770" w14:textId="77777777" w:rsidR="0057334D" w:rsidRPr="009D54D2" w:rsidRDefault="0057334D" w:rsidP="0057334D">
            <w:pPr>
              <w:pStyle w:val="TeThHauoratablecontent"/>
            </w:pPr>
            <w:r w:rsidRPr="009D54D2">
              <w:t>No tachycardia</w:t>
            </w:r>
          </w:p>
        </w:tc>
      </w:tr>
      <w:tr w:rsidR="000A727A" w:rsidRPr="009D54D2" w14:paraId="7D3E7FB8" w14:textId="77777777" w:rsidTr="00A9286C">
        <w:tc>
          <w:tcPr>
            <w:tcW w:w="2127" w:type="dxa"/>
            <w:tcMar>
              <w:top w:w="0" w:type="dxa"/>
              <w:left w:w="85" w:type="dxa"/>
              <w:bottom w:w="0" w:type="dxa"/>
              <w:right w:w="85" w:type="dxa"/>
            </w:tcMar>
          </w:tcPr>
          <w:p w14:paraId="026FDC0B" w14:textId="77777777" w:rsidR="0057334D" w:rsidRPr="009D54D2" w:rsidRDefault="0057334D" w:rsidP="003E52E0">
            <w:pPr>
              <w:pStyle w:val="TeThHauoratablecolumnhead"/>
            </w:pPr>
            <w:r w:rsidRPr="009D54D2">
              <w:t>Temperature</w:t>
            </w:r>
          </w:p>
        </w:tc>
        <w:tc>
          <w:tcPr>
            <w:tcW w:w="2409" w:type="dxa"/>
            <w:tcMar>
              <w:top w:w="0" w:type="dxa"/>
              <w:left w:w="85" w:type="dxa"/>
              <w:bottom w:w="0" w:type="dxa"/>
              <w:right w:w="85" w:type="dxa"/>
            </w:tcMar>
          </w:tcPr>
          <w:p w14:paraId="185936DD" w14:textId="77777777" w:rsidR="0057334D" w:rsidRPr="009D54D2" w:rsidRDefault="0057334D" w:rsidP="0057334D">
            <w:pPr>
              <w:pStyle w:val="TeThHauoratablecontent"/>
            </w:pPr>
          </w:p>
        </w:tc>
        <w:tc>
          <w:tcPr>
            <w:tcW w:w="2410" w:type="dxa"/>
            <w:tcMar>
              <w:top w:w="0" w:type="dxa"/>
              <w:left w:w="85" w:type="dxa"/>
              <w:bottom w:w="0" w:type="dxa"/>
              <w:right w:w="85" w:type="dxa"/>
            </w:tcMar>
          </w:tcPr>
          <w:p w14:paraId="319A7DDA" w14:textId="77777777" w:rsidR="0057334D" w:rsidRPr="009D54D2" w:rsidRDefault="0057334D" w:rsidP="0057334D">
            <w:pPr>
              <w:pStyle w:val="TeThHauoratablecontent"/>
            </w:pPr>
            <w:r w:rsidRPr="009D54D2">
              <w:t>Rigors or temperature &gt;39ºC</w:t>
            </w:r>
          </w:p>
        </w:tc>
        <w:tc>
          <w:tcPr>
            <w:tcW w:w="2126" w:type="dxa"/>
            <w:tcMar>
              <w:top w:w="0" w:type="dxa"/>
              <w:left w:w="85" w:type="dxa"/>
              <w:bottom w:w="0" w:type="dxa"/>
              <w:right w:w="85" w:type="dxa"/>
            </w:tcMar>
          </w:tcPr>
          <w:p w14:paraId="0EDADC34" w14:textId="77777777" w:rsidR="0057334D" w:rsidRPr="009D54D2" w:rsidRDefault="0057334D" w:rsidP="0057334D">
            <w:pPr>
              <w:pStyle w:val="TeThHauoratablecontent"/>
            </w:pPr>
          </w:p>
        </w:tc>
      </w:tr>
      <w:tr w:rsidR="000A727A" w:rsidRPr="009D54D2" w14:paraId="6D4A4290" w14:textId="77777777" w:rsidTr="00A9286C">
        <w:tc>
          <w:tcPr>
            <w:tcW w:w="2127" w:type="dxa"/>
            <w:shd w:val="clear" w:color="auto" w:fill="FFFFFF" w:themeFill="background1"/>
            <w:tcMar>
              <w:top w:w="0" w:type="dxa"/>
              <w:left w:w="85" w:type="dxa"/>
              <w:bottom w:w="0" w:type="dxa"/>
              <w:right w:w="85" w:type="dxa"/>
            </w:tcMar>
          </w:tcPr>
          <w:p w14:paraId="61B6A4F6" w14:textId="77777777" w:rsidR="0057334D" w:rsidRPr="009D54D2" w:rsidRDefault="0057334D" w:rsidP="003E52E0">
            <w:pPr>
              <w:pStyle w:val="TeThHauoratablecolumnhead"/>
            </w:pPr>
            <w:r w:rsidRPr="009D54D2">
              <w:t>Skin</w:t>
            </w:r>
          </w:p>
        </w:tc>
        <w:tc>
          <w:tcPr>
            <w:tcW w:w="2409" w:type="dxa"/>
            <w:shd w:val="clear" w:color="auto" w:fill="FFFFFF" w:themeFill="background1"/>
            <w:tcMar>
              <w:top w:w="0" w:type="dxa"/>
              <w:left w:w="85" w:type="dxa"/>
              <w:bottom w:w="0" w:type="dxa"/>
              <w:right w:w="85" w:type="dxa"/>
            </w:tcMar>
          </w:tcPr>
          <w:p w14:paraId="36E35998" w14:textId="77777777" w:rsidR="0057334D" w:rsidRPr="009D54D2" w:rsidRDefault="0057334D" w:rsidP="0057334D">
            <w:pPr>
              <w:pStyle w:val="TeThHauoratablecontent"/>
            </w:pPr>
            <w:r w:rsidRPr="009D54D2">
              <w:rPr>
                <w:color w:val="000000" w:themeColor="text1"/>
              </w:rPr>
              <w:t>Perfusion changes (mottled/cold extremities</w:t>
            </w:r>
            <w:r>
              <w:rPr>
                <w:color w:val="000000" w:themeColor="text1"/>
              </w:rPr>
              <w:t xml:space="preserve"> </w:t>
            </w:r>
            <w:r w:rsidRPr="009D54D2">
              <w:rPr>
                <w:color w:val="000000" w:themeColor="text1"/>
              </w:rPr>
              <w:t xml:space="preserve">/ capillary refill </w:t>
            </w:r>
            <w:r>
              <w:rPr>
                <w:color w:val="000000" w:themeColor="text1"/>
              </w:rPr>
              <w:t xml:space="preserve">three </w:t>
            </w:r>
            <w:r w:rsidRPr="009D54D2">
              <w:rPr>
                <w:color w:val="000000" w:themeColor="text1"/>
              </w:rPr>
              <w:t>seconds or more)</w:t>
            </w:r>
          </w:p>
        </w:tc>
        <w:tc>
          <w:tcPr>
            <w:tcW w:w="2410" w:type="dxa"/>
            <w:shd w:val="clear" w:color="auto" w:fill="FFFFFF" w:themeFill="background1"/>
            <w:tcMar>
              <w:top w:w="0" w:type="dxa"/>
              <w:left w:w="85" w:type="dxa"/>
              <w:bottom w:w="0" w:type="dxa"/>
              <w:right w:w="85" w:type="dxa"/>
            </w:tcMar>
          </w:tcPr>
          <w:p w14:paraId="4AF0E918" w14:textId="77777777" w:rsidR="0057334D" w:rsidRPr="009D54D2" w:rsidRDefault="0057334D" w:rsidP="0057334D">
            <w:pPr>
              <w:pStyle w:val="TeThHauoratablecontent"/>
              <w:rPr>
                <w:color w:val="000000" w:themeColor="text1"/>
              </w:rPr>
            </w:pPr>
          </w:p>
        </w:tc>
        <w:tc>
          <w:tcPr>
            <w:tcW w:w="2126" w:type="dxa"/>
            <w:shd w:val="clear" w:color="auto" w:fill="FFFFFF" w:themeFill="background1"/>
            <w:tcMar>
              <w:top w:w="0" w:type="dxa"/>
              <w:left w:w="85" w:type="dxa"/>
              <w:bottom w:w="0" w:type="dxa"/>
              <w:right w:w="85" w:type="dxa"/>
            </w:tcMar>
          </w:tcPr>
          <w:p w14:paraId="172B257F" w14:textId="77777777" w:rsidR="0057334D" w:rsidRPr="009D54D2" w:rsidRDefault="0057334D" w:rsidP="0057334D">
            <w:pPr>
              <w:pStyle w:val="TeThHauoratablecontent"/>
            </w:pPr>
          </w:p>
        </w:tc>
      </w:tr>
    </w:tbl>
    <w:p w14:paraId="54E88ED0" w14:textId="77777777" w:rsidR="0057334D" w:rsidRPr="009D54D2" w:rsidRDefault="0057334D" w:rsidP="000A727A">
      <w:pPr>
        <w:pStyle w:val="TeThHauorabodytext"/>
      </w:pPr>
    </w:p>
    <w:p w14:paraId="43B4926F" w14:textId="77777777" w:rsidR="002D7D9D" w:rsidRDefault="002D7D9D" w:rsidP="002D7D9D">
      <w:pPr>
        <w:pStyle w:val="TeThHauoratablefigurecaption"/>
      </w:pPr>
      <w:r>
        <w:br w:type="page"/>
      </w:r>
    </w:p>
    <w:p w14:paraId="173F32DA" w14:textId="5D41E329" w:rsidR="002D7D9D" w:rsidRDefault="00BA7D58" w:rsidP="002D7D9D">
      <w:pPr>
        <w:pStyle w:val="TeThHauoratablefigurecaption"/>
      </w:pPr>
      <w:r w:rsidRPr="00BA7D58">
        <w:lastRenderedPageBreak/>
        <w:t>Table 3: Risk stratification tool for people who are pregnant or up to six weeks post</w:t>
      </w:r>
      <w:r w:rsidR="003E52E0">
        <w:noBreakHyphen/>
      </w:r>
      <w:r w:rsidRPr="00BA7D58">
        <w:t xml:space="preserve">pregnancy </w:t>
      </w:r>
      <w:r w:rsidR="002D7D9D" w:rsidRPr="00F61691">
        <w:t>with infection and clinical suspicion of sepsis</w:t>
      </w:r>
    </w:p>
    <w:tbl>
      <w:tblPr>
        <w:tblW w:w="9072" w:type="dxa"/>
        <w:tblBorders>
          <w:top w:val="single" w:sz="6" w:space="0" w:color="auto"/>
          <w:bottom w:val="single" w:sz="6" w:space="0" w:color="auto"/>
          <w:insideH w:val="single" w:sz="6" w:space="0" w:color="auto"/>
          <w:insideV w:val="single" w:sz="6" w:space="0" w:color="auto"/>
        </w:tblBorders>
        <w:tblLayout w:type="fixed"/>
        <w:tblCellMar>
          <w:left w:w="85" w:type="dxa"/>
          <w:right w:w="85" w:type="dxa"/>
        </w:tblCellMar>
        <w:tblLook w:val="06A0" w:firstRow="1" w:lastRow="0" w:firstColumn="1" w:lastColumn="0" w:noHBand="1" w:noVBand="1"/>
      </w:tblPr>
      <w:tblGrid>
        <w:gridCol w:w="1985"/>
        <w:gridCol w:w="2268"/>
        <w:gridCol w:w="2693"/>
        <w:gridCol w:w="2126"/>
      </w:tblGrid>
      <w:tr w:rsidR="003E52E0" w:rsidRPr="009D54D2" w14:paraId="2BDE8535" w14:textId="77777777" w:rsidTr="00021734">
        <w:trPr>
          <w:tblHeader/>
        </w:trPr>
        <w:tc>
          <w:tcPr>
            <w:tcW w:w="1985" w:type="dxa"/>
            <w:shd w:val="clear" w:color="auto" w:fill="F2F2F2" w:themeFill="background1" w:themeFillShade="F2"/>
            <w:tcMar>
              <w:top w:w="0" w:type="dxa"/>
              <w:left w:w="85" w:type="dxa"/>
              <w:bottom w:w="0" w:type="dxa"/>
              <w:right w:w="85" w:type="dxa"/>
            </w:tcMar>
            <w:vAlign w:val="bottom"/>
          </w:tcPr>
          <w:p w14:paraId="5467CCE1" w14:textId="77777777" w:rsidR="003E52E0" w:rsidRPr="009D54D2" w:rsidRDefault="003E52E0" w:rsidP="003E52E0">
            <w:pPr>
              <w:pStyle w:val="TeThHauoratablecolumnhead"/>
            </w:pPr>
            <w:r w:rsidRPr="009D54D2">
              <w:t>Category</w:t>
            </w:r>
          </w:p>
        </w:tc>
        <w:tc>
          <w:tcPr>
            <w:tcW w:w="2268" w:type="dxa"/>
            <w:shd w:val="clear" w:color="auto" w:fill="F2F2F2" w:themeFill="background1" w:themeFillShade="F2"/>
            <w:tcMar>
              <w:top w:w="0" w:type="dxa"/>
              <w:left w:w="85" w:type="dxa"/>
              <w:bottom w:w="0" w:type="dxa"/>
              <w:right w:w="85" w:type="dxa"/>
            </w:tcMar>
            <w:vAlign w:val="bottom"/>
          </w:tcPr>
          <w:p w14:paraId="2D2BA3D7" w14:textId="77777777" w:rsidR="003E52E0" w:rsidRPr="009D54D2" w:rsidRDefault="003E52E0" w:rsidP="003E52E0">
            <w:pPr>
              <w:pStyle w:val="TeThHauoratablecolumnhead"/>
            </w:pPr>
            <w:r w:rsidRPr="009D54D2">
              <w:t>High</w:t>
            </w:r>
            <w:r>
              <w:t>-</w:t>
            </w:r>
            <w:r w:rsidRPr="009D54D2">
              <w:t>risk criteria</w:t>
            </w:r>
          </w:p>
        </w:tc>
        <w:tc>
          <w:tcPr>
            <w:tcW w:w="2693" w:type="dxa"/>
            <w:shd w:val="clear" w:color="auto" w:fill="F2F2F2" w:themeFill="background1" w:themeFillShade="F2"/>
            <w:tcMar>
              <w:top w:w="0" w:type="dxa"/>
              <w:left w:w="85" w:type="dxa"/>
              <w:bottom w:w="0" w:type="dxa"/>
              <w:right w:w="85" w:type="dxa"/>
            </w:tcMar>
            <w:vAlign w:val="bottom"/>
          </w:tcPr>
          <w:p w14:paraId="7E39293F" w14:textId="77777777" w:rsidR="003E52E0" w:rsidRPr="009D54D2" w:rsidRDefault="003E52E0" w:rsidP="003E52E0">
            <w:pPr>
              <w:pStyle w:val="TeThHauoratablecolumnhead"/>
            </w:pPr>
            <w:r w:rsidRPr="009D54D2">
              <w:t>Moderate</w:t>
            </w:r>
            <w:r>
              <w:t>-</w:t>
            </w:r>
            <w:r w:rsidRPr="009D54D2">
              <w:t xml:space="preserve"> to high</w:t>
            </w:r>
            <w:r>
              <w:t>-</w:t>
            </w:r>
            <w:r w:rsidRPr="009D54D2">
              <w:t>risk criteria</w:t>
            </w:r>
          </w:p>
        </w:tc>
        <w:tc>
          <w:tcPr>
            <w:tcW w:w="2126" w:type="dxa"/>
            <w:shd w:val="clear" w:color="auto" w:fill="F2F2F2" w:themeFill="background1" w:themeFillShade="F2"/>
            <w:tcMar>
              <w:top w:w="0" w:type="dxa"/>
              <w:left w:w="85" w:type="dxa"/>
              <w:bottom w:w="0" w:type="dxa"/>
              <w:right w:w="85" w:type="dxa"/>
            </w:tcMar>
            <w:vAlign w:val="bottom"/>
          </w:tcPr>
          <w:p w14:paraId="71F0544A" w14:textId="77777777" w:rsidR="003E52E0" w:rsidRPr="009D54D2" w:rsidRDefault="003E52E0" w:rsidP="003E52E0">
            <w:pPr>
              <w:pStyle w:val="TeThHauoratablecolumnhead"/>
            </w:pPr>
            <w:r w:rsidRPr="009D54D2">
              <w:t>Low</w:t>
            </w:r>
            <w:r>
              <w:t>-</w:t>
            </w:r>
            <w:r w:rsidRPr="009D54D2">
              <w:t>risk criteria</w:t>
            </w:r>
          </w:p>
        </w:tc>
      </w:tr>
      <w:tr w:rsidR="003E52E0" w:rsidRPr="009D54D2" w14:paraId="4596E5A6" w14:textId="77777777" w:rsidTr="00021734">
        <w:tc>
          <w:tcPr>
            <w:tcW w:w="1985" w:type="dxa"/>
            <w:tcMar>
              <w:top w:w="0" w:type="dxa"/>
              <w:left w:w="85" w:type="dxa"/>
              <w:bottom w:w="0" w:type="dxa"/>
              <w:right w:w="85" w:type="dxa"/>
            </w:tcMar>
          </w:tcPr>
          <w:p w14:paraId="12A91281" w14:textId="77777777" w:rsidR="003E52E0" w:rsidRPr="009D54D2" w:rsidRDefault="003E52E0" w:rsidP="003E52E0">
            <w:pPr>
              <w:pStyle w:val="TeThHauoratablecolumnhead"/>
            </w:pPr>
            <w:r w:rsidRPr="009D54D2">
              <w:t>History or CNS examination</w:t>
            </w:r>
          </w:p>
        </w:tc>
        <w:tc>
          <w:tcPr>
            <w:tcW w:w="2268" w:type="dxa"/>
            <w:tcMar>
              <w:top w:w="0" w:type="dxa"/>
              <w:left w:w="85" w:type="dxa"/>
              <w:bottom w:w="0" w:type="dxa"/>
              <w:right w:w="85" w:type="dxa"/>
            </w:tcMar>
          </w:tcPr>
          <w:p w14:paraId="730D6E30" w14:textId="54D74565" w:rsidR="003E52E0" w:rsidRPr="009D54D2" w:rsidRDefault="003E52E0" w:rsidP="003E52E0">
            <w:pPr>
              <w:pStyle w:val="TeThHauoratablecontent"/>
            </w:pPr>
            <w:r w:rsidRPr="009D54D2">
              <w:t>Respons</w:t>
            </w:r>
            <w:r>
              <w:t>e</w:t>
            </w:r>
            <w:r w:rsidRPr="009D54D2">
              <w:t xml:space="preserve"> to voice/pain only OR unresponsive</w:t>
            </w:r>
          </w:p>
        </w:tc>
        <w:tc>
          <w:tcPr>
            <w:tcW w:w="2693" w:type="dxa"/>
            <w:tcMar>
              <w:top w:w="0" w:type="dxa"/>
              <w:left w:w="85" w:type="dxa"/>
              <w:bottom w:w="0" w:type="dxa"/>
              <w:right w:w="85" w:type="dxa"/>
            </w:tcMar>
          </w:tcPr>
          <w:p w14:paraId="654916EE" w14:textId="77777777" w:rsidR="003E52E0" w:rsidRPr="009D54D2" w:rsidRDefault="003E52E0" w:rsidP="003E52E0">
            <w:pPr>
              <w:pStyle w:val="TeThHauoratablecontent"/>
            </w:pPr>
            <w:r w:rsidRPr="009D54D2">
              <w:t>History from patient, friend or relative of new onset of altered behaviour or mental state</w:t>
            </w:r>
          </w:p>
          <w:p w14:paraId="40018D17" w14:textId="2C5E12CF" w:rsidR="003E52E0" w:rsidRPr="009D54D2" w:rsidRDefault="003E52E0" w:rsidP="003E52E0">
            <w:pPr>
              <w:pStyle w:val="TeThHauoratablecontent"/>
            </w:pPr>
            <w:r w:rsidRPr="009D54D2">
              <w:t xml:space="preserve">Persistent </w:t>
            </w:r>
            <w:r>
              <w:t xml:space="preserve">family/ </w:t>
            </w:r>
            <w:r w:rsidRPr="009D54D2">
              <w:t>whānau/caregiver concern</w:t>
            </w:r>
          </w:p>
          <w:p w14:paraId="168E8306" w14:textId="77777777" w:rsidR="003E52E0" w:rsidRPr="009D54D2" w:rsidRDefault="003E52E0" w:rsidP="003E52E0">
            <w:pPr>
              <w:pStyle w:val="TeThHauoratablecontent"/>
            </w:pPr>
            <w:r w:rsidRPr="009D54D2">
              <w:t>Prolonged rupture of membranes (&gt;24 hours)</w:t>
            </w:r>
          </w:p>
          <w:p w14:paraId="74454495" w14:textId="77777777" w:rsidR="003E52E0" w:rsidRPr="009D54D2" w:rsidRDefault="003E52E0" w:rsidP="003E52E0">
            <w:pPr>
              <w:pStyle w:val="TeThHauoratablecontent"/>
            </w:pPr>
            <w:r w:rsidRPr="009D54D2">
              <w:t xml:space="preserve">Close contact </w:t>
            </w:r>
            <w:r>
              <w:t>with a</w:t>
            </w:r>
            <w:r w:rsidRPr="009D54D2">
              <w:t xml:space="preserve"> person with symptomatic </w:t>
            </w:r>
            <w:r>
              <w:t>g</w:t>
            </w:r>
            <w:r w:rsidRPr="009D54D2">
              <w:t>roup A streptococcal infection</w:t>
            </w:r>
          </w:p>
          <w:p w14:paraId="20650C4E" w14:textId="77777777" w:rsidR="003E52E0" w:rsidRPr="009D54D2" w:rsidRDefault="003E52E0" w:rsidP="003E52E0">
            <w:pPr>
              <w:pStyle w:val="TeThHauoratablecontent"/>
            </w:pPr>
            <w:r w:rsidRPr="009D54D2">
              <w:t>Malodorous vaginal discharge</w:t>
            </w:r>
          </w:p>
          <w:p w14:paraId="5F95CFB2" w14:textId="77777777" w:rsidR="003E52E0" w:rsidRPr="009D54D2" w:rsidRDefault="003E52E0" w:rsidP="003E52E0">
            <w:pPr>
              <w:pStyle w:val="TeThHauoratablecontent"/>
            </w:pPr>
            <w:r w:rsidRPr="009D54D2">
              <w:t xml:space="preserve">Non-reassuring </w:t>
            </w:r>
            <w:proofErr w:type="spellStart"/>
            <w:r w:rsidRPr="009D54D2">
              <w:t>cardiotocogram</w:t>
            </w:r>
            <w:proofErr w:type="spellEnd"/>
            <w:r w:rsidRPr="009D54D2">
              <w:t xml:space="preserve"> or </w:t>
            </w:r>
            <w:proofErr w:type="spellStart"/>
            <w:r w:rsidRPr="009D54D2">
              <w:t>fetal</w:t>
            </w:r>
            <w:proofErr w:type="spellEnd"/>
            <w:r w:rsidRPr="009D54D2">
              <w:t xml:space="preserve"> tachycardia &gt;160</w:t>
            </w:r>
          </w:p>
          <w:p w14:paraId="114DC4D2" w14:textId="77777777" w:rsidR="003E52E0" w:rsidRPr="009D54D2" w:rsidRDefault="003E52E0" w:rsidP="003E52E0">
            <w:pPr>
              <w:pStyle w:val="TeThHauoratablecontent"/>
            </w:pPr>
            <w:r w:rsidRPr="009D54D2">
              <w:t xml:space="preserve">Invasive procedure or termination of pregnancy in last </w:t>
            </w:r>
            <w:r>
              <w:t>six</w:t>
            </w:r>
            <w:r w:rsidRPr="009D54D2">
              <w:t xml:space="preserve"> weeks</w:t>
            </w:r>
          </w:p>
        </w:tc>
        <w:tc>
          <w:tcPr>
            <w:tcW w:w="2126" w:type="dxa"/>
            <w:tcMar>
              <w:top w:w="0" w:type="dxa"/>
              <w:left w:w="85" w:type="dxa"/>
              <w:bottom w:w="0" w:type="dxa"/>
              <w:right w:w="85" w:type="dxa"/>
            </w:tcMar>
          </w:tcPr>
          <w:p w14:paraId="6F846801" w14:textId="77777777" w:rsidR="003E52E0" w:rsidRPr="009D54D2" w:rsidRDefault="003E52E0" w:rsidP="003E52E0">
            <w:pPr>
              <w:pStyle w:val="TeThHauoratablecontent"/>
            </w:pPr>
            <w:r w:rsidRPr="009D54D2">
              <w:t>Normal behaviour</w:t>
            </w:r>
          </w:p>
        </w:tc>
      </w:tr>
      <w:tr w:rsidR="003E52E0" w:rsidRPr="009D54D2" w14:paraId="452B38DE" w14:textId="77777777" w:rsidTr="00021734">
        <w:tc>
          <w:tcPr>
            <w:tcW w:w="1985" w:type="dxa"/>
            <w:tcMar>
              <w:top w:w="0" w:type="dxa"/>
              <w:left w:w="85" w:type="dxa"/>
              <w:bottom w:w="0" w:type="dxa"/>
              <w:right w:w="85" w:type="dxa"/>
            </w:tcMar>
          </w:tcPr>
          <w:p w14:paraId="48F4F1BD" w14:textId="77777777" w:rsidR="003E52E0" w:rsidRPr="009D54D2" w:rsidRDefault="003E52E0" w:rsidP="003E52E0">
            <w:pPr>
              <w:pStyle w:val="TeThHauoratablecolumnhead"/>
            </w:pPr>
            <w:r w:rsidRPr="009D54D2">
              <w:t>Respiratory</w:t>
            </w:r>
          </w:p>
        </w:tc>
        <w:tc>
          <w:tcPr>
            <w:tcW w:w="2268" w:type="dxa"/>
            <w:tcMar>
              <w:top w:w="0" w:type="dxa"/>
              <w:left w:w="85" w:type="dxa"/>
              <w:bottom w:w="0" w:type="dxa"/>
              <w:right w:w="85" w:type="dxa"/>
            </w:tcMar>
          </w:tcPr>
          <w:p w14:paraId="77EAB0BB" w14:textId="77777777" w:rsidR="003E52E0" w:rsidRPr="009D54D2" w:rsidRDefault="003E52E0" w:rsidP="003E52E0">
            <w:pPr>
              <w:pStyle w:val="TeThHauoratablecontent"/>
            </w:pPr>
            <w:r w:rsidRPr="009D54D2">
              <w:t>Raised respiratory rate: 25 breaths per minute or more</w:t>
            </w:r>
          </w:p>
          <w:p w14:paraId="48654D3E" w14:textId="77777777" w:rsidR="003E52E0" w:rsidRPr="009D54D2" w:rsidRDefault="003E52E0" w:rsidP="003E52E0">
            <w:pPr>
              <w:pStyle w:val="TeThHauoratablecontent"/>
            </w:pPr>
            <w:r w:rsidRPr="009D54D2">
              <w:t>New need for oxygen to maintain saturation more than 92% (or more than 88% in known chronic obstructive pulmonary disease)</w:t>
            </w:r>
          </w:p>
        </w:tc>
        <w:tc>
          <w:tcPr>
            <w:tcW w:w="2693" w:type="dxa"/>
            <w:tcMar>
              <w:top w:w="0" w:type="dxa"/>
              <w:left w:w="85" w:type="dxa"/>
              <w:bottom w:w="0" w:type="dxa"/>
              <w:right w:w="85" w:type="dxa"/>
            </w:tcMar>
          </w:tcPr>
          <w:p w14:paraId="7151133F" w14:textId="77777777" w:rsidR="003E52E0" w:rsidRPr="009D54D2" w:rsidRDefault="003E52E0" w:rsidP="003E52E0">
            <w:pPr>
              <w:pStyle w:val="TeThHauoratablecontent"/>
            </w:pPr>
            <w:r w:rsidRPr="009D54D2">
              <w:t>Raised respiratory rate: 21–24 breaths per minute or respiratory distress</w:t>
            </w:r>
          </w:p>
        </w:tc>
        <w:tc>
          <w:tcPr>
            <w:tcW w:w="2126" w:type="dxa"/>
            <w:tcMar>
              <w:top w:w="0" w:type="dxa"/>
              <w:left w:w="85" w:type="dxa"/>
              <w:bottom w:w="0" w:type="dxa"/>
              <w:right w:w="85" w:type="dxa"/>
            </w:tcMar>
          </w:tcPr>
          <w:p w14:paraId="4E5C4761" w14:textId="77777777" w:rsidR="003E52E0" w:rsidRPr="009D54D2" w:rsidRDefault="003E52E0" w:rsidP="003E52E0">
            <w:pPr>
              <w:pStyle w:val="TeThHauoratablecontent"/>
            </w:pPr>
            <w:r w:rsidRPr="009D54D2">
              <w:t>No high risk or moderate</w:t>
            </w:r>
            <w:r>
              <w:t>-</w:t>
            </w:r>
            <w:r w:rsidRPr="009D54D2">
              <w:t xml:space="preserve"> to high-risk criteria met</w:t>
            </w:r>
          </w:p>
        </w:tc>
      </w:tr>
      <w:tr w:rsidR="003E52E0" w:rsidRPr="009D54D2" w14:paraId="3B49F00C" w14:textId="77777777" w:rsidTr="00021734">
        <w:tc>
          <w:tcPr>
            <w:tcW w:w="1985" w:type="dxa"/>
            <w:tcMar>
              <w:top w:w="0" w:type="dxa"/>
              <w:left w:w="85" w:type="dxa"/>
              <w:bottom w:w="0" w:type="dxa"/>
              <w:right w:w="85" w:type="dxa"/>
            </w:tcMar>
          </w:tcPr>
          <w:p w14:paraId="26317451" w14:textId="77777777" w:rsidR="003E52E0" w:rsidRPr="009D54D2" w:rsidRDefault="003E52E0" w:rsidP="003E52E0">
            <w:pPr>
              <w:pStyle w:val="TeThHauoratablecolumnhead"/>
            </w:pPr>
            <w:r w:rsidRPr="009D54D2">
              <w:t>Blood pressure</w:t>
            </w:r>
          </w:p>
        </w:tc>
        <w:tc>
          <w:tcPr>
            <w:tcW w:w="2268" w:type="dxa"/>
            <w:tcMar>
              <w:top w:w="0" w:type="dxa"/>
              <w:left w:w="85" w:type="dxa"/>
              <w:bottom w:w="0" w:type="dxa"/>
              <w:right w:w="85" w:type="dxa"/>
            </w:tcMar>
          </w:tcPr>
          <w:p w14:paraId="52480ED5" w14:textId="77777777" w:rsidR="003E52E0" w:rsidRPr="009D54D2" w:rsidRDefault="003E52E0" w:rsidP="003E52E0">
            <w:pPr>
              <w:pStyle w:val="TeThHauoratablecontent"/>
            </w:pPr>
            <w:r w:rsidRPr="009D54D2">
              <w:t>Systolic blood pressure 90 mmHg or less or systolic blood pressure more than 40 mmHg below normal</w:t>
            </w:r>
          </w:p>
        </w:tc>
        <w:tc>
          <w:tcPr>
            <w:tcW w:w="2693" w:type="dxa"/>
            <w:tcMar>
              <w:top w:w="0" w:type="dxa"/>
              <w:left w:w="85" w:type="dxa"/>
              <w:bottom w:w="0" w:type="dxa"/>
              <w:right w:w="85" w:type="dxa"/>
            </w:tcMar>
          </w:tcPr>
          <w:p w14:paraId="316DDF31" w14:textId="77777777" w:rsidR="003E52E0" w:rsidRPr="009D54D2" w:rsidRDefault="003E52E0" w:rsidP="003E52E0">
            <w:pPr>
              <w:pStyle w:val="TeThHauoratablecontent"/>
            </w:pPr>
            <w:r w:rsidRPr="009D54D2">
              <w:t>Systolic blood pressure 91–100 mmHg</w:t>
            </w:r>
          </w:p>
        </w:tc>
        <w:tc>
          <w:tcPr>
            <w:tcW w:w="2126" w:type="dxa"/>
            <w:tcMar>
              <w:top w:w="0" w:type="dxa"/>
              <w:left w:w="85" w:type="dxa"/>
              <w:bottom w:w="0" w:type="dxa"/>
              <w:right w:w="85" w:type="dxa"/>
            </w:tcMar>
          </w:tcPr>
          <w:p w14:paraId="5F181E29" w14:textId="77777777" w:rsidR="003E52E0" w:rsidRPr="009D54D2" w:rsidRDefault="003E52E0" w:rsidP="003E52E0">
            <w:pPr>
              <w:pStyle w:val="TeThHauoratablecontent"/>
            </w:pPr>
            <w:r w:rsidRPr="009D54D2">
              <w:t>No high risk or moderate</w:t>
            </w:r>
            <w:r>
              <w:t>-</w:t>
            </w:r>
            <w:r w:rsidRPr="009D54D2">
              <w:t xml:space="preserve"> to high-risk criteria met</w:t>
            </w:r>
          </w:p>
        </w:tc>
      </w:tr>
      <w:tr w:rsidR="003E52E0" w:rsidRPr="009D54D2" w14:paraId="6CD83DED" w14:textId="77777777" w:rsidTr="00021734">
        <w:tc>
          <w:tcPr>
            <w:tcW w:w="1985" w:type="dxa"/>
            <w:tcMar>
              <w:top w:w="0" w:type="dxa"/>
              <w:left w:w="85" w:type="dxa"/>
              <w:bottom w:w="0" w:type="dxa"/>
              <w:right w:w="85" w:type="dxa"/>
            </w:tcMar>
          </w:tcPr>
          <w:p w14:paraId="1E8ADE71" w14:textId="77777777" w:rsidR="003E52E0" w:rsidRPr="009D54D2" w:rsidRDefault="003E52E0" w:rsidP="003E52E0">
            <w:pPr>
              <w:pStyle w:val="TeThHauoratablecolumnhead"/>
            </w:pPr>
            <w:r w:rsidRPr="009D54D2">
              <w:lastRenderedPageBreak/>
              <w:t>Circulation and hydration</w:t>
            </w:r>
          </w:p>
        </w:tc>
        <w:tc>
          <w:tcPr>
            <w:tcW w:w="2268" w:type="dxa"/>
            <w:tcMar>
              <w:top w:w="0" w:type="dxa"/>
              <w:left w:w="85" w:type="dxa"/>
              <w:bottom w:w="0" w:type="dxa"/>
              <w:right w:w="85" w:type="dxa"/>
            </w:tcMar>
          </w:tcPr>
          <w:p w14:paraId="508465F9" w14:textId="77777777" w:rsidR="003E52E0" w:rsidRPr="009D54D2" w:rsidRDefault="003E52E0" w:rsidP="003E52E0">
            <w:pPr>
              <w:pStyle w:val="TeThHauoratablecontent"/>
            </w:pPr>
            <w:r w:rsidRPr="009D54D2">
              <w:t>Raised heart rate: 130 beats per minute or higher</w:t>
            </w:r>
          </w:p>
        </w:tc>
        <w:tc>
          <w:tcPr>
            <w:tcW w:w="2693" w:type="dxa"/>
            <w:tcMar>
              <w:top w:w="0" w:type="dxa"/>
              <w:left w:w="85" w:type="dxa"/>
              <w:bottom w:w="0" w:type="dxa"/>
              <w:right w:w="85" w:type="dxa"/>
            </w:tcMar>
          </w:tcPr>
          <w:p w14:paraId="0248E1E5" w14:textId="7F1392B3" w:rsidR="003E52E0" w:rsidRPr="0075038E" w:rsidRDefault="003E52E0" w:rsidP="003E52E0">
            <w:pPr>
              <w:pStyle w:val="TeThHauoratablecontent"/>
              <w:rPr>
                <w:highlight w:val="yellow"/>
              </w:rPr>
            </w:pPr>
            <w:r w:rsidRPr="009D54D2">
              <w:t xml:space="preserve">Raised heart rate: </w:t>
            </w:r>
            <w:r w:rsidR="00021734">
              <w:br/>
            </w:r>
            <w:r w:rsidRPr="009D54D2">
              <w:t>100–129 beats per minute or new onset arrhythmia</w:t>
            </w:r>
          </w:p>
        </w:tc>
        <w:tc>
          <w:tcPr>
            <w:tcW w:w="2126" w:type="dxa"/>
            <w:tcMar>
              <w:top w:w="0" w:type="dxa"/>
              <w:left w:w="85" w:type="dxa"/>
              <w:bottom w:w="0" w:type="dxa"/>
              <w:right w:w="85" w:type="dxa"/>
            </w:tcMar>
          </w:tcPr>
          <w:p w14:paraId="410EB8E7" w14:textId="77777777" w:rsidR="003E52E0" w:rsidRPr="009D54D2" w:rsidRDefault="003E52E0" w:rsidP="003E52E0">
            <w:pPr>
              <w:pStyle w:val="TeThHauoratablecontent"/>
            </w:pPr>
            <w:r w:rsidRPr="009D54D2">
              <w:t>No high risk or moderate</w:t>
            </w:r>
            <w:r>
              <w:t>-</w:t>
            </w:r>
            <w:r w:rsidRPr="009D54D2">
              <w:t xml:space="preserve"> to high-risk criteria met</w:t>
            </w:r>
          </w:p>
        </w:tc>
      </w:tr>
      <w:tr w:rsidR="003E52E0" w:rsidRPr="009D54D2" w14:paraId="1B28A66F" w14:textId="77777777" w:rsidTr="00021734">
        <w:tc>
          <w:tcPr>
            <w:tcW w:w="1985" w:type="dxa"/>
            <w:tcMar>
              <w:top w:w="0" w:type="dxa"/>
              <w:left w:w="85" w:type="dxa"/>
              <w:bottom w:w="0" w:type="dxa"/>
              <w:right w:w="85" w:type="dxa"/>
            </w:tcMar>
          </w:tcPr>
          <w:p w14:paraId="3ECC8CEE" w14:textId="77777777" w:rsidR="003E52E0" w:rsidRPr="009D54D2" w:rsidRDefault="003E52E0" w:rsidP="003E52E0">
            <w:pPr>
              <w:pStyle w:val="TeThHauoratablecolumnhead"/>
            </w:pPr>
            <w:r w:rsidRPr="009D54D2">
              <w:t>Temperature</w:t>
            </w:r>
          </w:p>
        </w:tc>
        <w:tc>
          <w:tcPr>
            <w:tcW w:w="2268" w:type="dxa"/>
            <w:tcMar>
              <w:top w:w="0" w:type="dxa"/>
              <w:left w:w="85" w:type="dxa"/>
              <w:bottom w:w="0" w:type="dxa"/>
              <w:right w:w="85" w:type="dxa"/>
            </w:tcMar>
          </w:tcPr>
          <w:p w14:paraId="48476C97" w14:textId="77777777" w:rsidR="003E52E0" w:rsidRPr="009D54D2" w:rsidRDefault="003E52E0" w:rsidP="003E52E0">
            <w:pPr>
              <w:pStyle w:val="TeThHauoratablecontent"/>
            </w:pPr>
          </w:p>
        </w:tc>
        <w:tc>
          <w:tcPr>
            <w:tcW w:w="2693" w:type="dxa"/>
            <w:tcMar>
              <w:top w:w="0" w:type="dxa"/>
              <w:left w:w="85" w:type="dxa"/>
              <w:bottom w:w="0" w:type="dxa"/>
              <w:right w:w="85" w:type="dxa"/>
            </w:tcMar>
          </w:tcPr>
          <w:p w14:paraId="771DA66F" w14:textId="77777777" w:rsidR="003E52E0" w:rsidRPr="009D54D2" w:rsidRDefault="003E52E0" w:rsidP="003E52E0">
            <w:pPr>
              <w:pStyle w:val="TeThHauoratablecontent"/>
            </w:pPr>
            <w:r w:rsidRPr="009D54D2">
              <w:t xml:space="preserve">Tympanic temperature less than 36°C </w:t>
            </w:r>
            <w:r w:rsidRPr="00A079F4">
              <w:t>or</w:t>
            </w:r>
            <w:r w:rsidRPr="009D54D2">
              <w:t xml:space="preserve"> above 39ºC</w:t>
            </w:r>
          </w:p>
        </w:tc>
        <w:tc>
          <w:tcPr>
            <w:tcW w:w="2126" w:type="dxa"/>
            <w:tcMar>
              <w:top w:w="0" w:type="dxa"/>
              <w:left w:w="85" w:type="dxa"/>
              <w:bottom w:w="0" w:type="dxa"/>
              <w:right w:w="85" w:type="dxa"/>
            </w:tcMar>
          </w:tcPr>
          <w:p w14:paraId="4786D866" w14:textId="77777777" w:rsidR="003E52E0" w:rsidRPr="009D54D2" w:rsidRDefault="003E52E0" w:rsidP="003E52E0">
            <w:pPr>
              <w:pStyle w:val="TeThHauoratablecontent"/>
            </w:pPr>
          </w:p>
        </w:tc>
      </w:tr>
      <w:tr w:rsidR="003E52E0" w:rsidRPr="009D54D2" w14:paraId="4F96EBC8" w14:textId="77777777" w:rsidTr="00021734">
        <w:tc>
          <w:tcPr>
            <w:tcW w:w="1985" w:type="dxa"/>
            <w:shd w:val="clear" w:color="auto" w:fill="FFFFFF" w:themeFill="background1"/>
            <w:tcMar>
              <w:top w:w="0" w:type="dxa"/>
              <w:left w:w="85" w:type="dxa"/>
              <w:bottom w:w="0" w:type="dxa"/>
              <w:right w:w="85" w:type="dxa"/>
            </w:tcMar>
          </w:tcPr>
          <w:p w14:paraId="0185C0F4" w14:textId="77777777" w:rsidR="003E52E0" w:rsidRPr="009D54D2" w:rsidRDefault="003E52E0" w:rsidP="003E52E0">
            <w:pPr>
              <w:pStyle w:val="TeThHauoratablecolumnhead"/>
            </w:pPr>
            <w:r w:rsidRPr="009D54D2">
              <w:t>Skin</w:t>
            </w:r>
          </w:p>
        </w:tc>
        <w:tc>
          <w:tcPr>
            <w:tcW w:w="2268" w:type="dxa"/>
            <w:shd w:val="clear" w:color="auto" w:fill="FFFFFF" w:themeFill="background1"/>
            <w:tcMar>
              <w:top w:w="0" w:type="dxa"/>
              <w:left w:w="85" w:type="dxa"/>
              <w:bottom w:w="0" w:type="dxa"/>
              <w:right w:w="85" w:type="dxa"/>
            </w:tcMar>
          </w:tcPr>
          <w:p w14:paraId="0347EED7" w14:textId="0A43E01D" w:rsidR="003E52E0" w:rsidRPr="009D54D2" w:rsidRDefault="003E52E0" w:rsidP="003E52E0">
            <w:pPr>
              <w:pStyle w:val="TeThHauoratablecontent"/>
              <w:rPr>
                <w:color w:val="000000" w:themeColor="text1"/>
              </w:rPr>
            </w:pPr>
            <w:r w:rsidRPr="009D54D2">
              <w:rPr>
                <w:color w:val="000000" w:themeColor="text1"/>
              </w:rPr>
              <w:t xml:space="preserve">Skin ashen/mottled </w:t>
            </w:r>
            <w:r>
              <w:rPr>
                <w:color w:val="000000" w:themeColor="text1"/>
              </w:rPr>
              <w:t xml:space="preserve">or </w:t>
            </w:r>
            <w:r w:rsidRPr="009D54D2">
              <w:rPr>
                <w:color w:val="000000" w:themeColor="text1"/>
              </w:rPr>
              <w:t>non-blanching rash</w:t>
            </w:r>
            <w:r w:rsidR="00F77946">
              <w:rPr>
                <w:color w:val="000000" w:themeColor="text1"/>
              </w:rPr>
              <w:t xml:space="preserve"> </w:t>
            </w:r>
          </w:p>
        </w:tc>
        <w:tc>
          <w:tcPr>
            <w:tcW w:w="2693" w:type="dxa"/>
            <w:shd w:val="clear" w:color="auto" w:fill="FFFFFF" w:themeFill="background1"/>
            <w:tcMar>
              <w:top w:w="0" w:type="dxa"/>
              <w:left w:w="85" w:type="dxa"/>
              <w:bottom w:w="0" w:type="dxa"/>
              <w:right w:w="85" w:type="dxa"/>
            </w:tcMar>
          </w:tcPr>
          <w:p w14:paraId="79A2694C" w14:textId="77777777" w:rsidR="003E52E0" w:rsidRPr="009D54D2" w:rsidRDefault="003E52E0" w:rsidP="003E52E0">
            <w:pPr>
              <w:pStyle w:val="TeThHauoratablecontent"/>
              <w:rPr>
                <w:color w:val="000000" w:themeColor="text1"/>
              </w:rPr>
            </w:pPr>
          </w:p>
        </w:tc>
        <w:tc>
          <w:tcPr>
            <w:tcW w:w="2126" w:type="dxa"/>
            <w:shd w:val="clear" w:color="auto" w:fill="FFFFFF" w:themeFill="background1"/>
            <w:tcMar>
              <w:top w:w="0" w:type="dxa"/>
              <w:left w:w="85" w:type="dxa"/>
              <w:bottom w:w="0" w:type="dxa"/>
              <w:right w:w="85" w:type="dxa"/>
            </w:tcMar>
          </w:tcPr>
          <w:p w14:paraId="66AE80FA" w14:textId="77777777" w:rsidR="003E52E0" w:rsidRPr="009D54D2" w:rsidRDefault="003E52E0" w:rsidP="003E52E0">
            <w:pPr>
              <w:pStyle w:val="TeThHauoratablecontent"/>
            </w:pPr>
          </w:p>
        </w:tc>
      </w:tr>
    </w:tbl>
    <w:p w14:paraId="6BE04640" w14:textId="77777777" w:rsidR="003E52E0" w:rsidRPr="009D54D2" w:rsidRDefault="003E52E0" w:rsidP="00DE55D5">
      <w:pPr>
        <w:pStyle w:val="ListParagraph"/>
        <w:spacing w:after="0"/>
        <w:ind w:left="57"/>
        <w:contextualSpacing w:val="0"/>
        <w:rPr>
          <w:rFonts w:cs="Arial"/>
        </w:rPr>
      </w:pPr>
    </w:p>
    <w:p w14:paraId="4469800E" w14:textId="77777777" w:rsidR="00B11465" w:rsidRPr="009D54D2" w:rsidRDefault="00B11465" w:rsidP="00792AB5">
      <w:pPr>
        <w:pStyle w:val="ListParagraph"/>
        <w:numPr>
          <w:ilvl w:val="1"/>
          <w:numId w:val="8"/>
        </w:numPr>
        <w:ind w:left="680" w:hanging="680"/>
        <w:contextualSpacing w:val="0"/>
        <w:rPr>
          <w:rFonts w:cs="Arial"/>
        </w:rPr>
      </w:pPr>
      <w:r w:rsidRPr="009D54D2">
        <w:rPr>
          <w:rFonts w:cs="Arial"/>
        </w:rPr>
        <w:t>Recognise that people aged 12 years and over with suspected sepsis and any high-risk symptoms or signs listed in Table 1 are at risk of death from sepsis. W</w:t>
      </w:r>
      <w:r w:rsidRPr="000F6A76">
        <w:rPr>
          <w:rFonts w:cs="Arial"/>
        </w:rPr>
        <w:t>here it can be clearly documented that no urine has been passed in the previous 18 hours (or, for catheterised patients, that the patient has passed less than 0.5 mL/kg/hour), this can be used as evidence of a high-risk presentation/RED FLAG.</w:t>
      </w:r>
    </w:p>
    <w:p w14:paraId="1E6262AB" w14:textId="31F9A347" w:rsidR="00B11465" w:rsidRDefault="00B11465" w:rsidP="00792AB5">
      <w:pPr>
        <w:pStyle w:val="ListParagraph"/>
        <w:numPr>
          <w:ilvl w:val="1"/>
          <w:numId w:val="8"/>
        </w:numPr>
        <w:ind w:left="680" w:hanging="680"/>
        <w:contextualSpacing w:val="0"/>
        <w:rPr>
          <w:rFonts w:cs="Arial"/>
        </w:rPr>
      </w:pPr>
      <w:r w:rsidRPr="009D54D2">
        <w:rPr>
          <w:rFonts w:cs="Arial"/>
        </w:rPr>
        <w:t>Recognise that adults and young people aged 12 years and over with suspected sepsis and any of the moderate-</w:t>
      </w:r>
      <w:r>
        <w:rPr>
          <w:rFonts w:cs="Arial"/>
        </w:rPr>
        <w:t xml:space="preserve"> to </w:t>
      </w:r>
      <w:r w:rsidRPr="009D54D2">
        <w:rPr>
          <w:rFonts w:cs="Arial"/>
        </w:rPr>
        <w:t>high</w:t>
      </w:r>
      <w:r>
        <w:rPr>
          <w:rFonts w:cs="Arial"/>
        </w:rPr>
        <w:t>-</w:t>
      </w:r>
      <w:r w:rsidRPr="009D54D2">
        <w:rPr>
          <w:rFonts w:cs="Arial"/>
        </w:rPr>
        <w:t>risk symptoms or signs listed in Table 1 are at moderate</w:t>
      </w:r>
      <w:r w:rsidR="004A2F9B">
        <w:rPr>
          <w:rFonts w:cs="Arial"/>
        </w:rPr>
        <w:t>-</w:t>
      </w:r>
      <w:r w:rsidRPr="009D54D2">
        <w:rPr>
          <w:rFonts w:cs="Arial"/>
        </w:rPr>
        <w:t xml:space="preserve"> to high</w:t>
      </w:r>
      <w:r w:rsidR="004A2F9B">
        <w:rPr>
          <w:rFonts w:cs="Arial"/>
        </w:rPr>
        <w:t>-</w:t>
      </w:r>
      <w:r w:rsidRPr="009D54D2">
        <w:rPr>
          <w:rFonts w:cs="Arial"/>
        </w:rPr>
        <w:t>risk of severe illness or death.</w:t>
      </w:r>
    </w:p>
    <w:p w14:paraId="3F6FFBD5" w14:textId="5EFF28D3" w:rsidR="00B11465" w:rsidRDefault="00B11465" w:rsidP="00792AB5">
      <w:pPr>
        <w:pStyle w:val="ListParagraph"/>
        <w:numPr>
          <w:ilvl w:val="1"/>
          <w:numId w:val="8"/>
        </w:numPr>
        <w:ind w:left="680" w:hanging="680"/>
        <w:contextualSpacing w:val="0"/>
        <w:rPr>
          <w:rFonts w:cs="Arial"/>
        </w:rPr>
      </w:pPr>
      <w:r w:rsidRPr="009D54D2">
        <w:rPr>
          <w:rFonts w:cs="Arial"/>
        </w:rPr>
        <w:t>If, after careful clinical assessment, adults and young people aged 12 years and over with evidence of infection do not meet any high or moderate</w:t>
      </w:r>
      <w:r w:rsidR="004C1780">
        <w:rPr>
          <w:rFonts w:cs="Arial"/>
        </w:rPr>
        <w:t>-</w:t>
      </w:r>
      <w:r w:rsidRPr="009D54D2">
        <w:rPr>
          <w:rFonts w:cs="Arial"/>
        </w:rPr>
        <w:t xml:space="preserve"> to high-risk criteria for sepsis, they can </w:t>
      </w:r>
      <w:proofErr w:type="gramStart"/>
      <w:r w:rsidRPr="009D54D2">
        <w:rPr>
          <w:rFonts w:cs="Arial"/>
        </w:rPr>
        <w:t>be considered to be</w:t>
      </w:r>
      <w:proofErr w:type="gramEnd"/>
      <w:r w:rsidRPr="009D54D2">
        <w:rPr>
          <w:rFonts w:cs="Arial"/>
        </w:rPr>
        <w:t xml:space="preserve"> at low</w:t>
      </w:r>
      <w:r w:rsidR="0008575A">
        <w:rPr>
          <w:rFonts w:cs="Arial"/>
        </w:rPr>
        <w:t>-</w:t>
      </w:r>
      <w:r w:rsidRPr="009D54D2">
        <w:rPr>
          <w:rFonts w:cs="Arial"/>
        </w:rPr>
        <w:t xml:space="preserve">risk of severe illness or death due to sepsis. People with suspected or confirmed infection should be reassessed if they develop any new symptoms or signs of concern. </w:t>
      </w:r>
    </w:p>
    <w:p w14:paraId="29CCE4B6" w14:textId="77777777" w:rsidR="00A02A1B" w:rsidRPr="009D54D2" w:rsidRDefault="00A02A1B" w:rsidP="00171C5D">
      <w:pPr>
        <w:pStyle w:val="TeThHauorahead2"/>
        <w:numPr>
          <w:ilvl w:val="0"/>
          <w:numId w:val="5"/>
        </w:numPr>
        <w:spacing w:before="320"/>
      </w:pPr>
      <w:bookmarkStart w:id="52" w:name="_Toc181690661"/>
      <w:bookmarkStart w:id="53" w:name="_Toc201826315"/>
      <w:bookmarkStart w:id="54" w:name="_Toc207862884"/>
      <w:r w:rsidRPr="009D54D2">
        <w:t>Temperature in suspected sepsis</w:t>
      </w:r>
      <w:bookmarkEnd w:id="52"/>
      <w:bookmarkEnd w:id="53"/>
      <w:bookmarkEnd w:id="54"/>
    </w:p>
    <w:p w14:paraId="346ED47D" w14:textId="77777777" w:rsidR="00A02A1B" w:rsidRPr="000F6A76" w:rsidRDefault="00A02A1B" w:rsidP="00171C5D">
      <w:pPr>
        <w:pStyle w:val="ListParagraph"/>
        <w:numPr>
          <w:ilvl w:val="1"/>
          <w:numId w:val="9"/>
        </w:numPr>
        <w:spacing w:after="80"/>
        <w:ind w:left="680" w:hanging="680"/>
        <w:contextualSpacing w:val="0"/>
        <w:rPr>
          <w:rFonts w:cs="Arial"/>
        </w:rPr>
      </w:pPr>
      <w:r w:rsidRPr="000F6A76">
        <w:rPr>
          <w:rFonts w:cs="Arial"/>
        </w:rPr>
        <w:t>Do not use a person’s temperature to rule sepsis either in or out. Some people who do have sepsis may not develop a raised temperature. These include:</w:t>
      </w:r>
    </w:p>
    <w:p w14:paraId="1ADA85FF" w14:textId="77777777" w:rsidR="00A02A1B" w:rsidRPr="009D54D2" w:rsidRDefault="00A02A1B" w:rsidP="00792AB5">
      <w:pPr>
        <w:pStyle w:val="TeThHauorabullets"/>
        <w:ind w:left="1077"/>
      </w:pPr>
      <w:r w:rsidRPr="009D54D2">
        <w:t>people who are older or very frail</w:t>
      </w:r>
    </w:p>
    <w:p w14:paraId="4C533F28" w14:textId="77777777" w:rsidR="00A02A1B" w:rsidRPr="009D54D2" w:rsidRDefault="00A02A1B" w:rsidP="00792AB5">
      <w:pPr>
        <w:pStyle w:val="TeThHauorabullets"/>
        <w:ind w:left="1077"/>
      </w:pPr>
      <w:r w:rsidRPr="009D54D2">
        <w:t>people having treatment for cancer</w:t>
      </w:r>
    </w:p>
    <w:p w14:paraId="30AAD23A" w14:textId="77777777" w:rsidR="00A02A1B" w:rsidRPr="009D54D2" w:rsidRDefault="00A02A1B" w:rsidP="00792AB5">
      <w:pPr>
        <w:pStyle w:val="TeThHauorabullets"/>
        <w:ind w:left="1077"/>
      </w:pPr>
      <w:r w:rsidRPr="009D54D2">
        <w:t>people severely ill with sepsis</w:t>
      </w:r>
    </w:p>
    <w:p w14:paraId="244FB5BE" w14:textId="77777777" w:rsidR="00A02A1B" w:rsidRPr="009D54D2" w:rsidRDefault="00A02A1B" w:rsidP="00792AB5">
      <w:pPr>
        <w:pStyle w:val="TeThHauorabullets"/>
        <w:spacing w:after="120"/>
        <w:ind w:left="1077"/>
      </w:pPr>
      <w:r w:rsidRPr="009D54D2">
        <w:t>young infants or children</w:t>
      </w:r>
      <w:r>
        <w:t>.</w:t>
      </w:r>
    </w:p>
    <w:p w14:paraId="20FBF61E" w14:textId="3788A5AD" w:rsidR="00A02A1B" w:rsidRDefault="00A02A1B" w:rsidP="00792AB5">
      <w:pPr>
        <w:pStyle w:val="ListParagraph"/>
        <w:numPr>
          <w:ilvl w:val="1"/>
          <w:numId w:val="9"/>
        </w:numPr>
        <w:ind w:left="680" w:hanging="680"/>
        <w:contextualSpacing w:val="0"/>
        <w:rPr>
          <w:rFonts w:cs="Arial"/>
        </w:rPr>
      </w:pPr>
      <w:r w:rsidRPr="009D54D2">
        <w:rPr>
          <w:rFonts w:cs="Arial"/>
        </w:rPr>
        <w:t>Consider also that a rise in temperature can be a normal physiological response (</w:t>
      </w:r>
      <w:r>
        <w:rPr>
          <w:rFonts w:cs="Arial"/>
        </w:rPr>
        <w:t>e.g.,</w:t>
      </w:r>
      <w:r w:rsidR="00500D6B">
        <w:rPr>
          <w:rFonts w:cs="Arial"/>
        </w:rPr>
        <w:t> </w:t>
      </w:r>
      <w:r w:rsidRPr="009D54D2">
        <w:rPr>
          <w:rFonts w:cs="Arial"/>
        </w:rPr>
        <w:t xml:space="preserve">after surgery or trauma). </w:t>
      </w:r>
    </w:p>
    <w:p w14:paraId="761B17CC" w14:textId="77777777" w:rsidR="00A02A1B" w:rsidRPr="009D54D2" w:rsidRDefault="00A02A1B" w:rsidP="00171C5D">
      <w:pPr>
        <w:pStyle w:val="TeThHauorahead2"/>
        <w:numPr>
          <w:ilvl w:val="0"/>
          <w:numId w:val="5"/>
        </w:numPr>
        <w:spacing w:before="320"/>
      </w:pPr>
      <w:bookmarkStart w:id="55" w:name="_Toc181690662"/>
      <w:bookmarkStart w:id="56" w:name="_Toc201826316"/>
      <w:bookmarkStart w:id="57" w:name="_Toc207862885"/>
      <w:r w:rsidRPr="009D54D2">
        <w:t>Heart rate in suspected sepsis</w:t>
      </w:r>
      <w:bookmarkEnd w:id="55"/>
      <w:bookmarkEnd w:id="56"/>
      <w:bookmarkEnd w:id="57"/>
    </w:p>
    <w:p w14:paraId="086CE66C" w14:textId="77777777" w:rsidR="00A02A1B" w:rsidRPr="000F6A76" w:rsidRDefault="00A02A1B" w:rsidP="00171C5D">
      <w:pPr>
        <w:pStyle w:val="ListParagraph"/>
        <w:numPr>
          <w:ilvl w:val="1"/>
          <w:numId w:val="10"/>
        </w:numPr>
        <w:spacing w:after="80"/>
        <w:ind w:left="680" w:hanging="680"/>
        <w:contextualSpacing w:val="0"/>
        <w:rPr>
          <w:rFonts w:cs="Arial"/>
        </w:rPr>
      </w:pPr>
      <w:r w:rsidRPr="000F6A76">
        <w:rPr>
          <w:rFonts w:cs="Arial"/>
        </w:rPr>
        <w:t xml:space="preserve">Interpret the heart rate of a person with suspected sepsis in context, </w:t>
      </w:r>
      <w:proofErr w:type="gramStart"/>
      <w:r w:rsidRPr="000F6A76">
        <w:rPr>
          <w:rFonts w:cs="Arial"/>
        </w:rPr>
        <w:t>taking into account</w:t>
      </w:r>
      <w:proofErr w:type="gramEnd"/>
      <w:r w:rsidRPr="000F6A76">
        <w:rPr>
          <w:rFonts w:cs="Arial"/>
        </w:rPr>
        <w:t xml:space="preserve"> that:</w:t>
      </w:r>
    </w:p>
    <w:p w14:paraId="54D073B5" w14:textId="77777777" w:rsidR="00A02A1B" w:rsidRPr="009D54D2" w:rsidRDefault="00A02A1B" w:rsidP="00792AB5">
      <w:pPr>
        <w:pStyle w:val="TeThHauorabullets"/>
        <w:ind w:left="1077"/>
      </w:pPr>
      <w:r>
        <w:t xml:space="preserve">the </w:t>
      </w:r>
      <w:r w:rsidRPr="009D54D2">
        <w:t>baseline heart rate may be lower in young people and adults who are fit</w:t>
      </w:r>
    </w:p>
    <w:p w14:paraId="5BF3C29D" w14:textId="77777777" w:rsidR="00A02A1B" w:rsidRPr="009D54D2" w:rsidRDefault="00A02A1B" w:rsidP="00792AB5">
      <w:pPr>
        <w:pStyle w:val="TeThHauorabullets"/>
        <w:ind w:left="1077"/>
      </w:pPr>
      <w:r>
        <w:t>the b</w:t>
      </w:r>
      <w:r w:rsidRPr="009D54D2">
        <w:t>aseline heart rate in pregnancy is 10–15 beats per minute more than normal</w:t>
      </w:r>
    </w:p>
    <w:p w14:paraId="317DF566" w14:textId="77777777" w:rsidR="00A02A1B" w:rsidRPr="009D54D2" w:rsidRDefault="00A02A1B" w:rsidP="00792AB5">
      <w:pPr>
        <w:pStyle w:val="TeThHauorabullets"/>
        <w:ind w:left="1077"/>
      </w:pPr>
      <w:r>
        <w:lastRenderedPageBreak/>
        <w:t>o</w:t>
      </w:r>
      <w:r w:rsidRPr="009D54D2">
        <w:t>lder people with an infection may not develop an increased heart rate</w:t>
      </w:r>
    </w:p>
    <w:p w14:paraId="483C2744" w14:textId="232E96AF" w:rsidR="00A02A1B" w:rsidRPr="009D54D2" w:rsidRDefault="00A02A1B" w:rsidP="00792AB5">
      <w:pPr>
        <w:pStyle w:val="TeThHauorabullets"/>
        <w:ind w:left="1077"/>
      </w:pPr>
      <w:r>
        <w:t>ol</w:t>
      </w:r>
      <w:r w:rsidRPr="009D54D2">
        <w:t>der people may develop a new arrhythmia in response to infection rather than</w:t>
      </w:r>
      <w:r w:rsidR="00500D6B">
        <w:t> </w:t>
      </w:r>
      <w:r w:rsidRPr="009D54D2">
        <w:t>an increased heart rate</w:t>
      </w:r>
    </w:p>
    <w:p w14:paraId="46BB340B" w14:textId="77777777" w:rsidR="00A02A1B" w:rsidRPr="009D54D2" w:rsidRDefault="00A02A1B" w:rsidP="00792AB5">
      <w:pPr>
        <w:pStyle w:val="TeThHauorabullets"/>
        <w:spacing w:after="120"/>
        <w:ind w:left="1077"/>
      </w:pPr>
      <w:r>
        <w:t>h</w:t>
      </w:r>
      <w:r w:rsidRPr="009D54D2">
        <w:t>eart rate response may be affected by medicines such as beta-blockers.</w:t>
      </w:r>
    </w:p>
    <w:p w14:paraId="218DF033" w14:textId="713A6594" w:rsidR="00A02A1B" w:rsidRPr="00500D6B" w:rsidRDefault="00A02A1B" w:rsidP="00792AB5">
      <w:pPr>
        <w:pStyle w:val="ListParagraph"/>
        <w:numPr>
          <w:ilvl w:val="1"/>
          <w:numId w:val="10"/>
        </w:numPr>
        <w:ind w:left="680" w:hanging="680"/>
        <w:contextualSpacing w:val="0"/>
        <w:rPr>
          <w:rFonts w:cs="Arial"/>
        </w:rPr>
      </w:pPr>
      <w:r w:rsidRPr="00853F09">
        <w:rPr>
          <w:rFonts w:cs="Arial"/>
        </w:rPr>
        <w:t>Refer to notes on tachycardia in children in recommendation 1</w:t>
      </w:r>
      <w:r w:rsidR="00735C84">
        <w:rPr>
          <w:rFonts w:cs="Arial"/>
        </w:rPr>
        <w:t>3</w:t>
      </w:r>
      <w:r w:rsidRPr="00853F09">
        <w:rPr>
          <w:rFonts w:cs="Arial"/>
        </w:rPr>
        <w:t xml:space="preserve"> below</w:t>
      </w:r>
      <w:r w:rsidR="00982038">
        <w:rPr>
          <w:rFonts w:cs="Arial"/>
        </w:rPr>
        <w:t>:</w:t>
      </w:r>
      <w:r w:rsidRPr="00853F09">
        <w:rPr>
          <w:rFonts w:cs="Arial"/>
        </w:rPr>
        <w:t xml:space="preserve"> Managing and treating suspected sepsis in children aged 11 years and under in acute hospital </w:t>
      </w:r>
      <w:r w:rsidR="00616D20" w:rsidRPr="00500D6B">
        <w:rPr>
          <w:rFonts w:cs="Arial"/>
        </w:rPr>
        <w:t>settings</w:t>
      </w:r>
      <w:r w:rsidRPr="00500D6B">
        <w:rPr>
          <w:rFonts w:cs="Arial"/>
        </w:rPr>
        <w:t>.</w:t>
      </w:r>
    </w:p>
    <w:p w14:paraId="5D449B42" w14:textId="77777777" w:rsidR="00A02A1B" w:rsidRPr="009D54D2" w:rsidRDefault="00A02A1B" w:rsidP="00792AB5">
      <w:pPr>
        <w:pStyle w:val="TeThHauorahead2"/>
        <w:numPr>
          <w:ilvl w:val="0"/>
          <w:numId w:val="5"/>
        </w:numPr>
      </w:pPr>
      <w:bookmarkStart w:id="58" w:name="_Toc181690663"/>
      <w:bookmarkStart w:id="59" w:name="_Toc201826317"/>
      <w:bookmarkStart w:id="60" w:name="_Toc207862886"/>
      <w:r w:rsidRPr="009D54D2">
        <w:t>Blood pressure in suspected sepsis</w:t>
      </w:r>
      <w:bookmarkEnd w:id="58"/>
      <w:bookmarkEnd w:id="59"/>
      <w:bookmarkEnd w:id="60"/>
    </w:p>
    <w:p w14:paraId="2C051ECD" w14:textId="5D95FFCB" w:rsidR="00A02A1B" w:rsidRPr="00DF7B82" w:rsidRDefault="00AA031A" w:rsidP="00792AB5">
      <w:pPr>
        <w:pStyle w:val="TeThHauorabodytext"/>
        <w:ind w:left="680" w:hanging="680"/>
      </w:pPr>
      <w:r>
        <w:t>7.1</w:t>
      </w:r>
      <w:r>
        <w:tab/>
      </w:r>
      <w:r w:rsidR="00A02A1B" w:rsidRPr="00DF7B82">
        <w:t>Interpret blood pressure in the context of a person’s previous blood pressure, if</w:t>
      </w:r>
      <w:r w:rsidR="00500D6B">
        <w:t> </w:t>
      </w:r>
      <w:r w:rsidR="00A02A1B" w:rsidRPr="00DF7B82">
        <w:t>known, or anticipated blood pressure (</w:t>
      </w:r>
      <w:proofErr w:type="spellStart"/>
      <w:r w:rsidR="00A02A1B" w:rsidRPr="00DF7B82">
        <w:t>eg</w:t>
      </w:r>
      <w:proofErr w:type="spellEnd"/>
      <w:r w:rsidR="00A02A1B" w:rsidRPr="00DF7B82">
        <w:t xml:space="preserve"> known hypertension or pregnancy). Be</w:t>
      </w:r>
      <w:r w:rsidR="00500D6B">
        <w:t> </w:t>
      </w:r>
      <w:r w:rsidR="00A02A1B" w:rsidRPr="00DF7B82">
        <w:t>aware that the presence of normal blood pressure does not exclude sepsis in adults, children and young people.</w:t>
      </w:r>
    </w:p>
    <w:p w14:paraId="27342FBC" w14:textId="023CDFBD" w:rsidR="00A02A1B" w:rsidRPr="009D54D2" w:rsidRDefault="00A02A1B" w:rsidP="00792AB5">
      <w:pPr>
        <w:pStyle w:val="TeThHauorahead2"/>
        <w:numPr>
          <w:ilvl w:val="0"/>
          <w:numId w:val="5"/>
        </w:numPr>
      </w:pPr>
      <w:bookmarkStart w:id="61" w:name="_Toc181690664"/>
      <w:bookmarkStart w:id="62" w:name="_Toc201826318"/>
      <w:bookmarkStart w:id="63" w:name="_Toc207862887"/>
      <w:r w:rsidRPr="009D54D2">
        <w:t>Confusion, mental state and cognitive state in suspected</w:t>
      </w:r>
      <w:r w:rsidR="00500D6B">
        <w:t> </w:t>
      </w:r>
      <w:r w:rsidRPr="009D54D2">
        <w:t>sepsis</w:t>
      </w:r>
      <w:bookmarkEnd w:id="61"/>
      <w:bookmarkEnd w:id="62"/>
      <w:bookmarkEnd w:id="63"/>
    </w:p>
    <w:p w14:paraId="1817F459" w14:textId="77777777" w:rsidR="00A02A1B" w:rsidRPr="00DF7B82" w:rsidRDefault="00A02A1B" w:rsidP="00792AB5">
      <w:pPr>
        <w:pStyle w:val="ListParagraph"/>
        <w:numPr>
          <w:ilvl w:val="1"/>
          <w:numId w:val="11"/>
        </w:numPr>
        <w:ind w:left="680" w:hanging="680"/>
        <w:contextualSpacing w:val="0"/>
        <w:rPr>
          <w:rFonts w:cs="Arial"/>
        </w:rPr>
      </w:pPr>
      <w:r w:rsidRPr="00DF7B82">
        <w:rPr>
          <w:rFonts w:cs="Arial"/>
        </w:rPr>
        <w:t xml:space="preserve">Interpret a person’s mental state in the context of their normal function and treat changes as being significant. </w:t>
      </w:r>
    </w:p>
    <w:p w14:paraId="6A05C4E2" w14:textId="77777777" w:rsidR="00A02A1B" w:rsidRPr="009D54D2" w:rsidRDefault="00A02A1B" w:rsidP="00792AB5">
      <w:pPr>
        <w:pStyle w:val="ListParagraph"/>
        <w:numPr>
          <w:ilvl w:val="1"/>
          <w:numId w:val="11"/>
        </w:numPr>
        <w:ind w:left="680" w:hanging="680"/>
        <w:contextualSpacing w:val="0"/>
        <w:rPr>
          <w:rFonts w:cs="Arial"/>
        </w:rPr>
      </w:pPr>
      <w:r w:rsidRPr="009D54D2">
        <w:rPr>
          <w:rFonts w:cs="Arial"/>
        </w:rPr>
        <w:t>Be aware that changes in cognitive function may be subtle</w:t>
      </w:r>
      <w:r>
        <w:rPr>
          <w:rFonts w:cs="Arial"/>
        </w:rPr>
        <w:t>;</w:t>
      </w:r>
      <w:r w:rsidRPr="009D54D2">
        <w:rPr>
          <w:rFonts w:cs="Arial"/>
        </w:rPr>
        <w:t xml:space="preserve"> assessment should include history from patient and family/whānau or carers.</w:t>
      </w:r>
    </w:p>
    <w:p w14:paraId="7A5F0809" w14:textId="77777777" w:rsidR="00A02A1B" w:rsidRPr="009D54D2" w:rsidRDefault="00A02A1B" w:rsidP="00792AB5">
      <w:pPr>
        <w:pStyle w:val="ListParagraph"/>
        <w:numPr>
          <w:ilvl w:val="1"/>
          <w:numId w:val="11"/>
        </w:numPr>
        <w:ind w:left="680" w:hanging="680"/>
        <w:contextualSpacing w:val="0"/>
        <w:rPr>
          <w:rFonts w:cs="Arial"/>
        </w:rPr>
      </w:pPr>
      <w:proofErr w:type="gramStart"/>
      <w:r w:rsidRPr="009D54D2">
        <w:rPr>
          <w:rFonts w:cs="Arial"/>
        </w:rPr>
        <w:t>Take into account</w:t>
      </w:r>
      <w:proofErr w:type="gramEnd"/>
      <w:r w:rsidRPr="009D54D2">
        <w:rPr>
          <w:rFonts w:cs="Arial"/>
        </w:rPr>
        <w:t xml:space="preserve"> that changes in cognitive function may present as changes in behaviour or irritability both </w:t>
      </w:r>
      <w:r>
        <w:rPr>
          <w:rFonts w:cs="Arial"/>
        </w:rPr>
        <w:t xml:space="preserve">in </w:t>
      </w:r>
      <w:r w:rsidRPr="009D54D2">
        <w:rPr>
          <w:rFonts w:cs="Arial"/>
        </w:rPr>
        <w:t xml:space="preserve">children and in adults with dementia. </w:t>
      </w:r>
    </w:p>
    <w:p w14:paraId="2AC43DBA" w14:textId="618E783A" w:rsidR="00A02A1B" w:rsidRPr="009D54D2" w:rsidRDefault="00A02A1B" w:rsidP="00792AB5">
      <w:pPr>
        <w:pStyle w:val="ListParagraph"/>
        <w:numPr>
          <w:ilvl w:val="1"/>
          <w:numId w:val="11"/>
        </w:numPr>
        <w:ind w:left="680" w:hanging="680"/>
        <w:contextualSpacing w:val="0"/>
        <w:rPr>
          <w:rFonts w:cs="Arial"/>
        </w:rPr>
      </w:pPr>
      <w:proofErr w:type="gramStart"/>
      <w:r w:rsidRPr="009D54D2">
        <w:rPr>
          <w:rFonts w:cs="Arial"/>
        </w:rPr>
        <w:t>Take into account</w:t>
      </w:r>
      <w:proofErr w:type="gramEnd"/>
      <w:r w:rsidRPr="009D54D2">
        <w:rPr>
          <w:rFonts w:cs="Arial"/>
        </w:rPr>
        <w:t xml:space="preserve"> that changes in cognitive function in older people may present as</w:t>
      </w:r>
      <w:r w:rsidR="00500D6B">
        <w:rPr>
          <w:rFonts w:cs="Arial"/>
        </w:rPr>
        <w:t> </w:t>
      </w:r>
      <w:r w:rsidRPr="009D54D2">
        <w:rPr>
          <w:rFonts w:cs="Arial"/>
        </w:rPr>
        <w:t>acute changes in functional abilities.</w:t>
      </w:r>
    </w:p>
    <w:p w14:paraId="7ACB7B36" w14:textId="77777777" w:rsidR="00A02A1B" w:rsidRPr="009D54D2" w:rsidRDefault="00A02A1B" w:rsidP="00427C62">
      <w:pPr>
        <w:pStyle w:val="TeThHauorahead2"/>
        <w:numPr>
          <w:ilvl w:val="0"/>
          <w:numId w:val="5"/>
        </w:numPr>
        <w:ind w:left="567" w:hanging="567"/>
      </w:pPr>
      <w:bookmarkStart w:id="64" w:name="_Toc181690665"/>
      <w:bookmarkStart w:id="65" w:name="_Toc201826319"/>
      <w:bookmarkStart w:id="66" w:name="_Toc207862888"/>
      <w:r w:rsidRPr="009D54D2">
        <w:t>Oxygen saturation in suspected sepsis</w:t>
      </w:r>
      <w:bookmarkEnd w:id="64"/>
      <w:bookmarkEnd w:id="65"/>
      <w:bookmarkEnd w:id="66"/>
    </w:p>
    <w:p w14:paraId="6B42CAB7" w14:textId="77777777" w:rsidR="00A02A1B" w:rsidRPr="005A0E01" w:rsidRDefault="00A02A1B" w:rsidP="00792AB5">
      <w:pPr>
        <w:pStyle w:val="ListParagraph"/>
        <w:numPr>
          <w:ilvl w:val="1"/>
          <w:numId w:val="12"/>
        </w:numPr>
        <w:ind w:left="680" w:hanging="680"/>
        <w:contextualSpacing w:val="0"/>
        <w:rPr>
          <w:rFonts w:cs="Arial"/>
        </w:rPr>
      </w:pPr>
      <w:r w:rsidRPr="005A0E01">
        <w:rPr>
          <w:rFonts w:cs="Arial"/>
        </w:rPr>
        <w:t>Consider that if peripheral oxygen saturation is difficult to measure in a person with suspected sepsis, this may indicate poor peripheral circulation because of shock.</w:t>
      </w:r>
    </w:p>
    <w:p w14:paraId="310A1405" w14:textId="33C87D14" w:rsidR="00A02A1B" w:rsidRPr="00FE5FE7" w:rsidRDefault="00A02A1B" w:rsidP="00792AB5">
      <w:pPr>
        <w:pStyle w:val="ListParagraph"/>
        <w:numPr>
          <w:ilvl w:val="1"/>
          <w:numId w:val="12"/>
        </w:numPr>
        <w:ind w:left="680" w:hanging="680"/>
        <w:contextualSpacing w:val="0"/>
        <w:rPr>
          <w:rFonts w:cs="Arial"/>
        </w:rPr>
      </w:pPr>
      <w:r w:rsidRPr="00FE5FE7">
        <w:rPr>
          <w:rFonts w:cs="Arial"/>
        </w:rPr>
        <w:t xml:space="preserve">Take into account that skin pigmentation can cause peripheral oximeters to </w:t>
      </w:r>
      <w:hyperlink r:id="rId20" w:history="1">
        <w:r w:rsidRPr="00FE5FE7">
          <w:rPr>
            <w:rStyle w:val="Hyperlink"/>
            <w:rFonts w:cs="Arial"/>
          </w:rPr>
          <w:t>overestimate oxygen saturation</w:t>
        </w:r>
      </w:hyperlink>
      <w:r w:rsidR="00FE5FE7">
        <w:t>.</w:t>
      </w:r>
      <w:r w:rsidR="004538AE">
        <w:rPr>
          <w:rStyle w:val="FootnoteReference"/>
        </w:rPr>
        <w:footnoteReference w:id="4"/>
      </w:r>
      <w:r w:rsidRPr="00FE5FE7">
        <w:rPr>
          <w:rFonts w:cs="Arial"/>
        </w:rPr>
        <w:t xml:space="preserve"> Arterial blood gas monitoring may be required to</w:t>
      </w:r>
      <w:r w:rsidR="00171C5D">
        <w:rPr>
          <w:rFonts w:cs="Arial"/>
        </w:rPr>
        <w:t> </w:t>
      </w:r>
      <w:r w:rsidRPr="00FE5FE7">
        <w:rPr>
          <w:rFonts w:cs="Arial"/>
        </w:rPr>
        <w:t>clarify the true oxygen saturation.</w:t>
      </w:r>
    </w:p>
    <w:p w14:paraId="6AAEC214" w14:textId="77777777" w:rsidR="00A02A1B" w:rsidRPr="009D54D2" w:rsidRDefault="00A02A1B" w:rsidP="00792AB5">
      <w:pPr>
        <w:pStyle w:val="TeThHauorahead2"/>
        <w:numPr>
          <w:ilvl w:val="0"/>
          <w:numId w:val="5"/>
        </w:numPr>
      </w:pPr>
      <w:bookmarkStart w:id="67" w:name="_Toc181690666"/>
      <w:bookmarkStart w:id="68" w:name="_Toc201826320"/>
      <w:bookmarkStart w:id="69" w:name="_Toc207862889"/>
      <w:r w:rsidRPr="009D54D2">
        <w:t>Managing suspected sepsis outside acute hospital settings</w:t>
      </w:r>
      <w:bookmarkEnd w:id="67"/>
      <w:bookmarkEnd w:id="68"/>
      <w:bookmarkEnd w:id="69"/>
    </w:p>
    <w:p w14:paraId="4D58774B" w14:textId="77777777" w:rsidR="00A02A1B" w:rsidRPr="005A0E01" w:rsidRDefault="00A02A1B" w:rsidP="00792AB5">
      <w:pPr>
        <w:pStyle w:val="ListParagraph"/>
        <w:numPr>
          <w:ilvl w:val="1"/>
          <w:numId w:val="13"/>
        </w:numPr>
        <w:ind w:left="680" w:hanging="680"/>
        <w:contextualSpacing w:val="0"/>
        <w:rPr>
          <w:rFonts w:cs="Arial"/>
        </w:rPr>
      </w:pPr>
      <w:r w:rsidRPr="005A0E01">
        <w:rPr>
          <w:rFonts w:cs="Arial"/>
        </w:rPr>
        <w:t>*Refer all people with suspected sepsis outside acute hospital settings for emergency medical care by the most appropriate means of transport (usually via ambulance) if:</w:t>
      </w:r>
    </w:p>
    <w:p w14:paraId="55E56604" w14:textId="77777777" w:rsidR="00A02A1B" w:rsidRPr="009D54D2" w:rsidRDefault="00A02A1B" w:rsidP="00792AB5">
      <w:pPr>
        <w:pStyle w:val="TeThHauorabullets"/>
        <w:ind w:left="1077"/>
      </w:pPr>
      <w:r w:rsidRPr="009D54D2">
        <w:t>they meet any high-risk (</w:t>
      </w:r>
      <w:r>
        <w:t>RED FLAG</w:t>
      </w:r>
      <w:r w:rsidRPr="009D54D2">
        <w:t xml:space="preserve">) criteria (see relevant </w:t>
      </w:r>
      <w:r>
        <w:t>t</w:t>
      </w:r>
      <w:r w:rsidRPr="009D54D2">
        <w:t>ables) or</w:t>
      </w:r>
    </w:p>
    <w:p w14:paraId="5C878543" w14:textId="46B3DE1A" w:rsidR="00A02A1B" w:rsidRPr="009D54D2" w:rsidRDefault="00A02A1B" w:rsidP="00792AB5">
      <w:pPr>
        <w:pStyle w:val="TeThHauorabullets"/>
        <w:ind w:left="1077"/>
      </w:pPr>
      <w:r w:rsidRPr="009D54D2">
        <w:t xml:space="preserve">there is a concern that </w:t>
      </w:r>
      <w:r>
        <w:t xml:space="preserve">the </w:t>
      </w:r>
      <w:r w:rsidRPr="009D54D2">
        <w:t>person would be unable to return with new or worsening symptoms</w:t>
      </w:r>
      <w:r w:rsidR="00F77946">
        <w:t xml:space="preserve"> </w:t>
      </w:r>
    </w:p>
    <w:p w14:paraId="56104510" w14:textId="77777777" w:rsidR="00A02A1B" w:rsidRDefault="00A02A1B" w:rsidP="00792AB5">
      <w:pPr>
        <w:pStyle w:val="TeThHauorabullets"/>
        <w:spacing w:after="120"/>
        <w:ind w:left="1077"/>
      </w:pPr>
      <w:r>
        <w:lastRenderedPageBreak/>
        <w:t>o</w:t>
      </w:r>
      <w:r w:rsidRPr="2DA00B25">
        <w:t>ne or more moderate</w:t>
      </w:r>
      <w:r>
        <w:t>-</w:t>
      </w:r>
      <w:r w:rsidRPr="2DA00B25">
        <w:t xml:space="preserve"> to high</w:t>
      </w:r>
      <w:r>
        <w:t>-</w:t>
      </w:r>
      <w:r w:rsidRPr="2DA00B25">
        <w:t xml:space="preserve">risk criteria are present </w:t>
      </w:r>
      <w:r>
        <w:t xml:space="preserve">and there is </w:t>
      </w:r>
      <w:r w:rsidRPr="2DA00B25">
        <w:t>increased concern for sepsis and/or lack of improvement after a period of observation</w:t>
      </w:r>
      <w:r>
        <w:t>.</w:t>
      </w:r>
    </w:p>
    <w:p w14:paraId="49365BF7" w14:textId="5DCBA600" w:rsidR="00A02A1B" w:rsidRPr="009D54D2" w:rsidRDefault="00A02A1B" w:rsidP="00792AB5">
      <w:pPr>
        <w:pStyle w:val="ListParagraph"/>
        <w:numPr>
          <w:ilvl w:val="1"/>
          <w:numId w:val="13"/>
        </w:numPr>
        <w:ind w:left="680" w:hanging="680"/>
        <w:contextualSpacing w:val="0"/>
        <w:rPr>
          <w:rFonts w:cs="Arial"/>
        </w:rPr>
      </w:pPr>
      <w:r w:rsidRPr="009D54D2">
        <w:rPr>
          <w:rFonts w:cs="Arial"/>
        </w:rPr>
        <w:t>If a definitive diagnosis is not reached</w:t>
      </w:r>
      <w:r>
        <w:rPr>
          <w:rFonts w:cs="Arial"/>
        </w:rPr>
        <w:t>,</w:t>
      </w:r>
      <w:r w:rsidRPr="009D54D2">
        <w:rPr>
          <w:rFonts w:cs="Arial"/>
        </w:rPr>
        <w:t xml:space="preserve"> or the person cannot be treated safely outside an acute hospital setting, refer them urgently for care.</w:t>
      </w:r>
      <w:r w:rsidR="00F77946">
        <w:rPr>
          <w:rFonts w:cs="Arial"/>
        </w:rPr>
        <w:t xml:space="preserve"> </w:t>
      </w:r>
    </w:p>
    <w:p w14:paraId="4572F4D0" w14:textId="77777777" w:rsidR="00A02A1B" w:rsidRDefault="00A02A1B" w:rsidP="00792AB5">
      <w:pPr>
        <w:pStyle w:val="ListParagraph"/>
        <w:numPr>
          <w:ilvl w:val="1"/>
          <w:numId w:val="13"/>
        </w:numPr>
        <w:ind w:left="680" w:hanging="680"/>
        <w:contextualSpacing w:val="0"/>
        <w:rPr>
          <w:rFonts w:cs="Arial"/>
        </w:rPr>
      </w:pPr>
      <w:r w:rsidRPr="009D54D2">
        <w:rPr>
          <w:rFonts w:cs="Arial"/>
        </w:rPr>
        <w:t>For people with infection who do not have any high or moderate</w:t>
      </w:r>
      <w:r>
        <w:rPr>
          <w:rFonts w:cs="Arial"/>
        </w:rPr>
        <w:t>-</w:t>
      </w:r>
      <w:r w:rsidRPr="009D54D2">
        <w:rPr>
          <w:rFonts w:cs="Arial"/>
        </w:rPr>
        <w:t xml:space="preserve"> to high</w:t>
      </w:r>
      <w:r w:rsidRPr="2DA00B25">
        <w:rPr>
          <w:rFonts w:cs="Arial"/>
        </w:rPr>
        <w:t>-</w:t>
      </w:r>
      <w:r w:rsidRPr="009D54D2">
        <w:rPr>
          <w:rFonts w:cs="Arial"/>
        </w:rPr>
        <w:t>risk criteria who are being treated for infection</w:t>
      </w:r>
      <w:r>
        <w:rPr>
          <w:rFonts w:cs="Arial"/>
        </w:rPr>
        <w:t>,</w:t>
      </w:r>
      <w:r w:rsidRPr="009D54D2">
        <w:rPr>
          <w:rFonts w:cs="Arial"/>
        </w:rPr>
        <w:t xml:space="preserve"> provide information about sepsis symptoms and how to access medical care if they are concerned (use </w:t>
      </w:r>
      <w:r w:rsidRPr="2DA00B25">
        <w:rPr>
          <w:rFonts w:cs="Arial"/>
        </w:rPr>
        <w:t>dedicate</w:t>
      </w:r>
      <w:r>
        <w:rPr>
          <w:rFonts w:cs="Arial"/>
        </w:rPr>
        <w:t>d written</w:t>
      </w:r>
      <w:r w:rsidRPr="009D54D2">
        <w:rPr>
          <w:rFonts w:cs="Arial"/>
        </w:rPr>
        <w:t xml:space="preserve"> patient resources).</w:t>
      </w:r>
    </w:p>
    <w:p w14:paraId="72E7957A" w14:textId="7876A253" w:rsidR="00A02A1B" w:rsidRPr="009D54D2" w:rsidRDefault="00A02A1B" w:rsidP="00427C62">
      <w:pPr>
        <w:pStyle w:val="TeThHauorahead2"/>
        <w:numPr>
          <w:ilvl w:val="0"/>
          <w:numId w:val="5"/>
        </w:numPr>
      </w:pPr>
      <w:bookmarkStart w:id="70" w:name="_Toc181690667"/>
      <w:bookmarkStart w:id="71" w:name="_Toc201826321"/>
      <w:bookmarkStart w:id="72" w:name="_Toc207862890"/>
      <w:r w:rsidRPr="009D54D2">
        <w:t xml:space="preserve">Managing and treating suspected sepsis in </w:t>
      </w:r>
      <w:r w:rsidRPr="4045C2ED">
        <w:t>adults and young</w:t>
      </w:r>
      <w:r w:rsidR="00500D6B">
        <w:t> </w:t>
      </w:r>
      <w:r w:rsidRPr="4045C2ED">
        <w:t xml:space="preserve">people aged 12 and over in </w:t>
      </w:r>
      <w:r w:rsidRPr="009D54D2">
        <w:t>acute hospital settings</w:t>
      </w:r>
      <w:bookmarkEnd w:id="70"/>
      <w:bookmarkEnd w:id="71"/>
      <w:bookmarkEnd w:id="72"/>
    </w:p>
    <w:p w14:paraId="395E60C2" w14:textId="77777777" w:rsidR="00A02A1B" w:rsidRPr="005A0E01" w:rsidRDefault="00A02A1B" w:rsidP="00427C62">
      <w:pPr>
        <w:pStyle w:val="ListParagraph"/>
        <w:keepNext/>
        <w:numPr>
          <w:ilvl w:val="1"/>
          <w:numId w:val="14"/>
        </w:numPr>
        <w:ind w:left="680" w:hanging="680"/>
        <w:contextualSpacing w:val="0"/>
        <w:rPr>
          <w:rFonts w:cs="Arial"/>
        </w:rPr>
      </w:pPr>
      <w:r w:rsidRPr="005A0E01">
        <w:rPr>
          <w:rFonts w:cs="Arial"/>
        </w:rPr>
        <w:t>For adults and young people aged 12 years and over who have suspected sepsis and one or more high-risk/RED FLAG criteria, complete the sepsis resuscitation bundle (Sepsis Six), as follows:</w:t>
      </w:r>
    </w:p>
    <w:p w14:paraId="74B2BAA1" w14:textId="09DB3E1F" w:rsidR="00A02A1B" w:rsidRPr="009D54D2" w:rsidRDefault="00A02A1B" w:rsidP="009C3C1A">
      <w:pPr>
        <w:pStyle w:val="TeThHauorabullets"/>
        <w:ind w:left="1077"/>
      </w:pPr>
      <w:r w:rsidRPr="009D54D2">
        <w:t xml:space="preserve">Give oxygen if </w:t>
      </w:r>
      <w:r>
        <w:t xml:space="preserve">peripheral oxygen saturation is </w:t>
      </w:r>
      <w:r w:rsidRPr="009D54D2">
        <w:t>≤92%. T</w:t>
      </w:r>
      <w:r>
        <w:t>he t</w:t>
      </w:r>
      <w:r w:rsidRPr="009D54D2">
        <w:t xml:space="preserve">arget saturation </w:t>
      </w:r>
      <w:r>
        <w:t xml:space="preserve">is </w:t>
      </w:r>
      <w:r w:rsidRPr="009D54D2">
        <w:t>≥94% (88</w:t>
      </w:r>
      <w:r>
        <w:t>–</w:t>
      </w:r>
      <w:r w:rsidRPr="009D54D2">
        <w:t xml:space="preserve">92% if </w:t>
      </w:r>
      <w:r>
        <w:t xml:space="preserve">the person is a </w:t>
      </w:r>
      <w:r w:rsidRPr="009D54D2">
        <w:t xml:space="preserve">known </w:t>
      </w:r>
      <w:r>
        <w:t xml:space="preserve">carbon dioxide </w:t>
      </w:r>
      <w:r w:rsidRPr="009D54D2">
        <w:t>retainer)</w:t>
      </w:r>
      <w:r w:rsidR="00092F13">
        <w:t>.</w:t>
      </w:r>
    </w:p>
    <w:p w14:paraId="07AEAF9F" w14:textId="569FAB11" w:rsidR="00A02A1B" w:rsidRPr="009D54D2" w:rsidRDefault="00A02A1B" w:rsidP="009C3C1A">
      <w:pPr>
        <w:pStyle w:val="TeThHauorabullets"/>
        <w:ind w:left="1077"/>
      </w:pPr>
      <w:r w:rsidRPr="009D54D2">
        <w:t>Draw blood cultures</w:t>
      </w:r>
      <w:r>
        <w:t xml:space="preserve"> prior to antibiotics</w:t>
      </w:r>
      <w:r w:rsidRPr="009D54D2">
        <w:t xml:space="preserve">. Send at least </w:t>
      </w:r>
      <w:r>
        <w:t xml:space="preserve">two </w:t>
      </w:r>
      <w:r w:rsidRPr="009D54D2">
        <w:t xml:space="preserve">sets from a single site, even if patient is afebrile. Ensure all bottles are properly </w:t>
      </w:r>
      <w:r w:rsidRPr="008B6E64">
        <w:t>filled</w:t>
      </w:r>
      <w:r w:rsidRPr="005A0E01">
        <w:t xml:space="preserve"> with 8–10 ml in each bottle. Follow strict aseptic technique to avoid contamination. Do not collect blood cultures during the insertion of a peripheral cannula.</w:t>
      </w:r>
      <w:r w:rsidR="00F77946">
        <w:t xml:space="preserve"> </w:t>
      </w:r>
      <w:r>
        <w:t>Send a</w:t>
      </w:r>
      <w:r w:rsidRPr="009D54D2">
        <w:t xml:space="preserve">dditional blood cultures from indwelling vascular catheters and from a separate venepuncture site if </w:t>
      </w:r>
      <w:r>
        <w:t xml:space="preserve">you suspect </w:t>
      </w:r>
      <w:r w:rsidRPr="009D54D2">
        <w:t xml:space="preserve">endocarditis. </w:t>
      </w:r>
    </w:p>
    <w:p w14:paraId="5394276D" w14:textId="77777777" w:rsidR="00A02A1B" w:rsidRPr="009D54D2" w:rsidRDefault="00A02A1B" w:rsidP="009C3C1A">
      <w:pPr>
        <w:pStyle w:val="TeThHauorabullets"/>
        <w:ind w:left="1077"/>
      </w:pPr>
      <w:r w:rsidRPr="009D54D2">
        <w:t>Obtain a serum lactate and take blood</w:t>
      </w:r>
      <w:r>
        <w:t xml:space="preserve"> test</w:t>
      </w:r>
      <w:r w:rsidRPr="009D54D2">
        <w:t>s</w:t>
      </w:r>
      <w:r>
        <w:t>,</w:t>
      </w:r>
      <w:r w:rsidRPr="009D54D2">
        <w:t xml:space="preserve"> including a full blood count</w:t>
      </w:r>
      <w:r>
        <w:t>;</w:t>
      </w:r>
      <w:r w:rsidRPr="009D54D2">
        <w:t xml:space="preserve"> </w:t>
      </w:r>
      <w:r>
        <w:t>U &amp; E’s (</w:t>
      </w:r>
      <w:r w:rsidRPr="009D54D2">
        <w:t>urea, and electrolytes</w:t>
      </w:r>
      <w:r>
        <w:t>);</w:t>
      </w:r>
      <w:r w:rsidRPr="009D54D2">
        <w:t xml:space="preserve"> liver function tests</w:t>
      </w:r>
      <w:r>
        <w:t>;</w:t>
      </w:r>
      <w:r w:rsidRPr="009D54D2">
        <w:t xml:space="preserve"> and </w:t>
      </w:r>
      <w:r>
        <w:t xml:space="preserve">a </w:t>
      </w:r>
      <w:r w:rsidRPr="009D54D2">
        <w:t>coagulation profile. A C</w:t>
      </w:r>
      <w:r>
        <w:t>-reactive protein test</w:t>
      </w:r>
      <w:r w:rsidRPr="009D54D2">
        <w:t xml:space="preserve"> may be useful in adults and people who are pregnant but is not recommended as part of the initial assessment of suspected sepsis in children.</w:t>
      </w:r>
      <w:r>
        <w:t xml:space="preserve"> Abnormal venous lactate measurements are considered significant (arterial measurements are not required).</w:t>
      </w:r>
    </w:p>
    <w:p w14:paraId="75B95111" w14:textId="77777777" w:rsidR="00A02A1B" w:rsidRPr="009D54D2" w:rsidRDefault="00A02A1B" w:rsidP="009C3C1A">
      <w:pPr>
        <w:pStyle w:val="TeThHauorabullets"/>
        <w:ind w:left="1077"/>
      </w:pPr>
      <w:r w:rsidRPr="009D54D2">
        <w:t xml:space="preserve">Give IV </w:t>
      </w:r>
      <w:r>
        <w:t>f</w:t>
      </w:r>
      <w:r w:rsidRPr="009D54D2">
        <w:t>luids</w:t>
      </w:r>
      <w:r>
        <w:t>:</w:t>
      </w:r>
      <w:r w:rsidRPr="009D54D2">
        <w:t xml:space="preserve"> </w:t>
      </w:r>
      <w:r>
        <w:t>see recommendation 15</w:t>
      </w:r>
      <w:r w:rsidRPr="009D54D2">
        <w:t xml:space="preserve"> below</w:t>
      </w:r>
      <w:r>
        <w:t>.</w:t>
      </w:r>
    </w:p>
    <w:p w14:paraId="6167FC86" w14:textId="77777777" w:rsidR="00A02A1B" w:rsidRPr="009D54D2" w:rsidRDefault="00A02A1B" w:rsidP="009C3C1A">
      <w:pPr>
        <w:pStyle w:val="TeThHauorabullets"/>
        <w:ind w:left="1077"/>
      </w:pPr>
      <w:r w:rsidRPr="009D54D2">
        <w:t xml:space="preserve">Give IV </w:t>
      </w:r>
      <w:r>
        <w:t>a</w:t>
      </w:r>
      <w:r w:rsidRPr="009D54D2">
        <w:t xml:space="preserve">ntibiotics. Give </w:t>
      </w:r>
      <w:r w:rsidRPr="006B29B0">
        <w:t>a broad</w:t>
      </w:r>
      <w:r w:rsidRPr="009D54D2">
        <w:t xml:space="preserve">-spectrum antimicrobial at the maximum recommended dose without delay, and within </w:t>
      </w:r>
      <w:r>
        <w:t xml:space="preserve">one </w:t>
      </w:r>
      <w:r w:rsidRPr="009D54D2">
        <w:t xml:space="preserve">hour of identifying that </w:t>
      </w:r>
      <w:r>
        <w:t xml:space="preserve">a person </w:t>
      </w:r>
      <w:r w:rsidRPr="009D54D2">
        <w:t>meet</w:t>
      </w:r>
      <w:r>
        <w:t>s</w:t>
      </w:r>
      <w:r w:rsidRPr="009D54D2">
        <w:t xml:space="preserve"> any high-risk/</w:t>
      </w:r>
      <w:r>
        <w:t>RED FLAG</w:t>
      </w:r>
      <w:r w:rsidRPr="009D54D2">
        <w:t xml:space="preserve"> criteria in an acute hospital setting. Use a sepsis-specific guideline to ensure that pathogens causing sepsis are treated based on the presenting clinical syndrome and guidance provided by local antimicrobial stewardship teams.</w:t>
      </w:r>
    </w:p>
    <w:p w14:paraId="6D4F8A8D" w14:textId="77777777" w:rsidR="00A02A1B" w:rsidRPr="009D54D2" w:rsidRDefault="00A02A1B" w:rsidP="009C3C1A">
      <w:pPr>
        <w:pStyle w:val="TeThHauorabullets"/>
        <w:spacing w:after="120"/>
        <w:ind w:left="1077"/>
      </w:pPr>
      <w:r w:rsidRPr="009D54D2">
        <w:t xml:space="preserve">Get </w:t>
      </w:r>
      <w:r>
        <w:t>h</w:t>
      </w:r>
      <w:r w:rsidRPr="009D54D2">
        <w:t xml:space="preserve">elp. Inform a senior clinician that your patient has </w:t>
      </w:r>
      <w:r>
        <w:t>RED FLAG</w:t>
      </w:r>
      <w:r w:rsidRPr="009D54D2">
        <w:t xml:space="preserve"> </w:t>
      </w:r>
      <w:r>
        <w:t>s</w:t>
      </w:r>
      <w:r w:rsidRPr="009D54D2">
        <w:t xml:space="preserve">epsis. </w:t>
      </w:r>
      <w:r>
        <w:t>S</w:t>
      </w:r>
      <w:r w:rsidRPr="009D54D2">
        <w:t>enior clinician</w:t>
      </w:r>
      <w:r>
        <w:t>s</w:t>
      </w:r>
      <w:r w:rsidRPr="009D54D2">
        <w:t xml:space="preserve"> </w:t>
      </w:r>
      <w:r>
        <w:t>include</w:t>
      </w:r>
      <w:r w:rsidRPr="009D54D2">
        <w:t xml:space="preserve"> senior medical officer</w:t>
      </w:r>
      <w:r>
        <w:t>s</w:t>
      </w:r>
      <w:r w:rsidRPr="009D54D2">
        <w:t>, registrar</w:t>
      </w:r>
      <w:r>
        <w:t>s</w:t>
      </w:r>
      <w:r w:rsidRPr="009D54D2">
        <w:t>, clinical fellow</w:t>
      </w:r>
      <w:r>
        <w:t>s</w:t>
      </w:r>
      <w:r w:rsidRPr="009D54D2">
        <w:t>, nurse practitioner</w:t>
      </w:r>
      <w:r>
        <w:t>s and</w:t>
      </w:r>
      <w:r w:rsidRPr="009D54D2">
        <w:t xml:space="preserve"> senior midwi</w:t>
      </w:r>
      <w:r>
        <w:t>ves</w:t>
      </w:r>
      <w:r w:rsidRPr="009D54D2">
        <w:t xml:space="preserve">. </w:t>
      </w:r>
    </w:p>
    <w:p w14:paraId="1F833651" w14:textId="77777777" w:rsidR="00A02A1B" w:rsidRPr="009D54D2" w:rsidRDefault="00A02A1B" w:rsidP="00427C62">
      <w:pPr>
        <w:pStyle w:val="ListParagraph"/>
        <w:numPr>
          <w:ilvl w:val="1"/>
          <w:numId w:val="14"/>
        </w:numPr>
        <w:ind w:left="680" w:hanging="680"/>
        <w:contextualSpacing w:val="0"/>
        <w:rPr>
          <w:rFonts w:cs="Arial"/>
        </w:rPr>
      </w:pPr>
      <w:r w:rsidRPr="009D54D2">
        <w:rPr>
          <w:rFonts w:cs="Arial"/>
        </w:rPr>
        <w:t>The role of the senior clinician is to ensure</w:t>
      </w:r>
      <w:r>
        <w:rPr>
          <w:rFonts w:cs="Arial"/>
        </w:rPr>
        <w:t xml:space="preserve"> that:</w:t>
      </w:r>
    </w:p>
    <w:p w14:paraId="07C774E8" w14:textId="77777777" w:rsidR="00A02A1B" w:rsidRPr="009D54D2" w:rsidRDefault="00A02A1B" w:rsidP="009C3C1A">
      <w:pPr>
        <w:pStyle w:val="TeThHauorabullets"/>
        <w:ind w:left="1077"/>
      </w:pPr>
      <w:r w:rsidRPr="009D54D2">
        <w:t>appropriate antimicrobial therapy is prescribed</w:t>
      </w:r>
    </w:p>
    <w:p w14:paraId="09DC9398" w14:textId="77777777" w:rsidR="00A02A1B" w:rsidRPr="009D54D2" w:rsidRDefault="00A02A1B" w:rsidP="009C3C1A">
      <w:pPr>
        <w:pStyle w:val="TeThHauorabullets"/>
        <w:ind w:left="1077"/>
      </w:pPr>
      <w:r w:rsidRPr="009D54D2">
        <w:t>necessary investigations, procedures and referrals are made urgently</w:t>
      </w:r>
    </w:p>
    <w:p w14:paraId="6E16E13E" w14:textId="77777777" w:rsidR="00A02A1B" w:rsidRPr="009D54D2" w:rsidRDefault="00A02A1B" w:rsidP="009C3C1A">
      <w:pPr>
        <w:pStyle w:val="TeThHauorabullets"/>
        <w:ind w:left="1077"/>
      </w:pPr>
      <w:r w:rsidRPr="009D54D2">
        <w:t>diagnoses alternative to sepsis are appropriately considered</w:t>
      </w:r>
      <w:r>
        <w:t>.</w:t>
      </w:r>
    </w:p>
    <w:p w14:paraId="7ECBFC1C" w14:textId="77777777" w:rsidR="00A02A1B" w:rsidRPr="0019549F" w:rsidRDefault="00A02A1B" w:rsidP="0079296A">
      <w:pPr>
        <w:pStyle w:val="TeThHauorabullets"/>
        <w:spacing w:after="120"/>
        <w:ind w:left="1077"/>
      </w:pPr>
      <w:r w:rsidRPr="009D54D2">
        <w:lastRenderedPageBreak/>
        <w:t xml:space="preserve">For adults and young people aged 12 years and over with suspected sepsis, any high-risk criteria and either a lactate over 4 mmol/litre or systolic blood pressure </w:t>
      </w:r>
      <w:r w:rsidRPr="00500D6B">
        <w:rPr>
          <w:spacing w:val="-2"/>
        </w:rPr>
        <w:t>less than 90 mmHg, give IV fluid bolus without delay (within one hour of identifying</w:t>
      </w:r>
      <w:r w:rsidRPr="0019549F">
        <w:t xml:space="preserve"> that they meet high-risk/RED FLAG criteria in an acute hospital setting)</w:t>
      </w:r>
      <w:r>
        <w:t>,</w:t>
      </w:r>
      <w:r w:rsidRPr="0019549F">
        <w:t xml:space="preserve"> in line with </w:t>
      </w:r>
      <w:r>
        <w:t xml:space="preserve">the </w:t>
      </w:r>
      <w:r w:rsidRPr="0019549F">
        <w:t>recommendations below.</w:t>
      </w:r>
    </w:p>
    <w:p w14:paraId="7293B049" w14:textId="7B6F8AFA" w:rsidR="00A02A1B" w:rsidRPr="0019549F" w:rsidRDefault="00A02A1B" w:rsidP="00427C62">
      <w:pPr>
        <w:pStyle w:val="ListParagraph"/>
        <w:numPr>
          <w:ilvl w:val="1"/>
          <w:numId w:val="14"/>
        </w:numPr>
        <w:ind w:left="680" w:hanging="680"/>
        <w:contextualSpacing w:val="0"/>
        <w:rPr>
          <w:rFonts w:cs="Arial"/>
        </w:rPr>
      </w:pPr>
      <w:r>
        <w:rPr>
          <w:rFonts w:cs="Arial"/>
        </w:rPr>
        <w:t>I</w:t>
      </w:r>
      <w:r w:rsidRPr="00DA217D">
        <w:rPr>
          <w:rFonts w:cs="Arial"/>
        </w:rPr>
        <w:t>nclude critical care in decision-making regarding the need for central venous access and appropriate vasoactive support</w:t>
      </w:r>
      <w:r>
        <w:rPr>
          <w:rFonts w:cs="Arial"/>
        </w:rPr>
        <w:t xml:space="preserve">. </w:t>
      </w:r>
      <w:r w:rsidRPr="009D54D2">
        <w:rPr>
          <w:rFonts w:cs="Arial"/>
        </w:rPr>
        <w:t xml:space="preserve">For </w:t>
      </w:r>
      <w:r w:rsidRPr="4045C2ED">
        <w:rPr>
          <w:rFonts w:cs="Arial"/>
        </w:rPr>
        <w:t xml:space="preserve">adults and </w:t>
      </w:r>
      <w:r w:rsidRPr="009D54D2">
        <w:rPr>
          <w:rFonts w:cs="Arial"/>
        </w:rPr>
        <w:t>young people aged 12 years and</w:t>
      </w:r>
      <w:r w:rsidR="00500D6B">
        <w:rPr>
          <w:rFonts w:cs="Arial"/>
        </w:rPr>
        <w:t> </w:t>
      </w:r>
      <w:r w:rsidRPr="009D54D2">
        <w:rPr>
          <w:rFonts w:cs="Arial"/>
        </w:rPr>
        <w:t>over with suspected sepsis, any high-risk criteria and a lactate between 2 and 4</w:t>
      </w:r>
      <w:r w:rsidR="00500D6B">
        <w:rPr>
          <w:rFonts w:cs="Arial"/>
        </w:rPr>
        <w:t> </w:t>
      </w:r>
      <w:r w:rsidRPr="009D54D2">
        <w:rPr>
          <w:rFonts w:cs="Arial"/>
        </w:rPr>
        <w:t>mmol/litre</w:t>
      </w:r>
      <w:r>
        <w:rPr>
          <w:rFonts w:cs="Arial"/>
        </w:rPr>
        <w:t xml:space="preserve">, </w:t>
      </w:r>
      <w:r w:rsidRPr="0019549F">
        <w:rPr>
          <w:rFonts w:cs="Arial"/>
        </w:rPr>
        <w:t xml:space="preserve">give </w:t>
      </w:r>
      <w:r>
        <w:rPr>
          <w:rFonts w:cs="Arial"/>
        </w:rPr>
        <w:t xml:space="preserve">IV </w:t>
      </w:r>
      <w:r w:rsidRPr="0019549F">
        <w:rPr>
          <w:rFonts w:cs="Arial"/>
        </w:rPr>
        <w:t>fluid bolus without delay (within one hour of identifying that they meet any high-risk criteria in an acute hospital setting)</w:t>
      </w:r>
      <w:r>
        <w:rPr>
          <w:rFonts w:cs="Arial"/>
        </w:rPr>
        <w:t>,</w:t>
      </w:r>
      <w:r w:rsidRPr="0019549F">
        <w:rPr>
          <w:rFonts w:cs="Arial"/>
        </w:rPr>
        <w:t xml:space="preserve"> in line with </w:t>
      </w:r>
      <w:r>
        <w:rPr>
          <w:rFonts w:cs="Arial"/>
        </w:rPr>
        <w:t xml:space="preserve">the </w:t>
      </w:r>
      <w:r w:rsidRPr="0019549F">
        <w:rPr>
          <w:rFonts w:cs="Arial"/>
        </w:rPr>
        <w:t xml:space="preserve">recommendations below. </w:t>
      </w:r>
    </w:p>
    <w:p w14:paraId="26DED2F0" w14:textId="6F026AF2" w:rsidR="00A02A1B" w:rsidRPr="0019549F" w:rsidRDefault="00A02A1B" w:rsidP="00427C62">
      <w:pPr>
        <w:pStyle w:val="ListParagraph"/>
        <w:numPr>
          <w:ilvl w:val="1"/>
          <w:numId w:val="14"/>
        </w:numPr>
        <w:ind w:left="680" w:hanging="680"/>
        <w:contextualSpacing w:val="0"/>
        <w:rPr>
          <w:rFonts w:cs="Arial"/>
        </w:rPr>
      </w:pPr>
      <w:r w:rsidRPr="009D54D2">
        <w:rPr>
          <w:rFonts w:cs="Arial"/>
        </w:rPr>
        <w:t xml:space="preserve">For </w:t>
      </w:r>
      <w:r w:rsidRPr="4045C2ED">
        <w:rPr>
          <w:rFonts w:cs="Arial"/>
        </w:rPr>
        <w:t xml:space="preserve">adults and </w:t>
      </w:r>
      <w:r w:rsidRPr="009D54D2">
        <w:rPr>
          <w:rFonts w:cs="Arial"/>
        </w:rPr>
        <w:t>young people aged 12 years and over with suspected sepsis, any high</w:t>
      </w:r>
      <w:r w:rsidR="00500D6B">
        <w:rPr>
          <w:rFonts w:cs="Arial"/>
        </w:rPr>
        <w:noBreakHyphen/>
      </w:r>
      <w:r w:rsidRPr="009D54D2">
        <w:rPr>
          <w:rFonts w:cs="Arial"/>
        </w:rPr>
        <w:t>risk criteria and lactate below 2 mmol/litre</w:t>
      </w:r>
      <w:r>
        <w:rPr>
          <w:rFonts w:cs="Arial"/>
        </w:rPr>
        <w:t xml:space="preserve">, </w:t>
      </w:r>
      <w:r w:rsidRPr="0019549F">
        <w:rPr>
          <w:rFonts w:cs="Arial"/>
        </w:rPr>
        <w:t xml:space="preserve">consider giving </w:t>
      </w:r>
      <w:r>
        <w:rPr>
          <w:rFonts w:cs="Arial"/>
        </w:rPr>
        <w:t xml:space="preserve">IV </w:t>
      </w:r>
      <w:r w:rsidRPr="0019549F">
        <w:rPr>
          <w:rFonts w:cs="Arial"/>
        </w:rPr>
        <w:t>fluid bolus</w:t>
      </w:r>
      <w:r>
        <w:rPr>
          <w:rFonts w:cs="Arial"/>
        </w:rPr>
        <w:t xml:space="preserve">, </w:t>
      </w:r>
      <w:r w:rsidRPr="0019549F">
        <w:rPr>
          <w:rFonts w:cs="Arial"/>
        </w:rPr>
        <w:t xml:space="preserve">in line with </w:t>
      </w:r>
      <w:r>
        <w:rPr>
          <w:rFonts w:cs="Arial"/>
        </w:rPr>
        <w:t xml:space="preserve">the </w:t>
      </w:r>
      <w:r w:rsidRPr="0019549F">
        <w:rPr>
          <w:rFonts w:cs="Arial"/>
        </w:rPr>
        <w:t xml:space="preserve">recommendations </w:t>
      </w:r>
      <w:r>
        <w:rPr>
          <w:rFonts w:cs="Arial"/>
        </w:rPr>
        <w:t>below</w:t>
      </w:r>
      <w:r w:rsidRPr="0019549F">
        <w:rPr>
          <w:rFonts w:cs="Arial"/>
        </w:rPr>
        <w:t>.</w:t>
      </w:r>
    </w:p>
    <w:p w14:paraId="4D4F02C0" w14:textId="77777777" w:rsidR="00A02A1B" w:rsidRPr="009D54D2" w:rsidRDefault="00A02A1B" w:rsidP="00427C62">
      <w:pPr>
        <w:pStyle w:val="ListParagraph"/>
        <w:numPr>
          <w:ilvl w:val="1"/>
          <w:numId w:val="14"/>
        </w:numPr>
        <w:ind w:left="680" w:hanging="680"/>
        <w:contextualSpacing w:val="0"/>
        <w:rPr>
          <w:rFonts w:cs="Arial"/>
        </w:rPr>
      </w:pPr>
      <w:r w:rsidRPr="009D54D2">
        <w:rPr>
          <w:rFonts w:cs="Arial"/>
        </w:rPr>
        <w:t>Monitor people with suspected sepsis who meet any high-risk criteria continuously, or a minimum of once every 30 minutes</w:t>
      </w:r>
      <w:r>
        <w:rPr>
          <w:rFonts w:cs="Arial"/>
        </w:rPr>
        <w:t>,</w:t>
      </w:r>
      <w:r w:rsidRPr="009D54D2">
        <w:rPr>
          <w:rFonts w:cs="Arial"/>
        </w:rPr>
        <w:t xml:space="preserve"> depending on setting. </w:t>
      </w:r>
      <w:r>
        <w:rPr>
          <w:rFonts w:cs="Arial"/>
        </w:rPr>
        <w:t>Use a</w:t>
      </w:r>
      <w:r w:rsidRPr="009D54D2">
        <w:rPr>
          <w:rFonts w:cs="Arial"/>
        </w:rPr>
        <w:t xml:space="preserve">n </w:t>
      </w:r>
      <w:r>
        <w:rPr>
          <w:rFonts w:cs="Arial"/>
        </w:rPr>
        <w:t xml:space="preserve">EWS </w:t>
      </w:r>
      <w:r w:rsidRPr="009D54D2">
        <w:rPr>
          <w:rFonts w:cs="Arial"/>
        </w:rPr>
        <w:t xml:space="preserve">to monitor all adult patients in acute hospital settings. Unless </w:t>
      </w:r>
      <w:r>
        <w:rPr>
          <w:rFonts w:cs="Arial"/>
        </w:rPr>
        <w:t xml:space="preserve">you are </w:t>
      </w:r>
      <w:r w:rsidRPr="009D54D2">
        <w:rPr>
          <w:rFonts w:cs="Arial"/>
        </w:rPr>
        <w:t xml:space="preserve">instructed </w:t>
      </w:r>
      <w:r>
        <w:rPr>
          <w:rFonts w:cs="Arial"/>
        </w:rPr>
        <w:t xml:space="preserve">otherwise </w:t>
      </w:r>
      <w:r w:rsidRPr="009D54D2">
        <w:rPr>
          <w:rFonts w:cs="Arial"/>
        </w:rPr>
        <w:t xml:space="preserve">by a </w:t>
      </w:r>
      <w:r>
        <w:rPr>
          <w:rFonts w:cs="Arial"/>
        </w:rPr>
        <w:t>s</w:t>
      </w:r>
      <w:r w:rsidRPr="009D54D2">
        <w:rPr>
          <w:rFonts w:cs="Arial"/>
        </w:rPr>
        <w:t xml:space="preserve">enior </w:t>
      </w:r>
      <w:r>
        <w:rPr>
          <w:rFonts w:cs="Arial"/>
        </w:rPr>
        <w:t>m</w:t>
      </w:r>
      <w:r w:rsidRPr="009D54D2">
        <w:rPr>
          <w:rFonts w:cs="Arial"/>
        </w:rPr>
        <w:t xml:space="preserve">edical </w:t>
      </w:r>
      <w:r>
        <w:rPr>
          <w:rFonts w:cs="Arial"/>
        </w:rPr>
        <w:t>o</w:t>
      </w:r>
      <w:r w:rsidRPr="009D54D2">
        <w:rPr>
          <w:rFonts w:cs="Arial"/>
        </w:rPr>
        <w:t xml:space="preserve">fficer, EWS modification for acute, sepsis-related physiology is not appropriate (as </w:t>
      </w:r>
      <w:r>
        <w:rPr>
          <w:rFonts w:cs="Arial"/>
        </w:rPr>
        <w:t xml:space="preserve">it </w:t>
      </w:r>
      <w:r w:rsidRPr="009D54D2">
        <w:rPr>
          <w:rFonts w:cs="Arial"/>
        </w:rPr>
        <w:t xml:space="preserve">would inappropriately lower the EWS). </w:t>
      </w:r>
    </w:p>
    <w:p w14:paraId="6B29571D" w14:textId="77777777" w:rsidR="00A02A1B" w:rsidRPr="009D54D2" w:rsidRDefault="00A02A1B" w:rsidP="00427C62">
      <w:pPr>
        <w:pStyle w:val="ListParagraph"/>
        <w:numPr>
          <w:ilvl w:val="1"/>
          <w:numId w:val="14"/>
        </w:numPr>
        <w:ind w:left="680" w:hanging="680"/>
        <w:contextualSpacing w:val="0"/>
        <w:rPr>
          <w:rFonts w:cs="Arial"/>
        </w:rPr>
      </w:pPr>
      <w:r w:rsidRPr="009D54D2">
        <w:rPr>
          <w:rFonts w:cs="Arial"/>
        </w:rPr>
        <w:t xml:space="preserve">Monitor the mental state of young people and adults aged 12 years and over with suspected sepsis. Consider using a scale such as the Glasgow Coma Scale or </w:t>
      </w:r>
      <w:r>
        <w:rPr>
          <w:rFonts w:cs="Arial"/>
        </w:rPr>
        <w:t xml:space="preserve">the </w:t>
      </w:r>
      <w:r w:rsidRPr="009D54D2">
        <w:rPr>
          <w:rFonts w:cs="Arial"/>
        </w:rPr>
        <w:t>AVPU (‘alert, voice, pain, unresponsive’) scale</w:t>
      </w:r>
      <w:r>
        <w:rPr>
          <w:rFonts w:cs="Arial"/>
        </w:rPr>
        <w:t xml:space="preserve"> for this</w:t>
      </w:r>
      <w:r w:rsidRPr="009D54D2">
        <w:rPr>
          <w:rFonts w:cs="Arial"/>
        </w:rPr>
        <w:t>.</w:t>
      </w:r>
    </w:p>
    <w:p w14:paraId="2BFFEBCC" w14:textId="77777777" w:rsidR="00A02A1B" w:rsidRPr="009D54D2" w:rsidRDefault="00A02A1B" w:rsidP="00427C62">
      <w:pPr>
        <w:pStyle w:val="ListParagraph"/>
        <w:numPr>
          <w:ilvl w:val="1"/>
          <w:numId w:val="14"/>
        </w:numPr>
        <w:ind w:left="680" w:hanging="680"/>
        <w:contextualSpacing w:val="0"/>
        <w:rPr>
          <w:rFonts w:cs="Arial"/>
        </w:rPr>
      </w:pPr>
      <w:r w:rsidRPr="009D54D2">
        <w:rPr>
          <w:rFonts w:cs="Arial"/>
        </w:rPr>
        <w:t xml:space="preserve">Alert a </w:t>
      </w:r>
      <w:r>
        <w:rPr>
          <w:rFonts w:cs="Arial"/>
        </w:rPr>
        <w:t>consultant</w:t>
      </w:r>
      <w:r w:rsidRPr="009D54D2">
        <w:rPr>
          <w:rFonts w:cs="Arial"/>
        </w:rPr>
        <w:t xml:space="preserve"> to attend in person if </w:t>
      </w:r>
      <w:r w:rsidRPr="4045C2ED">
        <w:rPr>
          <w:rFonts w:cs="Arial"/>
        </w:rPr>
        <w:t>an</w:t>
      </w:r>
      <w:r w:rsidRPr="009D54D2">
        <w:rPr>
          <w:rFonts w:cs="Arial"/>
        </w:rPr>
        <w:t xml:space="preserve"> adult or young person aged 12 years or over with suspected sepsis and any high-risk criteria fails to respond within </w:t>
      </w:r>
      <w:r>
        <w:rPr>
          <w:rFonts w:cs="Arial"/>
        </w:rPr>
        <w:t xml:space="preserve">one </w:t>
      </w:r>
      <w:r w:rsidRPr="009D54D2">
        <w:rPr>
          <w:rFonts w:cs="Arial"/>
        </w:rPr>
        <w:t xml:space="preserve">hour of initial antibiotic and/or </w:t>
      </w:r>
      <w:r>
        <w:rPr>
          <w:rFonts w:cs="Arial"/>
        </w:rPr>
        <w:t xml:space="preserve">IV </w:t>
      </w:r>
      <w:r w:rsidRPr="009D54D2">
        <w:rPr>
          <w:rFonts w:cs="Arial"/>
        </w:rPr>
        <w:t>fluid resuscitation. Failure to respond is indicated by any of the following:</w:t>
      </w:r>
    </w:p>
    <w:p w14:paraId="1405B91E" w14:textId="77777777" w:rsidR="00A02A1B" w:rsidRPr="009D54D2" w:rsidRDefault="00A02A1B" w:rsidP="009C3C1A">
      <w:pPr>
        <w:pStyle w:val="TeThHauorabullets"/>
        <w:ind w:left="1077"/>
      </w:pPr>
      <w:r w:rsidRPr="009D54D2">
        <w:t>systolic blood pressure persistently below 90 mmHg</w:t>
      </w:r>
    </w:p>
    <w:p w14:paraId="3A9B7CBB" w14:textId="77777777" w:rsidR="00A02A1B" w:rsidRPr="009D54D2" w:rsidRDefault="00A02A1B" w:rsidP="009C3C1A">
      <w:pPr>
        <w:pStyle w:val="TeThHauorabullets"/>
        <w:ind w:left="1077"/>
      </w:pPr>
      <w:r w:rsidRPr="009D54D2">
        <w:t>reduced level of consciousness despite resuscitation</w:t>
      </w:r>
    </w:p>
    <w:p w14:paraId="7A0CDAB0" w14:textId="77777777" w:rsidR="00A02A1B" w:rsidRPr="009D54D2" w:rsidRDefault="00A02A1B" w:rsidP="009C3C1A">
      <w:pPr>
        <w:pStyle w:val="TeThHauorabullets"/>
        <w:ind w:left="1077"/>
      </w:pPr>
      <w:r>
        <w:t xml:space="preserve">a </w:t>
      </w:r>
      <w:r w:rsidRPr="009D54D2">
        <w:t xml:space="preserve">respiratory rate </w:t>
      </w:r>
      <w:r>
        <w:t xml:space="preserve">of </w:t>
      </w:r>
      <w:r w:rsidRPr="009D54D2">
        <w:t>over 25 breaths per minute or a new need for mechanical ventilation</w:t>
      </w:r>
    </w:p>
    <w:p w14:paraId="5A2E7A16" w14:textId="77777777" w:rsidR="00A02A1B" w:rsidRPr="009D54D2" w:rsidRDefault="00A02A1B" w:rsidP="0079296A">
      <w:pPr>
        <w:pStyle w:val="TeThHauorabullets"/>
        <w:spacing w:after="120"/>
        <w:ind w:left="1077"/>
      </w:pPr>
      <w:r w:rsidRPr="009D54D2">
        <w:t xml:space="preserve">lactate not significantly reduced after </w:t>
      </w:r>
      <w:r>
        <w:t xml:space="preserve">one </w:t>
      </w:r>
      <w:r w:rsidRPr="009D54D2">
        <w:t xml:space="preserve">hour </w:t>
      </w:r>
      <w:r>
        <w:t>(</w:t>
      </w:r>
      <w:proofErr w:type="spellStart"/>
      <w:r>
        <w:t>eg</w:t>
      </w:r>
      <w:proofErr w:type="spellEnd"/>
      <w:r>
        <w:t xml:space="preserve">, </w:t>
      </w:r>
      <w:r w:rsidRPr="009D54D2">
        <w:t xml:space="preserve">by more than 20% of </w:t>
      </w:r>
      <w:r>
        <w:t xml:space="preserve">the </w:t>
      </w:r>
      <w:r w:rsidRPr="009D54D2">
        <w:t>initial value</w:t>
      </w:r>
      <w:r>
        <w:t>)</w:t>
      </w:r>
      <w:r w:rsidRPr="009D54D2">
        <w:t>.</w:t>
      </w:r>
    </w:p>
    <w:p w14:paraId="440E8A6A" w14:textId="77777777" w:rsidR="00A02A1B" w:rsidRPr="009D54D2" w:rsidRDefault="00A02A1B" w:rsidP="00427C62">
      <w:pPr>
        <w:pStyle w:val="ListParagraph"/>
        <w:numPr>
          <w:ilvl w:val="1"/>
          <w:numId w:val="14"/>
        </w:numPr>
        <w:ind w:left="680" w:hanging="680"/>
        <w:contextualSpacing w:val="0"/>
        <w:rPr>
          <w:rFonts w:cs="Arial"/>
        </w:rPr>
      </w:pPr>
      <w:r>
        <w:rPr>
          <w:rFonts w:cs="Arial"/>
        </w:rPr>
        <w:t>For a</w:t>
      </w:r>
      <w:r w:rsidRPr="009D54D2">
        <w:rPr>
          <w:rFonts w:cs="Arial"/>
        </w:rPr>
        <w:t xml:space="preserve">dults and young people </w:t>
      </w:r>
      <w:r w:rsidRPr="4045C2ED">
        <w:rPr>
          <w:rFonts w:cs="Arial"/>
        </w:rPr>
        <w:t xml:space="preserve">aged 12 years and over </w:t>
      </w:r>
      <w:r w:rsidRPr="009D54D2">
        <w:rPr>
          <w:rFonts w:cs="Arial"/>
        </w:rPr>
        <w:t xml:space="preserve">with suspected sepsis who meet </w:t>
      </w:r>
      <w:r w:rsidRPr="00957AF9">
        <w:rPr>
          <w:rFonts w:cs="Arial"/>
        </w:rPr>
        <w:t>two or more moderate</w:t>
      </w:r>
      <w:r>
        <w:rPr>
          <w:rFonts w:cs="Arial"/>
        </w:rPr>
        <w:t>-</w:t>
      </w:r>
      <w:r w:rsidRPr="00957AF9">
        <w:rPr>
          <w:rFonts w:cs="Arial"/>
        </w:rPr>
        <w:t xml:space="preserve"> to high-risk criteria (AMBER FLAGS)</w:t>
      </w:r>
      <w:r>
        <w:rPr>
          <w:rFonts w:cs="Arial"/>
        </w:rPr>
        <w:t>,</w:t>
      </w:r>
      <w:r w:rsidRPr="009D54D2">
        <w:rPr>
          <w:rFonts w:cs="Arial"/>
        </w:rPr>
        <w:t xml:space="preserve"> carry out the following blood tests:</w:t>
      </w:r>
    </w:p>
    <w:p w14:paraId="7CE0D7F9" w14:textId="77777777" w:rsidR="00A02A1B" w:rsidRPr="00A94B1A" w:rsidRDefault="00A02A1B" w:rsidP="009C3C1A">
      <w:pPr>
        <w:pStyle w:val="TeThHauorabullets"/>
        <w:ind w:left="1077"/>
      </w:pPr>
      <w:r w:rsidRPr="008A1072">
        <w:t xml:space="preserve">a minimum of two sets of blood cultures, appropriately filled, taking </w:t>
      </w:r>
      <w:r w:rsidRPr="00A94B1A">
        <w:t xml:space="preserve">precautions to avoid contamination </w:t>
      </w:r>
    </w:p>
    <w:p w14:paraId="58CA78FF" w14:textId="77777777" w:rsidR="00A02A1B" w:rsidRPr="00E172D0" w:rsidRDefault="00A02A1B" w:rsidP="009C3C1A">
      <w:pPr>
        <w:pStyle w:val="TeThHauorabullets"/>
        <w:ind w:left="1077"/>
      </w:pPr>
      <w:r>
        <w:t xml:space="preserve">a </w:t>
      </w:r>
      <w:r w:rsidRPr="008A1072">
        <w:t>f</w:t>
      </w:r>
      <w:r w:rsidRPr="009D54D2">
        <w:t>ull blood count</w:t>
      </w:r>
    </w:p>
    <w:p w14:paraId="6A90AD1E" w14:textId="77777777" w:rsidR="00A02A1B" w:rsidRPr="009D54D2" w:rsidRDefault="00A02A1B" w:rsidP="009C3C1A">
      <w:pPr>
        <w:pStyle w:val="TeThHauorabullets"/>
        <w:ind w:left="1077"/>
      </w:pPr>
      <w:r w:rsidRPr="009D54D2">
        <w:t>urea and electrolytes</w:t>
      </w:r>
    </w:p>
    <w:p w14:paraId="4B4E59F9" w14:textId="77777777" w:rsidR="00A02A1B" w:rsidRPr="009D54D2" w:rsidRDefault="00A02A1B" w:rsidP="009C3C1A">
      <w:pPr>
        <w:pStyle w:val="TeThHauorabullets"/>
        <w:ind w:left="1077"/>
      </w:pPr>
      <w:r w:rsidRPr="009D54D2">
        <w:t>creatinine</w:t>
      </w:r>
    </w:p>
    <w:p w14:paraId="17DE8BE3" w14:textId="77777777" w:rsidR="00A02A1B" w:rsidRPr="009D54D2" w:rsidRDefault="00A02A1B" w:rsidP="009C3C1A">
      <w:pPr>
        <w:pStyle w:val="TeThHauorabullets"/>
        <w:ind w:left="1077"/>
      </w:pPr>
      <w:r>
        <w:t>a co</w:t>
      </w:r>
      <w:r w:rsidRPr="00203BFA">
        <w:t>agulation profile</w:t>
      </w:r>
    </w:p>
    <w:p w14:paraId="4FA9428E" w14:textId="77777777" w:rsidR="00A02A1B" w:rsidRPr="009D54D2" w:rsidRDefault="00A02A1B" w:rsidP="009C3C1A">
      <w:pPr>
        <w:pStyle w:val="TeThHauorabullets"/>
        <w:ind w:left="1077"/>
      </w:pPr>
      <w:r w:rsidRPr="009D54D2">
        <w:t>lactate</w:t>
      </w:r>
      <w:r>
        <w:t>.</w:t>
      </w:r>
    </w:p>
    <w:p w14:paraId="2B6B192E" w14:textId="77777777" w:rsidR="00A02A1B" w:rsidRPr="009D54D2" w:rsidRDefault="00A02A1B" w:rsidP="00427C62">
      <w:pPr>
        <w:pStyle w:val="ListParagraph"/>
        <w:numPr>
          <w:ilvl w:val="1"/>
          <w:numId w:val="14"/>
        </w:numPr>
        <w:ind w:left="680" w:hanging="680"/>
        <w:contextualSpacing w:val="0"/>
        <w:rPr>
          <w:rFonts w:cs="Arial"/>
        </w:rPr>
      </w:pPr>
      <w:r w:rsidRPr="009D54D2">
        <w:rPr>
          <w:rFonts w:cs="Arial"/>
        </w:rPr>
        <w:lastRenderedPageBreak/>
        <w:t>Continue to monitor the patient carefully</w:t>
      </w:r>
      <w:r>
        <w:rPr>
          <w:rFonts w:cs="Arial"/>
        </w:rPr>
        <w:t xml:space="preserve"> and</w:t>
      </w:r>
      <w:r w:rsidRPr="009D54D2">
        <w:rPr>
          <w:rFonts w:cs="Arial"/>
        </w:rPr>
        <w:t xml:space="preserve"> arrange for a senior clinician to review the person’s condition and lactate results within </w:t>
      </w:r>
      <w:r>
        <w:rPr>
          <w:rFonts w:cs="Arial"/>
        </w:rPr>
        <w:t xml:space="preserve">one </w:t>
      </w:r>
      <w:r w:rsidRPr="009D54D2">
        <w:rPr>
          <w:rFonts w:cs="Arial"/>
        </w:rPr>
        <w:t xml:space="preserve">hour of </w:t>
      </w:r>
      <w:r>
        <w:rPr>
          <w:rFonts w:cs="Arial"/>
        </w:rPr>
        <w:t xml:space="preserve">their </w:t>
      </w:r>
      <w:r w:rsidRPr="009D54D2">
        <w:rPr>
          <w:rFonts w:cs="Arial"/>
        </w:rPr>
        <w:t xml:space="preserve">meeting </w:t>
      </w:r>
      <w:r>
        <w:rPr>
          <w:rFonts w:cs="Arial"/>
        </w:rPr>
        <w:t xml:space="preserve">the </w:t>
      </w:r>
      <w:r w:rsidRPr="009D54D2">
        <w:rPr>
          <w:rFonts w:cs="Arial"/>
        </w:rPr>
        <w:t>criteria in an acute hospital setting.</w:t>
      </w:r>
    </w:p>
    <w:p w14:paraId="46B1BA26" w14:textId="5792829A" w:rsidR="00A02A1B" w:rsidRPr="009D54D2" w:rsidRDefault="00A02A1B" w:rsidP="00427C62">
      <w:pPr>
        <w:pStyle w:val="ListParagraph"/>
        <w:numPr>
          <w:ilvl w:val="1"/>
          <w:numId w:val="14"/>
        </w:numPr>
        <w:ind w:left="680" w:hanging="680"/>
        <w:contextualSpacing w:val="0"/>
        <w:rPr>
          <w:rFonts w:cs="Arial"/>
        </w:rPr>
      </w:pPr>
      <w:r w:rsidRPr="009D54D2">
        <w:rPr>
          <w:rFonts w:cs="Arial"/>
        </w:rPr>
        <w:t xml:space="preserve">For adults and young people aged 12 years and over with suspected sepsis who initially </w:t>
      </w:r>
      <w:r w:rsidRPr="0005472C">
        <w:rPr>
          <w:rFonts w:cs="Arial"/>
        </w:rPr>
        <w:t xml:space="preserve">meet </w:t>
      </w:r>
      <w:r w:rsidRPr="00D60EC2">
        <w:rPr>
          <w:rFonts w:cs="Arial"/>
        </w:rPr>
        <w:t>two or more moderate to high-risk criteria</w:t>
      </w:r>
      <w:r w:rsidRPr="00ED2DDC">
        <w:rPr>
          <w:rFonts w:cs="Arial"/>
        </w:rPr>
        <w:t xml:space="preserve"> and are then found to have </w:t>
      </w:r>
      <w:r w:rsidRPr="00D60EC2">
        <w:rPr>
          <w:rFonts w:cs="Arial"/>
        </w:rPr>
        <w:t>new RED FLAGS (including a lactate over 2 mmol/litre) or evidence of acute kidney injury</w:t>
      </w:r>
      <w:r w:rsidRPr="009D54D2">
        <w:rPr>
          <w:rFonts w:cs="Arial"/>
        </w:rPr>
        <w:t xml:space="preserve">, treat </w:t>
      </w:r>
      <w:r>
        <w:rPr>
          <w:rFonts w:cs="Arial"/>
        </w:rPr>
        <w:t xml:space="preserve">the patient </w:t>
      </w:r>
      <w:r w:rsidRPr="009D54D2">
        <w:rPr>
          <w:rFonts w:cs="Arial"/>
        </w:rPr>
        <w:t>as high</w:t>
      </w:r>
      <w:r w:rsidR="00027A73">
        <w:rPr>
          <w:rFonts w:cs="Arial"/>
        </w:rPr>
        <w:t>-</w:t>
      </w:r>
      <w:r w:rsidRPr="009D54D2">
        <w:rPr>
          <w:rFonts w:cs="Arial"/>
        </w:rPr>
        <w:t xml:space="preserve">risk and follow </w:t>
      </w:r>
      <w:r>
        <w:rPr>
          <w:rFonts w:cs="Arial"/>
        </w:rPr>
        <w:t xml:space="preserve">the </w:t>
      </w:r>
      <w:r w:rsidRPr="009D54D2">
        <w:rPr>
          <w:rFonts w:cs="Arial"/>
        </w:rPr>
        <w:t>recommendations in 1.11 above</w:t>
      </w:r>
      <w:r w:rsidR="00164DF8">
        <w:rPr>
          <w:rFonts w:cs="Arial"/>
        </w:rPr>
        <w:t>.</w:t>
      </w:r>
      <w:r w:rsidRPr="009D54D2">
        <w:rPr>
          <w:rFonts w:cs="Arial"/>
        </w:rPr>
        <w:t xml:space="preserve"> </w:t>
      </w:r>
    </w:p>
    <w:p w14:paraId="2B3F25BD" w14:textId="77777777" w:rsidR="00A02A1B" w:rsidRPr="009D54D2" w:rsidRDefault="00A02A1B" w:rsidP="00427C62">
      <w:pPr>
        <w:pStyle w:val="ListParagraph"/>
        <w:numPr>
          <w:ilvl w:val="1"/>
          <w:numId w:val="14"/>
        </w:numPr>
        <w:ind w:left="680" w:hanging="680"/>
        <w:contextualSpacing w:val="0"/>
        <w:rPr>
          <w:rFonts w:cs="Arial"/>
        </w:rPr>
      </w:pPr>
      <w:r w:rsidRPr="009D54D2">
        <w:rPr>
          <w:rFonts w:cs="Arial"/>
        </w:rPr>
        <w:t>Acute kidney injury can be detected using (p)RIFLE (paediatric Risk, Injury, Failure, Loss, End</w:t>
      </w:r>
      <w:r>
        <w:rPr>
          <w:rFonts w:cs="Arial"/>
        </w:rPr>
        <w:t>-</w:t>
      </w:r>
      <w:r w:rsidRPr="009D54D2">
        <w:rPr>
          <w:rFonts w:cs="Arial"/>
        </w:rPr>
        <w:t>stage renal disease), AKIN (Acute Kidney Injury Network) or KDIGO (</w:t>
      </w:r>
      <w:r>
        <w:rPr>
          <w:rFonts w:cs="Arial"/>
        </w:rPr>
        <w:t>kidney disease</w:t>
      </w:r>
      <w:r w:rsidRPr="009D54D2">
        <w:rPr>
          <w:rFonts w:cs="Arial"/>
        </w:rPr>
        <w:t>: Improving Global Outcomes) definitions, by using any of the following criteria:</w:t>
      </w:r>
    </w:p>
    <w:p w14:paraId="309786A6" w14:textId="5B788487" w:rsidR="00A02A1B" w:rsidRPr="009D54D2" w:rsidRDefault="00A02A1B" w:rsidP="009C3C1A">
      <w:pPr>
        <w:pStyle w:val="TeThHauorabullets"/>
        <w:ind w:left="1077"/>
      </w:pPr>
      <w:r w:rsidRPr="009D54D2">
        <w:t>a rise in serum creatinine of 26 m</w:t>
      </w:r>
      <w:r w:rsidR="00130DB8">
        <w:t>mol</w:t>
      </w:r>
      <w:r w:rsidRPr="009D54D2">
        <w:t>/litre or greater within 48 hours</w:t>
      </w:r>
    </w:p>
    <w:p w14:paraId="4015509E" w14:textId="77777777" w:rsidR="00A02A1B" w:rsidRPr="009D54D2" w:rsidRDefault="00A02A1B" w:rsidP="009C3C1A">
      <w:pPr>
        <w:pStyle w:val="TeThHauorabullets"/>
        <w:ind w:left="1077"/>
      </w:pPr>
      <w:r w:rsidRPr="009D54D2">
        <w:t xml:space="preserve">a 50% or greater rise in serum creatinine known or presumed to have occurred within the past </w:t>
      </w:r>
      <w:r>
        <w:t>seven</w:t>
      </w:r>
      <w:r w:rsidRPr="009D54D2">
        <w:t xml:space="preserve"> days </w:t>
      </w:r>
    </w:p>
    <w:p w14:paraId="0CC28DBA" w14:textId="77777777" w:rsidR="00A02A1B" w:rsidRPr="009D54D2" w:rsidRDefault="00A02A1B" w:rsidP="009C3C1A">
      <w:pPr>
        <w:pStyle w:val="TeThHauorabullets"/>
        <w:ind w:left="1077"/>
      </w:pPr>
      <w:r w:rsidRPr="009D54D2">
        <w:t xml:space="preserve">a fall in urine output to less than 0.5 ml/kg/hour for more than </w:t>
      </w:r>
      <w:r>
        <w:t xml:space="preserve">six </w:t>
      </w:r>
      <w:r w:rsidRPr="009D54D2">
        <w:t xml:space="preserve">hours in adults and more than </w:t>
      </w:r>
      <w:r>
        <w:t xml:space="preserve">eight </w:t>
      </w:r>
      <w:r w:rsidRPr="009D54D2">
        <w:t>hours in children and young people</w:t>
      </w:r>
    </w:p>
    <w:p w14:paraId="1EC3C142" w14:textId="1118FD6F" w:rsidR="00A02A1B" w:rsidRPr="009D54D2" w:rsidRDefault="00A02A1B" w:rsidP="0079296A">
      <w:pPr>
        <w:pStyle w:val="TeThHauorabullets"/>
        <w:spacing w:after="120"/>
        <w:ind w:left="1077"/>
      </w:pPr>
      <w:r w:rsidRPr="009D54D2">
        <w:t xml:space="preserve">a 25% or greater fall in eGFR in children and young people within the past </w:t>
      </w:r>
      <w:r>
        <w:t>seven</w:t>
      </w:r>
      <w:r w:rsidR="0079296A">
        <w:t> </w:t>
      </w:r>
      <w:r w:rsidRPr="009D54D2">
        <w:t>days.</w:t>
      </w:r>
    </w:p>
    <w:p w14:paraId="56D9CCA7" w14:textId="77777777" w:rsidR="00A02A1B" w:rsidRPr="009D54D2" w:rsidRDefault="00A02A1B" w:rsidP="00427C62">
      <w:pPr>
        <w:pStyle w:val="ListParagraph"/>
        <w:numPr>
          <w:ilvl w:val="1"/>
          <w:numId w:val="14"/>
        </w:numPr>
        <w:ind w:left="709" w:hanging="709"/>
        <w:contextualSpacing w:val="0"/>
        <w:rPr>
          <w:rFonts w:cs="Arial"/>
        </w:rPr>
      </w:pPr>
      <w:r w:rsidRPr="4045C2ED">
        <w:rPr>
          <w:rFonts w:cs="Arial"/>
        </w:rPr>
        <w:t>For</w:t>
      </w:r>
      <w:r w:rsidRPr="009D54D2">
        <w:rPr>
          <w:rFonts w:cs="Arial"/>
        </w:rPr>
        <w:t xml:space="preserve"> adults and young people aged 12 and over with suspected sepsis who meet </w:t>
      </w:r>
      <w:r w:rsidRPr="00C60442">
        <w:rPr>
          <w:rFonts w:cs="Arial"/>
        </w:rPr>
        <w:t>two or more moderate</w:t>
      </w:r>
      <w:r>
        <w:rPr>
          <w:rFonts w:cs="Arial"/>
        </w:rPr>
        <w:t>-</w:t>
      </w:r>
      <w:r w:rsidRPr="00C60442">
        <w:rPr>
          <w:rFonts w:cs="Arial"/>
        </w:rPr>
        <w:t xml:space="preserve"> to high-risk criteria</w:t>
      </w:r>
      <w:r w:rsidRPr="009D54D2">
        <w:rPr>
          <w:rFonts w:cs="Arial"/>
        </w:rPr>
        <w:t xml:space="preserve">, have lactate of less than 2 mmol/litre </w:t>
      </w:r>
      <w:r>
        <w:rPr>
          <w:rFonts w:cs="Arial"/>
        </w:rPr>
        <w:t xml:space="preserve">and have </w:t>
      </w:r>
      <w:r w:rsidRPr="009D54D2">
        <w:rPr>
          <w:rFonts w:cs="Arial"/>
        </w:rPr>
        <w:t xml:space="preserve">no evidence of acute kidney injury in whom a definitive condition </w:t>
      </w:r>
      <w:r w:rsidRPr="00C60442">
        <w:rPr>
          <w:rFonts w:cs="Arial"/>
        </w:rPr>
        <w:t>cannot</w:t>
      </w:r>
      <w:r w:rsidRPr="009D54D2">
        <w:rPr>
          <w:rFonts w:cs="Arial"/>
        </w:rPr>
        <w:t xml:space="preserve"> be identified, and who </w:t>
      </w:r>
      <w:r w:rsidRPr="00C60442">
        <w:rPr>
          <w:rFonts w:cs="Arial"/>
          <w:bCs/>
        </w:rPr>
        <w:t>do not develop high-risk (RED FLAG) findings</w:t>
      </w:r>
      <w:r w:rsidRPr="4045C2ED">
        <w:rPr>
          <w:rFonts w:cs="Arial"/>
          <w:b/>
        </w:rPr>
        <w:t xml:space="preserve"> </w:t>
      </w:r>
      <w:r w:rsidRPr="009D54D2">
        <w:rPr>
          <w:rFonts w:cs="Arial"/>
        </w:rPr>
        <w:t>on review:</w:t>
      </w:r>
    </w:p>
    <w:p w14:paraId="7C8D0E09" w14:textId="77777777" w:rsidR="00A02A1B" w:rsidRPr="009D54D2" w:rsidRDefault="00A02A1B" w:rsidP="009C3C1A">
      <w:pPr>
        <w:pStyle w:val="TeThHauorabullets"/>
        <w:ind w:left="1077"/>
      </w:pPr>
      <w:r w:rsidRPr="009D54D2">
        <w:t>repeat structured assessment at intervals</w:t>
      </w:r>
    </w:p>
    <w:p w14:paraId="4A607AA3" w14:textId="1E144985" w:rsidR="00A02A1B" w:rsidRPr="009D54D2" w:rsidRDefault="00A02A1B" w:rsidP="009C3C1A">
      <w:pPr>
        <w:pStyle w:val="TeThHauorabullets"/>
        <w:ind w:left="1077"/>
      </w:pPr>
      <w:r w:rsidRPr="009D54D2">
        <w:t xml:space="preserve">ensure review by a senior clinician within </w:t>
      </w:r>
      <w:r>
        <w:t xml:space="preserve">three </w:t>
      </w:r>
      <w:r w:rsidRPr="009D54D2">
        <w:t xml:space="preserve">hours of </w:t>
      </w:r>
      <w:r>
        <w:t xml:space="preserve">their </w:t>
      </w:r>
      <w:r w:rsidRPr="009D54D2">
        <w:t xml:space="preserve">meeting </w:t>
      </w:r>
      <w:r>
        <w:t xml:space="preserve">two </w:t>
      </w:r>
      <w:r w:rsidRPr="009D54D2">
        <w:t>or more moderate</w:t>
      </w:r>
      <w:r w:rsidR="00004603">
        <w:t>-</w:t>
      </w:r>
      <w:r w:rsidRPr="009D54D2">
        <w:t xml:space="preserve"> to high-risk criteria</w:t>
      </w:r>
    </w:p>
    <w:p w14:paraId="724D935B" w14:textId="77777777" w:rsidR="00A02A1B" w:rsidRPr="009D54D2" w:rsidRDefault="00A02A1B" w:rsidP="009C3C1A">
      <w:pPr>
        <w:pStyle w:val="TeThHauorabullets"/>
        <w:ind w:left="1077"/>
      </w:pPr>
      <w:r>
        <w:t>m</w:t>
      </w:r>
      <w:r w:rsidRPr="009D54D2">
        <w:t xml:space="preserve">ake an antibiotic prescribing decision within </w:t>
      </w:r>
      <w:r>
        <w:t xml:space="preserve">three </w:t>
      </w:r>
      <w:r w:rsidRPr="009D54D2">
        <w:t xml:space="preserve">hours of </w:t>
      </w:r>
      <w:r>
        <w:t xml:space="preserve">their </w:t>
      </w:r>
      <w:r w:rsidRPr="009D54D2">
        <w:t xml:space="preserve">meeting </w:t>
      </w:r>
      <w:r>
        <w:t xml:space="preserve">two </w:t>
      </w:r>
      <w:r w:rsidRPr="009D54D2">
        <w:t>or more moderate</w:t>
      </w:r>
      <w:r>
        <w:t>-</w:t>
      </w:r>
      <w:r w:rsidRPr="009D54D2">
        <w:t xml:space="preserve"> to high-risk criteria </w:t>
      </w:r>
    </w:p>
    <w:p w14:paraId="251B0997" w14:textId="77777777" w:rsidR="00A02A1B" w:rsidRPr="009D54D2" w:rsidRDefault="00A02A1B" w:rsidP="009C3C1A">
      <w:pPr>
        <w:pStyle w:val="TeThHauorabullets"/>
        <w:ind w:left="1077"/>
      </w:pPr>
      <w:r>
        <w:t>u</w:t>
      </w:r>
      <w:r w:rsidRPr="009D54D2">
        <w:t xml:space="preserve">pdate </w:t>
      </w:r>
      <w:r>
        <w:t xml:space="preserve">the </w:t>
      </w:r>
      <w:r w:rsidRPr="009D54D2">
        <w:t xml:space="preserve">patient and </w:t>
      </w:r>
      <w:r>
        <w:t>their family/</w:t>
      </w:r>
      <w:r w:rsidRPr="009D54D2">
        <w:t>whānau</w:t>
      </w:r>
    </w:p>
    <w:p w14:paraId="194B9F54" w14:textId="77777777" w:rsidR="00A02A1B" w:rsidRPr="009D54D2" w:rsidRDefault="00A02A1B" w:rsidP="0079296A">
      <w:pPr>
        <w:pStyle w:val="TeThHauorabullets"/>
        <w:spacing w:after="120"/>
        <w:ind w:left="1077"/>
      </w:pPr>
      <w:r>
        <w:t>e</w:t>
      </w:r>
      <w:r w:rsidRPr="009D54D2">
        <w:t>xit the sepsis pathway</w:t>
      </w:r>
      <w:r>
        <w:t>.</w:t>
      </w:r>
    </w:p>
    <w:p w14:paraId="052C1935" w14:textId="77777777" w:rsidR="00A02A1B" w:rsidRPr="009D54D2" w:rsidRDefault="00A02A1B" w:rsidP="00427C62">
      <w:pPr>
        <w:pStyle w:val="ListParagraph"/>
        <w:numPr>
          <w:ilvl w:val="1"/>
          <w:numId w:val="14"/>
        </w:numPr>
        <w:ind w:left="709" w:hanging="709"/>
        <w:contextualSpacing w:val="0"/>
        <w:rPr>
          <w:rFonts w:cs="Arial"/>
        </w:rPr>
      </w:pPr>
      <w:r w:rsidRPr="4045C2ED">
        <w:rPr>
          <w:rFonts w:cs="Arial"/>
        </w:rPr>
        <w:t>For</w:t>
      </w:r>
      <w:r w:rsidRPr="009D54D2">
        <w:rPr>
          <w:rFonts w:cs="Arial"/>
        </w:rPr>
        <w:t xml:space="preserve"> adults and young people aged 12 years and over with suspected sepsis who meet </w:t>
      </w:r>
      <w:r w:rsidRPr="00C60442">
        <w:rPr>
          <w:rFonts w:cs="Arial"/>
          <w:bCs/>
        </w:rPr>
        <w:t>two or more moderate</w:t>
      </w:r>
      <w:r>
        <w:rPr>
          <w:rFonts w:cs="Arial"/>
          <w:bCs/>
        </w:rPr>
        <w:t>-</w:t>
      </w:r>
      <w:r w:rsidRPr="00C60442">
        <w:rPr>
          <w:rFonts w:cs="Arial"/>
          <w:bCs/>
        </w:rPr>
        <w:t xml:space="preserve"> to high-risk criteria</w:t>
      </w:r>
      <w:r w:rsidRPr="009D54D2">
        <w:rPr>
          <w:rFonts w:cs="Arial"/>
        </w:rPr>
        <w:t xml:space="preserve">, have lactate of less than 2 mmol/litre </w:t>
      </w:r>
      <w:r>
        <w:rPr>
          <w:rFonts w:cs="Arial"/>
        </w:rPr>
        <w:t xml:space="preserve">and have </w:t>
      </w:r>
      <w:r w:rsidRPr="009D54D2">
        <w:rPr>
          <w:rFonts w:cs="Arial"/>
        </w:rPr>
        <w:t xml:space="preserve">no evidence of acute kidney injury in whom a definitive condition or infection </w:t>
      </w:r>
      <w:r w:rsidRPr="00C60442">
        <w:rPr>
          <w:rFonts w:cs="Arial"/>
        </w:rPr>
        <w:t>can</w:t>
      </w:r>
      <w:r w:rsidRPr="009D54D2">
        <w:rPr>
          <w:rFonts w:cs="Arial"/>
        </w:rPr>
        <w:t xml:space="preserve"> be identified and </w:t>
      </w:r>
      <w:r w:rsidRPr="4045C2ED">
        <w:rPr>
          <w:rFonts w:cs="Arial"/>
        </w:rPr>
        <w:t xml:space="preserve">who </w:t>
      </w:r>
      <w:r w:rsidRPr="00C60442">
        <w:rPr>
          <w:rFonts w:cs="Arial"/>
        </w:rPr>
        <w:t>do not develop high-risk (RED FLAG) findings</w:t>
      </w:r>
      <w:r w:rsidRPr="4045C2ED">
        <w:rPr>
          <w:rFonts w:cs="Arial"/>
          <w:b/>
          <w:bCs/>
        </w:rPr>
        <w:t xml:space="preserve"> </w:t>
      </w:r>
      <w:r w:rsidRPr="4045C2ED">
        <w:rPr>
          <w:rFonts w:cs="Arial"/>
        </w:rPr>
        <w:t>on review</w:t>
      </w:r>
      <w:r w:rsidRPr="009D54D2">
        <w:rPr>
          <w:rFonts w:cs="Arial"/>
        </w:rPr>
        <w:t>:</w:t>
      </w:r>
    </w:p>
    <w:p w14:paraId="07CFC8DE" w14:textId="77777777" w:rsidR="00A02A1B" w:rsidRPr="009D54D2" w:rsidRDefault="00A02A1B" w:rsidP="009C3C1A">
      <w:pPr>
        <w:pStyle w:val="TeThHauorabullets"/>
        <w:ind w:left="1077"/>
      </w:pPr>
      <w:r w:rsidRPr="009D54D2">
        <w:t>manage the definitive condition</w:t>
      </w:r>
    </w:p>
    <w:p w14:paraId="4959B27B" w14:textId="5DD99A65" w:rsidR="00A02A1B" w:rsidRPr="009D54D2" w:rsidRDefault="00A02A1B" w:rsidP="009C3C1A">
      <w:pPr>
        <w:pStyle w:val="TeThHauorabullets"/>
        <w:ind w:left="1077"/>
      </w:pPr>
      <w:r w:rsidRPr="4045C2ED">
        <w:t>make</w:t>
      </w:r>
      <w:r w:rsidRPr="009D54D2">
        <w:t xml:space="preserve"> an antibiotic prescribing decision within </w:t>
      </w:r>
      <w:r>
        <w:t xml:space="preserve">three </w:t>
      </w:r>
      <w:r w:rsidRPr="009D54D2">
        <w:t xml:space="preserve">hours of </w:t>
      </w:r>
      <w:r>
        <w:t xml:space="preserve">their </w:t>
      </w:r>
      <w:r w:rsidRPr="009D54D2">
        <w:t xml:space="preserve">meeting </w:t>
      </w:r>
      <w:r>
        <w:t xml:space="preserve">two </w:t>
      </w:r>
      <w:r w:rsidRPr="009D54D2">
        <w:t>or more moderate</w:t>
      </w:r>
      <w:r w:rsidR="00F7335E">
        <w:t>-</w:t>
      </w:r>
      <w:r w:rsidRPr="009D54D2">
        <w:t xml:space="preserve"> to high-risk criteria</w:t>
      </w:r>
    </w:p>
    <w:p w14:paraId="1120FD9D" w14:textId="77777777" w:rsidR="00A02A1B" w:rsidRPr="009D54D2" w:rsidRDefault="00A02A1B" w:rsidP="009C3C1A">
      <w:pPr>
        <w:pStyle w:val="TeThHauorabullets"/>
        <w:ind w:left="1077"/>
      </w:pPr>
      <w:r>
        <w:t>u</w:t>
      </w:r>
      <w:r w:rsidRPr="009D54D2">
        <w:t xml:space="preserve">pdate </w:t>
      </w:r>
      <w:r>
        <w:t xml:space="preserve">the </w:t>
      </w:r>
      <w:r w:rsidRPr="009D54D2">
        <w:t xml:space="preserve">patient and </w:t>
      </w:r>
      <w:r>
        <w:t>their family/</w:t>
      </w:r>
      <w:r w:rsidRPr="009D54D2">
        <w:t>whānau</w:t>
      </w:r>
    </w:p>
    <w:p w14:paraId="0A38381A" w14:textId="1546CF28" w:rsidR="00A02A1B" w:rsidRDefault="00A02A1B" w:rsidP="002C5355">
      <w:pPr>
        <w:pStyle w:val="TeThHauorabullets"/>
        <w:ind w:left="1077"/>
      </w:pPr>
      <w:r>
        <w:t>e</w:t>
      </w:r>
      <w:r w:rsidRPr="4045C2ED">
        <w:t>xit the sepsis pathway</w:t>
      </w:r>
      <w:r>
        <w:t>.</w:t>
      </w:r>
    </w:p>
    <w:p w14:paraId="5DAC1361" w14:textId="5A77C82D" w:rsidR="00940008" w:rsidRPr="009D54D2" w:rsidRDefault="00940008" w:rsidP="00427C62">
      <w:pPr>
        <w:pStyle w:val="TeThHauorahead2"/>
        <w:numPr>
          <w:ilvl w:val="0"/>
          <w:numId w:val="5"/>
        </w:numPr>
      </w:pPr>
      <w:bookmarkStart w:id="73" w:name="_Toc181690668"/>
      <w:bookmarkStart w:id="74" w:name="_Toc201826322"/>
      <w:bookmarkStart w:id="75" w:name="_Toc207862891"/>
      <w:r w:rsidRPr="009D54D2">
        <w:lastRenderedPageBreak/>
        <w:t xml:space="preserve">Adults and young people aged 12 years and over with suspected sepsis who meet only </w:t>
      </w:r>
      <w:r>
        <w:t xml:space="preserve">one </w:t>
      </w:r>
      <w:r w:rsidRPr="009D54D2">
        <w:t>moderate</w:t>
      </w:r>
      <w:r>
        <w:t>-</w:t>
      </w:r>
      <w:r w:rsidRPr="009D54D2">
        <w:t xml:space="preserve"> to</w:t>
      </w:r>
      <w:r w:rsidR="00474FE5">
        <w:br/>
      </w:r>
      <w:r w:rsidRPr="009D54D2">
        <w:t>high-risk criterion</w:t>
      </w:r>
      <w:bookmarkEnd w:id="73"/>
      <w:bookmarkEnd w:id="74"/>
      <w:bookmarkEnd w:id="75"/>
    </w:p>
    <w:p w14:paraId="2D70511F" w14:textId="42FF7733" w:rsidR="00940008" w:rsidRPr="00B1176C" w:rsidRDefault="00940008" w:rsidP="00427C62">
      <w:pPr>
        <w:pStyle w:val="ListParagraph"/>
        <w:numPr>
          <w:ilvl w:val="1"/>
          <w:numId w:val="16"/>
        </w:numPr>
        <w:ind w:left="680" w:hanging="680"/>
        <w:rPr>
          <w:rFonts w:cs="Arial"/>
        </w:rPr>
      </w:pPr>
      <w:r w:rsidRPr="00B1176C">
        <w:rPr>
          <w:rFonts w:cs="Arial"/>
        </w:rPr>
        <w:t>For adults and young people aged 12 years and over with suspected sepsis who meet only one moderate- to high</w:t>
      </w:r>
      <w:r w:rsidR="00076E10">
        <w:rPr>
          <w:rFonts w:cs="Arial"/>
        </w:rPr>
        <w:t>-</w:t>
      </w:r>
      <w:r w:rsidRPr="00B1176C">
        <w:rPr>
          <w:rFonts w:cs="Arial"/>
        </w:rPr>
        <w:t>risk (AMBER FLAG) criterion:</w:t>
      </w:r>
    </w:p>
    <w:p w14:paraId="48E4E6C8" w14:textId="77777777" w:rsidR="00940008" w:rsidRPr="009D54D2" w:rsidRDefault="00940008" w:rsidP="003D11A2">
      <w:pPr>
        <w:pStyle w:val="TeThHauorabullets"/>
        <w:ind w:left="1077"/>
      </w:pPr>
      <w:r w:rsidRPr="009D54D2">
        <w:t>provide appropriate care based on diagnosis, condition, local resources and available clinical expertise</w:t>
      </w:r>
    </w:p>
    <w:p w14:paraId="10765C4D" w14:textId="77777777" w:rsidR="00940008" w:rsidRPr="009D54D2" w:rsidRDefault="00940008" w:rsidP="003D11A2">
      <w:pPr>
        <w:pStyle w:val="TeThHauorabullets"/>
        <w:ind w:left="1077"/>
      </w:pPr>
      <w:r>
        <w:t>d</w:t>
      </w:r>
      <w:r w:rsidRPr="009D54D2">
        <w:t xml:space="preserve">ocument </w:t>
      </w:r>
      <w:r>
        <w:t xml:space="preserve">a </w:t>
      </w:r>
      <w:r w:rsidRPr="009D54D2">
        <w:t>treatment plan</w:t>
      </w:r>
    </w:p>
    <w:p w14:paraId="27BFC10D" w14:textId="77777777" w:rsidR="00940008" w:rsidRPr="009D54D2" w:rsidRDefault="00940008" w:rsidP="003D11A2">
      <w:pPr>
        <w:pStyle w:val="TeThHauorabullets"/>
        <w:ind w:left="1077"/>
      </w:pPr>
      <w:r>
        <w:t>i</w:t>
      </w:r>
      <w:r w:rsidRPr="009D54D2">
        <w:t xml:space="preserve">f antibiotic </w:t>
      </w:r>
      <w:r>
        <w:t>is</w:t>
      </w:r>
      <w:r w:rsidRPr="009D54D2">
        <w:t xml:space="preserve"> needed, administer within </w:t>
      </w:r>
      <w:r>
        <w:t xml:space="preserve">three </w:t>
      </w:r>
      <w:r w:rsidRPr="009D54D2">
        <w:t>hours</w:t>
      </w:r>
    </w:p>
    <w:p w14:paraId="025DE9B7" w14:textId="77777777" w:rsidR="00940008" w:rsidRPr="009D54D2" w:rsidRDefault="00940008" w:rsidP="003D11A2">
      <w:pPr>
        <w:pStyle w:val="TeThHauorabullets"/>
        <w:ind w:left="1077"/>
      </w:pPr>
      <w:r>
        <w:t>u</w:t>
      </w:r>
      <w:r w:rsidRPr="009D54D2">
        <w:t xml:space="preserve">pdate </w:t>
      </w:r>
      <w:r>
        <w:t xml:space="preserve">the </w:t>
      </w:r>
      <w:r w:rsidRPr="009D54D2">
        <w:t xml:space="preserve">patient and </w:t>
      </w:r>
      <w:r>
        <w:t>their family/</w:t>
      </w:r>
      <w:r w:rsidRPr="009D54D2">
        <w:t>whānau</w:t>
      </w:r>
    </w:p>
    <w:p w14:paraId="67DBCAB9" w14:textId="77777777" w:rsidR="00940008" w:rsidRPr="009D54D2" w:rsidRDefault="00940008" w:rsidP="00196E32">
      <w:pPr>
        <w:pStyle w:val="TeThHauorabullets"/>
        <w:spacing w:after="120"/>
        <w:ind w:left="1077"/>
      </w:pPr>
      <w:r>
        <w:t>e</w:t>
      </w:r>
      <w:r w:rsidRPr="009D54D2">
        <w:t>xit the sepsis pathway if no further moderate</w:t>
      </w:r>
      <w:r>
        <w:t>-</w:t>
      </w:r>
      <w:r w:rsidRPr="009D54D2">
        <w:t xml:space="preserve"> to high-risk (AMBER FLAG) criteria are identified</w:t>
      </w:r>
      <w:r>
        <w:t>.</w:t>
      </w:r>
      <w:r w:rsidRPr="009D54D2">
        <w:t xml:space="preserve"> </w:t>
      </w:r>
    </w:p>
    <w:p w14:paraId="75FD12B8" w14:textId="0BE4FB7B" w:rsidR="00940008" w:rsidRPr="009D54D2" w:rsidRDefault="00940008" w:rsidP="00427C62">
      <w:pPr>
        <w:pStyle w:val="ListParagraph"/>
        <w:numPr>
          <w:ilvl w:val="1"/>
          <w:numId w:val="16"/>
        </w:numPr>
        <w:ind w:left="680" w:hanging="680"/>
        <w:rPr>
          <w:rFonts w:cs="Arial"/>
        </w:rPr>
      </w:pPr>
      <w:r w:rsidRPr="4045C2ED">
        <w:rPr>
          <w:rFonts w:cs="Arial"/>
        </w:rPr>
        <w:t>For</w:t>
      </w:r>
      <w:r w:rsidRPr="009D54D2">
        <w:rPr>
          <w:rFonts w:cs="Arial"/>
        </w:rPr>
        <w:t xml:space="preserve"> adults and young people aged 12 years and over who have met screening criteria but who </w:t>
      </w:r>
      <w:r w:rsidRPr="00845EDE">
        <w:rPr>
          <w:rFonts w:cs="Arial"/>
          <w:bCs/>
        </w:rPr>
        <w:t>do not meet</w:t>
      </w:r>
      <w:r w:rsidRPr="009D54D2">
        <w:rPr>
          <w:rFonts w:cs="Arial"/>
        </w:rPr>
        <w:t xml:space="preserve"> any high</w:t>
      </w:r>
      <w:r w:rsidR="007B48F2">
        <w:rPr>
          <w:rFonts w:cs="Arial"/>
        </w:rPr>
        <w:t>-risk</w:t>
      </w:r>
      <w:r w:rsidRPr="009D54D2">
        <w:rPr>
          <w:rFonts w:cs="Arial"/>
        </w:rPr>
        <w:t xml:space="preserve"> (RED</w:t>
      </w:r>
      <w:r>
        <w:rPr>
          <w:rFonts w:cs="Arial"/>
        </w:rPr>
        <w:t xml:space="preserve"> FLAG</w:t>
      </w:r>
      <w:r w:rsidRPr="009D54D2">
        <w:rPr>
          <w:rFonts w:cs="Arial"/>
        </w:rPr>
        <w:t>) or moderate</w:t>
      </w:r>
      <w:r>
        <w:rPr>
          <w:rFonts w:cs="Arial"/>
        </w:rPr>
        <w:t>-</w:t>
      </w:r>
      <w:r w:rsidRPr="009D54D2">
        <w:rPr>
          <w:rFonts w:cs="Arial"/>
        </w:rPr>
        <w:t xml:space="preserve"> to high</w:t>
      </w:r>
      <w:r w:rsidR="007B48F2">
        <w:rPr>
          <w:rFonts w:cs="Arial"/>
        </w:rPr>
        <w:t>-risk</w:t>
      </w:r>
      <w:r w:rsidRPr="009D54D2">
        <w:rPr>
          <w:rFonts w:cs="Arial"/>
        </w:rPr>
        <w:t xml:space="preserve"> (AMBER</w:t>
      </w:r>
      <w:r>
        <w:rPr>
          <w:rFonts w:cs="Arial"/>
        </w:rPr>
        <w:t xml:space="preserve"> FLAG</w:t>
      </w:r>
      <w:r w:rsidRPr="009D54D2">
        <w:rPr>
          <w:rFonts w:cs="Arial"/>
        </w:rPr>
        <w:t>) criteria:</w:t>
      </w:r>
    </w:p>
    <w:p w14:paraId="08C402D3" w14:textId="77777777" w:rsidR="00940008" w:rsidRPr="009D54D2" w:rsidRDefault="00940008" w:rsidP="003D11A2">
      <w:pPr>
        <w:pStyle w:val="TeThHauorabullets"/>
        <w:ind w:left="1077"/>
      </w:pPr>
      <w:r w:rsidRPr="009D54D2">
        <w:t>arrange clinical assessment and manage according to clinical judgement</w:t>
      </w:r>
    </w:p>
    <w:p w14:paraId="62AD145E" w14:textId="77777777" w:rsidR="00940008" w:rsidRPr="009D54D2" w:rsidRDefault="00940008" w:rsidP="003D11A2">
      <w:pPr>
        <w:pStyle w:val="TeThHauorabullets"/>
        <w:ind w:left="1077"/>
      </w:pPr>
      <w:r>
        <w:t>e</w:t>
      </w:r>
      <w:r w:rsidRPr="009D54D2">
        <w:t>xit the sepsis pathway.</w:t>
      </w:r>
    </w:p>
    <w:p w14:paraId="24F35170" w14:textId="1C5013D5" w:rsidR="00940008" w:rsidRPr="00940008" w:rsidRDefault="00940008" w:rsidP="00427C62">
      <w:pPr>
        <w:pStyle w:val="TeThHauorahead2"/>
        <w:numPr>
          <w:ilvl w:val="0"/>
          <w:numId w:val="5"/>
        </w:numPr>
      </w:pPr>
      <w:bookmarkStart w:id="76" w:name="_Toc207862892"/>
      <w:r w:rsidRPr="00940008">
        <w:t xml:space="preserve">Managing </w:t>
      </w:r>
      <w:r w:rsidRPr="00B1176C">
        <w:t>and</w:t>
      </w:r>
      <w:r w:rsidRPr="00940008">
        <w:t xml:space="preserve"> treating suspected sepsis in children aged 11</w:t>
      </w:r>
      <w:r w:rsidR="003D11A2">
        <w:t> </w:t>
      </w:r>
      <w:r w:rsidRPr="00940008">
        <w:t>years and under in acute hospital settings</w:t>
      </w:r>
      <w:bookmarkEnd w:id="76"/>
    </w:p>
    <w:p w14:paraId="2587EFC2" w14:textId="4B7E278A" w:rsidR="00940008" w:rsidRPr="003D11A2" w:rsidRDefault="00940008" w:rsidP="00E5091C">
      <w:pPr>
        <w:pStyle w:val="TeThHauorahead3"/>
      </w:pPr>
      <w:r w:rsidRPr="003D11A2">
        <w:t xml:space="preserve">Children </w:t>
      </w:r>
      <w:r w:rsidRPr="00E5091C">
        <w:rPr>
          <w:rStyle w:val="Heading2Char"/>
          <w:rFonts w:cs="Arial"/>
          <w:b/>
          <w:i w:val="0"/>
          <w:sz w:val="24"/>
          <w:szCs w:val="24"/>
        </w:rPr>
        <w:t>aged</w:t>
      </w:r>
      <w:r w:rsidRPr="003D11A2">
        <w:t xml:space="preserve"> 11 years and under with suspected infection who meet one</w:t>
      </w:r>
      <w:r w:rsidR="003D11A2">
        <w:t> </w:t>
      </w:r>
      <w:r w:rsidRPr="003D11A2">
        <w:t>or</w:t>
      </w:r>
      <w:r w:rsidR="00C32949">
        <w:t> </w:t>
      </w:r>
      <w:r w:rsidRPr="003D11A2">
        <w:t>more high-risk criteria (RED FLAGS)</w:t>
      </w:r>
    </w:p>
    <w:p w14:paraId="6B05B68C" w14:textId="77777777" w:rsidR="00940008" w:rsidRPr="00730230" w:rsidRDefault="00940008" w:rsidP="00427C62">
      <w:pPr>
        <w:pStyle w:val="ListParagraph"/>
        <w:numPr>
          <w:ilvl w:val="1"/>
          <w:numId w:val="17"/>
        </w:numPr>
        <w:ind w:left="680" w:hanging="680"/>
        <w:rPr>
          <w:rFonts w:cs="Arial"/>
        </w:rPr>
      </w:pPr>
      <w:r w:rsidRPr="00730230">
        <w:rPr>
          <w:rFonts w:cs="Arial"/>
        </w:rPr>
        <w:t xml:space="preserve">For children who have a fever and look unwell, use the Paediatric Sepsis Pathway tool. If the child meets the in-hospital criteria with one or more RED FLAG criteria, follow these steps. </w:t>
      </w:r>
    </w:p>
    <w:p w14:paraId="5539073A" w14:textId="77777777" w:rsidR="00940008" w:rsidRPr="00904413" w:rsidRDefault="00940008" w:rsidP="003D11A2">
      <w:pPr>
        <w:pStyle w:val="TeThHauorabullets"/>
        <w:ind w:left="1077"/>
      </w:pPr>
      <w:r w:rsidRPr="00904413">
        <w:t xml:space="preserve">Arrange for immediate review and consider informing </w:t>
      </w:r>
      <w:r>
        <w:t xml:space="preserve">a </w:t>
      </w:r>
      <w:r w:rsidRPr="00904413">
        <w:t>senior clinician early.</w:t>
      </w:r>
    </w:p>
    <w:p w14:paraId="07D72B58" w14:textId="77777777" w:rsidR="00940008" w:rsidRPr="00904413" w:rsidRDefault="00940008" w:rsidP="003D11A2">
      <w:pPr>
        <w:pStyle w:val="TeThHauorabullets"/>
        <w:ind w:left="1077"/>
      </w:pPr>
      <w:r w:rsidRPr="00904413">
        <w:t>Apply oxygen to achieve sats &gt;94%</w:t>
      </w:r>
      <w:r>
        <w:t>.</w:t>
      </w:r>
    </w:p>
    <w:p w14:paraId="64A67854" w14:textId="77777777" w:rsidR="00940008" w:rsidRPr="00904413" w:rsidRDefault="00940008" w:rsidP="003D11A2">
      <w:pPr>
        <w:pStyle w:val="TeThHauorabullets"/>
        <w:ind w:left="1077"/>
      </w:pPr>
      <w:r w:rsidRPr="00904413">
        <w:t xml:space="preserve">Obtain IV/IO access and send blood investigations: blood gas (including glucose and lactate measurement), blood culture, </w:t>
      </w:r>
      <w:r>
        <w:t xml:space="preserve">a </w:t>
      </w:r>
      <w:r w:rsidRPr="00904413">
        <w:t xml:space="preserve">full blood count, urea and electrolytes, creatinine and </w:t>
      </w:r>
      <w:r>
        <w:t>a coagulation profile.</w:t>
      </w:r>
    </w:p>
    <w:p w14:paraId="6163128B" w14:textId="77777777" w:rsidR="00940008" w:rsidRPr="00904413" w:rsidRDefault="00940008" w:rsidP="003D11A2">
      <w:pPr>
        <w:pStyle w:val="TeThHauorabullets"/>
        <w:ind w:left="1077"/>
      </w:pPr>
      <w:r w:rsidRPr="00904413">
        <w:t>Give 10ml/kg fluid bolus with 0.9% saline</w:t>
      </w:r>
      <w:r>
        <w:t>:</w:t>
      </w:r>
    </w:p>
    <w:p w14:paraId="30CB4B25" w14:textId="77777777" w:rsidR="00940008" w:rsidRPr="00904413" w:rsidRDefault="00940008" w:rsidP="00427C62">
      <w:pPr>
        <w:pStyle w:val="TeThHauorabullets"/>
        <w:numPr>
          <w:ilvl w:val="0"/>
          <w:numId w:val="26"/>
        </w:numPr>
        <w:ind w:left="1474"/>
      </w:pPr>
      <w:r>
        <w:t>n</w:t>
      </w:r>
      <w:r w:rsidRPr="00904413">
        <w:t>eonate</w:t>
      </w:r>
      <w:r>
        <w:t>:</w:t>
      </w:r>
      <w:r w:rsidRPr="00904413">
        <w:t xml:space="preserve"> 10</w:t>
      </w:r>
      <w:r>
        <w:t> </w:t>
      </w:r>
      <w:r w:rsidRPr="00904413">
        <w:t>ml/kg</w:t>
      </w:r>
    </w:p>
    <w:p w14:paraId="020E8C75" w14:textId="77777777" w:rsidR="00940008" w:rsidRPr="00904413" w:rsidRDefault="00940008" w:rsidP="00196E32">
      <w:pPr>
        <w:pStyle w:val="TeThHauorabullets"/>
        <w:numPr>
          <w:ilvl w:val="0"/>
          <w:numId w:val="26"/>
        </w:numPr>
        <w:spacing w:after="120"/>
        <w:ind w:left="1474"/>
      </w:pPr>
      <w:r>
        <w:t>i</w:t>
      </w:r>
      <w:r w:rsidRPr="00904413">
        <w:t>nfant or child</w:t>
      </w:r>
      <w:r>
        <w:t>:</w:t>
      </w:r>
      <w:r w:rsidRPr="00904413">
        <w:t xml:space="preserve"> 10</w:t>
      </w:r>
      <w:r>
        <w:t>–</w:t>
      </w:r>
      <w:r w:rsidRPr="00904413">
        <w:t>20ml/kg</w:t>
      </w:r>
      <w:r>
        <w:t>.</w:t>
      </w:r>
    </w:p>
    <w:p w14:paraId="032F18F5" w14:textId="77777777" w:rsidR="00940008" w:rsidRPr="00D212B0" w:rsidRDefault="00940008" w:rsidP="00427C62">
      <w:pPr>
        <w:pStyle w:val="ListParagraph"/>
        <w:numPr>
          <w:ilvl w:val="1"/>
          <w:numId w:val="17"/>
        </w:numPr>
        <w:ind w:left="680" w:hanging="680"/>
        <w:contextualSpacing w:val="0"/>
        <w:rPr>
          <w:rFonts w:cs="Arial"/>
        </w:rPr>
      </w:pPr>
      <w:r w:rsidRPr="00D212B0">
        <w:rPr>
          <w:rFonts w:cs="Arial"/>
        </w:rPr>
        <w:t xml:space="preserve">Reassess </w:t>
      </w:r>
      <w:r>
        <w:rPr>
          <w:rFonts w:cs="Arial"/>
        </w:rPr>
        <w:t xml:space="preserve">and </w:t>
      </w:r>
      <w:r w:rsidRPr="00D212B0">
        <w:rPr>
          <w:rFonts w:cs="Arial"/>
        </w:rPr>
        <w:t xml:space="preserve">repeat as clinically indicated. Assess perfusion </w:t>
      </w:r>
      <w:r>
        <w:rPr>
          <w:rFonts w:cs="Arial"/>
        </w:rPr>
        <w:t xml:space="preserve">and </w:t>
      </w:r>
      <w:r w:rsidRPr="00D212B0">
        <w:rPr>
          <w:rFonts w:cs="Arial"/>
        </w:rPr>
        <w:t>fluid response, and for signs of volume overload after each bolus</w:t>
      </w:r>
      <w:r>
        <w:rPr>
          <w:rFonts w:cs="Arial"/>
        </w:rPr>
        <w:t>.</w:t>
      </w:r>
    </w:p>
    <w:p w14:paraId="40DD282D" w14:textId="77777777" w:rsidR="00940008" w:rsidRPr="00904413" w:rsidRDefault="00940008" w:rsidP="00427C62">
      <w:pPr>
        <w:pStyle w:val="ListParagraph"/>
        <w:numPr>
          <w:ilvl w:val="1"/>
          <w:numId w:val="17"/>
        </w:numPr>
        <w:ind w:left="680" w:hanging="680"/>
        <w:contextualSpacing w:val="0"/>
        <w:rPr>
          <w:rFonts w:cs="Arial"/>
        </w:rPr>
      </w:pPr>
      <w:r w:rsidRPr="00904413">
        <w:rPr>
          <w:rFonts w:cs="Arial"/>
        </w:rPr>
        <w:t xml:space="preserve">Give a broad-spectrum antimicrobial at the maximum recommended dose without delay within </w:t>
      </w:r>
      <w:r>
        <w:rPr>
          <w:rFonts w:cs="Arial"/>
        </w:rPr>
        <w:t xml:space="preserve">one </w:t>
      </w:r>
      <w:r w:rsidRPr="00904413">
        <w:rPr>
          <w:rFonts w:cs="Arial"/>
        </w:rPr>
        <w:t xml:space="preserve">hour of identifying that they meet any </w:t>
      </w:r>
      <w:r>
        <w:rPr>
          <w:rFonts w:cs="Arial"/>
        </w:rPr>
        <w:t xml:space="preserve">RED FLAG </w:t>
      </w:r>
      <w:r w:rsidRPr="00904413">
        <w:rPr>
          <w:rFonts w:cs="Arial"/>
        </w:rPr>
        <w:t>criteria in an acute hospital setting. Use a specific guideline if one is available.</w:t>
      </w:r>
    </w:p>
    <w:p w14:paraId="7F5B2785" w14:textId="331DB155" w:rsidR="00940008" w:rsidRPr="00904413" w:rsidRDefault="00940008" w:rsidP="00427C62">
      <w:pPr>
        <w:pStyle w:val="ListParagraph"/>
        <w:numPr>
          <w:ilvl w:val="1"/>
          <w:numId w:val="17"/>
        </w:numPr>
        <w:ind w:left="680" w:hanging="680"/>
        <w:contextualSpacing w:val="0"/>
        <w:rPr>
          <w:rFonts w:cs="Arial"/>
        </w:rPr>
      </w:pPr>
      <w:r w:rsidRPr="00904413">
        <w:rPr>
          <w:rFonts w:cs="Arial"/>
        </w:rPr>
        <w:lastRenderedPageBreak/>
        <w:t xml:space="preserve">Consider vasoactive agents early. </w:t>
      </w:r>
      <w:r>
        <w:rPr>
          <w:rFonts w:cs="Arial"/>
        </w:rPr>
        <w:t>For n</w:t>
      </w:r>
      <w:r w:rsidRPr="00904413">
        <w:rPr>
          <w:rFonts w:cs="Arial"/>
        </w:rPr>
        <w:t>eonates</w:t>
      </w:r>
      <w:r>
        <w:rPr>
          <w:rFonts w:cs="Arial"/>
        </w:rPr>
        <w:t>,</w:t>
      </w:r>
      <w:r w:rsidRPr="00904413">
        <w:rPr>
          <w:rFonts w:cs="Arial"/>
        </w:rPr>
        <w:t xml:space="preserve"> discuss with </w:t>
      </w:r>
      <w:r>
        <w:rPr>
          <w:rFonts w:cs="Arial"/>
        </w:rPr>
        <w:t xml:space="preserve">the </w:t>
      </w:r>
      <w:r w:rsidRPr="00904413">
        <w:rPr>
          <w:rFonts w:cs="Arial"/>
        </w:rPr>
        <w:t>neonatologist/</w:t>
      </w:r>
      <w:r w:rsidR="00196E32">
        <w:rPr>
          <w:rFonts w:cs="Arial"/>
        </w:rPr>
        <w:t xml:space="preserve"> </w:t>
      </w:r>
      <w:r w:rsidRPr="00904413">
        <w:rPr>
          <w:rFonts w:cs="Arial"/>
        </w:rPr>
        <w:t>paediatrician after 10</w:t>
      </w:r>
      <w:r>
        <w:rPr>
          <w:rFonts w:cs="Arial"/>
        </w:rPr>
        <w:t> </w:t>
      </w:r>
      <w:r w:rsidRPr="00904413">
        <w:rPr>
          <w:rFonts w:cs="Arial"/>
        </w:rPr>
        <w:t xml:space="preserve">ml/kg fluid bolus. </w:t>
      </w:r>
      <w:r>
        <w:rPr>
          <w:rFonts w:cs="Arial"/>
        </w:rPr>
        <w:t>For i</w:t>
      </w:r>
      <w:r w:rsidRPr="00904413">
        <w:rPr>
          <w:rFonts w:cs="Arial"/>
        </w:rPr>
        <w:t>nfants and children</w:t>
      </w:r>
      <w:r>
        <w:rPr>
          <w:rFonts w:cs="Arial"/>
        </w:rPr>
        <w:t>,</w:t>
      </w:r>
      <w:r w:rsidRPr="00904413">
        <w:rPr>
          <w:rFonts w:cs="Arial"/>
        </w:rPr>
        <w:t xml:space="preserve"> if perfusion is abnormal after 20</w:t>
      </w:r>
      <w:r>
        <w:rPr>
          <w:rFonts w:cs="Arial"/>
        </w:rPr>
        <w:t>–</w:t>
      </w:r>
      <w:r w:rsidRPr="00904413">
        <w:rPr>
          <w:rFonts w:cs="Arial"/>
        </w:rPr>
        <w:t>40</w:t>
      </w:r>
      <w:r>
        <w:rPr>
          <w:rFonts w:cs="Arial"/>
        </w:rPr>
        <w:t> </w:t>
      </w:r>
      <w:r w:rsidRPr="00904413">
        <w:rPr>
          <w:rFonts w:cs="Arial"/>
        </w:rPr>
        <w:t xml:space="preserve">ml/kg fluid, </w:t>
      </w:r>
      <w:r w:rsidRPr="006260B3">
        <w:rPr>
          <w:rFonts w:cs="Arial"/>
        </w:rPr>
        <w:t xml:space="preserve">consider vasoactive support in discussion with </w:t>
      </w:r>
      <w:r>
        <w:rPr>
          <w:rFonts w:cs="Arial"/>
        </w:rPr>
        <w:t>the</w:t>
      </w:r>
      <w:r w:rsidR="00196E32">
        <w:rPr>
          <w:rFonts w:cs="Arial"/>
        </w:rPr>
        <w:t> </w:t>
      </w:r>
      <w:r w:rsidRPr="006260B3">
        <w:rPr>
          <w:rFonts w:cs="Arial"/>
        </w:rPr>
        <w:t>paediatrician or intensive care specialist</w:t>
      </w:r>
      <w:r>
        <w:rPr>
          <w:rFonts w:cs="Arial"/>
        </w:rPr>
        <w:t>.</w:t>
      </w:r>
    </w:p>
    <w:p w14:paraId="6708286D" w14:textId="66468066" w:rsidR="00940008" w:rsidRPr="00904413" w:rsidRDefault="00940008" w:rsidP="00427C62">
      <w:pPr>
        <w:pStyle w:val="ListParagraph"/>
        <w:numPr>
          <w:ilvl w:val="1"/>
          <w:numId w:val="17"/>
        </w:numPr>
        <w:ind w:left="680" w:hanging="680"/>
        <w:contextualSpacing w:val="0"/>
        <w:rPr>
          <w:rFonts w:cs="Arial"/>
        </w:rPr>
      </w:pPr>
      <w:r>
        <w:rPr>
          <w:rFonts w:cs="Arial"/>
        </w:rPr>
        <w:t>In terms of</w:t>
      </w:r>
      <w:r w:rsidRPr="00904413">
        <w:rPr>
          <w:rFonts w:cs="Arial"/>
        </w:rPr>
        <w:t xml:space="preserve"> assessment for possible sepsis in children</w:t>
      </w:r>
      <w:r>
        <w:rPr>
          <w:rFonts w:cs="Arial"/>
        </w:rPr>
        <w:t>, note the following.</w:t>
      </w:r>
    </w:p>
    <w:p w14:paraId="3F03DB67" w14:textId="3784D9A4" w:rsidR="00940008" w:rsidRPr="00904413" w:rsidRDefault="00940008" w:rsidP="004F2FC5">
      <w:pPr>
        <w:pStyle w:val="TeThHauorabullets"/>
        <w:ind w:left="1077"/>
      </w:pPr>
      <w:r w:rsidRPr="00904413">
        <w:t xml:space="preserve">Tachycardia is common in febrile children. However, tachycardia accompanying symptoms or signs of infection that are severe (defined using the age-appropriate </w:t>
      </w:r>
      <w:r>
        <w:t>PEWS</w:t>
      </w:r>
      <w:r w:rsidR="00FE3A1B">
        <w:t xml:space="preserve"> vital </w:t>
      </w:r>
      <w:r w:rsidR="00576BE7">
        <w:t>sign chart</w:t>
      </w:r>
      <w:r w:rsidRPr="00904413">
        <w:t>), unexplained or persistent (</w:t>
      </w:r>
      <w:proofErr w:type="spellStart"/>
      <w:r>
        <w:t>ie</w:t>
      </w:r>
      <w:proofErr w:type="spellEnd"/>
      <w:r>
        <w:t xml:space="preserve">, </w:t>
      </w:r>
      <w:r w:rsidRPr="00904413">
        <w:t>following initial management of pain and fever with paracetamol and cooling cares) should be considered a high-risk (RED FLAG) finding.</w:t>
      </w:r>
    </w:p>
    <w:p w14:paraId="1204D749" w14:textId="77777777" w:rsidR="00940008" w:rsidRPr="00904413" w:rsidRDefault="00940008" w:rsidP="004F2FC5">
      <w:pPr>
        <w:pStyle w:val="TeThHauorabullets"/>
        <w:ind w:left="1077"/>
      </w:pPr>
      <w:r w:rsidRPr="00904413">
        <w:t xml:space="preserve">Caregiver concern is an indicator of serious illness in children that often precedes significant vital sign abnormalities. Review </w:t>
      </w:r>
      <w:r>
        <w:t xml:space="preserve">caregiver concern </w:t>
      </w:r>
      <w:r w:rsidRPr="00904413">
        <w:t>regularly and escalate persistent caregiver concern to a senior clinician.</w:t>
      </w:r>
    </w:p>
    <w:p w14:paraId="18F5B21E" w14:textId="71281B75" w:rsidR="00940008" w:rsidRPr="00E5091C" w:rsidRDefault="00940008" w:rsidP="00E5091C">
      <w:pPr>
        <w:pStyle w:val="TeThHauorahead3"/>
      </w:pPr>
      <w:r w:rsidRPr="00E5091C">
        <w:rPr>
          <w:rStyle w:val="Heading2Char"/>
          <w:rFonts w:cs="Arial"/>
          <w:b/>
          <w:i w:val="0"/>
          <w:sz w:val="24"/>
          <w:szCs w:val="24"/>
        </w:rPr>
        <w:t>Children aged 11 and under with suspected infection who meet one or more moderate- to high-risk criteria (AMBER FLAGS)</w:t>
      </w:r>
    </w:p>
    <w:p w14:paraId="24BEF241" w14:textId="77777777" w:rsidR="00940008" w:rsidRPr="00C47D0E" w:rsidRDefault="00940008" w:rsidP="00427C62">
      <w:pPr>
        <w:pStyle w:val="ListParagraph"/>
        <w:numPr>
          <w:ilvl w:val="1"/>
          <w:numId w:val="17"/>
        </w:numPr>
        <w:ind w:left="680" w:hanging="680"/>
        <w:contextualSpacing w:val="0"/>
        <w:rPr>
          <w:rFonts w:cs="Arial"/>
        </w:rPr>
      </w:pPr>
      <w:r>
        <w:rPr>
          <w:rFonts w:cs="Arial"/>
        </w:rPr>
        <w:t>In the case of children aged 11 and under with suspected infection who meet one or more moderate- to high-risk criteria, respond as follows.</w:t>
      </w:r>
    </w:p>
    <w:p w14:paraId="4C607AC9" w14:textId="77777777" w:rsidR="00940008" w:rsidRPr="00904413" w:rsidRDefault="00940008" w:rsidP="00E5091C">
      <w:pPr>
        <w:pStyle w:val="TeThHauorabullets"/>
        <w:ind w:left="1077"/>
      </w:pPr>
      <w:r w:rsidRPr="00904413">
        <w:t>Review with a senior clinician, as defined in the sepsis clinical pathway</w:t>
      </w:r>
      <w:r>
        <w:t>.</w:t>
      </w:r>
    </w:p>
    <w:p w14:paraId="2C533C53" w14:textId="77777777" w:rsidR="00940008" w:rsidRPr="00904413" w:rsidRDefault="00940008" w:rsidP="00E5091C">
      <w:pPr>
        <w:pStyle w:val="TeThHauorabullets"/>
        <w:ind w:left="1077"/>
      </w:pPr>
      <w:r w:rsidRPr="00904413">
        <w:t>Send blood</w:t>
      </w:r>
      <w:r>
        <w:t xml:space="preserve"> test</w:t>
      </w:r>
      <w:r w:rsidRPr="00904413">
        <w:t>s (</w:t>
      </w:r>
      <w:r>
        <w:t>full blood count;</w:t>
      </w:r>
      <w:r w:rsidRPr="00904413">
        <w:t xml:space="preserve"> </w:t>
      </w:r>
      <w:r w:rsidRPr="009D54D2">
        <w:t>urea, creatinine and electrolytes</w:t>
      </w:r>
      <w:r>
        <w:t>;</w:t>
      </w:r>
      <w:r w:rsidRPr="00904413">
        <w:t xml:space="preserve"> blood gas</w:t>
      </w:r>
      <w:r>
        <w:t>;</w:t>
      </w:r>
      <w:r w:rsidRPr="00904413">
        <w:t xml:space="preserve"> blood culture</w:t>
      </w:r>
      <w:r>
        <w:t>;</w:t>
      </w:r>
      <w:r w:rsidRPr="00904413">
        <w:t xml:space="preserve"> and coagulation studies) and review results within one hour</w:t>
      </w:r>
      <w:r>
        <w:t>.</w:t>
      </w:r>
    </w:p>
    <w:p w14:paraId="103E04B0" w14:textId="77777777" w:rsidR="00940008" w:rsidRPr="00904413" w:rsidRDefault="00940008" w:rsidP="00E5091C">
      <w:pPr>
        <w:pStyle w:val="TeThHauorabullets"/>
        <w:ind w:left="1077"/>
      </w:pPr>
      <w:r w:rsidRPr="00904413">
        <w:t>Manage according to the high-risk (RED FLAG) pathway any child who is deteriorating or who is found to have a serum lactate &gt;4 mmol/l</w:t>
      </w:r>
      <w:r>
        <w:t>itre.</w:t>
      </w:r>
    </w:p>
    <w:p w14:paraId="364680D2" w14:textId="77777777" w:rsidR="00940008" w:rsidRPr="00904413" w:rsidRDefault="00940008" w:rsidP="00E5091C">
      <w:pPr>
        <w:pStyle w:val="TeThHauorabullets"/>
        <w:ind w:left="1077"/>
      </w:pPr>
      <w:r w:rsidRPr="00904413">
        <w:t>If there is no clinical change and/or the serum lactate is 2</w:t>
      </w:r>
      <w:r>
        <w:t>–</w:t>
      </w:r>
      <w:r w:rsidRPr="00904413">
        <w:t>4</w:t>
      </w:r>
      <w:r>
        <w:t> </w:t>
      </w:r>
      <w:r w:rsidRPr="00904413">
        <w:t>mmol/l</w:t>
      </w:r>
      <w:r>
        <w:t>itre</w:t>
      </w:r>
      <w:r w:rsidRPr="00904413">
        <w:t xml:space="preserve">, prolong observation and conduct a further structured clinical assessment within </w:t>
      </w:r>
      <w:r>
        <w:t>two</w:t>
      </w:r>
      <w:r w:rsidRPr="00904413">
        <w:t xml:space="preserve"> hours. If antibiotics are needed, administer within </w:t>
      </w:r>
      <w:r>
        <w:t xml:space="preserve">three </w:t>
      </w:r>
      <w:r w:rsidRPr="00904413">
        <w:t>hours of presentation.</w:t>
      </w:r>
    </w:p>
    <w:p w14:paraId="49C8CA8F" w14:textId="17D8811F" w:rsidR="00940008" w:rsidRPr="00904413" w:rsidRDefault="00940008" w:rsidP="00E5091C">
      <w:pPr>
        <w:pStyle w:val="TeThHauorabullets"/>
        <w:ind w:left="1077"/>
      </w:pPr>
      <w:r w:rsidRPr="00904413">
        <w:t xml:space="preserve">Exit the </w:t>
      </w:r>
      <w:r>
        <w:t xml:space="preserve">sepsis </w:t>
      </w:r>
      <w:r w:rsidRPr="00904413">
        <w:t xml:space="preserve">pathway </w:t>
      </w:r>
      <w:r>
        <w:t xml:space="preserve">for </w:t>
      </w:r>
      <w:r w:rsidRPr="00904413">
        <w:t>any child who is clinically improving with a lactate &lt;</w:t>
      </w:r>
      <w:r w:rsidR="003F5709">
        <w:t> </w:t>
      </w:r>
      <w:r w:rsidRPr="00904413">
        <w:t>2mmol/l</w:t>
      </w:r>
      <w:r>
        <w:t>itre.</w:t>
      </w:r>
    </w:p>
    <w:p w14:paraId="717B1ED3" w14:textId="2748E5EE" w:rsidR="00940008" w:rsidRPr="00940008" w:rsidRDefault="00940008" w:rsidP="00427C62">
      <w:pPr>
        <w:pStyle w:val="TeThHauorahead2"/>
        <w:numPr>
          <w:ilvl w:val="0"/>
          <w:numId w:val="5"/>
        </w:numPr>
      </w:pPr>
      <w:bookmarkStart w:id="77" w:name="_Toc201826323"/>
      <w:bookmarkStart w:id="78" w:name="_Toc207862893"/>
      <w:r w:rsidRPr="00940008">
        <w:t>Antibiotic treatment in people with suspected sepsis</w:t>
      </w:r>
      <w:bookmarkEnd w:id="77"/>
      <w:bookmarkEnd w:id="78"/>
    </w:p>
    <w:p w14:paraId="1B5A79C5" w14:textId="77777777" w:rsidR="00940008" w:rsidRPr="0060625C" w:rsidRDefault="00940008" w:rsidP="00427C62">
      <w:pPr>
        <w:pStyle w:val="ListParagraph"/>
        <w:numPr>
          <w:ilvl w:val="1"/>
          <w:numId w:val="18"/>
        </w:numPr>
        <w:ind w:left="680" w:hanging="680"/>
        <w:contextualSpacing w:val="0"/>
        <w:rPr>
          <w:rFonts w:cs="Arial"/>
        </w:rPr>
      </w:pPr>
      <w:r w:rsidRPr="0060625C">
        <w:rPr>
          <w:rFonts w:cs="Arial"/>
        </w:rPr>
        <w:t xml:space="preserve">Pre-alert secondary care (through the general practitioner or ambulance service) when any high-risk (RED FLAG) criteria are met in a person with suspected sepsis outside of an acute hospital and transfer them immediately. </w:t>
      </w:r>
    </w:p>
    <w:p w14:paraId="78FE2A71" w14:textId="77777777" w:rsidR="00940008" w:rsidRPr="009D54D2" w:rsidRDefault="00940008" w:rsidP="00427C62">
      <w:pPr>
        <w:pStyle w:val="ListParagraph"/>
        <w:numPr>
          <w:ilvl w:val="1"/>
          <w:numId w:val="18"/>
        </w:numPr>
        <w:ind w:left="680" w:hanging="680"/>
        <w:contextualSpacing w:val="0"/>
        <w:rPr>
          <w:rFonts w:cs="Arial"/>
        </w:rPr>
      </w:pPr>
      <w:r w:rsidRPr="009D54D2">
        <w:rPr>
          <w:rFonts w:cs="Arial"/>
        </w:rPr>
        <w:t xml:space="preserve">Ensure urgent assessment mechanisms are in place to deliver antibiotics when any high-risk criteria are met in secondary care (within </w:t>
      </w:r>
      <w:r>
        <w:rPr>
          <w:rFonts w:cs="Arial"/>
        </w:rPr>
        <w:t>one</w:t>
      </w:r>
      <w:r w:rsidRPr="009D54D2">
        <w:rPr>
          <w:rFonts w:cs="Arial"/>
        </w:rPr>
        <w:t xml:space="preserve"> hour of meeting a high-risk criterion in an acute hospital setting).</w:t>
      </w:r>
    </w:p>
    <w:p w14:paraId="49AF33E0" w14:textId="77777777" w:rsidR="00940008" w:rsidRPr="009D54D2" w:rsidRDefault="00940008" w:rsidP="00427C62">
      <w:pPr>
        <w:pStyle w:val="ListParagraph"/>
        <w:numPr>
          <w:ilvl w:val="1"/>
          <w:numId w:val="18"/>
        </w:numPr>
        <w:ind w:left="680" w:hanging="680"/>
        <w:contextualSpacing w:val="0"/>
        <w:rPr>
          <w:rFonts w:cs="Arial"/>
        </w:rPr>
      </w:pPr>
      <w:r w:rsidRPr="009D54D2">
        <w:rPr>
          <w:rFonts w:cs="Arial"/>
        </w:rPr>
        <w:t xml:space="preserve">Ensure </w:t>
      </w:r>
      <w:r>
        <w:rPr>
          <w:rFonts w:cs="Arial"/>
        </w:rPr>
        <w:t xml:space="preserve">general practitioners </w:t>
      </w:r>
      <w:r w:rsidRPr="009D54D2">
        <w:rPr>
          <w:rFonts w:cs="Arial"/>
        </w:rPr>
        <w:t xml:space="preserve">and ambulance services have mechanisms in place to give antibiotics to people with high-risk criteria in pre-hospital settings in locations where </w:t>
      </w:r>
      <w:r>
        <w:rPr>
          <w:rFonts w:cs="Arial"/>
        </w:rPr>
        <w:t xml:space="preserve">the </w:t>
      </w:r>
      <w:r w:rsidRPr="009D54D2">
        <w:rPr>
          <w:rFonts w:cs="Arial"/>
        </w:rPr>
        <w:t>transfer time is more than 30 minutes.</w:t>
      </w:r>
    </w:p>
    <w:p w14:paraId="6165F7E8" w14:textId="77777777" w:rsidR="00940008" w:rsidRPr="009D54D2" w:rsidRDefault="00940008" w:rsidP="00427C62">
      <w:pPr>
        <w:pStyle w:val="ListParagraph"/>
        <w:numPr>
          <w:ilvl w:val="1"/>
          <w:numId w:val="18"/>
        </w:numPr>
        <w:ind w:left="680" w:hanging="680"/>
        <w:contextualSpacing w:val="0"/>
        <w:rPr>
          <w:rFonts w:cs="Arial"/>
        </w:rPr>
      </w:pPr>
      <w:r w:rsidRPr="009D54D2">
        <w:rPr>
          <w:rFonts w:cs="Arial"/>
        </w:rPr>
        <w:t xml:space="preserve">For people with suspected sepsis, take a minimum of </w:t>
      </w:r>
      <w:r>
        <w:rPr>
          <w:rFonts w:cs="Arial"/>
        </w:rPr>
        <w:t xml:space="preserve">two </w:t>
      </w:r>
      <w:r w:rsidRPr="009D54D2">
        <w:rPr>
          <w:rFonts w:cs="Arial"/>
        </w:rPr>
        <w:t>sets of blood cultures from one ven</w:t>
      </w:r>
      <w:r>
        <w:rPr>
          <w:rFonts w:cs="Arial"/>
        </w:rPr>
        <w:t>e</w:t>
      </w:r>
      <w:r w:rsidRPr="009D54D2">
        <w:rPr>
          <w:rFonts w:cs="Arial"/>
        </w:rPr>
        <w:t>puncture before or concurrently with antimicrobial administration.</w:t>
      </w:r>
    </w:p>
    <w:p w14:paraId="1FE46FD3" w14:textId="77777777" w:rsidR="00940008" w:rsidRPr="0060625C" w:rsidRDefault="00940008" w:rsidP="00427C62">
      <w:pPr>
        <w:pStyle w:val="ListParagraph"/>
        <w:numPr>
          <w:ilvl w:val="1"/>
          <w:numId w:val="18"/>
        </w:numPr>
        <w:ind w:left="680" w:hanging="680"/>
        <w:contextualSpacing w:val="0"/>
        <w:rPr>
          <w:rFonts w:cs="Arial"/>
        </w:rPr>
      </w:pPr>
      <w:r w:rsidRPr="009D54D2">
        <w:rPr>
          <w:rFonts w:cs="Arial"/>
        </w:rPr>
        <w:t>Use a sepsis-specific antimicrobial guideline where one is available</w:t>
      </w:r>
      <w:r>
        <w:rPr>
          <w:rFonts w:cs="Arial"/>
        </w:rPr>
        <w:t>.</w:t>
      </w:r>
      <w:r w:rsidRPr="009D54D2">
        <w:rPr>
          <w:rFonts w:cs="Arial"/>
        </w:rPr>
        <w:t xml:space="preserve"> </w:t>
      </w:r>
    </w:p>
    <w:p w14:paraId="19A2C4C0" w14:textId="77777777" w:rsidR="00940008" w:rsidRPr="009D54D2" w:rsidRDefault="00940008" w:rsidP="00427C62">
      <w:pPr>
        <w:pStyle w:val="ListParagraph"/>
        <w:numPr>
          <w:ilvl w:val="1"/>
          <w:numId w:val="18"/>
        </w:numPr>
        <w:ind w:left="680" w:hanging="680"/>
        <w:contextualSpacing w:val="0"/>
        <w:rPr>
          <w:rFonts w:cs="Arial"/>
        </w:rPr>
      </w:pPr>
      <w:r w:rsidRPr="009D54D2">
        <w:rPr>
          <w:rFonts w:cs="Arial"/>
        </w:rPr>
        <w:lastRenderedPageBreak/>
        <w:t xml:space="preserve">For all people given antibiotics for suspected sepsis, review antimicrobial prescribing regularly, and with the results of microbiology samples once </w:t>
      </w:r>
      <w:r>
        <w:rPr>
          <w:rFonts w:cs="Arial"/>
        </w:rPr>
        <w:t xml:space="preserve">they are </w:t>
      </w:r>
      <w:r w:rsidRPr="009D54D2">
        <w:rPr>
          <w:rFonts w:cs="Arial"/>
        </w:rPr>
        <w:t>available.</w:t>
      </w:r>
    </w:p>
    <w:p w14:paraId="2B231EA5" w14:textId="77777777" w:rsidR="00940008" w:rsidRPr="00940008" w:rsidRDefault="00940008" w:rsidP="00427C62">
      <w:pPr>
        <w:pStyle w:val="TeThHauorahead2"/>
        <w:numPr>
          <w:ilvl w:val="0"/>
          <w:numId w:val="5"/>
        </w:numPr>
      </w:pPr>
      <w:bookmarkStart w:id="79" w:name="_Toc201826324"/>
      <w:bookmarkStart w:id="80" w:name="_Toc207862894"/>
      <w:r w:rsidRPr="00940008">
        <w:t>IV fluids in people with suspected sepsis</w:t>
      </w:r>
      <w:bookmarkEnd w:id="79"/>
      <w:bookmarkEnd w:id="80"/>
    </w:p>
    <w:p w14:paraId="7D5B72CF" w14:textId="2CA3ED27" w:rsidR="00940008" w:rsidRPr="00BA6258" w:rsidRDefault="00940008" w:rsidP="00427C62">
      <w:pPr>
        <w:pStyle w:val="ListParagraph"/>
        <w:numPr>
          <w:ilvl w:val="1"/>
          <w:numId w:val="19"/>
        </w:numPr>
        <w:ind w:left="680" w:hanging="680"/>
        <w:contextualSpacing w:val="0"/>
        <w:rPr>
          <w:rFonts w:cs="Arial"/>
          <w:b/>
          <w:bCs/>
        </w:rPr>
      </w:pPr>
      <w:r w:rsidRPr="00BA6258">
        <w:rPr>
          <w:rFonts w:cs="Arial"/>
        </w:rPr>
        <w:t xml:space="preserve">If patients </w:t>
      </w:r>
      <w:r w:rsidR="00A11A18">
        <w:rPr>
          <w:rFonts w:cs="Arial"/>
        </w:rPr>
        <w:t xml:space="preserve">aged </w:t>
      </w:r>
      <w:r w:rsidRPr="00BA6258">
        <w:rPr>
          <w:rFonts w:cs="Arial"/>
        </w:rPr>
        <w:t>over 16 years need IV fluid resuscitation, use crystalloids that contain sodium in the range 130–154 mmol/litre, with a bolus of 500 mL over less than 15</w:t>
      </w:r>
      <w:r w:rsidR="003F5709">
        <w:rPr>
          <w:rFonts w:cs="Arial"/>
        </w:rPr>
        <w:t> </w:t>
      </w:r>
      <w:r w:rsidRPr="00BA6258">
        <w:rPr>
          <w:rFonts w:cs="Arial"/>
        </w:rPr>
        <w:t>minutes.</w:t>
      </w:r>
    </w:p>
    <w:p w14:paraId="38506B5B" w14:textId="58ADEAB5" w:rsidR="00940008" w:rsidRPr="00BA6258" w:rsidRDefault="00940008" w:rsidP="00427C62">
      <w:pPr>
        <w:pStyle w:val="ListParagraph"/>
        <w:numPr>
          <w:ilvl w:val="1"/>
          <w:numId w:val="19"/>
        </w:numPr>
        <w:ind w:left="680" w:hanging="680"/>
        <w:contextualSpacing w:val="0"/>
        <w:rPr>
          <w:rFonts w:cs="Arial"/>
        </w:rPr>
      </w:pPr>
      <w:r w:rsidRPr="00027E5C">
        <w:rPr>
          <w:rFonts w:cs="Arial"/>
        </w:rPr>
        <w:t xml:space="preserve">If children and young people </w:t>
      </w:r>
      <w:r>
        <w:rPr>
          <w:rFonts w:cs="Arial"/>
        </w:rPr>
        <w:t xml:space="preserve">aged </w:t>
      </w:r>
      <w:r w:rsidRPr="00027E5C">
        <w:rPr>
          <w:rFonts w:cs="Arial"/>
        </w:rPr>
        <w:t xml:space="preserve">up to 16 years need </w:t>
      </w:r>
      <w:r>
        <w:rPr>
          <w:rFonts w:cs="Arial"/>
        </w:rPr>
        <w:t xml:space="preserve">IV </w:t>
      </w:r>
      <w:r w:rsidRPr="00027E5C">
        <w:rPr>
          <w:rFonts w:cs="Arial"/>
        </w:rPr>
        <w:t>fluid resuscitation, use crystalloids that contain sodium in the range 130</w:t>
      </w:r>
      <w:r>
        <w:rPr>
          <w:rFonts w:cs="Arial"/>
        </w:rPr>
        <w:t>–</w:t>
      </w:r>
      <w:r w:rsidRPr="00027E5C">
        <w:rPr>
          <w:rFonts w:cs="Arial"/>
        </w:rPr>
        <w:t>154 mmol/litre, with a bolus of 20</w:t>
      </w:r>
      <w:r>
        <w:rPr>
          <w:rFonts w:cs="Arial"/>
        </w:rPr>
        <w:t> </w:t>
      </w:r>
      <w:r w:rsidRPr="00027E5C">
        <w:rPr>
          <w:rFonts w:cs="Arial"/>
        </w:rPr>
        <w:t xml:space="preserve">mL/kg over less than 10 minutes. </w:t>
      </w:r>
      <w:proofErr w:type="gramStart"/>
      <w:r w:rsidRPr="00027E5C">
        <w:rPr>
          <w:rFonts w:cs="Arial"/>
        </w:rPr>
        <w:t>Take into account</w:t>
      </w:r>
      <w:proofErr w:type="gramEnd"/>
      <w:r w:rsidRPr="00027E5C">
        <w:rPr>
          <w:rFonts w:cs="Arial"/>
        </w:rPr>
        <w:t xml:space="preserve"> pre-existing conditions (</w:t>
      </w:r>
      <w:proofErr w:type="spellStart"/>
      <w:r>
        <w:rPr>
          <w:rFonts w:cs="Arial"/>
        </w:rPr>
        <w:t>eg</w:t>
      </w:r>
      <w:proofErr w:type="spellEnd"/>
      <w:r w:rsidRPr="00027E5C">
        <w:rPr>
          <w:rFonts w:cs="Arial"/>
        </w:rPr>
        <w:t>,</w:t>
      </w:r>
      <w:r w:rsidR="003F5709">
        <w:rPr>
          <w:rFonts w:cs="Arial"/>
        </w:rPr>
        <w:t> </w:t>
      </w:r>
      <w:r w:rsidRPr="00027E5C">
        <w:rPr>
          <w:rFonts w:cs="Arial"/>
        </w:rPr>
        <w:t xml:space="preserve">cardiac disease or kidney disease), because smaller volumes may be needed. </w:t>
      </w:r>
    </w:p>
    <w:p w14:paraId="00335B27" w14:textId="77777777" w:rsidR="00940008" w:rsidRPr="00BA6258" w:rsidRDefault="00940008" w:rsidP="00427C62">
      <w:pPr>
        <w:pStyle w:val="ListParagraph"/>
        <w:numPr>
          <w:ilvl w:val="1"/>
          <w:numId w:val="19"/>
        </w:numPr>
        <w:ind w:left="680" w:hanging="680"/>
        <w:contextualSpacing w:val="0"/>
        <w:rPr>
          <w:rFonts w:cs="Arial"/>
        </w:rPr>
      </w:pPr>
      <w:r w:rsidRPr="00027E5C">
        <w:rPr>
          <w:rFonts w:cs="Arial"/>
        </w:rPr>
        <w:t xml:space="preserve">If neonates need </w:t>
      </w:r>
      <w:r>
        <w:rPr>
          <w:rFonts w:cs="Arial"/>
        </w:rPr>
        <w:t xml:space="preserve">IV </w:t>
      </w:r>
      <w:r w:rsidRPr="00027E5C">
        <w:rPr>
          <w:rFonts w:cs="Arial"/>
        </w:rPr>
        <w:t>fluid resuscitation, use glucose-free crystalloids that contain sodium in the range 130–154 mmol/litre, with a bolus of 10–20 mL/kg over less than 10 minutes.</w:t>
      </w:r>
    </w:p>
    <w:p w14:paraId="4D3C9985" w14:textId="3AEE8160" w:rsidR="00940008" w:rsidRPr="00BA6258" w:rsidRDefault="00940008" w:rsidP="00427C62">
      <w:pPr>
        <w:pStyle w:val="ListParagraph"/>
        <w:numPr>
          <w:ilvl w:val="1"/>
          <w:numId w:val="19"/>
        </w:numPr>
        <w:ind w:left="680" w:hanging="680"/>
        <w:contextualSpacing w:val="0"/>
        <w:rPr>
          <w:rFonts w:cs="Arial"/>
        </w:rPr>
      </w:pPr>
      <w:r w:rsidRPr="00DC2401">
        <w:rPr>
          <w:rFonts w:cs="Arial"/>
        </w:rPr>
        <w:t xml:space="preserve">Reassess the patient after completion of the </w:t>
      </w:r>
      <w:r>
        <w:rPr>
          <w:rFonts w:cs="Arial"/>
        </w:rPr>
        <w:t xml:space="preserve">IV </w:t>
      </w:r>
      <w:r w:rsidRPr="00DC2401">
        <w:rPr>
          <w:rFonts w:cs="Arial"/>
        </w:rPr>
        <w:t xml:space="preserve">fluid bolus, and if </w:t>
      </w:r>
      <w:r>
        <w:rPr>
          <w:rFonts w:cs="Arial"/>
        </w:rPr>
        <w:t xml:space="preserve">there is </w:t>
      </w:r>
      <w:r w:rsidRPr="00DC2401">
        <w:rPr>
          <w:rFonts w:cs="Arial"/>
        </w:rPr>
        <w:t xml:space="preserve">no improvement, give a second bolus. If there is no improvement after </w:t>
      </w:r>
      <w:r>
        <w:rPr>
          <w:rFonts w:cs="Arial"/>
        </w:rPr>
        <w:t xml:space="preserve">the </w:t>
      </w:r>
      <w:r w:rsidRPr="00DC2401">
        <w:rPr>
          <w:rFonts w:cs="Arial"/>
        </w:rPr>
        <w:t>second bolus</w:t>
      </w:r>
      <w:r>
        <w:rPr>
          <w:rFonts w:cs="Arial"/>
        </w:rPr>
        <w:t>,</w:t>
      </w:r>
      <w:r w:rsidRPr="00DC2401">
        <w:rPr>
          <w:rFonts w:cs="Arial"/>
        </w:rPr>
        <w:t xml:space="preserve"> </w:t>
      </w:r>
      <w:r>
        <w:rPr>
          <w:rFonts w:cs="Arial"/>
        </w:rPr>
        <w:t xml:space="preserve">see </w:t>
      </w:r>
      <w:r w:rsidRPr="00DC2401">
        <w:rPr>
          <w:rFonts w:cs="Arial"/>
        </w:rPr>
        <w:t>guidance on management of persistent hypoperfusion (</w:t>
      </w:r>
      <w:r>
        <w:rPr>
          <w:rFonts w:cs="Arial"/>
        </w:rPr>
        <w:t>recommendation</w:t>
      </w:r>
      <w:r w:rsidRPr="00DC2401">
        <w:rPr>
          <w:rFonts w:cs="Arial"/>
        </w:rPr>
        <w:t xml:space="preserve"> </w:t>
      </w:r>
      <w:r w:rsidR="000634FF">
        <w:rPr>
          <w:rFonts w:cs="Arial"/>
        </w:rPr>
        <w:t>19</w:t>
      </w:r>
      <w:r w:rsidRPr="00DC2401">
        <w:rPr>
          <w:rFonts w:cs="Arial"/>
        </w:rPr>
        <w:t xml:space="preserve"> below) and alert a senior clinician to attend</w:t>
      </w:r>
      <w:r>
        <w:rPr>
          <w:rFonts w:cs="Arial"/>
        </w:rPr>
        <w:t>.</w:t>
      </w:r>
    </w:p>
    <w:p w14:paraId="28DA5F8E" w14:textId="77777777" w:rsidR="00940008" w:rsidRPr="00BA6258" w:rsidRDefault="00940008" w:rsidP="00427C62">
      <w:pPr>
        <w:pStyle w:val="ListParagraph"/>
        <w:numPr>
          <w:ilvl w:val="1"/>
          <w:numId w:val="19"/>
        </w:numPr>
        <w:ind w:left="680" w:hanging="680"/>
        <w:contextualSpacing w:val="0"/>
        <w:rPr>
          <w:rFonts w:cs="Arial"/>
        </w:rPr>
      </w:pPr>
      <w:r w:rsidRPr="00DC2401">
        <w:rPr>
          <w:rFonts w:cs="Arial"/>
        </w:rPr>
        <w:t xml:space="preserve">Use a volumetric pump, or syringe driver if no volumetric pump is available, to deliver </w:t>
      </w:r>
      <w:r>
        <w:rPr>
          <w:rFonts w:cs="Arial"/>
        </w:rPr>
        <w:t xml:space="preserve">IV </w:t>
      </w:r>
      <w:r w:rsidRPr="00DC2401">
        <w:rPr>
          <w:rFonts w:cs="Arial"/>
        </w:rPr>
        <w:t xml:space="preserve">fluids for resuscitation to children </w:t>
      </w:r>
      <w:r>
        <w:rPr>
          <w:rFonts w:cs="Arial"/>
        </w:rPr>
        <w:t xml:space="preserve">aged </w:t>
      </w:r>
      <w:r w:rsidRPr="00DC2401">
        <w:rPr>
          <w:rFonts w:cs="Arial"/>
        </w:rPr>
        <w:t>11 years and under with suspected sepsis who need fluids in bolus form.</w:t>
      </w:r>
    </w:p>
    <w:p w14:paraId="5C90A373" w14:textId="039A6BA5" w:rsidR="00940008" w:rsidRPr="00BA6258" w:rsidRDefault="00940008" w:rsidP="00427C62">
      <w:pPr>
        <w:pStyle w:val="ListParagraph"/>
        <w:numPr>
          <w:ilvl w:val="1"/>
          <w:numId w:val="19"/>
        </w:numPr>
        <w:ind w:left="680" w:hanging="680"/>
        <w:contextualSpacing w:val="0"/>
        <w:rPr>
          <w:rFonts w:cs="Arial"/>
        </w:rPr>
      </w:pPr>
      <w:r w:rsidRPr="00DC2401">
        <w:rPr>
          <w:rFonts w:cs="Arial"/>
        </w:rPr>
        <w:t xml:space="preserve">If using a volumetric pump or floc controller to deliver </w:t>
      </w:r>
      <w:r>
        <w:rPr>
          <w:rFonts w:cs="Arial"/>
        </w:rPr>
        <w:t xml:space="preserve">IV </w:t>
      </w:r>
      <w:r w:rsidRPr="00DC2401">
        <w:rPr>
          <w:rFonts w:cs="Arial"/>
        </w:rPr>
        <w:t>fluids for resuscitation to adults and young people aged 12 years and over with suspected sepsis who need fluids in bolus form</w:t>
      </w:r>
      <w:r>
        <w:rPr>
          <w:rFonts w:cs="Arial"/>
        </w:rPr>
        <w:t>, e</w:t>
      </w:r>
      <w:r w:rsidRPr="00DC2401">
        <w:rPr>
          <w:rFonts w:cs="Arial"/>
        </w:rPr>
        <w:t xml:space="preserve">nsure device </w:t>
      </w:r>
      <w:proofErr w:type="gramStart"/>
      <w:r w:rsidRPr="00DC2401">
        <w:rPr>
          <w:rFonts w:cs="Arial"/>
        </w:rPr>
        <w:t>is capable of delivering</w:t>
      </w:r>
      <w:proofErr w:type="gramEnd"/>
      <w:r w:rsidRPr="00DC2401">
        <w:rPr>
          <w:rFonts w:cs="Arial"/>
        </w:rPr>
        <w:t xml:space="preserve"> fluid at the required rate </w:t>
      </w:r>
      <w:r>
        <w:rPr>
          <w:rFonts w:cs="Arial"/>
        </w:rPr>
        <w:t>(</w:t>
      </w:r>
      <w:proofErr w:type="spellStart"/>
      <w:r>
        <w:rPr>
          <w:rFonts w:cs="Arial"/>
        </w:rPr>
        <w:t>ie</w:t>
      </w:r>
      <w:proofErr w:type="spellEnd"/>
      <w:r>
        <w:rPr>
          <w:rFonts w:cs="Arial"/>
        </w:rPr>
        <w:t>,</w:t>
      </w:r>
      <w:r w:rsidR="003F5709">
        <w:rPr>
          <w:rFonts w:cs="Arial"/>
        </w:rPr>
        <w:t> </w:t>
      </w:r>
      <w:r w:rsidRPr="00DC2401">
        <w:rPr>
          <w:rFonts w:cs="Arial"/>
        </w:rPr>
        <w:t>at least 2000</w:t>
      </w:r>
      <w:r>
        <w:rPr>
          <w:rFonts w:cs="Arial"/>
        </w:rPr>
        <w:t> </w:t>
      </w:r>
      <w:r w:rsidRPr="00DC2401">
        <w:rPr>
          <w:rFonts w:cs="Arial"/>
        </w:rPr>
        <w:t>mL/hour</w:t>
      </w:r>
      <w:r>
        <w:rPr>
          <w:rFonts w:cs="Arial"/>
        </w:rPr>
        <w:t>)</w:t>
      </w:r>
      <w:r w:rsidRPr="00DC2401">
        <w:rPr>
          <w:rFonts w:cs="Arial"/>
        </w:rPr>
        <w:t>.</w:t>
      </w:r>
    </w:p>
    <w:p w14:paraId="33DB5CF4" w14:textId="77777777" w:rsidR="00940008" w:rsidRPr="00BA6258" w:rsidRDefault="00940008" w:rsidP="00427C62">
      <w:pPr>
        <w:pStyle w:val="ListParagraph"/>
        <w:numPr>
          <w:ilvl w:val="1"/>
          <w:numId w:val="19"/>
        </w:numPr>
        <w:ind w:left="680" w:hanging="680"/>
        <w:contextualSpacing w:val="0"/>
        <w:rPr>
          <w:rFonts w:cs="Arial"/>
        </w:rPr>
      </w:pPr>
      <w:r w:rsidRPr="00DC2401">
        <w:rPr>
          <w:rFonts w:cs="Arial"/>
        </w:rPr>
        <w:t xml:space="preserve">Do not use </w:t>
      </w:r>
      <w:proofErr w:type="spellStart"/>
      <w:r w:rsidRPr="00DC2401">
        <w:rPr>
          <w:rFonts w:cs="Arial"/>
        </w:rPr>
        <w:t>gelatins</w:t>
      </w:r>
      <w:proofErr w:type="spellEnd"/>
      <w:r w:rsidRPr="00DC2401">
        <w:rPr>
          <w:rFonts w:cs="Arial"/>
        </w:rPr>
        <w:t xml:space="preserve"> or hydroxyethyl starches for fluid resuscitation for people with sepsis.</w:t>
      </w:r>
    </w:p>
    <w:p w14:paraId="0189BEE2" w14:textId="77777777" w:rsidR="00940008" w:rsidRPr="00BA6258" w:rsidRDefault="00940008" w:rsidP="00427C62">
      <w:pPr>
        <w:pStyle w:val="ListParagraph"/>
        <w:numPr>
          <w:ilvl w:val="1"/>
          <w:numId w:val="19"/>
        </w:numPr>
        <w:ind w:left="680" w:hanging="680"/>
        <w:contextualSpacing w:val="0"/>
        <w:rPr>
          <w:rFonts w:cs="Arial"/>
        </w:rPr>
      </w:pPr>
      <w:r w:rsidRPr="009D54D2">
        <w:rPr>
          <w:rFonts w:cs="Arial"/>
        </w:rPr>
        <w:t>Consider human albumin solution 4</w:t>
      </w:r>
      <w:r>
        <w:rPr>
          <w:rFonts w:cs="Arial"/>
        </w:rPr>
        <w:t>–</w:t>
      </w:r>
      <w:r w:rsidRPr="009D54D2">
        <w:rPr>
          <w:rFonts w:cs="Arial"/>
        </w:rPr>
        <w:t xml:space="preserve">5% for fluid </w:t>
      </w:r>
      <w:r w:rsidRPr="00904413">
        <w:rPr>
          <w:rFonts w:cs="Arial"/>
        </w:rPr>
        <w:t>resuscitation</w:t>
      </w:r>
      <w:r w:rsidRPr="009D54D2">
        <w:rPr>
          <w:rFonts w:cs="Arial"/>
        </w:rPr>
        <w:t xml:space="preserve"> only in patients with sepsis and shock.</w:t>
      </w:r>
    </w:p>
    <w:p w14:paraId="0A8776E5" w14:textId="77777777" w:rsidR="00940008" w:rsidRPr="00940008" w:rsidRDefault="00940008" w:rsidP="00427C62">
      <w:pPr>
        <w:pStyle w:val="TeThHauorahead2"/>
        <w:numPr>
          <w:ilvl w:val="0"/>
          <w:numId w:val="5"/>
        </w:numPr>
        <w:rPr>
          <w:iCs/>
        </w:rPr>
      </w:pPr>
      <w:bookmarkStart w:id="81" w:name="_Toc201826325"/>
      <w:bookmarkStart w:id="82" w:name="_Toc207862895"/>
      <w:r w:rsidRPr="00940008">
        <w:rPr>
          <w:iCs/>
        </w:rPr>
        <w:t>Using oxygen in people with suspected sepsis</w:t>
      </w:r>
      <w:bookmarkEnd w:id="81"/>
      <w:bookmarkEnd w:id="82"/>
    </w:p>
    <w:p w14:paraId="09E8DFA3" w14:textId="77777777" w:rsidR="00940008" w:rsidRPr="00CD27F8" w:rsidRDefault="00940008" w:rsidP="00427C62">
      <w:pPr>
        <w:pStyle w:val="ListParagraph"/>
        <w:numPr>
          <w:ilvl w:val="1"/>
          <w:numId w:val="20"/>
        </w:numPr>
        <w:ind w:left="680" w:hanging="680"/>
        <w:contextualSpacing w:val="0"/>
        <w:rPr>
          <w:rFonts w:cs="Arial"/>
        </w:rPr>
      </w:pPr>
      <w:r w:rsidRPr="00CD27F8">
        <w:rPr>
          <w:rFonts w:cs="Arial"/>
        </w:rPr>
        <w:t>Give oxygen to achieve a target saturation of 94−98% for adult patients, or 88−92% for those at risk of hypercapnic respiratory failure.</w:t>
      </w:r>
    </w:p>
    <w:p w14:paraId="45D82108" w14:textId="77777777" w:rsidR="00940008" w:rsidRPr="009D54D2" w:rsidRDefault="00940008" w:rsidP="00427C62">
      <w:pPr>
        <w:pStyle w:val="ListParagraph"/>
        <w:numPr>
          <w:ilvl w:val="1"/>
          <w:numId w:val="20"/>
        </w:numPr>
        <w:ind w:left="680" w:hanging="680"/>
        <w:contextualSpacing w:val="0"/>
        <w:rPr>
          <w:rFonts w:cs="Arial"/>
        </w:rPr>
      </w:pPr>
      <w:r w:rsidRPr="009D54D2">
        <w:rPr>
          <w:rFonts w:cs="Arial"/>
        </w:rPr>
        <w:t xml:space="preserve">Oxygen should be given to children with suspected sepsis who have signs of shock or </w:t>
      </w:r>
      <w:r>
        <w:rPr>
          <w:rFonts w:cs="Arial"/>
        </w:rPr>
        <w:t xml:space="preserve">peripheral </w:t>
      </w:r>
      <w:r w:rsidRPr="009D54D2">
        <w:rPr>
          <w:rFonts w:cs="Arial"/>
        </w:rPr>
        <w:t xml:space="preserve">oxygen saturation of less than 91% when breathing air. Treatment with oxygen should also be considered for children with a </w:t>
      </w:r>
      <w:r>
        <w:rPr>
          <w:rFonts w:cs="Arial"/>
        </w:rPr>
        <w:t>peripheral oxygen saturation of</w:t>
      </w:r>
      <w:r w:rsidRPr="009D54D2">
        <w:rPr>
          <w:rFonts w:cs="Arial"/>
        </w:rPr>
        <w:t xml:space="preserve"> greater than 92%, as clinically indicated.</w:t>
      </w:r>
    </w:p>
    <w:p w14:paraId="0F780391" w14:textId="7FA3FE0A" w:rsidR="00940008" w:rsidRPr="009D54D2" w:rsidRDefault="00940008" w:rsidP="00427C62">
      <w:pPr>
        <w:pStyle w:val="ListParagraph"/>
        <w:numPr>
          <w:ilvl w:val="1"/>
          <w:numId w:val="20"/>
        </w:numPr>
        <w:ind w:left="680" w:hanging="680"/>
        <w:contextualSpacing w:val="0"/>
        <w:rPr>
          <w:rFonts w:cs="Arial"/>
        </w:rPr>
      </w:pPr>
      <w:r>
        <w:rPr>
          <w:rFonts w:cs="Arial"/>
        </w:rPr>
        <w:t>B</w:t>
      </w:r>
      <w:r w:rsidRPr="009D54D2">
        <w:rPr>
          <w:rFonts w:cs="Arial"/>
        </w:rPr>
        <w:t>e aware that skin pigmentation can cause peripheral oximeters to overestimate oxygen saturation. Arterial blood gas monitoring may be required to clarify the true oxygen saturation.</w:t>
      </w:r>
      <w:r w:rsidR="00F77946">
        <w:rPr>
          <w:rFonts w:cs="Arial"/>
        </w:rPr>
        <w:t xml:space="preserve"> </w:t>
      </w:r>
    </w:p>
    <w:p w14:paraId="111786CC" w14:textId="30B8CFB1" w:rsidR="00940008" w:rsidRPr="00940008" w:rsidRDefault="00940008" w:rsidP="00427C62">
      <w:pPr>
        <w:pStyle w:val="TeThHauorahead2"/>
        <w:numPr>
          <w:ilvl w:val="0"/>
          <w:numId w:val="5"/>
        </w:numPr>
        <w:rPr>
          <w:i w:val="0"/>
        </w:rPr>
      </w:pPr>
      <w:bookmarkStart w:id="83" w:name="_Toc201826326"/>
      <w:bookmarkStart w:id="84" w:name="_Toc207862896"/>
      <w:r w:rsidRPr="00940008">
        <w:lastRenderedPageBreak/>
        <w:t>Finding the source of infection in people with suspected</w:t>
      </w:r>
      <w:r w:rsidR="003F5709">
        <w:t> </w:t>
      </w:r>
      <w:r w:rsidRPr="00940008">
        <w:t>sepsis</w:t>
      </w:r>
      <w:bookmarkEnd w:id="83"/>
      <w:bookmarkEnd w:id="84"/>
    </w:p>
    <w:p w14:paraId="4E9B008C" w14:textId="77777777" w:rsidR="00940008" w:rsidRPr="00CD27F8" w:rsidRDefault="00940008" w:rsidP="00427C62">
      <w:pPr>
        <w:pStyle w:val="ListParagraph"/>
        <w:numPr>
          <w:ilvl w:val="1"/>
          <w:numId w:val="21"/>
        </w:numPr>
        <w:ind w:left="680" w:hanging="680"/>
        <w:contextualSpacing w:val="0"/>
        <w:rPr>
          <w:rFonts w:cs="Arial"/>
        </w:rPr>
      </w:pPr>
      <w:r w:rsidRPr="00CD27F8">
        <w:rPr>
          <w:rFonts w:cs="Arial"/>
        </w:rPr>
        <w:t>Carry out a thorough clinical examination to look for sources of infection, including sources that might need surgical drainage, as part of the initial assessment.</w:t>
      </w:r>
    </w:p>
    <w:p w14:paraId="2B70DCCB" w14:textId="77777777" w:rsidR="00940008" w:rsidRPr="009D54D2" w:rsidRDefault="00940008" w:rsidP="00427C62">
      <w:pPr>
        <w:pStyle w:val="ListParagraph"/>
        <w:numPr>
          <w:ilvl w:val="1"/>
          <w:numId w:val="21"/>
        </w:numPr>
        <w:ind w:left="680" w:hanging="680"/>
        <w:contextualSpacing w:val="0"/>
        <w:rPr>
          <w:rFonts w:cs="Arial"/>
        </w:rPr>
      </w:pPr>
      <w:r w:rsidRPr="009D54D2">
        <w:rPr>
          <w:rFonts w:cs="Arial"/>
        </w:rPr>
        <w:t>Tailor investigations of the sources of infection to the person’s clinical history and findings on examination.</w:t>
      </w:r>
    </w:p>
    <w:p w14:paraId="23D31ABC" w14:textId="77777777" w:rsidR="00940008" w:rsidRPr="009D54D2" w:rsidRDefault="00940008" w:rsidP="00427C62">
      <w:pPr>
        <w:pStyle w:val="ListParagraph"/>
        <w:numPr>
          <w:ilvl w:val="1"/>
          <w:numId w:val="21"/>
        </w:numPr>
        <w:ind w:left="680" w:hanging="680"/>
        <w:contextualSpacing w:val="0"/>
        <w:rPr>
          <w:rFonts w:cs="Arial"/>
        </w:rPr>
      </w:pPr>
      <w:r w:rsidRPr="009D54D2">
        <w:rPr>
          <w:rFonts w:cs="Arial"/>
        </w:rPr>
        <w:t>Consider urine analysis and chest X-ray to identify the source of infection in all people with suspected sepsis.</w:t>
      </w:r>
    </w:p>
    <w:p w14:paraId="74B5609B" w14:textId="77777777" w:rsidR="00940008" w:rsidRPr="009D54D2" w:rsidRDefault="00940008" w:rsidP="00427C62">
      <w:pPr>
        <w:pStyle w:val="ListParagraph"/>
        <w:numPr>
          <w:ilvl w:val="1"/>
          <w:numId w:val="21"/>
        </w:numPr>
        <w:ind w:left="680" w:hanging="680"/>
        <w:contextualSpacing w:val="0"/>
        <w:rPr>
          <w:rFonts w:cs="Arial"/>
        </w:rPr>
      </w:pPr>
      <w:r w:rsidRPr="009D54D2">
        <w:rPr>
          <w:rFonts w:cs="Arial"/>
        </w:rPr>
        <w:t>Consider</w:t>
      </w:r>
      <w:r>
        <w:rPr>
          <w:rFonts w:cs="Arial"/>
        </w:rPr>
        <w:t xml:space="preserve"> cross-recommendation</w:t>
      </w:r>
      <w:r w:rsidRPr="009D54D2">
        <w:rPr>
          <w:rFonts w:cs="Arial"/>
        </w:rPr>
        <w:t xml:space="preserve"> imaging of the abdomen and pelvis if no likely source of infection is identified after clinical examination and initial tests.</w:t>
      </w:r>
    </w:p>
    <w:p w14:paraId="6D4810FE" w14:textId="77777777" w:rsidR="00940008" w:rsidRPr="009D54D2" w:rsidRDefault="00940008" w:rsidP="00427C62">
      <w:pPr>
        <w:pStyle w:val="ListParagraph"/>
        <w:numPr>
          <w:ilvl w:val="1"/>
          <w:numId w:val="21"/>
        </w:numPr>
        <w:ind w:left="680" w:hanging="680"/>
        <w:contextualSpacing w:val="0"/>
        <w:rPr>
          <w:rFonts w:cs="Arial"/>
        </w:rPr>
      </w:pPr>
      <w:r w:rsidRPr="009D54D2">
        <w:rPr>
          <w:rFonts w:cs="Arial"/>
        </w:rPr>
        <w:t xml:space="preserve">Involve the adult or paediatric surgical or </w:t>
      </w:r>
      <w:proofErr w:type="spellStart"/>
      <w:r w:rsidRPr="009D54D2">
        <w:rPr>
          <w:rFonts w:cs="Arial"/>
        </w:rPr>
        <w:t>gynecological</w:t>
      </w:r>
      <w:proofErr w:type="spellEnd"/>
      <w:r w:rsidRPr="009D54D2">
        <w:rPr>
          <w:rFonts w:cs="Arial"/>
        </w:rPr>
        <w:t xml:space="preserve"> teams early if </w:t>
      </w:r>
      <w:r>
        <w:rPr>
          <w:rFonts w:cs="Arial"/>
        </w:rPr>
        <w:t xml:space="preserve">you suspect </w:t>
      </w:r>
      <w:r w:rsidRPr="009D54D2">
        <w:rPr>
          <w:rFonts w:cs="Arial"/>
        </w:rPr>
        <w:t>intra-abdominal or pelvic infection.</w:t>
      </w:r>
    </w:p>
    <w:p w14:paraId="00C0D5B1" w14:textId="77777777" w:rsidR="00940008" w:rsidRPr="009D54D2" w:rsidRDefault="00940008" w:rsidP="00427C62">
      <w:pPr>
        <w:pStyle w:val="ListParagraph"/>
        <w:numPr>
          <w:ilvl w:val="1"/>
          <w:numId w:val="21"/>
        </w:numPr>
        <w:ind w:left="680" w:hanging="680"/>
        <w:contextualSpacing w:val="0"/>
        <w:rPr>
          <w:rFonts w:cs="Arial"/>
        </w:rPr>
      </w:pPr>
      <w:r w:rsidRPr="009D54D2">
        <w:rPr>
          <w:rFonts w:cs="Arial"/>
        </w:rPr>
        <w:t xml:space="preserve">Do not perform a lumbar puncture without </w:t>
      </w:r>
      <w:r>
        <w:rPr>
          <w:rFonts w:cs="Arial"/>
        </w:rPr>
        <w:t>consultant</w:t>
      </w:r>
      <w:r w:rsidRPr="009D54D2">
        <w:rPr>
          <w:rFonts w:cs="Arial"/>
        </w:rPr>
        <w:t xml:space="preserve"> instruction if any of the following contraindications are present: </w:t>
      </w:r>
    </w:p>
    <w:p w14:paraId="00D28CB2" w14:textId="473F04A1" w:rsidR="00940008" w:rsidRPr="009D54D2" w:rsidRDefault="00940008" w:rsidP="00E5091C">
      <w:pPr>
        <w:pStyle w:val="TeThHauorabullets"/>
        <w:ind w:left="1077"/>
      </w:pPr>
      <w:r w:rsidRPr="009D54D2">
        <w:t xml:space="preserve">signs suggesting raised intracranial pressure or </w:t>
      </w:r>
      <w:r>
        <w:t xml:space="preserve">a </w:t>
      </w:r>
      <w:r w:rsidRPr="009D54D2">
        <w:t>reduced or fluctuating level of consciousness (</w:t>
      </w:r>
      <w:r>
        <w:t xml:space="preserve">a </w:t>
      </w:r>
      <w:r w:rsidRPr="009D54D2">
        <w:t>Glasgow Coma Scale score less than 9 or a drop of 3 points or</w:t>
      </w:r>
      <w:r w:rsidR="008846CF">
        <w:t> </w:t>
      </w:r>
      <w:r w:rsidRPr="009D54D2">
        <w:t>more)</w:t>
      </w:r>
    </w:p>
    <w:p w14:paraId="286C2E48" w14:textId="77777777" w:rsidR="00940008" w:rsidRPr="009D54D2" w:rsidRDefault="00940008" w:rsidP="00E5091C">
      <w:pPr>
        <w:pStyle w:val="TeThHauorabullets"/>
        <w:ind w:left="1077"/>
      </w:pPr>
      <w:r w:rsidRPr="009D54D2">
        <w:t>relative bradycardia and hypertension</w:t>
      </w:r>
    </w:p>
    <w:p w14:paraId="5938462C" w14:textId="77777777" w:rsidR="00940008" w:rsidRPr="009D54D2" w:rsidRDefault="00940008" w:rsidP="00E5091C">
      <w:pPr>
        <w:pStyle w:val="TeThHauorabullets"/>
        <w:ind w:left="1077"/>
      </w:pPr>
      <w:r w:rsidRPr="009D54D2">
        <w:t>focal neurological signs</w:t>
      </w:r>
    </w:p>
    <w:p w14:paraId="5EE8F883" w14:textId="77777777" w:rsidR="00940008" w:rsidRPr="009D54D2" w:rsidRDefault="00940008" w:rsidP="00E5091C">
      <w:pPr>
        <w:pStyle w:val="TeThHauorabullets"/>
        <w:ind w:left="1077"/>
      </w:pPr>
      <w:r w:rsidRPr="009D54D2">
        <w:t>abnormal posture or posturing</w:t>
      </w:r>
    </w:p>
    <w:p w14:paraId="2A9298C0" w14:textId="77777777" w:rsidR="00940008" w:rsidRPr="009D54D2" w:rsidRDefault="00940008" w:rsidP="00E5091C">
      <w:pPr>
        <w:pStyle w:val="TeThHauorabullets"/>
        <w:ind w:left="1077"/>
      </w:pPr>
      <w:r w:rsidRPr="009D54D2">
        <w:t xml:space="preserve">unequal, dilated or poorly responsive pupils </w:t>
      </w:r>
    </w:p>
    <w:p w14:paraId="54FACB73" w14:textId="77777777" w:rsidR="00940008" w:rsidRPr="009D54D2" w:rsidRDefault="00940008" w:rsidP="00E5091C">
      <w:pPr>
        <w:pStyle w:val="TeThHauorabullets"/>
        <w:ind w:left="1077"/>
      </w:pPr>
      <w:proofErr w:type="spellStart"/>
      <w:r w:rsidRPr="009D54D2">
        <w:t>papilloedema</w:t>
      </w:r>
      <w:proofErr w:type="spellEnd"/>
    </w:p>
    <w:p w14:paraId="345BE27B" w14:textId="77777777" w:rsidR="00940008" w:rsidRPr="009D54D2" w:rsidRDefault="00940008" w:rsidP="00E5091C">
      <w:pPr>
        <w:pStyle w:val="TeThHauorabullets"/>
        <w:ind w:left="1077"/>
      </w:pPr>
      <w:r w:rsidRPr="009D54D2">
        <w:t>abnormal ‘doll’s eye’ movements</w:t>
      </w:r>
    </w:p>
    <w:p w14:paraId="440C4B25" w14:textId="77777777" w:rsidR="00940008" w:rsidRPr="009D54D2" w:rsidRDefault="00940008" w:rsidP="00E5091C">
      <w:pPr>
        <w:pStyle w:val="TeThHauorabullets"/>
        <w:ind w:left="1077"/>
      </w:pPr>
      <w:r w:rsidRPr="009D54D2">
        <w:t>shock</w:t>
      </w:r>
    </w:p>
    <w:p w14:paraId="26ABA8B4" w14:textId="77777777" w:rsidR="00940008" w:rsidRPr="009D54D2" w:rsidRDefault="00940008" w:rsidP="00E5091C">
      <w:pPr>
        <w:pStyle w:val="TeThHauorabullets"/>
        <w:ind w:left="1077"/>
      </w:pPr>
      <w:r w:rsidRPr="009D54D2">
        <w:t>extensive or spreading purpura</w:t>
      </w:r>
    </w:p>
    <w:p w14:paraId="2273C833" w14:textId="77777777" w:rsidR="00940008" w:rsidRPr="009D54D2" w:rsidRDefault="00940008" w:rsidP="00E5091C">
      <w:pPr>
        <w:pStyle w:val="TeThHauorabullets"/>
        <w:ind w:left="1077"/>
      </w:pPr>
      <w:r w:rsidRPr="009D54D2">
        <w:t>after convulsions until stabilised</w:t>
      </w:r>
    </w:p>
    <w:p w14:paraId="4ED418F4" w14:textId="77777777" w:rsidR="00940008" w:rsidRPr="009D54D2" w:rsidRDefault="00940008" w:rsidP="00E5091C">
      <w:pPr>
        <w:pStyle w:val="TeThHauorabullets"/>
        <w:ind w:left="1077"/>
      </w:pPr>
      <w:r w:rsidRPr="009D54D2">
        <w:t>coagulation abnormalities or coagulation results outside the normal range or platelet count below 100×10</w:t>
      </w:r>
      <w:r w:rsidRPr="00AF7B8A">
        <w:t>9</w:t>
      </w:r>
      <w:r w:rsidRPr="009D54D2">
        <w:t>/litre or receiving anticoagulant therapy</w:t>
      </w:r>
    </w:p>
    <w:p w14:paraId="39CE2CF8" w14:textId="77777777" w:rsidR="00940008" w:rsidRPr="009D54D2" w:rsidRDefault="00940008" w:rsidP="00E5091C">
      <w:pPr>
        <w:pStyle w:val="TeThHauorabullets"/>
        <w:ind w:left="1077"/>
      </w:pPr>
      <w:r w:rsidRPr="009D54D2">
        <w:t>local superficial infection at the lumbar puncture site</w:t>
      </w:r>
    </w:p>
    <w:p w14:paraId="35A00840" w14:textId="77777777" w:rsidR="00940008" w:rsidRPr="009D54D2" w:rsidRDefault="00940008" w:rsidP="00E5091C">
      <w:pPr>
        <w:pStyle w:val="TeThHauorabullets"/>
        <w:spacing w:after="120"/>
        <w:ind w:left="1077"/>
      </w:pPr>
      <w:r w:rsidRPr="009D54D2">
        <w:t>respiratory insufficiency in children.</w:t>
      </w:r>
    </w:p>
    <w:p w14:paraId="7F40DC63" w14:textId="31F83E37" w:rsidR="00940008" w:rsidRPr="009D54D2" w:rsidRDefault="00940008" w:rsidP="00427C62">
      <w:pPr>
        <w:pStyle w:val="ListParagraph"/>
        <w:numPr>
          <w:ilvl w:val="1"/>
          <w:numId w:val="21"/>
        </w:numPr>
        <w:ind w:left="680" w:hanging="680"/>
        <w:contextualSpacing w:val="0"/>
        <w:rPr>
          <w:rFonts w:cs="Arial"/>
        </w:rPr>
      </w:pPr>
      <w:r w:rsidRPr="009D54D2">
        <w:rPr>
          <w:rFonts w:cs="Arial"/>
        </w:rPr>
        <w:t>Perform lumbar puncture in the following children with suspected sepsis (unless</w:t>
      </w:r>
      <w:r w:rsidR="00E5091C">
        <w:rPr>
          <w:rFonts w:cs="Arial"/>
        </w:rPr>
        <w:t xml:space="preserve"> </w:t>
      </w:r>
      <w:r w:rsidRPr="009D54D2">
        <w:rPr>
          <w:rFonts w:cs="Arial"/>
        </w:rPr>
        <w:t>contraindicated</w:t>
      </w:r>
      <w:r>
        <w:rPr>
          <w:rFonts w:cs="Arial"/>
        </w:rPr>
        <w:t>:</w:t>
      </w:r>
      <w:r w:rsidRPr="009D54D2">
        <w:rPr>
          <w:rFonts w:cs="Arial"/>
        </w:rPr>
        <w:t xml:space="preserve"> see contraindications in recommendation</w:t>
      </w:r>
      <w:r>
        <w:rPr>
          <w:rFonts w:cs="Arial"/>
        </w:rPr>
        <w:t xml:space="preserve"> 17.6)</w:t>
      </w:r>
    </w:p>
    <w:p w14:paraId="7653B9C6" w14:textId="77777777" w:rsidR="00940008" w:rsidRPr="009D54D2" w:rsidRDefault="00940008" w:rsidP="00E5091C">
      <w:pPr>
        <w:pStyle w:val="TeThHauorabullets"/>
        <w:ind w:left="1077"/>
      </w:pPr>
      <w:r w:rsidRPr="009D54D2">
        <w:t xml:space="preserve">infants younger than </w:t>
      </w:r>
      <w:r>
        <w:t xml:space="preserve">one </w:t>
      </w:r>
      <w:r w:rsidRPr="009D54D2">
        <w:t xml:space="preserve">month </w:t>
      </w:r>
    </w:p>
    <w:p w14:paraId="050ACBDB" w14:textId="77777777" w:rsidR="00940008" w:rsidRPr="009D54D2" w:rsidRDefault="00940008" w:rsidP="00E5091C">
      <w:pPr>
        <w:pStyle w:val="TeThHauorabullets"/>
        <w:ind w:left="1077"/>
      </w:pPr>
      <w:r w:rsidRPr="009D54D2">
        <w:t xml:space="preserve">all infants aged </w:t>
      </w:r>
      <w:r>
        <w:t xml:space="preserve">one to three </w:t>
      </w:r>
      <w:r w:rsidRPr="009D54D2">
        <w:t xml:space="preserve">months who appear unwell </w:t>
      </w:r>
    </w:p>
    <w:p w14:paraId="0A3B4BD5" w14:textId="77777777" w:rsidR="00940008" w:rsidRPr="009D54D2" w:rsidRDefault="00940008" w:rsidP="00E5091C">
      <w:pPr>
        <w:pStyle w:val="TeThHauorabullets"/>
        <w:ind w:left="1077"/>
      </w:pPr>
      <w:r w:rsidRPr="009D54D2">
        <w:t xml:space="preserve">infants aged </w:t>
      </w:r>
      <w:r>
        <w:t xml:space="preserve">one to three </w:t>
      </w:r>
      <w:r w:rsidRPr="009D54D2">
        <w:t>months with a white blood cell count less than 5×109/litre or greater than 15×109/litre.</w:t>
      </w:r>
    </w:p>
    <w:p w14:paraId="5BE9A191" w14:textId="77777777" w:rsidR="00940008" w:rsidRPr="00940008" w:rsidRDefault="00940008" w:rsidP="00427C62">
      <w:pPr>
        <w:pStyle w:val="TeThHauorahead2"/>
        <w:numPr>
          <w:ilvl w:val="0"/>
          <w:numId w:val="5"/>
        </w:numPr>
        <w:rPr>
          <w:iCs/>
        </w:rPr>
      </w:pPr>
      <w:bookmarkStart w:id="85" w:name="_Toc207862897"/>
      <w:r w:rsidRPr="00940008">
        <w:rPr>
          <w:iCs/>
        </w:rPr>
        <w:lastRenderedPageBreak/>
        <w:t>Special considerations for people who are pregnant presenting with sepsis and septic shock</w:t>
      </w:r>
      <w:bookmarkEnd w:id="85"/>
    </w:p>
    <w:p w14:paraId="2CE82CDD" w14:textId="77777777" w:rsidR="00940008" w:rsidRPr="00CD27F8" w:rsidRDefault="00940008" w:rsidP="00427C62">
      <w:pPr>
        <w:pStyle w:val="ListParagraph"/>
        <w:numPr>
          <w:ilvl w:val="1"/>
          <w:numId w:val="22"/>
        </w:numPr>
        <w:ind w:left="680" w:hanging="680"/>
        <w:contextualSpacing w:val="0"/>
        <w:rPr>
          <w:rFonts w:eastAsia="Aptos Display" w:cs="Arial"/>
          <w:color w:val="2C2568" w:themeColor="accent1"/>
          <w:sz w:val="26"/>
          <w:szCs w:val="26"/>
        </w:rPr>
      </w:pPr>
      <w:r w:rsidRPr="00CD27F8">
        <w:rPr>
          <w:rFonts w:eastAsia="Aptos" w:cs="Arial"/>
          <w:color w:val="000000" w:themeColor="text1"/>
        </w:rPr>
        <w:t>Inform a midwife and consultant obstetrician of suspected sepsis as part of delivering the sepsis resuscitation bundle (Sepsis Six).</w:t>
      </w:r>
    </w:p>
    <w:p w14:paraId="620DF76B" w14:textId="77777777" w:rsidR="00940008" w:rsidRPr="00904413" w:rsidRDefault="00940008" w:rsidP="00427C62">
      <w:pPr>
        <w:pStyle w:val="ListParagraph"/>
        <w:numPr>
          <w:ilvl w:val="1"/>
          <w:numId w:val="22"/>
        </w:numPr>
        <w:ind w:left="680" w:hanging="680"/>
        <w:contextualSpacing w:val="0"/>
        <w:rPr>
          <w:rFonts w:eastAsia="Aptos" w:cs="Arial"/>
          <w:color w:val="000000" w:themeColor="text1"/>
        </w:rPr>
      </w:pPr>
      <w:r w:rsidRPr="00904413">
        <w:rPr>
          <w:rFonts w:eastAsia="Aptos" w:cs="Arial"/>
          <w:color w:val="000000" w:themeColor="text1"/>
        </w:rPr>
        <w:t xml:space="preserve">Assess </w:t>
      </w:r>
      <w:proofErr w:type="spellStart"/>
      <w:r w:rsidRPr="00904413">
        <w:rPr>
          <w:rFonts w:eastAsia="Aptos" w:cs="Arial"/>
          <w:color w:val="000000" w:themeColor="text1"/>
        </w:rPr>
        <w:t>fetal</w:t>
      </w:r>
      <w:proofErr w:type="spellEnd"/>
      <w:r w:rsidRPr="00904413">
        <w:rPr>
          <w:rFonts w:eastAsia="Aptos" w:cs="Arial"/>
          <w:color w:val="000000" w:themeColor="text1"/>
        </w:rPr>
        <w:t xml:space="preserve"> state and consider delivery or evacuation of retained products of conception</w:t>
      </w:r>
      <w:r>
        <w:rPr>
          <w:rFonts w:eastAsia="Aptos" w:cs="Arial"/>
          <w:color w:val="000000" w:themeColor="text1"/>
        </w:rPr>
        <w:t>.</w:t>
      </w:r>
    </w:p>
    <w:p w14:paraId="4CD9BB9B" w14:textId="77777777" w:rsidR="00940008" w:rsidRPr="00904413" w:rsidRDefault="00940008" w:rsidP="00427C62">
      <w:pPr>
        <w:pStyle w:val="ListParagraph"/>
        <w:numPr>
          <w:ilvl w:val="1"/>
          <w:numId w:val="22"/>
        </w:numPr>
        <w:ind w:left="680" w:hanging="680"/>
        <w:contextualSpacing w:val="0"/>
        <w:rPr>
          <w:rFonts w:eastAsia="Aptos" w:cs="Arial"/>
          <w:color w:val="000000" w:themeColor="text1"/>
        </w:rPr>
      </w:pPr>
      <w:r w:rsidRPr="00904413">
        <w:rPr>
          <w:rFonts w:eastAsia="Aptos" w:cs="Arial"/>
          <w:color w:val="000000" w:themeColor="text1"/>
        </w:rPr>
        <w:t>Prescribe thromboprophylaxis if appropriate</w:t>
      </w:r>
      <w:r>
        <w:rPr>
          <w:rFonts w:eastAsia="Aptos" w:cs="Arial"/>
          <w:color w:val="000000" w:themeColor="text1"/>
        </w:rPr>
        <w:t>.</w:t>
      </w:r>
    </w:p>
    <w:p w14:paraId="6EA9C925" w14:textId="067B439C" w:rsidR="00940008" w:rsidRPr="00940008" w:rsidRDefault="00940008" w:rsidP="00427C62">
      <w:pPr>
        <w:pStyle w:val="TeThHauorahead2"/>
        <w:numPr>
          <w:ilvl w:val="0"/>
          <w:numId w:val="5"/>
        </w:numPr>
        <w:rPr>
          <w:iCs/>
        </w:rPr>
      </w:pPr>
      <w:bookmarkStart w:id="86" w:name="_Toc207862898"/>
      <w:r w:rsidRPr="00940008">
        <w:rPr>
          <w:iCs/>
        </w:rPr>
        <w:t>Reassessment of patients following administration of the</w:t>
      </w:r>
      <w:r w:rsidR="00906B11">
        <w:rPr>
          <w:iCs/>
        </w:rPr>
        <w:t> </w:t>
      </w:r>
      <w:r w:rsidRPr="00940008">
        <w:rPr>
          <w:iCs/>
        </w:rPr>
        <w:t>sepsis resuscitation bundle (Sepsis Six)</w:t>
      </w:r>
      <w:bookmarkEnd w:id="86"/>
    </w:p>
    <w:p w14:paraId="02968110" w14:textId="6F7FEC6F" w:rsidR="00940008" w:rsidRPr="00CD27F8" w:rsidRDefault="00940008" w:rsidP="00427C62">
      <w:pPr>
        <w:pStyle w:val="ListParagraph"/>
        <w:numPr>
          <w:ilvl w:val="1"/>
          <w:numId w:val="23"/>
        </w:numPr>
        <w:ind w:left="680" w:hanging="680"/>
        <w:contextualSpacing w:val="0"/>
        <w:rPr>
          <w:rFonts w:eastAsia="Aptos" w:cs="Arial"/>
          <w:color w:val="000000" w:themeColor="text1"/>
        </w:rPr>
      </w:pPr>
      <w:r w:rsidRPr="00CD27F8">
        <w:rPr>
          <w:rFonts w:eastAsia="Aptos" w:cs="Arial"/>
          <w:color w:val="000000" w:themeColor="text1"/>
        </w:rPr>
        <w:t>For patients who received the sepsis resuscitation bundle (Sepsis Six), document clinical response by performing a structured clinical assessment within three hours of</w:t>
      </w:r>
      <w:r w:rsidR="003F5709">
        <w:rPr>
          <w:rFonts w:eastAsia="Aptos" w:cs="Arial"/>
          <w:color w:val="000000" w:themeColor="text1"/>
        </w:rPr>
        <w:t> </w:t>
      </w:r>
      <w:r w:rsidRPr="00CD27F8">
        <w:rPr>
          <w:rFonts w:eastAsia="Aptos" w:cs="Arial"/>
          <w:color w:val="000000" w:themeColor="text1"/>
        </w:rPr>
        <w:t>bundle delivery.</w:t>
      </w:r>
    </w:p>
    <w:p w14:paraId="62E1F696" w14:textId="4BB7BE6E" w:rsidR="00940008" w:rsidRPr="00904413" w:rsidRDefault="00940008" w:rsidP="003F5709">
      <w:pPr>
        <w:pStyle w:val="ListParagraph"/>
        <w:numPr>
          <w:ilvl w:val="1"/>
          <w:numId w:val="23"/>
        </w:numPr>
        <w:spacing w:after="80"/>
        <w:ind w:left="680" w:hanging="680"/>
        <w:contextualSpacing w:val="0"/>
        <w:rPr>
          <w:rFonts w:eastAsia="Aptos" w:cs="Arial"/>
          <w:color w:val="000000" w:themeColor="text1"/>
        </w:rPr>
      </w:pPr>
      <w:r w:rsidRPr="00904413">
        <w:rPr>
          <w:rFonts w:eastAsia="Aptos" w:cs="Arial"/>
          <w:color w:val="000000" w:themeColor="text1"/>
        </w:rPr>
        <w:t xml:space="preserve">Assess global clinical response, specifically for the following signs of </w:t>
      </w:r>
      <w:r w:rsidRPr="003323E8">
        <w:rPr>
          <w:rFonts w:eastAsia="Aptos" w:cs="Arial"/>
          <w:bCs/>
          <w:color w:val="000000" w:themeColor="text1"/>
        </w:rPr>
        <w:t>tissue hypoperfusion</w:t>
      </w:r>
      <w:r w:rsidRPr="00904413">
        <w:rPr>
          <w:rFonts w:eastAsia="Aptos" w:cs="Arial"/>
          <w:color w:val="000000" w:themeColor="text1"/>
        </w:rPr>
        <w:t>:</w:t>
      </w:r>
    </w:p>
    <w:p w14:paraId="11BDC60B" w14:textId="77777777" w:rsidR="00940008" w:rsidRPr="00906B11" w:rsidRDefault="00940008" w:rsidP="00906B11">
      <w:pPr>
        <w:pStyle w:val="TeThHauorabullets"/>
        <w:ind w:left="1077"/>
      </w:pPr>
      <w:r w:rsidRPr="00906B11">
        <w:t>decreased or falling level of consciousness</w:t>
      </w:r>
    </w:p>
    <w:p w14:paraId="38634D8B" w14:textId="77777777" w:rsidR="00940008" w:rsidRPr="00906B11" w:rsidRDefault="00940008" w:rsidP="00906B11">
      <w:pPr>
        <w:pStyle w:val="TeThHauorabullets"/>
        <w:ind w:left="1077"/>
      </w:pPr>
      <w:r w:rsidRPr="00906B11">
        <w:t>persistent or new hypotension (systolic blood pressure &lt;90 mmHg or &gt;40 mmHg below patient’s normal blood pressure)</w:t>
      </w:r>
    </w:p>
    <w:p w14:paraId="54A29427" w14:textId="77777777" w:rsidR="00940008" w:rsidRPr="00906B11" w:rsidRDefault="00940008" w:rsidP="00906B11">
      <w:pPr>
        <w:pStyle w:val="TeThHauorabullets"/>
        <w:ind w:left="1077"/>
      </w:pPr>
      <w:r w:rsidRPr="00906B11">
        <w:t>persistent or new tachypnoea (respiratory rate &gt;25 or respiratory distress)</w:t>
      </w:r>
    </w:p>
    <w:p w14:paraId="7C1A8105" w14:textId="77777777" w:rsidR="00940008" w:rsidRPr="00906B11" w:rsidRDefault="00940008" w:rsidP="00906B11">
      <w:pPr>
        <w:pStyle w:val="TeThHauorabullets"/>
        <w:spacing w:after="120"/>
        <w:ind w:left="1077"/>
      </w:pPr>
      <w:r w:rsidRPr="00906B11">
        <w:t>persistent or new elevation of serum lactate (</w:t>
      </w:r>
      <w:proofErr w:type="spellStart"/>
      <w:r w:rsidRPr="00906B11">
        <w:t>ie</w:t>
      </w:r>
      <w:proofErr w:type="spellEnd"/>
      <w:r w:rsidRPr="00906B11">
        <w:t>, 20% reduction if raised at presentation; a new serum lactate of &gt;2 if initially in the normal range).</w:t>
      </w:r>
    </w:p>
    <w:p w14:paraId="1FD48964" w14:textId="77777777" w:rsidR="00940008" w:rsidRPr="00904413" w:rsidRDefault="00940008" w:rsidP="003F5709">
      <w:pPr>
        <w:pStyle w:val="ListParagraph"/>
        <w:numPr>
          <w:ilvl w:val="1"/>
          <w:numId w:val="23"/>
        </w:numPr>
        <w:spacing w:after="80"/>
        <w:ind w:left="680" w:hanging="680"/>
        <w:contextualSpacing w:val="0"/>
        <w:rPr>
          <w:rFonts w:eastAsia="Aptos" w:cs="Arial"/>
          <w:color w:val="000000" w:themeColor="text1"/>
        </w:rPr>
      </w:pPr>
      <w:r w:rsidRPr="00904413">
        <w:rPr>
          <w:rFonts w:eastAsia="Aptos" w:cs="Arial"/>
          <w:color w:val="000000" w:themeColor="text1"/>
        </w:rPr>
        <w:t xml:space="preserve">If </w:t>
      </w:r>
      <w:r>
        <w:rPr>
          <w:rFonts w:eastAsia="Aptos" w:cs="Arial"/>
          <w:color w:val="000000" w:themeColor="text1"/>
        </w:rPr>
        <w:t xml:space="preserve">there are </w:t>
      </w:r>
      <w:r w:rsidRPr="00904413">
        <w:rPr>
          <w:rFonts w:eastAsia="Aptos" w:cs="Arial"/>
          <w:color w:val="000000" w:themeColor="text1"/>
        </w:rPr>
        <w:t>any new, persistent or worsening signs of clinical deterioration or tissue hypoperfusion, inform a senior clinician (as defined in the relevant sepsis pathway document) and ensure they attend the patient to:</w:t>
      </w:r>
    </w:p>
    <w:p w14:paraId="37A77C73" w14:textId="77777777" w:rsidR="00940008" w:rsidRPr="00906B11" w:rsidRDefault="00940008" w:rsidP="00906B11">
      <w:pPr>
        <w:pStyle w:val="TeThHauorabullets"/>
        <w:ind w:left="1077"/>
      </w:pPr>
      <w:r w:rsidRPr="00906B11">
        <w:t>review investigations, laboratory results and sub-specialty advice</w:t>
      </w:r>
    </w:p>
    <w:p w14:paraId="2F5E0751" w14:textId="6A47221A" w:rsidR="00940008" w:rsidRPr="00906B11" w:rsidRDefault="00940008" w:rsidP="00906B11">
      <w:pPr>
        <w:pStyle w:val="TeThHauorabullets"/>
        <w:ind w:left="1077"/>
      </w:pPr>
      <w:r w:rsidRPr="00906B11">
        <w:t>consider goals of care and ensure that treatment escalation remains appropriate –</w:t>
      </w:r>
      <w:r w:rsidR="003F5709">
        <w:t> </w:t>
      </w:r>
      <w:r w:rsidRPr="00906B11">
        <w:t>if in any doubt, do not delay efforts to restore tissue perfusion</w:t>
      </w:r>
    </w:p>
    <w:p w14:paraId="454B8977" w14:textId="77777777" w:rsidR="00940008" w:rsidRPr="00906B11" w:rsidRDefault="00940008" w:rsidP="00906B11">
      <w:pPr>
        <w:pStyle w:val="TeThHauorabullets"/>
        <w:ind w:left="1077"/>
      </w:pPr>
      <w:r w:rsidRPr="00906B11">
        <w:t>arrange urgent source control and definitive care, involving all relevant sub-specialty senior medical officers and interventional radiology (if needed)</w:t>
      </w:r>
    </w:p>
    <w:p w14:paraId="7DE5684D" w14:textId="77777777" w:rsidR="00940008" w:rsidRPr="00906B11" w:rsidRDefault="00940008" w:rsidP="00906B11">
      <w:pPr>
        <w:pStyle w:val="TeThHauorabullets"/>
        <w:ind w:left="1077"/>
      </w:pPr>
      <w:r w:rsidRPr="00906B11">
        <w:t>discuss the patient with the on-duty intensive care unit (ICU) or retrieval service</w:t>
      </w:r>
    </w:p>
    <w:p w14:paraId="64DF5C83" w14:textId="77777777" w:rsidR="00940008" w:rsidRPr="00906B11" w:rsidRDefault="00940008" w:rsidP="008846CF">
      <w:pPr>
        <w:pStyle w:val="TeThHauorabullets"/>
        <w:spacing w:after="120"/>
        <w:ind w:left="1077"/>
      </w:pPr>
      <w:r w:rsidRPr="00906B11">
        <w:t>prescribe appropriate haemodynamic management, including appropriate fluid bolus and/or vasoactive medication.</w:t>
      </w:r>
    </w:p>
    <w:p w14:paraId="67ED083F" w14:textId="75E40E08" w:rsidR="00940008" w:rsidRPr="00904413" w:rsidRDefault="00940008" w:rsidP="003F5709">
      <w:pPr>
        <w:pStyle w:val="ListParagraph"/>
        <w:numPr>
          <w:ilvl w:val="1"/>
          <w:numId w:val="23"/>
        </w:numPr>
        <w:spacing w:after="80"/>
        <w:ind w:left="680" w:hanging="680"/>
        <w:contextualSpacing w:val="0"/>
        <w:rPr>
          <w:rFonts w:eastAsia="Aptos" w:cs="Arial"/>
          <w:color w:val="000000" w:themeColor="text1"/>
        </w:rPr>
      </w:pPr>
      <w:r w:rsidRPr="00904413">
        <w:rPr>
          <w:rFonts w:eastAsia="Aptos" w:cs="Arial"/>
          <w:color w:val="000000" w:themeColor="text1"/>
        </w:rPr>
        <w:t xml:space="preserve">If </w:t>
      </w:r>
      <w:r>
        <w:rPr>
          <w:rFonts w:eastAsia="Aptos" w:cs="Arial"/>
          <w:color w:val="000000" w:themeColor="text1"/>
        </w:rPr>
        <w:t xml:space="preserve">the patient is </w:t>
      </w:r>
      <w:r w:rsidRPr="00904413">
        <w:rPr>
          <w:rFonts w:eastAsia="Aptos" w:cs="Arial"/>
          <w:color w:val="000000" w:themeColor="text1"/>
        </w:rPr>
        <w:t>in a peripheral hospital and accepted for ICU admission and/or retrieval</w:t>
      </w:r>
      <w:r>
        <w:rPr>
          <w:rFonts w:eastAsia="Aptos" w:cs="Arial"/>
          <w:color w:val="000000" w:themeColor="text1"/>
        </w:rPr>
        <w:t>:</w:t>
      </w:r>
    </w:p>
    <w:p w14:paraId="0B623FFE" w14:textId="77777777" w:rsidR="00940008" w:rsidRPr="008846CF" w:rsidRDefault="00940008" w:rsidP="00906B11">
      <w:pPr>
        <w:pStyle w:val="TeThHauorabullets"/>
        <w:ind w:left="1077"/>
      </w:pPr>
      <w:r w:rsidRPr="008846CF">
        <w:t>commence supportive therapies in consultation with the ICU or retrieval team</w:t>
      </w:r>
    </w:p>
    <w:p w14:paraId="533DA45A" w14:textId="2BE11D27" w:rsidR="00940008" w:rsidRPr="008846CF" w:rsidRDefault="00940008" w:rsidP="008846CF">
      <w:pPr>
        <w:pStyle w:val="TeThHauorabullets"/>
        <w:ind w:left="1077"/>
      </w:pPr>
      <w:r w:rsidRPr="008846CF">
        <w:t>arrange insertion of arterial and central venous catheters in preparation for administration of vasoactive medication, under the direction of the ICU or retrieval</w:t>
      </w:r>
      <w:r w:rsidR="008846CF">
        <w:t> </w:t>
      </w:r>
      <w:r w:rsidRPr="008846CF">
        <w:t>team</w:t>
      </w:r>
    </w:p>
    <w:p w14:paraId="7ED6E98F" w14:textId="77777777" w:rsidR="00940008" w:rsidRPr="008846CF" w:rsidRDefault="00940008" w:rsidP="008846CF">
      <w:pPr>
        <w:pStyle w:val="TeThHauorabullets"/>
        <w:ind w:left="1077"/>
      </w:pPr>
      <w:r w:rsidRPr="008846CF">
        <w:t>consider asking skilled local resources to assist with patient management (</w:t>
      </w:r>
      <w:proofErr w:type="spellStart"/>
      <w:r w:rsidRPr="008846CF">
        <w:t>eg</w:t>
      </w:r>
      <w:proofErr w:type="spellEnd"/>
      <w:r w:rsidRPr="008846CF">
        <w:t>, an onsite anaesthetist)</w:t>
      </w:r>
    </w:p>
    <w:p w14:paraId="15CAFD20" w14:textId="77777777" w:rsidR="00940008" w:rsidRPr="008846CF" w:rsidRDefault="00940008" w:rsidP="003F5709">
      <w:pPr>
        <w:pStyle w:val="TeThHauorabullets"/>
        <w:spacing w:after="120"/>
        <w:ind w:left="1077"/>
      </w:pPr>
      <w:r w:rsidRPr="008846CF">
        <w:lastRenderedPageBreak/>
        <w:t>arrange critical care retrieval or transport to an appropriate facility, with accepting team approval.</w:t>
      </w:r>
    </w:p>
    <w:p w14:paraId="275D76F0" w14:textId="77777777" w:rsidR="00940008" w:rsidRPr="00904413" w:rsidRDefault="00940008" w:rsidP="00F77946">
      <w:pPr>
        <w:pStyle w:val="ListParagraph"/>
        <w:numPr>
          <w:ilvl w:val="1"/>
          <w:numId w:val="23"/>
        </w:numPr>
        <w:spacing w:after="80"/>
        <w:ind w:left="680" w:hanging="680"/>
        <w:rPr>
          <w:rFonts w:eastAsia="Aptos" w:cs="Arial"/>
          <w:color w:val="000000" w:themeColor="text1"/>
        </w:rPr>
      </w:pPr>
      <w:r w:rsidRPr="00904413">
        <w:rPr>
          <w:rFonts w:eastAsia="Aptos" w:cs="Arial"/>
          <w:color w:val="000000" w:themeColor="text1"/>
        </w:rPr>
        <w:t xml:space="preserve">If </w:t>
      </w:r>
      <w:r>
        <w:rPr>
          <w:rFonts w:eastAsia="Aptos" w:cs="Arial"/>
          <w:color w:val="000000" w:themeColor="text1"/>
        </w:rPr>
        <w:t xml:space="preserve">the patient is </w:t>
      </w:r>
      <w:r w:rsidRPr="00904413">
        <w:rPr>
          <w:rFonts w:eastAsia="Aptos" w:cs="Arial"/>
          <w:color w:val="000000" w:themeColor="text1"/>
        </w:rPr>
        <w:t>in a hospital with ICU capability</w:t>
      </w:r>
      <w:r>
        <w:rPr>
          <w:rFonts w:eastAsia="Aptos" w:cs="Arial"/>
          <w:color w:val="000000" w:themeColor="text1"/>
        </w:rPr>
        <w:t>:</w:t>
      </w:r>
    </w:p>
    <w:p w14:paraId="47A8A583" w14:textId="77777777" w:rsidR="00940008" w:rsidRPr="008846CF" w:rsidRDefault="00940008" w:rsidP="008846CF">
      <w:pPr>
        <w:pStyle w:val="TeThHauorabullets"/>
        <w:ind w:left="1077"/>
      </w:pPr>
      <w:r w:rsidRPr="008846CF">
        <w:t>commence supportive therapy in consultation with the ICU team</w:t>
      </w:r>
    </w:p>
    <w:p w14:paraId="2BE261A4" w14:textId="77777777" w:rsidR="00940008" w:rsidRPr="008846CF" w:rsidRDefault="00940008" w:rsidP="008846CF">
      <w:pPr>
        <w:pStyle w:val="TeThHauorabullets"/>
        <w:spacing w:after="120"/>
        <w:ind w:left="1077"/>
      </w:pPr>
      <w:r w:rsidRPr="008846CF">
        <w:t>arrange transfer to the ICU or an appropriate in-patient destination.</w:t>
      </w:r>
    </w:p>
    <w:p w14:paraId="791F54FB" w14:textId="3F85AC5F" w:rsidR="00940008" w:rsidRPr="00904413" w:rsidRDefault="00940008" w:rsidP="00F77946">
      <w:pPr>
        <w:pStyle w:val="ListParagraph"/>
        <w:numPr>
          <w:ilvl w:val="1"/>
          <w:numId w:val="23"/>
        </w:numPr>
        <w:spacing w:after="80"/>
        <w:ind w:left="680" w:hanging="680"/>
        <w:contextualSpacing w:val="0"/>
        <w:rPr>
          <w:rFonts w:eastAsia="Aptos" w:cs="Arial"/>
          <w:color w:val="000000" w:themeColor="text1"/>
        </w:rPr>
      </w:pPr>
      <w:r w:rsidRPr="00904413">
        <w:rPr>
          <w:rFonts w:cs="Arial"/>
        </w:rPr>
        <w:t>Reassess</w:t>
      </w:r>
      <w:r w:rsidRPr="00904413">
        <w:rPr>
          <w:rFonts w:eastAsia="Aptos" w:cs="Arial"/>
          <w:color w:val="000000" w:themeColor="text1"/>
        </w:rPr>
        <w:t xml:space="preserve"> the patient regularly with the aim of achieving the following:</w:t>
      </w:r>
    </w:p>
    <w:p w14:paraId="420C2C8D" w14:textId="77777777" w:rsidR="00940008" w:rsidRPr="008846CF" w:rsidRDefault="00940008" w:rsidP="008846CF">
      <w:pPr>
        <w:pStyle w:val="TeThHauorabullets"/>
        <w:ind w:left="1077"/>
      </w:pPr>
      <w:r w:rsidRPr="008846CF">
        <w:t>mean arterial pressure of &gt;65 mmHg or a target deemed sufficient to maintain tissue perfusion</w:t>
      </w:r>
    </w:p>
    <w:p w14:paraId="6815F15D" w14:textId="77777777" w:rsidR="00940008" w:rsidRPr="008846CF" w:rsidRDefault="00940008" w:rsidP="008846CF">
      <w:pPr>
        <w:pStyle w:val="TeThHauorabullets"/>
        <w:ind w:left="1077"/>
      </w:pPr>
      <w:r w:rsidRPr="008846CF">
        <w:t>oxygen saturation of &gt;94% or a target appropriate to maintain tissue oxygenation in patients with pre-existing type II respiratory failure</w:t>
      </w:r>
    </w:p>
    <w:p w14:paraId="2CD97C51" w14:textId="77777777" w:rsidR="00940008" w:rsidRPr="008846CF" w:rsidRDefault="00940008" w:rsidP="005A722B">
      <w:pPr>
        <w:pStyle w:val="TeThHauorabullets"/>
        <w:ind w:left="1077"/>
      </w:pPr>
      <w:r w:rsidRPr="008846CF">
        <w:t>urine output acceptable to the treating sub-specialty team</w:t>
      </w:r>
    </w:p>
    <w:p w14:paraId="2E82E8BF" w14:textId="77777777" w:rsidR="00940008" w:rsidRPr="008846CF" w:rsidRDefault="00940008" w:rsidP="008846CF">
      <w:pPr>
        <w:pStyle w:val="TeThHauorabullets"/>
        <w:ind w:left="1077"/>
      </w:pPr>
      <w:r w:rsidRPr="008846CF">
        <w:t xml:space="preserve">clinically adequate source control </w:t>
      </w:r>
    </w:p>
    <w:p w14:paraId="6F27BF80" w14:textId="77777777" w:rsidR="00940008" w:rsidRPr="008846CF" w:rsidRDefault="00940008" w:rsidP="008846CF">
      <w:pPr>
        <w:pStyle w:val="TeThHauorabullets"/>
        <w:ind w:left="1077"/>
      </w:pPr>
      <w:r w:rsidRPr="008846CF">
        <w:t xml:space="preserve">appropriate supportive care. </w:t>
      </w:r>
    </w:p>
    <w:p w14:paraId="59A59200" w14:textId="109AA9B8" w:rsidR="00940008" w:rsidRPr="00427C62" w:rsidRDefault="00940008" w:rsidP="00427C62">
      <w:pPr>
        <w:pStyle w:val="TeThHauorahead2"/>
        <w:numPr>
          <w:ilvl w:val="0"/>
          <w:numId w:val="5"/>
        </w:numPr>
        <w:rPr>
          <w:bCs/>
        </w:rPr>
      </w:pPr>
      <w:bookmarkStart w:id="87" w:name="_Toc201826327"/>
      <w:bookmarkStart w:id="88" w:name="_Toc207862899"/>
      <w:r w:rsidRPr="00427C62">
        <w:rPr>
          <w:bCs/>
        </w:rPr>
        <w:t>Information and support for people with sepsis and their family/whānau and carers</w:t>
      </w:r>
      <w:bookmarkEnd w:id="87"/>
      <w:bookmarkEnd w:id="88"/>
    </w:p>
    <w:p w14:paraId="3FDEFCF1" w14:textId="77777777" w:rsidR="00940008" w:rsidRPr="00427C62" w:rsidRDefault="00940008" w:rsidP="00427C62">
      <w:pPr>
        <w:pStyle w:val="TeThHauorahead3"/>
        <w:rPr>
          <w:rStyle w:val="Heading2Char"/>
          <w:rFonts w:cs="Arial"/>
          <w:b/>
          <w:i w:val="0"/>
          <w:sz w:val="24"/>
          <w:szCs w:val="24"/>
        </w:rPr>
      </w:pPr>
      <w:bookmarkStart w:id="89" w:name="_Toc201826328"/>
      <w:r w:rsidRPr="00427C62">
        <w:rPr>
          <w:rStyle w:val="Heading2Char"/>
          <w:rFonts w:cs="Arial"/>
          <w:b/>
          <w:i w:val="0"/>
          <w:sz w:val="24"/>
          <w:szCs w:val="24"/>
        </w:rPr>
        <w:t>People who have sepsis and their families and carers</w:t>
      </w:r>
      <w:bookmarkEnd w:id="89"/>
    </w:p>
    <w:p w14:paraId="689A7573" w14:textId="77777777" w:rsidR="00940008" w:rsidRPr="005B43A0" w:rsidRDefault="00940008" w:rsidP="00F77946">
      <w:pPr>
        <w:pStyle w:val="ListParagraph"/>
        <w:numPr>
          <w:ilvl w:val="1"/>
          <w:numId w:val="24"/>
        </w:numPr>
        <w:spacing w:after="80"/>
        <w:ind w:left="680" w:hanging="680"/>
        <w:contextualSpacing w:val="0"/>
        <w:rPr>
          <w:rFonts w:cs="Arial"/>
        </w:rPr>
      </w:pPr>
      <w:r w:rsidRPr="005B43A0">
        <w:rPr>
          <w:rFonts w:cs="Arial"/>
        </w:rPr>
        <w:t>Ensure a care team member is nominated to give information to family/whānau and carers</w:t>
      </w:r>
      <w:r>
        <w:rPr>
          <w:rFonts w:cs="Arial"/>
        </w:rPr>
        <w:t>,</w:t>
      </w:r>
      <w:r w:rsidRPr="005B43A0">
        <w:rPr>
          <w:rFonts w:cs="Arial"/>
        </w:rPr>
        <w:t xml:space="preserve"> particularly in emergency situations</w:t>
      </w:r>
      <w:r>
        <w:rPr>
          <w:rFonts w:cs="Arial"/>
        </w:rPr>
        <w:t>,</w:t>
      </w:r>
      <w:r w:rsidRPr="005B43A0">
        <w:rPr>
          <w:rFonts w:cs="Arial"/>
        </w:rPr>
        <w:t xml:space="preserve"> such as in the emergency department. This </w:t>
      </w:r>
      <w:r>
        <w:rPr>
          <w:rFonts w:cs="Arial"/>
        </w:rPr>
        <w:t xml:space="preserve">information </w:t>
      </w:r>
      <w:r w:rsidRPr="005B43A0">
        <w:rPr>
          <w:rFonts w:cs="Arial"/>
        </w:rPr>
        <w:t xml:space="preserve">should include: </w:t>
      </w:r>
    </w:p>
    <w:p w14:paraId="0898BD0F" w14:textId="77777777" w:rsidR="00940008" w:rsidRPr="00427C62" w:rsidRDefault="00940008" w:rsidP="00427C62">
      <w:pPr>
        <w:pStyle w:val="TeThHauorabullets"/>
        <w:ind w:left="1077"/>
      </w:pPr>
      <w:r w:rsidRPr="00427C62">
        <w:t xml:space="preserve">an explanation that the person has sepsis, and what this means </w:t>
      </w:r>
    </w:p>
    <w:p w14:paraId="66999AB9" w14:textId="77777777" w:rsidR="00940008" w:rsidRPr="00427C62" w:rsidRDefault="00940008" w:rsidP="00427C62">
      <w:pPr>
        <w:pStyle w:val="TeThHauorabullets"/>
        <w:ind w:left="1077"/>
      </w:pPr>
      <w:r w:rsidRPr="00427C62">
        <w:t xml:space="preserve">an explanation of any investigations and the management plan </w:t>
      </w:r>
    </w:p>
    <w:p w14:paraId="2DD1A6D7" w14:textId="77777777" w:rsidR="00940008" w:rsidRPr="009D54D2" w:rsidRDefault="00940008" w:rsidP="00427C62">
      <w:pPr>
        <w:pStyle w:val="TeThHauorabullets"/>
        <w:spacing w:after="120"/>
        <w:ind w:left="1077"/>
      </w:pPr>
      <w:r w:rsidRPr="00427C62">
        <w:t>regular</w:t>
      </w:r>
      <w:r w:rsidRPr="009D54D2">
        <w:t xml:space="preserve"> and timely updates on treatment, care and progress.</w:t>
      </w:r>
    </w:p>
    <w:p w14:paraId="5EFA54B4" w14:textId="7861E1CD" w:rsidR="00940008" w:rsidRPr="009D54D2" w:rsidRDefault="00940008" w:rsidP="005A722B">
      <w:pPr>
        <w:pStyle w:val="ListParagraph"/>
        <w:numPr>
          <w:ilvl w:val="1"/>
          <w:numId w:val="24"/>
        </w:numPr>
        <w:ind w:left="680" w:hanging="680"/>
        <w:contextualSpacing w:val="0"/>
        <w:rPr>
          <w:rFonts w:cs="Arial"/>
        </w:rPr>
      </w:pPr>
      <w:r>
        <w:rPr>
          <w:rFonts w:cs="Arial"/>
        </w:rPr>
        <w:t xml:space="preserve">Give </w:t>
      </w:r>
      <w:r w:rsidRPr="009D54D2">
        <w:rPr>
          <w:rFonts w:cs="Arial"/>
        </w:rPr>
        <w:t xml:space="preserve">information without using medical jargon. Check regularly that people understand the information </w:t>
      </w:r>
      <w:r>
        <w:rPr>
          <w:rFonts w:cs="Arial"/>
        </w:rPr>
        <w:t xml:space="preserve">you </w:t>
      </w:r>
      <w:r w:rsidRPr="009D54D2">
        <w:rPr>
          <w:rFonts w:cs="Arial"/>
        </w:rPr>
        <w:t>are giv</w:t>
      </w:r>
      <w:r>
        <w:rPr>
          <w:rFonts w:cs="Arial"/>
        </w:rPr>
        <w:t>ing</w:t>
      </w:r>
      <w:r w:rsidRPr="009D54D2">
        <w:rPr>
          <w:rFonts w:cs="Arial"/>
        </w:rPr>
        <w:t>.</w:t>
      </w:r>
    </w:p>
    <w:p w14:paraId="44906BFC" w14:textId="758DD493" w:rsidR="00940008" w:rsidRPr="009D54D2" w:rsidRDefault="00940008" w:rsidP="005A722B">
      <w:pPr>
        <w:pStyle w:val="ListParagraph"/>
        <w:numPr>
          <w:ilvl w:val="1"/>
          <w:numId w:val="24"/>
        </w:numPr>
        <w:ind w:left="680" w:hanging="680"/>
        <w:contextualSpacing w:val="0"/>
        <w:rPr>
          <w:rFonts w:cs="Arial"/>
        </w:rPr>
      </w:pPr>
      <w:r w:rsidRPr="009D54D2">
        <w:rPr>
          <w:rFonts w:cs="Arial"/>
        </w:rPr>
        <w:t>Give people with sepsis and their family/whānau members and carers opportunities to</w:t>
      </w:r>
      <w:r w:rsidR="005A722B">
        <w:rPr>
          <w:rFonts w:cs="Arial"/>
        </w:rPr>
        <w:t> </w:t>
      </w:r>
      <w:r w:rsidRPr="009D54D2">
        <w:rPr>
          <w:rFonts w:cs="Arial"/>
        </w:rPr>
        <w:t>ask questions about diagnosis, treatment options, prognosis and complications. Be</w:t>
      </w:r>
      <w:r w:rsidR="005A722B">
        <w:rPr>
          <w:rFonts w:cs="Arial"/>
        </w:rPr>
        <w:t> </w:t>
      </w:r>
      <w:r w:rsidRPr="009D54D2">
        <w:rPr>
          <w:rFonts w:cs="Arial"/>
        </w:rPr>
        <w:t>willing to repeat information.</w:t>
      </w:r>
    </w:p>
    <w:p w14:paraId="49C52CE9" w14:textId="35797C19" w:rsidR="00940008" w:rsidRPr="00940008" w:rsidRDefault="00940008" w:rsidP="00427C62">
      <w:pPr>
        <w:pStyle w:val="TeThHauorahead2"/>
        <w:numPr>
          <w:ilvl w:val="0"/>
          <w:numId w:val="5"/>
        </w:numPr>
      </w:pPr>
      <w:bookmarkStart w:id="90" w:name="_Toc201826329"/>
      <w:bookmarkStart w:id="91" w:name="_Toc207862900"/>
      <w:r w:rsidRPr="00940008">
        <w:t>People with infection and high-risk criteria at presentation who</w:t>
      </w:r>
      <w:r w:rsidR="00F77946">
        <w:t> </w:t>
      </w:r>
      <w:r w:rsidRPr="00940008">
        <w:t>are not diagnosed with sepsis</w:t>
      </w:r>
      <w:bookmarkEnd w:id="90"/>
      <w:bookmarkEnd w:id="91"/>
      <w:r w:rsidRPr="00940008">
        <w:t xml:space="preserve"> </w:t>
      </w:r>
    </w:p>
    <w:p w14:paraId="2C58D012" w14:textId="397E6914" w:rsidR="00940008" w:rsidRPr="005A722B" w:rsidRDefault="00940008" w:rsidP="00F77946">
      <w:pPr>
        <w:pStyle w:val="ListParagraph"/>
        <w:numPr>
          <w:ilvl w:val="0"/>
          <w:numId w:val="28"/>
        </w:numPr>
        <w:spacing w:after="80"/>
        <w:ind w:left="680" w:hanging="680"/>
        <w:contextualSpacing w:val="0"/>
        <w:rPr>
          <w:rFonts w:cs="Arial"/>
        </w:rPr>
      </w:pPr>
      <w:r w:rsidRPr="005A722B">
        <w:rPr>
          <w:rFonts w:cs="Arial"/>
        </w:rPr>
        <w:t>Give people who have been assessed for sepsis but have been discharged without a</w:t>
      </w:r>
      <w:r w:rsidR="005A722B">
        <w:rPr>
          <w:rFonts w:cs="Arial"/>
        </w:rPr>
        <w:t xml:space="preserve"> </w:t>
      </w:r>
      <w:r w:rsidRPr="005A722B">
        <w:rPr>
          <w:rFonts w:cs="Arial"/>
        </w:rPr>
        <w:t>diagnosis of sepsis (and their families/whānau and carers, if appropriate) verbal and written information about:</w:t>
      </w:r>
    </w:p>
    <w:p w14:paraId="66330BD1" w14:textId="77777777" w:rsidR="00940008" w:rsidRPr="009D54D2" w:rsidRDefault="00940008" w:rsidP="008E2EDC">
      <w:pPr>
        <w:pStyle w:val="TeThHauorabullets"/>
        <w:ind w:left="1077"/>
      </w:pPr>
      <w:r w:rsidRPr="009D54D2">
        <w:t xml:space="preserve">what sepsis is, and why it was suspected </w:t>
      </w:r>
    </w:p>
    <w:p w14:paraId="4F59437E" w14:textId="77777777" w:rsidR="00940008" w:rsidRPr="009D54D2" w:rsidRDefault="00940008" w:rsidP="008E2EDC">
      <w:pPr>
        <w:pStyle w:val="TeThHauorabullets"/>
        <w:ind w:left="1077"/>
      </w:pPr>
      <w:r w:rsidRPr="009D54D2">
        <w:t>what tests and investigations have been done</w:t>
      </w:r>
    </w:p>
    <w:p w14:paraId="2E7F0833" w14:textId="77777777" w:rsidR="00940008" w:rsidRPr="009D54D2" w:rsidRDefault="00940008" w:rsidP="008E2EDC">
      <w:pPr>
        <w:pStyle w:val="TeThHauorabullets"/>
        <w:ind w:left="1077"/>
      </w:pPr>
      <w:r w:rsidRPr="009D54D2">
        <w:t>which symptoms to monitor after discharge</w:t>
      </w:r>
    </w:p>
    <w:p w14:paraId="5A6A54AF" w14:textId="77777777" w:rsidR="00940008" w:rsidRPr="009D54D2" w:rsidRDefault="00940008" w:rsidP="008E2EDC">
      <w:pPr>
        <w:pStyle w:val="TeThHauorabullets"/>
        <w:ind w:left="1077"/>
      </w:pPr>
      <w:r w:rsidRPr="009D54D2">
        <w:t>when to get medical attention if their illness continues or relapses</w:t>
      </w:r>
    </w:p>
    <w:p w14:paraId="3C3F9457" w14:textId="77777777" w:rsidR="00940008" w:rsidRPr="009D54D2" w:rsidRDefault="00940008" w:rsidP="00200757">
      <w:pPr>
        <w:pStyle w:val="TeThHauorabullets"/>
        <w:spacing w:after="240"/>
        <w:ind w:left="1077"/>
      </w:pPr>
      <w:r w:rsidRPr="009D54D2">
        <w:t>how to get medical attention if they need to seek help urgently.</w:t>
      </w:r>
    </w:p>
    <w:p w14:paraId="775ABB95" w14:textId="77777777" w:rsidR="00940008" w:rsidRPr="00200757" w:rsidRDefault="00940008" w:rsidP="00200757">
      <w:pPr>
        <w:pStyle w:val="TeThHauorahead3"/>
        <w:rPr>
          <w:rStyle w:val="Heading2Char"/>
          <w:rFonts w:cs="Arial"/>
          <w:b/>
          <w:i w:val="0"/>
          <w:sz w:val="24"/>
          <w:szCs w:val="24"/>
        </w:rPr>
      </w:pPr>
      <w:bookmarkStart w:id="92" w:name="_Toc201826330"/>
      <w:r w:rsidRPr="00200757">
        <w:rPr>
          <w:rStyle w:val="Heading2Char"/>
          <w:rFonts w:cs="Arial"/>
          <w:b/>
          <w:i w:val="0"/>
          <w:sz w:val="24"/>
          <w:szCs w:val="24"/>
        </w:rPr>
        <w:lastRenderedPageBreak/>
        <w:t>Information at discharge for people at increased risk of sepsis</w:t>
      </w:r>
      <w:bookmarkEnd w:id="92"/>
    </w:p>
    <w:p w14:paraId="6EDB285B" w14:textId="542030F8" w:rsidR="00940008" w:rsidRPr="009D54D2" w:rsidRDefault="00940008" w:rsidP="00200757">
      <w:pPr>
        <w:pStyle w:val="ListParagraph"/>
        <w:numPr>
          <w:ilvl w:val="0"/>
          <w:numId w:val="28"/>
        </w:numPr>
        <w:ind w:left="680" w:hanging="680"/>
        <w:contextualSpacing w:val="0"/>
        <w:rPr>
          <w:rFonts w:cs="Arial"/>
        </w:rPr>
      </w:pPr>
      <w:r w:rsidRPr="009D54D2">
        <w:rPr>
          <w:rFonts w:cs="Arial"/>
        </w:rPr>
        <w:t>Ensure people who are at an increased risk of sepsis (</w:t>
      </w:r>
      <w:proofErr w:type="spellStart"/>
      <w:r>
        <w:rPr>
          <w:rFonts w:cs="Arial"/>
        </w:rPr>
        <w:t>eg</w:t>
      </w:r>
      <w:proofErr w:type="spellEnd"/>
      <w:r>
        <w:rPr>
          <w:rFonts w:cs="Arial"/>
        </w:rPr>
        <w:t xml:space="preserve">, </w:t>
      </w:r>
      <w:r w:rsidRPr="009D54D2">
        <w:rPr>
          <w:rFonts w:cs="Arial"/>
        </w:rPr>
        <w:t xml:space="preserve">after surgery) are told before discharge about symptoms that should prompt them to get medical attention and how to </w:t>
      </w:r>
      <w:r>
        <w:rPr>
          <w:rFonts w:cs="Arial"/>
        </w:rPr>
        <w:t>access that medical attention</w:t>
      </w:r>
      <w:r w:rsidRPr="009D54D2">
        <w:rPr>
          <w:rFonts w:cs="Arial"/>
        </w:rPr>
        <w:t>.</w:t>
      </w:r>
    </w:p>
    <w:p w14:paraId="131B22EC" w14:textId="77777777" w:rsidR="00940008" w:rsidRPr="00200757" w:rsidRDefault="00940008" w:rsidP="00200757">
      <w:pPr>
        <w:pStyle w:val="TeThHauorahead3"/>
        <w:rPr>
          <w:rStyle w:val="Heading2Char"/>
          <w:rFonts w:cs="Arial"/>
          <w:b/>
          <w:i w:val="0"/>
          <w:sz w:val="24"/>
          <w:szCs w:val="24"/>
        </w:rPr>
      </w:pPr>
      <w:bookmarkStart w:id="93" w:name="_Toc201826331"/>
      <w:r w:rsidRPr="00200757">
        <w:rPr>
          <w:rStyle w:val="Heading2Char"/>
          <w:rFonts w:cs="Arial"/>
          <w:b/>
          <w:i w:val="0"/>
          <w:sz w:val="24"/>
          <w:szCs w:val="24"/>
        </w:rPr>
        <w:t>Information at discharge for people who have had sepsis and septic shock</w:t>
      </w:r>
      <w:bookmarkEnd w:id="93"/>
    </w:p>
    <w:p w14:paraId="13177507" w14:textId="6C3E21BA" w:rsidR="00940008" w:rsidRPr="009D54D2" w:rsidRDefault="00940008" w:rsidP="00200757">
      <w:pPr>
        <w:pStyle w:val="ListParagraph"/>
        <w:numPr>
          <w:ilvl w:val="0"/>
          <w:numId w:val="28"/>
        </w:numPr>
        <w:ind w:left="680" w:hanging="680"/>
        <w:contextualSpacing w:val="0"/>
        <w:rPr>
          <w:rFonts w:cs="Arial"/>
        </w:rPr>
      </w:pPr>
      <w:r w:rsidRPr="009D54D2">
        <w:rPr>
          <w:rFonts w:cs="Arial"/>
        </w:rPr>
        <w:t xml:space="preserve">Ensure people </w:t>
      </w:r>
      <w:r>
        <w:rPr>
          <w:rFonts w:cs="Arial"/>
        </w:rPr>
        <w:t>who have had sepsis (</w:t>
      </w:r>
      <w:r w:rsidRPr="009D54D2">
        <w:rPr>
          <w:rFonts w:cs="Arial"/>
        </w:rPr>
        <w:t>and their famil</w:t>
      </w:r>
      <w:r>
        <w:rPr>
          <w:rFonts w:cs="Arial"/>
        </w:rPr>
        <w:t>ies</w:t>
      </w:r>
      <w:r w:rsidRPr="009D54D2">
        <w:rPr>
          <w:rFonts w:cs="Arial"/>
        </w:rPr>
        <w:t>/whānau and carers</w:t>
      </w:r>
      <w:r>
        <w:rPr>
          <w:rFonts w:cs="Arial"/>
        </w:rPr>
        <w:t>,</w:t>
      </w:r>
      <w:r w:rsidRPr="009D54D2">
        <w:rPr>
          <w:rFonts w:cs="Arial"/>
        </w:rPr>
        <w:t xml:space="preserve"> if appropriate</w:t>
      </w:r>
      <w:r>
        <w:rPr>
          <w:rFonts w:cs="Arial"/>
        </w:rPr>
        <w:t>)</w:t>
      </w:r>
      <w:r w:rsidRPr="009D54D2">
        <w:rPr>
          <w:rFonts w:cs="Arial"/>
        </w:rPr>
        <w:t xml:space="preserve"> </w:t>
      </w:r>
      <w:r>
        <w:rPr>
          <w:rFonts w:cs="Arial"/>
        </w:rPr>
        <w:t xml:space="preserve">know </w:t>
      </w:r>
      <w:r w:rsidRPr="009D54D2">
        <w:rPr>
          <w:rFonts w:cs="Arial"/>
        </w:rPr>
        <w:t xml:space="preserve">that they have had </w:t>
      </w:r>
      <w:r>
        <w:rPr>
          <w:rFonts w:cs="Arial"/>
        </w:rPr>
        <w:t>it</w:t>
      </w:r>
      <w:r w:rsidRPr="009D54D2">
        <w:rPr>
          <w:rFonts w:cs="Arial"/>
        </w:rPr>
        <w:t>.</w:t>
      </w:r>
    </w:p>
    <w:p w14:paraId="05F1575A" w14:textId="29605E9D" w:rsidR="00940008" w:rsidRPr="009D54D2" w:rsidRDefault="00940008" w:rsidP="00200757">
      <w:pPr>
        <w:pStyle w:val="ListParagraph"/>
        <w:numPr>
          <w:ilvl w:val="0"/>
          <w:numId w:val="28"/>
        </w:numPr>
        <w:ind w:left="680" w:hanging="680"/>
        <w:contextualSpacing w:val="0"/>
        <w:rPr>
          <w:rFonts w:cs="Arial"/>
        </w:rPr>
      </w:pPr>
      <w:r w:rsidRPr="009D54D2">
        <w:rPr>
          <w:rFonts w:cs="Arial"/>
        </w:rPr>
        <w:t xml:space="preserve">Ensure </w:t>
      </w:r>
      <w:r>
        <w:rPr>
          <w:rFonts w:cs="Arial"/>
        </w:rPr>
        <w:t xml:space="preserve">that </w:t>
      </w:r>
      <w:r w:rsidRPr="009D54D2">
        <w:rPr>
          <w:rFonts w:cs="Arial"/>
        </w:rPr>
        <w:t>discharge notifications to general practitioners include the diagnosis of</w:t>
      </w:r>
      <w:r w:rsidR="00197A8F">
        <w:rPr>
          <w:rFonts w:cs="Arial"/>
        </w:rPr>
        <w:t> </w:t>
      </w:r>
      <w:r w:rsidRPr="009D54D2">
        <w:rPr>
          <w:rFonts w:cs="Arial"/>
        </w:rPr>
        <w:t>sepsis.</w:t>
      </w:r>
    </w:p>
    <w:p w14:paraId="16B0C7F4" w14:textId="73E40BE8" w:rsidR="00940008" w:rsidRPr="009D54D2" w:rsidRDefault="00940008" w:rsidP="00200757">
      <w:pPr>
        <w:pStyle w:val="ListParagraph"/>
        <w:numPr>
          <w:ilvl w:val="0"/>
          <w:numId w:val="28"/>
        </w:numPr>
        <w:ind w:left="680" w:hanging="680"/>
        <w:contextualSpacing w:val="0"/>
        <w:rPr>
          <w:rFonts w:cs="Arial"/>
        </w:rPr>
      </w:pPr>
      <w:r w:rsidRPr="009D54D2">
        <w:rPr>
          <w:rFonts w:cs="Arial"/>
        </w:rPr>
        <w:t>Give people who have had sepsis (and their families</w:t>
      </w:r>
      <w:r>
        <w:rPr>
          <w:rFonts w:cs="Arial"/>
        </w:rPr>
        <w:t>/</w:t>
      </w:r>
      <w:r w:rsidRPr="009D54D2">
        <w:rPr>
          <w:rFonts w:cs="Arial"/>
        </w:rPr>
        <w:t xml:space="preserve">whānau and carers, </w:t>
      </w:r>
      <w:r>
        <w:rPr>
          <w:rFonts w:cs="Arial"/>
        </w:rPr>
        <w:t xml:space="preserve">if </w:t>
      </w:r>
      <w:r w:rsidRPr="009D54D2">
        <w:rPr>
          <w:rFonts w:cs="Arial"/>
        </w:rPr>
        <w:t xml:space="preserve">appropriate) opportunities to discuss concerns. These may include: </w:t>
      </w:r>
    </w:p>
    <w:p w14:paraId="16F38E38" w14:textId="77777777" w:rsidR="00940008" w:rsidRPr="009D54D2" w:rsidRDefault="00940008" w:rsidP="00200757">
      <w:pPr>
        <w:pStyle w:val="TeThHauorabullets"/>
        <w:ind w:left="1077"/>
      </w:pPr>
      <w:r w:rsidRPr="009D54D2">
        <w:t xml:space="preserve">why they developed sepsis </w:t>
      </w:r>
    </w:p>
    <w:p w14:paraId="18A3C520" w14:textId="77777777" w:rsidR="00940008" w:rsidRPr="009D54D2" w:rsidRDefault="00940008" w:rsidP="00200757">
      <w:pPr>
        <w:pStyle w:val="TeThHauorabullets"/>
        <w:ind w:left="1077"/>
      </w:pPr>
      <w:r w:rsidRPr="009D54D2">
        <w:t xml:space="preserve">whether they are likely to develop sepsis again </w:t>
      </w:r>
    </w:p>
    <w:p w14:paraId="5DCE1ABD" w14:textId="77777777" w:rsidR="00940008" w:rsidRPr="009D54D2" w:rsidRDefault="00940008" w:rsidP="00200757">
      <w:pPr>
        <w:pStyle w:val="TeThHauorabullets"/>
        <w:ind w:left="1077"/>
      </w:pPr>
      <w:r>
        <w:t xml:space="preserve">whether </w:t>
      </w:r>
      <w:r w:rsidRPr="009D54D2">
        <w:t xml:space="preserve">more investigations are necessary </w:t>
      </w:r>
    </w:p>
    <w:p w14:paraId="46E4B4C1" w14:textId="2DBB8F80" w:rsidR="00940008" w:rsidRPr="009D54D2" w:rsidRDefault="00940008" w:rsidP="00200757">
      <w:pPr>
        <w:pStyle w:val="TeThHauorabullets"/>
        <w:ind w:left="1077"/>
      </w:pPr>
      <w:r w:rsidRPr="009D54D2">
        <w:t>details of any community care needed</w:t>
      </w:r>
      <w:r>
        <w:t>;</w:t>
      </w:r>
      <w:r w:rsidRPr="009D54D2">
        <w:t xml:space="preserve"> for example, related to peripherally inserted central venous catheters or other </w:t>
      </w:r>
      <w:r>
        <w:t xml:space="preserve">IV </w:t>
      </w:r>
      <w:r w:rsidRPr="009D54D2">
        <w:t xml:space="preserve">catheters </w:t>
      </w:r>
    </w:p>
    <w:p w14:paraId="4EF71FC3" w14:textId="77777777" w:rsidR="00940008" w:rsidRPr="009D54D2" w:rsidRDefault="00940008" w:rsidP="00200757">
      <w:pPr>
        <w:pStyle w:val="TeThHauorabullets"/>
        <w:ind w:left="1077"/>
      </w:pPr>
      <w:r w:rsidRPr="009D54D2">
        <w:t xml:space="preserve">what they should expect during recovery </w:t>
      </w:r>
    </w:p>
    <w:p w14:paraId="798A58E6" w14:textId="77777777" w:rsidR="00940008" w:rsidRPr="009D54D2" w:rsidRDefault="00940008" w:rsidP="00200757">
      <w:pPr>
        <w:pStyle w:val="TeThHauorabullets"/>
        <w:ind w:left="1077"/>
      </w:pPr>
      <w:r w:rsidRPr="009D54D2">
        <w:t>arrangements for follow-up, including specific critical care follow</w:t>
      </w:r>
      <w:r>
        <w:t>-</w:t>
      </w:r>
      <w:r w:rsidRPr="009D54D2">
        <w:t>up if relevant</w:t>
      </w:r>
    </w:p>
    <w:p w14:paraId="4B816052" w14:textId="77777777" w:rsidR="00940008" w:rsidRPr="009D54D2" w:rsidRDefault="00940008" w:rsidP="00200757">
      <w:pPr>
        <w:pStyle w:val="TeThHauorabullets"/>
        <w:spacing w:after="120"/>
        <w:ind w:left="1077"/>
      </w:pPr>
      <w:bookmarkStart w:id="94" w:name="_Int_qCNdRWEt"/>
      <w:r w:rsidRPr="009D54D2">
        <w:t>possible</w:t>
      </w:r>
      <w:bookmarkEnd w:id="94"/>
      <w:r w:rsidRPr="009D54D2">
        <w:t xml:space="preserve"> short-term and long-term problems.</w:t>
      </w:r>
    </w:p>
    <w:p w14:paraId="3D5911DD" w14:textId="7890A386" w:rsidR="00940008" w:rsidRPr="009D54D2" w:rsidRDefault="00940008" w:rsidP="00200757">
      <w:pPr>
        <w:pStyle w:val="ListParagraph"/>
        <w:numPr>
          <w:ilvl w:val="0"/>
          <w:numId w:val="28"/>
        </w:numPr>
        <w:ind w:left="680" w:hanging="680"/>
        <w:contextualSpacing w:val="0"/>
        <w:rPr>
          <w:rFonts w:cs="Arial"/>
        </w:rPr>
      </w:pPr>
      <w:r w:rsidRPr="009D54D2">
        <w:rPr>
          <w:rFonts w:cs="Arial"/>
        </w:rPr>
        <w:t xml:space="preserve">Advise carers, they have a legal right to have a carer’s assessment of their needs and </w:t>
      </w:r>
      <w:r>
        <w:rPr>
          <w:rFonts w:cs="Arial"/>
        </w:rPr>
        <w:t xml:space="preserve">advise </w:t>
      </w:r>
      <w:r w:rsidRPr="009D54D2">
        <w:rPr>
          <w:rFonts w:cs="Arial"/>
        </w:rPr>
        <w:t xml:space="preserve">them on how </w:t>
      </w:r>
      <w:r>
        <w:rPr>
          <w:rFonts w:cs="Arial"/>
        </w:rPr>
        <w:t xml:space="preserve">to obtain </w:t>
      </w:r>
      <w:r w:rsidRPr="009D54D2">
        <w:rPr>
          <w:rFonts w:cs="Arial"/>
        </w:rPr>
        <w:t>this.</w:t>
      </w:r>
    </w:p>
    <w:p w14:paraId="6AC7DA82" w14:textId="77777777" w:rsidR="00940008" w:rsidRPr="00940008" w:rsidRDefault="00940008" w:rsidP="00427C62">
      <w:pPr>
        <w:pStyle w:val="TeThHauorahead2"/>
        <w:numPr>
          <w:ilvl w:val="0"/>
          <w:numId w:val="5"/>
        </w:numPr>
        <w:rPr>
          <w:iCs/>
        </w:rPr>
      </w:pPr>
      <w:bookmarkStart w:id="95" w:name="_Toc201826332"/>
      <w:bookmarkStart w:id="96" w:name="_Toc207862901"/>
      <w:r w:rsidRPr="00940008">
        <w:rPr>
          <w:iCs/>
        </w:rPr>
        <w:t>Training and education</w:t>
      </w:r>
      <w:bookmarkEnd w:id="95"/>
      <w:bookmarkEnd w:id="96"/>
    </w:p>
    <w:p w14:paraId="10169C46" w14:textId="77777777" w:rsidR="00940008" w:rsidRPr="00200757" w:rsidRDefault="00940008" w:rsidP="00200757">
      <w:pPr>
        <w:pStyle w:val="ListParagraph"/>
        <w:numPr>
          <w:ilvl w:val="0"/>
          <w:numId w:val="31"/>
        </w:numPr>
        <w:ind w:left="680" w:hanging="680"/>
        <w:contextualSpacing w:val="0"/>
        <w:rPr>
          <w:rFonts w:cs="Arial"/>
        </w:rPr>
      </w:pPr>
      <w:r w:rsidRPr="00200757">
        <w:rPr>
          <w:rFonts w:cs="Arial"/>
        </w:rPr>
        <w:t>Ensure all health care staff and students involved in assessing people’s clinical condition are given regular, appropriate training in identifying people who might have sepsis. This includes primary care, community care and hospital staff, and those working in care homes.</w:t>
      </w:r>
    </w:p>
    <w:p w14:paraId="4E75E466" w14:textId="5CA20176" w:rsidR="00940008" w:rsidRPr="00200757" w:rsidRDefault="00940008" w:rsidP="00200757">
      <w:pPr>
        <w:pStyle w:val="ListParagraph"/>
        <w:numPr>
          <w:ilvl w:val="0"/>
          <w:numId w:val="31"/>
        </w:numPr>
        <w:ind w:left="680" w:hanging="680"/>
        <w:contextualSpacing w:val="0"/>
        <w:rPr>
          <w:rFonts w:cs="Arial"/>
        </w:rPr>
      </w:pPr>
      <w:r w:rsidRPr="00200757">
        <w:rPr>
          <w:rFonts w:cs="Arial"/>
        </w:rPr>
        <w:t>Ensure all health care professionals involved in triage or early management are given regular appropriate training in identifying, assessing and managing sepsis. This should include:</w:t>
      </w:r>
    </w:p>
    <w:p w14:paraId="1BC7F506" w14:textId="1D8F61E1" w:rsidR="00940008" w:rsidRPr="009D54D2" w:rsidRDefault="00940008" w:rsidP="00200757">
      <w:pPr>
        <w:pStyle w:val="TeThHauorabullets"/>
        <w:ind w:left="1077"/>
      </w:pPr>
      <w:r w:rsidRPr="009D54D2">
        <w:t>risk stratification strategies</w:t>
      </w:r>
    </w:p>
    <w:p w14:paraId="610FA418" w14:textId="77777777" w:rsidR="00940008" w:rsidRPr="009D54D2" w:rsidRDefault="00940008" w:rsidP="00200757">
      <w:pPr>
        <w:pStyle w:val="TeThHauorabullets"/>
        <w:ind w:left="1077"/>
      </w:pPr>
      <w:r w:rsidRPr="009D54D2">
        <w:t xml:space="preserve">local protocols for early treatments, including antibiotics and </w:t>
      </w:r>
      <w:r>
        <w:t>IV</w:t>
      </w:r>
      <w:r w:rsidRPr="009D54D2">
        <w:t xml:space="preserve"> fluids</w:t>
      </w:r>
    </w:p>
    <w:p w14:paraId="30172069" w14:textId="77777777" w:rsidR="00940008" w:rsidRPr="009D54D2" w:rsidRDefault="00940008" w:rsidP="00200757">
      <w:pPr>
        <w:pStyle w:val="TeThHauorabullets"/>
        <w:ind w:left="1077"/>
      </w:pPr>
      <w:r w:rsidRPr="009D54D2">
        <w:t>criteria and pathways for escalation, in line with the health care setting.</w:t>
      </w:r>
    </w:p>
    <w:sectPr w:rsidR="00940008" w:rsidRPr="009D54D2" w:rsidSect="00E50E8D">
      <w:footerReference w:type="even" r:id="rId21"/>
      <w:pgSz w:w="11906" w:h="16838" w:code="9"/>
      <w:pgMar w:top="1418"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10CE0" w14:textId="77777777" w:rsidR="00D7550D" w:rsidRDefault="00D7550D" w:rsidP="003C45E1">
      <w:pPr>
        <w:spacing w:after="0" w:line="240" w:lineRule="auto"/>
      </w:pPr>
      <w:r>
        <w:separator/>
      </w:r>
    </w:p>
  </w:endnote>
  <w:endnote w:type="continuationSeparator" w:id="0">
    <w:p w14:paraId="56B4228E" w14:textId="77777777" w:rsidR="00D7550D" w:rsidRDefault="00D7550D" w:rsidP="003C45E1">
      <w:pPr>
        <w:spacing w:after="0" w:line="240" w:lineRule="auto"/>
      </w:pPr>
      <w:r>
        <w:continuationSeparator/>
      </w:r>
    </w:p>
  </w:endnote>
  <w:endnote w:type="continuationNotice" w:id="1">
    <w:p w14:paraId="7A13A6AD" w14:textId="77777777" w:rsidR="00D7550D" w:rsidRDefault="00D75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087240"/>
      <w:docPartObj>
        <w:docPartGallery w:val="Page Numbers (Bottom of Page)"/>
        <w:docPartUnique/>
      </w:docPartObj>
    </w:sdtPr>
    <w:sdtEndPr>
      <w:rPr>
        <w:noProof/>
      </w:rPr>
    </w:sdtEndPr>
    <w:sdtContent>
      <w:sdt>
        <w:sdtPr>
          <w:id w:val="-1769616900"/>
          <w:docPartObj>
            <w:docPartGallery w:val="Page Numbers (Top of Page)"/>
            <w:docPartUnique/>
          </w:docPartObj>
        </w:sdtPr>
        <w:sdtContent>
          <w:p w14:paraId="5D29E241" w14:textId="77777777" w:rsidR="004907D7" w:rsidRPr="00DE102A" w:rsidRDefault="006A473A" w:rsidP="00CD59BF">
            <w:pPr>
              <w:pStyle w:val="Footer"/>
            </w:pPr>
            <w:r w:rsidRPr="00DE102A">
              <w:t xml:space="preserve">[Title of </w:t>
            </w:r>
            <w:r w:rsidR="009B60E1">
              <w:t>document</w:t>
            </w:r>
            <w:r w:rsidRPr="00DE102A">
              <w:t>]</w:t>
            </w:r>
            <w:r w:rsidRPr="00DE102A">
              <w:tab/>
            </w:r>
            <w:r w:rsidRPr="00DE102A">
              <w:tab/>
            </w:r>
            <w:r w:rsidR="005C344C" w:rsidRPr="004A752B">
              <w:fldChar w:fldCharType="begin"/>
            </w:r>
            <w:r w:rsidR="005C344C" w:rsidRPr="004A752B">
              <w:instrText xml:space="preserve"> PAGE </w:instrText>
            </w:r>
            <w:r w:rsidR="005C344C" w:rsidRPr="004A752B">
              <w:fldChar w:fldCharType="separate"/>
            </w:r>
            <w:r w:rsidR="005C344C">
              <w:t>2</w:t>
            </w:r>
            <w:r w:rsidR="005C344C" w:rsidRPr="004A752B">
              <w:fldChar w:fldCharType="end"/>
            </w:r>
            <w:r w:rsidR="004907D7" w:rsidRPr="00DE102A">
              <w:rPr>
                <w:noProof/>
              </w:rPr>
              <w:t xml:space="preserve"> of </w:t>
            </w:r>
            <w:r w:rsidR="005C344C">
              <w:fldChar w:fldCharType="begin"/>
            </w:r>
            <w:r w:rsidR="005C344C">
              <w:instrText xml:space="preserve"> NUMPAGES  </w:instrText>
            </w:r>
            <w:r w:rsidR="005C344C">
              <w:fldChar w:fldCharType="separate"/>
            </w:r>
            <w:r w:rsidR="005C344C">
              <w:t>3</w:t>
            </w:r>
            <w:r w:rsidR="005C344C">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689719"/>
      <w:docPartObj>
        <w:docPartGallery w:val="Page Numbers (Bottom of Page)"/>
        <w:docPartUnique/>
      </w:docPartObj>
    </w:sdtPr>
    <w:sdtEndPr>
      <w:rPr>
        <w:noProof/>
      </w:rPr>
    </w:sdtEndPr>
    <w:sdtContent>
      <w:sdt>
        <w:sdtPr>
          <w:id w:val="-2092766595"/>
          <w:docPartObj>
            <w:docPartGallery w:val="Page Numbers (Top of Page)"/>
            <w:docPartUnique/>
          </w:docPartObj>
        </w:sdtPr>
        <w:sdtContent>
          <w:p w14:paraId="7E11AE72" w14:textId="7052F53C" w:rsidR="00CD59BF" w:rsidRPr="00DE102A" w:rsidRDefault="00AD59BB" w:rsidP="00AD59BB">
            <w:pPr>
              <w:pStyle w:val="Footer"/>
            </w:pPr>
            <w:r>
              <w:t>Clinical Guide to Sepsis Management in Aotearoa New Zealand</w:t>
            </w:r>
            <w:r w:rsidR="00CD59BF" w:rsidRPr="00DE102A">
              <w:tab/>
            </w:r>
            <w:r w:rsidR="00580F59">
              <w:fldChar w:fldCharType="begin"/>
            </w:r>
            <w:r w:rsidR="00580F59">
              <w:instrText xml:space="preserve"> PAGE   \* MERGEFORMAT </w:instrText>
            </w:r>
            <w:r w:rsidR="00580F59">
              <w:fldChar w:fldCharType="separate"/>
            </w:r>
            <w:r w:rsidR="00580F59">
              <w:rPr>
                <w:noProof/>
              </w:rPr>
              <w:t>1</w:t>
            </w:r>
            <w:r w:rsidR="00580F59">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0CFBC" w14:textId="604023E6" w:rsidR="00CD59BF" w:rsidRPr="00CD59BF" w:rsidRDefault="00CD59BF" w:rsidP="00CD59BF">
    <w:pPr>
      <w:pStyle w:val="Footer"/>
    </w:pPr>
    <w:r w:rsidRPr="004A752B">
      <w:fldChar w:fldCharType="begin"/>
    </w:r>
    <w:r w:rsidRPr="004A752B">
      <w:instrText xml:space="preserve"> PAGE </w:instrText>
    </w:r>
    <w:r w:rsidRPr="004A752B">
      <w:fldChar w:fldCharType="separate"/>
    </w:r>
    <w:r>
      <w:t>4</w:t>
    </w:r>
    <w:r w:rsidRPr="004A752B">
      <w:fldChar w:fldCharType="end"/>
    </w:r>
    <w:r>
      <w:tab/>
    </w:r>
    <w:sdt>
      <w:sdtPr>
        <w:id w:val="-917472224"/>
        <w:docPartObj>
          <w:docPartGallery w:val="Page Numbers (Top of Page)"/>
          <w:docPartUnique/>
        </w:docPartObj>
      </w:sdtPr>
      <w:sdtContent>
        <w:r w:rsidR="00AD59BB">
          <w:t>Clinical Guide to Sepsis Management in Aotearoa New Zealand</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E0B05" w14:textId="77777777" w:rsidR="00D7550D" w:rsidRDefault="00D7550D" w:rsidP="003C45E1">
      <w:pPr>
        <w:spacing w:after="0" w:line="240" w:lineRule="auto"/>
      </w:pPr>
      <w:r>
        <w:separator/>
      </w:r>
    </w:p>
  </w:footnote>
  <w:footnote w:type="continuationSeparator" w:id="0">
    <w:p w14:paraId="2E77BC48" w14:textId="77777777" w:rsidR="00D7550D" w:rsidRDefault="00D7550D" w:rsidP="003C45E1">
      <w:pPr>
        <w:spacing w:after="0" w:line="240" w:lineRule="auto"/>
      </w:pPr>
      <w:r>
        <w:continuationSeparator/>
      </w:r>
    </w:p>
  </w:footnote>
  <w:footnote w:type="continuationNotice" w:id="1">
    <w:p w14:paraId="1987E9CC" w14:textId="77777777" w:rsidR="00D7550D" w:rsidRDefault="00D7550D">
      <w:pPr>
        <w:spacing w:after="0" w:line="240" w:lineRule="auto"/>
      </w:pPr>
    </w:p>
  </w:footnote>
  <w:footnote w:id="2">
    <w:p w14:paraId="5A1C90D9" w14:textId="77777777" w:rsidR="000F7B39" w:rsidRPr="00875034" w:rsidRDefault="000F7B39" w:rsidP="005D66B9">
      <w:pPr>
        <w:pStyle w:val="FootnoteText"/>
        <w:spacing w:after="40"/>
        <w:rPr>
          <w:lang w:val="en-GB"/>
        </w:rPr>
      </w:pPr>
      <w:r>
        <w:rPr>
          <w:rStyle w:val="FootnoteReference"/>
        </w:rPr>
        <w:footnoteRef/>
      </w:r>
      <w:r>
        <w:t xml:space="preserve"> BPAC guideline. </w:t>
      </w:r>
      <w:r>
        <w:rPr>
          <w:lang w:val="en-GB"/>
        </w:rPr>
        <w:t xml:space="preserve">Sepsis. Recognition, diagnosis and early management. June 2028 </w:t>
      </w:r>
    </w:p>
  </w:footnote>
  <w:footnote w:id="3">
    <w:p w14:paraId="14EDBDA9" w14:textId="77777777" w:rsidR="000F7B39" w:rsidRPr="003A4C17" w:rsidRDefault="000F7B39" w:rsidP="000F7B39">
      <w:pPr>
        <w:pStyle w:val="FootnoteText"/>
        <w:rPr>
          <w:lang w:val="en-GB"/>
        </w:rPr>
      </w:pPr>
      <w:r>
        <w:rPr>
          <w:rStyle w:val="FootnoteReference"/>
        </w:rPr>
        <w:footnoteRef/>
      </w:r>
      <w:r>
        <w:t xml:space="preserve"> NICE guideline. </w:t>
      </w:r>
      <w:r>
        <w:rPr>
          <w:lang w:val="en-GB"/>
        </w:rPr>
        <w:t>Suspected sepsis: recognition, diagnosis and early management. NG51. Published 13 July 2016. Updated 19 March 2024.</w:t>
      </w:r>
    </w:p>
  </w:footnote>
  <w:footnote w:id="4">
    <w:p w14:paraId="2D3B0048" w14:textId="5A883E37" w:rsidR="004538AE" w:rsidRDefault="004538AE">
      <w:pPr>
        <w:pStyle w:val="FootnoteText"/>
      </w:pPr>
      <w:r>
        <w:rPr>
          <w:rStyle w:val="FootnoteReference"/>
        </w:rPr>
        <w:footnoteRef/>
      </w:r>
      <w:r>
        <w:t xml:space="preserve"> </w:t>
      </w:r>
      <w:r w:rsidRPr="000446BD">
        <w:t xml:space="preserve">Al-Halawani R, Charlton PH, Qassem M, et al. 2023. </w:t>
      </w:r>
      <w:r w:rsidRPr="00A92B6C">
        <w:t>A review of the effect of skin pigmentation on pulse oximeter accuracy</w:t>
      </w:r>
      <w:r w:rsidRPr="000446BD">
        <w:t xml:space="preserve">. </w:t>
      </w:r>
      <w:r w:rsidRPr="000446BD">
        <w:rPr>
          <w:i/>
          <w:iCs/>
        </w:rPr>
        <w:t>Physiological Measurement</w:t>
      </w:r>
      <w:r w:rsidRPr="000446BD">
        <w:t xml:space="preserve"> 44(5): 05TR01.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0E753E9E"/>
    <w:multiLevelType w:val="multilevel"/>
    <w:tmpl w:val="D6924280"/>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7BC4BDA"/>
    <w:multiLevelType w:val="multilevel"/>
    <w:tmpl w:val="7E18D31C"/>
    <w:lvl w:ilvl="0">
      <w:start w:val="13"/>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C7269BB"/>
    <w:multiLevelType w:val="multilevel"/>
    <w:tmpl w:val="FCEA3A0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CD554C4"/>
    <w:multiLevelType w:val="multilevel"/>
    <w:tmpl w:val="6C4E6D2A"/>
    <w:lvl w:ilvl="0">
      <w:start w:val="18"/>
      <w:numFmt w:val="decimal"/>
      <w:lvlText w:val="%1"/>
      <w:lvlJc w:val="left"/>
      <w:pPr>
        <w:ind w:left="420" w:hanging="420"/>
      </w:pPr>
      <w:rPr>
        <w:rFonts w:eastAsia="Aptos" w:hint="default"/>
        <w:color w:val="000000" w:themeColor="text1"/>
        <w:sz w:val="22"/>
      </w:rPr>
    </w:lvl>
    <w:lvl w:ilvl="1">
      <w:start w:val="1"/>
      <w:numFmt w:val="decimal"/>
      <w:lvlText w:val="%1.%2"/>
      <w:lvlJc w:val="left"/>
      <w:pPr>
        <w:ind w:left="720" w:hanging="720"/>
      </w:pPr>
      <w:rPr>
        <w:rFonts w:eastAsia="Aptos" w:hint="default"/>
        <w:color w:val="000000" w:themeColor="text1"/>
        <w:sz w:val="22"/>
      </w:rPr>
    </w:lvl>
    <w:lvl w:ilvl="2">
      <w:start w:val="1"/>
      <w:numFmt w:val="decimal"/>
      <w:lvlText w:val="%1.%2.%3"/>
      <w:lvlJc w:val="left"/>
      <w:pPr>
        <w:ind w:left="720" w:hanging="720"/>
      </w:pPr>
      <w:rPr>
        <w:rFonts w:eastAsia="Aptos" w:hint="default"/>
        <w:color w:val="000000" w:themeColor="text1"/>
        <w:sz w:val="22"/>
      </w:rPr>
    </w:lvl>
    <w:lvl w:ilvl="3">
      <w:start w:val="1"/>
      <w:numFmt w:val="decimal"/>
      <w:lvlText w:val="%1.%2.%3.%4"/>
      <w:lvlJc w:val="left"/>
      <w:pPr>
        <w:ind w:left="1080" w:hanging="1080"/>
      </w:pPr>
      <w:rPr>
        <w:rFonts w:eastAsia="Aptos" w:hint="default"/>
        <w:color w:val="000000" w:themeColor="text1"/>
        <w:sz w:val="22"/>
      </w:rPr>
    </w:lvl>
    <w:lvl w:ilvl="4">
      <w:start w:val="1"/>
      <w:numFmt w:val="decimal"/>
      <w:lvlText w:val="%1.%2.%3.%4.%5"/>
      <w:lvlJc w:val="left"/>
      <w:pPr>
        <w:ind w:left="1080" w:hanging="1080"/>
      </w:pPr>
      <w:rPr>
        <w:rFonts w:eastAsia="Aptos" w:hint="default"/>
        <w:color w:val="000000" w:themeColor="text1"/>
        <w:sz w:val="22"/>
      </w:rPr>
    </w:lvl>
    <w:lvl w:ilvl="5">
      <w:start w:val="1"/>
      <w:numFmt w:val="decimal"/>
      <w:lvlText w:val="%1.%2.%3.%4.%5.%6"/>
      <w:lvlJc w:val="left"/>
      <w:pPr>
        <w:ind w:left="1440" w:hanging="1440"/>
      </w:pPr>
      <w:rPr>
        <w:rFonts w:eastAsia="Aptos" w:hint="default"/>
        <w:color w:val="000000" w:themeColor="text1"/>
        <w:sz w:val="22"/>
      </w:rPr>
    </w:lvl>
    <w:lvl w:ilvl="6">
      <w:start w:val="1"/>
      <w:numFmt w:val="decimal"/>
      <w:lvlText w:val="%1.%2.%3.%4.%5.%6.%7"/>
      <w:lvlJc w:val="left"/>
      <w:pPr>
        <w:ind w:left="1800" w:hanging="1800"/>
      </w:pPr>
      <w:rPr>
        <w:rFonts w:eastAsia="Aptos" w:hint="default"/>
        <w:color w:val="000000" w:themeColor="text1"/>
        <w:sz w:val="22"/>
      </w:rPr>
    </w:lvl>
    <w:lvl w:ilvl="7">
      <w:start w:val="1"/>
      <w:numFmt w:val="decimal"/>
      <w:lvlText w:val="%1.%2.%3.%4.%5.%6.%7.%8"/>
      <w:lvlJc w:val="left"/>
      <w:pPr>
        <w:ind w:left="1800" w:hanging="1800"/>
      </w:pPr>
      <w:rPr>
        <w:rFonts w:eastAsia="Aptos" w:hint="default"/>
        <w:color w:val="000000" w:themeColor="text1"/>
        <w:sz w:val="22"/>
      </w:rPr>
    </w:lvl>
    <w:lvl w:ilvl="8">
      <w:start w:val="1"/>
      <w:numFmt w:val="decimal"/>
      <w:lvlText w:val="%1.%2.%3.%4.%5.%6.%7.%8.%9"/>
      <w:lvlJc w:val="left"/>
      <w:pPr>
        <w:ind w:left="2160" w:hanging="2160"/>
      </w:pPr>
      <w:rPr>
        <w:rFonts w:eastAsia="Aptos" w:hint="default"/>
        <w:color w:val="000000" w:themeColor="text1"/>
        <w:sz w:val="22"/>
      </w:rPr>
    </w:lvl>
  </w:abstractNum>
  <w:abstractNum w:abstractNumId="5" w15:restartNumberingAfterBreak="0">
    <w:nsid w:val="1F9958D2"/>
    <w:multiLevelType w:val="multilevel"/>
    <w:tmpl w:val="4ED0FBEC"/>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74E1DB3"/>
    <w:multiLevelType w:val="multilevel"/>
    <w:tmpl w:val="410E3588"/>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3EA43B0"/>
    <w:multiLevelType w:val="multilevel"/>
    <w:tmpl w:val="1452126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DC854EC"/>
    <w:multiLevelType w:val="multilevel"/>
    <w:tmpl w:val="2FAA0BD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53D775E"/>
    <w:multiLevelType w:val="multilevel"/>
    <w:tmpl w:val="D5E8E26E"/>
    <w:lvl w:ilvl="0">
      <w:start w:val="1"/>
      <w:numFmt w:val="decimal"/>
      <w:lvlText w:val="%1."/>
      <w:lvlJc w:val="left"/>
      <w:pPr>
        <w:ind w:left="680" w:hanging="680"/>
      </w:pPr>
      <w:rPr>
        <w:rFonts w:ascii="Arial" w:hAnsi="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94C37B7"/>
    <w:multiLevelType w:val="multilevel"/>
    <w:tmpl w:val="641CDC6C"/>
    <w:lvl w:ilvl="0">
      <w:start w:val="1"/>
      <w:numFmt w:val="decimal"/>
      <w:lvlText w:val="1.%1"/>
      <w:lvlJc w:val="left"/>
      <w:pPr>
        <w:ind w:left="680" w:hanging="680"/>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9AA5224"/>
    <w:multiLevelType w:val="multilevel"/>
    <w:tmpl w:val="E5D6D4D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C144DB7"/>
    <w:multiLevelType w:val="multilevel"/>
    <w:tmpl w:val="C46E69CA"/>
    <w:lvl w:ilvl="0">
      <w:start w:val="1"/>
      <w:numFmt w:val="bullet"/>
      <w:pStyle w:val="TeThHauorabullets"/>
      <w:lvlText w:val=""/>
      <w:lvlJc w:val="left"/>
      <w:pPr>
        <w:ind w:left="397" w:hanging="39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7E240F1"/>
    <w:multiLevelType w:val="multilevel"/>
    <w:tmpl w:val="6176614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B3F4167"/>
    <w:multiLevelType w:val="hybridMultilevel"/>
    <w:tmpl w:val="826C0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12C1579"/>
    <w:multiLevelType w:val="hybridMultilevel"/>
    <w:tmpl w:val="48A43F7C"/>
    <w:lvl w:ilvl="0" w:tplc="F38A8466">
      <w:start w:val="1"/>
      <w:numFmt w:val="decimal"/>
      <w:lvlText w:val="22.%1"/>
      <w:lvlJc w:val="left"/>
      <w:pPr>
        <w:ind w:left="720" w:hanging="360"/>
      </w:pPr>
      <w:rPr>
        <w:rFonts w:ascii="Arial" w:hAnsi="Arial" w:hint="default"/>
        <w:b w:val="0"/>
        <w:i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3D23955"/>
    <w:multiLevelType w:val="multilevel"/>
    <w:tmpl w:val="6804C7F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5EF45C8"/>
    <w:multiLevelType w:val="multilevel"/>
    <w:tmpl w:val="93B0623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60A4843"/>
    <w:multiLevelType w:val="multilevel"/>
    <w:tmpl w:val="0B4006C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B2601D"/>
    <w:multiLevelType w:val="multilevel"/>
    <w:tmpl w:val="13F032D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A09315F"/>
    <w:multiLevelType w:val="multilevel"/>
    <w:tmpl w:val="9B50E3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BEE5293"/>
    <w:multiLevelType w:val="hybridMultilevel"/>
    <w:tmpl w:val="10B2C978"/>
    <w:lvl w:ilvl="0" w:tplc="14090001">
      <w:start w:val="1"/>
      <w:numFmt w:val="bullet"/>
      <w:lvlText w:val=""/>
      <w:lvlJc w:val="left"/>
      <w:pPr>
        <w:ind w:left="781" w:hanging="360"/>
      </w:pPr>
      <w:rPr>
        <w:rFonts w:ascii="Symbol" w:hAnsi="Symbol" w:hint="default"/>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23" w15:restartNumberingAfterBreak="0">
    <w:nsid w:val="6F4D2F47"/>
    <w:multiLevelType w:val="multilevel"/>
    <w:tmpl w:val="E23839EE"/>
    <w:lvl w:ilvl="0">
      <w:start w:val="1"/>
      <w:numFmt w:val="bullet"/>
      <w:lvlText w:val=""/>
      <w:lvlJc w:val="left"/>
      <w:pPr>
        <w:ind w:left="397" w:hanging="39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D63BC1"/>
    <w:multiLevelType w:val="multilevel"/>
    <w:tmpl w:val="40A20242"/>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3363E0A"/>
    <w:multiLevelType w:val="multilevel"/>
    <w:tmpl w:val="8640E250"/>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962E74"/>
    <w:multiLevelType w:val="multilevel"/>
    <w:tmpl w:val="AA9EF954"/>
    <w:lvl w:ilvl="0">
      <w:start w:val="19"/>
      <w:numFmt w:val="decimal"/>
      <w:lvlText w:val="%1"/>
      <w:lvlJc w:val="left"/>
      <w:pPr>
        <w:ind w:left="420" w:hanging="420"/>
      </w:pPr>
      <w:rPr>
        <w:rFonts w:eastAsiaTheme="minorEastAsia" w:hint="default"/>
        <w:color w:val="auto"/>
      </w:rPr>
    </w:lvl>
    <w:lvl w:ilvl="1">
      <w:start w:val="1"/>
      <w:numFmt w:val="decimal"/>
      <w:lvlText w:val="%1.%2"/>
      <w:lvlJc w:val="left"/>
      <w:pPr>
        <w:ind w:left="420" w:hanging="420"/>
      </w:pPr>
      <w:rPr>
        <w:rFonts w:eastAsiaTheme="minorEastAsia" w:hint="default"/>
        <w:color w:val="auto"/>
      </w:rPr>
    </w:lvl>
    <w:lvl w:ilvl="2">
      <w:start w:val="1"/>
      <w:numFmt w:val="decimal"/>
      <w:lvlText w:val="%1.%2.%3"/>
      <w:lvlJc w:val="left"/>
      <w:pPr>
        <w:ind w:left="720" w:hanging="720"/>
      </w:pPr>
      <w:rPr>
        <w:rFonts w:eastAsiaTheme="minorEastAsia" w:hint="default"/>
        <w:color w:val="auto"/>
      </w:rPr>
    </w:lvl>
    <w:lvl w:ilvl="3">
      <w:start w:val="1"/>
      <w:numFmt w:val="decimal"/>
      <w:lvlText w:val="%1.%2.%3.%4"/>
      <w:lvlJc w:val="left"/>
      <w:pPr>
        <w:ind w:left="720" w:hanging="720"/>
      </w:pPr>
      <w:rPr>
        <w:rFonts w:eastAsiaTheme="minorEastAsia" w:hint="default"/>
        <w:color w:val="auto"/>
      </w:rPr>
    </w:lvl>
    <w:lvl w:ilvl="4">
      <w:start w:val="1"/>
      <w:numFmt w:val="decimal"/>
      <w:lvlText w:val="%1.%2.%3.%4.%5"/>
      <w:lvlJc w:val="left"/>
      <w:pPr>
        <w:ind w:left="1080" w:hanging="1080"/>
      </w:pPr>
      <w:rPr>
        <w:rFonts w:eastAsiaTheme="minorEastAsia" w:hint="default"/>
        <w:color w:val="auto"/>
      </w:rPr>
    </w:lvl>
    <w:lvl w:ilvl="5">
      <w:start w:val="1"/>
      <w:numFmt w:val="decimal"/>
      <w:lvlText w:val="%1.%2.%3.%4.%5.%6"/>
      <w:lvlJc w:val="left"/>
      <w:pPr>
        <w:ind w:left="1080" w:hanging="1080"/>
      </w:pPr>
      <w:rPr>
        <w:rFonts w:eastAsiaTheme="minorEastAsia" w:hint="default"/>
        <w:color w:val="auto"/>
      </w:rPr>
    </w:lvl>
    <w:lvl w:ilvl="6">
      <w:start w:val="1"/>
      <w:numFmt w:val="decimal"/>
      <w:lvlText w:val="%1.%2.%3.%4.%5.%6.%7"/>
      <w:lvlJc w:val="left"/>
      <w:pPr>
        <w:ind w:left="1440" w:hanging="1440"/>
      </w:pPr>
      <w:rPr>
        <w:rFonts w:eastAsiaTheme="minorEastAsia" w:hint="default"/>
        <w:color w:val="auto"/>
      </w:rPr>
    </w:lvl>
    <w:lvl w:ilvl="7">
      <w:start w:val="1"/>
      <w:numFmt w:val="decimal"/>
      <w:lvlText w:val="%1.%2.%3.%4.%5.%6.%7.%8"/>
      <w:lvlJc w:val="left"/>
      <w:pPr>
        <w:ind w:left="1440" w:hanging="1440"/>
      </w:pPr>
      <w:rPr>
        <w:rFonts w:eastAsiaTheme="minorEastAsia" w:hint="default"/>
        <w:color w:val="auto"/>
      </w:rPr>
    </w:lvl>
    <w:lvl w:ilvl="8">
      <w:start w:val="1"/>
      <w:numFmt w:val="decimal"/>
      <w:lvlText w:val="%1.%2.%3.%4.%5.%6.%7.%8.%9"/>
      <w:lvlJc w:val="left"/>
      <w:pPr>
        <w:ind w:left="1800" w:hanging="1800"/>
      </w:pPr>
      <w:rPr>
        <w:rFonts w:eastAsiaTheme="minorEastAsia" w:hint="default"/>
        <w:color w:val="auto"/>
      </w:rPr>
    </w:lvl>
  </w:abstractNum>
  <w:abstractNum w:abstractNumId="27" w15:restartNumberingAfterBreak="0">
    <w:nsid w:val="77DC76D1"/>
    <w:multiLevelType w:val="hybridMultilevel"/>
    <w:tmpl w:val="4EEE60AE"/>
    <w:lvl w:ilvl="0" w:tplc="FE3CCAF6">
      <w:start w:val="1"/>
      <w:numFmt w:val="decimal"/>
      <w:lvlText w:val="21.%1"/>
      <w:lvlJc w:val="left"/>
      <w:pPr>
        <w:ind w:left="720" w:hanging="360"/>
      </w:pPr>
      <w:rPr>
        <w:rFonts w:ascii="Arial" w:hAnsi="Arial" w:hint="default"/>
        <w:b w:val="0"/>
        <w:i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97D099B"/>
    <w:multiLevelType w:val="multilevel"/>
    <w:tmpl w:val="58A4E3DA"/>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CDD0FC2"/>
    <w:multiLevelType w:val="multilevel"/>
    <w:tmpl w:val="71205164"/>
    <w:lvl w:ilvl="0">
      <w:start w:val="15"/>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7DC11718"/>
    <w:multiLevelType w:val="hybridMultilevel"/>
    <w:tmpl w:val="ACC6B854"/>
    <w:lvl w:ilvl="0" w:tplc="1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199098544">
    <w:abstractNumId w:val="8"/>
  </w:num>
  <w:num w:numId="2" w16cid:durableId="1515728625">
    <w:abstractNumId w:val="13"/>
  </w:num>
  <w:num w:numId="3" w16cid:durableId="999843847">
    <w:abstractNumId w:val="0"/>
  </w:num>
  <w:num w:numId="4" w16cid:durableId="1401710480">
    <w:abstractNumId w:val="21"/>
  </w:num>
  <w:num w:numId="5" w16cid:durableId="1155755944">
    <w:abstractNumId w:val="10"/>
  </w:num>
  <w:num w:numId="6" w16cid:durableId="505442289">
    <w:abstractNumId w:val="14"/>
  </w:num>
  <w:num w:numId="7" w16cid:durableId="1431583154">
    <w:abstractNumId w:val="3"/>
  </w:num>
  <w:num w:numId="8" w16cid:durableId="1466200098">
    <w:abstractNumId w:val="7"/>
  </w:num>
  <w:num w:numId="9" w16cid:durableId="1329013801">
    <w:abstractNumId w:val="9"/>
  </w:num>
  <w:num w:numId="10" w16cid:durableId="1489057787">
    <w:abstractNumId w:val="12"/>
  </w:num>
  <w:num w:numId="11" w16cid:durableId="1301960488">
    <w:abstractNumId w:val="17"/>
  </w:num>
  <w:num w:numId="12" w16cid:durableId="1377588170">
    <w:abstractNumId w:val="20"/>
  </w:num>
  <w:num w:numId="13" w16cid:durableId="1845977471">
    <w:abstractNumId w:val="28"/>
  </w:num>
  <w:num w:numId="14" w16cid:durableId="425923080">
    <w:abstractNumId w:val="6"/>
  </w:num>
  <w:num w:numId="15" w16cid:durableId="929045280">
    <w:abstractNumId w:val="30"/>
  </w:num>
  <w:num w:numId="16" w16cid:durableId="1102649755">
    <w:abstractNumId w:val="1"/>
  </w:num>
  <w:num w:numId="17" w16cid:durableId="1276063005">
    <w:abstractNumId w:val="2"/>
  </w:num>
  <w:num w:numId="18" w16cid:durableId="726338347">
    <w:abstractNumId w:val="5"/>
  </w:num>
  <w:num w:numId="19" w16cid:durableId="1700348634">
    <w:abstractNumId w:val="29"/>
  </w:num>
  <w:num w:numId="20" w16cid:durableId="1678195690">
    <w:abstractNumId w:val="18"/>
  </w:num>
  <w:num w:numId="21" w16cid:durableId="1176964920">
    <w:abstractNumId w:val="19"/>
  </w:num>
  <w:num w:numId="22" w16cid:durableId="503518254">
    <w:abstractNumId w:val="4"/>
  </w:num>
  <w:num w:numId="23" w16cid:durableId="1280212593">
    <w:abstractNumId w:val="26"/>
  </w:num>
  <w:num w:numId="24" w16cid:durableId="1738698789">
    <w:abstractNumId w:val="25"/>
  </w:num>
  <w:num w:numId="25" w16cid:durableId="10186492">
    <w:abstractNumId w:val="24"/>
  </w:num>
  <w:num w:numId="26" w16cid:durableId="2019502859">
    <w:abstractNumId w:val="23"/>
  </w:num>
  <w:num w:numId="27" w16cid:durableId="1178228355">
    <w:abstractNumId w:val="13"/>
  </w:num>
  <w:num w:numId="28" w16cid:durableId="1038816670">
    <w:abstractNumId w:val="27"/>
  </w:num>
  <w:num w:numId="29" w16cid:durableId="803429260">
    <w:abstractNumId w:val="13"/>
  </w:num>
  <w:num w:numId="30" w16cid:durableId="126167275">
    <w:abstractNumId w:val="13"/>
  </w:num>
  <w:num w:numId="31" w16cid:durableId="2105297843">
    <w:abstractNumId w:val="16"/>
  </w:num>
  <w:num w:numId="32" w16cid:durableId="1970210710">
    <w:abstractNumId w:val="13"/>
  </w:num>
  <w:num w:numId="33" w16cid:durableId="784420210">
    <w:abstractNumId w:val="11"/>
  </w:num>
  <w:num w:numId="34" w16cid:durableId="1439834476">
    <w:abstractNumId w:val="15"/>
  </w:num>
  <w:num w:numId="35" w16cid:durableId="140585735">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96"/>
    <w:rsid w:val="00000224"/>
    <w:rsid w:val="00003978"/>
    <w:rsid w:val="00004603"/>
    <w:rsid w:val="0000479F"/>
    <w:rsid w:val="00005986"/>
    <w:rsid w:val="00006CE1"/>
    <w:rsid w:val="000072B5"/>
    <w:rsid w:val="000115EC"/>
    <w:rsid w:val="00012CD3"/>
    <w:rsid w:val="00014BDF"/>
    <w:rsid w:val="000154D5"/>
    <w:rsid w:val="00015F44"/>
    <w:rsid w:val="00017216"/>
    <w:rsid w:val="00021734"/>
    <w:rsid w:val="00021A1A"/>
    <w:rsid w:val="000235D4"/>
    <w:rsid w:val="000236C7"/>
    <w:rsid w:val="00023B07"/>
    <w:rsid w:val="00024C7E"/>
    <w:rsid w:val="00024E26"/>
    <w:rsid w:val="000257D7"/>
    <w:rsid w:val="00026401"/>
    <w:rsid w:val="00027A73"/>
    <w:rsid w:val="00043083"/>
    <w:rsid w:val="00051CC0"/>
    <w:rsid w:val="0005287A"/>
    <w:rsid w:val="000528F1"/>
    <w:rsid w:val="00052B4C"/>
    <w:rsid w:val="00053896"/>
    <w:rsid w:val="0005504C"/>
    <w:rsid w:val="00057F11"/>
    <w:rsid w:val="00062B82"/>
    <w:rsid w:val="000634FF"/>
    <w:rsid w:val="00064CCB"/>
    <w:rsid w:val="00067C71"/>
    <w:rsid w:val="00070719"/>
    <w:rsid w:val="00071CE6"/>
    <w:rsid w:val="00072B90"/>
    <w:rsid w:val="0007520C"/>
    <w:rsid w:val="00076E10"/>
    <w:rsid w:val="00081524"/>
    <w:rsid w:val="00081E3B"/>
    <w:rsid w:val="0008575A"/>
    <w:rsid w:val="0008726B"/>
    <w:rsid w:val="00092A37"/>
    <w:rsid w:val="00092F13"/>
    <w:rsid w:val="00093955"/>
    <w:rsid w:val="00095BF5"/>
    <w:rsid w:val="00096C19"/>
    <w:rsid w:val="00097095"/>
    <w:rsid w:val="000A110B"/>
    <w:rsid w:val="000A124F"/>
    <w:rsid w:val="000A3072"/>
    <w:rsid w:val="000A44D4"/>
    <w:rsid w:val="000A5622"/>
    <w:rsid w:val="000A727A"/>
    <w:rsid w:val="000B111C"/>
    <w:rsid w:val="000C0DFF"/>
    <w:rsid w:val="000C1227"/>
    <w:rsid w:val="000C71F5"/>
    <w:rsid w:val="000D7E4B"/>
    <w:rsid w:val="000E0DB8"/>
    <w:rsid w:val="000E27F8"/>
    <w:rsid w:val="000E5B30"/>
    <w:rsid w:val="000F2B71"/>
    <w:rsid w:val="000F2C2D"/>
    <w:rsid w:val="000F32D0"/>
    <w:rsid w:val="000F7471"/>
    <w:rsid w:val="000F7B39"/>
    <w:rsid w:val="00101302"/>
    <w:rsid w:val="00104BBC"/>
    <w:rsid w:val="00105E23"/>
    <w:rsid w:val="00106ECE"/>
    <w:rsid w:val="001111D6"/>
    <w:rsid w:val="001123E1"/>
    <w:rsid w:val="00115489"/>
    <w:rsid w:val="00115AEB"/>
    <w:rsid w:val="001249E2"/>
    <w:rsid w:val="00125FA0"/>
    <w:rsid w:val="00130DB8"/>
    <w:rsid w:val="0013118C"/>
    <w:rsid w:val="00131E3D"/>
    <w:rsid w:val="00133F6A"/>
    <w:rsid w:val="00134EAD"/>
    <w:rsid w:val="00134F5C"/>
    <w:rsid w:val="001378CA"/>
    <w:rsid w:val="00140457"/>
    <w:rsid w:val="00140AAC"/>
    <w:rsid w:val="00147145"/>
    <w:rsid w:val="00150EC1"/>
    <w:rsid w:val="00150EE7"/>
    <w:rsid w:val="00150F2F"/>
    <w:rsid w:val="00153C73"/>
    <w:rsid w:val="001639FA"/>
    <w:rsid w:val="00164036"/>
    <w:rsid w:val="00164DF8"/>
    <w:rsid w:val="00165B6D"/>
    <w:rsid w:val="00165C94"/>
    <w:rsid w:val="00171C5D"/>
    <w:rsid w:val="00173B88"/>
    <w:rsid w:val="00183219"/>
    <w:rsid w:val="00183CC2"/>
    <w:rsid w:val="00183F98"/>
    <w:rsid w:val="001855EA"/>
    <w:rsid w:val="00185F52"/>
    <w:rsid w:val="001868AB"/>
    <w:rsid w:val="00193445"/>
    <w:rsid w:val="00193951"/>
    <w:rsid w:val="0019407B"/>
    <w:rsid w:val="00196E32"/>
    <w:rsid w:val="00197A8F"/>
    <w:rsid w:val="001A02AD"/>
    <w:rsid w:val="001A1007"/>
    <w:rsid w:val="001A132C"/>
    <w:rsid w:val="001A44E7"/>
    <w:rsid w:val="001A6553"/>
    <w:rsid w:val="001B161C"/>
    <w:rsid w:val="001B6AEC"/>
    <w:rsid w:val="001C2409"/>
    <w:rsid w:val="001C3F28"/>
    <w:rsid w:val="001D0822"/>
    <w:rsid w:val="001D2708"/>
    <w:rsid w:val="001D5E16"/>
    <w:rsid w:val="001D6AAD"/>
    <w:rsid w:val="001E06DF"/>
    <w:rsid w:val="001E08E6"/>
    <w:rsid w:val="001E0B57"/>
    <w:rsid w:val="001E6A9F"/>
    <w:rsid w:val="001F1896"/>
    <w:rsid w:val="001F22A2"/>
    <w:rsid w:val="001F3461"/>
    <w:rsid w:val="00200757"/>
    <w:rsid w:val="0020082F"/>
    <w:rsid w:val="0020107E"/>
    <w:rsid w:val="00203B06"/>
    <w:rsid w:val="00203EA2"/>
    <w:rsid w:val="00205657"/>
    <w:rsid w:val="00205AD6"/>
    <w:rsid w:val="002121B9"/>
    <w:rsid w:val="0021261B"/>
    <w:rsid w:val="002143F3"/>
    <w:rsid w:val="002201B7"/>
    <w:rsid w:val="00221077"/>
    <w:rsid w:val="00225BC0"/>
    <w:rsid w:val="0023026D"/>
    <w:rsid w:val="0023054B"/>
    <w:rsid w:val="002339EA"/>
    <w:rsid w:val="00234543"/>
    <w:rsid w:val="00236CEE"/>
    <w:rsid w:val="002371B4"/>
    <w:rsid w:val="00237533"/>
    <w:rsid w:val="00244839"/>
    <w:rsid w:val="00245178"/>
    <w:rsid w:val="002514A1"/>
    <w:rsid w:val="00252B7B"/>
    <w:rsid w:val="00253D0D"/>
    <w:rsid w:val="002665C5"/>
    <w:rsid w:val="0027152B"/>
    <w:rsid w:val="00272AA4"/>
    <w:rsid w:val="00275710"/>
    <w:rsid w:val="002808E9"/>
    <w:rsid w:val="00280FE8"/>
    <w:rsid w:val="00287D53"/>
    <w:rsid w:val="0029029C"/>
    <w:rsid w:val="00291E66"/>
    <w:rsid w:val="0029676C"/>
    <w:rsid w:val="002969D8"/>
    <w:rsid w:val="00297582"/>
    <w:rsid w:val="00297676"/>
    <w:rsid w:val="00297B4B"/>
    <w:rsid w:val="002A3DC3"/>
    <w:rsid w:val="002B4FF6"/>
    <w:rsid w:val="002C1AA7"/>
    <w:rsid w:val="002C5355"/>
    <w:rsid w:val="002C602E"/>
    <w:rsid w:val="002C6D95"/>
    <w:rsid w:val="002D22C7"/>
    <w:rsid w:val="002D7D9D"/>
    <w:rsid w:val="002E0FEE"/>
    <w:rsid w:val="002E1666"/>
    <w:rsid w:val="002E2CCF"/>
    <w:rsid w:val="002E4457"/>
    <w:rsid w:val="002E547C"/>
    <w:rsid w:val="002E7831"/>
    <w:rsid w:val="002F1A14"/>
    <w:rsid w:val="002F6704"/>
    <w:rsid w:val="0030109F"/>
    <w:rsid w:val="00301AB6"/>
    <w:rsid w:val="00303EF1"/>
    <w:rsid w:val="00310A90"/>
    <w:rsid w:val="00312BB1"/>
    <w:rsid w:val="003132CC"/>
    <w:rsid w:val="00313C71"/>
    <w:rsid w:val="003319FC"/>
    <w:rsid w:val="00331D2C"/>
    <w:rsid w:val="00331FC3"/>
    <w:rsid w:val="003362F8"/>
    <w:rsid w:val="00340841"/>
    <w:rsid w:val="0034255E"/>
    <w:rsid w:val="003451B3"/>
    <w:rsid w:val="00345201"/>
    <w:rsid w:val="00345ACC"/>
    <w:rsid w:val="003470AA"/>
    <w:rsid w:val="00350934"/>
    <w:rsid w:val="003557A9"/>
    <w:rsid w:val="003558C2"/>
    <w:rsid w:val="00356454"/>
    <w:rsid w:val="0035680A"/>
    <w:rsid w:val="0036225A"/>
    <w:rsid w:val="00366723"/>
    <w:rsid w:val="00370C0F"/>
    <w:rsid w:val="003720D9"/>
    <w:rsid w:val="00372989"/>
    <w:rsid w:val="00374EB2"/>
    <w:rsid w:val="003751B1"/>
    <w:rsid w:val="00377FBE"/>
    <w:rsid w:val="00380044"/>
    <w:rsid w:val="0038042C"/>
    <w:rsid w:val="003844F9"/>
    <w:rsid w:val="00386712"/>
    <w:rsid w:val="00390A08"/>
    <w:rsid w:val="00392C96"/>
    <w:rsid w:val="003A1838"/>
    <w:rsid w:val="003A3D1C"/>
    <w:rsid w:val="003B13D7"/>
    <w:rsid w:val="003B2535"/>
    <w:rsid w:val="003B6C8D"/>
    <w:rsid w:val="003B784D"/>
    <w:rsid w:val="003C45E1"/>
    <w:rsid w:val="003C5883"/>
    <w:rsid w:val="003D11A2"/>
    <w:rsid w:val="003D19E6"/>
    <w:rsid w:val="003E07F7"/>
    <w:rsid w:val="003E1978"/>
    <w:rsid w:val="003E2238"/>
    <w:rsid w:val="003E38E3"/>
    <w:rsid w:val="003E52D6"/>
    <w:rsid w:val="003E52E0"/>
    <w:rsid w:val="003F0791"/>
    <w:rsid w:val="003F5709"/>
    <w:rsid w:val="003F5A26"/>
    <w:rsid w:val="00402A50"/>
    <w:rsid w:val="00405795"/>
    <w:rsid w:val="0040657D"/>
    <w:rsid w:val="00407CA8"/>
    <w:rsid w:val="00410D2D"/>
    <w:rsid w:val="004114BA"/>
    <w:rsid w:val="004117F3"/>
    <w:rsid w:val="00411BBC"/>
    <w:rsid w:val="00414DC5"/>
    <w:rsid w:val="00416629"/>
    <w:rsid w:val="004201E0"/>
    <w:rsid w:val="004241B9"/>
    <w:rsid w:val="004258F9"/>
    <w:rsid w:val="00425AA0"/>
    <w:rsid w:val="00427C62"/>
    <w:rsid w:val="00432D5D"/>
    <w:rsid w:val="00432DE0"/>
    <w:rsid w:val="004330AD"/>
    <w:rsid w:val="00433D6F"/>
    <w:rsid w:val="004363F2"/>
    <w:rsid w:val="0043743D"/>
    <w:rsid w:val="00437601"/>
    <w:rsid w:val="00442889"/>
    <w:rsid w:val="004458DE"/>
    <w:rsid w:val="004466EF"/>
    <w:rsid w:val="00446CEF"/>
    <w:rsid w:val="00447327"/>
    <w:rsid w:val="0045000E"/>
    <w:rsid w:val="00450D07"/>
    <w:rsid w:val="004538AE"/>
    <w:rsid w:val="004568BF"/>
    <w:rsid w:val="0045730F"/>
    <w:rsid w:val="00461A9A"/>
    <w:rsid w:val="00461AE6"/>
    <w:rsid w:val="00462D7A"/>
    <w:rsid w:val="004639D3"/>
    <w:rsid w:val="00470861"/>
    <w:rsid w:val="00474FE5"/>
    <w:rsid w:val="0047638D"/>
    <w:rsid w:val="0047654C"/>
    <w:rsid w:val="00476B9D"/>
    <w:rsid w:val="0048247F"/>
    <w:rsid w:val="004846B0"/>
    <w:rsid w:val="004857E1"/>
    <w:rsid w:val="004907D7"/>
    <w:rsid w:val="004947A0"/>
    <w:rsid w:val="0049681B"/>
    <w:rsid w:val="004968AD"/>
    <w:rsid w:val="004A0BFD"/>
    <w:rsid w:val="004A0DE8"/>
    <w:rsid w:val="004A182F"/>
    <w:rsid w:val="004A1ACA"/>
    <w:rsid w:val="004A1E32"/>
    <w:rsid w:val="004A2F9B"/>
    <w:rsid w:val="004A54CE"/>
    <w:rsid w:val="004A6075"/>
    <w:rsid w:val="004B0E7D"/>
    <w:rsid w:val="004B387A"/>
    <w:rsid w:val="004B7369"/>
    <w:rsid w:val="004B7CE3"/>
    <w:rsid w:val="004C1780"/>
    <w:rsid w:val="004C24CF"/>
    <w:rsid w:val="004C6CC9"/>
    <w:rsid w:val="004C78E2"/>
    <w:rsid w:val="004D0AD0"/>
    <w:rsid w:val="004D441C"/>
    <w:rsid w:val="004D6696"/>
    <w:rsid w:val="004D7483"/>
    <w:rsid w:val="004E0317"/>
    <w:rsid w:val="004E04D9"/>
    <w:rsid w:val="004E1DD4"/>
    <w:rsid w:val="004E4BE9"/>
    <w:rsid w:val="004E6CE7"/>
    <w:rsid w:val="004F0CFB"/>
    <w:rsid w:val="004F1BD4"/>
    <w:rsid w:val="004F2FC5"/>
    <w:rsid w:val="004F6871"/>
    <w:rsid w:val="00500D6B"/>
    <w:rsid w:val="005025A1"/>
    <w:rsid w:val="00505999"/>
    <w:rsid w:val="005166FD"/>
    <w:rsid w:val="005240E9"/>
    <w:rsid w:val="005267A2"/>
    <w:rsid w:val="00530F66"/>
    <w:rsid w:val="00533F38"/>
    <w:rsid w:val="00533FA3"/>
    <w:rsid w:val="005351ED"/>
    <w:rsid w:val="005369FF"/>
    <w:rsid w:val="00540003"/>
    <w:rsid w:val="00541A66"/>
    <w:rsid w:val="00551DD8"/>
    <w:rsid w:val="005557C1"/>
    <w:rsid w:val="00555C13"/>
    <w:rsid w:val="00561028"/>
    <w:rsid w:val="00566A3D"/>
    <w:rsid w:val="0057025F"/>
    <w:rsid w:val="00572C53"/>
    <w:rsid w:val="0057334D"/>
    <w:rsid w:val="00576BE7"/>
    <w:rsid w:val="00580F29"/>
    <w:rsid w:val="00580F59"/>
    <w:rsid w:val="005820DB"/>
    <w:rsid w:val="005825AC"/>
    <w:rsid w:val="0058260A"/>
    <w:rsid w:val="0058455D"/>
    <w:rsid w:val="00584623"/>
    <w:rsid w:val="00585F2D"/>
    <w:rsid w:val="005871AC"/>
    <w:rsid w:val="00594523"/>
    <w:rsid w:val="00596C4E"/>
    <w:rsid w:val="005A14CD"/>
    <w:rsid w:val="005A37E5"/>
    <w:rsid w:val="005A48B2"/>
    <w:rsid w:val="005A5B29"/>
    <w:rsid w:val="005A6D47"/>
    <w:rsid w:val="005A722B"/>
    <w:rsid w:val="005B033F"/>
    <w:rsid w:val="005B59BC"/>
    <w:rsid w:val="005B68AE"/>
    <w:rsid w:val="005C344C"/>
    <w:rsid w:val="005C48F2"/>
    <w:rsid w:val="005D330D"/>
    <w:rsid w:val="005D4B68"/>
    <w:rsid w:val="005D66B9"/>
    <w:rsid w:val="005D7DB0"/>
    <w:rsid w:val="005E1C29"/>
    <w:rsid w:val="005E3A56"/>
    <w:rsid w:val="005E6563"/>
    <w:rsid w:val="005F2B44"/>
    <w:rsid w:val="005F4F38"/>
    <w:rsid w:val="00606E99"/>
    <w:rsid w:val="006107EF"/>
    <w:rsid w:val="00614081"/>
    <w:rsid w:val="00616D20"/>
    <w:rsid w:val="00622409"/>
    <w:rsid w:val="0062308A"/>
    <w:rsid w:val="00630927"/>
    <w:rsid w:val="00630A1A"/>
    <w:rsid w:val="00632295"/>
    <w:rsid w:val="00632461"/>
    <w:rsid w:val="00635F6B"/>
    <w:rsid w:val="00640803"/>
    <w:rsid w:val="00640F2D"/>
    <w:rsid w:val="00641AC2"/>
    <w:rsid w:val="00642B2B"/>
    <w:rsid w:val="006469DF"/>
    <w:rsid w:val="00646AB1"/>
    <w:rsid w:val="00647329"/>
    <w:rsid w:val="006501CA"/>
    <w:rsid w:val="00651EE8"/>
    <w:rsid w:val="00652773"/>
    <w:rsid w:val="0065374E"/>
    <w:rsid w:val="0065535B"/>
    <w:rsid w:val="006556B0"/>
    <w:rsid w:val="00662F45"/>
    <w:rsid w:val="006646B3"/>
    <w:rsid w:val="006651CF"/>
    <w:rsid w:val="006657D7"/>
    <w:rsid w:val="00665D22"/>
    <w:rsid w:val="00672126"/>
    <w:rsid w:val="0067432D"/>
    <w:rsid w:val="00675B7E"/>
    <w:rsid w:val="006778E3"/>
    <w:rsid w:val="00677DF6"/>
    <w:rsid w:val="00680240"/>
    <w:rsid w:val="00681B4C"/>
    <w:rsid w:val="006821D2"/>
    <w:rsid w:val="0068435B"/>
    <w:rsid w:val="0069060A"/>
    <w:rsid w:val="006907DA"/>
    <w:rsid w:val="00691F5B"/>
    <w:rsid w:val="00692787"/>
    <w:rsid w:val="00695C2D"/>
    <w:rsid w:val="00696DEB"/>
    <w:rsid w:val="00697C79"/>
    <w:rsid w:val="006A0592"/>
    <w:rsid w:val="006A3910"/>
    <w:rsid w:val="006A473A"/>
    <w:rsid w:val="006A4E3B"/>
    <w:rsid w:val="006A5331"/>
    <w:rsid w:val="006A6F8D"/>
    <w:rsid w:val="006A7E69"/>
    <w:rsid w:val="006B2F4A"/>
    <w:rsid w:val="006B4B65"/>
    <w:rsid w:val="006B4E4A"/>
    <w:rsid w:val="006B7508"/>
    <w:rsid w:val="006C6809"/>
    <w:rsid w:val="006D2995"/>
    <w:rsid w:val="006D341B"/>
    <w:rsid w:val="006D3D27"/>
    <w:rsid w:val="006D4188"/>
    <w:rsid w:val="006D4BD1"/>
    <w:rsid w:val="006D666D"/>
    <w:rsid w:val="006E00EE"/>
    <w:rsid w:val="006E0CBC"/>
    <w:rsid w:val="006E1EC2"/>
    <w:rsid w:val="006E3D7B"/>
    <w:rsid w:val="006E4525"/>
    <w:rsid w:val="006E5039"/>
    <w:rsid w:val="006E706A"/>
    <w:rsid w:val="006E7F66"/>
    <w:rsid w:val="006F4324"/>
    <w:rsid w:val="006F4DD7"/>
    <w:rsid w:val="006F4F4B"/>
    <w:rsid w:val="00700503"/>
    <w:rsid w:val="00702438"/>
    <w:rsid w:val="00703375"/>
    <w:rsid w:val="00705702"/>
    <w:rsid w:val="00707E7B"/>
    <w:rsid w:val="0071399E"/>
    <w:rsid w:val="00716634"/>
    <w:rsid w:val="00721B97"/>
    <w:rsid w:val="00722C09"/>
    <w:rsid w:val="007248A2"/>
    <w:rsid w:val="00732FBC"/>
    <w:rsid w:val="0073366A"/>
    <w:rsid w:val="007347F0"/>
    <w:rsid w:val="007351D5"/>
    <w:rsid w:val="00735C84"/>
    <w:rsid w:val="007415A2"/>
    <w:rsid w:val="00741985"/>
    <w:rsid w:val="007511A5"/>
    <w:rsid w:val="00751DED"/>
    <w:rsid w:val="00752144"/>
    <w:rsid w:val="00752C65"/>
    <w:rsid w:val="00757FD8"/>
    <w:rsid w:val="00760894"/>
    <w:rsid w:val="00762438"/>
    <w:rsid w:val="00763715"/>
    <w:rsid w:val="00764327"/>
    <w:rsid w:val="00764E9F"/>
    <w:rsid w:val="00770D2E"/>
    <w:rsid w:val="00771E61"/>
    <w:rsid w:val="00775E64"/>
    <w:rsid w:val="00776A53"/>
    <w:rsid w:val="007852F8"/>
    <w:rsid w:val="00786552"/>
    <w:rsid w:val="00790B45"/>
    <w:rsid w:val="007922E7"/>
    <w:rsid w:val="0079296A"/>
    <w:rsid w:val="00792AB5"/>
    <w:rsid w:val="00792E41"/>
    <w:rsid w:val="00792E4C"/>
    <w:rsid w:val="00797213"/>
    <w:rsid w:val="007A0445"/>
    <w:rsid w:val="007A13D0"/>
    <w:rsid w:val="007A570B"/>
    <w:rsid w:val="007B151D"/>
    <w:rsid w:val="007B212E"/>
    <w:rsid w:val="007B2E6E"/>
    <w:rsid w:val="007B48F2"/>
    <w:rsid w:val="007C13AC"/>
    <w:rsid w:val="007C2E58"/>
    <w:rsid w:val="007C3522"/>
    <w:rsid w:val="007C454E"/>
    <w:rsid w:val="007C7ED1"/>
    <w:rsid w:val="007D219A"/>
    <w:rsid w:val="007D34AD"/>
    <w:rsid w:val="007E0634"/>
    <w:rsid w:val="007E32B6"/>
    <w:rsid w:val="007E5241"/>
    <w:rsid w:val="007F0DB8"/>
    <w:rsid w:val="007F2D3B"/>
    <w:rsid w:val="007F489B"/>
    <w:rsid w:val="007F694F"/>
    <w:rsid w:val="007F7612"/>
    <w:rsid w:val="007F79FC"/>
    <w:rsid w:val="00801A1F"/>
    <w:rsid w:val="0080238B"/>
    <w:rsid w:val="00802A41"/>
    <w:rsid w:val="00803339"/>
    <w:rsid w:val="008036BA"/>
    <w:rsid w:val="0080549C"/>
    <w:rsid w:val="00806A50"/>
    <w:rsid w:val="00810C73"/>
    <w:rsid w:val="00811082"/>
    <w:rsid w:val="00811357"/>
    <w:rsid w:val="008115CF"/>
    <w:rsid w:val="008131B0"/>
    <w:rsid w:val="00816A83"/>
    <w:rsid w:val="00823DC9"/>
    <w:rsid w:val="008277C8"/>
    <w:rsid w:val="008332F5"/>
    <w:rsid w:val="00833405"/>
    <w:rsid w:val="0083520B"/>
    <w:rsid w:val="00836C24"/>
    <w:rsid w:val="00840BE9"/>
    <w:rsid w:val="00841260"/>
    <w:rsid w:val="00842F8F"/>
    <w:rsid w:val="00845529"/>
    <w:rsid w:val="00845F20"/>
    <w:rsid w:val="0084633E"/>
    <w:rsid w:val="00846C16"/>
    <w:rsid w:val="00847F79"/>
    <w:rsid w:val="0085071D"/>
    <w:rsid w:val="00851905"/>
    <w:rsid w:val="00853F09"/>
    <w:rsid w:val="0085597F"/>
    <w:rsid w:val="008601B0"/>
    <w:rsid w:val="00861C08"/>
    <w:rsid w:val="008642B5"/>
    <w:rsid w:val="00865172"/>
    <w:rsid w:val="00866DEC"/>
    <w:rsid w:val="0087040B"/>
    <w:rsid w:val="008737AF"/>
    <w:rsid w:val="008739C8"/>
    <w:rsid w:val="008746E3"/>
    <w:rsid w:val="00875747"/>
    <w:rsid w:val="00881869"/>
    <w:rsid w:val="008846CF"/>
    <w:rsid w:val="00886796"/>
    <w:rsid w:val="008917AD"/>
    <w:rsid w:val="00894241"/>
    <w:rsid w:val="008946E7"/>
    <w:rsid w:val="008960B0"/>
    <w:rsid w:val="008A3529"/>
    <w:rsid w:val="008A60AE"/>
    <w:rsid w:val="008B0E06"/>
    <w:rsid w:val="008B4E25"/>
    <w:rsid w:val="008C329A"/>
    <w:rsid w:val="008C4218"/>
    <w:rsid w:val="008C5C35"/>
    <w:rsid w:val="008C5E97"/>
    <w:rsid w:val="008D0030"/>
    <w:rsid w:val="008D1E6C"/>
    <w:rsid w:val="008D7ACA"/>
    <w:rsid w:val="008D7B48"/>
    <w:rsid w:val="008E1024"/>
    <w:rsid w:val="008E2EDC"/>
    <w:rsid w:val="008E6DB9"/>
    <w:rsid w:val="008F0563"/>
    <w:rsid w:val="008F12DC"/>
    <w:rsid w:val="008F142E"/>
    <w:rsid w:val="008F6B3D"/>
    <w:rsid w:val="008F6ECF"/>
    <w:rsid w:val="008F749A"/>
    <w:rsid w:val="008F7E81"/>
    <w:rsid w:val="00900AFF"/>
    <w:rsid w:val="00905630"/>
    <w:rsid w:val="00906793"/>
    <w:rsid w:val="00906B11"/>
    <w:rsid w:val="00911920"/>
    <w:rsid w:val="00914500"/>
    <w:rsid w:val="00915D2C"/>
    <w:rsid w:val="009200C0"/>
    <w:rsid w:val="0092294D"/>
    <w:rsid w:val="00923481"/>
    <w:rsid w:val="00930B7A"/>
    <w:rsid w:val="00930BF3"/>
    <w:rsid w:val="009350E4"/>
    <w:rsid w:val="00940008"/>
    <w:rsid w:val="0094131A"/>
    <w:rsid w:val="00944659"/>
    <w:rsid w:val="00944F61"/>
    <w:rsid w:val="00951121"/>
    <w:rsid w:val="009522ED"/>
    <w:rsid w:val="00952FE6"/>
    <w:rsid w:val="009538DA"/>
    <w:rsid w:val="00960486"/>
    <w:rsid w:val="0096081E"/>
    <w:rsid w:val="00962138"/>
    <w:rsid w:val="009727E5"/>
    <w:rsid w:val="009740A1"/>
    <w:rsid w:val="0097679C"/>
    <w:rsid w:val="00980E85"/>
    <w:rsid w:val="00982038"/>
    <w:rsid w:val="009860B1"/>
    <w:rsid w:val="00987573"/>
    <w:rsid w:val="00991FC7"/>
    <w:rsid w:val="009930FF"/>
    <w:rsid w:val="00994889"/>
    <w:rsid w:val="00995096"/>
    <w:rsid w:val="00995BAE"/>
    <w:rsid w:val="00997C47"/>
    <w:rsid w:val="009A0136"/>
    <w:rsid w:val="009A0EF7"/>
    <w:rsid w:val="009A0EFC"/>
    <w:rsid w:val="009A15FC"/>
    <w:rsid w:val="009A1B89"/>
    <w:rsid w:val="009A1E79"/>
    <w:rsid w:val="009A270D"/>
    <w:rsid w:val="009A4A06"/>
    <w:rsid w:val="009A4F53"/>
    <w:rsid w:val="009A5930"/>
    <w:rsid w:val="009A65BA"/>
    <w:rsid w:val="009A7126"/>
    <w:rsid w:val="009B0A87"/>
    <w:rsid w:val="009B1229"/>
    <w:rsid w:val="009B25F5"/>
    <w:rsid w:val="009B4E57"/>
    <w:rsid w:val="009B5C4F"/>
    <w:rsid w:val="009B60E1"/>
    <w:rsid w:val="009B6390"/>
    <w:rsid w:val="009B6DBE"/>
    <w:rsid w:val="009C107F"/>
    <w:rsid w:val="009C22A0"/>
    <w:rsid w:val="009C3C1A"/>
    <w:rsid w:val="009C409A"/>
    <w:rsid w:val="009C6431"/>
    <w:rsid w:val="009D4AF8"/>
    <w:rsid w:val="009D56D9"/>
    <w:rsid w:val="009D622E"/>
    <w:rsid w:val="009D79CD"/>
    <w:rsid w:val="009E1ED9"/>
    <w:rsid w:val="009E260E"/>
    <w:rsid w:val="009E2620"/>
    <w:rsid w:val="009E52B6"/>
    <w:rsid w:val="009E5660"/>
    <w:rsid w:val="009F4804"/>
    <w:rsid w:val="009F713A"/>
    <w:rsid w:val="009F7F5F"/>
    <w:rsid w:val="00A00662"/>
    <w:rsid w:val="00A02A1B"/>
    <w:rsid w:val="00A03AF2"/>
    <w:rsid w:val="00A0512B"/>
    <w:rsid w:val="00A052F6"/>
    <w:rsid w:val="00A11A18"/>
    <w:rsid w:val="00A12764"/>
    <w:rsid w:val="00A13A94"/>
    <w:rsid w:val="00A15C21"/>
    <w:rsid w:val="00A200DD"/>
    <w:rsid w:val="00A203DB"/>
    <w:rsid w:val="00A225AF"/>
    <w:rsid w:val="00A23748"/>
    <w:rsid w:val="00A2381C"/>
    <w:rsid w:val="00A23F96"/>
    <w:rsid w:val="00A278C8"/>
    <w:rsid w:val="00A313E6"/>
    <w:rsid w:val="00A322BB"/>
    <w:rsid w:val="00A32B11"/>
    <w:rsid w:val="00A41608"/>
    <w:rsid w:val="00A46214"/>
    <w:rsid w:val="00A53296"/>
    <w:rsid w:val="00A533FF"/>
    <w:rsid w:val="00A54C80"/>
    <w:rsid w:val="00A54CFC"/>
    <w:rsid w:val="00A554B4"/>
    <w:rsid w:val="00A56998"/>
    <w:rsid w:val="00A57261"/>
    <w:rsid w:val="00A6040B"/>
    <w:rsid w:val="00A621C7"/>
    <w:rsid w:val="00A627C3"/>
    <w:rsid w:val="00A64FAA"/>
    <w:rsid w:val="00A66C36"/>
    <w:rsid w:val="00A67C26"/>
    <w:rsid w:val="00A70B1C"/>
    <w:rsid w:val="00A7257A"/>
    <w:rsid w:val="00A7328E"/>
    <w:rsid w:val="00A75C6B"/>
    <w:rsid w:val="00A7698C"/>
    <w:rsid w:val="00A80094"/>
    <w:rsid w:val="00A87AEA"/>
    <w:rsid w:val="00A9188E"/>
    <w:rsid w:val="00A9198C"/>
    <w:rsid w:val="00A9286C"/>
    <w:rsid w:val="00A92C02"/>
    <w:rsid w:val="00A93AD6"/>
    <w:rsid w:val="00A94A67"/>
    <w:rsid w:val="00A959BB"/>
    <w:rsid w:val="00A95C29"/>
    <w:rsid w:val="00A977A0"/>
    <w:rsid w:val="00A97B76"/>
    <w:rsid w:val="00AA031A"/>
    <w:rsid w:val="00AA4976"/>
    <w:rsid w:val="00AA7B43"/>
    <w:rsid w:val="00AB01EE"/>
    <w:rsid w:val="00AC0387"/>
    <w:rsid w:val="00AC1F59"/>
    <w:rsid w:val="00AC3D8C"/>
    <w:rsid w:val="00AC507E"/>
    <w:rsid w:val="00AC637F"/>
    <w:rsid w:val="00AD0A3A"/>
    <w:rsid w:val="00AD241E"/>
    <w:rsid w:val="00AD52B8"/>
    <w:rsid w:val="00AD59BB"/>
    <w:rsid w:val="00AE117F"/>
    <w:rsid w:val="00AE395A"/>
    <w:rsid w:val="00AE55DB"/>
    <w:rsid w:val="00AE7AB9"/>
    <w:rsid w:val="00AE7F4C"/>
    <w:rsid w:val="00AF29E6"/>
    <w:rsid w:val="00B019F8"/>
    <w:rsid w:val="00B05AF3"/>
    <w:rsid w:val="00B0744F"/>
    <w:rsid w:val="00B10CC1"/>
    <w:rsid w:val="00B11465"/>
    <w:rsid w:val="00B20E20"/>
    <w:rsid w:val="00B23E77"/>
    <w:rsid w:val="00B23EF3"/>
    <w:rsid w:val="00B23F87"/>
    <w:rsid w:val="00B2441A"/>
    <w:rsid w:val="00B33B6D"/>
    <w:rsid w:val="00B347E2"/>
    <w:rsid w:val="00B36433"/>
    <w:rsid w:val="00B3730C"/>
    <w:rsid w:val="00B42FDE"/>
    <w:rsid w:val="00B43090"/>
    <w:rsid w:val="00B4731B"/>
    <w:rsid w:val="00B51A14"/>
    <w:rsid w:val="00B55A68"/>
    <w:rsid w:val="00B565F8"/>
    <w:rsid w:val="00B57F3B"/>
    <w:rsid w:val="00B61DF2"/>
    <w:rsid w:val="00B660B9"/>
    <w:rsid w:val="00B673CF"/>
    <w:rsid w:val="00B708C2"/>
    <w:rsid w:val="00B716A4"/>
    <w:rsid w:val="00B72319"/>
    <w:rsid w:val="00B74276"/>
    <w:rsid w:val="00B74EE3"/>
    <w:rsid w:val="00B74F22"/>
    <w:rsid w:val="00B7606A"/>
    <w:rsid w:val="00B86B40"/>
    <w:rsid w:val="00B93B91"/>
    <w:rsid w:val="00B94E9E"/>
    <w:rsid w:val="00B96A41"/>
    <w:rsid w:val="00B97AD4"/>
    <w:rsid w:val="00BA1654"/>
    <w:rsid w:val="00BA1ECC"/>
    <w:rsid w:val="00BA37BF"/>
    <w:rsid w:val="00BA3F77"/>
    <w:rsid w:val="00BA61CB"/>
    <w:rsid w:val="00BA785D"/>
    <w:rsid w:val="00BA7D58"/>
    <w:rsid w:val="00BA7FA4"/>
    <w:rsid w:val="00BB145B"/>
    <w:rsid w:val="00BB18D0"/>
    <w:rsid w:val="00BB51D5"/>
    <w:rsid w:val="00BB7084"/>
    <w:rsid w:val="00BB7FC7"/>
    <w:rsid w:val="00BC1F1C"/>
    <w:rsid w:val="00BC497B"/>
    <w:rsid w:val="00BD1AA4"/>
    <w:rsid w:val="00BD305F"/>
    <w:rsid w:val="00BD3434"/>
    <w:rsid w:val="00BD3899"/>
    <w:rsid w:val="00BD683A"/>
    <w:rsid w:val="00BD7F74"/>
    <w:rsid w:val="00BE0610"/>
    <w:rsid w:val="00BE162D"/>
    <w:rsid w:val="00BE2A2D"/>
    <w:rsid w:val="00BE3307"/>
    <w:rsid w:val="00BE52A6"/>
    <w:rsid w:val="00BE5700"/>
    <w:rsid w:val="00BE5E71"/>
    <w:rsid w:val="00BE7FD0"/>
    <w:rsid w:val="00BF08F7"/>
    <w:rsid w:val="00C07928"/>
    <w:rsid w:val="00C109D3"/>
    <w:rsid w:val="00C11053"/>
    <w:rsid w:val="00C1691A"/>
    <w:rsid w:val="00C1717A"/>
    <w:rsid w:val="00C1781F"/>
    <w:rsid w:val="00C20EAA"/>
    <w:rsid w:val="00C23346"/>
    <w:rsid w:val="00C2406E"/>
    <w:rsid w:val="00C25CB9"/>
    <w:rsid w:val="00C27859"/>
    <w:rsid w:val="00C31730"/>
    <w:rsid w:val="00C32949"/>
    <w:rsid w:val="00C41F1F"/>
    <w:rsid w:val="00C43870"/>
    <w:rsid w:val="00C51579"/>
    <w:rsid w:val="00C61DB7"/>
    <w:rsid w:val="00C633DE"/>
    <w:rsid w:val="00C63DD9"/>
    <w:rsid w:val="00C66B7E"/>
    <w:rsid w:val="00C6752C"/>
    <w:rsid w:val="00C678D4"/>
    <w:rsid w:val="00C73020"/>
    <w:rsid w:val="00C74F05"/>
    <w:rsid w:val="00C75F79"/>
    <w:rsid w:val="00C761F8"/>
    <w:rsid w:val="00C764B2"/>
    <w:rsid w:val="00C82C31"/>
    <w:rsid w:val="00C83077"/>
    <w:rsid w:val="00C8315E"/>
    <w:rsid w:val="00C865CE"/>
    <w:rsid w:val="00C9095C"/>
    <w:rsid w:val="00C92BEA"/>
    <w:rsid w:val="00C954AC"/>
    <w:rsid w:val="00CA2A61"/>
    <w:rsid w:val="00CA34D7"/>
    <w:rsid w:val="00CA4AD9"/>
    <w:rsid w:val="00CA7F3D"/>
    <w:rsid w:val="00CB02E0"/>
    <w:rsid w:val="00CB187D"/>
    <w:rsid w:val="00CB53DD"/>
    <w:rsid w:val="00CC32F3"/>
    <w:rsid w:val="00CC7007"/>
    <w:rsid w:val="00CD1784"/>
    <w:rsid w:val="00CD1AAF"/>
    <w:rsid w:val="00CD433E"/>
    <w:rsid w:val="00CD532E"/>
    <w:rsid w:val="00CD59BF"/>
    <w:rsid w:val="00CD6333"/>
    <w:rsid w:val="00CD67A5"/>
    <w:rsid w:val="00CE0FC3"/>
    <w:rsid w:val="00CE13F7"/>
    <w:rsid w:val="00CE24F8"/>
    <w:rsid w:val="00CE468C"/>
    <w:rsid w:val="00CE685C"/>
    <w:rsid w:val="00CF29F7"/>
    <w:rsid w:val="00CF7784"/>
    <w:rsid w:val="00D02530"/>
    <w:rsid w:val="00D02CC6"/>
    <w:rsid w:val="00D105CA"/>
    <w:rsid w:val="00D10D67"/>
    <w:rsid w:val="00D116BA"/>
    <w:rsid w:val="00D12FC1"/>
    <w:rsid w:val="00D132F2"/>
    <w:rsid w:val="00D156CC"/>
    <w:rsid w:val="00D20568"/>
    <w:rsid w:val="00D20A65"/>
    <w:rsid w:val="00D229A8"/>
    <w:rsid w:val="00D230FD"/>
    <w:rsid w:val="00D23541"/>
    <w:rsid w:val="00D23DEF"/>
    <w:rsid w:val="00D241F5"/>
    <w:rsid w:val="00D25A5D"/>
    <w:rsid w:val="00D271E6"/>
    <w:rsid w:val="00D37168"/>
    <w:rsid w:val="00D41B94"/>
    <w:rsid w:val="00D44EB1"/>
    <w:rsid w:val="00D45E95"/>
    <w:rsid w:val="00D50662"/>
    <w:rsid w:val="00D53FA8"/>
    <w:rsid w:val="00D627A8"/>
    <w:rsid w:val="00D64AAD"/>
    <w:rsid w:val="00D64D6E"/>
    <w:rsid w:val="00D6540B"/>
    <w:rsid w:val="00D74DFB"/>
    <w:rsid w:val="00D7550D"/>
    <w:rsid w:val="00D76C8D"/>
    <w:rsid w:val="00D76D56"/>
    <w:rsid w:val="00D81314"/>
    <w:rsid w:val="00D81D1A"/>
    <w:rsid w:val="00D82520"/>
    <w:rsid w:val="00D83ACB"/>
    <w:rsid w:val="00D83DCB"/>
    <w:rsid w:val="00D83F43"/>
    <w:rsid w:val="00D86B58"/>
    <w:rsid w:val="00D927B8"/>
    <w:rsid w:val="00D928FD"/>
    <w:rsid w:val="00D933BC"/>
    <w:rsid w:val="00D96F18"/>
    <w:rsid w:val="00DA60DF"/>
    <w:rsid w:val="00DA78ED"/>
    <w:rsid w:val="00DB10A5"/>
    <w:rsid w:val="00DB3901"/>
    <w:rsid w:val="00DB5AAE"/>
    <w:rsid w:val="00DB7060"/>
    <w:rsid w:val="00DB7F7B"/>
    <w:rsid w:val="00DC1D67"/>
    <w:rsid w:val="00DC47C0"/>
    <w:rsid w:val="00DD3430"/>
    <w:rsid w:val="00DD3D3C"/>
    <w:rsid w:val="00DD3F10"/>
    <w:rsid w:val="00DD708A"/>
    <w:rsid w:val="00DE0E3A"/>
    <w:rsid w:val="00DE102A"/>
    <w:rsid w:val="00DE26FF"/>
    <w:rsid w:val="00DE3C40"/>
    <w:rsid w:val="00DE55D5"/>
    <w:rsid w:val="00DF463E"/>
    <w:rsid w:val="00DF539A"/>
    <w:rsid w:val="00DF7671"/>
    <w:rsid w:val="00E00A16"/>
    <w:rsid w:val="00E0234F"/>
    <w:rsid w:val="00E03981"/>
    <w:rsid w:val="00E04D7E"/>
    <w:rsid w:val="00E05152"/>
    <w:rsid w:val="00E07049"/>
    <w:rsid w:val="00E11A1F"/>
    <w:rsid w:val="00E1323D"/>
    <w:rsid w:val="00E14BE1"/>
    <w:rsid w:val="00E16359"/>
    <w:rsid w:val="00E34D4A"/>
    <w:rsid w:val="00E355BB"/>
    <w:rsid w:val="00E36E61"/>
    <w:rsid w:val="00E36FF7"/>
    <w:rsid w:val="00E426BD"/>
    <w:rsid w:val="00E4339E"/>
    <w:rsid w:val="00E462D4"/>
    <w:rsid w:val="00E47C92"/>
    <w:rsid w:val="00E5006D"/>
    <w:rsid w:val="00E5091C"/>
    <w:rsid w:val="00E50E8D"/>
    <w:rsid w:val="00E53937"/>
    <w:rsid w:val="00E5420C"/>
    <w:rsid w:val="00E56485"/>
    <w:rsid w:val="00E60914"/>
    <w:rsid w:val="00E620C7"/>
    <w:rsid w:val="00E65439"/>
    <w:rsid w:val="00E6626F"/>
    <w:rsid w:val="00E66736"/>
    <w:rsid w:val="00E66A5A"/>
    <w:rsid w:val="00E83591"/>
    <w:rsid w:val="00E92105"/>
    <w:rsid w:val="00E95A46"/>
    <w:rsid w:val="00EA1FEE"/>
    <w:rsid w:val="00EA31C5"/>
    <w:rsid w:val="00EA3D4F"/>
    <w:rsid w:val="00EA5F51"/>
    <w:rsid w:val="00EA6F68"/>
    <w:rsid w:val="00EB026B"/>
    <w:rsid w:val="00EB2016"/>
    <w:rsid w:val="00EB21BE"/>
    <w:rsid w:val="00EB21E0"/>
    <w:rsid w:val="00EB25CD"/>
    <w:rsid w:val="00EB2B83"/>
    <w:rsid w:val="00EB5095"/>
    <w:rsid w:val="00EB5FDA"/>
    <w:rsid w:val="00EB6194"/>
    <w:rsid w:val="00EB6D9B"/>
    <w:rsid w:val="00EC12F2"/>
    <w:rsid w:val="00EC2147"/>
    <w:rsid w:val="00EC4023"/>
    <w:rsid w:val="00EC4242"/>
    <w:rsid w:val="00EC6DCD"/>
    <w:rsid w:val="00ED16F1"/>
    <w:rsid w:val="00ED22DE"/>
    <w:rsid w:val="00ED3DE6"/>
    <w:rsid w:val="00ED72F9"/>
    <w:rsid w:val="00EE69F8"/>
    <w:rsid w:val="00EF2B11"/>
    <w:rsid w:val="00EF581A"/>
    <w:rsid w:val="00EF6E77"/>
    <w:rsid w:val="00EF7332"/>
    <w:rsid w:val="00F00CB3"/>
    <w:rsid w:val="00F0456A"/>
    <w:rsid w:val="00F078EB"/>
    <w:rsid w:val="00F13190"/>
    <w:rsid w:val="00F15D05"/>
    <w:rsid w:val="00F20B5F"/>
    <w:rsid w:val="00F210C8"/>
    <w:rsid w:val="00F23E45"/>
    <w:rsid w:val="00F23E5D"/>
    <w:rsid w:val="00F248BD"/>
    <w:rsid w:val="00F26632"/>
    <w:rsid w:val="00F320C2"/>
    <w:rsid w:val="00F34739"/>
    <w:rsid w:val="00F363E5"/>
    <w:rsid w:val="00F36484"/>
    <w:rsid w:val="00F408BF"/>
    <w:rsid w:val="00F43049"/>
    <w:rsid w:val="00F4325E"/>
    <w:rsid w:val="00F45D90"/>
    <w:rsid w:val="00F47A01"/>
    <w:rsid w:val="00F5417A"/>
    <w:rsid w:val="00F56E9F"/>
    <w:rsid w:val="00F61691"/>
    <w:rsid w:val="00F61D1E"/>
    <w:rsid w:val="00F63852"/>
    <w:rsid w:val="00F63A38"/>
    <w:rsid w:val="00F64542"/>
    <w:rsid w:val="00F65321"/>
    <w:rsid w:val="00F65643"/>
    <w:rsid w:val="00F65CC8"/>
    <w:rsid w:val="00F70ABE"/>
    <w:rsid w:val="00F71488"/>
    <w:rsid w:val="00F7226A"/>
    <w:rsid w:val="00F730F6"/>
    <w:rsid w:val="00F73289"/>
    <w:rsid w:val="00F7335E"/>
    <w:rsid w:val="00F734F7"/>
    <w:rsid w:val="00F748D4"/>
    <w:rsid w:val="00F77946"/>
    <w:rsid w:val="00F77A3D"/>
    <w:rsid w:val="00F83DB3"/>
    <w:rsid w:val="00F85C21"/>
    <w:rsid w:val="00F87366"/>
    <w:rsid w:val="00F877C8"/>
    <w:rsid w:val="00F94DE8"/>
    <w:rsid w:val="00F97891"/>
    <w:rsid w:val="00FA159A"/>
    <w:rsid w:val="00FA37F8"/>
    <w:rsid w:val="00FA50C7"/>
    <w:rsid w:val="00FA5A33"/>
    <w:rsid w:val="00FA7ECB"/>
    <w:rsid w:val="00FB5337"/>
    <w:rsid w:val="00FB5B33"/>
    <w:rsid w:val="00FD049A"/>
    <w:rsid w:val="00FD4119"/>
    <w:rsid w:val="00FD5821"/>
    <w:rsid w:val="00FD5DB7"/>
    <w:rsid w:val="00FD5E12"/>
    <w:rsid w:val="00FE0228"/>
    <w:rsid w:val="00FE0C4D"/>
    <w:rsid w:val="00FE24DE"/>
    <w:rsid w:val="00FE3A1B"/>
    <w:rsid w:val="00FE5FE7"/>
    <w:rsid w:val="00FE6841"/>
    <w:rsid w:val="00FF109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3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55A68"/>
    <w:pPr>
      <w:spacing w:after="120"/>
    </w:pPr>
    <w:rPr>
      <w:rFonts w:ascii="Arial" w:hAnsi="Arial"/>
    </w:rPr>
  </w:style>
  <w:style w:type="paragraph" w:styleId="Heading1">
    <w:name w:val="heading 1"/>
    <w:basedOn w:val="Normal"/>
    <w:next w:val="Normal"/>
    <w:link w:val="Heading1Char"/>
    <w:uiPriority w:val="9"/>
    <w:semiHidden/>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55A68"/>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B55A68"/>
    <w:rPr>
      <w:rFonts w:ascii="Arial" w:eastAsiaTheme="majorEastAsia" w:hAnsi="Arial" w:cstheme="majorBidi"/>
      <w:b/>
      <w:color w:val="000000" w:themeColor="text1"/>
      <w:sz w:val="36"/>
      <w:szCs w:val="32"/>
    </w:rPr>
  </w:style>
  <w:style w:type="paragraph" w:styleId="TOCHeading">
    <w:name w:val="TOC Heading"/>
    <w:basedOn w:val="TeThHauorabodytext"/>
    <w:next w:val="Normal"/>
    <w:uiPriority w:val="39"/>
    <w:unhideWhenUsed/>
    <w:qFormat/>
    <w:rsid w:val="00BA1654"/>
    <w:pPr>
      <w:keepNext/>
      <w:spacing w:after="360" w:line="360" w:lineRule="atLeast"/>
    </w:pPr>
    <w:rPr>
      <w:b/>
      <w:bCs/>
      <w:noProof/>
      <w:color w:val="293868"/>
      <w:sz w:val="36"/>
      <w:szCs w:val="36"/>
    </w:rPr>
  </w:style>
  <w:style w:type="paragraph" w:styleId="TOC2">
    <w:name w:val="toc 2"/>
    <w:basedOn w:val="Normal"/>
    <w:next w:val="Normal"/>
    <w:autoRedefine/>
    <w:uiPriority w:val="39"/>
    <w:unhideWhenUsed/>
    <w:rsid w:val="00280FE8"/>
    <w:pPr>
      <w:tabs>
        <w:tab w:val="right" w:leader="dot" w:pos="9016"/>
      </w:tabs>
      <w:spacing w:after="60"/>
      <w:ind w:left="964" w:right="567" w:hanging="567"/>
    </w:pPr>
  </w:style>
  <w:style w:type="character" w:styleId="Hyperlink">
    <w:name w:val="Hyperlink"/>
    <w:basedOn w:val="DefaultParagraphFont"/>
    <w:uiPriority w:val="99"/>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FC7"/>
    <w:pPr>
      <w:ind w:left="720"/>
      <w:contextualSpacing/>
    </w:pPr>
  </w:style>
  <w:style w:type="paragraph" w:styleId="Caption">
    <w:name w:val="caption"/>
    <w:basedOn w:val="Normal"/>
    <w:next w:val="Normal"/>
    <w:uiPriority w:val="35"/>
    <w:semiHidden/>
    <w:qFormat/>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B55A68"/>
    <w:rPr>
      <w:rFonts w:ascii="Arial" w:eastAsiaTheme="majorEastAsia" w:hAnsi="Arial" w:cstheme="majorBidi"/>
      <w:b/>
      <w:sz w:val="24"/>
      <w:szCs w:val="24"/>
    </w:rPr>
  </w:style>
  <w:style w:type="paragraph" w:styleId="Quote">
    <w:name w:val="Quote"/>
    <w:basedOn w:val="Normal"/>
    <w:next w:val="Normal"/>
    <w:link w:val="QuoteChar"/>
    <w:uiPriority w:val="29"/>
    <w:semiHidden/>
    <w:qFormat/>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semiHidden/>
    <w:rsid w:val="00B55A68"/>
    <w:rPr>
      <w:rFonts w:ascii="Arial" w:hAnsi="Arial"/>
      <w:iCs/>
      <w:color w:val="595959"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1"/>
      </w:numPr>
    </w:pPr>
  </w:style>
  <w:style w:type="character" w:customStyle="1" w:styleId="Heading4Char">
    <w:name w:val="Heading 4 Char"/>
    <w:basedOn w:val="DefaultParagraphFont"/>
    <w:link w:val="Heading4"/>
    <w:uiPriority w:val="9"/>
    <w:semiHidden/>
    <w:rsid w:val="00B55A68"/>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rsid w:val="00C61DB7"/>
    <w:pPr>
      <w:spacing w:line="240" w:lineRule="auto"/>
    </w:pPr>
    <w:rPr>
      <w:sz w:val="20"/>
      <w:szCs w:val="20"/>
    </w:rPr>
  </w:style>
  <w:style w:type="character" w:customStyle="1" w:styleId="CommentTextChar">
    <w:name w:val="Comment Text Char"/>
    <w:basedOn w:val="DefaultParagraphFont"/>
    <w:link w:val="CommentText"/>
    <w:uiPriority w:val="99"/>
    <w:rsid w:val="00B55A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rFonts w:ascii="Arial" w:hAnsi="Arial"/>
      <w:b/>
      <w:bCs/>
      <w:sz w:val="20"/>
      <w:szCs w:val="20"/>
    </w:rPr>
  </w:style>
  <w:style w:type="character" w:customStyle="1" w:styleId="Heading5Char">
    <w:name w:val="Heading 5 Char"/>
    <w:basedOn w:val="DefaultParagraphFont"/>
    <w:link w:val="Heading5"/>
    <w:uiPriority w:val="9"/>
    <w:semiHidden/>
    <w:rsid w:val="00B55A68"/>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5A68"/>
    <w:rPr>
      <w:rFonts w:ascii="Arial" w:hAnsi="Arial"/>
    </w:rPr>
  </w:style>
  <w:style w:type="paragraph" w:styleId="Footer">
    <w:name w:val="footer"/>
    <w:basedOn w:val="Normal"/>
    <w:link w:val="FooterChar"/>
    <w:uiPriority w:val="99"/>
    <w:unhideWhenUsed/>
    <w:rsid w:val="00CD59BF"/>
    <w:pPr>
      <w:tabs>
        <w:tab w:val="right" w:pos="9026"/>
      </w:tabs>
    </w:pPr>
    <w:rPr>
      <w:sz w:val="20"/>
      <w:szCs w:val="20"/>
    </w:rPr>
  </w:style>
  <w:style w:type="character" w:customStyle="1" w:styleId="FooterChar">
    <w:name w:val="Footer Char"/>
    <w:basedOn w:val="DefaultParagraphFont"/>
    <w:link w:val="Footer"/>
    <w:uiPriority w:val="99"/>
    <w:rsid w:val="00CD59BF"/>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405795"/>
    <w:pPr>
      <w:tabs>
        <w:tab w:val="right" w:leader="dot" w:pos="9072"/>
      </w:tabs>
      <w:spacing w:before="120" w:after="80"/>
    </w:pPr>
  </w:style>
  <w:style w:type="paragraph" w:styleId="ListBullet">
    <w:name w:val="List Bullet"/>
    <w:basedOn w:val="Normal"/>
    <w:link w:val="ListBulletChar"/>
    <w:uiPriority w:val="99"/>
    <w:semiHidden/>
    <w:rsid w:val="00205AD6"/>
    <w:pPr>
      <w:contextualSpacing/>
    </w:pPr>
  </w:style>
  <w:style w:type="paragraph" w:styleId="ListNumber">
    <w:name w:val="List Number"/>
    <w:basedOn w:val="Normal"/>
    <w:uiPriority w:val="99"/>
    <w:semiHidden/>
    <w:rsid w:val="00A54CFC"/>
    <w:pPr>
      <w:numPr>
        <w:numId w:val="3"/>
      </w:numPr>
      <w:contextualSpacing/>
    </w:pPr>
  </w:style>
  <w:style w:type="paragraph" w:styleId="BodyText">
    <w:name w:val="Body Text"/>
    <w:basedOn w:val="Normal"/>
    <w:link w:val="BodyTextChar"/>
    <w:uiPriority w:val="1"/>
    <w:semiHidden/>
    <w:qFormat/>
    <w:rsid w:val="007E0634"/>
    <w:pPr>
      <w:widowControl w:val="0"/>
    </w:pPr>
    <w:rPr>
      <w:rFonts w:eastAsia="Arial" w:cs="Arial"/>
    </w:rPr>
  </w:style>
  <w:style w:type="character" w:customStyle="1" w:styleId="BodyTextChar">
    <w:name w:val="Body Text Char"/>
    <w:basedOn w:val="DefaultParagraphFont"/>
    <w:link w:val="BodyText"/>
    <w:uiPriority w:val="1"/>
    <w:semiHidden/>
    <w:rsid w:val="00B55A68"/>
    <w:rPr>
      <w:rFonts w:ascii="Arial" w:eastAsia="Arial" w:hAnsi="Arial" w:cs="Arial"/>
    </w:rPr>
  </w:style>
  <w:style w:type="paragraph" w:customStyle="1" w:styleId="Figuretableheading">
    <w:name w:val="Figure table heading"/>
    <w:basedOn w:val="Normal"/>
    <w:link w:val="FiguretableheadingChar"/>
    <w:semiHidden/>
    <w:qFormat/>
    <w:rsid w:val="006A473A"/>
    <w:rPr>
      <w:rFonts w:cs="Arial"/>
      <w:b/>
    </w:rPr>
  </w:style>
  <w:style w:type="character" w:customStyle="1" w:styleId="FiguretableheadingChar">
    <w:name w:val="Figure table heading Char"/>
    <w:basedOn w:val="DefaultParagraphFont"/>
    <w:link w:val="Figuretableheading"/>
    <w:semiHidden/>
    <w:rsid w:val="00B55A68"/>
    <w:rPr>
      <w:rFonts w:ascii="Arial" w:hAnsi="Arial" w:cs="Arial"/>
      <w:b/>
    </w:rPr>
  </w:style>
  <w:style w:type="paragraph" w:customStyle="1" w:styleId="Bullets">
    <w:name w:val="Bullets"/>
    <w:basedOn w:val="ListBullet"/>
    <w:link w:val="BulletsChar"/>
    <w:semiHidden/>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B55A68"/>
    <w:rPr>
      <w:rFonts w:ascii="Arial" w:hAnsi="Arial"/>
    </w:rPr>
  </w:style>
  <w:style w:type="character" w:customStyle="1" w:styleId="BulletsChar">
    <w:name w:val="Bullets Char"/>
    <w:basedOn w:val="ListBulletChar"/>
    <w:link w:val="Bullets"/>
    <w:semiHidden/>
    <w:rsid w:val="00B55A68"/>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681B4C"/>
    <w:rPr>
      <w:rFonts w:cs="Arial"/>
    </w:rPr>
  </w:style>
  <w:style w:type="paragraph" w:customStyle="1" w:styleId="TeThHauorabullets">
    <w:name w:val="Te Tāhū Hauora bullets"/>
    <w:basedOn w:val="Bullets"/>
    <w:qFormat/>
    <w:rsid w:val="00253D0D"/>
    <w:pPr>
      <w:numPr>
        <w:numId w:val="2"/>
      </w:numPr>
    </w:pPr>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TeThHauorabodytext"/>
    <w:qFormat/>
    <w:rsid w:val="003E52E0"/>
    <w:pPr>
      <w:spacing w:before="60" w:after="60"/>
    </w:pPr>
    <w:rPr>
      <w:b/>
      <w:bCs/>
    </w:rPr>
  </w:style>
  <w:style w:type="paragraph" w:customStyle="1" w:styleId="TeThHauoratablecontent">
    <w:name w:val="Te Tāhū Hauora table content"/>
    <w:basedOn w:val="TeThHauorabodytext"/>
    <w:qFormat/>
    <w:rsid w:val="005871AC"/>
    <w:pPr>
      <w:spacing w:before="60" w:after="60"/>
    </w:p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FootnoteText">
    <w:name w:val="footnote text"/>
    <w:basedOn w:val="Normal"/>
    <w:link w:val="FootnoteTextChar"/>
    <w:uiPriority w:val="99"/>
    <w:rsid w:val="00B55A68"/>
    <w:pPr>
      <w:spacing w:after="0" w:line="240" w:lineRule="auto"/>
    </w:pPr>
    <w:rPr>
      <w:sz w:val="20"/>
      <w:szCs w:val="20"/>
    </w:rPr>
  </w:style>
  <w:style w:type="character" w:customStyle="1" w:styleId="FootnoteTextChar">
    <w:name w:val="Footnote Text Char"/>
    <w:basedOn w:val="DefaultParagraphFont"/>
    <w:link w:val="FootnoteText"/>
    <w:uiPriority w:val="99"/>
    <w:rsid w:val="00B55A68"/>
    <w:rPr>
      <w:rFonts w:ascii="Arial" w:hAnsi="Arial"/>
      <w:sz w:val="20"/>
      <w:szCs w:val="20"/>
    </w:rPr>
  </w:style>
  <w:style w:type="character" w:styleId="FootnoteReference">
    <w:name w:val="footnote reference"/>
    <w:basedOn w:val="DefaultParagraphFont"/>
    <w:uiPriority w:val="99"/>
    <w:semiHidden/>
    <w:unhideWhenUsed/>
    <w:rsid w:val="00B55A68"/>
    <w:rPr>
      <w:vertAlign w:val="superscript"/>
    </w:rPr>
  </w:style>
  <w:style w:type="paragraph" w:styleId="Title">
    <w:name w:val="Title"/>
    <w:basedOn w:val="Normal"/>
    <w:next w:val="Normal"/>
    <w:link w:val="TitleChar"/>
    <w:uiPriority w:val="10"/>
    <w:qFormat/>
    <w:rsid w:val="00AE395A"/>
    <w:pPr>
      <w:ind w:right="1796"/>
    </w:pPr>
    <w:rPr>
      <w:rFonts w:cs="Arial"/>
      <w:b/>
      <w:color w:val="293868"/>
      <w:sz w:val="44"/>
      <w:szCs w:val="44"/>
    </w:rPr>
  </w:style>
  <w:style w:type="character" w:customStyle="1" w:styleId="TitleChar">
    <w:name w:val="Title Char"/>
    <w:basedOn w:val="DefaultParagraphFont"/>
    <w:link w:val="Title"/>
    <w:uiPriority w:val="10"/>
    <w:rsid w:val="00AE395A"/>
    <w:rPr>
      <w:rFonts w:ascii="Arial" w:hAnsi="Arial" w:cs="Arial"/>
      <w:b/>
      <w:color w:val="293868"/>
      <w:sz w:val="44"/>
      <w:szCs w:val="44"/>
    </w:rPr>
  </w:style>
  <w:style w:type="paragraph" w:styleId="Subtitle">
    <w:name w:val="Subtitle"/>
    <w:basedOn w:val="Normal"/>
    <w:next w:val="Normal"/>
    <w:link w:val="SubtitleChar"/>
    <w:uiPriority w:val="11"/>
    <w:qFormat/>
    <w:rsid w:val="00AE395A"/>
    <w:pPr>
      <w:ind w:right="1796"/>
    </w:pPr>
    <w:rPr>
      <w:rFonts w:cs="Arial"/>
      <w:bCs/>
      <w:color w:val="293868"/>
      <w:sz w:val="44"/>
      <w:szCs w:val="44"/>
    </w:rPr>
  </w:style>
  <w:style w:type="character" w:customStyle="1" w:styleId="SubtitleChar">
    <w:name w:val="Subtitle Char"/>
    <w:basedOn w:val="DefaultParagraphFont"/>
    <w:link w:val="Subtitle"/>
    <w:uiPriority w:val="11"/>
    <w:rsid w:val="00AE395A"/>
    <w:rPr>
      <w:rFonts w:ascii="Arial" w:hAnsi="Arial" w:cs="Arial"/>
      <w:bCs/>
      <w:color w:val="293868"/>
      <w:sz w:val="44"/>
      <w:szCs w:val="44"/>
    </w:rPr>
  </w:style>
  <w:style w:type="character" w:styleId="FollowedHyperlink">
    <w:name w:val="FollowedHyperlink"/>
    <w:basedOn w:val="DefaultParagraphFont"/>
    <w:uiPriority w:val="99"/>
    <w:semiHidden/>
    <w:unhideWhenUsed/>
    <w:rsid w:val="00134EAD"/>
    <w:rPr>
      <w:color w:val="2C25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184630">
      <w:bodyDiv w:val="1"/>
      <w:marLeft w:val="0"/>
      <w:marRight w:val="0"/>
      <w:marTop w:val="0"/>
      <w:marBottom w:val="0"/>
      <w:divBdr>
        <w:top w:val="none" w:sz="0" w:space="0" w:color="auto"/>
        <w:left w:val="none" w:sz="0" w:space="0" w:color="auto"/>
        <w:bottom w:val="none" w:sz="0" w:space="0" w:color="auto"/>
        <w:right w:val="none" w:sz="0" w:space="0" w:color="auto"/>
      </w:divBdr>
    </w:div>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hdc.org.nz/your-rights/about-the-code/code-of-health-and-disability-services-consumers-rights/"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info@hqsc.govt.n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pmc.ncbi.nlm.nih.gov/articles/PMC103917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qsc.govt.nz"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communityhealthpathway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80239-B213-42BE-B1FC-447CF9C3B3D5}">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7385</Words>
  <Characters>42097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2025-09-09T04:10:00Z</dcterms:created>
  <dcterms:modified xsi:type="dcterms:W3CDTF">2025-09-09T04:12:00Z</dcterms:modified>
</cp:coreProperties>
</file>