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865" w14:textId="43702E3F" w:rsidR="007A4AAB" w:rsidRDefault="00C7113D" w:rsidP="00C7113D">
      <w:pPr>
        <w:pStyle w:val="TeThHauorahead1"/>
        <w:ind w:left="5760" w:firstLine="720"/>
        <w:rPr>
          <w:lang w:val="mi-NZ"/>
        </w:rPr>
      </w:pPr>
      <w:r w:rsidRPr="000B7BC5">
        <w:rPr>
          <w:noProof/>
        </w:rPr>
        <w:drawing>
          <wp:anchor distT="0" distB="0" distL="114300" distR="114300" simplePos="0" relativeHeight="251658240" behindDoc="0" locked="0" layoutInCell="1" allowOverlap="1" wp14:anchorId="678A35D1" wp14:editId="747FBA3D">
            <wp:simplePos x="0" y="0"/>
            <wp:positionH relativeFrom="column">
              <wp:posOffset>138545</wp:posOffset>
            </wp:positionH>
            <wp:positionV relativeFrom="page">
              <wp:posOffset>1399309</wp:posOffset>
            </wp:positionV>
            <wp:extent cx="1558925" cy="511810"/>
            <wp:effectExtent l="0" t="0" r="3175" b="2540"/>
            <wp:wrapThrough wrapText="bothSides">
              <wp:wrapPolygon edited="0">
                <wp:start x="0" y="0"/>
                <wp:lineTo x="0" y="20903"/>
                <wp:lineTo x="21380" y="20903"/>
                <wp:lineTo x="21380" y="0"/>
                <wp:lineTo x="0" y="0"/>
              </wp:wrapPolygon>
            </wp:wrapThrough>
            <wp:docPr id="851050278" name="Picture 1" descr="Sepsis Trust N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50278" name="Picture 1" descr="Sepsis Trust NZ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AAB">
        <w:rPr>
          <w:noProof/>
          <w14:ligatures w14:val="standardContextual"/>
        </w:rPr>
        <w:drawing>
          <wp:inline distT="0" distB="0" distL="0" distR="0" wp14:anchorId="76C1E3C0" wp14:editId="6CE2B491">
            <wp:extent cx="1193524" cy="1014984"/>
            <wp:effectExtent l="0" t="0" r="6985" b="0"/>
            <wp:docPr id="1988886189" name="Picture 1" descr="The Health Quality &amp; Safety Commission Te Tāhū Hauora logo is made up of the words Health Quality &amp; Safety Commission with the words Te Tāhū Hauora underneath. Above is a stylised version of a wharenui in a triangle shape, with the tāhū (ridgepole), heke (rafters) and niho taniwha (triangle pattern) beneat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86189" name="Picture 1" descr="The Health Quality &amp; Safety Commission Te Tāhū Hauora logo is made up of the words Health Quality &amp; Safety Commission with the words Te Tāhū Hauora underneath. Above is a stylised version of a wharenui in a triangle shape, with the tāhū (ridgepole), heke (rafters) and niho taniwha (triangle pattern) beneath.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52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9BE7" w14:textId="76B5DD3B" w:rsidR="00581B96" w:rsidRDefault="00A868C0" w:rsidP="00A868C0">
      <w:pPr>
        <w:pStyle w:val="TeThHauorahead1"/>
        <w:rPr>
          <w:lang w:val="mi-NZ"/>
        </w:rPr>
      </w:pPr>
      <w:r w:rsidRPr="5276266B">
        <w:rPr>
          <w:lang w:val="mi-NZ"/>
        </w:rPr>
        <w:t xml:space="preserve">Red </w:t>
      </w:r>
      <w:r w:rsidR="008911C6">
        <w:rPr>
          <w:lang w:val="mi-NZ"/>
        </w:rPr>
        <w:t>f</w:t>
      </w:r>
      <w:r w:rsidRPr="5276266B">
        <w:rPr>
          <w:lang w:val="mi-NZ"/>
        </w:rPr>
        <w:t>lag sepsis simulation checklist – for hospital or urgent care</w:t>
      </w:r>
    </w:p>
    <w:p w14:paraId="30434668" w14:textId="60B01FBF" w:rsidR="00D9089F" w:rsidRDefault="00A868C0" w:rsidP="00D9089F">
      <w:pPr>
        <w:pStyle w:val="TeThHauorahead2"/>
        <w:rPr>
          <w:lang w:val="mi-NZ"/>
        </w:rPr>
      </w:pPr>
      <w:r>
        <w:rPr>
          <w:lang w:val="mi-NZ"/>
        </w:rPr>
        <w:t>Purpose</w:t>
      </w:r>
    </w:p>
    <w:p w14:paraId="02C00145" w14:textId="758A8188" w:rsidR="00A868C0" w:rsidRDefault="00A868C0" w:rsidP="000B7BC5">
      <w:pPr>
        <w:rPr>
          <w:lang w:val="mi-NZ"/>
        </w:rPr>
      </w:pPr>
      <w:r>
        <w:rPr>
          <w:lang w:val="mi-NZ"/>
        </w:rPr>
        <w:t xml:space="preserve">This checklist is intended to be used when designing an in-situ simulation about a person presenting to a hospital or urgent care centre with red flag sepsis. Some criteria may need to be adapted depending on </w:t>
      </w:r>
      <w:r w:rsidR="004E32F0">
        <w:rPr>
          <w:lang w:val="mi-NZ"/>
        </w:rPr>
        <w:t xml:space="preserve">your </w:t>
      </w:r>
      <w:r w:rsidR="008C273E">
        <w:rPr>
          <w:lang w:val="mi-NZ"/>
        </w:rPr>
        <w:t>hospital or urgent care clinic</w:t>
      </w:r>
      <w:r>
        <w:rPr>
          <w:lang w:val="mi-NZ"/>
        </w:rPr>
        <w:t xml:space="preserve">. </w:t>
      </w:r>
    </w:p>
    <w:p w14:paraId="1D298D29" w14:textId="21E6A45F" w:rsidR="00A868C0" w:rsidRPr="00EB43C9" w:rsidRDefault="00A868C0" w:rsidP="000B7BC5">
      <w:pPr>
        <w:rPr>
          <w:lang w:val="mi-NZ"/>
        </w:rPr>
      </w:pPr>
      <w:r>
        <w:rPr>
          <w:lang w:val="mi-NZ"/>
        </w:rPr>
        <w:t xml:space="preserve">This checklist reflects the actions required by the </w:t>
      </w:r>
      <w:r w:rsidR="002F598C" w:rsidRPr="003D1C7E">
        <w:rPr>
          <w:lang w:val="mi-NZ"/>
        </w:rPr>
        <w:t>R</w:t>
      </w:r>
      <w:r w:rsidRPr="003D1C7E">
        <w:rPr>
          <w:lang w:val="mi-NZ"/>
        </w:rPr>
        <w:t>aise th</w:t>
      </w:r>
      <w:r w:rsidRPr="001A56DA">
        <w:rPr>
          <w:lang w:val="mi-NZ"/>
        </w:rPr>
        <w:t xml:space="preserve">e </w:t>
      </w:r>
      <w:r w:rsidR="00751411">
        <w:rPr>
          <w:lang w:val="mi-NZ"/>
        </w:rPr>
        <w:t>F</w:t>
      </w:r>
      <w:r w:rsidRPr="001A56DA">
        <w:rPr>
          <w:lang w:val="mi-NZ"/>
        </w:rPr>
        <w:t>lag sepsis adult pathway.</w:t>
      </w:r>
      <w:r>
        <w:rPr>
          <w:i/>
          <w:iCs/>
          <w:lang w:val="mi-NZ"/>
        </w:rPr>
        <w:t xml:space="preserve"> </w:t>
      </w:r>
      <w:r w:rsidR="00EB43C9">
        <w:rPr>
          <w:lang w:val="mi-NZ"/>
        </w:rPr>
        <w:t>It can be used in sepsis training during the implementation of a quality improvement pro</w:t>
      </w:r>
      <w:r w:rsidR="00751411">
        <w:rPr>
          <w:lang w:val="mi-NZ"/>
        </w:rPr>
        <w:t>ject</w:t>
      </w:r>
      <w:r w:rsidR="00EB43C9">
        <w:rPr>
          <w:lang w:val="mi-NZ"/>
        </w:rPr>
        <w:t xml:space="preserve">, or incorporated into a wider simulation programme. </w:t>
      </w:r>
    </w:p>
    <w:p w14:paraId="1322E90B" w14:textId="5A04B033" w:rsidR="00A868C0" w:rsidRDefault="00A868C0" w:rsidP="00A868C0">
      <w:pPr>
        <w:pStyle w:val="TeThHauorahead2"/>
        <w:rPr>
          <w:lang w:val="mi-NZ"/>
        </w:rPr>
      </w:pPr>
      <w:r>
        <w:rPr>
          <w:lang w:val="mi-NZ"/>
        </w:rPr>
        <w:t xml:space="preserve">Scenario </w:t>
      </w:r>
    </w:p>
    <w:p w14:paraId="42D5D995" w14:textId="1E76394C" w:rsidR="00961361" w:rsidRDefault="00EF2AC2" w:rsidP="00A868C0">
      <w:pPr>
        <w:pStyle w:val="TeThHauorabodytext"/>
        <w:rPr>
          <w:lang w:val="mi-NZ"/>
        </w:rPr>
      </w:pPr>
      <w:r w:rsidRPr="00F505E1">
        <w:rPr>
          <w:lang w:val="mi-NZ"/>
        </w:rPr>
        <w:t>A 64</w:t>
      </w:r>
      <w:r>
        <w:rPr>
          <w:lang w:val="mi-NZ"/>
        </w:rPr>
        <w:t>-</w:t>
      </w:r>
      <w:r w:rsidRPr="00F505E1">
        <w:rPr>
          <w:lang w:val="mi-NZ"/>
        </w:rPr>
        <w:t>year</w:t>
      </w:r>
      <w:r>
        <w:rPr>
          <w:lang w:val="mi-NZ"/>
        </w:rPr>
        <w:t>-</w:t>
      </w:r>
      <w:r w:rsidRPr="00F505E1">
        <w:rPr>
          <w:lang w:val="mi-NZ"/>
        </w:rPr>
        <w:t>old man present</w:t>
      </w:r>
      <w:r>
        <w:rPr>
          <w:lang w:val="mi-NZ"/>
        </w:rPr>
        <w:t>s</w:t>
      </w:r>
      <w:r w:rsidRPr="00F505E1">
        <w:rPr>
          <w:lang w:val="mi-NZ"/>
        </w:rPr>
        <w:t xml:space="preserve"> with a 3-day history of cough, shortness of breath and fever. </w:t>
      </w:r>
      <w:r>
        <w:rPr>
          <w:lang w:val="mi-NZ"/>
        </w:rPr>
        <w:t xml:space="preserve">He </w:t>
      </w:r>
      <w:r w:rsidR="008B3935">
        <w:rPr>
          <w:lang w:val="mi-NZ"/>
        </w:rPr>
        <w:t xml:space="preserve">arrives at </w:t>
      </w:r>
      <w:r w:rsidR="00A868C0">
        <w:rPr>
          <w:lang w:val="mi-NZ"/>
        </w:rPr>
        <w:t>an emergency department</w:t>
      </w:r>
      <w:r w:rsidR="00D9089F">
        <w:rPr>
          <w:lang w:val="mi-NZ"/>
        </w:rPr>
        <w:t>, assessment unit</w:t>
      </w:r>
      <w:r w:rsidR="00A868C0">
        <w:rPr>
          <w:lang w:val="mi-NZ"/>
        </w:rPr>
        <w:t xml:space="preserve"> or acute care centre </w:t>
      </w:r>
      <w:r w:rsidR="00D9089F">
        <w:rPr>
          <w:lang w:val="mi-NZ"/>
        </w:rPr>
        <w:t xml:space="preserve">with signs of sepsis. </w:t>
      </w:r>
      <w:r w:rsidR="008B3935">
        <w:rPr>
          <w:lang w:val="mi-NZ"/>
        </w:rPr>
        <w:t>(</w:t>
      </w:r>
      <w:r w:rsidR="00D9089F">
        <w:rPr>
          <w:lang w:val="mi-NZ"/>
        </w:rPr>
        <w:t xml:space="preserve">The exact scenario </w:t>
      </w:r>
      <w:r w:rsidR="00961361">
        <w:rPr>
          <w:lang w:val="mi-NZ"/>
        </w:rPr>
        <w:t xml:space="preserve">can </w:t>
      </w:r>
      <w:r w:rsidR="00D9089F">
        <w:rPr>
          <w:lang w:val="mi-NZ"/>
        </w:rPr>
        <w:t xml:space="preserve">be tailored to </w:t>
      </w:r>
      <w:r w:rsidR="00B433E9">
        <w:rPr>
          <w:lang w:val="mi-NZ"/>
        </w:rPr>
        <w:t xml:space="preserve">your </w:t>
      </w:r>
      <w:r w:rsidR="00D9089F">
        <w:rPr>
          <w:lang w:val="mi-NZ"/>
        </w:rPr>
        <w:t>local environment.</w:t>
      </w:r>
      <w:r w:rsidR="008B3935">
        <w:rPr>
          <w:lang w:val="mi-NZ"/>
        </w:rPr>
        <w:t>)</w:t>
      </w:r>
      <w:r w:rsidR="00D9089F">
        <w:rPr>
          <w:lang w:val="mi-NZ"/>
        </w:rPr>
        <w:t xml:space="preserve"> </w:t>
      </w:r>
    </w:p>
    <w:p w14:paraId="774C9875" w14:textId="2FF6B0D3" w:rsidR="00C95682" w:rsidRDefault="00C95682">
      <w:pPr>
        <w:spacing w:after="160" w:line="259" w:lineRule="auto"/>
        <w:rPr>
          <w:rFonts w:eastAsiaTheme="majorEastAsia" w:cs="Arial"/>
          <w:bCs/>
          <w:iCs/>
          <w:color w:val="293868"/>
          <w:lang w:val="mi-NZ"/>
        </w:rPr>
      </w:pPr>
      <w:r>
        <w:rPr>
          <w:b/>
          <w:bCs/>
          <w:i/>
          <w:iCs/>
          <w:lang w:val="mi-NZ"/>
        </w:rPr>
        <w:br w:type="page"/>
      </w:r>
    </w:p>
    <w:tbl>
      <w:tblPr>
        <w:tblStyle w:val="TableGrid"/>
        <w:tblpPr w:leftFromText="180" w:rightFromText="180" w:horzAnchor="margin" w:tblpY="510"/>
        <w:tblW w:w="9923" w:type="dxa"/>
        <w:tblLook w:val="04A0" w:firstRow="1" w:lastRow="0" w:firstColumn="1" w:lastColumn="0" w:noHBand="0" w:noVBand="1"/>
      </w:tblPr>
      <w:tblGrid>
        <w:gridCol w:w="2127"/>
        <w:gridCol w:w="4961"/>
        <w:gridCol w:w="709"/>
        <w:gridCol w:w="709"/>
        <w:gridCol w:w="1417"/>
      </w:tblGrid>
      <w:tr w:rsidR="00C95682" w:rsidRPr="00106C3D" w14:paraId="56E92FA1" w14:textId="77777777" w:rsidTr="00134F9B">
        <w:tc>
          <w:tcPr>
            <w:tcW w:w="9923" w:type="dxa"/>
            <w:gridSpan w:val="5"/>
          </w:tcPr>
          <w:p w14:paraId="2EF3B811" w14:textId="77777777" w:rsidR="00C95682" w:rsidRPr="00106C3D" w:rsidRDefault="00C95682" w:rsidP="00134F9B">
            <w:pPr>
              <w:pStyle w:val="TeThHauorahead2"/>
              <w:spacing w:before="0"/>
              <w:jc w:val="center"/>
              <w:rPr>
                <w:i w:val="0"/>
                <w:iCs/>
                <w:szCs w:val="28"/>
                <w:lang w:val="mi-NZ"/>
              </w:rPr>
            </w:pPr>
            <w:r w:rsidRPr="00106C3D">
              <w:rPr>
                <w:i w:val="0"/>
                <w:iCs/>
                <w:szCs w:val="28"/>
                <w:lang w:val="mi-NZ"/>
              </w:rPr>
              <w:lastRenderedPageBreak/>
              <w:t>Red flag sepsis simulation checklist</w:t>
            </w:r>
          </w:p>
        </w:tc>
      </w:tr>
      <w:tr w:rsidR="00C95682" w:rsidRPr="00106C3D" w14:paraId="69EBC701" w14:textId="77777777" w:rsidTr="00134F9B">
        <w:tc>
          <w:tcPr>
            <w:tcW w:w="9923" w:type="dxa"/>
            <w:gridSpan w:val="5"/>
            <w:shd w:val="clear" w:color="auto" w:fill="F2F2F2" w:themeFill="background1" w:themeFillShade="F2"/>
          </w:tcPr>
          <w:p w14:paraId="4AD509F5" w14:textId="77777777" w:rsidR="00C95682" w:rsidRPr="00106C3D" w:rsidRDefault="00C95682" w:rsidP="00134F9B">
            <w:pPr>
              <w:pStyle w:val="TeThHauorahead2"/>
              <w:spacing w:before="0"/>
              <w:rPr>
                <w:i w:val="0"/>
                <w:iCs/>
                <w:sz w:val="22"/>
                <w:szCs w:val="22"/>
                <w:lang w:val="mi-NZ"/>
              </w:rPr>
            </w:pPr>
            <w:r>
              <w:rPr>
                <w:i w:val="0"/>
                <w:iCs/>
                <w:sz w:val="22"/>
                <w:szCs w:val="22"/>
                <w:lang w:val="mi-NZ"/>
              </w:rPr>
              <w:t>Recognise</w:t>
            </w:r>
          </w:p>
        </w:tc>
      </w:tr>
      <w:tr w:rsidR="00C95682" w:rsidRPr="00243869" w14:paraId="7ADB20AB" w14:textId="77777777" w:rsidTr="00134F9B">
        <w:trPr>
          <w:trHeight w:val="628"/>
        </w:trPr>
        <w:tc>
          <w:tcPr>
            <w:tcW w:w="2127" w:type="dxa"/>
          </w:tcPr>
          <w:p w14:paraId="153E6AC0" w14:textId="77777777" w:rsidR="00C95682" w:rsidRPr="00DE0952" w:rsidRDefault="00C95682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  <w:r w:rsidRPr="00DE0952">
              <w:rPr>
                <w:i w:val="0"/>
                <w:iCs/>
                <w:color w:val="auto"/>
                <w:sz w:val="22"/>
                <w:szCs w:val="22"/>
                <w:lang w:val="mi-NZ"/>
              </w:rPr>
              <w:t>Example scenario</w:t>
            </w:r>
          </w:p>
        </w:tc>
        <w:tc>
          <w:tcPr>
            <w:tcW w:w="7796" w:type="dxa"/>
            <w:gridSpan w:val="4"/>
          </w:tcPr>
          <w:p w14:paraId="1692051E" w14:textId="5F40EC25" w:rsidR="00C95682" w:rsidRPr="00DE0952" w:rsidRDefault="00C95682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On initial assessment the man appears unwell (</w:t>
            </w:r>
            <w:r w:rsidR="004E6CA8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or</w:t>
            </w:r>
            <w:r w:rsidR="004E6CA8"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 </w:t>
            </w: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if an inpatient – EWS 6). </w:t>
            </w:r>
          </w:p>
        </w:tc>
      </w:tr>
      <w:tr w:rsidR="003769B5" w:rsidRPr="00243869" w14:paraId="6226B061" w14:textId="77777777" w:rsidTr="00DE0952">
        <w:tc>
          <w:tcPr>
            <w:tcW w:w="2127" w:type="dxa"/>
            <w:vMerge w:val="restart"/>
            <w:shd w:val="clear" w:color="auto" w:fill="FFFFFF" w:themeFill="background1"/>
          </w:tcPr>
          <w:p w14:paraId="438138FB" w14:textId="77777777" w:rsidR="003769B5" w:rsidRPr="00243869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  <w:r w:rsidRPr="00243869">
              <w:rPr>
                <w:i w:val="0"/>
                <w:iCs/>
                <w:color w:val="auto"/>
                <w:sz w:val="22"/>
                <w:szCs w:val="22"/>
                <w:lang w:val="mi-NZ"/>
              </w:rPr>
              <w:t>Actions</w:t>
            </w:r>
          </w:p>
        </w:tc>
        <w:tc>
          <w:tcPr>
            <w:tcW w:w="4961" w:type="dxa"/>
            <w:shd w:val="clear" w:color="auto" w:fill="FFFFFF" w:themeFill="background1"/>
          </w:tcPr>
          <w:p w14:paraId="4F73CE93" w14:textId="3DB103F1" w:rsidR="003769B5" w:rsidRPr="00382599" w:rsidRDefault="004E6CA8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Start</w:t>
            </w: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 </w:t>
            </w:r>
            <w:r w:rsidR="003769B5"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sepsis pathway</w:t>
            </w:r>
          </w:p>
        </w:tc>
        <w:tc>
          <w:tcPr>
            <w:tcW w:w="709" w:type="dxa"/>
            <w:shd w:val="clear" w:color="auto" w:fill="FFFFFF" w:themeFill="background1"/>
          </w:tcPr>
          <w:p w14:paraId="28C8ABA1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14:paraId="356D0B3E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FFFFFF" w:themeFill="background1"/>
          </w:tcPr>
          <w:p w14:paraId="33551580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</w:p>
        </w:tc>
      </w:tr>
      <w:tr w:rsidR="003769B5" w:rsidRPr="00243869" w14:paraId="015D836D" w14:textId="77777777" w:rsidTr="00DE0952">
        <w:tc>
          <w:tcPr>
            <w:tcW w:w="2127" w:type="dxa"/>
            <w:vMerge/>
            <w:shd w:val="clear" w:color="auto" w:fill="FFFFFF" w:themeFill="background1"/>
          </w:tcPr>
          <w:p w14:paraId="01497420" w14:textId="77777777" w:rsidR="003769B5" w:rsidRPr="00243869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9F89EE7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Assess for red flags</w:t>
            </w:r>
          </w:p>
        </w:tc>
        <w:tc>
          <w:tcPr>
            <w:tcW w:w="709" w:type="dxa"/>
            <w:shd w:val="clear" w:color="auto" w:fill="FFFFFF" w:themeFill="background1"/>
          </w:tcPr>
          <w:p w14:paraId="51F4F55C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14:paraId="3D75AFF3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FFFFFF" w:themeFill="background1"/>
          </w:tcPr>
          <w:p w14:paraId="66EBDBD6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</w:p>
        </w:tc>
      </w:tr>
      <w:tr w:rsidR="00C95682" w:rsidRPr="00243869" w14:paraId="51126CAA" w14:textId="77777777" w:rsidTr="00134F9B">
        <w:tc>
          <w:tcPr>
            <w:tcW w:w="2127" w:type="dxa"/>
          </w:tcPr>
          <w:p w14:paraId="7B87A889" w14:textId="77777777" w:rsidR="00C95682" w:rsidRPr="00DE0952" w:rsidRDefault="00C95682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  <w:r w:rsidRPr="00DE0952">
              <w:rPr>
                <w:i w:val="0"/>
                <w:iCs/>
                <w:color w:val="auto"/>
                <w:sz w:val="22"/>
                <w:szCs w:val="22"/>
                <w:lang w:val="mi-NZ"/>
              </w:rPr>
              <w:t>Example scenario</w:t>
            </w:r>
          </w:p>
        </w:tc>
        <w:tc>
          <w:tcPr>
            <w:tcW w:w="7796" w:type="dxa"/>
            <w:gridSpan w:val="4"/>
          </w:tcPr>
          <w:p w14:paraId="1E599BF7" w14:textId="77777777" w:rsidR="00C95682" w:rsidRPr="00DE0952" w:rsidRDefault="00C95682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Red flags present: </w:t>
            </w:r>
          </w:p>
          <w:p w14:paraId="6EC10C0C" w14:textId="63BCC503" w:rsidR="00C95682" w:rsidRPr="00DE0952" w:rsidRDefault="00C95682" w:rsidP="00134F9B">
            <w:pPr>
              <w:pStyle w:val="TeThHauorahead2"/>
              <w:numPr>
                <w:ilvl w:val="0"/>
                <w:numId w:val="10"/>
              </w:numPr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HR 130</w:t>
            </w:r>
            <w:r w:rsidR="009450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 beats</w:t>
            </w: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/min or more</w:t>
            </w:r>
          </w:p>
          <w:p w14:paraId="7EF826D6" w14:textId="4BDC318D" w:rsidR="00C95682" w:rsidRPr="00DE0952" w:rsidRDefault="00C95682" w:rsidP="00134F9B">
            <w:pPr>
              <w:pStyle w:val="TeThHauorahead2"/>
              <w:numPr>
                <w:ilvl w:val="0"/>
                <w:numId w:val="10"/>
              </w:numPr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RR 25</w:t>
            </w:r>
            <w:r w:rsidR="008409DD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 breaths</w:t>
            </w: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/min or more</w:t>
            </w:r>
          </w:p>
          <w:p w14:paraId="10F6D0F6" w14:textId="77777777" w:rsidR="00C95682" w:rsidRPr="00DE0952" w:rsidRDefault="00C95682" w:rsidP="00134F9B">
            <w:pPr>
              <w:pStyle w:val="TeThHauorahead2"/>
              <w:numPr>
                <w:ilvl w:val="0"/>
                <w:numId w:val="10"/>
              </w:numPr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New oxygen requirement</w:t>
            </w:r>
          </w:p>
          <w:p w14:paraId="67BB3286" w14:textId="77777777" w:rsidR="00C95682" w:rsidRPr="00DE0952" w:rsidRDefault="00C95682" w:rsidP="00134F9B">
            <w:pPr>
              <w:pStyle w:val="TeThHauorahead2"/>
              <w:numPr>
                <w:ilvl w:val="0"/>
                <w:numId w:val="10"/>
              </w:numPr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Lactate 2mmol/L or more</w:t>
            </w:r>
          </w:p>
          <w:p w14:paraId="138E319F" w14:textId="77777777" w:rsidR="00C95682" w:rsidRPr="00DE0952" w:rsidRDefault="00C95682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Add specific observations to be provided on assessment:</w:t>
            </w:r>
          </w:p>
        </w:tc>
      </w:tr>
      <w:tr w:rsidR="003769B5" w:rsidRPr="00243869" w14:paraId="73B9587C" w14:textId="77777777" w:rsidTr="00E26A91">
        <w:tc>
          <w:tcPr>
            <w:tcW w:w="2127" w:type="dxa"/>
            <w:vMerge w:val="restart"/>
          </w:tcPr>
          <w:p w14:paraId="4ADF8FAC" w14:textId="77777777" w:rsidR="003769B5" w:rsidRPr="00243869" w:rsidRDefault="003769B5" w:rsidP="00134F9B">
            <w:pPr>
              <w:pStyle w:val="TeThHauorahead2"/>
              <w:spacing w:before="0"/>
              <w:rPr>
                <w:color w:val="auto"/>
                <w:sz w:val="22"/>
                <w:szCs w:val="22"/>
                <w:lang w:val="mi-NZ"/>
              </w:rPr>
            </w:pPr>
            <w:r>
              <w:rPr>
                <w:i w:val="0"/>
                <w:iCs/>
                <w:color w:val="auto"/>
                <w:sz w:val="22"/>
                <w:szCs w:val="22"/>
                <w:lang w:val="mi-NZ"/>
              </w:rPr>
              <w:t>Actions</w:t>
            </w:r>
          </w:p>
        </w:tc>
        <w:tc>
          <w:tcPr>
            <w:tcW w:w="4961" w:type="dxa"/>
          </w:tcPr>
          <w:p w14:paraId="7D97921F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State “red flag sepsis” when calling for assistance or senior help</w:t>
            </w:r>
          </w:p>
        </w:tc>
        <w:tc>
          <w:tcPr>
            <w:tcW w:w="709" w:type="dxa"/>
          </w:tcPr>
          <w:p w14:paraId="3ACDAAE5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7F21E1F0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51E5B0B8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</w:p>
        </w:tc>
      </w:tr>
      <w:tr w:rsidR="003769B5" w:rsidRPr="0030447C" w14:paraId="2C6ABF5B" w14:textId="77777777" w:rsidTr="00E26A91">
        <w:tc>
          <w:tcPr>
            <w:tcW w:w="2127" w:type="dxa"/>
            <w:vMerge/>
          </w:tcPr>
          <w:p w14:paraId="28847E7D" w14:textId="77777777" w:rsidR="003769B5" w:rsidRPr="0030447C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7DF55B8C" w14:textId="738CCF8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Commence sepsis six</w:t>
            </w:r>
            <w:r w:rsidR="009123CB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 bundle</w:t>
            </w:r>
          </w:p>
        </w:tc>
        <w:tc>
          <w:tcPr>
            <w:tcW w:w="709" w:type="dxa"/>
          </w:tcPr>
          <w:p w14:paraId="48C5F768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6DB119D5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3E390467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</w:p>
        </w:tc>
      </w:tr>
      <w:tr w:rsidR="003769B5" w:rsidRPr="0030447C" w14:paraId="1D942805" w14:textId="77777777" w:rsidTr="00E26A91">
        <w:tc>
          <w:tcPr>
            <w:tcW w:w="2127" w:type="dxa"/>
            <w:vMerge/>
          </w:tcPr>
          <w:p w14:paraId="163BDB08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114E74A3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Get senior clinician help</w:t>
            </w:r>
          </w:p>
        </w:tc>
        <w:tc>
          <w:tcPr>
            <w:tcW w:w="709" w:type="dxa"/>
          </w:tcPr>
          <w:p w14:paraId="09DD4392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0875EDEB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2F34F47D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276EDBD8" w14:textId="77777777" w:rsidTr="00E26A91">
        <w:tc>
          <w:tcPr>
            <w:tcW w:w="2127" w:type="dxa"/>
            <w:vMerge/>
          </w:tcPr>
          <w:p w14:paraId="57CFFBAA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60F69D45" w14:textId="50C2025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Give oxygen (if SpO</w:t>
            </w: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vertAlign w:val="subscript"/>
                <w:lang w:val="mi-NZ"/>
              </w:rPr>
              <w:t xml:space="preserve">2 </w:t>
            </w: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92% or less)</w:t>
            </w:r>
          </w:p>
        </w:tc>
        <w:tc>
          <w:tcPr>
            <w:tcW w:w="709" w:type="dxa"/>
          </w:tcPr>
          <w:p w14:paraId="6FFC4B36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3CDE4D14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373FD8D9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580589C6" w14:textId="77777777" w:rsidTr="00E26A91">
        <w:tc>
          <w:tcPr>
            <w:tcW w:w="2127" w:type="dxa"/>
            <w:vMerge/>
          </w:tcPr>
          <w:p w14:paraId="62F4AD3B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5FA6A060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Draw blood cultures</w:t>
            </w:r>
          </w:p>
        </w:tc>
        <w:tc>
          <w:tcPr>
            <w:tcW w:w="709" w:type="dxa"/>
          </w:tcPr>
          <w:p w14:paraId="16636AF4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7F0AD194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5D170AC8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7805A462" w14:textId="77777777" w:rsidTr="00E26A91">
        <w:tc>
          <w:tcPr>
            <w:tcW w:w="2127" w:type="dxa"/>
            <w:vMerge/>
          </w:tcPr>
          <w:p w14:paraId="67835914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34FD408A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Measure lactate and take a full set of bloods</w:t>
            </w:r>
          </w:p>
        </w:tc>
        <w:tc>
          <w:tcPr>
            <w:tcW w:w="709" w:type="dxa"/>
          </w:tcPr>
          <w:p w14:paraId="72A1B3AA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4076702D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1ABA4C16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154EE0B7" w14:textId="77777777" w:rsidTr="00E26A91">
        <w:tc>
          <w:tcPr>
            <w:tcW w:w="2127" w:type="dxa"/>
            <w:vMerge/>
          </w:tcPr>
          <w:p w14:paraId="0B802CE1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4F466F28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Give IV antibiotics</w:t>
            </w:r>
          </w:p>
        </w:tc>
        <w:tc>
          <w:tcPr>
            <w:tcW w:w="709" w:type="dxa"/>
          </w:tcPr>
          <w:p w14:paraId="5C232CF1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4C800A78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671E6D2A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0967B00D" w14:textId="77777777" w:rsidTr="00E26A91">
        <w:tc>
          <w:tcPr>
            <w:tcW w:w="2127" w:type="dxa"/>
            <w:vMerge/>
          </w:tcPr>
          <w:p w14:paraId="0E0F9B02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07BA5CFE" w14:textId="2090E91E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Give IV fluid (if hypotensive or lactate more than 2mmol/L)</w:t>
            </w:r>
          </w:p>
        </w:tc>
        <w:tc>
          <w:tcPr>
            <w:tcW w:w="709" w:type="dxa"/>
          </w:tcPr>
          <w:p w14:paraId="138E37C5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51FE3C95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21670CED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41041C4C" w14:textId="77777777" w:rsidTr="00E26A91">
        <w:tc>
          <w:tcPr>
            <w:tcW w:w="2127" w:type="dxa"/>
            <w:vMerge/>
          </w:tcPr>
          <w:p w14:paraId="69D98EEE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</w:tcPr>
          <w:p w14:paraId="5A4D20BE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Document actions on sepsis pathway</w:t>
            </w:r>
          </w:p>
        </w:tc>
        <w:tc>
          <w:tcPr>
            <w:tcW w:w="709" w:type="dxa"/>
          </w:tcPr>
          <w:p w14:paraId="5BEE0285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</w:tcPr>
          <w:p w14:paraId="54E39EED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</w:tcPr>
          <w:p w14:paraId="3B54D88B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C95682" w:rsidRPr="0030447C" w14:paraId="01B2B70D" w14:textId="77777777" w:rsidTr="00E26A91">
        <w:tc>
          <w:tcPr>
            <w:tcW w:w="9923" w:type="dxa"/>
            <w:gridSpan w:val="5"/>
            <w:shd w:val="clear" w:color="auto" w:fill="F2F2F2" w:themeFill="background1" w:themeFillShade="F2"/>
          </w:tcPr>
          <w:p w14:paraId="55BE543E" w14:textId="77777777" w:rsidR="00C95682" w:rsidRPr="00382599" w:rsidRDefault="00C95682" w:rsidP="00134F9B">
            <w:pPr>
              <w:pStyle w:val="TeThHauorahead2"/>
              <w:spacing w:before="0"/>
              <w:rPr>
                <w:b w:val="0"/>
                <w:b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i w:val="0"/>
                <w:iCs/>
                <w:sz w:val="21"/>
                <w:szCs w:val="21"/>
                <w:lang w:val="mi-NZ"/>
              </w:rPr>
              <w:t>Reassess</w:t>
            </w:r>
          </w:p>
        </w:tc>
      </w:tr>
      <w:tr w:rsidR="00C95682" w:rsidRPr="0030447C" w14:paraId="21416B31" w14:textId="77777777" w:rsidTr="00E26A91">
        <w:tc>
          <w:tcPr>
            <w:tcW w:w="2127" w:type="dxa"/>
          </w:tcPr>
          <w:p w14:paraId="4025301C" w14:textId="77777777" w:rsidR="00C95682" w:rsidRPr="00DE0952" w:rsidRDefault="00C95682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  <w:r w:rsidRPr="00DE0952">
              <w:rPr>
                <w:i w:val="0"/>
                <w:iCs/>
                <w:color w:val="auto"/>
                <w:sz w:val="22"/>
                <w:szCs w:val="22"/>
                <w:lang w:val="mi-NZ"/>
              </w:rPr>
              <w:t>Example scenario</w:t>
            </w:r>
          </w:p>
        </w:tc>
        <w:tc>
          <w:tcPr>
            <w:tcW w:w="7796" w:type="dxa"/>
            <w:gridSpan w:val="4"/>
          </w:tcPr>
          <w:p w14:paraId="6DB37977" w14:textId="77777777" w:rsidR="00C95682" w:rsidRPr="00DE0952" w:rsidRDefault="00C95682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On reassessment:</w:t>
            </w:r>
          </w:p>
          <w:p w14:paraId="1947AC2A" w14:textId="127AF981" w:rsidR="00C95682" w:rsidRPr="00DE0952" w:rsidRDefault="008F7488" w:rsidP="00134F9B">
            <w:pPr>
              <w:pStyle w:val="TeThHauorahead2"/>
              <w:numPr>
                <w:ilvl w:val="0"/>
                <w:numId w:val="11"/>
              </w:numPr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o</w:t>
            </w:r>
            <w:r w:rsidR="00C95682"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xygen saturations improving with oxygen</w:t>
            </w:r>
          </w:p>
          <w:p w14:paraId="6DA48A51" w14:textId="59BDAC70" w:rsidR="00C95682" w:rsidRPr="00DE0952" w:rsidRDefault="00700995" w:rsidP="00134F9B">
            <w:pPr>
              <w:pStyle w:val="TeThHauorahead2"/>
              <w:numPr>
                <w:ilvl w:val="0"/>
                <w:numId w:val="11"/>
              </w:numPr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l</w:t>
            </w:r>
            <w:r w:rsidR="00C95682"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actate remains between 2</w:t>
            </w: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–</w:t>
            </w:r>
            <w:r w:rsidR="00C95682"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3.9mmol/L</w:t>
            </w:r>
          </w:p>
          <w:p w14:paraId="320FBFE4" w14:textId="77777777" w:rsidR="00C95682" w:rsidRPr="00DE0952" w:rsidRDefault="00C95682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DE0952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Add specific observations to be provided on assessment:</w:t>
            </w:r>
          </w:p>
        </w:tc>
      </w:tr>
      <w:tr w:rsidR="003769B5" w:rsidRPr="0030447C" w14:paraId="48175F34" w14:textId="77777777" w:rsidTr="00E26A91">
        <w:tc>
          <w:tcPr>
            <w:tcW w:w="2127" w:type="dxa"/>
            <w:vMerge w:val="restart"/>
            <w:shd w:val="clear" w:color="auto" w:fill="auto"/>
          </w:tcPr>
          <w:p w14:paraId="65B9F6B6" w14:textId="77777777" w:rsidR="003769B5" w:rsidRDefault="003769B5" w:rsidP="00134F9B">
            <w:pPr>
              <w:pStyle w:val="TeThHauorahead2"/>
              <w:spacing w:before="0"/>
              <w:rPr>
                <w:i w:val="0"/>
                <w:iCs/>
                <w:sz w:val="22"/>
                <w:szCs w:val="22"/>
                <w:lang w:val="mi-NZ"/>
              </w:rPr>
            </w:pPr>
            <w:r w:rsidRPr="001D0D00">
              <w:rPr>
                <w:i w:val="0"/>
                <w:iCs/>
                <w:color w:val="auto"/>
                <w:sz w:val="22"/>
                <w:szCs w:val="22"/>
                <w:lang w:val="mi-NZ"/>
              </w:rPr>
              <w:t>Actions</w:t>
            </w:r>
          </w:p>
        </w:tc>
        <w:tc>
          <w:tcPr>
            <w:tcW w:w="4961" w:type="dxa"/>
            <w:shd w:val="clear" w:color="auto" w:fill="auto"/>
          </w:tcPr>
          <w:p w14:paraId="2A3AA200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Observe vital signs every 30 minutes</w:t>
            </w:r>
          </w:p>
        </w:tc>
        <w:tc>
          <w:tcPr>
            <w:tcW w:w="709" w:type="dxa"/>
            <w:shd w:val="clear" w:color="auto" w:fill="auto"/>
          </w:tcPr>
          <w:p w14:paraId="26659379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21D748A6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auto"/>
          </w:tcPr>
          <w:p w14:paraId="5B0ACAEA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</w:p>
        </w:tc>
      </w:tr>
      <w:tr w:rsidR="003769B5" w:rsidRPr="0030447C" w14:paraId="4822BF47" w14:textId="77777777" w:rsidTr="00E26A91">
        <w:tc>
          <w:tcPr>
            <w:tcW w:w="2127" w:type="dxa"/>
            <w:vMerge/>
            <w:shd w:val="clear" w:color="auto" w:fill="auto"/>
          </w:tcPr>
          <w:p w14:paraId="43AC32D2" w14:textId="77777777" w:rsidR="003769B5" w:rsidRPr="001D0D00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  <w:shd w:val="clear" w:color="auto" w:fill="auto"/>
          </w:tcPr>
          <w:p w14:paraId="40266F77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Organise referrals and investigations</w:t>
            </w:r>
          </w:p>
        </w:tc>
        <w:tc>
          <w:tcPr>
            <w:tcW w:w="709" w:type="dxa"/>
            <w:shd w:val="clear" w:color="auto" w:fill="auto"/>
          </w:tcPr>
          <w:p w14:paraId="1D8F0585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12D37844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auto"/>
          </w:tcPr>
          <w:p w14:paraId="55B97DFA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1DF1C556" w14:textId="77777777" w:rsidTr="00E26A91">
        <w:tc>
          <w:tcPr>
            <w:tcW w:w="2127" w:type="dxa"/>
            <w:vMerge/>
            <w:shd w:val="clear" w:color="auto" w:fill="auto"/>
          </w:tcPr>
          <w:p w14:paraId="7810F05D" w14:textId="77777777" w:rsidR="003769B5" w:rsidRPr="001D0D00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  <w:shd w:val="clear" w:color="auto" w:fill="auto"/>
          </w:tcPr>
          <w:p w14:paraId="3CE21D5E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Assess for response to treatment</w:t>
            </w:r>
          </w:p>
        </w:tc>
        <w:tc>
          <w:tcPr>
            <w:tcW w:w="709" w:type="dxa"/>
            <w:shd w:val="clear" w:color="auto" w:fill="auto"/>
          </w:tcPr>
          <w:p w14:paraId="498D631C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501FF958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auto"/>
          </w:tcPr>
          <w:p w14:paraId="75AD8C71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76F26577" w14:textId="77777777" w:rsidTr="00E26A91">
        <w:tc>
          <w:tcPr>
            <w:tcW w:w="2127" w:type="dxa"/>
            <w:vMerge/>
            <w:shd w:val="clear" w:color="auto" w:fill="auto"/>
          </w:tcPr>
          <w:p w14:paraId="5F2C3880" w14:textId="77777777" w:rsidR="003769B5" w:rsidRPr="001D0D00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  <w:shd w:val="clear" w:color="auto" w:fill="auto"/>
          </w:tcPr>
          <w:p w14:paraId="3E80728C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Inform patient and whānau of sepsis diagnosis. Use the word “sepsis” when speaking with patient and whānau.</w:t>
            </w:r>
          </w:p>
        </w:tc>
        <w:tc>
          <w:tcPr>
            <w:tcW w:w="709" w:type="dxa"/>
            <w:shd w:val="clear" w:color="auto" w:fill="auto"/>
          </w:tcPr>
          <w:p w14:paraId="60B73BD9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707FEF9C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auto"/>
          </w:tcPr>
          <w:p w14:paraId="77183692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  <w:tr w:rsidR="003769B5" w:rsidRPr="0030447C" w14:paraId="3F3EBA71" w14:textId="77777777" w:rsidTr="00E26A91">
        <w:tc>
          <w:tcPr>
            <w:tcW w:w="2127" w:type="dxa"/>
            <w:vMerge/>
            <w:shd w:val="clear" w:color="auto" w:fill="auto"/>
          </w:tcPr>
          <w:p w14:paraId="4C2B6BC2" w14:textId="77777777" w:rsidR="003769B5" w:rsidRPr="001D0D00" w:rsidRDefault="003769B5" w:rsidP="00134F9B">
            <w:pPr>
              <w:pStyle w:val="TeThHauorahead2"/>
              <w:spacing w:before="0"/>
              <w:rPr>
                <w:i w:val="0"/>
                <w:iCs/>
                <w:color w:val="auto"/>
                <w:sz w:val="22"/>
                <w:szCs w:val="22"/>
                <w:lang w:val="mi-NZ"/>
              </w:rPr>
            </w:pPr>
          </w:p>
        </w:tc>
        <w:tc>
          <w:tcPr>
            <w:tcW w:w="4961" w:type="dxa"/>
            <w:shd w:val="clear" w:color="auto" w:fill="auto"/>
          </w:tcPr>
          <w:p w14:paraId="38D1D01D" w14:textId="77777777" w:rsidR="003769B5" w:rsidRPr="00382599" w:rsidRDefault="003769B5" w:rsidP="00134F9B">
            <w:pPr>
              <w:pStyle w:val="TeThHauorahead2"/>
              <w:spacing w:before="0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 xml:space="preserve">Document actions </w:t>
            </w:r>
          </w:p>
        </w:tc>
        <w:tc>
          <w:tcPr>
            <w:tcW w:w="709" w:type="dxa"/>
            <w:shd w:val="clear" w:color="auto" w:fill="auto"/>
          </w:tcPr>
          <w:p w14:paraId="6429ABD2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2DB1757A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</w:t>
            </w:r>
          </w:p>
        </w:tc>
        <w:tc>
          <w:tcPr>
            <w:tcW w:w="1417" w:type="dxa"/>
            <w:shd w:val="clear" w:color="auto" w:fill="auto"/>
          </w:tcPr>
          <w:p w14:paraId="0BF4892A" w14:textId="77777777" w:rsidR="003769B5" w:rsidRPr="00382599" w:rsidRDefault="003769B5" w:rsidP="00134F9B">
            <w:pPr>
              <w:pStyle w:val="TeThHauorahead2"/>
              <w:spacing w:before="0"/>
              <w:jc w:val="center"/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</w:pPr>
            <w:r w:rsidRPr="00382599">
              <w:rPr>
                <w:b w:val="0"/>
                <w:bCs/>
                <w:i w:val="0"/>
                <w:iCs/>
                <w:color w:val="auto"/>
                <w:sz w:val="21"/>
                <w:szCs w:val="21"/>
                <w:lang w:val="mi-NZ"/>
              </w:rPr>
              <w:t>NA</w:t>
            </w:r>
          </w:p>
        </w:tc>
      </w:tr>
    </w:tbl>
    <w:p w14:paraId="1B734E87" w14:textId="77777777" w:rsidR="00C95682" w:rsidRPr="00961361" w:rsidRDefault="00C95682" w:rsidP="00134F9B">
      <w:pPr>
        <w:pStyle w:val="TeThHauorahead2"/>
        <w:rPr>
          <w:b w:val="0"/>
          <w:bCs/>
          <w:i w:val="0"/>
          <w:iCs/>
          <w:sz w:val="22"/>
          <w:szCs w:val="22"/>
          <w:lang w:val="mi-NZ"/>
        </w:rPr>
      </w:pPr>
    </w:p>
    <w:sectPr w:rsidR="00C95682" w:rsidRPr="00961361" w:rsidSect="00DD2A24">
      <w:footerReference w:type="default" r:id="rId10"/>
      <w:pgSz w:w="11906" w:h="16838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6CFA" w14:textId="77777777" w:rsidR="0079042F" w:rsidRDefault="0079042F" w:rsidP="005F19F9">
      <w:pPr>
        <w:spacing w:after="0" w:line="240" w:lineRule="auto"/>
      </w:pPr>
      <w:r>
        <w:separator/>
      </w:r>
    </w:p>
  </w:endnote>
  <w:endnote w:type="continuationSeparator" w:id="0">
    <w:p w14:paraId="29791E18" w14:textId="77777777" w:rsidR="0079042F" w:rsidRDefault="0079042F" w:rsidP="005F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83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11265" w14:textId="7F2C9E85" w:rsidR="00337E88" w:rsidRDefault="00337E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5CFB9" w14:textId="07258F53" w:rsidR="005F19F9" w:rsidRDefault="005F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9B93" w14:textId="77777777" w:rsidR="0079042F" w:rsidRDefault="0079042F" w:rsidP="005F19F9">
      <w:pPr>
        <w:spacing w:after="0" w:line="240" w:lineRule="auto"/>
      </w:pPr>
      <w:bookmarkStart w:id="0" w:name="_Hlk207357801"/>
      <w:bookmarkEnd w:id="0"/>
      <w:r>
        <w:separator/>
      </w:r>
    </w:p>
  </w:footnote>
  <w:footnote w:type="continuationSeparator" w:id="0">
    <w:p w14:paraId="71BA407F" w14:textId="77777777" w:rsidR="0079042F" w:rsidRDefault="0079042F" w:rsidP="005F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D5674"/>
    <w:multiLevelType w:val="multilevel"/>
    <w:tmpl w:val="1409001D"/>
    <w:numStyleLink w:val="NoIndentBullet"/>
  </w:abstractNum>
  <w:abstractNum w:abstractNumId="2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760"/>
    <w:multiLevelType w:val="hybridMultilevel"/>
    <w:tmpl w:val="D40EBD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B0501"/>
    <w:multiLevelType w:val="hybridMultilevel"/>
    <w:tmpl w:val="2F08B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661AAF"/>
    <w:multiLevelType w:val="multilevel"/>
    <w:tmpl w:val="1409001D"/>
    <w:numStyleLink w:val="NoIndentBullet"/>
  </w:abstractNum>
  <w:abstractNum w:abstractNumId="8" w15:restartNumberingAfterBreak="0">
    <w:nsid w:val="68100608"/>
    <w:multiLevelType w:val="multilevel"/>
    <w:tmpl w:val="1409001D"/>
    <w:numStyleLink w:val="NoIndentBullet"/>
  </w:abstractNum>
  <w:abstractNum w:abstractNumId="9" w15:restartNumberingAfterBreak="0">
    <w:nsid w:val="68B41B91"/>
    <w:multiLevelType w:val="multilevel"/>
    <w:tmpl w:val="5F24646C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70A0CD4"/>
    <w:multiLevelType w:val="hybridMultilevel"/>
    <w:tmpl w:val="AE989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359">
    <w:abstractNumId w:val="5"/>
  </w:num>
  <w:num w:numId="2" w16cid:durableId="953295230">
    <w:abstractNumId w:val="6"/>
  </w:num>
  <w:num w:numId="3" w16cid:durableId="1152986167">
    <w:abstractNumId w:val="8"/>
  </w:num>
  <w:num w:numId="4" w16cid:durableId="1722820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7"/>
  </w:num>
  <w:num w:numId="6" w16cid:durableId="1497529179">
    <w:abstractNumId w:val="1"/>
  </w:num>
  <w:num w:numId="7" w16cid:durableId="1515728625">
    <w:abstractNumId w:val="0"/>
  </w:num>
  <w:num w:numId="8" w16cid:durableId="918633406">
    <w:abstractNumId w:val="2"/>
  </w:num>
  <w:num w:numId="9" w16cid:durableId="1985623387">
    <w:abstractNumId w:val="9"/>
  </w:num>
  <w:num w:numId="10" w16cid:durableId="261649700">
    <w:abstractNumId w:val="4"/>
  </w:num>
  <w:num w:numId="11" w16cid:durableId="760179523">
    <w:abstractNumId w:val="3"/>
  </w:num>
  <w:num w:numId="12" w16cid:durableId="1029139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C0"/>
    <w:rsid w:val="00044C5F"/>
    <w:rsid w:val="00061870"/>
    <w:rsid w:val="00062ED5"/>
    <w:rsid w:val="000A110B"/>
    <w:rsid w:val="000A7B8F"/>
    <w:rsid w:val="000A7BB4"/>
    <w:rsid w:val="000A7EE9"/>
    <w:rsid w:val="000B7BC5"/>
    <w:rsid w:val="000D7730"/>
    <w:rsid w:val="000E32FD"/>
    <w:rsid w:val="00106C3D"/>
    <w:rsid w:val="0013328C"/>
    <w:rsid w:val="00134F9B"/>
    <w:rsid w:val="001402FA"/>
    <w:rsid w:val="00142919"/>
    <w:rsid w:val="00162172"/>
    <w:rsid w:val="00170156"/>
    <w:rsid w:val="00176A2F"/>
    <w:rsid w:val="001964A9"/>
    <w:rsid w:val="001A56DA"/>
    <w:rsid w:val="001B26EB"/>
    <w:rsid w:val="001C62B1"/>
    <w:rsid w:val="001D0D00"/>
    <w:rsid w:val="002136A1"/>
    <w:rsid w:val="002143F3"/>
    <w:rsid w:val="00243869"/>
    <w:rsid w:val="002F598C"/>
    <w:rsid w:val="0030447C"/>
    <w:rsid w:val="0030758C"/>
    <w:rsid w:val="00336B17"/>
    <w:rsid w:val="00337E88"/>
    <w:rsid w:val="00342C18"/>
    <w:rsid w:val="00347523"/>
    <w:rsid w:val="003514CD"/>
    <w:rsid w:val="00356119"/>
    <w:rsid w:val="00366C04"/>
    <w:rsid w:val="003769B5"/>
    <w:rsid w:val="00382599"/>
    <w:rsid w:val="0038442F"/>
    <w:rsid w:val="003A092C"/>
    <w:rsid w:val="003D1C7E"/>
    <w:rsid w:val="003F34A5"/>
    <w:rsid w:val="00435962"/>
    <w:rsid w:val="00440B52"/>
    <w:rsid w:val="00450D07"/>
    <w:rsid w:val="004725A0"/>
    <w:rsid w:val="00476F96"/>
    <w:rsid w:val="004B7B3F"/>
    <w:rsid w:val="004C1E44"/>
    <w:rsid w:val="004E32F0"/>
    <w:rsid w:val="004E6CA8"/>
    <w:rsid w:val="00536F18"/>
    <w:rsid w:val="00541F8D"/>
    <w:rsid w:val="00581B96"/>
    <w:rsid w:val="00590546"/>
    <w:rsid w:val="005A006F"/>
    <w:rsid w:val="005A008E"/>
    <w:rsid w:val="005A48AD"/>
    <w:rsid w:val="005D5FE6"/>
    <w:rsid w:val="005F19F9"/>
    <w:rsid w:val="00617E05"/>
    <w:rsid w:val="00640F20"/>
    <w:rsid w:val="006C4F57"/>
    <w:rsid w:val="006E79B2"/>
    <w:rsid w:val="00700995"/>
    <w:rsid w:val="00706CBB"/>
    <w:rsid w:val="00731B78"/>
    <w:rsid w:val="00751411"/>
    <w:rsid w:val="0079042F"/>
    <w:rsid w:val="007A4AAB"/>
    <w:rsid w:val="007A73FA"/>
    <w:rsid w:val="00801A9D"/>
    <w:rsid w:val="00814F19"/>
    <w:rsid w:val="008409DD"/>
    <w:rsid w:val="00840A30"/>
    <w:rsid w:val="008711FD"/>
    <w:rsid w:val="008911C6"/>
    <w:rsid w:val="00896664"/>
    <w:rsid w:val="008972F6"/>
    <w:rsid w:val="008B3935"/>
    <w:rsid w:val="008C273E"/>
    <w:rsid w:val="008F7488"/>
    <w:rsid w:val="009123CB"/>
    <w:rsid w:val="00945099"/>
    <w:rsid w:val="00961361"/>
    <w:rsid w:val="009F257D"/>
    <w:rsid w:val="00A25643"/>
    <w:rsid w:val="00A3200F"/>
    <w:rsid w:val="00A362E8"/>
    <w:rsid w:val="00A81287"/>
    <w:rsid w:val="00A868C0"/>
    <w:rsid w:val="00A87CDD"/>
    <w:rsid w:val="00B07C14"/>
    <w:rsid w:val="00B433E9"/>
    <w:rsid w:val="00B562DA"/>
    <w:rsid w:val="00B7164B"/>
    <w:rsid w:val="00B86118"/>
    <w:rsid w:val="00B93A80"/>
    <w:rsid w:val="00BA2C09"/>
    <w:rsid w:val="00BA785D"/>
    <w:rsid w:val="00BB0912"/>
    <w:rsid w:val="00BD704A"/>
    <w:rsid w:val="00BE1428"/>
    <w:rsid w:val="00BF7821"/>
    <w:rsid w:val="00C40774"/>
    <w:rsid w:val="00C458A0"/>
    <w:rsid w:val="00C7113D"/>
    <w:rsid w:val="00C95682"/>
    <w:rsid w:val="00CD5713"/>
    <w:rsid w:val="00D24650"/>
    <w:rsid w:val="00D9089F"/>
    <w:rsid w:val="00DD2A24"/>
    <w:rsid w:val="00DE0952"/>
    <w:rsid w:val="00E0697D"/>
    <w:rsid w:val="00E23B01"/>
    <w:rsid w:val="00E26A91"/>
    <w:rsid w:val="00E5073A"/>
    <w:rsid w:val="00E91EB6"/>
    <w:rsid w:val="00EA7805"/>
    <w:rsid w:val="00EB3CAD"/>
    <w:rsid w:val="00EB43C9"/>
    <w:rsid w:val="00EF2AC2"/>
    <w:rsid w:val="00F43388"/>
    <w:rsid w:val="00F62ECE"/>
    <w:rsid w:val="00F93104"/>
    <w:rsid w:val="5276266B"/>
    <w:rsid w:val="5B6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B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8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8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8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8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8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8C0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C0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8C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8C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8C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8C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8C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8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8C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868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8C0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868C0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F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9F9"/>
    <w:rPr>
      <w:rFonts w:ascii="Arial" w:hAnsi="Arial"/>
      <w:kern w:val="0"/>
      <w14:ligatures w14:val="none"/>
    </w:rPr>
  </w:style>
  <w:style w:type="paragraph" w:styleId="Revision">
    <w:name w:val="Revision"/>
    <w:hidden/>
    <w:uiPriority w:val="99"/>
    <w:semiHidden/>
    <w:rsid w:val="002F598C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F6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D3DF-421C-4FCF-B07A-ED2B515BF2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2025-09-09T00:57:00Z</dcterms:created>
  <dcterms:modified xsi:type="dcterms:W3CDTF">2025-09-09T00:57:00Z</dcterms:modified>
</cp:coreProperties>
</file>