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83DAC" w14:textId="7AA7F911" w:rsidR="00D12FC1" w:rsidRPr="00A313E6" w:rsidRDefault="00CE1E6A" w:rsidP="00A313E6">
      <w:pPr>
        <w:jc w:val="center"/>
        <w:rPr>
          <w:rFonts w:cs="Arial"/>
        </w:rPr>
      </w:pPr>
      <w:r>
        <w:rPr>
          <w:noProof/>
          <w:color w:val="000000"/>
          <w:shd w:val="clear" w:color="auto" w:fill="FFFFFF"/>
        </w:rPr>
        <w:drawing>
          <wp:anchor distT="0" distB="0" distL="114300" distR="114300" simplePos="0" relativeHeight="251658241" behindDoc="0" locked="0" layoutInCell="1" allowOverlap="1" wp14:anchorId="733B7FF4" wp14:editId="6195CE74">
            <wp:simplePos x="0" y="0"/>
            <wp:positionH relativeFrom="margin">
              <wp:posOffset>-180109</wp:posOffset>
            </wp:positionH>
            <wp:positionV relativeFrom="margin">
              <wp:align>top</wp:align>
            </wp:positionV>
            <wp:extent cx="1842135" cy="922655"/>
            <wp:effectExtent l="0" t="0" r="0" b="0"/>
            <wp:wrapSquare wrapText="bothSides"/>
            <wp:docPr id="1528544883" name="Picture 2" descr="The Sepsis Trust NZ logo in grey and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44883" name="Picture 2" descr="The Sepsis Trust NZ logo in grey and 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13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6614DA74" wp14:editId="60589140">
            <wp:simplePos x="0" y="0"/>
            <wp:positionH relativeFrom="column">
              <wp:posOffset>4559416</wp:posOffset>
            </wp:positionH>
            <wp:positionV relativeFrom="paragraph">
              <wp:posOffset>0</wp:posOffset>
            </wp:positionV>
            <wp:extent cx="1590040" cy="1351915"/>
            <wp:effectExtent l="0" t="0" r="0" b="635"/>
            <wp:wrapNone/>
            <wp:doc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11308" name="Picture 1" descr="The Health Quality &amp; Safety Commission Te Tāhū Hauora logo is made up of the words Health Quality &amp; Safety Commission with the words Te Tāhū Hauora underneath. Above is a stylised version of a wharenui in a triangle shape, with the tāhū (ridgepole), heke (rafters) and niho taniwha (triangle pattern) beneath."/>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90040" cy="1351915"/>
                    </a:xfrm>
                    <a:prstGeom prst="rect">
                      <a:avLst/>
                    </a:prstGeom>
                  </pic:spPr>
                </pic:pic>
              </a:graphicData>
            </a:graphic>
            <wp14:sizeRelH relativeFrom="margin">
              <wp14:pctWidth>0</wp14:pctWidth>
            </wp14:sizeRelH>
            <wp14:sizeRelV relativeFrom="margin">
              <wp14:pctHeight>0</wp14:pctHeight>
            </wp14:sizeRelV>
          </wp:anchor>
        </w:drawing>
      </w:r>
      <w:r w:rsidR="00A313E6">
        <w:rPr>
          <w:noProof/>
        </w:rPr>
        <w:drawing>
          <wp:anchor distT="0" distB="0" distL="114300" distR="114300" simplePos="0" relativeHeight="251658240" behindDoc="1" locked="0" layoutInCell="1" allowOverlap="1" wp14:anchorId="1194F0C0" wp14:editId="4D7E3529">
            <wp:simplePos x="0" y="0"/>
            <wp:positionH relativeFrom="page">
              <wp:posOffset>13855</wp:posOffset>
            </wp:positionH>
            <wp:positionV relativeFrom="paragraph">
              <wp:posOffset>-914400</wp:posOffset>
            </wp:positionV>
            <wp:extent cx="7534274" cy="10657353"/>
            <wp:effectExtent l="0" t="0" r="0" b="0"/>
            <wp:wrapNone/>
            <wp:docPr id="1" name="Picture 1" descr="The bottom third of the white page has a red and blue tessellated pattern made up of the Health Quality &amp; Safety Commission Te Tāhū Hauora logo. The logo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ottom third of the white page has a red and blue tessellated pattern made up of the Health Quality &amp; Safety Commission Te Tāhū Hauora logo. The logo is a stylised version of a wharenui in a triangle shape, with the tāhū (ridgepole), heke (rafters) and niho taniwha (triangle pattern beneath)."/>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4274" cy="10657353"/>
                    </a:xfrm>
                    <a:prstGeom prst="rect">
                      <a:avLst/>
                    </a:prstGeom>
                  </pic:spPr>
                </pic:pic>
              </a:graphicData>
            </a:graphic>
            <wp14:sizeRelH relativeFrom="page">
              <wp14:pctWidth>0</wp14:pctWidth>
            </wp14:sizeRelH>
            <wp14:sizeRelV relativeFrom="page">
              <wp14:pctHeight>0</wp14:pctHeight>
            </wp14:sizeRelV>
          </wp:anchor>
        </w:drawing>
      </w:r>
    </w:p>
    <w:p w14:paraId="0672EC5B" w14:textId="31EFA164" w:rsidR="001D0822" w:rsidRDefault="001D0822" w:rsidP="00FD049A"/>
    <w:p w14:paraId="7566BEA4" w14:textId="77777777" w:rsidR="00FD049A" w:rsidRDefault="00FD049A" w:rsidP="00FD049A"/>
    <w:p w14:paraId="22DDC339" w14:textId="716FC656" w:rsidR="00E50E8D" w:rsidRPr="004846B0" w:rsidRDefault="00E50E8D" w:rsidP="00FD049A"/>
    <w:p w14:paraId="01E21A7B" w14:textId="2F1A6C7E" w:rsidR="00433D6F" w:rsidRDefault="00433D6F" w:rsidP="00D12FC1">
      <w:pPr>
        <w:jc w:val="center"/>
        <w:rPr>
          <w:rFonts w:cs="Arial"/>
          <w:b/>
          <w:sz w:val="36"/>
          <w:szCs w:val="36"/>
        </w:rPr>
      </w:pPr>
    </w:p>
    <w:p w14:paraId="626317DA" w14:textId="77777777" w:rsidR="00A313E6" w:rsidRDefault="00A313E6" w:rsidP="00D12FC1">
      <w:pPr>
        <w:jc w:val="center"/>
        <w:rPr>
          <w:rFonts w:cs="Arial"/>
          <w:b/>
          <w:sz w:val="36"/>
          <w:szCs w:val="36"/>
        </w:rPr>
      </w:pPr>
    </w:p>
    <w:p w14:paraId="418A8B3D" w14:textId="77777777" w:rsidR="003B1903" w:rsidRDefault="003B1903" w:rsidP="00D12FC1">
      <w:pPr>
        <w:jc w:val="center"/>
        <w:rPr>
          <w:rFonts w:cs="Arial"/>
          <w:b/>
          <w:sz w:val="36"/>
          <w:szCs w:val="36"/>
        </w:rPr>
      </w:pPr>
    </w:p>
    <w:p w14:paraId="3281CE65" w14:textId="1437354A" w:rsidR="005E17AF" w:rsidRPr="005E17AF" w:rsidRDefault="00BC497B" w:rsidP="005E17AF">
      <w:pPr>
        <w:pStyle w:val="Title"/>
      </w:pPr>
      <w:r w:rsidRPr="00BC497B">
        <w:t>Raise the Flag</w:t>
      </w:r>
      <w:r w:rsidR="005E17AF">
        <w:t xml:space="preserve">: </w:t>
      </w:r>
      <w:r w:rsidR="00064CCB" w:rsidRPr="005E17AF">
        <w:t>Sepsis quality improvement:</w:t>
      </w:r>
      <w:r w:rsidR="002531CD" w:rsidRPr="005E17AF">
        <w:t xml:space="preserve"> </w:t>
      </w:r>
      <w:r w:rsidR="00064CCB" w:rsidRPr="005E17AF">
        <w:t>Clinical governance for sepsis</w:t>
      </w:r>
    </w:p>
    <w:p w14:paraId="4F0634F5" w14:textId="0873DF93" w:rsidR="00D12FC1" w:rsidRDefault="005E17AF" w:rsidP="002531CD">
      <w:pPr>
        <w:pStyle w:val="Subtitle"/>
      </w:pPr>
      <w:r w:rsidRPr="005E17AF">
        <w:t xml:space="preserve">Hikitia </w:t>
      </w:r>
      <w:proofErr w:type="spellStart"/>
      <w:r w:rsidRPr="005E17AF">
        <w:t>te</w:t>
      </w:r>
      <w:proofErr w:type="spellEnd"/>
      <w:r w:rsidRPr="005E17AF">
        <w:t xml:space="preserve"> Haki: Kia </w:t>
      </w:r>
      <w:proofErr w:type="spellStart"/>
      <w:r w:rsidRPr="005E17AF">
        <w:t>kounga</w:t>
      </w:r>
      <w:proofErr w:type="spellEnd"/>
      <w:r w:rsidRPr="005E17AF">
        <w:t xml:space="preserve"> </w:t>
      </w:r>
      <w:proofErr w:type="spellStart"/>
      <w:r w:rsidRPr="005E17AF">
        <w:t>te</w:t>
      </w:r>
      <w:proofErr w:type="spellEnd"/>
      <w:r w:rsidRPr="005E17AF">
        <w:t xml:space="preserve"> </w:t>
      </w:r>
      <w:proofErr w:type="spellStart"/>
      <w:r w:rsidRPr="005E17AF">
        <w:t>whakapai</w:t>
      </w:r>
      <w:proofErr w:type="spellEnd"/>
      <w:r w:rsidRPr="005E17AF">
        <w:t xml:space="preserve"> mate </w:t>
      </w:r>
      <w:proofErr w:type="spellStart"/>
      <w:r w:rsidR="006C5E30">
        <w:t>whakataoke</w:t>
      </w:r>
      <w:proofErr w:type="spellEnd"/>
      <w:r w:rsidRPr="005E17AF">
        <w:t xml:space="preserve">: </w:t>
      </w:r>
      <w:proofErr w:type="spellStart"/>
      <w:r w:rsidRPr="005E17AF">
        <w:t>Whakahaere</w:t>
      </w:r>
      <w:proofErr w:type="spellEnd"/>
      <w:r w:rsidRPr="005E17AF">
        <w:t xml:space="preserve"> </w:t>
      </w:r>
      <w:proofErr w:type="spellStart"/>
      <w:r w:rsidRPr="005E17AF">
        <w:t>rongoā</w:t>
      </w:r>
      <w:proofErr w:type="spellEnd"/>
      <w:r w:rsidR="00D12FC1" w:rsidRPr="00064CCB">
        <w:t xml:space="preserve"> </w:t>
      </w:r>
    </w:p>
    <w:p w14:paraId="1BF709C8" w14:textId="77777777" w:rsidR="002531CD" w:rsidRPr="002531CD" w:rsidRDefault="002531CD" w:rsidP="002531CD"/>
    <w:p w14:paraId="3C2A6A5B" w14:textId="77777777" w:rsidR="009B60E1" w:rsidRPr="004846B0" w:rsidRDefault="009B60E1" w:rsidP="00D12FC1">
      <w:pPr>
        <w:jc w:val="center"/>
        <w:rPr>
          <w:rFonts w:cs="Arial"/>
          <w:b/>
          <w:sz w:val="36"/>
          <w:szCs w:val="36"/>
        </w:rPr>
      </w:pPr>
    </w:p>
    <w:p w14:paraId="423EE63F" w14:textId="38D8BAAA" w:rsidR="002E1666" w:rsidRPr="00A2381C" w:rsidRDefault="00F7017C" w:rsidP="00A313E6">
      <w:pPr>
        <w:rPr>
          <w:rFonts w:cs="Arial"/>
          <w:bCs/>
          <w:color w:val="293868"/>
          <w:sz w:val="28"/>
          <w:szCs w:val="28"/>
        </w:rPr>
      </w:pPr>
      <w:r>
        <w:rPr>
          <w:rFonts w:cs="Arial"/>
          <w:bCs/>
          <w:color w:val="293868"/>
          <w:sz w:val="28"/>
          <w:szCs w:val="28"/>
        </w:rPr>
        <w:t>September 2025</w:t>
      </w:r>
    </w:p>
    <w:p w14:paraId="7BA1C37D" w14:textId="43900C8F" w:rsidR="00FD049A" w:rsidRDefault="00FD049A">
      <w:pPr>
        <w:spacing w:after="200"/>
        <w:rPr>
          <w:rFonts w:cs="Arial"/>
        </w:rPr>
      </w:pPr>
      <w:r>
        <w:br w:type="page"/>
      </w:r>
    </w:p>
    <w:p w14:paraId="4987158B" w14:textId="77777777" w:rsidR="00FD049A" w:rsidRDefault="00FD049A" w:rsidP="00FD049A">
      <w:pPr>
        <w:pStyle w:val="BodyText"/>
      </w:pPr>
    </w:p>
    <w:p w14:paraId="5E525926" w14:textId="77777777" w:rsidR="00FD049A" w:rsidRDefault="00FD049A" w:rsidP="00FD049A">
      <w:pPr>
        <w:pStyle w:val="BodyText"/>
      </w:pPr>
    </w:p>
    <w:p w14:paraId="1832F6FA" w14:textId="77777777" w:rsidR="00FD049A" w:rsidRDefault="00FD049A" w:rsidP="00FD049A">
      <w:pPr>
        <w:pStyle w:val="BodyText"/>
      </w:pPr>
    </w:p>
    <w:p w14:paraId="76398512" w14:textId="77777777" w:rsidR="00FD049A" w:rsidRDefault="00FD049A" w:rsidP="00FD049A">
      <w:pPr>
        <w:pStyle w:val="BodyText"/>
      </w:pPr>
    </w:p>
    <w:p w14:paraId="17B302D8" w14:textId="77777777" w:rsidR="00FD049A" w:rsidRDefault="00FD049A" w:rsidP="00FD049A">
      <w:pPr>
        <w:pStyle w:val="BodyText"/>
      </w:pPr>
    </w:p>
    <w:p w14:paraId="4980E352" w14:textId="77777777" w:rsidR="00FD049A" w:rsidRDefault="00FD049A" w:rsidP="00FD049A">
      <w:pPr>
        <w:pStyle w:val="BodyText"/>
      </w:pPr>
    </w:p>
    <w:p w14:paraId="32059BDD" w14:textId="77777777" w:rsidR="00E50E8D" w:rsidRDefault="00E50E8D" w:rsidP="00FD049A">
      <w:pPr>
        <w:pStyle w:val="BodyText"/>
      </w:pPr>
    </w:p>
    <w:p w14:paraId="5B8472A4" w14:textId="77777777" w:rsidR="00E50E8D" w:rsidRDefault="00E50E8D" w:rsidP="00FD049A">
      <w:pPr>
        <w:pStyle w:val="BodyText"/>
      </w:pPr>
    </w:p>
    <w:p w14:paraId="3A638F01" w14:textId="77777777" w:rsidR="00E50E8D" w:rsidRDefault="00E50E8D" w:rsidP="00FD049A">
      <w:pPr>
        <w:pStyle w:val="BodyText"/>
      </w:pPr>
    </w:p>
    <w:p w14:paraId="66697C1E" w14:textId="77777777" w:rsidR="00E50E8D" w:rsidRDefault="00E50E8D" w:rsidP="00FD049A">
      <w:pPr>
        <w:pStyle w:val="BodyText"/>
      </w:pPr>
    </w:p>
    <w:p w14:paraId="5120D59E" w14:textId="77777777" w:rsidR="00E50E8D" w:rsidRDefault="00E50E8D" w:rsidP="00FD049A">
      <w:pPr>
        <w:pStyle w:val="BodyText"/>
      </w:pPr>
    </w:p>
    <w:p w14:paraId="709DAC3C" w14:textId="77777777" w:rsidR="00FD049A" w:rsidRDefault="00FD049A" w:rsidP="00FD049A">
      <w:pPr>
        <w:pStyle w:val="BodyText"/>
      </w:pPr>
    </w:p>
    <w:p w14:paraId="6BE565C4" w14:textId="77777777" w:rsidR="00FD049A" w:rsidRDefault="00FD049A" w:rsidP="00FD049A">
      <w:pPr>
        <w:pStyle w:val="BodyText"/>
      </w:pPr>
    </w:p>
    <w:p w14:paraId="5A7E06AA" w14:textId="77777777" w:rsidR="00FD049A" w:rsidRDefault="00FD049A" w:rsidP="00FD049A">
      <w:pPr>
        <w:pStyle w:val="BodyText"/>
      </w:pPr>
    </w:p>
    <w:p w14:paraId="2FD28857" w14:textId="77777777" w:rsidR="00FD049A" w:rsidRDefault="00FD049A" w:rsidP="00FD049A">
      <w:pPr>
        <w:pStyle w:val="BodyText"/>
      </w:pPr>
    </w:p>
    <w:p w14:paraId="3AC5509D" w14:textId="77777777" w:rsidR="00FD049A" w:rsidRDefault="00FD049A" w:rsidP="00FD049A">
      <w:pPr>
        <w:pStyle w:val="BodyText"/>
      </w:pPr>
    </w:p>
    <w:p w14:paraId="3EB27D2A" w14:textId="77777777" w:rsidR="00FD049A" w:rsidRDefault="00FD049A" w:rsidP="00FD049A">
      <w:pPr>
        <w:pStyle w:val="BodyText"/>
      </w:pPr>
    </w:p>
    <w:p w14:paraId="60787DD6" w14:textId="77777777" w:rsidR="00FD049A" w:rsidRDefault="00FD049A" w:rsidP="00FD049A">
      <w:pPr>
        <w:pStyle w:val="BodyText"/>
      </w:pPr>
    </w:p>
    <w:p w14:paraId="17688418" w14:textId="77777777" w:rsidR="00CD59BF" w:rsidRDefault="00CD59BF" w:rsidP="00FD049A">
      <w:pPr>
        <w:pStyle w:val="BodyText"/>
      </w:pPr>
    </w:p>
    <w:p w14:paraId="098062D2" w14:textId="77777777" w:rsidR="00FD049A" w:rsidRDefault="00FD049A" w:rsidP="00FD049A">
      <w:pPr>
        <w:pStyle w:val="BodyText"/>
      </w:pPr>
    </w:p>
    <w:p w14:paraId="1D5BD13B" w14:textId="77777777" w:rsidR="00FD049A" w:rsidRDefault="00FD049A" w:rsidP="00FD049A">
      <w:pPr>
        <w:pStyle w:val="BodyText"/>
      </w:pPr>
    </w:p>
    <w:p w14:paraId="66768E16" w14:textId="083D3DA1" w:rsidR="00FD049A" w:rsidRDefault="00FD049A" w:rsidP="00FD049A">
      <w:pPr>
        <w:pStyle w:val="BodyText"/>
      </w:pPr>
      <w:r w:rsidRPr="00052E86">
        <w:t xml:space="preserve">Published </w:t>
      </w:r>
      <w:r w:rsidR="00F7017C">
        <w:t xml:space="preserve">in September 2025 </w:t>
      </w:r>
      <w:r>
        <w:t>by Health Quality &amp; Safety Commission</w:t>
      </w:r>
      <w:r w:rsidR="00A024C2" w:rsidRPr="00A024C2">
        <w:t xml:space="preserve"> </w:t>
      </w:r>
      <w:r w:rsidR="00A024C2">
        <w:t>Te Tāhū Hauora</w:t>
      </w:r>
      <w:r>
        <w:t xml:space="preserve">, </w:t>
      </w:r>
      <w:r w:rsidR="00AE395A">
        <w:br/>
      </w:r>
      <w:r>
        <w:t>PO Box 25496, Wellington, 6146.</w:t>
      </w:r>
    </w:p>
    <w:p w14:paraId="44A12774" w14:textId="6A6A01BE" w:rsidR="00FD049A" w:rsidRPr="00052E86" w:rsidRDefault="00FD049A" w:rsidP="00FD049A">
      <w:pPr>
        <w:pStyle w:val="BodyText"/>
      </w:pPr>
      <w:r>
        <w:t xml:space="preserve">ISBN </w:t>
      </w:r>
      <w:r w:rsidR="003E1BE2" w:rsidRPr="003E1BE2">
        <w:t>978-1-991122-35-3</w:t>
      </w:r>
      <w:r w:rsidR="003E1BE2">
        <w:t xml:space="preserve"> (online)</w:t>
      </w:r>
    </w:p>
    <w:p w14:paraId="7573573E" w14:textId="77777777" w:rsidR="00FD049A" w:rsidRPr="00052E86" w:rsidRDefault="00FD049A" w:rsidP="00FD049A">
      <w:pPr>
        <w:pStyle w:val="BodyText"/>
      </w:pPr>
      <w:r w:rsidRPr="00052E86">
        <w:t xml:space="preserve">Available online at </w:t>
      </w:r>
      <w:hyperlink r:id="rId11" w:history="1">
        <w:r w:rsidRPr="00052E86">
          <w:rPr>
            <w:rStyle w:val="Hyperlink"/>
          </w:rPr>
          <w:t>www.hqsc.govt.nz</w:t>
        </w:r>
      </w:hyperlink>
    </w:p>
    <w:p w14:paraId="64E6D803" w14:textId="77777777" w:rsidR="00FD049A" w:rsidRDefault="00FD049A" w:rsidP="00FD049A">
      <w:pPr>
        <w:pStyle w:val="BodyText"/>
      </w:pPr>
      <w:r w:rsidRPr="00052E86">
        <w:t xml:space="preserve">Enquiries to: </w:t>
      </w:r>
      <w:hyperlink r:id="rId12" w:history="1">
        <w:r w:rsidRPr="00A45102">
          <w:rPr>
            <w:rStyle w:val="Hyperlink"/>
          </w:rPr>
          <w:t>info@hqsc.govt.nz</w:t>
        </w:r>
      </w:hyperlink>
    </w:p>
    <w:p w14:paraId="06F9D9EA" w14:textId="77777777" w:rsidR="00FD049A" w:rsidRDefault="00FD049A" w:rsidP="00CD59BF">
      <w:pPr>
        <w:pStyle w:val="BodyText"/>
        <w:spacing w:after="0"/>
      </w:pPr>
    </w:p>
    <w:p w14:paraId="3A298BEC" w14:textId="77777777" w:rsidR="00FD049A" w:rsidRDefault="00FD049A" w:rsidP="00FD049A">
      <w:pPr>
        <w:pStyle w:val="BodyText"/>
      </w:pPr>
      <w:r>
        <w:rPr>
          <w:noProof/>
        </w:rPr>
        <w:drawing>
          <wp:anchor distT="0" distB="0" distL="114300" distR="114300" simplePos="0" relativeHeight="251658242" behindDoc="1" locked="0" layoutInCell="1" allowOverlap="1" wp14:anchorId="75256652" wp14:editId="49A1DC86">
            <wp:simplePos x="0" y="0"/>
            <wp:positionH relativeFrom="margin">
              <wp:align>right</wp:align>
            </wp:positionH>
            <wp:positionV relativeFrom="paragraph">
              <wp:posOffset>59055</wp:posOffset>
            </wp:positionV>
            <wp:extent cx="1401445" cy="488950"/>
            <wp:effectExtent l="0" t="0" r="8255" b="6350"/>
            <wp:wrapTight wrapText="bothSides">
              <wp:wrapPolygon edited="0">
                <wp:start x="0" y="0"/>
                <wp:lineTo x="0" y="21039"/>
                <wp:lineTo x="21434" y="21039"/>
                <wp:lineTo x="21434" y="0"/>
                <wp:lineTo x="0" y="0"/>
              </wp:wrapPolygon>
            </wp:wrapTight>
            <wp:doc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8610" name="Picture 358988610" descr="Creative Commons logo, with a grey background, a white circle with the letters CC in it on the left, then a smaller white circle with a stick person it in and the letters BY underneath, then a smaller white circle with a crossed-out dollar symbol on it and the letters NC underneath it, then a smaller white circle with a circular arrow in it and the letters SA underneath i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1445" cy="488950"/>
                    </a:xfrm>
                    <a:prstGeom prst="rect">
                      <a:avLst/>
                    </a:prstGeom>
                  </pic:spPr>
                </pic:pic>
              </a:graphicData>
            </a:graphic>
            <wp14:sizeRelH relativeFrom="margin">
              <wp14:pctWidth>0</wp14:pctWidth>
            </wp14:sizeRelH>
            <wp14:sizeRelV relativeFrom="margin">
              <wp14:pctHeight>0</wp14:pctHeight>
            </wp14:sizeRelV>
          </wp:anchor>
        </w:drawing>
      </w:r>
      <w:r>
        <w:t xml:space="preserve">This work is licensed under the Creative Commons </w:t>
      </w:r>
      <w:proofErr w:type="spellStart"/>
      <w:r>
        <w:t>AttributionNonCommercial-ShareAlike</w:t>
      </w:r>
      <w:proofErr w:type="spellEnd"/>
      <w:r>
        <w:t xml:space="preserve"> 4.0 International </w:t>
      </w:r>
      <w:r>
        <w:br/>
        <w:t xml:space="preserve">(CC BY-NC-SA 4.0). To view a copy of this licence, visit </w:t>
      </w:r>
      <w:hyperlink r:id="rId14" w:history="1">
        <w:r w:rsidRPr="00A45102">
          <w:rPr>
            <w:rStyle w:val="Hyperlink"/>
          </w:rPr>
          <w:t>https://creativecommons.org/licenses/by-nc-sa/4.0</w:t>
        </w:r>
      </w:hyperlink>
      <w:r>
        <w:t xml:space="preserve"> </w:t>
      </w:r>
    </w:p>
    <w:p w14:paraId="66E9B320" w14:textId="77777777" w:rsidR="00FD049A" w:rsidRDefault="00FD049A" w:rsidP="00CD59BF">
      <w:pPr>
        <w:pStyle w:val="BodyText"/>
        <w:spacing w:after="0"/>
      </w:pPr>
    </w:p>
    <w:p w14:paraId="7EF1CB70" w14:textId="06EB2CDA" w:rsidR="009F7F5F" w:rsidRDefault="00FD049A" w:rsidP="00FD049A">
      <w:pPr>
        <w:pStyle w:val="BodyText"/>
      </w:pPr>
      <w:r>
        <w:rPr>
          <w:noProof/>
        </w:rPr>
        <w:drawing>
          <wp:inline distT="0" distB="0" distL="0" distR="0" wp14:anchorId="6090CEE2" wp14:editId="5EE2D0B6">
            <wp:extent cx="1743740" cy="658394"/>
            <wp:effectExtent l="0" t="0" r="0" b="8890"/>
            <wp:docPr id="1815018965" name="Picture 1815018965" descr="The New Zealand Government logo is made up the words Te Kāwanatanga o Aotearoa in bold letters alongside it, with New Zealand Government writte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18965" name="Picture 1815018965" descr="The New Zealand Government logo is made up the words Te Kāwanatanga o Aotearoa in bold letters alongside it, with New Zealand Government written beneath."/>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0848" cy="668629"/>
                    </a:xfrm>
                    <a:prstGeom prst="rect">
                      <a:avLst/>
                    </a:prstGeom>
                  </pic:spPr>
                </pic:pic>
              </a:graphicData>
            </a:graphic>
          </wp:inline>
        </w:drawing>
      </w:r>
    </w:p>
    <w:p w14:paraId="4E96676E" w14:textId="77777777" w:rsidR="00B74EE3" w:rsidRDefault="00B74EE3" w:rsidP="006A5331">
      <w:pPr>
        <w:pStyle w:val="TeThHauorahead1"/>
        <w:spacing w:after="120"/>
        <w:sectPr w:rsidR="00B74EE3">
          <w:headerReference w:type="even" r:id="rId16"/>
          <w:headerReference w:type="default" r:id="rId17"/>
          <w:footerReference w:type="even" r:id="rId18"/>
          <w:footerReference w:type="default" r:id="rId19"/>
          <w:pgSz w:w="11906" w:h="16838"/>
          <w:pgMar w:top="1440" w:right="1440" w:bottom="1440" w:left="1440" w:header="708" w:footer="708" w:gutter="0"/>
          <w:cols w:space="708"/>
          <w:docGrid w:linePitch="360"/>
        </w:sectPr>
      </w:pPr>
    </w:p>
    <w:p w14:paraId="34A55D52" w14:textId="3D63A7D9" w:rsidR="006A5331" w:rsidRPr="009A1E79" w:rsidRDefault="006A5331" w:rsidP="009A1E79">
      <w:pPr>
        <w:pStyle w:val="TeThHauorabodytext"/>
        <w:keepNext/>
        <w:spacing w:after="360" w:line="360" w:lineRule="atLeast"/>
        <w:rPr>
          <w:b/>
          <w:bCs/>
          <w:noProof/>
          <w:color w:val="293868"/>
          <w:sz w:val="36"/>
          <w:szCs w:val="36"/>
        </w:rPr>
      </w:pPr>
      <w:r w:rsidRPr="009A1E79">
        <w:rPr>
          <w:b/>
          <w:bCs/>
          <w:noProof/>
          <w:color w:val="293868"/>
          <w:sz w:val="36"/>
          <w:szCs w:val="36"/>
        </w:rPr>
        <w:lastRenderedPageBreak/>
        <w:t>Contents</w:t>
      </w:r>
      <w:r w:rsidR="007A2EDD">
        <w:rPr>
          <w:b/>
          <w:bCs/>
          <w:noProof/>
          <w:color w:val="293868"/>
          <w:sz w:val="36"/>
          <w:szCs w:val="36"/>
        </w:rPr>
        <w:t xml:space="preserve"> </w:t>
      </w:r>
      <w:r w:rsidR="00564FA1" w:rsidRPr="00564FA1">
        <w:rPr>
          <w:b/>
          <w:bCs/>
          <w:noProof/>
          <w:color w:val="293868"/>
          <w:sz w:val="36"/>
          <w:szCs w:val="36"/>
        </w:rPr>
        <w:t>| Ngā ihirangi</w:t>
      </w:r>
    </w:p>
    <w:p w14:paraId="7630A53D" w14:textId="2663F16D" w:rsidR="00A4688A" w:rsidRDefault="000C0DFF">
      <w:pPr>
        <w:pStyle w:val="TOC1"/>
        <w:rPr>
          <w:rFonts w:asciiTheme="minorHAnsi" w:eastAsiaTheme="minorEastAsia" w:hAnsiTheme="minorHAnsi"/>
          <w:noProof/>
          <w:kern w:val="2"/>
          <w:sz w:val="24"/>
          <w:szCs w:val="24"/>
          <w:lang w:eastAsia="en-NZ"/>
          <w14:ligatures w14:val="standardContextual"/>
        </w:rPr>
      </w:pPr>
      <w:r>
        <w:rPr>
          <w:bCs/>
          <w:noProof/>
        </w:rPr>
        <w:fldChar w:fldCharType="begin"/>
      </w:r>
      <w:r>
        <w:rPr>
          <w:bCs/>
          <w:noProof/>
        </w:rPr>
        <w:instrText xml:space="preserve"> TOC \o "1-3" \h \z \u </w:instrText>
      </w:r>
      <w:r>
        <w:rPr>
          <w:bCs/>
          <w:noProof/>
        </w:rPr>
        <w:fldChar w:fldCharType="separate"/>
      </w:r>
      <w:hyperlink w:anchor="_Toc207375338" w:history="1">
        <w:r w:rsidR="00A4688A" w:rsidRPr="00783A56">
          <w:rPr>
            <w:rStyle w:val="Hyperlink"/>
            <w:noProof/>
          </w:rPr>
          <w:t xml:space="preserve">Purpose </w:t>
        </w:r>
        <w:r w:rsidR="00A4688A" w:rsidRPr="00783A56">
          <w:rPr>
            <w:rStyle w:val="Hyperlink"/>
            <w:bCs/>
            <w:noProof/>
          </w:rPr>
          <w:t xml:space="preserve">| </w:t>
        </w:r>
        <w:r w:rsidR="00A4688A" w:rsidRPr="00783A56">
          <w:rPr>
            <w:rStyle w:val="Hyperlink"/>
            <w:noProof/>
          </w:rPr>
          <w:t>Te whāinga</w:t>
        </w:r>
        <w:r w:rsidR="00A4688A">
          <w:rPr>
            <w:noProof/>
            <w:webHidden/>
          </w:rPr>
          <w:tab/>
        </w:r>
        <w:r w:rsidR="00A4688A">
          <w:rPr>
            <w:noProof/>
            <w:webHidden/>
          </w:rPr>
          <w:fldChar w:fldCharType="begin"/>
        </w:r>
        <w:r w:rsidR="00A4688A">
          <w:rPr>
            <w:noProof/>
            <w:webHidden/>
          </w:rPr>
          <w:instrText xml:space="preserve"> PAGEREF _Toc207375338 \h </w:instrText>
        </w:r>
        <w:r w:rsidR="00A4688A">
          <w:rPr>
            <w:noProof/>
            <w:webHidden/>
          </w:rPr>
        </w:r>
        <w:r w:rsidR="00A4688A">
          <w:rPr>
            <w:noProof/>
            <w:webHidden/>
          </w:rPr>
          <w:fldChar w:fldCharType="separate"/>
        </w:r>
        <w:r w:rsidR="00C41EBD">
          <w:rPr>
            <w:noProof/>
            <w:webHidden/>
          </w:rPr>
          <w:t>4</w:t>
        </w:r>
        <w:r w:rsidR="00A4688A">
          <w:rPr>
            <w:noProof/>
            <w:webHidden/>
          </w:rPr>
          <w:fldChar w:fldCharType="end"/>
        </w:r>
      </w:hyperlink>
    </w:p>
    <w:p w14:paraId="434006AD" w14:textId="5E93A297" w:rsidR="00A4688A" w:rsidRDefault="00A4688A">
      <w:pPr>
        <w:pStyle w:val="TOC1"/>
        <w:rPr>
          <w:rFonts w:asciiTheme="minorHAnsi" w:eastAsiaTheme="minorEastAsia" w:hAnsiTheme="minorHAnsi"/>
          <w:noProof/>
          <w:kern w:val="2"/>
          <w:sz w:val="24"/>
          <w:szCs w:val="24"/>
          <w:lang w:eastAsia="en-NZ"/>
          <w14:ligatures w14:val="standardContextual"/>
        </w:rPr>
      </w:pPr>
      <w:hyperlink w:anchor="_Toc207375339" w:history="1">
        <w:r w:rsidRPr="00783A56">
          <w:rPr>
            <w:rStyle w:val="Hyperlink"/>
            <w:noProof/>
          </w:rPr>
          <w:t xml:space="preserve">Introduction </w:t>
        </w:r>
        <w:r w:rsidRPr="00783A56">
          <w:rPr>
            <w:rStyle w:val="Hyperlink"/>
            <w:bCs/>
            <w:noProof/>
          </w:rPr>
          <w:t>| He kupu whakataki</w:t>
        </w:r>
        <w:r>
          <w:rPr>
            <w:noProof/>
            <w:webHidden/>
          </w:rPr>
          <w:tab/>
        </w:r>
        <w:r>
          <w:rPr>
            <w:noProof/>
            <w:webHidden/>
          </w:rPr>
          <w:fldChar w:fldCharType="begin"/>
        </w:r>
        <w:r>
          <w:rPr>
            <w:noProof/>
            <w:webHidden/>
          </w:rPr>
          <w:instrText xml:space="preserve"> PAGEREF _Toc207375339 \h </w:instrText>
        </w:r>
        <w:r>
          <w:rPr>
            <w:noProof/>
            <w:webHidden/>
          </w:rPr>
        </w:r>
        <w:r>
          <w:rPr>
            <w:noProof/>
            <w:webHidden/>
          </w:rPr>
          <w:fldChar w:fldCharType="separate"/>
        </w:r>
        <w:r w:rsidR="00C41EBD">
          <w:rPr>
            <w:noProof/>
            <w:webHidden/>
          </w:rPr>
          <w:t>4</w:t>
        </w:r>
        <w:r>
          <w:rPr>
            <w:noProof/>
            <w:webHidden/>
          </w:rPr>
          <w:fldChar w:fldCharType="end"/>
        </w:r>
      </w:hyperlink>
    </w:p>
    <w:p w14:paraId="0A4CFBE2" w14:textId="5DCCD2BE" w:rsidR="00A4688A" w:rsidRDefault="00A4688A">
      <w:pPr>
        <w:pStyle w:val="TOC1"/>
        <w:rPr>
          <w:rFonts w:asciiTheme="minorHAnsi" w:eastAsiaTheme="minorEastAsia" w:hAnsiTheme="minorHAnsi"/>
          <w:noProof/>
          <w:kern w:val="2"/>
          <w:sz w:val="24"/>
          <w:szCs w:val="24"/>
          <w:lang w:eastAsia="en-NZ"/>
          <w14:ligatures w14:val="standardContextual"/>
        </w:rPr>
      </w:pPr>
      <w:hyperlink w:anchor="_Toc207375340" w:history="1">
        <w:r w:rsidRPr="00783A56">
          <w:rPr>
            <w:rStyle w:val="Hyperlink"/>
            <w:noProof/>
          </w:rPr>
          <w:t xml:space="preserve">Governance structure for sepsis </w:t>
        </w:r>
        <w:r w:rsidRPr="00783A56">
          <w:rPr>
            <w:rStyle w:val="Hyperlink"/>
            <w:bCs/>
            <w:noProof/>
          </w:rPr>
          <w:t xml:space="preserve">| </w:t>
        </w:r>
        <w:r w:rsidRPr="00783A56">
          <w:rPr>
            <w:rStyle w:val="Hyperlink"/>
            <w:noProof/>
          </w:rPr>
          <w:t>Hanganga whakahaere</w:t>
        </w:r>
        <w:r>
          <w:rPr>
            <w:noProof/>
            <w:webHidden/>
          </w:rPr>
          <w:tab/>
        </w:r>
        <w:r>
          <w:rPr>
            <w:noProof/>
            <w:webHidden/>
          </w:rPr>
          <w:fldChar w:fldCharType="begin"/>
        </w:r>
        <w:r>
          <w:rPr>
            <w:noProof/>
            <w:webHidden/>
          </w:rPr>
          <w:instrText xml:space="preserve"> PAGEREF _Toc207375340 \h </w:instrText>
        </w:r>
        <w:r>
          <w:rPr>
            <w:noProof/>
            <w:webHidden/>
          </w:rPr>
        </w:r>
        <w:r>
          <w:rPr>
            <w:noProof/>
            <w:webHidden/>
          </w:rPr>
          <w:fldChar w:fldCharType="separate"/>
        </w:r>
        <w:r w:rsidR="00C41EBD">
          <w:rPr>
            <w:noProof/>
            <w:webHidden/>
          </w:rPr>
          <w:t>4</w:t>
        </w:r>
        <w:r>
          <w:rPr>
            <w:noProof/>
            <w:webHidden/>
          </w:rPr>
          <w:fldChar w:fldCharType="end"/>
        </w:r>
      </w:hyperlink>
    </w:p>
    <w:p w14:paraId="4667C932" w14:textId="28D83DB2" w:rsidR="00A4688A" w:rsidRDefault="00A4688A">
      <w:pPr>
        <w:pStyle w:val="TOC1"/>
        <w:rPr>
          <w:rFonts w:asciiTheme="minorHAnsi" w:eastAsiaTheme="minorEastAsia" w:hAnsiTheme="minorHAnsi"/>
          <w:noProof/>
          <w:kern w:val="2"/>
          <w:sz w:val="24"/>
          <w:szCs w:val="24"/>
          <w:lang w:eastAsia="en-NZ"/>
          <w14:ligatures w14:val="standardContextual"/>
        </w:rPr>
      </w:pPr>
      <w:hyperlink w:anchor="_Toc207375341" w:history="1">
        <w:r w:rsidRPr="00783A56">
          <w:rPr>
            <w:rStyle w:val="Hyperlink"/>
            <w:noProof/>
          </w:rPr>
          <w:t xml:space="preserve">Governance functions for sepsis </w:t>
        </w:r>
        <w:r w:rsidRPr="00783A56">
          <w:rPr>
            <w:rStyle w:val="Hyperlink"/>
            <w:bCs/>
            <w:noProof/>
          </w:rPr>
          <w:t xml:space="preserve">| </w:t>
        </w:r>
        <w:r w:rsidRPr="00783A56">
          <w:rPr>
            <w:rStyle w:val="Hyperlink"/>
            <w:noProof/>
          </w:rPr>
          <w:t>Āheinga whakahaere</w:t>
        </w:r>
        <w:r>
          <w:rPr>
            <w:noProof/>
            <w:webHidden/>
          </w:rPr>
          <w:tab/>
        </w:r>
        <w:r>
          <w:rPr>
            <w:noProof/>
            <w:webHidden/>
          </w:rPr>
          <w:fldChar w:fldCharType="begin"/>
        </w:r>
        <w:r>
          <w:rPr>
            <w:noProof/>
            <w:webHidden/>
          </w:rPr>
          <w:instrText xml:space="preserve"> PAGEREF _Toc207375341 \h </w:instrText>
        </w:r>
        <w:r>
          <w:rPr>
            <w:noProof/>
            <w:webHidden/>
          </w:rPr>
        </w:r>
        <w:r>
          <w:rPr>
            <w:noProof/>
            <w:webHidden/>
          </w:rPr>
          <w:fldChar w:fldCharType="separate"/>
        </w:r>
        <w:r w:rsidR="00C41EBD">
          <w:rPr>
            <w:noProof/>
            <w:webHidden/>
          </w:rPr>
          <w:t>5</w:t>
        </w:r>
        <w:r>
          <w:rPr>
            <w:noProof/>
            <w:webHidden/>
          </w:rPr>
          <w:fldChar w:fldCharType="end"/>
        </w:r>
      </w:hyperlink>
    </w:p>
    <w:p w14:paraId="169E5091" w14:textId="0F56435E" w:rsidR="00A4688A" w:rsidRDefault="00A4688A">
      <w:pPr>
        <w:pStyle w:val="TOC1"/>
        <w:rPr>
          <w:rFonts w:asciiTheme="minorHAnsi" w:eastAsiaTheme="minorEastAsia" w:hAnsiTheme="minorHAnsi"/>
          <w:noProof/>
          <w:kern w:val="2"/>
          <w:sz w:val="24"/>
          <w:szCs w:val="24"/>
          <w:lang w:eastAsia="en-NZ"/>
          <w14:ligatures w14:val="standardContextual"/>
        </w:rPr>
      </w:pPr>
      <w:hyperlink w:anchor="_Toc207375342" w:history="1">
        <w:r w:rsidRPr="00783A56">
          <w:rPr>
            <w:rStyle w:val="Hyperlink"/>
            <w:noProof/>
          </w:rPr>
          <w:t xml:space="preserve">A framework for clinical governance </w:t>
        </w:r>
        <w:r w:rsidRPr="00783A56">
          <w:rPr>
            <w:rStyle w:val="Hyperlink"/>
            <w:bCs/>
            <w:noProof/>
          </w:rPr>
          <w:t>|</w:t>
        </w:r>
        <w:r w:rsidRPr="00783A56">
          <w:rPr>
            <w:rStyle w:val="Hyperlink"/>
            <w:noProof/>
          </w:rPr>
          <w:t xml:space="preserve"> He anga whakahaere rongoā</w:t>
        </w:r>
        <w:r>
          <w:rPr>
            <w:noProof/>
            <w:webHidden/>
          </w:rPr>
          <w:tab/>
        </w:r>
        <w:r>
          <w:rPr>
            <w:noProof/>
            <w:webHidden/>
          </w:rPr>
          <w:fldChar w:fldCharType="begin"/>
        </w:r>
        <w:r>
          <w:rPr>
            <w:noProof/>
            <w:webHidden/>
          </w:rPr>
          <w:instrText xml:space="preserve"> PAGEREF _Toc207375342 \h </w:instrText>
        </w:r>
        <w:r>
          <w:rPr>
            <w:noProof/>
            <w:webHidden/>
          </w:rPr>
        </w:r>
        <w:r>
          <w:rPr>
            <w:noProof/>
            <w:webHidden/>
          </w:rPr>
          <w:fldChar w:fldCharType="separate"/>
        </w:r>
        <w:r w:rsidR="00C41EBD">
          <w:rPr>
            <w:noProof/>
            <w:webHidden/>
          </w:rPr>
          <w:t>7</w:t>
        </w:r>
        <w:r>
          <w:rPr>
            <w:noProof/>
            <w:webHidden/>
          </w:rPr>
          <w:fldChar w:fldCharType="end"/>
        </w:r>
      </w:hyperlink>
    </w:p>
    <w:p w14:paraId="69EBA5CF" w14:textId="25C7A1B6" w:rsidR="00A4688A" w:rsidRDefault="00A4688A">
      <w:pPr>
        <w:pStyle w:val="TOC1"/>
        <w:rPr>
          <w:rFonts w:asciiTheme="minorHAnsi" w:eastAsiaTheme="minorEastAsia" w:hAnsiTheme="minorHAnsi"/>
          <w:noProof/>
          <w:kern w:val="2"/>
          <w:sz w:val="24"/>
          <w:szCs w:val="24"/>
          <w:lang w:eastAsia="en-NZ"/>
          <w14:ligatures w14:val="standardContextual"/>
        </w:rPr>
      </w:pPr>
      <w:hyperlink w:anchor="_Toc207375344" w:history="1">
        <w:r w:rsidRPr="00783A56">
          <w:rPr>
            <w:rStyle w:val="Hyperlink"/>
            <w:noProof/>
          </w:rPr>
          <w:t>Conclusion He kupu whakakapi</w:t>
        </w:r>
        <w:r>
          <w:rPr>
            <w:noProof/>
            <w:webHidden/>
          </w:rPr>
          <w:tab/>
        </w:r>
        <w:r>
          <w:rPr>
            <w:noProof/>
            <w:webHidden/>
          </w:rPr>
          <w:fldChar w:fldCharType="begin"/>
        </w:r>
        <w:r>
          <w:rPr>
            <w:noProof/>
            <w:webHidden/>
          </w:rPr>
          <w:instrText xml:space="preserve"> PAGEREF _Toc207375344 \h </w:instrText>
        </w:r>
        <w:r>
          <w:rPr>
            <w:noProof/>
            <w:webHidden/>
          </w:rPr>
        </w:r>
        <w:r>
          <w:rPr>
            <w:noProof/>
            <w:webHidden/>
          </w:rPr>
          <w:fldChar w:fldCharType="separate"/>
        </w:r>
        <w:r w:rsidR="00C41EBD">
          <w:rPr>
            <w:noProof/>
            <w:webHidden/>
          </w:rPr>
          <w:t>8</w:t>
        </w:r>
        <w:r>
          <w:rPr>
            <w:noProof/>
            <w:webHidden/>
          </w:rPr>
          <w:fldChar w:fldCharType="end"/>
        </w:r>
      </w:hyperlink>
    </w:p>
    <w:p w14:paraId="13395417" w14:textId="1044D2F7" w:rsidR="006E7F66" w:rsidRDefault="000C0DFF" w:rsidP="006E7F66">
      <w:pPr>
        <w:pStyle w:val="TOC1"/>
        <w:rPr>
          <w:bCs/>
          <w:noProof/>
        </w:rPr>
      </w:pPr>
      <w:r>
        <w:rPr>
          <w:bCs/>
          <w:noProof/>
        </w:rPr>
        <w:fldChar w:fldCharType="end"/>
      </w:r>
    </w:p>
    <w:p w14:paraId="195BB632" w14:textId="77777777" w:rsidR="006E7F66" w:rsidRDefault="006E7F66" w:rsidP="006E7F66">
      <w:pPr>
        <w:pStyle w:val="TeThHauorabodytext"/>
      </w:pPr>
    </w:p>
    <w:p w14:paraId="08F22312" w14:textId="77777777" w:rsidR="006E7F66" w:rsidRDefault="006E7F66" w:rsidP="00A313E6">
      <w:pPr>
        <w:pStyle w:val="TeThHauorahead1"/>
        <w:sectPr w:rsidR="006E7F66">
          <w:headerReference w:type="even" r:id="rId20"/>
          <w:headerReference w:type="default" r:id="rId21"/>
          <w:footerReference w:type="even" r:id="rId22"/>
          <w:footerReference w:type="default" r:id="rId23"/>
          <w:pgSz w:w="11906" w:h="16838"/>
          <w:pgMar w:top="1440" w:right="1440" w:bottom="1440" w:left="1440" w:header="708" w:footer="708" w:gutter="0"/>
          <w:cols w:space="708"/>
          <w:docGrid w:linePitch="360"/>
        </w:sectPr>
      </w:pPr>
    </w:p>
    <w:p w14:paraId="534DCF88" w14:textId="4429D0C0" w:rsidR="00C41F1F" w:rsidRDefault="003E1BE2" w:rsidP="0086024C">
      <w:pPr>
        <w:pStyle w:val="TeThHauorahead1"/>
        <w:spacing w:before="0"/>
      </w:pPr>
      <w:bookmarkStart w:id="0" w:name="_Toc207375338"/>
      <w:r>
        <w:lastRenderedPageBreak/>
        <w:t>P</w:t>
      </w:r>
      <w:r w:rsidR="00C41F1F">
        <w:t>urpose</w:t>
      </w:r>
      <w:r w:rsidR="00B67626">
        <w:t xml:space="preserve"> </w:t>
      </w:r>
      <w:r w:rsidR="00B67626" w:rsidRPr="00564FA1">
        <w:rPr>
          <w:bCs/>
          <w:noProof/>
          <w:szCs w:val="36"/>
        </w:rPr>
        <w:t>|</w:t>
      </w:r>
      <w:r w:rsidR="00B67626">
        <w:rPr>
          <w:bCs/>
          <w:noProof/>
          <w:szCs w:val="36"/>
        </w:rPr>
        <w:t xml:space="preserve"> </w:t>
      </w:r>
      <w:r w:rsidR="00B67626" w:rsidRPr="00B67626">
        <w:t xml:space="preserve">Te </w:t>
      </w:r>
      <w:proofErr w:type="spellStart"/>
      <w:r w:rsidR="00B67626" w:rsidRPr="00B67626">
        <w:t>whāinga</w:t>
      </w:r>
      <w:bookmarkEnd w:id="0"/>
      <w:proofErr w:type="spellEnd"/>
    </w:p>
    <w:p w14:paraId="6B1F6D1E" w14:textId="77777777" w:rsidR="00C41F1F" w:rsidRDefault="00C41F1F" w:rsidP="00C41F1F">
      <w:pPr>
        <w:pStyle w:val="TeThHauorabodytext"/>
      </w:pPr>
      <w:r>
        <w:t>This document provides guidance on clinical governance for sepsis, with the goal of supporting early recognition, timely treatment and consistent care across all clinical settings. It offers information to support the effective implementation and long-term sustainability of the national sepsis package. It includes a summary of the clinical governance framework to assist health care professionals in delivering and embedding the national sepsis pathway.</w:t>
      </w:r>
    </w:p>
    <w:p w14:paraId="2FAA1A80" w14:textId="67C2AE99" w:rsidR="00C41F1F" w:rsidRDefault="00C41F1F" w:rsidP="00C41F1F">
      <w:pPr>
        <w:pStyle w:val="TeThHauorahead1"/>
      </w:pPr>
      <w:bookmarkStart w:id="1" w:name="_Toc207375339"/>
      <w:r>
        <w:t>Introduction</w:t>
      </w:r>
      <w:r w:rsidR="00B67626">
        <w:t xml:space="preserve"> </w:t>
      </w:r>
      <w:r w:rsidR="00B67626" w:rsidRPr="00564FA1">
        <w:rPr>
          <w:bCs/>
          <w:noProof/>
          <w:szCs w:val="36"/>
        </w:rPr>
        <w:t>|</w:t>
      </w:r>
      <w:r w:rsidR="00B67626">
        <w:rPr>
          <w:bCs/>
          <w:noProof/>
          <w:szCs w:val="36"/>
        </w:rPr>
        <w:t xml:space="preserve"> </w:t>
      </w:r>
      <w:r w:rsidR="00075710" w:rsidRPr="00075710">
        <w:rPr>
          <w:bCs/>
          <w:noProof/>
          <w:szCs w:val="36"/>
        </w:rPr>
        <w:t>He kupu whakataki</w:t>
      </w:r>
      <w:bookmarkEnd w:id="1"/>
    </w:p>
    <w:p w14:paraId="2BC76B0E" w14:textId="547E6F00" w:rsidR="00C41F1F" w:rsidRDefault="00C41F1F" w:rsidP="00C41F1F">
      <w:pPr>
        <w:pStyle w:val="TeThHauorabodytext"/>
      </w:pPr>
      <w:r>
        <w:t>The Sepsis Quality Improvement Programme Scoping Summary,</w:t>
      </w:r>
      <w:r w:rsidR="00B55A68">
        <w:rPr>
          <w:rStyle w:val="FootnoteReference"/>
        </w:rPr>
        <w:footnoteReference w:id="2"/>
      </w:r>
      <w:r>
        <w:t xml:space="preserve"> published by Health Quality &amp; Safety Commission</w:t>
      </w:r>
      <w:r w:rsidR="00A024C2" w:rsidRPr="00A024C2">
        <w:t xml:space="preserve"> </w:t>
      </w:r>
      <w:r w:rsidR="00A024C2">
        <w:t>Te Tāhū Hauora</w:t>
      </w:r>
      <w:r>
        <w:t xml:space="preserve"> (the Commission), identified significant variation in the effectiveness of governance for sepsis across public hospitals. It highlighted gaps in leadership and oversight, noting that the weakening of governance structures over time has contributed to reduced focus on sepsis and compromised the sustainability of improvements.</w:t>
      </w:r>
    </w:p>
    <w:p w14:paraId="1C62C7AA" w14:textId="261973EC" w:rsidR="00C41F1F" w:rsidRDefault="00C41F1F" w:rsidP="00C41F1F">
      <w:pPr>
        <w:pStyle w:val="TeThHauorabodytext"/>
      </w:pPr>
      <w:r>
        <w:t>Clinical governance plays a pivotal role in the successful implementation and long-term sustainability of sepsis quality improvement initiatives. It provides the necessary oversight, accountability and strategic alignment to ensure that improvement efforts are integrated into</w:t>
      </w:r>
      <w:r w:rsidR="00272CBA">
        <w:t xml:space="preserve"> </w:t>
      </w:r>
      <w:r>
        <w:t>routine clinical practice. Governance structures help to define clear leadership, roles and</w:t>
      </w:r>
      <w:r w:rsidR="00272CBA">
        <w:t xml:space="preserve"> </w:t>
      </w:r>
      <w:r>
        <w:t>responsibilities, enabling effective decision-making and resource allocation. A strong governance framework fosters a culture of safety, learning and collaboration, which is critical for maintaining momentum and embedding sustained improvements in sepsis care over time.</w:t>
      </w:r>
    </w:p>
    <w:p w14:paraId="1492747D" w14:textId="53161FE9" w:rsidR="00C41F1F" w:rsidRDefault="00C41F1F" w:rsidP="00C41F1F">
      <w:pPr>
        <w:pStyle w:val="TeThHauorahead1"/>
      </w:pPr>
      <w:bookmarkStart w:id="2" w:name="_Toc207375340"/>
      <w:r>
        <w:t>Governance structure for sepsis</w:t>
      </w:r>
      <w:r w:rsidR="00F24118" w:rsidRPr="00F24118">
        <w:t xml:space="preserve"> </w:t>
      </w:r>
      <w:r w:rsidR="00F24118" w:rsidRPr="00564FA1">
        <w:rPr>
          <w:bCs/>
          <w:noProof/>
          <w:szCs w:val="36"/>
        </w:rPr>
        <w:t>|</w:t>
      </w:r>
      <w:r w:rsidR="00F24118">
        <w:rPr>
          <w:bCs/>
          <w:noProof/>
          <w:szCs w:val="36"/>
        </w:rPr>
        <w:t xml:space="preserve"> </w:t>
      </w:r>
      <w:proofErr w:type="spellStart"/>
      <w:r w:rsidR="00F24118" w:rsidRPr="00F24118">
        <w:t>Hanganga</w:t>
      </w:r>
      <w:proofErr w:type="spellEnd"/>
      <w:r w:rsidR="00F24118" w:rsidRPr="00F24118">
        <w:t xml:space="preserve"> </w:t>
      </w:r>
      <w:proofErr w:type="spellStart"/>
      <w:r w:rsidR="00F24118" w:rsidRPr="00F24118">
        <w:t>whakahaere</w:t>
      </w:r>
      <w:bookmarkEnd w:id="2"/>
      <w:proofErr w:type="spellEnd"/>
      <w:r w:rsidR="00F24118">
        <w:t xml:space="preserve"> </w:t>
      </w:r>
    </w:p>
    <w:p w14:paraId="518BADEF" w14:textId="62F9C714" w:rsidR="00C41F1F" w:rsidRDefault="00C41F1F" w:rsidP="00C41F1F">
      <w:pPr>
        <w:pStyle w:val="TeThHauorabodytext"/>
      </w:pPr>
      <w:r>
        <w:t>A robust clinical governance structure is essential to ensuring safe, timely and effective care</w:t>
      </w:r>
      <w:r w:rsidR="00700503">
        <w:t> </w:t>
      </w:r>
      <w:r>
        <w:t>for patients with sepsis. This structure should include clearly defined leadership, with</w:t>
      </w:r>
      <w:r w:rsidR="00700503">
        <w:t> </w:t>
      </w:r>
      <w:r>
        <w:t>a</w:t>
      </w:r>
      <w:r w:rsidR="00700503">
        <w:t> </w:t>
      </w:r>
      <w:r>
        <w:t xml:space="preserve">designated clinical lead responsible for overseeing sepsis management and improvement initiatives. </w:t>
      </w:r>
    </w:p>
    <w:p w14:paraId="769C9172" w14:textId="6327996D" w:rsidR="00C41F1F" w:rsidRDefault="00C41F1F" w:rsidP="00C41F1F">
      <w:pPr>
        <w:pStyle w:val="TeThHauorabodytext"/>
      </w:pPr>
      <w:r>
        <w:t>Where existing clinical governance structures are in place, such as committees for patient deterioration, infection prevention and control, infectious diseases or quality and patient safety, these should be leveraged to support the implementation and oversight of the sepsis</w:t>
      </w:r>
      <w:r w:rsidR="00700503">
        <w:t> </w:t>
      </w:r>
      <w:r>
        <w:t>package.</w:t>
      </w:r>
    </w:p>
    <w:p w14:paraId="0C4015E7" w14:textId="06C94DD9" w:rsidR="006A473A" w:rsidRDefault="00C41F1F" w:rsidP="00C41F1F">
      <w:pPr>
        <w:pStyle w:val="TeThHauorabodytext"/>
      </w:pPr>
      <w:r>
        <w:t>Alternatively, a dedicated clinical governance group for sepsis can be established to provide</w:t>
      </w:r>
      <w:r w:rsidR="00700503">
        <w:t> </w:t>
      </w:r>
      <w:r>
        <w:t>leadership, coordination and accountability for the implementation and long-term sustainability of sepsis-related improvements.</w:t>
      </w:r>
    </w:p>
    <w:p w14:paraId="67EAA70B" w14:textId="374BB87A" w:rsidR="00886796" w:rsidRDefault="00886796" w:rsidP="00886796">
      <w:pPr>
        <w:pStyle w:val="TeThHauorahead1"/>
      </w:pPr>
      <w:bookmarkStart w:id="3" w:name="_Toc207375341"/>
      <w:r>
        <w:lastRenderedPageBreak/>
        <w:t>Governance functions for sepsis</w:t>
      </w:r>
      <w:r w:rsidR="004A4FC6">
        <w:t xml:space="preserve"> </w:t>
      </w:r>
      <w:r w:rsidR="00E75D67" w:rsidRPr="00564FA1">
        <w:rPr>
          <w:bCs/>
          <w:noProof/>
          <w:szCs w:val="36"/>
        </w:rPr>
        <w:t>|</w:t>
      </w:r>
      <w:r w:rsidR="00E75D67">
        <w:rPr>
          <w:bCs/>
          <w:noProof/>
          <w:szCs w:val="36"/>
        </w:rPr>
        <w:t xml:space="preserve"> </w:t>
      </w:r>
      <w:proofErr w:type="spellStart"/>
      <w:r w:rsidR="00E75D67" w:rsidRPr="00E75D67">
        <w:t>Āheinga</w:t>
      </w:r>
      <w:proofErr w:type="spellEnd"/>
      <w:r w:rsidR="00E75D67" w:rsidRPr="00E75D67">
        <w:t xml:space="preserve"> </w:t>
      </w:r>
      <w:proofErr w:type="spellStart"/>
      <w:r w:rsidR="00E75D67" w:rsidRPr="00E75D67">
        <w:t>whakahaere</w:t>
      </w:r>
      <w:bookmarkEnd w:id="3"/>
      <w:proofErr w:type="spellEnd"/>
    </w:p>
    <w:p w14:paraId="3017340D" w14:textId="35648BA7" w:rsidR="00886796" w:rsidRDefault="00886796" w:rsidP="00CD433E">
      <w:pPr>
        <w:pStyle w:val="TeThHauorabodytext"/>
        <w:spacing w:after="240"/>
      </w:pPr>
      <w:r>
        <w:t>Governance functions for sepsis ensure that clinical practices are aligned with national guidelines, improvement efforts are coordinated, and patient outcomes are prioritised, as</w:t>
      </w:r>
      <w:r w:rsidR="00700503">
        <w:t> </w:t>
      </w:r>
      <w:r>
        <w:t xml:space="preserve">follows. </w:t>
      </w:r>
    </w:p>
    <w:p w14:paraId="52240D73" w14:textId="722E95D8" w:rsidR="00886796" w:rsidRDefault="00886796" w:rsidP="00E5006D">
      <w:pPr>
        <w:pStyle w:val="TeThHauorabodytext"/>
        <w:ind w:left="397" w:hanging="397"/>
      </w:pPr>
      <w:r>
        <w:t>1.</w:t>
      </w:r>
      <w:r>
        <w:tab/>
      </w:r>
      <w:r w:rsidRPr="00E00A16">
        <w:rPr>
          <w:b/>
          <w:bCs/>
        </w:rPr>
        <w:t>Strategic oversight and leadership:</w:t>
      </w:r>
      <w:r>
        <w:t xml:space="preserve"> Leadership provides strategic direction for sepsis</w:t>
      </w:r>
      <w:r w:rsidR="00700503">
        <w:noBreakHyphen/>
      </w:r>
      <w:r>
        <w:t>related initiatives across the organisation.</w:t>
      </w:r>
    </w:p>
    <w:p w14:paraId="4C24CAB8" w14:textId="77777777" w:rsidR="00886796" w:rsidRDefault="00886796" w:rsidP="00022626">
      <w:pPr>
        <w:pStyle w:val="TeThHauorabodytext"/>
        <w:spacing w:line="280" w:lineRule="atLeast"/>
        <w:ind w:left="397"/>
      </w:pPr>
      <w:r>
        <w:t>Key focus areas:</w:t>
      </w:r>
    </w:p>
    <w:p w14:paraId="3A81DBCC" w14:textId="0A963643" w:rsidR="00886796" w:rsidRDefault="00886796" w:rsidP="00AD0A3A">
      <w:pPr>
        <w:pStyle w:val="TeThHauorabullets"/>
        <w:tabs>
          <w:tab w:val="clear" w:pos="360"/>
          <w:tab w:val="left" w:pos="397"/>
        </w:tabs>
        <w:ind w:left="794" w:hanging="397"/>
      </w:pPr>
      <w:r>
        <w:t>Name a sepsis clinical lead at service and/or organisational level.</w:t>
      </w:r>
    </w:p>
    <w:p w14:paraId="22D9EA9E" w14:textId="535F262E" w:rsidR="00886796" w:rsidRDefault="00886796" w:rsidP="00AD0A3A">
      <w:pPr>
        <w:pStyle w:val="TeThHauorabullets"/>
        <w:tabs>
          <w:tab w:val="clear" w:pos="360"/>
          <w:tab w:val="left" w:pos="397"/>
        </w:tabs>
        <w:ind w:left="794" w:hanging="397"/>
      </w:pPr>
      <w:r>
        <w:t>Establish clear executive and clinical leadership for sepsis improvement initiatives.</w:t>
      </w:r>
    </w:p>
    <w:p w14:paraId="1D0A6A25" w14:textId="72276225" w:rsidR="00886796" w:rsidRDefault="00886796" w:rsidP="00AD0A3A">
      <w:pPr>
        <w:pStyle w:val="TeThHauorabullets"/>
        <w:tabs>
          <w:tab w:val="clear" w:pos="360"/>
          <w:tab w:val="left" w:pos="397"/>
        </w:tabs>
        <w:ind w:left="794" w:hanging="397"/>
      </w:pPr>
      <w:r>
        <w:t>Align sepsis work with organisational clinical governance quality improvement priorities.</w:t>
      </w:r>
    </w:p>
    <w:p w14:paraId="3396D081" w14:textId="6BC23FE2" w:rsidR="00886796" w:rsidRDefault="00886796" w:rsidP="00AD0A3A">
      <w:pPr>
        <w:pStyle w:val="TeThHauorabullets"/>
        <w:tabs>
          <w:tab w:val="clear" w:pos="360"/>
          <w:tab w:val="left" w:pos="397"/>
        </w:tabs>
        <w:ind w:left="794" w:hanging="397"/>
      </w:pPr>
      <w:r>
        <w:t>Ensure leadership accountability for implementation, monitoring and outcomes of the</w:t>
      </w:r>
      <w:r w:rsidR="00700503">
        <w:t> </w:t>
      </w:r>
      <w:r>
        <w:t>sepsis programme.</w:t>
      </w:r>
    </w:p>
    <w:p w14:paraId="3BC9AE25" w14:textId="391356EF" w:rsidR="00886796" w:rsidRDefault="00886796" w:rsidP="00AD0A3A">
      <w:pPr>
        <w:pStyle w:val="TeThHauorabullets"/>
        <w:tabs>
          <w:tab w:val="clear" w:pos="360"/>
          <w:tab w:val="left" w:pos="397"/>
        </w:tabs>
        <w:ind w:left="794" w:hanging="397"/>
      </w:pPr>
      <w:r>
        <w:t>Champion sepsis improvement across departments and disciplines to drive engagement and ownership.</w:t>
      </w:r>
    </w:p>
    <w:p w14:paraId="432A8DA5" w14:textId="73528F3B" w:rsidR="00886796" w:rsidRDefault="00886796" w:rsidP="00AD0A3A">
      <w:pPr>
        <w:pStyle w:val="TeThHauorabullets"/>
        <w:tabs>
          <w:tab w:val="clear" w:pos="360"/>
          <w:tab w:val="left" w:pos="397"/>
        </w:tabs>
        <w:ind w:left="794" w:hanging="397"/>
      </w:pPr>
      <w:r>
        <w:t>Allocate appropriate resources (time, staffing and funding) to support programme delivery and sustainability.</w:t>
      </w:r>
    </w:p>
    <w:p w14:paraId="5288C25D" w14:textId="60DF3B79" w:rsidR="00886796" w:rsidRDefault="00886796" w:rsidP="00CD433E">
      <w:pPr>
        <w:pStyle w:val="TeThHauorabullets"/>
        <w:tabs>
          <w:tab w:val="clear" w:pos="360"/>
          <w:tab w:val="left" w:pos="397"/>
        </w:tabs>
        <w:spacing w:after="240"/>
        <w:ind w:left="794" w:hanging="397"/>
      </w:pPr>
      <w:r>
        <w:t>Foster a culture of continuous learning, safety and quality improvement across the organisation.</w:t>
      </w:r>
    </w:p>
    <w:p w14:paraId="73697F1A" w14:textId="77777777" w:rsidR="00886796" w:rsidRDefault="00886796" w:rsidP="00CD433E">
      <w:pPr>
        <w:pStyle w:val="TeThHauorabodytext"/>
        <w:ind w:left="397" w:hanging="397"/>
      </w:pPr>
      <w:r>
        <w:t>2.</w:t>
      </w:r>
      <w:r>
        <w:tab/>
      </w:r>
      <w:r w:rsidRPr="00CD433E">
        <w:rPr>
          <w:b/>
          <w:bCs/>
        </w:rPr>
        <w:t>Standardisation of clinical standards, protocols and tools:</w:t>
      </w:r>
      <w:r>
        <w:t xml:space="preserve"> A governance group ensures that care is consistent, evidence-based and aligned with national best practice across all settings. The group ensures the use of standardised tools that support timely sepsis recognition and management.</w:t>
      </w:r>
    </w:p>
    <w:p w14:paraId="313DEF53" w14:textId="77777777" w:rsidR="00886796" w:rsidRDefault="00886796" w:rsidP="00022626">
      <w:pPr>
        <w:pStyle w:val="TeThHauorabodytext"/>
        <w:spacing w:line="280" w:lineRule="atLeast"/>
        <w:ind w:left="397"/>
      </w:pPr>
      <w:r>
        <w:t>Key focus areas:</w:t>
      </w:r>
    </w:p>
    <w:p w14:paraId="301305C4" w14:textId="4550236B" w:rsidR="00886796" w:rsidRDefault="00886796" w:rsidP="00CD433E">
      <w:pPr>
        <w:pStyle w:val="TeThHauorabullets"/>
        <w:tabs>
          <w:tab w:val="clear" w:pos="360"/>
          <w:tab w:val="left" w:pos="397"/>
        </w:tabs>
        <w:spacing w:after="120"/>
        <w:ind w:left="794" w:hanging="397"/>
      </w:pPr>
      <w:r>
        <w:t>Review and approve modifications to clinical pathways, protocols and escalation plans.</w:t>
      </w:r>
    </w:p>
    <w:p w14:paraId="64D0F609" w14:textId="6E9EC7B0" w:rsidR="00886796" w:rsidRDefault="00886796" w:rsidP="00CD433E">
      <w:pPr>
        <w:pStyle w:val="TeThHauorabullets"/>
        <w:tabs>
          <w:tab w:val="clear" w:pos="360"/>
          <w:tab w:val="left" w:pos="397"/>
        </w:tabs>
        <w:spacing w:after="120"/>
        <w:ind w:left="794" w:hanging="397"/>
      </w:pPr>
      <w:r>
        <w:t>Facilitate the use of the sepsis pathway and best practice across all clinical areas.</w:t>
      </w:r>
    </w:p>
    <w:p w14:paraId="3F7B9C33" w14:textId="595E420E" w:rsidR="00886796" w:rsidRDefault="00886796" w:rsidP="00CD433E">
      <w:pPr>
        <w:pStyle w:val="TeThHauorabullets"/>
        <w:tabs>
          <w:tab w:val="clear" w:pos="360"/>
          <w:tab w:val="left" w:pos="397"/>
        </w:tabs>
        <w:spacing w:after="120"/>
        <w:ind w:left="794" w:hanging="397"/>
      </w:pPr>
      <w:r>
        <w:t>Promote standardised documentation and communication practices.</w:t>
      </w:r>
    </w:p>
    <w:p w14:paraId="04241DB5" w14:textId="26BEF7DA" w:rsidR="00886796" w:rsidRDefault="00886796" w:rsidP="00CD433E">
      <w:pPr>
        <w:pStyle w:val="TeThHauorabullets"/>
        <w:tabs>
          <w:tab w:val="clear" w:pos="360"/>
          <w:tab w:val="left" w:pos="397"/>
        </w:tabs>
        <w:spacing w:after="120"/>
        <w:ind w:left="794" w:hanging="397"/>
      </w:pPr>
      <w:r>
        <w:t>Promote consistency across clinical areas by standardising tools (</w:t>
      </w:r>
      <w:proofErr w:type="spellStart"/>
      <w:r>
        <w:t>eg</w:t>
      </w:r>
      <w:proofErr w:type="spellEnd"/>
      <w:r>
        <w:t>, the sepsis pathway) to reduce variation in care delivery.</w:t>
      </w:r>
    </w:p>
    <w:p w14:paraId="78945FAC" w14:textId="68174AB2" w:rsidR="00886796" w:rsidRDefault="00886796" w:rsidP="00CD433E">
      <w:pPr>
        <w:pStyle w:val="TeThHauorabullets"/>
        <w:tabs>
          <w:tab w:val="clear" w:pos="360"/>
          <w:tab w:val="left" w:pos="397"/>
        </w:tabs>
        <w:spacing w:after="120"/>
        <w:ind w:left="794" w:hanging="397"/>
      </w:pPr>
      <w:r>
        <w:t>Promote and support implementation of the sepsis package.</w:t>
      </w:r>
    </w:p>
    <w:p w14:paraId="6F274F27" w14:textId="7DBD0FCF" w:rsidR="00886796" w:rsidRDefault="00886796" w:rsidP="00CD433E">
      <w:pPr>
        <w:pStyle w:val="TeThHauorabullets"/>
        <w:tabs>
          <w:tab w:val="clear" w:pos="360"/>
          <w:tab w:val="left" w:pos="397"/>
        </w:tabs>
        <w:spacing w:after="120"/>
        <w:ind w:left="794" w:hanging="397"/>
      </w:pPr>
      <w:r>
        <w:t>Endorse evidence-based protocols and pathways for sepsis recognition, escalation and treatment to ensure they are clinically sound and widely accepted.</w:t>
      </w:r>
    </w:p>
    <w:p w14:paraId="52148D2B" w14:textId="00B8009E" w:rsidR="00886796" w:rsidRDefault="00886796" w:rsidP="00CD433E">
      <w:pPr>
        <w:pStyle w:val="TeThHauorabullets"/>
        <w:tabs>
          <w:tab w:val="clear" w:pos="360"/>
          <w:tab w:val="left" w:pos="397"/>
        </w:tabs>
        <w:spacing w:after="120"/>
        <w:ind w:left="794" w:hanging="397"/>
      </w:pPr>
      <w:r>
        <w:t>Ensure alignment with national guidance such as the Commission’s sepsis package and clinical frameworks.</w:t>
      </w:r>
    </w:p>
    <w:p w14:paraId="79788A27" w14:textId="431805D6" w:rsidR="00886796" w:rsidRDefault="00886796" w:rsidP="00CD433E">
      <w:pPr>
        <w:pStyle w:val="TeThHauorabullets"/>
        <w:tabs>
          <w:tab w:val="clear" w:pos="360"/>
          <w:tab w:val="left" w:pos="397"/>
        </w:tabs>
        <w:spacing w:after="120"/>
        <w:ind w:left="794" w:hanging="397"/>
      </w:pPr>
      <w:r>
        <w:t>Oversee clinical review and approval processes to adapt tools to local contexts while maintaining core clinical standards.</w:t>
      </w:r>
    </w:p>
    <w:p w14:paraId="0E311B5E" w14:textId="77777777" w:rsidR="00886796" w:rsidRDefault="00886796" w:rsidP="00CD433E">
      <w:pPr>
        <w:pStyle w:val="TeThHauorabodytext"/>
        <w:keepLines/>
        <w:ind w:left="397" w:hanging="397"/>
      </w:pPr>
      <w:r>
        <w:lastRenderedPageBreak/>
        <w:t>3.</w:t>
      </w:r>
      <w:r>
        <w:tab/>
      </w:r>
      <w:r w:rsidRPr="00CD433E">
        <w:rPr>
          <w:b/>
          <w:bCs/>
        </w:rPr>
        <w:t>Training and capability building:</w:t>
      </w:r>
      <w:r>
        <w:t xml:space="preserve"> Education and training are critical components of effective sepsis management. Ensuring that all health care professionals (clinical and non-clinical) are equipped with the knowledge and skills to recognise and respond to sepsis promptly is essential for improving outcomes. </w:t>
      </w:r>
    </w:p>
    <w:p w14:paraId="0CF3910F" w14:textId="77777777" w:rsidR="00886796" w:rsidRDefault="00886796" w:rsidP="00022626">
      <w:pPr>
        <w:pStyle w:val="TeThHauorabodytext"/>
        <w:spacing w:line="280" w:lineRule="atLeast"/>
        <w:ind w:left="397"/>
      </w:pPr>
      <w:r>
        <w:t>Key focus areas:</w:t>
      </w:r>
    </w:p>
    <w:p w14:paraId="7710B0DB" w14:textId="25A6AFF5" w:rsidR="00886796" w:rsidRDefault="00886796" w:rsidP="00CD433E">
      <w:pPr>
        <w:pStyle w:val="TeThHauorabullets"/>
        <w:tabs>
          <w:tab w:val="clear" w:pos="360"/>
          <w:tab w:val="left" w:pos="397"/>
        </w:tabs>
        <w:spacing w:after="120"/>
        <w:ind w:left="794" w:hanging="397"/>
      </w:pPr>
      <w:r>
        <w:t>Prioritise sepsis education as a critical safety and quality initiative within each organisation.</w:t>
      </w:r>
    </w:p>
    <w:p w14:paraId="565DBB8A" w14:textId="0481CB19" w:rsidR="00886796" w:rsidRDefault="00886796" w:rsidP="00CD433E">
      <w:pPr>
        <w:pStyle w:val="TeThHauorabullets"/>
        <w:tabs>
          <w:tab w:val="clear" w:pos="360"/>
          <w:tab w:val="left" w:pos="397"/>
        </w:tabs>
        <w:spacing w:after="120"/>
        <w:ind w:left="794" w:hanging="397"/>
      </w:pPr>
      <w:r>
        <w:t>Set expectations and standards in terms of training content, frequency and target audiences (</w:t>
      </w:r>
      <w:proofErr w:type="spellStart"/>
      <w:r>
        <w:t>eg</w:t>
      </w:r>
      <w:proofErr w:type="spellEnd"/>
      <w:r>
        <w:t>, nursing, medical, allied health and administrative) staff.</w:t>
      </w:r>
    </w:p>
    <w:p w14:paraId="64F0923E" w14:textId="31F49673" w:rsidR="00886796" w:rsidRDefault="00886796" w:rsidP="00CD433E">
      <w:pPr>
        <w:pStyle w:val="TeThHauorabullets"/>
        <w:tabs>
          <w:tab w:val="clear" w:pos="360"/>
          <w:tab w:val="left" w:pos="397"/>
        </w:tabs>
        <w:spacing w:after="120"/>
        <w:ind w:left="794" w:hanging="397"/>
      </w:pPr>
      <w:r>
        <w:t>Monitor the uptake and outcomes of education through audit, feedback and clinical performance indicators.</w:t>
      </w:r>
    </w:p>
    <w:p w14:paraId="7C27510D" w14:textId="22D832FD" w:rsidR="00886796" w:rsidRDefault="00886796" w:rsidP="00CD433E">
      <w:pPr>
        <w:pStyle w:val="TeThHauorabullets"/>
        <w:tabs>
          <w:tab w:val="clear" w:pos="360"/>
          <w:tab w:val="left" w:pos="397"/>
        </w:tabs>
        <w:spacing w:after="120"/>
        <w:ind w:left="794" w:hanging="397"/>
      </w:pPr>
      <w:r>
        <w:t>Ensure consistency of training across departments and clinical areas, so all staff are equipped to recognise and manage sepsis effectively.</w:t>
      </w:r>
    </w:p>
    <w:p w14:paraId="0B5D5B95" w14:textId="489AF9EF" w:rsidR="00886796" w:rsidRDefault="00886796" w:rsidP="00CD433E">
      <w:pPr>
        <w:pStyle w:val="TeThHauorabullets"/>
        <w:tabs>
          <w:tab w:val="clear" w:pos="360"/>
          <w:tab w:val="left" w:pos="397"/>
        </w:tabs>
        <w:spacing w:after="120"/>
        <w:ind w:left="794" w:hanging="397"/>
      </w:pPr>
      <w:r>
        <w:t>Support continuous learning by embedding sepsis-related education into onboarding, clinical credentialing and professional development.</w:t>
      </w:r>
    </w:p>
    <w:p w14:paraId="178F2059" w14:textId="6A474F43" w:rsidR="00886796" w:rsidRDefault="00886796" w:rsidP="00CD433E">
      <w:pPr>
        <w:pStyle w:val="TeThHauorabullets"/>
        <w:tabs>
          <w:tab w:val="clear" w:pos="360"/>
          <w:tab w:val="left" w:pos="397"/>
        </w:tabs>
        <w:spacing w:after="240"/>
        <w:ind w:left="794" w:hanging="397"/>
      </w:pPr>
      <w:r>
        <w:t>Promote shared learning through multidisciplinary forums, clinical huddles and debrief sessions after sepsis-related incidents.</w:t>
      </w:r>
    </w:p>
    <w:p w14:paraId="5D44815C" w14:textId="77777777" w:rsidR="00886796" w:rsidRDefault="00886796" w:rsidP="00CD433E">
      <w:pPr>
        <w:pStyle w:val="TeThHauorabodytext"/>
        <w:ind w:left="397" w:hanging="397"/>
      </w:pPr>
      <w:r>
        <w:t>4.</w:t>
      </w:r>
      <w:r>
        <w:tab/>
      </w:r>
      <w:r w:rsidRPr="00CD433E">
        <w:rPr>
          <w:b/>
          <w:bCs/>
        </w:rPr>
        <w:t>Accountability:</w:t>
      </w:r>
      <w:r>
        <w:t xml:space="preserve"> The wider clinical governance structure must entail clear accountability, escalation and reporting processes.</w:t>
      </w:r>
    </w:p>
    <w:p w14:paraId="28237EFD" w14:textId="77777777" w:rsidR="00886796" w:rsidRDefault="00886796" w:rsidP="00022626">
      <w:pPr>
        <w:pStyle w:val="TeThHauorabodytext"/>
        <w:spacing w:line="280" w:lineRule="atLeast"/>
        <w:ind w:left="397"/>
      </w:pPr>
      <w:r>
        <w:t>Key focus areas:</w:t>
      </w:r>
    </w:p>
    <w:p w14:paraId="74CB7E35" w14:textId="71CAE39A" w:rsidR="00886796" w:rsidRDefault="00886796" w:rsidP="00CD433E">
      <w:pPr>
        <w:pStyle w:val="TeThHauorabullets"/>
        <w:tabs>
          <w:tab w:val="clear" w:pos="360"/>
          <w:tab w:val="left" w:pos="397"/>
        </w:tabs>
        <w:spacing w:after="120"/>
        <w:ind w:left="794" w:hanging="397"/>
      </w:pPr>
      <w:r>
        <w:t>Report regularly to the clinical governance board or equivalent leadership group.</w:t>
      </w:r>
    </w:p>
    <w:p w14:paraId="3DB5B057" w14:textId="502E8C61" w:rsidR="00886796" w:rsidRDefault="00886796" w:rsidP="00CD433E">
      <w:pPr>
        <w:pStyle w:val="TeThHauorabullets"/>
        <w:tabs>
          <w:tab w:val="clear" w:pos="360"/>
          <w:tab w:val="left" w:pos="397"/>
        </w:tabs>
        <w:spacing w:after="120"/>
        <w:ind w:left="794" w:hanging="397"/>
      </w:pPr>
      <w:r>
        <w:t>Escalate risks or system failures identified through data or case review.</w:t>
      </w:r>
    </w:p>
    <w:p w14:paraId="7E3AC175" w14:textId="4C883DD3" w:rsidR="00886796" w:rsidRDefault="00886796" w:rsidP="00CD433E">
      <w:pPr>
        <w:pStyle w:val="TeThHauorabullets"/>
        <w:tabs>
          <w:tab w:val="clear" w:pos="360"/>
          <w:tab w:val="left" w:pos="397"/>
        </w:tabs>
        <w:spacing w:after="120"/>
        <w:ind w:left="794" w:hanging="397"/>
      </w:pPr>
      <w:r>
        <w:t>Maintain a record of decisions, actions and progress updates.</w:t>
      </w:r>
    </w:p>
    <w:p w14:paraId="2F1CAD20" w14:textId="40E7A9AA" w:rsidR="00886796" w:rsidRDefault="00886796" w:rsidP="007511A5">
      <w:pPr>
        <w:pStyle w:val="TeThHauorabullets"/>
        <w:tabs>
          <w:tab w:val="clear" w:pos="360"/>
          <w:tab w:val="left" w:pos="397"/>
        </w:tabs>
        <w:spacing w:after="240"/>
        <w:ind w:left="794" w:hanging="397"/>
      </w:pPr>
      <w:r>
        <w:t>Ensure representation from relevant specialties and services.</w:t>
      </w:r>
    </w:p>
    <w:p w14:paraId="49F4FBE7" w14:textId="75504AEF" w:rsidR="00886796" w:rsidRDefault="00886796" w:rsidP="007511A5">
      <w:pPr>
        <w:pStyle w:val="TeThHauorabodytext"/>
        <w:ind w:left="397" w:hanging="397"/>
      </w:pPr>
      <w:r>
        <w:t>5.</w:t>
      </w:r>
      <w:r>
        <w:tab/>
      </w:r>
      <w:r w:rsidRPr="007511A5">
        <w:rPr>
          <w:b/>
          <w:bCs/>
        </w:rPr>
        <w:t>Data collection, monitoring and reporting:</w:t>
      </w:r>
      <w:r>
        <w:t xml:space="preserve"> The role of a sepsis governance group in</w:t>
      </w:r>
      <w:r w:rsidR="00700503">
        <w:t> </w:t>
      </w:r>
      <w:r>
        <w:t>data collection and reporting is central to driving quality improvement, ensuring accountability and tracking the effectiveness of sepsis care interventions across an organisation.</w:t>
      </w:r>
    </w:p>
    <w:p w14:paraId="5670B824" w14:textId="77777777" w:rsidR="00886796" w:rsidRDefault="00886796" w:rsidP="00022626">
      <w:pPr>
        <w:pStyle w:val="TeThHauorabodytext"/>
        <w:spacing w:line="280" w:lineRule="atLeast"/>
        <w:ind w:left="397"/>
      </w:pPr>
      <w:r>
        <w:t>Key focus areas:</w:t>
      </w:r>
    </w:p>
    <w:p w14:paraId="3D551425" w14:textId="58C6E3A2" w:rsidR="00886796" w:rsidRDefault="00886796" w:rsidP="007511A5">
      <w:pPr>
        <w:pStyle w:val="TeThHauorabullets"/>
        <w:tabs>
          <w:tab w:val="clear" w:pos="360"/>
          <w:tab w:val="left" w:pos="397"/>
        </w:tabs>
        <w:spacing w:after="120"/>
        <w:ind w:left="794" w:hanging="397"/>
      </w:pPr>
      <w:r>
        <w:t>Establish clear data requirements: Define which data should be collected (</w:t>
      </w:r>
      <w:proofErr w:type="spellStart"/>
      <w:r>
        <w:t>eg</w:t>
      </w:r>
      <w:proofErr w:type="spellEnd"/>
      <w:r>
        <w:t>, time to recognition, time to antibiotics, escalation rates, mortality, readmissions) to monitor sepsis care performance.</w:t>
      </w:r>
    </w:p>
    <w:p w14:paraId="03F2ABD5" w14:textId="612612D7" w:rsidR="00886796" w:rsidRDefault="00886796" w:rsidP="007511A5">
      <w:pPr>
        <w:pStyle w:val="TeThHauorabullets"/>
        <w:tabs>
          <w:tab w:val="clear" w:pos="360"/>
          <w:tab w:val="left" w:pos="397"/>
        </w:tabs>
        <w:spacing w:after="120"/>
        <w:ind w:left="794" w:hanging="397"/>
      </w:pPr>
      <w:r>
        <w:t>Oversee data quality and consistency: Ensure that data collection methods are reliable, standardised across services and aligned with national definitions and indicators.</w:t>
      </w:r>
    </w:p>
    <w:p w14:paraId="0FB6BC6F" w14:textId="0054CA44" w:rsidR="00886796" w:rsidRDefault="00886796" w:rsidP="007511A5">
      <w:pPr>
        <w:pStyle w:val="TeThHauorabullets"/>
        <w:tabs>
          <w:tab w:val="clear" w:pos="360"/>
          <w:tab w:val="left" w:pos="397"/>
        </w:tabs>
        <w:spacing w:after="120"/>
        <w:ind w:left="794" w:hanging="397"/>
      </w:pPr>
      <w:r>
        <w:t>Monitor performance and outcomes: Regularly review sepsis-related metrics to assess compliance with the sepsis pathway and identify trends, gaps or areas needing improvement.</w:t>
      </w:r>
    </w:p>
    <w:p w14:paraId="7067AEAF" w14:textId="674DA2C6" w:rsidR="00886796" w:rsidRDefault="00886796" w:rsidP="007511A5">
      <w:pPr>
        <w:pStyle w:val="TeThHauorabullets"/>
        <w:tabs>
          <w:tab w:val="clear" w:pos="360"/>
          <w:tab w:val="left" w:pos="397"/>
        </w:tabs>
        <w:spacing w:after="120"/>
        <w:ind w:left="794" w:hanging="397"/>
      </w:pPr>
      <w:r>
        <w:lastRenderedPageBreak/>
        <w:t>Report to relevant stakeholders: Share performance data with clinical teams, senior leadership and external partners to drive transparency and inform decision-making.</w:t>
      </w:r>
    </w:p>
    <w:p w14:paraId="54A570E6" w14:textId="6172BA26" w:rsidR="00886796" w:rsidRDefault="00886796" w:rsidP="008746E3">
      <w:pPr>
        <w:pStyle w:val="TeThHauorabullets"/>
        <w:tabs>
          <w:tab w:val="clear" w:pos="360"/>
          <w:tab w:val="left" w:pos="397"/>
        </w:tabs>
        <w:spacing w:after="120"/>
        <w:ind w:left="794" w:hanging="397"/>
      </w:pPr>
      <w:r>
        <w:t>Support national reporting requirements: Align with the expectations of agencies like</w:t>
      </w:r>
      <w:r w:rsidR="00700503">
        <w:t> </w:t>
      </w:r>
      <w:r>
        <w:t>the Commission by contributing to national data sets or quality improvement programmes.</w:t>
      </w:r>
    </w:p>
    <w:p w14:paraId="69E9152C" w14:textId="31D9202E" w:rsidR="00886796" w:rsidRDefault="00886796" w:rsidP="008746E3">
      <w:pPr>
        <w:pStyle w:val="TeThHauorabullets"/>
        <w:tabs>
          <w:tab w:val="clear" w:pos="360"/>
          <w:tab w:val="left" w:pos="397"/>
        </w:tabs>
        <w:spacing w:after="240"/>
        <w:ind w:left="794" w:hanging="397"/>
      </w:pPr>
      <w:r>
        <w:t xml:space="preserve">Build a culture of learning: Encourage teams to use data not as a compliance tool but </w:t>
      </w:r>
      <w:proofErr w:type="gramStart"/>
      <w:r>
        <w:t>as a means to</w:t>
      </w:r>
      <w:proofErr w:type="gramEnd"/>
      <w:r>
        <w:t xml:space="preserve"> reflect, learn and innovate.</w:t>
      </w:r>
    </w:p>
    <w:p w14:paraId="2DDE2F39" w14:textId="7B335AB3" w:rsidR="00886796" w:rsidRDefault="00886796" w:rsidP="00022626">
      <w:pPr>
        <w:pStyle w:val="TeThHauorahead1"/>
        <w:spacing w:before="240"/>
      </w:pPr>
      <w:bookmarkStart w:id="4" w:name="_Toc207375342"/>
      <w:r>
        <w:t>A framework for clinical governance</w:t>
      </w:r>
      <w:r w:rsidR="00D704B3">
        <w:t xml:space="preserve"> </w:t>
      </w:r>
      <w:r w:rsidR="00D704B3" w:rsidRPr="00564FA1">
        <w:rPr>
          <w:bCs/>
          <w:noProof/>
          <w:szCs w:val="36"/>
        </w:rPr>
        <w:t>|</w:t>
      </w:r>
      <w:r w:rsidR="00D704B3">
        <w:t xml:space="preserve"> </w:t>
      </w:r>
      <w:r w:rsidR="00D704B3" w:rsidRPr="00D704B3">
        <w:t xml:space="preserve">He </w:t>
      </w:r>
      <w:proofErr w:type="spellStart"/>
      <w:r w:rsidR="00D704B3" w:rsidRPr="00D704B3">
        <w:t>anga</w:t>
      </w:r>
      <w:proofErr w:type="spellEnd"/>
      <w:r w:rsidR="00D704B3" w:rsidRPr="00D704B3">
        <w:t xml:space="preserve"> </w:t>
      </w:r>
      <w:proofErr w:type="spellStart"/>
      <w:r w:rsidR="00D704B3" w:rsidRPr="00D704B3">
        <w:t>whakahaere</w:t>
      </w:r>
      <w:proofErr w:type="spellEnd"/>
      <w:r w:rsidR="00D704B3" w:rsidRPr="00D704B3">
        <w:t xml:space="preserve"> </w:t>
      </w:r>
      <w:proofErr w:type="spellStart"/>
      <w:r w:rsidR="00D704B3" w:rsidRPr="00D704B3">
        <w:t>rongoā</w:t>
      </w:r>
      <w:bookmarkEnd w:id="4"/>
      <w:proofErr w:type="spellEnd"/>
    </w:p>
    <w:p w14:paraId="3FC6694F" w14:textId="77777777" w:rsidR="00886796" w:rsidRDefault="00886796" w:rsidP="00886796">
      <w:pPr>
        <w:pStyle w:val="TeThHauorabodytext"/>
      </w:pPr>
      <w:r>
        <w:t xml:space="preserve">‘Collaborating for quality: a framework for clinical governance' (Figure 1) sets out a high-level framework for clinical governance in health and disability services in Aotearoa New Zealand. </w:t>
      </w:r>
    </w:p>
    <w:p w14:paraId="39C2E01B" w14:textId="77777777" w:rsidR="00886796" w:rsidRDefault="00886796" w:rsidP="00886796">
      <w:pPr>
        <w:pStyle w:val="TeThHauorabodytext"/>
      </w:pPr>
      <w:r>
        <w:t>When used alongside the sepsis-specific guidance above, this framework can support hospitals in establishing effective clinical governance arrangements for sepsis care. Teams should use the framework to develop their own clinical governance arrangements, adapted to their context, to improve the quality and safety of care.</w:t>
      </w:r>
    </w:p>
    <w:p w14:paraId="041C2E93" w14:textId="77777777" w:rsidR="00886796" w:rsidRDefault="00886796" w:rsidP="00886796">
      <w:pPr>
        <w:pStyle w:val="TeThHauorabodytext"/>
      </w:pPr>
      <w:r>
        <w:t xml:space="preserve">This framework includes four quality domains and four system drivers. The domains and drivers are interconnected. Together, they support a whole-of-system approach to clinical governance. </w:t>
      </w:r>
    </w:p>
    <w:p w14:paraId="1E9CC502" w14:textId="62F0DD78" w:rsidR="00D53FA8" w:rsidRDefault="00D53FA8" w:rsidP="00D53FA8">
      <w:pPr>
        <w:pStyle w:val="TeThHauoratablefigurecaption"/>
      </w:pPr>
      <w:r w:rsidRPr="00D53FA8">
        <w:t>Figure 1: Clinical governance framework</w:t>
      </w:r>
    </w:p>
    <w:p w14:paraId="262E813D" w14:textId="57D9E112" w:rsidR="00D53FA8" w:rsidRDefault="00F5722E" w:rsidP="00D53FA8">
      <w:pPr>
        <w:pStyle w:val="TeThHauorabodytext"/>
      </w:pPr>
      <w:r>
        <w:rPr>
          <w:noProof/>
        </w:rPr>
        <w:drawing>
          <wp:inline distT="0" distB="0" distL="0" distR="0" wp14:anchorId="5C9C604E" wp14:editId="607F04F9">
            <wp:extent cx="5759450" cy="3649345"/>
            <wp:effectExtent l="0" t="0" r="0" b="8255"/>
            <wp:docPr id="1860521856" name="Picture 1" descr="Clinical governance framework shows a high-level framework for clinical governance in health and disability services in Aotearoa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21856" name="Picture 1" descr="Clinical governance framework shows a high-level framework for clinical governance in health and disability services in Aotearoa New Zealand."/>
                    <pic:cNvPicPr/>
                  </pic:nvPicPr>
                  <pic:blipFill>
                    <a:blip r:embed="rId24">
                      <a:extLst>
                        <a:ext uri="{28A0092B-C50C-407E-A947-70E740481C1C}">
                          <a14:useLocalDpi xmlns:a14="http://schemas.microsoft.com/office/drawing/2010/main" val="0"/>
                        </a:ext>
                      </a:extLst>
                    </a:blip>
                    <a:stretch>
                      <a:fillRect/>
                    </a:stretch>
                  </pic:blipFill>
                  <pic:spPr>
                    <a:xfrm>
                      <a:off x="0" y="0"/>
                      <a:ext cx="5759450" cy="3649345"/>
                    </a:xfrm>
                    <a:prstGeom prst="rect">
                      <a:avLst/>
                    </a:prstGeom>
                  </pic:spPr>
                </pic:pic>
              </a:graphicData>
            </a:graphic>
          </wp:inline>
        </w:drawing>
      </w:r>
    </w:p>
    <w:p w14:paraId="78281DDC" w14:textId="75698CA7" w:rsidR="00F174EA" w:rsidRPr="00144206" w:rsidRDefault="00F174EA" w:rsidP="00F174EA">
      <w:pPr>
        <w:pStyle w:val="TeThHauorahead3"/>
        <w:rPr>
          <w:rStyle w:val="Hyperlink"/>
        </w:rPr>
      </w:pPr>
      <w:bookmarkStart w:id="5" w:name="_Toc207375343"/>
      <w:r>
        <w:lastRenderedPageBreak/>
        <w:t>Further information and templates</w:t>
      </w:r>
      <w:bookmarkEnd w:id="5"/>
      <w:r w:rsidR="00144206">
        <w:rPr>
          <w:rFonts w:eastAsiaTheme="minorHAnsi"/>
          <w:b w:val="0"/>
          <w:sz w:val="22"/>
          <w:szCs w:val="22"/>
        </w:rPr>
        <w:fldChar w:fldCharType="begin"/>
      </w:r>
      <w:r w:rsidR="00144206">
        <w:rPr>
          <w:rFonts w:eastAsiaTheme="minorHAnsi"/>
          <w:b w:val="0"/>
          <w:sz w:val="22"/>
          <w:szCs w:val="22"/>
        </w:rPr>
        <w:instrText>HYPERLINK "https://www.hqsc.govt.nz/resources/resource-library/collaborating-for-quality-a-framework-for-clinical-governance/"</w:instrText>
      </w:r>
      <w:r w:rsidR="00144206">
        <w:rPr>
          <w:rFonts w:eastAsiaTheme="minorHAnsi"/>
          <w:b w:val="0"/>
          <w:sz w:val="22"/>
          <w:szCs w:val="22"/>
        </w:rPr>
      </w:r>
      <w:r w:rsidR="00144206">
        <w:rPr>
          <w:rFonts w:eastAsiaTheme="minorHAnsi"/>
          <w:b w:val="0"/>
          <w:sz w:val="22"/>
          <w:szCs w:val="22"/>
        </w:rPr>
        <w:fldChar w:fldCharType="separate"/>
      </w:r>
    </w:p>
    <w:p w14:paraId="360E7955" w14:textId="2AD48ECF" w:rsidR="00F174EA" w:rsidRPr="00144206" w:rsidRDefault="00F174EA" w:rsidP="00F174EA">
      <w:pPr>
        <w:pStyle w:val="TeThHauorabodytext"/>
        <w:rPr>
          <w:rStyle w:val="Hyperlink"/>
          <w:bCs/>
        </w:rPr>
      </w:pPr>
      <w:r w:rsidRPr="00144206">
        <w:rPr>
          <w:rStyle w:val="Hyperlink"/>
          <w:bCs/>
        </w:rPr>
        <w:t>Collaborating for quality: a framework for clinical governance – hqsc.govt.nz</w:t>
      </w:r>
    </w:p>
    <w:p w14:paraId="7087CEB8" w14:textId="0D2E6604" w:rsidR="00E5006D" w:rsidRDefault="00144206" w:rsidP="00E5006D">
      <w:pPr>
        <w:pStyle w:val="TeThHauorahead1"/>
      </w:pPr>
      <w:r>
        <w:rPr>
          <w:rFonts w:eastAsiaTheme="minorHAnsi"/>
          <w:b w:val="0"/>
          <w:color w:val="auto"/>
          <w:sz w:val="22"/>
          <w:szCs w:val="22"/>
        </w:rPr>
        <w:fldChar w:fldCharType="end"/>
      </w:r>
      <w:bookmarkStart w:id="6" w:name="_Toc207375344"/>
      <w:r w:rsidR="00E5006D">
        <w:t>Conclusion</w:t>
      </w:r>
      <w:r w:rsidR="00CE69EF">
        <w:t xml:space="preserve"> </w:t>
      </w:r>
      <w:r w:rsidR="00CE69EF" w:rsidRPr="00CE69EF">
        <w:t xml:space="preserve">He </w:t>
      </w:r>
      <w:proofErr w:type="spellStart"/>
      <w:r w:rsidR="00CE69EF" w:rsidRPr="00CE69EF">
        <w:t>kupu</w:t>
      </w:r>
      <w:proofErr w:type="spellEnd"/>
      <w:r w:rsidR="00CE69EF" w:rsidRPr="00CE69EF">
        <w:t xml:space="preserve"> </w:t>
      </w:r>
      <w:proofErr w:type="spellStart"/>
      <w:r w:rsidR="00CE69EF" w:rsidRPr="00CE69EF">
        <w:t>whakakapi</w:t>
      </w:r>
      <w:bookmarkEnd w:id="6"/>
      <w:proofErr w:type="spellEnd"/>
    </w:p>
    <w:p w14:paraId="199956CA" w14:textId="25125052" w:rsidR="00A15C21" w:rsidRDefault="00E5006D" w:rsidP="00E5006D">
      <w:pPr>
        <w:pStyle w:val="TeThHauorabodytext"/>
      </w:pPr>
      <w:r>
        <w:t>Establishing robust clinical governance for sepsis is essential to improving patient outcomes, reducing preventable harm and ensuring the sustainability of sepsis improvement initiatives. By providing clear leadership, accountability and a structured approach to quality and safety, clinical governance enables health services to deliver timely, coordinated and evidence-based care for people with sepsis. Ongoing collaboration, monitoring and commitment to continuous improvement will be key to embedding best practice into routine clinical care for sepsis across New Zealand.</w:t>
      </w:r>
    </w:p>
    <w:sectPr w:rsidR="00A15C21" w:rsidSect="00E50E8D">
      <w:headerReference w:type="even" r:id="rId25"/>
      <w:headerReference w:type="default" r:id="rId26"/>
      <w:footerReference w:type="even" r:id="rId27"/>
      <w:pgSz w:w="11906" w:h="16838" w:code="9"/>
      <w:pgMar w:top="1418" w:right="1418" w:bottom="1418" w:left="1418"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7BCBA" w14:textId="77777777" w:rsidR="00CE3289" w:rsidRDefault="00CE3289" w:rsidP="003C45E1">
      <w:pPr>
        <w:spacing w:after="0" w:line="240" w:lineRule="auto"/>
      </w:pPr>
      <w:r>
        <w:separator/>
      </w:r>
    </w:p>
  </w:endnote>
  <w:endnote w:type="continuationSeparator" w:id="0">
    <w:p w14:paraId="37E23543" w14:textId="77777777" w:rsidR="00CE3289" w:rsidRDefault="00CE3289" w:rsidP="003C45E1">
      <w:pPr>
        <w:spacing w:after="0" w:line="240" w:lineRule="auto"/>
      </w:pPr>
      <w:r>
        <w:continuationSeparator/>
      </w:r>
    </w:p>
  </w:endnote>
  <w:endnote w:type="continuationNotice" w:id="1">
    <w:p w14:paraId="46327949" w14:textId="77777777" w:rsidR="00CE3289" w:rsidRDefault="00CE32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2D89D3" w14:paraId="56697D60" w14:textId="77777777" w:rsidTr="4D2D89D3">
      <w:trPr>
        <w:trHeight w:val="300"/>
      </w:trPr>
      <w:tc>
        <w:tcPr>
          <w:tcW w:w="3005" w:type="dxa"/>
        </w:tcPr>
        <w:p w14:paraId="04F73FA4" w14:textId="05404CB0" w:rsidR="4D2D89D3" w:rsidRDefault="4D2D89D3" w:rsidP="4D2D89D3">
          <w:pPr>
            <w:pStyle w:val="Header"/>
            <w:ind w:left="-115"/>
          </w:pPr>
        </w:p>
      </w:tc>
      <w:tc>
        <w:tcPr>
          <w:tcW w:w="3005" w:type="dxa"/>
        </w:tcPr>
        <w:p w14:paraId="05E98EE9" w14:textId="115BA8C1" w:rsidR="4D2D89D3" w:rsidRDefault="4D2D89D3" w:rsidP="4D2D89D3">
          <w:pPr>
            <w:pStyle w:val="Header"/>
            <w:jc w:val="center"/>
          </w:pPr>
        </w:p>
      </w:tc>
      <w:tc>
        <w:tcPr>
          <w:tcW w:w="3005" w:type="dxa"/>
        </w:tcPr>
        <w:p w14:paraId="1D550E27" w14:textId="619C8EC7" w:rsidR="4D2D89D3" w:rsidRDefault="4D2D89D3" w:rsidP="4D2D89D3">
          <w:pPr>
            <w:pStyle w:val="Header"/>
            <w:ind w:right="-115"/>
            <w:jc w:val="right"/>
          </w:pPr>
        </w:p>
      </w:tc>
    </w:tr>
  </w:tbl>
  <w:p w14:paraId="58B8A683" w14:textId="3D03B53A" w:rsidR="4D2D89D3" w:rsidRDefault="4D2D89D3" w:rsidP="4D2D89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087240"/>
      <w:docPartObj>
        <w:docPartGallery w:val="Page Numbers (Bottom of Page)"/>
        <w:docPartUnique/>
      </w:docPartObj>
    </w:sdtPr>
    <w:sdtEndPr>
      <w:rPr>
        <w:noProof/>
      </w:rPr>
    </w:sdtEndPr>
    <w:sdtContent>
      <w:sdt>
        <w:sdtPr>
          <w:id w:val="-1769616900"/>
          <w:docPartObj>
            <w:docPartGallery w:val="Page Numbers (Top of Page)"/>
            <w:docPartUnique/>
          </w:docPartObj>
        </w:sdtPr>
        <w:sdtContent>
          <w:p w14:paraId="5C9B0F13" w14:textId="77777777" w:rsidR="004907D7" w:rsidRPr="00DE102A" w:rsidRDefault="006A473A" w:rsidP="00CD59BF">
            <w:pPr>
              <w:pStyle w:val="Footer"/>
            </w:pPr>
            <w:r w:rsidRPr="00DE102A">
              <w:t xml:space="preserve">[Title of </w:t>
            </w:r>
            <w:r w:rsidR="009B60E1">
              <w:t>document</w:t>
            </w:r>
            <w:r w:rsidRPr="00DE102A">
              <w:t>]</w:t>
            </w:r>
            <w:r w:rsidRPr="00DE102A">
              <w:tab/>
            </w:r>
            <w:r w:rsidRPr="00DE102A">
              <w:tab/>
            </w:r>
            <w:r w:rsidR="005C344C" w:rsidRPr="004A752B">
              <w:fldChar w:fldCharType="begin"/>
            </w:r>
            <w:r w:rsidR="005C344C" w:rsidRPr="004A752B">
              <w:instrText xml:space="preserve"> PAGE </w:instrText>
            </w:r>
            <w:r w:rsidR="005C344C" w:rsidRPr="004A752B">
              <w:fldChar w:fldCharType="separate"/>
            </w:r>
            <w:r w:rsidR="005C344C">
              <w:t>2</w:t>
            </w:r>
            <w:r w:rsidR="005C344C" w:rsidRPr="004A752B">
              <w:fldChar w:fldCharType="end"/>
            </w:r>
            <w:r w:rsidR="004907D7" w:rsidRPr="00DE102A">
              <w:rPr>
                <w:noProof/>
              </w:rPr>
              <w:t xml:space="preserve"> of </w:t>
            </w:r>
            <w:r w:rsidR="005C344C">
              <w:fldChar w:fldCharType="begin"/>
            </w:r>
            <w:r w:rsidR="005C344C">
              <w:instrText xml:space="preserve"> NUMPAGES  </w:instrText>
            </w:r>
            <w:r w:rsidR="005C344C">
              <w:fldChar w:fldCharType="separate"/>
            </w:r>
            <w:r w:rsidR="005C344C">
              <w:t>3</w:t>
            </w:r>
            <w:r w:rsidR="005C344C">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2D89D3" w14:paraId="10B0E2E0" w14:textId="77777777" w:rsidTr="4D2D89D3">
      <w:trPr>
        <w:trHeight w:val="300"/>
      </w:trPr>
      <w:tc>
        <w:tcPr>
          <w:tcW w:w="3005" w:type="dxa"/>
        </w:tcPr>
        <w:p w14:paraId="7BD770B3" w14:textId="774D1738" w:rsidR="4D2D89D3" w:rsidRDefault="4D2D89D3" w:rsidP="4D2D89D3">
          <w:pPr>
            <w:pStyle w:val="Header"/>
            <w:ind w:left="-115"/>
          </w:pPr>
        </w:p>
      </w:tc>
      <w:tc>
        <w:tcPr>
          <w:tcW w:w="3005" w:type="dxa"/>
        </w:tcPr>
        <w:p w14:paraId="12C115B4" w14:textId="567F32F1" w:rsidR="4D2D89D3" w:rsidRDefault="4D2D89D3" w:rsidP="4D2D89D3">
          <w:pPr>
            <w:pStyle w:val="Header"/>
            <w:jc w:val="center"/>
          </w:pPr>
        </w:p>
      </w:tc>
      <w:tc>
        <w:tcPr>
          <w:tcW w:w="3005" w:type="dxa"/>
        </w:tcPr>
        <w:p w14:paraId="3D0E7A34" w14:textId="5AD3FC2A" w:rsidR="4D2D89D3" w:rsidRDefault="4D2D89D3" w:rsidP="4D2D89D3">
          <w:pPr>
            <w:pStyle w:val="Header"/>
            <w:ind w:right="-115"/>
            <w:jc w:val="right"/>
          </w:pPr>
        </w:p>
      </w:tc>
    </w:tr>
  </w:tbl>
  <w:p w14:paraId="2A394177" w14:textId="6E4E721E" w:rsidR="4D2D89D3" w:rsidRDefault="4D2D89D3" w:rsidP="4D2D89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689719"/>
      <w:docPartObj>
        <w:docPartGallery w:val="Page Numbers (Bottom of Page)"/>
        <w:docPartUnique/>
      </w:docPartObj>
    </w:sdtPr>
    <w:sdtEndPr>
      <w:rPr>
        <w:noProof/>
      </w:rPr>
    </w:sdtEndPr>
    <w:sdtContent>
      <w:sdt>
        <w:sdtPr>
          <w:id w:val="-2092766595"/>
          <w:docPartObj>
            <w:docPartGallery w:val="Page Numbers (Top of Page)"/>
            <w:docPartUnique/>
          </w:docPartObj>
        </w:sdtPr>
        <w:sdtContent>
          <w:p w14:paraId="1B851E05" w14:textId="2992FE43" w:rsidR="00CD59BF" w:rsidRPr="00DE102A" w:rsidRDefault="00580F59" w:rsidP="00580F59">
            <w:pPr>
              <w:pStyle w:val="Footer"/>
            </w:pPr>
            <w:r>
              <w:t>Raise the Flag: Sepsis quality improvement: Clinical governance for sepsis</w:t>
            </w:r>
            <w:r w:rsidR="00CD59BF" w:rsidRPr="00DE102A">
              <w:tab/>
            </w:r>
            <w:r>
              <w:fldChar w:fldCharType="begin"/>
            </w:r>
            <w:r>
              <w:instrText xml:space="preserve"> PAGE   \* MERGEFORMAT </w:instrText>
            </w:r>
            <w: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6A807" w14:textId="6E540AFE" w:rsidR="00CD59BF" w:rsidRPr="00CD59BF" w:rsidRDefault="00CD59BF" w:rsidP="00CD59BF">
    <w:pPr>
      <w:pStyle w:val="Footer"/>
    </w:pPr>
    <w:r w:rsidRPr="004A752B">
      <w:fldChar w:fldCharType="begin"/>
    </w:r>
    <w:r w:rsidRPr="004A752B">
      <w:instrText xml:space="preserve"> PAGE </w:instrText>
    </w:r>
    <w:r w:rsidRPr="004A752B">
      <w:fldChar w:fldCharType="separate"/>
    </w:r>
    <w:r>
      <w:t>4</w:t>
    </w:r>
    <w:r w:rsidRPr="004A752B">
      <w:fldChar w:fldCharType="end"/>
    </w:r>
    <w:r>
      <w:tab/>
    </w:r>
    <w:sdt>
      <w:sdtPr>
        <w:id w:val="-917472224"/>
        <w:docPartObj>
          <w:docPartGallery w:val="Page Numbers (Top of Page)"/>
          <w:docPartUnique/>
        </w:docPartObj>
      </w:sdtPr>
      <w:sdtContent>
        <w:r w:rsidR="00580F59">
          <w:t>Raise the Flag: Sepsis quality improvement: Clinical governance for sepsis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A6FE2" w14:textId="77777777" w:rsidR="00CE3289" w:rsidRDefault="00CE3289" w:rsidP="003C45E1">
      <w:pPr>
        <w:spacing w:after="0" w:line="240" w:lineRule="auto"/>
      </w:pPr>
      <w:r>
        <w:separator/>
      </w:r>
    </w:p>
  </w:footnote>
  <w:footnote w:type="continuationSeparator" w:id="0">
    <w:p w14:paraId="6925BEEA" w14:textId="77777777" w:rsidR="00CE3289" w:rsidRDefault="00CE3289" w:rsidP="003C45E1">
      <w:pPr>
        <w:spacing w:after="0" w:line="240" w:lineRule="auto"/>
      </w:pPr>
      <w:r>
        <w:continuationSeparator/>
      </w:r>
    </w:p>
  </w:footnote>
  <w:footnote w:type="continuationNotice" w:id="1">
    <w:p w14:paraId="4761992F" w14:textId="77777777" w:rsidR="00CE3289" w:rsidRDefault="00CE3289">
      <w:pPr>
        <w:spacing w:after="0" w:line="240" w:lineRule="auto"/>
      </w:pPr>
    </w:p>
  </w:footnote>
  <w:footnote w:id="2">
    <w:p w14:paraId="7040D7EC" w14:textId="7481B6AE" w:rsidR="00B55A68" w:rsidRDefault="00B55A68">
      <w:pPr>
        <w:pStyle w:val="FootnoteText"/>
      </w:pPr>
      <w:r>
        <w:rPr>
          <w:rStyle w:val="FootnoteReference"/>
        </w:rPr>
        <w:footnoteRef/>
      </w:r>
      <w:r>
        <w:t xml:space="preserve"> </w:t>
      </w:r>
      <w:r w:rsidRPr="00B55A68">
        <w:rPr>
          <w:i/>
          <w:iCs/>
        </w:rPr>
        <w:t>Sepsis quality improvement programme scoping summary</w:t>
      </w:r>
      <w:r w:rsidRPr="00B55A68">
        <w:t>. August 2024. Health Quality &amp; Safety Commission</w:t>
      </w:r>
      <w:r w:rsidR="00D640A7" w:rsidRPr="00D640A7">
        <w:t xml:space="preserve"> </w:t>
      </w:r>
      <w:r w:rsidR="00D640A7" w:rsidRPr="00B55A68">
        <w:t>Te Tāhū Hauora</w:t>
      </w:r>
      <w:r w:rsidR="00866DE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2D89D3" w14:paraId="02032054" w14:textId="77777777" w:rsidTr="4D2D89D3">
      <w:trPr>
        <w:trHeight w:val="300"/>
      </w:trPr>
      <w:tc>
        <w:tcPr>
          <w:tcW w:w="3005" w:type="dxa"/>
        </w:tcPr>
        <w:p w14:paraId="26DC794E" w14:textId="2529EF04" w:rsidR="4D2D89D3" w:rsidRDefault="4D2D89D3" w:rsidP="4D2D89D3">
          <w:pPr>
            <w:pStyle w:val="Header"/>
            <w:ind w:left="-115"/>
          </w:pPr>
        </w:p>
      </w:tc>
      <w:tc>
        <w:tcPr>
          <w:tcW w:w="3005" w:type="dxa"/>
        </w:tcPr>
        <w:p w14:paraId="15414C1A" w14:textId="32E71437" w:rsidR="4D2D89D3" w:rsidRDefault="4D2D89D3" w:rsidP="4D2D89D3">
          <w:pPr>
            <w:pStyle w:val="Header"/>
            <w:jc w:val="center"/>
          </w:pPr>
        </w:p>
      </w:tc>
      <w:tc>
        <w:tcPr>
          <w:tcW w:w="3005" w:type="dxa"/>
        </w:tcPr>
        <w:p w14:paraId="18AA0966" w14:textId="0B35E716" w:rsidR="4D2D89D3" w:rsidRDefault="4D2D89D3" w:rsidP="4D2D89D3">
          <w:pPr>
            <w:pStyle w:val="Header"/>
            <w:ind w:right="-115"/>
            <w:jc w:val="right"/>
          </w:pPr>
        </w:p>
      </w:tc>
    </w:tr>
  </w:tbl>
  <w:p w14:paraId="5FB77071" w14:textId="652845AD" w:rsidR="4D2D89D3" w:rsidRDefault="4D2D89D3" w:rsidP="4D2D89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2D89D3" w14:paraId="79830B15" w14:textId="77777777" w:rsidTr="4D2D89D3">
      <w:trPr>
        <w:trHeight w:val="300"/>
      </w:trPr>
      <w:tc>
        <w:tcPr>
          <w:tcW w:w="3005" w:type="dxa"/>
        </w:tcPr>
        <w:p w14:paraId="13B0A0C2" w14:textId="75C00B3F" w:rsidR="4D2D89D3" w:rsidRDefault="4D2D89D3" w:rsidP="4D2D89D3">
          <w:pPr>
            <w:pStyle w:val="Header"/>
            <w:ind w:left="-115"/>
          </w:pPr>
        </w:p>
      </w:tc>
      <w:tc>
        <w:tcPr>
          <w:tcW w:w="3005" w:type="dxa"/>
        </w:tcPr>
        <w:p w14:paraId="2B4FF27C" w14:textId="184F54A1" w:rsidR="4D2D89D3" w:rsidRDefault="4D2D89D3" w:rsidP="4D2D89D3">
          <w:pPr>
            <w:pStyle w:val="Header"/>
            <w:jc w:val="center"/>
          </w:pPr>
        </w:p>
      </w:tc>
      <w:tc>
        <w:tcPr>
          <w:tcW w:w="3005" w:type="dxa"/>
        </w:tcPr>
        <w:p w14:paraId="2A1EBD56" w14:textId="214CE128" w:rsidR="4D2D89D3" w:rsidRDefault="4D2D89D3" w:rsidP="4D2D89D3">
          <w:pPr>
            <w:pStyle w:val="Header"/>
            <w:ind w:right="-115"/>
            <w:jc w:val="right"/>
          </w:pPr>
        </w:p>
      </w:tc>
    </w:tr>
  </w:tbl>
  <w:p w14:paraId="61C2681D" w14:textId="324F123B" w:rsidR="4D2D89D3" w:rsidRDefault="4D2D89D3" w:rsidP="4D2D89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2D89D3" w14:paraId="1F9CCFB2" w14:textId="77777777" w:rsidTr="4D2D89D3">
      <w:trPr>
        <w:trHeight w:val="300"/>
      </w:trPr>
      <w:tc>
        <w:tcPr>
          <w:tcW w:w="3005" w:type="dxa"/>
        </w:tcPr>
        <w:p w14:paraId="4489AF76" w14:textId="24CF6C00" w:rsidR="4D2D89D3" w:rsidRDefault="4D2D89D3" w:rsidP="4D2D89D3">
          <w:pPr>
            <w:pStyle w:val="Header"/>
            <w:ind w:left="-115"/>
          </w:pPr>
        </w:p>
      </w:tc>
      <w:tc>
        <w:tcPr>
          <w:tcW w:w="3005" w:type="dxa"/>
        </w:tcPr>
        <w:p w14:paraId="451D27B1" w14:textId="436C2780" w:rsidR="4D2D89D3" w:rsidRDefault="4D2D89D3" w:rsidP="4D2D89D3">
          <w:pPr>
            <w:pStyle w:val="Header"/>
            <w:jc w:val="center"/>
          </w:pPr>
        </w:p>
      </w:tc>
      <w:tc>
        <w:tcPr>
          <w:tcW w:w="3005" w:type="dxa"/>
        </w:tcPr>
        <w:p w14:paraId="72E594D6" w14:textId="272870F4" w:rsidR="4D2D89D3" w:rsidRDefault="4D2D89D3" w:rsidP="4D2D89D3">
          <w:pPr>
            <w:pStyle w:val="Header"/>
            <w:ind w:right="-115"/>
            <w:jc w:val="right"/>
          </w:pPr>
        </w:p>
      </w:tc>
    </w:tr>
  </w:tbl>
  <w:p w14:paraId="65BF757B" w14:textId="521A7092" w:rsidR="4D2D89D3" w:rsidRDefault="4D2D89D3" w:rsidP="4D2D89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D2D89D3" w14:paraId="6CDA8D39" w14:textId="77777777" w:rsidTr="4D2D89D3">
      <w:trPr>
        <w:trHeight w:val="300"/>
      </w:trPr>
      <w:tc>
        <w:tcPr>
          <w:tcW w:w="3005" w:type="dxa"/>
        </w:tcPr>
        <w:p w14:paraId="2743150D" w14:textId="3B302BE1" w:rsidR="4D2D89D3" w:rsidRDefault="4D2D89D3" w:rsidP="4D2D89D3">
          <w:pPr>
            <w:pStyle w:val="Header"/>
            <w:ind w:left="-115"/>
          </w:pPr>
        </w:p>
      </w:tc>
      <w:tc>
        <w:tcPr>
          <w:tcW w:w="3005" w:type="dxa"/>
        </w:tcPr>
        <w:p w14:paraId="6692E36B" w14:textId="397A516E" w:rsidR="4D2D89D3" w:rsidRDefault="4D2D89D3" w:rsidP="4D2D89D3">
          <w:pPr>
            <w:pStyle w:val="Header"/>
            <w:jc w:val="center"/>
          </w:pPr>
        </w:p>
      </w:tc>
      <w:tc>
        <w:tcPr>
          <w:tcW w:w="3005" w:type="dxa"/>
        </w:tcPr>
        <w:p w14:paraId="2C5799BA" w14:textId="7709E326" w:rsidR="4D2D89D3" w:rsidRDefault="4D2D89D3" w:rsidP="4D2D89D3">
          <w:pPr>
            <w:pStyle w:val="Header"/>
            <w:ind w:right="-115"/>
            <w:jc w:val="right"/>
          </w:pPr>
        </w:p>
      </w:tc>
    </w:tr>
  </w:tbl>
  <w:p w14:paraId="5D5C8DEC" w14:textId="26A71750" w:rsidR="4D2D89D3" w:rsidRDefault="4D2D89D3" w:rsidP="4D2D89D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D2D89D3" w14:paraId="50BF981D" w14:textId="77777777" w:rsidTr="4D2D89D3">
      <w:trPr>
        <w:trHeight w:val="300"/>
      </w:trPr>
      <w:tc>
        <w:tcPr>
          <w:tcW w:w="3020" w:type="dxa"/>
        </w:tcPr>
        <w:p w14:paraId="53F4C39F" w14:textId="16E0282C" w:rsidR="4D2D89D3" w:rsidRDefault="4D2D89D3" w:rsidP="4D2D89D3">
          <w:pPr>
            <w:pStyle w:val="Header"/>
            <w:ind w:left="-115"/>
          </w:pPr>
        </w:p>
      </w:tc>
      <w:tc>
        <w:tcPr>
          <w:tcW w:w="3020" w:type="dxa"/>
        </w:tcPr>
        <w:p w14:paraId="6FE5AC6C" w14:textId="1673BB6E" w:rsidR="4D2D89D3" w:rsidRDefault="4D2D89D3" w:rsidP="4D2D89D3">
          <w:pPr>
            <w:pStyle w:val="Header"/>
            <w:jc w:val="center"/>
          </w:pPr>
        </w:p>
      </w:tc>
      <w:tc>
        <w:tcPr>
          <w:tcW w:w="3020" w:type="dxa"/>
        </w:tcPr>
        <w:p w14:paraId="0910D349" w14:textId="4AF4FDF1" w:rsidR="4D2D89D3" w:rsidRDefault="4D2D89D3" w:rsidP="4D2D89D3">
          <w:pPr>
            <w:pStyle w:val="Header"/>
            <w:ind w:right="-115"/>
            <w:jc w:val="right"/>
          </w:pPr>
        </w:p>
      </w:tc>
    </w:tr>
  </w:tbl>
  <w:p w14:paraId="31FC18DB" w14:textId="419A08CC" w:rsidR="4D2D89D3" w:rsidRDefault="4D2D89D3" w:rsidP="4D2D89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4D2D89D3" w14:paraId="5F702AF2" w14:textId="77777777" w:rsidTr="4D2D89D3">
      <w:trPr>
        <w:trHeight w:val="300"/>
      </w:trPr>
      <w:tc>
        <w:tcPr>
          <w:tcW w:w="3020" w:type="dxa"/>
        </w:tcPr>
        <w:p w14:paraId="3AA26F58" w14:textId="104AECEC" w:rsidR="4D2D89D3" w:rsidRDefault="4D2D89D3" w:rsidP="4D2D89D3">
          <w:pPr>
            <w:pStyle w:val="Header"/>
            <w:ind w:left="-115"/>
          </w:pPr>
        </w:p>
      </w:tc>
      <w:tc>
        <w:tcPr>
          <w:tcW w:w="3020" w:type="dxa"/>
        </w:tcPr>
        <w:p w14:paraId="1FC47FA0" w14:textId="6F53C261" w:rsidR="4D2D89D3" w:rsidRDefault="4D2D89D3" w:rsidP="4D2D89D3">
          <w:pPr>
            <w:pStyle w:val="Header"/>
            <w:jc w:val="center"/>
          </w:pPr>
        </w:p>
      </w:tc>
      <w:tc>
        <w:tcPr>
          <w:tcW w:w="3020" w:type="dxa"/>
        </w:tcPr>
        <w:p w14:paraId="593FAFBC" w14:textId="2D2F9038" w:rsidR="4D2D89D3" w:rsidRDefault="4D2D89D3" w:rsidP="4D2D89D3">
          <w:pPr>
            <w:pStyle w:val="Header"/>
            <w:ind w:right="-115"/>
            <w:jc w:val="right"/>
          </w:pPr>
        </w:p>
      </w:tc>
    </w:tr>
  </w:tbl>
  <w:p w14:paraId="6078677D" w14:textId="12E4E403" w:rsidR="4D2D89D3" w:rsidRDefault="4D2D89D3" w:rsidP="4D2D89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40813112">
    <w:abstractNumId w:val="7"/>
  </w:num>
  <w:num w:numId="2" w16cid:durableId="1664695360">
    <w:abstractNumId w:val="9"/>
  </w:num>
  <w:num w:numId="3" w16cid:durableId="86075489">
    <w:abstractNumId w:val="12"/>
  </w:num>
  <w:num w:numId="4" w16cid:durableId="961226629">
    <w:abstractNumId w:val="10"/>
  </w:num>
  <w:num w:numId="5" w16cid:durableId="810247892">
    <w:abstractNumId w:val="13"/>
  </w:num>
  <w:num w:numId="6" w16cid:durableId="199098544">
    <w:abstractNumId w:val="8"/>
  </w:num>
  <w:num w:numId="7" w16cid:durableId="1829781319">
    <w:abstractNumId w:val="16"/>
  </w:num>
  <w:num w:numId="8" w16cid:durableId="534579980">
    <w:abstractNumId w:val="11"/>
  </w:num>
  <w:num w:numId="9" w16cid:durableId="1863742993">
    <w:abstractNumId w:val="6"/>
  </w:num>
  <w:num w:numId="10" w16cid:durableId="50538599">
    <w:abstractNumId w:val="5"/>
  </w:num>
  <w:num w:numId="11" w16cid:durableId="1131828693">
    <w:abstractNumId w:val="3"/>
  </w:num>
  <w:num w:numId="12" w16cid:durableId="1093433892">
    <w:abstractNumId w:val="15"/>
  </w:num>
  <w:num w:numId="13" w16cid:durableId="272787516">
    <w:abstractNumId w:val="14"/>
  </w:num>
  <w:num w:numId="14" w16cid:durableId="1390617373">
    <w:abstractNumId w:val="4"/>
  </w:num>
  <w:num w:numId="15" w16cid:durableId="761143986">
    <w:abstractNumId w:val="2"/>
  </w:num>
  <w:num w:numId="16" w16cid:durableId="1515728625">
    <w:abstractNumId w:val="1"/>
  </w:num>
  <w:num w:numId="17" w16cid:durableId="999843847">
    <w:abstractNumId w:val="0"/>
  </w:num>
  <w:num w:numId="18" w16cid:durableId="1301568591">
    <w:abstractNumId w:val="0"/>
    <w:lvlOverride w:ilvl="0">
      <w:startOverride w:val="1"/>
    </w:lvlOverride>
  </w:num>
  <w:num w:numId="19" w16cid:durableId="613364760">
    <w:abstractNumId w:val="1"/>
  </w:num>
  <w:num w:numId="20" w16cid:durableId="1467117310">
    <w:abstractNumId w:val="1"/>
  </w:num>
  <w:num w:numId="21" w16cid:durableId="1227304715">
    <w:abstractNumId w:val="1"/>
  </w:num>
  <w:num w:numId="22" w16cid:durableId="1358503000">
    <w:abstractNumId w:val="1"/>
  </w:num>
  <w:num w:numId="23" w16cid:durableId="873620662">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B97"/>
    <w:rsid w:val="00000224"/>
    <w:rsid w:val="00003978"/>
    <w:rsid w:val="0000479F"/>
    <w:rsid w:val="00005986"/>
    <w:rsid w:val="000072B5"/>
    <w:rsid w:val="000115EC"/>
    <w:rsid w:val="00012CD3"/>
    <w:rsid w:val="00014BDF"/>
    <w:rsid w:val="000154D5"/>
    <w:rsid w:val="00015F44"/>
    <w:rsid w:val="00017216"/>
    <w:rsid w:val="00021A1A"/>
    <w:rsid w:val="00022626"/>
    <w:rsid w:val="000235D4"/>
    <w:rsid w:val="00023B07"/>
    <w:rsid w:val="000257D7"/>
    <w:rsid w:val="00026401"/>
    <w:rsid w:val="00043083"/>
    <w:rsid w:val="00051CC0"/>
    <w:rsid w:val="0005287A"/>
    <w:rsid w:val="00052B4C"/>
    <w:rsid w:val="0005504C"/>
    <w:rsid w:val="00057F11"/>
    <w:rsid w:val="00062B82"/>
    <w:rsid w:val="00064CCB"/>
    <w:rsid w:val="00067C71"/>
    <w:rsid w:val="00071CE6"/>
    <w:rsid w:val="00072B90"/>
    <w:rsid w:val="00075710"/>
    <w:rsid w:val="00081524"/>
    <w:rsid w:val="00081E3B"/>
    <w:rsid w:val="0008726B"/>
    <w:rsid w:val="00092A37"/>
    <w:rsid w:val="00093955"/>
    <w:rsid w:val="00096C19"/>
    <w:rsid w:val="000A110B"/>
    <w:rsid w:val="000A5622"/>
    <w:rsid w:val="000B111C"/>
    <w:rsid w:val="000C0DFF"/>
    <w:rsid w:val="000C1227"/>
    <w:rsid w:val="000C71F5"/>
    <w:rsid w:val="000D7E4B"/>
    <w:rsid w:val="000E0DB8"/>
    <w:rsid w:val="000E2B7A"/>
    <w:rsid w:val="000E5B30"/>
    <w:rsid w:val="000F32D0"/>
    <w:rsid w:val="000F7471"/>
    <w:rsid w:val="00101302"/>
    <w:rsid w:val="00104BBC"/>
    <w:rsid w:val="00105E23"/>
    <w:rsid w:val="00106ECE"/>
    <w:rsid w:val="001111D6"/>
    <w:rsid w:val="001123E1"/>
    <w:rsid w:val="00115489"/>
    <w:rsid w:val="00115AEB"/>
    <w:rsid w:val="00122072"/>
    <w:rsid w:val="001249E2"/>
    <w:rsid w:val="0013118C"/>
    <w:rsid w:val="00131E3D"/>
    <w:rsid w:val="00133F6A"/>
    <w:rsid w:val="00134F5C"/>
    <w:rsid w:val="001378CA"/>
    <w:rsid w:val="00140457"/>
    <w:rsid w:val="00140AAC"/>
    <w:rsid w:val="00144206"/>
    <w:rsid w:val="00147145"/>
    <w:rsid w:val="00150EC1"/>
    <w:rsid w:val="00150EE7"/>
    <w:rsid w:val="00150F2F"/>
    <w:rsid w:val="00153C73"/>
    <w:rsid w:val="001639FA"/>
    <w:rsid w:val="00164036"/>
    <w:rsid w:val="00165595"/>
    <w:rsid w:val="00165B6D"/>
    <w:rsid w:val="00173B88"/>
    <w:rsid w:val="00183219"/>
    <w:rsid w:val="00183F98"/>
    <w:rsid w:val="001855EA"/>
    <w:rsid w:val="00185F52"/>
    <w:rsid w:val="00193951"/>
    <w:rsid w:val="0019407B"/>
    <w:rsid w:val="001A02AD"/>
    <w:rsid w:val="001A02B4"/>
    <w:rsid w:val="001A1007"/>
    <w:rsid w:val="001A132C"/>
    <w:rsid w:val="001A44E7"/>
    <w:rsid w:val="001A6553"/>
    <w:rsid w:val="001B161C"/>
    <w:rsid w:val="001B6AEC"/>
    <w:rsid w:val="001C2409"/>
    <w:rsid w:val="001D0822"/>
    <w:rsid w:val="001D5E16"/>
    <w:rsid w:val="001D6AAD"/>
    <w:rsid w:val="001E06DF"/>
    <w:rsid w:val="001E0B57"/>
    <w:rsid w:val="001E6A9F"/>
    <w:rsid w:val="001F000E"/>
    <w:rsid w:val="001F1896"/>
    <w:rsid w:val="001F3461"/>
    <w:rsid w:val="0020107E"/>
    <w:rsid w:val="00203EA2"/>
    <w:rsid w:val="00205657"/>
    <w:rsid w:val="00205AD6"/>
    <w:rsid w:val="002121B9"/>
    <w:rsid w:val="0021261B"/>
    <w:rsid w:val="002143F3"/>
    <w:rsid w:val="002201B7"/>
    <w:rsid w:val="00225BC0"/>
    <w:rsid w:val="0023054B"/>
    <w:rsid w:val="002339EA"/>
    <w:rsid w:val="002371B4"/>
    <w:rsid w:val="00237533"/>
    <w:rsid w:val="00244839"/>
    <w:rsid w:val="00245178"/>
    <w:rsid w:val="002514A1"/>
    <w:rsid w:val="00252B7B"/>
    <w:rsid w:val="002531CD"/>
    <w:rsid w:val="002665C5"/>
    <w:rsid w:val="002672D1"/>
    <w:rsid w:val="0027152B"/>
    <w:rsid w:val="00272AA4"/>
    <w:rsid w:val="00272CBA"/>
    <w:rsid w:val="00287B4A"/>
    <w:rsid w:val="00287D53"/>
    <w:rsid w:val="0029029C"/>
    <w:rsid w:val="00291E66"/>
    <w:rsid w:val="0029676C"/>
    <w:rsid w:val="002969D8"/>
    <w:rsid w:val="00297582"/>
    <w:rsid w:val="00297676"/>
    <w:rsid w:val="00297B4B"/>
    <w:rsid w:val="002A3DC3"/>
    <w:rsid w:val="002B4FF6"/>
    <w:rsid w:val="002C0EE7"/>
    <w:rsid w:val="002D22C7"/>
    <w:rsid w:val="002E1666"/>
    <w:rsid w:val="002E2CCF"/>
    <w:rsid w:val="002E547C"/>
    <w:rsid w:val="002E637F"/>
    <w:rsid w:val="002E7831"/>
    <w:rsid w:val="002F6704"/>
    <w:rsid w:val="0030109F"/>
    <w:rsid w:val="00301AB6"/>
    <w:rsid w:val="00303EF1"/>
    <w:rsid w:val="00310A90"/>
    <w:rsid w:val="00312BB1"/>
    <w:rsid w:val="00331D2C"/>
    <w:rsid w:val="003362F8"/>
    <w:rsid w:val="00340841"/>
    <w:rsid w:val="0034255E"/>
    <w:rsid w:val="003451B3"/>
    <w:rsid w:val="00345201"/>
    <w:rsid w:val="00345ACC"/>
    <w:rsid w:val="003470AA"/>
    <w:rsid w:val="00350934"/>
    <w:rsid w:val="003557A9"/>
    <w:rsid w:val="003558C2"/>
    <w:rsid w:val="00356454"/>
    <w:rsid w:val="0035680A"/>
    <w:rsid w:val="00357AE7"/>
    <w:rsid w:val="0036225A"/>
    <w:rsid w:val="00370C0F"/>
    <w:rsid w:val="003720D9"/>
    <w:rsid w:val="00372989"/>
    <w:rsid w:val="00374EB2"/>
    <w:rsid w:val="003751B1"/>
    <w:rsid w:val="00380044"/>
    <w:rsid w:val="0038042C"/>
    <w:rsid w:val="00386712"/>
    <w:rsid w:val="00390A08"/>
    <w:rsid w:val="00392C96"/>
    <w:rsid w:val="003A1838"/>
    <w:rsid w:val="003A3D1C"/>
    <w:rsid w:val="003B13D7"/>
    <w:rsid w:val="003B1903"/>
    <w:rsid w:val="003B2535"/>
    <w:rsid w:val="003B6C8D"/>
    <w:rsid w:val="003B6CCF"/>
    <w:rsid w:val="003B784D"/>
    <w:rsid w:val="003C45E1"/>
    <w:rsid w:val="003D19E6"/>
    <w:rsid w:val="003E07F7"/>
    <w:rsid w:val="003E1978"/>
    <w:rsid w:val="003E1BE2"/>
    <w:rsid w:val="003E2238"/>
    <w:rsid w:val="003E38E3"/>
    <w:rsid w:val="003E52D6"/>
    <w:rsid w:val="003F0791"/>
    <w:rsid w:val="003F5A26"/>
    <w:rsid w:val="00402A50"/>
    <w:rsid w:val="0040657D"/>
    <w:rsid w:val="00407CA8"/>
    <w:rsid w:val="00410D2D"/>
    <w:rsid w:val="004114BA"/>
    <w:rsid w:val="00411BBC"/>
    <w:rsid w:val="00416629"/>
    <w:rsid w:val="004201E0"/>
    <w:rsid w:val="004241B9"/>
    <w:rsid w:val="004258F9"/>
    <w:rsid w:val="00425AA0"/>
    <w:rsid w:val="00432DE0"/>
    <w:rsid w:val="00433D6F"/>
    <w:rsid w:val="004363F2"/>
    <w:rsid w:val="0043743D"/>
    <w:rsid w:val="00437601"/>
    <w:rsid w:val="00442889"/>
    <w:rsid w:val="004458DE"/>
    <w:rsid w:val="004466EF"/>
    <w:rsid w:val="00446CEF"/>
    <w:rsid w:val="00447327"/>
    <w:rsid w:val="0045000E"/>
    <w:rsid w:val="00450D07"/>
    <w:rsid w:val="0045730F"/>
    <w:rsid w:val="00461A9A"/>
    <w:rsid w:val="00461AE6"/>
    <w:rsid w:val="00462D7A"/>
    <w:rsid w:val="004639D3"/>
    <w:rsid w:val="00470861"/>
    <w:rsid w:val="0047638D"/>
    <w:rsid w:val="0047654C"/>
    <w:rsid w:val="0048247F"/>
    <w:rsid w:val="004846B0"/>
    <w:rsid w:val="004857E1"/>
    <w:rsid w:val="004907D7"/>
    <w:rsid w:val="004947A0"/>
    <w:rsid w:val="0049681B"/>
    <w:rsid w:val="004968AD"/>
    <w:rsid w:val="004A0DE8"/>
    <w:rsid w:val="004A182F"/>
    <w:rsid w:val="004A1ACA"/>
    <w:rsid w:val="004A1E32"/>
    <w:rsid w:val="004A4FC6"/>
    <w:rsid w:val="004A54CE"/>
    <w:rsid w:val="004A6075"/>
    <w:rsid w:val="004B0E7D"/>
    <w:rsid w:val="004B1166"/>
    <w:rsid w:val="004B387A"/>
    <w:rsid w:val="004B7369"/>
    <w:rsid w:val="004B7CE3"/>
    <w:rsid w:val="004C24CF"/>
    <w:rsid w:val="004C6CC9"/>
    <w:rsid w:val="004D0AD0"/>
    <w:rsid w:val="004D441C"/>
    <w:rsid w:val="004D6696"/>
    <w:rsid w:val="004E0317"/>
    <w:rsid w:val="004E04D9"/>
    <w:rsid w:val="004E1DD4"/>
    <w:rsid w:val="004E4BE9"/>
    <w:rsid w:val="004E6CE7"/>
    <w:rsid w:val="004F0CFB"/>
    <w:rsid w:val="004F1BD4"/>
    <w:rsid w:val="004F5AA7"/>
    <w:rsid w:val="004F6871"/>
    <w:rsid w:val="005025A1"/>
    <w:rsid w:val="00505999"/>
    <w:rsid w:val="005166FD"/>
    <w:rsid w:val="005240E9"/>
    <w:rsid w:val="0052466B"/>
    <w:rsid w:val="005267A2"/>
    <w:rsid w:val="00527BAE"/>
    <w:rsid w:val="00530F66"/>
    <w:rsid w:val="00533F38"/>
    <w:rsid w:val="005351ED"/>
    <w:rsid w:val="005369FF"/>
    <w:rsid w:val="00540003"/>
    <w:rsid w:val="00551DD8"/>
    <w:rsid w:val="005557C1"/>
    <w:rsid w:val="00555C13"/>
    <w:rsid w:val="00561028"/>
    <w:rsid w:val="00564FA1"/>
    <w:rsid w:val="00566A3D"/>
    <w:rsid w:val="00572C53"/>
    <w:rsid w:val="00580F29"/>
    <w:rsid w:val="00580F59"/>
    <w:rsid w:val="005820DB"/>
    <w:rsid w:val="005825AC"/>
    <w:rsid w:val="0058260A"/>
    <w:rsid w:val="0058455D"/>
    <w:rsid w:val="00584623"/>
    <w:rsid w:val="00594523"/>
    <w:rsid w:val="005A2829"/>
    <w:rsid w:val="005A5B29"/>
    <w:rsid w:val="005A6D47"/>
    <w:rsid w:val="005B033F"/>
    <w:rsid w:val="005B1D8D"/>
    <w:rsid w:val="005B59BC"/>
    <w:rsid w:val="005B68AE"/>
    <w:rsid w:val="005C344C"/>
    <w:rsid w:val="005C48F2"/>
    <w:rsid w:val="005D4B68"/>
    <w:rsid w:val="005E17AF"/>
    <w:rsid w:val="005E1C29"/>
    <w:rsid w:val="005E3A56"/>
    <w:rsid w:val="005F2B44"/>
    <w:rsid w:val="005F4F38"/>
    <w:rsid w:val="005F598C"/>
    <w:rsid w:val="00606E99"/>
    <w:rsid w:val="006107EF"/>
    <w:rsid w:val="00614081"/>
    <w:rsid w:val="0062308A"/>
    <w:rsid w:val="00630927"/>
    <w:rsid w:val="00630A1A"/>
    <w:rsid w:val="00632295"/>
    <w:rsid w:val="00632461"/>
    <w:rsid w:val="00635F6B"/>
    <w:rsid w:val="00640803"/>
    <w:rsid w:val="00640F2D"/>
    <w:rsid w:val="00641AC2"/>
    <w:rsid w:val="006469DF"/>
    <w:rsid w:val="00646AB1"/>
    <w:rsid w:val="006501CA"/>
    <w:rsid w:val="00651EE8"/>
    <w:rsid w:val="0065374E"/>
    <w:rsid w:val="006547EE"/>
    <w:rsid w:val="0065535B"/>
    <w:rsid w:val="00662F45"/>
    <w:rsid w:val="006657D7"/>
    <w:rsid w:val="00665D22"/>
    <w:rsid w:val="00672126"/>
    <w:rsid w:val="0067432D"/>
    <w:rsid w:val="00675B7E"/>
    <w:rsid w:val="00677DF6"/>
    <w:rsid w:val="00680240"/>
    <w:rsid w:val="00681B4C"/>
    <w:rsid w:val="006821D2"/>
    <w:rsid w:val="00683061"/>
    <w:rsid w:val="0068435B"/>
    <w:rsid w:val="0069060A"/>
    <w:rsid w:val="006907DA"/>
    <w:rsid w:val="00691F5B"/>
    <w:rsid w:val="00695C2D"/>
    <w:rsid w:val="00696DEB"/>
    <w:rsid w:val="00697C79"/>
    <w:rsid w:val="006A3910"/>
    <w:rsid w:val="006A473A"/>
    <w:rsid w:val="006A4E3B"/>
    <w:rsid w:val="006A5331"/>
    <w:rsid w:val="006A6F8D"/>
    <w:rsid w:val="006A7E69"/>
    <w:rsid w:val="006B2F4A"/>
    <w:rsid w:val="006B4B65"/>
    <w:rsid w:val="006B4E4A"/>
    <w:rsid w:val="006B7508"/>
    <w:rsid w:val="006C5E30"/>
    <w:rsid w:val="006C6809"/>
    <w:rsid w:val="006D2995"/>
    <w:rsid w:val="006D341B"/>
    <w:rsid w:val="006D3D27"/>
    <w:rsid w:val="006D4188"/>
    <w:rsid w:val="006D4BD1"/>
    <w:rsid w:val="006D666D"/>
    <w:rsid w:val="006E00EE"/>
    <w:rsid w:val="006E0CBC"/>
    <w:rsid w:val="006E142E"/>
    <w:rsid w:val="006E1EC2"/>
    <w:rsid w:val="006E3D7B"/>
    <w:rsid w:val="006E4525"/>
    <w:rsid w:val="006E5039"/>
    <w:rsid w:val="006E612B"/>
    <w:rsid w:val="006E706A"/>
    <w:rsid w:val="006E7F66"/>
    <w:rsid w:val="006F2E9F"/>
    <w:rsid w:val="006F4F4B"/>
    <w:rsid w:val="00700503"/>
    <w:rsid w:val="00702438"/>
    <w:rsid w:val="00703375"/>
    <w:rsid w:val="00707E7B"/>
    <w:rsid w:val="00716634"/>
    <w:rsid w:val="00721B97"/>
    <w:rsid w:val="00722C09"/>
    <w:rsid w:val="007248A2"/>
    <w:rsid w:val="00732FBC"/>
    <w:rsid w:val="007346DB"/>
    <w:rsid w:val="007347F0"/>
    <w:rsid w:val="007351D5"/>
    <w:rsid w:val="007415A2"/>
    <w:rsid w:val="007511A5"/>
    <w:rsid w:val="00751DED"/>
    <w:rsid w:val="00752144"/>
    <w:rsid w:val="00757FD8"/>
    <w:rsid w:val="00760894"/>
    <w:rsid w:val="00762438"/>
    <w:rsid w:val="00763715"/>
    <w:rsid w:val="00764327"/>
    <w:rsid w:val="00764E9F"/>
    <w:rsid w:val="00770D2E"/>
    <w:rsid w:val="00771E61"/>
    <w:rsid w:val="007775DE"/>
    <w:rsid w:val="007852F8"/>
    <w:rsid w:val="00786552"/>
    <w:rsid w:val="00790B45"/>
    <w:rsid w:val="007922E7"/>
    <w:rsid w:val="00792E41"/>
    <w:rsid w:val="00792E4C"/>
    <w:rsid w:val="00797213"/>
    <w:rsid w:val="007A0445"/>
    <w:rsid w:val="007A13D0"/>
    <w:rsid w:val="007A2EDD"/>
    <w:rsid w:val="007A570B"/>
    <w:rsid w:val="007B151D"/>
    <w:rsid w:val="007B2E6E"/>
    <w:rsid w:val="007B5D3A"/>
    <w:rsid w:val="007B76DD"/>
    <w:rsid w:val="007C13AC"/>
    <w:rsid w:val="007C2E58"/>
    <w:rsid w:val="007C3522"/>
    <w:rsid w:val="007C454E"/>
    <w:rsid w:val="007C7ED1"/>
    <w:rsid w:val="007D219A"/>
    <w:rsid w:val="007D34AD"/>
    <w:rsid w:val="007E0634"/>
    <w:rsid w:val="007E5241"/>
    <w:rsid w:val="007F2D3B"/>
    <w:rsid w:val="007F694F"/>
    <w:rsid w:val="007F7612"/>
    <w:rsid w:val="007F79FC"/>
    <w:rsid w:val="00801A1F"/>
    <w:rsid w:val="00802338"/>
    <w:rsid w:val="0080238B"/>
    <w:rsid w:val="00802A41"/>
    <w:rsid w:val="00803339"/>
    <w:rsid w:val="008036BA"/>
    <w:rsid w:val="0080549C"/>
    <w:rsid w:val="00806A50"/>
    <w:rsid w:val="00811357"/>
    <w:rsid w:val="008115CF"/>
    <w:rsid w:val="008131B0"/>
    <w:rsid w:val="008142C2"/>
    <w:rsid w:val="00816A83"/>
    <w:rsid w:val="008332F5"/>
    <w:rsid w:val="00833405"/>
    <w:rsid w:val="00836C24"/>
    <w:rsid w:val="00841260"/>
    <w:rsid w:val="00845529"/>
    <w:rsid w:val="00845F20"/>
    <w:rsid w:val="0084633E"/>
    <w:rsid w:val="00846C16"/>
    <w:rsid w:val="0085071D"/>
    <w:rsid w:val="00851905"/>
    <w:rsid w:val="0085597F"/>
    <w:rsid w:val="008601B0"/>
    <w:rsid w:val="0086024C"/>
    <w:rsid w:val="00861C08"/>
    <w:rsid w:val="00865172"/>
    <w:rsid w:val="00866DEC"/>
    <w:rsid w:val="0087040B"/>
    <w:rsid w:val="008739C8"/>
    <w:rsid w:val="008746E3"/>
    <w:rsid w:val="00875747"/>
    <w:rsid w:val="00881869"/>
    <w:rsid w:val="00886796"/>
    <w:rsid w:val="008917AD"/>
    <w:rsid w:val="008946E7"/>
    <w:rsid w:val="00894D25"/>
    <w:rsid w:val="008960B0"/>
    <w:rsid w:val="008A60AE"/>
    <w:rsid w:val="008B0E06"/>
    <w:rsid w:val="008B4E25"/>
    <w:rsid w:val="008C329A"/>
    <w:rsid w:val="008C4218"/>
    <w:rsid w:val="008C5E97"/>
    <w:rsid w:val="008D1E6C"/>
    <w:rsid w:val="008D7ACA"/>
    <w:rsid w:val="008D7B48"/>
    <w:rsid w:val="008E1024"/>
    <w:rsid w:val="008F0349"/>
    <w:rsid w:val="008F0563"/>
    <w:rsid w:val="008F12DC"/>
    <w:rsid w:val="008F6B3D"/>
    <w:rsid w:val="008F6ECF"/>
    <w:rsid w:val="008F749A"/>
    <w:rsid w:val="008F7E81"/>
    <w:rsid w:val="00900AFF"/>
    <w:rsid w:val="00904375"/>
    <w:rsid w:val="00905630"/>
    <w:rsid w:val="00906793"/>
    <w:rsid w:val="00911920"/>
    <w:rsid w:val="00913ED5"/>
    <w:rsid w:val="00914500"/>
    <w:rsid w:val="00915D2C"/>
    <w:rsid w:val="009200C0"/>
    <w:rsid w:val="0092294D"/>
    <w:rsid w:val="00923481"/>
    <w:rsid w:val="00930B7A"/>
    <w:rsid w:val="00930BF3"/>
    <w:rsid w:val="009350E4"/>
    <w:rsid w:val="0094131A"/>
    <w:rsid w:val="00941DAA"/>
    <w:rsid w:val="00944659"/>
    <w:rsid w:val="00951121"/>
    <w:rsid w:val="009522ED"/>
    <w:rsid w:val="00952FE6"/>
    <w:rsid w:val="009538DA"/>
    <w:rsid w:val="00960486"/>
    <w:rsid w:val="0096081E"/>
    <w:rsid w:val="00962138"/>
    <w:rsid w:val="009727E5"/>
    <w:rsid w:val="009740A1"/>
    <w:rsid w:val="0097679C"/>
    <w:rsid w:val="00980E85"/>
    <w:rsid w:val="009860B1"/>
    <w:rsid w:val="00987573"/>
    <w:rsid w:val="00991FC7"/>
    <w:rsid w:val="00994889"/>
    <w:rsid w:val="00995BAE"/>
    <w:rsid w:val="009A0136"/>
    <w:rsid w:val="009A0EF7"/>
    <w:rsid w:val="009A0EFC"/>
    <w:rsid w:val="009A15FC"/>
    <w:rsid w:val="009A1E79"/>
    <w:rsid w:val="009A270D"/>
    <w:rsid w:val="009A4A06"/>
    <w:rsid w:val="009A4F53"/>
    <w:rsid w:val="009A5930"/>
    <w:rsid w:val="009A65BA"/>
    <w:rsid w:val="009A7126"/>
    <w:rsid w:val="009B0A87"/>
    <w:rsid w:val="009B1229"/>
    <w:rsid w:val="009B25F5"/>
    <w:rsid w:val="009B4E57"/>
    <w:rsid w:val="009B5C4F"/>
    <w:rsid w:val="009B60E1"/>
    <w:rsid w:val="009B6390"/>
    <w:rsid w:val="009B6DBE"/>
    <w:rsid w:val="009B7CC2"/>
    <w:rsid w:val="009C107F"/>
    <w:rsid w:val="009C22A0"/>
    <w:rsid w:val="009C409A"/>
    <w:rsid w:val="009D4AF8"/>
    <w:rsid w:val="009D56D9"/>
    <w:rsid w:val="009D622E"/>
    <w:rsid w:val="009D79CD"/>
    <w:rsid w:val="009E1ED9"/>
    <w:rsid w:val="009E2620"/>
    <w:rsid w:val="009E52B6"/>
    <w:rsid w:val="009E5660"/>
    <w:rsid w:val="009F713A"/>
    <w:rsid w:val="009F7F5F"/>
    <w:rsid w:val="00A00662"/>
    <w:rsid w:val="00A024C2"/>
    <w:rsid w:val="00A03AF2"/>
    <w:rsid w:val="00A0512B"/>
    <w:rsid w:val="00A052F6"/>
    <w:rsid w:val="00A13A94"/>
    <w:rsid w:val="00A15C21"/>
    <w:rsid w:val="00A203DB"/>
    <w:rsid w:val="00A225AF"/>
    <w:rsid w:val="00A2381C"/>
    <w:rsid w:val="00A23F96"/>
    <w:rsid w:val="00A278C8"/>
    <w:rsid w:val="00A313E6"/>
    <w:rsid w:val="00A322BB"/>
    <w:rsid w:val="00A32B11"/>
    <w:rsid w:val="00A37C59"/>
    <w:rsid w:val="00A40521"/>
    <w:rsid w:val="00A41608"/>
    <w:rsid w:val="00A452BD"/>
    <w:rsid w:val="00A46214"/>
    <w:rsid w:val="00A4688A"/>
    <w:rsid w:val="00A53296"/>
    <w:rsid w:val="00A533FF"/>
    <w:rsid w:val="00A54C80"/>
    <w:rsid w:val="00A54CFC"/>
    <w:rsid w:val="00A56998"/>
    <w:rsid w:val="00A57261"/>
    <w:rsid w:val="00A6040B"/>
    <w:rsid w:val="00A627C3"/>
    <w:rsid w:val="00A64FAA"/>
    <w:rsid w:val="00A66C36"/>
    <w:rsid w:val="00A67C26"/>
    <w:rsid w:val="00A70B1C"/>
    <w:rsid w:val="00A7257A"/>
    <w:rsid w:val="00A7328E"/>
    <w:rsid w:val="00A75C6B"/>
    <w:rsid w:val="00A7698C"/>
    <w:rsid w:val="00A80094"/>
    <w:rsid w:val="00A80610"/>
    <w:rsid w:val="00A830DC"/>
    <w:rsid w:val="00A87AEA"/>
    <w:rsid w:val="00A9188E"/>
    <w:rsid w:val="00A9198C"/>
    <w:rsid w:val="00A92C02"/>
    <w:rsid w:val="00A93AD6"/>
    <w:rsid w:val="00A94A67"/>
    <w:rsid w:val="00A959BB"/>
    <w:rsid w:val="00A95C29"/>
    <w:rsid w:val="00A97B76"/>
    <w:rsid w:val="00AA7B43"/>
    <w:rsid w:val="00AC0387"/>
    <w:rsid w:val="00AC1F59"/>
    <w:rsid w:val="00AC3D8C"/>
    <w:rsid w:val="00AC507E"/>
    <w:rsid w:val="00AC637F"/>
    <w:rsid w:val="00AD0A3A"/>
    <w:rsid w:val="00AD52B8"/>
    <w:rsid w:val="00AE117F"/>
    <w:rsid w:val="00AE395A"/>
    <w:rsid w:val="00AE7F4C"/>
    <w:rsid w:val="00AF29E6"/>
    <w:rsid w:val="00B010B6"/>
    <w:rsid w:val="00B0744F"/>
    <w:rsid w:val="00B10CC1"/>
    <w:rsid w:val="00B20E20"/>
    <w:rsid w:val="00B23E77"/>
    <w:rsid w:val="00B23EF3"/>
    <w:rsid w:val="00B33B6D"/>
    <w:rsid w:val="00B347E2"/>
    <w:rsid w:val="00B36433"/>
    <w:rsid w:val="00B41A55"/>
    <w:rsid w:val="00B42FDE"/>
    <w:rsid w:val="00B43090"/>
    <w:rsid w:val="00B4731B"/>
    <w:rsid w:val="00B51A14"/>
    <w:rsid w:val="00B55A68"/>
    <w:rsid w:val="00B57F3B"/>
    <w:rsid w:val="00B61DF2"/>
    <w:rsid w:val="00B660B9"/>
    <w:rsid w:val="00B673CF"/>
    <w:rsid w:val="00B67626"/>
    <w:rsid w:val="00B74276"/>
    <w:rsid w:val="00B74EE3"/>
    <w:rsid w:val="00B74F22"/>
    <w:rsid w:val="00B7606A"/>
    <w:rsid w:val="00B86B40"/>
    <w:rsid w:val="00B93B91"/>
    <w:rsid w:val="00B94E9E"/>
    <w:rsid w:val="00B96A41"/>
    <w:rsid w:val="00B97AD4"/>
    <w:rsid w:val="00BA1ECC"/>
    <w:rsid w:val="00BA37BF"/>
    <w:rsid w:val="00BA3F77"/>
    <w:rsid w:val="00BA785D"/>
    <w:rsid w:val="00BA7FA4"/>
    <w:rsid w:val="00BB145B"/>
    <w:rsid w:val="00BB18D0"/>
    <w:rsid w:val="00BB51D5"/>
    <w:rsid w:val="00BB7084"/>
    <w:rsid w:val="00BB7FC7"/>
    <w:rsid w:val="00BC1F1C"/>
    <w:rsid w:val="00BC497B"/>
    <w:rsid w:val="00BD1AA4"/>
    <w:rsid w:val="00BD305F"/>
    <w:rsid w:val="00BD3434"/>
    <w:rsid w:val="00BD3899"/>
    <w:rsid w:val="00BD5439"/>
    <w:rsid w:val="00BD7F74"/>
    <w:rsid w:val="00BE162D"/>
    <w:rsid w:val="00BE2A2D"/>
    <w:rsid w:val="00BE3307"/>
    <w:rsid w:val="00BE52A6"/>
    <w:rsid w:val="00BF08F7"/>
    <w:rsid w:val="00BF6F26"/>
    <w:rsid w:val="00C07928"/>
    <w:rsid w:val="00C109D3"/>
    <w:rsid w:val="00C11053"/>
    <w:rsid w:val="00C1691A"/>
    <w:rsid w:val="00C1717A"/>
    <w:rsid w:val="00C1781F"/>
    <w:rsid w:val="00C23346"/>
    <w:rsid w:val="00C27859"/>
    <w:rsid w:val="00C31730"/>
    <w:rsid w:val="00C41EBD"/>
    <w:rsid w:val="00C41F1F"/>
    <w:rsid w:val="00C51579"/>
    <w:rsid w:val="00C53EB5"/>
    <w:rsid w:val="00C61DB7"/>
    <w:rsid w:val="00C6752C"/>
    <w:rsid w:val="00C678D4"/>
    <w:rsid w:val="00C73020"/>
    <w:rsid w:val="00C761F8"/>
    <w:rsid w:val="00C764B2"/>
    <w:rsid w:val="00C829B2"/>
    <w:rsid w:val="00C83077"/>
    <w:rsid w:val="00C8315E"/>
    <w:rsid w:val="00C865CE"/>
    <w:rsid w:val="00C9095C"/>
    <w:rsid w:val="00C92BEA"/>
    <w:rsid w:val="00C954AC"/>
    <w:rsid w:val="00CA34D7"/>
    <w:rsid w:val="00CA4AD9"/>
    <w:rsid w:val="00CA7F3D"/>
    <w:rsid w:val="00CB02E0"/>
    <w:rsid w:val="00CB187D"/>
    <w:rsid w:val="00CC32F3"/>
    <w:rsid w:val="00CD1784"/>
    <w:rsid w:val="00CD1AAF"/>
    <w:rsid w:val="00CD433E"/>
    <w:rsid w:val="00CD59BF"/>
    <w:rsid w:val="00CD6333"/>
    <w:rsid w:val="00CD67A5"/>
    <w:rsid w:val="00CE0FC3"/>
    <w:rsid w:val="00CE13F7"/>
    <w:rsid w:val="00CE1E6A"/>
    <w:rsid w:val="00CE24F8"/>
    <w:rsid w:val="00CE3289"/>
    <w:rsid w:val="00CE468C"/>
    <w:rsid w:val="00CE69EF"/>
    <w:rsid w:val="00CF6267"/>
    <w:rsid w:val="00D02530"/>
    <w:rsid w:val="00D02CC6"/>
    <w:rsid w:val="00D105CA"/>
    <w:rsid w:val="00D10D67"/>
    <w:rsid w:val="00D116BA"/>
    <w:rsid w:val="00D12FC1"/>
    <w:rsid w:val="00D132F2"/>
    <w:rsid w:val="00D20568"/>
    <w:rsid w:val="00D229A8"/>
    <w:rsid w:val="00D230FD"/>
    <w:rsid w:val="00D23541"/>
    <w:rsid w:val="00D23DEF"/>
    <w:rsid w:val="00D241F5"/>
    <w:rsid w:val="00D25A5D"/>
    <w:rsid w:val="00D271E6"/>
    <w:rsid w:val="00D37168"/>
    <w:rsid w:val="00D41B94"/>
    <w:rsid w:val="00D44EB1"/>
    <w:rsid w:val="00D50662"/>
    <w:rsid w:val="00D53FA8"/>
    <w:rsid w:val="00D627A8"/>
    <w:rsid w:val="00D640A7"/>
    <w:rsid w:val="00D64AAD"/>
    <w:rsid w:val="00D64D6E"/>
    <w:rsid w:val="00D6540B"/>
    <w:rsid w:val="00D704B3"/>
    <w:rsid w:val="00D74DFB"/>
    <w:rsid w:val="00D76C8D"/>
    <w:rsid w:val="00D76D56"/>
    <w:rsid w:val="00D81314"/>
    <w:rsid w:val="00D81C61"/>
    <w:rsid w:val="00D81D1A"/>
    <w:rsid w:val="00D82520"/>
    <w:rsid w:val="00D83ACB"/>
    <w:rsid w:val="00D83DCB"/>
    <w:rsid w:val="00D83F43"/>
    <w:rsid w:val="00D86B58"/>
    <w:rsid w:val="00D927B8"/>
    <w:rsid w:val="00D933BC"/>
    <w:rsid w:val="00DA3BA6"/>
    <w:rsid w:val="00DA60DF"/>
    <w:rsid w:val="00DB10A5"/>
    <w:rsid w:val="00DB3901"/>
    <w:rsid w:val="00DB7060"/>
    <w:rsid w:val="00DB7F7B"/>
    <w:rsid w:val="00DC1D67"/>
    <w:rsid w:val="00DC47C0"/>
    <w:rsid w:val="00DC7E92"/>
    <w:rsid w:val="00DD3430"/>
    <w:rsid w:val="00DD3D3C"/>
    <w:rsid w:val="00DD3F10"/>
    <w:rsid w:val="00DD708A"/>
    <w:rsid w:val="00DE0E3A"/>
    <w:rsid w:val="00DE102A"/>
    <w:rsid w:val="00DE26FF"/>
    <w:rsid w:val="00DE3C40"/>
    <w:rsid w:val="00DF539A"/>
    <w:rsid w:val="00DF7671"/>
    <w:rsid w:val="00E00A16"/>
    <w:rsid w:val="00E0234F"/>
    <w:rsid w:val="00E035F1"/>
    <w:rsid w:val="00E03981"/>
    <w:rsid w:val="00E04D7E"/>
    <w:rsid w:val="00E07049"/>
    <w:rsid w:val="00E11A1F"/>
    <w:rsid w:val="00E1323D"/>
    <w:rsid w:val="00E16359"/>
    <w:rsid w:val="00E34D4A"/>
    <w:rsid w:val="00E355BB"/>
    <w:rsid w:val="00E36E61"/>
    <w:rsid w:val="00E36FF7"/>
    <w:rsid w:val="00E426BD"/>
    <w:rsid w:val="00E4339E"/>
    <w:rsid w:val="00E462D4"/>
    <w:rsid w:val="00E5006D"/>
    <w:rsid w:val="00E50E8D"/>
    <w:rsid w:val="00E5420C"/>
    <w:rsid w:val="00E56485"/>
    <w:rsid w:val="00E60914"/>
    <w:rsid w:val="00E6155C"/>
    <w:rsid w:val="00E65439"/>
    <w:rsid w:val="00E6626F"/>
    <w:rsid w:val="00E66736"/>
    <w:rsid w:val="00E75D67"/>
    <w:rsid w:val="00E83591"/>
    <w:rsid w:val="00E92DCF"/>
    <w:rsid w:val="00E95A46"/>
    <w:rsid w:val="00EA1FEE"/>
    <w:rsid w:val="00EA3D4F"/>
    <w:rsid w:val="00EA5F51"/>
    <w:rsid w:val="00EA6F68"/>
    <w:rsid w:val="00EB026B"/>
    <w:rsid w:val="00EB21BE"/>
    <w:rsid w:val="00EB21E0"/>
    <w:rsid w:val="00EB25CD"/>
    <w:rsid w:val="00EB2B83"/>
    <w:rsid w:val="00EB5095"/>
    <w:rsid w:val="00EB5FDA"/>
    <w:rsid w:val="00EB6194"/>
    <w:rsid w:val="00EB6D9B"/>
    <w:rsid w:val="00EC12F2"/>
    <w:rsid w:val="00EC2147"/>
    <w:rsid w:val="00EC4023"/>
    <w:rsid w:val="00EC4242"/>
    <w:rsid w:val="00EC6DCD"/>
    <w:rsid w:val="00ED3DE6"/>
    <w:rsid w:val="00ED72F9"/>
    <w:rsid w:val="00EE69F8"/>
    <w:rsid w:val="00EF2B11"/>
    <w:rsid w:val="00EF581A"/>
    <w:rsid w:val="00EF6E77"/>
    <w:rsid w:val="00EF7332"/>
    <w:rsid w:val="00F00CB3"/>
    <w:rsid w:val="00F0215E"/>
    <w:rsid w:val="00F0456A"/>
    <w:rsid w:val="00F078EB"/>
    <w:rsid w:val="00F13190"/>
    <w:rsid w:val="00F174EA"/>
    <w:rsid w:val="00F20B5F"/>
    <w:rsid w:val="00F23E45"/>
    <w:rsid w:val="00F23E5D"/>
    <w:rsid w:val="00F24118"/>
    <w:rsid w:val="00F248BD"/>
    <w:rsid w:val="00F320C2"/>
    <w:rsid w:val="00F34739"/>
    <w:rsid w:val="00F408BF"/>
    <w:rsid w:val="00F43049"/>
    <w:rsid w:val="00F4325E"/>
    <w:rsid w:val="00F45D90"/>
    <w:rsid w:val="00F47A01"/>
    <w:rsid w:val="00F5417A"/>
    <w:rsid w:val="00F56E9F"/>
    <w:rsid w:val="00F5722E"/>
    <w:rsid w:val="00F61D1E"/>
    <w:rsid w:val="00F63852"/>
    <w:rsid w:val="00F63A38"/>
    <w:rsid w:val="00F64542"/>
    <w:rsid w:val="00F65321"/>
    <w:rsid w:val="00F65643"/>
    <w:rsid w:val="00F7017C"/>
    <w:rsid w:val="00F70ABE"/>
    <w:rsid w:val="00F7226A"/>
    <w:rsid w:val="00F73289"/>
    <w:rsid w:val="00F748D4"/>
    <w:rsid w:val="00F77A3D"/>
    <w:rsid w:val="00F83DB3"/>
    <w:rsid w:val="00F85C21"/>
    <w:rsid w:val="00F87366"/>
    <w:rsid w:val="00F877C8"/>
    <w:rsid w:val="00F94DE8"/>
    <w:rsid w:val="00F97891"/>
    <w:rsid w:val="00FA159A"/>
    <w:rsid w:val="00FA37F8"/>
    <w:rsid w:val="00FA50C7"/>
    <w:rsid w:val="00FA5A33"/>
    <w:rsid w:val="00FB5B33"/>
    <w:rsid w:val="00FD049A"/>
    <w:rsid w:val="00FD0BCB"/>
    <w:rsid w:val="00FD4119"/>
    <w:rsid w:val="00FD5821"/>
    <w:rsid w:val="00FD5DB7"/>
    <w:rsid w:val="00FD5E12"/>
    <w:rsid w:val="00FE0228"/>
    <w:rsid w:val="00FE24DE"/>
    <w:rsid w:val="00FF109D"/>
    <w:rsid w:val="4D2D89D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55A68"/>
    <w:pPr>
      <w:spacing w:after="120"/>
    </w:pPr>
    <w:rPr>
      <w:rFonts w:ascii="Arial" w:hAnsi="Arial"/>
    </w:rPr>
  </w:style>
  <w:style w:type="paragraph" w:styleId="Heading1">
    <w:name w:val="heading 1"/>
    <w:basedOn w:val="Normal"/>
    <w:next w:val="Normal"/>
    <w:link w:val="Heading1Char"/>
    <w:uiPriority w:val="9"/>
    <w:semiHidden/>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semiHidden/>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semiHidden/>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semiHidden/>
    <w:qFormat/>
    <w:rsid w:val="00980E85"/>
    <w:pPr>
      <w:keepNext/>
      <w:keepLines/>
      <w:spacing w:before="40" w:after="0"/>
      <w:outlineLvl w:val="3"/>
    </w:pPr>
    <w:rPr>
      <w:rFonts w:asciiTheme="majorHAnsi" w:eastAsiaTheme="majorEastAsia" w:hAnsiTheme="majorHAnsi" w:cstheme="majorBidi"/>
      <w:i/>
      <w:iCs/>
      <w:color w:val="201B4D" w:themeColor="accent1" w:themeShade="BF"/>
    </w:rPr>
  </w:style>
  <w:style w:type="paragraph" w:styleId="Heading5">
    <w:name w:val="heading 5"/>
    <w:basedOn w:val="Normal"/>
    <w:next w:val="Normal"/>
    <w:link w:val="Heading5Char"/>
    <w:uiPriority w:val="9"/>
    <w:semiHidden/>
    <w:qFormat/>
    <w:rsid w:val="00461A9A"/>
    <w:pPr>
      <w:keepNext/>
      <w:keepLines/>
      <w:spacing w:before="40" w:after="0"/>
      <w:outlineLvl w:val="4"/>
    </w:pPr>
    <w:rPr>
      <w:rFonts w:asciiTheme="majorHAnsi" w:eastAsiaTheme="majorEastAsia" w:hAnsiTheme="majorHAnsi" w:cstheme="majorBidi"/>
      <w:color w:val="201B4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B55A68"/>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semiHidden/>
    <w:rsid w:val="00B55A68"/>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1D0822"/>
    <w:pPr>
      <w:tabs>
        <w:tab w:val="left" w:pos="880"/>
        <w:tab w:val="right" w:leader="dot" w:pos="9016"/>
      </w:tabs>
      <w:spacing w:after="60"/>
      <w:ind w:left="425"/>
    </w:pPr>
  </w:style>
  <w:style w:type="character" w:styleId="Hyperlink">
    <w:name w:val="Hyperlink"/>
    <w:basedOn w:val="DefaultParagraphFont"/>
    <w:uiPriority w:val="99"/>
    <w:rsid w:val="00BB7FC7"/>
    <w:rPr>
      <w:color w:val="2C2568"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semiHidden/>
    <w:qFormat/>
    <w:rsid w:val="00BB7FC7"/>
    <w:pPr>
      <w:ind w:left="720"/>
      <w:contextualSpacing/>
    </w:pPr>
  </w:style>
  <w:style w:type="paragraph" w:styleId="Caption">
    <w:name w:val="caption"/>
    <w:basedOn w:val="Normal"/>
    <w:next w:val="Normal"/>
    <w:uiPriority w:val="35"/>
    <w:semiHidden/>
    <w:qFormat/>
    <w:rsid w:val="004D0AD0"/>
    <w:pPr>
      <w:spacing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B55A68"/>
    <w:rPr>
      <w:rFonts w:ascii="Arial" w:eastAsiaTheme="majorEastAsia" w:hAnsi="Arial" w:cstheme="majorBidi"/>
      <w:b/>
      <w:sz w:val="24"/>
      <w:szCs w:val="24"/>
    </w:rPr>
  </w:style>
  <w:style w:type="paragraph" w:styleId="Quote">
    <w:name w:val="Quote"/>
    <w:basedOn w:val="Normal"/>
    <w:next w:val="Normal"/>
    <w:link w:val="QuoteChar"/>
    <w:uiPriority w:val="29"/>
    <w:semiHidden/>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semiHidden/>
    <w:rsid w:val="00B55A68"/>
    <w:rPr>
      <w:rFonts w:ascii="Arial" w:hAnsi="Arial"/>
      <w:iCs/>
      <w:color w:val="595959" w:themeColor="text1" w:themeTint="A6"/>
    </w:rPr>
  </w:style>
  <w:style w:type="paragraph" w:styleId="TOC3">
    <w:name w:val="toc 3"/>
    <w:basedOn w:val="Normal"/>
    <w:next w:val="Normal"/>
    <w:autoRedefine/>
    <w:uiPriority w:val="39"/>
    <w:unhideWhenUsed/>
    <w:rsid w:val="004C24CF"/>
    <w:pPr>
      <w:tabs>
        <w:tab w:val="right" w:leader="dot" w:pos="9016"/>
      </w:tabs>
      <w:spacing w:after="40"/>
      <w:ind w:left="851"/>
    </w:pPr>
  </w:style>
  <w:style w:type="paragraph" w:customStyle="1" w:styleId="Body">
    <w:name w:val="Body"/>
    <w:semiHidden/>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semiHidden/>
    <w:rsid w:val="00B55A68"/>
    <w:rPr>
      <w:rFonts w:asciiTheme="majorHAnsi" w:eastAsiaTheme="majorEastAsia" w:hAnsiTheme="majorHAnsi" w:cstheme="majorBidi"/>
      <w:i/>
      <w:iCs/>
      <w:color w:val="201B4D"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semiHidden/>
    <w:rsid w:val="00C61DB7"/>
    <w:pPr>
      <w:spacing w:line="240" w:lineRule="auto"/>
    </w:pPr>
    <w:rPr>
      <w:sz w:val="20"/>
      <w:szCs w:val="20"/>
    </w:rPr>
  </w:style>
  <w:style w:type="character" w:customStyle="1" w:styleId="CommentTextChar">
    <w:name w:val="Comment Text Char"/>
    <w:basedOn w:val="DefaultParagraphFont"/>
    <w:link w:val="CommentText"/>
    <w:uiPriority w:val="99"/>
    <w:semiHidden/>
    <w:rsid w:val="00B55A6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rFonts w:ascii="Arial" w:hAnsi="Arial"/>
      <w:b/>
      <w:bCs/>
      <w:sz w:val="20"/>
      <w:szCs w:val="20"/>
    </w:rPr>
  </w:style>
  <w:style w:type="character" w:customStyle="1" w:styleId="Heading5Char">
    <w:name w:val="Heading 5 Char"/>
    <w:basedOn w:val="DefaultParagraphFont"/>
    <w:link w:val="Heading5"/>
    <w:uiPriority w:val="9"/>
    <w:semiHidden/>
    <w:rsid w:val="00B55A68"/>
    <w:rPr>
      <w:rFonts w:asciiTheme="majorHAnsi" w:eastAsiaTheme="majorEastAsia" w:hAnsiTheme="majorHAnsi" w:cstheme="majorBidi"/>
      <w:color w:val="201B4D"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semiHidden/>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5A68"/>
    <w:rPr>
      <w:rFonts w:ascii="Arial" w:hAnsi="Arial"/>
    </w:rPr>
  </w:style>
  <w:style w:type="paragraph" w:styleId="Footer">
    <w:name w:val="footer"/>
    <w:basedOn w:val="Normal"/>
    <w:link w:val="FooterChar"/>
    <w:uiPriority w:val="99"/>
    <w:unhideWhenUsed/>
    <w:rsid w:val="00CD59BF"/>
    <w:pPr>
      <w:tabs>
        <w:tab w:val="right" w:pos="9026"/>
      </w:tabs>
    </w:pPr>
    <w:rPr>
      <w:sz w:val="20"/>
      <w:szCs w:val="20"/>
    </w:rPr>
  </w:style>
  <w:style w:type="character" w:customStyle="1" w:styleId="FooterChar">
    <w:name w:val="Footer Char"/>
    <w:basedOn w:val="DefaultParagraphFont"/>
    <w:link w:val="Footer"/>
    <w:uiPriority w:val="99"/>
    <w:rsid w:val="00CD59BF"/>
    <w:rPr>
      <w:rFonts w:ascii="Arial" w:hAnsi="Arial"/>
      <w:sz w:val="20"/>
      <w:szCs w:val="20"/>
    </w:rPr>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semiHidden/>
    <w:rsid w:val="002665C5"/>
    <w:pPr>
      <w:ind w:left="283"/>
      <w:contextualSpacing/>
    </w:pPr>
  </w:style>
  <w:style w:type="paragraph" w:styleId="List">
    <w:name w:val="List"/>
    <w:basedOn w:val="Normal"/>
    <w:uiPriority w:val="99"/>
    <w:semiHidden/>
    <w:rsid w:val="00FD5821"/>
    <w:pPr>
      <w:ind w:left="283" w:hanging="283"/>
      <w:contextualSpacing/>
    </w:pPr>
  </w:style>
  <w:style w:type="paragraph" w:styleId="TOC1">
    <w:name w:val="toc 1"/>
    <w:basedOn w:val="Normal"/>
    <w:next w:val="Normal"/>
    <w:autoRedefine/>
    <w:uiPriority w:val="39"/>
    <w:unhideWhenUsed/>
    <w:rsid w:val="00B74F22"/>
    <w:pPr>
      <w:tabs>
        <w:tab w:val="right" w:leader="dot" w:pos="9072"/>
      </w:tabs>
      <w:spacing w:after="100"/>
    </w:pPr>
  </w:style>
  <w:style w:type="paragraph" w:styleId="ListBullet">
    <w:name w:val="List Bullet"/>
    <w:basedOn w:val="Normal"/>
    <w:link w:val="ListBulletChar"/>
    <w:uiPriority w:val="99"/>
    <w:semiHidden/>
    <w:rsid w:val="00205AD6"/>
    <w:pPr>
      <w:numPr>
        <w:numId w:val="16"/>
      </w:numPr>
      <w:contextualSpacing/>
    </w:pPr>
  </w:style>
  <w:style w:type="paragraph" w:styleId="ListNumber">
    <w:name w:val="List Number"/>
    <w:basedOn w:val="Normal"/>
    <w:uiPriority w:val="99"/>
    <w:semiHidden/>
    <w:rsid w:val="00A54CFC"/>
    <w:pPr>
      <w:numPr>
        <w:numId w:val="17"/>
      </w:numPr>
      <w:contextualSpacing/>
    </w:pPr>
  </w:style>
  <w:style w:type="paragraph" w:styleId="BodyText">
    <w:name w:val="Body Text"/>
    <w:basedOn w:val="Normal"/>
    <w:link w:val="BodyTextChar"/>
    <w:uiPriority w:val="1"/>
    <w:semiHidden/>
    <w:qFormat/>
    <w:rsid w:val="007E0634"/>
    <w:pPr>
      <w:widowControl w:val="0"/>
    </w:pPr>
    <w:rPr>
      <w:rFonts w:eastAsia="Arial" w:cs="Arial"/>
    </w:rPr>
  </w:style>
  <w:style w:type="character" w:customStyle="1" w:styleId="BodyTextChar">
    <w:name w:val="Body Text Char"/>
    <w:basedOn w:val="DefaultParagraphFont"/>
    <w:link w:val="BodyText"/>
    <w:uiPriority w:val="1"/>
    <w:semiHidden/>
    <w:rsid w:val="00B55A68"/>
    <w:rPr>
      <w:rFonts w:ascii="Arial" w:eastAsia="Arial" w:hAnsi="Arial" w:cs="Arial"/>
    </w:rPr>
  </w:style>
  <w:style w:type="paragraph" w:customStyle="1" w:styleId="Figuretableheading">
    <w:name w:val="Figure table heading"/>
    <w:basedOn w:val="Normal"/>
    <w:link w:val="FiguretableheadingChar"/>
    <w:semiHidden/>
    <w:qFormat/>
    <w:rsid w:val="006A473A"/>
    <w:rPr>
      <w:rFonts w:cs="Arial"/>
      <w:b/>
    </w:rPr>
  </w:style>
  <w:style w:type="character" w:customStyle="1" w:styleId="FiguretableheadingChar">
    <w:name w:val="Figure table heading Char"/>
    <w:basedOn w:val="DefaultParagraphFont"/>
    <w:link w:val="Figuretableheading"/>
    <w:semiHidden/>
    <w:rsid w:val="00B55A68"/>
    <w:rPr>
      <w:rFonts w:ascii="Arial" w:hAnsi="Arial" w:cs="Arial"/>
      <w:b/>
    </w:rPr>
  </w:style>
  <w:style w:type="paragraph" w:customStyle="1" w:styleId="Bullets">
    <w:name w:val="Bullets"/>
    <w:basedOn w:val="ListBullet"/>
    <w:link w:val="BulletsChar"/>
    <w:semiHidden/>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semiHidden/>
    <w:rsid w:val="00B55A68"/>
    <w:rPr>
      <w:rFonts w:ascii="Arial" w:hAnsi="Arial"/>
    </w:rPr>
  </w:style>
  <w:style w:type="character" w:customStyle="1" w:styleId="BulletsChar">
    <w:name w:val="Bullets Char"/>
    <w:basedOn w:val="ListBulletChar"/>
    <w:link w:val="Bullets"/>
    <w:semiHidden/>
    <w:rsid w:val="00B55A68"/>
    <w:rPr>
      <w:rFonts w:ascii="Arial" w:hAnsi="Arial" w:cs="Arial"/>
    </w:rPr>
  </w:style>
  <w:style w:type="paragraph" w:customStyle="1" w:styleId="TeThHauorahead1">
    <w:name w:val="Te Tāhū Hauora head 1"/>
    <w:basedOn w:val="Heading1"/>
    <w:qFormat/>
    <w:rsid w:val="00A313E6"/>
    <w:rPr>
      <w:rFonts w:cs="Arial"/>
      <w:color w:val="293868"/>
    </w:rPr>
  </w:style>
  <w:style w:type="paragraph" w:customStyle="1" w:styleId="TeThHauorabodytext">
    <w:name w:val="Te Tāhū Hauora body text"/>
    <w:basedOn w:val="Normal"/>
    <w:qFormat/>
    <w:rsid w:val="00681B4C"/>
    <w:rPr>
      <w:rFonts w:cs="Arial"/>
    </w:rPr>
  </w:style>
  <w:style w:type="paragraph" w:customStyle="1" w:styleId="TeThHauorabullets">
    <w:name w:val="Te Tāhū Hauora bullets"/>
    <w:basedOn w:val="Bullets"/>
    <w:qFormat/>
    <w:rsid w:val="00792E41"/>
    <w:pPr>
      <w:ind w:left="360" w:hanging="360"/>
    </w:pPr>
  </w:style>
  <w:style w:type="paragraph" w:customStyle="1" w:styleId="TeThHauoraindentedquote">
    <w:name w:val="Te Tāhū Hauora indented quote"/>
    <w:basedOn w:val="Quote"/>
    <w:qFormat/>
    <w:rsid w:val="009B60E1"/>
    <w:rPr>
      <w:rFonts w:cs="Arial"/>
      <w:color w:val="auto"/>
    </w:rPr>
  </w:style>
  <w:style w:type="paragraph" w:customStyle="1" w:styleId="TeThHauorasource">
    <w:name w:val="Te Tāhū Hauora source"/>
    <w:basedOn w:val="NormalIndent"/>
    <w:qFormat/>
    <w:rsid w:val="00792E41"/>
    <w:rPr>
      <w:rFonts w:cs="Arial"/>
    </w:rPr>
  </w:style>
  <w:style w:type="paragraph" w:customStyle="1" w:styleId="TeThHauorahead2">
    <w:name w:val="Te Tāhū Hauora head 2"/>
    <w:basedOn w:val="Heading2"/>
    <w:qFormat/>
    <w:rsid w:val="00A313E6"/>
    <w:rPr>
      <w:rFonts w:cs="Arial"/>
      <w:color w:val="293868"/>
    </w:rPr>
  </w:style>
  <w:style w:type="paragraph" w:customStyle="1" w:styleId="TeThHauorahead3">
    <w:name w:val="Te Tāhū Hauora head 3"/>
    <w:basedOn w:val="Heading3"/>
    <w:qFormat/>
    <w:rsid w:val="00792E41"/>
    <w:rPr>
      <w:rFonts w:cs="Arial"/>
    </w:rPr>
  </w:style>
  <w:style w:type="paragraph" w:customStyle="1" w:styleId="TeThHauoratablefigurecaption">
    <w:name w:val="Te Tāhū Hauora table/figure caption"/>
    <w:basedOn w:val="Figuretableheading"/>
    <w:qFormat/>
    <w:rsid w:val="00792E41"/>
  </w:style>
  <w:style w:type="paragraph" w:customStyle="1" w:styleId="TeThHauoratablecolumnhead">
    <w:name w:val="Te Tāhū Hauora table column head"/>
    <w:basedOn w:val="Normal"/>
    <w:qFormat/>
    <w:rsid w:val="00792E41"/>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792E41"/>
    <w:pPr>
      <w:framePr w:hSpace="180" w:wrap="around" w:vAnchor="text" w:hAnchor="margin" w:y="2"/>
      <w:spacing w:before="60" w:after="60" w:line="240" w:lineRule="auto"/>
    </w:pPr>
    <w:rPr>
      <w:rFonts w:cs="Arial"/>
    </w:rPr>
  </w:style>
  <w:style w:type="character" w:styleId="UnresolvedMention">
    <w:name w:val="Unresolved Mention"/>
    <w:basedOn w:val="DefaultParagraphFont"/>
    <w:uiPriority w:val="99"/>
    <w:semiHidden/>
    <w:unhideWhenUsed/>
    <w:rsid w:val="009B60E1"/>
    <w:rPr>
      <w:color w:val="605E5C"/>
      <w:shd w:val="clear" w:color="auto" w:fill="E1DFDD"/>
    </w:rPr>
  </w:style>
  <w:style w:type="table" w:customStyle="1" w:styleId="TeThHauoratable">
    <w:name w:val="Te Tāhū Hauora table"/>
    <w:basedOn w:val="TableNormal"/>
    <w:uiPriority w:val="99"/>
    <w:rsid w:val="004D6696"/>
    <w:pPr>
      <w:spacing w:after="0" w:line="240" w:lineRule="auto"/>
    </w:pPr>
    <w:rPr>
      <w:rFonts w:ascii="Arial" w:hAnsi="Arial"/>
    </w:rPr>
    <w:tblPr/>
  </w:style>
  <w:style w:type="paragraph" w:styleId="FootnoteText">
    <w:name w:val="footnote text"/>
    <w:basedOn w:val="Normal"/>
    <w:link w:val="FootnoteTextChar"/>
    <w:uiPriority w:val="99"/>
    <w:rsid w:val="00B55A68"/>
    <w:pPr>
      <w:spacing w:after="0" w:line="240" w:lineRule="auto"/>
    </w:pPr>
    <w:rPr>
      <w:sz w:val="20"/>
      <w:szCs w:val="20"/>
    </w:rPr>
  </w:style>
  <w:style w:type="character" w:customStyle="1" w:styleId="FootnoteTextChar">
    <w:name w:val="Footnote Text Char"/>
    <w:basedOn w:val="DefaultParagraphFont"/>
    <w:link w:val="FootnoteText"/>
    <w:uiPriority w:val="99"/>
    <w:rsid w:val="00B55A68"/>
    <w:rPr>
      <w:rFonts w:ascii="Arial" w:hAnsi="Arial"/>
      <w:sz w:val="20"/>
      <w:szCs w:val="20"/>
    </w:rPr>
  </w:style>
  <w:style w:type="character" w:styleId="FootnoteReference">
    <w:name w:val="footnote reference"/>
    <w:basedOn w:val="DefaultParagraphFont"/>
    <w:uiPriority w:val="99"/>
    <w:semiHidden/>
    <w:unhideWhenUsed/>
    <w:rsid w:val="00B55A68"/>
    <w:rPr>
      <w:vertAlign w:val="superscript"/>
    </w:rPr>
  </w:style>
  <w:style w:type="character" w:customStyle="1" w:styleId="normaltextrun">
    <w:name w:val="normaltextrun"/>
    <w:basedOn w:val="DefaultParagraphFont"/>
    <w:rsid w:val="00A15C21"/>
  </w:style>
  <w:style w:type="paragraph" w:styleId="Title">
    <w:name w:val="Title"/>
    <w:basedOn w:val="Normal"/>
    <w:next w:val="Normal"/>
    <w:link w:val="TitleChar"/>
    <w:uiPriority w:val="10"/>
    <w:qFormat/>
    <w:rsid w:val="00AE395A"/>
    <w:pPr>
      <w:ind w:right="1796"/>
    </w:pPr>
    <w:rPr>
      <w:rFonts w:cs="Arial"/>
      <w:b/>
      <w:color w:val="293868"/>
      <w:sz w:val="44"/>
      <w:szCs w:val="44"/>
    </w:rPr>
  </w:style>
  <w:style w:type="character" w:customStyle="1" w:styleId="TitleChar">
    <w:name w:val="Title Char"/>
    <w:basedOn w:val="DefaultParagraphFont"/>
    <w:link w:val="Title"/>
    <w:uiPriority w:val="10"/>
    <w:rsid w:val="00AE395A"/>
    <w:rPr>
      <w:rFonts w:ascii="Arial" w:hAnsi="Arial" w:cs="Arial"/>
      <w:b/>
      <w:color w:val="293868"/>
      <w:sz w:val="44"/>
      <w:szCs w:val="44"/>
    </w:rPr>
  </w:style>
  <w:style w:type="paragraph" w:styleId="Subtitle">
    <w:name w:val="Subtitle"/>
    <w:basedOn w:val="Normal"/>
    <w:next w:val="Normal"/>
    <w:link w:val="SubtitleChar"/>
    <w:uiPriority w:val="11"/>
    <w:qFormat/>
    <w:rsid w:val="00AE395A"/>
    <w:pPr>
      <w:ind w:right="1796"/>
    </w:pPr>
    <w:rPr>
      <w:rFonts w:cs="Arial"/>
      <w:bCs/>
      <w:color w:val="293868"/>
      <w:sz w:val="44"/>
      <w:szCs w:val="44"/>
    </w:rPr>
  </w:style>
  <w:style w:type="character" w:customStyle="1" w:styleId="SubtitleChar">
    <w:name w:val="Subtitle Char"/>
    <w:basedOn w:val="DefaultParagraphFont"/>
    <w:link w:val="Subtitle"/>
    <w:uiPriority w:val="11"/>
    <w:rsid w:val="00AE395A"/>
    <w:rPr>
      <w:rFonts w:ascii="Arial" w:hAnsi="Arial" w:cs="Arial"/>
      <w:bCs/>
      <w:color w:val="293868"/>
      <w:sz w:val="44"/>
      <w:szCs w:val="44"/>
    </w:rPr>
  </w:style>
  <w:style w:type="character" w:styleId="FollowedHyperlink">
    <w:name w:val="FollowedHyperlink"/>
    <w:basedOn w:val="DefaultParagraphFont"/>
    <w:uiPriority w:val="99"/>
    <w:semiHidden/>
    <w:unhideWhenUsed/>
    <w:rsid w:val="00F174EA"/>
    <w:rPr>
      <w:color w:val="2C256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info@hqsc.govt.nz" TargetMode="Externa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sc.govt.nz"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nc-sa/4.0" TargetMode="External"/><Relationship Id="rId22" Type="http://schemas.openxmlformats.org/officeDocument/2006/relationships/footer" Target="footer3.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Te Tāhū Hauora">
      <a:dk1>
        <a:sysClr val="windowText" lastClr="000000"/>
      </a:dk1>
      <a:lt1>
        <a:sysClr val="window" lastClr="FFFFFF"/>
      </a:lt1>
      <a:dk2>
        <a:srgbClr val="44546A"/>
      </a:dk2>
      <a:lt2>
        <a:srgbClr val="E8E5E5"/>
      </a:lt2>
      <a:accent1>
        <a:srgbClr val="2C2568"/>
      </a:accent1>
      <a:accent2>
        <a:srgbClr val="107383"/>
      </a:accent2>
      <a:accent3>
        <a:srgbClr val="37B0A8"/>
      </a:accent3>
      <a:accent4>
        <a:srgbClr val="904281"/>
      </a:accent4>
      <a:accent5>
        <a:srgbClr val="BB7CB3"/>
      </a:accent5>
      <a:accent6>
        <a:srgbClr val="FF4F2D"/>
      </a:accent6>
      <a:hlink>
        <a:srgbClr val="2C2568"/>
      </a:hlink>
      <a:folHlink>
        <a:srgbClr val="2C25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3079C-623D-4ADA-BBC2-92B008656549}">
  <ds:schemaRefs>
    <ds:schemaRef ds:uri="http://schemas.openxmlformats.org/officeDocument/2006/bibliography"/>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8</Pages>
  <Words>1575</Words>
  <Characters>8981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2025-09-08T22:28:00Z</dcterms:created>
  <dcterms:modified xsi:type="dcterms:W3CDTF">2025-09-08T22:43:00Z</dcterms:modified>
</cp:coreProperties>
</file>