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DAF15" w14:textId="66619195" w:rsidR="00D12FC1" w:rsidRPr="00E551E0" w:rsidRDefault="004F0D0D" w:rsidP="00A313E6">
      <w:pPr>
        <w:jc w:val="center"/>
        <w:rPr>
          <w:rFonts w:cs="Arial"/>
        </w:rPr>
      </w:pPr>
      <w:r w:rsidRPr="00E551E0">
        <w:rPr>
          <w:noProof/>
          <w:color w:val="000000"/>
          <w:shd w:val="clear" w:color="auto" w:fill="FFFFFF"/>
        </w:rPr>
        <w:drawing>
          <wp:anchor distT="0" distB="0" distL="114300" distR="114300" simplePos="0" relativeHeight="251658241" behindDoc="0" locked="0" layoutInCell="1" allowOverlap="1" wp14:anchorId="56ED05AE" wp14:editId="5842BAB6">
            <wp:simplePos x="0" y="0"/>
            <wp:positionH relativeFrom="margin">
              <wp:posOffset>-127835</wp:posOffset>
            </wp:positionH>
            <wp:positionV relativeFrom="margin">
              <wp:posOffset>10795</wp:posOffset>
            </wp:positionV>
            <wp:extent cx="1924685" cy="963930"/>
            <wp:effectExtent l="0" t="0" r="0" b="0"/>
            <wp:wrapSquare wrapText="bothSides"/>
            <wp:docPr id="1528544883" name="Picture 2" descr="Sepsis Trust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4883" name="Picture 2" descr="Sepsis Trust NZ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68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37A">
        <w:rPr>
          <w:noProof/>
        </w:rPr>
        <w:drawing>
          <wp:anchor distT="0" distB="0" distL="114300" distR="114300" simplePos="0" relativeHeight="251658243" behindDoc="1" locked="0" layoutInCell="1" allowOverlap="1" wp14:anchorId="75CA847A" wp14:editId="0DC5C969">
            <wp:simplePos x="0" y="0"/>
            <wp:positionH relativeFrom="margin">
              <wp:posOffset>4138863</wp:posOffset>
            </wp:positionH>
            <wp:positionV relativeFrom="page">
              <wp:posOffset>914400</wp:posOffset>
            </wp:positionV>
            <wp:extent cx="1590040" cy="1351915"/>
            <wp:effectExtent l="0" t="0" r="0" b="635"/>
            <wp:wrapNone/>
            <wp:doc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040" cy="1351915"/>
                    </a:xfrm>
                    <a:prstGeom prst="rect">
                      <a:avLst/>
                    </a:prstGeom>
                  </pic:spPr>
                </pic:pic>
              </a:graphicData>
            </a:graphic>
            <wp14:sizeRelH relativeFrom="margin">
              <wp14:pctWidth>0</wp14:pctWidth>
            </wp14:sizeRelH>
            <wp14:sizeRelV relativeFrom="margin">
              <wp14:pctHeight>0</wp14:pctHeight>
            </wp14:sizeRelV>
          </wp:anchor>
        </w:drawing>
      </w:r>
      <w:r w:rsidR="00A313E6" w:rsidRPr="00E551E0">
        <w:rPr>
          <w:noProof/>
        </w:rPr>
        <w:drawing>
          <wp:anchor distT="0" distB="0" distL="114300" distR="114300" simplePos="0" relativeHeight="251658240" behindDoc="1" locked="0" layoutInCell="1" allowOverlap="1" wp14:anchorId="28E7F595" wp14:editId="74D436BA">
            <wp:simplePos x="0" y="0"/>
            <wp:positionH relativeFrom="page">
              <wp:posOffset>16042</wp:posOffset>
            </wp:positionH>
            <wp:positionV relativeFrom="paragraph">
              <wp:posOffset>-914400</wp:posOffset>
            </wp:positionV>
            <wp:extent cx="7534274" cy="10657353"/>
            <wp:effectExtent l="0" t="0" r="0" b="0"/>
            <wp:wrapNone/>
            <wp:docPr id="1" name="Picture 1" descr="A white cover page with a pattern covering the bottom third of the page. The red and blue tessellated pattern is made up of the Health Quality &amp; Safety Commission Te Tāhū Hauora logo. The logo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cover page with a pattern covering the bottom third of the page. The red and blue tessellated pattern is made up of the Health Quality &amp; Safety Commission Te Tāhū Hauora logo. The logo is a stylised version of a wharenui in a triangle shape, with the tāhū (ridgepole), heke (rafters) and niho taniwha (triangle pattern beneat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4274" cy="10657353"/>
                    </a:xfrm>
                    <a:prstGeom prst="rect">
                      <a:avLst/>
                    </a:prstGeom>
                  </pic:spPr>
                </pic:pic>
              </a:graphicData>
            </a:graphic>
            <wp14:sizeRelH relativeFrom="page">
              <wp14:pctWidth>0</wp14:pctWidth>
            </wp14:sizeRelH>
            <wp14:sizeRelV relativeFrom="page">
              <wp14:pctHeight>0</wp14:pctHeight>
            </wp14:sizeRelV>
          </wp:anchor>
        </w:drawing>
      </w:r>
    </w:p>
    <w:p w14:paraId="2362B696" w14:textId="0BD0DAAB" w:rsidR="001D0822" w:rsidRPr="00E551E0" w:rsidRDefault="001D0822" w:rsidP="00FD049A"/>
    <w:p w14:paraId="1D035902" w14:textId="446CFD3E" w:rsidR="00FD049A" w:rsidRPr="00E551E0" w:rsidRDefault="00FD049A" w:rsidP="00FD049A"/>
    <w:p w14:paraId="247A6444" w14:textId="5EA78A3B" w:rsidR="00E50E8D" w:rsidRPr="00E551E0" w:rsidRDefault="00E50E8D" w:rsidP="00FD049A"/>
    <w:p w14:paraId="06654392" w14:textId="47717A1C" w:rsidR="00433D6F" w:rsidRPr="00E551E0" w:rsidRDefault="006401BB" w:rsidP="006401BB">
      <w:pPr>
        <w:tabs>
          <w:tab w:val="left" w:pos="5053"/>
        </w:tabs>
        <w:rPr>
          <w:rFonts w:cs="Arial"/>
          <w:b/>
          <w:sz w:val="36"/>
          <w:szCs w:val="36"/>
        </w:rPr>
      </w:pPr>
      <w:r>
        <w:rPr>
          <w:rFonts w:cs="Arial"/>
          <w:b/>
          <w:sz w:val="36"/>
          <w:szCs w:val="36"/>
        </w:rPr>
        <w:tab/>
      </w:r>
    </w:p>
    <w:p w14:paraId="5FE87E5F" w14:textId="351CFE51" w:rsidR="00A313E6" w:rsidRDefault="0069681C" w:rsidP="0069681C">
      <w:pPr>
        <w:tabs>
          <w:tab w:val="left" w:pos="5103"/>
        </w:tabs>
        <w:rPr>
          <w:rFonts w:cs="Arial"/>
          <w:b/>
          <w:sz w:val="36"/>
          <w:szCs w:val="36"/>
        </w:rPr>
      </w:pPr>
      <w:r>
        <w:rPr>
          <w:rFonts w:cs="Arial"/>
          <w:b/>
          <w:sz w:val="36"/>
          <w:szCs w:val="36"/>
        </w:rPr>
        <w:tab/>
      </w:r>
    </w:p>
    <w:p w14:paraId="5A93A8E5" w14:textId="77777777" w:rsidR="006401BB" w:rsidRPr="00E551E0" w:rsidRDefault="006401BB" w:rsidP="0069681C">
      <w:pPr>
        <w:tabs>
          <w:tab w:val="left" w:pos="5103"/>
        </w:tabs>
        <w:rPr>
          <w:rFonts w:cs="Arial"/>
          <w:b/>
          <w:sz w:val="36"/>
          <w:szCs w:val="36"/>
        </w:rPr>
      </w:pPr>
    </w:p>
    <w:p w14:paraId="1A29723E" w14:textId="0DFD3F49" w:rsidR="00285847" w:rsidRDefault="00BC497B" w:rsidP="006401BB">
      <w:pPr>
        <w:pStyle w:val="Title"/>
        <w:rPr>
          <w:b w:val="0"/>
        </w:rPr>
      </w:pPr>
      <w:r w:rsidRPr="0088093C">
        <w:t>Raise the Flag:</w:t>
      </w:r>
      <w:r w:rsidR="006401BB">
        <w:t xml:space="preserve"> </w:t>
      </w:r>
      <w:r w:rsidR="00064CCB" w:rsidRPr="0088093C">
        <w:t>Sepsis quality improvement:</w:t>
      </w:r>
      <w:r w:rsidR="00D64AAD" w:rsidRPr="0088093C">
        <w:t xml:space="preserve"> </w:t>
      </w:r>
      <w:r w:rsidR="00826593" w:rsidRPr="0088093C">
        <w:t>implementation guide</w:t>
      </w:r>
    </w:p>
    <w:p w14:paraId="78DF4C7D" w14:textId="6C57E093" w:rsidR="00D12FC1" w:rsidRPr="0093430B" w:rsidRDefault="0093430B" w:rsidP="00064CCB">
      <w:pPr>
        <w:ind w:right="1796"/>
        <w:rPr>
          <w:rFonts w:cs="Arial"/>
          <w:bCs/>
          <w:color w:val="293868"/>
          <w:sz w:val="44"/>
          <w:szCs w:val="44"/>
        </w:rPr>
      </w:pPr>
      <w:r w:rsidRPr="0093430B">
        <w:rPr>
          <w:rFonts w:cs="Arial"/>
          <w:bCs/>
          <w:color w:val="293868"/>
          <w:sz w:val="44"/>
          <w:szCs w:val="44"/>
        </w:rPr>
        <w:t xml:space="preserve">Hikitia </w:t>
      </w:r>
      <w:proofErr w:type="spellStart"/>
      <w:r w:rsidRPr="0093430B">
        <w:rPr>
          <w:rFonts w:cs="Arial"/>
          <w:bCs/>
          <w:color w:val="293868"/>
          <w:sz w:val="44"/>
          <w:szCs w:val="44"/>
        </w:rPr>
        <w:t>te</w:t>
      </w:r>
      <w:proofErr w:type="spellEnd"/>
      <w:r w:rsidRPr="0093430B">
        <w:rPr>
          <w:rFonts w:cs="Arial"/>
          <w:bCs/>
          <w:color w:val="293868"/>
          <w:sz w:val="44"/>
          <w:szCs w:val="44"/>
        </w:rPr>
        <w:t xml:space="preserve"> Haki: He </w:t>
      </w:r>
      <w:proofErr w:type="spellStart"/>
      <w:r w:rsidRPr="0093430B">
        <w:rPr>
          <w:rFonts w:cs="Arial"/>
          <w:bCs/>
          <w:color w:val="293868"/>
          <w:sz w:val="44"/>
          <w:szCs w:val="44"/>
        </w:rPr>
        <w:t>aratohu</w:t>
      </w:r>
      <w:proofErr w:type="spellEnd"/>
      <w:r w:rsidRPr="0093430B">
        <w:rPr>
          <w:rFonts w:cs="Arial"/>
          <w:bCs/>
          <w:color w:val="293868"/>
          <w:sz w:val="44"/>
          <w:szCs w:val="44"/>
        </w:rPr>
        <w:t xml:space="preserve"> </w:t>
      </w:r>
      <w:proofErr w:type="spellStart"/>
      <w:r w:rsidRPr="0093430B">
        <w:rPr>
          <w:rFonts w:cs="Arial"/>
          <w:bCs/>
          <w:color w:val="293868"/>
          <w:sz w:val="44"/>
          <w:szCs w:val="44"/>
        </w:rPr>
        <w:t>whakatinana</w:t>
      </w:r>
      <w:proofErr w:type="spellEnd"/>
      <w:r w:rsidRPr="0093430B">
        <w:rPr>
          <w:rFonts w:cs="Arial"/>
          <w:bCs/>
          <w:color w:val="293868"/>
          <w:sz w:val="44"/>
          <w:szCs w:val="44"/>
        </w:rPr>
        <w:t xml:space="preserve"> kia </w:t>
      </w:r>
      <w:proofErr w:type="spellStart"/>
      <w:r w:rsidRPr="0093430B">
        <w:rPr>
          <w:rFonts w:cs="Arial"/>
          <w:bCs/>
          <w:color w:val="293868"/>
          <w:sz w:val="44"/>
          <w:szCs w:val="44"/>
        </w:rPr>
        <w:t>kounga</w:t>
      </w:r>
      <w:proofErr w:type="spellEnd"/>
      <w:r w:rsidRPr="0093430B">
        <w:rPr>
          <w:rFonts w:cs="Arial"/>
          <w:bCs/>
          <w:color w:val="293868"/>
          <w:sz w:val="44"/>
          <w:szCs w:val="44"/>
        </w:rPr>
        <w:t xml:space="preserve"> </w:t>
      </w:r>
      <w:proofErr w:type="spellStart"/>
      <w:r w:rsidRPr="0093430B">
        <w:rPr>
          <w:rFonts w:cs="Arial"/>
          <w:bCs/>
          <w:color w:val="293868"/>
          <w:sz w:val="44"/>
          <w:szCs w:val="44"/>
        </w:rPr>
        <w:t>te</w:t>
      </w:r>
      <w:proofErr w:type="spellEnd"/>
      <w:r w:rsidRPr="0093430B">
        <w:rPr>
          <w:rFonts w:cs="Arial"/>
          <w:bCs/>
          <w:color w:val="293868"/>
          <w:sz w:val="44"/>
          <w:szCs w:val="44"/>
        </w:rPr>
        <w:t xml:space="preserve"> </w:t>
      </w:r>
      <w:proofErr w:type="spellStart"/>
      <w:r w:rsidRPr="0093430B">
        <w:rPr>
          <w:rFonts w:cs="Arial"/>
          <w:bCs/>
          <w:color w:val="293868"/>
          <w:sz w:val="44"/>
          <w:szCs w:val="44"/>
        </w:rPr>
        <w:t>whakapai</w:t>
      </w:r>
      <w:proofErr w:type="spellEnd"/>
      <w:r w:rsidRPr="0093430B">
        <w:rPr>
          <w:rFonts w:cs="Arial"/>
          <w:bCs/>
          <w:color w:val="293868"/>
          <w:sz w:val="44"/>
          <w:szCs w:val="44"/>
        </w:rPr>
        <w:t xml:space="preserve"> mate </w:t>
      </w:r>
      <w:proofErr w:type="spellStart"/>
      <w:r w:rsidR="008751B1">
        <w:rPr>
          <w:rFonts w:cs="Arial"/>
          <w:bCs/>
          <w:color w:val="293868"/>
          <w:sz w:val="44"/>
          <w:szCs w:val="44"/>
        </w:rPr>
        <w:t>whakataoke</w:t>
      </w:r>
      <w:proofErr w:type="spellEnd"/>
    </w:p>
    <w:p w14:paraId="29865EBB" w14:textId="77777777" w:rsidR="009B60E1" w:rsidRPr="00E551E0" w:rsidRDefault="009B60E1" w:rsidP="00D12FC1">
      <w:pPr>
        <w:jc w:val="center"/>
        <w:rPr>
          <w:rFonts w:cs="Arial"/>
          <w:b/>
          <w:sz w:val="36"/>
          <w:szCs w:val="36"/>
        </w:rPr>
      </w:pPr>
    </w:p>
    <w:p w14:paraId="22ED0793" w14:textId="65236914" w:rsidR="002E1666" w:rsidRPr="00E551E0" w:rsidRDefault="00826593" w:rsidP="00A313E6">
      <w:pPr>
        <w:rPr>
          <w:rFonts w:cs="Arial"/>
          <w:bCs/>
          <w:color w:val="293868"/>
          <w:sz w:val="28"/>
          <w:szCs w:val="28"/>
        </w:rPr>
      </w:pPr>
      <w:r w:rsidRPr="00E551E0">
        <w:rPr>
          <w:rFonts w:cs="Arial"/>
          <w:bCs/>
          <w:color w:val="293868"/>
          <w:sz w:val="28"/>
          <w:szCs w:val="28"/>
        </w:rPr>
        <w:t>September 2025</w:t>
      </w:r>
    </w:p>
    <w:p w14:paraId="7A484B7F" w14:textId="77777777" w:rsidR="00FD049A" w:rsidRPr="00E551E0" w:rsidRDefault="00FD049A">
      <w:pPr>
        <w:spacing w:after="200"/>
        <w:rPr>
          <w:rFonts w:cs="Arial"/>
        </w:rPr>
      </w:pPr>
      <w:r w:rsidRPr="00E551E0">
        <w:br w:type="page"/>
      </w:r>
    </w:p>
    <w:p w14:paraId="428530B6" w14:textId="77777777" w:rsidR="00FD049A" w:rsidRPr="00E551E0" w:rsidRDefault="00FD049A" w:rsidP="00FD049A">
      <w:pPr>
        <w:pStyle w:val="BodyText"/>
      </w:pPr>
    </w:p>
    <w:p w14:paraId="0AAA8D6A" w14:textId="77777777" w:rsidR="00FD049A" w:rsidRPr="00E551E0" w:rsidRDefault="00FD049A" w:rsidP="00FD049A">
      <w:pPr>
        <w:pStyle w:val="BodyText"/>
      </w:pPr>
    </w:p>
    <w:p w14:paraId="4BFFC013" w14:textId="77777777" w:rsidR="00FD049A" w:rsidRPr="00E551E0" w:rsidRDefault="00FD049A" w:rsidP="00FD049A">
      <w:pPr>
        <w:pStyle w:val="BodyText"/>
      </w:pPr>
    </w:p>
    <w:p w14:paraId="2D7864F5" w14:textId="77777777" w:rsidR="00FD049A" w:rsidRPr="00E551E0" w:rsidRDefault="00FD049A" w:rsidP="00FD049A">
      <w:pPr>
        <w:pStyle w:val="BodyText"/>
      </w:pPr>
    </w:p>
    <w:p w14:paraId="7EC5CC7D" w14:textId="77777777" w:rsidR="00FD049A" w:rsidRPr="00E551E0" w:rsidRDefault="00FD049A" w:rsidP="00FD049A">
      <w:pPr>
        <w:pStyle w:val="BodyText"/>
      </w:pPr>
    </w:p>
    <w:p w14:paraId="0542CE2D" w14:textId="77777777" w:rsidR="00FD049A" w:rsidRPr="00E551E0" w:rsidRDefault="00FD049A" w:rsidP="00FD049A">
      <w:pPr>
        <w:pStyle w:val="BodyText"/>
      </w:pPr>
    </w:p>
    <w:p w14:paraId="6EEC4413" w14:textId="77777777" w:rsidR="00E50E8D" w:rsidRPr="00E551E0" w:rsidRDefault="00E50E8D" w:rsidP="00FD049A">
      <w:pPr>
        <w:pStyle w:val="BodyText"/>
      </w:pPr>
    </w:p>
    <w:p w14:paraId="78FC81CA" w14:textId="77777777" w:rsidR="00E50E8D" w:rsidRPr="00E551E0" w:rsidRDefault="00E50E8D" w:rsidP="00FD049A">
      <w:pPr>
        <w:pStyle w:val="BodyText"/>
      </w:pPr>
    </w:p>
    <w:p w14:paraId="0A0C0A03" w14:textId="77777777" w:rsidR="00E50E8D" w:rsidRPr="00E551E0" w:rsidRDefault="00E50E8D" w:rsidP="00FD049A">
      <w:pPr>
        <w:pStyle w:val="BodyText"/>
      </w:pPr>
    </w:p>
    <w:p w14:paraId="0AE8D0A9" w14:textId="77777777" w:rsidR="00E50E8D" w:rsidRPr="00E551E0" w:rsidRDefault="00E50E8D" w:rsidP="00FD049A">
      <w:pPr>
        <w:pStyle w:val="BodyText"/>
      </w:pPr>
    </w:p>
    <w:p w14:paraId="2099A662" w14:textId="77777777" w:rsidR="00E50E8D" w:rsidRPr="00E551E0" w:rsidRDefault="00E50E8D" w:rsidP="00FD049A">
      <w:pPr>
        <w:pStyle w:val="BodyText"/>
      </w:pPr>
    </w:p>
    <w:p w14:paraId="4190BFEA" w14:textId="77777777" w:rsidR="00FD049A" w:rsidRPr="00E551E0" w:rsidRDefault="00FD049A" w:rsidP="00FD049A">
      <w:pPr>
        <w:pStyle w:val="BodyText"/>
      </w:pPr>
    </w:p>
    <w:p w14:paraId="691F4454" w14:textId="77777777" w:rsidR="00FD049A" w:rsidRPr="00E551E0" w:rsidRDefault="00FD049A" w:rsidP="00FD049A">
      <w:pPr>
        <w:pStyle w:val="BodyText"/>
      </w:pPr>
    </w:p>
    <w:p w14:paraId="6F8D3FED" w14:textId="77777777" w:rsidR="00FD049A" w:rsidRPr="00E551E0" w:rsidRDefault="00FD049A" w:rsidP="00FD049A">
      <w:pPr>
        <w:pStyle w:val="BodyText"/>
      </w:pPr>
    </w:p>
    <w:p w14:paraId="18DA5924" w14:textId="77777777" w:rsidR="00FD049A" w:rsidRPr="00E551E0" w:rsidRDefault="00FD049A" w:rsidP="00FD049A">
      <w:pPr>
        <w:pStyle w:val="BodyText"/>
      </w:pPr>
    </w:p>
    <w:p w14:paraId="0B9A7F3E" w14:textId="77777777" w:rsidR="00FD049A" w:rsidRPr="00E551E0" w:rsidRDefault="00FD049A" w:rsidP="00FD049A">
      <w:pPr>
        <w:pStyle w:val="BodyText"/>
      </w:pPr>
    </w:p>
    <w:p w14:paraId="411013BD" w14:textId="77777777" w:rsidR="00FD049A" w:rsidRPr="00E551E0" w:rsidRDefault="00FD049A" w:rsidP="00FD049A">
      <w:pPr>
        <w:pStyle w:val="BodyText"/>
      </w:pPr>
    </w:p>
    <w:p w14:paraId="20D20591" w14:textId="77777777" w:rsidR="00FD049A" w:rsidRPr="00E551E0" w:rsidRDefault="00FD049A" w:rsidP="00FD049A">
      <w:pPr>
        <w:pStyle w:val="BodyText"/>
      </w:pPr>
    </w:p>
    <w:p w14:paraId="342C3F3A" w14:textId="77777777" w:rsidR="00CD59BF" w:rsidRPr="00E551E0" w:rsidRDefault="00CD59BF" w:rsidP="00FD049A">
      <w:pPr>
        <w:pStyle w:val="BodyText"/>
      </w:pPr>
    </w:p>
    <w:p w14:paraId="20826CB6" w14:textId="77777777" w:rsidR="00FD049A" w:rsidRPr="00E551E0" w:rsidRDefault="00FD049A" w:rsidP="00FD049A">
      <w:pPr>
        <w:pStyle w:val="BodyText"/>
      </w:pPr>
    </w:p>
    <w:p w14:paraId="46915763" w14:textId="77777777" w:rsidR="00FD049A" w:rsidRPr="00E551E0" w:rsidRDefault="00FD049A" w:rsidP="00FD049A">
      <w:pPr>
        <w:pStyle w:val="BodyText"/>
      </w:pPr>
    </w:p>
    <w:p w14:paraId="50D23F90" w14:textId="379CD8BD" w:rsidR="00FD049A" w:rsidRPr="00E551E0" w:rsidRDefault="00FD049A" w:rsidP="00FD049A">
      <w:pPr>
        <w:pStyle w:val="BodyText"/>
      </w:pPr>
      <w:r w:rsidRPr="00E551E0">
        <w:t xml:space="preserve">Published </w:t>
      </w:r>
      <w:r w:rsidR="00FE524B">
        <w:t>September 2025</w:t>
      </w:r>
      <w:r w:rsidRPr="00E551E0">
        <w:t xml:space="preserve"> by Health Quality &amp; Safety Commission</w:t>
      </w:r>
      <w:r w:rsidR="00020855" w:rsidRPr="00020855">
        <w:t xml:space="preserve"> </w:t>
      </w:r>
      <w:r w:rsidR="00020855" w:rsidRPr="00E551E0">
        <w:t>Te Tāhū Hauora</w:t>
      </w:r>
      <w:r w:rsidRPr="00E551E0">
        <w:t xml:space="preserve">, </w:t>
      </w:r>
      <w:r w:rsidR="00AE395A" w:rsidRPr="00E551E0">
        <w:br/>
      </w:r>
      <w:r w:rsidRPr="00E551E0">
        <w:t>PO Box 25496, Wellington, 6146.</w:t>
      </w:r>
    </w:p>
    <w:p w14:paraId="2CDD65E8" w14:textId="77777777" w:rsidR="00FD049A" w:rsidRPr="00E551E0" w:rsidRDefault="00FD049A" w:rsidP="00FD049A">
      <w:pPr>
        <w:pStyle w:val="BodyText"/>
      </w:pPr>
    </w:p>
    <w:p w14:paraId="15CCA336" w14:textId="1422E97C" w:rsidR="00FD049A" w:rsidRPr="00E551E0" w:rsidRDefault="00FD049A" w:rsidP="00FD049A">
      <w:pPr>
        <w:pStyle w:val="BodyText"/>
      </w:pPr>
      <w:r w:rsidRPr="00E551E0">
        <w:t xml:space="preserve">ISBN </w:t>
      </w:r>
      <w:r w:rsidR="00802ADA" w:rsidRPr="00802ADA">
        <w:t>978-1-991122-37-7</w:t>
      </w:r>
      <w:r w:rsidRPr="00E551E0">
        <w:t xml:space="preserve">Available online at </w:t>
      </w:r>
      <w:hyperlink r:id="rId11" w:history="1">
        <w:r w:rsidRPr="00E551E0">
          <w:rPr>
            <w:rStyle w:val="Hyperlink"/>
          </w:rPr>
          <w:t>www.hqsc.govt.nz</w:t>
        </w:r>
      </w:hyperlink>
    </w:p>
    <w:p w14:paraId="669E1187" w14:textId="77777777" w:rsidR="00FD049A" w:rsidRPr="00E551E0" w:rsidRDefault="00FD049A" w:rsidP="00FD049A">
      <w:pPr>
        <w:pStyle w:val="BodyText"/>
      </w:pPr>
      <w:r w:rsidRPr="00E551E0">
        <w:t xml:space="preserve">Enquiries to: </w:t>
      </w:r>
      <w:hyperlink r:id="rId12" w:history="1">
        <w:r w:rsidRPr="00E551E0">
          <w:rPr>
            <w:rStyle w:val="Hyperlink"/>
          </w:rPr>
          <w:t>info@hqsc.govt.nz</w:t>
        </w:r>
      </w:hyperlink>
    </w:p>
    <w:p w14:paraId="591349C0" w14:textId="77777777" w:rsidR="00FD049A" w:rsidRPr="00E551E0" w:rsidRDefault="00FD049A" w:rsidP="00CD59BF">
      <w:pPr>
        <w:pStyle w:val="BodyText"/>
        <w:spacing w:after="0"/>
      </w:pPr>
    </w:p>
    <w:p w14:paraId="54011F31" w14:textId="77777777" w:rsidR="00FD049A" w:rsidRPr="00E551E0" w:rsidRDefault="00FD049A" w:rsidP="00FD049A">
      <w:pPr>
        <w:pStyle w:val="BodyText"/>
      </w:pPr>
      <w:r w:rsidRPr="00E551E0">
        <w:rPr>
          <w:noProof/>
        </w:rPr>
        <w:drawing>
          <wp:anchor distT="0" distB="0" distL="114300" distR="114300" simplePos="0" relativeHeight="251658242" behindDoc="1" locked="0" layoutInCell="1" allowOverlap="1" wp14:anchorId="3A38A738" wp14:editId="78427B89">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rsidRPr="00E551E0">
        <w:t xml:space="preserve">This work is licensed under the Creative Commons </w:t>
      </w:r>
      <w:proofErr w:type="spellStart"/>
      <w:r w:rsidRPr="00E551E0">
        <w:t>AttributionNonCommercial-ShareAlike</w:t>
      </w:r>
      <w:proofErr w:type="spellEnd"/>
      <w:r w:rsidRPr="00E551E0">
        <w:t xml:space="preserve"> 4.0 International </w:t>
      </w:r>
      <w:r w:rsidRPr="00E551E0">
        <w:br/>
        <w:t xml:space="preserve">(CC BY-NC-SA 4.0). To view a copy of this licence, visit </w:t>
      </w:r>
      <w:hyperlink r:id="rId14" w:history="1">
        <w:r w:rsidRPr="00E551E0">
          <w:rPr>
            <w:rStyle w:val="Hyperlink"/>
          </w:rPr>
          <w:t>https://creativecommons.org/licenses/by-nc-sa/4.0</w:t>
        </w:r>
      </w:hyperlink>
      <w:r w:rsidRPr="00E551E0">
        <w:t xml:space="preserve"> </w:t>
      </w:r>
    </w:p>
    <w:p w14:paraId="4A168FD7" w14:textId="77777777" w:rsidR="00FD049A" w:rsidRPr="00E551E0" w:rsidRDefault="00FD049A" w:rsidP="00CD59BF">
      <w:pPr>
        <w:pStyle w:val="BodyText"/>
        <w:spacing w:after="0"/>
      </w:pPr>
    </w:p>
    <w:p w14:paraId="5E98FA4E" w14:textId="77777777" w:rsidR="009F7F5F" w:rsidRPr="00E551E0" w:rsidRDefault="00FD049A" w:rsidP="00FD049A">
      <w:pPr>
        <w:pStyle w:val="BodyText"/>
      </w:pPr>
      <w:r w:rsidRPr="00E551E0">
        <w:rPr>
          <w:noProof/>
        </w:rPr>
        <w:drawing>
          <wp:inline distT="0" distB="0" distL="0" distR="0" wp14:anchorId="3A725102" wp14:editId="3DC2B1D3">
            <wp:extent cx="1743740" cy="658394"/>
            <wp:effectExtent l="0" t="0" r="0" b="8890"/>
            <wp:docPr id="1815018965" name="Picture 1815018965"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8965" name="Picture 1815018965" descr="The New Zealand Government logo is made up the words Te Kāwanatanga o Aotearoa in bold letters alongside it, with New Zealand Government written beneat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2DC75BF4" w14:textId="77777777" w:rsidR="00B74EE3" w:rsidRPr="00E551E0" w:rsidRDefault="00B74EE3" w:rsidP="006A5331">
      <w:pPr>
        <w:pStyle w:val="TeThHauorahead1"/>
        <w:spacing w:after="120"/>
        <w:sectPr w:rsidR="00B74EE3" w:rsidRPr="00E551E0">
          <w:footerReference w:type="default" r:id="rId16"/>
          <w:pgSz w:w="11906" w:h="16838"/>
          <w:pgMar w:top="1440" w:right="1440" w:bottom="1440" w:left="1440" w:header="708" w:footer="708" w:gutter="0"/>
          <w:cols w:space="708"/>
          <w:docGrid w:linePitch="360"/>
        </w:sectPr>
      </w:pPr>
    </w:p>
    <w:p w14:paraId="541F5C68" w14:textId="4F8E3713" w:rsidR="006A5331" w:rsidRPr="00E551E0" w:rsidRDefault="006A5331" w:rsidP="008B5139">
      <w:pPr>
        <w:pStyle w:val="TOCHeading"/>
      </w:pPr>
      <w:r w:rsidRPr="008B5139">
        <w:lastRenderedPageBreak/>
        <w:t>Contents</w:t>
      </w:r>
      <w:r w:rsidR="00790EBC">
        <w:t xml:space="preserve"> </w:t>
      </w:r>
      <w:r w:rsidR="00790EBC" w:rsidRPr="00585F2D">
        <w:t>|</w:t>
      </w:r>
      <w:r w:rsidR="00790EBC">
        <w:t xml:space="preserve"> </w:t>
      </w:r>
      <w:r w:rsidR="00790EBC" w:rsidRPr="00BD683A">
        <w:t>Ngā ihirangi</w:t>
      </w:r>
    </w:p>
    <w:p w14:paraId="04B40638" w14:textId="1F52E3F6" w:rsidR="003E6A5D" w:rsidRDefault="000C0DFF">
      <w:pPr>
        <w:pStyle w:val="TOC1"/>
        <w:rPr>
          <w:rFonts w:asciiTheme="minorHAnsi" w:eastAsiaTheme="minorEastAsia" w:hAnsiTheme="minorHAnsi"/>
          <w:noProof/>
          <w:kern w:val="2"/>
          <w:sz w:val="24"/>
          <w:szCs w:val="24"/>
          <w:lang w:eastAsia="en-NZ"/>
          <w14:ligatures w14:val="standardContextual"/>
        </w:rPr>
      </w:pPr>
      <w:r w:rsidRPr="00E551E0">
        <w:rPr>
          <w:bCs/>
        </w:rPr>
        <w:fldChar w:fldCharType="begin"/>
      </w:r>
      <w:r w:rsidRPr="00E551E0">
        <w:rPr>
          <w:bCs/>
        </w:rPr>
        <w:instrText xml:space="preserve"> TOC \o "1-3" \h \z \u </w:instrText>
      </w:r>
      <w:r w:rsidRPr="00E551E0">
        <w:rPr>
          <w:bCs/>
        </w:rPr>
        <w:fldChar w:fldCharType="separate"/>
      </w:r>
      <w:hyperlink w:anchor="_Toc207862743" w:history="1">
        <w:r w:rsidR="003E6A5D" w:rsidRPr="009E2F82">
          <w:rPr>
            <w:rStyle w:val="Hyperlink"/>
            <w:noProof/>
          </w:rPr>
          <w:t>Acknowledgements | He whakamihi</w:t>
        </w:r>
        <w:r w:rsidR="003E6A5D">
          <w:rPr>
            <w:noProof/>
            <w:webHidden/>
          </w:rPr>
          <w:tab/>
        </w:r>
        <w:r w:rsidR="003E6A5D">
          <w:rPr>
            <w:noProof/>
            <w:webHidden/>
          </w:rPr>
          <w:fldChar w:fldCharType="begin"/>
        </w:r>
        <w:r w:rsidR="003E6A5D">
          <w:rPr>
            <w:noProof/>
            <w:webHidden/>
          </w:rPr>
          <w:instrText xml:space="preserve"> PAGEREF _Toc207862743 \h </w:instrText>
        </w:r>
        <w:r w:rsidR="003E6A5D">
          <w:rPr>
            <w:noProof/>
            <w:webHidden/>
          </w:rPr>
        </w:r>
        <w:r w:rsidR="003E6A5D">
          <w:rPr>
            <w:noProof/>
            <w:webHidden/>
          </w:rPr>
          <w:fldChar w:fldCharType="separate"/>
        </w:r>
        <w:r w:rsidR="00646C2C">
          <w:rPr>
            <w:noProof/>
            <w:webHidden/>
          </w:rPr>
          <w:t>4</w:t>
        </w:r>
        <w:r w:rsidR="003E6A5D">
          <w:rPr>
            <w:noProof/>
            <w:webHidden/>
          </w:rPr>
          <w:fldChar w:fldCharType="end"/>
        </w:r>
      </w:hyperlink>
    </w:p>
    <w:p w14:paraId="095F4047" w14:textId="47C4BD6B"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44" w:history="1">
        <w:r w:rsidRPr="009E2F82">
          <w:rPr>
            <w:rStyle w:val="Hyperlink"/>
            <w:noProof/>
          </w:rPr>
          <w:t>Commitment to Te Tiriti o Waitangi and health equity │ Ū ki Te Tiriti me te hauora tautika</w:t>
        </w:r>
        <w:r>
          <w:rPr>
            <w:noProof/>
            <w:webHidden/>
          </w:rPr>
          <w:tab/>
        </w:r>
        <w:r>
          <w:rPr>
            <w:noProof/>
            <w:webHidden/>
          </w:rPr>
          <w:fldChar w:fldCharType="begin"/>
        </w:r>
        <w:r>
          <w:rPr>
            <w:noProof/>
            <w:webHidden/>
          </w:rPr>
          <w:instrText xml:space="preserve"> PAGEREF _Toc207862744 \h </w:instrText>
        </w:r>
        <w:r>
          <w:rPr>
            <w:noProof/>
            <w:webHidden/>
          </w:rPr>
        </w:r>
        <w:r>
          <w:rPr>
            <w:noProof/>
            <w:webHidden/>
          </w:rPr>
          <w:fldChar w:fldCharType="separate"/>
        </w:r>
        <w:r w:rsidR="00646C2C">
          <w:rPr>
            <w:noProof/>
            <w:webHidden/>
          </w:rPr>
          <w:t>5</w:t>
        </w:r>
        <w:r>
          <w:rPr>
            <w:noProof/>
            <w:webHidden/>
          </w:rPr>
          <w:fldChar w:fldCharType="end"/>
        </w:r>
      </w:hyperlink>
    </w:p>
    <w:p w14:paraId="2631A488" w14:textId="5CEB377E"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45" w:history="1">
        <w:r w:rsidRPr="009E2F82">
          <w:rPr>
            <w:rStyle w:val="Hyperlink"/>
            <w:noProof/>
          </w:rPr>
          <w:t>About this guide | Mō tēnei aratohu</w:t>
        </w:r>
        <w:r>
          <w:rPr>
            <w:noProof/>
            <w:webHidden/>
          </w:rPr>
          <w:tab/>
        </w:r>
        <w:r>
          <w:rPr>
            <w:noProof/>
            <w:webHidden/>
          </w:rPr>
          <w:fldChar w:fldCharType="begin"/>
        </w:r>
        <w:r>
          <w:rPr>
            <w:noProof/>
            <w:webHidden/>
          </w:rPr>
          <w:instrText xml:space="preserve"> PAGEREF _Toc207862745 \h </w:instrText>
        </w:r>
        <w:r>
          <w:rPr>
            <w:noProof/>
            <w:webHidden/>
          </w:rPr>
        </w:r>
        <w:r>
          <w:rPr>
            <w:noProof/>
            <w:webHidden/>
          </w:rPr>
          <w:fldChar w:fldCharType="separate"/>
        </w:r>
        <w:r w:rsidR="00646C2C">
          <w:rPr>
            <w:noProof/>
            <w:webHidden/>
          </w:rPr>
          <w:t>6</w:t>
        </w:r>
        <w:r>
          <w:rPr>
            <w:noProof/>
            <w:webHidden/>
          </w:rPr>
          <w:fldChar w:fldCharType="end"/>
        </w:r>
      </w:hyperlink>
    </w:p>
    <w:p w14:paraId="5981CCD9" w14:textId="50AAF739"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46" w:history="1">
        <w:r w:rsidRPr="009E2F82">
          <w:rPr>
            <w:rStyle w:val="Hyperlink"/>
            <w:noProof/>
          </w:rPr>
          <w:t>Background | Kōrero o mua</w:t>
        </w:r>
        <w:r>
          <w:rPr>
            <w:noProof/>
            <w:webHidden/>
          </w:rPr>
          <w:tab/>
        </w:r>
        <w:r>
          <w:rPr>
            <w:noProof/>
            <w:webHidden/>
          </w:rPr>
          <w:fldChar w:fldCharType="begin"/>
        </w:r>
        <w:r>
          <w:rPr>
            <w:noProof/>
            <w:webHidden/>
          </w:rPr>
          <w:instrText xml:space="preserve"> PAGEREF _Toc207862746 \h </w:instrText>
        </w:r>
        <w:r>
          <w:rPr>
            <w:noProof/>
            <w:webHidden/>
          </w:rPr>
        </w:r>
        <w:r>
          <w:rPr>
            <w:noProof/>
            <w:webHidden/>
          </w:rPr>
          <w:fldChar w:fldCharType="separate"/>
        </w:r>
        <w:r w:rsidR="00646C2C">
          <w:rPr>
            <w:noProof/>
            <w:webHidden/>
          </w:rPr>
          <w:t>6</w:t>
        </w:r>
        <w:r>
          <w:rPr>
            <w:noProof/>
            <w:webHidden/>
          </w:rPr>
          <w:fldChar w:fldCharType="end"/>
        </w:r>
      </w:hyperlink>
    </w:p>
    <w:p w14:paraId="639C79B2" w14:textId="78BD33DA"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47" w:history="1">
        <w:r w:rsidRPr="009E2F82">
          <w:rPr>
            <w:rStyle w:val="Hyperlink"/>
            <w:noProof/>
          </w:rPr>
          <w:t>The sepsis package | Kōpaki mate kitakita pīrau</w:t>
        </w:r>
        <w:r>
          <w:rPr>
            <w:noProof/>
            <w:webHidden/>
          </w:rPr>
          <w:tab/>
        </w:r>
        <w:r>
          <w:rPr>
            <w:noProof/>
            <w:webHidden/>
          </w:rPr>
          <w:fldChar w:fldCharType="begin"/>
        </w:r>
        <w:r>
          <w:rPr>
            <w:noProof/>
            <w:webHidden/>
          </w:rPr>
          <w:instrText xml:space="preserve"> PAGEREF _Toc207862747 \h </w:instrText>
        </w:r>
        <w:r>
          <w:rPr>
            <w:noProof/>
            <w:webHidden/>
          </w:rPr>
        </w:r>
        <w:r>
          <w:rPr>
            <w:noProof/>
            <w:webHidden/>
          </w:rPr>
          <w:fldChar w:fldCharType="separate"/>
        </w:r>
        <w:r w:rsidR="00646C2C">
          <w:rPr>
            <w:noProof/>
            <w:webHidden/>
          </w:rPr>
          <w:t>6</w:t>
        </w:r>
        <w:r>
          <w:rPr>
            <w:noProof/>
            <w:webHidden/>
          </w:rPr>
          <w:fldChar w:fldCharType="end"/>
        </w:r>
      </w:hyperlink>
    </w:p>
    <w:p w14:paraId="04F58BD7" w14:textId="4A4944CD"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48" w:history="1">
        <w:r w:rsidRPr="009E2F82">
          <w:rPr>
            <w:rStyle w:val="Hyperlink"/>
            <w:noProof/>
          </w:rPr>
          <w:t>How to implement the package | Me pēhea e whakatinana ai</w:t>
        </w:r>
        <w:r>
          <w:rPr>
            <w:noProof/>
            <w:webHidden/>
          </w:rPr>
          <w:tab/>
        </w:r>
        <w:r>
          <w:rPr>
            <w:noProof/>
            <w:webHidden/>
          </w:rPr>
          <w:fldChar w:fldCharType="begin"/>
        </w:r>
        <w:r>
          <w:rPr>
            <w:noProof/>
            <w:webHidden/>
          </w:rPr>
          <w:instrText xml:space="preserve"> PAGEREF _Toc207862748 \h </w:instrText>
        </w:r>
        <w:r>
          <w:rPr>
            <w:noProof/>
            <w:webHidden/>
          </w:rPr>
        </w:r>
        <w:r>
          <w:rPr>
            <w:noProof/>
            <w:webHidden/>
          </w:rPr>
          <w:fldChar w:fldCharType="separate"/>
        </w:r>
        <w:r w:rsidR="00646C2C">
          <w:rPr>
            <w:noProof/>
            <w:webHidden/>
          </w:rPr>
          <w:t>7</w:t>
        </w:r>
        <w:r>
          <w:rPr>
            <w:noProof/>
            <w:webHidden/>
          </w:rPr>
          <w:fldChar w:fldCharType="end"/>
        </w:r>
      </w:hyperlink>
    </w:p>
    <w:p w14:paraId="5B027957" w14:textId="194D517C" w:rsidR="003E6A5D" w:rsidRDefault="003E6A5D">
      <w:pPr>
        <w:pStyle w:val="TOC2"/>
        <w:rPr>
          <w:rFonts w:asciiTheme="minorHAnsi" w:eastAsiaTheme="minorEastAsia" w:hAnsiTheme="minorHAnsi"/>
          <w:noProof/>
          <w:kern w:val="2"/>
          <w:sz w:val="24"/>
          <w:szCs w:val="24"/>
          <w:lang w:eastAsia="en-NZ"/>
          <w14:ligatures w14:val="standardContextual"/>
        </w:rPr>
      </w:pPr>
      <w:hyperlink w:anchor="_Toc207862749" w:history="1">
        <w:r w:rsidRPr="009E2F82">
          <w:rPr>
            <w:rStyle w:val="Hyperlink"/>
            <w:noProof/>
          </w:rPr>
          <w:t>Stage 1: Planning for implementation</w:t>
        </w:r>
        <w:r>
          <w:rPr>
            <w:noProof/>
            <w:webHidden/>
          </w:rPr>
          <w:tab/>
        </w:r>
        <w:r>
          <w:rPr>
            <w:noProof/>
            <w:webHidden/>
          </w:rPr>
          <w:fldChar w:fldCharType="begin"/>
        </w:r>
        <w:r>
          <w:rPr>
            <w:noProof/>
            <w:webHidden/>
          </w:rPr>
          <w:instrText xml:space="preserve"> PAGEREF _Toc207862749 \h </w:instrText>
        </w:r>
        <w:r>
          <w:rPr>
            <w:noProof/>
            <w:webHidden/>
          </w:rPr>
        </w:r>
        <w:r>
          <w:rPr>
            <w:noProof/>
            <w:webHidden/>
          </w:rPr>
          <w:fldChar w:fldCharType="separate"/>
        </w:r>
        <w:r w:rsidR="00646C2C">
          <w:rPr>
            <w:noProof/>
            <w:webHidden/>
          </w:rPr>
          <w:t>7</w:t>
        </w:r>
        <w:r>
          <w:rPr>
            <w:noProof/>
            <w:webHidden/>
          </w:rPr>
          <w:fldChar w:fldCharType="end"/>
        </w:r>
      </w:hyperlink>
    </w:p>
    <w:p w14:paraId="08F5EE54" w14:textId="7F643CAC" w:rsidR="003E6A5D" w:rsidRDefault="003E6A5D">
      <w:pPr>
        <w:pStyle w:val="TOC2"/>
        <w:rPr>
          <w:rFonts w:asciiTheme="minorHAnsi" w:eastAsiaTheme="minorEastAsia" w:hAnsiTheme="minorHAnsi"/>
          <w:noProof/>
          <w:kern w:val="2"/>
          <w:sz w:val="24"/>
          <w:szCs w:val="24"/>
          <w:lang w:eastAsia="en-NZ"/>
          <w14:ligatures w14:val="standardContextual"/>
        </w:rPr>
      </w:pPr>
      <w:hyperlink w:anchor="_Toc207862750" w:history="1">
        <w:r w:rsidRPr="009E2F82">
          <w:rPr>
            <w:rStyle w:val="Hyperlink"/>
            <w:noProof/>
          </w:rPr>
          <w:t>Stage 2: Prepare</w:t>
        </w:r>
        <w:r>
          <w:rPr>
            <w:noProof/>
            <w:webHidden/>
          </w:rPr>
          <w:tab/>
        </w:r>
        <w:r>
          <w:rPr>
            <w:noProof/>
            <w:webHidden/>
          </w:rPr>
          <w:fldChar w:fldCharType="begin"/>
        </w:r>
        <w:r>
          <w:rPr>
            <w:noProof/>
            <w:webHidden/>
          </w:rPr>
          <w:instrText xml:space="preserve"> PAGEREF _Toc207862750 \h </w:instrText>
        </w:r>
        <w:r>
          <w:rPr>
            <w:noProof/>
            <w:webHidden/>
          </w:rPr>
        </w:r>
        <w:r>
          <w:rPr>
            <w:noProof/>
            <w:webHidden/>
          </w:rPr>
          <w:fldChar w:fldCharType="separate"/>
        </w:r>
        <w:r w:rsidR="00646C2C">
          <w:rPr>
            <w:noProof/>
            <w:webHidden/>
          </w:rPr>
          <w:t>9</w:t>
        </w:r>
        <w:r>
          <w:rPr>
            <w:noProof/>
            <w:webHidden/>
          </w:rPr>
          <w:fldChar w:fldCharType="end"/>
        </w:r>
      </w:hyperlink>
    </w:p>
    <w:p w14:paraId="5DC4B952" w14:textId="00F9DA36" w:rsidR="003E6A5D" w:rsidRDefault="003E6A5D">
      <w:pPr>
        <w:pStyle w:val="TOC2"/>
        <w:rPr>
          <w:rFonts w:asciiTheme="minorHAnsi" w:eastAsiaTheme="minorEastAsia" w:hAnsiTheme="minorHAnsi"/>
          <w:noProof/>
          <w:kern w:val="2"/>
          <w:sz w:val="24"/>
          <w:szCs w:val="24"/>
          <w:lang w:eastAsia="en-NZ"/>
          <w14:ligatures w14:val="standardContextual"/>
        </w:rPr>
      </w:pPr>
      <w:hyperlink w:anchor="_Toc207862751" w:history="1">
        <w:r w:rsidRPr="009E2F82">
          <w:rPr>
            <w:rStyle w:val="Hyperlink"/>
            <w:noProof/>
          </w:rPr>
          <w:t>Stage 3: Test the Sepsis Pathway</w:t>
        </w:r>
        <w:r>
          <w:rPr>
            <w:noProof/>
            <w:webHidden/>
          </w:rPr>
          <w:tab/>
        </w:r>
        <w:r>
          <w:rPr>
            <w:noProof/>
            <w:webHidden/>
          </w:rPr>
          <w:fldChar w:fldCharType="begin"/>
        </w:r>
        <w:r>
          <w:rPr>
            <w:noProof/>
            <w:webHidden/>
          </w:rPr>
          <w:instrText xml:space="preserve"> PAGEREF _Toc207862751 \h </w:instrText>
        </w:r>
        <w:r>
          <w:rPr>
            <w:noProof/>
            <w:webHidden/>
          </w:rPr>
        </w:r>
        <w:r>
          <w:rPr>
            <w:noProof/>
            <w:webHidden/>
          </w:rPr>
          <w:fldChar w:fldCharType="separate"/>
        </w:r>
        <w:r w:rsidR="00646C2C">
          <w:rPr>
            <w:noProof/>
            <w:webHidden/>
          </w:rPr>
          <w:t>10</w:t>
        </w:r>
        <w:r>
          <w:rPr>
            <w:noProof/>
            <w:webHidden/>
          </w:rPr>
          <w:fldChar w:fldCharType="end"/>
        </w:r>
      </w:hyperlink>
    </w:p>
    <w:p w14:paraId="5F067074" w14:textId="651E1313" w:rsidR="003E6A5D" w:rsidRDefault="003E6A5D">
      <w:pPr>
        <w:pStyle w:val="TOC2"/>
        <w:rPr>
          <w:rFonts w:asciiTheme="minorHAnsi" w:eastAsiaTheme="minorEastAsia" w:hAnsiTheme="minorHAnsi"/>
          <w:noProof/>
          <w:kern w:val="2"/>
          <w:sz w:val="24"/>
          <w:szCs w:val="24"/>
          <w:lang w:eastAsia="en-NZ"/>
          <w14:ligatures w14:val="standardContextual"/>
        </w:rPr>
      </w:pPr>
      <w:hyperlink w:anchor="_Toc207862752" w:history="1">
        <w:r w:rsidRPr="009E2F82">
          <w:rPr>
            <w:rStyle w:val="Hyperlink"/>
            <w:noProof/>
          </w:rPr>
          <w:t>Stage 4: Implement and spread the package</w:t>
        </w:r>
        <w:r>
          <w:rPr>
            <w:noProof/>
            <w:webHidden/>
          </w:rPr>
          <w:tab/>
        </w:r>
        <w:r>
          <w:rPr>
            <w:noProof/>
            <w:webHidden/>
          </w:rPr>
          <w:fldChar w:fldCharType="begin"/>
        </w:r>
        <w:r>
          <w:rPr>
            <w:noProof/>
            <w:webHidden/>
          </w:rPr>
          <w:instrText xml:space="preserve"> PAGEREF _Toc207862752 \h </w:instrText>
        </w:r>
        <w:r>
          <w:rPr>
            <w:noProof/>
            <w:webHidden/>
          </w:rPr>
        </w:r>
        <w:r>
          <w:rPr>
            <w:noProof/>
            <w:webHidden/>
          </w:rPr>
          <w:fldChar w:fldCharType="separate"/>
        </w:r>
        <w:r w:rsidR="00646C2C">
          <w:rPr>
            <w:noProof/>
            <w:webHidden/>
          </w:rPr>
          <w:t>11</w:t>
        </w:r>
        <w:r>
          <w:rPr>
            <w:noProof/>
            <w:webHidden/>
          </w:rPr>
          <w:fldChar w:fldCharType="end"/>
        </w:r>
      </w:hyperlink>
    </w:p>
    <w:p w14:paraId="1515010A" w14:textId="0D696781" w:rsidR="003E6A5D" w:rsidRDefault="003E6A5D">
      <w:pPr>
        <w:pStyle w:val="TOC2"/>
        <w:rPr>
          <w:rFonts w:asciiTheme="minorHAnsi" w:eastAsiaTheme="minorEastAsia" w:hAnsiTheme="minorHAnsi"/>
          <w:noProof/>
          <w:kern w:val="2"/>
          <w:sz w:val="24"/>
          <w:szCs w:val="24"/>
          <w:lang w:eastAsia="en-NZ"/>
          <w14:ligatures w14:val="standardContextual"/>
        </w:rPr>
      </w:pPr>
      <w:hyperlink w:anchor="_Toc207862753" w:history="1">
        <w:r w:rsidRPr="009E2F82">
          <w:rPr>
            <w:rStyle w:val="Hyperlink"/>
            <w:noProof/>
          </w:rPr>
          <w:t>Stage 5: Sustain the changes</w:t>
        </w:r>
        <w:r>
          <w:rPr>
            <w:noProof/>
            <w:webHidden/>
          </w:rPr>
          <w:tab/>
        </w:r>
        <w:r>
          <w:rPr>
            <w:noProof/>
            <w:webHidden/>
          </w:rPr>
          <w:fldChar w:fldCharType="begin"/>
        </w:r>
        <w:r>
          <w:rPr>
            <w:noProof/>
            <w:webHidden/>
          </w:rPr>
          <w:instrText xml:space="preserve"> PAGEREF _Toc207862753 \h </w:instrText>
        </w:r>
        <w:r>
          <w:rPr>
            <w:noProof/>
            <w:webHidden/>
          </w:rPr>
        </w:r>
        <w:r>
          <w:rPr>
            <w:noProof/>
            <w:webHidden/>
          </w:rPr>
          <w:fldChar w:fldCharType="separate"/>
        </w:r>
        <w:r w:rsidR="00646C2C">
          <w:rPr>
            <w:noProof/>
            <w:webHidden/>
          </w:rPr>
          <w:t>12</w:t>
        </w:r>
        <w:r>
          <w:rPr>
            <w:noProof/>
            <w:webHidden/>
          </w:rPr>
          <w:fldChar w:fldCharType="end"/>
        </w:r>
      </w:hyperlink>
    </w:p>
    <w:p w14:paraId="61D58983" w14:textId="6BD8BE53"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54" w:history="1">
        <w:r w:rsidRPr="009E2F82">
          <w:rPr>
            <w:rStyle w:val="Hyperlink"/>
            <w:noProof/>
          </w:rPr>
          <w:t>Appendix 1: Content of sepsis package | Āpitihanga 1: Tā te kōpaki mate kitakita pīrau</w:t>
        </w:r>
        <w:r>
          <w:rPr>
            <w:noProof/>
            <w:webHidden/>
          </w:rPr>
          <w:tab/>
        </w:r>
        <w:r>
          <w:rPr>
            <w:noProof/>
            <w:webHidden/>
          </w:rPr>
          <w:fldChar w:fldCharType="begin"/>
        </w:r>
        <w:r>
          <w:rPr>
            <w:noProof/>
            <w:webHidden/>
          </w:rPr>
          <w:instrText xml:space="preserve"> PAGEREF _Toc207862754 \h </w:instrText>
        </w:r>
        <w:r>
          <w:rPr>
            <w:noProof/>
            <w:webHidden/>
          </w:rPr>
        </w:r>
        <w:r>
          <w:rPr>
            <w:noProof/>
            <w:webHidden/>
          </w:rPr>
          <w:fldChar w:fldCharType="separate"/>
        </w:r>
        <w:r w:rsidR="00646C2C">
          <w:rPr>
            <w:noProof/>
            <w:webHidden/>
          </w:rPr>
          <w:t>13</w:t>
        </w:r>
        <w:r>
          <w:rPr>
            <w:noProof/>
            <w:webHidden/>
          </w:rPr>
          <w:fldChar w:fldCharType="end"/>
        </w:r>
      </w:hyperlink>
    </w:p>
    <w:p w14:paraId="58095F39" w14:textId="28638CBF"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55" w:history="1">
        <w:r w:rsidRPr="009E2F82">
          <w:rPr>
            <w:rStyle w:val="Hyperlink"/>
            <w:noProof/>
          </w:rPr>
          <w:t>Appendix 2: Implementation checklist | Āpitihanga 2: Te rārangi arowhai</w:t>
        </w:r>
        <w:r>
          <w:rPr>
            <w:noProof/>
            <w:webHidden/>
          </w:rPr>
          <w:tab/>
        </w:r>
        <w:r>
          <w:rPr>
            <w:noProof/>
            <w:webHidden/>
          </w:rPr>
          <w:fldChar w:fldCharType="begin"/>
        </w:r>
        <w:r>
          <w:rPr>
            <w:noProof/>
            <w:webHidden/>
          </w:rPr>
          <w:instrText xml:space="preserve"> PAGEREF _Toc207862755 \h </w:instrText>
        </w:r>
        <w:r>
          <w:rPr>
            <w:noProof/>
            <w:webHidden/>
          </w:rPr>
        </w:r>
        <w:r>
          <w:rPr>
            <w:noProof/>
            <w:webHidden/>
          </w:rPr>
          <w:fldChar w:fldCharType="separate"/>
        </w:r>
        <w:r w:rsidR="00646C2C">
          <w:rPr>
            <w:noProof/>
            <w:webHidden/>
          </w:rPr>
          <w:t>14</w:t>
        </w:r>
        <w:r>
          <w:rPr>
            <w:noProof/>
            <w:webHidden/>
          </w:rPr>
          <w:fldChar w:fldCharType="end"/>
        </w:r>
      </w:hyperlink>
    </w:p>
    <w:p w14:paraId="7A96F87A" w14:textId="4596924D" w:rsidR="003E6A5D" w:rsidRDefault="003E6A5D">
      <w:pPr>
        <w:pStyle w:val="TOC1"/>
        <w:rPr>
          <w:rFonts w:asciiTheme="minorHAnsi" w:eastAsiaTheme="minorEastAsia" w:hAnsiTheme="minorHAnsi"/>
          <w:noProof/>
          <w:kern w:val="2"/>
          <w:sz w:val="24"/>
          <w:szCs w:val="24"/>
          <w:lang w:eastAsia="en-NZ"/>
          <w14:ligatures w14:val="standardContextual"/>
        </w:rPr>
      </w:pPr>
      <w:hyperlink w:anchor="_Toc207862756" w:history="1">
        <w:r w:rsidRPr="009E2F82">
          <w:rPr>
            <w:rStyle w:val="Hyperlink"/>
            <w:noProof/>
          </w:rPr>
          <w:t>References | Ngā tohutoro</w:t>
        </w:r>
        <w:r>
          <w:rPr>
            <w:noProof/>
            <w:webHidden/>
          </w:rPr>
          <w:tab/>
        </w:r>
        <w:r>
          <w:rPr>
            <w:noProof/>
            <w:webHidden/>
          </w:rPr>
          <w:fldChar w:fldCharType="begin"/>
        </w:r>
        <w:r>
          <w:rPr>
            <w:noProof/>
            <w:webHidden/>
          </w:rPr>
          <w:instrText xml:space="preserve"> PAGEREF _Toc207862756 \h </w:instrText>
        </w:r>
        <w:r>
          <w:rPr>
            <w:noProof/>
            <w:webHidden/>
          </w:rPr>
        </w:r>
        <w:r>
          <w:rPr>
            <w:noProof/>
            <w:webHidden/>
          </w:rPr>
          <w:fldChar w:fldCharType="separate"/>
        </w:r>
        <w:r w:rsidR="00646C2C">
          <w:rPr>
            <w:noProof/>
            <w:webHidden/>
          </w:rPr>
          <w:t>17</w:t>
        </w:r>
        <w:r>
          <w:rPr>
            <w:noProof/>
            <w:webHidden/>
          </w:rPr>
          <w:fldChar w:fldCharType="end"/>
        </w:r>
      </w:hyperlink>
    </w:p>
    <w:p w14:paraId="1B9EB92B" w14:textId="0CC75A4F" w:rsidR="006E7F66" w:rsidRPr="00E551E0" w:rsidRDefault="000C0DFF" w:rsidP="00987890">
      <w:pPr>
        <w:pStyle w:val="TOC1"/>
      </w:pPr>
      <w:r w:rsidRPr="00E551E0">
        <w:rPr>
          <w:bCs/>
        </w:rPr>
        <w:fldChar w:fldCharType="end"/>
      </w:r>
    </w:p>
    <w:p w14:paraId="3332706D" w14:textId="77777777" w:rsidR="006E7F66" w:rsidRPr="00E551E0" w:rsidRDefault="006E7F66" w:rsidP="00A313E6">
      <w:pPr>
        <w:pStyle w:val="TeThHauorahead1"/>
        <w:sectPr w:rsidR="006E7F66" w:rsidRPr="00E551E0">
          <w:footerReference w:type="default" r:id="rId17"/>
          <w:pgSz w:w="11906" w:h="16838"/>
          <w:pgMar w:top="1440" w:right="1440" w:bottom="1440" w:left="1440" w:header="708" w:footer="708" w:gutter="0"/>
          <w:cols w:space="708"/>
          <w:docGrid w:linePitch="360"/>
        </w:sectPr>
      </w:pPr>
    </w:p>
    <w:p w14:paraId="1BC22A27" w14:textId="00699E0B" w:rsidR="00A971FE" w:rsidRPr="00E551E0" w:rsidRDefault="00A971FE" w:rsidP="00A971FE">
      <w:pPr>
        <w:pStyle w:val="TeThHauorahead1"/>
      </w:pPr>
      <w:bookmarkStart w:id="0" w:name="_Toc204109817"/>
      <w:bookmarkStart w:id="1" w:name="_Toc207862743"/>
      <w:r w:rsidRPr="00E551E0">
        <w:lastRenderedPageBreak/>
        <w:t>Acknowledgement</w:t>
      </w:r>
      <w:bookmarkEnd w:id="0"/>
      <w:r w:rsidR="00B71DCA">
        <w:t>s</w:t>
      </w:r>
      <w:r w:rsidR="00FB0480">
        <w:t xml:space="preserve"> </w:t>
      </w:r>
      <w:r w:rsidR="00FB0480" w:rsidRPr="00585F2D">
        <w:t>|</w:t>
      </w:r>
      <w:r w:rsidR="00FB0480">
        <w:t xml:space="preserve"> </w:t>
      </w:r>
      <w:r w:rsidR="00FB0480" w:rsidRPr="00AE5B4E">
        <w:t xml:space="preserve">He </w:t>
      </w:r>
      <w:proofErr w:type="spellStart"/>
      <w:r w:rsidR="00FB0480" w:rsidRPr="00AE5B4E">
        <w:t>whakamihi</w:t>
      </w:r>
      <w:bookmarkEnd w:id="1"/>
      <w:proofErr w:type="spellEnd"/>
    </w:p>
    <w:p w14:paraId="02D7E866" w14:textId="37FE2194" w:rsidR="00A971FE" w:rsidRPr="00E551E0" w:rsidRDefault="00A971FE" w:rsidP="00A971FE">
      <w:pPr>
        <w:pStyle w:val="TeThHauorabodytext"/>
      </w:pPr>
      <w:r w:rsidRPr="00E551E0">
        <w:t>Health Quality &amp; Safety Commission</w:t>
      </w:r>
      <w:r w:rsidR="005C5FA0">
        <w:t xml:space="preserve"> </w:t>
      </w:r>
      <w:r w:rsidR="005C5FA0" w:rsidRPr="00E551E0">
        <w:t>Te Tāhū Hauora</w:t>
      </w:r>
      <w:r w:rsidRPr="00E551E0">
        <w:t xml:space="preserve"> (the Commission) acknowledges the</w:t>
      </w:r>
      <w:r w:rsidR="005552D7" w:rsidRPr="00E551E0">
        <w:t> </w:t>
      </w:r>
      <w:r w:rsidRPr="00E551E0">
        <w:t>significant work of everyone who has been involved in the development of the sepsis package. In particular, the project team would like to thank the following:</w:t>
      </w:r>
    </w:p>
    <w:p w14:paraId="2FFB3672" w14:textId="77777777" w:rsidR="00A971FE" w:rsidRPr="00E551E0" w:rsidRDefault="00A971FE" w:rsidP="00EA0694">
      <w:pPr>
        <w:pStyle w:val="TeThHauorabullets"/>
        <w:ind w:left="357" w:hanging="357"/>
      </w:pPr>
      <w:r w:rsidRPr="00E551E0">
        <w:t>Sepsis Trust NZ</w:t>
      </w:r>
    </w:p>
    <w:p w14:paraId="53647F65" w14:textId="1A4E1619" w:rsidR="00A971FE" w:rsidRPr="00E551E0" w:rsidRDefault="00A971FE" w:rsidP="00EA0694">
      <w:pPr>
        <w:pStyle w:val="TeThHauorabullets"/>
        <w:ind w:left="357" w:hanging="357"/>
      </w:pPr>
      <w:r w:rsidRPr="00E551E0">
        <w:t>National Sepsis Technical Advisory Group</w:t>
      </w:r>
      <w:r w:rsidR="00421202">
        <w:t xml:space="preserve"> (STAG)</w:t>
      </w:r>
      <w:r w:rsidRPr="00E551E0">
        <w:t xml:space="preserve"> </w:t>
      </w:r>
    </w:p>
    <w:p w14:paraId="51781736" w14:textId="77777777" w:rsidR="00A971FE" w:rsidRPr="00E551E0" w:rsidRDefault="00A971FE" w:rsidP="00EA0694">
      <w:pPr>
        <w:pStyle w:val="TeThHauorabullets"/>
        <w:ind w:left="357" w:hanging="357"/>
      </w:pPr>
      <w:r w:rsidRPr="00E551E0">
        <w:t>Bennett and Pepa Pomana, for sharing their lived experience</w:t>
      </w:r>
    </w:p>
    <w:p w14:paraId="071F6470" w14:textId="18F9B726" w:rsidR="00A971FE" w:rsidRPr="00E551E0" w:rsidRDefault="00A971FE" w:rsidP="00EA0694">
      <w:pPr>
        <w:pStyle w:val="TeThHauorabullets"/>
        <w:ind w:left="357" w:hanging="357"/>
      </w:pPr>
      <w:r w:rsidRPr="00E551E0">
        <w:t>Health New Zealand clinical staff who performed an audit that informed the sepsis measurement guide.</w:t>
      </w:r>
    </w:p>
    <w:p w14:paraId="5A5CCCCA" w14:textId="63CCE54A" w:rsidR="00A971FE" w:rsidRDefault="00A971FE" w:rsidP="00A971FE">
      <w:pPr>
        <w:pStyle w:val="TeThHauorabodytext"/>
      </w:pPr>
    </w:p>
    <w:p w14:paraId="1F46A3D2" w14:textId="77777777" w:rsidR="00BD3DD8" w:rsidRPr="00BD3DD8" w:rsidRDefault="00BD3DD8" w:rsidP="00BD3DD8">
      <w:pPr>
        <w:pStyle w:val="TeThHauorabodytext"/>
      </w:pPr>
      <w:r w:rsidRPr="00BD3DD8">
        <w:t>Members of the Commission’s STAG have been major contributors to the development of the national sepsis pathway and this Guide. This group was established in September 2024 and includes representatives from the following professional groups: </w:t>
      </w:r>
    </w:p>
    <w:p w14:paraId="7EF87AFE"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Ambulance Services (Hato Hone St John and Wellington Free Ambulance)</w:t>
      </w:r>
    </w:p>
    <w:p w14:paraId="1D935571"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Australasian Society for Infectious Diseases </w:t>
      </w:r>
    </w:p>
    <w:p w14:paraId="38418A92"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Australian and New Zealand College of Anaesthetists </w:t>
      </w:r>
    </w:p>
    <w:p w14:paraId="456DD78F" w14:textId="77777777" w:rsidR="00EA0694" w:rsidRPr="00220E09" w:rsidRDefault="00EA0694" w:rsidP="00EA0694">
      <w:pPr>
        <w:pStyle w:val="ListParagraph"/>
        <w:numPr>
          <w:ilvl w:val="0"/>
          <w:numId w:val="22"/>
        </w:numPr>
        <w:spacing w:after="60" w:line="240" w:lineRule="auto"/>
        <w:ind w:left="425" w:hanging="357"/>
        <w:contextualSpacing w:val="0"/>
        <w:rPr>
          <w:rFonts w:cs="Arial"/>
        </w:rPr>
      </w:pPr>
      <w:r w:rsidRPr="00220E09">
        <w:rPr>
          <w:rFonts w:cs="Arial"/>
        </w:rPr>
        <w:t xml:space="preserve">Australian and New Zealand Intensive Care Society </w:t>
      </w:r>
    </w:p>
    <w:p w14:paraId="21F35E98"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Australian College for Emergency Medicine </w:t>
      </w:r>
    </w:p>
    <w:p w14:paraId="1080B84D" w14:textId="60CE9CA8" w:rsidR="00EA0694" w:rsidRPr="00695C18"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Health New Zealand </w:t>
      </w:r>
      <w:r w:rsidR="00EE5011">
        <w:rPr>
          <w:rFonts w:cs="Arial"/>
        </w:rPr>
        <w:t>Te Whatu Ora</w:t>
      </w:r>
    </w:p>
    <w:p w14:paraId="352B1599" w14:textId="77777777" w:rsidR="00EA0694" w:rsidRDefault="00EA0694" w:rsidP="00EA0694">
      <w:pPr>
        <w:pStyle w:val="ListParagraph"/>
        <w:numPr>
          <w:ilvl w:val="0"/>
          <w:numId w:val="22"/>
        </w:numPr>
        <w:spacing w:after="60" w:line="240" w:lineRule="auto"/>
        <w:ind w:left="425" w:hanging="357"/>
        <w:contextualSpacing w:val="0"/>
        <w:rPr>
          <w:rFonts w:cs="Arial"/>
        </w:rPr>
      </w:pPr>
      <w:r w:rsidRPr="00220E09">
        <w:rPr>
          <w:rFonts w:cs="Arial"/>
        </w:rPr>
        <w:t>New Zealand Antimicrobial Stewardship &amp; Infection Pha</w:t>
      </w:r>
      <w:r>
        <w:rPr>
          <w:rFonts w:cs="Arial"/>
        </w:rPr>
        <w:t>r</w:t>
      </w:r>
      <w:r w:rsidRPr="00220E09">
        <w:rPr>
          <w:rFonts w:cs="Arial"/>
        </w:rPr>
        <w:t>mac</w:t>
      </w:r>
      <w:r>
        <w:rPr>
          <w:rFonts w:cs="Arial"/>
        </w:rPr>
        <w:t>ist</w:t>
      </w:r>
      <w:r w:rsidRPr="00220E09">
        <w:rPr>
          <w:rFonts w:cs="Arial"/>
        </w:rPr>
        <w:t xml:space="preserve"> Expert Group </w:t>
      </w:r>
    </w:p>
    <w:p w14:paraId="50E86E31"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New Zealand College of Critical Care Nurses </w:t>
      </w:r>
    </w:p>
    <w:p w14:paraId="7FD81EF2"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New Zealand College of Medicine </w:t>
      </w:r>
    </w:p>
    <w:p w14:paraId="21281F41"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New Zealand College of Midwives</w:t>
      </w:r>
    </w:p>
    <w:p w14:paraId="1B43C57A"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New Zealand Microbiology Network </w:t>
      </w:r>
    </w:p>
    <w:p w14:paraId="11FB8A07"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New Zealand Nurses Organisation </w:t>
      </w:r>
    </w:p>
    <w:p w14:paraId="79EAE490"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Paediatric Society of New Zealand </w:t>
      </w:r>
    </w:p>
    <w:p w14:paraId="434F6717"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Royal Australasian College of Surgeons </w:t>
      </w:r>
    </w:p>
    <w:p w14:paraId="5832C415" w14:textId="77777777"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Royal Australian and New Zealand College of Obstetricians and Gynaecologists </w:t>
      </w:r>
    </w:p>
    <w:p w14:paraId="14CFBAA4" w14:textId="77777777" w:rsidR="00EE5011" w:rsidRDefault="00EE5011" w:rsidP="00EA0694">
      <w:pPr>
        <w:pStyle w:val="ListParagraph"/>
        <w:numPr>
          <w:ilvl w:val="0"/>
          <w:numId w:val="22"/>
        </w:numPr>
        <w:spacing w:after="60" w:line="240" w:lineRule="auto"/>
        <w:ind w:left="425" w:hanging="357"/>
        <w:contextualSpacing w:val="0"/>
        <w:rPr>
          <w:rFonts w:cs="Arial"/>
        </w:rPr>
      </w:pPr>
      <w:r>
        <w:rPr>
          <w:rFonts w:cs="Arial"/>
        </w:rPr>
        <w:t>Royal New Zealand College of General Practitioners</w:t>
      </w:r>
    </w:p>
    <w:p w14:paraId="2E993498" w14:textId="0B7EA6C0" w:rsidR="00EA0694" w:rsidRDefault="00EA0694" w:rsidP="00EA0694">
      <w:pPr>
        <w:pStyle w:val="ListParagraph"/>
        <w:numPr>
          <w:ilvl w:val="0"/>
          <w:numId w:val="22"/>
        </w:numPr>
        <w:spacing w:after="60" w:line="240" w:lineRule="auto"/>
        <w:ind w:left="425" w:hanging="357"/>
        <w:contextualSpacing w:val="0"/>
        <w:rPr>
          <w:rFonts w:cs="Arial"/>
        </w:rPr>
      </w:pPr>
      <w:r>
        <w:rPr>
          <w:rFonts w:cs="Arial"/>
        </w:rPr>
        <w:t xml:space="preserve">Royal New Zealand College of Urgent Care </w:t>
      </w:r>
    </w:p>
    <w:p w14:paraId="46837253" w14:textId="77777777" w:rsidR="00EA0694" w:rsidRPr="008924A6" w:rsidRDefault="00EA0694" w:rsidP="00EA0694">
      <w:pPr>
        <w:pStyle w:val="ListParagraph"/>
        <w:numPr>
          <w:ilvl w:val="0"/>
          <w:numId w:val="22"/>
        </w:numPr>
        <w:spacing w:after="60" w:line="240" w:lineRule="auto"/>
        <w:ind w:left="425" w:hanging="357"/>
        <w:contextualSpacing w:val="0"/>
        <w:rPr>
          <w:rFonts w:cs="Arial"/>
        </w:rPr>
      </w:pPr>
      <w:r>
        <w:rPr>
          <w:rFonts w:cs="Arial"/>
        </w:rPr>
        <w:t>Sepsis Trust New Zealand.</w:t>
      </w:r>
    </w:p>
    <w:p w14:paraId="7FCCC0F3" w14:textId="77777777" w:rsidR="00BD3DD8" w:rsidRPr="00E551E0" w:rsidRDefault="00BD3DD8" w:rsidP="00A971FE">
      <w:pPr>
        <w:pStyle w:val="TeThHauorabodytext"/>
      </w:pPr>
    </w:p>
    <w:p w14:paraId="5993CAA8" w14:textId="77777777" w:rsidR="003E6A5D" w:rsidRDefault="003E6A5D" w:rsidP="003E6A5D">
      <w:pPr>
        <w:pStyle w:val="TeThHauorahead1"/>
      </w:pPr>
      <w:bookmarkStart w:id="2" w:name="_Toc206851008"/>
      <w:bookmarkStart w:id="3" w:name="_Toc206851371"/>
      <w:bookmarkStart w:id="4" w:name="_Toc207084637"/>
      <w:bookmarkStart w:id="5" w:name="_Toc204109818"/>
      <w:r>
        <w:br w:type="page"/>
      </w:r>
    </w:p>
    <w:p w14:paraId="49D7897E" w14:textId="2D315B99" w:rsidR="003E6A5D" w:rsidRDefault="003E6A5D" w:rsidP="003E6A5D">
      <w:pPr>
        <w:pStyle w:val="TeThHauorahead1"/>
      </w:pPr>
      <w:bookmarkStart w:id="6" w:name="_Toc207862744"/>
      <w:r w:rsidRPr="005F6E1B">
        <w:lastRenderedPageBreak/>
        <w:t xml:space="preserve">Commitment to Te Tiriti </w:t>
      </w:r>
      <w:r>
        <w:t xml:space="preserve">o Waitangi </w:t>
      </w:r>
      <w:r w:rsidRPr="005F6E1B">
        <w:t>and health equity</w:t>
      </w:r>
      <w:bookmarkEnd w:id="2"/>
      <w:bookmarkEnd w:id="3"/>
      <w:r>
        <w:t xml:space="preserve"> │</w:t>
      </w:r>
      <w:r w:rsidRPr="00B86117">
        <w:t xml:space="preserve"> </w:t>
      </w:r>
      <w:r w:rsidRPr="005F6E1B">
        <w:t xml:space="preserve">Ū ki Te Tiriti me </w:t>
      </w:r>
      <w:proofErr w:type="spellStart"/>
      <w:r w:rsidRPr="005F6E1B">
        <w:t>te</w:t>
      </w:r>
      <w:proofErr w:type="spellEnd"/>
      <w:r w:rsidRPr="005F6E1B">
        <w:t xml:space="preserve"> </w:t>
      </w:r>
      <w:proofErr w:type="spellStart"/>
      <w:r w:rsidRPr="005F6E1B">
        <w:t>hauora</w:t>
      </w:r>
      <w:proofErr w:type="spellEnd"/>
      <w:r w:rsidRPr="005F6E1B">
        <w:t xml:space="preserve"> </w:t>
      </w:r>
      <w:proofErr w:type="spellStart"/>
      <w:r w:rsidRPr="005F6E1B">
        <w:t>tautika</w:t>
      </w:r>
      <w:bookmarkEnd w:id="4"/>
      <w:bookmarkEnd w:id="6"/>
      <w:proofErr w:type="spellEnd"/>
      <w:r w:rsidRPr="005F6E1B">
        <w:t xml:space="preserve"> </w:t>
      </w:r>
    </w:p>
    <w:p w14:paraId="6CC27FB6" w14:textId="77777777" w:rsidR="003E6A5D" w:rsidRDefault="003E6A5D" w:rsidP="003E6A5D">
      <w:pPr>
        <w:pStyle w:val="TeThHauorabodytext"/>
        <w:spacing w:after="240"/>
      </w:pPr>
      <w:r w:rsidRPr="006344D5">
        <w:t xml:space="preserve">The </w:t>
      </w:r>
      <w:r>
        <w:t>sepsis</w:t>
      </w:r>
      <w:r w:rsidRPr="006344D5">
        <w:t xml:space="preserve"> </w:t>
      </w:r>
      <w:r>
        <w:t xml:space="preserve">project </w:t>
      </w:r>
      <w:r w:rsidRPr="006344D5">
        <w:t>team</w:t>
      </w:r>
      <w:r>
        <w:t xml:space="preserve"> is committed to developing and implementing the sepsis project in a manner that enables equitable outcomes for Māori. The team incorporated </w:t>
      </w:r>
      <w:r w:rsidRPr="006344D5">
        <w:t xml:space="preserve">Te Tiriti </w:t>
      </w:r>
      <w:r>
        <w:t xml:space="preserve">o Waitangi </w:t>
      </w:r>
      <w:r w:rsidRPr="006344D5">
        <w:t xml:space="preserve">principles </w:t>
      </w:r>
      <w:r>
        <w:t>throughout the project.</w:t>
      </w:r>
    </w:p>
    <w:p w14:paraId="7CAA5A41" w14:textId="77777777" w:rsidR="003E6A5D" w:rsidRDefault="003E6A5D" w:rsidP="003E6A5D">
      <w:pPr>
        <w:pStyle w:val="TeThHauorabodytext"/>
        <w:spacing w:after="240"/>
      </w:pPr>
      <w:r>
        <w:t>The team applied an e</w:t>
      </w:r>
      <w:r w:rsidRPr="006344D5">
        <w:t xml:space="preserve">quity lens to various areas of the project by: </w:t>
      </w:r>
    </w:p>
    <w:p w14:paraId="2E557A9B" w14:textId="77777777" w:rsidR="003E6A5D" w:rsidRPr="001E576C" w:rsidRDefault="003E6A5D" w:rsidP="003E6A5D">
      <w:pPr>
        <w:pStyle w:val="TeThHauorabodytext"/>
        <w:numPr>
          <w:ilvl w:val="0"/>
          <w:numId w:val="23"/>
        </w:numPr>
        <w:spacing w:line="240" w:lineRule="auto"/>
        <w:ind w:left="777" w:hanging="357"/>
        <w:rPr>
          <w:color w:val="000000" w:themeColor="text1"/>
        </w:rPr>
      </w:pPr>
      <w:r w:rsidRPr="006344D5">
        <w:t xml:space="preserve">having a Māori </w:t>
      </w:r>
      <w:r>
        <w:t xml:space="preserve">advisor in the project team, who consulted with other Māori elders </w:t>
      </w:r>
      <w:r w:rsidRPr="001E576C">
        <w:rPr>
          <w:color w:val="000000" w:themeColor="text1"/>
        </w:rPr>
        <w:t xml:space="preserve">when </w:t>
      </w:r>
      <w:r>
        <w:rPr>
          <w:color w:val="000000" w:themeColor="text1"/>
        </w:rPr>
        <w:t>necessary</w:t>
      </w:r>
    </w:p>
    <w:p w14:paraId="204D640D" w14:textId="77777777" w:rsidR="003E6A5D" w:rsidRPr="001E576C" w:rsidRDefault="003E6A5D" w:rsidP="003E6A5D">
      <w:pPr>
        <w:pStyle w:val="TeThHauorabodytext"/>
        <w:numPr>
          <w:ilvl w:val="0"/>
          <w:numId w:val="23"/>
        </w:numPr>
        <w:spacing w:line="240" w:lineRule="auto"/>
        <w:ind w:left="777" w:hanging="357"/>
        <w:rPr>
          <w:color w:val="000000" w:themeColor="text1"/>
        </w:rPr>
      </w:pPr>
      <w:r w:rsidRPr="001E576C">
        <w:rPr>
          <w:color w:val="000000" w:themeColor="text1"/>
        </w:rPr>
        <w:t>using an ethnicity or demographic lens for data collection and review</w:t>
      </w:r>
    </w:p>
    <w:p w14:paraId="54041519" w14:textId="77777777" w:rsidR="003E6A5D" w:rsidRPr="001E576C" w:rsidRDefault="003E6A5D" w:rsidP="003E6A5D">
      <w:pPr>
        <w:pStyle w:val="TeThHauorabodytext"/>
        <w:numPr>
          <w:ilvl w:val="0"/>
          <w:numId w:val="23"/>
        </w:numPr>
        <w:spacing w:line="240" w:lineRule="auto"/>
        <w:ind w:left="777" w:hanging="357"/>
        <w:rPr>
          <w:color w:val="000000" w:themeColor="text1"/>
        </w:rPr>
      </w:pPr>
      <w:r w:rsidRPr="001E576C">
        <w:rPr>
          <w:color w:val="000000" w:themeColor="text1"/>
        </w:rPr>
        <w:t>incorporating the lived experience of sepsis consumer</w:t>
      </w:r>
      <w:r>
        <w:rPr>
          <w:color w:val="000000" w:themeColor="text1"/>
        </w:rPr>
        <w:t>s</w:t>
      </w:r>
      <w:r w:rsidRPr="001E576C">
        <w:rPr>
          <w:color w:val="000000" w:themeColor="text1"/>
        </w:rPr>
        <w:t xml:space="preserve"> and their whānau</w:t>
      </w:r>
    </w:p>
    <w:p w14:paraId="3BAA39C6" w14:textId="77777777" w:rsidR="003E6A5D" w:rsidRPr="001E576C" w:rsidRDefault="003E6A5D" w:rsidP="003E6A5D">
      <w:pPr>
        <w:pStyle w:val="TeThHauorabodytext"/>
        <w:numPr>
          <w:ilvl w:val="0"/>
          <w:numId w:val="23"/>
        </w:numPr>
        <w:spacing w:line="240" w:lineRule="auto"/>
        <w:ind w:left="777" w:hanging="357"/>
        <w:rPr>
          <w:color w:val="000000" w:themeColor="text1"/>
        </w:rPr>
      </w:pPr>
      <w:r>
        <w:rPr>
          <w:color w:val="000000" w:themeColor="text1"/>
        </w:rPr>
        <w:t>a</w:t>
      </w:r>
      <w:r w:rsidRPr="00110481">
        <w:rPr>
          <w:color w:val="000000" w:themeColor="text1"/>
        </w:rPr>
        <w:t>dvis</w:t>
      </w:r>
      <w:r>
        <w:rPr>
          <w:color w:val="000000" w:themeColor="text1"/>
        </w:rPr>
        <w:t>ing</w:t>
      </w:r>
      <w:r w:rsidRPr="00110481">
        <w:rPr>
          <w:color w:val="000000" w:themeColor="text1"/>
        </w:rPr>
        <w:t xml:space="preserve"> hospital project teams to collaborate with Māori and Pacific representatives, ensuring Te Tiriti principles are embedded and encouraging their involvement in relevant aspects of implementation.</w:t>
      </w:r>
    </w:p>
    <w:p w14:paraId="0B22C109" w14:textId="77777777" w:rsidR="00BD3DD8" w:rsidRDefault="00BD3DD8" w:rsidP="00A971FE">
      <w:pPr>
        <w:pStyle w:val="TeThHauorahead1"/>
      </w:pPr>
      <w:r>
        <w:br w:type="page"/>
      </w:r>
    </w:p>
    <w:p w14:paraId="352952C0" w14:textId="24876C26" w:rsidR="00A971FE" w:rsidRPr="00E551E0" w:rsidRDefault="00A971FE" w:rsidP="00A971FE">
      <w:pPr>
        <w:pStyle w:val="TeThHauorahead1"/>
      </w:pPr>
      <w:bookmarkStart w:id="7" w:name="_Toc207862745"/>
      <w:r w:rsidRPr="00E551E0">
        <w:lastRenderedPageBreak/>
        <w:t>About this guide</w:t>
      </w:r>
      <w:bookmarkEnd w:id="5"/>
      <w:r w:rsidR="00AE15EB">
        <w:t xml:space="preserve"> </w:t>
      </w:r>
      <w:r w:rsidR="00266A8A" w:rsidRPr="00A200DD">
        <w:t>|</w:t>
      </w:r>
      <w:r w:rsidR="00AE15EB">
        <w:t xml:space="preserve"> </w:t>
      </w:r>
      <w:proofErr w:type="spellStart"/>
      <w:r w:rsidR="00AE15EB" w:rsidRPr="00AE15EB">
        <w:t>Mō</w:t>
      </w:r>
      <w:proofErr w:type="spellEnd"/>
      <w:r w:rsidR="00AE15EB" w:rsidRPr="00AE15EB">
        <w:t xml:space="preserve"> </w:t>
      </w:r>
      <w:proofErr w:type="spellStart"/>
      <w:r w:rsidR="00AE15EB" w:rsidRPr="00AE15EB">
        <w:t>tēnei</w:t>
      </w:r>
      <w:proofErr w:type="spellEnd"/>
      <w:r w:rsidR="00AE15EB" w:rsidRPr="00AE15EB">
        <w:t xml:space="preserve"> </w:t>
      </w:r>
      <w:proofErr w:type="spellStart"/>
      <w:r w:rsidR="00AE15EB" w:rsidRPr="00AE15EB">
        <w:t>aratohu</w:t>
      </w:r>
      <w:bookmarkEnd w:id="7"/>
      <w:proofErr w:type="spellEnd"/>
    </w:p>
    <w:p w14:paraId="0D5862C6" w14:textId="77777777" w:rsidR="00A971FE" w:rsidRPr="00E551E0" w:rsidRDefault="00A971FE" w:rsidP="00A971FE">
      <w:pPr>
        <w:pStyle w:val="TeThHauorabodytext"/>
      </w:pPr>
      <w:r w:rsidRPr="00E551E0">
        <w:t>This implementation guide will help health care organisations implementing the national ‘Raise the Flag’ sepsis package to improve the early recognition and timely treatment of sepsis within Aotearoa New Zealand hospitals. This guide outlines recommended steps for successfully implementing the sepsis package and its components.</w:t>
      </w:r>
    </w:p>
    <w:p w14:paraId="12D2034D" w14:textId="45FC8A17" w:rsidR="00A971FE" w:rsidRPr="00E551E0" w:rsidRDefault="00A971FE" w:rsidP="00A971FE">
      <w:pPr>
        <w:pStyle w:val="TeThHauorahead1"/>
      </w:pPr>
      <w:bookmarkStart w:id="8" w:name="_Toc204109819"/>
      <w:bookmarkStart w:id="9" w:name="_Toc207862746"/>
      <w:r w:rsidRPr="00E551E0">
        <w:t>Background</w:t>
      </w:r>
      <w:bookmarkEnd w:id="8"/>
      <w:r w:rsidR="00B12331">
        <w:t xml:space="preserve"> </w:t>
      </w:r>
      <w:r w:rsidR="00B12331" w:rsidRPr="00A200DD">
        <w:t>|</w:t>
      </w:r>
      <w:r w:rsidR="00B12331">
        <w:t xml:space="preserve"> </w:t>
      </w:r>
      <w:r w:rsidR="00734306" w:rsidRPr="00734306">
        <w:t xml:space="preserve">Kōrero o </w:t>
      </w:r>
      <w:proofErr w:type="spellStart"/>
      <w:r w:rsidR="00734306" w:rsidRPr="00734306">
        <w:t>mua</w:t>
      </w:r>
      <w:bookmarkEnd w:id="9"/>
      <w:proofErr w:type="spellEnd"/>
    </w:p>
    <w:p w14:paraId="1DD54B62" w14:textId="77777777" w:rsidR="00A971FE" w:rsidRPr="00E551E0" w:rsidRDefault="00A971FE" w:rsidP="00A971FE">
      <w:pPr>
        <w:pStyle w:val="TeThHauorabodytext"/>
      </w:pPr>
      <w:r w:rsidRPr="00E551E0">
        <w:t>Sepsis is a leading cause of hospital deaths in the developed world (Fleischmann et al 2016). Each year 15,000 patients in Australia and Aotearoa are admitted to intensive care with sepsis (</w:t>
      </w:r>
      <w:proofErr w:type="spellStart"/>
      <w:r w:rsidRPr="00E551E0">
        <w:t>Finfer</w:t>
      </w:r>
      <w:proofErr w:type="spellEnd"/>
      <w:r w:rsidRPr="00E551E0">
        <w:t xml:space="preserve"> et al 2004). </w:t>
      </w:r>
    </w:p>
    <w:p w14:paraId="1AB9C11A" w14:textId="77777777" w:rsidR="00A971FE" w:rsidRPr="00E551E0" w:rsidRDefault="00A971FE" w:rsidP="00A971FE">
      <w:pPr>
        <w:pStyle w:val="TeThHauorabodytext"/>
      </w:pPr>
      <w:r w:rsidRPr="00E551E0">
        <w:t>In 2021, ACC supported the Sepsis Trust NZ to develop and publish the National Sepsis Action Plan (Sepsis Trust NZ 2021). The purpose of this plan was to reduce the number of preventable deaths caused by sepsis in Aotearoa. </w:t>
      </w:r>
    </w:p>
    <w:p w14:paraId="6331B565" w14:textId="4B125044" w:rsidR="00A971FE" w:rsidRPr="00E551E0" w:rsidRDefault="00A971FE" w:rsidP="00A971FE">
      <w:pPr>
        <w:pStyle w:val="TeThHauorabodytext"/>
      </w:pPr>
      <w:r w:rsidRPr="00E551E0">
        <w:t>In 2022, Health Quality and Safety Commission</w:t>
      </w:r>
      <w:r w:rsidR="00F916A1">
        <w:t xml:space="preserve"> </w:t>
      </w:r>
      <w:r w:rsidR="00F916A1" w:rsidRPr="00E551E0">
        <w:t>Te Tāhū Hauora</w:t>
      </w:r>
      <w:r w:rsidRPr="00E551E0">
        <w:t xml:space="preserve"> (the Commission) published a stocktake of sepsis management in secondary care across Aotearoa (Williamson et al 2022). It had evaluated protocols and guidelines used across acute and secondary care settings in relation to recognition of risk, diagnosis, management and follow-up for sepsis patients. The report highlighted significant variations in the way sepsis was managed and monitored in Aotearoa and made several recommendations for action.</w:t>
      </w:r>
    </w:p>
    <w:p w14:paraId="0508D151" w14:textId="764DC740" w:rsidR="00A971FE" w:rsidRPr="00E551E0" w:rsidRDefault="00A971FE" w:rsidP="00A971FE">
      <w:pPr>
        <w:pStyle w:val="TeThHauorabodytext"/>
      </w:pPr>
      <w:r w:rsidRPr="00E551E0">
        <w:t>To facilitate the sepsis action plan and recommendations proposed in the stocktake, the Commission completed a scoping exercise (</w:t>
      </w:r>
      <w:r w:rsidR="00306428">
        <w:t xml:space="preserve">Health Quality &amp; Safety Commission </w:t>
      </w:r>
      <w:r w:rsidRPr="00E551E0">
        <w:t>2024b) and literature review (</w:t>
      </w:r>
      <w:r w:rsidR="00306428">
        <w:t xml:space="preserve">Health Quality &amp; Safety Commission </w:t>
      </w:r>
      <w:r w:rsidRPr="00E551E0">
        <w:t>2023) and started the ‘Raise the Flag’ sepsis quality improvement project (</w:t>
      </w:r>
      <w:r w:rsidR="00306428">
        <w:t xml:space="preserve">Health Quality &amp; Safety Commission </w:t>
      </w:r>
      <w:r w:rsidRPr="00E551E0">
        <w:t>2024a).</w:t>
      </w:r>
      <w:r w:rsidR="009B7C39" w:rsidRPr="00E551E0">
        <w:t xml:space="preserve"> </w:t>
      </w:r>
    </w:p>
    <w:p w14:paraId="3E52B9F0" w14:textId="77777777" w:rsidR="00A971FE" w:rsidRPr="00E551E0" w:rsidRDefault="00A971FE" w:rsidP="00A971FE">
      <w:pPr>
        <w:pStyle w:val="TeThHauorabodytext"/>
      </w:pPr>
      <w:r w:rsidRPr="00E551E0">
        <w:t>The Commission developed the ‘Raise the Flag’ sepsis package to improve the early recognition and timely treatment of sepsis for patients in hospital.</w:t>
      </w:r>
    </w:p>
    <w:p w14:paraId="06B3F7CB" w14:textId="6A25DE90" w:rsidR="00A971FE" w:rsidRPr="00E551E0" w:rsidRDefault="00A971FE" w:rsidP="00A971FE">
      <w:pPr>
        <w:pStyle w:val="TeThHauorahead1"/>
      </w:pPr>
      <w:bookmarkStart w:id="10" w:name="_Toc204109820"/>
      <w:bookmarkStart w:id="11" w:name="_Toc207862747"/>
      <w:r w:rsidRPr="00E551E0">
        <w:t>The sepsis package</w:t>
      </w:r>
      <w:bookmarkEnd w:id="10"/>
      <w:r w:rsidR="00910EE9">
        <w:t xml:space="preserve"> </w:t>
      </w:r>
      <w:r w:rsidR="00910EE9" w:rsidRPr="00A200DD">
        <w:t>|</w:t>
      </w:r>
      <w:r w:rsidR="00910EE9">
        <w:t xml:space="preserve"> </w:t>
      </w:r>
      <w:proofErr w:type="spellStart"/>
      <w:r w:rsidR="00910EE9" w:rsidRPr="00910EE9">
        <w:t>Kōpaki</w:t>
      </w:r>
      <w:proofErr w:type="spellEnd"/>
      <w:r w:rsidR="00910EE9" w:rsidRPr="00910EE9">
        <w:t xml:space="preserve"> mate </w:t>
      </w:r>
      <w:proofErr w:type="spellStart"/>
      <w:r w:rsidR="00910EE9" w:rsidRPr="00910EE9">
        <w:t>kitakita</w:t>
      </w:r>
      <w:proofErr w:type="spellEnd"/>
      <w:r w:rsidR="00910EE9" w:rsidRPr="00910EE9">
        <w:t xml:space="preserve"> </w:t>
      </w:r>
      <w:proofErr w:type="spellStart"/>
      <w:r w:rsidR="00910EE9" w:rsidRPr="00910EE9">
        <w:t>pīrau</w:t>
      </w:r>
      <w:bookmarkEnd w:id="11"/>
      <w:proofErr w:type="spellEnd"/>
    </w:p>
    <w:p w14:paraId="4135E4C9" w14:textId="6EFC1746" w:rsidR="00A971FE" w:rsidRPr="00E551E0" w:rsidRDefault="00A971FE" w:rsidP="00A971FE">
      <w:pPr>
        <w:pStyle w:val="TeThHauorabodytext"/>
      </w:pPr>
      <w:r w:rsidRPr="00E551E0">
        <w:t>This initiative involves implementing all components of the sepsis package in hospitals. The package refers to a collection of resources – including guidance, tools, templates and other materials – designed to support the early recognition and treatment of sepsis in hospital setting.</w:t>
      </w:r>
    </w:p>
    <w:p w14:paraId="4B96DC25" w14:textId="77777777" w:rsidR="00A971FE" w:rsidRPr="00E551E0" w:rsidRDefault="00A971FE" w:rsidP="00A971FE">
      <w:pPr>
        <w:pStyle w:val="TeThHauorabodytext"/>
      </w:pPr>
      <w:r w:rsidRPr="00E551E0">
        <w:t>The core components of the package include:</w:t>
      </w:r>
    </w:p>
    <w:p w14:paraId="75884B35" w14:textId="77777777" w:rsidR="00A971FE" w:rsidRPr="00E551E0" w:rsidRDefault="00A971FE" w:rsidP="00A971FE">
      <w:pPr>
        <w:pStyle w:val="TeThHauorabullets"/>
      </w:pPr>
      <w:r w:rsidRPr="00E551E0">
        <w:t>governance: advice on governance for sepsis in hospitals</w:t>
      </w:r>
    </w:p>
    <w:p w14:paraId="08BA334F" w14:textId="77777777" w:rsidR="00A971FE" w:rsidRPr="00E551E0" w:rsidRDefault="00A971FE" w:rsidP="00A971FE">
      <w:pPr>
        <w:pStyle w:val="TeThHauorabullets"/>
      </w:pPr>
      <w:r w:rsidRPr="00E551E0">
        <w:t>clinical tools and guides: sepsis pathway tools and associated clinical resources to guide practice</w:t>
      </w:r>
    </w:p>
    <w:p w14:paraId="6A4F0556" w14:textId="77777777" w:rsidR="00A971FE" w:rsidRPr="00E551E0" w:rsidRDefault="00A971FE" w:rsidP="00A971FE">
      <w:pPr>
        <w:pStyle w:val="TeThHauorabullets"/>
      </w:pPr>
      <w:r w:rsidRPr="00E551E0">
        <w:t>educational materials: resources to enhance staff knowledge, awareness and skills</w:t>
      </w:r>
    </w:p>
    <w:p w14:paraId="748C9173" w14:textId="2CFAE393" w:rsidR="00A971FE" w:rsidRPr="00E551E0" w:rsidRDefault="00A971FE" w:rsidP="00A971FE">
      <w:pPr>
        <w:pStyle w:val="TeThHauorabullets"/>
        <w:spacing w:after="120"/>
      </w:pPr>
      <w:r w:rsidRPr="00E551E0">
        <w:t>measurement systems: guidance on establishing an effective measurement system.</w:t>
      </w:r>
    </w:p>
    <w:p w14:paraId="6A213984" w14:textId="77777777" w:rsidR="00A971FE" w:rsidRPr="00E551E0" w:rsidRDefault="00A971FE" w:rsidP="00A971FE">
      <w:pPr>
        <w:pStyle w:val="TeThHauorabodytext"/>
      </w:pPr>
      <w:r w:rsidRPr="00E551E0">
        <w:t xml:space="preserve">To achieve our desired outcomes, it is essential that all components of this package are implemented together. Appendix 1 provides a list of resources in each component. </w:t>
      </w:r>
    </w:p>
    <w:p w14:paraId="17A86302" w14:textId="291DD9D4" w:rsidR="00A971FE" w:rsidRPr="00E551E0" w:rsidRDefault="00A971FE" w:rsidP="00E86A25">
      <w:pPr>
        <w:pStyle w:val="TeThHauorahead1"/>
        <w:spacing w:before="240"/>
      </w:pPr>
      <w:bookmarkStart w:id="12" w:name="_Toc204109821"/>
      <w:bookmarkStart w:id="13" w:name="_Toc207862748"/>
      <w:r w:rsidRPr="00E551E0">
        <w:lastRenderedPageBreak/>
        <w:t>How to implement the package</w:t>
      </w:r>
      <w:bookmarkEnd w:id="12"/>
      <w:r w:rsidR="002C1338">
        <w:t xml:space="preserve"> </w:t>
      </w:r>
      <w:r w:rsidR="002C1338" w:rsidRPr="00A200DD">
        <w:t>|</w:t>
      </w:r>
      <w:r w:rsidR="002C1338">
        <w:t xml:space="preserve"> </w:t>
      </w:r>
      <w:r w:rsidR="00237A4C" w:rsidRPr="00237A4C">
        <w:t xml:space="preserve">Me </w:t>
      </w:r>
      <w:proofErr w:type="spellStart"/>
      <w:r w:rsidR="00237A4C" w:rsidRPr="00237A4C">
        <w:t>pēhea</w:t>
      </w:r>
      <w:proofErr w:type="spellEnd"/>
      <w:r w:rsidR="00237A4C" w:rsidRPr="00237A4C">
        <w:t xml:space="preserve"> e </w:t>
      </w:r>
      <w:proofErr w:type="spellStart"/>
      <w:r w:rsidR="00237A4C" w:rsidRPr="00237A4C">
        <w:t>whakatinana</w:t>
      </w:r>
      <w:proofErr w:type="spellEnd"/>
      <w:r w:rsidR="00237A4C" w:rsidRPr="00237A4C">
        <w:t xml:space="preserve"> ai</w:t>
      </w:r>
      <w:bookmarkEnd w:id="13"/>
    </w:p>
    <w:p w14:paraId="31EB0657" w14:textId="77777777" w:rsidR="00A971FE" w:rsidRPr="00E551E0" w:rsidRDefault="00A971FE" w:rsidP="00A971FE">
      <w:pPr>
        <w:pStyle w:val="TeThHauorabodytext"/>
      </w:pPr>
      <w:r w:rsidRPr="00E551E0">
        <w:t>This guide outlines a five-stage process for preparing and implementing the sepsis package (Figure 1).</w:t>
      </w:r>
    </w:p>
    <w:p w14:paraId="205EFD71" w14:textId="77777777" w:rsidR="00A971FE" w:rsidRPr="00E551E0" w:rsidRDefault="00A971FE" w:rsidP="00A971FE">
      <w:pPr>
        <w:pStyle w:val="TeThHauorabodytext"/>
      </w:pPr>
      <w:r w:rsidRPr="00E551E0">
        <w:t xml:space="preserve">We recommend following the steps outlined in this section, which are based on best practice; however, some tasks may not be applicable in all settings, or they may depend on available resources. Consult with your quality team or other relevant personnel for guidance on local implementation. </w:t>
      </w:r>
    </w:p>
    <w:p w14:paraId="772D969D" w14:textId="77777777" w:rsidR="00A971FE" w:rsidRPr="00E551E0" w:rsidRDefault="00A971FE" w:rsidP="00A971FE">
      <w:pPr>
        <w:pStyle w:val="TeThHauorabodytext"/>
      </w:pPr>
      <w:r w:rsidRPr="00E551E0">
        <w:t>Appendix 2 provides a checklist of the steps set out here.</w:t>
      </w:r>
    </w:p>
    <w:p w14:paraId="0607FCD7" w14:textId="77777777" w:rsidR="00A971FE" w:rsidRPr="00E551E0" w:rsidRDefault="00A971FE" w:rsidP="00E86A25">
      <w:pPr>
        <w:pStyle w:val="TeThHauoratablefigurecaption"/>
        <w:spacing w:before="120" w:after="0"/>
      </w:pPr>
      <w:r w:rsidRPr="00E551E0">
        <w:t>Figure 1: Planning through implementation stages</w:t>
      </w:r>
    </w:p>
    <w:p w14:paraId="7B7B8AFC" w14:textId="77777777" w:rsidR="00A971FE" w:rsidRPr="00E551E0" w:rsidRDefault="00A971FE" w:rsidP="00FB4CE7">
      <w:pPr>
        <w:pStyle w:val="TeThHauorabodytext"/>
        <w:spacing w:after="0"/>
      </w:pPr>
      <w:bookmarkStart w:id="14" w:name="_Toc201659425"/>
      <w:bookmarkStart w:id="15" w:name="_Toc202964622"/>
      <w:r w:rsidRPr="00E551E0">
        <w:rPr>
          <w:noProof/>
        </w:rPr>
        <w:drawing>
          <wp:inline distT="0" distB="0" distL="0" distR="0" wp14:anchorId="51ED5BF7" wp14:editId="03D25717">
            <wp:extent cx="5680710" cy="1176867"/>
            <wp:effectExtent l="0" t="0" r="15240" b="0"/>
            <wp:docPr id="518504691" name="Diagram 3" descr="A flow chart with arrows moving from left to right. The boxes read Plan, Prepare, Test, Implement &amp; Spread, Sust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End w:id="14"/>
      <w:bookmarkEnd w:id="15"/>
    </w:p>
    <w:p w14:paraId="4D8FDF4E" w14:textId="77777777" w:rsidR="00A971FE" w:rsidRPr="00E551E0" w:rsidRDefault="00A971FE" w:rsidP="00E86A25">
      <w:pPr>
        <w:pStyle w:val="TeThHauorahead2"/>
        <w:spacing w:before="0"/>
      </w:pPr>
      <w:bookmarkStart w:id="16" w:name="_Toc204109822"/>
      <w:bookmarkStart w:id="17" w:name="_Toc207862749"/>
      <w:r w:rsidRPr="00E551E0">
        <w:t>Stage 1: Planning for implementation</w:t>
      </w:r>
      <w:bookmarkEnd w:id="16"/>
      <w:bookmarkEnd w:id="17"/>
    </w:p>
    <w:p w14:paraId="2376939F" w14:textId="77777777" w:rsidR="00A971FE" w:rsidRPr="00E551E0" w:rsidRDefault="00A971FE" w:rsidP="00A971FE">
      <w:pPr>
        <w:pStyle w:val="TeThHauorabodytext"/>
      </w:pPr>
      <w:r w:rsidRPr="00E551E0">
        <w:t xml:space="preserve">Stage 1 involves developing an approach to commence planning. </w:t>
      </w:r>
    </w:p>
    <w:p w14:paraId="1709FDE6" w14:textId="77777777" w:rsidR="00A971FE" w:rsidRPr="00E551E0" w:rsidRDefault="00A971FE" w:rsidP="00FB4CE7">
      <w:pPr>
        <w:pStyle w:val="TeThHauorabodytext"/>
        <w:spacing w:after="0"/>
      </w:pPr>
      <w:r w:rsidRPr="00E551E0">
        <w:rPr>
          <w:sz w:val="44"/>
          <w:szCs w:val="44"/>
        </w:rPr>
        <w:t>□</w:t>
      </w:r>
      <w:r w:rsidRPr="00E551E0">
        <w:t xml:space="preserve"> </w:t>
      </w:r>
      <w:r w:rsidRPr="00E551E0">
        <w:rPr>
          <w:b/>
          <w:sz w:val="24"/>
          <w:szCs w:val="24"/>
        </w:rPr>
        <w:t>Develop draft project documents</w:t>
      </w:r>
      <w:r w:rsidRPr="00E551E0">
        <w:rPr>
          <w:sz w:val="24"/>
          <w:szCs w:val="24"/>
        </w:rPr>
        <w:t xml:space="preserve"> </w:t>
      </w:r>
    </w:p>
    <w:p w14:paraId="755E30CD" w14:textId="77777777" w:rsidR="00A971FE" w:rsidRPr="00E551E0" w:rsidRDefault="00A971FE" w:rsidP="00E86A25">
      <w:pPr>
        <w:pStyle w:val="TeThHauorabodytext"/>
      </w:pPr>
      <w:r w:rsidRPr="00E551E0">
        <w:t>Develop a draft project charter or other relevant documentation to support the project. This may include a case for change, expected benefits, potential impacts, resource requirements and other key project-related information.</w:t>
      </w:r>
    </w:p>
    <w:p w14:paraId="398316EB" w14:textId="77777777" w:rsidR="00A971FE" w:rsidRPr="00E551E0" w:rsidRDefault="00A971FE" w:rsidP="00FB4CE7">
      <w:pPr>
        <w:pStyle w:val="TeThHauorabodytext"/>
        <w:spacing w:after="0"/>
      </w:pPr>
      <w:r w:rsidRPr="00E551E0">
        <w:rPr>
          <w:sz w:val="44"/>
          <w:szCs w:val="44"/>
        </w:rPr>
        <w:t>□</w:t>
      </w:r>
      <w:r w:rsidRPr="00E551E0">
        <w:t xml:space="preserve"> </w:t>
      </w:r>
      <w:r w:rsidRPr="00E551E0">
        <w:rPr>
          <w:b/>
          <w:sz w:val="24"/>
          <w:szCs w:val="24"/>
        </w:rPr>
        <w:t>Establish an executive sponsor(s)</w:t>
      </w:r>
      <w:r w:rsidRPr="00E551E0">
        <w:rPr>
          <w:sz w:val="24"/>
          <w:szCs w:val="24"/>
        </w:rPr>
        <w:t xml:space="preserve"> </w:t>
      </w:r>
    </w:p>
    <w:p w14:paraId="75130551" w14:textId="77777777" w:rsidR="00A971FE" w:rsidRPr="00E551E0" w:rsidRDefault="00A971FE" w:rsidP="00E86A25">
      <w:pPr>
        <w:pStyle w:val="TeThHauorabodytext"/>
      </w:pPr>
      <w:r w:rsidRPr="00E551E0">
        <w:t>An executive sponsor plays a crucial leadership role in steering and supporting the implementation. Key functions of this role are to:</w:t>
      </w:r>
    </w:p>
    <w:p w14:paraId="75BFED5B" w14:textId="77777777" w:rsidR="00A971FE" w:rsidRPr="00E551E0" w:rsidRDefault="00A971FE" w:rsidP="00E86A25">
      <w:pPr>
        <w:pStyle w:val="TeThHauorabullets"/>
        <w:rPr>
          <w:b/>
        </w:rPr>
      </w:pPr>
      <w:r w:rsidRPr="00E551E0">
        <w:rPr>
          <w:b/>
          <w:bCs/>
        </w:rPr>
        <w:t>secure</w:t>
      </w:r>
      <w:r w:rsidRPr="00E551E0">
        <w:rPr>
          <w:b/>
        </w:rPr>
        <w:t xml:space="preserve"> resources</w:t>
      </w:r>
      <w:r w:rsidRPr="00E551E0">
        <w:t xml:space="preserve">: secure the necessary resources: budget, personnel and time </w:t>
      </w:r>
    </w:p>
    <w:p w14:paraId="5F01C2DA" w14:textId="77777777" w:rsidR="00A971FE" w:rsidRPr="00E551E0" w:rsidRDefault="00A971FE" w:rsidP="00E86A25">
      <w:pPr>
        <w:pStyle w:val="TeThHauorabullets"/>
      </w:pPr>
      <w:r w:rsidRPr="00E551E0">
        <w:rPr>
          <w:b/>
        </w:rPr>
        <w:t>provide strategic direction:</w:t>
      </w:r>
      <w:r w:rsidRPr="00E551E0">
        <w:t xml:space="preserve"> ensure alignment with organisational strategic goals and priorities; provide high-level direction and decision-making</w:t>
      </w:r>
    </w:p>
    <w:p w14:paraId="619D1CB4" w14:textId="77777777" w:rsidR="00A971FE" w:rsidRPr="00E551E0" w:rsidRDefault="00A971FE" w:rsidP="00E86A25">
      <w:pPr>
        <w:pStyle w:val="TeThHauorabullets"/>
      </w:pPr>
      <w:r w:rsidRPr="00E551E0">
        <w:rPr>
          <w:b/>
        </w:rPr>
        <w:t>champion the project</w:t>
      </w:r>
      <w:r w:rsidRPr="00E551E0">
        <w:t>: advocate the importance of the project and communicate with leadership and key stakeholders</w:t>
      </w:r>
    </w:p>
    <w:p w14:paraId="63631ABA" w14:textId="77777777" w:rsidR="00A971FE" w:rsidRPr="00E551E0" w:rsidRDefault="00A971FE" w:rsidP="00E86A25">
      <w:pPr>
        <w:pStyle w:val="TeThHauorabullets"/>
      </w:pPr>
      <w:r w:rsidRPr="00E551E0">
        <w:rPr>
          <w:b/>
        </w:rPr>
        <w:t>remove barriers:</w:t>
      </w:r>
      <w:r w:rsidRPr="00E551E0">
        <w:t xml:space="preserve"> address challenges, such as resistance to change and cross-departmental collaboration barriers</w:t>
      </w:r>
    </w:p>
    <w:p w14:paraId="6C053CA4" w14:textId="77777777" w:rsidR="00A971FE" w:rsidRPr="00E551E0" w:rsidRDefault="00A971FE" w:rsidP="00E86A25">
      <w:pPr>
        <w:pStyle w:val="TeThHauorabullets"/>
      </w:pPr>
      <w:r w:rsidRPr="00E551E0">
        <w:rPr>
          <w:b/>
          <w:bCs/>
        </w:rPr>
        <w:t>monitor</w:t>
      </w:r>
      <w:r w:rsidRPr="00E551E0">
        <w:rPr>
          <w:b/>
        </w:rPr>
        <w:t xml:space="preserve"> progress</w:t>
      </w:r>
      <w:r w:rsidRPr="00E551E0">
        <w:t>: provide oversight, ensuring achievement of outcomes and deliverables.</w:t>
      </w:r>
    </w:p>
    <w:p w14:paraId="1FF44F13" w14:textId="77777777" w:rsidR="00A971FE" w:rsidRPr="00E551E0" w:rsidRDefault="00A971FE" w:rsidP="00FB4CE7">
      <w:pPr>
        <w:pStyle w:val="TeThHauorabodytext"/>
        <w:spacing w:after="0"/>
      </w:pPr>
      <w:r w:rsidRPr="00E551E0">
        <w:rPr>
          <w:sz w:val="44"/>
          <w:szCs w:val="44"/>
        </w:rPr>
        <w:t xml:space="preserve">□ </w:t>
      </w:r>
      <w:r w:rsidRPr="00E551E0">
        <w:rPr>
          <w:b/>
          <w:sz w:val="24"/>
          <w:szCs w:val="24"/>
        </w:rPr>
        <w:t>Recruit clinical lead(s) and clinical champion(s)</w:t>
      </w:r>
      <w:r w:rsidRPr="00E551E0">
        <w:rPr>
          <w:sz w:val="24"/>
          <w:szCs w:val="24"/>
        </w:rPr>
        <w:t xml:space="preserve"> </w:t>
      </w:r>
    </w:p>
    <w:p w14:paraId="7A8A4A2A" w14:textId="77777777" w:rsidR="00A971FE" w:rsidRPr="00E551E0" w:rsidRDefault="00A971FE" w:rsidP="00E86A25">
      <w:pPr>
        <w:pStyle w:val="TeThHauorabodytext"/>
      </w:pPr>
      <w:r w:rsidRPr="00E551E0">
        <w:t xml:space="preserve">Clinical leads and clinical champions are crucial for implementation, as they bridge the gap between clinical practice and quality improvement efforts. These roles provide medical expertise, ensure that the interventions align with clinical standards and foster engagement </w:t>
      </w:r>
      <w:r w:rsidRPr="00E551E0">
        <w:lastRenderedPageBreak/>
        <w:t xml:space="preserve">among frontline clinical staff and peers. Clinical leads bring specialised knowledge in improving clinical systems and processes. </w:t>
      </w:r>
    </w:p>
    <w:p w14:paraId="264C2B4A"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Establish a project team</w:t>
      </w:r>
    </w:p>
    <w:p w14:paraId="53257D70" w14:textId="77777777" w:rsidR="00A971FE" w:rsidRPr="00E551E0" w:rsidRDefault="00A971FE" w:rsidP="00A971FE">
      <w:r w:rsidRPr="00E551E0">
        <w:t>Leaders should establish a small core project team to set up the project and, as it progresses, ensure that additional and relevant stakeholders are included when required. Subgroups could be set up to tackle specific issues as they arise. Leaders should consider the skill and knowledge needed to take the project through each stage of implementation. Relevant skills could include:</w:t>
      </w:r>
    </w:p>
    <w:p w14:paraId="604A1D6F" w14:textId="77777777" w:rsidR="00A971FE" w:rsidRPr="00E551E0" w:rsidRDefault="00A971FE" w:rsidP="00BD3DD8">
      <w:pPr>
        <w:pStyle w:val="ListParagraph"/>
        <w:numPr>
          <w:ilvl w:val="0"/>
          <w:numId w:val="5"/>
        </w:numPr>
        <w:sectPr w:rsidR="00A971FE" w:rsidRPr="00E551E0" w:rsidSect="00A971FE">
          <w:footerReference w:type="even" r:id="rId23"/>
          <w:pgSz w:w="11906" w:h="16838"/>
          <w:pgMar w:top="1440" w:right="1440" w:bottom="1440" w:left="1440" w:header="709" w:footer="709" w:gutter="0"/>
          <w:cols w:space="708"/>
          <w:docGrid w:linePitch="360"/>
        </w:sectPr>
      </w:pPr>
    </w:p>
    <w:p w14:paraId="16580CCF" w14:textId="77777777" w:rsidR="00A971FE" w:rsidRPr="00E551E0" w:rsidRDefault="00A971FE" w:rsidP="00630E81">
      <w:pPr>
        <w:pStyle w:val="TeThHauorabullets"/>
      </w:pPr>
      <w:r w:rsidRPr="00E551E0">
        <w:t>project management</w:t>
      </w:r>
    </w:p>
    <w:p w14:paraId="4AF020BD" w14:textId="77777777" w:rsidR="00A971FE" w:rsidRPr="00E551E0" w:rsidRDefault="00A971FE" w:rsidP="00630E81">
      <w:pPr>
        <w:pStyle w:val="TeThHauorabullets"/>
      </w:pPr>
      <w:r w:rsidRPr="00E551E0">
        <w:t xml:space="preserve">clinical knowledge and leadership from both inpatient and acute care perspectives </w:t>
      </w:r>
    </w:p>
    <w:p w14:paraId="7924CDB2" w14:textId="77777777" w:rsidR="00A971FE" w:rsidRPr="00E551E0" w:rsidRDefault="00A971FE" w:rsidP="00630E81">
      <w:pPr>
        <w:pStyle w:val="TeThHauorabullets"/>
      </w:pPr>
      <w:proofErr w:type="spellStart"/>
      <w:r w:rsidRPr="00E551E0">
        <w:t>te</w:t>
      </w:r>
      <w:proofErr w:type="spellEnd"/>
      <w:r w:rsidRPr="00E551E0">
        <w:t xml:space="preserve"> </w:t>
      </w:r>
      <w:proofErr w:type="spellStart"/>
      <w:r w:rsidRPr="00E551E0">
        <w:t>ao</w:t>
      </w:r>
      <w:proofErr w:type="spellEnd"/>
      <w:r w:rsidRPr="00E551E0">
        <w:t xml:space="preserve"> Māori and Pacific guidance</w:t>
      </w:r>
    </w:p>
    <w:p w14:paraId="13F41A1B" w14:textId="77777777" w:rsidR="00A971FE" w:rsidRPr="00E551E0" w:rsidRDefault="00A971FE" w:rsidP="00630E81">
      <w:pPr>
        <w:pStyle w:val="TeThHauorabullets"/>
      </w:pPr>
      <w:r w:rsidRPr="00E551E0">
        <w:t>consumer advocacy</w:t>
      </w:r>
    </w:p>
    <w:p w14:paraId="169A3BC7" w14:textId="77777777" w:rsidR="00A971FE" w:rsidRPr="00E551E0" w:rsidRDefault="00A971FE" w:rsidP="00630E81">
      <w:pPr>
        <w:pStyle w:val="TeThHauorabullets"/>
      </w:pPr>
      <w:r w:rsidRPr="00E551E0">
        <w:t xml:space="preserve">quality improvement </w:t>
      </w:r>
    </w:p>
    <w:p w14:paraId="35F3FD16" w14:textId="77777777" w:rsidR="00A971FE" w:rsidRPr="00E551E0" w:rsidRDefault="00A971FE" w:rsidP="00630E81">
      <w:pPr>
        <w:pStyle w:val="TeThHauorabullets"/>
      </w:pPr>
      <w:r w:rsidRPr="00E551E0">
        <w:t>data analysis</w:t>
      </w:r>
    </w:p>
    <w:p w14:paraId="6C410CE1" w14:textId="77777777" w:rsidR="00A971FE" w:rsidRPr="00E551E0" w:rsidRDefault="00A971FE" w:rsidP="00630E81">
      <w:pPr>
        <w:pStyle w:val="TeThHauorabullets"/>
      </w:pPr>
      <w:r w:rsidRPr="00E551E0">
        <w:t>education and training</w:t>
      </w:r>
    </w:p>
    <w:p w14:paraId="1698166B" w14:textId="77777777" w:rsidR="00A971FE" w:rsidRPr="00E551E0" w:rsidRDefault="00A971FE" w:rsidP="00630E81">
      <w:pPr>
        <w:pStyle w:val="TeThHauorabullets"/>
      </w:pPr>
      <w:r w:rsidRPr="00E551E0">
        <w:t>organisational networking and communication</w:t>
      </w:r>
    </w:p>
    <w:p w14:paraId="63A0B1F4" w14:textId="77777777" w:rsidR="00A971FE" w:rsidRPr="00E551E0" w:rsidRDefault="00A971FE" w:rsidP="00630E81">
      <w:pPr>
        <w:pStyle w:val="TeThHauorabullets"/>
        <w:sectPr w:rsidR="00A971FE" w:rsidRPr="00E551E0" w:rsidSect="00A971FE">
          <w:type w:val="continuous"/>
          <w:pgSz w:w="11906" w:h="16838"/>
          <w:pgMar w:top="1440" w:right="1440" w:bottom="1440" w:left="1440" w:header="709" w:footer="709" w:gutter="0"/>
          <w:cols w:num="2" w:space="708"/>
          <w:docGrid w:linePitch="360"/>
        </w:sectPr>
      </w:pPr>
      <w:r w:rsidRPr="00E551E0">
        <w:t>information technology.</w:t>
      </w:r>
    </w:p>
    <w:p w14:paraId="26D7C87D"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Establish or align with existing hospital governance groups/committees</w:t>
      </w:r>
    </w:p>
    <w:p w14:paraId="3F333E00" w14:textId="77777777" w:rsidR="00A971FE" w:rsidRPr="00E551E0" w:rsidRDefault="00A971FE" w:rsidP="00630E81">
      <w:pPr>
        <w:pStyle w:val="TeThHauorabodytext"/>
      </w:pPr>
      <w:r w:rsidRPr="00E551E0">
        <w:t xml:space="preserve">Many hospitals already have established clinical governance groups, focused on adverse events, infection prevention and patient deterioration among other aspects. The project team should secure buy-in from the specific relevant governance group, ensuring that the project is included within their work plans, reporting mechanisms and agenda items. </w:t>
      </w:r>
    </w:p>
    <w:p w14:paraId="2BDE50A1" w14:textId="494A13A4" w:rsidR="00A971FE" w:rsidRPr="00E551E0" w:rsidRDefault="00A971FE" w:rsidP="00630E81">
      <w:pPr>
        <w:pStyle w:val="TeThHauorabodytext"/>
      </w:pPr>
      <w:r w:rsidRPr="00E551E0">
        <w:t xml:space="preserve">Clinical governance will play a vital role in the success of the project. The clinical lead, clinical champions or project lead will be pivotal in establishing this relationship and providing periodic updates using the methods and guidelines outlined in the </w:t>
      </w:r>
      <w:hyperlink r:id="rId24" w:history="1">
        <w:r w:rsidRPr="00283588">
          <w:rPr>
            <w:rStyle w:val="Hyperlink"/>
          </w:rPr>
          <w:t>clinical governance resource</w:t>
        </w:r>
      </w:hyperlink>
      <w:r w:rsidRPr="00E551E0">
        <w:rPr>
          <w:color w:val="0070C0"/>
        </w:rPr>
        <w:t xml:space="preserve"> </w:t>
      </w:r>
      <w:r w:rsidRPr="00E551E0">
        <w:t>included in the package.</w:t>
      </w:r>
    </w:p>
    <w:p w14:paraId="0AC80709" w14:textId="77777777"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Know who to engage with to accomplish the aim</w:t>
      </w:r>
    </w:p>
    <w:p w14:paraId="36C28FE1" w14:textId="77777777" w:rsidR="00A971FE" w:rsidRPr="00E551E0" w:rsidRDefault="00A971FE" w:rsidP="00A971FE">
      <w:pPr>
        <w:pStyle w:val="TeThHauorabodytext"/>
      </w:pPr>
      <w:r w:rsidRPr="00E551E0">
        <w:t xml:space="preserve">The project team should identify stakeholders, including individuals and teams that will be impacted by the changes. The project team can develop a stakeholder map and analysis to understand the strategies required to increase engagement and interest. </w:t>
      </w:r>
    </w:p>
    <w:p w14:paraId="611679A3"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Agree on engagement with staff and other stakeholders</w:t>
      </w:r>
    </w:p>
    <w:p w14:paraId="36454652" w14:textId="77777777" w:rsidR="00A971FE" w:rsidRPr="00E551E0" w:rsidRDefault="00A971FE" w:rsidP="00630E81">
      <w:pPr>
        <w:pStyle w:val="TeThHauorabodytext"/>
      </w:pPr>
      <w:r w:rsidRPr="00E551E0">
        <w:t xml:space="preserve">The project team should build on the stakeholder map to further understand engagement with each organisation, individual or team. </w:t>
      </w:r>
    </w:p>
    <w:p w14:paraId="1AA7850B" w14:textId="77777777" w:rsidR="00A971FE" w:rsidRPr="00E551E0" w:rsidRDefault="00A971FE" w:rsidP="00630E81">
      <w:pPr>
        <w:pStyle w:val="TeThHauorabodytext"/>
      </w:pPr>
      <w:r w:rsidRPr="00E551E0">
        <w:t xml:space="preserve">The team should consider how to frame key messages to influence and engage staff. It should consider using existing staff meetings, networks or communication pathways for this purpose, and use a mixture of formal meeting presentations and informal discussions. </w:t>
      </w:r>
    </w:p>
    <w:p w14:paraId="27A7B4E4" w14:textId="77777777" w:rsidR="00A971FE" w:rsidRPr="00E551E0" w:rsidRDefault="00A971FE" w:rsidP="00630E81">
      <w:pPr>
        <w:pStyle w:val="TeThHauorabodytext"/>
      </w:pPr>
      <w:r w:rsidRPr="00E551E0">
        <w:t xml:space="preserve">The team should identify the right people to carry out the engagement, for example, an enthusiastic peer or champion. Direct peer-to-peer engagement is often required to effectively communicate key messages. The communications team may be </w:t>
      </w:r>
      <w:proofErr w:type="gramStart"/>
      <w:r w:rsidRPr="00E551E0">
        <w:t>a valuable asset</w:t>
      </w:r>
      <w:proofErr w:type="gramEnd"/>
      <w:r w:rsidRPr="00E551E0">
        <w:t xml:space="preserve">; for example, in reaching the wider staff group through the intranet or existing newsletters. </w:t>
      </w:r>
    </w:p>
    <w:p w14:paraId="67D343A7" w14:textId="77777777" w:rsidR="00A971FE" w:rsidRPr="00E551E0" w:rsidRDefault="00A971FE" w:rsidP="00630E81">
      <w:pPr>
        <w:pStyle w:val="TeThHauorabodytext"/>
      </w:pPr>
      <w:r w:rsidRPr="00E551E0">
        <w:t>Engagement activities will be required throughout each stage; key messages should reflect the progress made.</w:t>
      </w:r>
    </w:p>
    <w:p w14:paraId="2ED739AE" w14:textId="77777777" w:rsidR="00A971FE" w:rsidRPr="00E551E0" w:rsidRDefault="00A971FE" w:rsidP="00A971FE">
      <w:pPr>
        <w:pStyle w:val="TeThHauorabodytext"/>
      </w:pPr>
      <w:r w:rsidRPr="00E551E0">
        <w:lastRenderedPageBreak/>
        <w:t>The team should consider which data (</w:t>
      </w:r>
      <w:proofErr w:type="spellStart"/>
      <w:r w:rsidRPr="00E551E0">
        <w:t>eg</w:t>
      </w:r>
      <w:proofErr w:type="spellEnd"/>
      <w:r w:rsidRPr="00E551E0">
        <w:t>, audit data, case review findings, outcome measures) should be reported to different groups, and in which forums (</w:t>
      </w:r>
      <w:proofErr w:type="spellStart"/>
      <w:r w:rsidRPr="00E551E0">
        <w:t>eg</w:t>
      </w:r>
      <w:proofErr w:type="spellEnd"/>
      <w:r w:rsidRPr="00E551E0">
        <w:t>, medical grand rounds, morbidity and mortality reviews, ward meetings).</w:t>
      </w:r>
    </w:p>
    <w:p w14:paraId="11CCA427" w14:textId="77777777" w:rsidR="00A971FE" w:rsidRPr="00E551E0" w:rsidRDefault="00A971FE" w:rsidP="00A971FE">
      <w:pPr>
        <w:pStyle w:val="TeThHauorabodytext"/>
      </w:pPr>
      <w:r w:rsidRPr="00E551E0">
        <w:t xml:space="preserve">The team should consider creating infographics and factsheets to support engagement. </w:t>
      </w:r>
    </w:p>
    <w:p w14:paraId="72C21AC5"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Agree on what will be accomplished</w:t>
      </w:r>
    </w:p>
    <w:p w14:paraId="1B89F706" w14:textId="77777777" w:rsidR="00A971FE" w:rsidRPr="00E551E0" w:rsidRDefault="00A971FE" w:rsidP="00A971FE">
      <w:pPr>
        <w:pStyle w:val="TeThHauorabodytext"/>
      </w:pPr>
      <w:r w:rsidRPr="00E551E0">
        <w:t>It is important to clearly understand the objectives for implementation and the rationale behind them. The team should decide on an aim statement to clearly confirm the purpose and scope of the project and clarify key terms and definitions to establish a common language within the project team and the wider organisation.</w:t>
      </w:r>
    </w:p>
    <w:p w14:paraId="16D6539C"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Agree on success factors</w:t>
      </w:r>
    </w:p>
    <w:p w14:paraId="37524484" w14:textId="3B7FA149" w:rsidR="00A971FE" w:rsidRPr="00E551E0" w:rsidRDefault="00A971FE" w:rsidP="00A971FE">
      <w:pPr>
        <w:pStyle w:val="TeThHauorabodytext"/>
      </w:pPr>
      <w:r w:rsidRPr="00E551E0">
        <w:t xml:space="preserve">The measurement guide outlines key measures and related information. These measures will help monitor implementation processes and </w:t>
      </w:r>
      <w:r w:rsidR="00101F88">
        <w:t xml:space="preserve">identify </w:t>
      </w:r>
      <w:r w:rsidR="002865A7">
        <w:t>improvement</w:t>
      </w:r>
      <w:r w:rsidR="00020F56">
        <w:t xml:space="preserve"> opportunities</w:t>
      </w:r>
      <w:r w:rsidRPr="00E551E0">
        <w:t xml:space="preserve"> over time. The team should review the measurement guide, which will allow for the development of a data collection plan to support ongoing m</w:t>
      </w:r>
      <w:r w:rsidR="003A5AFA">
        <w:t>easurement</w:t>
      </w:r>
      <w:r w:rsidRPr="00E551E0">
        <w:t>, evaluation and improvement efforts.</w:t>
      </w:r>
    </w:p>
    <w:p w14:paraId="6A1B424F"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Document all decisions in the project charter</w:t>
      </w:r>
    </w:p>
    <w:p w14:paraId="32CBC00B" w14:textId="6934FD01" w:rsidR="00A971FE" w:rsidRPr="00E551E0" w:rsidRDefault="00A971FE" w:rsidP="00A971FE">
      <w:pPr>
        <w:pStyle w:val="TeThHauorabodytext"/>
      </w:pPr>
      <w:r w:rsidRPr="00E551E0">
        <w:t>The team should update all relevant information, including decisions, purpose, scope, communication plans, reporting structures, and other relevant details, in the project charter used by the organisation.</w:t>
      </w:r>
      <w:r w:rsidR="009B7C39" w:rsidRPr="00E551E0">
        <w:t xml:space="preserve"> </w:t>
      </w:r>
    </w:p>
    <w:p w14:paraId="4D933CB0" w14:textId="77777777" w:rsidR="00A971FE" w:rsidRPr="00E551E0" w:rsidRDefault="00A971FE" w:rsidP="00A971FE">
      <w:pPr>
        <w:pStyle w:val="TeThHauorahead2"/>
      </w:pPr>
      <w:bookmarkStart w:id="18" w:name="_Toc204109823"/>
      <w:bookmarkStart w:id="19" w:name="_Toc207862750"/>
      <w:r w:rsidRPr="00E551E0">
        <w:t>Stage 2: Prepare</w:t>
      </w:r>
      <w:bookmarkEnd w:id="18"/>
      <w:bookmarkEnd w:id="19"/>
    </w:p>
    <w:p w14:paraId="248C0BD9" w14:textId="77777777" w:rsidR="00A971FE" w:rsidRPr="00E551E0" w:rsidRDefault="00A971FE" w:rsidP="00630E81">
      <w:pPr>
        <w:pStyle w:val="TeThHauorabodytext"/>
      </w:pPr>
      <w:r w:rsidRPr="00E551E0">
        <w:t>The focus of Stage 2 is to define the project scope and approach, and to gain a strong understanding of current processes in the early recognition and timely treatment of sepsis. This stage provides a comprehensive understanding of the current state of sepsis care within the hospital and planning for data collection and reporting.</w:t>
      </w:r>
    </w:p>
    <w:p w14:paraId="2BAF4A7E"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Agree on the scope and implementation approach</w:t>
      </w:r>
      <w:r w:rsidRPr="00E551E0">
        <w:rPr>
          <w:sz w:val="24"/>
          <w:szCs w:val="24"/>
        </w:rPr>
        <w:t xml:space="preserve"> </w:t>
      </w:r>
    </w:p>
    <w:p w14:paraId="7EC98243" w14:textId="77777777" w:rsidR="00A971FE" w:rsidRPr="00E551E0" w:rsidRDefault="00A971FE" w:rsidP="00630E81">
      <w:pPr>
        <w:pStyle w:val="TeThHauorabodytext"/>
      </w:pPr>
      <w:r w:rsidRPr="00E551E0">
        <w:t xml:space="preserve">The sepsis package is designed for the adult, maternity and paediatric patient cohorts, in acute areas such as emergency departments (ED) and inpatient wards. </w:t>
      </w:r>
    </w:p>
    <w:p w14:paraId="139730EA" w14:textId="77777777" w:rsidR="00A971FE" w:rsidRPr="00E551E0" w:rsidRDefault="00A971FE" w:rsidP="00630E81">
      <w:pPr>
        <w:pStyle w:val="TeThHauorabodytext"/>
      </w:pPr>
      <w:r w:rsidRPr="00E551E0">
        <w:t xml:space="preserve">The team should seek agreement on the approach for testing. In this regard, options include the following. </w:t>
      </w:r>
    </w:p>
    <w:p w14:paraId="2A3C3C21" w14:textId="77777777" w:rsidR="00A971FE" w:rsidRPr="00E551E0" w:rsidRDefault="00A971FE" w:rsidP="00630E81">
      <w:pPr>
        <w:pStyle w:val="TeThHauorabullets"/>
      </w:pPr>
      <w:r w:rsidRPr="00E551E0">
        <w:rPr>
          <w:b/>
        </w:rPr>
        <w:t>Simultaneous implementation:</w:t>
      </w:r>
      <w:r w:rsidRPr="00E551E0">
        <w:t xml:space="preserve"> Implement the interventions across all clinical areas in the hospital simultaneously. This approach will require more resources. </w:t>
      </w:r>
    </w:p>
    <w:p w14:paraId="63DB7D87" w14:textId="77777777" w:rsidR="00A971FE" w:rsidRDefault="00A971FE" w:rsidP="00630E81">
      <w:pPr>
        <w:pStyle w:val="TeThHauorabullets"/>
      </w:pPr>
      <w:r w:rsidRPr="00E551E0">
        <w:rPr>
          <w:b/>
        </w:rPr>
        <w:t>Sequential implementation:</w:t>
      </w:r>
      <w:r w:rsidRPr="00E551E0">
        <w:t xml:space="preserve"> Start by testing and implementing the interventions in a smaller area, then phase it across different clinical areas, patient cohorts or other criteria. This phased approach allows the team to identify successes and challenges early in the process and adapt approach prior to expanding implementation. </w:t>
      </w:r>
    </w:p>
    <w:p w14:paraId="0168AF36" w14:textId="77777777" w:rsidR="00020F56" w:rsidRDefault="00020F56" w:rsidP="00020F56">
      <w:pPr>
        <w:pStyle w:val="TeThHauorabullets"/>
        <w:numPr>
          <w:ilvl w:val="0"/>
          <w:numId w:val="0"/>
        </w:numPr>
        <w:ind w:left="360"/>
        <w:rPr>
          <w:b/>
        </w:rPr>
      </w:pPr>
    </w:p>
    <w:p w14:paraId="7E1325A7" w14:textId="77777777" w:rsidR="00020F56" w:rsidRPr="00E551E0" w:rsidRDefault="00020F56" w:rsidP="00020F56">
      <w:pPr>
        <w:pStyle w:val="TeThHauorabullets"/>
        <w:numPr>
          <w:ilvl w:val="0"/>
          <w:numId w:val="0"/>
        </w:numPr>
        <w:ind w:left="360"/>
      </w:pPr>
    </w:p>
    <w:p w14:paraId="766B7F14" w14:textId="77777777" w:rsidR="00A971FE" w:rsidRPr="00E551E0" w:rsidRDefault="00A971FE" w:rsidP="00630E81">
      <w:pPr>
        <w:pStyle w:val="TeThHauorabodytext"/>
        <w:spacing w:after="0"/>
      </w:pPr>
      <w:r w:rsidRPr="00E551E0">
        <w:rPr>
          <w:sz w:val="44"/>
          <w:szCs w:val="44"/>
        </w:rPr>
        <w:lastRenderedPageBreak/>
        <w:t xml:space="preserve">□ </w:t>
      </w:r>
      <w:r w:rsidRPr="00E551E0">
        <w:rPr>
          <w:b/>
          <w:sz w:val="24"/>
          <w:szCs w:val="24"/>
        </w:rPr>
        <w:t>Know the starting point (understand the current process)</w:t>
      </w:r>
    </w:p>
    <w:p w14:paraId="14F716B5" w14:textId="77777777" w:rsidR="00A971FE" w:rsidRPr="00E551E0" w:rsidRDefault="00A971FE" w:rsidP="00A971FE">
      <w:r w:rsidRPr="00E551E0">
        <w:t>The organisation may have existing systems and processes in place to identify and treat sepsis. The project team should explore and understand the following questions.</w:t>
      </w:r>
    </w:p>
    <w:p w14:paraId="662EDBB8" w14:textId="77777777" w:rsidR="00A971FE" w:rsidRPr="00E551E0" w:rsidRDefault="00A971FE" w:rsidP="00630E81">
      <w:pPr>
        <w:pStyle w:val="TeThHauorabullets"/>
      </w:pPr>
      <w:r w:rsidRPr="00E551E0">
        <w:t xml:space="preserve">How do these systems currently operate? </w:t>
      </w:r>
    </w:p>
    <w:p w14:paraId="2EB00400" w14:textId="77777777" w:rsidR="00A971FE" w:rsidRPr="00E551E0" w:rsidRDefault="00A971FE" w:rsidP="00630E81">
      <w:pPr>
        <w:pStyle w:val="TeThHauorabullets"/>
      </w:pPr>
      <w:r w:rsidRPr="00E551E0">
        <w:t xml:space="preserve">Are there existing pathways currently in use, either electronic or manual? </w:t>
      </w:r>
    </w:p>
    <w:p w14:paraId="31964BE4" w14:textId="77777777" w:rsidR="00A971FE" w:rsidRPr="00E551E0" w:rsidRDefault="00A971FE" w:rsidP="00630E81">
      <w:pPr>
        <w:pStyle w:val="TeThHauorabullets"/>
      </w:pPr>
      <w:r w:rsidRPr="00E551E0">
        <w:t>How are staff trained and educated on sepsis management?</w:t>
      </w:r>
    </w:p>
    <w:p w14:paraId="6DEA4623" w14:textId="77777777" w:rsidR="00A971FE" w:rsidRPr="00E551E0" w:rsidRDefault="00A971FE" w:rsidP="00630E81">
      <w:pPr>
        <w:pStyle w:val="TeThHauorabullets"/>
      </w:pPr>
      <w:r w:rsidRPr="00E551E0">
        <w:t>Are there existing policies, procedures and guidelines for the management of sepsis?</w:t>
      </w:r>
    </w:p>
    <w:p w14:paraId="4F91A486" w14:textId="5BEC03FA" w:rsidR="00A971FE" w:rsidRPr="00E551E0" w:rsidRDefault="00A971FE" w:rsidP="00630E81">
      <w:pPr>
        <w:pStyle w:val="TeThHauorabullets"/>
        <w:spacing w:after="120"/>
      </w:pPr>
      <w:r w:rsidRPr="00E551E0">
        <w:t>What information is currently collected, who uses it, when is it reported and how are reports used? This may include data from audits, National Minimum Dataset</w:t>
      </w:r>
      <w:r w:rsidRPr="00E551E0">
        <w:rPr>
          <w:rStyle w:val="FootnoteReference"/>
        </w:rPr>
        <w:footnoteReference w:id="2"/>
      </w:r>
      <w:r w:rsidR="00630E81" w:rsidRPr="00E551E0">
        <w:t xml:space="preserve"> </w:t>
      </w:r>
      <w:r w:rsidRPr="00E551E0">
        <w:t xml:space="preserve">reports, adverse event reporting, complaints and compliments. </w:t>
      </w:r>
    </w:p>
    <w:p w14:paraId="2161939B" w14:textId="047C760D" w:rsidR="00A971FE" w:rsidRPr="00E551E0" w:rsidRDefault="00A971FE" w:rsidP="00630E81">
      <w:pPr>
        <w:pStyle w:val="TeThHauorabodytext"/>
      </w:pPr>
      <w:r w:rsidRPr="00E551E0">
        <w:t>The team should consider a retrospective audit of sepsis cases to identify barriers to (and</w:t>
      </w:r>
      <w:r w:rsidR="00630E81" w:rsidRPr="00E551E0">
        <w:t> </w:t>
      </w:r>
      <w:r w:rsidRPr="00E551E0">
        <w:t>enablers of) good care; it should identify challenges and opportunities and document its</w:t>
      </w:r>
      <w:r w:rsidR="00630E81" w:rsidRPr="00E551E0">
        <w:t> </w:t>
      </w:r>
      <w:r w:rsidRPr="00E551E0">
        <w:t>findings.</w:t>
      </w:r>
    </w:p>
    <w:p w14:paraId="37685C81"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Review the sepsis package</w:t>
      </w:r>
    </w:p>
    <w:p w14:paraId="39B1875F" w14:textId="77777777" w:rsidR="00A971FE" w:rsidRPr="00E551E0" w:rsidRDefault="00A971FE" w:rsidP="00630E81">
      <w:pPr>
        <w:pStyle w:val="TeThHauorabodytext"/>
      </w:pPr>
      <w:r w:rsidRPr="00E551E0">
        <w:t xml:space="preserve">The project team should review each component of the sepsis package, including the supporting resources, to gain a greater understanding of the requirements and identify necessary adjustments to standardise the existing system and processes. </w:t>
      </w:r>
    </w:p>
    <w:p w14:paraId="6AA31E6D"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Collect data to establish baseline</w:t>
      </w:r>
    </w:p>
    <w:p w14:paraId="0ED3306A" w14:textId="4ECBDF0C" w:rsidR="00A971FE" w:rsidRPr="00E551E0" w:rsidRDefault="00A971FE" w:rsidP="00630E81">
      <w:pPr>
        <w:pStyle w:val="TeThHauorabodytext"/>
      </w:pPr>
      <w:r w:rsidRPr="00E551E0">
        <w:t>The project team should begin collecting data to establish a baseline for the proposed measures. It should generate the necessary reports and share them with relevant stakeholders. See the measurement guide to learn more about baselines.</w:t>
      </w:r>
    </w:p>
    <w:p w14:paraId="16D57599" w14:textId="6D1EA54F" w:rsidR="001D2CFE" w:rsidRPr="002C1441" w:rsidRDefault="004373AC" w:rsidP="00630E81">
      <w:pPr>
        <w:pStyle w:val="TeThHauorabodytext"/>
      </w:pPr>
      <w:r w:rsidRPr="002C1441">
        <w:t>Sepsis quality improvement: measurement guide – www.hqsc.govt.n</w:t>
      </w:r>
      <w:r w:rsidR="00A83715" w:rsidRPr="002C1441">
        <w:t>z/sepsis</w:t>
      </w:r>
    </w:p>
    <w:p w14:paraId="56F50CCD" w14:textId="32F7F27E" w:rsidR="00A971FE" w:rsidRPr="00E551E0" w:rsidRDefault="00A971FE" w:rsidP="00A971FE">
      <w:pPr>
        <w:pStyle w:val="TeThHauorahead2"/>
      </w:pPr>
      <w:bookmarkStart w:id="20" w:name="_Toc204109824"/>
      <w:bookmarkStart w:id="21" w:name="_Toc207862751"/>
      <w:r w:rsidRPr="00E551E0">
        <w:t>Stage 3: Test the Sepsis Pathway</w:t>
      </w:r>
      <w:bookmarkEnd w:id="20"/>
      <w:bookmarkEnd w:id="21"/>
    </w:p>
    <w:p w14:paraId="11F8FA74" w14:textId="77777777" w:rsidR="00A971FE" w:rsidRPr="00E551E0" w:rsidRDefault="00A971FE" w:rsidP="00630E81">
      <w:pPr>
        <w:pStyle w:val="TeThHauorabodytext"/>
      </w:pPr>
      <w:r w:rsidRPr="00E551E0">
        <w:t>This stage provides an opportunity to test the national Sepsis Pathway and supporting materials to ensure they are fit for purpose, assess their suitability and allow for customisation.</w:t>
      </w:r>
    </w:p>
    <w:p w14:paraId="17ACEFC9"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Agree on the approach to test the national Sepsis Pathway</w:t>
      </w:r>
    </w:p>
    <w:p w14:paraId="6077BBF9" w14:textId="2695AB92" w:rsidR="00A971FE" w:rsidRPr="00E551E0" w:rsidRDefault="00A971FE" w:rsidP="00630E81">
      <w:pPr>
        <w:pStyle w:val="TeThHauorabodytext"/>
      </w:pPr>
      <w:r w:rsidRPr="00E551E0">
        <w:t xml:space="preserve">The national </w:t>
      </w:r>
      <w:r w:rsidRPr="008D0E42">
        <w:t>Sepsis Pathway for adult, paediatric and maternity</w:t>
      </w:r>
      <w:r w:rsidRPr="00E551E0">
        <w:t xml:space="preserve"> are based on best practice. However, the individual steps and flow of the Pathway may require local customisation to ensure they are fit for purpose. </w:t>
      </w:r>
    </w:p>
    <w:p w14:paraId="6C732402" w14:textId="77777777" w:rsidR="00A971FE" w:rsidRPr="00E551E0" w:rsidRDefault="00A971FE" w:rsidP="00630E81">
      <w:pPr>
        <w:pStyle w:val="TeThHauorabodytext"/>
      </w:pPr>
      <w:r w:rsidRPr="00E551E0">
        <w:t xml:space="preserve">We recommend testing of the Pathway in acute and inpatient areas; this should include adult, maternity and paediatric patient cohorts. </w:t>
      </w:r>
    </w:p>
    <w:p w14:paraId="183957CA" w14:textId="77777777" w:rsidR="00A971FE" w:rsidRPr="00E551E0" w:rsidRDefault="00A971FE" w:rsidP="00630E81">
      <w:pPr>
        <w:pStyle w:val="TeThHauorabodytext"/>
      </w:pPr>
      <w:r w:rsidRPr="00E551E0">
        <w:lastRenderedPageBreak/>
        <w:t>The project team should identify what will be tested and in which clinical areas. It should engage relevant teams, inform stakeholders and prepare clinical areas for the testing process. Pathways can be tested using a single patient or a group of patients.</w:t>
      </w:r>
    </w:p>
    <w:p w14:paraId="6AE9ABFC" w14:textId="77777777" w:rsidR="00A971FE" w:rsidRPr="00E551E0" w:rsidRDefault="00A971FE" w:rsidP="00630E81">
      <w:pPr>
        <w:pStyle w:val="TeThHauorabodytext"/>
      </w:pPr>
      <w:r w:rsidRPr="00E551E0">
        <w:t xml:space="preserve">Each test will provide valuable learning and help identify opportunities for improvement. Once changes are made, the team should continue testing them until it is confident the pathway is refined and consistently delivers the desired outcomes. </w:t>
      </w:r>
    </w:p>
    <w:p w14:paraId="2177C6F4" w14:textId="77777777" w:rsidR="00A971FE" w:rsidRPr="00E551E0" w:rsidRDefault="00A971FE" w:rsidP="00630E81">
      <w:pPr>
        <w:pStyle w:val="TeThHauorabodytext"/>
      </w:pPr>
      <w:r w:rsidRPr="00E551E0">
        <w:t>If the Sepsis Pathway is integrated into electronic patient management systems, the team should simulate the changes to test the Pathway to ensure it is fit for purpose.</w:t>
      </w:r>
    </w:p>
    <w:p w14:paraId="0B184168"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Test the Sepsis Pathway</w:t>
      </w:r>
      <w:r w:rsidRPr="00E551E0">
        <w:rPr>
          <w:sz w:val="24"/>
          <w:szCs w:val="24"/>
        </w:rPr>
        <w:t xml:space="preserve"> </w:t>
      </w:r>
    </w:p>
    <w:p w14:paraId="3C91E030" w14:textId="77777777" w:rsidR="00A971FE" w:rsidRPr="00E551E0" w:rsidRDefault="00A971FE" w:rsidP="00630E81">
      <w:pPr>
        <w:pStyle w:val="TeThHauorabodytext"/>
      </w:pPr>
      <w:r w:rsidRPr="00E551E0">
        <w:t xml:space="preserve">The project team should test the Sepsis Pathway and any relevant package materials and gather feedback from users. It should review the findings, identify necessary adjustments and then re-test the Pathway to ensure it functions as intended. </w:t>
      </w:r>
    </w:p>
    <w:p w14:paraId="43526E20" w14:textId="77777777" w:rsidR="00A971FE" w:rsidRPr="00E551E0" w:rsidRDefault="00A971FE" w:rsidP="00A971FE">
      <w:pPr>
        <w:pStyle w:val="TeThHauorahead2"/>
      </w:pPr>
      <w:bookmarkStart w:id="22" w:name="_Toc204109825"/>
      <w:bookmarkStart w:id="23" w:name="_Toc207862752"/>
      <w:r w:rsidRPr="00E551E0">
        <w:t>Stage 4: Implement and spread the package</w:t>
      </w:r>
      <w:bookmarkEnd w:id="22"/>
      <w:bookmarkEnd w:id="23"/>
    </w:p>
    <w:p w14:paraId="4C578F8D" w14:textId="77777777" w:rsidR="00A971FE" w:rsidRPr="00E551E0" w:rsidRDefault="00A971FE" w:rsidP="00630E81">
      <w:pPr>
        <w:pStyle w:val="TeThHauorabodytext"/>
      </w:pPr>
      <w:r w:rsidRPr="00E551E0">
        <w:t xml:space="preserve">Stage 4 marks the start of full implementation and ongoing auditing. In this stage, relevant policies and supporting documents are updated, staff are </w:t>
      </w:r>
      <w:proofErr w:type="gramStart"/>
      <w:r w:rsidRPr="00E551E0">
        <w:t>trained</w:t>
      </w:r>
      <w:proofErr w:type="gramEnd"/>
      <w:r w:rsidRPr="00E551E0">
        <w:t xml:space="preserve"> and the project is actively promoted. The project team begins implementing each component of the sepsis package according to the agreed approach in the selected clinical areas.</w:t>
      </w:r>
    </w:p>
    <w:p w14:paraId="562AEA77" w14:textId="77777777" w:rsidR="00A971FE" w:rsidRPr="00E551E0" w:rsidRDefault="00A971FE" w:rsidP="00630E81">
      <w:pPr>
        <w:pStyle w:val="TeThHauorabodytext"/>
      </w:pPr>
      <w:r w:rsidRPr="00E551E0">
        <w:t>From a quality improvement perspective, implementation means embedding the changes into existing systems and establishing them as part of standard practice. This may occur within a single clinical area or be scaled across a hospital.</w:t>
      </w:r>
    </w:p>
    <w:p w14:paraId="4771B3B1" w14:textId="77777777" w:rsidR="00A971FE" w:rsidRPr="00E551E0" w:rsidRDefault="00A971FE" w:rsidP="00630E81">
      <w:pPr>
        <w:pStyle w:val="TeThHauorabodytext"/>
        <w:spacing w:after="0"/>
      </w:pPr>
      <w:r w:rsidRPr="00E551E0">
        <w:rPr>
          <w:sz w:val="44"/>
          <w:szCs w:val="44"/>
        </w:rPr>
        <w:t xml:space="preserve">□ </w:t>
      </w:r>
      <w:r w:rsidRPr="00E551E0">
        <w:rPr>
          <w:b/>
          <w:sz w:val="24"/>
          <w:szCs w:val="24"/>
        </w:rPr>
        <w:t>Develop an implementation plan and approach</w:t>
      </w:r>
      <w:r w:rsidRPr="00E551E0">
        <w:rPr>
          <w:sz w:val="24"/>
          <w:szCs w:val="24"/>
        </w:rPr>
        <w:t xml:space="preserve"> </w:t>
      </w:r>
    </w:p>
    <w:p w14:paraId="70076CAF" w14:textId="77777777" w:rsidR="00A971FE" w:rsidRPr="00E551E0" w:rsidRDefault="00A971FE" w:rsidP="00630E81">
      <w:pPr>
        <w:pStyle w:val="TeThHauorabodytext"/>
      </w:pPr>
      <w:r w:rsidRPr="00E551E0">
        <w:t>The project team should collaborate with sponsors, stakeholders and clinical teams to plan the implementation and spread of the sepsis package beyond the initial test areas. It should use the planning and insights from the testing phase as a foundation to determine which components to implement more broadly.</w:t>
      </w:r>
    </w:p>
    <w:p w14:paraId="67E1582E" w14:textId="77777777" w:rsidR="00A971FE" w:rsidRPr="00E551E0" w:rsidRDefault="00A971FE" w:rsidP="00630E81">
      <w:pPr>
        <w:pStyle w:val="TeThHauorabodytext"/>
      </w:pPr>
      <w:r w:rsidRPr="00E551E0">
        <w:t>The team should apply the implementation approach agreed on in Stage 2.</w:t>
      </w:r>
    </w:p>
    <w:p w14:paraId="4B00B80C" w14:textId="77777777" w:rsidR="00A971FE" w:rsidRPr="00E551E0" w:rsidRDefault="00A971FE" w:rsidP="00630E81">
      <w:pPr>
        <w:pStyle w:val="TeThHauorabodytext"/>
      </w:pPr>
      <w:r w:rsidRPr="00E551E0">
        <w:t>The team should agree on how implementation will be phased in across the hospital and develop a clear communication strategy for staff. This should include timelines, key messages and the planned approach for education and training.</w:t>
      </w:r>
    </w:p>
    <w:p w14:paraId="75A18E4E" w14:textId="77777777" w:rsidR="00A971FE" w:rsidRPr="00E551E0" w:rsidRDefault="00A971FE" w:rsidP="00630E81">
      <w:pPr>
        <w:pStyle w:val="TeThHauorabodytext"/>
        <w:spacing w:after="0"/>
        <w:rPr>
          <w:b/>
          <w:sz w:val="24"/>
          <w:szCs w:val="24"/>
        </w:rPr>
      </w:pPr>
      <w:bookmarkStart w:id="24" w:name="_Toc201659446"/>
      <w:bookmarkStart w:id="25" w:name="_Toc202964643"/>
      <w:r w:rsidRPr="00E551E0">
        <w:rPr>
          <w:sz w:val="44"/>
          <w:szCs w:val="44"/>
        </w:rPr>
        <w:t xml:space="preserve">□ </w:t>
      </w:r>
      <w:r w:rsidRPr="00E551E0">
        <w:rPr>
          <w:b/>
          <w:sz w:val="24"/>
          <w:szCs w:val="24"/>
        </w:rPr>
        <w:t>Replace old materials with new ones</w:t>
      </w:r>
      <w:bookmarkEnd w:id="24"/>
      <w:bookmarkEnd w:id="25"/>
    </w:p>
    <w:p w14:paraId="51DD4065" w14:textId="77777777" w:rsidR="00A971FE" w:rsidRPr="00E551E0" w:rsidRDefault="00A971FE" w:rsidP="00630E81">
      <w:pPr>
        <w:pStyle w:val="TeThHauorabodytext"/>
      </w:pPr>
      <w:r w:rsidRPr="00E551E0">
        <w:t xml:space="preserve">The project team should confirm the date and time the new pathway will be introduced in clinical areas and ensure the removal of the old version and any other outdated materials. </w:t>
      </w:r>
    </w:p>
    <w:p w14:paraId="2FFC387C" w14:textId="77777777" w:rsidR="00A971FE" w:rsidRPr="00E551E0" w:rsidRDefault="00A971FE" w:rsidP="00630E81">
      <w:pPr>
        <w:pStyle w:val="TeThHauorabodytext"/>
      </w:pPr>
      <w:r w:rsidRPr="00E551E0">
        <w:t xml:space="preserve">If the Sepsis Pathway is integrated into electronic patient management systems, then the team should consult with the IT team in advance to accommodate the changes. </w:t>
      </w:r>
    </w:p>
    <w:p w14:paraId="7A0FC60F" w14:textId="77777777"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Update policy, procedure and documents</w:t>
      </w:r>
    </w:p>
    <w:p w14:paraId="4A2E258F" w14:textId="77777777" w:rsidR="00A971FE" w:rsidRPr="00E551E0" w:rsidRDefault="00A971FE" w:rsidP="00630E81">
      <w:pPr>
        <w:pStyle w:val="TeThHauorabodytext"/>
      </w:pPr>
      <w:r w:rsidRPr="00E551E0">
        <w:t>Changes identified during testing should inform updates to existing policies and procedures. The project team should engage stakeholders and clinical teams to agree on the necessary revisions and follow the local process to update all relevant documents.</w:t>
      </w:r>
    </w:p>
    <w:p w14:paraId="6763BF61" w14:textId="77777777" w:rsidR="00A971FE" w:rsidRPr="00E551E0" w:rsidRDefault="00A971FE" w:rsidP="00630E81">
      <w:pPr>
        <w:pStyle w:val="TeThHauorabodytext"/>
        <w:spacing w:after="0"/>
        <w:rPr>
          <w:b/>
          <w:sz w:val="24"/>
          <w:szCs w:val="24"/>
        </w:rPr>
      </w:pPr>
      <w:r w:rsidRPr="00E551E0">
        <w:rPr>
          <w:sz w:val="44"/>
          <w:szCs w:val="44"/>
        </w:rPr>
        <w:lastRenderedPageBreak/>
        <w:t xml:space="preserve">□ </w:t>
      </w:r>
      <w:r w:rsidRPr="00E551E0">
        <w:rPr>
          <w:b/>
          <w:sz w:val="24"/>
          <w:szCs w:val="24"/>
        </w:rPr>
        <w:t>Staff training on updated processes</w:t>
      </w:r>
    </w:p>
    <w:p w14:paraId="78B1E3AC" w14:textId="574D2023" w:rsidR="00A971FE" w:rsidRPr="00E551E0" w:rsidRDefault="00A971FE" w:rsidP="00630E81">
      <w:pPr>
        <w:pStyle w:val="TeThHauorabodytext"/>
      </w:pPr>
      <w:r w:rsidRPr="00E551E0">
        <w:t>It is essential to train all staff</w:t>
      </w:r>
      <w:r w:rsidR="009B7C39" w:rsidRPr="00E551E0">
        <w:t xml:space="preserve"> </w:t>
      </w:r>
      <w:r w:rsidRPr="00E551E0">
        <w:t xml:space="preserve">who will use the Sepsis Pathway. The project team should provide training or refresher sessions to current, new and ad hoc staff, using the methods and guidelines outlined in the </w:t>
      </w:r>
      <w:r w:rsidRPr="003C40E1">
        <w:t>education resources</w:t>
      </w:r>
      <w:r w:rsidRPr="00E551E0">
        <w:t xml:space="preserve"> included in the package. </w:t>
      </w:r>
    </w:p>
    <w:p w14:paraId="5B782BDA" w14:textId="77777777"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Promote sepsis package implementation</w:t>
      </w:r>
    </w:p>
    <w:p w14:paraId="2C373977" w14:textId="3BF7BA6C" w:rsidR="00A971FE" w:rsidRPr="00E551E0" w:rsidRDefault="00A971FE" w:rsidP="00630E81">
      <w:pPr>
        <w:pStyle w:val="TeThHauorabodytext"/>
      </w:pPr>
      <w:r w:rsidRPr="00E551E0">
        <w:t>The project team should use available promotional materials to socialise and promote the</w:t>
      </w:r>
      <w:r w:rsidR="00D9798E" w:rsidRPr="00E551E0">
        <w:t> </w:t>
      </w:r>
      <w:r w:rsidRPr="00E551E0">
        <w:t>changes. The communications plan should outline the method and approach of all promotional activities.</w:t>
      </w:r>
    </w:p>
    <w:p w14:paraId="5DA459F4" w14:textId="77777777"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Initiate audits and data reporting</w:t>
      </w:r>
    </w:p>
    <w:p w14:paraId="051BC9AC" w14:textId="77777777" w:rsidR="00A971FE" w:rsidRPr="00E551E0" w:rsidRDefault="00A971FE" w:rsidP="00630E81">
      <w:pPr>
        <w:pStyle w:val="TeThHauorabodytext"/>
      </w:pPr>
      <w:r w:rsidRPr="00E551E0">
        <w:t>The project team should commence auditing in line with the data collection plan established in earlier stages. The team should analyse the results and report outcomes to relevant stakeholders as agreed, supporting transparency and ongoing improvement.</w:t>
      </w:r>
    </w:p>
    <w:p w14:paraId="161491C5" w14:textId="77777777" w:rsidR="00A971FE" w:rsidRPr="00E551E0" w:rsidRDefault="00A971FE" w:rsidP="00A971FE">
      <w:pPr>
        <w:pStyle w:val="TeThHauorahead2"/>
      </w:pPr>
      <w:bookmarkStart w:id="26" w:name="_Toc204109826"/>
      <w:bookmarkStart w:id="27" w:name="_Toc207862753"/>
      <w:r w:rsidRPr="00E551E0">
        <w:t>Stage 5: Sustain the changes</w:t>
      </w:r>
      <w:bookmarkEnd w:id="26"/>
      <w:bookmarkEnd w:id="27"/>
    </w:p>
    <w:p w14:paraId="2E28F494" w14:textId="77777777" w:rsidR="00A971FE" w:rsidRPr="00E551E0" w:rsidRDefault="00A971FE" w:rsidP="00630E81">
      <w:pPr>
        <w:pStyle w:val="TeThHauorabodytext"/>
      </w:pPr>
      <w:r w:rsidRPr="00E551E0">
        <w:t>Sustaining improvement requires ongoing commitment, monitoring and adaptation, to ensure that changes are embedded into everyday practice. This section outlines key strategies to support long-term sustainability.</w:t>
      </w:r>
    </w:p>
    <w:p w14:paraId="3058894D" w14:textId="231A5F8C"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 xml:space="preserve">Ongoing </w:t>
      </w:r>
      <w:r w:rsidR="00B1556F">
        <w:rPr>
          <w:b/>
          <w:sz w:val="24"/>
          <w:szCs w:val="24"/>
        </w:rPr>
        <w:t>use</w:t>
      </w:r>
      <w:r w:rsidRPr="00E551E0">
        <w:rPr>
          <w:b/>
          <w:sz w:val="24"/>
          <w:szCs w:val="24"/>
        </w:rPr>
        <w:t xml:space="preserve"> of data</w:t>
      </w:r>
    </w:p>
    <w:p w14:paraId="4F98193A" w14:textId="77777777" w:rsidR="00A971FE" w:rsidRPr="00E551E0" w:rsidRDefault="00A971FE" w:rsidP="00630E81">
      <w:pPr>
        <w:pStyle w:val="TeThHauorabodytext"/>
      </w:pPr>
      <w:r w:rsidRPr="00E551E0">
        <w:t>The project team should collect and use data to continuously monitor and assess whether changes are being sustained. The team should set long-term goals and targets and track progress regularly. It should continue reporting on key measures to support transparency and accountability.</w:t>
      </w:r>
    </w:p>
    <w:p w14:paraId="190CA023" w14:textId="77777777"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Ensure leadership continuity</w:t>
      </w:r>
    </w:p>
    <w:p w14:paraId="14681EEE" w14:textId="77777777" w:rsidR="00A971FE" w:rsidRPr="00E551E0" w:rsidRDefault="00A971FE" w:rsidP="00630E81">
      <w:pPr>
        <w:pStyle w:val="TeThHauorabodytext"/>
      </w:pPr>
      <w:r w:rsidRPr="00E551E0">
        <w:t>The project team should maintain long-term leadership and oversight through the clinical governance group. It should ensure the group remains actively engaged by conducting regular reviews of systems and processes. The team should use dashboards and data visualisations to support monitoring and sustainability.</w:t>
      </w:r>
    </w:p>
    <w:p w14:paraId="79775D7C" w14:textId="77777777" w:rsidR="00A971FE" w:rsidRPr="00E551E0" w:rsidRDefault="00A971FE" w:rsidP="00630E81">
      <w:pPr>
        <w:pStyle w:val="TeThHauorabodytext"/>
        <w:spacing w:after="0"/>
        <w:rPr>
          <w:b/>
          <w:sz w:val="24"/>
          <w:szCs w:val="24"/>
        </w:rPr>
      </w:pPr>
      <w:r w:rsidRPr="00E551E0">
        <w:rPr>
          <w:sz w:val="44"/>
          <w:szCs w:val="44"/>
        </w:rPr>
        <w:t xml:space="preserve">□ </w:t>
      </w:r>
      <w:r w:rsidRPr="00E551E0">
        <w:rPr>
          <w:b/>
          <w:sz w:val="24"/>
          <w:szCs w:val="24"/>
        </w:rPr>
        <w:t>Ongoing training and education</w:t>
      </w:r>
    </w:p>
    <w:p w14:paraId="734A53C2" w14:textId="40C55BA5" w:rsidR="00A971FE" w:rsidRPr="00E551E0" w:rsidRDefault="00A971FE" w:rsidP="00630E81">
      <w:pPr>
        <w:pStyle w:val="TeThHauorabodytext"/>
      </w:pPr>
      <w:r w:rsidRPr="00E551E0">
        <w:t>The project team should provide regular training on updated processes to ensure all staff</w:t>
      </w:r>
      <w:r w:rsidR="00D9798E" w:rsidRPr="00E551E0">
        <w:t xml:space="preserve"> </w:t>
      </w:r>
      <w:r w:rsidRPr="00E551E0">
        <w:t>–</w:t>
      </w:r>
      <w:r w:rsidR="00D9798E" w:rsidRPr="00E551E0">
        <w:t> </w:t>
      </w:r>
      <w:r w:rsidRPr="00E551E0">
        <w:t>new, current and temporary – remain aligned with best practices and know how to use the Sepsis pathway.</w:t>
      </w:r>
      <w:r w:rsidR="009B7C39" w:rsidRPr="00E551E0">
        <w:t xml:space="preserve"> </w:t>
      </w:r>
      <w:r w:rsidRPr="00E551E0">
        <w:t>The team should offer periodic refresher courses and develop a system for collecting and acting on clinician feedback to support continuous improvement and consistent practice.</w:t>
      </w:r>
    </w:p>
    <w:p w14:paraId="060EC461" w14:textId="77777777" w:rsidR="00A971FE" w:rsidRPr="00E551E0" w:rsidRDefault="00A971FE" w:rsidP="00630E81">
      <w:pPr>
        <w:pStyle w:val="TeThHauorabodytext"/>
      </w:pPr>
      <w:r w:rsidRPr="00E551E0">
        <w:rPr>
          <w:shd w:val="clear" w:color="auto" w:fill="FFFFFF"/>
        </w:rPr>
        <w:t xml:space="preserve">If you need more information or have any queries, please contact </w:t>
      </w:r>
      <w:hyperlink r:id="rId25" w:history="1">
        <w:r w:rsidRPr="00E551E0">
          <w:rPr>
            <w:rStyle w:val="Hyperlink"/>
          </w:rPr>
          <w:t>sepsis@hqsc.govt.nz</w:t>
        </w:r>
      </w:hyperlink>
      <w:r w:rsidRPr="00E551E0">
        <w:t>.</w:t>
      </w:r>
    </w:p>
    <w:p w14:paraId="6593F361" w14:textId="77777777" w:rsidR="00A971FE" w:rsidRPr="00E551E0" w:rsidRDefault="00A971FE" w:rsidP="00A971FE">
      <w:pPr>
        <w:spacing w:after="200"/>
        <w:rPr>
          <w:rFonts w:cs="Arial"/>
        </w:rPr>
      </w:pPr>
      <w:r w:rsidRPr="00E551E0">
        <w:br w:type="page"/>
      </w:r>
    </w:p>
    <w:p w14:paraId="77ECC6FF" w14:textId="728F5D17" w:rsidR="00A971FE" w:rsidRPr="00E551E0" w:rsidRDefault="00A971FE" w:rsidP="00630E81">
      <w:pPr>
        <w:pStyle w:val="TeThHauorahead1"/>
        <w:spacing w:before="0" w:after="360"/>
      </w:pPr>
      <w:bookmarkStart w:id="28" w:name="_Toc204109827"/>
      <w:bookmarkStart w:id="29" w:name="_Toc207862754"/>
      <w:r w:rsidRPr="00E551E0">
        <w:lastRenderedPageBreak/>
        <w:t>Appendix 1: Content of sepsis package</w:t>
      </w:r>
      <w:bookmarkEnd w:id="28"/>
      <w:r w:rsidR="00850E84">
        <w:t xml:space="preserve"> </w:t>
      </w:r>
      <w:r w:rsidR="005652D7" w:rsidRPr="00A200DD">
        <w:t>|</w:t>
      </w:r>
      <w:r w:rsidR="005652D7">
        <w:t xml:space="preserve"> </w:t>
      </w:r>
      <w:proofErr w:type="spellStart"/>
      <w:r w:rsidR="00175810" w:rsidRPr="00175810">
        <w:t>Āpitihanga</w:t>
      </w:r>
      <w:proofErr w:type="spellEnd"/>
      <w:r w:rsidR="00175810" w:rsidRPr="00175810">
        <w:t xml:space="preserve"> 1: </w:t>
      </w:r>
      <w:proofErr w:type="spellStart"/>
      <w:r w:rsidR="00175810" w:rsidRPr="00175810">
        <w:t>Tā</w:t>
      </w:r>
      <w:proofErr w:type="spellEnd"/>
      <w:r w:rsidR="00175810" w:rsidRPr="00175810">
        <w:t xml:space="preserve"> </w:t>
      </w:r>
      <w:proofErr w:type="spellStart"/>
      <w:r w:rsidR="00175810" w:rsidRPr="00175810">
        <w:t>te</w:t>
      </w:r>
      <w:proofErr w:type="spellEnd"/>
      <w:r w:rsidR="00175810" w:rsidRPr="00175810">
        <w:t xml:space="preserve"> </w:t>
      </w:r>
      <w:proofErr w:type="spellStart"/>
      <w:r w:rsidR="00175810" w:rsidRPr="00175810">
        <w:t>kōpaki</w:t>
      </w:r>
      <w:proofErr w:type="spellEnd"/>
      <w:r w:rsidR="00175810" w:rsidRPr="00175810">
        <w:t xml:space="preserve"> mate </w:t>
      </w:r>
      <w:proofErr w:type="spellStart"/>
      <w:r w:rsidR="00175810" w:rsidRPr="00175810">
        <w:t>kitakita</w:t>
      </w:r>
      <w:proofErr w:type="spellEnd"/>
      <w:r w:rsidR="00175810" w:rsidRPr="00175810">
        <w:t xml:space="preserve"> </w:t>
      </w:r>
      <w:proofErr w:type="spellStart"/>
      <w:r w:rsidR="00175810" w:rsidRPr="00175810">
        <w:t>pīrau</w:t>
      </w:r>
      <w:bookmarkEnd w:id="29"/>
      <w:proofErr w:type="spellEnd"/>
    </w:p>
    <w:tbl>
      <w:tblPr>
        <w:tblStyle w:val="TableGrid"/>
        <w:tblW w:w="0" w:type="auto"/>
        <w:tblBorders>
          <w:left w:val="none" w:sz="0" w:space="0" w:color="auto"/>
          <w:bottom w:val="none" w:sz="0" w:space="0" w:color="auto"/>
          <w:right w:val="none" w:sz="0" w:space="0" w:color="auto"/>
        </w:tblBorders>
        <w:shd w:val="clear" w:color="auto" w:fill="F2F2F2"/>
        <w:tblLook w:val="04A0" w:firstRow="1" w:lastRow="0" w:firstColumn="1" w:lastColumn="0" w:noHBand="0" w:noVBand="1"/>
      </w:tblPr>
      <w:tblGrid>
        <w:gridCol w:w="2689"/>
        <w:gridCol w:w="6095"/>
      </w:tblGrid>
      <w:tr w:rsidR="00A971FE" w:rsidRPr="00E551E0" w14:paraId="2A391C43" w14:textId="77777777" w:rsidTr="004F3108">
        <w:tc>
          <w:tcPr>
            <w:tcW w:w="2689" w:type="dxa"/>
            <w:shd w:val="clear" w:color="auto" w:fill="F2F2F2"/>
            <w:hideMark/>
          </w:tcPr>
          <w:p w14:paraId="519B2104" w14:textId="77777777" w:rsidR="00A971FE" w:rsidRPr="00E551E0" w:rsidRDefault="00A971FE" w:rsidP="0066120F">
            <w:pPr>
              <w:pStyle w:val="TeThHauoratablecolumnhead"/>
            </w:pPr>
            <w:r w:rsidRPr="00E551E0">
              <w:t xml:space="preserve">Core component </w:t>
            </w:r>
          </w:p>
        </w:tc>
        <w:tc>
          <w:tcPr>
            <w:tcW w:w="6095" w:type="dxa"/>
            <w:shd w:val="clear" w:color="auto" w:fill="F2F2F2"/>
            <w:hideMark/>
          </w:tcPr>
          <w:p w14:paraId="474E845F" w14:textId="4F9269EA" w:rsidR="00A971FE" w:rsidRPr="00E551E0" w:rsidRDefault="00A971FE" w:rsidP="0066120F">
            <w:pPr>
              <w:pStyle w:val="TeThHauoratablecolumnhead"/>
            </w:pPr>
            <w:r w:rsidRPr="00E551E0">
              <w:t>Specific tools</w:t>
            </w:r>
            <w:r w:rsidR="001D75C3">
              <w:t>/resources</w:t>
            </w:r>
          </w:p>
        </w:tc>
      </w:tr>
    </w:tbl>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2689"/>
        <w:gridCol w:w="6095"/>
      </w:tblGrid>
      <w:tr w:rsidR="00A971FE" w:rsidRPr="00E551E0" w14:paraId="24EF8FF4" w14:textId="77777777" w:rsidTr="00B85166">
        <w:tc>
          <w:tcPr>
            <w:tcW w:w="2689" w:type="dxa"/>
            <w:hideMark/>
          </w:tcPr>
          <w:p w14:paraId="6BFDF175" w14:textId="77777777" w:rsidR="00A971FE" w:rsidRPr="00E551E0" w:rsidRDefault="00A971FE" w:rsidP="004F3108">
            <w:pPr>
              <w:pStyle w:val="TeThHauoratablecontent"/>
            </w:pPr>
            <w:r w:rsidRPr="00E551E0">
              <w:t>Clinical tools and guides</w:t>
            </w:r>
          </w:p>
        </w:tc>
        <w:tc>
          <w:tcPr>
            <w:tcW w:w="6095" w:type="dxa"/>
            <w:hideMark/>
          </w:tcPr>
          <w:p w14:paraId="0824FB69" w14:textId="54D618DF" w:rsidR="00A971FE" w:rsidRPr="00E551E0" w:rsidRDefault="00A971FE" w:rsidP="00B85166">
            <w:pPr>
              <w:pStyle w:val="TeThHauorabullets"/>
              <w:spacing w:before="60"/>
            </w:pPr>
            <w:r w:rsidRPr="00E551E0">
              <w:t>Sepsis pathways for adult, matern</w:t>
            </w:r>
            <w:r w:rsidR="003269B7">
              <w:t>ity</w:t>
            </w:r>
            <w:r w:rsidR="009B7C39" w:rsidRPr="00E551E0">
              <w:t xml:space="preserve"> </w:t>
            </w:r>
            <w:r w:rsidRPr="00E551E0">
              <w:t>and paediatrics</w:t>
            </w:r>
          </w:p>
          <w:p w14:paraId="0DCD9FD3" w14:textId="77777777" w:rsidR="00A971FE" w:rsidRPr="00E551E0" w:rsidRDefault="00A971FE" w:rsidP="00B85166">
            <w:pPr>
              <w:pStyle w:val="TeThHauorabullets"/>
              <w:spacing w:before="60"/>
            </w:pPr>
            <w:r w:rsidRPr="00E551E0">
              <w:t>Pathway user guide</w:t>
            </w:r>
          </w:p>
          <w:p w14:paraId="2479095E" w14:textId="77777777" w:rsidR="00A971FE" w:rsidRPr="00E551E0" w:rsidRDefault="00A971FE" w:rsidP="00B85166">
            <w:pPr>
              <w:pStyle w:val="TeThHauorabullets"/>
              <w:spacing w:before="60"/>
            </w:pPr>
            <w:r w:rsidRPr="00E551E0">
              <w:t>Clinical guide for sepsis management</w:t>
            </w:r>
          </w:p>
          <w:p w14:paraId="526918F7" w14:textId="77777777" w:rsidR="00A971FE" w:rsidRPr="00E551E0" w:rsidRDefault="00A971FE" w:rsidP="00B85166">
            <w:pPr>
              <w:pStyle w:val="TeThHauorabullets"/>
              <w:spacing w:before="60"/>
            </w:pPr>
            <w:r w:rsidRPr="00E551E0">
              <w:t>Hypoperfusion pathway</w:t>
            </w:r>
          </w:p>
        </w:tc>
      </w:tr>
      <w:tr w:rsidR="00A971FE" w:rsidRPr="00E551E0" w14:paraId="6E84F7EB" w14:textId="77777777" w:rsidTr="00B85166">
        <w:tc>
          <w:tcPr>
            <w:tcW w:w="2689" w:type="dxa"/>
            <w:hideMark/>
          </w:tcPr>
          <w:p w14:paraId="15723D6A" w14:textId="77777777" w:rsidR="00A971FE" w:rsidRPr="00E551E0" w:rsidRDefault="00A971FE" w:rsidP="004F3108">
            <w:pPr>
              <w:pStyle w:val="TeThHauoratablecontent"/>
              <w:rPr>
                <w:b/>
                <w:bCs/>
              </w:rPr>
            </w:pPr>
            <w:r w:rsidRPr="00E551E0">
              <w:t>Educational materials</w:t>
            </w:r>
          </w:p>
        </w:tc>
        <w:tc>
          <w:tcPr>
            <w:tcW w:w="6095" w:type="dxa"/>
            <w:hideMark/>
          </w:tcPr>
          <w:p w14:paraId="5AAAC0B5" w14:textId="77777777" w:rsidR="00A971FE" w:rsidRPr="00E551E0" w:rsidRDefault="00A971FE" w:rsidP="00B85166">
            <w:pPr>
              <w:pStyle w:val="TeThHauorabullets"/>
              <w:spacing w:before="60"/>
            </w:pPr>
            <w:r w:rsidRPr="00E551E0">
              <w:t>Education plan</w:t>
            </w:r>
          </w:p>
          <w:p w14:paraId="63AFB83E" w14:textId="77777777" w:rsidR="00A971FE" w:rsidRPr="00E551E0" w:rsidRDefault="00A971FE" w:rsidP="00B85166">
            <w:pPr>
              <w:pStyle w:val="TeThHauorabullets"/>
              <w:spacing w:before="60"/>
            </w:pPr>
            <w:r w:rsidRPr="00E551E0">
              <w:t>e-learning module with case studies and optional videos</w:t>
            </w:r>
          </w:p>
          <w:p w14:paraId="673C1037" w14:textId="77777777" w:rsidR="00A971FE" w:rsidRDefault="00A971FE" w:rsidP="00B85166">
            <w:pPr>
              <w:pStyle w:val="TeThHauorabullets"/>
              <w:spacing w:before="60"/>
            </w:pPr>
            <w:r w:rsidRPr="00E551E0">
              <w:t>PowerPoint slides</w:t>
            </w:r>
          </w:p>
          <w:p w14:paraId="347F2480" w14:textId="41F2992A" w:rsidR="00AB30C5" w:rsidRPr="00E551E0" w:rsidRDefault="00AB30C5" w:rsidP="00B85166">
            <w:pPr>
              <w:pStyle w:val="TeThHauorabullets"/>
              <w:spacing w:before="60"/>
            </w:pPr>
            <w:r>
              <w:t>Staff knowledge survey</w:t>
            </w:r>
          </w:p>
          <w:p w14:paraId="06470B31" w14:textId="57760FFC" w:rsidR="00A971FE" w:rsidRPr="00E551E0" w:rsidRDefault="00A971FE" w:rsidP="00B85166">
            <w:pPr>
              <w:pStyle w:val="TeThHauorabullets"/>
              <w:spacing w:before="60"/>
            </w:pPr>
            <w:r w:rsidRPr="00E551E0">
              <w:t>Simulation checklist</w:t>
            </w:r>
            <w:r w:rsidR="00CF3246">
              <w:t xml:space="preserve"> and VEMS training resource</w:t>
            </w:r>
          </w:p>
        </w:tc>
      </w:tr>
      <w:tr w:rsidR="00A971FE" w:rsidRPr="00E551E0" w14:paraId="0D094EC1" w14:textId="77777777" w:rsidTr="00B85166">
        <w:tc>
          <w:tcPr>
            <w:tcW w:w="2689" w:type="dxa"/>
            <w:hideMark/>
          </w:tcPr>
          <w:p w14:paraId="7E27D725" w14:textId="77777777" w:rsidR="00A971FE" w:rsidRPr="00E551E0" w:rsidRDefault="00A971FE" w:rsidP="004F3108">
            <w:pPr>
              <w:pStyle w:val="TeThHauoratablecontent"/>
            </w:pPr>
            <w:r w:rsidRPr="00E551E0">
              <w:t>Measurement systems</w:t>
            </w:r>
          </w:p>
        </w:tc>
        <w:tc>
          <w:tcPr>
            <w:tcW w:w="6095" w:type="dxa"/>
            <w:hideMark/>
          </w:tcPr>
          <w:p w14:paraId="5975B27B" w14:textId="3C0C7355" w:rsidR="00A971FE" w:rsidRPr="00E551E0" w:rsidRDefault="00DE4AF8" w:rsidP="00AE3E18">
            <w:pPr>
              <w:pStyle w:val="TeThHauorabullets"/>
              <w:spacing w:before="60"/>
              <w:ind w:left="357" w:hanging="357"/>
            </w:pPr>
            <w:r>
              <w:t xml:space="preserve">Measurement framework </w:t>
            </w:r>
            <w:r w:rsidR="00787194">
              <w:t>including</w:t>
            </w:r>
            <w:r>
              <w:t xml:space="preserve"> o</w:t>
            </w:r>
            <w:r w:rsidR="00A971FE" w:rsidRPr="00E551E0">
              <w:t>utcome</w:t>
            </w:r>
            <w:r>
              <w:t>,</w:t>
            </w:r>
            <w:r w:rsidR="00A971FE" w:rsidRPr="00E551E0">
              <w:t xml:space="preserve"> process</w:t>
            </w:r>
            <w:r>
              <w:t xml:space="preserve"> and balancing</w:t>
            </w:r>
            <w:r w:rsidR="00A971FE" w:rsidRPr="00E551E0">
              <w:t xml:space="preserve"> measures</w:t>
            </w:r>
          </w:p>
          <w:p w14:paraId="0CCF7006" w14:textId="235EBD57" w:rsidR="00A971FE" w:rsidRPr="00E551E0" w:rsidRDefault="00A971FE" w:rsidP="00AE3E18">
            <w:pPr>
              <w:pStyle w:val="TeThHauorabullets"/>
              <w:spacing w:before="60"/>
              <w:ind w:left="357" w:hanging="357"/>
            </w:pPr>
            <w:r w:rsidRPr="00E551E0">
              <w:t xml:space="preserve">Audit </w:t>
            </w:r>
            <w:r w:rsidR="00707227">
              <w:t xml:space="preserve">tool </w:t>
            </w:r>
            <w:r w:rsidRPr="00E551E0">
              <w:t>to support implementation</w:t>
            </w:r>
          </w:p>
        </w:tc>
      </w:tr>
      <w:tr w:rsidR="00A971FE" w:rsidRPr="00E551E0" w14:paraId="4EA439AB" w14:textId="77777777" w:rsidTr="00B85166">
        <w:tc>
          <w:tcPr>
            <w:tcW w:w="2689" w:type="dxa"/>
            <w:hideMark/>
          </w:tcPr>
          <w:p w14:paraId="391EFAE9" w14:textId="77777777" w:rsidR="00A971FE" w:rsidRPr="00E551E0" w:rsidRDefault="00A971FE" w:rsidP="004F3108">
            <w:pPr>
              <w:pStyle w:val="TeThHauoratablecontent"/>
            </w:pPr>
            <w:r w:rsidRPr="00E551E0">
              <w:t>Governance</w:t>
            </w:r>
          </w:p>
        </w:tc>
        <w:tc>
          <w:tcPr>
            <w:tcW w:w="6095" w:type="dxa"/>
            <w:hideMark/>
          </w:tcPr>
          <w:p w14:paraId="748C8A58" w14:textId="3C68D089" w:rsidR="00A971FE" w:rsidRPr="00E551E0" w:rsidRDefault="00A971FE" w:rsidP="00B85166">
            <w:pPr>
              <w:pStyle w:val="TeThHauorabullets"/>
              <w:spacing w:before="60"/>
            </w:pPr>
            <w:r w:rsidRPr="00E551E0">
              <w:t>Advice on</w:t>
            </w:r>
            <w:r w:rsidR="0066465A">
              <w:t xml:space="preserve"> clinical</w:t>
            </w:r>
            <w:r w:rsidRPr="00E551E0">
              <w:t xml:space="preserve"> governance for sepsis</w:t>
            </w:r>
          </w:p>
        </w:tc>
      </w:tr>
      <w:tr w:rsidR="00A971FE" w:rsidRPr="00E551E0" w14:paraId="7597FEF5" w14:textId="77777777" w:rsidTr="00B85166">
        <w:tc>
          <w:tcPr>
            <w:tcW w:w="2689" w:type="dxa"/>
            <w:hideMark/>
          </w:tcPr>
          <w:p w14:paraId="0D453DF3" w14:textId="77777777" w:rsidR="00A971FE" w:rsidRPr="00E551E0" w:rsidRDefault="00A971FE" w:rsidP="004F3108">
            <w:pPr>
              <w:pStyle w:val="TeThHauoratablecontent"/>
            </w:pPr>
            <w:r w:rsidRPr="00E551E0">
              <w:t>Additional resources</w:t>
            </w:r>
          </w:p>
        </w:tc>
        <w:tc>
          <w:tcPr>
            <w:tcW w:w="6095" w:type="dxa"/>
            <w:hideMark/>
          </w:tcPr>
          <w:p w14:paraId="541FEB9A" w14:textId="681D2376" w:rsidR="00AE3E18" w:rsidRPr="00F50180" w:rsidRDefault="00AE3E18" w:rsidP="005340C2">
            <w:pPr>
              <w:pStyle w:val="ListBullet"/>
              <w:spacing w:before="60" w:after="60"/>
              <w:ind w:left="357" w:hanging="357"/>
              <w:contextualSpacing w:val="0"/>
            </w:pPr>
            <w:r>
              <w:t>Sepsis information for patients and whānau</w:t>
            </w:r>
            <w:r w:rsidRPr="00F50180">
              <w:t xml:space="preserve"> </w:t>
            </w:r>
            <w:r>
              <w:t>(4 documents</w:t>
            </w:r>
            <w:r w:rsidR="005340C2">
              <w:t xml:space="preserve"> includes</w:t>
            </w:r>
            <w:r>
              <w:t xml:space="preserve"> 1 </w:t>
            </w:r>
            <w:r w:rsidR="001471F7">
              <w:t>comprehensive document</w:t>
            </w:r>
            <w:r w:rsidRPr="00190BD6">
              <w:t xml:space="preserve"> and 3 sections individually)</w:t>
            </w:r>
          </w:p>
          <w:p w14:paraId="535EC427" w14:textId="1290E196" w:rsidR="00A971FE" w:rsidRPr="00E551E0" w:rsidRDefault="00A971FE" w:rsidP="005340C2">
            <w:pPr>
              <w:pStyle w:val="TeThHauorabullets"/>
              <w:spacing w:before="60"/>
              <w:ind w:left="357" w:hanging="357"/>
            </w:pPr>
            <w:r w:rsidRPr="00E551E0">
              <w:t>Sepsis implementation guide</w:t>
            </w:r>
          </w:p>
        </w:tc>
      </w:tr>
    </w:tbl>
    <w:p w14:paraId="740B5AC6" w14:textId="77777777" w:rsidR="00AF35FA" w:rsidRPr="00E551E0" w:rsidRDefault="00AF35FA" w:rsidP="004F3108">
      <w:pPr>
        <w:pStyle w:val="TeThHauorabodytext"/>
      </w:pPr>
    </w:p>
    <w:p w14:paraId="631CE155" w14:textId="72A65E5B" w:rsidR="00A971FE" w:rsidRPr="00E551E0" w:rsidRDefault="00A971FE" w:rsidP="00B85166">
      <w:pPr>
        <w:pStyle w:val="TeThHauorabodytext"/>
      </w:pPr>
      <w:r w:rsidRPr="00E551E0">
        <w:br w:type="page"/>
      </w:r>
    </w:p>
    <w:p w14:paraId="65FD5C1C" w14:textId="60776A3F" w:rsidR="00A971FE" w:rsidRPr="00E551E0" w:rsidRDefault="00A971FE" w:rsidP="0066120F">
      <w:pPr>
        <w:pStyle w:val="TeThHauorahead1"/>
        <w:spacing w:before="0"/>
      </w:pPr>
      <w:bookmarkStart w:id="30" w:name="_Toc204109828"/>
      <w:bookmarkStart w:id="31" w:name="_Toc207862755"/>
      <w:r w:rsidRPr="00E551E0">
        <w:lastRenderedPageBreak/>
        <w:t>Appendix 2: Implementation checklist</w:t>
      </w:r>
      <w:bookmarkEnd w:id="30"/>
      <w:r w:rsidR="00AD2A63">
        <w:t xml:space="preserve"> </w:t>
      </w:r>
      <w:r w:rsidR="00AD2A63" w:rsidRPr="00A200DD">
        <w:t>|</w:t>
      </w:r>
      <w:r w:rsidRPr="00E551E0">
        <w:t xml:space="preserve"> </w:t>
      </w:r>
      <w:proofErr w:type="spellStart"/>
      <w:r w:rsidR="009241B9" w:rsidRPr="009241B9">
        <w:t>Āpitihanga</w:t>
      </w:r>
      <w:proofErr w:type="spellEnd"/>
      <w:r w:rsidR="009241B9" w:rsidRPr="009241B9">
        <w:t xml:space="preserve"> 2: Te </w:t>
      </w:r>
      <w:proofErr w:type="spellStart"/>
      <w:r w:rsidR="009241B9" w:rsidRPr="009241B9">
        <w:t>rārangi</w:t>
      </w:r>
      <w:proofErr w:type="spellEnd"/>
      <w:r w:rsidR="009241B9" w:rsidRPr="009241B9">
        <w:t xml:space="preserve"> </w:t>
      </w:r>
      <w:proofErr w:type="spellStart"/>
      <w:r w:rsidR="009241B9" w:rsidRPr="009241B9">
        <w:t>arowhai</w:t>
      </w:r>
      <w:bookmarkEnd w:id="31"/>
      <w:proofErr w:type="spellEnd"/>
    </w:p>
    <w:tbl>
      <w:tblPr>
        <w:tblStyle w:val="GridTable1Light-Accent2"/>
        <w:tblW w:w="907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59"/>
        <w:gridCol w:w="3410"/>
        <w:gridCol w:w="5103"/>
      </w:tblGrid>
      <w:tr w:rsidR="0066120F" w:rsidRPr="00E551E0" w14:paraId="3DA07419" w14:textId="77777777" w:rsidTr="00661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Borders>
              <w:bottom w:val="single" w:sz="4" w:space="0" w:color="auto"/>
            </w:tcBorders>
            <w:shd w:val="clear" w:color="auto" w:fill="F2F2F2"/>
            <w:vAlign w:val="center"/>
          </w:tcPr>
          <w:p w14:paraId="43C37D08" w14:textId="77777777" w:rsidR="00A971FE" w:rsidRPr="00E551E0" w:rsidRDefault="00A971FE" w:rsidP="0066120F">
            <w:pPr>
              <w:pStyle w:val="TeThHauoratablecolumnhead"/>
              <w:spacing w:before="40" w:after="40"/>
              <w:rPr>
                <w:b/>
                <w:bCs w:val="0"/>
              </w:rPr>
            </w:pPr>
            <w:bookmarkStart w:id="32" w:name="_Toc201659457"/>
            <w:r w:rsidRPr="00E551E0">
              <w:rPr>
                <w:b/>
                <w:bCs w:val="0"/>
              </w:rPr>
              <w:t>Stage 1: Plan</w:t>
            </w:r>
            <w:bookmarkEnd w:id="32"/>
          </w:p>
        </w:tc>
      </w:tr>
      <w:tr w:rsidR="0066120F" w:rsidRPr="00E551E0" w14:paraId="6D41C683" w14:textId="77777777" w:rsidTr="0066120F">
        <w:tc>
          <w:tcPr>
            <w:cnfStyle w:val="001000000000" w:firstRow="0" w:lastRow="0" w:firstColumn="1" w:lastColumn="0" w:oddVBand="0" w:evenVBand="0" w:oddHBand="0" w:evenHBand="0" w:firstRowFirstColumn="0" w:firstRowLastColumn="0" w:lastRowFirstColumn="0" w:lastRowLastColumn="0"/>
            <w:tcW w:w="559" w:type="dxa"/>
            <w:tcBorders>
              <w:top w:val="single" w:sz="4" w:space="0" w:color="auto"/>
            </w:tcBorders>
          </w:tcPr>
          <w:p w14:paraId="4F92B4E7" w14:textId="77777777" w:rsidR="00A971FE" w:rsidRPr="00E551E0" w:rsidRDefault="00A971FE" w:rsidP="0066120F">
            <w:pPr>
              <w:pStyle w:val="TeThHauoratablecontent"/>
              <w:spacing w:before="40" w:after="40"/>
            </w:pPr>
            <w:r w:rsidRPr="00E551E0">
              <w:rPr>
                <w:bCs w:val="0"/>
              </w:rPr>
              <w:t>#</w:t>
            </w:r>
          </w:p>
        </w:tc>
        <w:tc>
          <w:tcPr>
            <w:tcW w:w="3410" w:type="dxa"/>
            <w:tcBorders>
              <w:top w:val="single" w:sz="4" w:space="0" w:color="auto"/>
            </w:tcBorders>
          </w:tcPr>
          <w:p w14:paraId="4A32E93E" w14:textId="77777777" w:rsidR="00A971FE" w:rsidRPr="00E551E0" w:rsidRDefault="00A971FE" w:rsidP="0066120F">
            <w:pPr>
              <w:pStyle w:val="TeThHauoratablecontent"/>
              <w:spacing w:before="40" w:after="40"/>
              <w:cnfStyle w:val="000000000000" w:firstRow="0" w:lastRow="0" w:firstColumn="0" w:lastColumn="0" w:oddVBand="0" w:evenVBand="0" w:oddHBand="0" w:evenHBand="0" w:firstRowFirstColumn="0" w:firstRowLastColumn="0" w:lastRowFirstColumn="0" w:lastRowLastColumn="0"/>
            </w:pPr>
            <w:r w:rsidRPr="00E551E0">
              <w:t>Tasks</w:t>
            </w:r>
          </w:p>
        </w:tc>
        <w:tc>
          <w:tcPr>
            <w:tcW w:w="5103" w:type="dxa"/>
            <w:tcBorders>
              <w:top w:val="single" w:sz="4" w:space="0" w:color="auto"/>
            </w:tcBorders>
          </w:tcPr>
          <w:p w14:paraId="1E2ADBDF" w14:textId="77777777" w:rsidR="00A971FE" w:rsidRPr="00E551E0" w:rsidRDefault="00A971FE" w:rsidP="0066120F">
            <w:pPr>
              <w:pStyle w:val="TeThHauoratablecontent"/>
              <w:spacing w:before="40" w:after="40"/>
              <w:cnfStyle w:val="000000000000" w:firstRow="0" w:lastRow="0" w:firstColumn="0" w:lastColumn="0" w:oddVBand="0" w:evenVBand="0" w:oddHBand="0" w:evenHBand="0" w:firstRowFirstColumn="0" w:firstRowLastColumn="0" w:lastRowFirstColumn="0" w:lastRowLastColumn="0"/>
            </w:pPr>
            <w:r w:rsidRPr="00E551E0">
              <w:t xml:space="preserve">Sub-tasks </w:t>
            </w:r>
          </w:p>
        </w:tc>
      </w:tr>
      <w:tr w:rsidR="0066120F" w:rsidRPr="00E551E0" w14:paraId="0BB939FF"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0F697AE4" w14:textId="77777777" w:rsidR="00A971FE" w:rsidRPr="00E551E0" w:rsidRDefault="00A971FE" w:rsidP="0066120F">
            <w:pPr>
              <w:pStyle w:val="TeThHauoratablecolumnhead"/>
              <w:spacing w:before="40" w:after="40"/>
              <w:rPr>
                <w:b/>
                <w:bCs w:val="0"/>
              </w:rPr>
            </w:pPr>
            <w:r w:rsidRPr="00E551E0">
              <w:rPr>
                <w:b/>
                <w:bCs w:val="0"/>
              </w:rPr>
              <w:t>1</w:t>
            </w:r>
          </w:p>
        </w:tc>
        <w:tc>
          <w:tcPr>
            <w:tcW w:w="3410" w:type="dxa"/>
          </w:tcPr>
          <w:p w14:paraId="5C9C348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Develop draft project documentation </w:t>
            </w:r>
          </w:p>
        </w:tc>
        <w:tc>
          <w:tcPr>
            <w:tcW w:w="5103" w:type="dxa"/>
          </w:tcPr>
          <w:p w14:paraId="6F96EAC3"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Develop a draft project charter or other relevant documentation</w:t>
            </w:r>
          </w:p>
        </w:tc>
      </w:tr>
      <w:tr w:rsidR="0066120F" w:rsidRPr="00E551E0" w14:paraId="2213B58B"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5BF2A88D" w14:textId="77777777" w:rsidR="00A971FE" w:rsidRPr="00E551E0" w:rsidRDefault="00A971FE" w:rsidP="0066120F">
            <w:pPr>
              <w:pStyle w:val="TeThHauoratablecolumnhead"/>
              <w:spacing w:before="40" w:after="40"/>
              <w:rPr>
                <w:b/>
                <w:bCs w:val="0"/>
              </w:rPr>
            </w:pPr>
            <w:r w:rsidRPr="00E551E0">
              <w:rPr>
                <w:b/>
                <w:bCs w:val="0"/>
              </w:rPr>
              <w:t>2</w:t>
            </w:r>
          </w:p>
        </w:tc>
        <w:tc>
          <w:tcPr>
            <w:tcW w:w="3410" w:type="dxa"/>
          </w:tcPr>
          <w:p w14:paraId="07391CEA"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Establish the executive sponsor(s)</w:t>
            </w:r>
          </w:p>
        </w:tc>
        <w:tc>
          <w:tcPr>
            <w:tcW w:w="5103" w:type="dxa"/>
          </w:tcPr>
          <w:p w14:paraId="351701D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executive sponsor(s)</w:t>
            </w:r>
          </w:p>
          <w:p w14:paraId="4EAF78B7"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Share draft project documentation (</w:t>
            </w:r>
            <w:proofErr w:type="spellStart"/>
            <w:r w:rsidRPr="00E551E0">
              <w:t>eg</w:t>
            </w:r>
            <w:proofErr w:type="spellEnd"/>
            <w:r w:rsidRPr="00E551E0">
              <w:t>, draft project charter)</w:t>
            </w:r>
          </w:p>
          <w:p w14:paraId="3CB6E0DE"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Secure commitment</w:t>
            </w:r>
          </w:p>
          <w:p w14:paraId="4EDD7D1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Agree on communication and reporting requirements</w:t>
            </w:r>
          </w:p>
        </w:tc>
      </w:tr>
      <w:tr w:rsidR="0066120F" w:rsidRPr="00E551E0" w14:paraId="5D7A4B1F"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69284A18" w14:textId="77777777" w:rsidR="00A971FE" w:rsidRPr="00E551E0" w:rsidRDefault="00A971FE" w:rsidP="0066120F">
            <w:pPr>
              <w:pStyle w:val="TeThHauoratablecolumnhead"/>
              <w:spacing w:before="40" w:after="40"/>
              <w:rPr>
                <w:b/>
                <w:bCs w:val="0"/>
              </w:rPr>
            </w:pPr>
            <w:r w:rsidRPr="00E551E0">
              <w:rPr>
                <w:b/>
                <w:bCs w:val="0"/>
              </w:rPr>
              <w:t>3</w:t>
            </w:r>
          </w:p>
        </w:tc>
        <w:tc>
          <w:tcPr>
            <w:tcW w:w="3410" w:type="dxa"/>
          </w:tcPr>
          <w:p w14:paraId="49AF683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Recruit clinical lead(s)</w:t>
            </w:r>
          </w:p>
        </w:tc>
        <w:tc>
          <w:tcPr>
            <w:tcW w:w="5103" w:type="dxa"/>
          </w:tcPr>
          <w:p w14:paraId="693CE1BC" w14:textId="77777777" w:rsidR="00A971FE" w:rsidRPr="00E551E0" w:rsidRDefault="00A971FE" w:rsidP="00BD3DD8">
            <w:pPr>
              <w:pStyle w:val="TeThHauorabodytext"/>
              <w:numPr>
                <w:ilvl w:val="0"/>
                <w:numId w:val="4"/>
              </w:numPr>
              <w:spacing w:before="40" w:after="20"/>
              <w:cnfStyle w:val="000000000000" w:firstRow="0" w:lastRow="0" w:firstColumn="0" w:lastColumn="0" w:oddVBand="0" w:evenVBand="0" w:oddHBand="0" w:evenHBand="0" w:firstRowFirstColumn="0" w:firstRowLastColumn="0" w:lastRowFirstColumn="0" w:lastRowLastColumn="0"/>
            </w:pPr>
            <w:r w:rsidRPr="00E551E0">
              <w:t>Identify clinical lead(s)</w:t>
            </w:r>
          </w:p>
          <w:p w14:paraId="5FACE381" w14:textId="195F3EFC"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Provide a draft project charter</w:t>
            </w:r>
            <w:r w:rsidR="009B7C39" w:rsidRPr="00E551E0">
              <w:t xml:space="preserve"> </w:t>
            </w:r>
          </w:p>
          <w:p w14:paraId="06A0AF86" w14:textId="77777777" w:rsidR="00A971FE" w:rsidRPr="00E551E0" w:rsidRDefault="00A971FE" w:rsidP="00BD3DD8">
            <w:pPr>
              <w:pStyle w:val="TeThHauorabodytext"/>
              <w:numPr>
                <w:ilvl w:val="0"/>
                <w:numId w:val="4"/>
              </w:numPr>
              <w:spacing w:before="20" w:after="40"/>
              <w:cnfStyle w:val="000000000000" w:firstRow="0" w:lastRow="0" w:firstColumn="0" w:lastColumn="0" w:oddVBand="0" w:evenVBand="0" w:oddHBand="0" w:evenHBand="0" w:firstRowFirstColumn="0" w:firstRowLastColumn="0" w:lastRowFirstColumn="0" w:lastRowLastColumn="0"/>
            </w:pPr>
            <w:r w:rsidRPr="00E551E0">
              <w:t>Agree on communication and reporting requirements</w:t>
            </w:r>
          </w:p>
        </w:tc>
      </w:tr>
      <w:tr w:rsidR="0066120F" w:rsidRPr="00E551E0" w14:paraId="083D091F"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37A0BAE1" w14:textId="77777777" w:rsidR="00A971FE" w:rsidRPr="00E551E0" w:rsidRDefault="00A971FE" w:rsidP="0066120F">
            <w:pPr>
              <w:pStyle w:val="TeThHauoratablecolumnhead"/>
              <w:spacing w:before="40" w:after="40"/>
              <w:rPr>
                <w:b/>
                <w:bCs w:val="0"/>
              </w:rPr>
            </w:pPr>
            <w:r w:rsidRPr="00E551E0">
              <w:rPr>
                <w:b/>
                <w:bCs w:val="0"/>
              </w:rPr>
              <w:t>4</w:t>
            </w:r>
          </w:p>
        </w:tc>
        <w:tc>
          <w:tcPr>
            <w:tcW w:w="3410" w:type="dxa"/>
          </w:tcPr>
          <w:p w14:paraId="2C2E22A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Establish project team</w:t>
            </w:r>
          </w:p>
        </w:tc>
        <w:tc>
          <w:tcPr>
            <w:tcW w:w="5103" w:type="dxa"/>
          </w:tcPr>
          <w:p w14:paraId="00F537FE" w14:textId="77777777" w:rsidR="00A971FE" w:rsidRPr="00E551E0" w:rsidRDefault="00A971FE" w:rsidP="00BD3DD8">
            <w:pPr>
              <w:pStyle w:val="TeThHauorabodytext"/>
              <w:numPr>
                <w:ilvl w:val="0"/>
                <w:numId w:val="4"/>
              </w:numPr>
              <w:spacing w:before="40" w:after="20"/>
              <w:cnfStyle w:val="000000000000" w:firstRow="0" w:lastRow="0" w:firstColumn="0" w:lastColumn="0" w:oddVBand="0" w:evenVBand="0" w:oddHBand="0" w:evenHBand="0" w:firstRowFirstColumn="0" w:firstRowLastColumn="0" w:lastRowFirstColumn="0" w:lastRowLastColumn="0"/>
            </w:pPr>
            <w:r w:rsidRPr="00E551E0">
              <w:t>Create a cross-functional team</w:t>
            </w:r>
          </w:p>
          <w:p w14:paraId="5A71C963"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Identify key roles and responsibilities</w:t>
            </w:r>
          </w:p>
          <w:p w14:paraId="5A47CB0F"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Share project charter with the team</w:t>
            </w:r>
          </w:p>
          <w:p w14:paraId="0F45D991"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Ensure the team understands the aim and deliverables of the project</w:t>
            </w:r>
          </w:p>
          <w:p w14:paraId="05B83E5C" w14:textId="77777777" w:rsidR="00A971FE" w:rsidRPr="00E551E0" w:rsidRDefault="00A971FE" w:rsidP="00BD3DD8">
            <w:pPr>
              <w:pStyle w:val="TeThHauorabodytext"/>
              <w:numPr>
                <w:ilvl w:val="0"/>
                <w:numId w:val="4"/>
              </w:numPr>
              <w:spacing w:before="20" w:after="40"/>
              <w:cnfStyle w:val="000000000000" w:firstRow="0" w:lastRow="0" w:firstColumn="0" w:lastColumn="0" w:oddVBand="0" w:evenVBand="0" w:oddHBand="0" w:evenHBand="0" w:firstRowFirstColumn="0" w:firstRowLastColumn="0" w:lastRowFirstColumn="0" w:lastRowLastColumn="0"/>
            </w:pPr>
            <w:r w:rsidRPr="00E551E0">
              <w:t xml:space="preserve">Involve key stakeholders </w:t>
            </w:r>
          </w:p>
        </w:tc>
      </w:tr>
      <w:tr w:rsidR="0066120F" w:rsidRPr="00E551E0" w14:paraId="61C3BAB9"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2893987F" w14:textId="77777777" w:rsidR="00A971FE" w:rsidRPr="00E551E0" w:rsidRDefault="00A971FE" w:rsidP="0066120F">
            <w:pPr>
              <w:pStyle w:val="TeThHauoratablecolumnhead"/>
              <w:spacing w:before="40" w:after="40"/>
              <w:rPr>
                <w:b/>
                <w:bCs w:val="0"/>
              </w:rPr>
            </w:pPr>
            <w:r w:rsidRPr="00E551E0">
              <w:rPr>
                <w:b/>
                <w:bCs w:val="0"/>
              </w:rPr>
              <w:t>5</w:t>
            </w:r>
          </w:p>
        </w:tc>
        <w:tc>
          <w:tcPr>
            <w:tcW w:w="3410" w:type="dxa"/>
          </w:tcPr>
          <w:p w14:paraId="66F1FAEB" w14:textId="4686428E"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Establish or align with existing hospital governance groups/committee</w:t>
            </w:r>
          </w:p>
        </w:tc>
        <w:tc>
          <w:tcPr>
            <w:tcW w:w="5103" w:type="dxa"/>
          </w:tcPr>
          <w:p w14:paraId="6C340A18" w14:textId="77777777" w:rsidR="00A971FE" w:rsidRPr="00E551E0" w:rsidRDefault="00A971FE" w:rsidP="00BD3DD8">
            <w:pPr>
              <w:pStyle w:val="TeThHauorabodytext"/>
              <w:numPr>
                <w:ilvl w:val="0"/>
                <w:numId w:val="4"/>
              </w:numPr>
              <w:spacing w:before="40" w:after="20"/>
              <w:cnfStyle w:val="000000000000" w:firstRow="0" w:lastRow="0" w:firstColumn="0" w:lastColumn="0" w:oddVBand="0" w:evenVBand="0" w:oddHBand="0" w:evenHBand="0" w:firstRowFirstColumn="0" w:firstRowLastColumn="0" w:lastRowFirstColumn="0" w:lastRowLastColumn="0"/>
            </w:pPr>
            <w:r w:rsidRPr="00E551E0">
              <w:t>Identify the appropriate governance group</w:t>
            </w:r>
          </w:p>
          <w:p w14:paraId="23743D2C"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Present or share project information</w:t>
            </w:r>
          </w:p>
          <w:p w14:paraId="3D5B7D9A"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Include the project in the group’s work plan</w:t>
            </w:r>
          </w:p>
          <w:p w14:paraId="79EE54C2"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Agree on communication and reporting requirements</w:t>
            </w:r>
          </w:p>
          <w:p w14:paraId="4736922F"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Review the governance guide in the sepsis package</w:t>
            </w:r>
          </w:p>
          <w:p w14:paraId="1392EAB8" w14:textId="77777777" w:rsidR="00A971FE" w:rsidRPr="00E551E0" w:rsidRDefault="00A971FE" w:rsidP="00BD3DD8">
            <w:pPr>
              <w:pStyle w:val="TeThHauorabodytext"/>
              <w:numPr>
                <w:ilvl w:val="0"/>
                <w:numId w:val="4"/>
              </w:numPr>
              <w:spacing w:before="20" w:after="20"/>
              <w:cnfStyle w:val="000000000000" w:firstRow="0" w:lastRow="0" w:firstColumn="0" w:lastColumn="0" w:oddVBand="0" w:evenVBand="0" w:oddHBand="0" w:evenHBand="0" w:firstRowFirstColumn="0" w:firstRowLastColumn="0" w:lastRowFirstColumn="0" w:lastRowLastColumn="0"/>
            </w:pPr>
            <w:r w:rsidRPr="00E551E0">
              <w:t>Link sepsis care to antimicrobial stewardship, infection prevention and control and patient safety efforts</w:t>
            </w:r>
          </w:p>
          <w:p w14:paraId="06435FED" w14:textId="77777777" w:rsidR="00A971FE" w:rsidRPr="00E551E0" w:rsidRDefault="00A971FE" w:rsidP="00BD3DD8">
            <w:pPr>
              <w:pStyle w:val="TeThHauorabodytext"/>
              <w:numPr>
                <w:ilvl w:val="0"/>
                <w:numId w:val="4"/>
              </w:numPr>
              <w:spacing w:before="20" w:after="40"/>
              <w:cnfStyle w:val="000000000000" w:firstRow="0" w:lastRow="0" w:firstColumn="0" w:lastColumn="0" w:oddVBand="0" w:evenVBand="0" w:oddHBand="0" w:evenHBand="0" w:firstRowFirstColumn="0" w:firstRowLastColumn="0" w:lastRowFirstColumn="0" w:lastRowLastColumn="0"/>
            </w:pPr>
            <w:r w:rsidRPr="00E551E0">
              <w:t>Formulate a long-term plan for sustaining</w:t>
            </w:r>
          </w:p>
        </w:tc>
      </w:tr>
      <w:tr w:rsidR="0066120F" w:rsidRPr="00E551E0" w14:paraId="504A28E8"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2CDF2AD1" w14:textId="77777777" w:rsidR="00A971FE" w:rsidRPr="00E551E0" w:rsidRDefault="00A971FE" w:rsidP="0066120F">
            <w:pPr>
              <w:pStyle w:val="TeThHauoratablecolumnhead"/>
              <w:spacing w:before="40" w:after="40"/>
              <w:rPr>
                <w:b/>
                <w:bCs w:val="0"/>
              </w:rPr>
            </w:pPr>
            <w:r w:rsidRPr="00E551E0">
              <w:rPr>
                <w:b/>
                <w:bCs w:val="0"/>
              </w:rPr>
              <w:t>6</w:t>
            </w:r>
          </w:p>
        </w:tc>
        <w:tc>
          <w:tcPr>
            <w:tcW w:w="3410" w:type="dxa"/>
          </w:tcPr>
          <w:p w14:paraId="087A6514"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Identify who to engage with to accomplish the aim</w:t>
            </w:r>
          </w:p>
        </w:tc>
        <w:tc>
          <w:tcPr>
            <w:tcW w:w="5103" w:type="dxa"/>
          </w:tcPr>
          <w:p w14:paraId="5A8458E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stakeholders</w:t>
            </w:r>
          </w:p>
          <w:p w14:paraId="22527473"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Develop a stakeholder map</w:t>
            </w:r>
          </w:p>
        </w:tc>
      </w:tr>
      <w:tr w:rsidR="0066120F" w:rsidRPr="00E551E0" w14:paraId="71E5A63B"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481030E9" w14:textId="77777777" w:rsidR="00A971FE" w:rsidRPr="00E551E0" w:rsidRDefault="00A971FE" w:rsidP="0066120F">
            <w:pPr>
              <w:pStyle w:val="TeThHauoratablecolumnhead"/>
              <w:spacing w:before="40" w:after="40"/>
              <w:rPr>
                <w:b/>
                <w:bCs w:val="0"/>
              </w:rPr>
            </w:pPr>
            <w:r w:rsidRPr="00E551E0">
              <w:rPr>
                <w:b/>
                <w:bCs w:val="0"/>
              </w:rPr>
              <w:t>7</w:t>
            </w:r>
          </w:p>
        </w:tc>
        <w:tc>
          <w:tcPr>
            <w:tcW w:w="3410" w:type="dxa"/>
          </w:tcPr>
          <w:p w14:paraId="30313250"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Agree on how to engage with staff and stakeholders</w:t>
            </w:r>
          </w:p>
        </w:tc>
        <w:tc>
          <w:tcPr>
            <w:tcW w:w="5103" w:type="dxa"/>
          </w:tcPr>
          <w:p w14:paraId="6A63EE78"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Complete stakeholder analysis</w:t>
            </w:r>
          </w:p>
          <w:p w14:paraId="16C04F68"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Develop an engagement strategy and plan </w:t>
            </w:r>
          </w:p>
          <w:p w14:paraId="6AB30C24"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Agree on a communication plan</w:t>
            </w:r>
          </w:p>
        </w:tc>
      </w:tr>
      <w:tr w:rsidR="0066120F" w:rsidRPr="00E551E0" w14:paraId="1B08BBA4"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12270785" w14:textId="77777777" w:rsidR="00A971FE" w:rsidRPr="00E551E0" w:rsidRDefault="00A971FE" w:rsidP="0066120F">
            <w:pPr>
              <w:pStyle w:val="TeThHauoratablecolumnhead"/>
              <w:spacing w:before="40" w:after="40"/>
              <w:rPr>
                <w:b/>
                <w:bCs w:val="0"/>
              </w:rPr>
            </w:pPr>
            <w:r w:rsidRPr="00E551E0">
              <w:rPr>
                <w:b/>
                <w:bCs w:val="0"/>
              </w:rPr>
              <w:t>8</w:t>
            </w:r>
          </w:p>
        </w:tc>
        <w:tc>
          <w:tcPr>
            <w:tcW w:w="3410" w:type="dxa"/>
          </w:tcPr>
          <w:p w14:paraId="7E5823F2"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Agree on what you are trying to accomplish</w:t>
            </w:r>
          </w:p>
        </w:tc>
        <w:tc>
          <w:tcPr>
            <w:tcW w:w="5103" w:type="dxa"/>
          </w:tcPr>
          <w:p w14:paraId="166808A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Review and finalise the aim statement </w:t>
            </w:r>
          </w:p>
          <w:p w14:paraId="3021C82A"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Share and discuss with project team and stakeholders</w:t>
            </w:r>
          </w:p>
        </w:tc>
      </w:tr>
      <w:tr w:rsidR="0066120F" w:rsidRPr="00E551E0" w14:paraId="6A733B70"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391347E3" w14:textId="77777777" w:rsidR="00A971FE" w:rsidRPr="00E551E0" w:rsidRDefault="00A971FE" w:rsidP="0066120F">
            <w:pPr>
              <w:pStyle w:val="TeThHauoratablecolumnhead"/>
              <w:spacing w:before="40" w:after="40"/>
              <w:rPr>
                <w:b/>
                <w:bCs w:val="0"/>
              </w:rPr>
            </w:pPr>
            <w:r w:rsidRPr="00E551E0">
              <w:rPr>
                <w:b/>
                <w:bCs w:val="0"/>
              </w:rPr>
              <w:t>9</w:t>
            </w:r>
          </w:p>
        </w:tc>
        <w:tc>
          <w:tcPr>
            <w:tcW w:w="3410" w:type="dxa"/>
          </w:tcPr>
          <w:p w14:paraId="33B9A9FB"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 xml:space="preserve">Agree on success factors </w:t>
            </w:r>
          </w:p>
        </w:tc>
        <w:tc>
          <w:tcPr>
            <w:tcW w:w="5103" w:type="dxa"/>
          </w:tcPr>
          <w:p w14:paraId="74BAC5D7"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Review the measurement guide</w:t>
            </w:r>
          </w:p>
          <w:p w14:paraId="3C44CA22"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Develop a data collection plan </w:t>
            </w:r>
          </w:p>
          <w:p w14:paraId="360B4C19"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reporting requirements</w:t>
            </w:r>
          </w:p>
        </w:tc>
      </w:tr>
      <w:tr w:rsidR="0066120F" w:rsidRPr="00E551E0" w14:paraId="56D6A879" w14:textId="77777777" w:rsidTr="0066120F">
        <w:tc>
          <w:tcPr>
            <w:cnfStyle w:val="001000000000" w:firstRow="0" w:lastRow="0" w:firstColumn="1" w:lastColumn="0" w:oddVBand="0" w:evenVBand="0" w:oddHBand="0" w:evenHBand="0" w:firstRowFirstColumn="0" w:firstRowLastColumn="0" w:lastRowFirstColumn="0" w:lastRowLastColumn="0"/>
            <w:tcW w:w="559" w:type="dxa"/>
          </w:tcPr>
          <w:p w14:paraId="61BC2827" w14:textId="77777777" w:rsidR="00A971FE" w:rsidRPr="00E551E0" w:rsidRDefault="00A971FE" w:rsidP="0066120F">
            <w:pPr>
              <w:pStyle w:val="TeThHauoratablecolumnhead"/>
              <w:spacing w:before="40" w:after="40"/>
              <w:rPr>
                <w:b/>
                <w:bCs w:val="0"/>
              </w:rPr>
            </w:pPr>
            <w:r w:rsidRPr="00E551E0">
              <w:rPr>
                <w:b/>
                <w:bCs w:val="0"/>
              </w:rPr>
              <w:t>10</w:t>
            </w:r>
          </w:p>
        </w:tc>
        <w:tc>
          <w:tcPr>
            <w:tcW w:w="3410" w:type="dxa"/>
          </w:tcPr>
          <w:p w14:paraId="0A5D52A9"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Document agreements in your project charter</w:t>
            </w:r>
          </w:p>
        </w:tc>
        <w:tc>
          <w:tcPr>
            <w:tcW w:w="5103" w:type="dxa"/>
          </w:tcPr>
          <w:p w14:paraId="3938E5DA" w14:textId="77777777" w:rsidR="00A971FE" w:rsidRPr="00E551E0" w:rsidRDefault="00A971FE" w:rsidP="00BD3DD8">
            <w:pPr>
              <w:pStyle w:val="TeThHauorabodytext"/>
              <w:numPr>
                <w:ilvl w:val="0"/>
                <w:numId w:val="4"/>
              </w:numPr>
              <w:spacing w:before="40" w:after="40"/>
              <w:ind w:left="357" w:hanging="357"/>
              <w:cnfStyle w:val="000000000000" w:firstRow="0" w:lastRow="0" w:firstColumn="0" w:lastColumn="0" w:oddVBand="0" w:evenVBand="0" w:oddHBand="0" w:evenHBand="0" w:firstRowFirstColumn="0" w:firstRowLastColumn="0" w:lastRowFirstColumn="0" w:lastRowLastColumn="0"/>
            </w:pPr>
            <w:r w:rsidRPr="00E551E0">
              <w:t xml:space="preserve">Complete the project charter </w:t>
            </w:r>
          </w:p>
        </w:tc>
      </w:tr>
    </w:tbl>
    <w:p w14:paraId="040A005A" w14:textId="493790B4" w:rsidR="00A971FE" w:rsidRPr="00E551E0" w:rsidRDefault="00A971FE" w:rsidP="00A971FE"/>
    <w:tbl>
      <w:tblPr>
        <w:tblStyle w:val="GridTable1Light-Accent2"/>
        <w:tblW w:w="907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555"/>
        <w:gridCol w:w="2776"/>
        <w:gridCol w:w="5741"/>
      </w:tblGrid>
      <w:tr w:rsidR="00A971FE" w:rsidRPr="00E551E0" w14:paraId="670C1D13" w14:textId="77777777" w:rsidTr="00E55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3"/>
            <w:tcBorders>
              <w:bottom w:val="none" w:sz="0" w:space="0" w:color="auto"/>
            </w:tcBorders>
            <w:shd w:val="clear" w:color="auto" w:fill="F2F2F2"/>
            <w:vAlign w:val="center"/>
          </w:tcPr>
          <w:p w14:paraId="0EBC40BC" w14:textId="77777777" w:rsidR="00A971FE" w:rsidRPr="00E551E0" w:rsidRDefault="00A971FE" w:rsidP="0066120F">
            <w:pPr>
              <w:pStyle w:val="TeThHauoratablecolumnhead"/>
              <w:rPr>
                <w:b/>
                <w:bCs w:val="0"/>
              </w:rPr>
            </w:pPr>
            <w:bookmarkStart w:id="33" w:name="_Toc201659458"/>
            <w:r w:rsidRPr="00E551E0">
              <w:rPr>
                <w:b/>
                <w:bCs w:val="0"/>
              </w:rPr>
              <w:t>Stage 2: Prepare</w:t>
            </w:r>
            <w:bookmarkEnd w:id="33"/>
          </w:p>
        </w:tc>
      </w:tr>
      <w:tr w:rsidR="00A971FE" w:rsidRPr="00E551E0" w14:paraId="5B1D5EAD"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56C44542" w14:textId="77777777" w:rsidR="00A971FE" w:rsidRPr="00E551E0" w:rsidRDefault="00A971FE" w:rsidP="0066120F">
            <w:pPr>
              <w:pStyle w:val="TeThHauorabodytext"/>
              <w:spacing w:before="40" w:after="40"/>
            </w:pPr>
            <w:r w:rsidRPr="00E551E0">
              <w:t>1</w:t>
            </w:r>
          </w:p>
        </w:tc>
        <w:tc>
          <w:tcPr>
            <w:tcW w:w="2798" w:type="dxa"/>
          </w:tcPr>
          <w:p w14:paraId="42A1C945"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 xml:space="preserve">Agree on the scope and implementation approach </w:t>
            </w:r>
          </w:p>
        </w:tc>
        <w:tc>
          <w:tcPr>
            <w:tcW w:w="5849" w:type="dxa"/>
          </w:tcPr>
          <w:p w14:paraId="53B3432B"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Discuss and agree on the scope of the project</w:t>
            </w:r>
          </w:p>
          <w:p w14:paraId="1F24A011"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Discuss and agree on the scope and approach to implementation</w:t>
            </w:r>
          </w:p>
        </w:tc>
      </w:tr>
      <w:tr w:rsidR="00A971FE" w:rsidRPr="00E551E0" w14:paraId="61943AEE"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103F7F3B" w14:textId="77777777" w:rsidR="00A971FE" w:rsidRPr="00E551E0" w:rsidRDefault="00A971FE" w:rsidP="0066120F">
            <w:pPr>
              <w:pStyle w:val="TeThHauorabodytext"/>
              <w:spacing w:before="40" w:after="40"/>
            </w:pPr>
            <w:r w:rsidRPr="00E551E0">
              <w:t>2</w:t>
            </w:r>
          </w:p>
        </w:tc>
        <w:tc>
          <w:tcPr>
            <w:tcW w:w="2798" w:type="dxa"/>
          </w:tcPr>
          <w:p w14:paraId="6F00A73D"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Know the starting point (understand the current process)</w:t>
            </w:r>
          </w:p>
        </w:tc>
        <w:tc>
          <w:tcPr>
            <w:tcW w:w="5849" w:type="dxa"/>
          </w:tcPr>
          <w:p w14:paraId="071CC0D5"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Map the current process</w:t>
            </w:r>
          </w:p>
          <w:p w14:paraId="751E4D9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Determine how training is currently provided to existing and new staff</w:t>
            </w:r>
          </w:p>
          <w:p w14:paraId="2694A6FA"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current policies, guidelines, procedures and other associated documents</w:t>
            </w:r>
          </w:p>
          <w:p w14:paraId="2FD692F9"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which sepsis data/information is collected and reported on</w:t>
            </w:r>
          </w:p>
          <w:p w14:paraId="55D11F3D"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how this data is used and shared, and who it is shared with</w:t>
            </w:r>
          </w:p>
          <w:p w14:paraId="52A85D9F"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Complete a retrospective audit to understand the challenges and opportunities</w:t>
            </w:r>
          </w:p>
          <w:p w14:paraId="201C7D46"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Identify all other information and sources (morbidity and mortality reports, adverse events, Health and Disability Commissioner reports) </w:t>
            </w:r>
          </w:p>
          <w:p w14:paraId="7FFE981B"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Review emergency response systems, processes and protocols</w:t>
            </w:r>
          </w:p>
          <w:p w14:paraId="651E2E0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Consult with local infectious disease, microbiology and antimicrobial stewardship and patient safety teams and committees</w:t>
            </w:r>
          </w:p>
          <w:p w14:paraId="51D9BEC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Review the sepsis documentation in clinical notes and handovers</w:t>
            </w:r>
          </w:p>
          <w:p w14:paraId="2979B802"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Understand the technical capacity of clinical areas to deal with sepsis patients</w:t>
            </w:r>
          </w:p>
          <w:p w14:paraId="3D94F008"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Understand and gather information on access to diagnostic tests, including serum lactate</w:t>
            </w:r>
          </w:p>
          <w:p w14:paraId="15C92B71"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Understand the access to cross-sectional imaging </w:t>
            </w:r>
          </w:p>
        </w:tc>
      </w:tr>
      <w:tr w:rsidR="00A971FE" w:rsidRPr="00E551E0" w14:paraId="788C10D5"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0EA5B519" w14:textId="77777777" w:rsidR="00A971FE" w:rsidRPr="00E551E0" w:rsidRDefault="00A971FE" w:rsidP="0066120F">
            <w:pPr>
              <w:pStyle w:val="TeThHauorabodytext"/>
              <w:spacing w:before="40" w:after="40"/>
            </w:pPr>
            <w:r w:rsidRPr="00E551E0">
              <w:t>3</w:t>
            </w:r>
          </w:p>
        </w:tc>
        <w:tc>
          <w:tcPr>
            <w:tcW w:w="2798" w:type="dxa"/>
          </w:tcPr>
          <w:p w14:paraId="0621447F"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Review the sepsis package</w:t>
            </w:r>
          </w:p>
        </w:tc>
        <w:tc>
          <w:tcPr>
            <w:tcW w:w="5849" w:type="dxa"/>
          </w:tcPr>
          <w:p w14:paraId="454D6965"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Review and understand the Pathway</w:t>
            </w:r>
          </w:p>
          <w:p w14:paraId="45D11671"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Review the requirements of the Pathway</w:t>
            </w:r>
          </w:p>
          <w:p w14:paraId="0156C339"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For electronic systems, consider changes to workflow</w:t>
            </w:r>
          </w:p>
        </w:tc>
      </w:tr>
      <w:tr w:rsidR="00A971FE" w:rsidRPr="00E551E0" w14:paraId="40492C2B"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306EC540" w14:textId="77777777" w:rsidR="00A971FE" w:rsidRPr="00E551E0" w:rsidRDefault="00A971FE" w:rsidP="0066120F">
            <w:pPr>
              <w:pStyle w:val="TeThHauorabodytext"/>
              <w:spacing w:before="40" w:after="40"/>
            </w:pPr>
            <w:r w:rsidRPr="00E551E0">
              <w:t>4</w:t>
            </w:r>
          </w:p>
        </w:tc>
        <w:tc>
          <w:tcPr>
            <w:tcW w:w="2798" w:type="dxa"/>
          </w:tcPr>
          <w:p w14:paraId="2491EFA9" w14:textId="77777777" w:rsidR="00A971FE" w:rsidRPr="00E551E0" w:rsidRDefault="00A971FE" w:rsidP="00BD3DD8">
            <w:pPr>
              <w:pStyle w:val="ListParagraph"/>
              <w:numPr>
                <w:ilvl w:val="0"/>
                <w:numId w:val="4"/>
              </w:numPr>
              <w:spacing w:before="40" w:after="4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Collect data to establish baseline</w:t>
            </w:r>
          </w:p>
        </w:tc>
        <w:tc>
          <w:tcPr>
            <w:tcW w:w="5849" w:type="dxa"/>
          </w:tcPr>
          <w:p w14:paraId="0DA3DDD8"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Review the measurement guide</w:t>
            </w:r>
          </w:p>
          <w:p w14:paraId="62826AD4"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Develop a data collection plan</w:t>
            </w:r>
          </w:p>
        </w:tc>
      </w:tr>
      <w:tr w:rsidR="00A971FE" w:rsidRPr="00E551E0" w14:paraId="395BAAA0"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52304FB4" w14:textId="77777777" w:rsidR="00A971FE" w:rsidRPr="00E551E0" w:rsidRDefault="00A971FE" w:rsidP="0066120F">
            <w:pPr>
              <w:pStyle w:val="TeThHauorabodytext"/>
              <w:spacing w:before="40" w:after="40"/>
            </w:pPr>
            <w:r w:rsidRPr="00E551E0">
              <w:t>5</w:t>
            </w:r>
          </w:p>
        </w:tc>
        <w:tc>
          <w:tcPr>
            <w:tcW w:w="2798" w:type="dxa"/>
          </w:tcPr>
          <w:p w14:paraId="226E7D51"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Agree the approach to test the interventions</w:t>
            </w:r>
          </w:p>
        </w:tc>
        <w:tc>
          <w:tcPr>
            <w:tcW w:w="5849" w:type="dxa"/>
          </w:tcPr>
          <w:p w14:paraId="03CA468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a clinical area to test the Pathway</w:t>
            </w:r>
          </w:p>
          <w:p w14:paraId="01FF4737"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Agree on a testing approach</w:t>
            </w:r>
          </w:p>
        </w:tc>
      </w:tr>
      <w:tr w:rsidR="00A971FE" w:rsidRPr="00E551E0" w14:paraId="77D28AC2" w14:textId="77777777" w:rsidTr="00E551E0">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F2F2F2"/>
            <w:vAlign w:val="center"/>
          </w:tcPr>
          <w:p w14:paraId="0CAD84F6" w14:textId="77777777" w:rsidR="00A971FE" w:rsidRPr="00E551E0" w:rsidRDefault="00A971FE" w:rsidP="0066120F">
            <w:pPr>
              <w:pStyle w:val="TeThHauoratablecolumnhead"/>
              <w:rPr>
                <w:b/>
                <w:bCs w:val="0"/>
              </w:rPr>
            </w:pPr>
            <w:bookmarkStart w:id="34" w:name="_Toc201659459"/>
            <w:r w:rsidRPr="00E551E0">
              <w:rPr>
                <w:b/>
                <w:bCs w:val="0"/>
              </w:rPr>
              <w:t xml:space="preserve">Stage 3: Test the </w:t>
            </w:r>
            <w:bookmarkEnd w:id="34"/>
            <w:r w:rsidRPr="00E551E0">
              <w:rPr>
                <w:b/>
                <w:bCs w:val="0"/>
              </w:rPr>
              <w:t>Sepsis Pathway</w:t>
            </w:r>
          </w:p>
        </w:tc>
      </w:tr>
      <w:tr w:rsidR="00A971FE" w:rsidRPr="00E551E0" w14:paraId="627A86C8"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632239EC" w14:textId="77777777" w:rsidR="00A971FE" w:rsidRPr="00E551E0" w:rsidRDefault="00A971FE" w:rsidP="0066120F">
            <w:pPr>
              <w:pStyle w:val="TeThHauorabodytext"/>
              <w:spacing w:before="40" w:after="40"/>
            </w:pPr>
            <w:r w:rsidRPr="00E551E0">
              <w:t>1</w:t>
            </w:r>
          </w:p>
        </w:tc>
        <w:tc>
          <w:tcPr>
            <w:tcW w:w="2798" w:type="dxa"/>
          </w:tcPr>
          <w:p w14:paraId="3314FFE8"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Agree the approach to test the interventions</w:t>
            </w:r>
          </w:p>
        </w:tc>
        <w:tc>
          <w:tcPr>
            <w:tcW w:w="5849" w:type="dxa"/>
          </w:tcPr>
          <w:p w14:paraId="47AA33B5" w14:textId="00E91274"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Identify a clinical area to test the </w:t>
            </w:r>
            <w:r w:rsidR="003D7BCD">
              <w:t>P</w:t>
            </w:r>
            <w:r w:rsidRPr="00E551E0">
              <w:t>athway</w:t>
            </w:r>
          </w:p>
          <w:p w14:paraId="678E8B15"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Agree on a testing approach</w:t>
            </w:r>
          </w:p>
        </w:tc>
      </w:tr>
      <w:tr w:rsidR="00A971FE" w:rsidRPr="00E551E0" w14:paraId="02E23330"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1191A4EA" w14:textId="77777777" w:rsidR="00A971FE" w:rsidRPr="00E551E0" w:rsidRDefault="00A971FE" w:rsidP="0066120F">
            <w:pPr>
              <w:pStyle w:val="TeThHauorabodytext"/>
              <w:spacing w:before="40" w:after="40"/>
            </w:pPr>
            <w:r w:rsidRPr="00E551E0">
              <w:t>2</w:t>
            </w:r>
          </w:p>
        </w:tc>
        <w:tc>
          <w:tcPr>
            <w:tcW w:w="2798" w:type="dxa"/>
          </w:tcPr>
          <w:p w14:paraId="1B705AF5"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Prepare the clinical area for testing</w:t>
            </w:r>
          </w:p>
        </w:tc>
        <w:tc>
          <w:tcPr>
            <w:tcW w:w="5849" w:type="dxa"/>
          </w:tcPr>
          <w:p w14:paraId="405E3A74"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Communicate and engage with staff in identified clinical areas</w:t>
            </w:r>
          </w:p>
          <w:p w14:paraId="79F5389F"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Share the Pathway and other relevant materials</w:t>
            </w:r>
          </w:p>
          <w:p w14:paraId="4F8A2CB6"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Provide education/training where required</w:t>
            </w:r>
          </w:p>
        </w:tc>
      </w:tr>
      <w:tr w:rsidR="00A971FE" w:rsidRPr="00E551E0" w14:paraId="6F83F966"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3AD26F96" w14:textId="77777777" w:rsidR="00A971FE" w:rsidRPr="00E551E0" w:rsidRDefault="00A971FE" w:rsidP="0066120F">
            <w:pPr>
              <w:pStyle w:val="TeThHauorabodytext"/>
              <w:spacing w:before="40" w:after="40"/>
            </w:pPr>
            <w:r w:rsidRPr="00E551E0">
              <w:t>3</w:t>
            </w:r>
          </w:p>
        </w:tc>
        <w:tc>
          <w:tcPr>
            <w:tcW w:w="2798" w:type="dxa"/>
          </w:tcPr>
          <w:p w14:paraId="360F9B59"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Test the intervention</w:t>
            </w:r>
          </w:p>
        </w:tc>
        <w:tc>
          <w:tcPr>
            <w:tcW w:w="5849" w:type="dxa"/>
          </w:tcPr>
          <w:p w14:paraId="0FC7654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Test the Pathway according to the testing approach</w:t>
            </w:r>
          </w:p>
        </w:tc>
      </w:tr>
      <w:tr w:rsidR="00A971FE" w:rsidRPr="00E551E0" w14:paraId="6C8CB160" w14:textId="77777777" w:rsidTr="00E551E0">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F2F2F2"/>
            <w:vAlign w:val="center"/>
          </w:tcPr>
          <w:p w14:paraId="3503C441" w14:textId="77777777" w:rsidR="00A971FE" w:rsidRPr="00E551E0" w:rsidRDefault="00A971FE" w:rsidP="0066120F">
            <w:pPr>
              <w:pStyle w:val="TeThHauoratablecolumnhead"/>
              <w:keepNext/>
              <w:rPr>
                <w:b/>
                <w:bCs w:val="0"/>
              </w:rPr>
            </w:pPr>
            <w:bookmarkStart w:id="35" w:name="_Toc201659460"/>
            <w:r w:rsidRPr="00E551E0">
              <w:rPr>
                <w:b/>
                <w:bCs w:val="0"/>
              </w:rPr>
              <w:lastRenderedPageBreak/>
              <w:t>Stage 4: Implement and spread sepsis package</w:t>
            </w:r>
            <w:bookmarkEnd w:id="35"/>
          </w:p>
        </w:tc>
      </w:tr>
      <w:tr w:rsidR="00A971FE" w:rsidRPr="00E551E0" w14:paraId="478D03A4"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6C7D9FD1" w14:textId="77777777" w:rsidR="00A971FE" w:rsidRPr="00E551E0" w:rsidRDefault="00A971FE" w:rsidP="0066120F">
            <w:pPr>
              <w:pStyle w:val="TeThHauorabodytext"/>
              <w:spacing w:before="40" w:after="40"/>
            </w:pPr>
            <w:r w:rsidRPr="00E551E0">
              <w:t>1</w:t>
            </w:r>
          </w:p>
        </w:tc>
        <w:tc>
          <w:tcPr>
            <w:tcW w:w="2798" w:type="dxa"/>
          </w:tcPr>
          <w:p w14:paraId="2A68FD27"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 xml:space="preserve">Develop implementation plan and approach </w:t>
            </w:r>
          </w:p>
        </w:tc>
        <w:tc>
          <w:tcPr>
            <w:tcW w:w="5849" w:type="dxa"/>
          </w:tcPr>
          <w:p w14:paraId="18C48E1F"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Discuss and agree on an implementation approach and plan activities </w:t>
            </w:r>
          </w:p>
        </w:tc>
      </w:tr>
      <w:tr w:rsidR="00A971FE" w:rsidRPr="00E551E0" w14:paraId="725E53CB"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07D19641" w14:textId="77777777" w:rsidR="00A971FE" w:rsidRPr="00E551E0" w:rsidRDefault="00A971FE" w:rsidP="0066120F">
            <w:pPr>
              <w:pStyle w:val="TeThHauorabodytext"/>
              <w:spacing w:before="40" w:after="40"/>
            </w:pPr>
            <w:r w:rsidRPr="00E551E0">
              <w:t>2</w:t>
            </w:r>
          </w:p>
        </w:tc>
        <w:tc>
          <w:tcPr>
            <w:tcW w:w="2798" w:type="dxa"/>
          </w:tcPr>
          <w:p w14:paraId="0E7DEFC4"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Replace old materials with new ones</w:t>
            </w:r>
          </w:p>
        </w:tc>
        <w:tc>
          <w:tcPr>
            <w:tcW w:w="5849" w:type="dxa"/>
          </w:tcPr>
          <w:p w14:paraId="1063F5D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Undertake a stocktake of the existing pathway or other resources</w:t>
            </w:r>
          </w:p>
          <w:p w14:paraId="65DBF9F2"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Agree on a date to switch the resources</w:t>
            </w:r>
          </w:p>
          <w:p w14:paraId="4310B0E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Agree on a time and method to swap old and new materials</w:t>
            </w:r>
          </w:p>
        </w:tc>
      </w:tr>
      <w:tr w:rsidR="00A971FE" w:rsidRPr="00E551E0" w14:paraId="05AA0571"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27C18B75" w14:textId="77777777" w:rsidR="00A971FE" w:rsidRPr="00E551E0" w:rsidRDefault="00A971FE" w:rsidP="0066120F">
            <w:pPr>
              <w:pStyle w:val="TeThHauorabodytext"/>
              <w:spacing w:before="40" w:after="40"/>
            </w:pPr>
            <w:r w:rsidRPr="00E551E0">
              <w:t>3</w:t>
            </w:r>
          </w:p>
        </w:tc>
        <w:tc>
          <w:tcPr>
            <w:tcW w:w="2798" w:type="dxa"/>
          </w:tcPr>
          <w:p w14:paraId="470FD2F5" w14:textId="77777777" w:rsidR="00A971FE" w:rsidRPr="00E551E0" w:rsidRDefault="00A971FE" w:rsidP="00BD3DD8">
            <w:pPr>
              <w:pStyle w:val="ListParagraph"/>
              <w:numPr>
                <w:ilvl w:val="0"/>
                <w:numId w:val="4"/>
              </w:numPr>
              <w:spacing w:before="40" w:after="4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Update policy, procedure and documents</w:t>
            </w:r>
          </w:p>
        </w:tc>
        <w:tc>
          <w:tcPr>
            <w:tcW w:w="5849" w:type="dxa"/>
          </w:tcPr>
          <w:p w14:paraId="451CD779"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Discuss the updates with stakeholders and clinical teams </w:t>
            </w:r>
          </w:p>
          <w:p w14:paraId="7E8307F5"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Agree to the updates </w:t>
            </w:r>
          </w:p>
          <w:p w14:paraId="03D53B64"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Update all relevant documents</w:t>
            </w:r>
          </w:p>
          <w:p w14:paraId="265428B2"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Update sepsis-related pages on the website</w:t>
            </w:r>
          </w:p>
        </w:tc>
      </w:tr>
      <w:tr w:rsidR="00A971FE" w:rsidRPr="00E551E0" w14:paraId="3A74714B"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669F6C2E" w14:textId="77777777" w:rsidR="00A971FE" w:rsidRPr="00E551E0" w:rsidRDefault="00A971FE" w:rsidP="0066120F">
            <w:pPr>
              <w:pStyle w:val="TeThHauorabodytext"/>
              <w:spacing w:before="40" w:after="40"/>
            </w:pPr>
            <w:r w:rsidRPr="00E551E0">
              <w:t>4</w:t>
            </w:r>
          </w:p>
        </w:tc>
        <w:tc>
          <w:tcPr>
            <w:tcW w:w="2798" w:type="dxa"/>
          </w:tcPr>
          <w:p w14:paraId="0D062064"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Train staff on the new process</w:t>
            </w:r>
          </w:p>
        </w:tc>
        <w:tc>
          <w:tcPr>
            <w:tcW w:w="5849" w:type="dxa"/>
          </w:tcPr>
          <w:p w14:paraId="3F156396"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Develop a training plan</w:t>
            </w:r>
          </w:p>
          <w:p w14:paraId="329A415E"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the clinical area</w:t>
            </w:r>
          </w:p>
          <w:p w14:paraId="62CA7EC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Complete training</w:t>
            </w:r>
          </w:p>
          <w:p w14:paraId="0D6D7028"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Complete knowledge assessment</w:t>
            </w:r>
          </w:p>
        </w:tc>
      </w:tr>
      <w:tr w:rsidR="00A971FE" w:rsidRPr="00E551E0" w14:paraId="3338A1E2"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202B1E05" w14:textId="77777777" w:rsidR="00A971FE" w:rsidRPr="00E551E0" w:rsidRDefault="00A971FE" w:rsidP="0066120F">
            <w:pPr>
              <w:pStyle w:val="TeThHauorabodytext"/>
              <w:spacing w:before="40" w:after="40"/>
            </w:pPr>
            <w:r w:rsidRPr="00E551E0">
              <w:t>5</w:t>
            </w:r>
          </w:p>
        </w:tc>
        <w:tc>
          <w:tcPr>
            <w:tcW w:w="2798" w:type="dxa"/>
          </w:tcPr>
          <w:p w14:paraId="312B5C24"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Start promotion and share promotional materials</w:t>
            </w:r>
          </w:p>
        </w:tc>
        <w:tc>
          <w:tcPr>
            <w:tcW w:w="5849" w:type="dxa"/>
          </w:tcPr>
          <w:p w14:paraId="677A9F00"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Promote and share materials related to the project</w:t>
            </w:r>
          </w:p>
          <w:p w14:paraId="6632BF9B"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Use promotional materials in clinical areas</w:t>
            </w:r>
          </w:p>
          <w:p w14:paraId="43ED79C5"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Identify strategies to promote the project and pathway</w:t>
            </w:r>
          </w:p>
          <w:p w14:paraId="086559F4"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Organise launch events</w:t>
            </w:r>
          </w:p>
        </w:tc>
      </w:tr>
      <w:tr w:rsidR="00A971FE" w:rsidRPr="00E551E0" w14:paraId="205451D5"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1EA73671" w14:textId="77777777" w:rsidR="00A971FE" w:rsidRPr="00E551E0" w:rsidRDefault="00A971FE" w:rsidP="0066120F">
            <w:pPr>
              <w:pStyle w:val="TeThHauorabodytext"/>
              <w:spacing w:before="40" w:after="40"/>
            </w:pPr>
            <w:r w:rsidRPr="00E551E0">
              <w:t>6</w:t>
            </w:r>
          </w:p>
        </w:tc>
        <w:tc>
          <w:tcPr>
            <w:tcW w:w="2798" w:type="dxa"/>
          </w:tcPr>
          <w:p w14:paraId="0FE050A4"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Start audits and reporting of data</w:t>
            </w:r>
          </w:p>
        </w:tc>
        <w:tc>
          <w:tcPr>
            <w:tcW w:w="5849" w:type="dxa"/>
          </w:tcPr>
          <w:p w14:paraId="2B8250E9"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Start auditing</w:t>
            </w:r>
          </w:p>
          <w:p w14:paraId="4166D05D"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Analyse data and report to stakeholders</w:t>
            </w:r>
          </w:p>
        </w:tc>
      </w:tr>
      <w:tr w:rsidR="00A971FE" w:rsidRPr="00E551E0" w14:paraId="2FFF06DF" w14:textId="77777777" w:rsidTr="00E551E0">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F2F2F2"/>
            <w:vAlign w:val="center"/>
          </w:tcPr>
          <w:p w14:paraId="5DD42E3F" w14:textId="77777777" w:rsidR="00A971FE" w:rsidRPr="00E551E0" w:rsidRDefault="00A971FE" w:rsidP="0066120F">
            <w:pPr>
              <w:pStyle w:val="TeThHauoratablecolumnhead"/>
              <w:rPr>
                <w:b/>
                <w:bCs w:val="0"/>
              </w:rPr>
            </w:pPr>
            <w:bookmarkStart w:id="36" w:name="_Toc201659461"/>
            <w:r w:rsidRPr="00E551E0">
              <w:rPr>
                <w:b/>
                <w:bCs w:val="0"/>
              </w:rPr>
              <w:t>Stage 5: Sustain</w:t>
            </w:r>
            <w:bookmarkEnd w:id="36"/>
          </w:p>
        </w:tc>
      </w:tr>
      <w:tr w:rsidR="00A971FE" w:rsidRPr="00E551E0" w14:paraId="6C93B8CE"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65B766A3" w14:textId="77777777" w:rsidR="00A971FE" w:rsidRPr="00E551E0" w:rsidRDefault="00A971FE" w:rsidP="0066120F">
            <w:pPr>
              <w:pStyle w:val="TeThHauorabodytext"/>
              <w:spacing w:before="40" w:after="40"/>
            </w:pPr>
            <w:r w:rsidRPr="00E551E0">
              <w:t>1</w:t>
            </w:r>
          </w:p>
        </w:tc>
        <w:tc>
          <w:tcPr>
            <w:tcW w:w="2798" w:type="dxa"/>
          </w:tcPr>
          <w:p w14:paraId="47E95BF2"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Monitor data (ongoing)</w:t>
            </w:r>
          </w:p>
        </w:tc>
        <w:tc>
          <w:tcPr>
            <w:tcW w:w="5849" w:type="dxa"/>
          </w:tcPr>
          <w:p w14:paraId="5E793FDC"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Share the dashboard or data with the governance group and other stakeholders</w:t>
            </w:r>
          </w:p>
        </w:tc>
      </w:tr>
      <w:tr w:rsidR="00A971FE" w:rsidRPr="00E551E0" w14:paraId="6E3C085E"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7A25A786" w14:textId="77777777" w:rsidR="00A971FE" w:rsidRPr="00E551E0" w:rsidRDefault="00A971FE" w:rsidP="0066120F">
            <w:pPr>
              <w:pStyle w:val="TeThHauorabodytext"/>
              <w:spacing w:before="40" w:after="40"/>
            </w:pPr>
            <w:r w:rsidRPr="00E551E0">
              <w:t>2</w:t>
            </w:r>
          </w:p>
        </w:tc>
        <w:tc>
          <w:tcPr>
            <w:tcW w:w="2798" w:type="dxa"/>
          </w:tcPr>
          <w:p w14:paraId="1198C714"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Ensure leadership continuity</w:t>
            </w:r>
          </w:p>
        </w:tc>
        <w:tc>
          <w:tcPr>
            <w:tcW w:w="5849" w:type="dxa"/>
          </w:tcPr>
          <w:p w14:paraId="2D1A066F"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 xml:space="preserve">(Governance group) Undertake a quarterly review of the project </w:t>
            </w:r>
          </w:p>
          <w:p w14:paraId="5A75A4B1"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Report to the hospital executive lead and hospital management</w:t>
            </w:r>
          </w:p>
        </w:tc>
      </w:tr>
      <w:tr w:rsidR="00A971FE" w:rsidRPr="00E551E0" w14:paraId="7CA1C976" w14:textId="77777777" w:rsidTr="00E551E0">
        <w:tc>
          <w:tcPr>
            <w:cnfStyle w:val="001000000000" w:firstRow="0" w:lastRow="0" w:firstColumn="1" w:lastColumn="0" w:oddVBand="0" w:evenVBand="0" w:oddHBand="0" w:evenHBand="0" w:firstRowFirstColumn="0" w:firstRowLastColumn="0" w:lastRowFirstColumn="0" w:lastRowLastColumn="0"/>
            <w:tcW w:w="562" w:type="dxa"/>
          </w:tcPr>
          <w:p w14:paraId="1019F7D6" w14:textId="77777777" w:rsidR="00A971FE" w:rsidRPr="00E551E0" w:rsidRDefault="00A971FE" w:rsidP="0066120F">
            <w:pPr>
              <w:pStyle w:val="TeThHauorabodytext"/>
              <w:spacing w:before="40" w:after="40"/>
            </w:pPr>
            <w:r w:rsidRPr="00E551E0">
              <w:t>3</w:t>
            </w:r>
          </w:p>
        </w:tc>
        <w:tc>
          <w:tcPr>
            <w:tcW w:w="2798" w:type="dxa"/>
          </w:tcPr>
          <w:p w14:paraId="4F457F9E" w14:textId="77777777" w:rsidR="00A971FE" w:rsidRPr="00E551E0" w:rsidRDefault="00A971FE" w:rsidP="00BD3DD8">
            <w:pPr>
              <w:pStyle w:val="ListParagraph"/>
              <w:numPr>
                <w:ilvl w:val="0"/>
                <w:numId w:val="4"/>
              </w:numPr>
              <w:spacing w:before="40" w:after="40"/>
              <w:contextualSpacing w:val="0"/>
              <w:cnfStyle w:val="000000000000" w:firstRow="0" w:lastRow="0" w:firstColumn="0" w:lastColumn="0" w:oddVBand="0" w:evenVBand="0" w:oddHBand="0" w:evenHBand="0" w:firstRowFirstColumn="0" w:firstRowLastColumn="0" w:lastRowFirstColumn="0" w:lastRowLastColumn="0"/>
              <w:rPr>
                <w:rFonts w:cs="Arial"/>
              </w:rPr>
            </w:pPr>
            <w:r w:rsidRPr="00E551E0">
              <w:rPr>
                <w:rFonts w:cs="Arial"/>
              </w:rPr>
              <w:t>Provide training and education (ongoing)</w:t>
            </w:r>
          </w:p>
        </w:tc>
        <w:tc>
          <w:tcPr>
            <w:tcW w:w="5849" w:type="dxa"/>
          </w:tcPr>
          <w:p w14:paraId="383DB70D"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Develop a mechanism for ongoing training</w:t>
            </w:r>
          </w:p>
          <w:p w14:paraId="32A441B8"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Incorporate the plan in hospital training calendars</w:t>
            </w:r>
          </w:p>
          <w:p w14:paraId="6279FB12" w14:textId="77777777" w:rsidR="00A971FE" w:rsidRPr="00E551E0" w:rsidRDefault="00A971FE" w:rsidP="00BD3DD8">
            <w:pPr>
              <w:pStyle w:val="TeThHauorabodytext"/>
              <w:numPr>
                <w:ilvl w:val="0"/>
                <w:numId w:val="4"/>
              </w:numPr>
              <w:spacing w:before="40" w:after="40"/>
              <w:cnfStyle w:val="000000000000" w:firstRow="0" w:lastRow="0" w:firstColumn="0" w:lastColumn="0" w:oddVBand="0" w:evenVBand="0" w:oddHBand="0" w:evenHBand="0" w:firstRowFirstColumn="0" w:firstRowLastColumn="0" w:lastRowFirstColumn="0" w:lastRowLastColumn="0"/>
            </w:pPr>
            <w:r w:rsidRPr="00E551E0">
              <w:t>Incorporate training in study days, grand rounds and other training opportunities</w:t>
            </w:r>
          </w:p>
        </w:tc>
      </w:tr>
    </w:tbl>
    <w:p w14:paraId="65BAB198" w14:textId="77777777" w:rsidR="00A971FE" w:rsidRPr="00E551E0" w:rsidRDefault="00A971FE" w:rsidP="0066120F">
      <w:pPr>
        <w:pStyle w:val="TeThHauorabodytext"/>
      </w:pPr>
    </w:p>
    <w:p w14:paraId="463C0CA1" w14:textId="77777777" w:rsidR="00A971FE" w:rsidRPr="00E551E0" w:rsidRDefault="00A971FE" w:rsidP="0066120F">
      <w:pPr>
        <w:pStyle w:val="TeThHauorabodytext"/>
      </w:pPr>
      <w:r w:rsidRPr="00E551E0">
        <w:br w:type="page"/>
      </w:r>
    </w:p>
    <w:p w14:paraId="08BD525C" w14:textId="0972980C" w:rsidR="00A971FE" w:rsidRPr="00E551E0" w:rsidRDefault="00A971FE" w:rsidP="0066120F">
      <w:pPr>
        <w:pStyle w:val="TeThHauorahead1"/>
      </w:pPr>
      <w:bookmarkStart w:id="37" w:name="_Toc207862756"/>
      <w:r w:rsidRPr="00E551E0">
        <w:lastRenderedPageBreak/>
        <w:t>References</w:t>
      </w:r>
      <w:r w:rsidR="00FF50D8">
        <w:t xml:space="preserve"> </w:t>
      </w:r>
      <w:r w:rsidR="00FF50D8" w:rsidRPr="00A200DD">
        <w:t>|</w:t>
      </w:r>
      <w:r w:rsidR="00FF50D8">
        <w:t xml:space="preserve"> </w:t>
      </w:r>
      <w:r w:rsidR="00FF50D8" w:rsidRPr="00FF50D8">
        <w:t xml:space="preserve">Ngā </w:t>
      </w:r>
      <w:proofErr w:type="spellStart"/>
      <w:r w:rsidR="00FF50D8" w:rsidRPr="00FF50D8">
        <w:t>tohutoro</w:t>
      </w:r>
      <w:bookmarkEnd w:id="37"/>
      <w:proofErr w:type="spellEnd"/>
    </w:p>
    <w:p w14:paraId="620D4D0A" w14:textId="1B254C75" w:rsidR="00A971FE" w:rsidRPr="00E551E0" w:rsidRDefault="00A971FE" w:rsidP="0066120F">
      <w:pPr>
        <w:pStyle w:val="TeThHauorabodytext"/>
      </w:pPr>
      <w:proofErr w:type="spellStart"/>
      <w:r w:rsidRPr="00E551E0">
        <w:t>Finfer</w:t>
      </w:r>
      <w:proofErr w:type="spellEnd"/>
      <w:r w:rsidRPr="00E551E0">
        <w:t xml:space="preserve"> S, </w:t>
      </w:r>
      <w:proofErr w:type="spellStart"/>
      <w:r w:rsidRPr="00E551E0">
        <w:t>Bellmo</w:t>
      </w:r>
      <w:proofErr w:type="spellEnd"/>
      <w:r w:rsidRPr="00E551E0">
        <w:t xml:space="preserve"> R, Lipman J. 2004. </w:t>
      </w:r>
      <w:r w:rsidRPr="00E551E0">
        <w:rPr>
          <w:i/>
          <w:iCs/>
        </w:rPr>
        <w:t>Adult-population incidence of severe sepsis in Australian and New Zealand intensive care units</w:t>
      </w:r>
      <w:r w:rsidRPr="00E551E0">
        <w:t>. Intensive Care Medicine 30: 589–96. DOI:</w:t>
      </w:r>
      <w:r w:rsidR="0066120F" w:rsidRPr="00E551E0">
        <w:t> </w:t>
      </w:r>
      <w:r w:rsidRPr="00E551E0">
        <w:t xml:space="preserve">10.1007/s00134-004-2157-0 (accessed 22 January 2024). </w:t>
      </w:r>
    </w:p>
    <w:p w14:paraId="33516C9F" w14:textId="77777777" w:rsidR="00A971FE" w:rsidRPr="00E551E0" w:rsidRDefault="00A971FE" w:rsidP="0066120F">
      <w:pPr>
        <w:pStyle w:val="TeThHauorabodytext"/>
      </w:pPr>
      <w:r w:rsidRPr="00E551E0">
        <w:t xml:space="preserve">Fleischmann C, </w:t>
      </w:r>
      <w:proofErr w:type="spellStart"/>
      <w:r w:rsidRPr="00E551E0">
        <w:t>Scherag</w:t>
      </w:r>
      <w:proofErr w:type="spellEnd"/>
      <w:r w:rsidRPr="00E551E0">
        <w:t xml:space="preserve"> A, Adhikari NKJ, et al. 2016. Assessment of global incidence and mortality of hospital-treated sepsis: current estimates and limitations. </w:t>
      </w:r>
      <w:r w:rsidRPr="00E551E0">
        <w:rPr>
          <w:i/>
          <w:iCs/>
        </w:rPr>
        <w:t xml:space="preserve">American Journal of </w:t>
      </w:r>
      <w:r w:rsidRPr="00E551E0">
        <w:rPr>
          <w:i/>
          <w:iCs/>
          <w:spacing w:val="-2"/>
        </w:rPr>
        <w:t>Respiratory and Critical Care Medicine</w:t>
      </w:r>
      <w:r w:rsidRPr="00E551E0">
        <w:rPr>
          <w:spacing w:val="-2"/>
        </w:rPr>
        <w:t xml:space="preserve"> 193(3): 259–72. DOI: 10.1164/ rccm.201504-0781OC</w:t>
      </w:r>
      <w:r w:rsidRPr="00E551E0">
        <w:t>.</w:t>
      </w:r>
    </w:p>
    <w:p w14:paraId="55C0F07E" w14:textId="51310B31" w:rsidR="00A971FE" w:rsidRPr="00E551E0" w:rsidRDefault="00A971FE" w:rsidP="0066120F">
      <w:pPr>
        <w:pStyle w:val="TeThHauorabodytext"/>
      </w:pPr>
      <w:r w:rsidRPr="00E551E0">
        <w:t xml:space="preserve">Sepsis Trust NZ. 2021. </w:t>
      </w:r>
      <w:r w:rsidRPr="00E551E0">
        <w:rPr>
          <w:i/>
          <w:iCs/>
        </w:rPr>
        <w:t>National Sepsis Action Plan: A way forward</w:t>
      </w:r>
      <w:r w:rsidRPr="00E551E0">
        <w:t>. Hamilton: Sepsis Trust</w:t>
      </w:r>
      <w:r w:rsidR="0066120F" w:rsidRPr="00E551E0">
        <w:t> </w:t>
      </w:r>
      <w:r w:rsidRPr="00E551E0">
        <w:t>NZ.</w:t>
      </w:r>
    </w:p>
    <w:p w14:paraId="65D6FEB8" w14:textId="4ED2C318" w:rsidR="00A971FE" w:rsidRPr="00E551E0" w:rsidRDefault="00020855" w:rsidP="0066120F">
      <w:pPr>
        <w:pStyle w:val="TeThHauorabodytext"/>
      </w:pPr>
      <w:r w:rsidRPr="00E551E0">
        <w:t>Health Quality &amp; Safety Commission</w:t>
      </w:r>
      <w:r w:rsidR="00A971FE" w:rsidRPr="00E551E0">
        <w:t xml:space="preserve">. </w:t>
      </w:r>
      <w:r w:rsidR="00A971FE" w:rsidRPr="00E551E0">
        <w:rPr>
          <w:rStyle w:val="CommentReference"/>
        </w:rPr>
        <w:t/>
      </w:r>
      <w:r w:rsidR="00A971FE" w:rsidRPr="00E551E0">
        <w:t xml:space="preserve">2023. </w:t>
      </w:r>
      <w:r w:rsidR="00A971FE" w:rsidRPr="00E551E0">
        <w:rPr>
          <w:i/>
          <w:iCs/>
        </w:rPr>
        <w:t>Quality Improvement Initiatives to Improve Sepsis Recognition, Treatment and Post-Sepsis Care Across Healthcare Settings Globally and in New Zealand: A scoping review (2015–2023)</w:t>
      </w:r>
      <w:r w:rsidR="00A971FE" w:rsidRPr="00E551E0">
        <w:t xml:space="preserve">. Wellington: </w:t>
      </w:r>
      <w:r w:rsidRPr="00E551E0">
        <w:t>Health Quality &amp; Safety Commission</w:t>
      </w:r>
      <w:r w:rsidR="00A971FE" w:rsidRPr="00E551E0">
        <w:t>.</w:t>
      </w:r>
    </w:p>
    <w:p w14:paraId="03F6B6BC" w14:textId="096E86C7" w:rsidR="00A971FE" w:rsidRPr="00E551E0" w:rsidRDefault="00020855" w:rsidP="0066120F">
      <w:pPr>
        <w:pStyle w:val="TeThHauorabodytext"/>
      </w:pPr>
      <w:r w:rsidRPr="00E551E0">
        <w:t>Health Quality &amp; Safety Commission</w:t>
      </w:r>
      <w:r w:rsidR="00A971FE" w:rsidRPr="00E551E0">
        <w:t xml:space="preserve">. </w:t>
      </w:r>
      <w:r w:rsidR="00A971FE" w:rsidRPr="00E551E0">
        <w:rPr>
          <w:rStyle w:val="CommentReference"/>
        </w:rPr>
        <w:t/>
      </w:r>
      <w:r w:rsidR="00A971FE" w:rsidRPr="00E551E0">
        <w:t xml:space="preserve">2024a. Raise the Flag: sepsis quality improvement project. URL: </w:t>
      </w:r>
      <w:hyperlink r:id="rId26" w:history="1">
        <w:r w:rsidR="00A971FE" w:rsidRPr="00E551E0">
          <w:rPr>
            <w:rStyle w:val="Hyperlink"/>
          </w:rPr>
          <w:t>www.hqsc.govt.nz/our-work/improved-service-delivery/sepsis/raise-the-flag-sepsis-quality-improvement-project/</w:t>
        </w:r>
      </w:hyperlink>
      <w:r w:rsidR="00A971FE" w:rsidRPr="00E551E0">
        <w:t xml:space="preserve"> (accessed 3 August 2025). </w:t>
      </w:r>
    </w:p>
    <w:p w14:paraId="2ACCEE44" w14:textId="46499C65" w:rsidR="00A971FE" w:rsidRPr="00E551E0" w:rsidRDefault="00020855" w:rsidP="0066120F">
      <w:pPr>
        <w:pStyle w:val="TeThHauorabodytext"/>
      </w:pPr>
      <w:r w:rsidRPr="00E551E0">
        <w:t>Health Quality &amp; Safety Commission</w:t>
      </w:r>
      <w:r w:rsidR="00A971FE" w:rsidRPr="00E551E0">
        <w:t xml:space="preserve">. </w:t>
      </w:r>
      <w:r w:rsidR="00A971FE" w:rsidRPr="00E551E0">
        <w:rPr>
          <w:rStyle w:val="CommentReference"/>
        </w:rPr>
        <w:t/>
      </w:r>
      <w:r w:rsidR="00A971FE" w:rsidRPr="00E551E0">
        <w:t xml:space="preserve">2024b. </w:t>
      </w:r>
      <w:r w:rsidR="00A971FE" w:rsidRPr="00E551E0">
        <w:rPr>
          <w:i/>
          <w:iCs/>
        </w:rPr>
        <w:t>Sepsis Quality Improvement Programme</w:t>
      </w:r>
      <w:r w:rsidR="00A971FE" w:rsidRPr="00E551E0">
        <w:t xml:space="preserve">. Wellington: </w:t>
      </w:r>
      <w:r w:rsidRPr="00E551E0">
        <w:t>Health Quality &amp; Safety Commission</w:t>
      </w:r>
      <w:r w:rsidR="00A971FE" w:rsidRPr="00E551E0">
        <w:t>.</w:t>
      </w:r>
    </w:p>
    <w:p w14:paraId="12DD6160" w14:textId="77777777" w:rsidR="00A971FE" w:rsidRPr="00E551E0" w:rsidRDefault="00A971FE" w:rsidP="0066120F">
      <w:pPr>
        <w:pStyle w:val="TeThHauorabodytext"/>
      </w:pPr>
      <w:r w:rsidRPr="00E551E0">
        <w:t xml:space="preserve">Williamson F, Gasparini J, Patel D. 2022. </w:t>
      </w:r>
      <w:r w:rsidRPr="00E551E0">
        <w:rPr>
          <w:i/>
          <w:iCs/>
        </w:rPr>
        <w:t>Stocktake of Sepsis Management in Aotearoa New Zealand</w:t>
      </w:r>
      <w:r w:rsidRPr="00E551E0">
        <w:t>. Auckland: Health Quality &amp; Safety Commission.</w:t>
      </w:r>
    </w:p>
    <w:p w14:paraId="374338D4" w14:textId="7BCE826F" w:rsidR="00A15C21" w:rsidRPr="00E551E0" w:rsidRDefault="00A15C21" w:rsidP="0066120F">
      <w:pPr>
        <w:pStyle w:val="TeThHauorabodytext"/>
      </w:pPr>
    </w:p>
    <w:sectPr w:rsidR="00A15C21" w:rsidRPr="00E551E0" w:rsidSect="00A971FE">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14736" w14:textId="77777777" w:rsidR="00FF3B08" w:rsidRDefault="00FF3B08" w:rsidP="003C45E1">
      <w:pPr>
        <w:spacing w:after="0" w:line="240" w:lineRule="auto"/>
      </w:pPr>
      <w:r>
        <w:separator/>
      </w:r>
    </w:p>
  </w:endnote>
  <w:endnote w:type="continuationSeparator" w:id="0">
    <w:p w14:paraId="043D366C" w14:textId="77777777" w:rsidR="00FF3B08" w:rsidRDefault="00FF3B08" w:rsidP="003C45E1">
      <w:pPr>
        <w:spacing w:after="0" w:line="240" w:lineRule="auto"/>
      </w:pPr>
      <w:r>
        <w:continuationSeparator/>
      </w:r>
    </w:p>
  </w:endnote>
  <w:endnote w:type="continuationNotice" w:id="1">
    <w:p w14:paraId="0DEE8E7B" w14:textId="77777777" w:rsidR="00FF3B08" w:rsidRDefault="00FF3B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087240"/>
      <w:docPartObj>
        <w:docPartGallery w:val="Page Numbers (Bottom of Page)"/>
        <w:docPartUnique/>
      </w:docPartObj>
    </w:sdtPr>
    <w:sdtEndPr>
      <w:rPr>
        <w:noProof/>
      </w:rPr>
    </w:sdtEndPr>
    <w:sdtContent>
      <w:sdt>
        <w:sdtPr>
          <w:id w:val="-1769616900"/>
          <w:docPartObj>
            <w:docPartGallery w:val="Page Numbers (Top of Page)"/>
            <w:docPartUnique/>
          </w:docPartObj>
        </w:sdtPr>
        <w:sdtContent>
          <w:p w14:paraId="490A77B2" w14:textId="77777777" w:rsidR="004907D7" w:rsidRPr="00DE102A" w:rsidRDefault="006A473A" w:rsidP="00CD59BF">
            <w:pPr>
              <w:pStyle w:val="Footer"/>
            </w:pPr>
            <w:r w:rsidRPr="00DE102A">
              <w:t xml:space="preserve">[Title of </w:t>
            </w:r>
            <w:r w:rsidR="009B60E1">
              <w:t>document</w:t>
            </w:r>
            <w:r w:rsidRPr="00DE102A">
              <w:t>]</w:t>
            </w:r>
            <w:r w:rsidRPr="00DE102A">
              <w:tab/>
            </w:r>
            <w:r w:rsidRPr="00DE102A">
              <w:tab/>
            </w:r>
            <w:r w:rsidR="005C344C" w:rsidRPr="004A752B">
              <w:fldChar w:fldCharType="begin"/>
            </w:r>
            <w:r w:rsidR="005C344C" w:rsidRPr="004A752B">
              <w:instrText xml:space="preserve"> PAGE </w:instrText>
            </w:r>
            <w:r w:rsidR="005C344C" w:rsidRPr="004A752B">
              <w:fldChar w:fldCharType="separate"/>
            </w:r>
            <w:r w:rsidR="005C344C">
              <w:t>2</w:t>
            </w:r>
            <w:r w:rsidR="005C344C" w:rsidRPr="004A752B">
              <w:fldChar w:fldCharType="end"/>
            </w:r>
            <w:r w:rsidR="004907D7" w:rsidRPr="00DE102A">
              <w:rPr>
                <w:noProof/>
              </w:rPr>
              <w:t xml:space="preserve"> of </w:t>
            </w:r>
            <w:r w:rsidR="005C344C">
              <w:fldChar w:fldCharType="begin"/>
            </w:r>
            <w:r w:rsidR="005C344C">
              <w:instrText xml:space="preserve"> NUMPAGES  </w:instrText>
            </w:r>
            <w:r w:rsidR="005C344C">
              <w:fldChar w:fldCharType="separate"/>
            </w:r>
            <w:r w:rsidR="005C344C">
              <w:t>3</w:t>
            </w:r>
            <w:r w:rsidR="005C344C">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689719"/>
      <w:docPartObj>
        <w:docPartGallery w:val="Page Numbers (Bottom of Page)"/>
        <w:docPartUnique/>
      </w:docPartObj>
    </w:sdtPr>
    <w:sdtEndPr>
      <w:rPr>
        <w:noProof/>
      </w:rPr>
    </w:sdtEndPr>
    <w:sdtContent>
      <w:sdt>
        <w:sdtPr>
          <w:id w:val="-2092766595"/>
          <w:docPartObj>
            <w:docPartGallery w:val="Page Numbers (Top of Page)"/>
            <w:docPartUnique/>
          </w:docPartObj>
        </w:sdtPr>
        <w:sdtContent>
          <w:p w14:paraId="33B4350D" w14:textId="20FF8468" w:rsidR="00CD59BF" w:rsidRPr="00DE102A" w:rsidRDefault="00580F59" w:rsidP="008D0093">
            <w:pPr>
              <w:pStyle w:val="Footer"/>
            </w:pPr>
            <w:r>
              <w:t xml:space="preserve">Raise the Flag: </w:t>
            </w:r>
            <w:r w:rsidR="008D0093">
              <w:t xml:space="preserve">Sepsis quality improvement: </w:t>
            </w:r>
            <w:r w:rsidR="005552D7">
              <w:t>I</w:t>
            </w:r>
            <w:r w:rsidR="008D0093">
              <w:t>mplementation guide</w:t>
            </w:r>
            <w:r w:rsidR="00CD59BF" w:rsidRPr="00DE102A">
              <w:tab/>
            </w:r>
            <w:r>
              <w:fldChar w:fldCharType="begin"/>
            </w:r>
            <w:r>
              <w:instrText xml:space="preserve"> PAGE   \* MERGEFORMAT </w:instrText>
            </w:r>
            <w:r>
              <w:fldChar w:fldCharType="separate"/>
            </w:r>
            <w:r>
              <w:rPr>
                <w:noProof/>
              </w:rPr>
              <w:t>1</w:t>
            </w:r>
            <w:r>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1347" w14:textId="77777777" w:rsidR="005552D7" w:rsidRDefault="005552D7">
    <w:pPr>
      <w:pStyle w:val="Footer"/>
      <w:rPr>
        <w:noProof/>
      </w:rPr>
    </w:pPr>
    <w:r>
      <w:fldChar w:fldCharType="begin"/>
    </w:r>
    <w:r>
      <w:instrText xml:space="preserve"> PAGE   \* MERGEFORMAT </w:instrText>
    </w:r>
    <w:r>
      <w:fldChar w:fldCharType="separate"/>
    </w:r>
    <w:r>
      <w:t>16</w:t>
    </w:r>
    <w:r>
      <w:rPr>
        <w:noProof/>
      </w:rPr>
      <w:fldChar w:fldCharType="end"/>
    </w:r>
    <w:r>
      <w:rPr>
        <w:noProof/>
      </w:rPr>
      <w:tab/>
    </w:r>
    <w:sdt>
      <w:sdtPr>
        <w:id w:val="-189915398"/>
        <w:docPartObj>
          <w:docPartGallery w:val="Page Numbers (Bottom of Page)"/>
          <w:docPartUnique/>
        </w:docPartObj>
      </w:sdtPr>
      <w:sdtEndPr>
        <w:rPr>
          <w:noProof/>
        </w:rPr>
      </w:sdtEndPr>
      <w:sdtContent>
        <w:sdt>
          <w:sdtPr>
            <w:id w:val="-1118674183"/>
            <w:docPartObj>
              <w:docPartGallery w:val="Page Numbers (Top of Page)"/>
              <w:docPartUnique/>
            </w:docPartObj>
          </w:sdtPr>
          <w:sdtContent>
            <w:r>
              <w:t>Raise the Flag: Sepsis quality improvement: Implementation guide</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460CC" w14:textId="77777777" w:rsidR="00FF3B08" w:rsidRDefault="00FF3B08" w:rsidP="003C45E1">
      <w:pPr>
        <w:spacing w:after="0" w:line="240" w:lineRule="auto"/>
      </w:pPr>
      <w:r>
        <w:separator/>
      </w:r>
    </w:p>
  </w:footnote>
  <w:footnote w:type="continuationSeparator" w:id="0">
    <w:p w14:paraId="595202EA" w14:textId="77777777" w:rsidR="00FF3B08" w:rsidRDefault="00FF3B08" w:rsidP="003C45E1">
      <w:pPr>
        <w:spacing w:after="0" w:line="240" w:lineRule="auto"/>
      </w:pPr>
      <w:r>
        <w:continuationSeparator/>
      </w:r>
    </w:p>
  </w:footnote>
  <w:footnote w:type="continuationNotice" w:id="1">
    <w:p w14:paraId="44B2F90B" w14:textId="77777777" w:rsidR="00FF3B08" w:rsidRDefault="00FF3B08">
      <w:pPr>
        <w:spacing w:after="0" w:line="240" w:lineRule="auto"/>
      </w:pPr>
    </w:p>
  </w:footnote>
  <w:footnote w:id="2">
    <w:p w14:paraId="4FCD9DCD" w14:textId="77777777" w:rsidR="00A971FE" w:rsidRDefault="00A971FE" w:rsidP="00630E81">
      <w:pPr>
        <w:pStyle w:val="FootnoteText"/>
      </w:pPr>
      <w:r>
        <w:rPr>
          <w:rStyle w:val="FootnoteReference"/>
        </w:rPr>
        <w:footnoteRef/>
      </w:r>
      <w:r>
        <w:t xml:space="preserve"> </w:t>
      </w:r>
      <w:r w:rsidRPr="00D6199C">
        <w:t>National Minimum Dataset</w:t>
      </w:r>
      <w:r>
        <w:t xml:space="preserve"> (NMDS): </w:t>
      </w:r>
      <w:r w:rsidRPr="00CC4161">
        <w:t>It's</w:t>
      </w:r>
      <w:r w:rsidRPr="00012D2D">
        <w:t xml:space="preserve"> a </w:t>
      </w:r>
      <w:r w:rsidRPr="00CC4161">
        <w:t xml:space="preserve">large database that collects and stores </w:t>
      </w:r>
      <w:r w:rsidRPr="00012D2D">
        <w:t>hospital discharge information</w:t>
      </w:r>
      <w:r w:rsidRPr="00CC4161">
        <w:t xml:space="preserve"> for both public and private </w:t>
      </w:r>
      <w:r w:rsidRPr="00630E81">
        <w:t>hospitals</w:t>
      </w:r>
      <w:r w:rsidRPr="00CC4161">
        <w:t>. This data includes</w:t>
      </w:r>
      <w:r w:rsidRPr="00012D2D">
        <w:t xml:space="preserve"> clinical information</w:t>
      </w:r>
      <w:r w:rsidRPr="00CC4161">
        <w:t xml:space="preserve"> like diagnoses and procedures, as well as details about the hospital stay such as length of stay and demographic information like age, sex, and ethnicity according to the Ministry of Health</w:t>
      </w:r>
      <w:r w:rsidRPr="00012D2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6078E2"/>
    <w:multiLevelType w:val="hybridMultilevel"/>
    <w:tmpl w:val="EE62B904"/>
    <w:lvl w:ilvl="0" w:tplc="E8440F96">
      <w:start w:val="1"/>
      <w:numFmt w:val="bullet"/>
      <w:lvlText w:val="☐"/>
      <w:lvlJc w:val="left"/>
      <w:pPr>
        <w:ind w:left="360" w:hanging="360"/>
      </w:pPr>
      <w:rPr>
        <w:rFonts w:ascii="Aptos"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7D1684"/>
    <w:multiLevelType w:val="hybridMultilevel"/>
    <w:tmpl w:val="BC9E9F24"/>
    <w:lvl w:ilvl="0" w:tplc="93968F86">
      <w:start w:val="1"/>
      <w:numFmt w:val="bullet"/>
      <w:lvlText w:val=""/>
      <w:lvlJc w:val="left"/>
      <w:pPr>
        <w:ind w:left="360" w:hanging="360"/>
      </w:pPr>
      <w:rPr>
        <w:rFonts w:ascii="Symbol" w:hAnsi="Symbol" w:hint="default"/>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75D7AEE"/>
    <w:multiLevelType w:val="multilevel"/>
    <w:tmpl w:val="C47C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7C40D1"/>
    <w:multiLevelType w:val="multilevel"/>
    <w:tmpl w:val="CA5A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FA4C93"/>
    <w:multiLevelType w:val="multilevel"/>
    <w:tmpl w:val="C78A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3D4E59"/>
    <w:multiLevelType w:val="multilevel"/>
    <w:tmpl w:val="F77C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D813FF5"/>
    <w:multiLevelType w:val="multilevel"/>
    <w:tmpl w:val="D928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2623AD"/>
    <w:multiLevelType w:val="multilevel"/>
    <w:tmpl w:val="DEE6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803794"/>
    <w:multiLevelType w:val="multilevel"/>
    <w:tmpl w:val="EAEC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3B55F8"/>
    <w:multiLevelType w:val="multilevel"/>
    <w:tmpl w:val="9068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477696"/>
    <w:multiLevelType w:val="multilevel"/>
    <w:tmpl w:val="4318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3F4167"/>
    <w:multiLevelType w:val="hybridMultilevel"/>
    <w:tmpl w:val="826C05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642655D8"/>
    <w:multiLevelType w:val="multilevel"/>
    <w:tmpl w:val="20DA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6534134"/>
    <w:multiLevelType w:val="multilevel"/>
    <w:tmpl w:val="2E3C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BEE5293"/>
    <w:multiLevelType w:val="hybridMultilevel"/>
    <w:tmpl w:val="10B2C978"/>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18" w15:restartNumberingAfterBreak="0">
    <w:nsid w:val="72F8771F"/>
    <w:multiLevelType w:val="multilevel"/>
    <w:tmpl w:val="888E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6214F8"/>
    <w:multiLevelType w:val="multilevel"/>
    <w:tmpl w:val="2120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7D23F5"/>
    <w:multiLevelType w:val="multilevel"/>
    <w:tmpl w:val="39F8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366A7C"/>
    <w:multiLevelType w:val="multilevel"/>
    <w:tmpl w:val="E360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C06D84"/>
    <w:multiLevelType w:val="multilevel"/>
    <w:tmpl w:val="44B6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098544">
    <w:abstractNumId w:val="8"/>
  </w:num>
  <w:num w:numId="2" w16cid:durableId="1515728625">
    <w:abstractNumId w:val="1"/>
  </w:num>
  <w:num w:numId="3" w16cid:durableId="999843847">
    <w:abstractNumId w:val="0"/>
  </w:num>
  <w:num w:numId="4" w16cid:durableId="1158426118">
    <w:abstractNumId w:val="2"/>
  </w:num>
  <w:num w:numId="5" w16cid:durableId="141117954">
    <w:abstractNumId w:val="3"/>
  </w:num>
  <w:num w:numId="6" w16cid:durableId="1479615628">
    <w:abstractNumId w:val="18"/>
  </w:num>
  <w:num w:numId="7" w16cid:durableId="1019620414">
    <w:abstractNumId w:val="5"/>
  </w:num>
  <w:num w:numId="8" w16cid:durableId="2055041441">
    <w:abstractNumId w:val="6"/>
  </w:num>
  <w:num w:numId="9" w16cid:durableId="542254075">
    <w:abstractNumId w:val="10"/>
  </w:num>
  <w:num w:numId="10" w16cid:durableId="326322764">
    <w:abstractNumId w:val="15"/>
  </w:num>
  <w:num w:numId="11" w16cid:durableId="506948626">
    <w:abstractNumId w:val="19"/>
  </w:num>
  <w:num w:numId="12" w16cid:durableId="418335593">
    <w:abstractNumId w:val="16"/>
  </w:num>
  <w:num w:numId="13" w16cid:durableId="1604730096">
    <w:abstractNumId w:val="13"/>
  </w:num>
  <w:num w:numId="14" w16cid:durableId="985166755">
    <w:abstractNumId w:val="4"/>
  </w:num>
  <w:num w:numId="15" w16cid:durableId="1476292330">
    <w:abstractNumId w:val="7"/>
  </w:num>
  <w:num w:numId="16" w16cid:durableId="66155112">
    <w:abstractNumId w:val="21"/>
  </w:num>
  <w:num w:numId="17" w16cid:durableId="1945923010">
    <w:abstractNumId w:val="12"/>
  </w:num>
  <w:num w:numId="18" w16cid:durableId="796870918">
    <w:abstractNumId w:val="22"/>
  </w:num>
  <w:num w:numId="19" w16cid:durableId="511838924">
    <w:abstractNumId w:val="20"/>
  </w:num>
  <w:num w:numId="20" w16cid:durableId="1826507977">
    <w:abstractNumId w:val="11"/>
  </w:num>
  <w:num w:numId="21" w16cid:durableId="1010641700">
    <w:abstractNumId w:val="9"/>
  </w:num>
  <w:num w:numId="22" w16cid:durableId="771052621">
    <w:abstractNumId w:val="14"/>
  </w:num>
  <w:num w:numId="23" w16cid:durableId="14058573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593"/>
    <w:rsid w:val="00000224"/>
    <w:rsid w:val="000018CC"/>
    <w:rsid w:val="00003978"/>
    <w:rsid w:val="0000479F"/>
    <w:rsid w:val="00005986"/>
    <w:rsid w:val="000072B5"/>
    <w:rsid w:val="000115EC"/>
    <w:rsid w:val="00012CD3"/>
    <w:rsid w:val="00014BDF"/>
    <w:rsid w:val="000154D5"/>
    <w:rsid w:val="00015F44"/>
    <w:rsid w:val="00016038"/>
    <w:rsid w:val="00017216"/>
    <w:rsid w:val="00020855"/>
    <w:rsid w:val="00020F56"/>
    <w:rsid w:val="00021A1A"/>
    <w:rsid w:val="000235D4"/>
    <w:rsid w:val="00023B07"/>
    <w:rsid w:val="00024C7E"/>
    <w:rsid w:val="00025264"/>
    <w:rsid w:val="000257D7"/>
    <w:rsid w:val="00026401"/>
    <w:rsid w:val="00037B8E"/>
    <w:rsid w:val="00043083"/>
    <w:rsid w:val="00051CC0"/>
    <w:rsid w:val="0005287A"/>
    <w:rsid w:val="00052B4C"/>
    <w:rsid w:val="0005504C"/>
    <w:rsid w:val="00057F11"/>
    <w:rsid w:val="00062B82"/>
    <w:rsid w:val="00064CCB"/>
    <w:rsid w:val="00067C71"/>
    <w:rsid w:val="00071CE6"/>
    <w:rsid w:val="00072B90"/>
    <w:rsid w:val="00081524"/>
    <w:rsid w:val="00081E3B"/>
    <w:rsid w:val="0008726B"/>
    <w:rsid w:val="000874C6"/>
    <w:rsid w:val="00092A37"/>
    <w:rsid w:val="00093955"/>
    <w:rsid w:val="00096C19"/>
    <w:rsid w:val="000A110B"/>
    <w:rsid w:val="000A458F"/>
    <w:rsid w:val="000A5622"/>
    <w:rsid w:val="000B111C"/>
    <w:rsid w:val="000B28B7"/>
    <w:rsid w:val="000C0DFF"/>
    <w:rsid w:val="000C1227"/>
    <w:rsid w:val="000C71F5"/>
    <w:rsid w:val="000D7E4B"/>
    <w:rsid w:val="000E0DB8"/>
    <w:rsid w:val="000E5B30"/>
    <w:rsid w:val="000F32D0"/>
    <w:rsid w:val="000F7471"/>
    <w:rsid w:val="00101302"/>
    <w:rsid w:val="00101F88"/>
    <w:rsid w:val="00104BBC"/>
    <w:rsid w:val="00105E23"/>
    <w:rsid w:val="00106ECE"/>
    <w:rsid w:val="001111D6"/>
    <w:rsid w:val="001123E1"/>
    <w:rsid w:val="001130EC"/>
    <w:rsid w:val="00115489"/>
    <w:rsid w:val="00115AEB"/>
    <w:rsid w:val="001249E2"/>
    <w:rsid w:val="0013118C"/>
    <w:rsid w:val="00131E3D"/>
    <w:rsid w:val="00132003"/>
    <w:rsid w:val="00133F6A"/>
    <w:rsid w:val="00134F5C"/>
    <w:rsid w:val="001378CA"/>
    <w:rsid w:val="00140457"/>
    <w:rsid w:val="00140AAC"/>
    <w:rsid w:val="00147145"/>
    <w:rsid w:val="001471F7"/>
    <w:rsid w:val="00150EC1"/>
    <w:rsid w:val="00150EE7"/>
    <w:rsid w:val="00150F2F"/>
    <w:rsid w:val="00153C73"/>
    <w:rsid w:val="001639FA"/>
    <w:rsid w:val="00164036"/>
    <w:rsid w:val="00165B6D"/>
    <w:rsid w:val="001730CB"/>
    <w:rsid w:val="00173B88"/>
    <w:rsid w:val="00175810"/>
    <w:rsid w:val="00183219"/>
    <w:rsid w:val="00183F98"/>
    <w:rsid w:val="001855EA"/>
    <w:rsid w:val="00185F52"/>
    <w:rsid w:val="00193951"/>
    <w:rsid w:val="0019407B"/>
    <w:rsid w:val="001A02AD"/>
    <w:rsid w:val="001A1007"/>
    <w:rsid w:val="001A132C"/>
    <w:rsid w:val="001A44E7"/>
    <w:rsid w:val="001A6553"/>
    <w:rsid w:val="001B161C"/>
    <w:rsid w:val="001B6AEC"/>
    <w:rsid w:val="001C2409"/>
    <w:rsid w:val="001D0822"/>
    <w:rsid w:val="001D1AE7"/>
    <w:rsid w:val="001D2CFE"/>
    <w:rsid w:val="001D5E16"/>
    <w:rsid w:val="001D6AAD"/>
    <w:rsid w:val="001D75C3"/>
    <w:rsid w:val="001E06DF"/>
    <w:rsid w:val="001E0B57"/>
    <w:rsid w:val="001E6A9F"/>
    <w:rsid w:val="001F1896"/>
    <w:rsid w:val="001F3461"/>
    <w:rsid w:val="0020107E"/>
    <w:rsid w:val="00203EA2"/>
    <w:rsid w:val="00205657"/>
    <w:rsid w:val="00205AD6"/>
    <w:rsid w:val="00211CD6"/>
    <w:rsid w:val="002121B9"/>
    <w:rsid w:val="0021261B"/>
    <w:rsid w:val="002143F3"/>
    <w:rsid w:val="002201B7"/>
    <w:rsid w:val="00225BC0"/>
    <w:rsid w:val="0022627B"/>
    <w:rsid w:val="0023054B"/>
    <w:rsid w:val="002339EA"/>
    <w:rsid w:val="002371B4"/>
    <w:rsid w:val="00237533"/>
    <w:rsid w:val="00237A4C"/>
    <w:rsid w:val="00243557"/>
    <w:rsid w:val="00244839"/>
    <w:rsid w:val="00245178"/>
    <w:rsid w:val="0024737A"/>
    <w:rsid w:val="002514A1"/>
    <w:rsid w:val="00252B7B"/>
    <w:rsid w:val="002537BC"/>
    <w:rsid w:val="002665C5"/>
    <w:rsid w:val="00266A8A"/>
    <w:rsid w:val="0027152B"/>
    <w:rsid w:val="00272AA4"/>
    <w:rsid w:val="00283588"/>
    <w:rsid w:val="00285847"/>
    <w:rsid w:val="002865A7"/>
    <w:rsid w:val="00287D53"/>
    <w:rsid w:val="0029029C"/>
    <w:rsid w:val="00290687"/>
    <w:rsid w:val="00291E66"/>
    <w:rsid w:val="0029676C"/>
    <w:rsid w:val="002969D8"/>
    <w:rsid w:val="00297582"/>
    <w:rsid w:val="00297676"/>
    <w:rsid w:val="00297B4B"/>
    <w:rsid w:val="002A1F64"/>
    <w:rsid w:val="002A3DC3"/>
    <w:rsid w:val="002A73AB"/>
    <w:rsid w:val="002B4FF6"/>
    <w:rsid w:val="002C1338"/>
    <w:rsid w:val="002C1441"/>
    <w:rsid w:val="002D22C7"/>
    <w:rsid w:val="002E1666"/>
    <w:rsid w:val="002E2CCF"/>
    <w:rsid w:val="002E547C"/>
    <w:rsid w:val="002E7831"/>
    <w:rsid w:val="002F2FC4"/>
    <w:rsid w:val="002F6704"/>
    <w:rsid w:val="0030109F"/>
    <w:rsid w:val="00301AB6"/>
    <w:rsid w:val="00303EF1"/>
    <w:rsid w:val="00306428"/>
    <w:rsid w:val="00307BED"/>
    <w:rsid w:val="00310A90"/>
    <w:rsid w:val="00312BB1"/>
    <w:rsid w:val="003269B7"/>
    <w:rsid w:val="00331D2C"/>
    <w:rsid w:val="003362F8"/>
    <w:rsid w:val="00340841"/>
    <w:rsid w:val="0034255E"/>
    <w:rsid w:val="003451B3"/>
    <w:rsid w:val="00345201"/>
    <w:rsid w:val="00345ACC"/>
    <w:rsid w:val="003470AA"/>
    <w:rsid w:val="00350934"/>
    <w:rsid w:val="00353928"/>
    <w:rsid w:val="003557A9"/>
    <w:rsid w:val="003558C2"/>
    <w:rsid w:val="00356454"/>
    <w:rsid w:val="0035680A"/>
    <w:rsid w:val="0036225A"/>
    <w:rsid w:val="00370C0F"/>
    <w:rsid w:val="003720D9"/>
    <w:rsid w:val="00372989"/>
    <w:rsid w:val="00374EB2"/>
    <w:rsid w:val="003751B1"/>
    <w:rsid w:val="00380044"/>
    <w:rsid w:val="0038042C"/>
    <w:rsid w:val="00386712"/>
    <w:rsid w:val="00390A08"/>
    <w:rsid w:val="00392C96"/>
    <w:rsid w:val="003A1838"/>
    <w:rsid w:val="003A3D1C"/>
    <w:rsid w:val="003A5AFA"/>
    <w:rsid w:val="003B13D7"/>
    <w:rsid w:val="003B2535"/>
    <w:rsid w:val="003B3CBF"/>
    <w:rsid w:val="003B6C8D"/>
    <w:rsid w:val="003B784D"/>
    <w:rsid w:val="003C40E1"/>
    <w:rsid w:val="003C45E1"/>
    <w:rsid w:val="003D19E6"/>
    <w:rsid w:val="003D1E73"/>
    <w:rsid w:val="003D7BCD"/>
    <w:rsid w:val="003E07F7"/>
    <w:rsid w:val="003E1978"/>
    <w:rsid w:val="003E2238"/>
    <w:rsid w:val="003E38E3"/>
    <w:rsid w:val="003E52D6"/>
    <w:rsid w:val="003E6A5D"/>
    <w:rsid w:val="003F0791"/>
    <w:rsid w:val="003F5A26"/>
    <w:rsid w:val="00400F4F"/>
    <w:rsid w:val="00401086"/>
    <w:rsid w:val="00402A50"/>
    <w:rsid w:val="0040657D"/>
    <w:rsid w:val="00407943"/>
    <w:rsid w:val="00407CA8"/>
    <w:rsid w:val="00410D2D"/>
    <w:rsid w:val="004114BA"/>
    <w:rsid w:val="00411BBC"/>
    <w:rsid w:val="00416629"/>
    <w:rsid w:val="004201E0"/>
    <w:rsid w:val="00421202"/>
    <w:rsid w:val="004234DF"/>
    <w:rsid w:val="004241B9"/>
    <w:rsid w:val="004258F9"/>
    <w:rsid w:val="00425AA0"/>
    <w:rsid w:val="00432DE0"/>
    <w:rsid w:val="00433D6F"/>
    <w:rsid w:val="00435C12"/>
    <w:rsid w:val="004363F2"/>
    <w:rsid w:val="004373AC"/>
    <w:rsid w:val="0043743D"/>
    <w:rsid w:val="00437601"/>
    <w:rsid w:val="00442889"/>
    <w:rsid w:val="004458DE"/>
    <w:rsid w:val="004466EF"/>
    <w:rsid w:val="00446CEF"/>
    <w:rsid w:val="00447327"/>
    <w:rsid w:val="0045000E"/>
    <w:rsid w:val="004540A1"/>
    <w:rsid w:val="0045730F"/>
    <w:rsid w:val="00461A9A"/>
    <w:rsid w:val="00461AE6"/>
    <w:rsid w:val="00462D7A"/>
    <w:rsid w:val="00463656"/>
    <w:rsid w:val="004639D3"/>
    <w:rsid w:val="00470861"/>
    <w:rsid w:val="0047638D"/>
    <w:rsid w:val="0047654C"/>
    <w:rsid w:val="0048247F"/>
    <w:rsid w:val="004846B0"/>
    <w:rsid w:val="004857E1"/>
    <w:rsid w:val="004907D7"/>
    <w:rsid w:val="004947A0"/>
    <w:rsid w:val="0049681B"/>
    <w:rsid w:val="004968AD"/>
    <w:rsid w:val="004A0DE8"/>
    <w:rsid w:val="004A182F"/>
    <w:rsid w:val="004A1ACA"/>
    <w:rsid w:val="004A1E32"/>
    <w:rsid w:val="004A4CBC"/>
    <w:rsid w:val="004A54CE"/>
    <w:rsid w:val="004A6075"/>
    <w:rsid w:val="004B0E7D"/>
    <w:rsid w:val="004B1BD5"/>
    <w:rsid w:val="004B387A"/>
    <w:rsid w:val="004B7369"/>
    <w:rsid w:val="004B7CE3"/>
    <w:rsid w:val="004C24CF"/>
    <w:rsid w:val="004C6CC9"/>
    <w:rsid w:val="004D0AD0"/>
    <w:rsid w:val="004D441C"/>
    <w:rsid w:val="004D6696"/>
    <w:rsid w:val="004E0317"/>
    <w:rsid w:val="004E04D9"/>
    <w:rsid w:val="004E1DD4"/>
    <w:rsid w:val="004E4BE9"/>
    <w:rsid w:val="004E6CE7"/>
    <w:rsid w:val="004F0CFB"/>
    <w:rsid w:val="004F0D0D"/>
    <w:rsid w:val="004F1BD4"/>
    <w:rsid w:val="004F3108"/>
    <w:rsid w:val="004F6871"/>
    <w:rsid w:val="005025A1"/>
    <w:rsid w:val="00505999"/>
    <w:rsid w:val="00510C1E"/>
    <w:rsid w:val="005166FD"/>
    <w:rsid w:val="005240E9"/>
    <w:rsid w:val="005267A2"/>
    <w:rsid w:val="005278F0"/>
    <w:rsid w:val="00530F66"/>
    <w:rsid w:val="00533F38"/>
    <w:rsid w:val="005340C2"/>
    <w:rsid w:val="005351ED"/>
    <w:rsid w:val="005369FF"/>
    <w:rsid w:val="00540003"/>
    <w:rsid w:val="00551DD8"/>
    <w:rsid w:val="005552D7"/>
    <w:rsid w:val="005557C1"/>
    <w:rsid w:val="00555C13"/>
    <w:rsid w:val="00561028"/>
    <w:rsid w:val="005652D7"/>
    <w:rsid w:val="00566A3D"/>
    <w:rsid w:val="0057025F"/>
    <w:rsid w:val="00572C53"/>
    <w:rsid w:val="00580F29"/>
    <w:rsid w:val="00580F59"/>
    <w:rsid w:val="005820DB"/>
    <w:rsid w:val="005825AC"/>
    <w:rsid w:val="0058260A"/>
    <w:rsid w:val="0058455D"/>
    <w:rsid w:val="00584623"/>
    <w:rsid w:val="00594523"/>
    <w:rsid w:val="00596C4E"/>
    <w:rsid w:val="005A5B29"/>
    <w:rsid w:val="005A6D47"/>
    <w:rsid w:val="005B0090"/>
    <w:rsid w:val="005B033F"/>
    <w:rsid w:val="005B59BC"/>
    <w:rsid w:val="005B68AE"/>
    <w:rsid w:val="005C235D"/>
    <w:rsid w:val="005C344C"/>
    <w:rsid w:val="005C48F2"/>
    <w:rsid w:val="005C5FA0"/>
    <w:rsid w:val="005D2BF7"/>
    <w:rsid w:val="005D4B68"/>
    <w:rsid w:val="005E1C29"/>
    <w:rsid w:val="005E3A56"/>
    <w:rsid w:val="005F2B44"/>
    <w:rsid w:val="005F4F38"/>
    <w:rsid w:val="005F5867"/>
    <w:rsid w:val="00606E99"/>
    <w:rsid w:val="006107EF"/>
    <w:rsid w:val="00611BDA"/>
    <w:rsid w:val="00614081"/>
    <w:rsid w:val="0062308A"/>
    <w:rsid w:val="00630927"/>
    <w:rsid w:val="00630A1A"/>
    <w:rsid w:val="00630AD4"/>
    <w:rsid w:val="00630E81"/>
    <w:rsid w:val="00632295"/>
    <w:rsid w:val="00632461"/>
    <w:rsid w:val="00633129"/>
    <w:rsid w:val="00635F6B"/>
    <w:rsid w:val="006401BB"/>
    <w:rsid w:val="00640803"/>
    <w:rsid w:val="00640F2D"/>
    <w:rsid w:val="00641AC2"/>
    <w:rsid w:val="006469DF"/>
    <w:rsid w:val="00646AB1"/>
    <w:rsid w:val="00646C2C"/>
    <w:rsid w:val="006501CA"/>
    <w:rsid w:val="00651EE8"/>
    <w:rsid w:val="0065374E"/>
    <w:rsid w:val="0065535B"/>
    <w:rsid w:val="0066120F"/>
    <w:rsid w:val="00662F45"/>
    <w:rsid w:val="0066465A"/>
    <w:rsid w:val="006657D7"/>
    <w:rsid w:val="00665D22"/>
    <w:rsid w:val="00672126"/>
    <w:rsid w:val="00673DFD"/>
    <w:rsid w:val="0067432D"/>
    <w:rsid w:val="00675B7E"/>
    <w:rsid w:val="00677DF6"/>
    <w:rsid w:val="00680240"/>
    <w:rsid w:val="00681B4C"/>
    <w:rsid w:val="006821D2"/>
    <w:rsid w:val="0068435B"/>
    <w:rsid w:val="0069060A"/>
    <w:rsid w:val="006907DA"/>
    <w:rsid w:val="00691F5B"/>
    <w:rsid w:val="00695C2D"/>
    <w:rsid w:val="0069681C"/>
    <w:rsid w:val="00696DEB"/>
    <w:rsid w:val="00697C79"/>
    <w:rsid w:val="006A3910"/>
    <w:rsid w:val="006A473A"/>
    <w:rsid w:val="006A4E3B"/>
    <w:rsid w:val="006A5331"/>
    <w:rsid w:val="006A5965"/>
    <w:rsid w:val="006A6F8D"/>
    <w:rsid w:val="006A7E69"/>
    <w:rsid w:val="006B2F4A"/>
    <w:rsid w:val="006B4B65"/>
    <w:rsid w:val="006B4E4A"/>
    <w:rsid w:val="006B6947"/>
    <w:rsid w:val="006B7508"/>
    <w:rsid w:val="006C6809"/>
    <w:rsid w:val="006D2995"/>
    <w:rsid w:val="006D341B"/>
    <w:rsid w:val="006D3D27"/>
    <w:rsid w:val="006D4188"/>
    <w:rsid w:val="006D4BD1"/>
    <w:rsid w:val="006D666D"/>
    <w:rsid w:val="006E00EE"/>
    <w:rsid w:val="006E0CBC"/>
    <w:rsid w:val="006E1EC2"/>
    <w:rsid w:val="006E3D7B"/>
    <w:rsid w:val="006E4525"/>
    <w:rsid w:val="006E5039"/>
    <w:rsid w:val="006E706A"/>
    <w:rsid w:val="006E7F66"/>
    <w:rsid w:val="006F4F4B"/>
    <w:rsid w:val="00700503"/>
    <w:rsid w:val="00702438"/>
    <w:rsid w:val="00703375"/>
    <w:rsid w:val="00707227"/>
    <w:rsid w:val="00707E7B"/>
    <w:rsid w:val="00716634"/>
    <w:rsid w:val="00721B97"/>
    <w:rsid w:val="00722C09"/>
    <w:rsid w:val="007248A2"/>
    <w:rsid w:val="00725216"/>
    <w:rsid w:val="00732FBC"/>
    <w:rsid w:val="00734306"/>
    <w:rsid w:val="007347F0"/>
    <w:rsid w:val="007351D5"/>
    <w:rsid w:val="007415A2"/>
    <w:rsid w:val="007511A5"/>
    <w:rsid w:val="00751DED"/>
    <w:rsid w:val="00752144"/>
    <w:rsid w:val="0075360C"/>
    <w:rsid w:val="00756FD1"/>
    <w:rsid w:val="00757FD8"/>
    <w:rsid w:val="00760894"/>
    <w:rsid w:val="00762438"/>
    <w:rsid w:val="00763715"/>
    <w:rsid w:val="00764327"/>
    <w:rsid w:val="00764E9F"/>
    <w:rsid w:val="00767829"/>
    <w:rsid w:val="00770D2E"/>
    <w:rsid w:val="00771E61"/>
    <w:rsid w:val="007756A5"/>
    <w:rsid w:val="007852F8"/>
    <w:rsid w:val="00786552"/>
    <w:rsid w:val="00787194"/>
    <w:rsid w:val="00790B45"/>
    <w:rsid w:val="00790EBC"/>
    <w:rsid w:val="007922E7"/>
    <w:rsid w:val="00792E41"/>
    <w:rsid w:val="00792E4C"/>
    <w:rsid w:val="00797213"/>
    <w:rsid w:val="007A0445"/>
    <w:rsid w:val="007A13D0"/>
    <w:rsid w:val="007A3156"/>
    <w:rsid w:val="007A570B"/>
    <w:rsid w:val="007B151D"/>
    <w:rsid w:val="007B2E6E"/>
    <w:rsid w:val="007C13AC"/>
    <w:rsid w:val="007C2E58"/>
    <w:rsid w:val="007C3522"/>
    <w:rsid w:val="007C454E"/>
    <w:rsid w:val="007C5E44"/>
    <w:rsid w:val="007C7ED1"/>
    <w:rsid w:val="007D1AA0"/>
    <w:rsid w:val="007D219A"/>
    <w:rsid w:val="007D34AD"/>
    <w:rsid w:val="007E0634"/>
    <w:rsid w:val="007E5241"/>
    <w:rsid w:val="007F2D3B"/>
    <w:rsid w:val="007F694F"/>
    <w:rsid w:val="007F7612"/>
    <w:rsid w:val="007F79FC"/>
    <w:rsid w:val="00801A1F"/>
    <w:rsid w:val="0080238B"/>
    <w:rsid w:val="00802A41"/>
    <w:rsid w:val="00802ADA"/>
    <w:rsid w:val="00803339"/>
    <w:rsid w:val="008036BA"/>
    <w:rsid w:val="0080549C"/>
    <w:rsid w:val="00806A50"/>
    <w:rsid w:val="00811357"/>
    <w:rsid w:val="008115CF"/>
    <w:rsid w:val="008131B0"/>
    <w:rsid w:val="00816A83"/>
    <w:rsid w:val="00822974"/>
    <w:rsid w:val="00824F2F"/>
    <w:rsid w:val="00826593"/>
    <w:rsid w:val="00832828"/>
    <w:rsid w:val="008332F5"/>
    <w:rsid w:val="00833405"/>
    <w:rsid w:val="00836C24"/>
    <w:rsid w:val="00841260"/>
    <w:rsid w:val="00843304"/>
    <w:rsid w:val="00845529"/>
    <w:rsid w:val="00845F20"/>
    <w:rsid w:val="0084633E"/>
    <w:rsid w:val="00846C16"/>
    <w:rsid w:val="0085071D"/>
    <w:rsid w:val="00850E84"/>
    <w:rsid w:val="00851905"/>
    <w:rsid w:val="0085597F"/>
    <w:rsid w:val="008601B0"/>
    <w:rsid w:val="00861C08"/>
    <w:rsid w:val="00865172"/>
    <w:rsid w:val="008657CC"/>
    <w:rsid w:val="00866DEC"/>
    <w:rsid w:val="0087040B"/>
    <w:rsid w:val="008739C8"/>
    <w:rsid w:val="008746E3"/>
    <w:rsid w:val="008751B1"/>
    <w:rsid w:val="00875747"/>
    <w:rsid w:val="00877EE6"/>
    <w:rsid w:val="0088093C"/>
    <w:rsid w:val="00881869"/>
    <w:rsid w:val="00886796"/>
    <w:rsid w:val="008917AD"/>
    <w:rsid w:val="00893819"/>
    <w:rsid w:val="008946E7"/>
    <w:rsid w:val="008960B0"/>
    <w:rsid w:val="008A60AE"/>
    <w:rsid w:val="008B0E06"/>
    <w:rsid w:val="008B4E25"/>
    <w:rsid w:val="008B5139"/>
    <w:rsid w:val="008B58F4"/>
    <w:rsid w:val="008C329A"/>
    <w:rsid w:val="008C4218"/>
    <w:rsid w:val="008C5E97"/>
    <w:rsid w:val="008D0093"/>
    <w:rsid w:val="008D0E42"/>
    <w:rsid w:val="008D1E6C"/>
    <w:rsid w:val="008D7ACA"/>
    <w:rsid w:val="008D7B48"/>
    <w:rsid w:val="008E1024"/>
    <w:rsid w:val="008F0563"/>
    <w:rsid w:val="008F12DC"/>
    <w:rsid w:val="008F6B3D"/>
    <w:rsid w:val="008F6ECF"/>
    <w:rsid w:val="008F749A"/>
    <w:rsid w:val="008F7E81"/>
    <w:rsid w:val="00900AFF"/>
    <w:rsid w:val="00905630"/>
    <w:rsid w:val="00906793"/>
    <w:rsid w:val="00910EE9"/>
    <w:rsid w:val="00911920"/>
    <w:rsid w:val="00914500"/>
    <w:rsid w:val="00915D2C"/>
    <w:rsid w:val="009200C0"/>
    <w:rsid w:val="0092294D"/>
    <w:rsid w:val="00923481"/>
    <w:rsid w:val="009241B9"/>
    <w:rsid w:val="00930B7A"/>
    <w:rsid w:val="00930BF3"/>
    <w:rsid w:val="0093430B"/>
    <w:rsid w:val="009350E4"/>
    <w:rsid w:val="0094131A"/>
    <w:rsid w:val="00944659"/>
    <w:rsid w:val="00946236"/>
    <w:rsid w:val="00951121"/>
    <w:rsid w:val="009522ED"/>
    <w:rsid w:val="00952FE6"/>
    <w:rsid w:val="009538DA"/>
    <w:rsid w:val="00960486"/>
    <w:rsid w:val="0096081E"/>
    <w:rsid w:val="00962138"/>
    <w:rsid w:val="009727E5"/>
    <w:rsid w:val="009740A1"/>
    <w:rsid w:val="0097679C"/>
    <w:rsid w:val="00980E85"/>
    <w:rsid w:val="00982F9F"/>
    <w:rsid w:val="009860B1"/>
    <w:rsid w:val="00987573"/>
    <w:rsid w:val="00987890"/>
    <w:rsid w:val="00991FC7"/>
    <w:rsid w:val="00994889"/>
    <w:rsid w:val="00995BAE"/>
    <w:rsid w:val="009A0136"/>
    <w:rsid w:val="009A0EF7"/>
    <w:rsid w:val="009A0EFC"/>
    <w:rsid w:val="009A15FC"/>
    <w:rsid w:val="009A1E79"/>
    <w:rsid w:val="009A270D"/>
    <w:rsid w:val="009A4A06"/>
    <w:rsid w:val="009A4F53"/>
    <w:rsid w:val="009A5930"/>
    <w:rsid w:val="009A65BA"/>
    <w:rsid w:val="009A7126"/>
    <w:rsid w:val="009B0A87"/>
    <w:rsid w:val="009B1229"/>
    <w:rsid w:val="009B25F5"/>
    <w:rsid w:val="009B4E57"/>
    <w:rsid w:val="009B5C4F"/>
    <w:rsid w:val="009B60E1"/>
    <w:rsid w:val="009B6390"/>
    <w:rsid w:val="009B6DBE"/>
    <w:rsid w:val="009B7C39"/>
    <w:rsid w:val="009C107F"/>
    <w:rsid w:val="009C22A0"/>
    <w:rsid w:val="009C409A"/>
    <w:rsid w:val="009D4AF8"/>
    <w:rsid w:val="009D56D9"/>
    <w:rsid w:val="009D622E"/>
    <w:rsid w:val="009D79CD"/>
    <w:rsid w:val="009E1ED9"/>
    <w:rsid w:val="009E2620"/>
    <w:rsid w:val="009E4194"/>
    <w:rsid w:val="009E52B6"/>
    <w:rsid w:val="009E5660"/>
    <w:rsid w:val="009F713A"/>
    <w:rsid w:val="009F7F5F"/>
    <w:rsid w:val="00A00662"/>
    <w:rsid w:val="00A03AF2"/>
    <w:rsid w:val="00A0512B"/>
    <w:rsid w:val="00A052F6"/>
    <w:rsid w:val="00A13A94"/>
    <w:rsid w:val="00A15C21"/>
    <w:rsid w:val="00A203DB"/>
    <w:rsid w:val="00A225AF"/>
    <w:rsid w:val="00A22A31"/>
    <w:rsid w:val="00A2381C"/>
    <w:rsid w:val="00A23F96"/>
    <w:rsid w:val="00A278C8"/>
    <w:rsid w:val="00A313E6"/>
    <w:rsid w:val="00A322BB"/>
    <w:rsid w:val="00A32B11"/>
    <w:rsid w:val="00A41608"/>
    <w:rsid w:val="00A46214"/>
    <w:rsid w:val="00A53296"/>
    <w:rsid w:val="00A533FF"/>
    <w:rsid w:val="00A54C80"/>
    <w:rsid w:val="00A54CFC"/>
    <w:rsid w:val="00A56998"/>
    <w:rsid w:val="00A57261"/>
    <w:rsid w:val="00A6040B"/>
    <w:rsid w:val="00A627C3"/>
    <w:rsid w:val="00A64FAA"/>
    <w:rsid w:val="00A66C36"/>
    <w:rsid w:val="00A67C26"/>
    <w:rsid w:val="00A70B1C"/>
    <w:rsid w:val="00A7257A"/>
    <w:rsid w:val="00A7328E"/>
    <w:rsid w:val="00A75C6B"/>
    <w:rsid w:val="00A7698C"/>
    <w:rsid w:val="00A80094"/>
    <w:rsid w:val="00A83715"/>
    <w:rsid w:val="00A87AEA"/>
    <w:rsid w:val="00A9188E"/>
    <w:rsid w:val="00A9198C"/>
    <w:rsid w:val="00A92BA9"/>
    <w:rsid w:val="00A92C02"/>
    <w:rsid w:val="00A93AD6"/>
    <w:rsid w:val="00A94A67"/>
    <w:rsid w:val="00A959BB"/>
    <w:rsid w:val="00A95C29"/>
    <w:rsid w:val="00A971FE"/>
    <w:rsid w:val="00A97B76"/>
    <w:rsid w:val="00AA14A0"/>
    <w:rsid w:val="00AA7B43"/>
    <w:rsid w:val="00AB30C5"/>
    <w:rsid w:val="00AC0387"/>
    <w:rsid w:val="00AC1F59"/>
    <w:rsid w:val="00AC2B5F"/>
    <w:rsid w:val="00AC3D8C"/>
    <w:rsid w:val="00AC507E"/>
    <w:rsid w:val="00AC637F"/>
    <w:rsid w:val="00AD0A3A"/>
    <w:rsid w:val="00AD2A63"/>
    <w:rsid w:val="00AD52B8"/>
    <w:rsid w:val="00AE117F"/>
    <w:rsid w:val="00AE15EB"/>
    <w:rsid w:val="00AE395A"/>
    <w:rsid w:val="00AE3E18"/>
    <w:rsid w:val="00AE7467"/>
    <w:rsid w:val="00AE7F4C"/>
    <w:rsid w:val="00AF29E6"/>
    <w:rsid w:val="00AF35FA"/>
    <w:rsid w:val="00B0744F"/>
    <w:rsid w:val="00B10CC1"/>
    <w:rsid w:val="00B12331"/>
    <w:rsid w:val="00B1556F"/>
    <w:rsid w:val="00B20E20"/>
    <w:rsid w:val="00B23E77"/>
    <w:rsid w:val="00B23EF3"/>
    <w:rsid w:val="00B33B6D"/>
    <w:rsid w:val="00B347E2"/>
    <w:rsid w:val="00B36433"/>
    <w:rsid w:val="00B42FDE"/>
    <w:rsid w:val="00B43090"/>
    <w:rsid w:val="00B4731B"/>
    <w:rsid w:val="00B51A14"/>
    <w:rsid w:val="00B55A68"/>
    <w:rsid w:val="00B57F3B"/>
    <w:rsid w:val="00B61DF2"/>
    <w:rsid w:val="00B660B9"/>
    <w:rsid w:val="00B673CF"/>
    <w:rsid w:val="00B71DCA"/>
    <w:rsid w:val="00B74276"/>
    <w:rsid w:val="00B74EE3"/>
    <w:rsid w:val="00B74F22"/>
    <w:rsid w:val="00B7606A"/>
    <w:rsid w:val="00B85166"/>
    <w:rsid w:val="00B86B40"/>
    <w:rsid w:val="00B93B91"/>
    <w:rsid w:val="00B94E9E"/>
    <w:rsid w:val="00B96A41"/>
    <w:rsid w:val="00B97AD4"/>
    <w:rsid w:val="00BA1654"/>
    <w:rsid w:val="00BA1ECC"/>
    <w:rsid w:val="00BA37BF"/>
    <w:rsid w:val="00BA3F77"/>
    <w:rsid w:val="00BA785D"/>
    <w:rsid w:val="00BA7FA4"/>
    <w:rsid w:val="00BB145B"/>
    <w:rsid w:val="00BB18D0"/>
    <w:rsid w:val="00BB51D5"/>
    <w:rsid w:val="00BB7084"/>
    <w:rsid w:val="00BB7FC7"/>
    <w:rsid w:val="00BC1F1C"/>
    <w:rsid w:val="00BC33B2"/>
    <w:rsid w:val="00BC497B"/>
    <w:rsid w:val="00BC5F7E"/>
    <w:rsid w:val="00BD1AA4"/>
    <w:rsid w:val="00BD305F"/>
    <w:rsid w:val="00BD3434"/>
    <w:rsid w:val="00BD3899"/>
    <w:rsid w:val="00BD3DD8"/>
    <w:rsid w:val="00BD7F74"/>
    <w:rsid w:val="00BE162D"/>
    <w:rsid w:val="00BE2A2D"/>
    <w:rsid w:val="00BE3307"/>
    <w:rsid w:val="00BE52A6"/>
    <w:rsid w:val="00BF08F7"/>
    <w:rsid w:val="00C07928"/>
    <w:rsid w:val="00C109D3"/>
    <w:rsid w:val="00C11053"/>
    <w:rsid w:val="00C1691A"/>
    <w:rsid w:val="00C1717A"/>
    <w:rsid w:val="00C1781F"/>
    <w:rsid w:val="00C23346"/>
    <w:rsid w:val="00C27859"/>
    <w:rsid w:val="00C31730"/>
    <w:rsid w:val="00C41F1F"/>
    <w:rsid w:val="00C51579"/>
    <w:rsid w:val="00C61DB7"/>
    <w:rsid w:val="00C6752C"/>
    <w:rsid w:val="00C678D4"/>
    <w:rsid w:val="00C73020"/>
    <w:rsid w:val="00C74F05"/>
    <w:rsid w:val="00C761F8"/>
    <w:rsid w:val="00C764B2"/>
    <w:rsid w:val="00C83077"/>
    <w:rsid w:val="00C8315E"/>
    <w:rsid w:val="00C865CE"/>
    <w:rsid w:val="00C9095C"/>
    <w:rsid w:val="00C92BEA"/>
    <w:rsid w:val="00C954AC"/>
    <w:rsid w:val="00CA34D7"/>
    <w:rsid w:val="00CA4AD9"/>
    <w:rsid w:val="00CA648C"/>
    <w:rsid w:val="00CA7F3D"/>
    <w:rsid w:val="00CB02E0"/>
    <w:rsid w:val="00CB187D"/>
    <w:rsid w:val="00CC32F3"/>
    <w:rsid w:val="00CD1784"/>
    <w:rsid w:val="00CD1AAF"/>
    <w:rsid w:val="00CD433E"/>
    <w:rsid w:val="00CD59BF"/>
    <w:rsid w:val="00CD6333"/>
    <w:rsid w:val="00CD67A5"/>
    <w:rsid w:val="00CD6896"/>
    <w:rsid w:val="00CE0FC3"/>
    <w:rsid w:val="00CE13F7"/>
    <w:rsid w:val="00CE24F8"/>
    <w:rsid w:val="00CE3B93"/>
    <w:rsid w:val="00CE468C"/>
    <w:rsid w:val="00CF3246"/>
    <w:rsid w:val="00D02530"/>
    <w:rsid w:val="00D02CC6"/>
    <w:rsid w:val="00D105CA"/>
    <w:rsid w:val="00D10D67"/>
    <w:rsid w:val="00D116BA"/>
    <w:rsid w:val="00D12FC1"/>
    <w:rsid w:val="00D132F2"/>
    <w:rsid w:val="00D20568"/>
    <w:rsid w:val="00D229A8"/>
    <w:rsid w:val="00D230FD"/>
    <w:rsid w:val="00D23541"/>
    <w:rsid w:val="00D23DEF"/>
    <w:rsid w:val="00D241F5"/>
    <w:rsid w:val="00D25A5D"/>
    <w:rsid w:val="00D265ED"/>
    <w:rsid w:val="00D271E6"/>
    <w:rsid w:val="00D37168"/>
    <w:rsid w:val="00D41B94"/>
    <w:rsid w:val="00D43793"/>
    <w:rsid w:val="00D44EB1"/>
    <w:rsid w:val="00D50662"/>
    <w:rsid w:val="00D53FA8"/>
    <w:rsid w:val="00D627A8"/>
    <w:rsid w:val="00D64AAD"/>
    <w:rsid w:val="00D64D6E"/>
    <w:rsid w:val="00D6540B"/>
    <w:rsid w:val="00D74DFB"/>
    <w:rsid w:val="00D76C8D"/>
    <w:rsid w:val="00D76D56"/>
    <w:rsid w:val="00D81314"/>
    <w:rsid w:val="00D81D1A"/>
    <w:rsid w:val="00D82520"/>
    <w:rsid w:val="00D83ACB"/>
    <w:rsid w:val="00D83DCB"/>
    <w:rsid w:val="00D83F43"/>
    <w:rsid w:val="00D85A92"/>
    <w:rsid w:val="00D86B58"/>
    <w:rsid w:val="00D927B8"/>
    <w:rsid w:val="00D933BC"/>
    <w:rsid w:val="00D9798E"/>
    <w:rsid w:val="00DA19FC"/>
    <w:rsid w:val="00DA60DF"/>
    <w:rsid w:val="00DB10A5"/>
    <w:rsid w:val="00DB3901"/>
    <w:rsid w:val="00DB7060"/>
    <w:rsid w:val="00DB7F7B"/>
    <w:rsid w:val="00DC1D67"/>
    <w:rsid w:val="00DC47C0"/>
    <w:rsid w:val="00DD3430"/>
    <w:rsid w:val="00DD3D3C"/>
    <w:rsid w:val="00DD3F10"/>
    <w:rsid w:val="00DD708A"/>
    <w:rsid w:val="00DE0E3A"/>
    <w:rsid w:val="00DE102A"/>
    <w:rsid w:val="00DE26FF"/>
    <w:rsid w:val="00DE3C40"/>
    <w:rsid w:val="00DE4AF8"/>
    <w:rsid w:val="00DF539A"/>
    <w:rsid w:val="00DF7671"/>
    <w:rsid w:val="00E00A16"/>
    <w:rsid w:val="00E0234F"/>
    <w:rsid w:val="00E03981"/>
    <w:rsid w:val="00E04D7E"/>
    <w:rsid w:val="00E07049"/>
    <w:rsid w:val="00E11A1F"/>
    <w:rsid w:val="00E1323D"/>
    <w:rsid w:val="00E16359"/>
    <w:rsid w:val="00E34D4A"/>
    <w:rsid w:val="00E355BB"/>
    <w:rsid w:val="00E36E61"/>
    <w:rsid w:val="00E36FF7"/>
    <w:rsid w:val="00E426BD"/>
    <w:rsid w:val="00E4339E"/>
    <w:rsid w:val="00E462D4"/>
    <w:rsid w:val="00E5006D"/>
    <w:rsid w:val="00E50E8D"/>
    <w:rsid w:val="00E5420C"/>
    <w:rsid w:val="00E551E0"/>
    <w:rsid w:val="00E56485"/>
    <w:rsid w:val="00E60914"/>
    <w:rsid w:val="00E65439"/>
    <w:rsid w:val="00E6626F"/>
    <w:rsid w:val="00E66736"/>
    <w:rsid w:val="00E72EB2"/>
    <w:rsid w:val="00E83591"/>
    <w:rsid w:val="00E83F72"/>
    <w:rsid w:val="00E86A25"/>
    <w:rsid w:val="00E95A46"/>
    <w:rsid w:val="00E97B62"/>
    <w:rsid w:val="00EA0694"/>
    <w:rsid w:val="00EA1FEE"/>
    <w:rsid w:val="00EA3D4F"/>
    <w:rsid w:val="00EA5F51"/>
    <w:rsid w:val="00EA6F68"/>
    <w:rsid w:val="00EB026B"/>
    <w:rsid w:val="00EB21BE"/>
    <w:rsid w:val="00EB21E0"/>
    <w:rsid w:val="00EB25CD"/>
    <w:rsid w:val="00EB2B83"/>
    <w:rsid w:val="00EB5095"/>
    <w:rsid w:val="00EB5FDA"/>
    <w:rsid w:val="00EB6194"/>
    <w:rsid w:val="00EB6D9B"/>
    <w:rsid w:val="00EC12F2"/>
    <w:rsid w:val="00EC2147"/>
    <w:rsid w:val="00EC4023"/>
    <w:rsid w:val="00EC4242"/>
    <w:rsid w:val="00EC6DCD"/>
    <w:rsid w:val="00EC73DE"/>
    <w:rsid w:val="00ED3DE6"/>
    <w:rsid w:val="00ED72F9"/>
    <w:rsid w:val="00EE5011"/>
    <w:rsid w:val="00EE69F8"/>
    <w:rsid w:val="00EF2B11"/>
    <w:rsid w:val="00EF581A"/>
    <w:rsid w:val="00EF6E77"/>
    <w:rsid w:val="00EF7332"/>
    <w:rsid w:val="00F00CB3"/>
    <w:rsid w:val="00F0456A"/>
    <w:rsid w:val="00F078EB"/>
    <w:rsid w:val="00F13190"/>
    <w:rsid w:val="00F20B5F"/>
    <w:rsid w:val="00F23E45"/>
    <w:rsid w:val="00F23E5D"/>
    <w:rsid w:val="00F248BD"/>
    <w:rsid w:val="00F271BF"/>
    <w:rsid w:val="00F320C2"/>
    <w:rsid w:val="00F34739"/>
    <w:rsid w:val="00F37D20"/>
    <w:rsid w:val="00F408BF"/>
    <w:rsid w:val="00F43049"/>
    <w:rsid w:val="00F4325E"/>
    <w:rsid w:val="00F45D90"/>
    <w:rsid w:val="00F47A01"/>
    <w:rsid w:val="00F5417A"/>
    <w:rsid w:val="00F56E9F"/>
    <w:rsid w:val="00F61D1E"/>
    <w:rsid w:val="00F63852"/>
    <w:rsid w:val="00F63A38"/>
    <w:rsid w:val="00F64542"/>
    <w:rsid w:val="00F65321"/>
    <w:rsid w:val="00F65643"/>
    <w:rsid w:val="00F70ABE"/>
    <w:rsid w:val="00F7226A"/>
    <w:rsid w:val="00F73289"/>
    <w:rsid w:val="00F748D4"/>
    <w:rsid w:val="00F77A3D"/>
    <w:rsid w:val="00F83DB3"/>
    <w:rsid w:val="00F85C21"/>
    <w:rsid w:val="00F87366"/>
    <w:rsid w:val="00F877C8"/>
    <w:rsid w:val="00F916A1"/>
    <w:rsid w:val="00F94DE8"/>
    <w:rsid w:val="00F97070"/>
    <w:rsid w:val="00F97891"/>
    <w:rsid w:val="00FA159A"/>
    <w:rsid w:val="00FA37F8"/>
    <w:rsid w:val="00FA50C7"/>
    <w:rsid w:val="00FA5A33"/>
    <w:rsid w:val="00FB0480"/>
    <w:rsid w:val="00FB4CE7"/>
    <w:rsid w:val="00FB5B33"/>
    <w:rsid w:val="00FD049A"/>
    <w:rsid w:val="00FD4119"/>
    <w:rsid w:val="00FD5821"/>
    <w:rsid w:val="00FD5DB7"/>
    <w:rsid w:val="00FD5E12"/>
    <w:rsid w:val="00FE0228"/>
    <w:rsid w:val="00FE24DE"/>
    <w:rsid w:val="00FE524B"/>
    <w:rsid w:val="00FF109D"/>
    <w:rsid w:val="00FF3B08"/>
    <w:rsid w:val="00FF50D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47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A971FE"/>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971FE"/>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A971FE"/>
    <w:rPr>
      <w:rFonts w:ascii="Arial" w:eastAsiaTheme="majorEastAsia" w:hAnsi="Arial" w:cstheme="majorBidi"/>
      <w:b/>
      <w:color w:val="000000" w:themeColor="text1"/>
      <w:sz w:val="36"/>
      <w:szCs w:val="32"/>
    </w:rPr>
  </w:style>
  <w:style w:type="paragraph" w:styleId="TOCHeading">
    <w:name w:val="TOC Heading"/>
    <w:basedOn w:val="TeThHauorabodytext"/>
    <w:next w:val="Normal"/>
    <w:uiPriority w:val="39"/>
    <w:unhideWhenUsed/>
    <w:qFormat/>
    <w:rsid w:val="00BA1654"/>
    <w:pPr>
      <w:keepNext/>
      <w:spacing w:after="360" w:line="360" w:lineRule="atLeast"/>
    </w:pPr>
    <w:rPr>
      <w:b/>
      <w:bCs/>
      <w:noProof/>
      <w:color w:val="293868"/>
      <w:sz w:val="36"/>
      <w:szCs w:val="36"/>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semiHidden/>
    <w:qFormat/>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A971FE"/>
    <w:rPr>
      <w:rFonts w:ascii="Arial" w:eastAsiaTheme="majorEastAsia" w:hAnsi="Arial" w:cstheme="majorBidi"/>
      <w:b/>
      <w:sz w:val="24"/>
      <w:szCs w:val="24"/>
    </w:rPr>
  </w:style>
  <w:style w:type="paragraph" w:styleId="Quote">
    <w:name w:val="Quote"/>
    <w:basedOn w:val="Normal"/>
    <w:next w:val="Normal"/>
    <w:link w:val="QuoteChar"/>
    <w:uiPriority w:val="29"/>
    <w:semiHidden/>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A971FE"/>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1"/>
      </w:numPr>
    </w:pPr>
  </w:style>
  <w:style w:type="character" w:customStyle="1" w:styleId="Heading4Char">
    <w:name w:val="Heading 4 Char"/>
    <w:basedOn w:val="DefaultParagraphFont"/>
    <w:link w:val="Heading4"/>
    <w:uiPriority w:val="9"/>
    <w:semiHidden/>
    <w:rsid w:val="00A971FE"/>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rsid w:val="00C61DB7"/>
    <w:pPr>
      <w:spacing w:line="240" w:lineRule="auto"/>
    </w:pPr>
    <w:rPr>
      <w:sz w:val="20"/>
      <w:szCs w:val="20"/>
    </w:rPr>
  </w:style>
  <w:style w:type="character" w:customStyle="1" w:styleId="CommentTextChar">
    <w:name w:val="Comment Text Char"/>
    <w:basedOn w:val="DefaultParagraphFont"/>
    <w:link w:val="CommentText"/>
    <w:uiPriority w:val="99"/>
    <w:rsid w:val="00B55A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semiHidden/>
    <w:rsid w:val="00A971FE"/>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971FE"/>
    <w:rPr>
      <w:rFonts w:ascii="Arial" w:hAnsi="Arial"/>
    </w:rPr>
  </w:style>
  <w:style w:type="paragraph" w:styleId="Footer">
    <w:name w:val="footer"/>
    <w:basedOn w:val="Normal"/>
    <w:link w:val="FooterChar"/>
    <w:uiPriority w:val="99"/>
    <w:unhideWhenUsed/>
    <w:rsid w:val="00CD59BF"/>
    <w:pPr>
      <w:tabs>
        <w:tab w:val="right" w:pos="9026"/>
      </w:tabs>
    </w:pPr>
    <w:rPr>
      <w:sz w:val="20"/>
      <w:szCs w:val="20"/>
    </w:rPr>
  </w:style>
  <w:style w:type="character" w:customStyle="1" w:styleId="FooterChar">
    <w:name w:val="Footer Char"/>
    <w:basedOn w:val="DefaultParagraphFont"/>
    <w:link w:val="Footer"/>
    <w:uiPriority w:val="99"/>
    <w:rsid w:val="00CD59BF"/>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rsid w:val="00FD5821"/>
    <w:pPr>
      <w:ind w:left="283" w:hanging="283"/>
      <w:contextualSpacing/>
    </w:pPr>
  </w:style>
  <w:style w:type="paragraph" w:styleId="TOC1">
    <w:name w:val="toc 1"/>
    <w:basedOn w:val="Normal"/>
    <w:next w:val="Normal"/>
    <w:autoRedefine/>
    <w:uiPriority w:val="39"/>
    <w:unhideWhenUsed/>
    <w:rsid w:val="00B74F22"/>
    <w:pPr>
      <w:tabs>
        <w:tab w:val="right" w:leader="dot" w:pos="9072"/>
      </w:tabs>
      <w:spacing w:after="100"/>
    </w:pPr>
  </w:style>
  <w:style w:type="paragraph" w:styleId="ListBullet">
    <w:name w:val="List Bullet"/>
    <w:basedOn w:val="Normal"/>
    <w:link w:val="ListBulletChar"/>
    <w:uiPriority w:val="99"/>
    <w:semiHidden/>
    <w:rsid w:val="00205AD6"/>
    <w:pPr>
      <w:numPr>
        <w:numId w:val="2"/>
      </w:numPr>
      <w:contextualSpacing/>
    </w:pPr>
  </w:style>
  <w:style w:type="paragraph" w:styleId="ListNumber">
    <w:name w:val="List Number"/>
    <w:basedOn w:val="Normal"/>
    <w:uiPriority w:val="99"/>
    <w:semiHidden/>
    <w:rsid w:val="00A54CFC"/>
    <w:pPr>
      <w:numPr>
        <w:numId w:val="3"/>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B55A68"/>
    <w:rPr>
      <w:rFonts w:ascii="Arial" w:eastAsia="Arial" w:hAnsi="Arial" w:cs="Arial"/>
    </w:rPr>
  </w:style>
  <w:style w:type="paragraph" w:customStyle="1" w:styleId="Figuretableheading">
    <w:name w:val="Figure table heading"/>
    <w:basedOn w:val="Normal"/>
    <w:link w:val="FiguretableheadingChar"/>
    <w:semiHidden/>
    <w:qFormat/>
    <w:rsid w:val="006A473A"/>
    <w:rPr>
      <w:rFonts w:cs="Arial"/>
      <w:b/>
    </w:rPr>
  </w:style>
  <w:style w:type="character" w:customStyle="1" w:styleId="FiguretableheadingChar">
    <w:name w:val="Figure table heading Char"/>
    <w:basedOn w:val="DefaultParagraphFont"/>
    <w:link w:val="Figuretableheading"/>
    <w:semiHidden/>
    <w:rsid w:val="00A971FE"/>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A971FE"/>
    <w:rPr>
      <w:rFonts w:ascii="Arial" w:hAnsi="Arial"/>
    </w:rPr>
  </w:style>
  <w:style w:type="character" w:customStyle="1" w:styleId="BulletsChar">
    <w:name w:val="Bullets Char"/>
    <w:basedOn w:val="ListBulletChar"/>
    <w:link w:val="Bullets"/>
    <w:semiHidden/>
    <w:rsid w:val="00A971FE"/>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681B4C"/>
    <w:rPr>
      <w:rFonts w:cs="Arial"/>
    </w:rPr>
  </w:style>
  <w:style w:type="paragraph" w:customStyle="1" w:styleId="TeThHauorabullets">
    <w:name w:val="Te Tāhū Hauora bullets"/>
    <w:basedOn w:val="Bullets"/>
    <w:qFormat/>
    <w:rsid w:val="00792E41"/>
    <w:pPr>
      <w:ind w:left="360" w:hanging="360"/>
    </w:pPr>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4F3108"/>
    <w:pPr>
      <w:spacing w:before="60" w:after="60" w:line="240" w:lineRule="auto"/>
    </w:pPr>
    <w:rPr>
      <w:rFonts w:cs="Arial"/>
      <w:b/>
    </w:rPr>
  </w:style>
  <w:style w:type="paragraph" w:customStyle="1" w:styleId="TeThHauoratablecontent">
    <w:name w:val="Te Tāhū Hauora table content"/>
    <w:basedOn w:val="Normal"/>
    <w:qFormat/>
    <w:rsid w:val="004F3108"/>
    <w:pPr>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rsid w:val="00B55A68"/>
    <w:pPr>
      <w:spacing w:after="0" w:line="240" w:lineRule="auto"/>
    </w:pPr>
    <w:rPr>
      <w:sz w:val="20"/>
      <w:szCs w:val="20"/>
    </w:rPr>
  </w:style>
  <w:style w:type="character" w:customStyle="1" w:styleId="FootnoteTextChar">
    <w:name w:val="Footnote Text Char"/>
    <w:basedOn w:val="DefaultParagraphFont"/>
    <w:link w:val="FootnoteText"/>
    <w:uiPriority w:val="99"/>
    <w:rsid w:val="00B55A68"/>
    <w:rPr>
      <w:rFonts w:ascii="Arial" w:hAnsi="Arial"/>
      <w:sz w:val="20"/>
      <w:szCs w:val="20"/>
    </w:rPr>
  </w:style>
  <w:style w:type="character" w:styleId="FootnoteReference">
    <w:name w:val="footnote reference"/>
    <w:basedOn w:val="DefaultParagraphFont"/>
    <w:uiPriority w:val="99"/>
    <w:semiHidden/>
    <w:unhideWhenUsed/>
    <w:rsid w:val="00B55A68"/>
    <w:rPr>
      <w:vertAlign w:val="superscript"/>
    </w:rPr>
  </w:style>
  <w:style w:type="paragraph" w:styleId="Title">
    <w:name w:val="Title"/>
    <w:basedOn w:val="Normal"/>
    <w:next w:val="Normal"/>
    <w:link w:val="TitleChar"/>
    <w:uiPriority w:val="10"/>
    <w:semiHidden/>
    <w:qFormat/>
    <w:rsid w:val="00AE395A"/>
    <w:pPr>
      <w:ind w:right="1796"/>
    </w:pPr>
    <w:rPr>
      <w:rFonts w:cs="Arial"/>
      <w:b/>
      <w:color w:val="293868"/>
      <w:sz w:val="44"/>
      <w:szCs w:val="44"/>
    </w:rPr>
  </w:style>
  <w:style w:type="character" w:customStyle="1" w:styleId="TitleChar">
    <w:name w:val="Title Char"/>
    <w:basedOn w:val="DefaultParagraphFont"/>
    <w:link w:val="Title"/>
    <w:uiPriority w:val="10"/>
    <w:semiHidden/>
    <w:rsid w:val="00A971FE"/>
    <w:rPr>
      <w:rFonts w:ascii="Arial" w:hAnsi="Arial" w:cs="Arial"/>
      <w:b/>
      <w:color w:val="293868"/>
      <w:sz w:val="44"/>
      <w:szCs w:val="44"/>
    </w:rPr>
  </w:style>
  <w:style w:type="paragraph" w:styleId="Subtitle">
    <w:name w:val="Subtitle"/>
    <w:basedOn w:val="Normal"/>
    <w:next w:val="Normal"/>
    <w:link w:val="SubtitleChar"/>
    <w:uiPriority w:val="11"/>
    <w:semiHidden/>
    <w:qFormat/>
    <w:rsid w:val="00AE395A"/>
    <w:pPr>
      <w:ind w:right="1796"/>
    </w:pPr>
    <w:rPr>
      <w:rFonts w:cs="Arial"/>
      <w:bCs/>
      <w:color w:val="293868"/>
      <w:sz w:val="44"/>
      <w:szCs w:val="44"/>
    </w:rPr>
  </w:style>
  <w:style w:type="character" w:customStyle="1" w:styleId="SubtitleChar">
    <w:name w:val="Subtitle Char"/>
    <w:basedOn w:val="DefaultParagraphFont"/>
    <w:link w:val="Subtitle"/>
    <w:uiPriority w:val="11"/>
    <w:semiHidden/>
    <w:rsid w:val="00A971FE"/>
    <w:rPr>
      <w:rFonts w:ascii="Arial" w:hAnsi="Arial" w:cs="Arial"/>
      <w:bCs/>
      <w:color w:val="293868"/>
      <w:sz w:val="44"/>
      <w:szCs w:val="44"/>
    </w:rPr>
  </w:style>
  <w:style w:type="paragraph" w:styleId="NoSpacing">
    <w:name w:val="No Spacing"/>
    <w:uiPriority w:val="1"/>
    <w:semiHidden/>
    <w:qFormat/>
    <w:rsid w:val="00A971FE"/>
    <w:pPr>
      <w:spacing w:after="0" w:line="240" w:lineRule="auto"/>
    </w:pPr>
    <w:rPr>
      <w:rFonts w:ascii="Arial" w:hAnsi="Arial"/>
    </w:rPr>
  </w:style>
  <w:style w:type="character" w:styleId="FollowedHyperlink">
    <w:name w:val="FollowedHyperlink"/>
    <w:basedOn w:val="DefaultParagraphFont"/>
    <w:uiPriority w:val="99"/>
    <w:semiHidden/>
    <w:unhideWhenUsed/>
    <w:rsid w:val="00A971FE"/>
    <w:rPr>
      <w:color w:val="2C2568" w:themeColor="followedHyperlink"/>
      <w:u w:val="single"/>
    </w:rPr>
  </w:style>
  <w:style w:type="table" w:styleId="GridTable1Light-Accent2">
    <w:name w:val="Grid Table 1 Light Accent 2"/>
    <w:basedOn w:val="TableNormal"/>
    <w:uiPriority w:val="46"/>
    <w:rsid w:val="00A971FE"/>
    <w:pPr>
      <w:spacing w:after="0" w:line="240" w:lineRule="auto"/>
    </w:pPr>
    <w:tblPr>
      <w:tblStyleRowBandSize w:val="1"/>
      <w:tblStyleColBandSize w:val="1"/>
      <w:tblBorders>
        <w:top w:val="single" w:sz="4" w:space="0" w:color="7DDFEF" w:themeColor="accent2" w:themeTint="66"/>
        <w:left w:val="single" w:sz="4" w:space="0" w:color="7DDFEF" w:themeColor="accent2" w:themeTint="66"/>
        <w:bottom w:val="single" w:sz="4" w:space="0" w:color="7DDFEF" w:themeColor="accent2" w:themeTint="66"/>
        <w:right w:val="single" w:sz="4" w:space="0" w:color="7DDFEF" w:themeColor="accent2" w:themeTint="66"/>
        <w:insideH w:val="single" w:sz="4" w:space="0" w:color="7DDFEF" w:themeColor="accent2" w:themeTint="66"/>
        <w:insideV w:val="single" w:sz="4" w:space="0" w:color="7DDFEF" w:themeColor="accent2" w:themeTint="66"/>
      </w:tblBorders>
    </w:tblPr>
    <w:tblStylePr w:type="firstRow">
      <w:rPr>
        <w:b/>
        <w:bCs/>
      </w:rPr>
      <w:tblPr/>
      <w:tcPr>
        <w:tcBorders>
          <w:bottom w:val="single" w:sz="12" w:space="0" w:color="3CCFE7" w:themeColor="accent2" w:themeTint="99"/>
        </w:tcBorders>
      </w:tcPr>
    </w:tblStylePr>
    <w:tblStylePr w:type="lastRow">
      <w:rPr>
        <w:b/>
        <w:bCs/>
      </w:rPr>
      <w:tblPr/>
      <w:tcPr>
        <w:tcBorders>
          <w:top w:val="double" w:sz="2" w:space="0" w:color="3CCFE7"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rsid w:val="00A971FE"/>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9111876">
      <w:bodyDiv w:val="1"/>
      <w:marLeft w:val="0"/>
      <w:marRight w:val="0"/>
      <w:marTop w:val="0"/>
      <w:marBottom w:val="0"/>
      <w:divBdr>
        <w:top w:val="none" w:sz="0" w:space="0" w:color="auto"/>
        <w:left w:val="none" w:sz="0" w:space="0" w:color="auto"/>
        <w:bottom w:val="none" w:sz="0" w:space="0" w:color="auto"/>
        <w:right w:val="none" w:sz="0" w:space="0" w:color="auto"/>
      </w:divBdr>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 w:id="1457600979">
      <w:bodyDiv w:val="1"/>
      <w:marLeft w:val="0"/>
      <w:marRight w:val="0"/>
      <w:marTop w:val="0"/>
      <w:marBottom w:val="0"/>
      <w:divBdr>
        <w:top w:val="none" w:sz="0" w:space="0" w:color="auto"/>
        <w:left w:val="none" w:sz="0" w:space="0" w:color="auto"/>
        <w:bottom w:val="none" w:sz="0" w:space="0" w:color="auto"/>
        <w:right w:val="none" w:sz="0" w:space="0" w:color="auto"/>
      </w:divBdr>
      <w:divsChild>
        <w:div w:id="1329287317">
          <w:marLeft w:val="0"/>
          <w:marRight w:val="0"/>
          <w:marTop w:val="0"/>
          <w:marBottom w:val="0"/>
          <w:divBdr>
            <w:top w:val="none" w:sz="0" w:space="0" w:color="auto"/>
            <w:left w:val="none" w:sz="0" w:space="0" w:color="auto"/>
            <w:bottom w:val="none" w:sz="0" w:space="0" w:color="auto"/>
            <w:right w:val="none" w:sz="0" w:space="0" w:color="auto"/>
          </w:divBdr>
          <w:divsChild>
            <w:div w:id="1333341003">
              <w:marLeft w:val="0"/>
              <w:marRight w:val="0"/>
              <w:marTop w:val="0"/>
              <w:marBottom w:val="0"/>
              <w:divBdr>
                <w:top w:val="none" w:sz="0" w:space="0" w:color="auto"/>
                <w:left w:val="none" w:sz="0" w:space="0" w:color="auto"/>
                <w:bottom w:val="none" w:sz="0" w:space="0" w:color="auto"/>
                <w:right w:val="none" w:sz="0" w:space="0" w:color="auto"/>
              </w:divBdr>
            </w:div>
            <w:div w:id="1120487653">
              <w:marLeft w:val="0"/>
              <w:marRight w:val="0"/>
              <w:marTop w:val="0"/>
              <w:marBottom w:val="0"/>
              <w:divBdr>
                <w:top w:val="none" w:sz="0" w:space="0" w:color="auto"/>
                <w:left w:val="none" w:sz="0" w:space="0" w:color="auto"/>
                <w:bottom w:val="none" w:sz="0" w:space="0" w:color="auto"/>
                <w:right w:val="none" w:sz="0" w:space="0" w:color="auto"/>
              </w:divBdr>
            </w:div>
            <w:div w:id="1929314662">
              <w:marLeft w:val="0"/>
              <w:marRight w:val="0"/>
              <w:marTop w:val="0"/>
              <w:marBottom w:val="0"/>
              <w:divBdr>
                <w:top w:val="none" w:sz="0" w:space="0" w:color="auto"/>
                <w:left w:val="none" w:sz="0" w:space="0" w:color="auto"/>
                <w:bottom w:val="none" w:sz="0" w:space="0" w:color="auto"/>
                <w:right w:val="none" w:sz="0" w:space="0" w:color="auto"/>
              </w:divBdr>
            </w:div>
            <w:div w:id="2092237109">
              <w:marLeft w:val="0"/>
              <w:marRight w:val="0"/>
              <w:marTop w:val="0"/>
              <w:marBottom w:val="0"/>
              <w:divBdr>
                <w:top w:val="none" w:sz="0" w:space="0" w:color="auto"/>
                <w:left w:val="none" w:sz="0" w:space="0" w:color="auto"/>
                <w:bottom w:val="none" w:sz="0" w:space="0" w:color="auto"/>
                <w:right w:val="none" w:sz="0" w:space="0" w:color="auto"/>
              </w:divBdr>
            </w:div>
            <w:div w:id="325019865">
              <w:marLeft w:val="0"/>
              <w:marRight w:val="0"/>
              <w:marTop w:val="0"/>
              <w:marBottom w:val="0"/>
              <w:divBdr>
                <w:top w:val="none" w:sz="0" w:space="0" w:color="auto"/>
                <w:left w:val="none" w:sz="0" w:space="0" w:color="auto"/>
                <w:bottom w:val="none" w:sz="0" w:space="0" w:color="auto"/>
                <w:right w:val="none" w:sz="0" w:space="0" w:color="auto"/>
              </w:divBdr>
            </w:div>
            <w:div w:id="2100908030">
              <w:marLeft w:val="0"/>
              <w:marRight w:val="0"/>
              <w:marTop w:val="0"/>
              <w:marBottom w:val="0"/>
              <w:divBdr>
                <w:top w:val="none" w:sz="0" w:space="0" w:color="auto"/>
                <w:left w:val="none" w:sz="0" w:space="0" w:color="auto"/>
                <w:bottom w:val="none" w:sz="0" w:space="0" w:color="auto"/>
                <w:right w:val="none" w:sz="0" w:space="0" w:color="auto"/>
              </w:divBdr>
            </w:div>
            <w:div w:id="1279408198">
              <w:marLeft w:val="0"/>
              <w:marRight w:val="0"/>
              <w:marTop w:val="0"/>
              <w:marBottom w:val="0"/>
              <w:divBdr>
                <w:top w:val="none" w:sz="0" w:space="0" w:color="auto"/>
                <w:left w:val="none" w:sz="0" w:space="0" w:color="auto"/>
                <w:bottom w:val="none" w:sz="0" w:space="0" w:color="auto"/>
                <w:right w:val="none" w:sz="0" w:space="0" w:color="auto"/>
              </w:divBdr>
            </w:div>
            <w:div w:id="1305310535">
              <w:marLeft w:val="0"/>
              <w:marRight w:val="0"/>
              <w:marTop w:val="0"/>
              <w:marBottom w:val="0"/>
              <w:divBdr>
                <w:top w:val="none" w:sz="0" w:space="0" w:color="auto"/>
                <w:left w:val="none" w:sz="0" w:space="0" w:color="auto"/>
                <w:bottom w:val="none" w:sz="0" w:space="0" w:color="auto"/>
                <w:right w:val="none" w:sz="0" w:space="0" w:color="auto"/>
              </w:divBdr>
            </w:div>
            <w:div w:id="1996644169">
              <w:marLeft w:val="0"/>
              <w:marRight w:val="0"/>
              <w:marTop w:val="0"/>
              <w:marBottom w:val="0"/>
              <w:divBdr>
                <w:top w:val="none" w:sz="0" w:space="0" w:color="auto"/>
                <w:left w:val="none" w:sz="0" w:space="0" w:color="auto"/>
                <w:bottom w:val="none" w:sz="0" w:space="0" w:color="auto"/>
                <w:right w:val="none" w:sz="0" w:space="0" w:color="auto"/>
              </w:divBdr>
            </w:div>
            <w:div w:id="160127297">
              <w:marLeft w:val="0"/>
              <w:marRight w:val="0"/>
              <w:marTop w:val="0"/>
              <w:marBottom w:val="0"/>
              <w:divBdr>
                <w:top w:val="none" w:sz="0" w:space="0" w:color="auto"/>
                <w:left w:val="none" w:sz="0" w:space="0" w:color="auto"/>
                <w:bottom w:val="none" w:sz="0" w:space="0" w:color="auto"/>
                <w:right w:val="none" w:sz="0" w:space="0" w:color="auto"/>
              </w:divBdr>
            </w:div>
            <w:div w:id="1257135971">
              <w:marLeft w:val="0"/>
              <w:marRight w:val="0"/>
              <w:marTop w:val="0"/>
              <w:marBottom w:val="0"/>
              <w:divBdr>
                <w:top w:val="none" w:sz="0" w:space="0" w:color="auto"/>
                <w:left w:val="none" w:sz="0" w:space="0" w:color="auto"/>
                <w:bottom w:val="none" w:sz="0" w:space="0" w:color="auto"/>
                <w:right w:val="none" w:sz="0" w:space="0" w:color="auto"/>
              </w:divBdr>
            </w:div>
            <w:div w:id="1187207824">
              <w:marLeft w:val="0"/>
              <w:marRight w:val="0"/>
              <w:marTop w:val="0"/>
              <w:marBottom w:val="0"/>
              <w:divBdr>
                <w:top w:val="none" w:sz="0" w:space="0" w:color="auto"/>
                <w:left w:val="none" w:sz="0" w:space="0" w:color="auto"/>
                <w:bottom w:val="none" w:sz="0" w:space="0" w:color="auto"/>
                <w:right w:val="none" w:sz="0" w:space="0" w:color="auto"/>
              </w:divBdr>
            </w:div>
            <w:div w:id="1826044033">
              <w:marLeft w:val="0"/>
              <w:marRight w:val="0"/>
              <w:marTop w:val="0"/>
              <w:marBottom w:val="0"/>
              <w:divBdr>
                <w:top w:val="none" w:sz="0" w:space="0" w:color="auto"/>
                <w:left w:val="none" w:sz="0" w:space="0" w:color="auto"/>
                <w:bottom w:val="none" w:sz="0" w:space="0" w:color="auto"/>
                <w:right w:val="none" w:sz="0" w:space="0" w:color="auto"/>
              </w:divBdr>
            </w:div>
          </w:divsChild>
        </w:div>
        <w:div w:id="1331911251">
          <w:marLeft w:val="0"/>
          <w:marRight w:val="0"/>
          <w:marTop w:val="0"/>
          <w:marBottom w:val="0"/>
          <w:divBdr>
            <w:top w:val="none" w:sz="0" w:space="0" w:color="auto"/>
            <w:left w:val="none" w:sz="0" w:space="0" w:color="auto"/>
            <w:bottom w:val="none" w:sz="0" w:space="0" w:color="auto"/>
            <w:right w:val="none" w:sz="0" w:space="0" w:color="auto"/>
          </w:divBdr>
          <w:divsChild>
            <w:div w:id="839540052">
              <w:marLeft w:val="0"/>
              <w:marRight w:val="0"/>
              <w:marTop w:val="0"/>
              <w:marBottom w:val="0"/>
              <w:divBdr>
                <w:top w:val="none" w:sz="0" w:space="0" w:color="auto"/>
                <w:left w:val="none" w:sz="0" w:space="0" w:color="auto"/>
                <w:bottom w:val="none" w:sz="0" w:space="0" w:color="auto"/>
                <w:right w:val="none" w:sz="0" w:space="0" w:color="auto"/>
              </w:divBdr>
            </w:div>
            <w:div w:id="1748916015">
              <w:marLeft w:val="0"/>
              <w:marRight w:val="0"/>
              <w:marTop w:val="0"/>
              <w:marBottom w:val="0"/>
              <w:divBdr>
                <w:top w:val="none" w:sz="0" w:space="0" w:color="auto"/>
                <w:left w:val="none" w:sz="0" w:space="0" w:color="auto"/>
                <w:bottom w:val="none" w:sz="0" w:space="0" w:color="auto"/>
                <w:right w:val="none" w:sz="0" w:space="0" w:color="auto"/>
              </w:divBdr>
            </w:div>
            <w:div w:id="1988317485">
              <w:marLeft w:val="0"/>
              <w:marRight w:val="0"/>
              <w:marTop w:val="0"/>
              <w:marBottom w:val="0"/>
              <w:divBdr>
                <w:top w:val="none" w:sz="0" w:space="0" w:color="auto"/>
                <w:left w:val="none" w:sz="0" w:space="0" w:color="auto"/>
                <w:bottom w:val="none" w:sz="0" w:space="0" w:color="auto"/>
                <w:right w:val="none" w:sz="0" w:space="0" w:color="auto"/>
              </w:divBdr>
            </w:div>
            <w:div w:id="10290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17522">
      <w:bodyDiv w:val="1"/>
      <w:marLeft w:val="0"/>
      <w:marRight w:val="0"/>
      <w:marTop w:val="0"/>
      <w:marBottom w:val="0"/>
      <w:divBdr>
        <w:top w:val="none" w:sz="0" w:space="0" w:color="auto"/>
        <w:left w:val="none" w:sz="0" w:space="0" w:color="auto"/>
        <w:bottom w:val="none" w:sz="0" w:space="0" w:color="auto"/>
        <w:right w:val="none" w:sz="0" w:space="0" w:color="auto"/>
      </w:divBdr>
      <w:divsChild>
        <w:div w:id="257909935">
          <w:marLeft w:val="0"/>
          <w:marRight w:val="0"/>
          <w:marTop w:val="0"/>
          <w:marBottom w:val="0"/>
          <w:divBdr>
            <w:top w:val="none" w:sz="0" w:space="0" w:color="auto"/>
            <w:left w:val="none" w:sz="0" w:space="0" w:color="auto"/>
            <w:bottom w:val="none" w:sz="0" w:space="0" w:color="auto"/>
            <w:right w:val="none" w:sz="0" w:space="0" w:color="auto"/>
          </w:divBdr>
          <w:divsChild>
            <w:div w:id="1469712327">
              <w:marLeft w:val="0"/>
              <w:marRight w:val="0"/>
              <w:marTop w:val="0"/>
              <w:marBottom w:val="0"/>
              <w:divBdr>
                <w:top w:val="none" w:sz="0" w:space="0" w:color="auto"/>
                <w:left w:val="none" w:sz="0" w:space="0" w:color="auto"/>
                <w:bottom w:val="none" w:sz="0" w:space="0" w:color="auto"/>
                <w:right w:val="none" w:sz="0" w:space="0" w:color="auto"/>
              </w:divBdr>
            </w:div>
            <w:div w:id="1349211378">
              <w:marLeft w:val="0"/>
              <w:marRight w:val="0"/>
              <w:marTop w:val="0"/>
              <w:marBottom w:val="0"/>
              <w:divBdr>
                <w:top w:val="none" w:sz="0" w:space="0" w:color="auto"/>
                <w:left w:val="none" w:sz="0" w:space="0" w:color="auto"/>
                <w:bottom w:val="none" w:sz="0" w:space="0" w:color="auto"/>
                <w:right w:val="none" w:sz="0" w:space="0" w:color="auto"/>
              </w:divBdr>
            </w:div>
            <w:div w:id="808937914">
              <w:marLeft w:val="0"/>
              <w:marRight w:val="0"/>
              <w:marTop w:val="0"/>
              <w:marBottom w:val="0"/>
              <w:divBdr>
                <w:top w:val="none" w:sz="0" w:space="0" w:color="auto"/>
                <w:left w:val="none" w:sz="0" w:space="0" w:color="auto"/>
                <w:bottom w:val="none" w:sz="0" w:space="0" w:color="auto"/>
                <w:right w:val="none" w:sz="0" w:space="0" w:color="auto"/>
              </w:divBdr>
            </w:div>
            <w:div w:id="1273515109">
              <w:marLeft w:val="0"/>
              <w:marRight w:val="0"/>
              <w:marTop w:val="0"/>
              <w:marBottom w:val="0"/>
              <w:divBdr>
                <w:top w:val="none" w:sz="0" w:space="0" w:color="auto"/>
                <w:left w:val="none" w:sz="0" w:space="0" w:color="auto"/>
                <w:bottom w:val="none" w:sz="0" w:space="0" w:color="auto"/>
                <w:right w:val="none" w:sz="0" w:space="0" w:color="auto"/>
              </w:divBdr>
            </w:div>
            <w:div w:id="109008314">
              <w:marLeft w:val="0"/>
              <w:marRight w:val="0"/>
              <w:marTop w:val="0"/>
              <w:marBottom w:val="0"/>
              <w:divBdr>
                <w:top w:val="none" w:sz="0" w:space="0" w:color="auto"/>
                <w:left w:val="none" w:sz="0" w:space="0" w:color="auto"/>
                <w:bottom w:val="none" w:sz="0" w:space="0" w:color="auto"/>
                <w:right w:val="none" w:sz="0" w:space="0" w:color="auto"/>
              </w:divBdr>
            </w:div>
            <w:div w:id="1270356326">
              <w:marLeft w:val="0"/>
              <w:marRight w:val="0"/>
              <w:marTop w:val="0"/>
              <w:marBottom w:val="0"/>
              <w:divBdr>
                <w:top w:val="none" w:sz="0" w:space="0" w:color="auto"/>
                <w:left w:val="none" w:sz="0" w:space="0" w:color="auto"/>
                <w:bottom w:val="none" w:sz="0" w:space="0" w:color="auto"/>
                <w:right w:val="none" w:sz="0" w:space="0" w:color="auto"/>
              </w:divBdr>
            </w:div>
            <w:div w:id="1495101280">
              <w:marLeft w:val="0"/>
              <w:marRight w:val="0"/>
              <w:marTop w:val="0"/>
              <w:marBottom w:val="0"/>
              <w:divBdr>
                <w:top w:val="none" w:sz="0" w:space="0" w:color="auto"/>
                <w:left w:val="none" w:sz="0" w:space="0" w:color="auto"/>
                <w:bottom w:val="none" w:sz="0" w:space="0" w:color="auto"/>
                <w:right w:val="none" w:sz="0" w:space="0" w:color="auto"/>
              </w:divBdr>
            </w:div>
            <w:div w:id="250940004">
              <w:marLeft w:val="0"/>
              <w:marRight w:val="0"/>
              <w:marTop w:val="0"/>
              <w:marBottom w:val="0"/>
              <w:divBdr>
                <w:top w:val="none" w:sz="0" w:space="0" w:color="auto"/>
                <w:left w:val="none" w:sz="0" w:space="0" w:color="auto"/>
                <w:bottom w:val="none" w:sz="0" w:space="0" w:color="auto"/>
                <w:right w:val="none" w:sz="0" w:space="0" w:color="auto"/>
              </w:divBdr>
            </w:div>
            <w:div w:id="1552230940">
              <w:marLeft w:val="0"/>
              <w:marRight w:val="0"/>
              <w:marTop w:val="0"/>
              <w:marBottom w:val="0"/>
              <w:divBdr>
                <w:top w:val="none" w:sz="0" w:space="0" w:color="auto"/>
                <w:left w:val="none" w:sz="0" w:space="0" w:color="auto"/>
                <w:bottom w:val="none" w:sz="0" w:space="0" w:color="auto"/>
                <w:right w:val="none" w:sz="0" w:space="0" w:color="auto"/>
              </w:divBdr>
            </w:div>
            <w:div w:id="1907715911">
              <w:marLeft w:val="0"/>
              <w:marRight w:val="0"/>
              <w:marTop w:val="0"/>
              <w:marBottom w:val="0"/>
              <w:divBdr>
                <w:top w:val="none" w:sz="0" w:space="0" w:color="auto"/>
                <w:left w:val="none" w:sz="0" w:space="0" w:color="auto"/>
                <w:bottom w:val="none" w:sz="0" w:space="0" w:color="auto"/>
                <w:right w:val="none" w:sz="0" w:space="0" w:color="auto"/>
              </w:divBdr>
            </w:div>
            <w:div w:id="553547530">
              <w:marLeft w:val="0"/>
              <w:marRight w:val="0"/>
              <w:marTop w:val="0"/>
              <w:marBottom w:val="0"/>
              <w:divBdr>
                <w:top w:val="none" w:sz="0" w:space="0" w:color="auto"/>
                <w:left w:val="none" w:sz="0" w:space="0" w:color="auto"/>
                <w:bottom w:val="none" w:sz="0" w:space="0" w:color="auto"/>
                <w:right w:val="none" w:sz="0" w:space="0" w:color="auto"/>
              </w:divBdr>
            </w:div>
            <w:div w:id="390008267">
              <w:marLeft w:val="0"/>
              <w:marRight w:val="0"/>
              <w:marTop w:val="0"/>
              <w:marBottom w:val="0"/>
              <w:divBdr>
                <w:top w:val="none" w:sz="0" w:space="0" w:color="auto"/>
                <w:left w:val="none" w:sz="0" w:space="0" w:color="auto"/>
                <w:bottom w:val="none" w:sz="0" w:space="0" w:color="auto"/>
                <w:right w:val="none" w:sz="0" w:space="0" w:color="auto"/>
              </w:divBdr>
            </w:div>
            <w:div w:id="1376463742">
              <w:marLeft w:val="0"/>
              <w:marRight w:val="0"/>
              <w:marTop w:val="0"/>
              <w:marBottom w:val="0"/>
              <w:divBdr>
                <w:top w:val="none" w:sz="0" w:space="0" w:color="auto"/>
                <w:left w:val="none" w:sz="0" w:space="0" w:color="auto"/>
                <w:bottom w:val="none" w:sz="0" w:space="0" w:color="auto"/>
                <w:right w:val="none" w:sz="0" w:space="0" w:color="auto"/>
              </w:divBdr>
            </w:div>
          </w:divsChild>
        </w:div>
        <w:div w:id="263852066">
          <w:marLeft w:val="0"/>
          <w:marRight w:val="0"/>
          <w:marTop w:val="0"/>
          <w:marBottom w:val="0"/>
          <w:divBdr>
            <w:top w:val="none" w:sz="0" w:space="0" w:color="auto"/>
            <w:left w:val="none" w:sz="0" w:space="0" w:color="auto"/>
            <w:bottom w:val="none" w:sz="0" w:space="0" w:color="auto"/>
            <w:right w:val="none" w:sz="0" w:space="0" w:color="auto"/>
          </w:divBdr>
          <w:divsChild>
            <w:div w:id="1786004278">
              <w:marLeft w:val="0"/>
              <w:marRight w:val="0"/>
              <w:marTop w:val="0"/>
              <w:marBottom w:val="0"/>
              <w:divBdr>
                <w:top w:val="none" w:sz="0" w:space="0" w:color="auto"/>
                <w:left w:val="none" w:sz="0" w:space="0" w:color="auto"/>
                <w:bottom w:val="none" w:sz="0" w:space="0" w:color="auto"/>
                <w:right w:val="none" w:sz="0" w:space="0" w:color="auto"/>
              </w:divBdr>
            </w:div>
            <w:div w:id="136269778">
              <w:marLeft w:val="0"/>
              <w:marRight w:val="0"/>
              <w:marTop w:val="0"/>
              <w:marBottom w:val="0"/>
              <w:divBdr>
                <w:top w:val="none" w:sz="0" w:space="0" w:color="auto"/>
                <w:left w:val="none" w:sz="0" w:space="0" w:color="auto"/>
                <w:bottom w:val="none" w:sz="0" w:space="0" w:color="auto"/>
                <w:right w:val="none" w:sz="0" w:space="0" w:color="auto"/>
              </w:divBdr>
            </w:div>
            <w:div w:id="796797314">
              <w:marLeft w:val="0"/>
              <w:marRight w:val="0"/>
              <w:marTop w:val="0"/>
              <w:marBottom w:val="0"/>
              <w:divBdr>
                <w:top w:val="none" w:sz="0" w:space="0" w:color="auto"/>
                <w:left w:val="none" w:sz="0" w:space="0" w:color="auto"/>
                <w:bottom w:val="none" w:sz="0" w:space="0" w:color="auto"/>
                <w:right w:val="none" w:sz="0" w:space="0" w:color="auto"/>
              </w:divBdr>
            </w:div>
            <w:div w:id="12648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hyperlink" Target="http://www.hqsc.govt.nz/our-work/improved-service-delivery/sepsis/raise-the-flag-sepsis-quality-improvement-project/" TargetMode="Externa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mailto:info@hqsc.govt.nz" TargetMode="External"/><Relationship Id="rId17" Type="http://schemas.openxmlformats.org/officeDocument/2006/relationships/footer" Target="footer2.xml"/><Relationship Id="rId25" Type="http://schemas.openxmlformats.org/officeDocument/2006/relationships/hyperlink" Target="mailto:sepsis@hqsc.govt.nz"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sc.govt.nz" TargetMode="External"/><Relationship Id="rId24" Type="http://schemas.openxmlformats.org/officeDocument/2006/relationships/hyperlink" Target="https://www.hqsc.govt.nz/assets/Our-work/Improved-service-delivery/Sepsis/Sepsis-clinical-governance_Sept-2025.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microsoft.com/office/2007/relationships/diagramDrawing" Target="diagrams/drawing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377AA3-E9F3-4599-AE8A-91FED07DDCCE}" type="doc">
      <dgm:prSet loTypeId="urn:microsoft.com/office/officeart/2005/8/layout/process1" loCatId="process" qsTypeId="urn:microsoft.com/office/officeart/2005/8/quickstyle/simple1" qsCatId="simple" csTypeId="urn:microsoft.com/office/officeart/2005/8/colors/colorful1" csCatId="colorful" phldr="1"/>
      <dgm:spPr/>
    </dgm:pt>
    <dgm:pt modelId="{0BCCEBBC-7C6D-4B74-9A1F-92ABC2DCD71A}">
      <dgm:prSet phldrT="[Text]"/>
      <dgm:spPr/>
      <dgm:t>
        <a:bodyPr/>
        <a:lstStyle/>
        <a:p>
          <a:r>
            <a:rPr lang="en-NZ">
              <a:solidFill>
                <a:sysClr val="windowText" lastClr="000000"/>
              </a:solidFill>
            </a:rPr>
            <a:t>Plan</a:t>
          </a:r>
        </a:p>
      </dgm:t>
    </dgm:pt>
    <dgm:pt modelId="{9854B8EB-6FC1-4646-A61D-47B9DB15C2E1}" type="parTrans" cxnId="{C50D0860-C2A8-4939-9EBF-31CF9834B5DA}">
      <dgm:prSet/>
      <dgm:spPr/>
      <dgm:t>
        <a:bodyPr/>
        <a:lstStyle/>
        <a:p>
          <a:endParaRPr lang="en-NZ"/>
        </a:p>
      </dgm:t>
    </dgm:pt>
    <dgm:pt modelId="{7338B41D-38D5-4D6F-B588-F80C8D41C02B}" type="sibTrans" cxnId="{C50D0860-C2A8-4939-9EBF-31CF9834B5DA}">
      <dgm:prSet/>
      <dgm:spPr/>
      <dgm:t>
        <a:bodyPr/>
        <a:lstStyle/>
        <a:p>
          <a:endParaRPr lang="en-NZ"/>
        </a:p>
      </dgm:t>
    </dgm:pt>
    <dgm:pt modelId="{61D25D62-4851-4FE9-BEA7-6DEF9255760B}">
      <dgm:prSet phldrT="[Text]"/>
      <dgm:spPr/>
      <dgm:t>
        <a:bodyPr/>
        <a:lstStyle/>
        <a:p>
          <a:r>
            <a:rPr lang="en-NZ">
              <a:solidFill>
                <a:sysClr val="windowText" lastClr="000000"/>
              </a:solidFill>
            </a:rPr>
            <a:t>Prepare</a:t>
          </a:r>
        </a:p>
      </dgm:t>
    </dgm:pt>
    <dgm:pt modelId="{C28AB127-B684-411C-9258-6614A7CC79D9}" type="parTrans" cxnId="{407A5BB6-7F1A-4B00-93F0-6BDC76E8311C}">
      <dgm:prSet/>
      <dgm:spPr/>
      <dgm:t>
        <a:bodyPr/>
        <a:lstStyle/>
        <a:p>
          <a:endParaRPr lang="en-NZ"/>
        </a:p>
      </dgm:t>
    </dgm:pt>
    <dgm:pt modelId="{2D25EB5B-DD66-4E65-9F92-476E262908CA}" type="sibTrans" cxnId="{407A5BB6-7F1A-4B00-93F0-6BDC76E8311C}">
      <dgm:prSet/>
      <dgm:spPr/>
      <dgm:t>
        <a:bodyPr/>
        <a:lstStyle/>
        <a:p>
          <a:endParaRPr lang="en-NZ"/>
        </a:p>
      </dgm:t>
    </dgm:pt>
    <dgm:pt modelId="{88484E6E-1452-4740-AA32-9B6F7BC7F192}">
      <dgm:prSet phldrT="[Text]"/>
      <dgm:spPr/>
      <dgm:t>
        <a:bodyPr/>
        <a:lstStyle/>
        <a:p>
          <a:r>
            <a:rPr lang="en-NZ">
              <a:solidFill>
                <a:schemeClr val="bg1"/>
              </a:solidFill>
            </a:rPr>
            <a:t>Test</a:t>
          </a:r>
        </a:p>
      </dgm:t>
    </dgm:pt>
    <dgm:pt modelId="{52D4286B-2E3D-44D8-ADB4-C115090E6200}" type="parTrans" cxnId="{30D4F568-26A0-484E-B502-BC57DF3F6F34}">
      <dgm:prSet/>
      <dgm:spPr/>
      <dgm:t>
        <a:bodyPr/>
        <a:lstStyle/>
        <a:p>
          <a:endParaRPr lang="en-NZ"/>
        </a:p>
      </dgm:t>
    </dgm:pt>
    <dgm:pt modelId="{B3B054AE-11E4-4879-8160-797934419A95}" type="sibTrans" cxnId="{30D4F568-26A0-484E-B502-BC57DF3F6F34}">
      <dgm:prSet/>
      <dgm:spPr/>
      <dgm:t>
        <a:bodyPr/>
        <a:lstStyle/>
        <a:p>
          <a:endParaRPr lang="en-NZ"/>
        </a:p>
      </dgm:t>
    </dgm:pt>
    <dgm:pt modelId="{8CFC2A88-7A4B-48A3-ADA6-E33EAA09AFFD}">
      <dgm:prSet/>
      <dgm:spPr/>
      <dgm:t>
        <a:bodyPr/>
        <a:lstStyle/>
        <a:p>
          <a:r>
            <a:rPr lang="en-NZ">
              <a:solidFill>
                <a:sysClr val="windowText" lastClr="000000"/>
              </a:solidFill>
            </a:rPr>
            <a:t>Implement &amp; Spread</a:t>
          </a:r>
        </a:p>
      </dgm:t>
    </dgm:pt>
    <dgm:pt modelId="{3948D54F-A0F8-467C-AACD-ACCA9DA43F5D}" type="parTrans" cxnId="{24F0E736-A41C-4063-9C3F-998FDECE2724}">
      <dgm:prSet/>
      <dgm:spPr/>
      <dgm:t>
        <a:bodyPr/>
        <a:lstStyle/>
        <a:p>
          <a:endParaRPr lang="en-NZ"/>
        </a:p>
      </dgm:t>
    </dgm:pt>
    <dgm:pt modelId="{EFC9B911-041C-412A-B2AD-F2A914AEC1CA}" type="sibTrans" cxnId="{24F0E736-A41C-4063-9C3F-998FDECE2724}">
      <dgm:prSet/>
      <dgm:spPr/>
      <dgm:t>
        <a:bodyPr/>
        <a:lstStyle/>
        <a:p>
          <a:endParaRPr lang="en-NZ"/>
        </a:p>
      </dgm:t>
    </dgm:pt>
    <dgm:pt modelId="{67D52D8A-76CD-4C07-AE4B-686AF08D5AEC}">
      <dgm:prSet/>
      <dgm:spPr/>
      <dgm:t>
        <a:bodyPr/>
        <a:lstStyle/>
        <a:p>
          <a:r>
            <a:rPr lang="en-NZ">
              <a:solidFill>
                <a:sysClr val="windowText" lastClr="000000"/>
              </a:solidFill>
            </a:rPr>
            <a:t>Sustain</a:t>
          </a:r>
        </a:p>
      </dgm:t>
    </dgm:pt>
    <dgm:pt modelId="{56DE894F-357F-40C3-B76E-5C8371511C6F}" type="parTrans" cxnId="{CEFC1A08-128B-4422-9222-263E0DB234B6}">
      <dgm:prSet/>
      <dgm:spPr/>
      <dgm:t>
        <a:bodyPr/>
        <a:lstStyle/>
        <a:p>
          <a:endParaRPr lang="en-NZ"/>
        </a:p>
      </dgm:t>
    </dgm:pt>
    <dgm:pt modelId="{06A03742-BDFB-44D2-B8C7-A0F2284F70C4}" type="sibTrans" cxnId="{CEFC1A08-128B-4422-9222-263E0DB234B6}">
      <dgm:prSet/>
      <dgm:spPr/>
      <dgm:t>
        <a:bodyPr/>
        <a:lstStyle/>
        <a:p>
          <a:endParaRPr lang="en-NZ"/>
        </a:p>
      </dgm:t>
    </dgm:pt>
    <dgm:pt modelId="{0B4BBE3B-96FE-4B4A-B81A-6DAEF440313B}" type="pres">
      <dgm:prSet presAssocID="{5F377AA3-E9F3-4599-AE8A-91FED07DDCCE}" presName="Name0" presStyleCnt="0">
        <dgm:presLayoutVars>
          <dgm:dir/>
          <dgm:resizeHandles val="exact"/>
        </dgm:presLayoutVars>
      </dgm:prSet>
      <dgm:spPr/>
    </dgm:pt>
    <dgm:pt modelId="{6D070D07-A6F9-4988-A8D3-83FC0B0B25E0}" type="pres">
      <dgm:prSet presAssocID="{0BCCEBBC-7C6D-4B74-9A1F-92ABC2DCD71A}" presName="node" presStyleLbl="node1" presStyleIdx="0" presStyleCnt="5">
        <dgm:presLayoutVars>
          <dgm:bulletEnabled val="1"/>
        </dgm:presLayoutVars>
      </dgm:prSet>
      <dgm:spPr/>
    </dgm:pt>
    <dgm:pt modelId="{2BF7315C-BBAA-4CEB-8B68-D44F6383F476}" type="pres">
      <dgm:prSet presAssocID="{7338B41D-38D5-4D6F-B588-F80C8D41C02B}" presName="sibTrans" presStyleLbl="sibTrans2D1" presStyleIdx="0" presStyleCnt="4"/>
      <dgm:spPr/>
    </dgm:pt>
    <dgm:pt modelId="{2FBFC318-44A3-443B-AEBD-F2DDAC8AD555}" type="pres">
      <dgm:prSet presAssocID="{7338B41D-38D5-4D6F-B588-F80C8D41C02B}" presName="connectorText" presStyleLbl="sibTrans2D1" presStyleIdx="0" presStyleCnt="4"/>
      <dgm:spPr/>
    </dgm:pt>
    <dgm:pt modelId="{D036EC88-87E8-4362-B245-A6E77B8158D2}" type="pres">
      <dgm:prSet presAssocID="{61D25D62-4851-4FE9-BEA7-6DEF9255760B}" presName="node" presStyleLbl="node1" presStyleIdx="1" presStyleCnt="5">
        <dgm:presLayoutVars>
          <dgm:bulletEnabled val="1"/>
        </dgm:presLayoutVars>
      </dgm:prSet>
      <dgm:spPr/>
    </dgm:pt>
    <dgm:pt modelId="{4A3D0706-DC9A-4DEB-B0FF-02228A94C8BC}" type="pres">
      <dgm:prSet presAssocID="{2D25EB5B-DD66-4E65-9F92-476E262908CA}" presName="sibTrans" presStyleLbl="sibTrans2D1" presStyleIdx="1" presStyleCnt="4"/>
      <dgm:spPr/>
    </dgm:pt>
    <dgm:pt modelId="{12B8F380-6BAB-48B3-A371-BB1BC084C611}" type="pres">
      <dgm:prSet presAssocID="{2D25EB5B-DD66-4E65-9F92-476E262908CA}" presName="connectorText" presStyleLbl="sibTrans2D1" presStyleIdx="1" presStyleCnt="4"/>
      <dgm:spPr/>
    </dgm:pt>
    <dgm:pt modelId="{D5CA132F-685E-45C8-A1BE-37FAB438C164}" type="pres">
      <dgm:prSet presAssocID="{88484E6E-1452-4740-AA32-9B6F7BC7F192}" presName="node" presStyleLbl="node1" presStyleIdx="2" presStyleCnt="5">
        <dgm:presLayoutVars>
          <dgm:bulletEnabled val="1"/>
        </dgm:presLayoutVars>
      </dgm:prSet>
      <dgm:spPr/>
    </dgm:pt>
    <dgm:pt modelId="{EFCD2725-3FF8-4A70-B5F8-166675324616}" type="pres">
      <dgm:prSet presAssocID="{B3B054AE-11E4-4879-8160-797934419A95}" presName="sibTrans" presStyleLbl="sibTrans2D1" presStyleIdx="2" presStyleCnt="4"/>
      <dgm:spPr/>
    </dgm:pt>
    <dgm:pt modelId="{E7B954AE-CE03-4F80-93C4-E1C9C1AD1054}" type="pres">
      <dgm:prSet presAssocID="{B3B054AE-11E4-4879-8160-797934419A95}" presName="connectorText" presStyleLbl="sibTrans2D1" presStyleIdx="2" presStyleCnt="4"/>
      <dgm:spPr/>
    </dgm:pt>
    <dgm:pt modelId="{32B8E276-001C-40EE-AE5F-EF9030F08A00}" type="pres">
      <dgm:prSet presAssocID="{8CFC2A88-7A4B-48A3-ADA6-E33EAA09AFFD}" presName="node" presStyleLbl="node1" presStyleIdx="3" presStyleCnt="5">
        <dgm:presLayoutVars>
          <dgm:bulletEnabled val="1"/>
        </dgm:presLayoutVars>
      </dgm:prSet>
      <dgm:spPr/>
    </dgm:pt>
    <dgm:pt modelId="{5B8960C7-6D3D-4DED-965D-F8EEEF690059}" type="pres">
      <dgm:prSet presAssocID="{EFC9B911-041C-412A-B2AD-F2A914AEC1CA}" presName="sibTrans" presStyleLbl="sibTrans2D1" presStyleIdx="3" presStyleCnt="4"/>
      <dgm:spPr/>
    </dgm:pt>
    <dgm:pt modelId="{0B5868FA-8278-4979-9920-9B95BCDFA00B}" type="pres">
      <dgm:prSet presAssocID="{EFC9B911-041C-412A-B2AD-F2A914AEC1CA}" presName="connectorText" presStyleLbl="sibTrans2D1" presStyleIdx="3" presStyleCnt="4"/>
      <dgm:spPr/>
    </dgm:pt>
    <dgm:pt modelId="{A6AB8B7E-97A0-485E-943D-3A6A2EF23ACE}" type="pres">
      <dgm:prSet presAssocID="{67D52D8A-76CD-4C07-AE4B-686AF08D5AEC}" presName="node" presStyleLbl="node1" presStyleIdx="4" presStyleCnt="5">
        <dgm:presLayoutVars>
          <dgm:bulletEnabled val="1"/>
        </dgm:presLayoutVars>
      </dgm:prSet>
      <dgm:spPr/>
    </dgm:pt>
  </dgm:ptLst>
  <dgm:cxnLst>
    <dgm:cxn modelId="{BF24D800-AFC6-4953-ABD5-F95E08118D6F}" type="presOf" srcId="{5F377AA3-E9F3-4599-AE8A-91FED07DDCCE}" destId="{0B4BBE3B-96FE-4B4A-B81A-6DAEF440313B}" srcOrd="0" destOrd="0" presId="urn:microsoft.com/office/officeart/2005/8/layout/process1"/>
    <dgm:cxn modelId="{CEFC1A08-128B-4422-9222-263E0DB234B6}" srcId="{5F377AA3-E9F3-4599-AE8A-91FED07DDCCE}" destId="{67D52D8A-76CD-4C07-AE4B-686AF08D5AEC}" srcOrd="4" destOrd="0" parTransId="{56DE894F-357F-40C3-B76E-5C8371511C6F}" sibTransId="{06A03742-BDFB-44D2-B8C7-A0F2284F70C4}"/>
    <dgm:cxn modelId="{8F725808-F2C4-45E0-B8AE-66D234B6E008}" type="presOf" srcId="{0BCCEBBC-7C6D-4B74-9A1F-92ABC2DCD71A}" destId="{6D070D07-A6F9-4988-A8D3-83FC0B0B25E0}" srcOrd="0" destOrd="0" presId="urn:microsoft.com/office/officeart/2005/8/layout/process1"/>
    <dgm:cxn modelId="{6BB0A711-9CD2-461A-8FBB-EC52CABBEB6F}" type="presOf" srcId="{B3B054AE-11E4-4879-8160-797934419A95}" destId="{E7B954AE-CE03-4F80-93C4-E1C9C1AD1054}" srcOrd="1" destOrd="0" presId="urn:microsoft.com/office/officeart/2005/8/layout/process1"/>
    <dgm:cxn modelId="{8E58B011-A79F-4672-96FE-DCC9BDA09F72}" type="presOf" srcId="{2D25EB5B-DD66-4E65-9F92-476E262908CA}" destId="{12B8F380-6BAB-48B3-A371-BB1BC084C611}" srcOrd="1" destOrd="0" presId="urn:microsoft.com/office/officeart/2005/8/layout/process1"/>
    <dgm:cxn modelId="{D080862F-87BD-4724-AB0A-A652B4B2DFE5}" type="presOf" srcId="{88484E6E-1452-4740-AA32-9B6F7BC7F192}" destId="{D5CA132F-685E-45C8-A1BE-37FAB438C164}" srcOrd="0" destOrd="0" presId="urn:microsoft.com/office/officeart/2005/8/layout/process1"/>
    <dgm:cxn modelId="{24F0E736-A41C-4063-9C3F-998FDECE2724}" srcId="{5F377AA3-E9F3-4599-AE8A-91FED07DDCCE}" destId="{8CFC2A88-7A4B-48A3-ADA6-E33EAA09AFFD}" srcOrd="3" destOrd="0" parTransId="{3948D54F-A0F8-467C-AACD-ACCA9DA43F5D}" sibTransId="{EFC9B911-041C-412A-B2AD-F2A914AEC1CA}"/>
    <dgm:cxn modelId="{C50D0860-C2A8-4939-9EBF-31CF9834B5DA}" srcId="{5F377AA3-E9F3-4599-AE8A-91FED07DDCCE}" destId="{0BCCEBBC-7C6D-4B74-9A1F-92ABC2DCD71A}" srcOrd="0" destOrd="0" parTransId="{9854B8EB-6FC1-4646-A61D-47B9DB15C2E1}" sibTransId="{7338B41D-38D5-4D6F-B588-F80C8D41C02B}"/>
    <dgm:cxn modelId="{A08C0C64-3647-4DC6-9EC2-861FCF9D1DA2}" type="presOf" srcId="{8CFC2A88-7A4B-48A3-ADA6-E33EAA09AFFD}" destId="{32B8E276-001C-40EE-AE5F-EF9030F08A00}" srcOrd="0" destOrd="0" presId="urn:microsoft.com/office/officeart/2005/8/layout/process1"/>
    <dgm:cxn modelId="{2E09FD64-F359-4F76-A809-7CE05FEE5EF1}" type="presOf" srcId="{7338B41D-38D5-4D6F-B588-F80C8D41C02B}" destId="{2BF7315C-BBAA-4CEB-8B68-D44F6383F476}" srcOrd="0" destOrd="0" presId="urn:microsoft.com/office/officeart/2005/8/layout/process1"/>
    <dgm:cxn modelId="{30D4F568-26A0-484E-B502-BC57DF3F6F34}" srcId="{5F377AA3-E9F3-4599-AE8A-91FED07DDCCE}" destId="{88484E6E-1452-4740-AA32-9B6F7BC7F192}" srcOrd="2" destOrd="0" parTransId="{52D4286B-2E3D-44D8-ADB4-C115090E6200}" sibTransId="{B3B054AE-11E4-4879-8160-797934419A95}"/>
    <dgm:cxn modelId="{9C33C28C-8625-4C7A-B5A9-6DD4C891F04A}" type="presOf" srcId="{7338B41D-38D5-4D6F-B588-F80C8D41C02B}" destId="{2FBFC318-44A3-443B-AEBD-F2DDAC8AD555}" srcOrd="1" destOrd="0" presId="urn:microsoft.com/office/officeart/2005/8/layout/process1"/>
    <dgm:cxn modelId="{9149FD91-1212-4111-A1E2-B74ECF16AF2F}" type="presOf" srcId="{2D25EB5B-DD66-4E65-9F92-476E262908CA}" destId="{4A3D0706-DC9A-4DEB-B0FF-02228A94C8BC}" srcOrd="0" destOrd="0" presId="urn:microsoft.com/office/officeart/2005/8/layout/process1"/>
    <dgm:cxn modelId="{C98A119E-02FE-4F08-8E74-EE55307FE4C4}" type="presOf" srcId="{EFC9B911-041C-412A-B2AD-F2A914AEC1CA}" destId="{5B8960C7-6D3D-4DED-965D-F8EEEF690059}" srcOrd="0" destOrd="0" presId="urn:microsoft.com/office/officeart/2005/8/layout/process1"/>
    <dgm:cxn modelId="{6AC094B0-3A5B-4D46-908C-CB674EBF6310}" type="presOf" srcId="{67D52D8A-76CD-4C07-AE4B-686AF08D5AEC}" destId="{A6AB8B7E-97A0-485E-943D-3A6A2EF23ACE}" srcOrd="0" destOrd="0" presId="urn:microsoft.com/office/officeart/2005/8/layout/process1"/>
    <dgm:cxn modelId="{407A5BB6-7F1A-4B00-93F0-6BDC76E8311C}" srcId="{5F377AA3-E9F3-4599-AE8A-91FED07DDCCE}" destId="{61D25D62-4851-4FE9-BEA7-6DEF9255760B}" srcOrd="1" destOrd="0" parTransId="{C28AB127-B684-411C-9258-6614A7CC79D9}" sibTransId="{2D25EB5B-DD66-4E65-9F92-476E262908CA}"/>
    <dgm:cxn modelId="{D8B248CA-520B-4AC8-8D21-4F1DE293C30F}" type="presOf" srcId="{EFC9B911-041C-412A-B2AD-F2A914AEC1CA}" destId="{0B5868FA-8278-4979-9920-9B95BCDFA00B}" srcOrd="1" destOrd="0" presId="urn:microsoft.com/office/officeart/2005/8/layout/process1"/>
    <dgm:cxn modelId="{315294D2-6B88-4A55-B9DF-B806FA4AA930}" type="presOf" srcId="{B3B054AE-11E4-4879-8160-797934419A95}" destId="{EFCD2725-3FF8-4A70-B5F8-166675324616}" srcOrd="0" destOrd="0" presId="urn:microsoft.com/office/officeart/2005/8/layout/process1"/>
    <dgm:cxn modelId="{CFF7A4EF-4177-4EC2-BC68-DA33F075447C}" type="presOf" srcId="{61D25D62-4851-4FE9-BEA7-6DEF9255760B}" destId="{D036EC88-87E8-4362-B245-A6E77B8158D2}" srcOrd="0" destOrd="0" presId="urn:microsoft.com/office/officeart/2005/8/layout/process1"/>
    <dgm:cxn modelId="{C29309F4-9C30-47C0-9DC6-957A4897CFC5}" type="presParOf" srcId="{0B4BBE3B-96FE-4B4A-B81A-6DAEF440313B}" destId="{6D070D07-A6F9-4988-A8D3-83FC0B0B25E0}" srcOrd="0" destOrd="0" presId="urn:microsoft.com/office/officeart/2005/8/layout/process1"/>
    <dgm:cxn modelId="{23E87804-5D33-44C8-A333-30EE50274801}" type="presParOf" srcId="{0B4BBE3B-96FE-4B4A-B81A-6DAEF440313B}" destId="{2BF7315C-BBAA-4CEB-8B68-D44F6383F476}" srcOrd="1" destOrd="0" presId="urn:microsoft.com/office/officeart/2005/8/layout/process1"/>
    <dgm:cxn modelId="{4CE0A339-8271-4B82-881D-5D7CC1313A21}" type="presParOf" srcId="{2BF7315C-BBAA-4CEB-8B68-D44F6383F476}" destId="{2FBFC318-44A3-443B-AEBD-F2DDAC8AD555}" srcOrd="0" destOrd="0" presId="urn:microsoft.com/office/officeart/2005/8/layout/process1"/>
    <dgm:cxn modelId="{4FB4BB16-5C1D-4C2E-BEA3-90223E26CDF8}" type="presParOf" srcId="{0B4BBE3B-96FE-4B4A-B81A-6DAEF440313B}" destId="{D036EC88-87E8-4362-B245-A6E77B8158D2}" srcOrd="2" destOrd="0" presId="urn:microsoft.com/office/officeart/2005/8/layout/process1"/>
    <dgm:cxn modelId="{14B7CC28-4917-49B9-8716-2846A9898CA8}" type="presParOf" srcId="{0B4BBE3B-96FE-4B4A-B81A-6DAEF440313B}" destId="{4A3D0706-DC9A-4DEB-B0FF-02228A94C8BC}" srcOrd="3" destOrd="0" presId="urn:microsoft.com/office/officeart/2005/8/layout/process1"/>
    <dgm:cxn modelId="{9B2C2F88-9564-403D-B3C1-20F862AE5233}" type="presParOf" srcId="{4A3D0706-DC9A-4DEB-B0FF-02228A94C8BC}" destId="{12B8F380-6BAB-48B3-A371-BB1BC084C611}" srcOrd="0" destOrd="0" presId="urn:microsoft.com/office/officeart/2005/8/layout/process1"/>
    <dgm:cxn modelId="{49EBC8EC-CD63-43EA-9B71-9C093C3C3789}" type="presParOf" srcId="{0B4BBE3B-96FE-4B4A-B81A-6DAEF440313B}" destId="{D5CA132F-685E-45C8-A1BE-37FAB438C164}" srcOrd="4" destOrd="0" presId="urn:microsoft.com/office/officeart/2005/8/layout/process1"/>
    <dgm:cxn modelId="{1E0BB65D-6323-49C8-8CF8-1A21AB37993E}" type="presParOf" srcId="{0B4BBE3B-96FE-4B4A-B81A-6DAEF440313B}" destId="{EFCD2725-3FF8-4A70-B5F8-166675324616}" srcOrd="5" destOrd="0" presId="urn:microsoft.com/office/officeart/2005/8/layout/process1"/>
    <dgm:cxn modelId="{93931F03-A3E0-4A88-A411-EE8595AE46AC}" type="presParOf" srcId="{EFCD2725-3FF8-4A70-B5F8-166675324616}" destId="{E7B954AE-CE03-4F80-93C4-E1C9C1AD1054}" srcOrd="0" destOrd="0" presId="urn:microsoft.com/office/officeart/2005/8/layout/process1"/>
    <dgm:cxn modelId="{6B37BAAE-1092-4D28-A035-891990D180CE}" type="presParOf" srcId="{0B4BBE3B-96FE-4B4A-B81A-6DAEF440313B}" destId="{32B8E276-001C-40EE-AE5F-EF9030F08A00}" srcOrd="6" destOrd="0" presId="urn:microsoft.com/office/officeart/2005/8/layout/process1"/>
    <dgm:cxn modelId="{4A2D2E2E-758D-4BCE-BDF1-122E8840E3EF}" type="presParOf" srcId="{0B4BBE3B-96FE-4B4A-B81A-6DAEF440313B}" destId="{5B8960C7-6D3D-4DED-965D-F8EEEF690059}" srcOrd="7" destOrd="0" presId="urn:microsoft.com/office/officeart/2005/8/layout/process1"/>
    <dgm:cxn modelId="{04BFBA66-C6D8-4FA4-A918-6977DD173C25}" type="presParOf" srcId="{5B8960C7-6D3D-4DED-965D-F8EEEF690059}" destId="{0B5868FA-8278-4979-9920-9B95BCDFA00B}" srcOrd="0" destOrd="0" presId="urn:microsoft.com/office/officeart/2005/8/layout/process1"/>
    <dgm:cxn modelId="{5858CDBF-084F-4860-A853-D475E439332A}" type="presParOf" srcId="{0B4BBE3B-96FE-4B4A-B81A-6DAEF440313B}" destId="{A6AB8B7E-97A0-485E-943D-3A6A2EF23ACE}"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70D07-A6F9-4988-A8D3-83FC0B0B25E0}">
      <dsp:nvSpPr>
        <dsp:cNvPr id="0" name=""/>
        <dsp:cNvSpPr/>
      </dsp:nvSpPr>
      <dsp:spPr>
        <a:xfrm>
          <a:off x="2773" y="330471"/>
          <a:ext cx="859873" cy="51592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Text" lastClr="000000"/>
              </a:solidFill>
            </a:rPr>
            <a:t>Plan</a:t>
          </a:r>
        </a:p>
      </dsp:txBody>
      <dsp:txXfrm>
        <a:off x="17884" y="345582"/>
        <a:ext cx="829651" cy="485701"/>
      </dsp:txXfrm>
    </dsp:sp>
    <dsp:sp modelId="{2BF7315C-BBAA-4CEB-8B68-D44F6383F476}">
      <dsp:nvSpPr>
        <dsp:cNvPr id="0" name=""/>
        <dsp:cNvSpPr/>
      </dsp:nvSpPr>
      <dsp:spPr>
        <a:xfrm>
          <a:off x="948634" y="481809"/>
          <a:ext cx="182293" cy="21324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948634" y="524459"/>
        <a:ext cx="127605" cy="127948"/>
      </dsp:txXfrm>
    </dsp:sp>
    <dsp:sp modelId="{D036EC88-87E8-4362-B245-A6E77B8158D2}">
      <dsp:nvSpPr>
        <dsp:cNvPr id="0" name=""/>
        <dsp:cNvSpPr/>
      </dsp:nvSpPr>
      <dsp:spPr>
        <a:xfrm>
          <a:off x="1206596" y="330471"/>
          <a:ext cx="859873" cy="51592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Text" lastClr="000000"/>
              </a:solidFill>
            </a:rPr>
            <a:t>Prepare</a:t>
          </a:r>
        </a:p>
      </dsp:txBody>
      <dsp:txXfrm>
        <a:off x="1221707" y="345582"/>
        <a:ext cx="829651" cy="485701"/>
      </dsp:txXfrm>
    </dsp:sp>
    <dsp:sp modelId="{4A3D0706-DC9A-4DEB-B0FF-02228A94C8BC}">
      <dsp:nvSpPr>
        <dsp:cNvPr id="0" name=""/>
        <dsp:cNvSpPr/>
      </dsp:nvSpPr>
      <dsp:spPr>
        <a:xfrm>
          <a:off x="2152456" y="481809"/>
          <a:ext cx="182293" cy="21324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2152456" y="524459"/>
        <a:ext cx="127605" cy="127948"/>
      </dsp:txXfrm>
    </dsp:sp>
    <dsp:sp modelId="{D5CA132F-685E-45C8-A1BE-37FAB438C164}">
      <dsp:nvSpPr>
        <dsp:cNvPr id="0" name=""/>
        <dsp:cNvSpPr/>
      </dsp:nvSpPr>
      <dsp:spPr>
        <a:xfrm>
          <a:off x="2410418" y="330471"/>
          <a:ext cx="859873" cy="51592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solidFill>
                <a:schemeClr val="bg1"/>
              </a:solidFill>
            </a:rPr>
            <a:t>Test</a:t>
          </a:r>
        </a:p>
      </dsp:txBody>
      <dsp:txXfrm>
        <a:off x="2425529" y="345582"/>
        <a:ext cx="829651" cy="485701"/>
      </dsp:txXfrm>
    </dsp:sp>
    <dsp:sp modelId="{EFCD2725-3FF8-4A70-B5F8-166675324616}">
      <dsp:nvSpPr>
        <dsp:cNvPr id="0" name=""/>
        <dsp:cNvSpPr/>
      </dsp:nvSpPr>
      <dsp:spPr>
        <a:xfrm>
          <a:off x="3356278" y="481809"/>
          <a:ext cx="182293" cy="21324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3356278" y="524459"/>
        <a:ext cx="127605" cy="127948"/>
      </dsp:txXfrm>
    </dsp:sp>
    <dsp:sp modelId="{32B8E276-001C-40EE-AE5F-EF9030F08A00}">
      <dsp:nvSpPr>
        <dsp:cNvPr id="0" name=""/>
        <dsp:cNvSpPr/>
      </dsp:nvSpPr>
      <dsp:spPr>
        <a:xfrm>
          <a:off x="3614240" y="330471"/>
          <a:ext cx="859873" cy="51592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Text" lastClr="000000"/>
              </a:solidFill>
            </a:rPr>
            <a:t>Implement &amp; Spread</a:t>
          </a:r>
        </a:p>
      </dsp:txBody>
      <dsp:txXfrm>
        <a:off x="3629351" y="345582"/>
        <a:ext cx="829651" cy="485701"/>
      </dsp:txXfrm>
    </dsp:sp>
    <dsp:sp modelId="{5B8960C7-6D3D-4DED-965D-F8EEEF690059}">
      <dsp:nvSpPr>
        <dsp:cNvPr id="0" name=""/>
        <dsp:cNvSpPr/>
      </dsp:nvSpPr>
      <dsp:spPr>
        <a:xfrm>
          <a:off x="4560101" y="481809"/>
          <a:ext cx="182293" cy="21324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560101" y="524459"/>
        <a:ext cx="127605" cy="127948"/>
      </dsp:txXfrm>
    </dsp:sp>
    <dsp:sp modelId="{A6AB8B7E-97A0-485E-943D-3A6A2EF23ACE}">
      <dsp:nvSpPr>
        <dsp:cNvPr id="0" name=""/>
        <dsp:cNvSpPr/>
      </dsp:nvSpPr>
      <dsp:spPr>
        <a:xfrm>
          <a:off x="4818063" y="330471"/>
          <a:ext cx="859873" cy="51592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Text" lastClr="000000"/>
              </a:solidFill>
            </a:rPr>
            <a:t>Sustain</a:t>
          </a:r>
        </a:p>
      </dsp:txBody>
      <dsp:txXfrm>
        <a:off x="4833174" y="345582"/>
        <a:ext cx="829651" cy="4857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90A5D-C464-4E43-8B88-218B6A3816E2}">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4443</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2025-09-09T22:05:00Z</dcterms:created>
  <dcterms:modified xsi:type="dcterms:W3CDTF">2025-09-09T22:11:00Z</dcterms:modified>
</cp:coreProperties>
</file>