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2CE55" w14:textId="1B414D76" w:rsidR="00FD049A" w:rsidRPr="007812FB" w:rsidRDefault="006A6108" w:rsidP="00925B8B">
      <w:pPr>
        <w:jc w:val="center"/>
      </w:pPr>
      <w:r>
        <w:rPr>
          <w:noProof/>
          <w:color w:val="000000"/>
          <w:shd w:val="clear" w:color="auto" w:fill="FFFFFF"/>
        </w:rPr>
        <w:drawing>
          <wp:anchor distT="0" distB="0" distL="114300" distR="114300" simplePos="0" relativeHeight="251658240" behindDoc="0" locked="0" layoutInCell="1" allowOverlap="1" wp14:anchorId="421F7DA8" wp14:editId="15A212FB">
            <wp:simplePos x="0" y="0"/>
            <wp:positionH relativeFrom="margin">
              <wp:posOffset>-160421</wp:posOffset>
            </wp:positionH>
            <wp:positionV relativeFrom="margin">
              <wp:posOffset>276025</wp:posOffset>
            </wp:positionV>
            <wp:extent cx="1876425" cy="939165"/>
            <wp:effectExtent l="0" t="0" r="0" b="0"/>
            <wp:wrapSquare wrapText="bothSides"/>
            <wp:docPr id="1528544883" name="Picture 2" descr="Sepsis Trust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4883" name="Picture 2" descr="Sepsis Trust NZ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3E6" w:rsidRPr="007812FB">
        <w:rPr>
          <w:noProof/>
        </w:rPr>
        <w:drawing>
          <wp:anchor distT="0" distB="0" distL="114300" distR="114300" simplePos="0" relativeHeight="251658241" behindDoc="1" locked="0" layoutInCell="1" allowOverlap="1" wp14:anchorId="267C83EC" wp14:editId="03BFDE83">
            <wp:simplePos x="0" y="0"/>
            <wp:positionH relativeFrom="margin">
              <wp:align>center</wp:align>
            </wp:positionH>
            <wp:positionV relativeFrom="paragraph">
              <wp:posOffset>-904875</wp:posOffset>
            </wp:positionV>
            <wp:extent cx="7534274" cy="1065735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4274" cy="10657353"/>
                    </a:xfrm>
                    <a:prstGeom prst="rect">
                      <a:avLst/>
                    </a:prstGeom>
                  </pic:spPr>
                </pic:pic>
              </a:graphicData>
            </a:graphic>
            <wp14:sizeRelH relativeFrom="page">
              <wp14:pctWidth>0</wp14:pctWidth>
            </wp14:sizeRelH>
            <wp14:sizeRelV relativeFrom="page">
              <wp14:pctHeight>0</wp14:pctHeight>
            </wp14:sizeRelV>
          </wp:anchor>
        </w:drawing>
      </w:r>
      <w:r w:rsidR="00883346">
        <w:rPr>
          <w:noProof/>
        </w:rPr>
        <w:drawing>
          <wp:anchor distT="0" distB="0" distL="114300" distR="114300" simplePos="0" relativeHeight="251658242" behindDoc="1" locked="0" layoutInCell="1" allowOverlap="1" wp14:anchorId="145F3C2A" wp14:editId="38DD682D">
            <wp:simplePos x="0" y="0"/>
            <wp:positionH relativeFrom="margin">
              <wp:posOffset>4138863</wp:posOffset>
            </wp:positionH>
            <wp:positionV relativeFrom="page">
              <wp:posOffset>1187116</wp:posOffset>
            </wp:positionV>
            <wp:extent cx="1590040" cy="1351915"/>
            <wp:effectExtent l="0" t="0" r="0" b="635"/>
            <wp:wrapNone/>
            <wp:doc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040" cy="1351915"/>
                    </a:xfrm>
                    <a:prstGeom prst="rect">
                      <a:avLst/>
                    </a:prstGeom>
                  </pic:spPr>
                </pic:pic>
              </a:graphicData>
            </a:graphic>
            <wp14:sizeRelH relativeFrom="margin">
              <wp14:pctWidth>0</wp14:pctWidth>
            </wp14:sizeRelH>
            <wp14:sizeRelV relativeFrom="margin">
              <wp14:pctHeight>0</wp14:pctHeight>
            </wp14:sizeRelV>
          </wp:anchor>
        </w:drawing>
      </w:r>
    </w:p>
    <w:p w14:paraId="2AF2764F" w14:textId="497A2B82" w:rsidR="00E50E8D" w:rsidRPr="007812FB" w:rsidRDefault="00E50E8D" w:rsidP="009E4F92">
      <w:pPr>
        <w:ind w:firstLine="397"/>
      </w:pPr>
    </w:p>
    <w:p w14:paraId="32B1900A" w14:textId="02F88B1A" w:rsidR="00433D6F" w:rsidRPr="007812FB" w:rsidRDefault="00433D6F" w:rsidP="00D12FC1">
      <w:pPr>
        <w:jc w:val="center"/>
        <w:rPr>
          <w:rFonts w:cs="Arial"/>
          <w:b/>
          <w:sz w:val="36"/>
          <w:szCs w:val="36"/>
        </w:rPr>
      </w:pPr>
    </w:p>
    <w:p w14:paraId="60EF9337" w14:textId="77777777" w:rsidR="00A313E6" w:rsidRPr="007812FB" w:rsidRDefault="00A313E6" w:rsidP="00D12FC1">
      <w:pPr>
        <w:jc w:val="center"/>
        <w:rPr>
          <w:rFonts w:cs="Arial"/>
          <w:b/>
          <w:sz w:val="36"/>
          <w:szCs w:val="36"/>
        </w:rPr>
      </w:pPr>
    </w:p>
    <w:p w14:paraId="61EF9F09" w14:textId="77777777" w:rsidR="00A313E6" w:rsidRPr="007812FB" w:rsidRDefault="00A313E6" w:rsidP="00D12FC1">
      <w:pPr>
        <w:jc w:val="center"/>
        <w:rPr>
          <w:rFonts w:cs="Arial"/>
          <w:b/>
          <w:sz w:val="36"/>
          <w:szCs w:val="36"/>
        </w:rPr>
      </w:pPr>
    </w:p>
    <w:p w14:paraId="491A5B01" w14:textId="77777777" w:rsidR="00A313E6" w:rsidRDefault="00A313E6" w:rsidP="000775BB">
      <w:pPr>
        <w:pStyle w:val="Title"/>
        <w:tabs>
          <w:tab w:val="left" w:pos="3815"/>
        </w:tabs>
      </w:pPr>
    </w:p>
    <w:p w14:paraId="2875ECAD" w14:textId="77777777" w:rsidR="00F11DE9" w:rsidRPr="00F11DE9" w:rsidRDefault="00F11DE9" w:rsidP="00F11DE9"/>
    <w:p w14:paraId="7E7406BD" w14:textId="21836730" w:rsidR="00064CCB" w:rsidRPr="007812FB" w:rsidRDefault="00B22762" w:rsidP="000775BB">
      <w:pPr>
        <w:pStyle w:val="Title"/>
        <w:tabs>
          <w:tab w:val="left" w:pos="3815"/>
        </w:tabs>
      </w:pPr>
      <w:r w:rsidRPr="00BC497B">
        <w:t>Raise the Flag:</w:t>
      </w:r>
      <w:r w:rsidR="000775BB">
        <w:t xml:space="preserve"> </w:t>
      </w:r>
      <w:r w:rsidR="006A3E73" w:rsidRPr="007812FB">
        <w:t>National Sepsis Pathway</w:t>
      </w:r>
      <w:r w:rsidR="00FC45FE" w:rsidRPr="007812FB">
        <w:t xml:space="preserve"> User Guide</w:t>
      </w:r>
    </w:p>
    <w:p w14:paraId="07BC7BB7" w14:textId="4E2DB262" w:rsidR="00C87CA4" w:rsidRPr="00C87CA4" w:rsidRDefault="00C87CA4" w:rsidP="00C87CA4">
      <w:pPr>
        <w:pStyle w:val="Subtitle"/>
      </w:pPr>
      <w:r w:rsidRPr="00C87CA4">
        <w:t xml:space="preserve">Hikitia </w:t>
      </w:r>
      <w:proofErr w:type="spellStart"/>
      <w:r w:rsidRPr="00C87CA4">
        <w:t>te</w:t>
      </w:r>
      <w:proofErr w:type="spellEnd"/>
      <w:r w:rsidRPr="00C87CA4">
        <w:t xml:space="preserve"> Haki: He Ara ā-Motu </w:t>
      </w:r>
      <w:proofErr w:type="spellStart"/>
      <w:r w:rsidRPr="00C87CA4">
        <w:t>hei</w:t>
      </w:r>
      <w:proofErr w:type="spellEnd"/>
      <w:r w:rsidRPr="00C87CA4">
        <w:t xml:space="preserve"> </w:t>
      </w:r>
      <w:proofErr w:type="spellStart"/>
      <w:r w:rsidRPr="00C87CA4">
        <w:t>Whakamahi</w:t>
      </w:r>
      <w:proofErr w:type="spellEnd"/>
      <w:r w:rsidRPr="00C87CA4">
        <w:t xml:space="preserve"> </w:t>
      </w:r>
      <w:proofErr w:type="spellStart"/>
      <w:r w:rsidRPr="00C87CA4">
        <w:t>Aratohu</w:t>
      </w:r>
      <w:proofErr w:type="spellEnd"/>
    </w:p>
    <w:p w14:paraId="09BCB6EF" w14:textId="77777777" w:rsidR="009B60E1" w:rsidRPr="007812FB" w:rsidRDefault="009B60E1" w:rsidP="00D12FC1">
      <w:pPr>
        <w:jc w:val="center"/>
        <w:rPr>
          <w:rFonts w:cs="Arial"/>
          <w:b/>
          <w:sz w:val="36"/>
          <w:szCs w:val="36"/>
        </w:rPr>
      </w:pPr>
    </w:p>
    <w:p w14:paraId="27C2A0F4" w14:textId="42819A0B" w:rsidR="002E1666" w:rsidRPr="007812FB" w:rsidRDefault="008351B6" w:rsidP="006A6108">
      <w:pPr>
        <w:tabs>
          <w:tab w:val="left" w:pos="5381"/>
        </w:tabs>
        <w:rPr>
          <w:rFonts w:cs="Arial"/>
          <w:bCs/>
          <w:color w:val="293868"/>
          <w:sz w:val="28"/>
          <w:szCs w:val="28"/>
        </w:rPr>
      </w:pPr>
      <w:r>
        <w:rPr>
          <w:rFonts w:cs="Arial"/>
          <w:bCs/>
          <w:color w:val="293868"/>
          <w:sz w:val="28"/>
          <w:szCs w:val="28"/>
        </w:rPr>
        <w:t>September</w:t>
      </w:r>
      <w:r w:rsidR="00BB4E05" w:rsidRPr="007812FB">
        <w:rPr>
          <w:rFonts w:cs="Arial"/>
          <w:bCs/>
          <w:color w:val="293868"/>
          <w:sz w:val="28"/>
          <w:szCs w:val="28"/>
        </w:rPr>
        <w:t xml:space="preserve"> 2025</w:t>
      </w:r>
      <w:r w:rsidR="005C48F2" w:rsidRPr="007812FB">
        <w:rPr>
          <w:bCs/>
          <w:color w:val="293868"/>
          <w:sz w:val="28"/>
          <w:szCs w:val="28"/>
        </w:rPr>
        <w:t xml:space="preserve"> </w:t>
      </w:r>
      <w:r w:rsidR="006A6108">
        <w:rPr>
          <w:bCs/>
          <w:color w:val="293868"/>
          <w:sz w:val="28"/>
          <w:szCs w:val="28"/>
        </w:rPr>
        <w:tab/>
      </w:r>
    </w:p>
    <w:p w14:paraId="70A577F8" w14:textId="77777777" w:rsidR="00FD049A" w:rsidRPr="007812FB" w:rsidRDefault="00FD049A">
      <w:pPr>
        <w:spacing w:after="200"/>
        <w:rPr>
          <w:rFonts w:cs="Arial"/>
        </w:rPr>
      </w:pPr>
      <w:r w:rsidRPr="007812FB">
        <w:br w:type="page"/>
      </w:r>
    </w:p>
    <w:p w14:paraId="16F8624D" w14:textId="77777777" w:rsidR="00FD049A" w:rsidRPr="007812FB" w:rsidRDefault="00FD049A" w:rsidP="00FD049A">
      <w:pPr>
        <w:pStyle w:val="BodyText"/>
      </w:pPr>
    </w:p>
    <w:p w14:paraId="51DFEB87" w14:textId="77777777" w:rsidR="00FD049A" w:rsidRPr="007812FB" w:rsidRDefault="00FD049A" w:rsidP="00FD049A">
      <w:pPr>
        <w:pStyle w:val="BodyText"/>
      </w:pPr>
    </w:p>
    <w:p w14:paraId="165B85CB" w14:textId="77777777" w:rsidR="00FD049A" w:rsidRPr="007812FB" w:rsidRDefault="00FD049A" w:rsidP="00FD049A">
      <w:pPr>
        <w:pStyle w:val="BodyText"/>
      </w:pPr>
    </w:p>
    <w:p w14:paraId="502877DD" w14:textId="77777777" w:rsidR="00FD049A" w:rsidRPr="007812FB" w:rsidRDefault="00FD049A" w:rsidP="00FD049A">
      <w:pPr>
        <w:pStyle w:val="BodyText"/>
      </w:pPr>
    </w:p>
    <w:p w14:paraId="3B8B3F30" w14:textId="77777777" w:rsidR="00FD049A" w:rsidRPr="007812FB" w:rsidRDefault="00FD049A" w:rsidP="00FD049A">
      <w:pPr>
        <w:pStyle w:val="BodyText"/>
      </w:pPr>
    </w:p>
    <w:p w14:paraId="6803EF79" w14:textId="77777777" w:rsidR="00FD049A" w:rsidRPr="007812FB" w:rsidRDefault="00FD049A" w:rsidP="00FD049A">
      <w:pPr>
        <w:pStyle w:val="BodyText"/>
      </w:pPr>
    </w:p>
    <w:p w14:paraId="7A06E964" w14:textId="77777777" w:rsidR="00E50E8D" w:rsidRPr="007812FB" w:rsidRDefault="00E50E8D" w:rsidP="00FD049A">
      <w:pPr>
        <w:pStyle w:val="BodyText"/>
      </w:pPr>
    </w:p>
    <w:p w14:paraId="7634ABDE" w14:textId="77777777" w:rsidR="00E50E8D" w:rsidRPr="007812FB" w:rsidRDefault="00E50E8D" w:rsidP="00FD049A">
      <w:pPr>
        <w:pStyle w:val="BodyText"/>
      </w:pPr>
    </w:p>
    <w:p w14:paraId="5DB25E4E" w14:textId="77777777" w:rsidR="00E50E8D" w:rsidRPr="007812FB" w:rsidRDefault="00E50E8D" w:rsidP="00FD049A">
      <w:pPr>
        <w:pStyle w:val="BodyText"/>
      </w:pPr>
    </w:p>
    <w:p w14:paraId="1ED8BD84" w14:textId="77777777" w:rsidR="00E50E8D" w:rsidRPr="007812FB" w:rsidRDefault="00E50E8D" w:rsidP="00FD049A">
      <w:pPr>
        <w:pStyle w:val="BodyText"/>
      </w:pPr>
    </w:p>
    <w:p w14:paraId="7BEB28FF" w14:textId="77777777" w:rsidR="00E50E8D" w:rsidRPr="007812FB" w:rsidRDefault="00E50E8D" w:rsidP="00FD049A">
      <w:pPr>
        <w:pStyle w:val="BodyText"/>
      </w:pPr>
    </w:p>
    <w:p w14:paraId="0790B9BF" w14:textId="77777777" w:rsidR="00FD049A" w:rsidRPr="007812FB" w:rsidRDefault="00FD049A" w:rsidP="00FD049A">
      <w:pPr>
        <w:pStyle w:val="BodyText"/>
      </w:pPr>
    </w:p>
    <w:p w14:paraId="563298A5" w14:textId="77777777" w:rsidR="00FD049A" w:rsidRPr="007812FB" w:rsidRDefault="00FD049A" w:rsidP="00FD049A">
      <w:pPr>
        <w:pStyle w:val="BodyText"/>
      </w:pPr>
    </w:p>
    <w:p w14:paraId="6E16DDFC" w14:textId="77777777" w:rsidR="00FD049A" w:rsidRPr="007812FB" w:rsidRDefault="00FD049A" w:rsidP="00FD049A">
      <w:pPr>
        <w:pStyle w:val="BodyText"/>
      </w:pPr>
    </w:p>
    <w:p w14:paraId="7E4F09E6" w14:textId="77777777" w:rsidR="00FD049A" w:rsidRPr="007812FB" w:rsidRDefault="00FD049A" w:rsidP="00FD049A">
      <w:pPr>
        <w:pStyle w:val="BodyText"/>
      </w:pPr>
    </w:p>
    <w:p w14:paraId="393BB869" w14:textId="77777777" w:rsidR="00FD049A" w:rsidRPr="007812FB" w:rsidRDefault="00FD049A" w:rsidP="00FD049A">
      <w:pPr>
        <w:pStyle w:val="BodyText"/>
      </w:pPr>
    </w:p>
    <w:p w14:paraId="431E77B9" w14:textId="77777777" w:rsidR="00FD049A" w:rsidRPr="007812FB" w:rsidRDefault="00FD049A" w:rsidP="00FD049A">
      <w:pPr>
        <w:pStyle w:val="BodyText"/>
      </w:pPr>
    </w:p>
    <w:p w14:paraId="02E3DD69" w14:textId="77777777" w:rsidR="00FD049A" w:rsidRPr="007812FB" w:rsidRDefault="00FD049A" w:rsidP="00FD049A">
      <w:pPr>
        <w:pStyle w:val="BodyText"/>
      </w:pPr>
    </w:p>
    <w:p w14:paraId="7AB1B984" w14:textId="77777777" w:rsidR="00CD59BF" w:rsidRPr="007812FB" w:rsidRDefault="00CD59BF" w:rsidP="00FD049A">
      <w:pPr>
        <w:pStyle w:val="BodyText"/>
      </w:pPr>
    </w:p>
    <w:p w14:paraId="0F26FBE3" w14:textId="77777777" w:rsidR="00FD049A" w:rsidRPr="007812FB" w:rsidRDefault="00FD049A" w:rsidP="00FD049A">
      <w:pPr>
        <w:pStyle w:val="BodyText"/>
      </w:pPr>
    </w:p>
    <w:p w14:paraId="6599F27A" w14:textId="77777777" w:rsidR="00FD049A" w:rsidRPr="007812FB" w:rsidRDefault="00FD049A" w:rsidP="00FD049A">
      <w:pPr>
        <w:pStyle w:val="BodyText"/>
      </w:pPr>
    </w:p>
    <w:p w14:paraId="5DF8294E" w14:textId="61EEEF6C" w:rsidR="00FD049A" w:rsidRPr="007812FB" w:rsidRDefault="00FD049A" w:rsidP="00FD049A">
      <w:pPr>
        <w:pStyle w:val="BodyText"/>
      </w:pPr>
      <w:r w:rsidRPr="007812FB">
        <w:t xml:space="preserve">Published </w:t>
      </w:r>
      <w:r w:rsidR="00FE7B58">
        <w:t>September</w:t>
      </w:r>
      <w:r w:rsidRPr="007812FB">
        <w:t xml:space="preserve"> by Health Quality &amp; Safety Commission</w:t>
      </w:r>
      <w:r w:rsidR="00D035F8" w:rsidRPr="00D035F8">
        <w:t xml:space="preserve"> </w:t>
      </w:r>
      <w:r w:rsidR="00D035F8" w:rsidRPr="007812FB">
        <w:t>Te Tāhū Hauora</w:t>
      </w:r>
      <w:r w:rsidRPr="007812FB">
        <w:t xml:space="preserve">, </w:t>
      </w:r>
      <w:r w:rsidR="00AE395A" w:rsidRPr="007812FB">
        <w:br/>
      </w:r>
      <w:r w:rsidRPr="007812FB">
        <w:t>PO Box 25496, Wellington, 6146.</w:t>
      </w:r>
    </w:p>
    <w:p w14:paraId="14558043" w14:textId="77777777" w:rsidR="00FD049A" w:rsidRPr="007812FB" w:rsidRDefault="00FD049A" w:rsidP="00FD049A">
      <w:pPr>
        <w:pStyle w:val="BodyText"/>
      </w:pPr>
    </w:p>
    <w:p w14:paraId="2F264589" w14:textId="77E061A2" w:rsidR="00FD049A" w:rsidRPr="007812FB" w:rsidRDefault="00FD049A" w:rsidP="00FD049A">
      <w:pPr>
        <w:pStyle w:val="BodyText"/>
      </w:pPr>
      <w:r w:rsidRPr="007812FB">
        <w:t xml:space="preserve">ISBN </w:t>
      </w:r>
      <w:r w:rsidR="004E0537" w:rsidRPr="004E0537">
        <w:t>978-1-991122-36-0</w:t>
      </w:r>
    </w:p>
    <w:p w14:paraId="6A465F46" w14:textId="77777777" w:rsidR="00FD049A" w:rsidRPr="007812FB" w:rsidRDefault="00FD049A" w:rsidP="00FD049A">
      <w:pPr>
        <w:pStyle w:val="BodyText"/>
      </w:pPr>
      <w:r w:rsidRPr="007812FB">
        <w:t xml:space="preserve">Available online at </w:t>
      </w:r>
      <w:hyperlink r:id="rId11" w:history="1">
        <w:r w:rsidRPr="007812FB">
          <w:rPr>
            <w:rStyle w:val="Hyperlink"/>
          </w:rPr>
          <w:t>www.hqsc.govt.nz</w:t>
        </w:r>
      </w:hyperlink>
    </w:p>
    <w:p w14:paraId="28C1FDB6" w14:textId="77777777" w:rsidR="00FD049A" w:rsidRPr="007812FB" w:rsidRDefault="00FD049A" w:rsidP="00FD049A">
      <w:pPr>
        <w:pStyle w:val="BodyText"/>
      </w:pPr>
      <w:r w:rsidRPr="007812FB">
        <w:t xml:space="preserve">Enquiries to: </w:t>
      </w:r>
      <w:hyperlink r:id="rId12" w:history="1">
        <w:r w:rsidRPr="007812FB">
          <w:rPr>
            <w:rStyle w:val="Hyperlink"/>
          </w:rPr>
          <w:t>info@hqsc.govt.nz</w:t>
        </w:r>
      </w:hyperlink>
    </w:p>
    <w:p w14:paraId="352EFD91" w14:textId="77777777" w:rsidR="00FD049A" w:rsidRPr="007812FB" w:rsidRDefault="00FD049A" w:rsidP="00CD59BF">
      <w:pPr>
        <w:pStyle w:val="BodyText"/>
        <w:spacing w:after="0"/>
      </w:pPr>
    </w:p>
    <w:p w14:paraId="66C28455" w14:textId="77777777" w:rsidR="00FD049A" w:rsidRPr="007812FB" w:rsidRDefault="00FD049A" w:rsidP="00FD049A">
      <w:pPr>
        <w:pStyle w:val="BodyText"/>
      </w:pPr>
      <w:r w:rsidRPr="007812FB">
        <w:rPr>
          <w:noProof/>
        </w:rPr>
        <w:drawing>
          <wp:anchor distT="0" distB="0" distL="114300" distR="114300" simplePos="0" relativeHeight="251658243" behindDoc="1" locked="0" layoutInCell="1" allowOverlap="1" wp14:anchorId="78A592B3" wp14:editId="32A624FF">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358988610" name="Picture 3589886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610" name="Picture 358988610" descr="Creative Common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rsidRPr="007812FB">
        <w:t xml:space="preserve">This work is licensed under the Creative Commons </w:t>
      </w:r>
      <w:proofErr w:type="spellStart"/>
      <w:r w:rsidRPr="007812FB">
        <w:t>AttributionNonCommercial-ShareAlike</w:t>
      </w:r>
      <w:proofErr w:type="spellEnd"/>
      <w:r w:rsidRPr="007812FB">
        <w:t xml:space="preserve"> 4.0 International </w:t>
      </w:r>
      <w:r w:rsidRPr="007812FB">
        <w:br/>
        <w:t xml:space="preserve">(CC BY-NC-SA 4.0). To view a copy of this licence, visit </w:t>
      </w:r>
      <w:hyperlink r:id="rId14" w:history="1">
        <w:r w:rsidRPr="007812FB">
          <w:rPr>
            <w:rStyle w:val="Hyperlink"/>
          </w:rPr>
          <w:t>https://creativecommons.org/licenses/by-nc-sa/4.0</w:t>
        </w:r>
      </w:hyperlink>
      <w:r w:rsidRPr="007812FB">
        <w:t xml:space="preserve"> </w:t>
      </w:r>
    </w:p>
    <w:p w14:paraId="4F5B96DB" w14:textId="77777777" w:rsidR="00FD049A" w:rsidRPr="007812FB" w:rsidRDefault="00FD049A" w:rsidP="00CD59BF">
      <w:pPr>
        <w:pStyle w:val="BodyText"/>
        <w:spacing w:after="0"/>
      </w:pPr>
    </w:p>
    <w:p w14:paraId="07B73192" w14:textId="77777777" w:rsidR="009F7F5F" w:rsidRPr="007812FB" w:rsidRDefault="00FD049A" w:rsidP="00FD049A">
      <w:pPr>
        <w:pStyle w:val="BodyText"/>
      </w:pPr>
      <w:r w:rsidRPr="007812FB">
        <w:rPr>
          <w:noProof/>
        </w:rPr>
        <w:drawing>
          <wp:inline distT="0" distB="0" distL="0" distR="0" wp14:anchorId="477AC8AA" wp14:editId="08B0438F">
            <wp:extent cx="1743740" cy="658394"/>
            <wp:effectExtent l="0" t="0" r="0" b="8890"/>
            <wp:docPr id="1815018965" name="Picture 1815018965" descr="The New Zealand Government logo is made up of the coat of arms of New Zealand on the left and the words Te Kāwanatanga o Aotearoa in bold letters alongside it, with New Zealand Government written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8965" name="Picture 1815018965" descr="The New Zealand Government logo is made up of the coat of arms of New Zealand on the left and the words Te Kāwanatanga o Aotearoa in bold letters alongside it, with New Zealand Government written beneath.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19F551A2" w14:textId="77777777" w:rsidR="00B74EE3" w:rsidRPr="007812FB" w:rsidRDefault="00B74EE3" w:rsidP="006A5331">
      <w:pPr>
        <w:pStyle w:val="TeThHauorahead1"/>
        <w:spacing w:after="120"/>
        <w:sectPr w:rsidR="00B74EE3" w:rsidRPr="007812FB">
          <w:footerReference w:type="default" r:id="rId16"/>
          <w:pgSz w:w="11906" w:h="16838"/>
          <w:pgMar w:top="1440" w:right="1440" w:bottom="1440" w:left="1440" w:header="708" w:footer="708" w:gutter="0"/>
          <w:cols w:space="708"/>
          <w:docGrid w:linePitch="360"/>
        </w:sectPr>
      </w:pPr>
    </w:p>
    <w:p w14:paraId="7349720A" w14:textId="3386618E" w:rsidR="006A5331" w:rsidRPr="007812FB" w:rsidRDefault="006A5331" w:rsidP="00BA1654">
      <w:pPr>
        <w:pStyle w:val="TOCHeading"/>
        <w:rPr>
          <w:noProof w:val="0"/>
        </w:rPr>
      </w:pPr>
      <w:r w:rsidRPr="007812FB">
        <w:rPr>
          <w:noProof w:val="0"/>
        </w:rPr>
        <w:lastRenderedPageBreak/>
        <w:t>Contents</w:t>
      </w:r>
      <w:r w:rsidR="00780D66">
        <w:rPr>
          <w:noProof w:val="0"/>
        </w:rPr>
        <w:t xml:space="preserve"> </w:t>
      </w:r>
      <w:r w:rsidR="00780D66" w:rsidRPr="00585F2D">
        <w:t>|</w:t>
      </w:r>
      <w:r w:rsidR="00780D66">
        <w:t xml:space="preserve"> </w:t>
      </w:r>
      <w:r w:rsidR="00780D66" w:rsidRPr="00BD683A">
        <w:t>Ngā ihirangi</w:t>
      </w:r>
    </w:p>
    <w:p w14:paraId="58A1CB27" w14:textId="1E146F10" w:rsidR="00F607A8" w:rsidRDefault="000C0DFF">
      <w:pPr>
        <w:pStyle w:val="TOC1"/>
        <w:rPr>
          <w:rFonts w:asciiTheme="minorHAnsi" w:eastAsiaTheme="minorEastAsia" w:hAnsiTheme="minorHAnsi"/>
          <w:noProof/>
          <w:kern w:val="2"/>
          <w:sz w:val="24"/>
          <w:szCs w:val="24"/>
          <w:lang w:eastAsia="en-NZ"/>
          <w14:ligatures w14:val="standardContextual"/>
        </w:rPr>
      </w:pPr>
      <w:r w:rsidRPr="007812FB">
        <w:rPr>
          <w:bCs/>
        </w:rPr>
        <w:fldChar w:fldCharType="begin"/>
      </w:r>
      <w:r w:rsidRPr="007812FB">
        <w:rPr>
          <w:bCs/>
        </w:rPr>
        <w:instrText xml:space="preserve"> TOC \o "1-3" \h \z \u </w:instrText>
      </w:r>
      <w:r w:rsidRPr="007812FB">
        <w:rPr>
          <w:bCs/>
        </w:rPr>
        <w:fldChar w:fldCharType="separate"/>
      </w:r>
      <w:hyperlink w:anchor="_Toc207862795" w:history="1">
        <w:r w:rsidR="00F607A8" w:rsidRPr="00ED2253">
          <w:rPr>
            <w:rStyle w:val="Hyperlink"/>
            <w:noProof/>
          </w:rPr>
          <w:t>Acknowledgements | He whakamihi</w:t>
        </w:r>
        <w:r w:rsidR="00F607A8">
          <w:rPr>
            <w:noProof/>
            <w:webHidden/>
          </w:rPr>
          <w:tab/>
        </w:r>
        <w:r w:rsidR="00F607A8">
          <w:rPr>
            <w:noProof/>
            <w:webHidden/>
          </w:rPr>
          <w:fldChar w:fldCharType="begin"/>
        </w:r>
        <w:r w:rsidR="00F607A8">
          <w:rPr>
            <w:noProof/>
            <w:webHidden/>
          </w:rPr>
          <w:instrText xml:space="preserve"> PAGEREF _Toc207862795 \h </w:instrText>
        </w:r>
        <w:r w:rsidR="00F607A8">
          <w:rPr>
            <w:noProof/>
            <w:webHidden/>
          </w:rPr>
        </w:r>
        <w:r w:rsidR="00F607A8">
          <w:rPr>
            <w:noProof/>
            <w:webHidden/>
          </w:rPr>
          <w:fldChar w:fldCharType="separate"/>
        </w:r>
        <w:r w:rsidR="00912F15">
          <w:rPr>
            <w:noProof/>
            <w:webHidden/>
          </w:rPr>
          <w:t>4</w:t>
        </w:r>
        <w:r w:rsidR="00F607A8">
          <w:rPr>
            <w:noProof/>
            <w:webHidden/>
          </w:rPr>
          <w:fldChar w:fldCharType="end"/>
        </w:r>
      </w:hyperlink>
    </w:p>
    <w:p w14:paraId="51FB7042" w14:textId="6005792D"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796" w:history="1">
        <w:r w:rsidRPr="00ED2253">
          <w:rPr>
            <w:rStyle w:val="Hyperlink"/>
            <w:noProof/>
          </w:rPr>
          <w:t>Commitment to Te Tiriti o Waitangi and health equity │ Ū ki Te Tiriti me te hauora tautika</w:t>
        </w:r>
        <w:r>
          <w:rPr>
            <w:noProof/>
            <w:webHidden/>
          </w:rPr>
          <w:tab/>
        </w:r>
        <w:r>
          <w:rPr>
            <w:noProof/>
            <w:webHidden/>
          </w:rPr>
          <w:fldChar w:fldCharType="begin"/>
        </w:r>
        <w:r>
          <w:rPr>
            <w:noProof/>
            <w:webHidden/>
          </w:rPr>
          <w:instrText xml:space="preserve"> PAGEREF _Toc207862796 \h </w:instrText>
        </w:r>
        <w:r>
          <w:rPr>
            <w:noProof/>
            <w:webHidden/>
          </w:rPr>
        </w:r>
        <w:r>
          <w:rPr>
            <w:noProof/>
            <w:webHidden/>
          </w:rPr>
          <w:fldChar w:fldCharType="separate"/>
        </w:r>
        <w:r w:rsidR="00912F15">
          <w:rPr>
            <w:noProof/>
            <w:webHidden/>
          </w:rPr>
          <w:t>5</w:t>
        </w:r>
        <w:r>
          <w:rPr>
            <w:noProof/>
            <w:webHidden/>
          </w:rPr>
          <w:fldChar w:fldCharType="end"/>
        </w:r>
      </w:hyperlink>
    </w:p>
    <w:p w14:paraId="360E6CB1" w14:textId="12E413C3"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797" w:history="1">
        <w:r w:rsidRPr="00ED2253">
          <w:rPr>
            <w:rStyle w:val="Hyperlink"/>
            <w:noProof/>
          </w:rPr>
          <w:t>Purpose | Te whāinga</w:t>
        </w:r>
        <w:r>
          <w:rPr>
            <w:noProof/>
            <w:webHidden/>
          </w:rPr>
          <w:tab/>
        </w:r>
        <w:r>
          <w:rPr>
            <w:noProof/>
            <w:webHidden/>
          </w:rPr>
          <w:fldChar w:fldCharType="begin"/>
        </w:r>
        <w:r>
          <w:rPr>
            <w:noProof/>
            <w:webHidden/>
          </w:rPr>
          <w:instrText xml:space="preserve"> PAGEREF _Toc207862797 \h </w:instrText>
        </w:r>
        <w:r>
          <w:rPr>
            <w:noProof/>
            <w:webHidden/>
          </w:rPr>
        </w:r>
        <w:r>
          <w:rPr>
            <w:noProof/>
            <w:webHidden/>
          </w:rPr>
          <w:fldChar w:fldCharType="separate"/>
        </w:r>
        <w:r w:rsidR="00912F15">
          <w:rPr>
            <w:noProof/>
            <w:webHidden/>
          </w:rPr>
          <w:t>6</w:t>
        </w:r>
        <w:r>
          <w:rPr>
            <w:noProof/>
            <w:webHidden/>
          </w:rPr>
          <w:fldChar w:fldCharType="end"/>
        </w:r>
      </w:hyperlink>
    </w:p>
    <w:p w14:paraId="626C9E89" w14:textId="192D3CCE"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798" w:history="1">
        <w:r w:rsidRPr="00ED2253">
          <w:rPr>
            <w:rStyle w:val="Hyperlink"/>
            <w:noProof/>
          </w:rPr>
          <w:t>Introduction | He kupu whakataki</w:t>
        </w:r>
        <w:r>
          <w:rPr>
            <w:noProof/>
            <w:webHidden/>
          </w:rPr>
          <w:tab/>
        </w:r>
        <w:r>
          <w:rPr>
            <w:noProof/>
            <w:webHidden/>
          </w:rPr>
          <w:fldChar w:fldCharType="begin"/>
        </w:r>
        <w:r>
          <w:rPr>
            <w:noProof/>
            <w:webHidden/>
          </w:rPr>
          <w:instrText xml:space="preserve"> PAGEREF _Toc207862798 \h </w:instrText>
        </w:r>
        <w:r>
          <w:rPr>
            <w:noProof/>
            <w:webHidden/>
          </w:rPr>
        </w:r>
        <w:r>
          <w:rPr>
            <w:noProof/>
            <w:webHidden/>
          </w:rPr>
          <w:fldChar w:fldCharType="separate"/>
        </w:r>
        <w:r w:rsidR="00912F15">
          <w:rPr>
            <w:noProof/>
            <w:webHidden/>
          </w:rPr>
          <w:t>6</w:t>
        </w:r>
        <w:r>
          <w:rPr>
            <w:noProof/>
            <w:webHidden/>
          </w:rPr>
          <w:fldChar w:fldCharType="end"/>
        </w:r>
      </w:hyperlink>
    </w:p>
    <w:p w14:paraId="7C0ADE9C" w14:textId="5F5D7540"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799" w:history="1">
        <w:r w:rsidRPr="00ED2253">
          <w:rPr>
            <w:rStyle w:val="Hyperlink"/>
            <w:noProof/>
          </w:rPr>
          <w:t>Overview of the sepsis pathway | He tiro whānui</w:t>
        </w:r>
        <w:r>
          <w:rPr>
            <w:noProof/>
            <w:webHidden/>
          </w:rPr>
          <w:tab/>
        </w:r>
        <w:r>
          <w:rPr>
            <w:noProof/>
            <w:webHidden/>
          </w:rPr>
          <w:fldChar w:fldCharType="begin"/>
        </w:r>
        <w:r>
          <w:rPr>
            <w:noProof/>
            <w:webHidden/>
          </w:rPr>
          <w:instrText xml:space="preserve"> PAGEREF _Toc207862799 \h </w:instrText>
        </w:r>
        <w:r>
          <w:rPr>
            <w:noProof/>
            <w:webHidden/>
          </w:rPr>
        </w:r>
        <w:r>
          <w:rPr>
            <w:noProof/>
            <w:webHidden/>
          </w:rPr>
          <w:fldChar w:fldCharType="separate"/>
        </w:r>
        <w:r w:rsidR="00912F15">
          <w:rPr>
            <w:noProof/>
            <w:webHidden/>
          </w:rPr>
          <w:t>6</w:t>
        </w:r>
        <w:r>
          <w:rPr>
            <w:noProof/>
            <w:webHidden/>
          </w:rPr>
          <w:fldChar w:fldCharType="end"/>
        </w:r>
      </w:hyperlink>
    </w:p>
    <w:p w14:paraId="480AF5A4" w14:textId="742C1217"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800" w:history="1">
        <w:r w:rsidRPr="00ED2253">
          <w:rPr>
            <w:rStyle w:val="Hyperlink"/>
            <w:noProof/>
          </w:rPr>
          <w:t>Sections of the pathway (all patient cohorts) | Ngā wāhanga o te ara</w:t>
        </w:r>
        <w:r>
          <w:rPr>
            <w:noProof/>
            <w:webHidden/>
          </w:rPr>
          <w:tab/>
        </w:r>
        <w:r>
          <w:rPr>
            <w:noProof/>
            <w:webHidden/>
          </w:rPr>
          <w:fldChar w:fldCharType="begin"/>
        </w:r>
        <w:r>
          <w:rPr>
            <w:noProof/>
            <w:webHidden/>
          </w:rPr>
          <w:instrText xml:space="preserve"> PAGEREF _Toc207862800 \h </w:instrText>
        </w:r>
        <w:r>
          <w:rPr>
            <w:noProof/>
            <w:webHidden/>
          </w:rPr>
        </w:r>
        <w:r>
          <w:rPr>
            <w:noProof/>
            <w:webHidden/>
          </w:rPr>
          <w:fldChar w:fldCharType="separate"/>
        </w:r>
        <w:r w:rsidR="00912F15">
          <w:rPr>
            <w:noProof/>
            <w:webHidden/>
          </w:rPr>
          <w:t>7</w:t>
        </w:r>
        <w:r>
          <w:rPr>
            <w:noProof/>
            <w:webHidden/>
          </w:rPr>
          <w:fldChar w:fldCharType="end"/>
        </w:r>
      </w:hyperlink>
    </w:p>
    <w:p w14:paraId="677E6EDD" w14:textId="0DAF99ED"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1" w:history="1">
        <w:r w:rsidRPr="00ED2253">
          <w:rPr>
            <w:rStyle w:val="Hyperlink"/>
            <w:rFonts w:eastAsia="Times New Roman"/>
            <w:noProof/>
            <w:lang w:eastAsia="en-NZ"/>
          </w:rPr>
          <w:t>Who should use this pathway</w:t>
        </w:r>
        <w:r>
          <w:rPr>
            <w:noProof/>
            <w:webHidden/>
          </w:rPr>
          <w:tab/>
        </w:r>
        <w:r>
          <w:rPr>
            <w:noProof/>
            <w:webHidden/>
          </w:rPr>
          <w:fldChar w:fldCharType="begin"/>
        </w:r>
        <w:r>
          <w:rPr>
            <w:noProof/>
            <w:webHidden/>
          </w:rPr>
          <w:instrText xml:space="preserve"> PAGEREF _Toc207862801 \h </w:instrText>
        </w:r>
        <w:r>
          <w:rPr>
            <w:noProof/>
            <w:webHidden/>
          </w:rPr>
        </w:r>
        <w:r>
          <w:rPr>
            <w:noProof/>
            <w:webHidden/>
          </w:rPr>
          <w:fldChar w:fldCharType="separate"/>
        </w:r>
        <w:r w:rsidR="00912F15">
          <w:rPr>
            <w:noProof/>
            <w:webHidden/>
          </w:rPr>
          <w:t>7</w:t>
        </w:r>
        <w:r>
          <w:rPr>
            <w:noProof/>
            <w:webHidden/>
          </w:rPr>
          <w:fldChar w:fldCharType="end"/>
        </w:r>
      </w:hyperlink>
    </w:p>
    <w:p w14:paraId="78700FC4" w14:textId="2D90D5FB"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2" w:history="1">
        <w:r w:rsidRPr="00ED2253">
          <w:rPr>
            <w:rStyle w:val="Hyperlink"/>
            <w:rFonts w:eastAsia="Times New Roman"/>
            <w:noProof/>
            <w:lang w:eastAsia="en-NZ"/>
          </w:rPr>
          <w:t>When to use this pathway</w:t>
        </w:r>
        <w:r>
          <w:rPr>
            <w:noProof/>
            <w:webHidden/>
          </w:rPr>
          <w:tab/>
        </w:r>
        <w:r>
          <w:rPr>
            <w:noProof/>
            <w:webHidden/>
          </w:rPr>
          <w:fldChar w:fldCharType="begin"/>
        </w:r>
        <w:r>
          <w:rPr>
            <w:noProof/>
            <w:webHidden/>
          </w:rPr>
          <w:instrText xml:space="preserve"> PAGEREF _Toc207862802 \h </w:instrText>
        </w:r>
        <w:r>
          <w:rPr>
            <w:noProof/>
            <w:webHidden/>
          </w:rPr>
        </w:r>
        <w:r>
          <w:rPr>
            <w:noProof/>
            <w:webHidden/>
          </w:rPr>
          <w:fldChar w:fldCharType="separate"/>
        </w:r>
        <w:r w:rsidR="00912F15">
          <w:rPr>
            <w:noProof/>
            <w:webHidden/>
          </w:rPr>
          <w:t>7</w:t>
        </w:r>
        <w:r>
          <w:rPr>
            <w:noProof/>
            <w:webHidden/>
          </w:rPr>
          <w:fldChar w:fldCharType="end"/>
        </w:r>
      </w:hyperlink>
    </w:p>
    <w:p w14:paraId="7E19B93A" w14:textId="1786E10E"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3" w:history="1">
        <w:r w:rsidRPr="00ED2253">
          <w:rPr>
            <w:rStyle w:val="Hyperlink"/>
            <w:noProof/>
          </w:rPr>
          <w:t>Pathway for various patient cohorts</w:t>
        </w:r>
        <w:r>
          <w:rPr>
            <w:noProof/>
            <w:webHidden/>
          </w:rPr>
          <w:tab/>
        </w:r>
        <w:r>
          <w:rPr>
            <w:noProof/>
            <w:webHidden/>
          </w:rPr>
          <w:fldChar w:fldCharType="begin"/>
        </w:r>
        <w:r>
          <w:rPr>
            <w:noProof/>
            <w:webHidden/>
          </w:rPr>
          <w:instrText xml:space="preserve"> PAGEREF _Toc207862803 \h </w:instrText>
        </w:r>
        <w:r>
          <w:rPr>
            <w:noProof/>
            <w:webHidden/>
          </w:rPr>
        </w:r>
        <w:r>
          <w:rPr>
            <w:noProof/>
            <w:webHidden/>
          </w:rPr>
          <w:fldChar w:fldCharType="separate"/>
        </w:r>
        <w:r w:rsidR="00912F15">
          <w:rPr>
            <w:noProof/>
            <w:webHidden/>
          </w:rPr>
          <w:t>8</w:t>
        </w:r>
        <w:r>
          <w:rPr>
            <w:noProof/>
            <w:webHidden/>
          </w:rPr>
          <w:fldChar w:fldCharType="end"/>
        </w:r>
      </w:hyperlink>
    </w:p>
    <w:p w14:paraId="3BE3DCFB" w14:textId="0F6378C1"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4" w:history="1">
        <w:r w:rsidRPr="00ED2253">
          <w:rPr>
            <w:rStyle w:val="Hyperlink"/>
            <w:noProof/>
          </w:rPr>
          <w:t>Patient details and filing of pathway</w:t>
        </w:r>
        <w:r>
          <w:rPr>
            <w:noProof/>
            <w:webHidden/>
          </w:rPr>
          <w:tab/>
        </w:r>
        <w:r>
          <w:rPr>
            <w:noProof/>
            <w:webHidden/>
          </w:rPr>
          <w:fldChar w:fldCharType="begin"/>
        </w:r>
        <w:r>
          <w:rPr>
            <w:noProof/>
            <w:webHidden/>
          </w:rPr>
          <w:instrText xml:space="preserve"> PAGEREF _Toc207862804 \h </w:instrText>
        </w:r>
        <w:r>
          <w:rPr>
            <w:noProof/>
            <w:webHidden/>
          </w:rPr>
        </w:r>
        <w:r>
          <w:rPr>
            <w:noProof/>
            <w:webHidden/>
          </w:rPr>
          <w:fldChar w:fldCharType="separate"/>
        </w:r>
        <w:r w:rsidR="00912F15">
          <w:rPr>
            <w:noProof/>
            <w:webHidden/>
          </w:rPr>
          <w:t>8</w:t>
        </w:r>
        <w:r>
          <w:rPr>
            <w:noProof/>
            <w:webHidden/>
          </w:rPr>
          <w:fldChar w:fldCharType="end"/>
        </w:r>
      </w:hyperlink>
    </w:p>
    <w:p w14:paraId="2FA16D37" w14:textId="32A49801"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5" w:history="1">
        <w:r w:rsidRPr="00ED2253">
          <w:rPr>
            <w:rStyle w:val="Hyperlink"/>
            <w:noProof/>
          </w:rPr>
          <w:t>Risk factors for sepsis</w:t>
        </w:r>
        <w:r>
          <w:rPr>
            <w:noProof/>
            <w:webHidden/>
          </w:rPr>
          <w:tab/>
        </w:r>
        <w:r>
          <w:rPr>
            <w:noProof/>
            <w:webHidden/>
          </w:rPr>
          <w:fldChar w:fldCharType="begin"/>
        </w:r>
        <w:r>
          <w:rPr>
            <w:noProof/>
            <w:webHidden/>
          </w:rPr>
          <w:instrText xml:space="preserve"> PAGEREF _Toc207862805 \h </w:instrText>
        </w:r>
        <w:r>
          <w:rPr>
            <w:noProof/>
            <w:webHidden/>
          </w:rPr>
        </w:r>
        <w:r>
          <w:rPr>
            <w:noProof/>
            <w:webHidden/>
          </w:rPr>
          <w:fldChar w:fldCharType="separate"/>
        </w:r>
        <w:r w:rsidR="00912F15">
          <w:rPr>
            <w:noProof/>
            <w:webHidden/>
          </w:rPr>
          <w:t>8</w:t>
        </w:r>
        <w:r>
          <w:rPr>
            <w:noProof/>
            <w:webHidden/>
          </w:rPr>
          <w:fldChar w:fldCharType="end"/>
        </w:r>
      </w:hyperlink>
    </w:p>
    <w:p w14:paraId="5EE79D43" w14:textId="0A7AC900"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6" w:history="1">
        <w:r w:rsidRPr="00ED2253">
          <w:rPr>
            <w:rStyle w:val="Hyperlink"/>
            <w:noProof/>
          </w:rPr>
          <w:t>Initial screening for sepsis</w:t>
        </w:r>
        <w:r>
          <w:rPr>
            <w:noProof/>
            <w:webHidden/>
          </w:rPr>
          <w:tab/>
        </w:r>
        <w:r>
          <w:rPr>
            <w:noProof/>
            <w:webHidden/>
          </w:rPr>
          <w:fldChar w:fldCharType="begin"/>
        </w:r>
        <w:r>
          <w:rPr>
            <w:noProof/>
            <w:webHidden/>
          </w:rPr>
          <w:instrText xml:space="preserve"> PAGEREF _Toc207862806 \h </w:instrText>
        </w:r>
        <w:r>
          <w:rPr>
            <w:noProof/>
            <w:webHidden/>
          </w:rPr>
        </w:r>
        <w:r>
          <w:rPr>
            <w:noProof/>
            <w:webHidden/>
          </w:rPr>
          <w:fldChar w:fldCharType="separate"/>
        </w:r>
        <w:r w:rsidR="00912F15">
          <w:rPr>
            <w:noProof/>
            <w:webHidden/>
          </w:rPr>
          <w:t>9</w:t>
        </w:r>
        <w:r>
          <w:rPr>
            <w:noProof/>
            <w:webHidden/>
          </w:rPr>
          <w:fldChar w:fldCharType="end"/>
        </w:r>
      </w:hyperlink>
    </w:p>
    <w:p w14:paraId="7688FBB6" w14:textId="28E17495"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7" w:history="1">
        <w:r w:rsidRPr="00ED2253">
          <w:rPr>
            <w:rStyle w:val="Hyperlink"/>
            <w:noProof/>
          </w:rPr>
          <w:t>Screening for RED FLAG sepsis</w:t>
        </w:r>
        <w:r>
          <w:rPr>
            <w:noProof/>
            <w:webHidden/>
          </w:rPr>
          <w:tab/>
        </w:r>
        <w:r>
          <w:rPr>
            <w:noProof/>
            <w:webHidden/>
          </w:rPr>
          <w:fldChar w:fldCharType="begin"/>
        </w:r>
        <w:r>
          <w:rPr>
            <w:noProof/>
            <w:webHidden/>
          </w:rPr>
          <w:instrText xml:space="preserve"> PAGEREF _Toc207862807 \h </w:instrText>
        </w:r>
        <w:r>
          <w:rPr>
            <w:noProof/>
            <w:webHidden/>
          </w:rPr>
        </w:r>
        <w:r>
          <w:rPr>
            <w:noProof/>
            <w:webHidden/>
          </w:rPr>
          <w:fldChar w:fldCharType="separate"/>
        </w:r>
        <w:r w:rsidR="00912F15">
          <w:rPr>
            <w:noProof/>
            <w:webHidden/>
          </w:rPr>
          <w:t>10</w:t>
        </w:r>
        <w:r>
          <w:rPr>
            <w:noProof/>
            <w:webHidden/>
          </w:rPr>
          <w:fldChar w:fldCharType="end"/>
        </w:r>
      </w:hyperlink>
    </w:p>
    <w:p w14:paraId="002D764C" w14:textId="4258E1EE"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8" w:history="1">
        <w:r w:rsidRPr="00ED2253">
          <w:rPr>
            <w:rStyle w:val="Hyperlink"/>
            <w:noProof/>
          </w:rPr>
          <w:t>Screening for AMBER FLAG sepsis</w:t>
        </w:r>
        <w:r>
          <w:rPr>
            <w:noProof/>
            <w:webHidden/>
          </w:rPr>
          <w:tab/>
        </w:r>
        <w:r>
          <w:rPr>
            <w:noProof/>
            <w:webHidden/>
          </w:rPr>
          <w:fldChar w:fldCharType="begin"/>
        </w:r>
        <w:r>
          <w:rPr>
            <w:noProof/>
            <w:webHidden/>
          </w:rPr>
          <w:instrText xml:space="preserve"> PAGEREF _Toc207862808 \h </w:instrText>
        </w:r>
        <w:r>
          <w:rPr>
            <w:noProof/>
            <w:webHidden/>
          </w:rPr>
        </w:r>
        <w:r>
          <w:rPr>
            <w:noProof/>
            <w:webHidden/>
          </w:rPr>
          <w:fldChar w:fldCharType="separate"/>
        </w:r>
        <w:r w:rsidR="00912F15">
          <w:rPr>
            <w:noProof/>
            <w:webHidden/>
          </w:rPr>
          <w:t>10</w:t>
        </w:r>
        <w:r>
          <w:rPr>
            <w:noProof/>
            <w:webHidden/>
          </w:rPr>
          <w:fldChar w:fldCharType="end"/>
        </w:r>
      </w:hyperlink>
    </w:p>
    <w:p w14:paraId="6B1FFAC7" w14:textId="41281BD2"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09" w:history="1">
        <w:r w:rsidRPr="00ED2253">
          <w:rPr>
            <w:rStyle w:val="Hyperlink"/>
            <w:noProof/>
          </w:rPr>
          <w:t>Treatment/interventions for AMBER FLAG sepsis</w:t>
        </w:r>
        <w:r>
          <w:rPr>
            <w:noProof/>
            <w:webHidden/>
          </w:rPr>
          <w:tab/>
        </w:r>
        <w:r>
          <w:rPr>
            <w:noProof/>
            <w:webHidden/>
          </w:rPr>
          <w:fldChar w:fldCharType="begin"/>
        </w:r>
        <w:r>
          <w:rPr>
            <w:noProof/>
            <w:webHidden/>
          </w:rPr>
          <w:instrText xml:space="preserve"> PAGEREF _Toc207862809 \h </w:instrText>
        </w:r>
        <w:r>
          <w:rPr>
            <w:noProof/>
            <w:webHidden/>
          </w:rPr>
        </w:r>
        <w:r>
          <w:rPr>
            <w:noProof/>
            <w:webHidden/>
          </w:rPr>
          <w:fldChar w:fldCharType="separate"/>
        </w:r>
        <w:r w:rsidR="00912F15">
          <w:rPr>
            <w:noProof/>
            <w:webHidden/>
          </w:rPr>
          <w:t>10</w:t>
        </w:r>
        <w:r>
          <w:rPr>
            <w:noProof/>
            <w:webHidden/>
          </w:rPr>
          <w:fldChar w:fldCharType="end"/>
        </w:r>
      </w:hyperlink>
    </w:p>
    <w:p w14:paraId="44E494D6" w14:textId="78F472F3"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10" w:history="1">
        <w:r w:rsidRPr="00ED2253">
          <w:rPr>
            <w:rStyle w:val="Hyperlink"/>
            <w:noProof/>
          </w:rPr>
          <w:t>Sepsis Six (sepsis resuscitation)</w:t>
        </w:r>
        <w:r>
          <w:rPr>
            <w:noProof/>
            <w:webHidden/>
          </w:rPr>
          <w:tab/>
        </w:r>
        <w:r>
          <w:rPr>
            <w:noProof/>
            <w:webHidden/>
          </w:rPr>
          <w:fldChar w:fldCharType="begin"/>
        </w:r>
        <w:r>
          <w:rPr>
            <w:noProof/>
            <w:webHidden/>
          </w:rPr>
          <w:instrText xml:space="preserve"> PAGEREF _Toc207862810 \h </w:instrText>
        </w:r>
        <w:r>
          <w:rPr>
            <w:noProof/>
            <w:webHidden/>
          </w:rPr>
        </w:r>
        <w:r>
          <w:rPr>
            <w:noProof/>
            <w:webHidden/>
          </w:rPr>
          <w:fldChar w:fldCharType="separate"/>
        </w:r>
        <w:r w:rsidR="00912F15">
          <w:rPr>
            <w:noProof/>
            <w:webHidden/>
          </w:rPr>
          <w:t>10</w:t>
        </w:r>
        <w:r>
          <w:rPr>
            <w:noProof/>
            <w:webHidden/>
          </w:rPr>
          <w:fldChar w:fldCharType="end"/>
        </w:r>
      </w:hyperlink>
    </w:p>
    <w:p w14:paraId="102EB73A" w14:textId="4D9BDED0"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11" w:history="1">
        <w:r w:rsidRPr="00ED2253">
          <w:rPr>
            <w:rStyle w:val="Hyperlink"/>
            <w:noProof/>
          </w:rPr>
          <w:t>Reassess</w:t>
        </w:r>
        <w:r>
          <w:rPr>
            <w:noProof/>
            <w:webHidden/>
          </w:rPr>
          <w:tab/>
        </w:r>
        <w:r>
          <w:rPr>
            <w:noProof/>
            <w:webHidden/>
          </w:rPr>
          <w:fldChar w:fldCharType="begin"/>
        </w:r>
        <w:r>
          <w:rPr>
            <w:noProof/>
            <w:webHidden/>
          </w:rPr>
          <w:instrText xml:space="preserve"> PAGEREF _Toc207862811 \h </w:instrText>
        </w:r>
        <w:r>
          <w:rPr>
            <w:noProof/>
            <w:webHidden/>
          </w:rPr>
        </w:r>
        <w:r>
          <w:rPr>
            <w:noProof/>
            <w:webHidden/>
          </w:rPr>
          <w:fldChar w:fldCharType="separate"/>
        </w:r>
        <w:r w:rsidR="00912F15">
          <w:rPr>
            <w:noProof/>
            <w:webHidden/>
          </w:rPr>
          <w:t>12</w:t>
        </w:r>
        <w:r>
          <w:rPr>
            <w:noProof/>
            <w:webHidden/>
          </w:rPr>
          <w:fldChar w:fldCharType="end"/>
        </w:r>
      </w:hyperlink>
    </w:p>
    <w:p w14:paraId="6B37EB9B" w14:textId="279AFA88"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812" w:history="1">
        <w:r w:rsidRPr="00ED2253">
          <w:rPr>
            <w:rStyle w:val="Hyperlink"/>
            <w:noProof/>
          </w:rPr>
          <w:t>Paediatric-specific pathway information | He mōhiohio ā-arotamariki</w:t>
        </w:r>
        <w:r>
          <w:rPr>
            <w:noProof/>
            <w:webHidden/>
          </w:rPr>
          <w:tab/>
        </w:r>
        <w:r>
          <w:rPr>
            <w:noProof/>
            <w:webHidden/>
          </w:rPr>
          <w:fldChar w:fldCharType="begin"/>
        </w:r>
        <w:r>
          <w:rPr>
            <w:noProof/>
            <w:webHidden/>
          </w:rPr>
          <w:instrText xml:space="preserve"> PAGEREF _Toc207862812 \h </w:instrText>
        </w:r>
        <w:r>
          <w:rPr>
            <w:noProof/>
            <w:webHidden/>
          </w:rPr>
        </w:r>
        <w:r>
          <w:rPr>
            <w:noProof/>
            <w:webHidden/>
          </w:rPr>
          <w:fldChar w:fldCharType="separate"/>
        </w:r>
        <w:r w:rsidR="00912F15">
          <w:rPr>
            <w:noProof/>
            <w:webHidden/>
          </w:rPr>
          <w:t>12</w:t>
        </w:r>
        <w:r>
          <w:rPr>
            <w:noProof/>
            <w:webHidden/>
          </w:rPr>
          <w:fldChar w:fldCharType="end"/>
        </w:r>
      </w:hyperlink>
    </w:p>
    <w:p w14:paraId="5B569AB5" w14:textId="6A8D6533"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13" w:history="1">
        <w:r w:rsidRPr="00ED2253">
          <w:rPr>
            <w:rStyle w:val="Hyperlink"/>
            <w:noProof/>
          </w:rPr>
          <w:t>Additional information to assess severity of risk</w:t>
        </w:r>
        <w:r>
          <w:rPr>
            <w:noProof/>
            <w:webHidden/>
          </w:rPr>
          <w:tab/>
        </w:r>
        <w:r>
          <w:rPr>
            <w:noProof/>
            <w:webHidden/>
          </w:rPr>
          <w:fldChar w:fldCharType="begin"/>
        </w:r>
        <w:r>
          <w:rPr>
            <w:noProof/>
            <w:webHidden/>
          </w:rPr>
          <w:instrText xml:space="preserve"> PAGEREF _Toc207862813 \h </w:instrText>
        </w:r>
        <w:r>
          <w:rPr>
            <w:noProof/>
            <w:webHidden/>
          </w:rPr>
        </w:r>
        <w:r>
          <w:rPr>
            <w:noProof/>
            <w:webHidden/>
          </w:rPr>
          <w:fldChar w:fldCharType="separate"/>
        </w:r>
        <w:r w:rsidR="00912F15">
          <w:rPr>
            <w:noProof/>
            <w:webHidden/>
          </w:rPr>
          <w:t>12</w:t>
        </w:r>
        <w:r>
          <w:rPr>
            <w:noProof/>
            <w:webHidden/>
          </w:rPr>
          <w:fldChar w:fldCharType="end"/>
        </w:r>
      </w:hyperlink>
    </w:p>
    <w:p w14:paraId="247A0645" w14:textId="6728D48A"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14" w:history="1">
        <w:r w:rsidRPr="00ED2253">
          <w:rPr>
            <w:rStyle w:val="Hyperlink"/>
            <w:noProof/>
          </w:rPr>
          <w:t>Additional notes/instruction</w:t>
        </w:r>
        <w:r>
          <w:rPr>
            <w:noProof/>
            <w:webHidden/>
          </w:rPr>
          <w:tab/>
        </w:r>
        <w:r>
          <w:rPr>
            <w:noProof/>
            <w:webHidden/>
          </w:rPr>
          <w:fldChar w:fldCharType="begin"/>
        </w:r>
        <w:r>
          <w:rPr>
            <w:noProof/>
            <w:webHidden/>
          </w:rPr>
          <w:instrText xml:space="preserve"> PAGEREF _Toc207862814 \h </w:instrText>
        </w:r>
        <w:r>
          <w:rPr>
            <w:noProof/>
            <w:webHidden/>
          </w:rPr>
        </w:r>
        <w:r>
          <w:rPr>
            <w:noProof/>
            <w:webHidden/>
          </w:rPr>
          <w:fldChar w:fldCharType="separate"/>
        </w:r>
        <w:r w:rsidR="00912F15">
          <w:rPr>
            <w:noProof/>
            <w:webHidden/>
          </w:rPr>
          <w:t>13</w:t>
        </w:r>
        <w:r>
          <w:rPr>
            <w:noProof/>
            <w:webHidden/>
          </w:rPr>
          <w:fldChar w:fldCharType="end"/>
        </w:r>
      </w:hyperlink>
    </w:p>
    <w:p w14:paraId="784F49D9" w14:textId="41165475"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815" w:history="1">
        <w:r w:rsidRPr="00ED2253">
          <w:rPr>
            <w:rStyle w:val="Hyperlink"/>
            <w:noProof/>
          </w:rPr>
          <w:t>Maternity-specific pathway information | He mōhiohio ā-ōmahu</w:t>
        </w:r>
        <w:r>
          <w:rPr>
            <w:noProof/>
            <w:webHidden/>
          </w:rPr>
          <w:tab/>
        </w:r>
        <w:r>
          <w:rPr>
            <w:noProof/>
            <w:webHidden/>
          </w:rPr>
          <w:fldChar w:fldCharType="begin"/>
        </w:r>
        <w:r>
          <w:rPr>
            <w:noProof/>
            <w:webHidden/>
          </w:rPr>
          <w:instrText xml:space="preserve"> PAGEREF _Toc207862815 \h </w:instrText>
        </w:r>
        <w:r>
          <w:rPr>
            <w:noProof/>
            <w:webHidden/>
          </w:rPr>
        </w:r>
        <w:r>
          <w:rPr>
            <w:noProof/>
            <w:webHidden/>
          </w:rPr>
          <w:fldChar w:fldCharType="separate"/>
        </w:r>
        <w:r w:rsidR="00912F15">
          <w:rPr>
            <w:noProof/>
            <w:webHidden/>
          </w:rPr>
          <w:t>13</w:t>
        </w:r>
        <w:r>
          <w:rPr>
            <w:noProof/>
            <w:webHidden/>
          </w:rPr>
          <w:fldChar w:fldCharType="end"/>
        </w:r>
      </w:hyperlink>
    </w:p>
    <w:p w14:paraId="14D1004C" w14:textId="37223356" w:rsidR="00F607A8" w:rsidRDefault="00F607A8">
      <w:pPr>
        <w:pStyle w:val="TOC2"/>
        <w:rPr>
          <w:rFonts w:asciiTheme="minorHAnsi" w:eastAsiaTheme="minorEastAsia" w:hAnsiTheme="minorHAnsi"/>
          <w:noProof/>
          <w:kern w:val="2"/>
          <w:sz w:val="24"/>
          <w:szCs w:val="24"/>
          <w:lang w:eastAsia="en-NZ"/>
          <w14:ligatures w14:val="standardContextual"/>
        </w:rPr>
      </w:pPr>
      <w:hyperlink w:anchor="_Toc207862816" w:history="1">
        <w:r w:rsidRPr="00ED2253">
          <w:rPr>
            <w:rStyle w:val="Hyperlink"/>
            <w:noProof/>
          </w:rPr>
          <w:t>Sepsis Six plus 2</w:t>
        </w:r>
        <w:r>
          <w:rPr>
            <w:noProof/>
            <w:webHidden/>
          </w:rPr>
          <w:tab/>
        </w:r>
        <w:r>
          <w:rPr>
            <w:noProof/>
            <w:webHidden/>
          </w:rPr>
          <w:fldChar w:fldCharType="begin"/>
        </w:r>
        <w:r>
          <w:rPr>
            <w:noProof/>
            <w:webHidden/>
          </w:rPr>
          <w:instrText xml:space="preserve"> PAGEREF _Toc207862816 \h </w:instrText>
        </w:r>
        <w:r>
          <w:rPr>
            <w:noProof/>
            <w:webHidden/>
          </w:rPr>
        </w:r>
        <w:r>
          <w:rPr>
            <w:noProof/>
            <w:webHidden/>
          </w:rPr>
          <w:fldChar w:fldCharType="separate"/>
        </w:r>
        <w:r w:rsidR="00912F15">
          <w:rPr>
            <w:noProof/>
            <w:webHidden/>
          </w:rPr>
          <w:t>13</w:t>
        </w:r>
        <w:r>
          <w:rPr>
            <w:noProof/>
            <w:webHidden/>
          </w:rPr>
          <w:fldChar w:fldCharType="end"/>
        </w:r>
      </w:hyperlink>
    </w:p>
    <w:p w14:paraId="31051DD4" w14:textId="59E2035B" w:rsidR="00F607A8" w:rsidRDefault="00F607A8">
      <w:pPr>
        <w:pStyle w:val="TOC1"/>
        <w:rPr>
          <w:rFonts w:asciiTheme="minorHAnsi" w:eastAsiaTheme="minorEastAsia" w:hAnsiTheme="minorHAnsi"/>
          <w:noProof/>
          <w:kern w:val="2"/>
          <w:sz w:val="24"/>
          <w:szCs w:val="24"/>
          <w:lang w:eastAsia="en-NZ"/>
          <w14:ligatures w14:val="standardContextual"/>
        </w:rPr>
      </w:pPr>
      <w:hyperlink w:anchor="_Toc207862817" w:history="1">
        <w:r w:rsidRPr="00ED2253">
          <w:rPr>
            <w:rStyle w:val="Hyperlink"/>
            <w:noProof/>
          </w:rPr>
          <w:t>Logos and printing the pathway | Ngā tohu hei tā i te ara</w:t>
        </w:r>
        <w:r>
          <w:rPr>
            <w:noProof/>
            <w:webHidden/>
          </w:rPr>
          <w:tab/>
        </w:r>
        <w:r>
          <w:rPr>
            <w:noProof/>
            <w:webHidden/>
          </w:rPr>
          <w:fldChar w:fldCharType="begin"/>
        </w:r>
        <w:r>
          <w:rPr>
            <w:noProof/>
            <w:webHidden/>
          </w:rPr>
          <w:instrText xml:space="preserve"> PAGEREF _Toc207862817 \h </w:instrText>
        </w:r>
        <w:r>
          <w:rPr>
            <w:noProof/>
            <w:webHidden/>
          </w:rPr>
        </w:r>
        <w:r>
          <w:rPr>
            <w:noProof/>
            <w:webHidden/>
          </w:rPr>
          <w:fldChar w:fldCharType="separate"/>
        </w:r>
        <w:r w:rsidR="00912F15">
          <w:rPr>
            <w:noProof/>
            <w:webHidden/>
          </w:rPr>
          <w:t>14</w:t>
        </w:r>
        <w:r>
          <w:rPr>
            <w:noProof/>
            <w:webHidden/>
          </w:rPr>
          <w:fldChar w:fldCharType="end"/>
        </w:r>
      </w:hyperlink>
    </w:p>
    <w:p w14:paraId="4A006E35" w14:textId="2C562D07" w:rsidR="006E7F66" w:rsidRPr="007812FB" w:rsidRDefault="000C0DFF" w:rsidP="006E7F66">
      <w:pPr>
        <w:pStyle w:val="TOC1"/>
        <w:rPr>
          <w:bCs/>
        </w:rPr>
      </w:pPr>
      <w:r w:rsidRPr="007812FB">
        <w:rPr>
          <w:bCs/>
        </w:rPr>
        <w:fldChar w:fldCharType="end"/>
      </w:r>
    </w:p>
    <w:p w14:paraId="0D90BD80" w14:textId="77777777" w:rsidR="006E7F66" w:rsidRPr="007812FB" w:rsidRDefault="006E7F66" w:rsidP="006E7F66">
      <w:pPr>
        <w:pStyle w:val="TeThHauorabodytext"/>
      </w:pPr>
    </w:p>
    <w:p w14:paraId="04C28D9A" w14:textId="77777777" w:rsidR="006E7F66" w:rsidRPr="007812FB" w:rsidRDefault="006E7F66" w:rsidP="00A313E6">
      <w:pPr>
        <w:pStyle w:val="TeThHauorahead1"/>
        <w:sectPr w:rsidR="006E7F66" w:rsidRPr="007812FB">
          <w:footerReference w:type="default" r:id="rId17"/>
          <w:pgSz w:w="11906" w:h="16838"/>
          <w:pgMar w:top="1440" w:right="1440" w:bottom="1440" w:left="1440" w:header="708" w:footer="708" w:gutter="0"/>
          <w:cols w:space="708"/>
          <w:docGrid w:linePitch="360"/>
        </w:sectPr>
      </w:pPr>
    </w:p>
    <w:p w14:paraId="31B56E8D" w14:textId="0A4E2ECB" w:rsidR="00C852DA" w:rsidRPr="00E551E0" w:rsidRDefault="00C852DA" w:rsidP="00C852DA">
      <w:pPr>
        <w:pStyle w:val="TeThHauorahead1"/>
      </w:pPr>
      <w:bookmarkStart w:id="0" w:name="_Toc204109817"/>
      <w:bookmarkStart w:id="1" w:name="_Toc206146984"/>
      <w:bookmarkStart w:id="2" w:name="_Toc207862795"/>
      <w:bookmarkStart w:id="3" w:name="_Toc201591560"/>
      <w:bookmarkStart w:id="4" w:name="_Toc203326039"/>
      <w:r w:rsidRPr="00E551E0">
        <w:lastRenderedPageBreak/>
        <w:t>Acknowledgement</w:t>
      </w:r>
      <w:bookmarkEnd w:id="0"/>
      <w:bookmarkEnd w:id="1"/>
      <w:r w:rsidR="00E53628">
        <w:t xml:space="preserve">s </w:t>
      </w:r>
      <w:r w:rsidR="00E53628" w:rsidRPr="00585F2D">
        <w:t>|</w:t>
      </w:r>
      <w:r w:rsidR="00E53628">
        <w:t xml:space="preserve"> </w:t>
      </w:r>
      <w:r w:rsidR="00E53628" w:rsidRPr="00AE5B4E">
        <w:t xml:space="preserve">He </w:t>
      </w:r>
      <w:proofErr w:type="spellStart"/>
      <w:r w:rsidR="00E53628" w:rsidRPr="00AE5B4E">
        <w:t>whakamihi</w:t>
      </w:r>
      <w:bookmarkEnd w:id="2"/>
      <w:proofErr w:type="spellEnd"/>
    </w:p>
    <w:p w14:paraId="185EDAD0" w14:textId="68FD71DC" w:rsidR="00C852DA" w:rsidRPr="00E551E0" w:rsidRDefault="00C852DA" w:rsidP="00C852DA">
      <w:pPr>
        <w:pStyle w:val="TeThHauorabodytext"/>
      </w:pPr>
      <w:r w:rsidRPr="00E551E0">
        <w:t>Health Quality &amp; Safety Commission</w:t>
      </w:r>
      <w:r>
        <w:t xml:space="preserve"> </w:t>
      </w:r>
      <w:r w:rsidRPr="00E551E0">
        <w:t xml:space="preserve">Te Tāhū Hauora (the Commission) acknowledges the significant work of everyone who has been involved in the development of the sepsis package. In particular, the </w:t>
      </w:r>
      <w:r w:rsidR="00CB5644">
        <w:t xml:space="preserve">sepsis </w:t>
      </w:r>
      <w:r w:rsidRPr="00E551E0">
        <w:t>project team would like to thank the following:</w:t>
      </w:r>
    </w:p>
    <w:p w14:paraId="09FD0AE6" w14:textId="77777777" w:rsidR="00C852DA" w:rsidRPr="00E551E0" w:rsidRDefault="00C852DA" w:rsidP="00C852DA">
      <w:pPr>
        <w:pStyle w:val="TeThHauorabullets"/>
      </w:pPr>
      <w:r w:rsidRPr="00E551E0">
        <w:t>Sepsis Trust NZ</w:t>
      </w:r>
    </w:p>
    <w:p w14:paraId="4B97C8E9" w14:textId="5E544399" w:rsidR="00C852DA" w:rsidRPr="00E551E0" w:rsidRDefault="00C852DA" w:rsidP="00BA1C9E">
      <w:pPr>
        <w:pStyle w:val="TeThHauorabullets"/>
        <w:spacing w:after="240"/>
        <w:ind w:left="357" w:hanging="357"/>
      </w:pPr>
      <w:r w:rsidRPr="00E551E0">
        <w:t>National Sepsis Technical Advisory Group</w:t>
      </w:r>
      <w:r w:rsidR="00630528">
        <w:t xml:space="preserve"> (STAG)</w:t>
      </w:r>
      <w:r w:rsidRPr="00E551E0">
        <w:t xml:space="preserve"> </w:t>
      </w:r>
    </w:p>
    <w:p w14:paraId="219EA6C7" w14:textId="35948442" w:rsidR="00630528" w:rsidRDefault="00630528" w:rsidP="00630528">
      <w:pPr>
        <w:rPr>
          <w:rFonts w:cs="Arial"/>
        </w:rPr>
      </w:pPr>
      <w:r>
        <w:rPr>
          <w:rFonts w:cs="Arial"/>
        </w:rPr>
        <w:t>Members of t</w:t>
      </w:r>
      <w:r w:rsidRPr="00633783">
        <w:rPr>
          <w:rFonts w:cs="Arial"/>
        </w:rPr>
        <w:t xml:space="preserve">he </w:t>
      </w:r>
      <w:r>
        <w:rPr>
          <w:rFonts w:cs="Arial"/>
        </w:rPr>
        <w:t>Commiss</w:t>
      </w:r>
      <w:r w:rsidR="00BA1C9E">
        <w:rPr>
          <w:rFonts w:cs="Arial"/>
        </w:rPr>
        <w:t xml:space="preserve">ion’s </w:t>
      </w:r>
      <w:r>
        <w:rPr>
          <w:rFonts w:cs="Arial"/>
        </w:rPr>
        <w:t>STAG</w:t>
      </w:r>
      <w:r w:rsidRPr="00633783">
        <w:rPr>
          <w:rFonts w:cs="Arial"/>
        </w:rPr>
        <w:t xml:space="preserve"> have been major contributors to the development of th</w:t>
      </w:r>
      <w:r w:rsidR="002E3269">
        <w:rPr>
          <w:rFonts w:cs="Arial"/>
        </w:rPr>
        <w:t>e national sepsis pathway and th</w:t>
      </w:r>
      <w:r w:rsidRPr="00633783">
        <w:rPr>
          <w:rFonts w:cs="Arial"/>
        </w:rPr>
        <w:t>is Guide.</w:t>
      </w:r>
      <w:r>
        <w:rPr>
          <w:rFonts w:cs="Arial"/>
        </w:rPr>
        <w:t xml:space="preserve"> This group was established in September 2024 and includes representatives from the following professional groups:</w:t>
      </w:r>
    </w:p>
    <w:p w14:paraId="06B6A0FE"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Ambulance Services (Hato Hone St John and Wellington Free Ambulance)</w:t>
      </w:r>
    </w:p>
    <w:p w14:paraId="274AEE8A"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Australasian Society for Infectious Diseases </w:t>
      </w:r>
    </w:p>
    <w:p w14:paraId="00ADFBCE"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Australian and New Zealand College of Anaesthetists </w:t>
      </w:r>
    </w:p>
    <w:p w14:paraId="2DA1AEE1" w14:textId="77777777" w:rsidR="00203F49" w:rsidRPr="00220E09" w:rsidRDefault="00203F49" w:rsidP="00203F49">
      <w:pPr>
        <w:pStyle w:val="ListParagraph"/>
        <w:numPr>
          <w:ilvl w:val="0"/>
          <w:numId w:val="31"/>
        </w:numPr>
        <w:spacing w:after="60" w:line="240" w:lineRule="auto"/>
        <w:ind w:left="425" w:hanging="357"/>
        <w:contextualSpacing w:val="0"/>
        <w:rPr>
          <w:rFonts w:cs="Arial"/>
        </w:rPr>
      </w:pPr>
      <w:r w:rsidRPr="00220E09">
        <w:rPr>
          <w:rFonts w:cs="Arial"/>
        </w:rPr>
        <w:t xml:space="preserve">Australian and New Zealand Intensive Care Society </w:t>
      </w:r>
    </w:p>
    <w:p w14:paraId="2EBECB8D"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Australian College for Emergency Medicine </w:t>
      </w:r>
    </w:p>
    <w:p w14:paraId="6893AF15" w14:textId="478D4496" w:rsidR="00203F49" w:rsidRPr="00695C18"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Health New Zealand </w:t>
      </w:r>
      <w:r w:rsidR="00260C49">
        <w:rPr>
          <w:rFonts w:cs="Arial"/>
        </w:rPr>
        <w:t>Te Whatu Ora</w:t>
      </w:r>
    </w:p>
    <w:p w14:paraId="04B0AC6F" w14:textId="77777777" w:rsidR="00203F49" w:rsidRDefault="00203F49" w:rsidP="00203F49">
      <w:pPr>
        <w:pStyle w:val="ListParagraph"/>
        <w:numPr>
          <w:ilvl w:val="0"/>
          <w:numId w:val="31"/>
        </w:numPr>
        <w:spacing w:after="60" w:line="240" w:lineRule="auto"/>
        <w:ind w:left="425" w:hanging="357"/>
        <w:contextualSpacing w:val="0"/>
        <w:rPr>
          <w:rFonts w:cs="Arial"/>
        </w:rPr>
      </w:pPr>
      <w:r w:rsidRPr="00220E09">
        <w:rPr>
          <w:rFonts w:cs="Arial"/>
        </w:rPr>
        <w:t>New Zealand Antimicrobial Stewardship &amp; Infection Pha</w:t>
      </w:r>
      <w:r>
        <w:rPr>
          <w:rFonts w:cs="Arial"/>
        </w:rPr>
        <w:t>r</w:t>
      </w:r>
      <w:r w:rsidRPr="00220E09">
        <w:rPr>
          <w:rFonts w:cs="Arial"/>
        </w:rPr>
        <w:t>mac</w:t>
      </w:r>
      <w:r>
        <w:rPr>
          <w:rFonts w:cs="Arial"/>
        </w:rPr>
        <w:t>ist</w:t>
      </w:r>
      <w:r w:rsidRPr="00220E09">
        <w:rPr>
          <w:rFonts w:cs="Arial"/>
        </w:rPr>
        <w:t xml:space="preserve"> Expert Group </w:t>
      </w:r>
    </w:p>
    <w:p w14:paraId="08D3DA6C"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New Zealand College of Critical Care Nurses </w:t>
      </w:r>
    </w:p>
    <w:p w14:paraId="426F0846"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New Zealand College of Medicine </w:t>
      </w:r>
    </w:p>
    <w:p w14:paraId="389D3142"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New Zealand College of Midwives</w:t>
      </w:r>
    </w:p>
    <w:p w14:paraId="017783ED"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New Zealand Microbiology Network </w:t>
      </w:r>
    </w:p>
    <w:p w14:paraId="610CD17E"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New Zealand Nurses Organisation </w:t>
      </w:r>
    </w:p>
    <w:p w14:paraId="43CDCA08"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Paediatric Society of New Zealand </w:t>
      </w:r>
    </w:p>
    <w:p w14:paraId="48CC727E"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Royal Australasian College of Surgeons </w:t>
      </w:r>
    </w:p>
    <w:p w14:paraId="66512097" w14:textId="77777777"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Royal Australian and New Zealand College of Obstetricians and Gynaecologists </w:t>
      </w:r>
    </w:p>
    <w:p w14:paraId="6AC71FC0" w14:textId="6261EF69" w:rsidR="00260C49" w:rsidRDefault="00260C49" w:rsidP="00203F49">
      <w:pPr>
        <w:pStyle w:val="ListParagraph"/>
        <w:numPr>
          <w:ilvl w:val="0"/>
          <w:numId w:val="31"/>
        </w:numPr>
        <w:spacing w:after="60" w:line="240" w:lineRule="auto"/>
        <w:ind w:left="425" w:hanging="357"/>
        <w:contextualSpacing w:val="0"/>
        <w:rPr>
          <w:rFonts w:cs="Arial"/>
        </w:rPr>
      </w:pPr>
      <w:r>
        <w:rPr>
          <w:rFonts w:cs="Arial"/>
        </w:rPr>
        <w:t>Royal New Zealand College of General Practitioners</w:t>
      </w:r>
    </w:p>
    <w:p w14:paraId="515C325F" w14:textId="4ED20999" w:rsidR="00203F49" w:rsidRDefault="00203F49" w:rsidP="00203F49">
      <w:pPr>
        <w:pStyle w:val="ListParagraph"/>
        <w:numPr>
          <w:ilvl w:val="0"/>
          <w:numId w:val="31"/>
        </w:numPr>
        <w:spacing w:after="60" w:line="240" w:lineRule="auto"/>
        <w:ind w:left="425" w:hanging="357"/>
        <w:contextualSpacing w:val="0"/>
        <w:rPr>
          <w:rFonts w:cs="Arial"/>
        </w:rPr>
      </w:pPr>
      <w:r>
        <w:rPr>
          <w:rFonts w:cs="Arial"/>
        </w:rPr>
        <w:t xml:space="preserve">Royal New Zealand College of Urgent Care </w:t>
      </w:r>
    </w:p>
    <w:p w14:paraId="59054778" w14:textId="77777777" w:rsidR="00203F49" w:rsidRPr="008924A6" w:rsidRDefault="00203F49" w:rsidP="00203F49">
      <w:pPr>
        <w:pStyle w:val="ListParagraph"/>
        <w:numPr>
          <w:ilvl w:val="0"/>
          <w:numId w:val="31"/>
        </w:numPr>
        <w:spacing w:after="60" w:line="240" w:lineRule="auto"/>
        <w:ind w:left="425" w:hanging="357"/>
        <w:contextualSpacing w:val="0"/>
        <w:rPr>
          <w:rFonts w:cs="Arial"/>
        </w:rPr>
      </w:pPr>
      <w:r>
        <w:rPr>
          <w:rFonts w:cs="Arial"/>
        </w:rPr>
        <w:t>Sepsis Trust New Zealand.</w:t>
      </w:r>
    </w:p>
    <w:p w14:paraId="1B7582FA" w14:textId="77777777" w:rsidR="00F607A8" w:rsidRDefault="00F607A8" w:rsidP="00C852DA">
      <w:pPr>
        <w:pStyle w:val="TeThHauorabodytext"/>
      </w:pPr>
    </w:p>
    <w:p w14:paraId="0760FD95" w14:textId="77777777" w:rsidR="00F607A8" w:rsidRDefault="00F607A8" w:rsidP="00F607A8">
      <w:pPr>
        <w:pStyle w:val="TeThHauorahead1"/>
      </w:pPr>
      <w:bookmarkStart w:id="5" w:name="_Toc206851008"/>
      <w:bookmarkStart w:id="6" w:name="_Toc206851371"/>
      <w:bookmarkStart w:id="7" w:name="_Toc207084637"/>
      <w:r>
        <w:br w:type="page"/>
      </w:r>
    </w:p>
    <w:p w14:paraId="062E7A67" w14:textId="2F37B67F" w:rsidR="00F607A8" w:rsidRDefault="00F607A8" w:rsidP="00F607A8">
      <w:pPr>
        <w:pStyle w:val="TeThHauorahead1"/>
      </w:pPr>
      <w:bookmarkStart w:id="8" w:name="_Toc207862796"/>
      <w:r w:rsidRPr="005F6E1B">
        <w:lastRenderedPageBreak/>
        <w:t xml:space="preserve">Commitment to Te Tiriti </w:t>
      </w:r>
      <w:r>
        <w:t xml:space="preserve">o Waitangi </w:t>
      </w:r>
      <w:r w:rsidRPr="005F6E1B">
        <w:t>and health equity</w:t>
      </w:r>
      <w:bookmarkEnd w:id="5"/>
      <w:bookmarkEnd w:id="6"/>
      <w:r>
        <w:t xml:space="preserve"> │</w:t>
      </w:r>
      <w:r w:rsidRPr="00B86117">
        <w:t xml:space="preserve"> </w:t>
      </w:r>
      <w:r w:rsidRPr="005F6E1B">
        <w:t xml:space="preserve">Ū ki Te Tiriti me </w:t>
      </w:r>
      <w:proofErr w:type="spellStart"/>
      <w:r w:rsidRPr="005F6E1B">
        <w:t>te</w:t>
      </w:r>
      <w:proofErr w:type="spellEnd"/>
      <w:r w:rsidRPr="005F6E1B">
        <w:t xml:space="preserve"> </w:t>
      </w:r>
      <w:proofErr w:type="spellStart"/>
      <w:r w:rsidRPr="005F6E1B">
        <w:t>hauora</w:t>
      </w:r>
      <w:proofErr w:type="spellEnd"/>
      <w:r w:rsidRPr="005F6E1B">
        <w:t xml:space="preserve"> </w:t>
      </w:r>
      <w:proofErr w:type="spellStart"/>
      <w:r w:rsidRPr="005F6E1B">
        <w:t>tautika</w:t>
      </w:r>
      <w:bookmarkEnd w:id="7"/>
      <w:bookmarkEnd w:id="8"/>
      <w:proofErr w:type="spellEnd"/>
      <w:r w:rsidRPr="005F6E1B">
        <w:t xml:space="preserve"> </w:t>
      </w:r>
    </w:p>
    <w:p w14:paraId="401A8321" w14:textId="77777777" w:rsidR="00F607A8" w:rsidRDefault="00F607A8" w:rsidP="00F607A8">
      <w:pPr>
        <w:pStyle w:val="TeThHauorabodytext"/>
        <w:spacing w:after="240"/>
      </w:pPr>
      <w:r w:rsidRPr="006344D5">
        <w:t xml:space="preserve">The </w:t>
      </w:r>
      <w:r>
        <w:t>sepsis</w:t>
      </w:r>
      <w:r w:rsidRPr="006344D5">
        <w:t xml:space="preserve"> </w:t>
      </w:r>
      <w:r>
        <w:t xml:space="preserve">project </w:t>
      </w:r>
      <w:r w:rsidRPr="006344D5">
        <w:t>team</w:t>
      </w:r>
      <w:r>
        <w:t xml:space="preserve"> is committed to developing and implementing the sepsis project in a manner that enables equitable outcomes for Māori. The team incorporated </w:t>
      </w:r>
      <w:r w:rsidRPr="006344D5">
        <w:t xml:space="preserve">Te Tiriti </w:t>
      </w:r>
      <w:r>
        <w:t xml:space="preserve">o Waitangi </w:t>
      </w:r>
      <w:r w:rsidRPr="006344D5">
        <w:t xml:space="preserve">principles </w:t>
      </w:r>
      <w:r>
        <w:t>throughout the project.</w:t>
      </w:r>
    </w:p>
    <w:p w14:paraId="54256E4A" w14:textId="77777777" w:rsidR="00F607A8" w:rsidRDefault="00F607A8" w:rsidP="00F607A8">
      <w:pPr>
        <w:pStyle w:val="TeThHauorabodytext"/>
        <w:spacing w:after="240"/>
      </w:pPr>
      <w:r>
        <w:t>The team applied an e</w:t>
      </w:r>
      <w:r w:rsidRPr="006344D5">
        <w:t xml:space="preserve">quity lens to various areas of the project by: </w:t>
      </w:r>
    </w:p>
    <w:p w14:paraId="3B04FCE7" w14:textId="77777777" w:rsidR="00F607A8" w:rsidRPr="001E576C" w:rsidRDefault="00F607A8" w:rsidP="00F607A8">
      <w:pPr>
        <w:pStyle w:val="TeThHauorabodytext"/>
        <w:numPr>
          <w:ilvl w:val="0"/>
          <w:numId w:val="33"/>
        </w:numPr>
        <w:spacing w:line="240" w:lineRule="auto"/>
        <w:ind w:left="777" w:hanging="357"/>
        <w:rPr>
          <w:color w:val="000000" w:themeColor="text1"/>
        </w:rPr>
      </w:pPr>
      <w:r w:rsidRPr="006344D5">
        <w:t xml:space="preserve">having a Māori </w:t>
      </w:r>
      <w:r>
        <w:t xml:space="preserve">advisor in the project team, who consulted with other Māori elders </w:t>
      </w:r>
      <w:r w:rsidRPr="001E576C">
        <w:rPr>
          <w:color w:val="000000" w:themeColor="text1"/>
        </w:rPr>
        <w:t xml:space="preserve">when </w:t>
      </w:r>
      <w:r>
        <w:rPr>
          <w:color w:val="000000" w:themeColor="text1"/>
        </w:rPr>
        <w:t>necessary</w:t>
      </w:r>
    </w:p>
    <w:p w14:paraId="4966F299" w14:textId="77777777" w:rsidR="00F607A8" w:rsidRPr="001E576C" w:rsidRDefault="00F607A8" w:rsidP="00F607A8">
      <w:pPr>
        <w:pStyle w:val="TeThHauorabodytext"/>
        <w:numPr>
          <w:ilvl w:val="0"/>
          <w:numId w:val="33"/>
        </w:numPr>
        <w:spacing w:line="240" w:lineRule="auto"/>
        <w:ind w:left="777" w:hanging="357"/>
        <w:rPr>
          <w:color w:val="000000" w:themeColor="text1"/>
        </w:rPr>
      </w:pPr>
      <w:r w:rsidRPr="001E576C">
        <w:rPr>
          <w:color w:val="000000" w:themeColor="text1"/>
        </w:rPr>
        <w:t>using an ethnicity or demographic lens for data collection and review</w:t>
      </w:r>
    </w:p>
    <w:p w14:paraId="0D75B8C4" w14:textId="77777777" w:rsidR="00F607A8" w:rsidRPr="001E576C" w:rsidRDefault="00F607A8" w:rsidP="00F607A8">
      <w:pPr>
        <w:pStyle w:val="TeThHauorabodytext"/>
        <w:numPr>
          <w:ilvl w:val="0"/>
          <w:numId w:val="33"/>
        </w:numPr>
        <w:spacing w:line="240" w:lineRule="auto"/>
        <w:ind w:left="777" w:hanging="357"/>
        <w:rPr>
          <w:color w:val="000000" w:themeColor="text1"/>
        </w:rPr>
      </w:pPr>
      <w:r w:rsidRPr="001E576C">
        <w:rPr>
          <w:color w:val="000000" w:themeColor="text1"/>
        </w:rPr>
        <w:t>incorporating the lived experience of sepsis consumer</w:t>
      </w:r>
      <w:r>
        <w:rPr>
          <w:color w:val="000000" w:themeColor="text1"/>
        </w:rPr>
        <w:t>s</w:t>
      </w:r>
      <w:r w:rsidRPr="001E576C">
        <w:rPr>
          <w:color w:val="000000" w:themeColor="text1"/>
        </w:rPr>
        <w:t xml:space="preserve"> and their whānau</w:t>
      </w:r>
    </w:p>
    <w:p w14:paraId="783E013B" w14:textId="77777777" w:rsidR="00F607A8" w:rsidRPr="001E576C" w:rsidRDefault="00F607A8" w:rsidP="00F607A8">
      <w:pPr>
        <w:pStyle w:val="TeThHauorabodytext"/>
        <w:numPr>
          <w:ilvl w:val="0"/>
          <w:numId w:val="33"/>
        </w:numPr>
        <w:spacing w:line="240" w:lineRule="auto"/>
        <w:ind w:left="777" w:hanging="357"/>
        <w:rPr>
          <w:color w:val="000000" w:themeColor="text1"/>
        </w:rPr>
      </w:pPr>
      <w:r>
        <w:rPr>
          <w:color w:val="000000" w:themeColor="text1"/>
        </w:rPr>
        <w:t>a</w:t>
      </w:r>
      <w:r w:rsidRPr="00110481">
        <w:rPr>
          <w:color w:val="000000" w:themeColor="text1"/>
        </w:rPr>
        <w:t>dvis</w:t>
      </w:r>
      <w:r>
        <w:rPr>
          <w:color w:val="000000" w:themeColor="text1"/>
        </w:rPr>
        <w:t>ing</w:t>
      </w:r>
      <w:r w:rsidRPr="00110481">
        <w:rPr>
          <w:color w:val="000000" w:themeColor="text1"/>
        </w:rPr>
        <w:t xml:space="preserve"> hospital project teams to collaborate with Māori and Pacific representatives, ensuring Te Tiriti principles are embedded and encouraging their involvement in relevant aspects of implementation.</w:t>
      </w:r>
    </w:p>
    <w:p w14:paraId="1085419C" w14:textId="693E70AD" w:rsidR="00C852DA" w:rsidRPr="00E551E0" w:rsidRDefault="00C852DA" w:rsidP="00C852DA">
      <w:pPr>
        <w:pStyle w:val="TeThHauorabodytext"/>
      </w:pPr>
      <w:r w:rsidRPr="00E551E0">
        <w:br w:type="page"/>
      </w:r>
    </w:p>
    <w:p w14:paraId="42D2D85F" w14:textId="1F579DDA" w:rsidR="00CC1923" w:rsidRPr="007812FB" w:rsidRDefault="00CC1923" w:rsidP="002865DC">
      <w:pPr>
        <w:pStyle w:val="TeThHauorahead1"/>
      </w:pPr>
      <w:bookmarkStart w:id="9" w:name="_Toc207862797"/>
      <w:r w:rsidRPr="007812FB">
        <w:lastRenderedPageBreak/>
        <w:t>Purpose</w:t>
      </w:r>
      <w:bookmarkEnd w:id="3"/>
      <w:bookmarkEnd w:id="4"/>
      <w:r w:rsidRPr="007812FB">
        <w:t xml:space="preserve"> </w:t>
      </w:r>
      <w:r w:rsidR="000E0DD3" w:rsidRPr="00AD241E">
        <w:t>|</w:t>
      </w:r>
      <w:r w:rsidR="000E0DD3">
        <w:t xml:space="preserve"> </w:t>
      </w:r>
      <w:r w:rsidR="005F3D0A" w:rsidRPr="005F3D0A">
        <w:t xml:space="preserve">Te </w:t>
      </w:r>
      <w:proofErr w:type="spellStart"/>
      <w:r w:rsidR="005F3D0A" w:rsidRPr="005F3D0A">
        <w:t>whāinga</w:t>
      </w:r>
      <w:bookmarkEnd w:id="9"/>
      <w:proofErr w:type="spellEnd"/>
    </w:p>
    <w:p w14:paraId="2DC38E21" w14:textId="77777777" w:rsidR="00CC1923" w:rsidRPr="007812FB" w:rsidRDefault="00CC1923" w:rsidP="002865DC">
      <w:pPr>
        <w:pStyle w:val="TeThHauorabodytext"/>
      </w:pPr>
      <w:r w:rsidRPr="007812FB">
        <w:t xml:space="preserve">This user guide will help health care professionals implementing the national sepsis pathway </w:t>
      </w:r>
      <w:r w:rsidRPr="007812FB">
        <w:rPr>
          <w:spacing w:val="-2"/>
        </w:rPr>
        <w:t>to improve their early recognition and timely treatment of sepsis within Aotearoa New Zealand</w:t>
      </w:r>
      <w:r w:rsidRPr="007812FB">
        <w:t xml:space="preserve"> hospitals. It explains how to complete and use the national sepsis pathway across a range of clinical settings. </w:t>
      </w:r>
    </w:p>
    <w:p w14:paraId="423044C1" w14:textId="065B525C" w:rsidR="00CC1923" w:rsidRPr="007812FB" w:rsidRDefault="00CC1923" w:rsidP="002865DC">
      <w:pPr>
        <w:pStyle w:val="TeThHauorahead1"/>
      </w:pPr>
      <w:bookmarkStart w:id="10" w:name="_Toc203326040"/>
      <w:bookmarkStart w:id="11" w:name="_Toc207862798"/>
      <w:r w:rsidRPr="007812FB">
        <w:t>Introduction</w:t>
      </w:r>
      <w:bookmarkEnd w:id="10"/>
      <w:r w:rsidR="005F3D0A">
        <w:t xml:space="preserve"> </w:t>
      </w:r>
      <w:r w:rsidR="005F3D0A" w:rsidRPr="00AD241E">
        <w:t>|</w:t>
      </w:r>
      <w:r w:rsidR="005F3D0A">
        <w:t xml:space="preserve"> </w:t>
      </w:r>
      <w:r w:rsidR="00B60B0B" w:rsidRPr="00B60B0B">
        <w:t xml:space="preserve">He </w:t>
      </w:r>
      <w:proofErr w:type="spellStart"/>
      <w:r w:rsidR="00B60B0B" w:rsidRPr="00B60B0B">
        <w:t>kupu</w:t>
      </w:r>
      <w:proofErr w:type="spellEnd"/>
      <w:r w:rsidR="00B60B0B" w:rsidRPr="00B60B0B">
        <w:t xml:space="preserve"> </w:t>
      </w:r>
      <w:proofErr w:type="spellStart"/>
      <w:r w:rsidR="00B60B0B" w:rsidRPr="00B60B0B">
        <w:t>whakataki</w:t>
      </w:r>
      <w:bookmarkEnd w:id="11"/>
      <w:proofErr w:type="spellEnd"/>
    </w:p>
    <w:p w14:paraId="50CA85DD" w14:textId="2E0083C8" w:rsidR="00CC1923" w:rsidRPr="007812FB" w:rsidRDefault="00CC1923" w:rsidP="002865DC">
      <w:pPr>
        <w:pStyle w:val="TeThHauorabodytext"/>
      </w:pPr>
      <w:r w:rsidRPr="007812FB">
        <w:t>In 20</w:t>
      </w:r>
      <w:r w:rsidR="00956416">
        <w:t>18</w:t>
      </w:r>
      <w:r w:rsidRPr="007812FB">
        <w:t>, Sepsis Trust New Zealand developed a set of screening</w:t>
      </w:r>
      <w:r w:rsidR="00956416">
        <w:t xml:space="preserve"> and action</w:t>
      </w:r>
      <w:r w:rsidRPr="007812FB">
        <w:t xml:space="preserve"> tools for sepsis. In 20</w:t>
      </w:r>
      <w:r w:rsidR="00B92EDF">
        <w:t>25</w:t>
      </w:r>
      <w:r w:rsidRPr="007812FB">
        <w:t>, through the ‘Raise the Flag’ sepsis quality improvement initiative, Health Quality &amp; Safety Commission</w:t>
      </w:r>
      <w:r w:rsidR="00D035F8" w:rsidRPr="00D035F8">
        <w:t xml:space="preserve"> </w:t>
      </w:r>
      <w:r w:rsidR="00D035F8" w:rsidRPr="007812FB">
        <w:t>Te Tāhū Hauora</w:t>
      </w:r>
      <w:r w:rsidRPr="007812FB">
        <w:t xml:space="preserve"> (the Commission) refined those tools, incorporating sector feedback and current best-practice evidence to create a national sepsis pathway for New</w:t>
      </w:r>
      <w:r w:rsidR="00AA58F3" w:rsidRPr="007812FB">
        <w:t> </w:t>
      </w:r>
      <w:r w:rsidRPr="007812FB">
        <w:t>Zealand.</w:t>
      </w:r>
    </w:p>
    <w:p w14:paraId="047E62C1" w14:textId="7AFA81C9" w:rsidR="00CC1923" w:rsidRPr="007812FB" w:rsidRDefault="00CC1923" w:rsidP="002865DC">
      <w:pPr>
        <w:pStyle w:val="TeThHauorabodytext"/>
      </w:pPr>
      <w:r w:rsidRPr="007812FB">
        <w:t>The pathway will support early screening, clinical decision-making and timely intervention to</w:t>
      </w:r>
      <w:r w:rsidR="00AA58F3" w:rsidRPr="007812FB">
        <w:t> </w:t>
      </w:r>
      <w:r w:rsidRPr="007812FB">
        <w:t>reduce mortality and morbidity in patients suspected of having sepsis. This pathway will facilitate a standardised approach to sepsis recognition and treatment.</w:t>
      </w:r>
    </w:p>
    <w:p w14:paraId="7F9F3610" w14:textId="77777777" w:rsidR="00CC1923" w:rsidRPr="007812FB" w:rsidRDefault="00CC1923" w:rsidP="002865DC">
      <w:pPr>
        <w:pStyle w:val="TeThHauorabodytext"/>
      </w:pPr>
      <w:r w:rsidRPr="007812FB">
        <w:t>The pathway is designed for use in acute clinical settings, and there are versions that apply to adult, maternity and paediatric populations, with modifications to reflect physiological differences and clinical risk profiles. The pathway supports early recognition of signs and symptoms, escalation to a senior clinician and the rapid initiation of treatment.</w:t>
      </w:r>
    </w:p>
    <w:p w14:paraId="19EA0D9C" w14:textId="4941B05E" w:rsidR="00CC1923" w:rsidRPr="007812FB" w:rsidRDefault="00CC1923" w:rsidP="002865DC">
      <w:pPr>
        <w:pStyle w:val="TeThHauorabodytext"/>
      </w:pPr>
      <w:r w:rsidRPr="007812FB">
        <w:t xml:space="preserve">The Commission intends that the pathway will support clinical decision-making and not replace clinical judgement. For clinical information related to this pathway, refer to the </w:t>
      </w:r>
      <w:hyperlink r:id="rId18" w:history="1">
        <w:r w:rsidRPr="007866F4">
          <w:rPr>
            <w:rStyle w:val="Hyperlink"/>
          </w:rPr>
          <w:t>sepsis clinical guide</w:t>
        </w:r>
        <w:r w:rsidRPr="007866F4">
          <w:rPr>
            <w:rStyle w:val="Hyperlink"/>
            <w:i/>
            <w:iCs/>
          </w:rPr>
          <w:t>.</w:t>
        </w:r>
      </w:hyperlink>
    </w:p>
    <w:p w14:paraId="4318CEA5" w14:textId="77777777" w:rsidR="00CC1923" w:rsidRPr="007812FB" w:rsidRDefault="00CC1923" w:rsidP="002865DC">
      <w:pPr>
        <w:pStyle w:val="TeThHauorabodytext"/>
      </w:pPr>
      <w:r w:rsidRPr="007812FB">
        <w:t xml:space="preserve">You can find information about the national sepsis initiative on the Commission’s </w:t>
      </w:r>
      <w:hyperlink r:id="rId19" w:history="1">
        <w:r w:rsidRPr="007812FB">
          <w:rPr>
            <w:rStyle w:val="Hyperlink"/>
          </w:rPr>
          <w:t>website</w:t>
        </w:r>
      </w:hyperlink>
      <w:r w:rsidRPr="007812FB">
        <w:t>.</w:t>
      </w:r>
    </w:p>
    <w:p w14:paraId="29BC79E4" w14:textId="7777462B" w:rsidR="00CC1923" w:rsidRPr="007812FB" w:rsidRDefault="00CC1923" w:rsidP="00CC1923">
      <w:pPr>
        <w:pStyle w:val="TeThHauorahead1"/>
      </w:pPr>
      <w:bookmarkStart w:id="12" w:name="_Hlk203039136"/>
      <w:bookmarkStart w:id="13" w:name="_Toc203326041"/>
      <w:bookmarkStart w:id="14" w:name="_Toc207862799"/>
      <w:r w:rsidRPr="007812FB">
        <w:t xml:space="preserve">Overview of the </w:t>
      </w:r>
      <w:bookmarkEnd w:id="12"/>
      <w:r w:rsidRPr="007812FB">
        <w:t>sepsis pathway</w:t>
      </w:r>
      <w:bookmarkEnd w:id="13"/>
      <w:r w:rsidR="00922D78">
        <w:t xml:space="preserve"> </w:t>
      </w:r>
      <w:r w:rsidR="00922D78" w:rsidRPr="00AD241E">
        <w:t>|</w:t>
      </w:r>
      <w:r w:rsidR="00922D78">
        <w:t xml:space="preserve"> </w:t>
      </w:r>
      <w:r w:rsidR="006527F6" w:rsidRPr="006527F6">
        <w:t xml:space="preserve">He tiro </w:t>
      </w:r>
      <w:proofErr w:type="spellStart"/>
      <w:r w:rsidR="006527F6" w:rsidRPr="006527F6">
        <w:t>whānui</w:t>
      </w:r>
      <w:bookmarkEnd w:id="14"/>
      <w:proofErr w:type="spellEnd"/>
    </w:p>
    <w:p w14:paraId="3E9CF386" w14:textId="77777777" w:rsidR="00CC1923" w:rsidRPr="007812FB" w:rsidRDefault="00CC1923" w:rsidP="002865DC">
      <w:pPr>
        <w:pStyle w:val="TeThHauorabodytext"/>
      </w:pPr>
      <w:r w:rsidRPr="007812FB">
        <w:rPr>
          <w:lang w:eastAsia="en-NZ"/>
        </w:rPr>
        <w:t xml:space="preserve">This section provides a brief overview of the pathway. The following section gives more detailed </w:t>
      </w:r>
      <w:r w:rsidRPr="007812FB">
        <w:t xml:space="preserve">guidance on each section of the pathway, and the next two sections, ‘Paediatric-specific pathway information’ and ‘Maternity-specific pathway information’ give patient cohort-specific information. </w:t>
      </w:r>
    </w:p>
    <w:p w14:paraId="26373166" w14:textId="77777777" w:rsidR="00CC1923" w:rsidRPr="007812FB" w:rsidRDefault="00CC1923" w:rsidP="002865DC">
      <w:pPr>
        <w:pStyle w:val="TeThHauorabodytext"/>
      </w:pPr>
      <w:r w:rsidRPr="007812FB">
        <w:t>The national sepsis pathway is a two-sided document, printed front and back. Figure 1 illustrates the main areas of both sides. These two sides respectively provide information on:</w:t>
      </w:r>
    </w:p>
    <w:p w14:paraId="2E6EE81A" w14:textId="77777777" w:rsidR="00CC1923" w:rsidRPr="007812FB" w:rsidRDefault="00CC1923" w:rsidP="002865DC">
      <w:pPr>
        <w:pStyle w:val="TeThHauorabullets"/>
      </w:pPr>
      <w:r w:rsidRPr="007812FB">
        <w:t xml:space="preserve">screening/recognition: screening patients for sepsis and identifying the level of risk </w:t>
      </w:r>
    </w:p>
    <w:p w14:paraId="6FCB034F" w14:textId="0ACF6216" w:rsidR="00CC1923" w:rsidRPr="007812FB" w:rsidRDefault="00CC1923" w:rsidP="002865DC">
      <w:pPr>
        <w:pStyle w:val="TeThHauorabullets"/>
        <w:spacing w:after="120"/>
      </w:pPr>
      <w:r w:rsidRPr="007812FB">
        <w:t>‘Sepsis Six’ treatment: treating patients identified as having a high</w:t>
      </w:r>
      <w:r w:rsidR="00E11B6F">
        <w:t>-</w:t>
      </w:r>
      <w:r w:rsidRPr="007812FB">
        <w:t>risk of sepsis.</w:t>
      </w:r>
    </w:p>
    <w:p w14:paraId="5A4AF40B" w14:textId="723E64EA" w:rsidR="00CC1923" w:rsidRPr="007812FB" w:rsidRDefault="00CC1923" w:rsidP="002865DC">
      <w:pPr>
        <w:pStyle w:val="TeThHauorabodytext"/>
        <w:rPr>
          <w:lang w:eastAsia="en-NZ"/>
        </w:rPr>
      </w:pPr>
      <w:r w:rsidRPr="007812FB">
        <w:rPr>
          <w:lang w:eastAsia="en-NZ"/>
        </w:rPr>
        <w:t>The two-page layout</w:t>
      </w:r>
      <w:r w:rsidR="000B0782">
        <w:rPr>
          <w:lang w:eastAsia="en-NZ"/>
        </w:rPr>
        <w:t xml:space="preserve"> below</w:t>
      </w:r>
      <w:r w:rsidRPr="007812FB">
        <w:rPr>
          <w:lang w:eastAsia="en-NZ"/>
        </w:rPr>
        <w:t xml:space="preserve"> is consistent across patient groups.</w:t>
      </w:r>
    </w:p>
    <w:p w14:paraId="6136AD26" w14:textId="77777777" w:rsidR="00CC1923" w:rsidRDefault="00CC1923" w:rsidP="00CC1923">
      <w:pPr>
        <w:rPr>
          <w:rFonts w:eastAsia="Times New Roman" w:cs="Arial"/>
          <w:spacing w:val="-6"/>
          <w:lang w:eastAsia="en-NZ"/>
        </w:rPr>
      </w:pPr>
    </w:p>
    <w:p w14:paraId="7F75DA65" w14:textId="77777777" w:rsidR="00C22051" w:rsidRDefault="00C22051" w:rsidP="00CC1923">
      <w:pPr>
        <w:rPr>
          <w:rFonts w:eastAsia="Times New Roman" w:cs="Arial"/>
          <w:spacing w:val="-6"/>
          <w:lang w:eastAsia="en-NZ"/>
        </w:rPr>
      </w:pPr>
    </w:p>
    <w:p w14:paraId="09C14D19" w14:textId="77777777" w:rsidR="00AF3453" w:rsidRDefault="00AF3453" w:rsidP="00CC1923"/>
    <w:p w14:paraId="316FAC97" w14:textId="77777777" w:rsidR="00AF3453" w:rsidRDefault="00AF3453" w:rsidP="00CC1923"/>
    <w:p w14:paraId="604916E3" w14:textId="57B76377" w:rsidR="00C22051" w:rsidRDefault="00AF3453" w:rsidP="00AF3453">
      <w:pPr>
        <w:pStyle w:val="TeThHauoratablefigurecaption"/>
      </w:pPr>
      <w:r>
        <w:lastRenderedPageBreak/>
        <w:t>Figur</w:t>
      </w:r>
      <w:r w:rsidRPr="005D330D">
        <w:t xml:space="preserve">e 1: </w:t>
      </w:r>
      <w:r>
        <w:t>Sepsis pathway layout</w:t>
      </w:r>
    </w:p>
    <w:p w14:paraId="210D3D35" w14:textId="19E22647" w:rsidR="00AF357A" w:rsidRDefault="00AF357A" w:rsidP="00AF3453">
      <w:pPr>
        <w:pStyle w:val="TeThHauoratablefigurecaption"/>
        <w:rPr>
          <w:rFonts w:eastAsia="Times New Roman"/>
          <w:spacing w:val="-6"/>
          <w:lang w:eastAsia="en-NZ"/>
        </w:rPr>
      </w:pPr>
      <w:r w:rsidRPr="00AF357A">
        <w:rPr>
          <w:rFonts w:eastAsia="Times New Roman"/>
          <w:noProof/>
          <w:spacing w:val="-6"/>
          <w:lang w:eastAsia="en-NZ"/>
        </w:rPr>
        <w:drawing>
          <wp:inline distT="0" distB="0" distL="0" distR="0" wp14:anchorId="39C3A5FC" wp14:editId="35F3A306">
            <wp:extent cx="2859564" cy="4011066"/>
            <wp:effectExtent l="0" t="0" r="0" b="8890"/>
            <wp:docPr id="850514667" name="Picture 1" descr="Adult and young person sepsis pathwa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14667" name="Picture 1" descr="Adult and young person sepsis pathway form"/>
                    <pic:cNvPicPr/>
                  </pic:nvPicPr>
                  <pic:blipFill>
                    <a:blip r:embed="rId20"/>
                    <a:stretch>
                      <a:fillRect/>
                    </a:stretch>
                  </pic:blipFill>
                  <pic:spPr>
                    <a:xfrm>
                      <a:off x="0" y="0"/>
                      <a:ext cx="2869409" cy="4024875"/>
                    </a:xfrm>
                    <a:prstGeom prst="rect">
                      <a:avLst/>
                    </a:prstGeom>
                  </pic:spPr>
                </pic:pic>
              </a:graphicData>
            </a:graphic>
          </wp:inline>
        </w:drawing>
      </w:r>
      <w:r w:rsidR="00694F35" w:rsidRPr="00694F35">
        <w:rPr>
          <w:rFonts w:eastAsia="Times New Roman"/>
          <w:noProof/>
          <w:spacing w:val="-6"/>
          <w:lang w:eastAsia="en-NZ"/>
        </w:rPr>
        <w:drawing>
          <wp:inline distT="0" distB="0" distL="0" distR="0" wp14:anchorId="13E33395" wp14:editId="49439563">
            <wp:extent cx="2844165" cy="4021250"/>
            <wp:effectExtent l="0" t="0" r="0" b="0"/>
            <wp:docPr id="967591322" name="Picture 1" descr="Adult and young person sepsi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91322" name="Picture 1" descr="Adult and young person sepsis pathway"/>
                    <pic:cNvPicPr/>
                  </pic:nvPicPr>
                  <pic:blipFill>
                    <a:blip r:embed="rId21"/>
                    <a:stretch>
                      <a:fillRect/>
                    </a:stretch>
                  </pic:blipFill>
                  <pic:spPr>
                    <a:xfrm>
                      <a:off x="0" y="0"/>
                      <a:ext cx="2856378" cy="4038517"/>
                    </a:xfrm>
                    <a:prstGeom prst="rect">
                      <a:avLst/>
                    </a:prstGeom>
                  </pic:spPr>
                </pic:pic>
              </a:graphicData>
            </a:graphic>
          </wp:inline>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4695"/>
      </w:tblGrid>
      <w:tr w:rsidR="006E7A5A" w:rsidRPr="007812FB" w14:paraId="4AFFC89A" w14:textId="77777777" w:rsidTr="001B64B0">
        <w:tc>
          <w:tcPr>
            <w:tcW w:w="4519" w:type="dxa"/>
          </w:tcPr>
          <w:p w14:paraId="07E2B9C3" w14:textId="55B6EBB1" w:rsidR="006E7A5A" w:rsidRPr="007812FB" w:rsidRDefault="00972F30" w:rsidP="006E7A5A">
            <w:pPr>
              <w:pStyle w:val="TeThHauorabodytext"/>
            </w:pPr>
            <w:r w:rsidRPr="007812FB">
              <w:t xml:space="preserve">Page one </w:t>
            </w:r>
          </w:p>
        </w:tc>
        <w:tc>
          <w:tcPr>
            <w:tcW w:w="4695" w:type="dxa"/>
            <w:tcMar>
              <w:left w:w="85" w:type="dxa"/>
            </w:tcMar>
          </w:tcPr>
          <w:p w14:paraId="1FFD1448" w14:textId="22223BCB" w:rsidR="006E7A5A" w:rsidRPr="007812FB" w:rsidRDefault="00DA283A" w:rsidP="006E7A5A">
            <w:pPr>
              <w:pStyle w:val="TeThHauorabodytext"/>
            </w:pPr>
            <w:r>
              <w:t xml:space="preserve"> </w:t>
            </w:r>
            <w:r w:rsidR="00972F30" w:rsidRPr="007812FB">
              <w:t>Page two</w:t>
            </w:r>
          </w:p>
        </w:tc>
      </w:tr>
    </w:tbl>
    <w:p w14:paraId="407EC374" w14:textId="48469FDD" w:rsidR="00CC1923" w:rsidRPr="007812FB" w:rsidRDefault="00CC1923" w:rsidP="00CC1923">
      <w:pPr>
        <w:pStyle w:val="TeThHauorahead1"/>
      </w:pPr>
      <w:bookmarkStart w:id="15" w:name="_Toc203326043"/>
      <w:bookmarkStart w:id="16" w:name="_Toc207862800"/>
      <w:r w:rsidRPr="007812FB">
        <w:t>Sections of the pathway (all patient cohorts)</w:t>
      </w:r>
      <w:bookmarkEnd w:id="15"/>
      <w:r w:rsidR="00F30BBB">
        <w:t xml:space="preserve"> </w:t>
      </w:r>
      <w:r w:rsidR="007D51D3" w:rsidRPr="00AD241E">
        <w:t>|</w:t>
      </w:r>
      <w:r w:rsidR="007D51D3">
        <w:t xml:space="preserve"> </w:t>
      </w:r>
      <w:r w:rsidR="00424FF8" w:rsidRPr="00424FF8">
        <w:t xml:space="preserve">Ngā </w:t>
      </w:r>
      <w:proofErr w:type="spellStart"/>
      <w:r w:rsidR="00424FF8" w:rsidRPr="00424FF8">
        <w:t>wāhanga</w:t>
      </w:r>
      <w:proofErr w:type="spellEnd"/>
      <w:r w:rsidR="00424FF8" w:rsidRPr="00424FF8">
        <w:t xml:space="preserve"> o </w:t>
      </w:r>
      <w:proofErr w:type="spellStart"/>
      <w:r w:rsidR="00424FF8" w:rsidRPr="00424FF8">
        <w:t>te</w:t>
      </w:r>
      <w:proofErr w:type="spellEnd"/>
      <w:r w:rsidR="00424FF8" w:rsidRPr="00424FF8">
        <w:t xml:space="preserve"> </w:t>
      </w:r>
      <w:proofErr w:type="spellStart"/>
      <w:r w:rsidR="00424FF8" w:rsidRPr="00424FF8">
        <w:t>ara</w:t>
      </w:r>
      <w:bookmarkEnd w:id="16"/>
      <w:proofErr w:type="spellEnd"/>
    </w:p>
    <w:p w14:paraId="5A1CFE13" w14:textId="77777777" w:rsidR="00CC1923" w:rsidRPr="007812FB" w:rsidRDefault="00CC1923" w:rsidP="00DB779B">
      <w:pPr>
        <w:pStyle w:val="TeThHauorabodytext"/>
        <w:rPr>
          <w:lang w:eastAsia="en-NZ"/>
        </w:rPr>
      </w:pPr>
      <w:r w:rsidRPr="007812FB">
        <w:rPr>
          <w:lang w:eastAsia="en-NZ"/>
        </w:rPr>
        <w:t>This section outlines the components of the pathway and provides general information on it, applicable to all patient cohorts. For cohort-specific guidance, see the following sections.</w:t>
      </w:r>
    </w:p>
    <w:p w14:paraId="254BFCF0" w14:textId="77777777" w:rsidR="00CC1923" w:rsidRPr="007812FB" w:rsidRDefault="00CC1923" w:rsidP="00BC7E40">
      <w:pPr>
        <w:pStyle w:val="TeThHauorahead2"/>
        <w:rPr>
          <w:rFonts w:eastAsia="Times New Roman"/>
          <w:lang w:eastAsia="en-NZ"/>
        </w:rPr>
      </w:pPr>
      <w:bookmarkStart w:id="17" w:name="_Toc203326044"/>
      <w:bookmarkStart w:id="18" w:name="_Toc207862801"/>
      <w:r w:rsidRPr="007812FB">
        <w:rPr>
          <w:rFonts w:eastAsia="Times New Roman"/>
          <w:lang w:eastAsia="en-NZ"/>
        </w:rPr>
        <w:t>Who should use this pathway</w:t>
      </w:r>
      <w:bookmarkEnd w:id="17"/>
      <w:bookmarkEnd w:id="18"/>
    </w:p>
    <w:p w14:paraId="6F335B73" w14:textId="07ACBACC" w:rsidR="00CC1923" w:rsidRPr="007812FB" w:rsidRDefault="00CC1923" w:rsidP="00DB779B">
      <w:pPr>
        <w:pStyle w:val="TeThHauorabodytext"/>
        <w:rPr>
          <w:rFonts w:eastAsia="Times New Roman"/>
          <w:lang w:eastAsia="en-NZ"/>
        </w:rPr>
      </w:pPr>
      <w:r w:rsidRPr="007812FB">
        <w:t>Health professionals caring for patients who present to hospitals should use this pathway. It</w:t>
      </w:r>
      <w:r w:rsidR="00AA58F3" w:rsidRPr="007812FB">
        <w:t> </w:t>
      </w:r>
      <w:r w:rsidRPr="007812FB">
        <w:t>is applicable across a range of health care settings, including emergency departments, inpatient wards and other acute care environments.</w:t>
      </w:r>
    </w:p>
    <w:p w14:paraId="204849EF" w14:textId="77777777" w:rsidR="00CC1923" w:rsidRPr="007812FB" w:rsidRDefault="00CC1923" w:rsidP="00BC7E40">
      <w:pPr>
        <w:pStyle w:val="TeThHauorahead2"/>
        <w:rPr>
          <w:rFonts w:eastAsia="Times New Roman"/>
          <w:lang w:eastAsia="en-NZ"/>
        </w:rPr>
      </w:pPr>
      <w:bookmarkStart w:id="19" w:name="_Toc203326045"/>
      <w:bookmarkStart w:id="20" w:name="_Toc207862802"/>
      <w:r w:rsidRPr="007812FB">
        <w:rPr>
          <w:rFonts w:eastAsia="Times New Roman"/>
          <w:lang w:eastAsia="en-NZ"/>
        </w:rPr>
        <w:t>When to use this pathway</w:t>
      </w:r>
      <w:bookmarkEnd w:id="19"/>
      <w:bookmarkEnd w:id="20"/>
    </w:p>
    <w:p w14:paraId="104912BF" w14:textId="77777777" w:rsidR="00CC1923" w:rsidRPr="007812FB" w:rsidRDefault="00CC1923" w:rsidP="00DB779B">
      <w:pPr>
        <w:pStyle w:val="TeThHauorabodytext"/>
        <w:rPr>
          <w:b/>
        </w:rPr>
      </w:pPr>
      <w:r w:rsidRPr="007812FB">
        <w:t xml:space="preserve">Screen a patient for sepsis using this pathway when: </w:t>
      </w:r>
    </w:p>
    <w:p w14:paraId="5E60D059" w14:textId="77777777" w:rsidR="00CC1923" w:rsidRPr="007812FB" w:rsidRDefault="00CC1923" w:rsidP="00DB779B">
      <w:pPr>
        <w:pStyle w:val="TeThHauorabullets"/>
        <w:rPr>
          <w:rFonts w:eastAsia="Times New Roman"/>
          <w:lang w:eastAsia="en-NZ"/>
        </w:rPr>
      </w:pPr>
      <w:r w:rsidRPr="007812FB">
        <w:t xml:space="preserve">a patient looks </w:t>
      </w:r>
      <w:proofErr w:type="gramStart"/>
      <w:r w:rsidRPr="007812FB">
        <w:t>unwell</w:t>
      </w:r>
      <w:proofErr w:type="gramEnd"/>
      <w:r w:rsidRPr="007812FB">
        <w:t xml:space="preserve"> and infection is confirmed or suspected</w:t>
      </w:r>
    </w:p>
    <w:p w14:paraId="4325D18E" w14:textId="3D91941C" w:rsidR="00CC1923" w:rsidRPr="007812FB" w:rsidRDefault="00CC1923" w:rsidP="00DB779B">
      <w:pPr>
        <w:pStyle w:val="TeThHauorabullets"/>
        <w:rPr>
          <w:rFonts w:eastAsia="Times New Roman"/>
          <w:lang w:eastAsia="en-NZ"/>
        </w:rPr>
      </w:pPr>
      <w:r w:rsidRPr="007812FB">
        <w:t>a patient has previously exited the pathway and subsequently deteriorates. In this case, restart the screening process and reassess for RED and AMBER FLAGS.</w:t>
      </w:r>
      <w:r w:rsidR="00636C93" w:rsidRPr="007812FB">
        <w:t xml:space="preserve"> </w:t>
      </w:r>
    </w:p>
    <w:p w14:paraId="1CE50BA8" w14:textId="77777777" w:rsidR="00CC1923" w:rsidRPr="007812FB" w:rsidRDefault="00CC1923" w:rsidP="00BC7E40">
      <w:pPr>
        <w:pStyle w:val="TeThHauorahead2"/>
      </w:pPr>
      <w:bookmarkStart w:id="21" w:name="_Toc203326046"/>
      <w:bookmarkStart w:id="22" w:name="_Toc207862803"/>
      <w:r w:rsidRPr="007812FB">
        <w:lastRenderedPageBreak/>
        <w:t>Pathway for various patient cohorts</w:t>
      </w:r>
      <w:bookmarkEnd w:id="21"/>
      <w:bookmarkEnd w:id="22"/>
    </w:p>
    <w:p w14:paraId="70FDD674" w14:textId="042CED78" w:rsidR="00D87644" w:rsidRDefault="00CC1923" w:rsidP="00DB779B">
      <w:pPr>
        <w:pStyle w:val="TeThHauorabodytext"/>
      </w:pPr>
      <w:r w:rsidRPr="007812FB">
        <w:t xml:space="preserve">The national sepsis pathway applies to three specific patient groups, coded by colour within the pathway as follows. </w:t>
      </w:r>
    </w:p>
    <w:p w14:paraId="651895D6" w14:textId="34116539" w:rsidR="00990733" w:rsidRDefault="00990733" w:rsidP="00DB779B">
      <w:pPr>
        <w:pStyle w:val="TeThHauorabodytext"/>
      </w:pPr>
      <w:r w:rsidRPr="00990733">
        <w:rPr>
          <w:noProof/>
        </w:rPr>
        <w:drawing>
          <wp:inline distT="0" distB="0" distL="0" distR="0" wp14:anchorId="1A65019E" wp14:editId="39CA188B">
            <wp:extent cx="5745480" cy="1057910"/>
            <wp:effectExtent l="0" t="0" r="7620" b="8890"/>
            <wp:docPr id="2048571112" name="Picture 1" descr="Image showing the three patient groups for the sesisi pathway: Adult and young person; paediatric; ma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1112" name="Picture 1" descr="Image showing the three patient groups for the sesisi pathway: Adult and young person; paediatric; maternal"/>
                    <pic:cNvPicPr/>
                  </pic:nvPicPr>
                  <pic:blipFill>
                    <a:blip r:embed="rId22"/>
                    <a:stretch>
                      <a:fillRect/>
                    </a:stretch>
                  </pic:blipFill>
                  <pic:spPr>
                    <a:xfrm>
                      <a:off x="0" y="0"/>
                      <a:ext cx="5745480" cy="1057910"/>
                    </a:xfrm>
                    <a:prstGeom prst="rect">
                      <a:avLst/>
                    </a:prstGeom>
                  </pic:spPr>
                </pic:pic>
              </a:graphicData>
            </a:graphic>
          </wp:inline>
        </w:drawing>
      </w:r>
    </w:p>
    <w:p w14:paraId="5FBB143A" w14:textId="77777777" w:rsidR="00CC1923" w:rsidRPr="007812FB" w:rsidRDefault="00CC1923" w:rsidP="00DB779B">
      <w:pPr>
        <w:pStyle w:val="TeThHauorabodytext"/>
        <w:spacing w:before="240"/>
      </w:pPr>
      <w:r w:rsidRPr="007812FB">
        <w:t>The pathways are applicable as follows.</w:t>
      </w:r>
    </w:p>
    <w:p w14:paraId="2703D009" w14:textId="076CA883" w:rsidR="00CC1923" w:rsidRPr="007812FB" w:rsidRDefault="00CC1923" w:rsidP="00AA58F3">
      <w:pPr>
        <w:pStyle w:val="TeThHauorabullets"/>
        <w:ind w:right="117"/>
      </w:pPr>
      <w:r w:rsidRPr="007812FB">
        <w:rPr>
          <w:b/>
          <w:bCs/>
        </w:rPr>
        <w:t xml:space="preserve">Adult pathway: </w:t>
      </w:r>
      <w:r w:rsidRPr="007812FB">
        <w:t>Use this pathway for any patient who is not pregnant and 12 years or</w:t>
      </w:r>
      <w:r w:rsidR="00AA58F3" w:rsidRPr="007812FB">
        <w:t> </w:t>
      </w:r>
      <w:r w:rsidRPr="007812FB">
        <w:t>older.</w:t>
      </w:r>
    </w:p>
    <w:p w14:paraId="5850B060" w14:textId="77777777" w:rsidR="00CC1923" w:rsidRPr="007812FB" w:rsidRDefault="00CC1923" w:rsidP="00DB779B">
      <w:pPr>
        <w:pStyle w:val="TeThHauorabullets"/>
      </w:pPr>
      <w:r w:rsidRPr="007812FB">
        <w:rPr>
          <w:b/>
          <w:bCs/>
        </w:rPr>
        <w:t>Paediatric pathway:</w:t>
      </w:r>
      <w:r w:rsidRPr="007812FB">
        <w:t xml:space="preserve"> Use this pathway for children aged from 29 days to under 12 years.</w:t>
      </w:r>
      <w:r w:rsidRPr="007812FB" w:rsidDel="00020C19">
        <w:t xml:space="preserve"> </w:t>
      </w:r>
      <w:r w:rsidRPr="007812FB">
        <w:t>Vital sign parameters are aligned with age-appropriate ranges.</w:t>
      </w:r>
    </w:p>
    <w:p w14:paraId="2A8B3B2D" w14:textId="77777777" w:rsidR="00CC1923" w:rsidRPr="007812FB" w:rsidRDefault="00CC1923" w:rsidP="00DB779B">
      <w:pPr>
        <w:pStyle w:val="TeThHauorabullets"/>
        <w:spacing w:after="120"/>
      </w:pPr>
      <w:r w:rsidRPr="007812FB">
        <w:rPr>
          <w:b/>
          <w:bCs/>
        </w:rPr>
        <w:t>Maternity pathway</w:t>
      </w:r>
      <w:r w:rsidRPr="007812FB">
        <w:t>: Use this pathway for pregnant or postpartum patients up to six weeks post-delivery. The pathway gives special consideration to physiological changes in pregnancy.</w:t>
      </w:r>
    </w:p>
    <w:p w14:paraId="3A6A0131" w14:textId="77777777" w:rsidR="00CC1923" w:rsidRPr="007812FB" w:rsidRDefault="00CC1923" w:rsidP="00DB779B">
      <w:pPr>
        <w:pStyle w:val="TeThHauorabodytext"/>
      </w:pPr>
      <w:r w:rsidRPr="007812FB">
        <w:t>Before using the pathway, review the patient’s age, select the appropriate pathway and tick the box next to the corresponding patient cohort.</w:t>
      </w:r>
    </w:p>
    <w:p w14:paraId="0FBC9875" w14:textId="5AC7DF31" w:rsidR="00CC1923" w:rsidRPr="007812FB" w:rsidRDefault="00CC1923" w:rsidP="00DB779B">
      <w:pPr>
        <w:pStyle w:val="TeThHauorabodytext"/>
      </w:pPr>
      <w:r w:rsidRPr="007812FB">
        <w:t>Note: age groupings for the sepsis pathway are intentionally different from age groupings for national vital sign charts.</w:t>
      </w:r>
    </w:p>
    <w:p w14:paraId="51318A4F" w14:textId="0451D328" w:rsidR="00CC1923" w:rsidRPr="007812FB" w:rsidRDefault="00CC1923" w:rsidP="00BC7E40">
      <w:pPr>
        <w:pStyle w:val="TeThHauorahead2"/>
      </w:pPr>
      <w:bookmarkStart w:id="23" w:name="_Toc203326047"/>
      <w:bookmarkStart w:id="24" w:name="_Toc207862804"/>
      <w:r w:rsidRPr="007812FB">
        <w:t>Patient details and filing of pathway</w:t>
      </w:r>
      <w:bookmarkEnd w:id="23"/>
      <w:bookmarkEnd w:id="24"/>
    </w:p>
    <w:p w14:paraId="27E44303" w14:textId="2EC5700E" w:rsidR="00E1059B" w:rsidRPr="007812FB" w:rsidRDefault="00E1059B" w:rsidP="00D42976">
      <w:pPr>
        <w:pStyle w:val="TeThHauorabodytext"/>
        <w:spacing w:before="120"/>
      </w:pPr>
      <w:r w:rsidRPr="00716E50">
        <w:rPr>
          <w:noProof/>
        </w:rPr>
        <w:drawing>
          <wp:inline distT="0" distB="0" distL="0" distR="0" wp14:anchorId="67688DF1" wp14:editId="58205731">
            <wp:extent cx="5731510" cy="1550670"/>
            <wp:effectExtent l="19050" t="19050" r="21590" b="11430"/>
            <wp:docPr id="1899235114" name="Picture 1" descr="image showing patients fields for the sepsi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5114" name="Picture 1" descr="image showing patients fields for the sepsis pathway"/>
                    <pic:cNvPicPr/>
                  </pic:nvPicPr>
                  <pic:blipFill>
                    <a:blip r:embed="rId23"/>
                    <a:stretch>
                      <a:fillRect/>
                    </a:stretch>
                  </pic:blipFill>
                  <pic:spPr>
                    <a:xfrm>
                      <a:off x="0" y="0"/>
                      <a:ext cx="5731510" cy="1550670"/>
                    </a:xfrm>
                    <a:prstGeom prst="rect">
                      <a:avLst/>
                    </a:prstGeom>
                    <a:ln w="15875">
                      <a:solidFill>
                        <a:schemeClr val="tx1"/>
                      </a:solidFill>
                    </a:ln>
                  </pic:spPr>
                </pic:pic>
              </a:graphicData>
            </a:graphic>
          </wp:inline>
        </w:drawing>
      </w:r>
    </w:p>
    <w:p w14:paraId="65852F5D" w14:textId="77777777" w:rsidR="00CC1923" w:rsidRPr="007812FB" w:rsidRDefault="00CC1923" w:rsidP="00D42976">
      <w:pPr>
        <w:pStyle w:val="TeThHauorabodytext"/>
        <w:spacing w:before="240"/>
      </w:pPr>
      <w:r w:rsidRPr="007812FB">
        <w:t xml:space="preserve">Affix the patient label in the patient detail space and file the pathway in the clinical notes. </w:t>
      </w:r>
    </w:p>
    <w:p w14:paraId="4176F401" w14:textId="77777777" w:rsidR="00CC1923" w:rsidRPr="007812FB" w:rsidRDefault="00CC1923" w:rsidP="00BC7E40">
      <w:pPr>
        <w:pStyle w:val="TeThHauorahead2"/>
      </w:pPr>
      <w:bookmarkStart w:id="25" w:name="_Toc203326048"/>
      <w:bookmarkStart w:id="26" w:name="_Toc207862805"/>
      <w:r w:rsidRPr="007812FB">
        <w:t>Risk factors for sepsis</w:t>
      </w:r>
      <w:bookmarkEnd w:id="25"/>
      <w:bookmarkEnd w:id="26"/>
    </w:p>
    <w:p w14:paraId="0B7B8F73" w14:textId="0C95105D" w:rsidR="00CC1923" w:rsidRPr="007812FB" w:rsidRDefault="00CC1923" w:rsidP="00AD4938">
      <w:pPr>
        <w:pStyle w:val="TeThHauorabodytext"/>
      </w:pPr>
      <w:r w:rsidRPr="007812FB">
        <w:t>Health care professionals should be aware of key factors that increase a patient’s risk of developing sepsis. This section outlines common risk factors; though not exhaustive, it highlights high-risk groups such as older adults, immunocompromised people, people who</w:t>
      </w:r>
      <w:r w:rsidR="00AA58F3" w:rsidRPr="007812FB">
        <w:t> </w:t>
      </w:r>
      <w:r w:rsidRPr="007812FB">
        <w:t>have recently had surgery or have invasive devices, and patients with chronic health</w:t>
      </w:r>
      <w:r w:rsidR="00AA58F3" w:rsidRPr="007812FB">
        <w:t> </w:t>
      </w:r>
      <w:r w:rsidRPr="007812FB">
        <w:t>conditions.</w:t>
      </w:r>
    </w:p>
    <w:p w14:paraId="1E3AF463" w14:textId="77777777" w:rsidR="00CC1923" w:rsidRPr="007812FB" w:rsidRDefault="00CC1923" w:rsidP="00AD4938">
      <w:pPr>
        <w:pStyle w:val="TeThHauorabodytext"/>
        <w:rPr>
          <w:b/>
          <w:bCs/>
        </w:rPr>
      </w:pPr>
      <w:r w:rsidRPr="007812FB">
        <w:t xml:space="preserve">When one or more sepsis risk factors are present, maintain a high level of clinical suspicion, even if signs and symptoms are minimal or unclear. </w:t>
      </w:r>
    </w:p>
    <w:p w14:paraId="56BE49FD" w14:textId="28619574" w:rsidR="00CC1923" w:rsidRPr="007812FB" w:rsidRDefault="002B6B1A" w:rsidP="00AD4938">
      <w:pPr>
        <w:pStyle w:val="TeThHauorabodytext"/>
        <w:rPr>
          <w:bCs/>
        </w:rPr>
      </w:pPr>
      <w:r w:rsidRPr="00E30B05">
        <w:rPr>
          <w:noProof/>
        </w:rPr>
        <w:lastRenderedPageBreak/>
        <w:drawing>
          <wp:inline distT="0" distB="0" distL="0" distR="0" wp14:anchorId="11C46981" wp14:editId="2F7BDC65">
            <wp:extent cx="5731510" cy="1329690"/>
            <wp:effectExtent l="19050" t="19050" r="21590" b="22860"/>
            <wp:docPr id="330804678" name="Picture 1" descr="Image showing sepsis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4678" name="Picture 1" descr="Image showing sepsis risk factors"/>
                    <pic:cNvPicPr/>
                  </pic:nvPicPr>
                  <pic:blipFill>
                    <a:blip r:embed="rId24"/>
                    <a:stretch>
                      <a:fillRect/>
                    </a:stretch>
                  </pic:blipFill>
                  <pic:spPr>
                    <a:xfrm>
                      <a:off x="0" y="0"/>
                      <a:ext cx="5731510" cy="1329690"/>
                    </a:xfrm>
                    <a:prstGeom prst="rect">
                      <a:avLst/>
                    </a:prstGeom>
                    <a:ln w="15875">
                      <a:solidFill>
                        <a:schemeClr val="accent1">
                          <a:shade val="15000"/>
                        </a:schemeClr>
                      </a:solidFill>
                    </a:ln>
                  </pic:spPr>
                </pic:pic>
              </a:graphicData>
            </a:graphic>
          </wp:inline>
        </w:drawing>
      </w:r>
    </w:p>
    <w:p w14:paraId="5D294873" w14:textId="77777777" w:rsidR="00CC1923" w:rsidRPr="007812FB" w:rsidRDefault="00CC1923" w:rsidP="00BC7E40">
      <w:pPr>
        <w:pStyle w:val="TeThHauorahead2"/>
      </w:pPr>
      <w:bookmarkStart w:id="27" w:name="_Toc203326049"/>
      <w:bookmarkStart w:id="28" w:name="_Toc207862806"/>
      <w:r w:rsidRPr="007812FB">
        <w:t>Initial screening for sepsis</w:t>
      </w:r>
      <w:bookmarkEnd w:id="27"/>
      <w:bookmarkEnd w:id="28"/>
      <w:r w:rsidRPr="007812FB">
        <w:t xml:space="preserve"> </w:t>
      </w:r>
    </w:p>
    <w:p w14:paraId="13CD3FF1" w14:textId="77777777" w:rsidR="00CC1923" w:rsidRDefault="00CC1923" w:rsidP="00BC7E40">
      <w:pPr>
        <w:pStyle w:val="TeThHauorabodytext"/>
      </w:pPr>
      <w:r w:rsidRPr="007812FB">
        <w:t>Screening for sepsis is a crucial first step in identifying patients at risk of deterioration due to infection. The ‘Recognise’ section of the sepsis pathway will help you to complete the initial screening process. The screening criteria are tailored to each patient cohort, but the overall process remains consistent.</w:t>
      </w:r>
    </w:p>
    <w:p w14:paraId="7AFCC209" w14:textId="23965A30" w:rsidR="009C13BF" w:rsidRPr="007812FB" w:rsidRDefault="009C13BF" w:rsidP="00BC7E40">
      <w:pPr>
        <w:pStyle w:val="TeThHauorabodytext"/>
      </w:pPr>
      <w:r w:rsidRPr="00753948">
        <w:rPr>
          <w:noProof/>
        </w:rPr>
        <w:drawing>
          <wp:inline distT="0" distB="0" distL="0" distR="0" wp14:anchorId="5A0EB76E" wp14:editId="642B14C0">
            <wp:extent cx="5731510" cy="1746885"/>
            <wp:effectExtent l="19050" t="19050" r="21590" b="24765"/>
            <wp:docPr id="89811799" name="Picture 1" descr="Image showing how to recognise se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1799" name="Picture 1" descr="Image showing how to recognise sepsis"/>
                    <pic:cNvPicPr/>
                  </pic:nvPicPr>
                  <pic:blipFill>
                    <a:blip r:embed="rId25"/>
                    <a:stretch>
                      <a:fillRect/>
                    </a:stretch>
                  </pic:blipFill>
                  <pic:spPr>
                    <a:xfrm>
                      <a:off x="0" y="0"/>
                      <a:ext cx="5731510" cy="1746885"/>
                    </a:xfrm>
                    <a:prstGeom prst="rect">
                      <a:avLst/>
                    </a:prstGeom>
                    <a:ln w="15875">
                      <a:solidFill>
                        <a:schemeClr val="accent1">
                          <a:shade val="15000"/>
                        </a:schemeClr>
                      </a:solidFill>
                    </a:ln>
                  </pic:spPr>
                </pic:pic>
              </a:graphicData>
            </a:graphic>
          </wp:inline>
        </w:drawing>
      </w:r>
    </w:p>
    <w:p w14:paraId="51E0668A" w14:textId="1983AB01" w:rsidR="00CC1923" w:rsidRPr="007812FB" w:rsidRDefault="00CC1923" w:rsidP="00AD4938">
      <w:pPr>
        <w:pStyle w:val="TeThHauorabodytext"/>
        <w:spacing w:before="240"/>
      </w:pPr>
      <w:r w:rsidRPr="007812FB">
        <w:t>Use this section as follows</w:t>
      </w:r>
      <w:r w:rsidR="00EF4EF3">
        <w:t>.</w:t>
      </w:r>
    </w:p>
    <w:p w14:paraId="28CA95F9" w14:textId="77777777" w:rsidR="00CC1923" w:rsidRPr="007812FB" w:rsidRDefault="00CC1923" w:rsidP="00AD4938">
      <w:pPr>
        <w:pStyle w:val="TeThHauorabullets"/>
      </w:pPr>
      <w:r w:rsidRPr="007812FB">
        <w:t xml:space="preserve">Record the date, initials and time (in 24-hour format) screening started. </w:t>
      </w:r>
    </w:p>
    <w:p w14:paraId="7EE84320" w14:textId="77777777" w:rsidR="00CC1923" w:rsidRPr="007812FB" w:rsidRDefault="00CC1923" w:rsidP="00AD4938">
      <w:pPr>
        <w:pStyle w:val="TeThHauorabullets"/>
      </w:pPr>
      <w:r w:rsidRPr="007812FB">
        <w:t>A checkbox (</w:t>
      </w:r>
      <w:r w:rsidRPr="007812FB">
        <w:rPr>
          <w:sz w:val="28"/>
          <w:szCs w:val="28"/>
        </w:rPr>
        <w:t>□</w:t>
      </w:r>
      <w:r w:rsidRPr="007812FB">
        <w:t>) is provided in front of each step. Tick all options that are applicable for the patient.</w:t>
      </w:r>
    </w:p>
    <w:p w14:paraId="2F642261" w14:textId="77777777" w:rsidR="00CC1923" w:rsidRPr="007812FB" w:rsidRDefault="00CC1923" w:rsidP="00AD4938">
      <w:pPr>
        <w:pStyle w:val="TeThHauorabullets"/>
      </w:pPr>
      <w:r w:rsidRPr="007812FB">
        <w:t xml:space="preserve">If there are signs of suspected or confirmed infection, proceed to the next screening question; otherwise, exit the pathway and file it in the patient record. </w:t>
      </w:r>
    </w:p>
    <w:p w14:paraId="2F87B18A" w14:textId="77777777" w:rsidR="00CC1923" w:rsidRPr="007812FB" w:rsidRDefault="00CC1923" w:rsidP="00AD4938">
      <w:pPr>
        <w:pStyle w:val="TeThHauorabullets"/>
      </w:pPr>
      <w:r w:rsidRPr="007812FB">
        <w:t>At this point, the patient should continue to receive standard clinical care and monitoring in accordance with local protocols.</w:t>
      </w:r>
    </w:p>
    <w:p w14:paraId="03B2CDDC" w14:textId="77777777" w:rsidR="00CC1923" w:rsidRPr="007812FB" w:rsidRDefault="00CC1923" w:rsidP="00AD4938">
      <w:pPr>
        <w:pStyle w:val="TeThHauorabullets"/>
      </w:pPr>
      <w:r w:rsidRPr="007812FB">
        <w:t>‘Suspected or confirmed infection’ refers to a clinical judgement that infection is likely, based on history, symptoms or early test results, even if this has not yet been confirmed by microbiology.</w:t>
      </w:r>
    </w:p>
    <w:p w14:paraId="7D901269" w14:textId="77777777" w:rsidR="00CC1923" w:rsidRPr="007812FB" w:rsidRDefault="00CC1923" w:rsidP="00AD4938">
      <w:pPr>
        <w:pStyle w:val="TeThHauorabullets"/>
      </w:pPr>
      <w:r w:rsidRPr="007812FB">
        <w:t>Tick ‘Appears seriously unwell’ if the patient has an altered mental status, hypotension, rapid breathing, mottled skin or signs of hypoperfusion.</w:t>
      </w:r>
    </w:p>
    <w:p w14:paraId="1B1F4DC4" w14:textId="77777777" w:rsidR="00CC1923" w:rsidRPr="007812FB" w:rsidRDefault="00CC1923" w:rsidP="00AD4938">
      <w:pPr>
        <w:pStyle w:val="TeThHauorabullets"/>
      </w:pPr>
      <w:r w:rsidRPr="007812FB">
        <w:t>‘Pre-hospital treatment for sepsis’ includes any antibiotic, IV fluids or oxygen provided in urgent care, an ambulance or interhospital transfer.</w:t>
      </w:r>
    </w:p>
    <w:p w14:paraId="1AF7295A" w14:textId="77777777" w:rsidR="00CC1923" w:rsidRPr="007812FB" w:rsidRDefault="00CC1923" w:rsidP="00AD4938">
      <w:pPr>
        <w:pStyle w:val="TeThHauorabullets"/>
      </w:pPr>
      <w:r w:rsidRPr="007812FB">
        <w:t xml:space="preserve">If the patient meets any of the criteria, assess the patient for RED FLAG sepsis. </w:t>
      </w:r>
    </w:p>
    <w:p w14:paraId="16FA30AC" w14:textId="54A20004" w:rsidR="00CC1923" w:rsidRPr="007812FB" w:rsidRDefault="00DB7541" w:rsidP="00BC7E40">
      <w:pPr>
        <w:pStyle w:val="TeThHauorahead2"/>
      </w:pPr>
      <w:bookmarkStart w:id="29" w:name="_Toc203326050"/>
      <w:bookmarkStart w:id="30" w:name="_Toc207862807"/>
      <w:bookmarkStart w:id="31" w:name="_Toc201591568"/>
      <w:r w:rsidRPr="000F01B9">
        <w:rPr>
          <w:noProof/>
        </w:rPr>
        <w:lastRenderedPageBreak/>
        <w:drawing>
          <wp:anchor distT="0" distB="0" distL="114300" distR="114300" simplePos="0" relativeHeight="251658244" behindDoc="0" locked="0" layoutInCell="1" allowOverlap="1" wp14:anchorId="2FACEE43" wp14:editId="533AD36E">
            <wp:simplePos x="0" y="0"/>
            <wp:positionH relativeFrom="margin">
              <wp:align>right</wp:align>
            </wp:positionH>
            <wp:positionV relativeFrom="paragraph">
              <wp:posOffset>27305</wp:posOffset>
            </wp:positionV>
            <wp:extent cx="1941195" cy="1598295"/>
            <wp:effectExtent l="19050" t="19050" r="20955" b="20955"/>
            <wp:wrapSquare wrapText="bothSides"/>
            <wp:docPr id="694874520" name="Picture 1" descr="Image showing list of sepsis symptoms that fall into 'red fla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74520" name="Picture 1" descr="Image showing list of sepsis symptoms that fall into 'red flag' criteria."/>
                    <pic:cNvPicPr/>
                  </pic:nvPicPr>
                  <pic:blipFill>
                    <a:blip r:embed="rId26">
                      <a:extLst>
                        <a:ext uri="{28A0092B-C50C-407E-A947-70E740481C1C}">
                          <a14:useLocalDpi xmlns:a14="http://schemas.microsoft.com/office/drawing/2010/main" val="0"/>
                        </a:ext>
                      </a:extLst>
                    </a:blip>
                    <a:stretch>
                      <a:fillRect/>
                    </a:stretch>
                  </pic:blipFill>
                  <pic:spPr>
                    <a:xfrm>
                      <a:off x="0" y="0"/>
                      <a:ext cx="1941195" cy="1598295"/>
                    </a:xfrm>
                    <a:prstGeom prst="rect">
                      <a:avLst/>
                    </a:prstGeom>
                    <a:ln w="15875">
                      <a:solidFill>
                        <a:schemeClr val="accent1">
                          <a:shade val="15000"/>
                        </a:schemeClr>
                      </a:solidFill>
                    </a:ln>
                  </pic:spPr>
                </pic:pic>
              </a:graphicData>
            </a:graphic>
            <wp14:sizeRelH relativeFrom="margin">
              <wp14:pctWidth>0</wp14:pctWidth>
            </wp14:sizeRelH>
            <wp14:sizeRelV relativeFrom="margin">
              <wp14:pctHeight>0</wp14:pctHeight>
            </wp14:sizeRelV>
          </wp:anchor>
        </w:drawing>
      </w:r>
      <w:r w:rsidR="00CC1923" w:rsidRPr="007812FB">
        <w:t>Screening for RED FLAG sepsis</w:t>
      </w:r>
      <w:bookmarkEnd w:id="29"/>
      <w:bookmarkEnd w:id="30"/>
      <w:r w:rsidR="00CC1923" w:rsidRPr="007812FB">
        <w:t xml:space="preserve"> </w:t>
      </w:r>
    </w:p>
    <w:bookmarkEnd w:id="31"/>
    <w:p w14:paraId="1729FB32" w14:textId="0A8BE9F0" w:rsidR="00CC1923" w:rsidRPr="007812FB" w:rsidRDefault="00CC1923" w:rsidP="00AD4938">
      <w:pPr>
        <w:pStyle w:val="TeThHauorabodytext"/>
      </w:pPr>
      <w:r w:rsidRPr="007812FB">
        <w:t>The red flags listed in the ‘RED FLAGS’ section on the sepsis pathway signal a high likelihood of life-threatening organ dysfunction requiring immediate action. Use this section as follows.</w:t>
      </w:r>
    </w:p>
    <w:p w14:paraId="4096764B" w14:textId="2D5941D2" w:rsidR="00CC1923" w:rsidRPr="007812FB" w:rsidRDefault="00CC1923" w:rsidP="00AD4938">
      <w:pPr>
        <w:pStyle w:val="TeThHauorabodytext"/>
      </w:pPr>
      <w:r w:rsidRPr="007812FB">
        <w:t>If the patient meets any of the RED FLAG criteria, tick the appropriate checkboxes</w:t>
      </w:r>
      <w:r w:rsidR="00AD4938" w:rsidRPr="007812FB">
        <w:t>.</w:t>
      </w:r>
      <w:r w:rsidRPr="007812FB">
        <w:t xml:space="preserve"> </w:t>
      </w:r>
    </w:p>
    <w:p w14:paraId="6744FFDF" w14:textId="2EF101AC" w:rsidR="00CC1923" w:rsidRPr="007812FB" w:rsidRDefault="00CC1923" w:rsidP="00AD4938">
      <w:pPr>
        <w:pStyle w:val="TeThHauorabodytext"/>
      </w:pPr>
      <w:r w:rsidRPr="007812FB">
        <w:t xml:space="preserve">If you have identified one or more RED FLAGS, initiate Sepsis Six (sepsis resuscitation) immediately. </w:t>
      </w:r>
    </w:p>
    <w:p w14:paraId="5D190C0A" w14:textId="3EBFEA9A" w:rsidR="00CC1923" w:rsidRPr="007812FB" w:rsidRDefault="00CC1923" w:rsidP="00AD4938">
      <w:pPr>
        <w:pStyle w:val="TeThHauorabodytext"/>
      </w:pPr>
      <w:r w:rsidRPr="007812FB">
        <w:t>If you have identified no RED FLAGS, assess the patient for AMBER FLAGS.</w:t>
      </w:r>
      <w:r w:rsidR="00636C93" w:rsidRPr="007812FB">
        <w:t xml:space="preserve"> </w:t>
      </w:r>
    </w:p>
    <w:p w14:paraId="24EFC968" w14:textId="742AE757" w:rsidR="00CC1923" w:rsidRPr="007812FB" w:rsidRDefault="00B155B2" w:rsidP="00BC7E40">
      <w:pPr>
        <w:pStyle w:val="TeThHauorahead2"/>
      </w:pPr>
      <w:bookmarkStart w:id="32" w:name="_Toc203326051"/>
      <w:bookmarkStart w:id="33" w:name="_Toc207862808"/>
      <w:r w:rsidRPr="003857D9">
        <w:rPr>
          <w:noProof/>
        </w:rPr>
        <w:drawing>
          <wp:anchor distT="0" distB="0" distL="114300" distR="114300" simplePos="0" relativeHeight="251658245" behindDoc="0" locked="0" layoutInCell="1" allowOverlap="1" wp14:anchorId="54A340F4" wp14:editId="2F108CA8">
            <wp:simplePos x="0" y="0"/>
            <wp:positionH relativeFrom="margin">
              <wp:posOffset>3371850</wp:posOffset>
            </wp:positionH>
            <wp:positionV relativeFrom="paragraph">
              <wp:posOffset>373380</wp:posOffset>
            </wp:positionV>
            <wp:extent cx="2347595" cy="1141095"/>
            <wp:effectExtent l="19050" t="19050" r="14605" b="20955"/>
            <wp:wrapSquare wrapText="bothSides"/>
            <wp:docPr id="1988929826" name="Picture 1" descr="Image showing list of sepsis symptoms that fall into 'amber fla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29826" name="Picture 1" descr="Image showing list of sepsis symptoms that fall into 'amber flag' criteria."/>
                    <pic:cNvPicPr/>
                  </pic:nvPicPr>
                  <pic:blipFill>
                    <a:blip r:embed="rId27">
                      <a:extLst>
                        <a:ext uri="{28A0092B-C50C-407E-A947-70E740481C1C}">
                          <a14:useLocalDpi xmlns:a14="http://schemas.microsoft.com/office/drawing/2010/main" val="0"/>
                        </a:ext>
                      </a:extLst>
                    </a:blip>
                    <a:stretch>
                      <a:fillRect/>
                    </a:stretch>
                  </pic:blipFill>
                  <pic:spPr>
                    <a:xfrm>
                      <a:off x="0" y="0"/>
                      <a:ext cx="2347595" cy="1141095"/>
                    </a:xfrm>
                    <a:prstGeom prst="rect">
                      <a:avLst/>
                    </a:prstGeom>
                    <a:ln w="15875">
                      <a:solidFill>
                        <a:schemeClr val="accent1">
                          <a:shade val="15000"/>
                        </a:schemeClr>
                      </a:solidFill>
                    </a:ln>
                  </pic:spPr>
                </pic:pic>
              </a:graphicData>
            </a:graphic>
            <wp14:sizeRelH relativeFrom="margin">
              <wp14:pctWidth>0</wp14:pctWidth>
            </wp14:sizeRelH>
            <wp14:sizeRelV relativeFrom="margin">
              <wp14:pctHeight>0</wp14:pctHeight>
            </wp14:sizeRelV>
          </wp:anchor>
        </w:drawing>
      </w:r>
      <w:r w:rsidR="00CC1923" w:rsidRPr="007812FB">
        <w:t>Screening for AMBER FLAG sepsis</w:t>
      </w:r>
      <w:bookmarkEnd w:id="32"/>
      <w:bookmarkEnd w:id="33"/>
      <w:r w:rsidR="00636C93" w:rsidRPr="007812FB">
        <w:t xml:space="preserve"> </w:t>
      </w:r>
    </w:p>
    <w:p w14:paraId="1E0E523B" w14:textId="77777777" w:rsidR="00CC1923" w:rsidRPr="007812FB" w:rsidRDefault="00CC1923" w:rsidP="00EC3899">
      <w:pPr>
        <w:pStyle w:val="TeThHauorabodytext"/>
      </w:pPr>
      <w:bookmarkStart w:id="34" w:name="_Hlk203029546"/>
      <w:r w:rsidRPr="007812FB">
        <w:t>The presence of one or more AMBER FLAGS may indicate a moderate to high risk of deterioration requiring prompt clinical review.</w:t>
      </w:r>
    </w:p>
    <w:p w14:paraId="267564CC" w14:textId="01A8F842" w:rsidR="00CC1923" w:rsidRPr="007812FB" w:rsidRDefault="00CC1923" w:rsidP="00EC3899">
      <w:pPr>
        <w:pStyle w:val="TeThHauorabodytext"/>
      </w:pPr>
      <w:r w:rsidRPr="007812FB">
        <w:t>If you have identified no RED FLAGS, assess the patient for AMBER FLAGS. Tick all checkboxes that are appliable.</w:t>
      </w:r>
      <w:r w:rsidR="00636C93" w:rsidRPr="007812FB">
        <w:t xml:space="preserve"> </w:t>
      </w:r>
    </w:p>
    <w:p w14:paraId="00A8A4E7" w14:textId="625A3CFC" w:rsidR="00CC1923" w:rsidRPr="007812FB" w:rsidRDefault="00CC1923" w:rsidP="00BC7E40">
      <w:pPr>
        <w:pStyle w:val="TeThHauorahead2"/>
      </w:pPr>
      <w:bookmarkStart w:id="35" w:name="_Toc203326052"/>
      <w:bookmarkStart w:id="36" w:name="_Toc207862809"/>
      <w:r w:rsidRPr="007812FB">
        <w:t>Treatment/interventions for AMBER FLAG sepsis</w:t>
      </w:r>
      <w:bookmarkEnd w:id="35"/>
      <w:bookmarkEnd w:id="36"/>
      <w:r w:rsidR="00636C93" w:rsidRPr="007812FB">
        <w:t xml:space="preserve"> </w:t>
      </w:r>
    </w:p>
    <w:p w14:paraId="60CAEDA2" w14:textId="65653134" w:rsidR="00CC1923" w:rsidRPr="007812FB" w:rsidRDefault="00094588" w:rsidP="00EC3899">
      <w:pPr>
        <w:pStyle w:val="TeThHauorabodytext"/>
      </w:pPr>
      <w:bookmarkStart w:id="37" w:name="_Hlk203029578"/>
      <w:bookmarkEnd w:id="34"/>
      <w:r w:rsidRPr="00430513">
        <w:rPr>
          <w:noProof/>
        </w:rPr>
        <w:drawing>
          <wp:anchor distT="0" distB="0" distL="114300" distR="114300" simplePos="0" relativeHeight="251658246" behindDoc="0" locked="0" layoutInCell="1" allowOverlap="1" wp14:anchorId="035E4D47" wp14:editId="401236D1">
            <wp:simplePos x="0" y="0"/>
            <wp:positionH relativeFrom="margin">
              <wp:posOffset>3219450</wp:posOffset>
            </wp:positionH>
            <wp:positionV relativeFrom="paragraph">
              <wp:posOffset>162560</wp:posOffset>
            </wp:positionV>
            <wp:extent cx="2498090" cy="1993900"/>
            <wp:effectExtent l="19050" t="19050" r="16510" b="25400"/>
            <wp:wrapSquare wrapText="bothSides"/>
            <wp:docPr id="867915772" name="Picture 1" descr="Image showing tratement for 'amber flag' se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5772" name="Picture 1" descr="Image showing tratement for 'amber flag' sepsis"/>
                    <pic:cNvPicPr/>
                  </pic:nvPicPr>
                  <pic:blipFill>
                    <a:blip r:embed="rId28">
                      <a:extLst>
                        <a:ext uri="{28A0092B-C50C-407E-A947-70E740481C1C}">
                          <a14:useLocalDpi xmlns:a14="http://schemas.microsoft.com/office/drawing/2010/main" val="0"/>
                        </a:ext>
                      </a:extLst>
                    </a:blip>
                    <a:stretch>
                      <a:fillRect/>
                    </a:stretch>
                  </pic:blipFill>
                  <pic:spPr>
                    <a:xfrm>
                      <a:off x="0" y="0"/>
                      <a:ext cx="2498090" cy="199390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CC1923" w:rsidRPr="007812FB">
        <w:t>Use this section as follows.</w:t>
      </w:r>
      <w:r w:rsidRPr="00094588">
        <w:t xml:space="preserve"> </w:t>
      </w:r>
    </w:p>
    <w:p w14:paraId="640B5723" w14:textId="3CA88DEE" w:rsidR="00CC1923" w:rsidRPr="007812FB" w:rsidRDefault="00CC1923" w:rsidP="00EC3899">
      <w:pPr>
        <w:pStyle w:val="TeThHauorabullets"/>
      </w:pPr>
      <w:r w:rsidRPr="007812FB">
        <w:t xml:space="preserve">Where you have identified AMBER FLAGS, proceed with recommended treatment plan. </w:t>
      </w:r>
    </w:p>
    <w:p w14:paraId="221AC59D" w14:textId="5635CAEF" w:rsidR="00CC1923" w:rsidRPr="007812FB" w:rsidRDefault="00CC1923" w:rsidP="00EC3899">
      <w:pPr>
        <w:pStyle w:val="TeThHauorabullets"/>
      </w:pPr>
      <w:r w:rsidRPr="007812FB">
        <w:t>If you identified no flags, stop the pathway; record the date, time and your initials and file the pathway in the patient record.</w:t>
      </w:r>
      <w:r w:rsidR="00636C93" w:rsidRPr="007812FB">
        <w:t xml:space="preserve"> </w:t>
      </w:r>
    </w:p>
    <w:p w14:paraId="781BE116" w14:textId="77777777" w:rsidR="00CC1923" w:rsidRPr="007812FB" w:rsidRDefault="00CC1923" w:rsidP="00EC3899">
      <w:pPr>
        <w:pStyle w:val="TeThHauorabullets"/>
      </w:pPr>
      <w:r w:rsidRPr="007812FB">
        <w:rPr>
          <w:rFonts w:eastAsia="Calibri"/>
        </w:rPr>
        <w:t>If you have identified two or more AMBER FLAGS, initiate appropriate investigations (</w:t>
      </w:r>
      <w:proofErr w:type="spellStart"/>
      <w:r w:rsidRPr="007812FB">
        <w:rPr>
          <w:rFonts w:eastAsia="Calibri"/>
        </w:rPr>
        <w:t>eg</w:t>
      </w:r>
      <w:proofErr w:type="spellEnd"/>
      <w:r w:rsidRPr="007812FB">
        <w:rPr>
          <w:rFonts w:eastAsia="Calibri"/>
        </w:rPr>
        <w:t>, blood tests, cultures), maintain fluid balance, and escalate to a senior clinician if concerns persist.</w:t>
      </w:r>
    </w:p>
    <w:p w14:paraId="60970D04" w14:textId="549F6E2C" w:rsidR="00CC1923" w:rsidRPr="007812FB" w:rsidRDefault="00CC1923" w:rsidP="00EC3899">
      <w:pPr>
        <w:pStyle w:val="TeThHauorabullets"/>
      </w:pPr>
      <w:r w:rsidRPr="007812FB">
        <w:rPr>
          <w:rFonts w:eastAsia="Calibri"/>
        </w:rPr>
        <w:t xml:space="preserve">Where, during this process, you identify new RED FLAGS or acute kidney injury, </w:t>
      </w:r>
      <w:r w:rsidRPr="007812FB">
        <w:t>initiate Sepsis Six (sepsis resuscitation) immediately</w:t>
      </w:r>
      <w:r w:rsidRPr="007812FB">
        <w:rPr>
          <w:rFonts w:eastAsia="Calibri"/>
        </w:rPr>
        <w:t>.</w:t>
      </w:r>
      <w:bookmarkEnd w:id="37"/>
    </w:p>
    <w:p w14:paraId="1DDB2E64" w14:textId="18ED53C8" w:rsidR="00CC1923" w:rsidRPr="007812FB" w:rsidRDefault="00CC1923" w:rsidP="00BC7E40">
      <w:pPr>
        <w:pStyle w:val="TeThHauorahead2"/>
      </w:pPr>
      <w:bookmarkStart w:id="38" w:name="_Toc203326053"/>
      <w:bookmarkStart w:id="39" w:name="_Toc207862810"/>
      <w:r w:rsidRPr="007812FB">
        <w:t>Sepsis Six (sepsis resuscitation)</w:t>
      </w:r>
      <w:bookmarkEnd w:id="38"/>
      <w:bookmarkEnd w:id="39"/>
      <w:r w:rsidRPr="007812FB">
        <w:t xml:space="preserve"> </w:t>
      </w:r>
    </w:p>
    <w:p w14:paraId="7C8F874B" w14:textId="4A371B8B" w:rsidR="00CC1923" w:rsidRPr="007812FB" w:rsidRDefault="00CC1923" w:rsidP="00EC3899">
      <w:pPr>
        <w:pStyle w:val="TeThHauorabodytext"/>
      </w:pPr>
      <w:r w:rsidRPr="007812FB">
        <w:t>The Sepsis Six is a bundle of time-critical interventions designed to reduce mortality and serious health complications due to sepsis by ensuring early, structured intervention. Use the</w:t>
      </w:r>
      <w:r w:rsidR="004D3BC2" w:rsidRPr="007812FB">
        <w:t> </w:t>
      </w:r>
      <w:r w:rsidRPr="007812FB">
        <w:t xml:space="preserve">Sepsis Six as follows. </w:t>
      </w:r>
    </w:p>
    <w:p w14:paraId="294647B3" w14:textId="77777777" w:rsidR="00CC1923" w:rsidRPr="007812FB" w:rsidRDefault="00CC1923" w:rsidP="00EC3899">
      <w:pPr>
        <w:pStyle w:val="TeThHauorabullets"/>
      </w:pPr>
      <w:r w:rsidRPr="007812FB">
        <w:t xml:space="preserve">Record the date, time and your initials at the top of the pathway when you initiate resuscitation treatment. This provides a clear clinical timeline, supports timely escalation and communication and enables retrospective review and quality improvement. </w:t>
      </w:r>
    </w:p>
    <w:p w14:paraId="083976D2" w14:textId="77777777" w:rsidR="00CC1923" w:rsidRPr="007812FB" w:rsidRDefault="00CC1923" w:rsidP="00EC3899">
      <w:pPr>
        <w:pStyle w:val="TeThHauorabullets"/>
      </w:pPr>
      <w:r w:rsidRPr="007812FB">
        <w:lastRenderedPageBreak/>
        <w:t xml:space="preserve">Deliver all applicable interventions within one hour from the time you identified one or more RED FLAGs. </w:t>
      </w:r>
    </w:p>
    <w:p w14:paraId="1F901322" w14:textId="77777777" w:rsidR="00CC1923" w:rsidRPr="007812FB" w:rsidRDefault="00CC1923" w:rsidP="00EC3899">
      <w:pPr>
        <w:pStyle w:val="TeThHauorabullets"/>
      </w:pPr>
      <w:r w:rsidRPr="007812FB">
        <w:t xml:space="preserve">Not all interventions provided under Sepsis Six will be applicable for some patients. In such cases, tick ‘N/A’. </w:t>
      </w:r>
    </w:p>
    <w:p w14:paraId="753AC5B5" w14:textId="77777777" w:rsidR="00CC1923" w:rsidRPr="007812FB" w:rsidRDefault="00CC1923" w:rsidP="00EC3899">
      <w:pPr>
        <w:pStyle w:val="TeThHauorabullets"/>
      </w:pPr>
      <w:r w:rsidRPr="007812FB">
        <w:t>For each intervention, record the time (in 24-hour format) and your initials in the provided space.</w:t>
      </w:r>
    </w:p>
    <w:p w14:paraId="6ABFA018" w14:textId="77777777" w:rsidR="00CC1923" w:rsidRPr="007812FB" w:rsidRDefault="00CC1923" w:rsidP="00EC3899">
      <w:pPr>
        <w:pStyle w:val="TeThHauorabullets"/>
      </w:pPr>
      <w:r w:rsidRPr="007812FB">
        <w:t xml:space="preserve">Although the interventions are numbered, they are not intended to be carried out in a specific order. </w:t>
      </w:r>
    </w:p>
    <w:p w14:paraId="546DB5EC" w14:textId="77777777" w:rsidR="00CC1923" w:rsidRPr="007812FB" w:rsidRDefault="00CC1923" w:rsidP="00EC3899">
      <w:pPr>
        <w:pStyle w:val="TeThHauorabullets"/>
        <w:spacing w:after="120"/>
      </w:pPr>
      <w:r w:rsidRPr="007812FB">
        <w:t>The list of senior clinicians in the ‘Get Help’ section is a guide only. Follow your local escalation protocols. We strongly recommend you use the phrase ‘Patient has RED FLAG sepsis’ to prompt urgent response.</w:t>
      </w:r>
    </w:p>
    <w:p w14:paraId="0FE90C95" w14:textId="77777777" w:rsidR="00CC1923" w:rsidRDefault="00CC1923" w:rsidP="00EC3899">
      <w:pPr>
        <w:pStyle w:val="TeThHauorabodytext"/>
        <w:spacing w:after="240"/>
      </w:pPr>
      <w:r w:rsidRPr="007812FB">
        <w:t>Use a sepsis-specific antibiotic guideline if available or follow national or local antimicrobial guidelines.</w:t>
      </w:r>
    </w:p>
    <w:p w14:paraId="62D5777B" w14:textId="5FD38623" w:rsidR="00614859" w:rsidRPr="007812FB" w:rsidRDefault="00614859" w:rsidP="00EC3899">
      <w:pPr>
        <w:pStyle w:val="TeThHauorabodytext"/>
        <w:spacing w:after="240"/>
        <w:rPr>
          <w:b/>
          <w:bCs/>
        </w:rPr>
      </w:pPr>
      <w:r w:rsidRPr="002B607E">
        <w:rPr>
          <w:noProof/>
        </w:rPr>
        <w:drawing>
          <wp:inline distT="0" distB="0" distL="0" distR="0" wp14:anchorId="50CDD098" wp14:editId="17955A37">
            <wp:extent cx="5423389" cy="5170426"/>
            <wp:effectExtent l="19050" t="19050" r="25400" b="11430"/>
            <wp:docPr id="173062826" name="Picture 1" descr="Image showing sepsis six treat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2826" name="Picture 1" descr="Image showing sepsis six treatment plan"/>
                    <pic:cNvPicPr/>
                  </pic:nvPicPr>
                  <pic:blipFill>
                    <a:blip r:embed="rId29"/>
                    <a:stretch>
                      <a:fillRect/>
                    </a:stretch>
                  </pic:blipFill>
                  <pic:spPr>
                    <a:xfrm>
                      <a:off x="0" y="0"/>
                      <a:ext cx="5426081" cy="5172993"/>
                    </a:xfrm>
                    <a:prstGeom prst="rect">
                      <a:avLst/>
                    </a:prstGeom>
                    <a:ln w="15875">
                      <a:solidFill>
                        <a:schemeClr val="tx1"/>
                      </a:solidFill>
                    </a:ln>
                  </pic:spPr>
                </pic:pic>
              </a:graphicData>
            </a:graphic>
          </wp:inline>
        </w:drawing>
      </w:r>
    </w:p>
    <w:p w14:paraId="7A946E8A" w14:textId="16330EF0" w:rsidR="00CC1923" w:rsidRPr="007812FB" w:rsidRDefault="00CC1923" w:rsidP="00EC3899">
      <w:pPr>
        <w:pStyle w:val="TeThHauorabodytext"/>
        <w:jc w:val="center"/>
      </w:pPr>
    </w:p>
    <w:p w14:paraId="2B61B01A" w14:textId="2F0B6063" w:rsidR="00CC1923" w:rsidRPr="007812FB" w:rsidRDefault="00CC1923" w:rsidP="002A33E6">
      <w:pPr>
        <w:pStyle w:val="TeThHauorahead2"/>
      </w:pPr>
      <w:bookmarkStart w:id="40" w:name="_Toc203326054"/>
      <w:bookmarkStart w:id="41" w:name="_Toc207862811"/>
      <w:r w:rsidRPr="007812FB">
        <w:lastRenderedPageBreak/>
        <w:t>Reassess</w:t>
      </w:r>
      <w:bookmarkEnd w:id="40"/>
      <w:bookmarkEnd w:id="41"/>
      <w:r w:rsidRPr="007812FB">
        <w:t xml:space="preserve"> </w:t>
      </w:r>
    </w:p>
    <w:p w14:paraId="5DAD949C" w14:textId="1BB31AF0" w:rsidR="00CC1923" w:rsidRPr="007812FB" w:rsidRDefault="00CC1923" w:rsidP="00EC3899">
      <w:pPr>
        <w:pStyle w:val="TeThHauorabodytext"/>
      </w:pPr>
      <w:bookmarkStart w:id="42" w:name="_Hlk203029641"/>
      <w:r w:rsidRPr="007812FB">
        <w:t>Reassessment is a critical component of the sepsis pathway. It ensures that any deterioration is promptly addressed. This section provides guidance on the steps you should</w:t>
      </w:r>
      <w:r w:rsidR="002A33E6" w:rsidRPr="007812FB">
        <w:t> </w:t>
      </w:r>
      <w:r w:rsidRPr="007812FB">
        <w:t>consider after delivering Sepsis Six. Use the reassessment section as follows.</w:t>
      </w:r>
    </w:p>
    <w:p w14:paraId="672B033B" w14:textId="14829BB3" w:rsidR="00CC1923" w:rsidRPr="007812FB" w:rsidRDefault="00CC1923" w:rsidP="00EC3899">
      <w:pPr>
        <w:pStyle w:val="TeThHauorabodytext"/>
      </w:pPr>
      <w:r w:rsidRPr="007812FB">
        <w:t>Once you have provided the appropriate sepsis resuscitation/interventions, reassess the</w:t>
      </w:r>
      <w:r w:rsidR="002A33E6" w:rsidRPr="007812FB">
        <w:t> </w:t>
      </w:r>
      <w:r w:rsidRPr="007812FB">
        <w:t>patient.</w:t>
      </w:r>
    </w:p>
    <w:p w14:paraId="7827D11C" w14:textId="77777777" w:rsidR="00CC1923" w:rsidRDefault="00CC1923" w:rsidP="00EC3899">
      <w:pPr>
        <w:pStyle w:val="TeThHauorabodytext"/>
      </w:pPr>
      <w:r w:rsidRPr="007812FB">
        <w:t>Record the date, time and your initials. Tick the checkboxes for the listed tasks.</w:t>
      </w:r>
    </w:p>
    <w:p w14:paraId="15466843" w14:textId="732A3BC9" w:rsidR="004F48A1" w:rsidRDefault="004F48A1" w:rsidP="00EC3899">
      <w:pPr>
        <w:pStyle w:val="TeThHauorabodytext"/>
        <w:rPr>
          <w:b/>
          <w:bCs/>
        </w:rPr>
      </w:pPr>
      <w:r w:rsidRPr="00C97E80">
        <w:rPr>
          <w:noProof/>
        </w:rPr>
        <w:drawing>
          <wp:inline distT="0" distB="0" distL="0" distR="0" wp14:anchorId="3644763F" wp14:editId="65B3A6C1">
            <wp:extent cx="5731510" cy="1966595"/>
            <wp:effectExtent l="19050" t="19050" r="21590" b="14605"/>
            <wp:docPr id="850186380" name="Picture 1" descr="Diagram showing how to reassess for sep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86380" name="Picture 1" descr="Diagram showing how to reassess for sepsis "/>
                    <pic:cNvPicPr/>
                  </pic:nvPicPr>
                  <pic:blipFill>
                    <a:blip r:embed="rId30"/>
                    <a:stretch>
                      <a:fillRect/>
                    </a:stretch>
                  </pic:blipFill>
                  <pic:spPr>
                    <a:xfrm>
                      <a:off x="0" y="0"/>
                      <a:ext cx="5731510" cy="1966595"/>
                    </a:xfrm>
                    <a:prstGeom prst="rect">
                      <a:avLst/>
                    </a:prstGeom>
                    <a:ln w="15875">
                      <a:solidFill>
                        <a:schemeClr val="tx1"/>
                      </a:solidFill>
                    </a:ln>
                  </pic:spPr>
                </pic:pic>
              </a:graphicData>
            </a:graphic>
          </wp:inline>
        </w:drawing>
      </w:r>
    </w:p>
    <w:p w14:paraId="047FFC52" w14:textId="77777777" w:rsidR="004F48A1" w:rsidRPr="007812FB" w:rsidRDefault="004F48A1" w:rsidP="00EC3899">
      <w:pPr>
        <w:pStyle w:val="TeThHauorabodytext"/>
        <w:rPr>
          <w:b/>
          <w:bCs/>
        </w:rPr>
      </w:pPr>
    </w:p>
    <w:p w14:paraId="2A9B48EF" w14:textId="7D1C2596" w:rsidR="00CC1923" w:rsidRPr="007812FB" w:rsidRDefault="00CC1923" w:rsidP="00EC3899">
      <w:pPr>
        <w:pStyle w:val="TeThHauorahead1"/>
      </w:pPr>
      <w:bookmarkStart w:id="43" w:name="_Toc203326055"/>
      <w:bookmarkStart w:id="44" w:name="_Toc207862812"/>
      <w:bookmarkEnd w:id="42"/>
      <w:r w:rsidRPr="007812FB">
        <w:t>Paediatric-specific pathway information</w:t>
      </w:r>
      <w:bookmarkEnd w:id="43"/>
      <w:r w:rsidR="00404F4C">
        <w:t xml:space="preserve"> </w:t>
      </w:r>
      <w:r w:rsidR="00747A79" w:rsidRPr="00AD241E">
        <w:t>|</w:t>
      </w:r>
      <w:r w:rsidR="00747A79">
        <w:t xml:space="preserve"> </w:t>
      </w:r>
      <w:r w:rsidR="00404F4C" w:rsidRPr="00404F4C">
        <w:t xml:space="preserve">He </w:t>
      </w:r>
      <w:proofErr w:type="spellStart"/>
      <w:r w:rsidR="00404F4C" w:rsidRPr="00404F4C">
        <w:t>mōhiohio</w:t>
      </w:r>
      <w:proofErr w:type="spellEnd"/>
      <w:r w:rsidR="00404F4C" w:rsidRPr="00404F4C">
        <w:t xml:space="preserve"> ā-</w:t>
      </w:r>
      <w:proofErr w:type="spellStart"/>
      <w:r w:rsidR="00404F4C" w:rsidRPr="00404F4C">
        <w:t>arotamariki</w:t>
      </w:r>
      <w:bookmarkEnd w:id="44"/>
      <w:proofErr w:type="spellEnd"/>
    </w:p>
    <w:p w14:paraId="2249CCE5" w14:textId="77777777" w:rsidR="00CC1923" w:rsidRPr="007812FB" w:rsidRDefault="00CC1923" w:rsidP="00EC3899">
      <w:pPr>
        <w:pStyle w:val="TeThHauorabodytext"/>
      </w:pPr>
      <w:r w:rsidRPr="007812FB">
        <w:t xml:space="preserve">All sections of the paediatric pathway align with those of the other pathways; the pathway also lists additional considerations applicable to paediatric patients. </w:t>
      </w:r>
    </w:p>
    <w:p w14:paraId="4A5D094F" w14:textId="1EC04257" w:rsidR="00CC1923" w:rsidRPr="007812FB" w:rsidRDefault="00CC1923" w:rsidP="00D82385">
      <w:pPr>
        <w:pStyle w:val="TeThHauorahead2"/>
      </w:pPr>
      <w:bookmarkStart w:id="45" w:name="_Toc203326056"/>
      <w:bookmarkStart w:id="46" w:name="_Toc207862813"/>
      <w:r w:rsidRPr="007812FB">
        <w:t>Additional information to assess severity of risk</w:t>
      </w:r>
      <w:bookmarkStart w:id="47" w:name="_Toc201591574"/>
      <w:bookmarkEnd w:id="45"/>
      <w:bookmarkEnd w:id="46"/>
    </w:p>
    <w:p w14:paraId="671E89F4" w14:textId="77777777" w:rsidR="00D82385" w:rsidRDefault="00D82385" w:rsidP="00EC3899">
      <w:pPr>
        <w:pStyle w:val="TeThHauorabodytext"/>
        <w:spacing w:before="240"/>
      </w:pPr>
      <w:r w:rsidRPr="00E239A5">
        <w:rPr>
          <w:noProof/>
        </w:rPr>
        <w:drawing>
          <wp:inline distT="0" distB="0" distL="0" distR="0" wp14:anchorId="1A7F53C8" wp14:editId="0C8F0335">
            <wp:extent cx="5745480" cy="1488440"/>
            <wp:effectExtent l="0" t="0" r="7620" b="0"/>
            <wp:docPr id="1190717808" name="Picture 1" descr="Red flags and amber flags for treating paediatric ses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17808" name="Picture 1" descr="Red flags and amber flags for treating paediatric sespis"/>
                    <pic:cNvPicPr/>
                  </pic:nvPicPr>
                  <pic:blipFill>
                    <a:blip r:embed="rId31"/>
                    <a:stretch>
                      <a:fillRect/>
                    </a:stretch>
                  </pic:blipFill>
                  <pic:spPr>
                    <a:xfrm>
                      <a:off x="0" y="0"/>
                      <a:ext cx="5745480" cy="1488440"/>
                    </a:xfrm>
                    <a:prstGeom prst="rect">
                      <a:avLst/>
                    </a:prstGeom>
                  </pic:spPr>
                </pic:pic>
              </a:graphicData>
            </a:graphic>
          </wp:inline>
        </w:drawing>
      </w:r>
    </w:p>
    <w:p w14:paraId="6E3AEA12" w14:textId="18BC4493" w:rsidR="00CC1923" w:rsidRDefault="00CC1923" w:rsidP="00EC3899">
      <w:pPr>
        <w:pStyle w:val="TeThHauorabodytext"/>
        <w:spacing w:before="240"/>
      </w:pPr>
      <w:r w:rsidRPr="007812FB">
        <w:t xml:space="preserve">To assess the severity of a vital sign, refer to </w:t>
      </w:r>
      <w:r w:rsidR="00B652A4">
        <w:t>P</w:t>
      </w:r>
      <w:r w:rsidRPr="007812FB">
        <w:t>aediatric Vital Signs Chart</w:t>
      </w:r>
      <w:r w:rsidR="00B652A4">
        <w:t>. PEWS</w:t>
      </w:r>
      <w:r w:rsidRPr="007812FB">
        <w:t xml:space="preserve"> parameters in the red or blue zones for RED FLAGS, and in the orange zone for AMBER FLAGS, in the age-appropriate PEWS Vital </w:t>
      </w:r>
      <w:r w:rsidR="00D82BD2">
        <w:t>S</w:t>
      </w:r>
      <w:r w:rsidRPr="007812FB">
        <w:t>igns Chart. Find the instructions for this at the end of page one of the pathway</w:t>
      </w:r>
      <w:r w:rsidR="00B652A4">
        <w:t xml:space="preserve"> (also shown below)</w:t>
      </w:r>
      <w:r w:rsidRPr="007812FB">
        <w:t xml:space="preserve">. </w:t>
      </w:r>
    </w:p>
    <w:p w14:paraId="19AF7799" w14:textId="77777777" w:rsidR="00D82385" w:rsidRPr="007812FB" w:rsidRDefault="00D82385" w:rsidP="00EC3899">
      <w:pPr>
        <w:pStyle w:val="TeThHauorabodytext"/>
        <w:spacing w:before="240"/>
      </w:pPr>
    </w:p>
    <w:p w14:paraId="6532B497" w14:textId="3D3FA665" w:rsidR="00CC1923" w:rsidRPr="007812FB" w:rsidRDefault="00CC1923" w:rsidP="002A33E6">
      <w:pPr>
        <w:pStyle w:val="TeThHauorahead2"/>
      </w:pPr>
      <w:bookmarkStart w:id="48" w:name="_Toc203326057"/>
      <w:bookmarkStart w:id="49" w:name="_Toc207862814"/>
      <w:r w:rsidRPr="007812FB">
        <w:lastRenderedPageBreak/>
        <w:t>Additional notes/instruction</w:t>
      </w:r>
      <w:bookmarkEnd w:id="48"/>
      <w:bookmarkEnd w:id="49"/>
      <w:r w:rsidRPr="007812FB">
        <w:t xml:space="preserve"> </w:t>
      </w:r>
    </w:p>
    <w:p w14:paraId="6546EF07" w14:textId="0DB06341" w:rsidR="00CC1923" w:rsidRDefault="00CC1923" w:rsidP="00CC1923">
      <w:pPr>
        <w:pStyle w:val="TeThHauorabodytext"/>
      </w:pPr>
      <w:r w:rsidRPr="007812FB">
        <w:t xml:space="preserve">The pathway provides additional instructions at the bottom of page one. </w:t>
      </w:r>
    </w:p>
    <w:p w14:paraId="77619063" w14:textId="5B3B613F" w:rsidR="00DC569F" w:rsidRPr="007812FB" w:rsidRDefault="00DC569F" w:rsidP="00CC1923">
      <w:pPr>
        <w:pStyle w:val="TeThHauorabodytext"/>
      </w:pPr>
      <w:r w:rsidRPr="009F49CB">
        <w:rPr>
          <w:noProof/>
        </w:rPr>
        <w:drawing>
          <wp:inline distT="0" distB="0" distL="0" distR="0" wp14:anchorId="100E8734" wp14:editId="04313229">
            <wp:extent cx="2844925" cy="2047142"/>
            <wp:effectExtent l="19050" t="19050" r="12700" b="10795"/>
            <wp:docPr id="1114695778" name="Picture 1" descr="Image showing additional instructions for treating paediatric se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95778" name="Picture 1" descr="Image showing additional instructions for treating paediatric sepsis"/>
                    <pic:cNvPicPr/>
                  </pic:nvPicPr>
                  <pic:blipFill>
                    <a:blip r:embed="rId32"/>
                    <a:stretch>
                      <a:fillRect/>
                    </a:stretch>
                  </pic:blipFill>
                  <pic:spPr>
                    <a:xfrm>
                      <a:off x="0" y="0"/>
                      <a:ext cx="2853233" cy="2053121"/>
                    </a:xfrm>
                    <a:prstGeom prst="rect">
                      <a:avLst/>
                    </a:prstGeom>
                    <a:ln w="15875">
                      <a:solidFill>
                        <a:schemeClr val="tx1"/>
                      </a:solidFill>
                    </a:ln>
                  </pic:spPr>
                </pic:pic>
              </a:graphicData>
            </a:graphic>
          </wp:inline>
        </w:drawing>
      </w:r>
    </w:p>
    <w:p w14:paraId="6D4CC824" w14:textId="447AC9EF" w:rsidR="00CC1923" w:rsidRPr="007812FB" w:rsidRDefault="00CC1923" w:rsidP="00CC1923">
      <w:pPr>
        <w:pStyle w:val="TeThHauorabodytext"/>
      </w:pPr>
    </w:p>
    <w:p w14:paraId="02215982" w14:textId="2C682313" w:rsidR="00CC1923" w:rsidRPr="007812FB" w:rsidRDefault="00CC1923" w:rsidP="00CC1923">
      <w:pPr>
        <w:pStyle w:val="TeThHauorahead1"/>
      </w:pPr>
      <w:bookmarkStart w:id="50" w:name="_Toc203326058"/>
      <w:bookmarkStart w:id="51" w:name="_Toc207862815"/>
      <w:r w:rsidRPr="007812FB">
        <w:t>Maternity-specific pathway information</w:t>
      </w:r>
      <w:bookmarkEnd w:id="50"/>
      <w:r w:rsidR="00BE4413">
        <w:t xml:space="preserve"> </w:t>
      </w:r>
      <w:r w:rsidR="00D54603" w:rsidRPr="00AD241E">
        <w:t>|</w:t>
      </w:r>
      <w:r w:rsidR="00D54603">
        <w:t xml:space="preserve"> </w:t>
      </w:r>
      <w:r w:rsidR="00BE4413" w:rsidRPr="00BE4413">
        <w:t xml:space="preserve">He </w:t>
      </w:r>
      <w:proofErr w:type="spellStart"/>
      <w:r w:rsidR="00BE4413" w:rsidRPr="00BE4413">
        <w:t>mōhiohio</w:t>
      </w:r>
      <w:proofErr w:type="spellEnd"/>
      <w:r w:rsidR="00BE4413" w:rsidRPr="00BE4413">
        <w:t xml:space="preserve"> ā-</w:t>
      </w:r>
      <w:proofErr w:type="spellStart"/>
      <w:r w:rsidR="00BE4413" w:rsidRPr="00BE4413">
        <w:t>ōmahu</w:t>
      </w:r>
      <w:bookmarkEnd w:id="51"/>
      <w:proofErr w:type="spellEnd"/>
    </w:p>
    <w:p w14:paraId="5473789D" w14:textId="77777777" w:rsidR="00CC1923" w:rsidRPr="007812FB" w:rsidRDefault="00CC1923" w:rsidP="00EC3899">
      <w:pPr>
        <w:pStyle w:val="TeThHauorabodytext"/>
      </w:pPr>
      <w:r w:rsidRPr="007812FB">
        <w:t xml:space="preserve">All sections of the maternal pathway align with those of the other pathways; the pathway also lists additional considerations applicable to maternity patients. </w:t>
      </w:r>
    </w:p>
    <w:p w14:paraId="6CE6F534" w14:textId="25B4449A" w:rsidR="00CC1923" w:rsidRPr="007812FB" w:rsidRDefault="00CC1923" w:rsidP="00EC3899">
      <w:pPr>
        <w:pStyle w:val="TeThHauorabodytext"/>
        <w:rPr>
          <w:rFonts w:ascii="Aptos" w:hAnsi="Aptos"/>
        </w:rPr>
      </w:pPr>
      <w:r w:rsidRPr="007812FB">
        <w:t xml:space="preserve">Early recognition and obstetric consultation </w:t>
      </w:r>
      <w:r w:rsidR="0032112A" w:rsidRPr="007812FB">
        <w:t>are</w:t>
      </w:r>
      <w:r w:rsidRPr="007812FB">
        <w:t xml:space="preserve"> required to facilitate preparation for preterm birth and optimizing neonatal survival. </w:t>
      </w:r>
      <w:hyperlink r:id="rId33" w:history="1">
        <w:r w:rsidR="003E70D4" w:rsidRPr="005B7B29">
          <w:rPr>
            <w:rStyle w:val="Hyperlink"/>
          </w:rPr>
          <w:t>https://bestpracticeguide.carosikacollaborative.co.nz/docs/CHAPTER_Preparing_for_preterm_birth_when_it_is_anticipated_or_planned/preparing-for-preterm-birth-when-it-is-anticipated-or-planned/</w:t>
        </w:r>
      </w:hyperlink>
    </w:p>
    <w:p w14:paraId="7359B862" w14:textId="77777777" w:rsidR="00CC1923" w:rsidRPr="007812FB" w:rsidRDefault="00CC1923" w:rsidP="002A33E6">
      <w:pPr>
        <w:pStyle w:val="TeThHauorahead2"/>
      </w:pPr>
      <w:bookmarkStart w:id="52" w:name="_Toc203326059"/>
      <w:bookmarkStart w:id="53" w:name="_Toc207862816"/>
      <w:r w:rsidRPr="007812FB">
        <w:t>Sepsis Six plus 2</w:t>
      </w:r>
      <w:bookmarkEnd w:id="52"/>
      <w:bookmarkEnd w:id="53"/>
    </w:p>
    <w:bookmarkEnd w:id="47"/>
    <w:p w14:paraId="54038867" w14:textId="2DE12423" w:rsidR="00CC1923" w:rsidRDefault="00CC1923" w:rsidP="00EC3899">
      <w:pPr>
        <w:pStyle w:val="TeThHauorabodytext"/>
        <w:spacing w:after="240"/>
      </w:pPr>
      <w:r w:rsidRPr="007812FB">
        <w:t xml:space="preserve">The resuscitation/Sepsis Six section of </w:t>
      </w:r>
      <w:r w:rsidR="007629AE">
        <w:t xml:space="preserve">the </w:t>
      </w:r>
      <w:r w:rsidRPr="007812FB">
        <w:t>maternal sepsis pathway includes two additional interventions. These appear in the ‘Reassess’ section of the pathway, but they must be delivered as part of the initial bundle within one hour of identifying RED FLAG sepsis.</w:t>
      </w:r>
      <w:r w:rsidR="00636C93" w:rsidRPr="007812FB">
        <w:t xml:space="preserve"> </w:t>
      </w:r>
    </w:p>
    <w:p w14:paraId="1BA02205" w14:textId="4E07580C" w:rsidR="001C5A4B" w:rsidRPr="007812FB" w:rsidRDefault="001C5A4B" w:rsidP="00EC3899">
      <w:pPr>
        <w:pStyle w:val="TeThHauorabodytext"/>
        <w:spacing w:after="240"/>
      </w:pPr>
      <w:r w:rsidRPr="00577111">
        <w:rPr>
          <w:b/>
          <w:bCs/>
          <w:noProof/>
        </w:rPr>
        <w:drawing>
          <wp:inline distT="0" distB="0" distL="0" distR="0" wp14:anchorId="0AC9B3B5" wp14:editId="78CECDCB">
            <wp:extent cx="3916561" cy="1537189"/>
            <wp:effectExtent l="19050" t="19050" r="27305" b="25400"/>
            <wp:docPr id="583254414" name="Picture 1" descr="Image showing two additional interventions in the resuscitation/Sepsis Six section of the maternal sepsi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54414" name="Picture 1" descr="Image showing two additional interventions in the resuscitation/Sepsis Six section of the maternal sepsis pathway"/>
                    <pic:cNvPicPr/>
                  </pic:nvPicPr>
                  <pic:blipFill>
                    <a:blip r:embed="rId34"/>
                    <a:stretch>
                      <a:fillRect/>
                    </a:stretch>
                  </pic:blipFill>
                  <pic:spPr>
                    <a:xfrm>
                      <a:off x="0" y="0"/>
                      <a:ext cx="3934341" cy="1544167"/>
                    </a:xfrm>
                    <a:prstGeom prst="rect">
                      <a:avLst/>
                    </a:prstGeom>
                    <a:ln w="15875">
                      <a:solidFill>
                        <a:schemeClr val="tx1"/>
                      </a:solidFill>
                    </a:ln>
                  </pic:spPr>
                </pic:pic>
              </a:graphicData>
            </a:graphic>
          </wp:inline>
        </w:drawing>
      </w:r>
    </w:p>
    <w:p w14:paraId="2694BA8D" w14:textId="0CF5E154" w:rsidR="00CC1923" w:rsidRDefault="00CC1923" w:rsidP="00EC3899">
      <w:pPr>
        <w:pStyle w:val="TeThHauorabodytext"/>
        <w:spacing w:after="240"/>
        <w:rPr>
          <w:noProof/>
        </w:rPr>
      </w:pPr>
    </w:p>
    <w:p w14:paraId="47D04B08" w14:textId="77777777" w:rsidR="001C5A4B" w:rsidRPr="007812FB" w:rsidRDefault="001C5A4B" w:rsidP="00EC3899">
      <w:pPr>
        <w:pStyle w:val="TeThHauorabodytext"/>
        <w:spacing w:after="240"/>
      </w:pPr>
    </w:p>
    <w:p w14:paraId="32C5729D" w14:textId="05759B04" w:rsidR="00CC1923" w:rsidRPr="007812FB" w:rsidRDefault="00CC1923" w:rsidP="00CC1923">
      <w:pPr>
        <w:pStyle w:val="TeThHauorahead1"/>
        <w:rPr>
          <w:rFonts w:cstheme="majorBidi"/>
        </w:rPr>
      </w:pPr>
      <w:bookmarkStart w:id="54" w:name="_Toc201591576"/>
      <w:bookmarkStart w:id="55" w:name="_Toc203326060"/>
      <w:bookmarkStart w:id="56" w:name="_Toc207862817"/>
      <w:r w:rsidRPr="007812FB">
        <w:lastRenderedPageBreak/>
        <w:t>Logos and printing the pathway</w:t>
      </w:r>
      <w:bookmarkEnd w:id="54"/>
      <w:bookmarkEnd w:id="55"/>
      <w:r w:rsidR="00D54603">
        <w:t xml:space="preserve"> </w:t>
      </w:r>
      <w:r w:rsidR="0016247A" w:rsidRPr="00AD241E">
        <w:t>|</w:t>
      </w:r>
      <w:r w:rsidR="0016247A">
        <w:t xml:space="preserve"> </w:t>
      </w:r>
      <w:r w:rsidR="00963E18" w:rsidRPr="00963E18">
        <w:t xml:space="preserve">Ngā </w:t>
      </w:r>
      <w:proofErr w:type="spellStart"/>
      <w:r w:rsidR="00963E18" w:rsidRPr="00963E18">
        <w:t>tohu</w:t>
      </w:r>
      <w:proofErr w:type="spellEnd"/>
      <w:r w:rsidR="00963E18" w:rsidRPr="00963E18">
        <w:t xml:space="preserve"> </w:t>
      </w:r>
      <w:proofErr w:type="spellStart"/>
      <w:r w:rsidR="00963E18" w:rsidRPr="00963E18">
        <w:t>hei</w:t>
      </w:r>
      <w:proofErr w:type="spellEnd"/>
      <w:r w:rsidR="00963E18" w:rsidRPr="00963E18">
        <w:t xml:space="preserve"> </w:t>
      </w:r>
      <w:proofErr w:type="spellStart"/>
      <w:r w:rsidR="00963E18" w:rsidRPr="00963E18">
        <w:t>tā</w:t>
      </w:r>
      <w:proofErr w:type="spellEnd"/>
      <w:r w:rsidR="00963E18" w:rsidRPr="00963E18">
        <w:t xml:space="preserve"> </w:t>
      </w:r>
      <w:proofErr w:type="spellStart"/>
      <w:r w:rsidR="00963E18" w:rsidRPr="00963E18">
        <w:t>i</w:t>
      </w:r>
      <w:proofErr w:type="spellEnd"/>
      <w:r w:rsidR="00963E18" w:rsidRPr="00963E18">
        <w:t xml:space="preserve"> </w:t>
      </w:r>
      <w:proofErr w:type="spellStart"/>
      <w:r w:rsidR="00963E18" w:rsidRPr="00963E18">
        <w:t>te</w:t>
      </w:r>
      <w:proofErr w:type="spellEnd"/>
      <w:r w:rsidR="00963E18" w:rsidRPr="00963E18">
        <w:t xml:space="preserve"> </w:t>
      </w:r>
      <w:proofErr w:type="spellStart"/>
      <w:r w:rsidR="00963E18" w:rsidRPr="00963E18">
        <w:t>ara</w:t>
      </w:r>
      <w:bookmarkEnd w:id="56"/>
      <w:proofErr w:type="spellEnd"/>
    </w:p>
    <w:p w14:paraId="5BCABE23" w14:textId="77777777" w:rsidR="00CC1923" w:rsidRPr="007812FB" w:rsidRDefault="00CC1923" w:rsidP="00EC3899">
      <w:pPr>
        <w:pStyle w:val="TeThHauorabodytext"/>
      </w:pPr>
      <w:r w:rsidRPr="007812FB">
        <w:t>When you print the pathway, we recommend the following specifications:</w:t>
      </w:r>
    </w:p>
    <w:p w14:paraId="0BED1B09" w14:textId="77777777" w:rsidR="00CC1923" w:rsidRPr="007812FB" w:rsidRDefault="00CC1923" w:rsidP="00EC3899">
      <w:pPr>
        <w:pStyle w:val="TeThHauorabullets"/>
      </w:pPr>
      <w:r w:rsidRPr="007812FB">
        <w:t>Use size A4 paper.</w:t>
      </w:r>
    </w:p>
    <w:p w14:paraId="2232E557" w14:textId="22F946AB" w:rsidR="00CC1923" w:rsidRPr="007812FB" w:rsidRDefault="00CC1923" w:rsidP="00EC3899">
      <w:pPr>
        <w:pStyle w:val="TeThHauorabullets"/>
      </w:pPr>
      <w:r w:rsidRPr="007812FB">
        <w:t>Print in portrait orientation</w:t>
      </w:r>
      <w:r w:rsidR="00476D8F">
        <w:t>, colour</w:t>
      </w:r>
      <w:r w:rsidRPr="007812FB">
        <w:t xml:space="preserve"> and double-sided.</w:t>
      </w:r>
    </w:p>
    <w:p w14:paraId="1594EF82" w14:textId="77777777" w:rsidR="00CC1923" w:rsidRPr="007812FB" w:rsidRDefault="00CC1923" w:rsidP="00EC3899">
      <w:pPr>
        <w:pStyle w:val="TeThHauorabullets"/>
      </w:pPr>
      <w:r w:rsidRPr="007812FB">
        <w:t>Hole punches: punch two holes on the left-hand side.</w:t>
      </w:r>
    </w:p>
    <w:p w14:paraId="0DB50AD9" w14:textId="77777777" w:rsidR="00CC1923" w:rsidRPr="007812FB" w:rsidRDefault="00CC1923" w:rsidP="00EC3899">
      <w:pPr>
        <w:pStyle w:val="TeThHauorabullets"/>
      </w:pPr>
      <w:r w:rsidRPr="007812FB">
        <w:t>No print offset is required</w:t>
      </w:r>
    </w:p>
    <w:p w14:paraId="756DD848" w14:textId="77777777" w:rsidR="00CC1923" w:rsidRPr="007812FB" w:rsidRDefault="00CC1923" w:rsidP="00EC3899">
      <w:pPr>
        <w:pStyle w:val="TeThHauorabullets"/>
        <w:spacing w:after="120"/>
      </w:pPr>
      <w:r w:rsidRPr="007812FB">
        <w:t>Use a minimum paper quality of 100gsm.</w:t>
      </w:r>
    </w:p>
    <w:p w14:paraId="6DC51CED" w14:textId="77777777" w:rsidR="00CC1923" w:rsidRDefault="00CC1923" w:rsidP="00EC3899">
      <w:pPr>
        <w:pStyle w:val="TeThHauorabodytext"/>
        <w:spacing w:after="240"/>
      </w:pPr>
      <w:r w:rsidRPr="007812FB">
        <w:t>You may consider adding a black and white version of your organisational logo to the top left of the pathway, next to the ‘Raise the Flag’ logo. We do not recommend coloured logos, as they add visual clutter and detract from the main purpose of the tool.</w:t>
      </w:r>
    </w:p>
    <w:p w14:paraId="775BE479" w14:textId="7AA4CD1E" w:rsidR="00731DF9" w:rsidRDefault="00FB450E" w:rsidP="00EC3899">
      <w:pPr>
        <w:pStyle w:val="TeThHauorabodytext"/>
        <w:spacing w:after="240"/>
      </w:pPr>
      <w:r w:rsidRPr="00FB450E">
        <w:rPr>
          <w:noProof/>
        </w:rPr>
        <w:drawing>
          <wp:inline distT="0" distB="0" distL="0" distR="0" wp14:anchorId="1F5DDEB4" wp14:editId="68EC0DAA">
            <wp:extent cx="5745480" cy="1605915"/>
            <wp:effectExtent l="0" t="0" r="7620" b="0"/>
            <wp:docPr id="1484225253" name="Picture 1" descr="Image of the Raise the flag logo and pati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25253" name="Picture 1" descr="Image of the Raise the flag logo and patient details. "/>
                    <pic:cNvPicPr/>
                  </pic:nvPicPr>
                  <pic:blipFill>
                    <a:blip r:embed="rId35"/>
                    <a:stretch>
                      <a:fillRect/>
                    </a:stretch>
                  </pic:blipFill>
                  <pic:spPr>
                    <a:xfrm>
                      <a:off x="0" y="0"/>
                      <a:ext cx="5745480" cy="1605915"/>
                    </a:xfrm>
                    <a:prstGeom prst="rect">
                      <a:avLst/>
                    </a:prstGeom>
                  </pic:spPr>
                </pic:pic>
              </a:graphicData>
            </a:graphic>
          </wp:inline>
        </w:drawing>
      </w:r>
    </w:p>
    <w:p w14:paraId="3110CEA7" w14:textId="225ED772" w:rsidR="00F95158" w:rsidRPr="007812FB" w:rsidRDefault="00F95158" w:rsidP="00EC3899">
      <w:pPr>
        <w:pStyle w:val="TeThHauorabodytext"/>
        <w:spacing w:after="240"/>
      </w:pPr>
    </w:p>
    <w:p w14:paraId="46890545" w14:textId="5A9451A4" w:rsidR="00CC1923" w:rsidRPr="007812FB" w:rsidRDefault="00CC1923" w:rsidP="00EC3899">
      <w:pPr>
        <w:pStyle w:val="TeThHauorabodytext"/>
      </w:pPr>
    </w:p>
    <w:p w14:paraId="50429C8C" w14:textId="34D1BAF4" w:rsidR="00A15C21" w:rsidRPr="007812FB" w:rsidRDefault="00A15C21" w:rsidP="002A33E6">
      <w:pPr>
        <w:pStyle w:val="TeThHauorabodytext"/>
        <w:spacing w:after="0"/>
      </w:pPr>
    </w:p>
    <w:sectPr w:rsidR="00A15C21" w:rsidRPr="007812FB" w:rsidSect="00CC1923">
      <w:footerReference w:type="even" r:id="rId36"/>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F5E1D" w14:textId="77777777" w:rsidR="008C71DC" w:rsidRDefault="008C71DC" w:rsidP="003C45E1">
      <w:pPr>
        <w:spacing w:after="0" w:line="240" w:lineRule="auto"/>
      </w:pPr>
      <w:r>
        <w:separator/>
      </w:r>
    </w:p>
  </w:endnote>
  <w:endnote w:type="continuationSeparator" w:id="0">
    <w:p w14:paraId="54C58797" w14:textId="77777777" w:rsidR="008C71DC" w:rsidRDefault="008C71DC" w:rsidP="003C45E1">
      <w:pPr>
        <w:spacing w:after="0" w:line="240" w:lineRule="auto"/>
      </w:pPr>
      <w:r>
        <w:continuationSeparator/>
      </w:r>
    </w:p>
  </w:endnote>
  <w:endnote w:type="continuationNotice" w:id="1">
    <w:p w14:paraId="5B6F66BA" w14:textId="77777777" w:rsidR="008C71DC" w:rsidRDefault="008C71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087240"/>
      <w:docPartObj>
        <w:docPartGallery w:val="Page Numbers (Bottom of Page)"/>
        <w:docPartUnique/>
      </w:docPartObj>
    </w:sdtPr>
    <w:sdtEndPr>
      <w:rPr>
        <w:noProof/>
      </w:rPr>
    </w:sdtEndPr>
    <w:sdtContent>
      <w:sdt>
        <w:sdtPr>
          <w:id w:val="-1769616900"/>
          <w:docPartObj>
            <w:docPartGallery w:val="Page Numbers (Top of Page)"/>
            <w:docPartUnique/>
          </w:docPartObj>
        </w:sdtPr>
        <w:sdtEndPr/>
        <w:sdtContent>
          <w:p w14:paraId="0998BA09" w14:textId="77777777" w:rsidR="004907D7" w:rsidRPr="00DE102A" w:rsidRDefault="006A473A" w:rsidP="00CD59BF">
            <w:pPr>
              <w:pStyle w:val="Footer"/>
            </w:pPr>
            <w:r w:rsidRPr="00DE102A">
              <w:t xml:space="preserve">[Title of </w:t>
            </w:r>
            <w:r w:rsidR="009B60E1">
              <w:t>document</w:t>
            </w:r>
            <w:r w:rsidRPr="00DE102A">
              <w:t>]</w:t>
            </w:r>
            <w:r w:rsidRPr="00DE102A">
              <w:tab/>
            </w:r>
            <w:r w:rsidRPr="00DE102A">
              <w:tab/>
            </w:r>
            <w:r w:rsidR="005C344C" w:rsidRPr="004A752B">
              <w:fldChar w:fldCharType="begin"/>
            </w:r>
            <w:r w:rsidR="005C344C" w:rsidRPr="004A752B">
              <w:instrText xml:space="preserve"> PAGE </w:instrText>
            </w:r>
            <w:r w:rsidR="005C344C" w:rsidRPr="004A752B">
              <w:fldChar w:fldCharType="separate"/>
            </w:r>
            <w:r w:rsidR="005C344C">
              <w:t>2</w:t>
            </w:r>
            <w:r w:rsidR="005C344C" w:rsidRPr="004A752B">
              <w:fldChar w:fldCharType="end"/>
            </w:r>
            <w:r w:rsidR="004907D7" w:rsidRPr="00DE102A">
              <w:rPr>
                <w:noProof/>
              </w:rPr>
              <w:t xml:space="preserve"> of </w:t>
            </w:r>
            <w:r w:rsidR="005C344C">
              <w:fldChar w:fldCharType="begin"/>
            </w:r>
            <w:r w:rsidR="005C344C">
              <w:instrText xml:space="preserve"> NUMPAGES  </w:instrText>
            </w:r>
            <w:r w:rsidR="005C344C">
              <w:fldChar w:fldCharType="separate"/>
            </w:r>
            <w:r w:rsidR="005C344C">
              <w:t>3</w:t>
            </w:r>
            <w:r w:rsidR="005C344C">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689719"/>
      <w:docPartObj>
        <w:docPartGallery w:val="Page Numbers (Bottom of Page)"/>
        <w:docPartUnique/>
      </w:docPartObj>
    </w:sdtPr>
    <w:sdtEndPr>
      <w:rPr>
        <w:noProof/>
      </w:rPr>
    </w:sdtEndPr>
    <w:sdtContent>
      <w:sdt>
        <w:sdtPr>
          <w:id w:val="-2092766595"/>
          <w:docPartObj>
            <w:docPartGallery w:val="Page Numbers (Top of Page)"/>
            <w:docPartUnique/>
          </w:docPartObj>
        </w:sdtPr>
        <w:sdtEndPr/>
        <w:sdtContent>
          <w:p w14:paraId="16E8A44F" w14:textId="27C3C14D" w:rsidR="00CD59BF" w:rsidRPr="00DE102A" w:rsidRDefault="002865DC" w:rsidP="00580F59">
            <w:pPr>
              <w:pStyle w:val="Footer"/>
            </w:pPr>
            <w:r w:rsidRPr="002865DC">
              <w:t>National Sepsis Pathway User Guide</w:t>
            </w:r>
            <w:r w:rsidR="00CD59BF" w:rsidRPr="00DE102A">
              <w:tab/>
            </w:r>
            <w:r w:rsidR="00580F59">
              <w:fldChar w:fldCharType="begin"/>
            </w:r>
            <w:r w:rsidR="00580F59">
              <w:instrText xml:space="preserve"> PAGE   \* MERGEFORMAT </w:instrText>
            </w:r>
            <w:r w:rsidR="00580F59">
              <w:fldChar w:fldCharType="separate"/>
            </w:r>
            <w:r w:rsidR="00580F59">
              <w:rPr>
                <w:noProof/>
              </w:rPr>
              <w:t>1</w:t>
            </w:r>
            <w:r w:rsidR="00580F59">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21A0" w14:textId="7E64388C" w:rsidR="002865DC" w:rsidRDefault="002865DC">
    <w:pPr>
      <w:pStyle w:val="Footer"/>
    </w:pPr>
    <w:r>
      <w:fldChar w:fldCharType="begin"/>
    </w:r>
    <w:r>
      <w:instrText xml:space="preserve"> PAGE   \* MERGEFORMAT </w:instrText>
    </w:r>
    <w:r>
      <w:fldChar w:fldCharType="separate"/>
    </w:r>
    <w:r>
      <w:rPr>
        <w:noProof/>
      </w:rPr>
      <w:t>1</w:t>
    </w:r>
    <w:r>
      <w:rPr>
        <w:noProof/>
      </w:rPr>
      <w:fldChar w:fldCharType="end"/>
    </w:r>
    <w:r>
      <w:rPr>
        <w:noProof/>
      </w:rPr>
      <w:tab/>
    </w:r>
    <w:r w:rsidRPr="002865DC">
      <w:rPr>
        <w:noProof/>
      </w:rPr>
      <w:t>National Sepsis Pathway 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75945" w14:textId="77777777" w:rsidR="008C71DC" w:rsidRDefault="008C71DC" w:rsidP="003C45E1">
      <w:pPr>
        <w:spacing w:after="0" w:line="240" w:lineRule="auto"/>
      </w:pPr>
      <w:r>
        <w:separator/>
      </w:r>
    </w:p>
  </w:footnote>
  <w:footnote w:type="continuationSeparator" w:id="0">
    <w:p w14:paraId="0C55A07E" w14:textId="77777777" w:rsidR="008C71DC" w:rsidRDefault="008C71DC" w:rsidP="003C45E1">
      <w:pPr>
        <w:spacing w:after="0" w:line="240" w:lineRule="auto"/>
      </w:pPr>
      <w:r>
        <w:continuationSeparator/>
      </w:r>
    </w:p>
  </w:footnote>
  <w:footnote w:type="continuationNotice" w:id="1">
    <w:p w14:paraId="69D4C344" w14:textId="77777777" w:rsidR="008C71DC" w:rsidRDefault="008C71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7D20DA"/>
    <w:multiLevelType w:val="hybridMultilevel"/>
    <w:tmpl w:val="153E4612"/>
    <w:lvl w:ilvl="0" w:tplc="107CD3D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601581"/>
    <w:multiLevelType w:val="hybridMultilevel"/>
    <w:tmpl w:val="31CCEA4E"/>
    <w:lvl w:ilvl="0" w:tplc="107CD3DE">
      <w:numFmt w:val="bullet"/>
      <w:lvlText w:val="•"/>
      <w:lvlJc w:val="left"/>
      <w:pPr>
        <w:ind w:left="1440" w:hanging="360"/>
      </w:pPr>
      <w:rPr>
        <w:rFonts w:ascii="Calibri" w:eastAsiaTheme="minorHAnsi" w:hAnsi="Calibri"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28A175C1"/>
    <w:multiLevelType w:val="hybridMultilevel"/>
    <w:tmpl w:val="6F2A0D08"/>
    <w:lvl w:ilvl="0" w:tplc="107CD3DE">
      <w:numFmt w:val="bullet"/>
      <w:lvlText w:val="•"/>
      <w:lvlJc w:val="left"/>
      <w:pPr>
        <w:ind w:left="1287" w:hanging="360"/>
      </w:pPr>
      <w:rPr>
        <w:rFonts w:ascii="Calibri" w:eastAsiaTheme="minorHAnsi" w:hAnsi="Calibri" w:cstheme="minorBidi"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F0D7992"/>
    <w:multiLevelType w:val="hybridMultilevel"/>
    <w:tmpl w:val="3EF6B0C4"/>
    <w:lvl w:ilvl="0" w:tplc="107CD3DE">
      <w:numFmt w:val="bullet"/>
      <w:lvlText w:val="•"/>
      <w:lvlJc w:val="left"/>
      <w:pPr>
        <w:ind w:left="1571" w:hanging="360"/>
      </w:pPr>
      <w:rPr>
        <w:rFonts w:ascii="Calibri" w:eastAsiaTheme="minorHAnsi" w:hAnsi="Calibri" w:cstheme="minorBidi"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5"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B3F4167"/>
    <w:multiLevelType w:val="hybridMultilevel"/>
    <w:tmpl w:val="826C0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136F3A"/>
    <w:multiLevelType w:val="hybridMultilevel"/>
    <w:tmpl w:val="5BDC6388"/>
    <w:lvl w:ilvl="0" w:tplc="107CD3DE">
      <w:numFmt w:val="bullet"/>
      <w:lvlText w:val="•"/>
      <w:lvlJc w:val="left"/>
      <w:pPr>
        <w:ind w:left="720" w:hanging="360"/>
      </w:pPr>
      <w:rPr>
        <w:rFonts w:ascii="Calibri" w:eastAsiaTheme="minorHAnsi" w:hAnsi="Calibri" w:cstheme="minorBid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A5C0B3A"/>
    <w:multiLevelType w:val="hybridMultilevel"/>
    <w:tmpl w:val="DE142AD0"/>
    <w:lvl w:ilvl="0" w:tplc="107CD3DE">
      <w:numFmt w:val="bullet"/>
      <w:lvlText w:val="•"/>
      <w:lvlJc w:val="left"/>
      <w:pPr>
        <w:ind w:left="524" w:hanging="360"/>
      </w:pPr>
      <w:rPr>
        <w:rFonts w:ascii="Calibri" w:eastAsiaTheme="minorHAnsi" w:hAnsi="Calibri" w:cstheme="minorBidi" w:hint="default"/>
      </w:rPr>
    </w:lvl>
    <w:lvl w:ilvl="1" w:tplc="FFFFFFFF" w:tentative="1">
      <w:start w:val="1"/>
      <w:numFmt w:val="lowerLetter"/>
      <w:lvlText w:val="%2."/>
      <w:lvlJc w:val="left"/>
      <w:pPr>
        <w:ind w:left="1244" w:hanging="360"/>
      </w:pPr>
    </w:lvl>
    <w:lvl w:ilvl="2" w:tplc="FFFFFFFF" w:tentative="1">
      <w:start w:val="1"/>
      <w:numFmt w:val="lowerRoman"/>
      <w:lvlText w:val="%3."/>
      <w:lvlJc w:val="right"/>
      <w:pPr>
        <w:ind w:left="1964" w:hanging="180"/>
      </w:pPr>
    </w:lvl>
    <w:lvl w:ilvl="3" w:tplc="FFFFFFFF" w:tentative="1">
      <w:start w:val="1"/>
      <w:numFmt w:val="decimal"/>
      <w:lvlText w:val="%4."/>
      <w:lvlJc w:val="left"/>
      <w:pPr>
        <w:ind w:left="2684" w:hanging="360"/>
      </w:pPr>
    </w:lvl>
    <w:lvl w:ilvl="4" w:tplc="FFFFFFFF" w:tentative="1">
      <w:start w:val="1"/>
      <w:numFmt w:val="lowerLetter"/>
      <w:lvlText w:val="%5."/>
      <w:lvlJc w:val="left"/>
      <w:pPr>
        <w:ind w:left="3404" w:hanging="360"/>
      </w:pPr>
    </w:lvl>
    <w:lvl w:ilvl="5" w:tplc="FFFFFFFF" w:tentative="1">
      <w:start w:val="1"/>
      <w:numFmt w:val="lowerRoman"/>
      <w:lvlText w:val="%6."/>
      <w:lvlJc w:val="right"/>
      <w:pPr>
        <w:ind w:left="4124" w:hanging="180"/>
      </w:pPr>
    </w:lvl>
    <w:lvl w:ilvl="6" w:tplc="FFFFFFFF" w:tentative="1">
      <w:start w:val="1"/>
      <w:numFmt w:val="decimal"/>
      <w:lvlText w:val="%7."/>
      <w:lvlJc w:val="left"/>
      <w:pPr>
        <w:ind w:left="4844" w:hanging="360"/>
      </w:pPr>
    </w:lvl>
    <w:lvl w:ilvl="7" w:tplc="FFFFFFFF" w:tentative="1">
      <w:start w:val="1"/>
      <w:numFmt w:val="lowerLetter"/>
      <w:lvlText w:val="%8."/>
      <w:lvlJc w:val="left"/>
      <w:pPr>
        <w:ind w:left="5564" w:hanging="360"/>
      </w:pPr>
    </w:lvl>
    <w:lvl w:ilvl="8" w:tplc="FFFFFFFF" w:tentative="1">
      <w:start w:val="1"/>
      <w:numFmt w:val="lowerRoman"/>
      <w:lvlText w:val="%9."/>
      <w:lvlJc w:val="right"/>
      <w:pPr>
        <w:ind w:left="6284" w:hanging="180"/>
      </w:pPr>
    </w:lvl>
  </w:abstractNum>
  <w:abstractNum w:abstractNumId="21" w15:restartNumberingAfterBreak="0">
    <w:nsid w:val="6AE778AD"/>
    <w:multiLevelType w:val="hybridMultilevel"/>
    <w:tmpl w:val="9A228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BEE5293"/>
    <w:multiLevelType w:val="hybridMultilevel"/>
    <w:tmpl w:val="10B2C978"/>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3"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8"/>
  </w:num>
  <w:num w:numId="2" w16cid:durableId="1664695360">
    <w:abstractNumId w:val="12"/>
  </w:num>
  <w:num w:numId="3" w16cid:durableId="86075489">
    <w:abstractNumId w:val="17"/>
  </w:num>
  <w:num w:numId="4" w16cid:durableId="961226629">
    <w:abstractNumId w:val="13"/>
  </w:num>
  <w:num w:numId="5" w16cid:durableId="810247892">
    <w:abstractNumId w:val="18"/>
  </w:num>
  <w:num w:numId="6" w16cid:durableId="199098544">
    <w:abstractNumId w:val="11"/>
  </w:num>
  <w:num w:numId="7" w16cid:durableId="1829781319">
    <w:abstractNumId w:val="25"/>
  </w:num>
  <w:num w:numId="8" w16cid:durableId="534579980">
    <w:abstractNumId w:val="15"/>
  </w:num>
  <w:num w:numId="9" w16cid:durableId="1863742993">
    <w:abstractNumId w:val="6"/>
  </w:num>
  <w:num w:numId="10" w16cid:durableId="50538599">
    <w:abstractNumId w:val="5"/>
  </w:num>
  <w:num w:numId="11" w16cid:durableId="1131828693">
    <w:abstractNumId w:val="3"/>
  </w:num>
  <w:num w:numId="12" w16cid:durableId="1093433892">
    <w:abstractNumId w:val="24"/>
  </w:num>
  <w:num w:numId="13" w16cid:durableId="272787516">
    <w:abstractNumId w:val="23"/>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613364760">
    <w:abstractNumId w:val="1"/>
  </w:num>
  <w:num w:numId="20" w16cid:durableId="1467117310">
    <w:abstractNumId w:val="1"/>
  </w:num>
  <w:num w:numId="21" w16cid:durableId="1227304715">
    <w:abstractNumId w:val="1"/>
  </w:num>
  <w:num w:numId="22" w16cid:durableId="1358503000">
    <w:abstractNumId w:val="1"/>
  </w:num>
  <w:num w:numId="23" w16cid:durableId="873620662">
    <w:abstractNumId w:val="1"/>
  </w:num>
  <w:num w:numId="24" w16cid:durableId="1731924851">
    <w:abstractNumId w:val="19"/>
  </w:num>
  <w:num w:numId="25" w16cid:durableId="55327483">
    <w:abstractNumId w:val="21"/>
  </w:num>
  <w:num w:numId="26" w16cid:durableId="1539201160">
    <w:abstractNumId w:val="9"/>
  </w:num>
  <w:num w:numId="27" w16cid:durableId="1269923395">
    <w:abstractNumId w:val="10"/>
  </w:num>
  <w:num w:numId="28" w16cid:durableId="1838111489">
    <w:abstractNumId w:val="20"/>
  </w:num>
  <w:num w:numId="29" w16cid:durableId="700010017">
    <w:abstractNumId w:val="7"/>
  </w:num>
  <w:num w:numId="30" w16cid:durableId="1829202652">
    <w:abstractNumId w:val="14"/>
  </w:num>
  <w:num w:numId="31" w16cid:durableId="1439834476">
    <w:abstractNumId w:val="16"/>
  </w:num>
  <w:num w:numId="32" w16cid:durableId="937448936">
    <w:abstractNumId w:val="16"/>
  </w:num>
  <w:num w:numId="33" w16cid:durableId="140585735">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D5"/>
    <w:rsid w:val="00000224"/>
    <w:rsid w:val="00003978"/>
    <w:rsid w:val="0000479F"/>
    <w:rsid w:val="00005986"/>
    <w:rsid w:val="000072B5"/>
    <w:rsid w:val="000115EC"/>
    <w:rsid w:val="00012CD3"/>
    <w:rsid w:val="00014BDF"/>
    <w:rsid w:val="000154D5"/>
    <w:rsid w:val="00015F44"/>
    <w:rsid w:val="00017216"/>
    <w:rsid w:val="00021A1A"/>
    <w:rsid w:val="000235D4"/>
    <w:rsid w:val="00023B07"/>
    <w:rsid w:val="00024C7E"/>
    <w:rsid w:val="000257D7"/>
    <w:rsid w:val="00026401"/>
    <w:rsid w:val="00033363"/>
    <w:rsid w:val="00043083"/>
    <w:rsid w:val="00051CC0"/>
    <w:rsid w:val="0005287A"/>
    <w:rsid w:val="00052B4C"/>
    <w:rsid w:val="0005504C"/>
    <w:rsid w:val="00057F11"/>
    <w:rsid w:val="00062B82"/>
    <w:rsid w:val="00064CCB"/>
    <w:rsid w:val="00067C71"/>
    <w:rsid w:val="00071CE6"/>
    <w:rsid w:val="00072B90"/>
    <w:rsid w:val="000775BB"/>
    <w:rsid w:val="00081524"/>
    <w:rsid w:val="00081E3B"/>
    <w:rsid w:val="0008726B"/>
    <w:rsid w:val="00092A37"/>
    <w:rsid w:val="00093955"/>
    <w:rsid w:val="00094588"/>
    <w:rsid w:val="00096C19"/>
    <w:rsid w:val="000A110B"/>
    <w:rsid w:val="000A5622"/>
    <w:rsid w:val="000B0782"/>
    <w:rsid w:val="000B111C"/>
    <w:rsid w:val="000C0DFF"/>
    <w:rsid w:val="000C1227"/>
    <w:rsid w:val="000C71F5"/>
    <w:rsid w:val="000D7E4B"/>
    <w:rsid w:val="000E0DB8"/>
    <w:rsid w:val="000E0DD3"/>
    <w:rsid w:val="000E5B30"/>
    <w:rsid w:val="000F32D0"/>
    <w:rsid w:val="000F7471"/>
    <w:rsid w:val="00100616"/>
    <w:rsid w:val="00101302"/>
    <w:rsid w:val="00104BBC"/>
    <w:rsid w:val="001055DB"/>
    <w:rsid w:val="00105E23"/>
    <w:rsid w:val="00106ECE"/>
    <w:rsid w:val="001111D6"/>
    <w:rsid w:val="001123E1"/>
    <w:rsid w:val="00115489"/>
    <w:rsid w:val="00115AEB"/>
    <w:rsid w:val="001249E2"/>
    <w:rsid w:val="0013118C"/>
    <w:rsid w:val="00131E3D"/>
    <w:rsid w:val="00133F6A"/>
    <w:rsid w:val="00134F5C"/>
    <w:rsid w:val="001378CA"/>
    <w:rsid w:val="00140457"/>
    <w:rsid w:val="00140AAC"/>
    <w:rsid w:val="00142BD6"/>
    <w:rsid w:val="00147145"/>
    <w:rsid w:val="00150EC1"/>
    <w:rsid w:val="00150EE7"/>
    <w:rsid w:val="00150F2F"/>
    <w:rsid w:val="001539E9"/>
    <w:rsid w:val="00153C73"/>
    <w:rsid w:val="0016247A"/>
    <w:rsid w:val="001639FA"/>
    <w:rsid w:val="00164036"/>
    <w:rsid w:val="00165B6D"/>
    <w:rsid w:val="00173B88"/>
    <w:rsid w:val="00183219"/>
    <w:rsid w:val="00183F98"/>
    <w:rsid w:val="001855EA"/>
    <w:rsid w:val="00185F52"/>
    <w:rsid w:val="00193951"/>
    <w:rsid w:val="0019407B"/>
    <w:rsid w:val="001A02AD"/>
    <w:rsid w:val="001A1007"/>
    <w:rsid w:val="001A132C"/>
    <w:rsid w:val="001A44E7"/>
    <w:rsid w:val="001A6553"/>
    <w:rsid w:val="001B161C"/>
    <w:rsid w:val="001B64B0"/>
    <w:rsid w:val="001B6AEC"/>
    <w:rsid w:val="001C2409"/>
    <w:rsid w:val="001C5A4B"/>
    <w:rsid w:val="001D0822"/>
    <w:rsid w:val="001D5E16"/>
    <w:rsid w:val="001D6AAD"/>
    <w:rsid w:val="001E06DF"/>
    <w:rsid w:val="001E0B57"/>
    <w:rsid w:val="001E6A9F"/>
    <w:rsid w:val="001F1896"/>
    <w:rsid w:val="001F2D23"/>
    <w:rsid w:val="001F3461"/>
    <w:rsid w:val="0020107E"/>
    <w:rsid w:val="00203EA2"/>
    <w:rsid w:val="00203F49"/>
    <w:rsid w:val="00205657"/>
    <w:rsid w:val="00205AD6"/>
    <w:rsid w:val="002121B9"/>
    <w:rsid w:val="0021261B"/>
    <w:rsid w:val="002143F3"/>
    <w:rsid w:val="002201B7"/>
    <w:rsid w:val="00225BC0"/>
    <w:rsid w:val="0023054B"/>
    <w:rsid w:val="002339EA"/>
    <w:rsid w:val="002371B4"/>
    <w:rsid w:val="00237533"/>
    <w:rsid w:val="00241075"/>
    <w:rsid w:val="00244839"/>
    <w:rsid w:val="00245178"/>
    <w:rsid w:val="002514A1"/>
    <w:rsid w:val="00252B7B"/>
    <w:rsid w:val="00260C49"/>
    <w:rsid w:val="00263B4E"/>
    <w:rsid w:val="002665C5"/>
    <w:rsid w:val="0026663E"/>
    <w:rsid w:val="0027152B"/>
    <w:rsid w:val="00272AA4"/>
    <w:rsid w:val="002865DC"/>
    <w:rsid w:val="00287D53"/>
    <w:rsid w:val="0029029C"/>
    <w:rsid w:val="00291E66"/>
    <w:rsid w:val="0029676C"/>
    <w:rsid w:val="002969D8"/>
    <w:rsid w:val="00297582"/>
    <w:rsid w:val="00297676"/>
    <w:rsid w:val="00297B4B"/>
    <w:rsid w:val="002A33E6"/>
    <w:rsid w:val="002A3DC3"/>
    <w:rsid w:val="002A790C"/>
    <w:rsid w:val="002B4FF6"/>
    <w:rsid w:val="002B6B1A"/>
    <w:rsid w:val="002D22C7"/>
    <w:rsid w:val="002E1666"/>
    <w:rsid w:val="002E2CCF"/>
    <w:rsid w:val="002E3269"/>
    <w:rsid w:val="002E4B19"/>
    <w:rsid w:val="002E547C"/>
    <w:rsid w:val="002E7831"/>
    <w:rsid w:val="002F6704"/>
    <w:rsid w:val="0030109F"/>
    <w:rsid w:val="00301AB6"/>
    <w:rsid w:val="00303EF1"/>
    <w:rsid w:val="00310A90"/>
    <w:rsid w:val="00312BB1"/>
    <w:rsid w:val="0032112A"/>
    <w:rsid w:val="00331D2C"/>
    <w:rsid w:val="003362F8"/>
    <w:rsid w:val="00340841"/>
    <w:rsid w:val="0034255E"/>
    <w:rsid w:val="003451B3"/>
    <w:rsid w:val="00345201"/>
    <w:rsid w:val="00345ACC"/>
    <w:rsid w:val="003470AA"/>
    <w:rsid w:val="00350934"/>
    <w:rsid w:val="003557A9"/>
    <w:rsid w:val="003558C2"/>
    <w:rsid w:val="00356454"/>
    <w:rsid w:val="0035680A"/>
    <w:rsid w:val="0036225A"/>
    <w:rsid w:val="00370C0F"/>
    <w:rsid w:val="003720D9"/>
    <w:rsid w:val="00372989"/>
    <w:rsid w:val="00374EB2"/>
    <w:rsid w:val="003751B1"/>
    <w:rsid w:val="00380044"/>
    <w:rsid w:val="0038042C"/>
    <w:rsid w:val="00381123"/>
    <w:rsid w:val="00386712"/>
    <w:rsid w:val="00390A08"/>
    <w:rsid w:val="00392C96"/>
    <w:rsid w:val="003A1838"/>
    <w:rsid w:val="003A3D1C"/>
    <w:rsid w:val="003B13D7"/>
    <w:rsid w:val="003B2535"/>
    <w:rsid w:val="003B6C8D"/>
    <w:rsid w:val="003B784D"/>
    <w:rsid w:val="003C45E1"/>
    <w:rsid w:val="003D19E6"/>
    <w:rsid w:val="003E07F7"/>
    <w:rsid w:val="003E1978"/>
    <w:rsid w:val="003E2238"/>
    <w:rsid w:val="003E38E3"/>
    <w:rsid w:val="003E52D6"/>
    <w:rsid w:val="003E70D4"/>
    <w:rsid w:val="003F0791"/>
    <w:rsid w:val="003F5A26"/>
    <w:rsid w:val="00402A50"/>
    <w:rsid w:val="00404F4C"/>
    <w:rsid w:val="0040657D"/>
    <w:rsid w:val="00407CA8"/>
    <w:rsid w:val="004109B8"/>
    <w:rsid w:val="00410D2D"/>
    <w:rsid w:val="004114BA"/>
    <w:rsid w:val="00411BBC"/>
    <w:rsid w:val="00416629"/>
    <w:rsid w:val="004201E0"/>
    <w:rsid w:val="004241B9"/>
    <w:rsid w:val="00424FF8"/>
    <w:rsid w:val="004258F9"/>
    <w:rsid w:val="00425AA0"/>
    <w:rsid w:val="00432DE0"/>
    <w:rsid w:val="00433D6F"/>
    <w:rsid w:val="004363F2"/>
    <w:rsid w:val="0043743D"/>
    <w:rsid w:val="00437601"/>
    <w:rsid w:val="00442889"/>
    <w:rsid w:val="004458DE"/>
    <w:rsid w:val="004466EF"/>
    <w:rsid w:val="00446CEF"/>
    <w:rsid w:val="00447327"/>
    <w:rsid w:val="0045000E"/>
    <w:rsid w:val="0045730F"/>
    <w:rsid w:val="00461A9A"/>
    <w:rsid w:val="00461AE6"/>
    <w:rsid w:val="00462D7A"/>
    <w:rsid w:val="004639D3"/>
    <w:rsid w:val="0046494C"/>
    <w:rsid w:val="00470861"/>
    <w:rsid w:val="0047638D"/>
    <w:rsid w:val="0047654C"/>
    <w:rsid w:val="00476D8F"/>
    <w:rsid w:val="0048247F"/>
    <w:rsid w:val="004846B0"/>
    <w:rsid w:val="004857E1"/>
    <w:rsid w:val="004907D7"/>
    <w:rsid w:val="004947A0"/>
    <w:rsid w:val="0049681B"/>
    <w:rsid w:val="004968AD"/>
    <w:rsid w:val="004A0DE8"/>
    <w:rsid w:val="004A182F"/>
    <w:rsid w:val="004A1ACA"/>
    <w:rsid w:val="004A1E32"/>
    <w:rsid w:val="004A54CE"/>
    <w:rsid w:val="004A6075"/>
    <w:rsid w:val="004B0E7D"/>
    <w:rsid w:val="004B387A"/>
    <w:rsid w:val="004B7369"/>
    <w:rsid w:val="004B7A6C"/>
    <w:rsid w:val="004B7CE3"/>
    <w:rsid w:val="004C24CF"/>
    <w:rsid w:val="004C6CC9"/>
    <w:rsid w:val="004D0AD0"/>
    <w:rsid w:val="004D3BC2"/>
    <w:rsid w:val="004D441C"/>
    <w:rsid w:val="004D6696"/>
    <w:rsid w:val="004E0317"/>
    <w:rsid w:val="004E04D9"/>
    <w:rsid w:val="004E0537"/>
    <w:rsid w:val="004E1DD4"/>
    <w:rsid w:val="004E4BE9"/>
    <w:rsid w:val="004E6CE7"/>
    <w:rsid w:val="004F0CFB"/>
    <w:rsid w:val="004F48A1"/>
    <w:rsid w:val="004F6871"/>
    <w:rsid w:val="005025A1"/>
    <w:rsid w:val="00505999"/>
    <w:rsid w:val="00507ED2"/>
    <w:rsid w:val="00513D86"/>
    <w:rsid w:val="005166FD"/>
    <w:rsid w:val="005240E9"/>
    <w:rsid w:val="005267A2"/>
    <w:rsid w:val="00530F66"/>
    <w:rsid w:val="00532A70"/>
    <w:rsid w:val="00533799"/>
    <w:rsid w:val="00533F38"/>
    <w:rsid w:val="005351ED"/>
    <w:rsid w:val="005369FF"/>
    <w:rsid w:val="00540003"/>
    <w:rsid w:val="00551DD8"/>
    <w:rsid w:val="00553438"/>
    <w:rsid w:val="005557C1"/>
    <w:rsid w:val="00555C13"/>
    <w:rsid w:val="00560AF2"/>
    <w:rsid w:val="00561028"/>
    <w:rsid w:val="00566A3D"/>
    <w:rsid w:val="0057025F"/>
    <w:rsid w:val="00572C53"/>
    <w:rsid w:val="00580F29"/>
    <w:rsid w:val="00580F59"/>
    <w:rsid w:val="005820DB"/>
    <w:rsid w:val="005825AC"/>
    <w:rsid w:val="0058260A"/>
    <w:rsid w:val="0058455D"/>
    <w:rsid w:val="00584623"/>
    <w:rsid w:val="00594523"/>
    <w:rsid w:val="00596C4E"/>
    <w:rsid w:val="005A34BF"/>
    <w:rsid w:val="005A5B29"/>
    <w:rsid w:val="005A6D47"/>
    <w:rsid w:val="005B033F"/>
    <w:rsid w:val="005B59BC"/>
    <w:rsid w:val="005B68AE"/>
    <w:rsid w:val="005C344C"/>
    <w:rsid w:val="005C48F2"/>
    <w:rsid w:val="005E1C29"/>
    <w:rsid w:val="005E3A56"/>
    <w:rsid w:val="005F2B44"/>
    <w:rsid w:val="005F32BE"/>
    <w:rsid w:val="005F3D0A"/>
    <w:rsid w:val="005F4F38"/>
    <w:rsid w:val="00606E99"/>
    <w:rsid w:val="00607654"/>
    <w:rsid w:val="006107EF"/>
    <w:rsid w:val="00614081"/>
    <w:rsid w:val="00614859"/>
    <w:rsid w:val="0062308A"/>
    <w:rsid w:val="00630528"/>
    <w:rsid w:val="00630927"/>
    <w:rsid w:val="00630A1A"/>
    <w:rsid w:val="00632295"/>
    <w:rsid w:val="00632461"/>
    <w:rsid w:val="00632716"/>
    <w:rsid w:val="00635F6B"/>
    <w:rsid w:val="00636C93"/>
    <w:rsid w:val="00640803"/>
    <w:rsid w:val="00640F2D"/>
    <w:rsid w:val="00641AC2"/>
    <w:rsid w:val="00642A1C"/>
    <w:rsid w:val="00645402"/>
    <w:rsid w:val="006469DF"/>
    <w:rsid w:val="00646AB1"/>
    <w:rsid w:val="006501CA"/>
    <w:rsid w:val="00651EE8"/>
    <w:rsid w:val="006527F6"/>
    <w:rsid w:val="0065374E"/>
    <w:rsid w:val="0065535B"/>
    <w:rsid w:val="00662F45"/>
    <w:rsid w:val="006657D7"/>
    <w:rsid w:val="00665D22"/>
    <w:rsid w:val="00672126"/>
    <w:rsid w:val="0067432D"/>
    <w:rsid w:val="00675B7E"/>
    <w:rsid w:val="00677DF6"/>
    <w:rsid w:val="00680240"/>
    <w:rsid w:val="00681B4C"/>
    <w:rsid w:val="006821D2"/>
    <w:rsid w:val="0068435B"/>
    <w:rsid w:val="0069060A"/>
    <w:rsid w:val="006907DA"/>
    <w:rsid w:val="00691F5B"/>
    <w:rsid w:val="00694F35"/>
    <w:rsid w:val="00695C2D"/>
    <w:rsid w:val="00696DEB"/>
    <w:rsid w:val="00697C79"/>
    <w:rsid w:val="006A3910"/>
    <w:rsid w:val="006A3E73"/>
    <w:rsid w:val="006A473A"/>
    <w:rsid w:val="006A4E3B"/>
    <w:rsid w:val="006A5331"/>
    <w:rsid w:val="006A6108"/>
    <w:rsid w:val="006A6F8D"/>
    <w:rsid w:val="006A7E69"/>
    <w:rsid w:val="006B2F4A"/>
    <w:rsid w:val="006B4B65"/>
    <w:rsid w:val="006B4E4A"/>
    <w:rsid w:val="006B7508"/>
    <w:rsid w:val="006C6809"/>
    <w:rsid w:val="006D2995"/>
    <w:rsid w:val="006D341B"/>
    <w:rsid w:val="006D3D27"/>
    <w:rsid w:val="006D4188"/>
    <w:rsid w:val="006D4BD1"/>
    <w:rsid w:val="006D666D"/>
    <w:rsid w:val="006E00EE"/>
    <w:rsid w:val="006E0CBC"/>
    <w:rsid w:val="006E1EC2"/>
    <w:rsid w:val="006E3D7B"/>
    <w:rsid w:val="006E4525"/>
    <w:rsid w:val="006E5039"/>
    <w:rsid w:val="006E706A"/>
    <w:rsid w:val="006E7A5A"/>
    <w:rsid w:val="006E7F66"/>
    <w:rsid w:val="006F378F"/>
    <w:rsid w:val="006F4F4B"/>
    <w:rsid w:val="006F6CF5"/>
    <w:rsid w:val="00700503"/>
    <w:rsid w:val="00702438"/>
    <w:rsid w:val="00703375"/>
    <w:rsid w:val="00707E7B"/>
    <w:rsid w:val="00716634"/>
    <w:rsid w:val="00721B97"/>
    <w:rsid w:val="00722C09"/>
    <w:rsid w:val="00722F18"/>
    <w:rsid w:val="007248A2"/>
    <w:rsid w:val="00731DF9"/>
    <w:rsid w:val="00732FBC"/>
    <w:rsid w:val="007347F0"/>
    <w:rsid w:val="007351D5"/>
    <w:rsid w:val="007415A2"/>
    <w:rsid w:val="007451DD"/>
    <w:rsid w:val="00747A79"/>
    <w:rsid w:val="007511A5"/>
    <w:rsid w:val="00751DED"/>
    <w:rsid w:val="00752144"/>
    <w:rsid w:val="00757FD8"/>
    <w:rsid w:val="00760894"/>
    <w:rsid w:val="00762438"/>
    <w:rsid w:val="007629AE"/>
    <w:rsid w:val="00763715"/>
    <w:rsid w:val="00764327"/>
    <w:rsid w:val="00764E9F"/>
    <w:rsid w:val="00770D2E"/>
    <w:rsid w:val="00771E61"/>
    <w:rsid w:val="00780D66"/>
    <w:rsid w:val="007812FB"/>
    <w:rsid w:val="00783ED7"/>
    <w:rsid w:val="007852F8"/>
    <w:rsid w:val="00786552"/>
    <w:rsid w:val="007866F4"/>
    <w:rsid w:val="00790B45"/>
    <w:rsid w:val="007922E7"/>
    <w:rsid w:val="00792E41"/>
    <w:rsid w:val="00792E4C"/>
    <w:rsid w:val="00797213"/>
    <w:rsid w:val="007A0445"/>
    <w:rsid w:val="007A13D0"/>
    <w:rsid w:val="007A570B"/>
    <w:rsid w:val="007B151D"/>
    <w:rsid w:val="007B2E6E"/>
    <w:rsid w:val="007B38DC"/>
    <w:rsid w:val="007B5D3A"/>
    <w:rsid w:val="007C13AC"/>
    <w:rsid w:val="007C2E58"/>
    <w:rsid w:val="007C3522"/>
    <w:rsid w:val="007C454E"/>
    <w:rsid w:val="007C7ED1"/>
    <w:rsid w:val="007D219A"/>
    <w:rsid w:val="007D34AD"/>
    <w:rsid w:val="007D51D3"/>
    <w:rsid w:val="007E0634"/>
    <w:rsid w:val="007E0EFF"/>
    <w:rsid w:val="007E5241"/>
    <w:rsid w:val="007F2D3B"/>
    <w:rsid w:val="007F694F"/>
    <w:rsid w:val="007F7612"/>
    <w:rsid w:val="007F79FC"/>
    <w:rsid w:val="00801046"/>
    <w:rsid w:val="00801A1F"/>
    <w:rsid w:val="0080238B"/>
    <w:rsid w:val="00802A41"/>
    <w:rsid w:val="00803339"/>
    <w:rsid w:val="008036BA"/>
    <w:rsid w:val="0080549C"/>
    <w:rsid w:val="00806A50"/>
    <w:rsid w:val="00811357"/>
    <w:rsid w:val="008115CF"/>
    <w:rsid w:val="008131B0"/>
    <w:rsid w:val="0081560A"/>
    <w:rsid w:val="00816A83"/>
    <w:rsid w:val="008332F5"/>
    <w:rsid w:val="00833405"/>
    <w:rsid w:val="008351B6"/>
    <w:rsid w:val="00836C24"/>
    <w:rsid w:val="0084117C"/>
    <w:rsid w:val="00841260"/>
    <w:rsid w:val="00845529"/>
    <w:rsid w:val="00845F20"/>
    <w:rsid w:val="0084633E"/>
    <w:rsid w:val="00846C16"/>
    <w:rsid w:val="0084701F"/>
    <w:rsid w:val="0085071D"/>
    <w:rsid w:val="00851905"/>
    <w:rsid w:val="0085597F"/>
    <w:rsid w:val="008601B0"/>
    <w:rsid w:val="00861C08"/>
    <w:rsid w:val="00865172"/>
    <w:rsid w:val="00866DEC"/>
    <w:rsid w:val="0087040B"/>
    <w:rsid w:val="008739C8"/>
    <w:rsid w:val="008746E3"/>
    <w:rsid w:val="00875747"/>
    <w:rsid w:val="00881869"/>
    <w:rsid w:val="00883096"/>
    <w:rsid w:val="00883346"/>
    <w:rsid w:val="00886796"/>
    <w:rsid w:val="0088732F"/>
    <w:rsid w:val="008917AD"/>
    <w:rsid w:val="008946E7"/>
    <w:rsid w:val="008960B0"/>
    <w:rsid w:val="008A60AE"/>
    <w:rsid w:val="008B0E06"/>
    <w:rsid w:val="008B4E25"/>
    <w:rsid w:val="008C329A"/>
    <w:rsid w:val="008C4218"/>
    <w:rsid w:val="008C5E97"/>
    <w:rsid w:val="008C71DC"/>
    <w:rsid w:val="008D1E6C"/>
    <w:rsid w:val="008D7ACA"/>
    <w:rsid w:val="008D7B48"/>
    <w:rsid w:val="008E1024"/>
    <w:rsid w:val="008F0563"/>
    <w:rsid w:val="008F12DC"/>
    <w:rsid w:val="008F3D14"/>
    <w:rsid w:val="008F6B3D"/>
    <w:rsid w:val="008F6ECF"/>
    <w:rsid w:val="008F749A"/>
    <w:rsid w:val="008F7E81"/>
    <w:rsid w:val="00900AFF"/>
    <w:rsid w:val="00905630"/>
    <w:rsid w:val="00906793"/>
    <w:rsid w:val="00911920"/>
    <w:rsid w:val="00912F15"/>
    <w:rsid w:val="00914500"/>
    <w:rsid w:val="00915D2C"/>
    <w:rsid w:val="009200C0"/>
    <w:rsid w:val="0092084F"/>
    <w:rsid w:val="0092294D"/>
    <w:rsid w:val="00922D78"/>
    <w:rsid w:val="00923481"/>
    <w:rsid w:val="00925B8B"/>
    <w:rsid w:val="00930B7A"/>
    <w:rsid w:val="00930BF3"/>
    <w:rsid w:val="009350E4"/>
    <w:rsid w:val="0094131A"/>
    <w:rsid w:val="0094243A"/>
    <w:rsid w:val="00944659"/>
    <w:rsid w:val="00951121"/>
    <w:rsid w:val="009522ED"/>
    <w:rsid w:val="00952FE6"/>
    <w:rsid w:val="009538DA"/>
    <w:rsid w:val="00956416"/>
    <w:rsid w:val="00960486"/>
    <w:rsid w:val="0096081E"/>
    <w:rsid w:val="00962138"/>
    <w:rsid w:val="00963E18"/>
    <w:rsid w:val="009727E5"/>
    <w:rsid w:val="00972F30"/>
    <w:rsid w:val="009740A1"/>
    <w:rsid w:val="0097679C"/>
    <w:rsid w:val="00980428"/>
    <w:rsid w:val="00980E85"/>
    <w:rsid w:val="009860B1"/>
    <w:rsid w:val="00987573"/>
    <w:rsid w:val="00990733"/>
    <w:rsid w:val="00991FC7"/>
    <w:rsid w:val="00992EE9"/>
    <w:rsid w:val="00994889"/>
    <w:rsid w:val="00995BAE"/>
    <w:rsid w:val="009A0136"/>
    <w:rsid w:val="009A0EF7"/>
    <w:rsid w:val="009A0EFC"/>
    <w:rsid w:val="009A15FC"/>
    <w:rsid w:val="009A1E79"/>
    <w:rsid w:val="009A270D"/>
    <w:rsid w:val="009A3A07"/>
    <w:rsid w:val="009A4A06"/>
    <w:rsid w:val="009A4F53"/>
    <w:rsid w:val="009A5930"/>
    <w:rsid w:val="009A65BA"/>
    <w:rsid w:val="009A7126"/>
    <w:rsid w:val="009B0A87"/>
    <w:rsid w:val="009B1229"/>
    <w:rsid w:val="009B25F5"/>
    <w:rsid w:val="009B4E57"/>
    <w:rsid w:val="009B5C4F"/>
    <w:rsid w:val="009B60E1"/>
    <w:rsid w:val="009B6390"/>
    <w:rsid w:val="009B6DBE"/>
    <w:rsid w:val="009C107F"/>
    <w:rsid w:val="009C13BF"/>
    <w:rsid w:val="009C22A0"/>
    <w:rsid w:val="009C409A"/>
    <w:rsid w:val="009D4AF8"/>
    <w:rsid w:val="009D56D9"/>
    <w:rsid w:val="009D622E"/>
    <w:rsid w:val="009D79CD"/>
    <w:rsid w:val="009E1ED9"/>
    <w:rsid w:val="009E2587"/>
    <w:rsid w:val="009E2620"/>
    <w:rsid w:val="009E4F92"/>
    <w:rsid w:val="009E52B6"/>
    <w:rsid w:val="009E5660"/>
    <w:rsid w:val="009F713A"/>
    <w:rsid w:val="009F7F5F"/>
    <w:rsid w:val="00A00662"/>
    <w:rsid w:val="00A03AF2"/>
    <w:rsid w:val="00A0512B"/>
    <w:rsid w:val="00A052F6"/>
    <w:rsid w:val="00A13A94"/>
    <w:rsid w:val="00A15C21"/>
    <w:rsid w:val="00A17EC6"/>
    <w:rsid w:val="00A203DB"/>
    <w:rsid w:val="00A225AF"/>
    <w:rsid w:val="00A2381C"/>
    <w:rsid w:val="00A23F96"/>
    <w:rsid w:val="00A26EF8"/>
    <w:rsid w:val="00A278C8"/>
    <w:rsid w:val="00A313E6"/>
    <w:rsid w:val="00A322BB"/>
    <w:rsid w:val="00A32B11"/>
    <w:rsid w:val="00A33195"/>
    <w:rsid w:val="00A41608"/>
    <w:rsid w:val="00A44A92"/>
    <w:rsid w:val="00A53296"/>
    <w:rsid w:val="00A533FF"/>
    <w:rsid w:val="00A54C80"/>
    <w:rsid w:val="00A54CFC"/>
    <w:rsid w:val="00A56998"/>
    <w:rsid w:val="00A57261"/>
    <w:rsid w:val="00A6040B"/>
    <w:rsid w:val="00A620B2"/>
    <w:rsid w:val="00A627C3"/>
    <w:rsid w:val="00A64FAA"/>
    <w:rsid w:val="00A66C36"/>
    <w:rsid w:val="00A67C26"/>
    <w:rsid w:val="00A70B1C"/>
    <w:rsid w:val="00A7257A"/>
    <w:rsid w:val="00A7328E"/>
    <w:rsid w:val="00A75C6B"/>
    <w:rsid w:val="00A7698C"/>
    <w:rsid w:val="00A80094"/>
    <w:rsid w:val="00A87AEA"/>
    <w:rsid w:val="00A9188E"/>
    <w:rsid w:val="00A9198C"/>
    <w:rsid w:val="00A92C02"/>
    <w:rsid w:val="00A93AD6"/>
    <w:rsid w:val="00A94A67"/>
    <w:rsid w:val="00A959BB"/>
    <w:rsid w:val="00A95C29"/>
    <w:rsid w:val="00A97B76"/>
    <w:rsid w:val="00AA58F3"/>
    <w:rsid w:val="00AA7B43"/>
    <w:rsid w:val="00AB0DC8"/>
    <w:rsid w:val="00AC0387"/>
    <w:rsid w:val="00AC1F59"/>
    <w:rsid w:val="00AC3D8C"/>
    <w:rsid w:val="00AC507E"/>
    <w:rsid w:val="00AC637F"/>
    <w:rsid w:val="00AD0A3A"/>
    <w:rsid w:val="00AD4938"/>
    <w:rsid w:val="00AD52B8"/>
    <w:rsid w:val="00AE117F"/>
    <w:rsid w:val="00AE395A"/>
    <w:rsid w:val="00AE7F4C"/>
    <w:rsid w:val="00AF29E6"/>
    <w:rsid w:val="00AF3453"/>
    <w:rsid w:val="00AF357A"/>
    <w:rsid w:val="00B0744F"/>
    <w:rsid w:val="00B10CC1"/>
    <w:rsid w:val="00B155B2"/>
    <w:rsid w:val="00B20E20"/>
    <w:rsid w:val="00B22762"/>
    <w:rsid w:val="00B23E77"/>
    <w:rsid w:val="00B23EF3"/>
    <w:rsid w:val="00B27DCF"/>
    <w:rsid w:val="00B33B6D"/>
    <w:rsid w:val="00B347E2"/>
    <w:rsid w:val="00B36433"/>
    <w:rsid w:val="00B42FDE"/>
    <w:rsid w:val="00B43090"/>
    <w:rsid w:val="00B451E6"/>
    <w:rsid w:val="00B4731B"/>
    <w:rsid w:val="00B51A14"/>
    <w:rsid w:val="00B55A68"/>
    <w:rsid w:val="00B57F3B"/>
    <w:rsid w:val="00B60B0B"/>
    <w:rsid w:val="00B61DF2"/>
    <w:rsid w:val="00B652A4"/>
    <w:rsid w:val="00B660B9"/>
    <w:rsid w:val="00B673CF"/>
    <w:rsid w:val="00B74276"/>
    <w:rsid w:val="00B74EE3"/>
    <w:rsid w:val="00B74F22"/>
    <w:rsid w:val="00B7606A"/>
    <w:rsid w:val="00B84D89"/>
    <w:rsid w:val="00B86B40"/>
    <w:rsid w:val="00B92EDF"/>
    <w:rsid w:val="00B93B91"/>
    <w:rsid w:val="00B94E9E"/>
    <w:rsid w:val="00B96A41"/>
    <w:rsid w:val="00B97AD4"/>
    <w:rsid w:val="00BA1654"/>
    <w:rsid w:val="00BA1C9E"/>
    <w:rsid w:val="00BA1ECC"/>
    <w:rsid w:val="00BA37BF"/>
    <w:rsid w:val="00BA3F77"/>
    <w:rsid w:val="00BA6FD5"/>
    <w:rsid w:val="00BA785D"/>
    <w:rsid w:val="00BA7FA4"/>
    <w:rsid w:val="00BB0DAF"/>
    <w:rsid w:val="00BB145B"/>
    <w:rsid w:val="00BB18D0"/>
    <w:rsid w:val="00BB4E05"/>
    <w:rsid w:val="00BB51D5"/>
    <w:rsid w:val="00BB7084"/>
    <w:rsid w:val="00BB7FC7"/>
    <w:rsid w:val="00BC1F1C"/>
    <w:rsid w:val="00BC497B"/>
    <w:rsid w:val="00BC6C34"/>
    <w:rsid w:val="00BC78B8"/>
    <w:rsid w:val="00BC7E40"/>
    <w:rsid w:val="00BD1AA4"/>
    <w:rsid w:val="00BD305F"/>
    <w:rsid w:val="00BD3434"/>
    <w:rsid w:val="00BD3899"/>
    <w:rsid w:val="00BD7F74"/>
    <w:rsid w:val="00BE162D"/>
    <w:rsid w:val="00BE2A2D"/>
    <w:rsid w:val="00BE3307"/>
    <w:rsid w:val="00BE4413"/>
    <w:rsid w:val="00BE52A6"/>
    <w:rsid w:val="00BF08F7"/>
    <w:rsid w:val="00C07928"/>
    <w:rsid w:val="00C109D3"/>
    <w:rsid w:val="00C11053"/>
    <w:rsid w:val="00C15178"/>
    <w:rsid w:val="00C155CE"/>
    <w:rsid w:val="00C1691A"/>
    <w:rsid w:val="00C1717A"/>
    <w:rsid w:val="00C1781F"/>
    <w:rsid w:val="00C22051"/>
    <w:rsid w:val="00C23346"/>
    <w:rsid w:val="00C27728"/>
    <w:rsid w:val="00C27859"/>
    <w:rsid w:val="00C31730"/>
    <w:rsid w:val="00C41F1F"/>
    <w:rsid w:val="00C51579"/>
    <w:rsid w:val="00C61DB7"/>
    <w:rsid w:val="00C62531"/>
    <w:rsid w:val="00C6752C"/>
    <w:rsid w:val="00C678D4"/>
    <w:rsid w:val="00C708AB"/>
    <w:rsid w:val="00C73020"/>
    <w:rsid w:val="00C74F05"/>
    <w:rsid w:val="00C75AB8"/>
    <w:rsid w:val="00C761F8"/>
    <w:rsid w:val="00C764B2"/>
    <w:rsid w:val="00C83077"/>
    <w:rsid w:val="00C8315E"/>
    <w:rsid w:val="00C852DA"/>
    <w:rsid w:val="00C865CE"/>
    <w:rsid w:val="00C87CA4"/>
    <w:rsid w:val="00C9095C"/>
    <w:rsid w:val="00C92BEA"/>
    <w:rsid w:val="00C95355"/>
    <w:rsid w:val="00C954AC"/>
    <w:rsid w:val="00CA34D7"/>
    <w:rsid w:val="00CA4AD9"/>
    <w:rsid w:val="00CA7F3D"/>
    <w:rsid w:val="00CB02E0"/>
    <w:rsid w:val="00CB187D"/>
    <w:rsid w:val="00CB5644"/>
    <w:rsid w:val="00CB6E43"/>
    <w:rsid w:val="00CC1923"/>
    <w:rsid w:val="00CC32F3"/>
    <w:rsid w:val="00CC7F18"/>
    <w:rsid w:val="00CD14D5"/>
    <w:rsid w:val="00CD1784"/>
    <w:rsid w:val="00CD1AAF"/>
    <w:rsid w:val="00CD433E"/>
    <w:rsid w:val="00CD59BF"/>
    <w:rsid w:val="00CD6333"/>
    <w:rsid w:val="00CD67A5"/>
    <w:rsid w:val="00CE0FC3"/>
    <w:rsid w:val="00CE13F7"/>
    <w:rsid w:val="00CE24F8"/>
    <w:rsid w:val="00CE468C"/>
    <w:rsid w:val="00CE7804"/>
    <w:rsid w:val="00D02530"/>
    <w:rsid w:val="00D02CC6"/>
    <w:rsid w:val="00D035F8"/>
    <w:rsid w:val="00D04533"/>
    <w:rsid w:val="00D07F47"/>
    <w:rsid w:val="00D105CA"/>
    <w:rsid w:val="00D10D67"/>
    <w:rsid w:val="00D116BA"/>
    <w:rsid w:val="00D12FC1"/>
    <w:rsid w:val="00D132F2"/>
    <w:rsid w:val="00D20568"/>
    <w:rsid w:val="00D229A8"/>
    <w:rsid w:val="00D230FD"/>
    <w:rsid w:val="00D23541"/>
    <w:rsid w:val="00D23DEF"/>
    <w:rsid w:val="00D241F5"/>
    <w:rsid w:val="00D25A5D"/>
    <w:rsid w:val="00D271E6"/>
    <w:rsid w:val="00D37168"/>
    <w:rsid w:val="00D40317"/>
    <w:rsid w:val="00D41B94"/>
    <w:rsid w:val="00D42976"/>
    <w:rsid w:val="00D44EB1"/>
    <w:rsid w:val="00D50662"/>
    <w:rsid w:val="00D53FA8"/>
    <w:rsid w:val="00D54603"/>
    <w:rsid w:val="00D627A8"/>
    <w:rsid w:val="00D64AAD"/>
    <w:rsid w:val="00D64D6E"/>
    <w:rsid w:val="00D6540B"/>
    <w:rsid w:val="00D74DFB"/>
    <w:rsid w:val="00D76C8D"/>
    <w:rsid w:val="00D76D56"/>
    <w:rsid w:val="00D81314"/>
    <w:rsid w:val="00D81D1A"/>
    <w:rsid w:val="00D82385"/>
    <w:rsid w:val="00D82520"/>
    <w:rsid w:val="00D82BD2"/>
    <w:rsid w:val="00D83ACB"/>
    <w:rsid w:val="00D83DCB"/>
    <w:rsid w:val="00D83F43"/>
    <w:rsid w:val="00D86B58"/>
    <w:rsid w:val="00D87644"/>
    <w:rsid w:val="00D927B8"/>
    <w:rsid w:val="00D933BC"/>
    <w:rsid w:val="00DA283A"/>
    <w:rsid w:val="00DA60DF"/>
    <w:rsid w:val="00DB10A5"/>
    <w:rsid w:val="00DB2DE9"/>
    <w:rsid w:val="00DB3901"/>
    <w:rsid w:val="00DB7060"/>
    <w:rsid w:val="00DB7541"/>
    <w:rsid w:val="00DB779B"/>
    <w:rsid w:val="00DB7F7B"/>
    <w:rsid w:val="00DC128B"/>
    <w:rsid w:val="00DC1D67"/>
    <w:rsid w:val="00DC47C0"/>
    <w:rsid w:val="00DC569F"/>
    <w:rsid w:val="00DD3430"/>
    <w:rsid w:val="00DD3D3C"/>
    <w:rsid w:val="00DD3F10"/>
    <w:rsid w:val="00DD708A"/>
    <w:rsid w:val="00DE0E3A"/>
    <w:rsid w:val="00DE102A"/>
    <w:rsid w:val="00DE26FF"/>
    <w:rsid w:val="00DE3C40"/>
    <w:rsid w:val="00DF539A"/>
    <w:rsid w:val="00DF7671"/>
    <w:rsid w:val="00E00A16"/>
    <w:rsid w:val="00E0234F"/>
    <w:rsid w:val="00E03981"/>
    <w:rsid w:val="00E04D7E"/>
    <w:rsid w:val="00E07049"/>
    <w:rsid w:val="00E1059B"/>
    <w:rsid w:val="00E11A1F"/>
    <w:rsid w:val="00E11B6F"/>
    <w:rsid w:val="00E1323D"/>
    <w:rsid w:val="00E16359"/>
    <w:rsid w:val="00E239A5"/>
    <w:rsid w:val="00E34D4A"/>
    <w:rsid w:val="00E355BB"/>
    <w:rsid w:val="00E36E61"/>
    <w:rsid w:val="00E36FF7"/>
    <w:rsid w:val="00E426BD"/>
    <w:rsid w:val="00E4339E"/>
    <w:rsid w:val="00E4524C"/>
    <w:rsid w:val="00E462D4"/>
    <w:rsid w:val="00E5006D"/>
    <w:rsid w:val="00E50E8D"/>
    <w:rsid w:val="00E53628"/>
    <w:rsid w:val="00E5420C"/>
    <w:rsid w:val="00E56485"/>
    <w:rsid w:val="00E60914"/>
    <w:rsid w:val="00E638C1"/>
    <w:rsid w:val="00E65439"/>
    <w:rsid w:val="00E6626F"/>
    <w:rsid w:val="00E66736"/>
    <w:rsid w:val="00E83591"/>
    <w:rsid w:val="00E95A46"/>
    <w:rsid w:val="00E96A8D"/>
    <w:rsid w:val="00EA1FEE"/>
    <w:rsid w:val="00EA3D4F"/>
    <w:rsid w:val="00EA5F51"/>
    <w:rsid w:val="00EA6F68"/>
    <w:rsid w:val="00EB026B"/>
    <w:rsid w:val="00EB218D"/>
    <w:rsid w:val="00EB21BE"/>
    <w:rsid w:val="00EB21E0"/>
    <w:rsid w:val="00EB25CD"/>
    <w:rsid w:val="00EB2B83"/>
    <w:rsid w:val="00EB5095"/>
    <w:rsid w:val="00EB5FDA"/>
    <w:rsid w:val="00EB6194"/>
    <w:rsid w:val="00EB6D9B"/>
    <w:rsid w:val="00EC12F2"/>
    <w:rsid w:val="00EC2147"/>
    <w:rsid w:val="00EC3899"/>
    <w:rsid w:val="00EC4023"/>
    <w:rsid w:val="00EC4242"/>
    <w:rsid w:val="00EC6DCD"/>
    <w:rsid w:val="00ED3DE6"/>
    <w:rsid w:val="00ED72F9"/>
    <w:rsid w:val="00EE69F8"/>
    <w:rsid w:val="00EF0D93"/>
    <w:rsid w:val="00EF2B11"/>
    <w:rsid w:val="00EF4EF3"/>
    <w:rsid w:val="00EF581A"/>
    <w:rsid w:val="00EF6E77"/>
    <w:rsid w:val="00EF7332"/>
    <w:rsid w:val="00F00CB3"/>
    <w:rsid w:val="00F0456A"/>
    <w:rsid w:val="00F078EB"/>
    <w:rsid w:val="00F11DE9"/>
    <w:rsid w:val="00F13190"/>
    <w:rsid w:val="00F20B5F"/>
    <w:rsid w:val="00F23E45"/>
    <w:rsid w:val="00F23E5D"/>
    <w:rsid w:val="00F248BD"/>
    <w:rsid w:val="00F30BBB"/>
    <w:rsid w:val="00F320C2"/>
    <w:rsid w:val="00F34739"/>
    <w:rsid w:val="00F408BF"/>
    <w:rsid w:val="00F43049"/>
    <w:rsid w:val="00F4325E"/>
    <w:rsid w:val="00F45D90"/>
    <w:rsid w:val="00F47A01"/>
    <w:rsid w:val="00F5417A"/>
    <w:rsid w:val="00F56E9F"/>
    <w:rsid w:val="00F607A8"/>
    <w:rsid w:val="00F61D1E"/>
    <w:rsid w:val="00F63852"/>
    <w:rsid w:val="00F63A38"/>
    <w:rsid w:val="00F64542"/>
    <w:rsid w:val="00F65321"/>
    <w:rsid w:val="00F65643"/>
    <w:rsid w:val="00F70ABE"/>
    <w:rsid w:val="00F7226A"/>
    <w:rsid w:val="00F73289"/>
    <w:rsid w:val="00F748D4"/>
    <w:rsid w:val="00F77A3D"/>
    <w:rsid w:val="00F83DB3"/>
    <w:rsid w:val="00F85C21"/>
    <w:rsid w:val="00F87366"/>
    <w:rsid w:val="00F877C8"/>
    <w:rsid w:val="00F90DC8"/>
    <w:rsid w:val="00F94DE8"/>
    <w:rsid w:val="00F95158"/>
    <w:rsid w:val="00F97891"/>
    <w:rsid w:val="00FA0166"/>
    <w:rsid w:val="00FA159A"/>
    <w:rsid w:val="00FA1E24"/>
    <w:rsid w:val="00FA37F8"/>
    <w:rsid w:val="00FA40E4"/>
    <w:rsid w:val="00FA50C7"/>
    <w:rsid w:val="00FA5A33"/>
    <w:rsid w:val="00FB450E"/>
    <w:rsid w:val="00FB5B33"/>
    <w:rsid w:val="00FC45FE"/>
    <w:rsid w:val="00FD049A"/>
    <w:rsid w:val="00FD4119"/>
    <w:rsid w:val="00FD5821"/>
    <w:rsid w:val="00FD5DB7"/>
    <w:rsid w:val="00FD5E12"/>
    <w:rsid w:val="00FE0228"/>
    <w:rsid w:val="00FE24DE"/>
    <w:rsid w:val="00FE7B58"/>
    <w:rsid w:val="00FF10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8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55A68"/>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55A68"/>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B55A68"/>
    <w:rPr>
      <w:rFonts w:ascii="Arial" w:eastAsiaTheme="majorEastAsia" w:hAnsi="Arial" w:cstheme="majorBidi"/>
      <w:b/>
      <w:color w:val="000000" w:themeColor="text1"/>
      <w:sz w:val="36"/>
      <w:szCs w:val="32"/>
    </w:rPr>
  </w:style>
  <w:style w:type="paragraph" w:styleId="TOCHeading">
    <w:name w:val="TOC Heading"/>
    <w:basedOn w:val="TeThHauorabodytext"/>
    <w:next w:val="Normal"/>
    <w:uiPriority w:val="39"/>
    <w:unhideWhenUsed/>
    <w:qFormat/>
    <w:rsid w:val="00BA1654"/>
    <w:pPr>
      <w:keepNext/>
      <w:spacing w:after="360" w:line="360" w:lineRule="atLeast"/>
    </w:pPr>
    <w:rPr>
      <w:b/>
      <w:bCs/>
      <w:noProof/>
      <w:color w:val="293868"/>
      <w:sz w:val="36"/>
      <w:szCs w:val="36"/>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semiHidden/>
    <w:qFormat/>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B55A68"/>
    <w:rPr>
      <w:rFonts w:ascii="Arial" w:eastAsiaTheme="majorEastAsia" w:hAnsi="Arial" w:cstheme="majorBidi"/>
      <w:b/>
      <w:sz w:val="24"/>
      <w:szCs w:val="24"/>
    </w:rPr>
  </w:style>
  <w:style w:type="paragraph" w:styleId="Quote">
    <w:name w:val="Quote"/>
    <w:basedOn w:val="Normal"/>
    <w:next w:val="Normal"/>
    <w:link w:val="QuoteChar"/>
    <w:uiPriority w:val="29"/>
    <w:semiHidden/>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B55A68"/>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B55A68"/>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rsid w:val="00C61DB7"/>
    <w:pPr>
      <w:spacing w:line="240" w:lineRule="auto"/>
    </w:pPr>
    <w:rPr>
      <w:sz w:val="20"/>
      <w:szCs w:val="20"/>
    </w:rPr>
  </w:style>
  <w:style w:type="character" w:customStyle="1" w:styleId="CommentTextChar">
    <w:name w:val="Comment Text Char"/>
    <w:basedOn w:val="DefaultParagraphFont"/>
    <w:link w:val="CommentText"/>
    <w:uiPriority w:val="99"/>
    <w:rsid w:val="00B55A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semiHidden/>
    <w:rsid w:val="00B55A68"/>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5A68"/>
    <w:rPr>
      <w:rFonts w:ascii="Arial" w:hAnsi="Arial"/>
    </w:rPr>
  </w:style>
  <w:style w:type="paragraph" w:styleId="Footer">
    <w:name w:val="footer"/>
    <w:basedOn w:val="Normal"/>
    <w:link w:val="FooterChar"/>
    <w:uiPriority w:val="99"/>
    <w:unhideWhenUsed/>
    <w:rsid w:val="00CD59BF"/>
    <w:pPr>
      <w:tabs>
        <w:tab w:val="right" w:pos="9026"/>
      </w:tabs>
    </w:pPr>
    <w:rPr>
      <w:sz w:val="20"/>
      <w:szCs w:val="20"/>
    </w:rPr>
  </w:style>
  <w:style w:type="character" w:customStyle="1" w:styleId="FooterChar">
    <w:name w:val="Footer Char"/>
    <w:basedOn w:val="DefaultParagraphFont"/>
    <w:link w:val="Footer"/>
    <w:uiPriority w:val="99"/>
    <w:rsid w:val="00CD59BF"/>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B74F22"/>
    <w:pPr>
      <w:tabs>
        <w:tab w:val="right" w:leader="dot" w:pos="9072"/>
      </w:tabs>
      <w:spacing w:after="100"/>
    </w:pPr>
  </w:style>
  <w:style w:type="paragraph" w:styleId="ListBullet">
    <w:name w:val="List Bullet"/>
    <w:basedOn w:val="Normal"/>
    <w:link w:val="ListBulletChar"/>
    <w:uiPriority w:val="99"/>
    <w:semiHidden/>
    <w:rsid w:val="00205AD6"/>
    <w:pPr>
      <w:numPr>
        <w:numId w:val="16"/>
      </w:num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semiHidden/>
    <w:qFormat/>
    <w:rsid w:val="007E0634"/>
    <w:pPr>
      <w:widowControl w:val="0"/>
    </w:pPr>
    <w:rPr>
      <w:rFonts w:eastAsia="Arial" w:cs="Arial"/>
    </w:rPr>
  </w:style>
  <w:style w:type="character" w:customStyle="1" w:styleId="BodyTextChar">
    <w:name w:val="Body Text Char"/>
    <w:basedOn w:val="DefaultParagraphFont"/>
    <w:link w:val="BodyText"/>
    <w:uiPriority w:val="1"/>
    <w:semiHidden/>
    <w:rsid w:val="00B55A68"/>
    <w:rPr>
      <w:rFonts w:ascii="Arial" w:eastAsia="Arial" w:hAnsi="Arial" w:cs="Arial"/>
    </w:rPr>
  </w:style>
  <w:style w:type="paragraph" w:customStyle="1" w:styleId="Figuretableheading">
    <w:name w:val="Figure table heading"/>
    <w:basedOn w:val="Normal"/>
    <w:link w:val="FiguretableheadingChar"/>
    <w:semiHidden/>
    <w:qFormat/>
    <w:rsid w:val="006A473A"/>
    <w:rPr>
      <w:rFonts w:cs="Arial"/>
      <w:b/>
    </w:rPr>
  </w:style>
  <w:style w:type="character" w:customStyle="1" w:styleId="FiguretableheadingChar">
    <w:name w:val="Figure table heading Char"/>
    <w:basedOn w:val="DefaultParagraphFont"/>
    <w:link w:val="Figuretableheading"/>
    <w:semiHidden/>
    <w:rsid w:val="00B55A68"/>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B55A68"/>
    <w:rPr>
      <w:rFonts w:ascii="Arial" w:hAnsi="Arial"/>
    </w:rPr>
  </w:style>
  <w:style w:type="character" w:customStyle="1" w:styleId="BulletsChar">
    <w:name w:val="Bullets Char"/>
    <w:basedOn w:val="ListBulletChar"/>
    <w:link w:val="Bullets"/>
    <w:semiHidden/>
    <w:rsid w:val="00B55A68"/>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681B4C"/>
    <w:rPr>
      <w:rFonts w:cs="Arial"/>
    </w:rPr>
  </w:style>
  <w:style w:type="paragraph" w:customStyle="1" w:styleId="TeThHauorabullets">
    <w:name w:val="Te Tāhū Hauora bullets"/>
    <w:basedOn w:val="Bullets"/>
    <w:qFormat/>
    <w:rsid w:val="00792E41"/>
    <w:pPr>
      <w:ind w:left="360" w:hanging="360"/>
    </w:pPr>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EB218D"/>
    <w:pPr>
      <w:spacing w:before="60" w:after="60" w:line="240" w:lineRule="auto"/>
    </w:pPr>
    <w:rPr>
      <w:rFonts w:cs="Arial"/>
      <w:b/>
    </w:rPr>
  </w:style>
  <w:style w:type="paragraph" w:customStyle="1" w:styleId="TeThHauoratablecontent">
    <w:name w:val="Te Tāhū Hauora table content"/>
    <w:basedOn w:val="Normal"/>
    <w:qFormat/>
    <w:rsid w:val="00EB218D"/>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rsid w:val="00B55A68"/>
    <w:pPr>
      <w:spacing w:after="0" w:line="240" w:lineRule="auto"/>
    </w:pPr>
    <w:rPr>
      <w:sz w:val="20"/>
      <w:szCs w:val="20"/>
    </w:rPr>
  </w:style>
  <w:style w:type="character" w:customStyle="1" w:styleId="FootnoteTextChar">
    <w:name w:val="Footnote Text Char"/>
    <w:basedOn w:val="DefaultParagraphFont"/>
    <w:link w:val="FootnoteText"/>
    <w:uiPriority w:val="99"/>
    <w:rsid w:val="00B55A68"/>
    <w:rPr>
      <w:rFonts w:ascii="Arial" w:hAnsi="Arial"/>
      <w:sz w:val="20"/>
      <w:szCs w:val="20"/>
    </w:rPr>
  </w:style>
  <w:style w:type="character" w:styleId="FootnoteReference">
    <w:name w:val="footnote reference"/>
    <w:basedOn w:val="DefaultParagraphFont"/>
    <w:uiPriority w:val="99"/>
    <w:semiHidden/>
    <w:unhideWhenUsed/>
    <w:rsid w:val="00B55A68"/>
    <w:rPr>
      <w:vertAlign w:val="superscript"/>
    </w:rPr>
  </w:style>
  <w:style w:type="paragraph" w:styleId="Title">
    <w:name w:val="Title"/>
    <w:basedOn w:val="Normal"/>
    <w:next w:val="Normal"/>
    <w:link w:val="TitleChar"/>
    <w:uiPriority w:val="10"/>
    <w:qFormat/>
    <w:rsid w:val="00AE395A"/>
    <w:pPr>
      <w:ind w:right="1796"/>
    </w:pPr>
    <w:rPr>
      <w:rFonts w:cs="Arial"/>
      <w:b/>
      <w:color w:val="293868"/>
      <w:sz w:val="44"/>
      <w:szCs w:val="44"/>
    </w:rPr>
  </w:style>
  <w:style w:type="character" w:customStyle="1" w:styleId="TitleChar">
    <w:name w:val="Title Char"/>
    <w:basedOn w:val="DefaultParagraphFont"/>
    <w:link w:val="Title"/>
    <w:uiPriority w:val="10"/>
    <w:rsid w:val="00AE395A"/>
    <w:rPr>
      <w:rFonts w:ascii="Arial" w:hAnsi="Arial" w:cs="Arial"/>
      <w:b/>
      <w:color w:val="293868"/>
      <w:sz w:val="44"/>
      <w:szCs w:val="44"/>
    </w:rPr>
  </w:style>
  <w:style w:type="paragraph" w:styleId="Subtitle">
    <w:name w:val="Subtitle"/>
    <w:basedOn w:val="Normal"/>
    <w:next w:val="Normal"/>
    <w:link w:val="SubtitleChar"/>
    <w:uiPriority w:val="11"/>
    <w:qFormat/>
    <w:rsid w:val="00AE395A"/>
    <w:pPr>
      <w:ind w:right="1796"/>
    </w:pPr>
    <w:rPr>
      <w:rFonts w:cs="Arial"/>
      <w:bCs/>
      <w:color w:val="293868"/>
      <w:sz w:val="44"/>
      <w:szCs w:val="44"/>
    </w:rPr>
  </w:style>
  <w:style w:type="character" w:customStyle="1" w:styleId="SubtitleChar">
    <w:name w:val="Subtitle Char"/>
    <w:basedOn w:val="DefaultParagraphFont"/>
    <w:link w:val="Subtitle"/>
    <w:uiPriority w:val="11"/>
    <w:rsid w:val="00AE395A"/>
    <w:rPr>
      <w:rFonts w:ascii="Arial" w:hAnsi="Arial" w:cs="Arial"/>
      <w:bCs/>
      <w:color w:val="293868"/>
      <w:sz w:val="44"/>
      <w:szCs w:val="44"/>
    </w:rPr>
  </w:style>
  <w:style w:type="character" w:styleId="FollowedHyperlink">
    <w:name w:val="FollowedHyperlink"/>
    <w:basedOn w:val="DefaultParagraphFont"/>
    <w:uiPriority w:val="99"/>
    <w:semiHidden/>
    <w:unhideWhenUsed/>
    <w:rsid w:val="00AB0DC8"/>
    <w:rPr>
      <w:color w:val="2C25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 w:id="187611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hqsc.govt.nz/assets/Our-work/Improved-service-delivery/Sepsis/Clinical-guide-sepsis-management_Sept-2025.docx?vid=3"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info@hqsc.govt.nz"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yperlink" Target="https://bestpracticeguide.carosikacollaborative.co.nz/docs/CHAPTER_Preparing_for_preterm_birth_when_it_is_anticipated_or_planned/preparing-for-preterm-birth-when-it-is-anticipated-or-planne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sc.govt.nz"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hqsc.govt.nz/our-work/improved-service-delivery/sepsis/"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00BC-93AE-4B8F-A11C-42B22631B78E}">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2578</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2025-09-09T04:50:00Z</dcterms:created>
  <dcterms:modified xsi:type="dcterms:W3CDTF">2025-09-09T04:50:00Z</dcterms:modified>
</cp:coreProperties>
</file>